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0D19" w:rsidRDefault="00C30D19" w:rsidP="00C30D1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C30D19" w:rsidRDefault="00C30D19" w:rsidP="00C30D1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00268/2017</w:t>
      </w:r>
    </w:p>
    <w:p w:rsidR="00C30D19" w:rsidRDefault="00C30D19" w:rsidP="00C30D1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333/2016 DE LA QUINTA SALA UNITARIA DE PRIMERA INSTANCIA</w:t>
      </w:r>
    </w:p>
    <w:p w:rsidR="00C30D19" w:rsidRDefault="00C30D19" w:rsidP="00C30D19">
      <w:pPr>
        <w:spacing w:line="240" w:lineRule="auto"/>
        <w:ind w:left="2124"/>
        <w:jc w:val="both"/>
        <w:rPr>
          <w:rFonts w:ascii="Arial" w:hAnsi="Arial" w:cs="Arial"/>
          <w:b/>
          <w:sz w:val="26"/>
          <w:szCs w:val="26"/>
        </w:rPr>
      </w:pPr>
      <w:r>
        <w:rPr>
          <w:rFonts w:ascii="Arial" w:hAnsi="Arial" w:cs="Arial"/>
          <w:b/>
          <w:sz w:val="26"/>
          <w:szCs w:val="26"/>
        </w:rPr>
        <w:t>PONENTE: MAGISTRADO ADRIÁN QUIROGA AVENDAÑO.</w:t>
      </w:r>
    </w:p>
    <w:p w:rsidR="00C30D19" w:rsidRDefault="00C30D19" w:rsidP="00C30D19">
      <w:pPr>
        <w:spacing w:before="240" w:line="360" w:lineRule="auto"/>
        <w:jc w:val="both"/>
        <w:rPr>
          <w:rFonts w:ascii="Arial" w:hAnsi="Arial" w:cs="Arial"/>
          <w:b/>
          <w:sz w:val="26"/>
          <w:szCs w:val="26"/>
        </w:rPr>
      </w:pPr>
    </w:p>
    <w:p w:rsidR="00C30D19" w:rsidRDefault="00C30D19" w:rsidP="00C30D19">
      <w:pPr>
        <w:spacing w:after="120" w:line="360" w:lineRule="auto"/>
        <w:jc w:val="both"/>
        <w:rPr>
          <w:rFonts w:ascii="Arial" w:hAnsi="Arial" w:cs="Arial"/>
          <w:b/>
          <w:sz w:val="26"/>
          <w:szCs w:val="26"/>
        </w:rPr>
      </w:pPr>
      <w:r>
        <w:rPr>
          <w:rFonts w:ascii="Arial" w:hAnsi="Arial" w:cs="Arial"/>
          <w:b/>
          <w:sz w:val="26"/>
          <w:szCs w:val="26"/>
        </w:rPr>
        <w:t xml:space="preserve">OAXACA DE JUÁREZ, OAXACA, VEINTICINCO DE ABRIL DE DOS MIL DIECINUEVE. </w:t>
      </w:r>
    </w:p>
    <w:p w:rsidR="00DF651C" w:rsidRDefault="00C30D19" w:rsidP="00C30D19">
      <w:pPr>
        <w:spacing w:after="120" w:line="360" w:lineRule="auto"/>
        <w:ind w:firstLine="708"/>
        <w:jc w:val="both"/>
        <w:rPr>
          <w:rFonts w:ascii="Arial" w:hAnsi="Arial" w:cs="Arial"/>
          <w:sz w:val="26"/>
          <w:szCs w:val="26"/>
        </w:rPr>
      </w:pPr>
      <w:r>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268/2017</w:t>
      </w:r>
      <w:r>
        <w:rPr>
          <w:rFonts w:ascii="Arial" w:hAnsi="Arial" w:cs="Arial"/>
          <w:sz w:val="26"/>
          <w:szCs w:val="26"/>
        </w:rPr>
        <w:t xml:space="preserve">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9A7C7B">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 la resolución de 12 doce de octubre de 2017 dos mil diecisiete, dictada por la Sala Superior del entonces Tribunal de lo Contencioso Administrativo y de Cuentas del Poder Judicial del Estado de Oaxaca, relativa al cumplimiento de este órgano jurisdiccional, respecto a la ejecutoria de amparo directo 7/2018 de fecha 26 veintiséis de marzo de 2019 dos mil diecinueve, dictada por el Primer Tribunal Colegiado en Materias Civil y Administrativa del Décimo Tercer Circuido, con residencia en San Bartolo Coyotepec, Oaxaca; en consecuencia, con fundamento en los artículos 207 y 208 de la Ley de Justicia Administrativa para el Estado de Oaxaca, vigente al inicio del juicio principal, se admite dicho recuso y se procede a dictar una nueva resoluc</w:t>
      </w:r>
      <w:r w:rsidR="00DF651C">
        <w:rPr>
          <w:rFonts w:ascii="Arial" w:hAnsi="Arial" w:cs="Arial"/>
          <w:sz w:val="26"/>
          <w:szCs w:val="26"/>
        </w:rPr>
        <w:t>ión en los siguientes términos:</w:t>
      </w:r>
    </w:p>
    <w:p w:rsidR="00DF651C" w:rsidRDefault="00C30D19" w:rsidP="00DF651C">
      <w:pPr>
        <w:spacing w:after="120" w:line="360" w:lineRule="auto"/>
        <w:ind w:firstLine="708"/>
        <w:jc w:val="center"/>
        <w:rPr>
          <w:rFonts w:ascii="Arial" w:hAnsi="Arial" w:cs="Arial"/>
          <w:b/>
          <w:bCs/>
          <w:sz w:val="26"/>
          <w:szCs w:val="26"/>
        </w:rPr>
      </w:pPr>
      <w:r>
        <w:rPr>
          <w:rFonts w:ascii="Arial" w:hAnsi="Arial" w:cs="Arial"/>
          <w:b/>
          <w:bCs/>
          <w:sz w:val="26"/>
          <w:szCs w:val="26"/>
        </w:rPr>
        <w:t>R E S U L T A N D O</w:t>
      </w:r>
    </w:p>
    <w:p w:rsidR="00C30D19" w:rsidRDefault="00C30D19" w:rsidP="00C30D19">
      <w:pPr>
        <w:spacing w:after="120" w:line="360" w:lineRule="auto"/>
        <w:ind w:firstLine="708"/>
        <w:jc w:val="both"/>
        <w:rPr>
          <w:rFonts w:ascii="Arial" w:hAnsi="Arial" w:cs="Arial"/>
          <w:b/>
          <w:sz w:val="26"/>
          <w:szCs w:val="26"/>
        </w:rPr>
      </w:pPr>
      <w:r>
        <w:rPr>
          <w:rFonts w:ascii="Arial" w:hAnsi="Arial" w:cs="Arial"/>
          <w:b/>
          <w:bCs/>
          <w:sz w:val="26"/>
          <w:szCs w:val="26"/>
        </w:rPr>
        <w:t xml:space="preserve">PRIMERO. </w:t>
      </w:r>
      <w:r>
        <w:rPr>
          <w:rFonts w:ascii="Arial" w:hAnsi="Arial" w:cs="Arial"/>
          <w:sz w:val="26"/>
          <w:szCs w:val="26"/>
        </w:rPr>
        <w:t>La Sala Superior del otrora Tribunal de lo Contencioso Administrativo y de Cuentas, el 12 doce de octubre  de 2017 dos mil diecisiete, dictó resolución, en cuyos punt</w:t>
      </w:r>
      <w:r w:rsidR="00DF651C">
        <w:rPr>
          <w:rFonts w:ascii="Arial" w:hAnsi="Arial" w:cs="Arial"/>
          <w:sz w:val="26"/>
          <w:szCs w:val="26"/>
        </w:rPr>
        <w:t>os resolutivos determinó:</w:t>
      </w:r>
    </w:p>
    <w:p w:rsidR="00C30D19" w:rsidRDefault="00C30D19" w:rsidP="00C30D19">
      <w:pPr>
        <w:spacing w:after="120" w:line="360" w:lineRule="auto"/>
        <w:ind w:left="851" w:right="900"/>
        <w:jc w:val="both"/>
        <w:rPr>
          <w:rFonts w:ascii="Arial" w:eastAsia="Calibri" w:hAnsi="Arial" w:cs="Arial"/>
          <w:i/>
        </w:rPr>
      </w:pPr>
      <w:r>
        <w:rPr>
          <w:rFonts w:ascii="Gisha" w:hAnsi="Gisha" w:cs="Gisha"/>
          <w:b/>
          <w:i/>
        </w:rPr>
        <w:t>“</w:t>
      </w:r>
      <w:r>
        <w:rPr>
          <w:rFonts w:ascii="Arial" w:eastAsia="Calibri" w:hAnsi="Arial" w:cs="Arial"/>
          <w:b/>
          <w:i/>
        </w:rPr>
        <w:t>PRIMERO</w:t>
      </w:r>
      <w:r>
        <w:rPr>
          <w:rFonts w:ascii="Arial" w:eastAsia="Calibri" w:hAnsi="Arial" w:cs="Arial"/>
          <w:i/>
        </w:rPr>
        <w:t xml:space="preserve">. Se </w:t>
      </w:r>
      <w:r>
        <w:rPr>
          <w:rFonts w:ascii="Arial" w:eastAsia="Calibri" w:hAnsi="Arial" w:cs="Arial"/>
          <w:b/>
          <w:i/>
        </w:rPr>
        <w:t xml:space="preserve">CONFIRMA </w:t>
      </w:r>
      <w:r>
        <w:rPr>
          <w:rFonts w:ascii="Arial" w:eastAsia="Calibri" w:hAnsi="Arial" w:cs="Arial"/>
          <w:i/>
        </w:rPr>
        <w:t xml:space="preserve">la sentencia recurrida, </w:t>
      </w:r>
      <w:r>
        <w:rPr>
          <w:rFonts w:ascii="Arial" w:eastAsia="Calibri" w:hAnsi="Arial" w:cs="Arial"/>
          <w:i/>
          <w:lang w:eastAsia="es-ES"/>
        </w:rPr>
        <w:t>por las razones expuestas en el considerando que antecede</w:t>
      </w:r>
      <w:r>
        <w:rPr>
          <w:rFonts w:ascii="Arial" w:eastAsia="Calibri" w:hAnsi="Arial" w:cs="Arial"/>
          <w:i/>
        </w:rPr>
        <w:t>.</w:t>
      </w:r>
      <w:r w:rsidR="00DF651C">
        <w:rPr>
          <w:rFonts w:ascii="Arial" w:eastAsia="Calibri" w:hAnsi="Arial" w:cs="Arial"/>
          <w:i/>
        </w:rPr>
        <w:t>- - - - - - - - - -</w:t>
      </w:r>
    </w:p>
    <w:p w:rsidR="00C30D19" w:rsidRDefault="00C30D19" w:rsidP="00C30D19">
      <w:pPr>
        <w:spacing w:after="120" w:line="360" w:lineRule="auto"/>
        <w:ind w:left="851" w:right="900"/>
        <w:jc w:val="both"/>
        <w:rPr>
          <w:rFonts w:ascii="Arial" w:eastAsiaTheme="minorHAnsi" w:hAnsi="Arial" w:cs="Arial"/>
          <w:b/>
          <w:bCs/>
          <w:sz w:val="26"/>
          <w:szCs w:val="26"/>
        </w:rPr>
      </w:pPr>
      <w:r>
        <w:rPr>
          <w:rFonts w:ascii="Arial" w:hAnsi="Arial" w:cs="Arial"/>
          <w:b/>
          <w:i/>
        </w:rPr>
        <w:t>SEGUNDO. NOTIFÍQUESE Y CUMPLASE,</w:t>
      </w:r>
      <w:r>
        <w:rPr>
          <w:rFonts w:ascii="Arial" w:hAnsi="Arial" w:cs="Arial"/>
          <w:i/>
        </w:rPr>
        <w:t xml:space="preserve"> con copia certificada de la presente resolución, vuelvan las constancias remitidas a la Quinta Sala Unitaria de Primera Instancia, </w:t>
      </w:r>
      <w:r>
        <w:rPr>
          <w:rFonts w:ascii="Arial" w:eastAsia="Calibri" w:hAnsi="Arial" w:cs="Arial"/>
          <w:i/>
        </w:rPr>
        <w:t>y en su oportunidad archívese el cuaderno de revisión como conclui</w:t>
      </w:r>
      <w:r w:rsidR="00DF651C">
        <w:rPr>
          <w:rFonts w:ascii="Arial" w:eastAsia="Calibri" w:hAnsi="Arial" w:cs="Arial"/>
          <w:i/>
        </w:rPr>
        <w:t xml:space="preserve">do.”- - - - - - - - - - - </w:t>
      </w:r>
    </w:p>
    <w:p w:rsidR="00DF651C" w:rsidRDefault="00C30D19" w:rsidP="00DF651C">
      <w:pPr>
        <w:spacing w:after="12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En contra de dicha resolución </w:t>
      </w:r>
      <w:r w:rsidR="009A7C7B">
        <w:rPr>
          <w:rFonts w:ascii="Arial" w:hAnsi="Arial" w:cs="Arial"/>
          <w:bCs/>
          <w:sz w:val="26"/>
          <w:szCs w:val="26"/>
        </w:rPr>
        <w:t>**********</w:t>
      </w:r>
      <w:r>
        <w:rPr>
          <w:rFonts w:ascii="Arial" w:hAnsi="Arial" w:cs="Arial"/>
          <w:bCs/>
          <w:sz w:val="26"/>
          <w:szCs w:val="26"/>
        </w:rPr>
        <w:t xml:space="preserve">, promovió amparo ante la Oficina de Correspondencia Común de los Juzgados de </w:t>
      </w:r>
      <w:r>
        <w:rPr>
          <w:rFonts w:ascii="Arial" w:hAnsi="Arial" w:cs="Arial"/>
          <w:bCs/>
          <w:sz w:val="26"/>
          <w:szCs w:val="26"/>
        </w:rPr>
        <w:lastRenderedPageBreak/>
        <w:t>Distrito en el Estado de Oaxaca, con residencia en San Bartolo Coyotepec, correspondiéndole conocer por turno de la referida demanda, al Juzgado Tercero de Distrito en el Estado de Oaxaca, con residencia en San Bartolo Coyotepec, Oaxaca, quien determinó carecer de competencia</w:t>
      </w:r>
      <w:r>
        <w:rPr>
          <w:rFonts w:ascii="Arial" w:hAnsi="Arial" w:cs="Arial"/>
          <w:sz w:val="26"/>
          <w:szCs w:val="26"/>
        </w:rPr>
        <w:t>, por lo que ordenó su remisión al Tribunal Colegiado en Materia Administrativa del citado Circuito, a quien estimó competente para su conocimiento; tocando por razón de turno al entonces Tribunal Colegiado en Ma</w:t>
      </w:r>
      <w:r w:rsidR="00DF651C">
        <w:rPr>
          <w:rFonts w:ascii="Arial" w:hAnsi="Arial" w:cs="Arial"/>
          <w:sz w:val="26"/>
          <w:szCs w:val="26"/>
        </w:rPr>
        <w:t>terias Civil y Administrativa.</w:t>
      </w:r>
    </w:p>
    <w:p w:rsidR="00DF651C" w:rsidRDefault="00C30D19" w:rsidP="00DF651C">
      <w:pPr>
        <w:spacing w:after="120" w:line="360" w:lineRule="auto"/>
        <w:ind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Con fecha 25 veinticinco de enero de 2018 dos mil dieciocho, se publicó en el Diario Oficial de la Federación el Acuerdo General 59/2018 del Pleno del Consejo de la Judicatura Federal, relativo a la denominación, residencia, competencia, jurisdicción territorial y fecha de inicio de funciones del Segundo Tribunal Colegiado en Materias Civil y Administrativa, por lo que a partir del 01 uno de febrero del año en curso, el entonces Tribunal Colegiado en Materias Civil y Administrativa del Décimo Tercer Circuito, cambio de denominación a Primer Tribunal Colegiado en las mismas materias. </w:t>
      </w:r>
    </w:p>
    <w:p w:rsidR="00DF651C" w:rsidRDefault="00C30D19" w:rsidP="00DF651C">
      <w:pPr>
        <w:spacing w:after="120" w:line="360" w:lineRule="auto"/>
        <w:ind w:firstLine="708"/>
        <w:jc w:val="both"/>
        <w:rPr>
          <w:rFonts w:ascii="Arial" w:hAnsi="Arial" w:cs="Arial"/>
          <w:bCs/>
          <w:sz w:val="26"/>
          <w:szCs w:val="26"/>
        </w:rPr>
      </w:pPr>
      <w:r>
        <w:rPr>
          <w:rFonts w:ascii="Arial" w:hAnsi="Arial" w:cs="Arial"/>
          <w:b/>
          <w:sz w:val="26"/>
          <w:szCs w:val="26"/>
        </w:rPr>
        <w:t xml:space="preserve">CUARTO. </w:t>
      </w:r>
      <w:r>
        <w:rPr>
          <w:rFonts w:ascii="Arial" w:hAnsi="Arial" w:cs="Arial"/>
          <w:sz w:val="26"/>
          <w:szCs w:val="26"/>
        </w:rPr>
        <w:t>El</w:t>
      </w:r>
      <w:r>
        <w:rPr>
          <w:rFonts w:ascii="Arial" w:hAnsi="Arial" w:cs="Arial"/>
          <w:b/>
          <w:sz w:val="26"/>
          <w:szCs w:val="26"/>
        </w:rPr>
        <w:t xml:space="preserve"> </w:t>
      </w:r>
      <w:r>
        <w:rPr>
          <w:rFonts w:ascii="Arial" w:hAnsi="Arial" w:cs="Arial"/>
          <w:sz w:val="26"/>
          <w:szCs w:val="26"/>
        </w:rPr>
        <w:t xml:space="preserve">26 veintiséis de marzo de 2019 dos mil diecinueve, en </w:t>
      </w:r>
      <w:r w:rsidR="00D55AB6">
        <w:rPr>
          <w:rFonts w:ascii="Arial" w:hAnsi="Arial" w:cs="Arial"/>
          <w:sz w:val="26"/>
          <w:szCs w:val="26"/>
        </w:rPr>
        <w:t>el expediente 07/2018 el Primer</w:t>
      </w:r>
      <w:r>
        <w:rPr>
          <w:rFonts w:ascii="Arial" w:hAnsi="Arial" w:cs="Arial"/>
          <w:sz w:val="26"/>
          <w:szCs w:val="26"/>
        </w:rPr>
        <w:t xml:space="preserve"> Tribunal Colegiado en Materias Civil y Administrativa del Décimo Tercer Circuito, con residencia en San Bartolo Coyotepec, Oaxaca, procedió a emitir la ejecutoria de amparo correspondiente </w:t>
      </w:r>
      <w:r>
        <w:rPr>
          <w:rFonts w:ascii="Arial" w:hAnsi="Arial" w:cs="Arial"/>
          <w:bCs/>
          <w:sz w:val="26"/>
          <w:szCs w:val="26"/>
        </w:rPr>
        <w:t xml:space="preserve">en donde concedió el AMPARO Y PROTECCIÓN DE LA JUSTICIA FEDERAL al quejoso </w:t>
      </w:r>
      <w:r w:rsidR="009A7C7B">
        <w:rPr>
          <w:rFonts w:ascii="Arial" w:hAnsi="Arial" w:cs="Arial"/>
          <w:bCs/>
          <w:sz w:val="26"/>
          <w:szCs w:val="26"/>
        </w:rPr>
        <w:t>**********</w:t>
      </w:r>
      <w:r w:rsidR="00DF651C">
        <w:rPr>
          <w:rFonts w:ascii="Arial" w:hAnsi="Arial" w:cs="Arial"/>
          <w:bCs/>
          <w:sz w:val="26"/>
          <w:szCs w:val="26"/>
        </w:rPr>
        <w:t>, al considerar lo siguiente:</w:t>
      </w:r>
    </w:p>
    <w:p w:rsidR="00DF651C" w:rsidRDefault="00DF651C" w:rsidP="00DF651C">
      <w:pPr>
        <w:spacing w:after="120" w:line="360" w:lineRule="auto"/>
        <w:ind w:firstLine="708"/>
        <w:jc w:val="both"/>
        <w:rPr>
          <w:rFonts w:ascii="Arial" w:hAnsi="Arial" w:cs="Arial"/>
          <w:bCs/>
          <w:sz w:val="26"/>
          <w:szCs w:val="26"/>
        </w:rPr>
      </w:pPr>
    </w:p>
    <w:p w:rsidR="00C30D19" w:rsidRDefault="00C30D19" w:rsidP="00C30D19">
      <w:pPr>
        <w:spacing w:after="0" w:line="360" w:lineRule="auto"/>
        <w:ind w:left="1134" w:right="900" w:firstLine="425"/>
        <w:jc w:val="both"/>
        <w:rPr>
          <w:rFonts w:ascii="Arial" w:hAnsi="Arial" w:cs="Arial"/>
          <w:i/>
        </w:rPr>
      </w:pPr>
      <w:r>
        <w:rPr>
          <w:rFonts w:ascii="Arial" w:hAnsi="Arial" w:cs="Arial"/>
          <w:i/>
        </w:rPr>
        <w:t>“</w:t>
      </w:r>
      <w:r>
        <w:rPr>
          <w:rFonts w:ascii="Arial" w:hAnsi="Arial" w:cs="Arial"/>
          <w:b/>
          <w:i/>
        </w:rPr>
        <w:t xml:space="preserve">SEXTO. </w:t>
      </w:r>
      <w:r>
        <w:rPr>
          <w:rFonts w:ascii="Arial" w:hAnsi="Arial" w:cs="Arial"/>
          <w:i/>
        </w:rPr>
        <w:t>Los conceptos de violación que se expresan son sustancialmente fundados.</w:t>
      </w:r>
    </w:p>
    <w:p w:rsidR="00C30D19" w:rsidRDefault="00C30D19" w:rsidP="00C30D19">
      <w:pPr>
        <w:spacing w:after="0" w:line="360" w:lineRule="auto"/>
        <w:ind w:left="1134" w:right="900" w:firstLine="425"/>
        <w:jc w:val="both"/>
        <w:rPr>
          <w:rFonts w:ascii="Arial" w:hAnsi="Arial" w:cs="Arial"/>
          <w:i/>
        </w:rPr>
      </w:pPr>
      <w:r>
        <w:rPr>
          <w:rFonts w:ascii="Arial" w:hAnsi="Arial" w:cs="Arial"/>
          <w:i/>
        </w:rPr>
        <w:t>A fin de explicar la conclusión alcanzada, es pertinente señalar los antecedentes de la determinación reclamada.</w:t>
      </w:r>
    </w:p>
    <w:p w:rsidR="00C30D19" w:rsidRDefault="00C30D19" w:rsidP="00C30D19">
      <w:pPr>
        <w:spacing w:after="0" w:line="360" w:lineRule="auto"/>
        <w:ind w:left="1134" w:right="900" w:firstLine="425"/>
        <w:jc w:val="both"/>
        <w:rPr>
          <w:rFonts w:ascii="Arial" w:hAnsi="Arial" w:cs="Arial"/>
          <w:i/>
        </w:rPr>
      </w:pPr>
      <w:r>
        <w:rPr>
          <w:rFonts w:ascii="Arial" w:hAnsi="Arial" w:cs="Arial"/>
          <w:i/>
        </w:rPr>
        <w:t>De las constancias que integran el expediente 268/2017 del Tribunal de Justicia Administrativa del Estado de Oaxaca y el diverso 333/2016 del índice de la Quinta Sala Unitaria de Primera Instancia del entonces Tribunal de lo Contencioso Administrativo y de Cuentas, con valor probatorio pleno, de conformidad con los artículos 129 y 202 del Código Federal de Procedimientos Civiles, de aplicación supletoria a la Ley de Amparo, se advierte que:</w:t>
      </w:r>
    </w:p>
    <w:p w:rsidR="00C30D19" w:rsidRDefault="00C30D19" w:rsidP="00C30D19">
      <w:pPr>
        <w:pStyle w:val="Prrafodelista"/>
        <w:numPr>
          <w:ilvl w:val="0"/>
          <w:numId w:val="2"/>
        </w:numPr>
        <w:spacing w:after="0" w:line="360" w:lineRule="auto"/>
        <w:ind w:left="1134" w:right="900" w:firstLine="567"/>
        <w:jc w:val="both"/>
        <w:rPr>
          <w:rFonts w:ascii="Arial" w:hAnsi="Arial" w:cs="Arial"/>
          <w:i/>
        </w:rPr>
      </w:pPr>
      <w:r>
        <w:rPr>
          <w:rFonts w:ascii="Arial" w:hAnsi="Arial" w:cs="Arial"/>
          <w:i/>
        </w:rPr>
        <w:t xml:space="preserve">Mediante escrito de veinticuatro de septiembre de dos mil quince, presentado en la oficialía de Partes Común del entonces Tribunal de lo Contencioso Administrativo del Poder </w:t>
      </w:r>
      <w:r>
        <w:rPr>
          <w:rFonts w:ascii="Arial" w:hAnsi="Arial" w:cs="Arial"/>
          <w:i/>
        </w:rPr>
        <w:lastRenderedPageBreak/>
        <w:t xml:space="preserve">Judicial del Estado de Oaxaca, </w:t>
      </w:r>
      <w:r w:rsidR="009A7C7B">
        <w:rPr>
          <w:rFonts w:ascii="Arial" w:hAnsi="Arial" w:cs="Arial"/>
          <w:i/>
        </w:rPr>
        <w:t>**********</w:t>
      </w:r>
      <w:r>
        <w:rPr>
          <w:rFonts w:ascii="Arial" w:hAnsi="Arial" w:cs="Arial"/>
          <w:i/>
        </w:rPr>
        <w:t>, por propio derecho, promovió juicio de nulidad en el que demandó los actos y autoridades siguientes:</w:t>
      </w:r>
    </w:p>
    <w:p w:rsidR="00C30D19" w:rsidRDefault="00C30D19" w:rsidP="00C30D19">
      <w:pPr>
        <w:pStyle w:val="Prrafodelista"/>
        <w:spacing w:after="0" w:line="360" w:lineRule="auto"/>
        <w:ind w:left="1919" w:right="900"/>
        <w:jc w:val="both"/>
        <w:rPr>
          <w:rFonts w:ascii="Arial" w:hAnsi="Arial" w:cs="Arial"/>
          <w:i/>
        </w:rPr>
      </w:pPr>
      <w:r>
        <w:rPr>
          <w:rFonts w:ascii="Arial" w:hAnsi="Arial" w:cs="Arial"/>
          <w:i/>
        </w:rPr>
        <w:t>[…]</w:t>
      </w:r>
    </w:p>
    <w:p w:rsidR="00C30D19" w:rsidRDefault="00C30D19" w:rsidP="00C30D19">
      <w:pPr>
        <w:pStyle w:val="Prrafodelista"/>
        <w:numPr>
          <w:ilvl w:val="0"/>
          <w:numId w:val="2"/>
        </w:numPr>
        <w:spacing w:after="0" w:line="360" w:lineRule="auto"/>
        <w:ind w:left="1134" w:right="900" w:firstLine="567"/>
        <w:jc w:val="both"/>
        <w:rPr>
          <w:rFonts w:ascii="Arial" w:hAnsi="Arial" w:cs="Arial"/>
          <w:i/>
        </w:rPr>
      </w:pPr>
      <w:r>
        <w:rPr>
          <w:rFonts w:ascii="Arial" w:hAnsi="Arial" w:cs="Arial"/>
          <w:i/>
        </w:rPr>
        <w:t>Por auto de veintiocho de septiembre de dos mil quince, la juez del Primer Juzgado de lo Contencioso Administrativo de Primera Instancia, a quien le correspondió su conocimiento, formó expediente bajo el número 307/2015, admitió la demanda y tuvo a la parte actora demandando la nulidad del avalúo de un inmueble; asimismo, ordenó emplazar a juicio a las autoridades demandadas para que contestaran la demanda (fojas 19 y 20 del juicio de nulidad).</w:t>
      </w:r>
    </w:p>
    <w:p w:rsidR="00C30D19" w:rsidRDefault="00C30D19" w:rsidP="00C30D19">
      <w:pPr>
        <w:pStyle w:val="Prrafodelista"/>
        <w:numPr>
          <w:ilvl w:val="0"/>
          <w:numId w:val="2"/>
        </w:numPr>
        <w:spacing w:after="0" w:line="360" w:lineRule="auto"/>
        <w:ind w:left="1134" w:right="900" w:firstLine="709"/>
        <w:jc w:val="both"/>
        <w:rPr>
          <w:rFonts w:ascii="Arial" w:hAnsi="Arial" w:cs="Arial"/>
          <w:i/>
        </w:rPr>
      </w:pPr>
      <w:r>
        <w:rPr>
          <w:rFonts w:ascii="Arial" w:hAnsi="Arial" w:cs="Arial"/>
          <w:i/>
        </w:rPr>
        <w:t xml:space="preserve">Por acuerdo del siete de diciembre de dos mil quince, se tuvo a la delegada Catastral de la Delegación del Distrito Rentístico de Ejutla, Oaxaca,  contestando la demanda, con la que se ordenó correr traslado a la parte actora y se señaló hora y fecha para la celebración de la audiencia final; en cuanto al tesorero Municipal del Ayuntamiento de Ejutla de Crespo, Oaxaca, se </w:t>
      </w:r>
      <w:r>
        <w:rPr>
          <w:rFonts w:ascii="Arial" w:hAnsi="Arial" w:cs="Arial"/>
          <w:i/>
          <w:u w:val="single"/>
        </w:rPr>
        <w:t xml:space="preserve">declaró precluido su derecho </w:t>
      </w:r>
      <w:r>
        <w:rPr>
          <w:rFonts w:ascii="Arial" w:hAnsi="Arial" w:cs="Arial"/>
          <w:i/>
        </w:rPr>
        <w:t>para contestar la demanda, por no haberlo hecho dentro del plazo concedido para ello (foja 42 del juicio de nulidad).</w:t>
      </w:r>
    </w:p>
    <w:p w:rsidR="00C30D19" w:rsidRDefault="00C30D19" w:rsidP="00C30D19">
      <w:pPr>
        <w:pStyle w:val="Prrafodelista"/>
        <w:spacing w:after="0" w:line="360" w:lineRule="auto"/>
        <w:ind w:left="1919" w:right="900"/>
        <w:jc w:val="both"/>
        <w:rPr>
          <w:rFonts w:ascii="Arial" w:hAnsi="Arial" w:cs="Arial"/>
          <w:i/>
        </w:rPr>
      </w:pPr>
      <w:r>
        <w:rPr>
          <w:rFonts w:ascii="Arial" w:hAnsi="Arial" w:cs="Arial"/>
          <w:i/>
        </w:rPr>
        <w:t>En dicha contestación de demanda, en cuanto a los hechos se manifestó:</w:t>
      </w:r>
    </w:p>
    <w:p w:rsidR="00C30D19" w:rsidRDefault="00C30D19" w:rsidP="00C30D19">
      <w:pPr>
        <w:pStyle w:val="Prrafodelista"/>
        <w:spacing w:after="0" w:line="360" w:lineRule="auto"/>
        <w:ind w:left="1919" w:right="900"/>
        <w:jc w:val="both"/>
        <w:rPr>
          <w:rFonts w:ascii="Arial" w:hAnsi="Arial" w:cs="Arial"/>
          <w:i/>
        </w:rPr>
      </w:pPr>
      <w:r>
        <w:rPr>
          <w:rFonts w:ascii="Arial" w:hAnsi="Arial" w:cs="Arial"/>
          <w:i/>
        </w:rPr>
        <w:t>[…]</w:t>
      </w:r>
    </w:p>
    <w:p w:rsidR="00C30D19" w:rsidRDefault="00C30D19" w:rsidP="00C30D19">
      <w:pPr>
        <w:pStyle w:val="Prrafodelista"/>
        <w:numPr>
          <w:ilvl w:val="0"/>
          <w:numId w:val="2"/>
        </w:numPr>
        <w:spacing w:after="0" w:line="360" w:lineRule="auto"/>
        <w:ind w:left="1134" w:right="900" w:firstLine="709"/>
        <w:jc w:val="both"/>
        <w:rPr>
          <w:rFonts w:ascii="Arial" w:hAnsi="Arial" w:cs="Arial"/>
          <w:i/>
        </w:rPr>
      </w:pPr>
      <w:r>
        <w:rPr>
          <w:rFonts w:ascii="Arial" w:hAnsi="Arial" w:cs="Arial"/>
          <w:i/>
        </w:rPr>
        <w:t>Mediante auto de dieciocho de febrero de dos mil dieciséis, se hizo del conocimiento de las partes en el juicio, que por Acuerdo General 2/2016 del Pleno del Tribunal Superior de Justicia del Estado de Oaxaca, se estableció la adscripción de los magistrados de los Tribunales Especializados de lo Contencioso Administrativo y Tribunal de Fiscalización ambos del Poder Judicial, al Tribunal de lo Contencioso Administrativo y de Cuentas, correspondiendo ese juicio a la Quinta Sala Unitaria de Primera Instancia del Tribunal de lo Contencioso Administrativo y de Cuentas, lo anterior para que las partes dirigieran sus promociones a dicha Sala Unitaria, con el nuevo número de expediente 333/2016, antes 307/2015 (fojas 43 del juicio de nulidad).</w:t>
      </w:r>
    </w:p>
    <w:p w:rsidR="00C30D19" w:rsidRDefault="00C30D19" w:rsidP="00C30D19">
      <w:pPr>
        <w:pStyle w:val="Prrafodelista"/>
        <w:numPr>
          <w:ilvl w:val="0"/>
          <w:numId w:val="2"/>
        </w:numPr>
        <w:spacing w:after="0" w:line="360" w:lineRule="auto"/>
        <w:ind w:left="1134" w:right="900" w:firstLine="709"/>
        <w:jc w:val="both"/>
        <w:rPr>
          <w:rFonts w:ascii="Arial" w:hAnsi="Arial" w:cs="Arial"/>
          <w:i/>
        </w:rPr>
      </w:pPr>
      <w:r>
        <w:rPr>
          <w:rFonts w:ascii="Arial" w:hAnsi="Arial" w:cs="Arial"/>
          <w:i/>
        </w:rPr>
        <w:t>Seguido el juicio por sus partes, el quince de marzo de dos mil dieciséis, tuvo verificativo la celebración de la audiencia final (foja 51 del juicio de nulidad);  y el veintinueve de noviembre de dos mil dieciséis, el titular de la Quinta Sala Unitaria de Primera Instancia dictó sentencia con los puntos resolutivos siguientes:</w:t>
      </w:r>
    </w:p>
    <w:p w:rsidR="00C30D19" w:rsidRDefault="00C30D19" w:rsidP="00C30D19">
      <w:pPr>
        <w:pStyle w:val="Prrafodelista"/>
        <w:spacing w:after="0" w:line="360" w:lineRule="auto"/>
        <w:ind w:left="1843" w:right="900"/>
        <w:jc w:val="both"/>
        <w:rPr>
          <w:rFonts w:ascii="Arial" w:hAnsi="Arial" w:cs="Arial"/>
          <w:i/>
        </w:rPr>
      </w:pPr>
      <w:r>
        <w:rPr>
          <w:rFonts w:ascii="Arial" w:hAnsi="Arial" w:cs="Arial"/>
          <w:i/>
        </w:rPr>
        <w:t>[…]</w:t>
      </w:r>
    </w:p>
    <w:p w:rsidR="00C30D19" w:rsidRDefault="00C30D19" w:rsidP="00C30D19">
      <w:pPr>
        <w:pStyle w:val="Prrafodelista"/>
        <w:numPr>
          <w:ilvl w:val="0"/>
          <w:numId w:val="2"/>
        </w:numPr>
        <w:spacing w:after="0" w:line="360" w:lineRule="auto"/>
        <w:ind w:left="1134" w:right="900" w:firstLine="709"/>
        <w:jc w:val="both"/>
        <w:rPr>
          <w:rFonts w:ascii="Arial" w:hAnsi="Arial" w:cs="Arial"/>
          <w:i/>
        </w:rPr>
      </w:pPr>
      <w:r>
        <w:rPr>
          <w:rFonts w:ascii="Arial" w:hAnsi="Arial" w:cs="Arial"/>
          <w:i/>
        </w:rPr>
        <w:lastRenderedPageBreak/>
        <w:t xml:space="preserve">Inconforme con dicha determinación, el actor, </w:t>
      </w:r>
      <w:r w:rsidR="009A7C7B">
        <w:rPr>
          <w:rFonts w:ascii="Arial" w:hAnsi="Arial" w:cs="Arial"/>
          <w:i/>
        </w:rPr>
        <w:t>**********</w:t>
      </w:r>
      <w:r>
        <w:rPr>
          <w:rFonts w:ascii="Arial" w:hAnsi="Arial" w:cs="Arial"/>
          <w:i/>
        </w:rPr>
        <w:t xml:space="preserve"> interpuso  </w:t>
      </w:r>
      <w:r>
        <w:rPr>
          <w:rFonts w:ascii="Arial" w:hAnsi="Arial" w:cs="Arial"/>
          <w:i/>
          <w:u w:val="single"/>
        </w:rPr>
        <w:t xml:space="preserve">recurso de revisión, </w:t>
      </w:r>
      <w:r>
        <w:rPr>
          <w:rFonts w:ascii="Arial" w:hAnsi="Arial" w:cs="Arial"/>
          <w:i/>
        </w:rPr>
        <w:t>cuyo conocimiento correspondió a la Sala Superior del entonces Tribunal de lo Contencioso Administrativo y de Cuentas del Poder Judicial del Estado de Oaxaca (ahora Tribunal de Justicia Administrativa del Estado de Oaxaca), donde por auto de dieciséis de febrero de dos mil diecisiete, se registró con el número 268/2016 y se admitió a trámite (foja 1 del recurso de revisión).</w:t>
      </w:r>
    </w:p>
    <w:p w:rsidR="00C30D19" w:rsidRDefault="00C30D19" w:rsidP="00C30D19">
      <w:pPr>
        <w:pStyle w:val="Prrafodelista"/>
        <w:numPr>
          <w:ilvl w:val="0"/>
          <w:numId w:val="2"/>
        </w:numPr>
        <w:spacing w:after="0" w:line="360" w:lineRule="auto"/>
        <w:ind w:left="1134" w:right="900" w:firstLine="709"/>
        <w:jc w:val="both"/>
        <w:rPr>
          <w:rFonts w:ascii="Arial" w:hAnsi="Arial" w:cs="Arial"/>
          <w:i/>
        </w:rPr>
      </w:pPr>
      <w:r>
        <w:rPr>
          <w:rFonts w:ascii="Arial" w:hAnsi="Arial" w:cs="Arial"/>
          <w:i/>
        </w:rPr>
        <w:t>Finalmente, el doce de octubre de dos mil diecisiete, dicha Sala resolvió como sigue:</w:t>
      </w:r>
    </w:p>
    <w:p w:rsidR="00C30D19" w:rsidRDefault="00C30D19" w:rsidP="00C30D19">
      <w:pPr>
        <w:pStyle w:val="Prrafodelista"/>
        <w:spacing w:after="0" w:line="360" w:lineRule="auto"/>
        <w:ind w:left="1843" w:right="900"/>
        <w:jc w:val="both"/>
        <w:rPr>
          <w:rFonts w:ascii="Arial" w:hAnsi="Arial" w:cs="Arial"/>
          <w:i/>
        </w:rPr>
      </w:pP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b/>
          <w:i/>
        </w:rPr>
        <w:t>Determinación que constituye el acto reclamado en este juicio</w:t>
      </w: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En primer lugar, el quejoso aduce que se viola en su perjuicio el principio de dignidad humana consagrado en los derechos fundamentales contenidos en los artículos 1º, 14, 17 y el 133 de la Constitución Federal; artículos 8, numeral I, y 25, numeral 1 y 2, inciso a), de la Convención Americana sobre los Derechos Humanos; artículo 14, numeral 5, del Pacto Internacional de los Derechos Civiles y Políticos; artículo 25, numeral 1, de la Declaración Universal de los Derechos Humanos;  y el artículos 23, numeral 3, del Pacto Internacional de Derechos Económicos Sociales y Culturales, porque dice que la responsable no consideró los agravios que vertió en su recurso de revisión.</w:t>
      </w:r>
    </w:p>
    <w:p w:rsidR="00C30D19" w:rsidRDefault="00C30D19" w:rsidP="00C30D19">
      <w:pPr>
        <w:pStyle w:val="Prrafodelista"/>
        <w:numPr>
          <w:ilvl w:val="0"/>
          <w:numId w:val="3"/>
        </w:numPr>
        <w:spacing w:after="0" w:line="360" w:lineRule="auto"/>
        <w:ind w:left="1134" w:right="900" w:firstLine="709"/>
        <w:jc w:val="both"/>
        <w:rPr>
          <w:rFonts w:ascii="Arial" w:hAnsi="Arial" w:cs="Arial"/>
          <w:i/>
        </w:rPr>
      </w:pPr>
      <w:r>
        <w:rPr>
          <w:rFonts w:ascii="Arial" w:hAnsi="Arial" w:cs="Arial"/>
          <w:i/>
        </w:rPr>
        <w:t xml:space="preserve">En su </w:t>
      </w:r>
      <w:r>
        <w:rPr>
          <w:rFonts w:ascii="Arial" w:hAnsi="Arial" w:cs="Arial"/>
          <w:i/>
          <w:u w:val="single"/>
        </w:rPr>
        <w:t xml:space="preserve">primer concepto de violación,  </w:t>
      </w:r>
      <w:r>
        <w:rPr>
          <w:rFonts w:ascii="Arial" w:hAnsi="Arial" w:cs="Arial"/>
          <w:i/>
        </w:rPr>
        <w:t>vinculado con que la Sala responsable declaró infundados su agravios en los que alegó que el trámite lo realizó el notario Público número treinta y ocho en el Estado de Oaxaca, y le informó que tal situación hasta el diecisiete de septiembre de dos mil quince; expresa: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Que la respuesta de la responsable es incongruente, ya que dice realiza una “mala interpretación de los artículos que cita” y es notorio que “no tiene idea de cómo se realiza en la práctica el trámite de una escritura, pues es bien sabido por cualquier persona que haya hecho un trámite de compraventa que el suscrito simplemente compareció ante el notario público con la finalidad de hacer una escritura, sin tomar en cuenta todos los trámites burocráticos que en ella encierra, es decir; al suscrito nunca se le dijo paulatinamente el proceso a seguir a esa escritura pues simplemente me interesaba tener mis escrituras para poder decir que soy propietario del inmueble objeto de la compraventa, mas sin embargo (sic); nunca se me dijo de los tiempos exactos y forma de cómo se realiza el trámite de compraventa”.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lastRenderedPageBreak/>
        <w:t>Que hasta que tuvo en sus manos la escritura, se percató del “excesivo avalúo” y su fundamentación alguna del valor que se dio a su predio, respecto del cual dice que es “anticonstitucional”, ya que la tesorería municipal no lo emitió a través de un perito, sino se basó en el avalúo el delegado de Catastro.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Que en su demanda inicial manifestó bajo protesta de decir verdad, que conoció el acto de dieciséis (sic) de septiembre de dos mil quince, de manera que la fecha en que presentó su demanda no había transcurrido el plazo de treinta días que tenía para tal objeto, como dice que lo señala la autoridad demandada delegado catastral.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Que en su demanda inicial manifestó bajo protesta de decir verdad, que conoció el acto el dieciséis (sic) de septiembre de dos mil quince, de manera que la fecha en que presentó su demanda no había transcurrido el plazo de treinta días que tenía para tal objeto, como dice que lo señala la autoridad demandada delegado catastral.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Que la responsable citó el artículo 51, fracciones I, y II y 60 de la Ley de Catastro, que “dichos artículos son a contrario sensu porque si bien es cierto que esa autoridad puede fundamentarse en dichos artículos también debe probarlos”, que si “la autoridad responsable debe de demostrar con esos artículos cumplir con ellos la autoridad de catastro debió de aportar pruebas que demuestren que efectivamente fue notificado al suscrito porque la responsable no debe basarse en una simple presunción”, ello, porque dice que el delegado de catastro debió remitir algún documento “en la cual el suscrito recibiera algún oficio o recibo que se me haya entregado relativo a la escrituración”, que al no existir alguno en el expediente que demuestre dicha notificación o entrega de algún documento, se trata de una especulación, pues no se demuestra que el ahora quejoso “fue enterrado con anterioridad a la fecha que señalé bajo protesta de decir verdad que lo fue el día diecisiete de septiembre de dos mil quince.”</w:t>
      </w:r>
    </w:p>
    <w:p w:rsidR="00C30D19" w:rsidRDefault="00C30D19" w:rsidP="00C30D19">
      <w:pPr>
        <w:pStyle w:val="Prrafodelista"/>
        <w:numPr>
          <w:ilvl w:val="0"/>
          <w:numId w:val="3"/>
        </w:numPr>
        <w:spacing w:after="0" w:line="360" w:lineRule="auto"/>
        <w:ind w:left="1134" w:right="900" w:firstLine="709"/>
        <w:jc w:val="both"/>
        <w:rPr>
          <w:rFonts w:ascii="Arial" w:hAnsi="Arial" w:cs="Arial"/>
          <w:i/>
        </w:rPr>
      </w:pPr>
      <w:r>
        <w:rPr>
          <w:rFonts w:ascii="Arial" w:hAnsi="Arial" w:cs="Arial"/>
          <w:i/>
        </w:rPr>
        <w:t xml:space="preserve">En su </w:t>
      </w:r>
      <w:r>
        <w:rPr>
          <w:rFonts w:ascii="Arial" w:hAnsi="Arial" w:cs="Arial"/>
          <w:i/>
          <w:u w:val="single"/>
        </w:rPr>
        <w:t xml:space="preserve">segundo concepto de violación </w:t>
      </w:r>
      <w:r>
        <w:rPr>
          <w:rFonts w:ascii="Arial" w:hAnsi="Arial" w:cs="Arial"/>
          <w:i/>
        </w:rPr>
        <w:t>relacionado con el recibo de pago con folio 01678 de veinticinco de junio de dos mil quince, dice que es insuficiente anexado a su demanda inicial para declarar infundados sus agravios.</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Lo anterior, porque dice que con ese recibo acredita su interés jurídico para promover.</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Que la responsable con tal recibo tiene probado que “tuvo conocimiento desde esa fecha”, sin que en él conste su firma “con la cual pudiera probarse que me fue notificada”, por lo que dice que la responsable es notoriamente parcial.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lastRenderedPageBreak/>
        <w:t>Que el proceder (sic) la autoridad le deja la carga de la prueba y eso “no es el principio básico del derecho que se dice dame tus hechos que yo te daré el derecho”.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Como se adelantó, los conceptos de violación son sustancialmente fundados.</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En la especie, la Litis se acota en determinar si la demanda de nulidad, en la que el actor ahora quejoso reclamó la nulidad del avalúo realizado al inmueble de su propiedad, la presentó oportunamente.</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De los hechos que el actor narró en su demanda de nulidad (transcritos al inicio de esta consideración) se desprende que el avalúo que reclama el ahora quejoso deriva de un contrato de compra venta, cuyo objeto fue una </w:t>
      </w:r>
      <w:r w:rsidR="009A7C7B">
        <w:rPr>
          <w:rFonts w:ascii="Arial" w:hAnsi="Arial" w:cs="Arial"/>
          <w:i/>
        </w:rPr>
        <w:t>**********</w:t>
      </w:r>
      <w:r>
        <w:rPr>
          <w:rFonts w:ascii="Arial" w:hAnsi="Arial" w:cs="Arial"/>
          <w:i/>
        </w:rPr>
        <w:t>ello ante el notario Público número treinta y ocho en el Estado de Oaxaca; señala que el diecisiete de septiembre de dos mil quince, tal fedatario le avisó que había pagado al municipio de Ejutla la cantidad de dos mil ciento sesenta pesos, cero centavos, moneda nacional (</w:t>
      </w:r>
      <w:r w:rsidR="009A7C7B">
        <w:rPr>
          <w:rFonts w:ascii="Arial" w:hAnsi="Arial" w:cs="Arial"/>
          <w:i/>
        </w:rPr>
        <w:t>**********</w:t>
      </w:r>
      <w:r>
        <w:rPr>
          <w:rFonts w:ascii="Arial" w:hAnsi="Arial" w:cs="Arial"/>
          <w:i/>
        </w:rPr>
        <w:t xml:space="preserve">  M.N.), por concepto de traslado de domicilio, ya que su propiedad se había valuado en </w:t>
      </w:r>
      <w:r w:rsidR="009A7C7B">
        <w:rPr>
          <w:rFonts w:ascii="Arial" w:hAnsi="Arial" w:cs="Arial"/>
          <w:i/>
        </w:rPr>
        <w:t>**********</w:t>
      </w:r>
      <w:r>
        <w:rPr>
          <w:rFonts w:ascii="Arial" w:hAnsi="Arial" w:cs="Arial"/>
          <w:i/>
        </w:rPr>
        <w:t>y que le entregó copia simple de ese avalúo, practicado por el delegado de Catastro en Ejutla, sin que en momento alguno se lo notificaran.</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Ahora, el avalúo catastral es el acto mediante el cual se determina el valor fiscal de los predios y construcciones adheridas a éstos; dicho valor fiscal generalmente sirve de sustento para establecer la base gravable del impuesto predial y; en consecuencia, para fijar la obligación tributaria a cargo del particular. Así, la valuación del predio constituye un requisito indispensable para que la autoridad administrativa pueda emitir la liquidación correspondiente.</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En relación con el avalúo catastral, la Ley de Catastro para el Estado de Oaxaca, en sus artículos 5, 9, fracciones III, IV y V, 17, fracciones VI, XI, XXII y XXV, 23, 23 BIS, fracción IV, 25, 30, 46, 47, 50-B, 51, fracciones II y VI, 60, 70, 77 y 78 disponen:</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De los preceptos transcritos se advierte, del </w:t>
      </w:r>
      <w:r>
        <w:rPr>
          <w:rFonts w:ascii="Arial" w:hAnsi="Arial" w:cs="Arial"/>
          <w:i/>
          <w:u w:val="single"/>
        </w:rPr>
        <w:t>primero,</w:t>
      </w:r>
      <w:r>
        <w:rPr>
          <w:rFonts w:ascii="Arial" w:hAnsi="Arial" w:cs="Arial"/>
          <w:i/>
        </w:rPr>
        <w:t xml:space="preserve"> que los actos y resoluciones en materia de catastro serán tramitados en la forma, términos y procedimientos establecidos en esa Ley, su Reglamento y en los Instructivos Técnicos Catastrales, así como qué legislación es supletoria; del </w:t>
      </w:r>
      <w:r>
        <w:rPr>
          <w:rFonts w:ascii="Arial" w:hAnsi="Arial" w:cs="Arial"/>
          <w:i/>
          <w:u w:val="single"/>
        </w:rPr>
        <w:t xml:space="preserve">segundo, </w:t>
      </w:r>
      <w:r>
        <w:rPr>
          <w:rFonts w:ascii="Arial" w:hAnsi="Arial" w:cs="Arial"/>
          <w:i/>
        </w:rPr>
        <w:t xml:space="preserve">quiénes son autoridades en materia de catastro; del </w:t>
      </w:r>
      <w:r>
        <w:rPr>
          <w:rFonts w:ascii="Arial" w:hAnsi="Arial" w:cs="Arial"/>
          <w:i/>
          <w:u w:val="single"/>
        </w:rPr>
        <w:t xml:space="preserve">tercero, </w:t>
      </w:r>
      <w:r>
        <w:rPr>
          <w:rFonts w:ascii="Arial" w:hAnsi="Arial" w:cs="Arial"/>
          <w:i/>
        </w:rPr>
        <w:t xml:space="preserve">que dentro de las atribuciones del Instituto Catastral del Estado de Oaxaca, están las de determinar los valores catastrales de cada bien inmueble y con base en qué </w:t>
      </w:r>
      <w:r>
        <w:rPr>
          <w:rFonts w:ascii="Arial" w:hAnsi="Arial" w:cs="Arial"/>
          <w:i/>
        </w:rPr>
        <w:lastRenderedPageBreak/>
        <w:t xml:space="preserve">disposición; previa autorización de la Secretaría de Finanzas realizar valuaciones y revaluaciones de bienes inmuebles; así como ejercer las operaciones catastrales; del </w:t>
      </w:r>
      <w:r>
        <w:rPr>
          <w:rFonts w:ascii="Arial" w:hAnsi="Arial" w:cs="Arial"/>
          <w:i/>
          <w:u w:val="single"/>
        </w:rPr>
        <w:t>cuarto</w:t>
      </w:r>
      <w:r>
        <w:rPr>
          <w:rFonts w:ascii="Arial" w:hAnsi="Arial" w:cs="Arial"/>
          <w:i/>
        </w:rPr>
        <w:t xml:space="preserve">, cuáles son las finalidades de las operaciones catastrales, la valuación de bienes inmuebles entre ellas; del </w:t>
      </w:r>
      <w:r>
        <w:rPr>
          <w:rFonts w:ascii="Arial" w:hAnsi="Arial" w:cs="Arial"/>
          <w:i/>
          <w:u w:val="single"/>
        </w:rPr>
        <w:t>siguiente,</w:t>
      </w:r>
      <w:r>
        <w:rPr>
          <w:rFonts w:ascii="Arial" w:hAnsi="Arial" w:cs="Arial"/>
          <w:i/>
        </w:rPr>
        <w:t xml:space="preserve"> que una operación catastral es la valuación; del </w:t>
      </w:r>
      <w:r>
        <w:rPr>
          <w:rFonts w:ascii="Arial" w:hAnsi="Arial" w:cs="Arial"/>
          <w:i/>
          <w:u w:val="single"/>
        </w:rPr>
        <w:t>sexto</w:t>
      </w:r>
      <w:r>
        <w:rPr>
          <w:rFonts w:ascii="Arial" w:hAnsi="Arial" w:cs="Arial"/>
          <w:i/>
        </w:rPr>
        <w:t xml:space="preserve">, que todos los bienes inmuebles ubicados en el territorio del Estado sin excepción, deberán ser objeto de avalúo; del </w:t>
      </w:r>
      <w:r>
        <w:rPr>
          <w:rFonts w:ascii="Arial" w:hAnsi="Arial" w:cs="Arial"/>
          <w:i/>
          <w:u w:val="single"/>
        </w:rPr>
        <w:t>séptimo,</w:t>
      </w:r>
      <w:r>
        <w:rPr>
          <w:rFonts w:ascii="Arial" w:hAnsi="Arial" w:cs="Arial"/>
          <w:i/>
        </w:rPr>
        <w:t xml:space="preserve"> que el avalúo catastral se hará separadamente para el terreno y las construcciones, la suma de los valores resultantes será el valor catastral; del  </w:t>
      </w:r>
      <w:r>
        <w:rPr>
          <w:rFonts w:ascii="Arial" w:hAnsi="Arial" w:cs="Arial"/>
          <w:i/>
          <w:u w:val="single"/>
        </w:rPr>
        <w:t>posterior</w:t>
      </w:r>
      <w:r>
        <w:rPr>
          <w:rFonts w:ascii="Arial" w:hAnsi="Arial" w:cs="Arial"/>
          <w:i/>
        </w:rPr>
        <w:t xml:space="preserve">, qué debe tomar en cuenta el Instituto para la valuación de los bienes inmuebles en particular; del </w:t>
      </w:r>
      <w:r>
        <w:rPr>
          <w:rFonts w:ascii="Arial" w:hAnsi="Arial" w:cs="Arial"/>
          <w:i/>
          <w:u w:val="single"/>
        </w:rPr>
        <w:t>noveno,</w:t>
      </w:r>
      <w:r>
        <w:rPr>
          <w:rFonts w:ascii="Arial" w:hAnsi="Arial" w:cs="Arial"/>
          <w:i/>
        </w:rPr>
        <w:t xml:space="preserve"> que contra los actos en los que se fije el valor catastral de los bienes inmuebles, podrá interponerse recurso de revocación, conforme a lo dispuesto en esta misma Ley; del </w:t>
      </w:r>
      <w:r>
        <w:rPr>
          <w:rFonts w:ascii="Arial" w:hAnsi="Arial" w:cs="Arial"/>
          <w:i/>
          <w:u w:val="single"/>
        </w:rPr>
        <w:t xml:space="preserve">décimo, </w:t>
      </w:r>
      <w:r>
        <w:rPr>
          <w:rFonts w:ascii="Arial" w:hAnsi="Arial" w:cs="Arial"/>
          <w:i/>
        </w:rPr>
        <w:t xml:space="preserve">que a la inscripción al Catastro de los bienes inmuebles se deberá acompañar obligatoriamente el avalúo catastral –practicado por el Instituto Catastral del Estado de Oaxaca o por perito valuador autorizado por la Secretaría de Finanzas-, con excepción de los trámites de corrección de datos, asignación de cuenta catastral y reasignación de cuenta catastral a favor del mismo dueño o poseedor; del </w:t>
      </w:r>
      <w:r>
        <w:rPr>
          <w:rFonts w:ascii="Arial" w:hAnsi="Arial" w:cs="Arial"/>
          <w:i/>
          <w:u w:val="single"/>
        </w:rPr>
        <w:t>siguientes,</w:t>
      </w:r>
      <w:r>
        <w:rPr>
          <w:rFonts w:ascii="Arial" w:hAnsi="Arial" w:cs="Arial"/>
          <w:i/>
        </w:rPr>
        <w:t xml:space="preserve"> que los propietarios y poseedores de bienes inmuebles tienen derecho, entre otros, a obtener un avalúo apegado a esa presente Ley, así como a conocer los resultados de los avalúos señalados en el artículo 17 reseñado; del </w:t>
      </w:r>
      <w:r>
        <w:rPr>
          <w:rFonts w:ascii="Arial" w:hAnsi="Arial" w:cs="Arial"/>
          <w:i/>
          <w:u w:val="single"/>
        </w:rPr>
        <w:t>décimo segundos</w:t>
      </w:r>
      <w:r>
        <w:rPr>
          <w:rFonts w:ascii="Arial" w:hAnsi="Arial" w:cs="Arial"/>
          <w:i/>
        </w:rPr>
        <w:t xml:space="preserve"> numeral, que los notarios Públicos, entre otros, encargados de la regularización de la tenencia de la tierra, antes de proceder a la autorización de la escritura o título de propiedad, deberán contar con avalúo catastral y cédula catastral, y que las autoridades registrales no harán inscripción alguna de contratos que tengan por objeto transmitir o modificar el dominio de un bien inmueble, mientras no se exhiba el avalúo y cédula catastrales señalados; del </w:t>
      </w:r>
      <w:r>
        <w:rPr>
          <w:rFonts w:ascii="Arial" w:hAnsi="Arial" w:cs="Arial"/>
          <w:i/>
          <w:u w:val="single"/>
        </w:rPr>
        <w:t>posterior,</w:t>
      </w:r>
      <w:r>
        <w:rPr>
          <w:rFonts w:ascii="Arial" w:hAnsi="Arial" w:cs="Arial"/>
          <w:i/>
        </w:rPr>
        <w:t xml:space="preserve">  que las resoluciones y cualquier otro acto y operación catastral que deba hacerse de conformidad con las disposiciones que prevé el Código Fiscal del Estado; el </w:t>
      </w:r>
      <w:r>
        <w:rPr>
          <w:rFonts w:ascii="Arial" w:hAnsi="Arial" w:cs="Arial"/>
          <w:i/>
          <w:u w:val="single"/>
        </w:rPr>
        <w:t>penúltimo</w:t>
      </w:r>
      <w:r>
        <w:rPr>
          <w:rFonts w:ascii="Arial" w:hAnsi="Arial" w:cs="Arial"/>
          <w:i/>
        </w:rPr>
        <w:t xml:space="preserve">, que procede el recurso de revocación cuando la base catastral asignada por las autoridades catastrales, no se haya determinado conforme a los procedimientos y términos establecidos, que el Instituto mencionado resolverá los recursos de revocación que presenten los propietarios de bienes inmuebles, en relación con l fijación de la base catastral siempre y cuando se argumenten las razones que refiere en relación con los avalúos; y el </w:t>
      </w:r>
      <w:r>
        <w:rPr>
          <w:rFonts w:ascii="Arial" w:hAnsi="Arial" w:cs="Arial"/>
          <w:i/>
          <w:u w:val="single"/>
        </w:rPr>
        <w:t>último,</w:t>
      </w:r>
      <w:r>
        <w:rPr>
          <w:rFonts w:ascii="Arial" w:hAnsi="Arial" w:cs="Arial"/>
          <w:i/>
        </w:rPr>
        <w:t xml:space="preserve"> de ese recurso se interpondrá ante el Instituto dentro del plazo </w:t>
      </w:r>
      <w:r>
        <w:rPr>
          <w:rFonts w:ascii="Arial" w:hAnsi="Arial" w:cs="Arial"/>
          <w:i/>
        </w:rPr>
        <w:lastRenderedPageBreak/>
        <w:t>de quince días hábiles siguientes a aquél en que haya surtido efectos la notificación del acto de autoridad catastral.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Así, es claro que si el propietario de un bien inmueble tiene derecho a obtener un avalúo, así como a conocer su resultado, una vez que éste se realiza, debe hacérsele de su conocimiento a través de una notificación que se realice en términos del Código Fiscal del Estado; lo que se sorrabara con la procedencia del recurso de revocación contra la fijación de la base catastral siempre y cuando se argumenten las razones respecto de los avalúos, pues dicho recurso se interpondrá dentro del plazo de quince días hábiles siguientes aquél en que haya surtido efectos la notificación del acto de la autoridad catastral.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Luego, en relación con el plazo para presentar una demanda de nulidad, como la del quejoso, el artículo 136, párrafo primero, de la Ley de Justicia Administrativa para el Estado de Oaxaca, establece:</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w:t>
      </w:r>
      <w:r>
        <w:rPr>
          <w:rFonts w:ascii="Arial" w:hAnsi="Arial" w:cs="Arial"/>
          <w:b/>
          <w:i/>
        </w:rPr>
        <w:t xml:space="preserve">Artículo 136.- </w:t>
      </w: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Del párrafo transcrito, se deprende que el plazo para promover la demanda de nulidad será de treinta días y se contará desde el siguiente:</w:t>
      </w:r>
    </w:p>
    <w:p w:rsidR="00C30D19" w:rsidRDefault="00C30D19" w:rsidP="00C30D19">
      <w:pPr>
        <w:pStyle w:val="Prrafodelista"/>
        <w:numPr>
          <w:ilvl w:val="0"/>
          <w:numId w:val="4"/>
        </w:numPr>
        <w:spacing w:after="0" w:line="360" w:lineRule="auto"/>
        <w:ind w:left="1134" w:right="900" w:firstLine="709"/>
        <w:jc w:val="both"/>
        <w:rPr>
          <w:rFonts w:ascii="Arial" w:hAnsi="Arial" w:cs="Arial"/>
          <w:i/>
        </w:rPr>
      </w:pPr>
      <w:r>
        <w:rPr>
          <w:rFonts w:ascii="Arial" w:hAnsi="Arial" w:cs="Arial"/>
          <w:i/>
        </w:rPr>
        <w:t>Al en que surta efectos, conforme a la ley aplicable al acto, la notificación de la resolución o acto que se combata; o</w:t>
      </w:r>
    </w:p>
    <w:p w:rsidR="00C30D19" w:rsidRDefault="00C30D19" w:rsidP="00C30D19">
      <w:pPr>
        <w:pStyle w:val="Prrafodelista"/>
        <w:numPr>
          <w:ilvl w:val="0"/>
          <w:numId w:val="4"/>
        </w:numPr>
        <w:spacing w:after="0" w:line="360" w:lineRule="auto"/>
        <w:ind w:left="1134" w:right="900" w:firstLine="709"/>
        <w:jc w:val="both"/>
        <w:rPr>
          <w:rFonts w:ascii="Arial" w:hAnsi="Arial" w:cs="Arial"/>
          <w:i/>
        </w:rPr>
      </w:pPr>
      <w:r>
        <w:rPr>
          <w:rFonts w:ascii="Arial" w:hAnsi="Arial" w:cs="Arial"/>
          <w:i/>
        </w:rPr>
        <w:t>Conste fehacientemente que el o los interesados o afectados tienen conocimiento de acto.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De esta manera, ante la ausencia de notificación y si tampoco existe prueba fehaciente de que la parte actora conoció de manera cierta el acto que impugna, debe atenderse a lo expuesto en la demanda sobre a partir de cuándo se ostenta sabedor el accionante, para que si no existe prueba en contrario, la fecha de su propio reconocimiento constituya el punto de partida para determinar la oportunidad de su escrito.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En el caso, el actor ahora quejoso en su demanda de nulidad bajo protesta de decir verdad, precisó que el diecisiete de septiembre de dos mil quince, a través del fedatario ante quien tuvo verificativo el contrato de compra venta, conoció que el bien inmueble que había adquirido se había valuado en </w:t>
      </w:r>
      <w:r w:rsidR="009A7C7B">
        <w:rPr>
          <w:rFonts w:ascii="Arial" w:hAnsi="Arial" w:cs="Arial"/>
          <w:i/>
        </w:rPr>
        <w:t>**********</w:t>
      </w:r>
      <w:r>
        <w:rPr>
          <w:rFonts w:ascii="Arial" w:hAnsi="Arial" w:cs="Arial"/>
          <w:i/>
        </w:rPr>
        <w:t>fecha que a consideración de quienes integran este Tribunal Colegiado se estima como la que debe tomarse en consideración para determinar la oportunidad en la presentación de aquella demanda.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Lo anterior es así, pues como el peticionario de amparo lo aduce en sus conceptos de violación, no existe constancia de que previamente a esa fecha, se le notificara o de la que se </w:t>
      </w:r>
      <w:r>
        <w:rPr>
          <w:rFonts w:ascii="Arial" w:hAnsi="Arial" w:cs="Arial"/>
          <w:i/>
        </w:rPr>
        <w:lastRenderedPageBreak/>
        <w:t>advierta fehacientemente que conocía el avalúo cuya nulidad impugna.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Al respecto, cabe destacar que no se inadvierte, que el actor adjuntó a su demanda de nulidad copias fotostáticas simples de: </w:t>
      </w:r>
    </w:p>
    <w:p w:rsidR="00C30D19" w:rsidRDefault="00C30D19" w:rsidP="00C30D19">
      <w:pPr>
        <w:pStyle w:val="Prrafodelista"/>
        <w:spacing w:after="0" w:line="360" w:lineRule="auto"/>
        <w:ind w:left="1134" w:right="900" w:firstLine="709"/>
        <w:jc w:val="both"/>
        <w:rPr>
          <w:rFonts w:ascii="Arial" w:hAnsi="Arial" w:cs="Arial"/>
          <w:b/>
          <w:i/>
        </w:rPr>
      </w:pPr>
      <w:r>
        <w:rPr>
          <w:rFonts w:ascii="Arial" w:hAnsi="Arial" w:cs="Arial"/>
          <w:b/>
          <w:i/>
        </w:rPr>
        <w:t>RECIBO FOLIO 01678, DE VEINTICINCO DE JUNIO DE DOS MIL QUINCE.</w:t>
      </w:r>
    </w:p>
    <w:p w:rsidR="00C30D19" w:rsidRDefault="00C30D19" w:rsidP="00C30D19">
      <w:pPr>
        <w:pStyle w:val="Prrafodelista"/>
        <w:spacing w:after="0" w:line="360" w:lineRule="auto"/>
        <w:ind w:left="1134" w:right="900" w:firstLine="709"/>
        <w:jc w:val="both"/>
        <w:rPr>
          <w:rFonts w:ascii="Arial" w:hAnsi="Arial" w:cs="Arial"/>
          <w:b/>
          <w:i/>
        </w:rPr>
      </w:pPr>
      <w:r>
        <w:rPr>
          <w:rFonts w:ascii="Arial" w:hAnsi="Arial" w:cs="Arial"/>
          <w:b/>
          <w:i/>
        </w:rPr>
        <w:t>CÉDULA CATASTRAL DEL VEINTIDÓS DE JUNIO DE DOS MIL QUINCE.</w:t>
      </w:r>
    </w:p>
    <w:p w:rsidR="00C30D19" w:rsidRDefault="00C30D19" w:rsidP="00C30D19">
      <w:pPr>
        <w:pStyle w:val="Prrafodelista"/>
        <w:spacing w:after="0" w:line="360" w:lineRule="auto"/>
        <w:ind w:left="1134" w:right="900" w:firstLine="709"/>
        <w:jc w:val="both"/>
        <w:rPr>
          <w:rFonts w:ascii="Arial" w:hAnsi="Arial" w:cs="Arial"/>
          <w:b/>
          <w:i/>
        </w:rPr>
      </w:pPr>
      <w:r>
        <w:rPr>
          <w:rFonts w:ascii="Arial" w:hAnsi="Arial" w:cs="Arial"/>
          <w:b/>
          <w:i/>
        </w:rPr>
        <w:t>DOCUMENTO DENOMINADO “DATOS PARA GENERAR LÍNEA DE CAPTURA Y/O PAGO POR SERVICIOS QUE PRESTA EL INSTITUTO CATASTRAL DEL ESTADO DE OAXACA”.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Documentales que(sic) a las que se les otorga </w:t>
      </w:r>
      <w:r>
        <w:rPr>
          <w:rFonts w:ascii="Arial" w:hAnsi="Arial" w:cs="Arial"/>
          <w:i/>
          <w:u w:val="single"/>
        </w:rPr>
        <w:t>valor de indicio,</w:t>
      </w:r>
      <w:r>
        <w:rPr>
          <w:rFonts w:ascii="Arial" w:hAnsi="Arial" w:cs="Arial"/>
          <w:i/>
        </w:rPr>
        <w:t xml:space="preserve"> de conformidad con los artículos 163 y 173, fracción II, de la Ley de Justicia Administrativa para el Estado de Oaxaca, ya que se trata de </w:t>
      </w:r>
      <w:r>
        <w:rPr>
          <w:rFonts w:ascii="Arial" w:hAnsi="Arial" w:cs="Arial"/>
          <w:b/>
          <w:i/>
        </w:rPr>
        <w:t xml:space="preserve">copias simples, </w:t>
      </w:r>
      <w:r>
        <w:rPr>
          <w:rFonts w:ascii="Arial" w:hAnsi="Arial" w:cs="Arial"/>
          <w:i/>
        </w:rPr>
        <w:t>que constituyen simples reproducciones de documentos originales susceptibles de alterarse  o modificarse en el proceso de reproducción, de modo que no correspondan al documento que supuestamente reproducen; por ende, su valor probatorio es indiciario, sujeto a pruebas que corroboren su contenido.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Sin embargo, en el supuesto a estudio, no obra diversa constancia que corrobore dicha probanzas, ya que si bien la autoridad demandada delegada Catastral de la Delegación del Distrito Rentístico de Ejutla, del Instituto Catastral del Estado de Oaxaca, contestó la demanda de nulidad, lo cierto es que al oficio respectivo no anexó más que copia certificada de su nombramiento (foja 37 del expediente de nulidad); mientras que la demandada restante –tesorero Municipal en Ejutla de Crespo, Oaxaca-, no contestó la demanda dentro del plazo otorgado y  se declaró precluido su derecho para tal efecto (foja 42 del juicio de nulidad).</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Por lo anterior, esas constancias –aportadas por el actor ahora quejoso- no son aptar para determinar que su oferente conoció la existencia del avalúo (cuya nulidad demanda en el juicio de origen), en fecha anterior a la que señaló bajo protesta de decir verdad, a saber, diecisiete de septiembre de dos mil quince, pues por sí solas son insuficientes para ello.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Sirve de apoyo, la tesis 2a.</w:t>
      </w:r>
      <w:r>
        <w:rPr>
          <w:rFonts w:ascii="Arial" w:hAnsi="Arial" w:cs="Arial"/>
          <w:i/>
          <w:u w:val="single"/>
        </w:rPr>
        <w:t xml:space="preserve"> </w:t>
      </w:r>
      <w:r>
        <w:rPr>
          <w:rFonts w:ascii="Arial" w:hAnsi="Arial" w:cs="Arial"/>
          <w:i/>
        </w:rPr>
        <w:t>CI/95, de la Segunda Sala de la Suprema Corte de Justicia de la Nación, publicada en el Semanario Judicial de la Federación y su Gaceta, tomo II, noviembre de 1995, página 311, Novena Época, con registro 200696, de rubro y texto: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b/>
          <w:i/>
        </w:rPr>
        <w:lastRenderedPageBreak/>
        <w:t>“COPIA FOSOTÁTICA SIMPLE DE UN DOCUMENTO, SI ESTÁ CONCATENADA CON OTROS ELEMENTOS PROBATORIOS, PUEDE FORMAR CONVICCIÓN.-</w:t>
      </w: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En virtud de ello, como se dijo, la fecha que determina la oportunidad en la presentación de la demanda de nulidad del actor, es la señala(sic) como aquella en que conoció el avalúo, esto es, el diecisiete de septiembre de dos mil quince, por conducto del notario Público número treinta y ocho en el Estado de Oaxaca;</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Afirmación hecha por el actor en aquella instancia, pues sí está corroborada con lo manifestado por la autoridad demandada delegada Catastral de la Delegación del Distrito Rentístico de Ejutla, del Instituto Catastral del Estado de Oaxaca, al contestar la demanda de nulidad, específicamente respecto del </w:t>
      </w:r>
      <w:r>
        <w:rPr>
          <w:rFonts w:ascii="Arial" w:hAnsi="Arial" w:cs="Arial"/>
          <w:i/>
          <w:u w:val="single"/>
        </w:rPr>
        <w:t xml:space="preserve">hecho tres, </w:t>
      </w:r>
      <w:r>
        <w:rPr>
          <w:rFonts w:ascii="Arial" w:hAnsi="Arial" w:cs="Arial"/>
          <w:i/>
        </w:rPr>
        <w:t>en los términos siguientes:</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w:t>
      </w:r>
    </w:p>
    <w:p w:rsidR="00C30D19" w:rsidRDefault="00C30D19" w:rsidP="00C30D19">
      <w:pPr>
        <w:pStyle w:val="Prrafodelista"/>
        <w:spacing w:after="0" w:line="360" w:lineRule="auto"/>
        <w:ind w:left="1134" w:right="900" w:firstLine="709"/>
        <w:jc w:val="both"/>
        <w:rPr>
          <w:rFonts w:ascii="Arial" w:hAnsi="Arial" w:cs="Arial"/>
          <w:i/>
          <w:sz w:val="20"/>
          <w:szCs w:val="20"/>
        </w:rPr>
      </w:pPr>
      <w:r>
        <w:rPr>
          <w:rFonts w:ascii="Arial" w:hAnsi="Arial" w:cs="Arial"/>
          <w:i/>
        </w:rPr>
        <w:t xml:space="preserve">3.- </w:t>
      </w:r>
      <w:r>
        <w:rPr>
          <w:rFonts w:ascii="Arial" w:hAnsi="Arial" w:cs="Arial"/>
          <w:i/>
          <w:sz w:val="20"/>
          <w:szCs w:val="20"/>
        </w:rPr>
        <w:t xml:space="preserve">El hecho marcado con el número 3 no es cierto pues </w:t>
      </w:r>
      <w:r>
        <w:rPr>
          <w:rFonts w:ascii="Arial" w:hAnsi="Arial" w:cs="Arial"/>
          <w:b/>
          <w:i/>
          <w:sz w:val="20"/>
          <w:szCs w:val="20"/>
        </w:rPr>
        <w:t xml:space="preserve">el avalúo fu notificado cuando se entregó la Cédula Catastral </w:t>
      </w:r>
      <w:r>
        <w:rPr>
          <w:rFonts w:ascii="Arial" w:hAnsi="Arial" w:cs="Arial"/>
          <w:i/>
          <w:sz w:val="20"/>
          <w:szCs w:val="20"/>
        </w:rPr>
        <w:t xml:space="preserve">correspondiente al Registro Catastral 06/274/15 de fecha 22 de junio del año 2015, con número de cuenta catastral </w:t>
      </w:r>
      <w:r w:rsidR="009A7C7B">
        <w:rPr>
          <w:rFonts w:ascii="Arial" w:hAnsi="Arial" w:cs="Arial"/>
          <w:i/>
          <w:sz w:val="20"/>
          <w:szCs w:val="20"/>
        </w:rPr>
        <w:t>**********</w:t>
      </w:r>
      <w:r>
        <w:rPr>
          <w:rFonts w:ascii="Arial" w:hAnsi="Arial" w:cs="Arial"/>
          <w:i/>
          <w:sz w:val="20"/>
          <w:szCs w:val="20"/>
        </w:rPr>
        <w:t xml:space="preserve"> a nombre del contribuyente </w:t>
      </w:r>
      <w:r w:rsidR="009A7C7B">
        <w:rPr>
          <w:rFonts w:ascii="Arial" w:hAnsi="Arial" w:cs="Arial"/>
          <w:i/>
          <w:sz w:val="20"/>
          <w:szCs w:val="20"/>
        </w:rPr>
        <w:t>**********</w:t>
      </w:r>
      <w:r>
        <w:rPr>
          <w:rFonts w:ascii="Arial" w:hAnsi="Arial" w:cs="Arial"/>
          <w:i/>
          <w:sz w:val="20"/>
          <w:szCs w:val="20"/>
        </w:rPr>
        <w:t xml:space="preserve">. del  Distrito Rentístico (sic) de Ejutla. Pues lo cierto es que </w:t>
      </w:r>
      <w:r>
        <w:rPr>
          <w:rFonts w:ascii="Arial" w:hAnsi="Arial" w:cs="Arial"/>
          <w:b/>
          <w:i/>
          <w:sz w:val="20"/>
          <w:szCs w:val="20"/>
        </w:rPr>
        <w:t xml:space="preserve">la cédula se expidió con fecha 22 de junio del 2015 y la recibió el Notario Público </w:t>
      </w:r>
      <w:r>
        <w:rPr>
          <w:rFonts w:ascii="Arial" w:hAnsi="Arial" w:cs="Arial"/>
          <w:i/>
          <w:sz w:val="20"/>
          <w:szCs w:val="20"/>
        </w:rPr>
        <w:t>que realizó el trámite catastral.</w:t>
      </w:r>
    </w:p>
    <w:p w:rsidR="00C30D19" w:rsidRDefault="00C30D19" w:rsidP="00C30D19">
      <w:pPr>
        <w:pStyle w:val="Prrafodelista"/>
        <w:spacing w:after="0" w:line="360" w:lineRule="auto"/>
        <w:ind w:left="1134" w:right="900" w:firstLine="709"/>
        <w:jc w:val="both"/>
        <w:rPr>
          <w:rFonts w:ascii="Arial" w:hAnsi="Arial" w:cs="Arial"/>
          <w:i/>
          <w:sz w:val="20"/>
          <w:szCs w:val="20"/>
        </w:rPr>
      </w:pPr>
      <w:r>
        <w:rPr>
          <w:rFonts w:ascii="Arial" w:hAnsi="Arial" w:cs="Arial"/>
          <w:i/>
          <w:sz w:val="20"/>
          <w:szCs w:val="20"/>
        </w:rPr>
        <w:t>(…)” (foja 30 del juicio natural)</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Transcripción de la que se desprende que tal demandada señaló que el avalúo controvertido se notificó cuando se entregó la cédula catastral de veintidós de junio de dos mil quince, relativa a la cuenta </w:t>
      </w:r>
      <w:r w:rsidR="009A7C7B">
        <w:rPr>
          <w:rFonts w:ascii="Arial" w:hAnsi="Arial" w:cs="Arial"/>
          <w:i/>
        </w:rPr>
        <w:t>**********</w:t>
      </w:r>
      <w:r>
        <w:rPr>
          <w:rFonts w:ascii="Arial" w:hAnsi="Arial" w:cs="Arial"/>
          <w:i/>
        </w:rPr>
        <w:t xml:space="preserve"> a nombre del actor ahora quejoso, así como, que esa cédula la recibió el notario para realizar el trámite catastral; sin cuestionar la fecha en que se realizó tal notificación al hoy quejoso, menos lo acreditó, ya que esa autoridad lo único que anexó a su contestación, fue copia certificada de su nombramiento (foja 37 del expediente de nulidad).</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De esta manera, para efectos de determinar la oportunidad en la presentación de la demanda de nulidad, debe prevalecer la afirmación del actor en relación con la fecha en que dice conoció el avalúo que impugna; consecuentemente, no puede declararse que la demanda es extemporánea partiendo de que conoció tal acto en las fechas en que se expidió la cédula catastral (veintidós de junio de dos mil quince), tampoco cuando se generó la línea de captura (once de junio de dos mil quince), ni la relativa al recibo folio 01678 (veinticinco de junio referido), pues como se dijo, esas documentales se exhibieron en copia simple y no están </w:t>
      </w:r>
      <w:r>
        <w:rPr>
          <w:rFonts w:ascii="Arial" w:hAnsi="Arial" w:cs="Arial"/>
          <w:i/>
        </w:rPr>
        <w:lastRenderedPageBreak/>
        <w:t>corroboradas con otras probanzas, por lo que su valor es de indicio.</w:t>
      </w:r>
    </w:p>
    <w:p w:rsidR="00C30D19" w:rsidRDefault="00C30D19" w:rsidP="00C30D19">
      <w:pPr>
        <w:pStyle w:val="Prrafodelista"/>
        <w:spacing w:after="0" w:line="360" w:lineRule="auto"/>
        <w:ind w:left="1134" w:right="900" w:firstLine="709"/>
        <w:jc w:val="both"/>
        <w:rPr>
          <w:rFonts w:ascii="Arial" w:hAnsi="Arial" w:cs="Arial"/>
          <w:i/>
        </w:rPr>
      </w:pPr>
      <w:r>
        <w:rPr>
          <w:rFonts w:ascii="Arial" w:hAnsi="Arial" w:cs="Arial"/>
          <w:i/>
        </w:rPr>
        <w:t xml:space="preserve">En las consideraciones relatadas, lo procedente es conceder a </w:t>
      </w:r>
      <w:r w:rsidR="009A7C7B">
        <w:rPr>
          <w:rFonts w:ascii="Arial" w:hAnsi="Arial" w:cs="Arial"/>
          <w:i/>
        </w:rPr>
        <w:t>**********</w:t>
      </w:r>
      <w:r>
        <w:rPr>
          <w:rFonts w:ascii="Arial" w:hAnsi="Arial" w:cs="Arial"/>
          <w:i/>
        </w:rPr>
        <w:t>, el amparo y protección de la Justicia Federal, para que la Sala Superior del Tribunal de los Contencioso Administrativo y de Cuenta del Poder Judicial del Estado, con residencia en la ciudad de Oaxaca:</w:t>
      </w:r>
    </w:p>
    <w:p w:rsidR="00C30D19" w:rsidRDefault="00C30D19" w:rsidP="00C30D19">
      <w:pPr>
        <w:pStyle w:val="Prrafodelista"/>
        <w:numPr>
          <w:ilvl w:val="0"/>
          <w:numId w:val="5"/>
        </w:numPr>
        <w:spacing w:after="0" w:line="360" w:lineRule="auto"/>
        <w:ind w:left="1134" w:right="900" w:firstLine="709"/>
        <w:jc w:val="both"/>
        <w:rPr>
          <w:rFonts w:ascii="Arial" w:hAnsi="Arial" w:cs="Arial"/>
          <w:b/>
          <w:i/>
        </w:rPr>
      </w:pPr>
      <w:r>
        <w:rPr>
          <w:rFonts w:ascii="Arial" w:hAnsi="Arial" w:cs="Arial"/>
          <w:i/>
          <w:u w:val="single"/>
        </w:rPr>
        <w:t>Deje sin efecto</w:t>
      </w:r>
      <w:r>
        <w:rPr>
          <w:rFonts w:ascii="Arial" w:hAnsi="Arial" w:cs="Arial"/>
          <w:i/>
        </w:rPr>
        <w:t xml:space="preserve"> la resolución de doce de octubre de dos mil diecisiete, dictada en el expediente 268/2017 de su índice.</w:t>
      </w:r>
    </w:p>
    <w:p w:rsidR="00C30D19" w:rsidRDefault="00C30D19" w:rsidP="00C30D19">
      <w:pPr>
        <w:pStyle w:val="Prrafodelista"/>
        <w:numPr>
          <w:ilvl w:val="0"/>
          <w:numId w:val="5"/>
        </w:numPr>
        <w:spacing w:after="0" w:line="360" w:lineRule="auto"/>
        <w:ind w:left="1134" w:right="900" w:firstLine="709"/>
        <w:jc w:val="both"/>
        <w:rPr>
          <w:rFonts w:ascii="Arial" w:hAnsi="Arial" w:cs="Arial"/>
          <w:b/>
          <w:i/>
        </w:rPr>
      </w:pPr>
      <w:r>
        <w:rPr>
          <w:rFonts w:ascii="Arial" w:hAnsi="Arial" w:cs="Arial"/>
          <w:i/>
          <w:u w:val="single"/>
        </w:rPr>
        <w:t>Emita una nueva</w:t>
      </w:r>
      <w:r>
        <w:rPr>
          <w:rFonts w:ascii="Arial" w:hAnsi="Arial" w:cs="Arial"/>
          <w:i/>
        </w:rPr>
        <w:t xml:space="preserve"> en la cual reitere las consideraciones que no son materia de la concesión ni estén vinculadas con ella, a saber: competencia, lo relativo a la transcripción de los agravios expresados, así como su síntesis (considerandos primero, segundo y primera parte del tercero);</w:t>
      </w:r>
    </w:p>
    <w:p w:rsidR="00C30D19" w:rsidRDefault="00C30D19" w:rsidP="00C30D19">
      <w:pPr>
        <w:pStyle w:val="Prrafodelista"/>
        <w:numPr>
          <w:ilvl w:val="0"/>
          <w:numId w:val="5"/>
        </w:numPr>
        <w:spacing w:after="0" w:line="360" w:lineRule="auto"/>
        <w:ind w:left="1134" w:right="900" w:firstLine="709"/>
        <w:jc w:val="both"/>
        <w:rPr>
          <w:rFonts w:ascii="Arial" w:hAnsi="Arial" w:cs="Arial"/>
          <w:b/>
          <w:i/>
        </w:rPr>
      </w:pPr>
      <w:r>
        <w:rPr>
          <w:rFonts w:ascii="Arial" w:hAnsi="Arial" w:cs="Arial"/>
          <w:i/>
        </w:rPr>
        <w:t xml:space="preserve">Tomando en consideración los lineamiento dado en esta ejecutoria, </w:t>
      </w:r>
      <w:r>
        <w:rPr>
          <w:rFonts w:ascii="Arial" w:hAnsi="Arial" w:cs="Arial"/>
          <w:i/>
          <w:u w:val="single"/>
        </w:rPr>
        <w:t xml:space="preserve">declare fundados </w:t>
      </w:r>
      <w:r>
        <w:rPr>
          <w:rFonts w:ascii="Arial" w:hAnsi="Arial" w:cs="Arial"/>
          <w:i/>
        </w:rPr>
        <w:t>los agravios en los que el actor controvierte las consideraciones relacionados a la notificación que llevaron a la resolutora de primera instancia a tener por actualizada la causal de improcedencia prevista en el artículo 131, fracción VI, de la Ley de Justicia Administrativa para el Estado de Oaxaca; y,</w:t>
      </w:r>
    </w:p>
    <w:p w:rsidR="00C30D19" w:rsidRDefault="00C30D19" w:rsidP="00C30D19">
      <w:pPr>
        <w:pStyle w:val="Prrafodelista"/>
        <w:numPr>
          <w:ilvl w:val="0"/>
          <w:numId w:val="5"/>
        </w:numPr>
        <w:spacing w:after="120" w:line="360" w:lineRule="auto"/>
        <w:ind w:left="1134" w:right="900" w:firstLine="709"/>
        <w:jc w:val="both"/>
        <w:rPr>
          <w:rFonts w:ascii="Arial" w:hAnsi="Arial" w:cs="Arial"/>
          <w:b/>
          <w:i/>
        </w:rPr>
      </w:pPr>
      <w:r>
        <w:rPr>
          <w:rFonts w:ascii="Arial" w:hAnsi="Arial" w:cs="Arial"/>
          <w:i/>
          <w:u w:val="single"/>
        </w:rPr>
        <w:t>Resuelva</w:t>
      </w:r>
      <w:r>
        <w:rPr>
          <w:rFonts w:ascii="Arial" w:hAnsi="Arial" w:cs="Arial"/>
          <w:i/>
        </w:rPr>
        <w:t xml:space="preserve"> como en derecho corresponda, la Litis efectivamente planteada.”</w:t>
      </w:r>
    </w:p>
    <w:p w:rsidR="00DF651C" w:rsidRDefault="00C30D19" w:rsidP="00DF651C">
      <w:pPr>
        <w:spacing w:after="120" w:line="360" w:lineRule="auto"/>
        <w:ind w:right="49" w:firstLine="708"/>
        <w:jc w:val="both"/>
        <w:rPr>
          <w:rFonts w:ascii="Arial" w:hAnsi="Arial" w:cs="Arial"/>
          <w:bCs/>
          <w:sz w:val="26"/>
          <w:szCs w:val="26"/>
        </w:rPr>
      </w:pPr>
      <w:r>
        <w:rPr>
          <w:rFonts w:ascii="Arial" w:hAnsi="Arial" w:cs="Arial"/>
          <w:b/>
          <w:bCs/>
          <w:sz w:val="26"/>
          <w:szCs w:val="26"/>
        </w:rPr>
        <w:t>QUINTO</w:t>
      </w:r>
      <w:r>
        <w:rPr>
          <w:rFonts w:ascii="Arial" w:hAnsi="Arial" w:cs="Arial"/>
          <w:bCs/>
          <w:sz w:val="26"/>
          <w:szCs w:val="26"/>
        </w:rPr>
        <w:t>. Media</w:t>
      </w:r>
      <w:r w:rsidR="00D55AB6">
        <w:rPr>
          <w:rFonts w:ascii="Arial" w:hAnsi="Arial" w:cs="Arial"/>
          <w:bCs/>
          <w:sz w:val="26"/>
          <w:szCs w:val="26"/>
        </w:rPr>
        <w:t>nte oficio 5775/2019 del 2 dos</w:t>
      </w:r>
      <w:r>
        <w:rPr>
          <w:rFonts w:ascii="Arial" w:hAnsi="Arial" w:cs="Arial"/>
          <w:bCs/>
          <w:sz w:val="26"/>
          <w:szCs w:val="26"/>
        </w:rPr>
        <w:t xml:space="preserve"> de abril de 2019 dos mil diecinueve, el Secretario Judicial del Primer Tribunal Colegiado en Materias Civil y Administrativa del Décimo Tercer Circuito, con residencia en San Bartolo Coyotepec, Oaxaca, da a conocer la resolución dictada el 26 veintiséis de marzo del año en curso, dentro del juicio de amparo directo 7/2018, en la cual se concedió el amparo y protección de la Justicia Federal a </w:t>
      </w:r>
      <w:r w:rsidR="009A7C7B">
        <w:rPr>
          <w:rFonts w:ascii="Arial" w:hAnsi="Arial" w:cs="Arial"/>
          <w:bCs/>
          <w:sz w:val="26"/>
          <w:szCs w:val="26"/>
        </w:rPr>
        <w:t>**********</w:t>
      </w:r>
      <w:r>
        <w:rPr>
          <w:rFonts w:ascii="Arial" w:hAnsi="Arial" w:cs="Arial"/>
          <w:bCs/>
          <w:sz w:val="26"/>
          <w:szCs w:val="26"/>
        </w:rPr>
        <w:t xml:space="preserve">,  a efecto de que dentro del plazo de tres días contados a partir del siguiente al en que se notifique dicho oficio, esta Sala Superior, proceda a dar cumplimiento a dicha ejecutoria de amparo. </w:t>
      </w:r>
    </w:p>
    <w:p w:rsidR="00DF651C" w:rsidRDefault="00C30D19" w:rsidP="00DF651C">
      <w:pPr>
        <w:spacing w:after="120" w:line="360" w:lineRule="auto"/>
        <w:ind w:right="49" w:firstLine="708"/>
        <w:jc w:val="both"/>
        <w:rPr>
          <w:rFonts w:ascii="Arial" w:hAnsi="Arial" w:cs="Arial"/>
          <w:bCs/>
          <w:sz w:val="26"/>
          <w:szCs w:val="26"/>
        </w:rPr>
      </w:pPr>
      <w:r>
        <w:rPr>
          <w:rFonts w:ascii="Arial" w:hAnsi="Arial" w:cs="Arial"/>
          <w:b/>
          <w:bCs/>
          <w:sz w:val="26"/>
          <w:szCs w:val="26"/>
        </w:rPr>
        <w:t xml:space="preserve">SEXTO. </w:t>
      </w:r>
      <w:r>
        <w:rPr>
          <w:rFonts w:ascii="Arial" w:hAnsi="Arial" w:cs="Arial"/>
          <w:bCs/>
          <w:sz w:val="26"/>
          <w:szCs w:val="26"/>
        </w:rPr>
        <w:t xml:space="preserve">Por oficio número </w:t>
      </w:r>
      <w:r>
        <w:rPr>
          <w:rFonts w:ascii="Arial" w:hAnsi="Arial" w:cs="Arial"/>
          <w:b/>
          <w:bCs/>
          <w:sz w:val="26"/>
          <w:szCs w:val="26"/>
        </w:rPr>
        <w:t>6311/2019</w:t>
      </w:r>
      <w:r>
        <w:rPr>
          <w:rFonts w:ascii="Arial" w:hAnsi="Arial" w:cs="Arial"/>
          <w:bCs/>
          <w:sz w:val="26"/>
          <w:szCs w:val="26"/>
        </w:rPr>
        <w:t xml:space="preserve"> de 09 nueve de abril de  2019 dos mil diecinueve, el Secretario Judicial del Primer Tribunal Colegiado en Materias Civil y Administrativa del Décimo Tercer Circuito, con residencia en San Bartolo Coyotepec, Oaxaca, informa que se concede a esta Sala Superior, el plazo de diez días hábiles más para que se cumpla cabalmente con la ejecutoria de amparo. </w:t>
      </w:r>
    </w:p>
    <w:p w:rsidR="00DF651C" w:rsidRDefault="00C30D19" w:rsidP="00DF651C">
      <w:pPr>
        <w:spacing w:after="120" w:line="360" w:lineRule="auto"/>
        <w:ind w:right="49" w:firstLine="708"/>
        <w:jc w:val="center"/>
        <w:rPr>
          <w:rFonts w:ascii="Arial" w:hAnsi="Arial" w:cs="Arial"/>
          <w:b/>
          <w:bCs/>
          <w:sz w:val="26"/>
          <w:szCs w:val="26"/>
        </w:rPr>
      </w:pPr>
      <w:r>
        <w:rPr>
          <w:rFonts w:ascii="Arial" w:hAnsi="Arial" w:cs="Arial"/>
          <w:b/>
          <w:bCs/>
          <w:sz w:val="26"/>
          <w:szCs w:val="26"/>
        </w:rPr>
        <w:t>C O N S I D E R A N D O</w:t>
      </w:r>
    </w:p>
    <w:p w:rsidR="00DF651C" w:rsidRDefault="00C30D19" w:rsidP="00DF651C">
      <w:pPr>
        <w:spacing w:after="120" w:line="360" w:lineRule="auto"/>
        <w:ind w:right="49"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lastRenderedPageBreak/>
        <w:t xml:space="preserve">PRIMERO. </w:t>
      </w:r>
      <w:r>
        <w:rPr>
          <w:rFonts w:ascii="Arial" w:eastAsia="Times New Roman" w:hAnsi="Arial" w:cs="Arial"/>
          <w:bCs/>
          <w:iCs/>
          <w:sz w:val="26"/>
          <w:szCs w:val="26"/>
          <w:lang w:eastAsia="es-ES"/>
        </w:rPr>
        <w:t>Se deja insubsistente la resolución de 12 doce de octubre de 2017 dos mil diecisiete, dictada por la Sala Superior del entonces Tribunal de lo Contencioso Administrativo y de Cuentas del Poder Judicial del Estado.</w:t>
      </w:r>
    </w:p>
    <w:p w:rsidR="00DF651C" w:rsidRDefault="00C30D19" w:rsidP="00DF651C">
      <w:pPr>
        <w:spacing w:after="120" w:line="360" w:lineRule="auto"/>
        <w:ind w:right="49" w:firstLine="708"/>
        <w:jc w:val="both"/>
        <w:rPr>
          <w:rFonts w:ascii="Arial" w:hAnsi="Arial" w:cs="Arial"/>
          <w:sz w:val="26"/>
          <w:szCs w:val="26"/>
        </w:rPr>
      </w:pPr>
      <w:r>
        <w:rPr>
          <w:rFonts w:ascii="Arial" w:eastAsia="Times New Roman" w:hAnsi="Arial" w:cs="Arial"/>
          <w:b/>
          <w:bCs/>
          <w:iCs/>
          <w:sz w:val="26"/>
          <w:szCs w:val="26"/>
          <w:lang w:eastAsia="es-ES"/>
        </w:rPr>
        <w:t>SEGUNDO.</w:t>
      </w:r>
      <w:r>
        <w:rPr>
          <w:rFonts w:ascii="Arial" w:eastAsia="Times New Roman" w:hAnsi="Arial" w:cs="Arial"/>
          <w:bCs/>
          <w:iCs/>
          <w:sz w:val="26"/>
          <w:szCs w:val="26"/>
          <w:lang w:eastAsia="es-ES"/>
        </w:rPr>
        <w:t xml:space="preserve"> </w:t>
      </w:r>
      <w:r>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Soberano de Oaxaca, </w:t>
      </w:r>
      <w:r>
        <w:rPr>
          <w:rFonts w:ascii="Arial" w:hAnsi="Arial" w:cs="Arial"/>
          <w:sz w:val="26"/>
          <w:szCs w:val="26"/>
        </w:rPr>
        <w:t xml:space="preserve">así como los diversos 86, 88, 92, 93 fracción I, 94, 201, 206 y 208 de la Ley de Justicia Administrativa para el Estado de Oaxaca, vigente hasta el 20 veinte de octubre de 2017 dos mil diecisiete, por ser el ordenamiento existente al momento de la presentación de la demanda de nulidad, dado que se trata de un  Recurso de Revisión interpuesto en contra de la resolución de 29 veintinueve de noviembre de 2016 dos mil dieciséis, dictada en el expediente  </w:t>
      </w:r>
      <w:r>
        <w:rPr>
          <w:rFonts w:ascii="Arial" w:hAnsi="Arial" w:cs="Arial"/>
          <w:b/>
          <w:sz w:val="26"/>
          <w:szCs w:val="26"/>
        </w:rPr>
        <w:t xml:space="preserve">333/2016 </w:t>
      </w:r>
      <w:r>
        <w:rPr>
          <w:rFonts w:ascii="Arial" w:hAnsi="Arial" w:cs="Arial"/>
          <w:sz w:val="26"/>
          <w:szCs w:val="26"/>
        </w:rPr>
        <w:t>del índice de la Quinta Sala Unitaria de Primera Instancia</w:t>
      </w:r>
      <w:r>
        <w:rPr>
          <w:rFonts w:ascii="Arial" w:hAnsi="Arial" w:cs="Arial"/>
          <w:b/>
          <w:sz w:val="26"/>
          <w:szCs w:val="26"/>
        </w:rPr>
        <w:t xml:space="preserve">. </w:t>
      </w:r>
    </w:p>
    <w:p w:rsidR="00C30D19" w:rsidRDefault="00C30D19" w:rsidP="00DF651C">
      <w:pPr>
        <w:spacing w:after="120" w:line="360" w:lineRule="auto"/>
        <w:ind w:right="49" w:firstLine="708"/>
        <w:jc w:val="both"/>
        <w:rPr>
          <w:rFonts w:ascii="Arial" w:hAnsi="Arial" w:cs="Arial"/>
          <w:sz w:val="26"/>
          <w:szCs w:val="26"/>
        </w:rPr>
      </w:pPr>
      <w:r>
        <w:rPr>
          <w:rFonts w:ascii="Arial" w:hAnsi="Arial" w:cs="Arial"/>
          <w:b/>
          <w:bCs/>
          <w:sz w:val="26"/>
          <w:szCs w:val="26"/>
        </w:rPr>
        <w:t xml:space="preserve">TERCERO. </w:t>
      </w:r>
      <w:r>
        <w:rPr>
          <w:rFonts w:ascii="Arial" w:hAnsi="Arial" w:cs="Arial"/>
          <w:bCs/>
          <w:sz w:val="26"/>
          <w:szCs w:val="26"/>
        </w:rPr>
        <w:t>Los agravios hechos valer se encuentran expuestos en el escrito respectivo del recurrente, y no existe necesidad de transcribirlos al no transgredírseles derecho alguno, como tampoco se vulnera disposición expresa que imponga tal obligación</w:t>
      </w:r>
      <w:r>
        <w:rPr>
          <w:rFonts w:ascii="Arial" w:hAnsi="Arial" w:cs="Arial"/>
          <w:sz w:val="26"/>
          <w:szCs w:val="26"/>
        </w:rPr>
        <w:t xml:space="preserve">. Sirve de apoyo a la siguiente consideración la jurisprudencia VI.2o. J/129, visible a página 599, Tomo VII, abril de 1998, Novena Época del Semanario Judicial de la Federación y su </w:t>
      </w:r>
      <w:r w:rsidR="00DF651C">
        <w:rPr>
          <w:rFonts w:ascii="Arial" w:hAnsi="Arial" w:cs="Arial"/>
          <w:sz w:val="26"/>
          <w:szCs w:val="26"/>
        </w:rPr>
        <w:t>Gaceta de epígrafe y contenido:</w:t>
      </w:r>
    </w:p>
    <w:p w:rsidR="00DF651C" w:rsidRDefault="00C30D19" w:rsidP="00220248">
      <w:pPr>
        <w:pStyle w:val="NormalCenturyGothic"/>
        <w:spacing w:after="120"/>
        <w:ind w:left="851" w:right="900"/>
        <w:jc w:val="both"/>
        <w:rPr>
          <w:rFonts w:ascii="Arial" w:hAnsi="Arial" w:cs="Arial"/>
          <w:i/>
        </w:rPr>
      </w:pPr>
      <w:r>
        <w:rPr>
          <w:rFonts w:ascii="Arial" w:hAnsi="Arial" w:cs="Arial"/>
          <w:i/>
        </w:rPr>
        <w:t>“</w:t>
      </w:r>
      <w:r>
        <w:rPr>
          <w:rFonts w:ascii="Arial" w:hAnsi="Arial" w:cs="Arial"/>
          <w:b/>
          <w:i/>
        </w:rPr>
        <w:t xml:space="preserve">CONCEPTOS DE VIOLACIÓN. EL JUEZ NO ESTÁ OBLIGADO A TRANSCRIBIRLOS.- </w:t>
      </w:r>
      <w:r>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cas</w:t>
      </w:r>
      <w:r w:rsidR="00DF651C">
        <w:rPr>
          <w:rFonts w:ascii="Arial" w:hAnsi="Arial" w:cs="Arial"/>
          <w:i/>
        </w:rPr>
        <w:t>o, la ilegalidad de la misma.”</w:t>
      </w:r>
    </w:p>
    <w:p w:rsidR="00220248" w:rsidRDefault="00220248" w:rsidP="00220248">
      <w:pPr>
        <w:pStyle w:val="NormalCenturyGothic"/>
        <w:spacing w:after="120"/>
        <w:ind w:left="851" w:right="900"/>
        <w:jc w:val="both"/>
        <w:rPr>
          <w:rFonts w:ascii="Arial" w:hAnsi="Arial" w:cs="Arial"/>
          <w:i/>
        </w:rPr>
      </w:pP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
          <w:sz w:val="26"/>
          <w:szCs w:val="26"/>
        </w:rPr>
        <w:t xml:space="preserve">CUARTO. </w:t>
      </w:r>
      <w:r>
        <w:rPr>
          <w:rFonts w:ascii="Arial" w:eastAsia="Calibri" w:hAnsi="Arial" w:cs="Arial"/>
          <w:bCs/>
          <w:sz w:val="26"/>
          <w:szCs w:val="26"/>
        </w:rPr>
        <w:t xml:space="preserve">El revisionista en su </w:t>
      </w:r>
      <w:r>
        <w:rPr>
          <w:rFonts w:ascii="Arial" w:eastAsia="Calibri" w:hAnsi="Arial" w:cs="Arial"/>
          <w:b/>
          <w:bCs/>
          <w:sz w:val="26"/>
          <w:szCs w:val="26"/>
        </w:rPr>
        <w:t>primer agravio</w:t>
      </w:r>
      <w:r>
        <w:rPr>
          <w:rFonts w:ascii="Arial" w:eastAsia="Calibri" w:hAnsi="Arial" w:cs="Arial"/>
          <w:bCs/>
          <w:sz w:val="26"/>
          <w:szCs w:val="26"/>
        </w:rPr>
        <w:t xml:space="preserve"> manifestó que el notario público número treinta y ocho para el Estado de Oaxaca, le comunicó que había pagado al Municipio de Ejutla la cantidad de </w:t>
      </w:r>
      <w:r w:rsidR="009A7C7B">
        <w:rPr>
          <w:rFonts w:ascii="Arial" w:eastAsia="Calibri" w:hAnsi="Arial" w:cs="Arial"/>
          <w:bCs/>
          <w:sz w:val="26"/>
          <w:szCs w:val="26"/>
        </w:rPr>
        <w:t>**********</w:t>
      </w:r>
      <w:r>
        <w:rPr>
          <w:rFonts w:ascii="Arial" w:eastAsia="Calibri" w:hAnsi="Arial" w:cs="Arial"/>
          <w:bCs/>
          <w:sz w:val="26"/>
          <w:szCs w:val="26"/>
        </w:rPr>
        <w:t xml:space="preserve">por concepto de traslado de dominio y que personalmente, no </w:t>
      </w:r>
      <w:r>
        <w:rPr>
          <w:rFonts w:ascii="Arial" w:eastAsia="Calibri" w:hAnsi="Arial" w:cs="Arial"/>
          <w:bCs/>
          <w:sz w:val="26"/>
          <w:szCs w:val="26"/>
        </w:rPr>
        <w:lastRenderedPageBreak/>
        <w:t>ha realizado ningún trámite ante las demandadas, si no que corresponde a los notarios al ser p</w:t>
      </w:r>
      <w:r w:rsidR="00DF651C">
        <w:rPr>
          <w:rFonts w:ascii="Arial" w:eastAsia="Calibri" w:hAnsi="Arial" w:cs="Arial"/>
          <w:bCs/>
          <w:sz w:val="26"/>
          <w:szCs w:val="26"/>
        </w:rPr>
        <w:t>arte de la escrituración.</w:t>
      </w: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Dice que el juicio de nulidad fue sobreseído porque aparentemente consintió el acto que impugnó, donde se tomó en consideración </w:t>
      </w:r>
      <w:r>
        <w:rPr>
          <w:rFonts w:ascii="Arial" w:eastAsia="Calibri" w:hAnsi="Arial" w:cs="Arial"/>
          <w:b/>
          <w:bCs/>
          <w:sz w:val="26"/>
          <w:szCs w:val="26"/>
          <w:u w:val="single"/>
        </w:rPr>
        <w:t>la cédula catastral</w:t>
      </w:r>
      <w:r>
        <w:rPr>
          <w:rFonts w:ascii="Arial" w:eastAsia="Calibri" w:hAnsi="Arial" w:cs="Arial"/>
          <w:bCs/>
          <w:sz w:val="26"/>
          <w:szCs w:val="26"/>
        </w:rPr>
        <w:t xml:space="preserve"> de veintidós de junio de dos mil quince, y que por tal motivo transcurrió en exceso el término de treinta días que señala el artículo 136 de la Ley de Justicia Administrativa para el Estado de Oaxaca. Que desde su punto de vista es incorrecto ya que no se le notificó dicho documento, ni se le ha notificado, ya que dicho trámite</w:t>
      </w:r>
      <w:r w:rsidR="00DF651C">
        <w:rPr>
          <w:rFonts w:ascii="Arial" w:eastAsia="Calibri" w:hAnsi="Arial" w:cs="Arial"/>
          <w:bCs/>
          <w:sz w:val="26"/>
          <w:szCs w:val="26"/>
        </w:rPr>
        <w:t xml:space="preserve"> lo realizó el notario público.</w:t>
      </w: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Pr>
          <w:rFonts w:ascii="Arial" w:eastAsia="Calibri" w:hAnsi="Arial" w:cs="Arial"/>
          <w:b/>
          <w:bCs/>
          <w:sz w:val="26"/>
          <w:szCs w:val="26"/>
        </w:rPr>
        <w:t xml:space="preserve">segundo agravio </w:t>
      </w:r>
      <w:r>
        <w:rPr>
          <w:rFonts w:ascii="Arial" w:eastAsia="Calibri" w:hAnsi="Arial" w:cs="Arial"/>
          <w:bCs/>
          <w:sz w:val="26"/>
          <w:szCs w:val="26"/>
        </w:rPr>
        <w:t>manifiesta que el Magistrado de Primera Instancia, en la sentencia que combate argumentó que el suscrito presentó con la demanda las documentales consistentes en la cédula catastral por medio de la cual realizó el traslado de dominio, recepcionado el diez de junio de dos mil quince; el formato que contiene datos para generar la línea de captura, un pago por servicios que presta el Instituto catastral, y un recibo de pago con número de folio 01678 de veinticinco de junio de dos mil quince; y que advertía, que tuvo conocimiento de la determinación de la base catastral, en la fecha de elaboración del formato y que dichos actos se realizaron con fecha diez y once de junio de dos mil quince, en donde el rec</w:t>
      </w:r>
      <w:r w:rsidR="00DF651C">
        <w:rPr>
          <w:rFonts w:ascii="Arial" w:eastAsia="Calibri" w:hAnsi="Arial" w:cs="Arial"/>
          <w:bCs/>
          <w:sz w:val="26"/>
          <w:szCs w:val="26"/>
        </w:rPr>
        <w:t>urrente proporcionó sus datos.</w:t>
      </w: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Refiere que el trámite lo realizó el notario público y no él, que las citadas documentales no prueban que haya tenido conocimiento de los actos, porque nunca requisito la solicitud ni formato alguno, menos realizó el pago correspondiente; todo lo hizo el notario a su nombre, y se sobreentiende para él, que el pago lo hizo el fedatario públic</w:t>
      </w:r>
      <w:r w:rsidR="00DF651C">
        <w:rPr>
          <w:rFonts w:ascii="Arial" w:eastAsia="Calibri" w:hAnsi="Arial" w:cs="Arial"/>
          <w:bCs/>
          <w:sz w:val="26"/>
          <w:szCs w:val="26"/>
        </w:rPr>
        <w:t>o por ello le causa agravios.</w:t>
      </w: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Sigue manifestando en su </w:t>
      </w:r>
      <w:r>
        <w:rPr>
          <w:rFonts w:ascii="Arial" w:eastAsia="Calibri" w:hAnsi="Arial" w:cs="Arial"/>
          <w:b/>
          <w:bCs/>
          <w:sz w:val="26"/>
          <w:szCs w:val="26"/>
        </w:rPr>
        <w:t>tercer agravio</w:t>
      </w:r>
      <w:r>
        <w:rPr>
          <w:rFonts w:ascii="Arial" w:eastAsia="Calibri" w:hAnsi="Arial" w:cs="Arial"/>
          <w:bCs/>
          <w:sz w:val="26"/>
          <w:szCs w:val="26"/>
        </w:rPr>
        <w:t xml:space="preserve"> que por el solo hecho de que se encuentre a su nombre,  el recibo con número de folio 01678 expedido por la Tesorería del Municipio de Ejutla, no se debe entender que él realizó el pago de traslado de dominio; pues insiste que el pago lo</w:t>
      </w:r>
      <w:r w:rsidR="00DF651C">
        <w:rPr>
          <w:rFonts w:ascii="Arial" w:eastAsia="Calibri" w:hAnsi="Arial" w:cs="Arial"/>
          <w:bCs/>
          <w:sz w:val="26"/>
          <w:szCs w:val="26"/>
        </w:rPr>
        <w:t xml:space="preserve"> realizó el notario público.</w:t>
      </w:r>
    </w:p>
    <w:p w:rsidR="00DF651C"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Pr>
          <w:rFonts w:ascii="Arial" w:eastAsia="Calibri" w:hAnsi="Arial" w:cs="Arial"/>
          <w:b/>
          <w:bCs/>
          <w:sz w:val="26"/>
          <w:szCs w:val="26"/>
        </w:rPr>
        <w:t xml:space="preserve">cuarto agravio </w:t>
      </w:r>
      <w:r>
        <w:rPr>
          <w:rFonts w:ascii="Arial" w:eastAsia="Calibri" w:hAnsi="Arial" w:cs="Arial"/>
          <w:bCs/>
          <w:sz w:val="26"/>
          <w:szCs w:val="26"/>
        </w:rPr>
        <w:t xml:space="preserve">combate la parte relativa de la sentencia de primera instancia, en donde la primera instancia argumento que el actor tuvo conocimiento del avalúo, mucho antes de la fecha que </w:t>
      </w:r>
      <w:r>
        <w:rPr>
          <w:rFonts w:ascii="Arial" w:eastAsia="Calibri" w:hAnsi="Arial" w:cs="Arial"/>
          <w:bCs/>
          <w:sz w:val="26"/>
          <w:szCs w:val="26"/>
        </w:rPr>
        <w:lastRenderedPageBreak/>
        <w:t xml:space="preserve">refiere en su escrito de demanda de nulidad; es decir, al momento de la recepción y elaboración de la solicitud, lo cual no resulta cierto porque nunca fue notificado que en todo caso sería al notario y </w:t>
      </w:r>
      <w:r w:rsidR="00DF651C">
        <w:rPr>
          <w:rFonts w:ascii="Arial" w:eastAsia="Calibri" w:hAnsi="Arial" w:cs="Arial"/>
          <w:bCs/>
          <w:sz w:val="26"/>
          <w:szCs w:val="26"/>
        </w:rPr>
        <w:t xml:space="preserve">no al recurrente. </w:t>
      </w:r>
    </w:p>
    <w:p w:rsidR="00DF651C" w:rsidRDefault="00C30D19" w:rsidP="00DF651C">
      <w:pPr>
        <w:pStyle w:val="Sinespaciado"/>
        <w:spacing w:after="120" w:line="360" w:lineRule="auto"/>
        <w:ind w:firstLine="708"/>
        <w:jc w:val="both"/>
        <w:rPr>
          <w:rFonts w:ascii="Arial" w:eastAsia="Calibri" w:hAnsi="Arial" w:cs="Arial"/>
          <w:bCs/>
          <w:i/>
          <w:sz w:val="26"/>
          <w:szCs w:val="26"/>
        </w:rPr>
      </w:pPr>
      <w:r>
        <w:rPr>
          <w:rFonts w:ascii="Arial" w:eastAsia="Calibri" w:hAnsi="Arial" w:cs="Arial"/>
          <w:bCs/>
          <w:sz w:val="26"/>
          <w:szCs w:val="26"/>
        </w:rPr>
        <w:t xml:space="preserve">Señala que el Magistrado no debió de tomar en cuenta lo manifestado en el inciso b) de su demanda, en donde en relación al pago de lo indebido se le cobró la cantidad de </w:t>
      </w:r>
      <w:r w:rsidR="009A7C7B">
        <w:rPr>
          <w:rFonts w:ascii="Arial" w:eastAsia="Calibri" w:hAnsi="Arial" w:cs="Arial"/>
          <w:bCs/>
          <w:sz w:val="26"/>
          <w:szCs w:val="26"/>
        </w:rPr>
        <w:t>**********</w:t>
      </w:r>
      <w:r>
        <w:rPr>
          <w:rFonts w:ascii="Arial" w:eastAsia="Calibri" w:hAnsi="Arial" w:cs="Arial"/>
          <w:bCs/>
          <w:sz w:val="26"/>
          <w:szCs w:val="26"/>
        </w:rPr>
        <w:t xml:space="preserve">, que cubrió por traslado de dominio, de acuerdo al recibo de pago con número de folio 01678 de veinticinco de junio de dos mil quince, pues insiste que ese pago lo realizó el notario y no él en forma personal, de tal forma que la expresión: </w:t>
      </w:r>
      <w:r>
        <w:rPr>
          <w:rFonts w:ascii="Arial" w:eastAsia="Calibri" w:hAnsi="Arial" w:cs="Arial"/>
          <w:b/>
          <w:bCs/>
          <w:i/>
          <w:sz w:val="26"/>
          <w:szCs w:val="26"/>
          <w:u w:val="single"/>
        </w:rPr>
        <w:t>(que ya cubrí por TRASLADO DE DOMINIO) significa que la cubrí por medio del notario, puesto que yo se la cubrí al notario, pero no significa que el suscrito la cubrió personalmente a esa demandada como la está utilizando el Magistrado</w:t>
      </w:r>
      <w:r w:rsidR="00DF651C">
        <w:rPr>
          <w:rFonts w:ascii="Arial" w:eastAsia="Calibri" w:hAnsi="Arial" w:cs="Arial"/>
          <w:bCs/>
          <w:i/>
          <w:sz w:val="26"/>
          <w:szCs w:val="26"/>
        </w:rPr>
        <w:t>.</w:t>
      </w:r>
    </w:p>
    <w:p w:rsidR="00C023D9"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Asimismo, manifiesta en su </w:t>
      </w:r>
      <w:r>
        <w:rPr>
          <w:rFonts w:ascii="Arial" w:eastAsia="Calibri" w:hAnsi="Arial" w:cs="Arial"/>
          <w:b/>
          <w:bCs/>
          <w:sz w:val="26"/>
          <w:szCs w:val="26"/>
        </w:rPr>
        <w:t xml:space="preserve">quinto agravio </w:t>
      </w:r>
      <w:r>
        <w:rPr>
          <w:rFonts w:ascii="Arial" w:eastAsia="Calibri" w:hAnsi="Arial" w:cs="Arial"/>
          <w:bCs/>
          <w:sz w:val="26"/>
          <w:szCs w:val="26"/>
        </w:rPr>
        <w:t>que el Magistrado de Primera Instancia, argumentó que en contra del avalúo debió de agotarse el recurso de revocación, lo cual no le asiste razón al no actualizarse los supuestos de los artículos 76 y 77 de la Ley de Catastro; es decir, que al emitir el avalúo exista: I.- Error o diferencia entre los datos asentados y las características reales del inmueble; II.- Inexacta aplicación de las tablas de valores o de a zonificación; III.- Asignación de una extensión mayor o tipo diverso del que efectivamente tenga el bien inmueble; IV.- En las demás que impliquen error en la determinación del valor catastral; por tanto, dice que en caso de haber estado obligado a agotar dicho recurso, no se advierte que se le haya notificado, pues reitera que tuvo conocimiento hasta el diecisiete de septiembre</w:t>
      </w:r>
      <w:r w:rsidR="00C023D9">
        <w:rPr>
          <w:rFonts w:ascii="Arial" w:eastAsia="Calibri" w:hAnsi="Arial" w:cs="Arial"/>
          <w:bCs/>
          <w:sz w:val="26"/>
          <w:szCs w:val="26"/>
        </w:rPr>
        <w:t xml:space="preserve"> de dos mil quince.</w:t>
      </w:r>
    </w:p>
    <w:p w:rsidR="00C023D9"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su </w:t>
      </w:r>
      <w:r>
        <w:rPr>
          <w:rFonts w:ascii="Arial" w:eastAsia="Calibri" w:hAnsi="Arial" w:cs="Arial"/>
          <w:b/>
          <w:bCs/>
          <w:sz w:val="26"/>
          <w:szCs w:val="26"/>
        </w:rPr>
        <w:t xml:space="preserve">sexto agravio </w:t>
      </w:r>
      <w:r>
        <w:rPr>
          <w:rFonts w:ascii="Arial" w:eastAsia="Calibri" w:hAnsi="Arial" w:cs="Arial"/>
          <w:bCs/>
          <w:sz w:val="26"/>
          <w:szCs w:val="26"/>
        </w:rPr>
        <w:t>sostiene, que la Suprema Corte de Justicia de la Nación es del criterio que cuando el actor manifieste desconocer el acto que reclama, la enjuiciada al contestar la demanda deberá acompañar constancia del acto administrativo y de su notificación; sin embargo, dice que la Sala no analizó que la autoridad demanda, no anexó el</w:t>
      </w:r>
      <w:r w:rsidR="00C023D9">
        <w:rPr>
          <w:rFonts w:ascii="Arial" w:eastAsia="Calibri" w:hAnsi="Arial" w:cs="Arial"/>
          <w:bCs/>
          <w:sz w:val="26"/>
          <w:szCs w:val="26"/>
        </w:rPr>
        <w:t xml:space="preserve"> documento de su notificación.</w:t>
      </w:r>
    </w:p>
    <w:p w:rsidR="00C023D9" w:rsidRDefault="00C30D19" w:rsidP="00DF651C">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los argumentos expuestos por el recurrente en sus agravios </w:t>
      </w:r>
      <w:r>
        <w:rPr>
          <w:rFonts w:ascii="Arial" w:eastAsia="Calibri" w:hAnsi="Arial" w:cs="Arial"/>
          <w:b/>
          <w:bCs/>
          <w:sz w:val="26"/>
          <w:szCs w:val="26"/>
        </w:rPr>
        <w:t>resultan ser fundados.</w:t>
      </w:r>
    </w:p>
    <w:p w:rsidR="00C023D9" w:rsidRDefault="00C30D19" w:rsidP="00DF651C">
      <w:pPr>
        <w:pStyle w:val="Sinespaciado"/>
        <w:spacing w:after="120" w:line="360" w:lineRule="auto"/>
        <w:ind w:firstLine="708"/>
        <w:jc w:val="both"/>
        <w:rPr>
          <w:rFonts w:ascii="Arial" w:hAnsi="Arial" w:cs="Arial"/>
          <w:sz w:val="26"/>
          <w:szCs w:val="26"/>
        </w:rPr>
      </w:pPr>
      <w:r>
        <w:rPr>
          <w:rFonts w:ascii="Arial" w:eastAsia="Calibri" w:hAnsi="Arial" w:cs="Arial"/>
          <w:bCs/>
          <w:sz w:val="26"/>
          <w:szCs w:val="26"/>
        </w:rPr>
        <w:lastRenderedPageBreak/>
        <w:t xml:space="preserve">Lo anterior, toda vez que como se señaló en la ejecutoria de amparo de </w:t>
      </w:r>
      <w:r>
        <w:rPr>
          <w:rFonts w:ascii="Arial" w:hAnsi="Arial" w:cs="Arial"/>
          <w:sz w:val="26"/>
          <w:szCs w:val="26"/>
        </w:rPr>
        <w:t xml:space="preserve">26 veintiséis de marzo de 2019 dos mil diecinueve, emitida por el Primer Tribunal Colegiado en Materias Civil y Administrativa del Décimo Tercer Circuito, en los autos del juicio de nulidad 333/2016, no obra constancia alguna que corrobore que las diversas documentales aportadas por el actor, consistentes en: </w:t>
      </w:r>
      <w:r>
        <w:rPr>
          <w:rFonts w:ascii="Arial" w:hAnsi="Arial" w:cs="Arial"/>
          <w:i/>
          <w:sz w:val="24"/>
          <w:szCs w:val="24"/>
        </w:rPr>
        <w:t>(recibo folio 08678 de veinticinco de junio de dos mil quince, cédula catastral de veintidós del mismo mes y año y el documento denominado “Datos para general línea de captura y/o pago por servicios que presta el Instituto Catastral del Estado de Oaxaca”</w:t>
      </w:r>
      <w:r>
        <w:rPr>
          <w:rFonts w:ascii="Arial" w:hAnsi="Arial" w:cs="Arial"/>
          <w:sz w:val="26"/>
          <w:szCs w:val="26"/>
        </w:rPr>
        <w:t>,</w:t>
      </w:r>
      <w:r>
        <w:rPr>
          <w:rFonts w:ascii="Arial" w:hAnsi="Arial" w:cs="Arial"/>
          <w:i/>
          <w:sz w:val="24"/>
          <w:szCs w:val="24"/>
        </w:rPr>
        <w:t xml:space="preserve"> </w:t>
      </w:r>
      <w:r>
        <w:rPr>
          <w:rFonts w:ascii="Arial" w:hAnsi="Arial" w:cs="Arial"/>
          <w:sz w:val="26"/>
          <w:szCs w:val="26"/>
        </w:rPr>
        <w:t xml:space="preserve">no son aptas para determinar que </w:t>
      </w:r>
      <w:r w:rsidR="009A7C7B">
        <w:rPr>
          <w:rFonts w:ascii="Arial" w:hAnsi="Arial" w:cs="Arial"/>
          <w:sz w:val="26"/>
          <w:szCs w:val="26"/>
        </w:rPr>
        <w:t>**********</w:t>
      </w:r>
      <w:r>
        <w:rPr>
          <w:rFonts w:ascii="Arial" w:hAnsi="Arial" w:cs="Arial"/>
          <w:sz w:val="26"/>
          <w:szCs w:val="26"/>
        </w:rPr>
        <w:t xml:space="preserve">, conoció de la existencia del avalúo en fecha anterior, a la que señaló bajo protesta de decir verdad en su demanda de nulidad (17 diecisiete de septiembre de 2015 dos mil quince), al haberse exhibido en copias simples y solo tener un valor indiciario al no estar adminiculadas con otros elementos probatorios. </w:t>
      </w:r>
    </w:p>
    <w:p w:rsidR="00C023D9" w:rsidRDefault="00C30D19" w:rsidP="00DF651C">
      <w:pPr>
        <w:pStyle w:val="Sinespaciado"/>
        <w:spacing w:after="120" w:line="360" w:lineRule="auto"/>
        <w:ind w:firstLine="708"/>
        <w:jc w:val="both"/>
        <w:rPr>
          <w:rFonts w:ascii="Arial" w:hAnsi="Arial" w:cs="Arial"/>
          <w:i/>
          <w:sz w:val="24"/>
          <w:szCs w:val="24"/>
        </w:rPr>
      </w:pPr>
      <w:r>
        <w:rPr>
          <w:rFonts w:ascii="Arial" w:hAnsi="Arial" w:cs="Arial"/>
          <w:sz w:val="26"/>
          <w:szCs w:val="26"/>
        </w:rPr>
        <w:t>En atención a lo anterior, conforme al artículo 136 párrafo primero de la Ley de Justicia Administrativa para el Estado de Oaxaca, la fecha que determina la oportunidad en la presentación de la demanda de nulidad del actor, es la que señala como aquella en que conoció el avalúo; esto es, el 17 diecisiete de septiembre de 2015 dos mil quince, por conducto del Notario Público número treinta y ocho en el Estado de Oaxaca. Por tanto, como lo resolvió el Tribunal Federal: “…</w:t>
      </w:r>
      <w:r>
        <w:rPr>
          <w:rFonts w:ascii="Arial" w:hAnsi="Arial" w:cs="Arial"/>
          <w:i/>
          <w:sz w:val="24"/>
          <w:szCs w:val="24"/>
        </w:rPr>
        <w:t xml:space="preserve">para efectos de determinar la oportunidad en la presentación de la demanda de nulidad, debe prevalecer la afirmación del actor en relación con la fecha en que dice </w:t>
      </w:r>
      <w:r w:rsidR="00C023D9">
        <w:rPr>
          <w:rFonts w:ascii="Arial" w:hAnsi="Arial" w:cs="Arial"/>
          <w:i/>
          <w:sz w:val="24"/>
          <w:szCs w:val="24"/>
        </w:rPr>
        <w:t>conoció el avalúo que impugna”.</w:t>
      </w:r>
    </w:p>
    <w:p w:rsidR="00C023D9" w:rsidRDefault="00C30D19" w:rsidP="00DF651C">
      <w:pPr>
        <w:pStyle w:val="Sinespaciado"/>
        <w:spacing w:after="120" w:line="360" w:lineRule="auto"/>
        <w:ind w:firstLine="708"/>
        <w:jc w:val="both"/>
        <w:rPr>
          <w:rFonts w:ascii="Arial" w:hAnsi="Arial" w:cs="Arial"/>
          <w:sz w:val="26"/>
          <w:szCs w:val="26"/>
          <w:lang w:val="es-MX"/>
        </w:rPr>
      </w:pPr>
      <w:r>
        <w:rPr>
          <w:rFonts w:ascii="Arial" w:hAnsi="Arial" w:cs="Arial"/>
          <w:sz w:val="26"/>
          <w:szCs w:val="26"/>
        </w:rPr>
        <w:t>En consecuencia, al haber manifestado el actor bajo protesta de decir verdad, que conoció del acto impugnado el 17 diecisiete de septiembre de 2015 dos mil quince,</w:t>
      </w:r>
      <w:r>
        <w:rPr>
          <w:rFonts w:ascii="Arial" w:eastAsia="Times New Roman" w:hAnsi="Arial" w:cs="Arial"/>
          <w:bCs/>
          <w:iCs/>
          <w:sz w:val="26"/>
          <w:szCs w:val="26"/>
          <w:lang w:eastAsia="es-ES"/>
        </w:rPr>
        <w:t xml:space="preserve"> </w:t>
      </w:r>
      <w:r>
        <w:rPr>
          <w:rFonts w:ascii="Arial" w:hAnsi="Arial" w:cs="Arial"/>
          <w:sz w:val="26"/>
          <w:szCs w:val="26"/>
        </w:rPr>
        <w:t xml:space="preserve">y su demanda de nulidad la presentó el </w:t>
      </w:r>
      <w:r>
        <w:rPr>
          <w:rFonts w:ascii="Arial" w:hAnsi="Arial" w:cs="Arial"/>
          <w:b/>
          <w:sz w:val="26"/>
          <w:szCs w:val="26"/>
        </w:rPr>
        <w:t>24 veinticuatro de septiembre de 2015 dos mil quince</w:t>
      </w:r>
      <w:r>
        <w:rPr>
          <w:rFonts w:ascii="Arial" w:hAnsi="Arial" w:cs="Arial"/>
          <w:sz w:val="26"/>
          <w:szCs w:val="26"/>
        </w:rPr>
        <w:t>, ante la Oficialía de Partes Común del entonces Tribunal de lo Contencioso Administrativo y de Cuentas del Poder Judicial del Estado</w:t>
      </w:r>
      <w:r>
        <w:rPr>
          <w:rFonts w:ascii="Arial" w:eastAsia="Times New Roman" w:hAnsi="Arial" w:cs="Arial"/>
          <w:bCs/>
          <w:iCs/>
          <w:sz w:val="26"/>
          <w:szCs w:val="26"/>
          <w:lang w:eastAsia="es-ES"/>
        </w:rPr>
        <w:t xml:space="preserve">; se advierte que la solicitud es oportuna, pues el plazo para interponer el Juicio de nulidad </w:t>
      </w:r>
      <w:r>
        <w:rPr>
          <w:rFonts w:ascii="Arial" w:eastAsia="Times New Roman" w:hAnsi="Arial" w:cs="Arial"/>
          <w:b/>
          <w:bCs/>
          <w:iCs/>
          <w:sz w:val="26"/>
          <w:szCs w:val="26"/>
          <w:lang w:eastAsia="es-ES"/>
        </w:rPr>
        <w:t>inició el 18 dieciocho de septiembre y feneció el 03 tres de noviembre de 2015 dos mil quince, descontándose los sábados y domingos que mediaron a ese plano, así como el 21 veintiuno de octubre, 01 uno y 02 dos de noviembre del mismo año, por ser considerados como días inhábiles</w:t>
      </w:r>
      <w:r>
        <w:rPr>
          <w:rFonts w:ascii="Arial" w:eastAsia="Times New Roman" w:hAnsi="Arial" w:cs="Arial"/>
          <w:bCs/>
          <w:iCs/>
          <w:sz w:val="26"/>
          <w:szCs w:val="26"/>
          <w:lang w:eastAsia="es-ES"/>
        </w:rPr>
        <w:t xml:space="preserve">; en consecuencia, el </w:t>
      </w:r>
      <w:r>
        <w:rPr>
          <w:rFonts w:ascii="Arial" w:eastAsia="Times New Roman" w:hAnsi="Arial" w:cs="Arial"/>
          <w:bCs/>
          <w:iCs/>
          <w:sz w:val="26"/>
          <w:szCs w:val="26"/>
          <w:lang w:eastAsia="es-ES"/>
        </w:rPr>
        <w:lastRenderedPageBreak/>
        <w:t xml:space="preserve">escrito de demanda cumple con el plazo establecido en el artículo 136 de la Ley de Justicia Administrativa para el Estado de Oaxaca, </w:t>
      </w:r>
      <w:r>
        <w:rPr>
          <w:rFonts w:ascii="Arial" w:eastAsia="Calibri" w:hAnsi="Arial" w:cs="Arial"/>
          <w:sz w:val="26"/>
          <w:szCs w:val="26"/>
        </w:rPr>
        <w:t>que señala: “</w:t>
      </w:r>
      <w:r>
        <w:rPr>
          <w:rFonts w:ascii="Arial" w:eastAsia="Calibri" w:hAnsi="Arial" w:cs="Arial"/>
          <w:i/>
          <w:sz w:val="24"/>
          <w:szCs w:val="24"/>
        </w:rPr>
        <w:t xml:space="preserve">El plazo para interponer la demanda ante el Tribunal </w:t>
      </w:r>
      <w:r>
        <w:rPr>
          <w:rFonts w:ascii="Arial" w:hAnsi="Arial" w:cs="Arial"/>
          <w:i/>
          <w:sz w:val="24"/>
          <w:szCs w:val="24"/>
          <w:lang w:val="es-MX"/>
        </w:rPr>
        <w:t>será de treinta días hábiles, contados a partir del día siguiente al en que surta</w:t>
      </w:r>
      <w:r>
        <w:rPr>
          <w:rFonts w:ascii="Arial" w:hAnsi="Arial" w:cs="Arial"/>
          <w:i/>
          <w:sz w:val="21"/>
          <w:szCs w:val="21"/>
          <w:lang w:val="es-MX"/>
        </w:rPr>
        <w:t xml:space="preserve"> </w:t>
      </w:r>
      <w:r>
        <w:rPr>
          <w:rFonts w:ascii="Arial" w:hAnsi="Arial" w:cs="Arial"/>
          <w:i/>
          <w:sz w:val="24"/>
          <w:szCs w:val="24"/>
          <w:lang w:val="es-MX"/>
        </w:rPr>
        <w:t>efectos, conforme a la ley aplicable al acto, la notificación de la resolución o acto que se</w:t>
      </w:r>
      <w:r>
        <w:rPr>
          <w:rFonts w:ascii="Arial" w:hAnsi="Arial" w:cs="Arial"/>
          <w:i/>
          <w:sz w:val="21"/>
          <w:szCs w:val="21"/>
          <w:lang w:val="es-MX"/>
        </w:rPr>
        <w:t xml:space="preserve"> </w:t>
      </w:r>
      <w:r>
        <w:rPr>
          <w:rFonts w:ascii="Arial" w:hAnsi="Arial" w:cs="Arial"/>
          <w:i/>
          <w:sz w:val="24"/>
          <w:szCs w:val="24"/>
          <w:lang w:val="es-MX"/>
        </w:rPr>
        <w:t>combata; o conste fehacientemente que el o los interesados o afectados tienen conocimiento</w:t>
      </w:r>
      <w:r>
        <w:rPr>
          <w:rFonts w:ascii="Arial" w:hAnsi="Arial" w:cs="Arial"/>
          <w:i/>
          <w:sz w:val="21"/>
          <w:szCs w:val="21"/>
          <w:lang w:val="es-MX"/>
        </w:rPr>
        <w:t xml:space="preserve"> </w:t>
      </w:r>
      <w:r>
        <w:rPr>
          <w:rFonts w:ascii="Arial" w:hAnsi="Arial" w:cs="Arial"/>
          <w:i/>
          <w:sz w:val="24"/>
          <w:szCs w:val="24"/>
          <w:lang w:val="es-MX"/>
        </w:rPr>
        <w:t xml:space="preserve">del acto”. </w:t>
      </w:r>
      <w:r>
        <w:rPr>
          <w:rFonts w:ascii="Arial" w:hAnsi="Arial" w:cs="Arial"/>
          <w:sz w:val="26"/>
          <w:szCs w:val="26"/>
          <w:lang w:val="es-MX"/>
        </w:rPr>
        <w:t xml:space="preserve">Por ende, la demanda fue presentada oportunamente tal como lo determina dicho numeral. </w:t>
      </w:r>
    </w:p>
    <w:p w:rsidR="00C023D9" w:rsidRDefault="00C30D19" w:rsidP="00DF651C">
      <w:pPr>
        <w:pStyle w:val="Sinespaciado"/>
        <w:spacing w:after="120" w:line="360" w:lineRule="auto"/>
        <w:ind w:firstLine="708"/>
        <w:jc w:val="both"/>
        <w:rPr>
          <w:rFonts w:ascii="Arial" w:eastAsia="Arial Unicode MS" w:hAnsi="Arial" w:cs="Arial"/>
          <w:b/>
          <w:bCs/>
          <w:sz w:val="26"/>
          <w:szCs w:val="26"/>
          <w:lang w:val="es-MX"/>
        </w:rPr>
      </w:pPr>
      <w:r>
        <w:rPr>
          <w:rFonts w:ascii="Arial" w:eastAsia="Times New Roman" w:hAnsi="Arial" w:cs="Arial"/>
          <w:sz w:val="26"/>
          <w:szCs w:val="26"/>
          <w:lang w:val="es-MX" w:eastAsia="es-MX"/>
        </w:rPr>
        <w:t xml:space="preserve">Determinado </w:t>
      </w:r>
      <w:r>
        <w:rPr>
          <w:rFonts w:ascii="Arial" w:eastAsia="Arial Unicode MS" w:hAnsi="Arial" w:cs="Arial"/>
          <w:sz w:val="26"/>
          <w:szCs w:val="26"/>
        </w:rPr>
        <w:t xml:space="preserve">lo anterior, </w:t>
      </w:r>
      <w:r>
        <w:rPr>
          <w:rFonts w:ascii="Arial" w:eastAsia="Arial Unicode MS" w:hAnsi="Arial" w:cs="Arial"/>
          <w:bCs/>
          <w:sz w:val="26"/>
          <w:szCs w:val="26"/>
          <w:lang w:val="es-MX"/>
        </w:rPr>
        <w:t xml:space="preserve">hace evidente la existencia de una violación procesal que afectó las defensas de la parte actora, pues la primera instancia no tuvo elementos suficientes para sobreseer el juicio de nulidad promovido por </w:t>
      </w:r>
      <w:r w:rsidR="009A7C7B">
        <w:rPr>
          <w:rFonts w:ascii="Arial" w:eastAsia="Arial Unicode MS" w:hAnsi="Arial" w:cs="Arial"/>
          <w:bCs/>
          <w:sz w:val="26"/>
          <w:szCs w:val="26"/>
          <w:lang w:val="es-MX"/>
        </w:rPr>
        <w:t>**********</w:t>
      </w:r>
      <w:r>
        <w:rPr>
          <w:rFonts w:ascii="Arial" w:eastAsia="Arial Unicode MS" w:hAnsi="Arial" w:cs="Arial"/>
          <w:b/>
          <w:bCs/>
          <w:sz w:val="26"/>
          <w:szCs w:val="26"/>
          <w:lang w:val="es-MX"/>
        </w:rPr>
        <w:t>, violentando el principio de seguridad jurídica que des</w:t>
      </w:r>
      <w:r w:rsidR="00C023D9">
        <w:rPr>
          <w:rFonts w:ascii="Arial" w:eastAsia="Arial Unicode MS" w:hAnsi="Arial" w:cs="Arial"/>
          <w:b/>
          <w:bCs/>
          <w:sz w:val="26"/>
          <w:szCs w:val="26"/>
          <w:lang w:val="es-MX"/>
        </w:rPr>
        <w:t>encadena la violación procesal.</w:t>
      </w:r>
    </w:p>
    <w:p w:rsidR="00C30D19" w:rsidRDefault="00C30D19" w:rsidP="00DF651C">
      <w:pPr>
        <w:pStyle w:val="Sinespaciado"/>
        <w:spacing w:after="120" w:line="360" w:lineRule="auto"/>
        <w:ind w:firstLine="708"/>
        <w:jc w:val="both"/>
        <w:rPr>
          <w:rFonts w:ascii="Arial" w:hAnsi="Arial" w:cs="Arial"/>
          <w:sz w:val="26"/>
          <w:szCs w:val="26"/>
        </w:rPr>
      </w:pPr>
      <w:r>
        <w:rPr>
          <w:rFonts w:ascii="Arial" w:eastAsia="Calibri" w:hAnsi="Arial" w:cs="Arial"/>
          <w:sz w:val="26"/>
          <w:szCs w:val="26"/>
        </w:rPr>
        <w:t>Es así,</w:t>
      </w:r>
      <w:r>
        <w:rPr>
          <w:rFonts w:ascii="Arial" w:eastAsia="Calibri" w:hAnsi="Arial" w:cs="Arial"/>
          <w:b/>
          <w:sz w:val="26"/>
          <w:szCs w:val="26"/>
        </w:rPr>
        <w:t xml:space="preserve"> </w:t>
      </w:r>
      <w:r>
        <w:rPr>
          <w:rFonts w:ascii="Arial" w:eastAsia="Calibri" w:hAnsi="Arial" w:cs="Arial"/>
          <w:sz w:val="26"/>
          <w:szCs w:val="26"/>
        </w:rPr>
        <w:t xml:space="preserve">porque la tutela judicial efectiva comprende cuatro principios que deben caracterizar la impartición de justicia; a saber, debe ser pronta, completa, imparcial y gratuita. La justicia </w:t>
      </w:r>
      <w:r>
        <w:rPr>
          <w:rFonts w:ascii="Arial" w:eastAsia="Calibri" w:hAnsi="Arial" w:cs="Arial"/>
          <w:b/>
          <w:i/>
          <w:sz w:val="26"/>
          <w:szCs w:val="26"/>
        </w:rPr>
        <w:t>pronta</w:t>
      </w:r>
      <w:r>
        <w:rPr>
          <w:rFonts w:ascii="Arial" w:eastAsia="Calibri" w:hAnsi="Arial" w:cs="Arial"/>
          <w:sz w:val="26"/>
          <w:szCs w:val="26"/>
        </w:rPr>
        <w:t xml:space="preserve"> implica la obligación que tienen las autoridades impartidoras de justicia de resolver las cuestiones sometidas a su consideración dentro de los plazos y términos legales. La justicia </w:t>
      </w:r>
      <w:r>
        <w:rPr>
          <w:rFonts w:ascii="Arial" w:eastAsia="Calibri" w:hAnsi="Arial" w:cs="Arial"/>
          <w:b/>
          <w:i/>
          <w:sz w:val="26"/>
          <w:szCs w:val="26"/>
        </w:rPr>
        <w:t xml:space="preserve">completa </w:t>
      </w:r>
      <w:r>
        <w:rPr>
          <w:rFonts w:ascii="Arial" w:eastAsia="Calibri" w:hAnsi="Arial" w:cs="Arial"/>
          <w:sz w:val="26"/>
          <w:szCs w:val="26"/>
        </w:rPr>
        <w:t xml:space="preserve">consiste en que la autoridad conocedora de la controversia se pronuncie sobre todos los puntos sometidos a litigio en la que garantice al gobernado que se emitirá una determinación en la que mediante la aplicación de la ley se garantice la tutela jurisdiccional que ha solicitado. La justicia </w:t>
      </w:r>
      <w:r>
        <w:rPr>
          <w:rFonts w:ascii="Arial" w:eastAsia="Calibri" w:hAnsi="Arial" w:cs="Arial"/>
          <w:b/>
          <w:i/>
          <w:sz w:val="26"/>
          <w:szCs w:val="26"/>
        </w:rPr>
        <w:t>imparcial</w:t>
      </w:r>
      <w:r>
        <w:rPr>
          <w:rFonts w:ascii="Arial" w:eastAsia="Calibri" w:hAnsi="Arial" w:cs="Arial"/>
          <w:sz w:val="26"/>
          <w:szCs w:val="26"/>
        </w:rPr>
        <w:t xml:space="preserve">, implica que la autoridad que imparte justicia deberá resolver la controversia hasta ella planteada sin favoritismo en favor de alguna de las partes ni de manera arbitraria y, la </w:t>
      </w:r>
      <w:r>
        <w:rPr>
          <w:rFonts w:ascii="Arial" w:eastAsia="Calibri" w:hAnsi="Arial" w:cs="Arial"/>
          <w:b/>
          <w:i/>
          <w:sz w:val="26"/>
          <w:szCs w:val="26"/>
        </w:rPr>
        <w:t>justicia gratuita</w:t>
      </w:r>
      <w:r>
        <w:rPr>
          <w:rFonts w:ascii="Arial" w:eastAsia="Calibri" w:hAnsi="Arial" w:cs="Arial"/>
          <w:sz w:val="26"/>
          <w:szCs w:val="26"/>
        </w:rPr>
        <w:t xml:space="preserve"> quiere decir que los órganos encargados de resolver los juicios no podrán cobrar emolumento alguno por el suministro de justicia a las partes. En este sentido, la tutela judicial efectiva conlleva a asegurar a las partes sometidas a la jurisdicción de algún tribunal que se resolverá su controversia atendiendo estos cuatro principios, al constituirse en un derecho humano. Estas consideraciones encuentran sustento por identidad en el tema en la jurisprudencia </w:t>
      </w:r>
      <w:r>
        <w:rPr>
          <w:rFonts w:ascii="Arial" w:hAnsi="Arial" w:cs="Arial"/>
          <w:sz w:val="26"/>
          <w:szCs w:val="26"/>
        </w:rPr>
        <w:t xml:space="preserve">2a./J. 192/2007 de la Segunda Sala de la Suprema Corte de Justicia de la Nación emitida en la Novena Época, la cual está publicada en el Semanario Judicial de la Federación y su Gaceta en el Tomo XXVI, de octubre de 2007, y visible a página 209 con el rubro y texto del </w:t>
      </w:r>
      <w:r w:rsidR="00C023D9">
        <w:rPr>
          <w:rFonts w:ascii="Arial" w:hAnsi="Arial" w:cs="Arial"/>
          <w:sz w:val="26"/>
          <w:szCs w:val="26"/>
        </w:rPr>
        <w:t xml:space="preserve">tenor literal siguiente: </w:t>
      </w:r>
      <w:r>
        <w:rPr>
          <w:rFonts w:ascii="Arial" w:hAnsi="Arial" w:cs="Arial"/>
          <w:sz w:val="26"/>
          <w:szCs w:val="26"/>
        </w:rPr>
        <w:t xml:space="preserve"> </w:t>
      </w:r>
    </w:p>
    <w:p w:rsidR="00C30D19" w:rsidRDefault="00C30D19" w:rsidP="00220248">
      <w:pPr>
        <w:spacing w:after="120"/>
        <w:ind w:left="851" w:right="900"/>
        <w:jc w:val="both"/>
        <w:rPr>
          <w:rFonts w:ascii="Arial" w:hAnsi="Arial" w:cs="Arial"/>
          <w:i/>
        </w:rPr>
      </w:pPr>
      <w:r>
        <w:rPr>
          <w:rFonts w:ascii="Arial" w:hAnsi="Arial" w:cs="Arial"/>
          <w:b/>
          <w:i/>
        </w:rPr>
        <w:lastRenderedPageBreak/>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Pr>
          <w:rFonts w:ascii="Arial" w:hAnsi="Arial" w:cs="Arial"/>
          <w:i/>
        </w:rPr>
        <w:t>. La garantía individual de acceso a la impartición de justicia consagra a favor de los gobernados los siguientes principios: 1. De justicia pronta, que se traduce en la obligación de las autoridades encargadas de su impartición de resolver las controversias ante ellas planteadas, dentro de los términos y plazos que para tal efecto establezcan las leyes; 2. De justicia completa, consistente en que la autoridad que conoce del asunto emita pronunciamiento respecto de todos y cada uno de los aspectos debatidos cuyo estudio sea necesario, y garantice al gobernado la obtención de una resolución en la que, mediante la aplicación de la ley al caso concreto, se resuelva si le asiste o no la razón sobre los derechos que le garanticen la tutela jurisdiccional que ha solicitado; 3. De justicia imparcial, que significa que el juzgador emita una resolución apegada a derecho, y sin favoritismo respecto de alguna de las partes o arbitrariedad en su sentido; y, 4. De justicia gratuita, que estriba en que los órganos del Estado encargados de su impartición, así como los servidores públicos a quienes se les encomienda dicha función, no cobrarán a las partes en conflicto emolumento alguno por la prestación de ese servicio público. Ahora bien, si la citada garantía constitucional está encaminada a asegurar que las autoridades encargadas de aplicarla lo hagan de manera pronta, completa, gratuita e imparcial, es claro que las autoridades que se encuentran obligadas a la observancia de la totalidad de los derechos que la integran son todas aquellas que realizan actos materialmente jurisdiccionales, es decir, las que en su ámbito de competencia tienen la atribución necesaria para dirimir un conflicto suscitado entre diversos sujetos de derecho, independientemente de que se trate de órganos judiciales, o bien, sólo ma</w:t>
      </w:r>
      <w:r w:rsidR="00C023D9">
        <w:rPr>
          <w:rFonts w:ascii="Arial" w:hAnsi="Arial" w:cs="Arial"/>
          <w:i/>
        </w:rPr>
        <w:t>terialmente jurisdiccionales.”</w:t>
      </w:r>
    </w:p>
    <w:p w:rsidR="00C023D9" w:rsidRDefault="00C30D19" w:rsidP="00C023D9">
      <w:pPr>
        <w:pStyle w:val="Sinespaciado"/>
        <w:spacing w:after="120" w:line="360" w:lineRule="auto"/>
        <w:ind w:firstLine="708"/>
        <w:jc w:val="both"/>
        <w:rPr>
          <w:rFonts w:ascii="Arial" w:eastAsia="Calibri" w:hAnsi="Arial" w:cs="Arial"/>
          <w:sz w:val="26"/>
          <w:szCs w:val="26"/>
        </w:rPr>
      </w:pPr>
      <w:r>
        <w:rPr>
          <w:rFonts w:ascii="Arial" w:hAnsi="Arial" w:cs="Arial"/>
          <w:sz w:val="26"/>
          <w:szCs w:val="26"/>
        </w:rPr>
        <w:t xml:space="preserve">Por consiguiente, a fin de reparar el agravio irrogado por la primera instancia, se impone </w:t>
      </w:r>
      <w:r>
        <w:rPr>
          <w:rFonts w:ascii="Arial" w:hAnsi="Arial" w:cs="Arial"/>
          <w:b/>
          <w:sz w:val="26"/>
          <w:szCs w:val="26"/>
        </w:rPr>
        <w:t>REVOCAR</w:t>
      </w:r>
      <w:r>
        <w:rPr>
          <w:rFonts w:ascii="Arial" w:hAnsi="Arial" w:cs="Arial"/>
          <w:sz w:val="26"/>
          <w:szCs w:val="26"/>
        </w:rPr>
        <w:t xml:space="preserve"> la resolución recurrida, para dejar sin efecto la declaración de sobreseimiento, y puesto que como consecuencia se dejó de analizar el fondo del asunto planteado, </w:t>
      </w:r>
      <w:r>
        <w:rPr>
          <w:rFonts w:ascii="Arial" w:hAnsi="Arial" w:cs="Arial"/>
          <w:b/>
          <w:sz w:val="26"/>
          <w:szCs w:val="26"/>
        </w:rPr>
        <w:t>el Magistrado de la Quinta Sala Unitaria de Primera Instancia debe agotar su jurisdicción</w:t>
      </w:r>
      <w:r>
        <w:rPr>
          <w:rFonts w:ascii="Arial" w:hAnsi="Arial" w:cs="Arial"/>
          <w:sz w:val="26"/>
          <w:szCs w:val="26"/>
        </w:rPr>
        <w:t xml:space="preserve">; </w:t>
      </w:r>
      <w:r>
        <w:rPr>
          <w:rFonts w:ascii="Arial" w:eastAsia="Calibri" w:hAnsi="Arial" w:cs="Arial"/>
          <w:sz w:val="26"/>
          <w:szCs w:val="26"/>
        </w:rPr>
        <w:t xml:space="preserve">por ello, se ordena que vuelvan los autos a la sala primigenia para que tomando en consideración los lineamientos dados por el Primer Tribunal Colegiado en Materias Civil y Administrativa del Décimo Tercer Circuito, en la ejecutoria dictada el 26 veintiséis de marzo de 2019 dos mil diecinueve, dentro del expediente de amparo directo 7/2018; en libertad de jurisdicción, resuelva sobre la Litis efectivamente planteada por el actor </w:t>
      </w:r>
      <w:r w:rsidR="009A7C7B">
        <w:rPr>
          <w:rFonts w:ascii="Arial" w:eastAsia="Calibri" w:hAnsi="Arial" w:cs="Arial"/>
          <w:sz w:val="26"/>
          <w:szCs w:val="26"/>
        </w:rPr>
        <w:t>**********</w:t>
      </w:r>
      <w:r>
        <w:rPr>
          <w:rFonts w:ascii="Arial" w:eastAsia="Calibri" w:hAnsi="Arial" w:cs="Arial"/>
          <w:sz w:val="26"/>
          <w:szCs w:val="26"/>
        </w:rPr>
        <w:t xml:space="preserve"> en su demanda de nulidad presentada el 24 veinticuatro de septiembre de 2015 dos mil quince; y en su oportunidad emita la sentencia que en derecho </w:t>
      </w:r>
      <w:r>
        <w:rPr>
          <w:rFonts w:ascii="Arial" w:eastAsia="Calibri" w:hAnsi="Arial" w:cs="Arial"/>
          <w:sz w:val="26"/>
          <w:szCs w:val="26"/>
        </w:rPr>
        <w:lastRenderedPageBreak/>
        <w:t>proceda, porque como se apuntó, la resolutora de primer grado no ha emitido un pronunciami</w:t>
      </w:r>
      <w:r w:rsidR="00C023D9">
        <w:rPr>
          <w:rFonts w:ascii="Arial" w:eastAsia="Calibri" w:hAnsi="Arial" w:cs="Arial"/>
          <w:sz w:val="26"/>
          <w:szCs w:val="26"/>
        </w:rPr>
        <w:t>ento sobre el fondo del asunto.</w:t>
      </w:r>
    </w:p>
    <w:p w:rsidR="00C023D9" w:rsidRDefault="00C30D19" w:rsidP="00C023D9">
      <w:pPr>
        <w:pStyle w:val="Sinespaciado"/>
        <w:spacing w:after="120" w:line="360" w:lineRule="auto"/>
        <w:ind w:firstLine="708"/>
        <w:jc w:val="both"/>
        <w:rPr>
          <w:rFonts w:ascii="Arial" w:hAnsi="Arial" w:cs="Arial"/>
          <w:sz w:val="26"/>
          <w:szCs w:val="26"/>
          <w:lang w:val="es-MX"/>
        </w:rPr>
      </w:pPr>
      <w:r>
        <w:rPr>
          <w:rFonts w:ascii="Arial" w:hAnsi="Arial" w:cs="Arial"/>
          <w:bCs/>
          <w:color w:val="000000"/>
          <w:sz w:val="26"/>
          <w:szCs w:val="26"/>
          <w:lang w:val="es-MX"/>
        </w:rPr>
        <w:t xml:space="preserve">En consecuencia, deben volver los autos a la primera instancia sin </w:t>
      </w:r>
      <w:r>
        <w:rPr>
          <w:rFonts w:ascii="Arial" w:hAnsi="Arial" w:cs="Arial"/>
          <w:sz w:val="26"/>
          <w:szCs w:val="26"/>
          <w:lang w:val="es-MX"/>
        </w:rPr>
        <w:t>que ello implique reenvío, virtud a que este órgano revisor no tiene facultades para pronunciarse de un asunto, donde el juzgador no agotó la obligación que le impone la Ley para resolver acerca de todas las cuestiones sometidas a su consideración, como lo dispone el artículo 177 de la Ley de Justicia Administr</w:t>
      </w:r>
      <w:r w:rsidR="00C023D9">
        <w:rPr>
          <w:rFonts w:ascii="Arial" w:hAnsi="Arial" w:cs="Arial"/>
          <w:sz w:val="26"/>
          <w:szCs w:val="26"/>
          <w:lang w:val="es-MX"/>
        </w:rPr>
        <w:t>ativa para el Estado de Oaxaca.</w:t>
      </w:r>
    </w:p>
    <w:p w:rsidR="00C30D19" w:rsidRDefault="00C30D19" w:rsidP="00C023D9">
      <w:pPr>
        <w:pStyle w:val="Sinespaciado"/>
        <w:spacing w:after="120" w:line="360" w:lineRule="auto"/>
        <w:ind w:firstLine="708"/>
        <w:jc w:val="both"/>
        <w:rPr>
          <w:rFonts w:ascii="Arial" w:hAnsi="Arial" w:cs="Arial"/>
          <w:b/>
          <w:bCs/>
          <w:i/>
          <w:sz w:val="26"/>
          <w:szCs w:val="26"/>
        </w:rPr>
      </w:pPr>
      <w:r>
        <w:rPr>
          <w:rFonts w:ascii="Arial" w:eastAsia="Calibri" w:hAnsi="Arial" w:cs="Arial"/>
          <w:sz w:val="26"/>
          <w:szCs w:val="26"/>
        </w:rPr>
        <w:t>T</w:t>
      </w:r>
      <w:r>
        <w:rPr>
          <w:rFonts w:ascii="Arial" w:hAnsi="Arial" w:cs="Arial"/>
          <w:bCs/>
          <w:color w:val="000000"/>
          <w:sz w:val="26"/>
          <w:szCs w:val="26"/>
        </w:rPr>
        <w:t xml:space="preserve">ienen apoyo a lo anterior, la tesis </w:t>
      </w:r>
      <w:r>
        <w:rPr>
          <w:rFonts w:ascii="Arial" w:hAnsi="Arial" w:cs="Arial"/>
          <w:bCs/>
          <w:sz w:val="26"/>
          <w:szCs w:val="26"/>
        </w:rPr>
        <w:t>TCASS0008/2011TO.1AD, sostenida por la Sala Superior del Tribunal de lo Contencioso Administrativo del Poder Judicial de Estado de Oaxaca, visible a página 8, del Boletín número 1, del índice de este Tribunal, de la Primera Época, con registro 8, Tomo I, Enero de 201</w:t>
      </w:r>
      <w:r w:rsidR="00C023D9">
        <w:rPr>
          <w:rFonts w:ascii="Arial" w:hAnsi="Arial" w:cs="Arial"/>
          <w:bCs/>
          <w:sz w:val="26"/>
          <w:szCs w:val="26"/>
        </w:rPr>
        <w:t>1, de rubro y texto siguiente:</w:t>
      </w:r>
    </w:p>
    <w:p w:rsidR="00C30D19" w:rsidRDefault="00C30D19" w:rsidP="00220248">
      <w:pPr>
        <w:spacing w:after="120"/>
        <w:ind w:left="851" w:right="758"/>
        <w:jc w:val="both"/>
        <w:rPr>
          <w:rFonts w:ascii="Arial" w:eastAsia="Calibri" w:hAnsi="Arial" w:cs="Arial"/>
          <w:sz w:val="24"/>
          <w:szCs w:val="24"/>
        </w:rPr>
      </w:pPr>
      <w:r>
        <w:rPr>
          <w:rFonts w:ascii="Arial" w:hAnsi="Arial" w:cs="Arial"/>
          <w:b/>
          <w:bCs/>
          <w:i/>
        </w:rPr>
        <w:t>“SENTENCIA PARA EFECTOS. LA SALA SUPERIOR AL RESOLVER EL RECURSO DE REVISIÓN NO PUEDE DICTARLA CUANDO LA PRIMERA INSTANCIA NO AGOTÓ SU JURISDICCIÓN.</w:t>
      </w:r>
      <w:r>
        <w:rPr>
          <w:rFonts w:ascii="Arial" w:hAnsi="Arial" w:cs="Arial"/>
          <w:bCs/>
          <w:i/>
        </w:rPr>
        <w:t xml:space="preserve"> 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w:t>
      </w:r>
      <w:r w:rsidR="00C023D9">
        <w:rPr>
          <w:rFonts w:ascii="Arial" w:hAnsi="Arial" w:cs="Arial"/>
          <w:bCs/>
          <w:i/>
        </w:rPr>
        <w:t xml:space="preserve"> sometidas a su consideración”.</w:t>
      </w:r>
      <w:r>
        <w:rPr>
          <w:rFonts w:ascii="Arial" w:hAnsi="Arial" w:cs="Arial"/>
          <w:bCs/>
          <w:i/>
        </w:rPr>
        <w:t xml:space="preserve"> </w:t>
      </w:r>
    </w:p>
    <w:p w:rsidR="00C023D9" w:rsidRDefault="00C30D19" w:rsidP="00C023D9">
      <w:pPr>
        <w:spacing w:after="120" w:line="360" w:lineRule="auto"/>
        <w:ind w:firstLine="708"/>
        <w:jc w:val="both"/>
        <w:rPr>
          <w:rFonts w:ascii="Arial" w:eastAsia="Calibri" w:hAnsi="Arial" w:cs="Arial"/>
          <w:sz w:val="26"/>
          <w:szCs w:val="26"/>
        </w:rPr>
      </w:pPr>
      <w:r>
        <w:rPr>
          <w:rFonts w:ascii="Arial" w:eastAsia="Calibri" w:hAnsi="Arial" w:cs="Arial"/>
          <w:sz w:val="26"/>
          <w:szCs w:val="26"/>
        </w:rPr>
        <w:t>Por las narradas consideraciones, con fundamento en los artículos 207 y 208 de la Ley de Justicia Adm</w:t>
      </w:r>
      <w:r w:rsidR="00C023D9">
        <w:rPr>
          <w:rFonts w:ascii="Arial" w:eastAsia="Calibri" w:hAnsi="Arial" w:cs="Arial"/>
          <w:sz w:val="26"/>
          <w:szCs w:val="26"/>
        </w:rPr>
        <w:t>inistrativa para el Estado,</w:t>
      </w:r>
      <w:r w:rsidR="00E771CF">
        <w:rPr>
          <w:rFonts w:ascii="Arial" w:eastAsia="Calibri" w:hAnsi="Arial" w:cs="Arial"/>
          <w:sz w:val="26"/>
          <w:szCs w:val="26"/>
        </w:rPr>
        <w:t xml:space="preserve"> vigente hasta el veinte de octubre de dos mil diecisiete,</w:t>
      </w:r>
      <w:r w:rsidR="00C023D9">
        <w:rPr>
          <w:rFonts w:ascii="Arial" w:eastAsia="Calibri" w:hAnsi="Arial" w:cs="Arial"/>
          <w:sz w:val="26"/>
          <w:szCs w:val="26"/>
        </w:rPr>
        <w:t xml:space="preserve"> se:</w:t>
      </w:r>
    </w:p>
    <w:p w:rsidR="00C023D9" w:rsidRDefault="00C30D19" w:rsidP="00C023D9">
      <w:pPr>
        <w:spacing w:after="120" w:line="360" w:lineRule="auto"/>
        <w:ind w:firstLine="708"/>
        <w:jc w:val="center"/>
        <w:rPr>
          <w:rFonts w:ascii="Arial" w:eastAsia="Calibri" w:hAnsi="Arial" w:cs="Arial"/>
          <w:sz w:val="26"/>
          <w:szCs w:val="26"/>
        </w:rPr>
      </w:pPr>
      <w:r>
        <w:rPr>
          <w:rFonts w:ascii="Arial" w:eastAsia="Calibri" w:hAnsi="Arial" w:cs="Arial"/>
          <w:b/>
          <w:sz w:val="26"/>
          <w:szCs w:val="26"/>
        </w:rPr>
        <w:t>R E S U E L V E</w:t>
      </w:r>
    </w:p>
    <w:p w:rsidR="00C023D9" w:rsidRDefault="00C30D19" w:rsidP="00C023D9">
      <w:pPr>
        <w:spacing w:after="120" w:line="360" w:lineRule="auto"/>
        <w:ind w:firstLine="708"/>
        <w:jc w:val="both"/>
        <w:rPr>
          <w:rFonts w:ascii="Arial" w:eastAsia="Times New Roman" w:hAnsi="Arial" w:cs="Arial"/>
          <w:bCs/>
          <w:iCs/>
          <w:sz w:val="26"/>
          <w:szCs w:val="26"/>
          <w:lang w:eastAsia="es-ES"/>
        </w:rPr>
      </w:pPr>
      <w:r>
        <w:rPr>
          <w:rFonts w:ascii="Arial" w:eastAsia="Calibri" w:hAnsi="Arial" w:cs="Arial"/>
          <w:b/>
          <w:sz w:val="26"/>
          <w:szCs w:val="26"/>
        </w:rPr>
        <w:t>PRIMERO</w:t>
      </w:r>
      <w:r>
        <w:rPr>
          <w:rFonts w:ascii="Arial" w:eastAsia="Calibri" w:hAnsi="Arial" w:cs="Arial"/>
          <w:sz w:val="26"/>
          <w:szCs w:val="26"/>
        </w:rPr>
        <w:t xml:space="preserve">. </w:t>
      </w:r>
      <w:r>
        <w:rPr>
          <w:rFonts w:ascii="Arial" w:eastAsia="Times New Roman" w:hAnsi="Arial" w:cs="Arial"/>
          <w:bCs/>
          <w:iCs/>
          <w:sz w:val="26"/>
          <w:szCs w:val="26"/>
          <w:lang w:eastAsia="es-ES"/>
        </w:rPr>
        <w:t>Se deja insubsistente la resolución de 12 doce de octubre de 2017 dos mil diecisiete, dictada por la Sala Superior del entonces Tribunal de lo Contencioso Administrativo y de Cuentas d</w:t>
      </w:r>
      <w:r w:rsidR="00C023D9">
        <w:rPr>
          <w:rFonts w:ascii="Arial" w:eastAsia="Times New Roman" w:hAnsi="Arial" w:cs="Arial"/>
          <w:bCs/>
          <w:iCs/>
          <w:sz w:val="26"/>
          <w:szCs w:val="26"/>
          <w:lang w:eastAsia="es-ES"/>
        </w:rPr>
        <w:t>el Poder Judicial del Estado.</w:t>
      </w:r>
    </w:p>
    <w:p w:rsidR="00C023D9" w:rsidRDefault="00C30D19" w:rsidP="00C023D9">
      <w:pPr>
        <w:spacing w:after="120" w:line="360" w:lineRule="auto"/>
        <w:ind w:firstLine="708"/>
        <w:jc w:val="both"/>
        <w:rPr>
          <w:rFonts w:ascii="Arial" w:eastAsia="Calibri" w:hAnsi="Arial" w:cs="Arial"/>
          <w:sz w:val="26"/>
          <w:szCs w:val="26"/>
          <w:lang w:eastAsia="es-ES"/>
        </w:rPr>
      </w:pPr>
      <w:r>
        <w:rPr>
          <w:rFonts w:ascii="Arial" w:hAnsi="Arial" w:cs="Arial"/>
          <w:b/>
          <w:sz w:val="26"/>
          <w:szCs w:val="26"/>
        </w:rPr>
        <w:t xml:space="preserve">SEGUNDO. </w:t>
      </w:r>
      <w:r>
        <w:rPr>
          <w:rFonts w:ascii="Arial" w:eastAsia="Calibri" w:hAnsi="Arial" w:cs="Arial"/>
          <w:sz w:val="26"/>
          <w:szCs w:val="26"/>
        </w:rPr>
        <w:t xml:space="preserve">Se </w:t>
      </w:r>
      <w:r>
        <w:rPr>
          <w:rFonts w:ascii="Arial" w:eastAsia="Calibri" w:hAnsi="Arial" w:cs="Arial"/>
          <w:b/>
          <w:sz w:val="26"/>
          <w:szCs w:val="26"/>
        </w:rPr>
        <w:t xml:space="preserve">REVOCA </w:t>
      </w:r>
      <w:r>
        <w:rPr>
          <w:rFonts w:ascii="Arial" w:eastAsia="Calibri" w:hAnsi="Arial" w:cs="Arial"/>
          <w:sz w:val="26"/>
          <w:szCs w:val="26"/>
        </w:rPr>
        <w:t xml:space="preserve">la resolución de </w:t>
      </w:r>
      <w:r>
        <w:rPr>
          <w:rFonts w:ascii="Arial" w:hAnsi="Arial" w:cs="Arial"/>
          <w:sz w:val="26"/>
          <w:szCs w:val="26"/>
        </w:rPr>
        <w:t>29 veintinueve de noviembre de 2016 dos mil dieciséis</w:t>
      </w:r>
      <w:r>
        <w:rPr>
          <w:rFonts w:ascii="Arial" w:eastAsia="Calibri" w:hAnsi="Arial" w:cs="Arial"/>
          <w:sz w:val="26"/>
          <w:szCs w:val="26"/>
        </w:rPr>
        <w:t xml:space="preserve">, </w:t>
      </w:r>
      <w:r>
        <w:rPr>
          <w:rFonts w:ascii="Arial" w:eastAsia="Calibri" w:hAnsi="Arial" w:cs="Arial"/>
          <w:sz w:val="26"/>
          <w:szCs w:val="26"/>
          <w:lang w:eastAsia="es-ES"/>
        </w:rPr>
        <w:t xml:space="preserve">por las razones expuestas en el considerando cuarto de esta resolución. </w:t>
      </w:r>
    </w:p>
    <w:p w:rsidR="00C023D9" w:rsidRDefault="00C30D19" w:rsidP="00C023D9">
      <w:pPr>
        <w:spacing w:after="120" w:line="360" w:lineRule="auto"/>
        <w:ind w:firstLine="708"/>
        <w:jc w:val="both"/>
        <w:rPr>
          <w:rFonts w:ascii="Arial" w:hAnsi="Arial" w:cs="Arial"/>
          <w:sz w:val="26"/>
          <w:szCs w:val="26"/>
        </w:rPr>
      </w:pPr>
      <w:r>
        <w:rPr>
          <w:rFonts w:ascii="Arial" w:hAnsi="Arial" w:cs="Arial"/>
          <w:b/>
          <w:sz w:val="26"/>
          <w:szCs w:val="26"/>
        </w:rPr>
        <w:lastRenderedPageBreak/>
        <w:t xml:space="preserve">TERCERO. </w:t>
      </w:r>
      <w:r>
        <w:rPr>
          <w:rFonts w:ascii="Arial" w:hAnsi="Arial" w:cs="Arial"/>
          <w:sz w:val="26"/>
          <w:szCs w:val="26"/>
        </w:rPr>
        <w:t>Vuelvan los autos a la Quinta Sala Unitaria de Primera Instancia de este Tribunal, a fin de que agote su jurisdic</w:t>
      </w:r>
      <w:r w:rsidR="00C023D9">
        <w:rPr>
          <w:rFonts w:ascii="Arial" w:hAnsi="Arial" w:cs="Arial"/>
          <w:sz w:val="26"/>
          <w:szCs w:val="26"/>
        </w:rPr>
        <w:t>ción en los términos señalados.</w:t>
      </w:r>
    </w:p>
    <w:p w:rsidR="00C023D9" w:rsidRDefault="00C30D19" w:rsidP="00C023D9">
      <w:pPr>
        <w:spacing w:after="120" w:line="360" w:lineRule="auto"/>
        <w:ind w:firstLine="708"/>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C023D9" w:rsidRDefault="00C30D19" w:rsidP="00C023D9">
      <w:pPr>
        <w:spacing w:after="120" w:line="360" w:lineRule="auto"/>
        <w:ind w:firstLine="708"/>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Remítanse copias certificadas de la presente resolución al Primer Tribunal Colegiado en Materias Civil y Administrativa del Décimo Tercer Circuito, con residencia en San Bartolo Coyotepec, Oaxaca, como constancia de cumplimiento para los efe</w:t>
      </w:r>
      <w:r w:rsidR="00C023D9">
        <w:rPr>
          <w:rFonts w:ascii="Arial" w:hAnsi="Arial" w:cs="Arial"/>
          <w:sz w:val="26"/>
          <w:szCs w:val="26"/>
        </w:rPr>
        <w:t>ctos legales correspondientes.</w:t>
      </w:r>
    </w:p>
    <w:p w:rsidR="00C023D9" w:rsidRDefault="00C30D19" w:rsidP="00C023D9">
      <w:pPr>
        <w:spacing w:after="120" w:line="360" w:lineRule="auto"/>
        <w:ind w:firstLine="708"/>
        <w:jc w:val="both"/>
        <w:rPr>
          <w:rFonts w:ascii="Arial" w:hAnsi="Arial" w:cs="Arial"/>
          <w:sz w:val="26"/>
          <w:szCs w:val="26"/>
        </w:rPr>
      </w:pPr>
      <w:r>
        <w:rPr>
          <w:rFonts w:ascii="Arial" w:hAnsi="Arial" w:cs="Arial"/>
          <w:b/>
          <w:sz w:val="26"/>
          <w:szCs w:val="26"/>
        </w:rPr>
        <w:t xml:space="preserve">SEXTO. NOTIFÍQUESE Y CÚMPLASE, </w:t>
      </w:r>
      <w:r>
        <w:rPr>
          <w:rFonts w:ascii="Arial" w:hAnsi="Arial" w:cs="Arial"/>
          <w:sz w:val="26"/>
          <w:szCs w:val="26"/>
        </w:rPr>
        <w:t>remítase copia certificada de la presente resolución a la Quinta Sala Unitaria de Primera Instancia de este Tribunal, y en su oportunidad archívese el presente cuaderno de r</w:t>
      </w:r>
      <w:r w:rsidR="00C023D9">
        <w:rPr>
          <w:rFonts w:ascii="Arial" w:hAnsi="Arial" w:cs="Arial"/>
          <w:sz w:val="26"/>
          <w:szCs w:val="26"/>
        </w:rPr>
        <w:t>evisión como asunto concluido.</w:t>
      </w:r>
    </w:p>
    <w:p w:rsidR="00C023D9" w:rsidRDefault="00C023D9" w:rsidP="00C023D9">
      <w:pPr>
        <w:spacing w:after="120" w:line="360" w:lineRule="auto"/>
        <w:ind w:firstLine="708"/>
        <w:jc w:val="both"/>
        <w:rPr>
          <w:rFonts w:ascii="Arial" w:hAnsi="Arial" w:cs="Arial"/>
          <w:sz w:val="26"/>
          <w:szCs w:val="26"/>
        </w:rPr>
      </w:pPr>
    </w:p>
    <w:p w:rsidR="00C023D9" w:rsidRDefault="00C023D9" w:rsidP="00C023D9">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w:t>
      </w:r>
      <w:r w:rsidR="00220248">
        <w:rPr>
          <w:rFonts w:ascii="Arial" w:hAnsi="Arial" w:cs="Arial"/>
          <w:sz w:val="26"/>
          <w:szCs w:val="26"/>
        </w:rPr>
        <w:t xml:space="preserve"> la Magistrada María Elena Villa de Jarquín y </w:t>
      </w:r>
      <w:r>
        <w:rPr>
          <w:rFonts w:ascii="Arial" w:hAnsi="Arial" w:cs="Arial"/>
          <w:sz w:val="26"/>
          <w:szCs w:val="26"/>
        </w:rPr>
        <w:t>Magistrado Enrique Pacheco Martínez, quienes actúan con la Secretaria General de Acuerdos de este Tribunal, que autoriza y da fe.</w:t>
      </w:r>
    </w:p>
    <w:p w:rsidR="00C023D9" w:rsidRDefault="00C023D9" w:rsidP="00C023D9">
      <w:pPr>
        <w:jc w:val="center"/>
        <w:rPr>
          <w:rFonts w:ascii="Arial" w:hAnsi="Arial" w:cs="Arial"/>
          <w:sz w:val="26"/>
          <w:szCs w:val="26"/>
        </w:rPr>
      </w:pPr>
    </w:p>
    <w:p w:rsidR="00C023D9" w:rsidRDefault="00C023D9" w:rsidP="00C023D9">
      <w:pPr>
        <w:jc w:val="center"/>
        <w:rPr>
          <w:rFonts w:ascii="Arial" w:eastAsia="Calibri" w:hAnsi="Arial" w:cs="Arial"/>
          <w:sz w:val="26"/>
          <w:szCs w:val="26"/>
        </w:rPr>
      </w:pPr>
    </w:p>
    <w:p w:rsidR="00C023D9" w:rsidRDefault="00C023D9" w:rsidP="00C023D9">
      <w:pPr>
        <w:jc w:val="center"/>
        <w:rPr>
          <w:rFonts w:ascii="Arial" w:eastAsia="Calibri"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MAGISTRADO ADRIÁN QUIROGA AVENDAÑO.</w:t>
      </w:r>
    </w:p>
    <w:p w:rsidR="00C023D9" w:rsidRDefault="00C023D9" w:rsidP="00C023D9">
      <w:pPr>
        <w:spacing w:after="0"/>
        <w:jc w:val="center"/>
        <w:rPr>
          <w:rFonts w:ascii="Arial" w:hAnsi="Arial" w:cs="Arial"/>
          <w:sz w:val="26"/>
          <w:szCs w:val="26"/>
        </w:rPr>
      </w:pPr>
      <w:r>
        <w:rPr>
          <w:rFonts w:ascii="Arial" w:hAnsi="Arial" w:cs="Arial"/>
          <w:sz w:val="26"/>
          <w:szCs w:val="26"/>
        </w:rPr>
        <w:t>PRESIDENTE</w:t>
      </w:r>
    </w:p>
    <w:p w:rsidR="00C023D9" w:rsidRDefault="00C023D9" w:rsidP="00C023D9">
      <w:pPr>
        <w:rPr>
          <w:rFonts w:ascii="Arial" w:hAnsi="Arial" w:cs="Arial"/>
          <w:sz w:val="26"/>
          <w:szCs w:val="26"/>
        </w:rPr>
      </w:pPr>
    </w:p>
    <w:p w:rsidR="00C023D9" w:rsidRDefault="00C023D9" w:rsidP="00C023D9">
      <w:pPr>
        <w:jc w:val="center"/>
        <w:rPr>
          <w:rFonts w:ascii="Arial" w:hAnsi="Arial" w:cs="Arial"/>
          <w:sz w:val="26"/>
          <w:szCs w:val="26"/>
        </w:rPr>
      </w:pPr>
    </w:p>
    <w:p w:rsidR="00C023D9" w:rsidRDefault="00C023D9" w:rsidP="00C023D9">
      <w:pPr>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r>
        <w:rPr>
          <w:rFonts w:ascii="Arial" w:hAnsi="Arial" w:cs="Arial"/>
          <w:sz w:val="26"/>
          <w:szCs w:val="26"/>
        </w:rPr>
        <w:t>MAGISTRADO HUGO VILLEGAS AQUINO.</w:t>
      </w: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023D9" w:rsidRDefault="00C023D9" w:rsidP="00C023D9">
      <w:pP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LICENCIADA LETICIA GARCIA SOTO.</w:t>
      </w:r>
    </w:p>
    <w:p w:rsidR="008238CF" w:rsidRPr="00220248" w:rsidRDefault="00C023D9" w:rsidP="00220248">
      <w:pPr>
        <w:spacing w:after="0"/>
        <w:jc w:val="center"/>
        <w:rPr>
          <w:rFonts w:ascii="Arial" w:hAnsi="Arial" w:cs="Arial"/>
          <w:sz w:val="26"/>
          <w:szCs w:val="26"/>
        </w:rPr>
      </w:pPr>
      <w:r>
        <w:rPr>
          <w:rFonts w:ascii="Arial" w:hAnsi="Arial" w:cs="Arial"/>
          <w:sz w:val="26"/>
          <w:szCs w:val="26"/>
        </w:rPr>
        <w:t xml:space="preserve">  SECRETARIA GENERAL DE ACUERDOS.</w:t>
      </w:r>
    </w:p>
    <w:sectPr w:rsidR="008238CF" w:rsidRPr="00220248"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C47" w:rsidRDefault="00567C47">
      <w:pPr>
        <w:spacing w:after="0" w:line="240" w:lineRule="auto"/>
      </w:pPr>
      <w:r>
        <w:separator/>
      </w:r>
    </w:p>
  </w:endnote>
  <w:endnote w:type="continuationSeparator" w:id="0">
    <w:p w:rsidR="00567C47" w:rsidRDefault="00567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isha">
    <w:altName w:val="Arial"/>
    <w:charset w:val="00"/>
    <w:family w:val="swiss"/>
    <w:pitch w:val="variable"/>
    <w:sig w:usb0="00000000" w:usb1="40000042"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72C" w:rsidRDefault="007D672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72C" w:rsidRDefault="007D672C">
    <w:pPr>
      <w:pStyle w:val="Piedepgina"/>
    </w:pPr>
    <w:r>
      <w:rPr>
        <w:noProof/>
      </w:rPr>
      <w:drawing>
        <wp:anchor distT="0" distB="0" distL="114300" distR="114300" simplePos="0" relativeHeight="251660288" behindDoc="0" locked="0" layoutInCell="1" allowOverlap="1" wp14:anchorId="7B3B130E" wp14:editId="2456E7DD">
          <wp:simplePos x="0" y="0"/>
          <wp:positionH relativeFrom="column">
            <wp:posOffset>-1567758</wp:posOffset>
          </wp:positionH>
          <wp:positionV relativeFrom="paragraph">
            <wp:posOffset>-5564216</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72C" w:rsidRDefault="007D672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C47" w:rsidRDefault="00567C47">
      <w:pPr>
        <w:spacing w:after="0" w:line="240" w:lineRule="auto"/>
      </w:pPr>
      <w:r>
        <w:separator/>
      </w:r>
    </w:p>
  </w:footnote>
  <w:footnote w:type="continuationSeparator" w:id="0">
    <w:p w:rsidR="00567C47" w:rsidRDefault="00567C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D672C">
          <w:rPr>
            <w:noProof/>
          </w:rPr>
          <w:t>20</w:t>
        </w:r>
        <w:r>
          <w:fldChar w:fldCharType="end"/>
        </w:r>
      </w:p>
    </w:sdtContent>
  </w:sdt>
  <w:p w:rsidR="00126798" w:rsidRDefault="007D672C">
    <w:pPr>
      <w:pStyle w:val="Encabezado"/>
    </w:pPr>
    <w:bookmarkStart w:id="0" w:name="_GoBack"/>
    <w:r>
      <w:rPr>
        <w:noProof/>
      </w:rPr>
      <w:drawing>
        <wp:anchor distT="0" distB="0" distL="114300" distR="114300" simplePos="0" relativeHeight="251664384" behindDoc="0" locked="0" layoutInCell="1" allowOverlap="1" wp14:anchorId="42A22CBB" wp14:editId="629AD9F9">
          <wp:simplePos x="0" y="0"/>
          <wp:positionH relativeFrom="column">
            <wp:posOffset>5563985</wp:posOffset>
          </wp:positionH>
          <wp:positionV relativeFrom="paragraph">
            <wp:posOffset>4294909</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D672C">
          <w:rPr>
            <w:noProof/>
          </w:rPr>
          <w:t>19</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240" behindDoc="0" locked="0" layoutInCell="1" allowOverlap="1" wp14:anchorId="088E27CB" wp14:editId="509947C0">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144" behindDoc="1" locked="0" layoutInCell="1" allowOverlap="1" wp14:anchorId="236262A6" wp14:editId="106F423D">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72C" w:rsidRDefault="007D672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03A30"/>
    <w:multiLevelType w:val="hybridMultilevel"/>
    <w:tmpl w:val="7A78D15E"/>
    <w:lvl w:ilvl="0" w:tplc="69F8E9E4">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1">
    <w:nsid w:val="1BBE10EE"/>
    <w:multiLevelType w:val="hybridMultilevel"/>
    <w:tmpl w:val="78F0317C"/>
    <w:lvl w:ilvl="0" w:tplc="2EEED42E">
      <w:start w:val="1"/>
      <w:numFmt w:val="decimal"/>
      <w:lvlText w:val="%1."/>
      <w:lvlJc w:val="left"/>
      <w:pPr>
        <w:ind w:left="1919" w:hanging="360"/>
      </w:pPr>
    </w:lvl>
    <w:lvl w:ilvl="1" w:tplc="080A0019">
      <w:start w:val="1"/>
      <w:numFmt w:val="lowerLetter"/>
      <w:lvlText w:val="%2."/>
      <w:lvlJc w:val="left"/>
      <w:pPr>
        <w:ind w:left="2639" w:hanging="360"/>
      </w:pPr>
    </w:lvl>
    <w:lvl w:ilvl="2" w:tplc="080A001B">
      <w:start w:val="1"/>
      <w:numFmt w:val="lowerRoman"/>
      <w:lvlText w:val="%3."/>
      <w:lvlJc w:val="right"/>
      <w:pPr>
        <w:ind w:left="3359" w:hanging="180"/>
      </w:pPr>
    </w:lvl>
    <w:lvl w:ilvl="3" w:tplc="080A000F">
      <w:start w:val="1"/>
      <w:numFmt w:val="decimal"/>
      <w:lvlText w:val="%4."/>
      <w:lvlJc w:val="left"/>
      <w:pPr>
        <w:ind w:left="4079" w:hanging="360"/>
      </w:pPr>
    </w:lvl>
    <w:lvl w:ilvl="4" w:tplc="080A0019">
      <w:start w:val="1"/>
      <w:numFmt w:val="lowerLetter"/>
      <w:lvlText w:val="%5."/>
      <w:lvlJc w:val="left"/>
      <w:pPr>
        <w:ind w:left="4799" w:hanging="360"/>
      </w:pPr>
    </w:lvl>
    <w:lvl w:ilvl="5" w:tplc="080A001B">
      <w:start w:val="1"/>
      <w:numFmt w:val="lowerRoman"/>
      <w:lvlText w:val="%6."/>
      <w:lvlJc w:val="right"/>
      <w:pPr>
        <w:ind w:left="5519" w:hanging="180"/>
      </w:pPr>
    </w:lvl>
    <w:lvl w:ilvl="6" w:tplc="080A000F">
      <w:start w:val="1"/>
      <w:numFmt w:val="decimal"/>
      <w:lvlText w:val="%7."/>
      <w:lvlJc w:val="left"/>
      <w:pPr>
        <w:ind w:left="6239" w:hanging="360"/>
      </w:pPr>
    </w:lvl>
    <w:lvl w:ilvl="7" w:tplc="080A0019">
      <w:start w:val="1"/>
      <w:numFmt w:val="lowerLetter"/>
      <w:lvlText w:val="%8."/>
      <w:lvlJc w:val="left"/>
      <w:pPr>
        <w:ind w:left="6959" w:hanging="360"/>
      </w:pPr>
    </w:lvl>
    <w:lvl w:ilvl="8" w:tplc="080A001B">
      <w:start w:val="1"/>
      <w:numFmt w:val="lowerRoman"/>
      <w:lvlText w:val="%9."/>
      <w:lvlJc w:val="right"/>
      <w:pPr>
        <w:ind w:left="7679" w:hanging="180"/>
      </w:pPr>
    </w:lvl>
  </w:abstractNum>
  <w:abstractNum w:abstractNumId="2">
    <w:nsid w:val="358D0FA3"/>
    <w:multiLevelType w:val="hybridMultilevel"/>
    <w:tmpl w:val="013E0C7E"/>
    <w:lvl w:ilvl="0" w:tplc="44D04978">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3">
    <w:nsid w:val="6C9157ED"/>
    <w:multiLevelType w:val="hybridMultilevel"/>
    <w:tmpl w:val="90188018"/>
    <w:lvl w:ilvl="0" w:tplc="11B82180">
      <w:start w:val="1"/>
      <w:numFmt w:val="upperLetter"/>
      <w:lvlText w:val="%1)"/>
      <w:lvlJc w:val="left"/>
      <w:pPr>
        <w:ind w:left="1776" w:hanging="360"/>
      </w:p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0248"/>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62E7"/>
    <w:rsid w:val="00350029"/>
    <w:rsid w:val="003533F7"/>
    <w:rsid w:val="003638AD"/>
    <w:rsid w:val="00363FD0"/>
    <w:rsid w:val="0037738A"/>
    <w:rsid w:val="003777EB"/>
    <w:rsid w:val="0039258D"/>
    <w:rsid w:val="003959A9"/>
    <w:rsid w:val="003A3921"/>
    <w:rsid w:val="003B76B0"/>
    <w:rsid w:val="003C56CB"/>
    <w:rsid w:val="0040218E"/>
    <w:rsid w:val="004200B9"/>
    <w:rsid w:val="004546F1"/>
    <w:rsid w:val="00454891"/>
    <w:rsid w:val="0047251D"/>
    <w:rsid w:val="004A5C5B"/>
    <w:rsid w:val="004A764F"/>
    <w:rsid w:val="004C7B31"/>
    <w:rsid w:val="004D3FD5"/>
    <w:rsid w:val="004F032D"/>
    <w:rsid w:val="00501D58"/>
    <w:rsid w:val="00511C35"/>
    <w:rsid w:val="005153E1"/>
    <w:rsid w:val="005170DC"/>
    <w:rsid w:val="005245DE"/>
    <w:rsid w:val="0053444C"/>
    <w:rsid w:val="00547E2C"/>
    <w:rsid w:val="00567C47"/>
    <w:rsid w:val="00573E33"/>
    <w:rsid w:val="00573F2D"/>
    <w:rsid w:val="005756D5"/>
    <w:rsid w:val="00576978"/>
    <w:rsid w:val="00591A61"/>
    <w:rsid w:val="005930DA"/>
    <w:rsid w:val="00593E84"/>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313EF"/>
    <w:rsid w:val="007325BB"/>
    <w:rsid w:val="00735250"/>
    <w:rsid w:val="00744977"/>
    <w:rsid w:val="00751298"/>
    <w:rsid w:val="00761BFC"/>
    <w:rsid w:val="00771872"/>
    <w:rsid w:val="007825AD"/>
    <w:rsid w:val="007D6535"/>
    <w:rsid w:val="007D672C"/>
    <w:rsid w:val="007E5B25"/>
    <w:rsid w:val="007F0D2C"/>
    <w:rsid w:val="00814B86"/>
    <w:rsid w:val="008238CF"/>
    <w:rsid w:val="00830A05"/>
    <w:rsid w:val="00850959"/>
    <w:rsid w:val="008A4F68"/>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76B69"/>
    <w:rsid w:val="009A7C7B"/>
    <w:rsid w:val="009B57EF"/>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023D9"/>
    <w:rsid w:val="00C131FA"/>
    <w:rsid w:val="00C14778"/>
    <w:rsid w:val="00C1665C"/>
    <w:rsid w:val="00C17F5F"/>
    <w:rsid w:val="00C30D19"/>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6F1E"/>
    <w:rsid w:val="00D17A65"/>
    <w:rsid w:val="00D20155"/>
    <w:rsid w:val="00D22E0D"/>
    <w:rsid w:val="00D25CA7"/>
    <w:rsid w:val="00D27F89"/>
    <w:rsid w:val="00D437B0"/>
    <w:rsid w:val="00D4438A"/>
    <w:rsid w:val="00D55AB6"/>
    <w:rsid w:val="00D6774B"/>
    <w:rsid w:val="00D8265B"/>
    <w:rsid w:val="00D838B9"/>
    <w:rsid w:val="00D86D0B"/>
    <w:rsid w:val="00D91377"/>
    <w:rsid w:val="00D94092"/>
    <w:rsid w:val="00DB42EB"/>
    <w:rsid w:val="00DC4D7A"/>
    <w:rsid w:val="00DD76A5"/>
    <w:rsid w:val="00DF651C"/>
    <w:rsid w:val="00E03F45"/>
    <w:rsid w:val="00E16D22"/>
    <w:rsid w:val="00E249FF"/>
    <w:rsid w:val="00E43EDE"/>
    <w:rsid w:val="00E521E8"/>
    <w:rsid w:val="00E565F3"/>
    <w:rsid w:val="00E771CF"/>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BFCD0C-C13A-4595-B967-B159A74DE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C30D19"/>
    <w:pPr>
      <w:spacing w:after="200" w:line="276"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339191617">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E0C91-24E0-4B64-9AF1-F14595323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20</Pages>
  <Words>6961</Words>
  <Characters>38291</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9</cp:revision>
  <cp:lastPrinted>2019-04-05T19:19:00Z</cp:lastPrinted>
  <dcterms:created xsi:type="dcterms:W3CDTF">2019-04-12T01:57:00Z</dcterms:created>
  <dcterms:modified xsi:type="dcterms:W3CDTF">2019-06-25T19:17:00Z</dcterms:modified>
</cp:coreProperties>
</file>