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690E2EF3"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8019F2">
        <w:rPr>
          <w:rFonts w:cs="Arial"/>
          <w:b/>
          <w:bCs/>
          <w:sz w:val="24"/>
          <w:szCs w:val="24"/>
        </w:rPr>
        <w:t>0</w:t>
      </w:r>
      <w:r w:rsidR="00CC7838">
        <w:rPr>
          <w:rFonts w:cs="Arial"/>
          <w:b/>
          <w:bCs/>
          <w:sz w:val="24"/>
          <w:szCs w:val="24"/>
        </w:rPr>
        <w:t>27</w:t>
      </w:r>
      <w:r w:rsidRPr="007B0581">
        <w:rPr>
          <w:rFonts w:cs="Arial"/>
          <w:b/>
          <w:bCs/>
          <w:sz w:val="24"/>
          <w:szCs w:val="24"/>
        </w:rPr>
        <w:t>/20</w:t>
      </w:r>
      <w:r w:rsidR="00165D83" w:rsidRPr="007B0581">
        <w:rPr>
          <w:rFonts w:cs="Arial"/>
          <w:b/>
          <w:bCs/>
          <w:sz w:val="24"/>
          <w:szCs w:val="24"/>
        </w:rPr>
        <w:t>2</w:t>
      </w:r>
      <w:r w:rsidR="008019F2">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7C6E8D5F"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8D1183">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96B9E84"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7CB71BBF"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CC7838">
        <w:rPr>
          <w:rFonts w:ascii="Arial" w:hAnsi="Arial" w:cs="Arial"/>
          <w:b/>
          <w:sz w:val="24"/>
          <w:szCs w:val="24"/>
        </w:rPr>
        <w:t>VEINTITRÉS</w:t>
      </w:r>
      <w:r w:rsidR="00204905">
        <w:rPr>
          <w:rFonts w:ascii="Arial" w:hAnsi="Arial" w:cs="Arial"/>
          <w:b/>
          <w:sz w:val="24"/>
          <w:szCs w:val="24"/>
        </w:rPr>
        <w:t xml:space="preserve"> DE SEPTIEMBRE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649E69D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60BF7528"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8019F2">
        <w:rPr>
          <w:rFonts w:ascii="Arial" w:hAnsi="Arial" w:cs="Arial"/>
          <w:sz w:val="24"/>
          <w:szCs w:val="24"/>
        </w:rPr>
        <w:t>0</w:t>
      </w:r>
      <w:r w:rsidR="00CC7838">
        <w:rPr>
          <w:rFonts w:ascii="Arial" w:hAnsi="Arial" w:cs="Arial"/>
          <w:sz w:val="24"/>
          <w:szCs w:val="24"/>
        </w:rPr>
        <w:t>27</w:t>
      </w:r>
      <w:r w:rsidR="006E2C00" w:rsidRPr="007B0581">
        <w:rPr>
          <w:rFonts w:ascii="Arial" w:hAnsi="Arial" w:cs="Arial"/>
          <w:sz w:val="24"/>
          <w:szCs w:val="24"/>
        </w:rPr>
        <w:t>/20</w:t>
      </w:r>
      <w:r w:rsidR="00802DB3" w:rsidRPr="007B0581">
        <w:rPr>
          <w:rFonts w:ascii="Arial" w:hAnsi="Arial" w:cs="Arial"/>
          <w:sz w:val="24"/>
          <w:szCs w:val="24"/>
        </w:rPr>
        <w:t>2</w:t>
      </w:r>
      <w:r w:rsidR="008019F2">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8D1183">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oficio </w:t>
      </w:r>
      <w:bookmarkStart w:id="0" w:name="_Hlk83640314"/>
      <w:r w:rsidR="008D1183">
        <w:rPr>
          <w:rFonts w:cs="Arial"/>
          <w:b/>
          <w:sz w:val="24"/>
          <w:szCs w:val="24"/>
        </w:rPr>
        <w:t>**********</w:t>
      </w:r>
      <w:r w:rsidR="00AF2E69" w:rsidRPr="007B0581">
        <w:rPr>
          <w:rFonts w:ascii="Arial" w:hAnsi="Arial" w:cs="Arial"/>
          <w:sz w:val="24"/>
          <w:szCs w:val="24"/>
        </w:rPr>
        <w:t xml:space="preserve"> de </w:t>
      </w:r>
      <w:r w:rsidR="00CC7838">
        <w:rPr>
          <w:rFonts w:ascii="Arial" w:hAnsi="Arial" w:cs="Arial"/>
          <w:sz w:val="24"/>
          <w:szCs w:val="24"/>
        </w:rPr>
        <w:t>cinco de octubre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0"/>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053C4D68"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CC7838">
        <w:rPr>
          <w:rFonts w:ascii="Arial" w:hAnsi="Arial" w:cs="Arial"/>
          <w:sz w:val="24"/>
          <w:szCs w:val="24"/>
        </w:rPr>
        <w:t>uno de abril</w:t>
      </w:r>
      <w:r w:rsidR="008019F2">
        <w:rPr>
          <w:rFonts w:ascii="Arial" w:hAnsi="Arial" w:cs="Arial"/>
          <w:sz w:val="24"/>
          <w:szCs w:val="24"/>
        </w:rPr>
        <w:t xml:space="preserve"> de dos mil veintidós</w:t>
      </w:r>
      <w:r w:rsidR="00473175" w:rsidRPr="007B0581">
        <w:rPr>
          <w:rFonts w:ascii="Arial" w:hAnsi="Arial" w:cs="Arial"/>
          <w:sz w:val="24"/>
          <w:szCs w:val="24"/>
        </w:rPr>
        <w:t xml:space="preserve">, </w:t>
      </w:r>
      <w:r w:rsidR="008D1183">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2"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8D1183">
        <w:rPr>
          <w:rFonts w:cs="Arial"/>
          <w:b/>
          <w:sz w:val="24"/>
          <w:szCs w:val="24"/>
        </w:rPr>
        <w:t>**********</w:t>
      </w:r>
      <w:r w:rsidR="008D1183">
        <w:rPr>
          <w:rFonts w:cs="Arial"/>
          <w:b/>
          <w:sz w:val="24"/>
          <w:szCs w:val="24"/>
        </w:rPr>
        <w:t xml:space="preserve"> </w:t>
      </w:r>
      <w:r w:rsidR="00CC7838" w:rsidRPr="007B0581">
        <w:rPr>
          <w:rFonts w:ascii="Arial" w:hAnsi="Arial" w:cs="Arial"/>
          <w:sz w:val="24"/>
          <w:szCs w:val="24"/>
        </w:rPr>
        <w:t xml:space="preserve">de </w:t>
      </w:r>
      <w:r w:rsidR="00CC7838">
        <w:rPr>
          <w:rFonts w:ascii="Arial" w:hAnsi="Arial" w:cs="Arial"/>
          <w:sz w:val="24"/>
          <w:szCs w:val="24"/>
        </w:rPr>
        <w:t>cinco de octubre de dos mil veintiuno</w:t>
      </w:r>
      <w:r w:rsidR="00840FB4" w:rsidRPr="007B0581">
        <w:rPr>
          <w:rFonts w:ascii="Arial" w:hAnsi="Arial" w:cs="Arial"/>
          <w:sz w:val="24"/>
          <w:szCs w:val="24"/>
        </w:rPr>
        <w:t xml:space="preserve">, signado por el </w:t>
      </w:r>
      <w:r w:rsidR="00257298">
        <w:rPr>
          <w:rFonts w:ascii="Arial" w:hAnsi="Arial" w:cs="Arial"/>
          <w:sz w:val="24"/>
          <w:szCs w:val="24"/>
        </w:rPr>
        <w:t>D</w:t>
      </w:r>
      <w:r w:rsidR="00840FB4" w:rsidRPr="007B0581">
        <w:rPr>
          <w:rFonts w:ascii="Arial" w:hAnsi="Arial" w:cs="Arial"/>
          <w:sz w:val="24"/>
          <w:szCs w:val="24"/>
        </w:rPr>
        <w:t xml:space="preserve">irector </w:t>
      </w:r>
      <w:r w:rsidR="00257298">
        <w:rPr>
          <w:rFonts w:ascii="Arial" w:hAnsi="Arial" w:cs="Arial"/>
          <w:sz w:val="24"/>
          <w:szCs w:val="24"/>
        </w:rPr>
        <w:t>G</w:t>
      </w:r>
      <w:r w:rsidR="00840FB4" w:rsidRPr="007B0581">
        <w:rPr>
          <w:rFonts w:ascii="Arial" w:hAnsi="Arial" w:cs="Arial"/>
          <w:sz w:val="24"/>
          <w:szCs w:val="24"/>
        </w:rPr>
        <w:t>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14B25DA5"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CC7838">
        <w:rPr>
          <w:rFonts w:ascii="Arial" w:hAnsi="Arial" w:cs="Arial"/>
          <w:sz w:val="24"/>
          <w:szCs w:val="24"/>
        </w:rPr>
        <w:t>uno de abril</w:t>
      </w:r>
      <w:r w:rsidR="008019F2">
        <w:rPr>
          <w:rFonts w:ascii="Arial" w:hAnsi="Arial" w:cs="Arial"/>
          <w:sz w:val="24"/>
          <w:szCs w:val="24"/>
        </w:rPr>
        <w:t xml:space="preserve"> de dos mil veintidós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27E79A27" w:rsidR="00201D27"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w:t>
      </w:r>
      <w:r w:rsidR="003A16C4">
        <w:rPr>
          <w:rFonts w:cs="Arial"/>
          <w:bCs/>
          <w:sz w:val="24"/>
          <w:szCs w:val="24"/>
        </w:rPr>
        <w:t>-</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7405B4">
        <w:rPr>
          <w:rFonts w:cs="Arial"/>
          <w:bCs/>
          <w:sz w:val="24"/>
          <w:szCs w:val="24"/>
        </w:rPr>
        <w:t>veinti</w:t>
      </w:r>
      <w:r w:rsidR="002156D2">
        <w:rPr>
          <w:rFonts w:cs="Arial"/>
          <w:bCs/>
          <w:sz w:val="24"/>
          <w:szCs w:val="24"/>
        </w:rPr>
        <w:t>siete</w:t>
      </w:r>
      <w:r w:rsidR="008019F2">
        <w:rPr>
          <w:rFonts w:cs="Arial"/>
          <w:bCs/>
          <w:sz w:val="24"/>
          <w:szCs w:val="24"/>
        </w:rPr>
        <w:t xml:space="preserve"> de abril</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w:t>
      </w:r>
      <w:r w:rsidR="002156D2">
        <w:rPr>
          <w:rFonts w:cs="Arial"/>
          <w:sz w:val="24"/>
          <w:szCs w:val="24"/>
        </w:rPr>
        <w:t>,</w:t>
      </w:r>
      <w:r w:rsidR="006E2C00" w:rsidRPr="007B0581">
        <w:rPr>
          <w:rFonts w:cs="Arial"/>
          <w:sz w:val="24"/>
          <w:szCs w:val="24"/>
        </w:rPr>
        <w:t xml:space="preserve"> por </w:t>
      </w:r>
      <w:r w:rsidR="0079658F" w:rsidRPr="007B0581">
        <w:rPr>
          <w:rFonts w:cs="Arial"/>
          <w:sz w:val="24"/>
          <w:szCs w:val="24"/>
        </w:rPr>
        <w:t>admitidas las pruebas ofrecidas</w:t>
      </w:r>
      <w:r w:rsidR="002156D2">
        <w:rPr>
          <w:rFonts w:cs="Arial"/>
          <w:sz w:val="24"/>
          <w:szCs w:val="24"/>
        </w:rPr>
        <w:t xml:space="preserve"> y objetando las pruebas ofrecidas por el actor</w:t>
      </w:r>
      <w:r w:rsidR="006E2C00" w:rsidRPr="007B0581">
        <w:rPr>
          <w:rFonts w:cs="Arial"/>
          <w:sz w:val="24"/>
          <w:szCs w:val="24"/>
        </w:rPr>
        <w:t xml:space="preserve">, ordenándose correr traslado a la parte actora </w:t>
      </w:r>
      <w:r w:rsidR="0079658F" w:rsidRPr="007B0581">
        <w:rPr>
          <w:rFonts w:cs="Arial"/>
          <w:sz w:val="24"/>
          <w:szCs w:val="24"/>
        </w:rPr>
        <w:t>para</w:t>
      </w:r>
      <w:r w:rsidR="002156D2">
        <w:rPr>
          <w:rFonts w:cs="Arial"/>
          <w:sz w:val="24"/>
          <w:szCs w:val="24"/>
        </w:rPr>
        <w:t xml:space="preserve"> los efectos legales </w:t>
      </w:r>
      <w:r w:rsidR="002156D2">
        <w:rPr>
          <w:rFonts w:cs="Arial"/>
          <w:sz w:val="24"/>
          <w:szCs w:val="24"/>
        </w:rPr>
        <w:lastRenderedPageBreak/>
        <w:t>correspondientes; asimismo, se señalaron las ONCE HORAS del día UNO DE JULIO DE DOS MIL VEINTIDÓS, para la celebración de la audiencia final</w:t>
      </w:r>
      <w:r w:rsidR="00674EAC">
        <w:rPr>
          <w:rFonts w:cs="Arial"/>
          <w:sz w:val="24"/>
          <w:szCs w:val="24"/>
        </w:rPr>
        <w:t>.</w:t>
      </w:r>
    </w:p>
    <w:p w14:paraId="60BCAB93" w14:textId="410F1286" w:rsidR="00674EAC" w:rsidRDefault="00674EAC" w:rsidP="0079658F">
      <w:pPr>
        <w:pStyle w:val="corte4fondo"/>
        <w:ind w:right="51" w:firstLine="567"/>
        <w:rPr>
          <w:rFonts w:cs="Arial"/>
          <w:sz w:val="24"/>
          <w:szCs w:val="24"/>
        </w:rPr>
      </w:pPr>
    </w:p>
    <w:p w14:paraId="11761674" w14:textId="6AF1408C" w:rsidR="00772264" w:rsidRPr="007B0581" w:rsidRDefault="00674EAC" w:rsidP="009B52E2">
      <w:pPr>
        <w:pStyle w:val="corte4fondo"/>
        <w:ind w:right="51" w:firstLine="567"/>
        <w:rPr>
          <w:rFonts w:cs="Arial"/>
          <w:b/>
          <w:bCs/>
          <w:sz w:val="24"/>
          <w:szCs w:val="24"/>
        </w:rPr>
      </w:pPr>
      <w:r>
        <w:rPr>
          <w:rFonts w:cs="Arial"/>
          <w:sz w:val="24"/>
          <w:szCs w:val="24"/>
        </w:rPr>
        <w:tab/>
      </w:r>
      <w:r w:rsidR="002156D2">
        <w:rPr>
          <w:rFonts w:cs="Arial"/>
          <w:b/>
          <w:bCs/>
          <w:sz w:val="24"/>
          <w:szCs w:val="24"/>
        </w:rPr>
        <w:t>CUARTO</w:t>
      </w:r>
      <w:r w:rsidRPr="00142CF4">
        <w:rPr>
          <w:rFonts w:cs="Arial"/>
          <w:b/>
          <w:bCs/>
          <w:sz w:val="24"/>
          <w:szCs w:val="24"/>
        </w:rPr>
        <w:t xml:space="preserve">. </w:t>
      </w:r>
      <w:r w:rsidR="00142CF4" w:rsidRPr="00142CF4">
        <w:rPr>
          <w:rFonts w:cs="Arial"/>
          <w:b/>
          <w:bCs/>
          <w:sz w:val="24"/>
          <w:szCs w:val="24"/>
        </w:rPr>
        <w:t>-</w:t>
      </w:r>
      <w:r>
        <w:rPr>
          <w:rFonts w:cs="Arial"/>
          <w:sz w:val="24"/>
          <w:szCs w:val="24"/>
        </w:rPr>
        <w:t xml:space="preserve"> </w:t>
      </w:r>
      <w:r w:rsidR="00772264" w:rsidRPr="007B0581">
        <w:rPr>
          <w:rFonts w:cs="Arial"/>
          <w:sz w:val="24"/>
          <w:szCs w:val="24"/>
          <w:lang w:val="es-ES"/>
        </w:rPr>
        <w:t xml:space="preserve">El </w:t>
      </w:r>
      <w:r w:rsidR="00805A27">
        <w:rPr>
          <w:rFonts w:cs="Arial"/>
          <w:sz w:val="24"/>
          <w:szCs w:val="24"/>
          <w:lang w:val="es-ES"/>
        </w:rPr>
        <w:t>uno</w:t>
      </w:r>
      <w:r w:rsidR="00142CF4">
        <w:rPr>
          <w:rFonts w:cs="Arial"/>
          <w:sz w:val="24"/>
          <w:szCs w:val="24"/>
          <w:lang w:val="es-ES"/>
        </w:rPr>
        <w:t xml:space="preserve"> de julio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805A27">
        <w:rPr>
          <w:rFonts w:cs="Arial"/>
          <w:sz w:val="24"/>
          <w:szCs w:val="24"/>
        </w:rPr>
        <w:t>el</w:t>
      </w:r>
      <w:r w:rsidR="002A22F7">
        <w:rPr>
          <w:rFonts w:cs="Arial"/>
          <w:sz w:val="24"/>
          <w:szCs w:val="24"/>
        </w:rPr>
        <w:t xml:space="preserve"> actor formuló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C0446D4"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de Pensiones del Estado </w:t>
      </w:r>
      <w:r w:rsidR="005E5BA2">
        <w:rPr>
          <w:rFonts w:ascii="Arial" w:hAnsi="Arial" w:cs="Arial"/>
          <w:sz w:val="24"/>
          <w:szCs w:val="24"/>
        </w:rPr>
        <w:t>de Oaxaca</w:t>
      </w:r>
      <w:r w:rsidR="00502E44" w:rsidRPr="007B0581">
        <w:rPr>
          <w:rFonts w:ascii="Arial" w:hAnsi="Arial" w:cs="Arial"/>
          <w:sz w:val="24"/>
          <w:szCs w:val="24"/>
        </w:rPr>
        <w:t xml:space="preserve">, con fundamento en el artículo 114 QUATER, párrafo primero, inciso B, </w:t>
      </w:r>
      <w:r w:rsidR="00502E44" w:rsidRPr="00843A48">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27003DCB"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w:t>
      </w:r>
      <w:r w:rsidR="00F901F1">
        <w:rPr>
          <w:rFonts w:ascii="Arial" w:hAnsi="Arial" w:cs="Arial"/>
          <w:sz w:val="24"/>
          <w:szCs w:val="24"/>
        </w:rPr>
        <w:t>el</w:t>
      </w:r>
      <w:r w:rsidR="00A20501" w:rsidRPr="007B0581">
        <w:rPr>
          <w:rFonts w:ascii="Arial" w:hAnsi="Arial" w:cs="Arial"/>
          <w:sz w:val="24"/>
          <w:szCs w:val="24"/>
        </w:rPr>
        <w:t xml:space="preserve"> actor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A20501">
        <w:rPr>
          <w:rFonts w:ascii="Arial" w:hAnsi="Arial" w:cs="Arial"/>
          <w:sz w:val="24"/>
          <w:szCs w:val="24"/>
        </w:rPr>
        <w:t xml:space="preserve"> de conformidad con el instrumento notarial 2437, volumen 58, pasado ante la </w:t>
      </w:r>
      <w:r w:rsidR="0004704B">
        <w:rPr>
          <w:rFonts w:ascii="Arial" w:hAnsi="Arial" w:cs="Arial"/>
          <w:sz w:val="24"/>
          <w:szCs w:val="24"/>
        </w:rPr>
        <w:t>fe</w:t>
      </w:r>
      <w:r w:rsidR="00A20501">
        <w:rPr>
          <w:rFonts w:ascii="Arial" w:hAnsi="Arial" w:cs="Arial"/>
          <w:sz w:val="24"/>
          <w:szCs w:val="24"/>
        </w:rPr>
        <w:t xml:space="preserve"> del </w:t>
      </w:r>
      <w:r w:rsidR="00F901F1">
        <w:rPr>
          <w:rFonts w:ascii="Arial" w:hAnsi="Arial" w:cs="Arial"/>
          <w:sz w:val="24"/>
          <w:szCs w:val="24"/>
        </w:rPr>
        <w:t>N</w:t>
      </w:r>
      <w:r w:rsidR="00A20501">
        <w:rPr>
          <w:rFonts w:ascii="Arial" w:hAnsi="Arial" w:cs="Arial"/>
          <w:sz w:val="24"/>
          <w:szCs w:val="24"/>
        </w:rPr>
        <w:t xml:space="preserve">otario </w:t>
      </w:r>
      <w:r w:rsidR="00F901F1">
        <w:rPr>
          <w:rFonts w:ascii="Arial" w:hAnsi="Arial" w:cs="Arial"/>
          <w:sz w:val="24"/>
          <w:szCs w:val="24"/>
        </w:rPr>
        <w:t>P</w:t>
      </w:r>
      <w:r w:rsidR="00A20501">
        <w:rPr>
          <w:rFonts w:ascii="Arial" w:hAnsi="Arial" w:cs="Arial"/>
          <w:sz w:val="24"/>
          <w:szCs w:val="24"/>
        </w:rPr>
        <w:t xml:space="preserve">úblico número </w:t>
      </w:r>
      <w:r w:rsidR="00CF4206">
        <w:rPr>
          <w:rFonts w:ascii="Arial" w:hAnsi="Arial" w:cs="Arial"/>
          <w:sz w:val="24"/>
          <w:szCs w:val="24"/>
        </w:rPr>
        <w:t>noventa</w:t>
      </w:r>
      <w:r w:rsidR="00A20501">
        <w:rPr>
          <w:rFonts w:ascii="Arial" w:hAnsi="Arial" w:cs="Arial"/>
          <w:sz w:val="24"/>
          <w:szCs w:val="24"/>
        </w:rPr>
        <w:t xml:space="preserve"> en el Estado y</w:t>
      </w:r>
      <w:r w:rsidR="00A20501" w:rsidRPr="007B0581">
        <w:rPr>
          <w:rFonts w:ascii="Arial" w:hAnsi="Arial" w:cs="Arial"/>
          <w:sz w:val="24"/>
          <w:szCs w:val="24"/>
        </w:rPr>
        <w:t xml:space="preserve"> </w:t>
      </w:r>
      <w:r w:rsidR="008438D5">
        <w:rPr>
          <w:rFonts w:ascii="Arial" w:hAnsi="Arial" w:cs="Arial"/>
          <w:sz w:val="24"/>
          <w:szCs w:val="24"/>
        </w:rPr>
        <w:t>de conformidad con</w:t>
      </w:r>
      <w:r w:rsidR="00A20501">
        <w:rPr>
          <w:rFonts w:ascii="Arial" w:hAnsi="Arial" w:cs="Arial"/>
          <w:sz w:val="24"/>
          <w:szCs w:val="24"/>
        </w:rPr>
        <w:t xml:space="preserv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50699D1E" w:rsidR="009749F2" w:rsidRPr="007B0581" w:rsidRDefault="006E2C00" w:rsidP="006D2B5E">
      <w:pPr>
        <w:pStyle w:val="corte4fondo"/>
        <w:ind w:right="51" w:firstLine="567"/>
        <w:rPr>
          <w:rFonts w:cs="Arial"/>
          <w:sz w:val="24"/>
          <w:szCs w:val="24"/>
        </w:rPr>
      </w:pPr>
      <w:r w:rsidRPr="007B0581">
        <w:rPr>
          <w:rFonts w:cs="Arial"/>
          <w:sz w:val="24"/>
          <w:szCs w:val="24"/>
        </w:rPr>
        <w:tab/>
      </w:r>
      <w:r w:rsidRPr="00BA4761">
        <w:rPr>
          <w:rFonts w:cs="Arial"/>
          <w:b/>
          <w:sz w:val="24"/>
          <w:szCs w:val="24"/>
        </w:rPr>
        <w:t>TERCERO.-</w:t>
      </w:r>
      <w:r w:rsidRPr="007B0581">
        <w:rPr>
          <w:rFonts w:cs="Arial"/>
          <w:sz w:val="24"/>
          <w:szCs w:val="24"/>
        </w:rPr>
        <w:t xml:space="preserve"> </w:t>
      </w:r>
      <w:r w:rsidR="000C03E9" w:rsidRPr="00B573F7">
        <w:rPr>
          <w:rFonts w:cs="Arial"/>
          <w:sz w:val="24"/>
          <w:szCs w:val="24"/>
        </w:rPr>
        <w:t xml:space="preserve">Previo al estudio de fondo del asunto, y por cuestión de método y técnica judicial, esta Sala procede a analizar </w:t>
      </w:r>
      <w:r w:rsidR="000C03E9">
        <w:rPr>
          <w:rFonts w:cs="Arial"/>
          <w:sz w:val="24"/>
          <w:szCs w:val="24"/>
        </w:rPr>
        <w:t>la causal de improcedencia invocada por la autoridad demandada, contemplada</w:t>
      </w:r>
      <w:r w:rsidR="000C03E9" w:rsidRPr="00B573F7">
        <w:rPr>
          <w:rFonts w:cs="Arial"/>
          <w:sz w:val="24"/>
          <w:szCs w:val="24"/>
        </w:rPr>
        <w:t xml:space="preserve"> en </w:t>
      </w:r>
      <w:r w:rsidR="000C03E9">
        <w:rPr>
          <w:rFonts w:cs="Arial"/>
          <w:sz w:val="24"/>
          <w:szCs w:val="24"/>
        </w:rPr>
        <w:t>el</w:t>
      </w:r>
      <w:r w:rsidR="000C03E9" w:rsidRPr="00B573F7">
        <w:rPr>
          <w:rFonts w:cs="Arial"/>
          <w:sz w:val="24"/>
          <w:szCs w:val="24"/>
        </w:rPr>
        <w:t xml:space="preserve"> artículo </w:t>
      </w:r>
      <w:r w:rsidR="000C03E9">
        <w:rPr>
          <w:rFonts w:cs="Arial"/>
          <w:sz w:val="24"/>
          <w:szCs w:val="24"/>
        </w:rPr>
        <w:t xml:space="preserve">161, fracción IX y 162, </w:t>
      </w:r>
      <w:r w:rsidR="000C03E9" w:rsidRPr="00B2094F">
        <w:rPr>
          <w:rFonts w:cs="Arial"/>
          <w:sz w:val="24"/>
          <w:szCs w:val="24"/>
        </w:rPr>
        <w:t>fracciones V y VI</w:t>
      </w:r>
      <w:r w:rsidR="000C03E9">
        <w:rPr>
          <w:rFonts w:cs="Arial"/>
          <w:sz w:val="24"/>
          <w:szCs w:val="24"/>
        </w:rPr>
        <w:t xml:space="preserve"> de la Ley de Procedimiento y Justicia Administrativa para el Estado de Oaxaca, por considerar que</w:t>
      </w:r>
      <w:r w:rsidR="006D2B5E">
        <w:rPr>
          <w:rFonts w:cs="Arial"/>
          <w:sz w:val="24"/>
          <w:szCs w:val="24"/>
        </w:rPr>
        <w:t xml:space="preserve"> no </w:t>
      </w:r>
      <w:r w:rsidR="006D2B5E" w:rsidRPr="006D2B5E">
        <w:rPr>
          <w:rFonts w:cs="Arial"/>
          <w:sz w:val="24"/>
          <w:szCs w:val="24"/>
        </w:rPr>
        <w:t>existe el acto o</w:t>
      </w:r>
      <w:r w:rsidR="006D2B5E">
        <w:rPr>
          <w:rFonts w:cs="Arial"/>
          <w:sz w:val="24"/>
          <w:szCs w:val="24"/>
        </w:rPr>
        <w:t xml:space="preserve"> </w:t>
      </w:r>
      <w:r w:rsidR="006D2B5E" w:rsidRPr="006D2B5E">
        <w:rPr>
          <w:rFonts w:cs="Arial"/>
          <w:sz w:val="24"/>
          <w:szCs w:val="24"/>
        </w:rPr>
        <w:t>resolución impugnada</w:t>
      </w:r>
      <w:r w:rsidR="00AF65A7">
        <w:rPr>
          <w:rFonts w:cs="Arial"/>
          <w:sz w:val="24"/>
          <w:szCs w:val="24"/>
        </w:rPr>
        <w:t>; de</w:t>
      </w:r>
      <w:r w:rsidR="005F3AE4">
        <w:rPr>
          <w:rFonts w:cs="Arial"/>
          <w:sz w:val="24"/>
          <w:szCs w:val="24"/>
        </w:rPr>
        <w:t>l estudio a</w:t>
      </w:r>
      <w:r w:rsidR="00AF65A7">
        <w:rPr>
          <w:rFonts w:cs="Arial"/>
          <w:sz w:val="24"/>
          <w:szCs w:val="24"/>
        </w:rPr>
        <w:t xml:space="preserve"> los presentes autos se advierte claramente que</w:t>
      </w:r>
      <w:r w:rsidR="005F3AE4">
        <w:rPr>
          <w:rFonts w:cs="Arial"/>
          <w:sz w:val="24"/>
          <w:szCs w:val="24"/>
        </w:rPr>
        <w:t>,</w:t>
      </w:r>
      <w:r w:rsidR="00AF65A7">
        <w:rPr>
          <w:rFonts w:cs="Arial"/>
          <w:sz w:val="24"/>
          <w:szCs w:val="24"/>
        </w:rPr>
        <w:t xml:space="preserve"> si existe el acto impugnado</w:t>
      </w:r>
      <w:r w:rsidR="004C71AD">
        <w:rPr>
          <w:rFonts w:cs="Arial"/>
          <w:sz w:val="24"/>
          <w:szCs w:val="24"/>
        </w:rPr>
        <w:t xml:space="preserve"> por </w:t>
      </w:r>
      <w:r w:rsidR="00F901F1">
        <w:rPr>
          <w:rFonts w:cs="Arial"/>
          <w:sz w:val="24"/>
          <w:szCs w:val="24"/>
        </w:rPr>
        <w:t>el</w:t>
      </w:r>
      <w:r w:rsidR="004C71AD">
        <w:rPr>
          <w:rFonts w:cs="Arial"/>
          <w:sz w:val="24"/>
          <w:szCs w:val="24"/>
        </w:rPr>
        <w:t xml:space="preserve"> actor</w:t>
      </w:r>
      <w:r w:rsidR="00AF65A7">
        <w:rPr>
          <w:rFonts w:cs="Arial"/>
          <w:sz w:val="24"/>
          <w:szCs w:val="24"/>
        </w:rPr>
        <w:t xml:space="preserve"> consiste</w:t>
      </w:r>
      <w:r w:rsidR="005F3AE4">
        <w:rPr>
          <w:rFonts w:cs="Arial"/>
          <w:sz w:val="24"/>
          <w:szCs w:val="24"/>
        </w:rPr>
        <w:t>nte</w:t>
      </w:r>
      <w:r w:rsidR="00AF65A7">
        <w:rPr>
          <w:rFonts w:cs="Arial"/>
          <w:sz w:val="24"/>
          <w:szCs w:val="24"/>
        </w:rPr>
        <w:t xml:space="preserve"> en</w:t>
      </w:r>
      <w:r w:rsidR="00ED7C5C">
        <w:rPr>
          <w:rFonts w:cs="Arial"/>
          <w:sz w:val="24"/>
          <w:szCs w:val="24"/>
        </w:rPr>
        <w:t xml:space="preserve"> </w:t>
      </w:r>
      <w:r w:rsidR="00ED7C5C" w:rsidRPr="007B0581">
        <w:rPr>
          <w:rFonts w:cs="Arial"/>
          <w:sz w:val="24"/>
          <w:szCs w:val="24"/>
        </w:rPr>
        <w:t xml:space="preserve">resolución </w:t>
      </w:r>
      <w:r w:rsidR="00ED7C5C">
        <w:rPr>
          <w:rFonts w:cs="Arial"/>
          <w:sz w:val="24"/>
          <w:szCs w:val="24"/>
        </w:rPr>
        <w:t>emitida por el Consejo Directivo de Pensiones del Estado de Oaxaca</w:t>
      </w:r>
      <w:r w:rsidR="00794F45">
        <w:rPr>
          <w:rFonts w:cs="Arial"/>
          <w:sz w:val="24"/>
          <w:szCs w:val="24"/>
        </w:rPr>
        <w:t>, por la que autoriza la pensión por jubilación de</w:t>
      </w:r>
      <w:r w:rsidR="00F901F1">
        <w:rPr>
          <w:rFonts w:cs="Arial"/>
          <w:sz w:val="24"/>
          <w:szCs w:val="24"/>
        </w:rPr>
        <w:t>l</w:t>
      </w:r>
      <w:r w:rsidR="00794F45">
        <w:rPr>
          <w:rFonts w:cs="Arial"/>
          <w:sz w:val="24"/>
          <w:szCs w:val="24"/>
        </w:rPr>
        <w:t xml:space="preserve"> </w:t>
      </w:r>
      <w:r w:rsidR="00F901F1">
        <w:rPr>
          <w:rFonts w:cs="Arial"/>
          <w:sz w:val="24"/>
          <w:szCs w:val="24"/>
        </w:rPr>
        <w:t>administrado</w:t>
      </w:r>
      <w:r w:rsidR="00794F45">
        <w:rPr>
          <w:rFonts w:cs="Arial"/>
          <w:sz w:val="24"/>
          <w:szCs w:val="24"/>
        </w:rPr>
        <w:t xml:space="preserve"> sin las prestaciones que contempla el artículo 54, fracción I de la Ley de Pensiones para los Trabajadores del Gobierno del Estado de Oaxaca</w:t>
      </w:r>
      <w:r w:rsidR="00B2094F">
        <w:rPr>
          <w:rFonts w:cs="Arial"/>
          <w:sz w:val="24"/>
          <w:szCs w:val="24"/>
        </w:rPr>
        <w:t xml:space="preserve">, acto principal del que se inconformó </w:t>
      </w:r>
      <w:r w:rsidR="00F901F1">
        <w:rPr>
          <w:rFonts w:cs="Arial"/>
          <w:sz w:val="24"/>
          <w:szCs w:val="24"/>
        </w:rPr>
        <w:t>el actor</w:t>
      </w:r>
      <w:r w:rsidR="00ED7C5C">
        <w:rPr>
          <w:rFonts w:cs="Arial"/>
          <w:sz w:val="24"/>
          <w:szCs w:val="24"/>
        </w:rPr>
        <w:t>,</w:t>
      </w:r>
      <w:r w:rsidR="00ED7C5C" w:rsidRPr="007B0581">
        <w:rPr>
          <w:rFonts w:cs="Arial"/>
          <w:sz w:val="24"/>
          <w:szCs w:val="24"/>
        </w:rPr>
        <w:t xml:space="preserve"> contenida en el oficio</w:t>
      </w:r>
      <w:r w:rsidR="00AF65A7" w:rsidRPr="007B0581">
        <w:rPr>
          <w:rFonts w:cs="Arial"/>
          <w:sz w:val="24"/>
          <w:szCs w:val="24"/>
        </w:rPr>
        <w:t xml:space="preserve"> </w:t>
      </w:r>
      <w:r w:rsidR="008D1183">
        <w:rPr>
          <w:rFonts w:cs="Arial"/>
          <w:b/>
          <w:sz w:val="24"/>
          <w:szCs w:val="24"/>
        </w:rPr>
        <w:t>**********</w:t>
      </w:r>
      <w:r w:rsidR="008D1183">
        <w:rPr>
          <w:rFonts w:cs="Arial"/>
          <w:b/>
          <w:sz w:val="24"/>
          <w:szCs w:val="24"/>
        </w:rPr>
        <w:t xml:space="preserve"> </w:t>
      </w:r>
      <w:r w:rsidR="00AF65A7" w:rsidRPr="007B0581">
        <w:rPr>
          <w:rFonts w:cs="Arial"/>
          <w:sz w:val="24"/>
          <w:szCs w:val="24"/>
        </w:rPr>
        <w:t xml:space="preserve">de </w:t>
      </w:r>
      <w:r w:rsidR="00F901F1">
        <w:rPr>
          <w:rFonts w:cs="Arial"/>
          <w:sz w:val="24"/>
          <w:szCs w:val="24"/>
        </w:rPr>
        <w:t>cinco de octubre de dos mil veint</w:t>
      </w:r>
      <w:r w:rsidR="008E68F9">
        <w:rPr>
          <w:rFonts w:cs="Arial"/>
          <w:sz w:val="24"/>
          <w:szCs w:val="24"/>
        </w:rPr>
        <w:t>i</w:t>
      </w:r>
      <w:r w:rsidR="00F901F1">
        <w:rPr>
          <w:rFonts w:cs="Arial"/>
          <w:sz w:val="24"/>
          <w:szCs w:val="24"/>
        </w:rPr>
        <w:t>uno</w:t>
      </w:r>
      <w:r w:rsidR="005F3AE4">
        <w:rPr>
          <w:rFonts w:cs="Arial"/>
          <w:sz w:val="24"/>
          <w:szCs w:val="24"/>
        </w:rPr>
        <w:t xml:space="preserve"> </w:t>
      </w:r>
      <w:r w:rsidR="00ED7C5C" w:rsidRPr="007B0581">
        <w:rPr>
          <w:rFonts w:cs="Arial"/>
          <w:sz w:val="24"/>
          <w:szCs w:val="24"/>
        </w:rPr>
        <w:t xml:space="preserve">signado por el </w:t>
      </w:r>
      <w:r w:rsidR="00ED7C5C">
        <w:rPr>
          <w:rFonts w:cs="Arial"/>
          <w:sz w:val="24"/>
          <w:szCs w:val="24"/>
        </w:rPr>
        <w:t>D</w:t>
      </w:r>
      <w:r w:rsidR="00ED7C5C" w:rsidRPr="007B0581">
        <w:rPr>
          <w:rFonts w:cs="Arial"/>
          <w:sz w:val="24"/>
          <w:szCs w:val="24"/>
        </w:rPr>
        <w:t xml:space="preserve">irector </w:t>
      </w:r>
      <w:r w:rsidR="00ED7C5C">
        <w:rPr>
          <w:rFonts w:cs="Arial"/>
          <w:sz w:val="24"/>
          <w:szCs w:val="24"/>
        </w:rPr>
        <w:lastRenderedPageBreak/>
        <w:t>G</w:t>
      </w:r>
      <w:r w:rsidR="00ED7C5C" w:rsidRPr="007B0581">
        <w:rPr>
          <w:rFonts w:cs="Arial"/>
          <w:sz w:val="24"/>
          <w:szCs w:val="24"/>
        </w:rPr>
        <w:t>eneral de la Oficina de Pensiones</w:t>
      </w:r>
      <w:r w:rsidR="00ED7C5C">
        <w:rPr>
          <w:rFonts w:cs="Arial"/>
          <w:sz w:val="24"/>
          <w:szCs w:val="24"/>
        </w:rPr>
        <w:t xml:space="preserve"> del Estado de Oaxaca</w:t>
      </w:r>
      <w:r w:rsidR="00AF65A7">
        <w:rPr>
          <w:rFonts w:cs="Arial"/>
          <w:sz w:val="24"/>
          <w:szCs w:val="24"/>
        </w:rPr>
        <w:t>, documental que la demandada no controvirtió en su escrito de contestación de demanda</w:t>
      </w:r>
      <w:r w:rsidR="00B2094F">
        <w:rPr>
          <w:rFonts w:cs="Arial"/>
          <w:sz w:val="24"/>
          <w:szCs w:val="24"/>
        </w:rPr>
        <w:t>;</w:t>
      </w:r>
      <w:r w:rsidR="004C0A2C">
        <w:rPr>
          <w:rFonts w:cs="Arial"/>
          <w:sz w:val="24"/>
          <w:szCs w:val="24"/>
        </w:rPr>
        <w:t xml:space="preserve"> por l</w:t>
      </w:r>
      <w:r w:rsidR="00B2094F">
        <w:rPr>
          <w:rFonts w:cs="Arial"/>
          <w:sz w:val="24"/>
          <w:szCs w:val="24"/>
        </w:rPr>
        <w:t>as consideraciones antes vertidas</w:t>
      </w:r>
      <w:r w:rsidR="00032592">
        <w:rPr>
          <w:rFonts w:cs="Arial"/>
          <w:sz w:val="24"/>
          <w:szCs w:val="24"/>
        </w:rPr>
        <w:t>,</w:t>
      </w:r>
      <w:r w:rsidR="00784493" w:rsidRPr="007B0581">
        <w:rPr>
          <w:rFonts w:cs="Arial"/>
          <w:sz w:val="24"/>
          <w:szCs w:val="24"/>
        </w:rPr>
        <w:t xml:space="preserve"> no se configura causal alguna de improcedencia. En consecuencia, </w:t>
      </w:r>
      <w:r w:rsidR="00784493" w:rsidRPr="007B0581">
        <w:rPr>
          <w:rFonts w:cs="Arial"/>
          <w:b/>
          <w:bCs/>
          <w:sz w:val="24"/>
          <w:szCs w:val="24"/>
        </w:rPr>
        <w:t xml:space="preserve">NO SE SOBRESEE </w:t>
      </w:r>
      <w:r w:rsidR="00784493" w:rsidRPr="007B0581">
        <w:rPr>
          <w:rFonts w:cs="Arial"/>
          <w:sz w:val="24"/>
          <w:szCs w:val="24"/>
        </w:rPr>
        <w:t>el presente juicio.</w:t>
      </w:r>
    </w:p>
    <w:p w14:paraId="5499E450" w14:textId="77777777" w:rsidR="0012261E" w:rsidRPr="007B0581" w:rsidRDefault="0012261E" w:rsidP="009749F2">
      <w:pPr>
        <w:pStyle w:val="corte4fondo"/>
        <w:ind w:right="51" w:firstLine="708"/>
        <w:rPr>
          <w:rFonts w:cs="Arial"/>
          <w:sz w:val="24"/>
          <w:szCs w:val="24"/>
        </w:rPr>
      </w:pPr>
    </w:p>
    <w:p w14:paraId="7CFC4D22" w14:textId="2597FEF7"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8E68F9">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15F2BE0B" w14:textId="48ACDB03" w:rsidR="002A798E" w:rsidRDefault="002242D8" w:rsidP="00EC454C">
      <w:pPr>
        <w:spacing w:line="360" w:lineRule="auto"/>
        <w:ind w:firstLine="708"/>
        <w:jc w:val="both"/>
        <w:rPr>
          <w:rFonts w:ascii="Arial" w:hAnsi="Arial" w:cs="Arial"/>
          <w:sz w:val="24"/>
          <w:szCs w:val="24"/>
        </w:rPr>
      </w:pPr>
      <w:r>
        <w:rPr>
          <w:rFonts w:ascii="Arial" w:hAnsi="Arial" w:cs="Arial"/>
          <w:sz w:val="24"/>
          <w:szCs w:val="24"/>
        </w:rPr>
        <w:t>El</w:t>
      </w:r>
      <w:r w:rsidR="0069601F" w:rsidRPr="007B0581">
        <w:rPr>
          <w:rFonts w:ascii="Arial" w:hAnsi="Arial" w:cs="Arial"/>
          <w:sz w:val="24"/>
          <w:szCs w:val="24"/>
        </w:rPr>
        <w:t xml:space="preserve"> actor</w:t>
      </w:r>
      <w:r w:rsidR="001E1A6A" w:rsidRPr="007B0581">
        <w:rPr>
          <w:rFonts w:ascii="Arial" w:hAnsi="Arial" w:cs="Arial"/>
          <w:sz w:val="24"/>
          <w:szCs w:val="24"/>
        </w:rPr>
        <w:t xml:space="preserve"> </w:t>
      </w:r>
      <w:r w:rsidR="008D1183">
        <w:rPr>
          <w:rFonts w:cs="Arial"/>
          <w:b/>
          <w:sz w:val="24"/>
          <w:szCs w:val="24"/>
        </w:rPr>
        <w:t>**********</w:t>
      </w:r>
      <w:r w:rsidR="008D1183">
        <w:rPr>
          <w:rFonts w:cs="Arial"/>
          <w:b/>
          <w:sz w:val="24"/>
          <w:szCs w:val="24"/>
        </w:rPr>
        <w:t xml:space="preserve"> </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8D1183">
        <w:rPr>
          <w:rFonts w:cs="Arial"/>
          <w:b/>
          <w:sz w:val="24"/>
          <w:szCs w:val="24"/>
        </w:rPr>
        <w:t>**********</w:t>
      </w:r>
      <w:r w:rsidR="008D1183">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00DF66EA" w:rsidRPr="007B0581">
        <w:rPr>
          <w:rFonts w:ascii="Arial" w:hAnsi="Arial" w:cs="Arial"/>
          <w:sz w:val="24"/>
          <w:szCs w:val="24"/>
        </w:rPr>
        <w:t xml:space="preserve">, signado por el </w:t>
      </w:r>
      <w:r w:rsidR="00DF66EA">
        <w:rPr>
          <w:rFonts w:ascii="Arial" w:hAnsi="Arial" w:cs="Arial"/>
          <w:sz w:val="24"/>
          <w:szCs w:val="24"/>
        </w:rPr>
        <w:t>D</w:t>
      </w:r>
      <w:r w:rsidR="00DF66EA" w:rsidRPr="007B0581">
        <w:rPr>
          <w:rFonts w:ascii="Arial" w:hAnsi="Arial" w:cs="Arial"/>
          <w:sz w:val="24"/>
          <w:szCs w:val="24"/>
        </w:rPr>
        <w:t xml:space="preserve">irector </w:t>
      </w:r>
      <w:r w:rsidR="00DF66EA">
        <w:rPr>
          <w:rFonts w:ascii="Arial" w:hAnsi="Arial" w:cs="Arial"/>
          <w:sz w:val="24"/>
          <w:szCs w:val="24"/>
        </w:rPr>
        <w:t>G</w:t>
      </w:r>
      <w:r w:rsidR="00DF66EA" w:rsidRPr="007B0581">
        <w:rPr>
          <w:rFonts w:ascii="Arial" w:hAnsi="Arial" w:cs="Arial"/>
          <w:sz w:val="24"/>
          <w:szCs w:val="24"/>
        </w:rPr>
        <w:t>eneral de la Oficina de Pensiones</w:t>
      </w:r>
      <w:r w:rsidR="00DF66EA">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3F7330">
        <w:rPr>
          <w:rFonts w:ascii="Arial" w:hAnsi="Arial" w:cs="Arial"/>
          <w:sz w:val="24"/>
          <w:szCs w:val="24"/>
        </w:rPr>
        <w:t>q</w:t>
      </w:r>
      <w:r w:rsidR="003F7330" w:rsidRPr="008438D5">
        <w:rPr>
          <w:rFonts w:ascii="Arial" w:hAnsi="Arial" w:cs="Arial"/>
          <w:sz w:val="24"/>
          <w:szCs w:val="24"/>
        </w:rPr>
        <w:t>ue</w:t>
      </w:r>
      <w:r w:rsidR="00260BC1">
        <w:rPr>
          <w:rFonts w:ascii="Arial" w:hAnsi="Arial" w:cs="Arial"/>
          <w:sz w:val="24"/>
          <w:szCs w:val="24"/>
        </w:rPr>
        <w:t xml:space="preserve"> </w:t>
      </w:r>
      <w:r w:rsidR="002A798E">
        <w:rPr>
          <w:rFonts w:ascii="Arial" w:hAnsi="Arial" w:cs="Arial"/>
          <w:sz w:val="24"/>
          <w:szCs w:val="24"/>
        </w:rPr>
        <w:t xml:space="preserve">se encuentra indebidamente fundada y motivada </w:t>
      </w:r>
      <w:r>
        <w:rPr>
          <w:rFonts w:ascii="Arial" w:hAnsi="Arial" w:cs="Arial"/>
          <w:sz w:val="24"/>
          <w:szCs w:val="24"/>
        </w:rPr>
        <w:t>en virtud</w:t>
      </w:r>
      <w:r w:rsidR="002A798E">
        <w:rPr>
          <w:rFonts w:ascii="Arial" w:hAnsi="Arial" w:cs="Arial"/>
          <w:sz w:val="24"/>
          <w:szCs w:val="24"/>
        </w:rPr>
        <w:t xml:space="preserve"> que</w:t>
      </w:r>
      <w:r w:rsidR="008438D5">
        <w:rPr>
          <w:rFonts w:ascii="Arial" w:hAnsi="Arial" w:cs="Arial"/>
          <w:sz w:val="24"/>
          <w:szCs w:val="24"/>
        </w:rPr>
        <w:t>,</w:t>
      </w:r>
      <w:r w:rsidR="002A798E">
        <w:rPr>
          <w:rFonts w:ascii="Arial" w:hAnsi="Arial" w:cs="Arial"/>
          <w:sz w:val="24"/>
          <w:szCs w:val="24"/>
        </w:rPr>
        <w:t xml:space="preserve"> la autoridad demandada fue omisa en citar el precepto legal que le permita que al calcular la pensión deje de considerar como sueldo el salario integrado</w:t>
      </w:r>
      <w:r w:rsidR="00730D66">
        <w:rPr>
          <w:rFonts w:ascii="Arial" w:hAnsi="Arial" w:cs="Arial"/>
          <w:sz w:val="24"/>
          <w:szCs w:val="24"/>
        </w:rPr>
        <w:t xml:space="preserve"> con prestaciones </w:t>
      </w:r>
      <w:r>
        <w:rPr>
          <w:rFonts w:ascii="Arial" w:hAnsi="Arial" w:cs="Arial"/>
          <w:sz w:val="24"/>
          <w:szCs w:val="24"/>
        </w:rPr>
        <w:t>de</w:t>
      </w:r>
      <w:r w:rsidR="00730D66">
        <w:rPr>
          <w:rFonts w:ascii="Arial" w:hAnsi="Arial" w:cs="Arial"/>
          <w:sz w:val="24"/>
          <w:szCs w:val="24"/>
        </w:rPr>
        <w:t xml:space="preserve"> previsión social múltiple, despensa, vida cara, quinquenios, aguinaldo, estímulo del día del jubilado y canasta nav</w:t>
      </w:r>
      <w:r w:rsidR="00730D66" w:rsidRPr="008438D5">
        <w:rPr>
          <w:rFonts w:ascii="Arial" w:hAnsi="Arial" w:cs="Arial"/>
          <w:sz w:val="24"/>
          <w:szCs w:val="24"/>
        </w:rPr>
        <w:t>ideñ</w:t>
      </w:r>
      <w:r w:rsidR="00730D66">
        <w:rPr>
          <w:rFonts w:ascii="Arial" w:hAnsi="Arial" w:cs="Arial"/>
          <w:sz w:val="24"/>
          <w:szCs w:val="24"/>
        </w:rPr>
        <w:t>a</w:t>
      </w:r>
      <w:r>
        <w:rPr>
          <w:rFonts w:ascii="Arial" w:hAnsi="Arial" w:cs="Arial"/>
          <w:sz w:val="24"/>
          <w:szCs w:val="24"/>
        </w:rPr>
        <w:t>.</w:t>
      </w:r>
    </w:p>
    <w:p w14:paraId="467F1E93" w14:textId="77777777" w:rsidR="002A798E" w:rsidRDefault="002A798E" w:rsidP="00EC454C">
      <w:pPr>
        <w:spacing w:line="360" w:lineRule="auto"/>
        <w:ind w:firstLine="708"/>
        <w:jc w:val="both"/>
        <w:rPr>
          <w:rFonts w:ascii="Arial" w:hAnsi="Arial" w:cs="Arial"/>
          <w:sz w:val="24"/>
          <w:szCs w:val="24"/>
        </w:rPr>
      </w:pPr>
    </w:p>
    <w:p w14:paraId="69828C29" w14:textId="6B0EFA6E" w:rsidR="00682731" w:rsidRDefault="00DF3097" w:rsidP="00EF49DD">
      <w:pPr>
        <w:spacing w:line="360" w:lineRule="auto"/>
        <w:ind w:firstLine="708"/>
        <w:jc w:val="both"/>
        <w:rPr>
          <w:rFonts w:ascii="Arial" w:hAnsi="Arial" w:cs="Arial"/>
          <w:sz w:val="24"/>
          <w:szCs w:val="24"/>
        </w:rPr>
      </w:pPr>
      <w:r w:rsidRPr="007B0581">
        <w:rPr>
          <w:rFonts w:ascii="Arial" w:hAnsi="Arial" w:cs="Arial"/>
          <w:sz w:val="24"/>
          <w:szCs w:val="24"/>
        </w:rPr>
        <w:t>Por su parte,</w:t>
      </w:r>
      <w:r w:rsidR="00D50CC6">
        <w:rPr>
          <w:rFonts w:ascii="Arial" w:hAnsi="Arial" w:cs="Arial"/>
          <w:sz w:val="24"/>
          <w:szCs w:val="24"/>
        </w:rPr>
        <w:t xml:space="preserve"> el 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w:t>
      </w:r>
      <w:r w:rsidR="00E85373" w:rsidRPr="007B0581">
        <w:rPr>
          <w:rFonts w:ascii="Arial" w:hAnsi="Arial" w:cs="Arial"/>
          <w:sz w:val="24"/>
          <w:szCs w:val="24"/>
        </w:rPr>
        <w:t xml:space="preserve"> </w:t>
      </w:r>
      <w:r w:rsidR="003E13CB">
        <w:rPr>
          <w:rFonts w:ascii="Arial" w:hAnsi="Arial" w:cs="Arial"/>
          <w:sz w:val="24"/>
          <w:szCs w:val="24"/>
        </w:rPr>
        <w:t>refirió</w:t>
      </w:r>
      <w:r w:rsidR="007B573F">
        <w:rPr>
          <w:rFonts w:ascii="Arial" w:hAnsi="Arial" w:cs="Arial"/>
          <w:sz w:val="24"/>
          <w:szCs w:val="24"/>
        </w:rPr>
        <w:t xml:space="preserve"> que</w:t>
      </w:r>
      <w:r w:rsidR="00F30E31">
        <w:rPr>
          <w:rFonts w:ascii="Arial" w:hAnsi="Arial" w:cs="Arial"/>
          <w:sz w:val="24"/>
          <w:szCs w:val="24"/>
        </w:rPr>
        <w:t xml:space="preserve"> </w:t>
      </w:r>
      <w:r w:rsidR="003E13CB">
        <w:rPr>
          <w:rFonts w:ascii="Arial" w:hAnsi="Arial" w:cs="Arial"/>
          <w:sz w:val="24"/>
          <w:szCs w:val="24"/>
        </w:rPr>
        <w:t>el</w:t>
      </w:r>
      <w:r w:rsidR="00F40464">
        <w:rPr>
          <w:rFonts w:ascii="Arial" w:hAnsi="Arial" w:cs="Arial"/>
          <w:sz w:val="24"/>
          <w:szCs w:val="24"/>
        </w:rPr>
        <w:t xml:space="preserve"> acto administrativo cumple cabalmente con los elementos y requisitos que la ley prevé, de conformidad con lo dispuesto por el artículo 17 de la Ley de Procedimiento y Justicia Administrativa para el Estado de Oaxaca, </w:t>
      </w:r>
      <w:r w:rsidR="00C53634">
        <w:rPr>
          <w:rFonts w:ascii="Arial" w:hAnsi="Arial" w:cs="Arial"/>
          <w:sz w:val="24"/>
          <w:szCs w:val="24"/>
        </w:rPr>
        <w:t>dado</w:t>
      </w:r>
      <w:r w:rsidR="00F40464">
        <w:rPr>
          <w:rFonts w:ascii="Arial" w:hAnsi="Arial" w:cs="Arial"/>
          <w:sz w:val="24"/>
          <w:szCs w:val="24"/>
        </w:rPr>
        <w:t xml:space="preserve"> que en él se citaron con precisión los artículos de los cuales deriva</w:t>
      </w:r>
      <w:r w:rsidR="00682731">
        <w:rPr>
          <w:rFonts w:ascii="Arial" w:hAnsi="Arial" w:cs="Arial"/>
          <w:sz w:val="24"/>
          <w:szCs w:val="24"/>
        </w:rPr>
        <w:t xml:space="preserve">, los fundamentos legales, los motivos, las razones y consideraciones de hecho y </w:t>
      </w:r>
      <w:r w:rsidR="00682731">
        <w:rPr>
          <w:rFonts w:ascii="Arial" w:hAnsi="Arial" w:cs="Arial"/>
          <w:sz w:val="24"/>
          <w:szCs w:val="24"/>
        </w:rPr>
        <w:lastRenderedPageBreak/>
        <w:t>de derecho que lo justifican, y el sentido en el que se resolvió la petición de</w:t>
      </w:r>
      <w:r w:rsidR="00C53634">
        <w:rPr>
          <w:rFonts w:ascii="Arial" w:hAnsi="Arial" w:cs="Arial"/>
          <w:sz w:val="24"/>
          <w:szCs w:val="24"/>
        </w:rPr>
        <w:t>l</w:t>
      </w:r>
      <w:r w:rsidR="00682731">
        <w:rPr>
          <w:rFonts w:ascii="Arial" w:hAnsi="Arial" w:cs="Arial"/>
          <w:sz w:val="24"/>
          <w:szCs w:val="24"/>
        </w:rPr>
        <w:t xml:space="preserve"> actor, se sustentó en argumentos que soportan la legalidad de su existencia, generando con dicho proceder que él</w:t>
      </w:r>
      <w:r w:rsidR="009905A3">
        <w:rPr>
          <w:rFonts w:ascii="Arial" w:hAnsi="Arial" w:cs="Arial"/>
          <w:sz w:val="24"/>
          <w:szCs w:val="24"/>
        </w:rPr>
        <w:t xml:space="preserve"> mismo sea jurídicamente valido.</w:t>
      </w:r>
    </w:p>
    <w:p w14:paraId="2E345A22" w14:textId="71A5322B" w:rsidR="0089180A" w:rsidRDefault="007B573F" w:rsidP="00AC3D37">
      <w:pPr>
        <w:spacing w:line="360" w:lineRule="auto"/>
        <w:ind w:firstLine="708"/>
        <w:jc w:val="both"/>
        <w:rPr>
          <w:rFonts w:ascii="Arial" w:hAnsi="Arial" w:cs="Arial"/>
          <w:sz w:val="24"/>
          <w:szCs w:val="24"/>
        </w:rPr>
      </w:pPr>
      <w:r>
        <w:rPr>
          <w:rFonts w:ascii="Arial" w:hAnsi="Arial" w:cs="Arial"/>
          <w:sz w:val="24"/>
          <w:szCs w:val="24"/>
        </w:rPr>
        <w:t xml:space="preserve"> </w:t>
      </w:r>
    </w:p>
    <w:p w14:paraId="49F20D49" w14:textId="6003EC0E" w:rsidR="000D5DEA" w:rsidRDefault="00140569" w:rsidP="000D5DEA">
      <w:pPr>
        <w:spacing w:line="360" w:lineRule="auto"/>
        <w:ind w:firstLine="708"/>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8D1183">
        <w:rPr>
          <w:rFonts w:cs="Arial"/>
          <w:b/>
          <w:sz w:val="24"/>
          <w:szCs w:val="24"/>
        </w:rPr>
        <w:t>**********</w:t>
      </w:r>
      <w:r w:rsidR="008D1183">
        <w:rPr>
          <w:rFonts w:cs="Arial"/>
          <w:b/>
          <w:sz w:val="24"/>
          <w:szCs w:val="24"/>
        </w:rPr>
        <w:t xml:space="preserve"> </w:t>
      </w:r>
      <w:r w:rsidR="000A70B5" w:rsidRPr="007B0581">
        <w:rPr>
          <w:rFonts w:ascii="Arial" w:hAnsi="Arial" w:cs="Arial"/>
          <w:sz w:val="24"/>
          <w:szCs w:val="24"/>
        </w:rPr>
        <w:t xml:space="preserve">de </w:t>
      </w:r>
      <w:r w:rsidR="000A70B5">
        <w:rPr>
          <w:rFonts w:ascii="Arial" w:hAnsi="Arial" w:cs="Arial"/>
          <w:sz w:val="24"/>
          <w:szCs w:val="24"/>
        </w:rPr>
        <w:t>cinco de octubre de dos mil veintiuno</w:t>
      </w:r>
      <w:r w:rsidR="00DF0D64" w:rsidRPr="007B0581">
        <w:rPr>
          <w:rFonts w:ascii="Arial" w:hAnsi="Arial" w:cs="Arial"/>
          <w:sz w:val="24"/>
          <w:szCs w:val="24"/>
        </w:rPr>
        <w:t xml:space="preserve">, signado por el </w:t>
      </w:r>
      <w:r w:rsidR="007B573F">
        <w:rPr>
          <w:rFonts w:ascii="Arial" w:hAnsi="Arial" w:cs="Arial"/>
          <w:sz w:val="24"/>
          <w:szCs w:val="24"/>
        </w:rPr>
        <w:t>D</w:t>
      </w:r>
      <w:r w:rsidR="00DF0D64" w:rsidRPr="007B0581">
        <w:rPr>
          <w:rFonts w:ascii="Arial" w:hAnsi="Arial" w:cs="Arial"/>
          <w:sz w:val="24"/>
          <w:szCs w:val="24"/>
        </w:rPr>
        <w:t xml:space="preserve">irector </w:t>
      </w:r>
      <w:r w:rsidR="007B573F">
        <w:rPr>
          <w:rFonts w:ascii="Arial" w:hAnsi="Arial" w:cs="Arial"/>
          <w:sz w:val="24"/>
          <w:szCs w:val="24"/>
        </w:rPr>
        <w:t>G</w:t>
      </w:r>
      <w:r w:rsidR="00DF0D64" w:rsidRPr="007B0581">
        <w:rPr>
          <w:rFonts w:ascii="Arial" w:hAnsi="Arial" w:cs="Arial"/>
          <w:sz w:val="24"/>
          <w:szCs w:val="24"/>
        </w:rPr>
        <w:t>eneral de la Oficina de Pensiones</w:t>
      </w:r>
      <w:r w:rsidR="00DF0D64">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76075" w:rsidRPr="007B0581">
        <w:rPr>
          <w:rFonts w:ascii="Arial" w:hAnsi="Arial" w:cs="Arial"/>
          <w:sz w:val="24"/>
          <w:szCs w:val="24"/>
        </w:rPr>
        <w:t>advierte que</w:t>
      </w:r>
      <w:r w:rsidR="00176075">
        <w:rPr>
          <w:rFonts w:ascii="Arial" w:hAnsi="Arial" w:cs="Arial"/>
          <w:sz w:val="24"/>
          <w:szCs w:val="24"/>
        </w:rPr>
        <w:t xml:space="preserve"> </w:t>
      </w:r>
      <w:bookmarkStart w:id="3" w:name="_Hlk84507799"/>
      <w:r w:rsidR="00176075">
        <w:rPr>
          <w:rFonts w:ascii="Arial" w:hAnsi="Arial" w:cs="Arial"/>
          <w:sz w:val="24"/>
          <w:szCs w:val="24"/>
        </w:rPr>
        <w:t>es</w:t>
      </w:r>
      <w:r w:rsidR="000D5DEA">
        <w:rPr>
          <w:rFonts w:ascii="Arial" w:hAnsi="Arial" w:cs="Arial"/>
          <w:sz w:val="24"/>
          <w:szCs w:val="24"/>
        </w:rPr>
        <w:t xml:space="preserve"> </w:t>
      </w:r>
      <w:r w:rsidR="000D5DEA" w:rsidRPr="00723C1D">
        <w:rPr>
          <w:rFonts w:ascii="Arial" w:hAnsi="Arial" w:cs="Arial"/>
          <w:b/>
          <w:bCs/>
          <w:sz w:val="24"/>
          <w:szCs w:val="24"/>
        </w:rPr>
        <w:t>fun</w:t>
      </w:r>
      <w:r w:rsidR="000D5DEA" w:rsidRPr="00455261">
        <w:rPr>
          <w:rFonts w:ascii="Arial" w:hAnsi="Arial" w:cs="Arial"/>
          <w:b/>
          <w:bCs/>
          <w:sz w:val="24"/>
          <w:szCs w:val="24"/>
        </w:rPr>
        <w:t>dado</w:t>
      </w:r>
      <w:r w:rsidR="000D5DEA">
        <w:rPr>
          <w:rFonts w:ascii="Arial" w:hAnsi="Arial" w:cs="Arial"/>
          <w:sz w:val="24"/>
          <w:szCs w:val="24"/>
        </w:rPr>
        <w:t xml:space="preserve"> el agravio hecho valer por </w:t>
      </w:r>
      <w:r w:rsidR="00357F95">
        <w:rPr>
          <w:rFonts w:ascii="Arial" w:hAnsi="Arial" w:cs="Arial"/>
          <w:sz w:val="24"/>
          <w:szCs w:val="24"/>
        </w:rPr>
        <w:t>el</w:t>
      </w:r>
      <w:r w:rsidR="000D5DEA">
        <w:rPr>
          <w:rFonts w:ascii="Arial" w:hAnsi="Arial" w:cs="Arial"/>
          <w:sz w:val="24"/>
          <w:szCs w:val="24"/>
        </w:rPr>
        <w:t xml:space="preserve"> actor. Se dice lo anterior en razón que, el acto impugnado carece de una debida fundamentación y motivación en virtud que la demandada fue omisa en invocar el artículo 54, fracción I de la Ley de Pensiones para los Trabajadores del Gobierno del Estado de Oaxaca; asimismo no expresó los motivos por los cuáles consideró que no le eran aplicables</w:t>
      </w:r>
      <w:r w:rsidR="006208DB">
        <w:rPr>
          <w:rFonts w:ascii="Arial" w:hAnsi="Arial" w:cs="Arial"/>
          <w:sz w:val="24"/>
          <w:szCs w:val="24"/>
        </w:rPr>
        <w:t xml:space="preserve"> a la administrada</w:t>
      </w:r>
      <w:r w:rsidR="000D5DEA">
        <w:rPr>
          <w:rFonts w:ascii="Arial" w:hAnsi="Arial" w:cs="Arial"/>
          <w:sz w:val="24"/>
          <w:szCs w:val="24"/>
        </w:rPr>
        <w:t xml:space="preserve"> las prestaciones de </w:t>
      </w:r>
      <w:r w:rsidR="000D5DEA" w:rsidRPr="007B0581">
        <w:rPr>
          <w:rFonts w:ascii="Arial" w:hAnsi="Arial" w:cs="Arial"/>
          <w:sz w:val="24"/>
          <w:szCs w:val="24"/>
        </w:rPr>
        <w:t>previsión social múltiple, despensa, vida cara, quinquenios, aguinaldo, est</w:t>
      </w:r>
      <w:r w:rsidR="000D5DEA">
        <w:rPr>
          <w:rFonts w:ascii="Arial" w:hAnsi="Arial" w:cs="Arial"/>
          <w:sz w:val="24"/>
          <w:szCs w:val="24"/>
        </w:rPr>
        <w:t>í</w:t>
      </w:r>
      <w:r w:rsidR="000D5DEA" w:rsidRPr="007B0581">
        <w:rPr>
          <w:rFonts w:ascii="Arial" w:hAnsi="Arial" w:cs="Arial"/>
          <w:sz w:val="24"/>
          <w:szCs w:val="24"/>
        </w:rPr>
        <w:t>mulo del día del jubi</w:t>
      </w:r>
      <w:r w:rsidR="000D5DEA">
        <w:rPr>
          <w:rFonts w:ascii="Arial" w:hAnsi="Arial" w:cs="Arial"/>
          <w:sz w:val="24"/>
          <w:szCs w:val="24"/>
        </w:rPr>
        <w:t>lado y canasta navideña.</w:t>
      </w:r>
    </w:p>
    <w:p w14:paraId="65F47D5D" w14:textId="77777777" w:rsidR="000D5DEA" w:rsidRDefault="000D5DEA" w:rsidP="000D5DEA">
      <w:pPr>
        <w:spacing w:line="360" w:lineRule="auto"/>
        <w:ind w:firstLine="708"/>
        <w:jc w:val="both"/>
        <w:rPr>
          <w:rFonts w:ascii="Arial" w:hAnsi="Arial" w:cs="Arial"/>
          <w:sz w:val="24"/>
          <w:szCs w:val="24"/>
        </w:rPr>
      </w:pPr>
    </w:p>
    <w:p w14:paraId="6F7A3C70" w14:textId="015B4408" w:rsidR="000D5DEA" w:rsidRDefault="000D5DEA" w:rsidP="000D5DEA">
      <w:pPr>
        <w:spacing w:line="360" w:lineRule="auto"/>
        <w:ind w:firstLine="708"/>
        <w:jc w:val="both"/>
        <w:rPr>
          <w:rFonts w:ascii="Arial" w:hAnsi="Arial" w:cs="Arial"/>
          <w:i/>
          <w:sz w:val="24"/>
          <w:szCs w:val="24"/>
        </w:rPr>
      </w:pPr>
      <w:r>
        <w:rPr>
          <w:rFonts w:ascii="Arial" w:hAnsi="Arial" w:cs="Arial"/>
          <w:sz w:val="24"/>
          <w:szCs w:val="24"/>
        </w:rPr>
        <w:t>Es de señalar que el artículo 54, fracción I de la Ley en cita contempla que las citadas prestaciones se integrarán a j</w:t>
      </w:r>
      <w:r w:rsidRPr="00395B83">
        <w:rPr>
          <w:rFonts w:ascii="Arial" w:hAnsi="Arial" w:cs="Arial"/>
          <w:sz w:val="24"/>
          <w:szCs w:val="24"/>
        </w:rPr>
        <w:t>ubilados tratándose solo de aquéllos que fueron trabajadores de base</w:t>
      </w:r>
      <w:r>
        <w:rPr>
          <w:rFonts w:ascii="Arial" w:hAnsi="Arial" w:cs="Arial"/>
          <w:sz w:val="24"/>
          <w:szCs w:val="24"/>
        </w:rPr>
        <w:t xml:space="preserve">, lo cierto es que, tal distinción entre personal de base y de confianza, </w:t>
      </w:r>
      <w:r w:rsidRPr="00326A7E">
        <w:rPr>
          <w:rFonts w:ascii="Arial" w:hAnsi="Arial" w:cs="Arial"/>
          <w:sz w:val="24"/>
          <w:szCs w:val="24"/>
        </w:rPr>
        <w:t>contraviene el principio</w:t>
      </w:r>
      <w:r>
        <w:rPr>
          <w:rFonts w:ascii="Arial" w:hAnsi="Arial" w:cs="Arial"/>
          <w:sz w:val="24"/>
          <w:szCs w:val="24"/>
        </w:rPr>
        <w:t xml:space="preserve"> de igualdad que tiene un carácter fundamental adjetivo o procedimental mismo que debe ser observado acorde a lo establecido con el artículo 1 de la Constitución Política de los Estados Unidos Mexicanos</w:t>
      </w:r>
      <w:r w:rsidRPr="003823D9">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Sirv</w:t>
      </w:r>
      <w:r>
        <w:rPr>
          <w:rFonts w:ascii="Arial" w:hAnsi="Arial" w:cs="Arial"/>
          <w:sz w:val="24"/>
          <w:szCs w:val="24"/>
        </w:rPr>
        <w:t>e</w:t>
      </w:r>
      <w:r w:rsidRPr="007B0581">
        <w:rPr>
          <w:rFonts w:ascii="Arial" w:hAnsi="Arial" w:cs="Arial"/>
          <w:sz w:val="24"/>
          <w:szCs w:val="24"/>
        </w:rPr>
        <w:t xml:space="preserve">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r>
        <w:rPr>
          <w:rFonts w:ascii="Arial" w:hAnsi="Arial" w:cs="Arial"/>
          <w:i/>
          <w:sz w:val="24"/>
          <w:szCs w:val="24"/>
        </w:rPr>
        <w:t>.</w:t>
      </w:r>
    </w:p>
    <w:p w14:paraId="56340223" w14:textId="3F6D84DB" w:rsidR="000D5DEA" w:rsidRDefault="000D5DEA" w:rsidP="0020275D">
      <w:pPr>
        <w:spacing w:line="360" w:lineRule="auto"/>
        <w:ind w:firstLine="709"/>
        <w:contextualSpacing/>
        <w:jc w:val="both"/>
        <w:rPr>
          <w:rFonts w:ascii="Arial" w:hAnsi="Arial" w:cs="Arial"/>
          <w:sz w:val="24"/>
          <w:szCs w:val="24"/>
        </w:rPr>
      </w:pPr>
    </w:p>
    <w:p w14:paraId="68D52B61" w14:textId="0066F53F" w:rsidR="0074641C" w:rsidRPr="0074641C" w:rsidRDefault="00176075" w:rsidP="00435AE1">
      <w:pPr>
        <w:pStyle w:val="NormalWeb"/>
        <w:spacing w:before="0" w:beforeAutospacing="0" w:after="0" w:afterAutospacing="0" w:line="375" w:lineRule="atLeast"/>
        <w:ind w:firstLine="708"/>
        <w:jc w:val="both"/>
        <w:rPr>
          <w:rFonts w:ascii="Calibri" w:hAnsi="Calibri" w:cs="Calibri"/>
          <w:color w:val="212529"/>
          <w:sz w:val="26"/>
          <w:szCs w:val="26"/>
        </w:rPr>
      </w:pPr>
      <w:bookmarkStart w:id="4" w:name="_Hlk84507605"/>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rPr>
        <w:t>123 Constitucional</w:t>
      </w:r>
      <w:r w:rsidRPr="007B0581">
        <w:rPr>
          <w:rFonts w:ascii="Arial" w:hAnsi="Arial" w:cs="Arial"/>
        </w:rPr>
        <w:t xml:space="preserve"> divide a los trabajadores en apartados, </w:t>
      </w:r>
      <w:r w:rsidRPr="007B0581">
        <w:rPr>
          <w:rFonts w:ascii="Arial" w:hAnsi="Arial" w:cs="Arial"/>
        </w:rPr>
        <w:lastRenderedPageBreak/>
        <w:t>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 xml:space="preserve">pues se redujeron los beneficios a que tiene derecho </w:t>
      </w:r>
      <w:r w:rsidR="00357F95">
        <w:rPr>
          <w:rFonts w:ascii="Arial" w:hAnsi="Arial" w:cs="Arial"/>
        </w:rPr>
        <w:t>el</w:t>
      </w:r>
      <w:r w:rsidRPr="007B0581">
        <w:rPr>
          <w:rFonts w:ascii="Arial" w:hAnsi="Arial" w:cs="Arial"/>
        </w:rPr>
        <w:t xml:space="preserve"> actor</w:t>
      </w:r>
      <w:r>
        <w:rPr>
          <w:rFonts w:ascii="Arial" w:hAnsi="Arial" w:cs="Arial"/>
        </w:rPr>
        <w:t>,  asimismo se deja de ob</w:t>
      </w:r>
      <w:r w:rsidR="00E925D9">
        <w:rPr>
          <w:rFonts w:ascii="Arial" w:hAnsi="Arial" w:cs="Arial"/>
        </w:rPr>
        <w:t>servar que las autoridades del Estado M</w:t>
      </w:r>
      <w:r>
        <w:rPr>
          <w:rFonts w:ascii="Arial" w:hAnsi="Arial" w:cs="Arial"/>
        </w:rPr>
        <w:t>exicano en el ámbito de sus competencias deben garantizar el respeto, protección y garantizar sus derechos</w:t>
      </w:r>
      <w:r w:rsidR="008A3F50">
        <w:rPr>
          <w:rFonts w:ascii="Arial" w:hAnsi="Arial" w:cs="Arial"/>
        </w:rPr>
        <w:t xml:space="preserve">, esto es, realizar la interpretación conforme en sentido amplio, lo que significa que las autoridades del Estado Mexicano, deben interpretar el orden jurídico a la luz y conforme a los derechos reconocidos en la Constitución Política de los Estados Unidos Mexicanos y en los tratados internacionales en los cuales el Estado </w:t>
      </w:r>
      <w:r w:rsidR="0074641C">
        <w:rPr>
          <w:rFonts w:ascii="Arial" w:hAnsi="Arial" w:cs="Arial"/>
        </w:rPr>
        <w:t>m</w:t>
      </w:r>
      <w:r w:rsidR="008A3F50">
        <w:rPr>
          <w:rFonts w:ascii="Arial" w:hAnsi="Arial" w:cs="Arial"/>
        </w:rPr>
        <w:t xml:space="preserve">exicano </w:t>
      </w:r>
      <w:r w:rsidR="00E925D9">
        <w:rPr>
          <w:rFonts w:ascii="Arial" w:hAnsi="Arial" w:cs="Arial"/>
        </w:rPr>
        <w:t>sea</w:t>
      </w:r>
      <w:r w:rsidR="008A3F50">
        <w:rPr>
          <w:rFonts w:ascii="Arial" w:hAnsi="Arial" w:cs="Arial"/>
        </w:rPr>
        <w:t xml:space="preserve"> parte, favoreciendo en todo tiempo a las personas con la prot</w:t>
      </w:r>
      <w:bookmarkStart w:id="5" w:name="_GoBack"/>
      <w:bookmarkEnd w:id="5"/>
      <w:r w:rsidR="008A3F50">
        <w:rPr>
          <w:rFonts w:ascii="Arial" w:hAnsi="Arial" w:cs="Arial"/>
        </w:rPr>
        <w:t>ección más amplia</w:t>
      </w:r>
      <w:r w:rsidR="00553883">
        <w:rPr>
          <w:rFonts w:ascii="Arial" w:hAnsi="Arial" w:cs="Arial"/>
        </w:rPr>
        <w:t>;</w:t>
      </w:r>
      <w:r w:rsidR="008A3F50">
        <w:rPr>
          <w:rFonts w:ascii="Arial" w:hAnsi="Arial" w:cs="Arial"/>
        </w:rPr>
        <w:t xml:space="preserve"> interpretación conforme en sentido estricto, lo que significa que cuando hay varias interpretaciones jurídicamente válida</w:t>
      </w:r>
      <w:r w:rsidR="00E925D9">
        <w:rPr>
          <w:rFonts w:ascii="Arial" w:hAnsi="Arial" w:cs="Arial"/>
        </w:rPr>
        <w:t>s</w:t>
      </w:r>
      <w:r w:rsidR="008A3F50">
        <w:rPr>
          <w:rFonts w:ascii="Arial" w:hAnsi="Arial" w:cs="Arial"/>
        </w:rPr>
        <w:t>, las autoridades deben, partiendo de la presunción de constitucionalidad de las leyes, pref</w:t>
      </w:r>
      <w:r w:rsidR="00E925D9">
        <w:rPr>
          <w:rFonts w:ascii="Arial" w:hAnsi="Arial" w:cs="Arial"/>
        </w:rPr>
        <w:t>iriendo</w:t>
      </w:r>
      <w:r w:rsidR="008A3F50">
        <w:rPr>
          <w:rFonts w:ascii="Arial" w:hAnsi="Arial" w:cs="Arial"/>
        </w:rPr>
        <w:t xml:space="preserve"> aquéllas que hace</w:t>
      </w:r>
      <w:r w:rsidR="00E925D9">
        <w:rPr>
          <w:rFonts w:ascii="Arial" w:hAnsi="Arial" w:cs="Arial"/>
        </w:rPr>
        <w:t>n</w:t>
      </w:r>
      <w:r w:rsidR="008A3F50">
        <w:rPr>
          <w:rFonts w:ascii="Arial" w:hAnsi="Arial" w:cs="Arial"/>
        </w:rPr>
        <w:t xml:space="preserve"> a la ley acorde a los derechos humanos reconocidos en nuestra carta magna y en los tratados internacionales en los que el Estado </w:t>
      </w:r>
      <w:r w:rsidR="0074641C">
        <w:rPr>
          <w:rFonts w:ascii="Arial" w:hAnsi="Arial" w:cs="Arial"/>
        </w:rPr>
        <w:t>m</w:t>
      </w:r>
      <w:r w:rsidR="008A3F50">
        <w:rPr>
          <w:rFonts w:ascii="Arial" w:hAnsi="Arial" w:cs="Arial"/>
        </w:rPr>
        <w:t>exicano sea parte, para evitar incidir o vulnerar el contenido esencial de estos derechos</w:t>
      </w:r>
      <w:r w:rsidRPr="007B0581">
        <w:rPr>
          <w:rFonts w:ascii="Arial" w:hAnsi="Arial" w:cs="Arial"/>
        </w:rPr>
        <w:t>; resultando evidente la inconvencionalidad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pensión</w:t>
      </w:r>
      <w:r>
        <w:rPr>
          <w:rFonts w:ascii="Arial" w:hAnsi="Arial" w:cs="Arial"/>
        </w:rPr>
        <w:t xml:space="preserve"> con todas sus prestaciones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w:t>
      </w:r>
      <w:r>
        <w:rPr>
          <w:rFonts w:ascii="Arial" w:hAnsi="Arial" w:cs="Arial"/>
        </w:rPr>
        <w:t xml:space="preserve"> derechos de</w:t>
      </w:r>
      <w:r w:rsidRPr="007B0581">
        <w:rPr>
          <w:rFonts w:ascii="Arial" w:hAnsi="Arial" w:cs="Arial"/>
        </w:rPr>
        <w:t xml:space="preserve"> todas las personas.</w:t>
      </w:r>
      <w:r w:rsidR="008C0004">
        <w:rPr>
          <w:rFonts w:ascii="Arial" w:hAnsi="Arial" w:cs="Arial"/>
        </w:rPr>
        <w:t xml:space="preserve"> Sirva de </w:t>
      </w:r>
      <w:r w:rsidR="0074641C">
        <w:rPr>
          <w:rFonts w:ascii="Arial" w:hAnsi="Arial" w:cs="Arial"/>
        </w:rPr>
        <w:t>apoyo</w:t>
      </w:r>
      <w:r w:rsidR="008C0004">
        <w:rPr>
          <w:rFonts w:ascii="Arial" w:hAnsi="Arial" w:cs="Arial"/>
        </w:rPr>
        <w:t xml:space="preserve"> la tesis con número de registro 160525 emitida por el pleno de la Suprema Corte de Justicia de la Nación, Décima Época, Libro III, tomo 1, diciembre 2011, página 552</w:t>
      </w:r>
      <w:r w:rsidR="00DD2D11">
        <w:rPr>
          <w:rFonts w:ascii="Arial" w:hAnsi="Arial" w:cs="Arial"/>
        </w:rPr>
        <w:t xml:space="preserve">, de </w:t>
      </w:r>
      <w:r w:rsidR="00DD2D11" w:rsidRPr="00435AE1">
        <w:rPr>
          <w:rFonts w:ascii="Arial" w:hAnsi="Arial" w:cs="Arial"/>
        </w:rPr>
        <w:t>texto y rubro</w:t>
      </w:r>
      <w:r w:rsidR="00DD2D11">
        <w:rPr>
          <w:rFonts w:ascii="Arial" w:hAnsi="Arial" w:cs="Arial"/>
        </w:rPr>
        <w:t xml:space="preserve"> siguiente: </w:t>
      </w:r>
      <w:r w:rsidR="00DD2D11" w:rsidRPr="0074641C">
        <w:rPr>
          <w:rFonts w:ascii="Arial" w:hAnsi="Arial" w:cs="Arial"/>
          <w:i/>
          <w:iCs/>
        </w:rPr>
        <w:t>“PASOS A SEGUIR EN EL CONTROL DE CONSTITUCIONALIDAD Y CONVENCIONALIDAD EX OFFICIO EN MATERIA DE DERECHOS HUMANOS</w:t>
      </w:r>
      <w:r w:rsidR="00BA4761" w:rsidRPr="0074641C">
        <w:rPr>
          <w:rFonts w:ascii="Arial" w:hAnsi="Arial" w:cs="Arial"/>
          <w:i/>
          <w:iCs/>
        </w:rPr>
        <w:t>.</w:t>
      </w:r>
      <w:r w:rsidR="0074641C" w:rsidRPr="0074641C">
        <w:rPr>
          <w:rFonts w:ascii="Arial" w:hAnsi="Arial" w:cs="Arial"/>
          <w:i/>
          <w:iCs/>
        </w:rPr>
        <w:t xml:space="preserve"> </w:t>
      </w:r>
      <w:r w:rsidR="0074641C" w:rsidRPr="0074641C">
        <w:rPr>
          <w:rFonts w:ascii="Arial" w:hAnsi="Arial" w:cs="Arial"/>
          <w:i/>
          <w:iCs/>
          <w:color w:val="212529"/>
        </w:rPr>
        <w:t xml:space="preserve">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w:t>
      </w:r>
      <w:r w:rsidR="0074641C" w:rsidRPr="0074641C">
        <w:rPr>
          <w:rFonts w:ascii="Arial" w:hAnsi="Arial" w:cs="Arial"/>
          <w:i/>
          <w:iCs/>
          <w:color w:val="212529"/>
        </w:rPr>
        <w:lastRenderedPageBreak/>
        <w:t>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74641C" w:rsidRPr="0074641C">
        <w:rPr>
          <w:rFonts w:ascii="Calibri" w:hAnsi="Calibri" w:cs="Calibri"/>
          <w:i/>
          <w:iCs/>
          <w:color w:val="212529"/>
          <w:sz w:val="26"/>
          <w:szCs w:val="26"/>
        </w:rPr>
        <w:t xml:space="preserve"> </w:t>
      </w:r>
    </w:p>
    <w:p w14:paraId="6E3E69CC" w14:textId="54EE19AE" w:rsidR="00176075" w:rsidRDefault="00BA4761" w:rsidP="00176075">
      <w:pPr>
        <w:spacing w:line="360" w:lineRule="auto"/>
        <w:ind w:firstLine="708"/>
        <w:jc w:val="both"/>
        <w:rPr>
          <w:rFonts w:ascii="Arial" w:hAnsi="Arial" w:cs="Arial"/>
          <w:sz w:val="24"/>
          <w:szCs w:val="24"/>
        </w:rPr>
      </w:pPr>
      <w:r>
        <w:rPr>
          <w:rFonts w:ascii="Arial" w:hAnsi="Arial" w:cs="Arial"/>
          <w:sz w:val="24"/>
          <w:szCs w:val="24"/>
        </w:rPr>
        <w:t xml:space="preserve"> </w:t>
      </w:r>
    </w:p>
    <w:bookmarkEnd w:id="3"/>
    <w:bookmarkEnd w:id="4"/>
    <w:p w14:paraId="166BDC61" w14:textId="166BC14C" w:rsidR="00176075" w:rsidRDefault="00176075" w:rsidP="00176075">
      <w:pPr>
        <w:spacing w:line="360" w:lineRule="auto"/>
        <w:ind w:right="-93" w:firstLine="708"/>
        <w:jc w:val="both"/>
        <w:rPr>
          <w:rFonts w:cs="Arial"/>
          <w:sz w:val="24"/>
          <w:szCs w:val="24"/>
        </w:rPr>
      </w:pPr>
      <w:r w:rsidRPr="00B96111">
        <w:rPr>
          <w:rFonts w:ascii="Arial" w:hAnsi="Arial" w:cs="Arial"/>
          <w:sz w:val="24"/>
          <w:szCs w:val="24"/>
        </w:rPr>
        <w:t xml:space="preserve">Por lo </w:t>
      </w:r>
      <w:r w:rsidR="007822D2">
        <w:rPr>
          <w:rFonts w:ascii="Arial" w:hAnsi="Arial" w:cs="Arial"/>
          <w:sz w:val="24"/>
          <w:szCs w:val="24"/>
        </w:rPr>
        <w:t>que concierne a la</w:t>
      </w:r>
      <w:r w:rsidR="00357F95">
        <w:rPr>
          <w:rFonts w:ascii="Arial" w:hAnsi="Arial" w:cs="Arial"/>
          <w:sz w:val="24"/>
          <w:szCs w:val="24"/>
        </w:rPr>
        <w:t>s</w:t>
      </w:r>
      <w:r w:rsidR="007822D2">
        <w:rPr>
          <w:rFonts w:ascii="Arial" w:hAnsi="Arial" w:cs="Arial"/>
          <w:sz w:val="24"/>
          <w:szCs w:val="24"/>
        </w:rPr>
        <w:t xml:space="preserve"> prueba</w:t>
      </w:r>
      <w:r w:rsidR="00357F95">
        <w:rPr>
          <w:rFonts w:ascii="Arial" w:hAnsi="Arial" w:cs="Arial"/>
          <w:sz w:val="24"/>
          <w:szCs w:val="24"/>
        </w:rPr>
        <w:t>s</w:t>
      </w:r>
      <w:r w:rsidR="007822D2">
        <w:rPr>
          <w:rFonts w:ascii="Arial" w:hAnsi="Arial" w:cs="Arial"/>
          <w:sz w:val="24"/>
          <w:szCs w:val="24"/>
        </w:rPr>
        <w:t xml:space="preserve"> objetada</w:t>
      </w:r>
      <w:r w:rsidR="00357F95">
        <w:rPr>
          <w:rFonts w:ascii="Arial" w:hAnsi="Arial" w:cs="Arial"/>
          <w:sz w:val="24"/>
          <w:szCs w:val="24"/>
        </w:rPr>
        <w:t>s</w:t>
      </w:r>
      <w:r w:rsidRPr="002712DB">
        <w:rPr>
          <w:rFonts w:ascii="Arial" w:hAnsi="Arial" w:cs="Arial"/>
          <w:sz w:val="24"/>
          <w:szCs w:val="24"/>
        </w:rPr>
        <w:t xml:space="preserve"> por la autoridad demandada,</w:t>
      </w:r>
      <w:r w:rsidR="00357F95">
        <w:rPr>
          <w:rFonts w:ascii="Arial" w:hAnsi="Arial" w:cs="Arial"/>
          <w:sz w:val="24"/>
          <w:szCs w:val="24"/>
        </w:rPr>
        <w:t xml:space="preserve"> descritas en proveído de uno de abril de la presente anualidad</w:t>
      </w:r>
      <w:r w:rsidR="00E41656">
        <w:rPr>
          <w:rFonts w:ascii="Arial" w:hAnsi="Arial" w:cs="Arial"/>
          <w:sz w:val="24"/>
          <w:szCs w:val="24"/>
        </w:rPr>
        <w:t>,</w:t>
      </w:r>
      <w:r w:rsidR="007822D2">
        <w:rPr>
          <w:rFonts w:ascii="Arial" w:hAnsi="Arial" w:cs="Arial"/>
          <w:sz w:val="24"/>
          <w:szCs w:val="24"/>
        </w:rPr>
        <w:t xml:space="preserve"> </w:t>
      </w:r>
      <w:r w:rsidRPr="00B96111">
        <w:rPr>
          <w:rFonts w:ascii="Arial" w:hAnsi="Arial" w:cs="Arial"/>
          <w:sz w:val="24"/>
          <w:szCs w:val="24"/>
        </w:rPr>
        <w:t>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hace referencia a objetar la</w:t>
      </w:r>
      <w:r w:rsidR="00E41656">
        <w:rPr>
          <w:rFonts w:ascii="Arial" w:hAnsi="Arial" w:cs="Arial"/>
          <w:sz w:val="24"/>
          <w:szCs w:val="24"/>
        </w:rPr>
        <w:t>s</w:t>
      </w:r>
      <w:r w:rsidRPr="00B96111">
        <w:rPr>
          <w:rFonts w:ascii="Arial" w:hAnsi="Arial" w:cs="Arial"/>
          <w:sz w:val="24"/>
          <w:szCs w:val="24"/>
        </w:rPr>
        <w:t xml:space="preserve"> documental</w:t>
      </w:r>
      <w:r w:rsidR="00E41656">
        <w:rPr>
          <w:rFonts w:ascii="Arial" w:hAnsi="Arial" w:cs="Arial"/>
          <w:sz w:val="24"/>
          <w:szCs w:val="24"/>
        </w:rPr>
        <w:t>es</w:t>
      </w:r>
      <w:r w:rsidRPr="00B96111">
        <w:rPr>
          <w:rFonts w:ascii="Arial" w:hAnsi="Arial" w:cs="Arial"/>
          <w:sz w:val="24"/>
          <w:szCs w:val="24"/>
        </w:rPr>
        <w:t xml:space="preserve"> exhibida por </w:t>
      </w:r>
      <w:r w:rsidR="00E41656">
        <w:rPr>
          <w:rFonts w:ascii="Arial" w:hAnsi="Arial" w:cs="Arial"/>
          <w:sz w:val="24"/>
          <w:szCs w:val="24"/>
        </w:rPr>
        <w:t>el</w:t>
      </w:r>
      <w:r w:rsidRPr="00B96111">
        <w:rPr>
          <w:rFonts w:ascii="Arial" w:hAnsi="Arial" w:cs="Arial"/>
          <w:sz w:val="24"/>
          <w:szCs w:val="24"/>
        </w:rPr>
        <w:t xml:space="preserve"> </w:t>
      </w:r>
      <w:r>
        <w:rPr>
          <w:rFonts w:ascii="Arial" w:hAnsi="Arial" w:cs="Arial"/>
          <w:sz w:val="24"/>
          <w:szCs w:val="24"/>
        </w:rPr>
        <w:t>acto</w:t>
      </w:r>
      <w:r w:rsidRPr="002712DB">
        <w:rPr>
          <w:rFonts w:ascii="Arial" w:hAnsi="Arial" w:cs="Arial"/>
          <w:sz w:val="24"/>
          <w:szCs w:val="24"/>
        </w:rPr>
        <w:t>r</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w:t>
      </w:r>
      <w:r w:rsidR="00357776">
        <w:rPr>
          <w:rFonts w:ascii="Arial" w:hAnsi="Arial" w:cs="Arial"/>
          <w:sz w:val="24"/>
          <w:szCs w:val="24"/>
        </w:rPr>
        <w:t>a</w:t>
      </w:r>
      <w:r w:rsidR="00E41656">
        <w:rPr>
          <w:rFonts w:ascii="Arial" w:hAnsi="Arial" w:cs="Arial"/>
          <w:sz w:val="24"/>
          <w:szCs w:val="24"/>
        </w:rPr>
        <w:t>s</w:t>
      </w:r>
      <w:r w:rsidRPr="00B96111">
        <w:rPr>
          <w:rFonts w:ascii="Arial" w:hAnsi="Arial" w:cs="Arial"/>
          <w:sz w:val="24"/>
          <w:szCs w:val="24"/>
        </w:rPr>
        <w:t xml:space="preserve"> document</w:t>
      </w:r>
      <w:r w:rsidR="00357776">
        <w:rPr>
          <w:rFonts w:ascii="Arial" w:hAnsi="Arial" w:cs="Arial"/>
          <w:sz w:val="24"/>
          <w:szCs w:val="24"/>
        </w:rPr>
        <w:t>al</w:t>
      </w:r>
      <w:r w:rsidR="00E41656">
        <w:rPr>
          <w:rFonts w:ascii="Arial" w:hAnsi="Arial" w:cs="Arial"/>
          <w:sz w:val="24"/>
          <w:szCs w:val="24"/>
        </w:rPr>
        <w:t>es</w:t>
      </w:r>
      <w:r w:rsidRPr="00D65151">
        <w:rPr>
          <w:rFonts w:cs="Arial"/>
          <w:sz w:val="24"/>
          <w:szCs w:val="24"/>
        </w:rPr>
        <w:t>.</w:t>
      </w:r>
    </w:p>
    <w:p w14:paraId="42F2238B" w14:textId="77777777" w:rsidR="00176075" w:rsidRPr="007B0581" w:rsidRDefault="00176075" w:rsidP="00176075">
      <w:pPr>
        <w:spacing w:line="360" w:lineRule="auto"/>
        <w:ind w:right="-93" w:firstLine="708"/>
        <w:jc w:val="both"/>
        <w:rPr>
          <w:rFonts w:ascii="Arial" w:hAnsi="Arial" w:cs="Arial"/>
          <w:sz w:val="24"/>
          <w:szCs w:val="24"/>
        </w:rPr>
      </w:pPr>
    </w:p>
    <w:p w14:paraId="5E4A6F13" w14:textId="735D1360" w:rsidR="00176075" w:rsidRDefault="00176075" w:rsidP="00176075">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w:t>
      </w:r>
      <w:r w:rsidR="000450C1">
        <w:rPr>
          <w:rFonts w:ascii="Arial" w:hAnsi="Arial" w:cs="Arial"/>
          <w:sz w:val="24"/>
          <w:szCs w:val="24"/>
        </w:rPr>
        <w:t>ni</w:t>
      </w:r>
      <w:r>
        <w:rPr>
          <w:rFonts w:ascii="Arial" w:hAnsi="Arial" w:cs="Arial"/>
          <w:sz w:val="24"/>
          <w:szCs w:val="24"/>
        </w:rPr>
        <w:t xml:space="preserve">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w:t>
      </w:r>
      <w:r w:rsidR="00504DF2">
        <w:rPr>
          <w:rFonts w:ascii="Arial" w:hAnsi="Arial" w:cs="Arial"/>
          <w:sz w:val="24"/>
          <w:szCs w:val="24"/>
        </w:rPr>
        <w:t>l</w:t>
      </w:r>
      <w:r>
        <w:rPr>
          <w:rFonts w:ascii="Arial" w:hAnsi="Arial" w:cs="Arial"/>
          <w:sz w:val="24"/>
          <w:szCs w:val="24"/>
        </w:rPr>
        <w:t xml:space="preserve"> actor las prestaciones contempladas en la fracción I del artículo 54 de la Ley de Pensiones para los Trabajadores del Gobierno del Estado de Oaxaca</w:t>
      </w:r>
      <w:r w:rsidR="00504DF2">
        <w:rPr>
          <w:rFonts w:ascii="Arial" w:hAnsi="Arial" w:cs="Arial"/>
          <w:sz w:val="24"/>
          <w:szCs w:val="24"/>
        </w:rPr>
        <w:t>,</w:t>
      </w:r>
      <w:r>
        <w:rPr>
          <w:rFonts w:ascii="Arial" w:hAnsi="Arial" w:cs="Arial"/>
          <w:sz w:val="24"/>
          <w:szCs w:val="24"/>
        </w:rPr>
        <w:t xml:space="preserve"> consistentes en</w:t>
      </w:r>
      <w:r w:rsidRPr="007B0581">
        <w:rPr>
          <w:rFonts w:ascii="Arial" w:hAnsi="Arial" w:cs="Arial"/>
          <w:sz w:val="24"/>
          <w:szCs w:val="24"/>
        </w:rPr>
        <w:t xml:space="preserve"> previsión social múltiple, despensa, vida cara, quinquenios, aguinaldo, estimulo del día del jubilado</w:t>
      </w:r>
      <w:r w:rsidR="00BE72B4">
        <w:rPr>
          <w:rFonts w:ascii="Arial" w:hAnsi="Arial" w:cs="Arial"/>
          <w:sz w:val="24"/>
          <w:szCs w:val="24"/>
        </w:rPr>
        <w:t xml:space="preserve"> </w:t>
      </w:r>
      <w:r w:rsidRPr="007B0581">
        <w:rPr>
          <w:rFonts w:ascii="Arial" w:hAnsi="Arial" w:cs="Arial"/>
          <w:sz w:val="24"/>
          <w:szCs w:val="24"/>
        </w:rPr>
        <w:t>y canasta navideña,</w:t>
      </w:r>
      <w:r w:rsidR="003D6496">
        <w:rPr>
          <w:rFonts w:ascii="Arial" w:hAnsi="Arial" w:cs="Arial"/>
          <w:sz w:val="24"/>
          <w:szCs w:val="24"/>
        </w:rPr>
        <w:t xml:space="preserve"> </w:t>
      </w:r>
      <w:r w:rsidRPr="007B0581">
        <w:rPr>
          <w:rFonts w:ascii="Arial" w:hAnsi="Arial" w:cs="Arial"/>
          <w:sz w:val="24"/>
          <w:szCs w:val="24"/>
        </w:rPr>
        <w:t>vulnerando con</w:t>
      </w:r>
      <w:r>
        <w:rPr>
          <w:rFonts w:ascii="Arial" w:hAnsi="Arial" w:cs="Arial"/>
          <w:sz w:val="24"/>
          <w:szCs w:val="24"/>
        </w:rPr>
        <w:t xml:space="preserve"> ello el derecho de igualdad de</w:t>
      </w:r>
      <w:r w:rsidR="00504DF2">
        <w:rPr>
          <w:rFonts w:ascii="Arial" w:hAnsi="Arial" w:cs="Arial"/>
          <w:sz w:val="24"/>
          <w:szCs w:val="24"/>
        </w:rPr>
        <w:t>l</w:t>
      </w:r>
      <w:r w:rsidRPr="007B0581">
        <w:rPr>
          <w:rFonts w:ascii="Arial" w:hAnsi="Arial" w:cs="Arial"/>
          <w:sz w:val="24"/>
          <w:szCs w:val="24"/>
        </w:rPr>
        <w:t xml:space="preserve"> a</w:t>
      </w:r>
      <w:r w:rsidR="00504DF2">
        <w:rPr>
          <w:rFonts w:ascii="Arial" w:hAnsi="Arial" w:cs="Arial"/>
          <w:sz w:val="24"/>
          <w:szCs w:val="24"/>
        </w:rPr>
        <w:t>dministrado</w:t>
      </w:r>
      <w:r w:rsidR="00F82162">
        <w:rPr>
          <w:rFonts w:ascii="Arial" w:hAnsi="Arial" w:cs="Arial"/>
          <w:sz w:val="24"/>
          <w:szCs w:val="24"/>
        </w:rPr>
        <w:t>, sin que le sea dable el pago de la prestación consistente en día de las madres por razón del género del actor</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sidR="008D1183">
        <w:rPr>
          <w:rFonts w:cs="Arial"/>
          <w:b/>
          <w:sz w:val="24"/>
          <w:szCs w:val="24"/>
        </w:rPr>
        <w:t>**********</w:t>
      </w:r>
      <w:r w:rsidR="008D1183">
        <w:rPr>
          <w:rFonts w:cs="Arial"/>
          <w:b/>
          <w:sz w:val="24"/>
          <w:szCs w:val="24"/>
        </w:rPr>
        <w:t xml:space="preserve"> </w:t>
      </w:r>
      <w:r w:rsidR="00A06730" w:rsidRPr="007B0581">
        <w:rPr>
          <w:rFonts w:ascii="Arial" w:hAnsi="Arial" w:cs="Arial"/>
          <w:sz w:val="24"/>
          <w:szCs w:val="24"/>
        </w:rPr>
        <w:t xml:space="preserve">de </w:t>
      </w:r>
      <w:r w:rsidR="00A06730">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w:t>
      </w:r>
      <w:r w:rsidR="00A06730">
        <w:rPr>
          <w:rFonts w:ascii="Arial" w:hAnsi="Arial" w:cs="Arial"/>
          <w:sz w:val="24"/>
          <w:szCs w:val="24"/>
        </w:rPr>
        <w:t>l</w:t>
      </w:r>
      <w:r w:rsidRPr="007B0581">
        <w:rPr>
          <w:rFonts w:ascii="Arial" w:hAnsi="Arial" w:cs="Arial"/>
          <w:sz w:val="24"/>
          <w:szCs w:val="24"/>
        </w:rPr>
        <w:t xml:space="preserve"> actor, incorpore a la misma las prestaciones</w:t>
      </w:r>
      <w:r>
        <w:rPr>
          <w:rFonts w:ascii="Arial" w:hAnsi="Arial" w:cs="Arial"/>
          <w:sz w:val="24"/>
          <w:szCs w:val="24"/>
        </w:rPr>
        <w:t xml:space="preserve"> ya precisadas.</w:t>
      </w:r>
      <w:r w:rsidRPr="007B0581">
        <w:rPr>
          <w:rFonts w:ascii="Arial" w:hAnsi="Arial" w:cs="Arial"/>
          <w:sz w:val="24"/>
          <w:szCs w:val="24"/>
        </w:rPr>
        <w:t xml:space="preserve"> </w:t>
      </w:r>
    </w:p>
    <w:p w14:paraId="68941519" w14:textId="77777777" w:rsidR="00176075" w:rsidRDefault="00176075" w:rsidP="00176075">
      <w:pPr>
        <w:spacing w:line="360" w:lineRule="auto"/>
        <w:ind w:firstLine="708"/>
        <w:jc w:val="both"/>
        <w:rPr>
          <w:rFonts w:ascii="Arial" w:hAnsi="Arial" w:cs="Arial"/>
          <w:sz w:val="24"/>
          <w:szCs w:val="24"/>
        </w:rPr>
      </w:pPr>
    </w:p>
    <w:bookmarkEnd w:id="6"/>
    <w:p w14:paraId="13FA6130" w14:textId="7D971445" w:rsidR="00176075" w:rsidRPr="007B0581" w:rsidRDefault="00176075" w:rsidP="00176075">
      <w:pPr>
        <w:spacing w:line="360" w:lineRule="auto"/>
        <w:ind w:firstLine="708"/>
        <w:jc w:val="both"/>
        <w:rPr>
          <w:rFonts w:ascii="Arial" w:hAnsi="Arial" w:cs="Arial"/>
          <w:color w:val="FF0000"/>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000450C1">
        <w:rPr>
          <w:rFonts w:ascii="Arial" w:hAnsi="Arial" w:cs="Arial"/>
          <w:sz w:val="24"/>
          <w:szCs w:val="24"/>
        </w:rPr>
        <w:t>resolución</w:t>
      </w:r>
      <w:r w:rsidRPr="007B0581">
        <w:rPr>
          <w:rFonts w:ascii="Arial" w:hAnsi="Arial" w:cs="Arial"/>
          <w:sz w:val="24"/>
          <w:szCs w:val="24"/>
        </w:rPr>
        <w:t xml:space="preserve"> deberá </w:t>
      </w:r>
      <w:r>
        <w:rPr>
          <w:rFonts w:ascii="Arial" w:hAnsi="Arial" w:cs="Arial"/>
          <w:sz w:val="24"/>
          <w:szCs w:val="24"/>
        </w:rPr>
        <w:t>realizar</w:t>
      </w:r>
      <w:r w:rsidRPr="007B0581">
        <w:rPr>
          <w:rFonts w:ascii="Arial" w:hAnsi="Arial" w:cs="Arial"/>
          <w:sz w:val="24"/>
          <w:szCs w:val="24"/>
        </w:rPr>
        <w:t xml:space="preserve">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de conformidad con lo dispuesto en los artículos 207, 208, fracciones II y VI, y 209 de la Ley de Procedimiento y Justicia Administrativa para el Estado de Oaxaca. </w:t>
      </w:r>
    </w:p>
    <w:p w14:paraId="4353F2F5" w14:textId="77777777" w:rsidR="00CC26EF" w:rsidRPr="007B0581"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w:t>
      </w:r>
      <w:r w:rsidRPr="007B0581">
        <w:rPr>
          <w:rFonts w:ascii="Arial" w:hAnsi="Arial" w:cs="Arial"/>
          <w:sz w:val="24"/>
          <w:szCs w:val="24"/>
        </w:rPr>
        <w:lastRenderedPageBreak/>
        <w:t>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5569E63F" w:rsidR="00585FAB"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7E4B2BC3" w14:textId="24DAD5DF" w:rsidR="00B2094F" w:rsidRDefault="00B2094F" w:rsidP="009B52E2">
      <w:pPr>
        <w:spacing w:line="360" w:lineRule="auto"/>
        <w:ind w:firstLine="708"/>
        <w:jc w:val="both"/>
        <w:rPr>
          <w:rFonts w:ascii="Arial" w:eastAsia="Calibri" w:hAnsi="Arial" w:cs="Arial"/>
          <w:color w:val="000000"/>
          <w:sz w:val="24"/>
          <w:szCs w:val="24"/>
          <w:lang w:val="es-MX" w:eastAsia="en-US"/>
        </w:rPr>
      </w:pP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727153FE" w14:textId="36BADF96" w:rsidR="0052000F"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688AE7C3" w:rsidR="00585FAB"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5502084D"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8D1183">
        <w:rPr>
          <w:rFonts w:cs="Arial"/>
          <w:b/>
          <w:sz w:val="24"/>
          <w:szCs w:val="24"/>
        </w:rPr>
        <w:t>**********</w:t>
      </w:r>
      <w:r w:rsidR="008D1183">
        <w:rPr>
          <w:rFonts w:cs="Arial"/>
          <w:b/>
          <w:sz w:val="24"/>
          <w:szCs w:val="24"/>
        </w:rPr>
        <w:t xml:space="preserve"> </w:t>
      </w:r>
      <w:r w:rsidR="00866195" w:rsidRPr="007B0581">
        <w:rPr>
          <w:rFonts w:ascii="Arial" w:hAnsi="Arial" w:cs="Arial"/>
          <w:sz w:val="24"/>
          <w:szCs w:val="24"/>
        </w:rPr>
        <w:t xml:space="preserve">de </w:t>
      </w:r>
      <w:r w:rsidR="00866195">
        <w:rPr>
          <w:rFonts w:ascii="Arial" w:hAnsi="Arial" w:cs="Arial"/>
          <w:sz w:val="24"/>
          <w:szCs w:val="24"/>
        </w:rPr>
        <w:t>cinco de octubre de dos mil veintiuno</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866195">
        <w:rPr>
          <w:rFonts w:ascii="Arial" w:hAnsi="Arial" w:cs="Arial"/>
          <w:b/>
          <w:bCs/>
          <w:sz w:val="24"/>
          <w:szCs w:val="24"/>
        </w:rPr>
        <w:t>CUARTO</w:t>
      </w:r>
      <w:r w:rsidR="00DA36F1" w:rsidRPr="007B0581">
        <w:rPr>
          <w:rFonts w:ascii="Arial" w:hAnsi="Arial" w:cs="Arial"/>
          <w:sz w:val="24"/>
          <w:szCs w:val="24"/>
        </w:rPr>
        <w:t xml:space="preserve"> de la presente </w:t>
      </w:r>
      <w:r w:rsidR="00866195">
        <w:rPr>
          <w:rFonts w:ascii="Arial" w:hAnsi="Arial" w:cs="Arial"/>
          <w:sz w:val="24"/>
          <w:szCs w:val="24"/>
        </w:rPr>
        <w:t>resolución</w:t>
      </w:r>
      <w:r w:rsidR="00DA36F1" w:rsidRPr="007B0581">
        <w:rPr>
          <w:rFonts w:ascii="Arial" w:hAnsi="Arial" w:cs="Arial"/>
          <w:sz w:val="24"/>
          <w:szCs w:val="24"/>
        </w:rPr>
        <w:t>.</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7AD5FFAD"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4A05431F" w14:textId="77777777" w:rsidR="008D1183" w:rsidRDefault="008D1183" w:rsidP="009B52E2">
      <w:pPr>
        <w:spacing w:line="360" w:lineRule="auto"/>
        <w:ind w:right="51" w:firstLine="567"/>
        <w:jc w:val="both"/>
        <w:rPr>
          <w:rFonts w:ascii="Arial" w:eastAsia="Calibri" w:hAnsi="Arial" w:cs="Arial"/>
          <w:b/>
          <w:color w:val="000000"/>
          <w:sz w:val="24"/>
          <w:szCs w:val="24"/>
          <w:lang w:val="es-MX" w:eastAsia="en-US"/>
        </w:rPr>
      </w:pPr>
    </w:p>
    <w:p w14:paraId="1C4807C3" w14:textId="4468B380" w:rsidR="00D63A84" w:rsidRDefault="00585FAB" w:rsidP="002144D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8D1183">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F1534" w14:textId="77777777" w:rsidR="00153938" w:rsidRDefault="00153938" w:rsidP="00C22D0D">
      <w:r>
        <w:separator/>
      </w:r>
    </w:p>
  </w:endnote>
  <w:endnote w:type="continuationSeparator" w:id="0">
    <w:p w14:paraId="36353556" w14:textId="77777777" w:rsidR="00153938" w:rsidRDefault="00153938"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1003B2EA" w:rsidR="002144D3" w:rsidRDefault="002144D3">
        <w:pPr>
          <w:pStyle w:val="Piedepgina"/>
          <w:jc w:val="center"/>
        </w:pPr>
        <w:r>
          <w:fldChar w:fldCharType="begin"/>
        </w:r>
        <w:r>
          <w:instrText>PAGE   \* MERGEFORMAT</w:instrText>
        </w:r>
        <w:r>
          <w:fldChar w:fldCharType="separate"/>
        </w:r>
        <w:r w:rsidR="008D1183">
          <w:rPr>
            <w:noProof/>
          </w:rPr>
          <w:t>2</w:t>
        </w:r>
        <w:r>
          <w:fldChar w:fldCharType="end"/>
        </w:r>
      </w:p>
    </w:sdtContent>
  </w:sdt>
  <w:p w14:paraId="25C23DA1" w14:textId="77777777" w:rsidR="002144D3" w:rsidRDefault="002144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AF9A7" w14:textId="77777777" w:rsidR="00153938" w:rsidRDefault="00153938" w:rsidP="00C22D0D">
      <w:r>
        <w:separator/>
      </w:r>
    </w:p>
  </w:footnote>
  <w:footnote w:type="continuationSeparator" w:id="0">
    <w:p w14:paraId="4847DC1C" w14:textId="77777777" w:rsidR="00153938" w:rsidRDefault="00153938"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8F37B98" w:rsidR="002144D3" w:rsidRPr="00A73AD7" w:rsidRDefault="008D1183"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0800" behindDoc="1" locked="0" layoutInCell="1" allowOverlap="1" wp14:anchorId="05FA932B" wp14:editId="2ECA8E1C">
              <wp:simplePos x="0" y="0"/>
              <wp:positionH relativeFrom="leftMargin">
                <wp:posOffset>213590</wp:posOffset>
              </wp:positionH>
              <wp:positionV relativeFrom="paragraph">
                <wp:posOffset>5240078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F3AB1E9" w14:textId="77777777" w:rsidR="008D1183" w:rsidRDefault="008D1183" w:rsidP="008D118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FA932B" id="_x0000_t202" coordsize="21600,21600" o:spt="202" path="m,l,21600r21600,l21600,xe">
              <v:stroke joinstyle="miter"/>
              <v:path gradientshapeok="t" o:connecttype="rect"/>
            </v:shapetype>
            <v:shape id="Cuadro de texto 4" o:spid="_x0000_s1026" type="#_x0000_t202" style="position:absolute;left:0;text-align:left;margin-left:16.8pt;margin-top:412.6pt;width:82.4pt;height:118.5pt;z-index:-2516556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">
              <v:textbox>
                <w:txbxContent>
                  <w:p w14:paraId="5F3AB1E9" w14:textId="77777777" w:rsidR="008D1183" w:rsidRDefault="008D1183" w:rsidP="008D1183">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6704" behindDoc="1" locked="0" layoutInCell="1" allowOverlap="1" wp14:anchorId="3D265F64" wp14:editId="58AC40C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2AF7">
      <w:rPr>
        <w:rFonts w:ascii="Arial" w:hAnsi="Arial" w:cs="Arial"/>
      </w:rPr>
      <w:t>00</w:t>
    </w:r>
    <w:r w:rsidR="003E13CB">
      <w:rPr>
        <w:rFonts w:ascii="Arial" w:hAnsi="Arial" w:cs="Arial"/>
      </w:rPr>
      <w:t>27</w:t>
    </w:r>
    <w:r w:rsidR="002144D3" w:rsidRPr="00A73AD7">
      <w:rPr>
        <w:rFonts w:ascii="Arial" w:hAnsi="Arial" w:cs="Arial"/>
      </w:rPr>
      <w:t>/20</w:t>
    </w:r>
    <w:r w:rsidR="002144D3">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3D0AECFD" w:rsidR="002144D3" w:rsidRDefault="008D1183">
    <w:pPr>
      <w:pStyle w:val="Encabezado"/>
    </w:pPr>
    <w:r w:rsidRPr="00C847F0">
      <w:rPr>
        <w:rFonts w:eastAsia="Calibri"/>
        <w:noProof/>
        <w:lang w:val="es-MX"/>
      </w:rPr>
      <mc:AlternateContent>
        <mc:Choice Requires="wps">
          <w:drawing>
            <wp:anchor distT="45720" distB="45720" distL="114300" distR="114300" simplePos="0" relativeHeight="251657728" behindDoc="1" locked="0" layoutInCell="1" allowOverlap="1" wp14:anchorId="673287B1" wp14:editId="0FD78FA6">
              <wp:simplePos x="0" y="0"/>
              <wp:positionH relativeFrom="leftMargin">
                <wp:posOffset>262544</wp:posOffset>
              </wp:positionH>
              <wp:positionV relativeFrom="paragraph">
                <wp:posOffset>5282103</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4BF6341" w14:textId="77777777" w:rsidR="008D1183" w:rsidRDefault="008D1183" w:rsidP="008D118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3287B1" id="_x0000_t202" coordsize="21600,21600" o:spt="202" path="m,l,21600r21600,l21600,xe">
              <v:stroke joinstyle="miter"/>
              <v:path gradientshapeok="t" o:connecttype="rect"/>
            </v:shapetype>
            <v:shape id="Cuadro de texto 5" o:spid="_x0000_s1027" type="#_x0000_t202" style="position:absolute;margin-left:20.65pt;margin-top:415.9pt;width:82.4pt;height:118.5pt;z-index:-2516587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">
              <v:textbox>
                <w:txbxContent>
                  <w:p w14:paraId="14BF6341" w14:textId="77777777" w:rsidR="008D1183" w:rsidRDefault="008D1183" w:rsidP="008D1183">
                    <w:pPr>
                      <w:jc w:val="center"/>
                    </w:pPr>
                    <w:r>
                      <w:t>DATOS PERSONALES PROTEGIDOS POR EL ART.- 116 DE LA LGTAIP Y EL ART.- 61 DE LA LTAIPEO</w:t>
                    </w:r>
                  </w:p>
                </w:txbxContent>
              </v:textbox>
              <w10:wrap anchorx="margin"/>
            </v:shape>
          </w:pict>
        </mc:Fallback>
      </mc:AlternateContent>
    </w:r>
    <w:r w:rsidR="002144D3">
      <w:rPr>
        <w:noProof/>
        <w:lang w:val="es-MX"/>
      </w:rPr>
      <w:drawing>
        <wp:anchor distT="0" distB="0" distL="114300" distR="114300" simplePos="0" relativeHeight="251663360" behindDoc="1" locked="0" layoutInCell="1" allowOverlap="1" wp14:anchorId="1E53B701" wp14:editId="093E2FA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4D3">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0B6A"/>
    <w:rsid w:val="00021A32"/>
    <w:rsid w:val="00026CF5"/>
    <w:rsid w:val="00027543"/>
    <w:rsid w:val="00027CA5"/>
    <w:rsid w:val="00030AD1"/>
    <w:rsid w:val="00032592"/>
    <w:rsid w:val="000334C2"/>
    <w:rsid w:val="00035972"/>
    <w:rsid w:val="0003697E"/>
    <w:rsid w:val="00037345"/>
    <w:rsid w:val="00043F24"/>
    <w:rsid w:val="000450C1"/>
    <w:rsid w:val="0004704B"/>
    <w:rsid w:val="00047FB5"/>
    <w:rsid w:val="0005156B"/>
    <w:rsid w:val="000558E9"/>
    <w:rsid w:val="00056002"/>
    <w:rsid w:val="000635B0"/>
    <w:rsid w:val="00064007"/>
    <w:rsid w:val="00065664"/>
    <w:rsid w:val="00066864"/>
    <w:rsid w:val="000668F8"/>
    <w:rsid w:val="000674E2"/>
    <w:rsid w:val="00067596"/>
    <w:rsid w:val="00067657"/>
    <w:rsid w:val="00071FA1"/>
    <w:rsid w:val="00072D95"/>
    <w:rsid w:val="00073204"/>
    <w:rsid w:val="00076E94"/>
    <w:rsid w:val="0008061F"/>
    <w:rsid w:val="000851D6"/>
    <w:rsid w:val="00087994"/>
    <w:rsid w:val="00090C4D"/>
    <w:rsid w:val="000953BE"/>
    <w:rsid w:val="000956C2"/>
    <w:rsid w:val="000A17D9"/>
    <w:rsid w:val="000A3181"/>
    <w:rsid w:val="000A3937"/>
    <w:rsid w:val="000A3BB0"/>
    <w:rsid w:val="000A3BB8"/>
    <w:rsid w:val="000A70B5"/>
    <w:rsid w:val="000A7A44"/>
    <w:rsid w:val="000B0104"/>
    <w:rsid w:val="000B49F5"/>
    <w:rsid w:val="000C03E9"/>
    <w:rsid w:val="000C1565"/>
    <w:rsid w:val="000C2C1E"/>
    <w:rsid w:val="000C4E31"/>
    <w:rsid w:val="000C55C6"/>
    <w:rsid w:val="000C6227"/>
    <w:rsid w:val="000C6C60"/>
    <w:rsid w:val="000C70E9"/>
    <w:rsid w:val="000D5DEA"/>
    <w:rsid w:val="000D6698"/>
    <w:rsid w:val="000E2777"/>
    <w:rsid w:val="000E6AD5"/>
    <w:rsid w:val="000E6E1A"/>
    <w:rsid w:val="000F0020"/>
    <w:rsid w:val="000F07CF"/>
    <w:rsid w:val="000F2109"/>
    <w:rsid w:val="000F2EAD"/>
    <w:rsid w:val="000F4F36"/>
    <w:rsid w:val="000F5690"/>
    <w:rsid w:val="000F783C"/>
    <w:rsid w:val="000F7B39"/>
    <w:rsid w:val="00102FFD"/>
    <w:rsid w:val="001033A1"/>
    <w:rsid w:val="001048B1"/>
    <w:rsid w:val="001056AB"/>
    <w:rsid w:val="00106927"/>
    <w:rsid w:val="001139C7"/>
    <w:rsid w:val="00120C20"/>
    <w:rsid w:val="0012261E"/>
    <w:rsid w:val="00122BB3"/>
    <w:rsid w:val="0012541D"/>
    <w:rsid w:val="00125E72"/>
    <w:rsid w:val="001319D1"/>
    <w:rsid w:val="001328C9"/>
    <w:rsid w:val="00132CE4"/>
    <w:rsid w:val="001341D3"/>
    <w:rsid w:val="00135D86"/>
    <w:rsid w:val="0013609B"/>
    <w:rsid w:val="001368CA"/>
    <w:rsid w:val="00140569"/>
    <w:rsid w:val="00142AD5"/>
    <w:rsid w:val="00142CF4"/>
    <w:rsid w:val="0014397E"/>
    <w:rsid w:val="001506AE"/>
    <w:rsid w:val="00150F4B"/>
    <w:rsid w:val="00153938"/>
    <w:rsid w:val="00155049"/>
    <w:rsid w:val="00160E9C"/>
    <w:rsid w:val="001632AD"/>
    <w:rsid w:val="00163861"/>
    <w:rsid w:val="00164147"/>
    <w:rsid w:val="00165D83"/>
    <w:rsid w:val="00166D0B"/>
    <w:rsid w:val="00172955"/>
    <w:rsid w:val="00174DD0"/>
    <w:rsid w:val="00175A93"/>
    <w:rsid w:val="00176075"/>
    <w:rsid w:val="00176D7B"/>
    <w:rsid w:val="00180A3F"/>
    <w:rsid w:val="00183795"/>
    <w:rsid w:val="00184BC3"/>
    <w:rsid w:val="0019376B"/>
    <w:rsid w:val="00194DD8"/>
    <w:rsid w:val="00195A39"/>
    <w:rsid w:val="001968FD"/>
    <w:rsid w:val="00196F6D"/>
    <w:rsid w:val="001A4D53"/>
    <w:rsid w:val="001A507B"/>
    <w:rsid w:val="001A6E5E"/>
    <w:rsid w:val="001B0398"/>
    <w:rsid w:val="001B0B86"/>
    <w:rsid w:val="001B1AB4"/>
    <w:rsid w:val="001B3349"/>
    <w:rsid w:val="001B3B32"/>
    <w:rsid w:val="001B64DB"/>
    <w:rsid w:val="001C2DF2"/>
    <w:rsid w:val="001D09AA"/>
    <w:rsid w:val="001D150B"/>
    <w:rsid w:val="001D7D2E"/>
    <w:rsid w:val="001E16C9"/>
    <w:rsid w:val="001E1A6A"/>
    <w:rsid w:val="001E5467"/>
    <w:rsid w:val="001E6D21"/>
    <w:rsid w:val="001F71A7"/>
    <w:rsid w:val="001F74CA"/>
    <w:rsid w:val="00201191"/>
    <w:rsid w:val="00201D27"/>
    <w:rsid w:val="0020275D"/>
    <w:rsid w:val="00202E64"/>
    <w:rsid w:val="00204905"/>
    <w:rsid w:val="00206DE2"/>
    <w:rsid w:val="00206E78"/>
    <w:rsid w:val="00207AF0"/>
    <w:rsid w:val="0021005D"/>
    <w:rsid w:val="002101B9"/>
    <w:rsid w:val="00210866"/>
    <w:rsid w:val="00212D4B"/>
    <w:rsid w:val="00212F77"/>
    <w:rsid w:val="002140B3"/>
    <w:rsid w:val="002144D3"/>
    <w:rsid w:val="002156D2"/>
    <w:rsid w:val="0021675C"/>
    <w:rsid w:val="00221647"/>
    <w:rsid w:val="002226BC"/>
    <w:rsid w:val="00223BE0"/>
    <w:rsid w:val="002242D8"/>
    <w:rsid w:val="00232678"/>
    <w:rsid w:val="002342B7"/>
    <w:rsid w:val="0023606C"/>
    <w:rsid w:val="0024583D"/>
    <w:rsid w:val="00246A0A"/>
    <w:rsid w:val="00250FC5"/>
    <w:rsid w:val="00252336"/>
    <w:rsid w:val="00253796"/>
    <w:rsid w:val="00255783"/>
    <w:rsid w:val="00257298"/>
    <w:rsid w:val="00260BC1"/>
    <w:rsid w:val="00270EE2"/>
    <w:rsid w:val="002712DB"/>
    <w:rsid w:val="00274873"/>
    <w:rsid w:val="00275CCE"/>
    <w:rsid w:val="00275EBF"/>
    <w:rsid w:val="00281AAA"/>
    <w:rsid w:val="00286489"/>
    <w:rsid w:val="00286586"/>
    <w:rsid w:val="00286593"/>
    <w:rsid w:val="002943AA"/>
    <w:rsid w:val="00294A96"/>
    <w:rsid w:val="00295219"/>
    <w:rsid w:val="00295DBB"/>
    <w:rsid w:val="00296F18"/>
    <w:rsid w:val="00296F93"/>
    <w:rsid w:val="002970D0"/>
    <w:rsid w:val="002A0A1A"/>
    <w:rsid w:val="002A22F7"/>
    <w:rsid w:val="002A3636"/>
    <w:rsid w:val="002A3E0F"/>
    <w:rsid w:val="002A4502"/>
    <w:rsid w:val="002A6617"/>
    <w:rsid w:val="002A798E"/>
    <w:rsid w:val="002A7A14"/>
    <w:rsid w:val="002B20A0"/>
    <w:rsid w:val="002B36E5"/>
    <w:rsid w:val="002C064D"/>
    <w:rsid w:val="002C25CA"/>
    <w:rsid w:val="002C692C"/>
    <w:rsid w:val="002D1049"/>
    <w:rsid w:val="002D145A"/>
    <w:rsid w:val="002D7AB1"/>
    <w:rsid w:val="002E0712"/>
    <w:rsid w:val="002E3177"/>
    <w:rsid w:val="002E6B26"/>
    <w:rsid w:val="002E77F5"/>
    <w:rsid w:val="002F1FE7"/>
    <w:rsid w:val="002F397A"/>
    <w:rsid w:val="002F5F0B"/>
    <w:rsid w:val="002F6F1F"/>
    <w:rsid w:val="00300B50"/>
    <w:rsid w:val="003012CE"/>
    <w:rsid w:val="00307BA1"/>
    <w:rsid w:val="0031136B"/>
    <w:rsid w:val="003117AB"/>
    <w:rsid w:val="00311E73"/>
    <w:rsid w:val="00313AD5"/>
    <w:rsid w:val="00316A30"/>
    <w:rsid w:val="00322EDF"/>
    <w:rsid w:val="003230BE"/>
    <w:rsid w:val="00324E9C"/>
    <w:rsid w:val="0032516E"/>
    <w:rsid w:val="0032692B"/>
    <w:rsid w:val="00326E0E"/>
    <w:rsid w:val="00330BC1"/>
    <w:rsid w:val="00333C75"/>
    <w:rsid w:val="003378EF"/>
    <w:rsid w:val="00343435"/>
    <w:rsid w:val="003453BE"/>
    <w:rsid w:val="00345D40"/>
    <w:rsid w:val="0035069C"/>
    <w:rsid w:val="00351A60"/>
    <w:rsid w:val="0035736B"/>
    <w:rsid w:val="00357684"/>
    <w:rsid w:val="00357776"/>
    <w:rsid w:val="00357A28"/>
    <w:rsid w:val="00357F95"/>
    <w:rsid w:val="0036085C"/>
    <w:rsid w:val="00360DC1"/>
    <w:rsid w:val="003636E1"/>
    <w:rsid w:val="003638C4"/>
    <w:rsid w:val="00363F3A"/>
    <w:rsid w:val="00364B36"/>
    <w:rsid w:val="003654F6"/>
    <w:rsid w:val="00367EA3"/>
    <w:rsid w:val="00370340"/>
    <w:rsid w:val="00372346"/>
    <w:rsid w:val="0037279C"/>
    <w:rsid w:val="00373123"/>
    <w:rsid w:val="00373626"/>
    <w:rsid w:val="003745F5"/>
    <w:rsid w:val="00375BA1"/>
    <w:rsid w:val="00375E60"/>
    <w:rsid w:val="0037665E"/>
    <w:rsid w:val="003823D9"/>
    <w:rsid w:val="0039061D"/>
    <w:rsid w:val="00390807"/>
    <w:rsid w:val="003949C6"/>
    <w:rsid w:val="00395B83"/>
    <w:rsid w:val="00395E43"/>
    <w:rsid w:val="00397620"/>
    <w:rsid w:val="00397EDB"/>
    <w:rsid w:val="003A16C4"/>
    <w:rsid w:val="003A1DE0"/>
    <w:rsid w:val="003A2CC7"/>
    <w:rsid w:val="003A640E"/>
    <w:rsid w:val="003B06F3"/>
    <w:rsid w:val="003B07FD"/>
    <w:rsid w:val="003B517B"/>
    <w:rsid w:val="003B6272"/>
    <w:rsid w:val="003B6A4B"/>
    <w:rsid w:val="003C12CB"/>
    <w:rsid w:val="003C2517"/>
    <w:rsid w:val="003C2799"/>
    <w:rsid w:val="003D07D3"/>
    <w:rsid w:val="003D1C33"/>
    <w:rsid w:val="003D21EB"/>
    <w:rsid w:val="003D6496"/>
    <w:rsid w:val="003D7DEF"/>
    <w:rsid w:val="003E13CB"/>
    <w:rsid w:val="003E1A83"/>
    <w:rsid w:val="003E51C7"/>
    <w:rsid w:val="003E568B"/>
    <w:rsid w:val="003E7F8F"/>
    <w:rsid w:val="003F1FFF"/>
    <w:rsid w:val="003F254F"/>
    <w:rsid w:val="003F2D6E"/>
    <w:rsid w:val="003F4389"/>
    <w:rsid w:val="003F5445"/>
    <w:rsid w:val="003F7330"/>
    <w:rsid w:val="003F738C"/>
    <w:rsid w:val="00400744"/>
    <w:rsid w:val="004027A4"/>
    <w:rsid w:val="0040281A"/>
    <w:rsid w:val="00406044"/>
    <w:rsid w:val="00406730"/>
    <w:rsid w:val="0041211F"/>
    <w:rsid w:val="00412FC2"/>
    <w:rsid w:val="0041584C"/>
    <w:rsid w:val="004259B2"/>
    <w:rsid w:val="00426409"/>
    <w:rsid w:val="0043120A"/>
    <w:rsid w:val="00431B90"/>
    <w:rsid w:val="00435513"/>
    <w:rsid w:val="00435AE1"/>
    <w:rsid w:val="004402CE"/>
    <w:rsid w:val="00450F12"/>
    <w:rsid w:val="004550B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A7221"/>
    <w:rsid w:val="004B2A44"/>
    <w:rsid w:val="004B3214"/>
    <w:rsid w:val="004C0A2C"/>
    <w:rsid w:val="004C71AD"/>
    <w:rsid w:val="004D31AE"/>
    <w:rsid w:val="004D530A"/>
    <w:rsid w:val="004D69CC"/>
    <w:rsid w:val="004E0294"/>
    <w:rsid w:val="004E167A"/>
    <w:rsid w:val="004F0EAF"/>
    <w:rsid w:val="004F16BA"/>
    <w:rsid w:val="004F3DEB"/>
    <w:rsid w:val="004F4B01"/>
    <w:rsid w:val="004F7C7D"/>
    <w:rsid w:val="00502E44"/>
    <w:rsid w:val="00504DF2"/>
    <w:rsid w:val="00505CED"/>
    <w:rsid w:val="00510C5E"/>
    <w:rsid w:val="0051568C"/>
    <w:rsid w:val="00516A40"/>
    <w:rsid w:val="00516BCC"/>
    <w:rsid w:val="0052000F"/>
    <w:rsid w:val="00521874"/>
    <w:rsid w:val="00523DE6"/>
    <w:rsid w:val="00525015"/>
    <w:rsid w:val="00533988"/>
    <w:rsid w:val="00533A7B"/>
    <w:rsid w:val="00543886"/>
    <w:rsid w:val="00546990"/>
    <w:rsid w:val="00546A06"/>
    <w:rsid w:val="00547243"/>
    <w:rsid w:val="00547B32"/>
    <w:rsid w:val="00553883"/>
    <w:rsid w:val="0055504F"/>
    <w:rsid w:val="0055625B"/>
    <w:rsid w:val="00556A8F"/>
    <w:rsid w:val="00562F3E"/>
    <w:rsid w:val="00566739"/>
    <w:rsid w:val="00572C01"/>
    <w:rsid w:val="00572DAA"/>
    <w:rsid w:val="00574043"/>
    <w:rsid w:val="00584DFC"/>
    <w:rsid w:val="005851DE"/>
    <w:rsid w:val="00585FAB"/>
    <w:rsid w:val="0058668B"/>
    <w:rsid w:val="00594842"/>
    <w:rsid w:val="005950E6"/>
    <w:rsid w:val="005A0770"/>
    <w:rsid w:val="005A7F05"/>
    <w:rsid w:val="005C4932"/>
    <w:rsid w:val="005C6524"/>
    <w:rsid w:val="005C791C"/>
    <w:rsid w:val="005D1AA1"/>
    <w:rsid w:val="005D3DE8"/>
    <w:rsid w:val="005D550E"/>
    <w:rsid w:val="005D64AF"/>
    <w:rsid w:val="005E10AD"/>
    <w:rsid w:val="005E1CD9"/>
    <w:rsid w:val="005E2BD1"/>
    <w:rsid w:val="005E5BA2"/>
    <w:rsid w:val="005F15EE"/>
    <w:rsid w:val="005F3AE4"/>
    <w:rsid w:val="00602422"/>
    <w:rsid w:val="00606520"/>
    <w:rsid w:val="00611C2E"/>
    <w:rsid w:val="00613111"/>
    <w:rsid w:val="006208DB"/>
    <w:rsid w:val="006245BA"/>
    <w:rsid w:val="00626E25"/>
    <w:rsid w:val="006307CC"/>
    <w:rsid w:val="00634B92"/>
    <w:rsid w:val="00635A69"/>
    <w:rsid w:val="006408C9"/>
    <w:rsid w:val="00641D8B"/>
    <w:rsid w:val="00646ED9"/>
    <w:rsid w:val="00651886"/>
    <w:rsid w:val="006546DE"/>
    <w:rsid w:val="00654BBE"/>
    <w:rsid w:val="00661A39"/>
    <w:rsid w:val="00663C0B"/>
    <w:rsid w:val="006668D9"/>
    <w:rsid w:val="00666B0E"/>
    <w:rsid w:val="00672904"/>
    <w:rsid w:val="00672CBA"/>
    <w:rsid w:val="00674EAC"/>
    <w:rsid w:val="00676136"/>
    <w:rsid w:val="00677978"/>
    <w:rsid w:val="00680D49"/>
    <w:rsid w:val="0068239B"/>
    <w:rsid w:val="00682731"/>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9A8"/>
    <w:rsid w:val="006C31C0"/>
    <w:rsid w:val="006C3A19"/>
    <w:rsid w:val="006C540A"/>
    <w:rsid w:val="006C6B91"/>
    <w:rsid w:val="006C7EB5"/>
    <w:rsid w:val="006D147C"/>
    <w:rsid w:val="006D1B65"/>
    <w:rsid w:val="006D2B5E"/>
    <w:rsid w:val="006D3714"/>
    <w:rsid w:val="006D5A41"/>
    <w:rsid w:val="006D7462"/>
    <w:rsid w:val="006E0CC7"/>
    <w:rsid w:val="006E291F"/>
    <w:rsid w:val="006E2C00"/>
    <w:rsid w:val="006E39C3"/>
    <w:rsid w:val="006E7E0A"/>
    <w:rsid w:val="006F2C29"/>
    <w:rsid w:val="00700E21"/>
    <w:rsid w:val="00707B95"/>
    <w:rsid w:val="007105D2"/>
    <w:rsid w:val="00710B10"/>
    <w:rsid w:val="007116B4"/>
    <w:rsid w:val="0071337C"/>
    <w:rsid w:val="007142CD"/>
    <w:rsid w:val="00715B93"/>
    <w:rsid w:val="00720CC7"/>
    <w:rsid w:val="00723F42"/>
    <w:rsid w:val="0072417D"/>
    <w:rsid w:val="00725BFA"/>
    <w:rsid w:val="00727580"/>
    <w:rsid w:val="00730D66"/>
    <w:rsid w:val="00731A28"/>
    <w:rsid w:val="00734FE1"/>
    <w:rsid w:val="007357E4"/>
    <w:rsid w:val="007365DA"/>
    <w:rsid w:val="00736E80"/>
    <w:rsid w:val="0074017C"/>
    <w:rsid w:val="007405B4"/>
    <w:rsid w:val="00742701"/>
    <w:rsid w:val="007454B3"/>
    <w:rsid w:val="0074641C"/>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04A3"/>
    <w:rsid w:val="007822D2"/>
    <w:rsid w:val="00783D7B"/>
    <w:rsid w:val="00783EDE"/>
    <w:rsid w:val="00784493"/>
    <w:rsid w:val="0079269A"/>
    <w:rsid w:val="00794F45"/>
    <w:rsid w:val="00796397"/>
    <w:rsid w:val="0079658F"/>
    <w:rsid w:val="007A1E52"/>
    <w:rsid w:val="007A2570"/>
    <w:rsid w:val="007A33CF"/>
    <w:rsid w:val="007A4F76"/>
    <w:rsid w:val="007A5988"/>
    <w:rsid w:val="007B0581"/>
    <w:rsid w:val="007B2BAB"/>
    <w:rsid w:val="007B573F"/>
    <w:rsid w:val="007B67EB"/>
    <w:rsid w:val="007C0CFD"/>
    <w:rsid w:val="007D31A0"/>
    <w:rsid w:val="007D564E"/>
    <w:rsid w:val="007E0C70"/>
    <w:rsid w:val="007E3CFF"/>
    <w:rsid w:val="007E6219"/>
    <w:rsid w:val="007F16A4"/>
    <w:rsid w:val="007F1E01"/>
    <w:rsid w:val="007F403D"/>
    <w:rsid w:val="007F5A4E"/>
    <w:rsid w:val="007F5FED"/>
    <w:rsid w:val="008019F2"/>
    <w:rsid w:val="00802DB3"/>
    <w:rsid w:val="00802EE4"/>
    <w:rsid w:val="008043E1"/>
    <w:rsid w:val="00804947"/>
    <w:rsid w:val="00805A27"/>
    <w:rsid w:val="008075F1"/>
    <w:rsid w:val="00807AA4"/>
    <w:rsid w:val="00811AC0"/>
    <w:rsid w:val="00813257"/>
    <w:rsid w:val="0081409D"/>
    <w:rsid w:val="00814192"/>
    <w:rsid w:val="00820128"/>
    <w:rsid w:val="0082213D"/>
    <w:rsid w:val="008229F1"/>
    <w:rsid w:val="00823841"/>
    <w:rsid w:val="00824E92"/>
    <w:rsid w:val="00825E6B"/>
    <w:rsid w:val="0083112B"/>
    <w:rsid w:val="008317C8"/>
    <w:rsid w:val="00831D8E"/>
    <w:rsid w:val="00836E04"/>
    <w:rsid w:val="00840FB4"/>
    <w:rsid w:val="008412A3"/>
    <w:rsid w:val="008438D5"/>
    <w:rsid w:val="00843A48"/>
    <w:rsid w:val="0084463F"/>
    <w:rsid w:val="00852131"/>
    <w:rsid w:val="008523B3"/>
    <w:rsid w:val="008528AF"/>
    <w:rsid w:val="008554D0"/>
    <w:rsid w:val="008574E0"/>
    <w:rsid w:val="00860153"/>
    <w:rsid w:val="00861B58"/>
    <w:rsid w:val="00864B46"/>
    <w:rsid w:val="00866195"/>
    <w:rsid w:val="00867DE5"/>
    <w:rsid w:val="00870DB0"/>
    <w:rsid w:val="00872609"/>
    <w:rsid w:val="00874121"/>
    <w:rsid w:val="00876A9D"/>
    <w:rsid w:val="00876CB5"/>
    <w:rsid w:val="008823E5"/>
    <w:rsid w:val="00884C29"/>
    <w:rsid w:val="008867E7"/>
    <w:rsid w:val="0089180A"/>
    <w:rsid w:val="0089778E"/>
    <w:rsid w:val="008A389C"/>
    <w:rsid w:val="008A3F50"/>
    <w:rsid w:val="008A6ACD"/>
    <w:rsid w:val="008A6BF4"/>
    <w:rsid w:val="008B62E6"/>
    <w:rsid w:val="008B6B0C"/>
    <w:rsid w:val="008B7CE7"/>
    <w:rsid w:val="008C0004"/>
    <w:rsid w:val="008C07DF"/>
    <w:rsid w:val="008C0D49"/>
    <w:rsid w:val="008C7879"/>
    <w:rsid w:val="008D1183"/>
    <w:rsid w:val="008D146F"/>
    <w:rsid w:val="008D343F"/>
    <w:rsid w:val="008D3F34"/>
    <w:rsid w:val="008D50B0"/>
    <w:rsid w:val="008D615A"/>
    <w:rsid w:val="008D758E"/>
    <w:rsid w:val="008E14E4"/>
    <w:rsid w:val="008E2B12"/>
    <w:rsid w:val="008E3073"/>
    <w:rsid w:val="008E42B1"/>
    <w:rsid w:val="008E5585"/>
    <w:rsid w:val="008E5DDE"/>
    <w:rsid w:val="008E68F9"/>
    <w:rsid w:val="008F1594"/>
    <w:rsid w:val="008F4ABF"/>
    <w:rsid w:val="00906C4C"/>
    <w:rsid w:val="00910EFC"/>
    <w:rsid w:val="00916E19"/>
    <w:rsid w:val="00917498"/>
    <w:rsid w:val="00917EDB"/>
    <w:rsid w:val="00920526"/>
    <w:rsid w:val="009214F9"/>
    <w:rsid w:val="00922080"/>
    <w:rsid w:val="009228A3"/>
    <w:rsid w:val="00924687"/>
    <w:rsid w:val="00924C3A"/>
    <w:rsid w:val="00933BF1"/>
    <w:rsid w:val="0093469B"/>
    <w:rsid w:val="0093506B"/>
    <w:rsid w:val="00935F92"/>
    <w:rsid w:val="00943D26"/>
    <w:rsid w:val="00944924"/>
    <w:rsid w:val="009525A3"/>
    <w:rsid w:val="0095484F"/>
    <w:rsid w:val="0095726D"/>
    <w:rsid w:val="00957EC6"/>
    <w:rsid w:val="00957FC5"/>
    <w:rsid w:val="00963117"/>
    <w:rsid w:val="00964538"/>
    <w:rsid w:val="00966BE0"/>
    <w:rsid w:val="00972D02"/>
    <w:rsid w:val="009749F2"/>
    <w:rsid w:val="009905A3"/>
    <w:rsid w:val="00992F9A"/>
    <w:rsid w:val="00997234"/>
    <w:rsid w:val="009A36C0"/>
    <w:rsid w:val="009A3B93"/>
    <w:rsid w:val="009B1CEE"/>
    <w:rsid w:val="009B3100"/>
    <w:rsid w:val="009B3687"/>
    <w:rsid w:val="009B4B80"/>
    <w:rsid w:val="009B52E2"/>
    <w:rsid w:val="009B69BD"/>
    <w:rsid w:val="009B6FE9"/>
    <w:rsid w:val="009C0D5B"/>
    <w:rsid w:val="009C131A"/>
    <w:rsid w:val="009C16BC"/>
    <w:rsid w:val="009C2486"/>
    <w:rsid w:val="009C2A9F"/>
    <w:rsid w:val="009C2EA9"/>
    <w:rsid w:val="009C37DB"/>
    <w:rsid w:val="009C4886"/>
    <w:rsid w:val="009D19E2"/>
    <w:rsid w:val="009D7B1B"/>
    <w:rsid w:val="009E0919"/>
    <w:rsid w:val="009E33DA"/>
    <w:rsid w:val="009E65F7"/>
    <w:rsid w:val="009F28D2"/>
    <w:rsid w:val="00A056DA"/>
    <w:rsid w:val="00A06730"/>
    <w:rsid w:val="00A076E2"/>
    <w:rsid w:val="00A10AAF"/>
    <w:rsid w:val="00A1144C"/>
    <w:rsid w:val="00A11487"/>
    <w:rsid w:val="00A13471"/>
    <w:rsid w:val="00A1391C"/>
    <w:rsid w:val="00A15B34"/>
    <w:rsid w:val="00A20099"/>
    <w:rsid w:val="00A20501"/>
    <w:rsid w:val="00A21591"/>
    <w:rsid w:val="00A2194B"/>
    <w:rsid w:val="00A25F83"/>
    <w:rsid w:val="00A2628E"/>
    <w:rsid w:val="00A31A82"/>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A57CF"/>
    <w:rsid w:val="00AB0D65"/>
    <w:rsid w:val="00AB1533"/>
    <w:rsid w:val="00AB1C1C"/>
    <w:rsid w:val="00AB2AF7"/>
    <w:rsid w:val="00AB2FF0"/>
    <w:rsid w:val="00AB36AE"/>
    <w:rsid w:val="00AB3F67"/>
    <w:rsid w:val="00AB4089"/>
    <w:rsid w:val="00AB4A09"/>
    <w:rsid w:val="00AB4C90"/>
    <w:rsid w:val="00AB712E"/>
    <w:rsid w:val="00AB783C"/>
    <w:rsid w:val="00AC033D"/>
    <w:rsid w:val="00AC0BD8"/>
    <w:rsid w:val="00AC3D37"/>
    <w:rsid w:val="00AC47B9"/>
    <w:rsid w:val="00AD0B6E"/>
    <w:rsid w:val="00AD1222"/>
    <w:rsid w:val="00AD3FDF"/>
    <w:rsid w:val="00AE1985"/>
    <w:rsid w:val="00AE2CEF"/>
    <w:rsid w:val="00AE5951"/>
    <w:rsid w:val="00AE670D"/>
    <w:rsid w:val="00AF2E69"/>
    <w:rsid w:val="00AF65A7"/>
    <w:rsid w:val="00AF6BF9"/>
    <w:rsid w:val="00B04D8F"/>
    <w:rsid w:val="00B06A20"/>
    <w:rsid w:val="00B10165"/>
    <w:rsid w:val="00B10462"/>
    <w:rsid w:val="00B12321"/>
    <w:rsid w:val="00B1422E"/>
    <w:rsid w:val="00B149CA"/>
    <w:rsid w:val="00B2094F"/>
    <w:rsid w:val="00B23092"/>
    <w:rsid w:val="00B23A8B"/>
    <w:rsid w:val="00B25F23"/>
    <w:rsid w:val="00B2600F"/>
    <w:rsid w:val="00B27A3A"/>
    <w:rsid w:val="00B300CC"/>
    <w:rsid w:val="00B321CB"/>
    <w:rsid w:val="00B37102"/>
    <w:rsid w:val="00B401C0"/>
    <w:rsid w:val="00B50F19"/>
    <w:rsid w:val="00B5109F"/>
    <w:rsid w:val="00B543EB"/>
    <w:rsid w:val="00B57C74"/>
    <w:rsid w:val="00B62D72"/>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7C0"/>
    <w:rsid w:val="00BD1E0E"/>
    <w:rsid w:val="00BE5BAF"/>
    <w:rsid w:val="00BE6C2B"/>
    <w:rsid w:val="00BE72B4"/>
    <w:rsid w:val="00BF1CE0"/>
    <w:rsid w:val="00BF25F9"/>
    <w:rsid w:val="00BF484A"/>
    <w:rsid w:val="00C03785"/>
    <w:rsid w:val="00C10FCF"/>
    <w:rsid w:val="00C21430"/>
    <w:rsid w:val="00C22D0D"/>
    <w:rsid w:val="00C254ED"/>
    <w:rsid w:val="00C33DD1"/>
    <w:rsid w:val="00C354F6"/>
    <w:rsid w:val="00C42A60"/>
    <w:rsid w:val="00C42B27"/>
    <w:rsid w:val="00C44A4B"/>
    <w:rsid w:val="00C47F9D"/>
    <w:rsid w:val="00C53634"/>
    <w:rsid w:val="00C544A0"/>
    <w:rsid w:val="00C60B8D"/>
    <w:rsid w:val="00C60E00"/>
    <w:rsid w:val="00C6134D"/>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90395"/>
    <w:rsid w:val="00C91F9C"/>
    <w:rsid w:val="00C92C19"/>
    <w:rsid w:val="00C93942"/>
    <w:rsid w:val="00CA1A54"/>
    <w:rsid w:val="00CA30BA"/>
    <w:rsid w:val="00CA494A"/>
    <w:rsid w:val="00CA5BAC"/>
    <w:rsid w:val="00CB3964"/>
    <w:rsid w:val="00CB4190"/>
    <w:rsid w:val="00CB5FB1"/>
    <w:rsid w:val="00CC26EF"/>
    <w:rsid w:val="00CC7362"/>
    <w:rsid w:val="00CC7838"/>
    <w:rsid w:val="00CD1DDA"/>
    <w:rsid w:val="00CD35E0"/>
    <w:rsid w:val="00CD4529"/>
    <w:rsid w:val="00CD5E22"/>
    <w:rsid w:val="00CD6829"/>
    <w:rsid w:val="00CD6D1C"/>
    <w:rsid w:val="00CE54F5"/>
    <w:rsid w:val="00CF2D22"/>
    <w:rsid w:val="00CF4206"/>
    <w:rsid w:val="00CF4E5C"/>
    <w:rsid w:val="00CF6047"/>
    <w:rsid w:val="00CF60CA"/>
    <w:rsid w:val="00D01E98"/>
    <w:rsid w:val="00D020CC"/>
    <w:rsid w:val="00D05077"/>
    <w:rsid w:val="00D058DA"/>
    <w:rsid w:val="00D07A2B"/>
    <w:rsid w:val="00D07D24"/>
    <w:rsid w:val="00D12806"/>
    <w:rsid w:val="00D149EE"/>
    <w:rsid w:val="00D2439D"/>
    <w:rsid w:val="00D2553B"/>
    <w:rsid w:val="00D27A49"/>
    <w:rsid w:val="00D31ED3"/>
    <w:rsid w:val="00D31F5F"/>
    <w:rsid w:val="00D4417A"/>
    <w:rsid w:val="00D46053"/>
    <w:rsid w:val="00D467E1"/>
    <w:rsid w:val="00D50CC6"/>
    <w:rsid w:val="00D56AB0"/>
    <w:rsid w:val="00D61CE9"/>
    <w:rsid w:val="00D63A84"/>
    <w:rsid w:val="00D64E43"/>
    <w:rsid w:val="00D7020F"/>
    <w:rsid w:val="00D70C8E"/>
    <w:rsid w:val="00D70F4B"/>
    <w:rsid w:val="00D716C7"/>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6621"/>
    <w:rsid w:val="00DB0149"/>
    <w:rsid w:val="00DB0CAF"/>
    <w:rsid w:val="00DB3D87"/>
    <w:rsid w:val="00DB568D"/>
    <w:rsid w:val="00DC0E30"/>
    <w:rsid w:val="00DC1B90"/>
    <w:rsid w:val="00DC6175"/>
    <w:rsid w:val="00DC6A93"/>
    <w:rsid w:val="00DD2C06"/>
    <w:rsid w:val="00DD2D11"/>
    <w:rsid w:val="00DD52D8"/>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DF722D"/>
    <w:rsid w:val="00E003D8"/>
    <w:rsid w:val="00E04057"/>
    <w:rsid w:val="00E0550C"/>
    <w:rsid w:val="00E05B31"/>
    <w:rsid w:val="00E06416"/>
    <w:rsid w:val="00E2534F"/>
    <w:rsid w:val="00E25C17"/>
    <w:rsid w:val="00E306D2"/>
    <w:rsid w:val="00E30CD2"/>
    <w:rsid w:val="00E41559"/>
    <w:rsid w:val="00E41656"/>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1E65"/>
    <w:rsid w:val="00E925D9"/>
    <w:rsid w:val="00E93DF8"/>
    <w:rsid w:val="00E954B1"/>
    <w:rsid w:val="00E95FD9"/>
    <w:rsid w:val="00E975E9"/>
    <w:rsid w:val="00E9769F"/>
    <w:rsid w:val="00EA120D"/>
    <w:rsid w:val="00EA2E4A"/>
    <w:rsid w:val="00EA47A2"/>
    <w:rsid w:val="00EA6A84"/>
    <w:rsid w:val="00EB1FF8"/>
    <w:rsid w:val="00EB4115"/>
    <w:rsid w:val="00EB568E"/>
    <w:rsid w:val="00EC05E8"/>
    <w:rsid w:val="00EC454C"/>
    <w:rsid w:val="00EC57C3"/>
    <w:rsid w:val="00EC72F7"/>
    <w:rsid w:val="00ED091C"/>
    <w:rsid w:val="00ED7C5C"/>
    <w:rsid w:val="00EE2766"/>
    <w:rsid w:val="00EE3FA4"/>
    <w:rsid w:val="00EE4F61"/>
    <w:rsid w:val="00EE6999"/>
    <w:rsid w:val="00EF1E7F"/>
    <w:rsid w:val="00EF43D8"/>
    <w:rsid w:val="00EF49DD"/>
    <w:rsid w:val="00EF4CC5"/>
    <w:rsid w:val="00EF64CE"/>
    <w:rsid w:val="00EF7054"/>
    <w:rsid w:val="00F005A1"/>
    <w:rsid w:val="00F01098"/>
    <w:rsid w:val="00F026C1"/>
    <w:rsid w:val="00F02812"/>
    <w:rsid w:val="00F05D33"/>
    <w:rsid w:val="00F115C9"/>
    <w:rsid w:val="00F13ADF"/>
    <w:rsid w:val="00F1645B"/>
    <w:rsid w:val="00F2294F"/>
    <w:rsid w:val="00F230E0"/>
    <w:rsid w:val="00F2650A"/>
    <w:rsid w:val="00F30E31"/>
    <w:rsid w:val="00F34C0A"/>
    <w:rsid w:val="00F36864"/>
    <w:rsid w:val="00F36CA6"/>
    <w:rsid w:val="00F36ED5"/>
    <w:rsid w:val="00F36FCB"/>
    <w:rsid w:val="00F40464"/>
    <w:rsid w:val="00F407F6"/>
    <w:rsid w:val="00F422AC"/>
    <w:rsid w:val="00F44D27"/>
    <w:rsid w:val="00F50D9F"/>
    <w:rsid w:val="00F53625"/>
    <w:rsid w:val="00F57098"/>
    <w:rsid w:val="00F60672"/>
    <w:rsid w:val="00F616B6"/>
    <w:rsid w:val="00F665E7"/>
    <w:rsid w:val="00F674DC"/>
    <w:rsid w:val="00F70904"/>
    <w:rsid w:val="00F7156D"/>
    <w:rsid w:val="00F7401E"/>
    <w:rsid w:val="00F74C4F"/>
    <w:rsid w:val="00F77BBF"/>
    <w:rsid w:val="00F80AE6"/>
    <w:rsid w:val="00F8105D"/>
    <w:rsid w:val="00F81B42"/>
    <w:rsid w:val="00F82162"/>
    <w:rsid w:val="00F83166"/>
    <w:rsid w:val="00F83E66"/>
    <w:rsid w:val="00F87AD7"/>
    <w:rsid w:val="00F901F1"/>
    <w:rsid w:val="00F96406"/>
    <w:rsid w:val="00FA2A46"/>
    <w:rsid w:val="00FA5F43"/>
    <w:rsid w:val="00FB0555"/>
    <w:rsid w:val="00FB0F8B"/>
    <w:rsid w:val="00FB5D26"/>
    <w:rsid w:val="00FB7F4E"/>
    <w:rsid w:val="00FC1955"/>
    <w:rsid w:val="00FC1FCF"/>
    <w:rsid w:val="00FC2258"/>
    <w:rsid w:val="00FC3744"/>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433738DE-AADE-4E29-9E7F-F2B5FA7C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styleId="NormalWeb">
    <w:name w:val="Normal (Web)"/>
    <w:basedOn w:val="Normal"/>
    <w:uiPriority w:val="99"/>
    <w:unhideWhenUsed/>
    <w:rsid w:val="0074641C"/>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642036994">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2687</Words>
  <Characters>14780</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2022-06-17T17:53:00Z</cp:lastPrinted>
  <dcterms:created xsi:type="dcterms:W3CDTF">2023-01-13T19:38:00Z</dcterms:created>
  <dcterms:modified xsi:type="dcterms:W3CDTF">2023-01-13T19:38:00Z</dcterms:modified>
</cp:coreProperties>
</file>