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D1DF6" w14:textId="74010185"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967EAE">
        <w:rPr>
          <w:rFonts w:ascii="Arial" w:hAnsi="Arial" w:cs="Arial"/>
          <w:b/>
          <w:sz w:val="24"/>
          <w:szCs w:val="24"/>
        </w:rPr>
        <w:t>- - -</w:t>
      </w:r>
    </w:p>
    <w:p w14:paraId="2E8345C1" w14:textId="37B8B945"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12B27">
        <w:rPr>
          <w:rFonts w:ascii="Arial" w:hAnsi="Arial" w:cs="Arial"/>
          <w:b/>
          <w:sz w:val="24"/>
          <w:szCs w:val="24"/>
        </w:rPr>
        <w:t xml:space="preserve">VEINTIOCHO </w:t>
      </w:r>
      <w:r w:rsidR="003736B9">
        <w:rPr>
          <w:rFonts w:ascii="Arial" w:hAnsi="Arial" w:cs="Arial"/>
          <w:b/>
          <w:sz w:val="24"/>
          <w:szCs w:val="24"/>
        </w:rPr>
        <w:t xml:space="preserve">DE </w:t>
      </w:r>
      <w:r w:rsidR="004B10FE">
        <w:rPr>
          <w:rFonts w:ascii="Arial" w:hAnsi="Arial" w:cs="Arial"/>
          <w:b/>
          <w:sz w:val="24"/>
          <w:szCs w:val="24"/>
        </w:rPr>
        <w:t>MAYO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AE2300">
        <w:rPr>
          <w:rFonts w:ascii="Arial" w:hAnsi="Arial" w:cs="Arial"/>
          <w:b/>
          <w:sz w:val="24"/>
          <w:szCs w:val="24"/>
        </w:rPr>
        <w:t>VEINTIUNO (</w:t>
      </w:r>
      <w:r w:rsidR="00B12B27">
        <w:rPr>
          <w:rFonts w:ascii="Arial" w:hAnsi="Arial" w:cs="Arial"/>
          <w:b/>
          <w:sz w:val="24"/>
          <w:szCs w:val="24"/>
        </w:rPr>
        <w:t>28</w:t>
      </w:r>
      <w:r w:rsidR="003736B9">
        <w:rPr>
          <w:rFonts w:ascii="Arial" w:hAnsi="Arial" w:cs="Arial"/>
          <w:b/>
          <w:sz w:val="24"/>
          <w:szCs w:val="24"/>
        </w:rPr>
        <w:t>/0</w:t>
      </w:r>
      <w:r w:rsidR="004B10FE">
        <w:rPr>
          <w:rFonts w:ascii="Arial" w:hAnsi="Arial" w:cs="Arial"/>
          <w:b/>
          <w:sz w:val="24"/>
          <w:szCs w:val="24"/>
        </w:rPr>
        <w:t>5</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F0498">
        <w:rPr>
          <w:rFonts w:ascii="Arial" w:hAnsi="Arial" w:cs="Arial"/>
          <w:b/>
          <w:sz w:val="24"/>
          <w:szCs w:val="24"/>
        </w:rPr>
        <w:t>- - -</w:t>
      </w:r>
    </w:p>
    <w:p w14:paraId="24A513B8" w14:textId="3C833451"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43DE2">
        <w:rPr>
          <w:rFonts w:ascii="Arial" w:hAnsi="Arial" w:cs="Arial"/>
          <w:sz w:val="24"/>
          <w:szCs w:val="24"/>
        </w:rPr>
        <w:t xml:space="preserve"> autos del Juicio de Nulidad 00</w:t>
      </w:r>
      <w:r w:rsidR="004B10FE">
        <w:rPr>
          <w:rFonts w:ascii="Arial" w:hAnsi="Arial" w:cs="Arial"/>
          <w:sz w:val="24"/>
          <w:szCs w:val="24"/>
        </w:rPr>
        <w:t>34</w:t>
      </w:r>
      <w:r w:rsidR="003763B0">
        <w:rPr>
          <w:rFonts w:ascii="Arial" w:hAnsi="Arial" w:cs="Arial"/>
          <w:sz w:val="24"/>
          <w:szCs w:val="24"/>
        </w:rPr>
        <w:t>/2020</w:t>
      </w:r>
      <w:r w:rsidRPr="001042B6">
        <w:rPr>
          <w:rFonts w:ascii="Arial" w:hAnsi="Arial" w:cs="Arial"/>
          <w:sz w:val="24"/>
          <w:szCs w:val="24"/>
        </w:rPr>
        <w:t xml:space="preserve">, promovido por </w:t>
      </w:r>
      <w:r w:rsidR="001531A0">
        <w:rPr>
          <w:rFonts w:ascii="Arial" w:hAnsi="Arial" w:cs="Arial"/>
          <w:sz w:val="24"/>
          <w:szCs w:val="24"/>
        </w:rPr>
        <w:t>***** ***** *****</w:t>
      </w:r>
      <w:r w:rsidRPr="001042B6">
        <w:rPr>
          <w:rFonts w:ascii="Arial" w:hAnsi="Arial" w:cs="Arial"/>
          <w:sz w:val="24"/>
          <w:szCs w:val="24"/>
        </w:rPr>
        <w:t>, solicitando la nulidad de</w:t>
      </w:r>
      <w:r w:rsidR="004B10FE">
        <w:rPr>
          <w:rFonts w:ascii="Arial" w:hAnsi="Arial" w:cs="Arial"/>
          <w:sz w:val="24"/>
          <w:szCs w:val="24"/>
        </w:rPr>
        <w:t xml:space="preserve">l dictamen contenido </w:t>
      </w:r>
      <w:r w:rsidRPr="001042B6">
        <w:rPr>
          <w:rFonts w:ascii="Arial" w:hAnsi="Arial" w:cs="Arial"/>
          <w:sz w:val="24"/>
          <w:szCs w:val="24"/>
        </w:rPr>
        <w:t>en e</w:t>
      </w:r>
      <w:r w:rsidR="003763B0">
        <w:rPr>
          <w:rFonts w:ascii="Arial" w:hAnsi="Arial" w:cs="Arial"/>
          <w:sz w:val="24"/>
          <w:szCs w:val="24"/>
        </w:rPr>
        <w:t xml:space="preserve">l oficio número </w:t>
      </w:r>
      <w:r w:rsidR="001531A0">
        <w:rPr>
          <w:rFonts w:ascii="Arial" w:hAnsi="Arial" w:cs="Arial"/>
          <w:sz w:val="24"/>
          <w:szCs w:val="24"/>
        </w:rPr>
        <w:t>OP/DG/****/2019</w:t>
      </w:r>
      <w:r w:rsidRPr="001042B6">
        <w:rPr>
          <w:rFonts w:ascii="Arial" w:hAnsi="Arial" w:cs="Arial"/>
          <w:sz w:val="24"/>
          <w:szCs w:val="24"/>
        </w:rPr>
        <w:t xml:space="preserve">, de fecha </w:t>
      </w:r>
      <w:r w:rsidR="001531A0">
        <w:rPr>
          <w:rFonts w:ascii="Arial" w:hAnsi="Arial" w:cs="Arial"/>
          <w:sz w:val="24"/>
          <w:szCs w:val="24"/>
        </w:rPr>
        <w:t>***** de ***** de dos mil diecinueve (**/**/2019)</w:t>
      </w:r>
      <w:r w:rsidRPr="001042B6">
        <w:rPr>
          <w:rFonts w:ascii="Arial" w:hAnsi="Arial" w:cs="Arial"/>
          <w:sz w:val="24"/>
          <w:szCs w:val="24"/>
        </w:rPr>
        <w:t xml:space="preserve">, emitida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w:t>
      </w:r>
      <w:r w:rsidR="00886688">
        <w:rPr>
          <w:rFonts w:ascii="Arial" w:hAnsi="Arial" w:cs="Arial"/>
          <w:sz w:val="24"/>
          <w:szCs w:val="24"/>
        </w:rPr>
        <w:t>- - - - - - - - - - - -</w:t>
      </w:r>
    </w:p>
    <w:p w14:paraId="6BF22E24"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44E1130A" w14:textId="5F94E72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886688">
        <w:rPr>
          <w:rFonts w:ascii="Arial" w:hAnsi="Arial" w:cs="Arial"/>
          <w:sz w:val="24"/>
          <w:szCs w:val="24"/>
        </w:rPr>
        <w:t>veinticinco</w:t>
      </w:r>
      <w:r w:rsidR="00343DE2">
        <w:rPr>
          <w:rFonts w:ascii="Arial" w:hAnsi="Arial" w:cs="Arial"/>
          <w:sz w:val="24"/>
          <w:szCs w:val="24"/>
        </w:rPr>
        <w:t xml:space="preserve"> de </w:t>
      </w:r>
      <w:r w:rsidR="00886688">
        <w:rPr>
          <w:rFonts w:ascii="Arial" w:hAnsi="Arial" w:cs="Arial"/>
          <w:sz w:val="24"/>
          <w:szCs w:val="24"/>
        </w:rPr>
        <w:t>febrero</w:t>
      </w:r>
      <w:r w:rsidR="00343DE2">
        <w:rPr>
          <w:rFonts w:ascii="Arial" w:hAnsi="Arial" w:cs="Arial"/>
          <w:sz w:val="24"/>
          <w:szCs w:val="24"/>
        </w:rPr>
        <w:t xml:space="preserve"> </w:t>
      </w:r>
      <w:r w:rsidR="005E34C0">
        <w:rPr>
          <w:rFonts w:ascii="Arial" w:hAnsi="Arial" w:cs="Arial"/>
          <w:sz w:val="24"/>
          <w:szCs w:val="24"/>
        </w:rPr>
        <w:t>de dos mil vein</w:t>
      </w:r>
      <w:r w:rsidR="00343DE2">
        <w:rPr>
          <w:rFonts w:ascii="Arial" w:hAnsi="Arial" w:cs="Arial"/>
          <w:sz w:val="24"/>
          <w:szCs w:val="24"/>
        </w:rPr>
        <w:t>te (</w:t>
      </w:r>
      <w:r w:rsidR="00886688">
        <w:rPr>
          <w:rFonts w:ascii="Arial" w:hAnsi="Arial" w:cs="Arial"/>
          <w:sz w:val="24"/>
          <w:szCs w:val="24"/>
        </w:rPr>
        <w:t>25</w:t>
      </w:r>
      <w:r w:rsidR="005E34C0">
        <w:rPr>
          <w:rFonts w:ascii="Arial" w:hAnsi="Arial" w:cs="Arial"/>
          <w:sz w:val="24"/>
          <w:szCs w:val="24"/>
        </w:rPr>
        <w:t>/0</w:t>
      </w:r>
      <w:r w:rsidR="00886688">
        <w:rPr>
          <w:rFonts w:ascii="Arial" w:hAnsi="Arial" w:cs="Arial"/>
          <w:sz w:val="24"/>
          <w:szCs w:val="24"/>
        </w:rPr>
        <w:t>2</w:t>
      </w:r>
      <w:r w:rsidR="005E34C0">
        <w:rPr>
          <w:rFonts w:ascii="Arial" w:hAnsi="Arial" w:cs="Arial"/>
          <w:sz w:val="24"/>
          <w:szCs w:val="24"/>
        </w:rPr>
        <w:t>/2020</w:t>
      </w:r>
      <w:r w:rsidRPr="001042B6">
        <w:rPr>
          <w:rFonts w:ascii="Arial" w:hAnsi="Arial" w:cs="Arial"/>
          <w:sz w:val="24"/>
          <w:szCs w:val="24"/>
        </w:rPr>
        <w:t xml:space="preserve">), se recibió el escrito de demanda en la Oficialía de Partes de este Tribunal y con fecha </w:t>
      </w:r>
      <w:r w:rsidR="00886688">
        <w:rPr>
          <w:rFonts w:ascii="Arial" w:hAnsi="Arial" w:cs="Arial"/>
          <w:sz w:val="24"/>
          <w:szCs w:val="24"/>
        </w:rPr>
        <w:t>veintisiete</w:t>
      </w:r>
      <w:r w:rsidR="00343DE2">
        <w:rPr>
          <w:rFonts w:ascii="Arial" w:hAnsi="Arial" w:cs="Arial"/>
          <w:sz w:val="24"/>
          <w:szCs w:val="24"/>
        </w:rPr>
        <w:t xml:space="preserve"> del mismo mes y año (</w:t>
      </w:r>
      <w:r w:rsidR="00886688">
        <w:rPr>
          <w:rFonts w:ascii="Arial" w:hAnsi="Arial" w:cs="Arial"/>
          <w:sz w:val="24"/>
          <w:szCs w:val="24"/>
        </w:rPr>
        <w:t>27</w:t>
      </w:r>
      <w:r w:rsidRPr="001042B6">
        <w:rPr>
          <w:rFonts w:ascii="Arial" w:hAnsi="Arial" w:cs="Arial"/>
          <w:sz w:val="24"/>
          <w:szCs w:val="24"/>
        </w:rPr>
        <w:t>/0</w:t>
      </w:r>
      <w:r w:rsidR="00886688">
        <w:rPr>
          <w:rFonts w:ascii="Arial" w:hAnsi="Arial" w:cs="Arial"/>
          <w:sz w:val="24"/>
          <w:szCs w:val="24"/>
        </w:rPr>
        <w:t>2</w:t>
      </w:r>
      <w:r w:rsidR="005E34C0">
        <w:rPr>
          <w:rFonts w:ascii="Arial" w:hAnsi="Arial" w:cs="Arial"/>
          <w:sz w:val="24"/>
          <w:szCs w:val="24"/>
        </w:rPr>
        <w:t>/2020</w:t>
      </w:r>
      <w:r w:rsidRPr="001042B6">
        <w:rPr>
          <w:rFonts w:ascii="Arial" w:hAnsi="Arial" w:cs="Arial"/>
          <w:sz w:val="24"/>
          <w:szCs w:val="24"/>
        </w:rPr>
        <w:t xml:space="preserve">), se tuvo por admitida a trámite, ordenándose emplazar a Juicio a la autoridad demandada. </w:t>
      </w:r>
    </w:p>
    <w:p w14:paraId="09A43922" w14:textId="31D03C80"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886688">
        <w:rPr>
          <w:rFonts w:ascii="Arial" w:hAnsi="Arial" w:cs="Arial"/>
          <w:sz w:val="24"/>
          <w:szCs w:val="24"/>
        </w:rPr>
        <w:t>dieciocho</w:t>
      </w:r>
      <w:r w:rsidR="00A32B8A">
        <w:rPr>
          <w:rFonts w:ascii="Arial" w:hAnsi="Arial" w:cs="Arial"/>
          <w:sz w:val="24"/>
          <w:szCs w:val="24"/>
        </w:rPr>
        <w:t xml:space="preserve"> de marzo de dos mil veinte (</w:t>
      </w:r>
      <w:r w:rsidR="00886688">
        <w:rPr>
          <w:rFonts w:ascii="Arial" w:hAnsi="Arial" w:cs="Arial"/>
          <w:sz w:val="24"/>
          <w:szCs w:val="24"/>
        </w:rPr>
        <w:t>18</w:t>
      </w:r>
      <w:r w:rsidR="005E34C0">
        <w:rPr>
          <w:rFonts w:ascii="Arial" w:hAnsi="Arial" w:cs="Arial"/>
          <w:sz w:val="24"/>
          <w:szCs w:val="24"/>
        </w:rPr>
        <w:t>/03/2020)</w:t>
      </w:r>
      <w:r w:rsidRPr="001042B6">
        <w:rPr>
          <w:rFonts w:ascii="Arial" w:hAnsi="Arial" w:cs="Arial"/>
          <w:sz w:val="24"/>
          <w:szCs w:val="24"/>
        </w:rPr>
        <w:t>, se tuvo a la</w:t>
      </w:r>
      <w:r w:rsidR="001A512A">
        <w:rPr>
          <w:rFonts w:ascii="Arial" w:hAnsi="Arial" w:cs="Arial"/>
          <w:sz w:val="24"/>
          <w:szCs w:val="24"/>
        </w:rPr>
        <w:t>s</w:t>
      </w:r>
      <w:r w:rsidRPr="001042B6">
        <w:rPr>
          <w:rFonts w:ascii="Arial" w:hAnsi="Arial" w:cs="Arial"/>
          <w:sz w:val="24"/>
          <w:szCs w:val="24"/>
        </w:rPr>
        <w:t xml:space="preserve"> autoridad</w:t>
      </w:r>
      <w:r w:rsidR="001A512A">
        <w:rPr>
          <w:rFonts w:ascii="Arial" w:hAnsi="Arial" w:cs="Arial"/>
          <w:sz w:val="24"/>
          <w:szCs w:val="24"/>
        </w:rPr>
        <w:t>es</w:t>
      </w:r>
      <w:r w:rsidRPr="001042B6">
        <w:rPr>
          <w:rFonts w:ascii="Arial" w:hAnsi="Arial" w:cs="Arial"/>
          <w:sz w:val="24"/>
          <w:szCs w:val="24"/>
        </w:rPr>
        <w:t xml:space="preserve"> demandada</w:t>
      </w:r>
      <w:r w:rsidR="001A512A">
        <w:rPr>
          <w:rFonts w:ascii="Arial" w:hAnsi="Arial" w:cs="Arial"/>
          <w:sz w:val="24"/>
          <w:szCs w:val="24"/>
        </w:rPr>
        <w:t xml:space="preserve">s Consejo Directivo de Pensiones y </w:t>
      </w:r>
      <w:r w:rsidRPr="001042B6">
        <w:rPr>
          <w:rFonts w:ascii="Arial" w:hAnsi="Arial" w:cs="Arial"/>
          <w:sz w:val="24"/>
          <w:szCs w:val="24"/>
        </w:rPr>
        <w:t xml:space="preserve">Director General de la Oficina de Pensiones del Estado de Oaxaca, contestando en tiempo la demanda, además se señaló fecha y hora para el desahogo de la audiencia final. - - - - - </w:t>
      </w:r>
      <w:r w:rsidR="001A512A">
        <w:rPr>
          <w:rFonts w:ascii="Arial" w:hAnsi="Arial" w:cs="Arial"/>
          <w:sz w:val="24"/>
          <w:szCs w:val="24"/>
        </w:rPr>
        <w:t xml:space="preserve">- - - - - - - - - - - - - - - - - - - - - - - </w:t>
      </w:r>
    </w:p>
    <w:p w14:paraId="7C30804D" w14:textId="7793C4B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886688">
        <w:rPr>
          <w:rFonts w:ascii="Arial" w:hAnsi="Arial" w:cs="Arial"/>
          <w:sz w:val="24"/>
          <w:szCs w:val="24"/>
        </w:rPr>
        <w:t>cinco</w:t>
      </w:r>
      <w:r w:rsidR="00D7617B">
        <w:rPr>
          <w:rFonts w:ascii="Arial" w:hAnsi="Arial" w:cs="Arial"/>
          <w:sz w:val="24"/>
          <w:szCs w:val="24"/>
        </w:rPr>
        <w:t xml:space="preserve"> de </w:t>
      </w:r>
      <w:r w:rsidR="00886688">
        <w:rPr>
          <w:rFonts w:ascii="Arial" w:hAnsi="Arial" w:cs="Arial"/>
          <w:sz w:val="24"/>
          <w:szCs w:val="24"/>
        </w:rPr>
        <w:t>mayo</w:t>
      </w:r>
      <w:r w:rsidR="00D7617B">
        <w:rPr>
          <w:rFonts w:ascii="Arial" w:hAnsi="Arial" w:cs="Arial"/>
          <w:sz w:val="24"/>
          <w:szCs w:val="24"/>
        </w:rPr>
        <w:t xml:space="preserve"> de dos </w:t>
      </w:r>
      <w:r w:rsidR="00866661">
        <w:rPr>
          <w:rFonts w:ascii="Arial" w:hAnsi="Arial" w:cs="Arial"/>
          <w:sz w:val="24"/>
          <w:szCs w:val="24"/>
        </w:rPr>
        <w:t>mil veintiuno (</w:t>
      </w:r>
      <w:r w:rsidR="00886688">
        <w:rPr>
          <w:rFonts w:ascii="Arial" w:hAnsi="Arial" w:cs="Arial"/>
          <w:sz w:val="24"/>
          <w:szCs w:val="24"/>
        </w:rPr>
        <w:t>05</w:t>
      </w:r>
      <w:r w:rsidR="00D7617B">
        <w:rPr>
          <w:rFonts w:ascii="Arial" w:hAnsi="Arial" w:cs="Arial"/>
          <w:sz w:val="24"/>
          <w:szCs w:val="24"/>
        </w:rPr>
        <w:t>/0</w:t>
      </w:r>
      <w:r w:rsidR="00886688">
        <w:rPr>
          <w:rFonts w:ascii="Arial" w:hAnsi="Arial" w:cs="Arial"/>
          <w:sz w:val="24"/>
          <w:szCs w:val="24"/>
        </w:rPr>
        <w:t>5</w:t>
      </w:r>
      <w:r w:rsidR="00D7617B">
        <w:rPr>
          <w:rFonts w:ascii="Arial" w:hAnsi="Arial" w:cs="Arial"/>
          <w:sz w:val="24"/>
          <w:szCs w:val="24"/>
        </w:rPr>
        <w:t>/2021</w:t>
      </w:r>
      <w:r w:rsidRPr="001042B6">
        <w:rPr>
          <w:rFonts w:ascii="Arial" w:hAnsi="Arial" w:cs="Arial"/>
          <w:sz w:val="24"/>
          <w:szCs w:val="24"/>
        </w:rPr>
        <w:t>), 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y </w:t>
      </w:r>
      <w:r w:rsidR="00886688">
        <w:rPr>
          <w:rFonts w:ascii="Arial" w:hAnsi="Arial" w:cs="Arial"/>
          <w:sz w:val="24"/>
          <w:szCs w:val="24"/>
        </w:rPr>
        <w:t xml:space="preserve">se recibió escrito </w:t>
      </w:r>
      <w:r w:rsidRPr="001042B6">
        <w:rPr>
          <w:rFonts w:ascii="Arial" w:hAnsi="Arial" w:cs="Arial"/>
          <w:sz w:val="24"/>
          <w:szCs w:val="24"/>
        </w:rPr>
        <w:t>de alegatos</w:t>
      </w:r>
      <w:r w:rsidR="00886688">
        <w:rPr>
          <w:rFonts w:ascii="Arial" w:hAnsi="Arial" w:cs="Arial"/>
          <w:sz w:val="24"/>
          <w:szCs w:val="24"/>
        </w:rPr>
        <w:t xml:space="preserve"> de la parte actora</w:t>
      </w:r>
      <w:r w:rsidRPr="001042B6">
        <w:rPr>
          <w:rFonts w:ascii="Arial" w:hAnsi="Arial" w:cs="Arial"/>
          <w:sz w:val="24"/>
          <w:szCs w:val="24"/>
        </w:rPr>
        <w:t xml:space="preserve">, quedando el asunto integrado y en estado de resolución; y, - - - - - - - - - - - - - - - - - - - - - </w:t>
      </w:r>
      <w:r>
        <w:rPr>
          <w:rFonts w:ascii="Arial" w:hAnsi="Arial" w:cs="Arial"/>
          <w:sz w:val="24"/>
          <w:szCs w:val="24"/>
        </w:rPr>
        <w:t xml:space="preserve">- </w:t>
      </w:r>
      <w:r w:rsidR="00886688">
        <w:rPr>
          <w:rFonts w:ascii="Arial" w:hAnsi="Arial" w:cs="Arial"/>
          <w:sz w:val="24"/>
          <w:szCs w:val="24"/>
        </w:rPr>
        <w:t xml:space="preserve">- - - - - - </w:t>
      </w:r>
    </w:p>
    <w:p w14:paraId="6BB6F797"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6545522A" w14:textId="7D2F5ABC"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886688">
        <w:rPr>
          <w:rFonts w:ascii="Arial" w:hAnsi="Arial" w:cs="Arial"/>
          <w:b/>
          <w:sz w:val="24"/>
          <w:szCs w:val="24"/>
        </w:rPr>
        <w:t xml:space="preserve"> COMPETENCIA.-</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w:t>
      </w:r>
      <w:r w:rsidRPr="001042B6">
        <w:rPr>
          <w:rFonts w:ascii="Arial" w:hAnsi="Arial" w:cs="Arial"/>
          <w:sz w:val="24"/>
          <w:szCs w:val="24"/>
        </w:rPr>
        <w:lastRenderedPageBreak/>
        <w:t xml:space="preserve">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886688">
        <w:rPr>
          <w:rFonts w:ascii="Arial" w:hAnsi="Arial" w:cs="Arial"/>
          <w:sz w:val="24"/>
          <w:szCs w:val="24"/>
        </w:rPr>
        <w:t xml:space="preserve">- - - - - - - - - - - - </w:t>
      </w:r>
    </w:p>
    <w:p w14:paraId="2F6E0E45" w14:textId="096BFCE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886688">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w:t>
      </w:r>
      <w:r w:rsidR="00886688">
        <w:rPr>
          <w:rFonts w:ascii="Arial" w:hAnsi="Arial" w:cs="Arial"/>
          <w:sz w:val="24"/>
          <w:szCs w:val="24"/>
        </w:rPr>
        <w:t xml:space="preserve"> </w:t>
      </w:r>
      <w:r w:rsidRPr="001042B6">
        <w:rPr>
          <w:rFonts w:ascii="Arial" w:hAnsi="Arial" w:cs="Arial"/>
          <w:sz w:val="24"/>
          <w:szCs w:val="24"/>
        </w:rPr>
        <w:t>l</w:t>
      </w:r>
      <w:r w:rsidR="00886688">
        <w:rPr>
          <w:rFonts w:ascii="Arial" w:hAnsi="Arial" w:cs="Arial"/>
          <w:sz w:val="24"/>
          <w:szCs w:val="24"/>
        </w:rPr>
        <w:t>a</w:t>
      </w:r>
      <w:r w:rsidRPr="001042B6">
        <w:rPr>
          <w:rFonts w:ascii="Arial" w:hAnsi="Arial" w:cs="Arial"/>
          <w:sz w:val="24"/>
          <w:szCs w:val="24"/>
        </w:rPr>
        <w:t xml:space="preserve"> juzgador</w:t>
      </w:r>
      <w:r w:rsidR="00886688">
        <w:rPr>
          <w:rFonts w:ascii="Arial" w:hAnsi="Arial" w:cs="Arial"/>
          <w:sz w:val="24"/>
          <w:szCs w:val="24"/>
        </w:rPr>
        <w:t>a</w:t>
      </w:r>
      <w:r w:rsidRPr="001042B6">
        <w:rPr>
          <w:rFonts w:ascii="Arial" w:hAnsi="Arial" w:cs="Arial"/>
          <w:sz w:val="24"/>
          <w:szCs w:val="24"/>
        </w:rPr>
        <w:t>.</w:t>
      </w:r>
    </w:p>
    <w:p w14:paraId="2C262DF5" w14:textId="0B2FCC90"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La</w:t>
      </w:r>
      <w:r w:rsidR="00A900E5">
        <w:rPr>
          <w:rFonts w:ascii="Arial" w:hAnsi="Arial" w:cs="Arial"/>
          <w:sz w:val="24"/>
          <w:szCs w:val="24"/>
        </w:rPr>
        <w:t>s</w:t>
      </w:r>
      <w:r w:rsidRPr="001042B6">
        <w:rPr>
          <w:rFonts w:ascii="Arial" w:hAnsi="Arial" w:cs="Arial"/>
          <w:sz w:val="24"/>
          <w:szCs w:val="24"/>
        </w:rPr>
        <w:t xml:space="preserve"> prueba</w:t>
      </w:r>
      <w:r w:rsidR="00A900E5">
        <w:rPr>
          <w:rFonts w:ascii="Arial" w:hAnsi="Arial" w:cs="Arial"/>
          <w:sz w:val="24"/>
          <w:szCs w:val="24"/>
        </w:rPr>
        <w:t>s</w:t>
      </w:r>
      <w:r w:rsidRPr="001042B6">
        <w:rPr>
          <w:rFonts w:ascii="Arial" w:hAnsi="Arial" w:cs="Arial"/>
          <w:sz w:val="24"/>
          <w:szCs w:val="24"/>
        </w:rPr>
        <w:t xml:space="preserve"> DOCUMENTAL</w:t>
      </w:r>
      <w:r w:rsidR="00A900E5">
        <w:rPr>
          <w:rFonts w:ascii="Arial" w:hAnsi="Arial" w:cs="Arial"/>
          <w:sz w:val="24"/>
          <w:szCs w:val="24"/>
        </w:rPr>
        <w:t>ES</w:t>
      </w:r>
      <w:r w:rsidRPr="001042B6">
        <w:rPr>
          <w:rFonts w:ascii="Arial" w:hAnsi="Arial" w:cs="Arial"/>
          <w:sz w:val="24"/>
          <w:szCs w:val="24"/>
        </w:rPr>
        <w:t xml:space="preserve"> ofrecida</w:t>
      </w:r>
      <w:r w:rsidR="00A900E5">
        <w:rPr>
          <w:rFonts w:ascii="Arial" w:hAnsi="Arial" w:cs="Arial"/>
          <w:sz w:val="24"/>
          <w:szCs w:val="24"/>
        </w:rPr>
        <w:t>s</w:t>
      </w:r>
      <w:r w:rsidRPr="001042B6">
        <w:rPr>
          <w:rFonts w:ascii="Arial" w:hAnsi="Arial" w:cs="Arial"/>
          <w:sz w:val="24"/>
          <w:szCs w:val="24"/>
        </w:rPr>
        <w:t xml:space="preserve"> y admitida</w:t>
      </w:r>
      <w:r w:rsidR="00A900E5">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1531A0">
        <w:rPr>
          <w:rFonts w:ascii="Arial" w:hAnsi="Arial" w:cs="Arial"/>
          <w:sz w:val="24"/>
          <w:szCs w:val="24"/>
        </w:rPr>
        <w:t>***** ***** *****</w:t>
      </w:r>
      <w:r w:rsidRPr="001042B6">
        <w:rPr>
          <w:rFonts w:ascii="Arial" w:hAnsi="Arial" w:cs="Arial"/>
          <w:sz w:val="24"/>
          <w:szCs w:val="24"/>
        </w:rPr>
        <w:t>, consiste</w:t>
      </w:r>
      <w:r w:rsidR="00A900E5">
        <w:rPr>
          <w:rFonts w:ascii="Arial" w:hAnsi="Arial" w:cs="Arial"/>
          <w:sz w:val="24"/>
          <w:szCs w:val="24"/>
        </w:rPr>
        <w:t>n</w:t>
      </w:r>
      <w:r w:rsidRPr="001042B6">
        <w:rPr>
          <w:rFonts w:ascii="Arial" w:hAnsi="Arial" w:cs="Arial"/>
          <w:sz w:val="24"/>
          <w:szCs w:val="24"/>
        </w:rPr>
        <w:t xml:space="preserve"> en</w:t>
      </w:r>
      <w:r w:rsidR="00A900E5">
        <w:rPr>
          <w:rFonts w:ascii="Arial" w:hAnsi="Arial" w:cs="Arial"/>
          <w:sz w:val="24"/>
          <w:szCs w:val="24"/>
        </w:rPr>
        <w:t xml:space="preserve">: </w:t>
      </w:r>
      <w:r w:rsidR="00A900E5" w:rsidRPr="00FC10E9">
        <w:rPr>
          <w:rFonts w:ascii="Arial" w:hAnsi="Arial" w:cs="Arial"/>
          <w:b/>
          <w:sz w:val="24"/>
          <w:szCs w:val="24"/>
        </w:rPr>
        <w:t>1.-</w:t>
      </w:r>
      <w:r w:rsidRPr="001042B6">
        <w:rPr>
          <w:rFonts w:ascii="Arial" w:hAnsi="Arial" w:cs="Arial"/>
          <w:sz w:val="24"/>
          <w:szCs w:val="24"/>
        </w:rPr>
        <w:t xml:space="preserve"> </w:t>
      </w:r>
      <w:r w:rsidR="00DA2E75">
        <w:rPr>
          <w:rFonts w:ascii="Arial" w:hAnsi="Arial" w:cs="Arial"/>
          <w:sz w:val="24"/>
          <w:szCs w:val="24"/>
        </w:rPr>
        <w:t>Original de o</w:t>
      </w:r>
      <w:r w:rsidR="00DA2E75" w:rsidRPr="001042B6">
        <w:rPr>
          <w:rFonts w:ascii="Arial" w:hAnsi="Arial" w:cs="Arial"/>
          <w:sz w:val="24"/>
          <w:szCs w:val="24"/>
        </w:rPr>
        <w:t xml:space="preserve">ficio </w:t>
      </w:r>
      <w:r w:rsidRPr="001042B6">
        <w:rPr>
          <w:rFonts w:ascii="Arial" w:hAnsi="Arial" w:cs="Arial"/>
          <w:sz w:val="24"/>
          <w:szCs w:val="24"/>
        </w:rPr>
        <w:t xml:space="preserve">número </w:t>
      </w:r>
      <w:r w:rsidR="001531A0">
        <w:rPr>
          <w:rFonts w:ascii="Arial" w:hAnsi="Arial" w:cs="Arial"/>
          <w:sz w:val="24"/>
          <w:szCs w:val="24"/>
        </w:rPr>
        <w:t>OP/DG/****/2019</w:t>
      </w:r>
      <w:r w:rsidR="00AA0DE5">
        <w:rPr>
          <w:rFonts w:ascii="Arial" w:hAnsi="Arial" w:cs="Arial"/>
          <w:sz w:val="24"/>
          <w:szCs w:val="24"/>
        </w:rPr>
        <w:t>,</w:t>
      </w:r>
      <w:r w:rsidRPr="001042B6">
        <w:rPr>
          <w:rFonts w:ascii="Arial" w:hAnsi="Arial" w:cs="Arial"/>
          <w:sz w:val="24"/>
          <w:szCs w:val="24"/>
        </w:rPr>
        <w:t xml:space="preserve"> </w:t>
      </w:r>
      <w:r w:rsidR="00886688">
        <w:rPr>
          <w:rFonts w:ascii="Arial" w:hAnsi="Arial" w:cs="Arial"/>
          <w:sz w:val="24"/>
          <w:szCs w:val="24"/>
        </w:rPr>
        <w:t xml:space="preserve">de fecha </w:t>
      </w:r>
      <w:r w:rsidR="001531A0">
        <w:rPr>
          <w:rFonts w:ascii="Arial" w:hAnsi="Arial" w:cs="Arial"/>
          <w:sz w:val="24"/>
          <w:szCs w:val="24"/>
        </w:rPr>
        <w:t>***** de ***** de dos mil diecinueve (**/**/2019)</w:t>
      </w:r>
      <w:r w:rsidR="00886688">
        <w:rPr>
          <w:rFonts w:ascii="Arial" w:hAnsi="Arial" w:cs="Arial"/>
          <w:sz w:val="24"/>
          <w:szCs w:val="24"/>
        </w:rPr>
        <w:t xml:space="preserve">, </w:t>
      </w:r>
      <w:r w:rsidRPr="001042B6">
        <w:rPr>
          <w:rFonts w:ascii="Arial" w:hAnsi="Arial" w:cs="Arial"/>
          <w:sz w:val="24"/>
          <w:szCs w:val="24"/>
        </w:rPr>
        <w:t>suscrito por el Director General de la Oficina de Pensiones del Gobierno del Estado, (acto impugnado)</w:t>
      </w:r>
      <w:r w:rsidR="00A900E5">
        <w:rPr>
          <w:rFonts w:ascii="Arial" w:hAnsi="Arial" w:cs="Arial"/>
          <w:sz w:val="24"/>
          <w:szCs w:val="24"/>
        </w:rPr>
        <w:t xml:space="preserve">; </w:t>
      </w:r>
      <w:r w:rsidR="00A900E5" w:rsidRPr="00FC10E9">
        <w:rPr>
          <w:rFonts w:ascii="Arial" w:hAnsi="Arial" w:cs="Arial"/>
          <w:b/>
          <w:sz w:val="24"/>
          <w:szCs w:val="24"/>
        </w:rPr>
        <w:t>2.-</w:t>
      </w:r>
      <w:r w:rsidR="00A900E5">
        <w:rPr>
          <w:rFonts w:ascii="Arial" w:hAnsi="Arial" w:cs="Arial"/>
          <w:sz w:val="24"/>
          <w:szCs w:val="24"/>
        </w:rPr>
        <w:t xml:space="preserve"> Copia simple </w:t>
      </w:r>
      <w:r w:rsidR="001A2D0D">
        <w:rPr>
          <w:rFonts w:ascii="Arial" w:hAnsi="Arial" w:cs="Arial"/>
          <w:sz w:val="24"/>
          <w:szCs w:val="24"/>
        </w:rPr>
        <w:t xml:space="preserve">del nombramiento </w:t>
      </w:r>
      <w:r w:rsidR="001531A0">
        <w:rPr>
          <w:rFonts w:ascii="Arial" w:hAnsi="Arial" w:cs="Arial"/>
          <w:sz w:val="24"/>
          <w:szCs w:val="24"/>
        </w:rPr>
        <w:t>***</w:t>
      </w:r>
      <w:r w:rsidR="001A2D0D">
        <w:rPr>
          <w:rFonts w:ascii="Arial" w:hAnsi="Arial" w:cs="Arial"/>
          <w:sz w:val="24"/>
          <w:szCs w:val="24"/>
        </w:rPr>
        <w:t xml:space="preserve">, de veintitrés de marzo de mil novecientos noventa (23/03/1990); </w:t>
      </w:r>
      <w:r w:rsidR="001A2D0D">
        <w:rPr>
          <w:rFonts w:ascii="Arial" w:hAnsi="Arial" w:cs="Arial"/>
          <w:b/>
          <w:bCs/>
          <w:sz w:val="24"/>
          <w:szCs w:val="24"/>
        </w:rPr>
        <w:t xml:space="preserve">3.- </w:t>
      </w:r>
      <w:r w:rsidR="001A2D0D">
        <w:rPr>
          <w:rFonts w:ascii="Arial" w:hAnsi="Arial" w:cs="Arial"/>
          <w:sz w:val="24"/>
          <w:szCs w:val="24"/>
        </w:rPr>
        <w:t xml:space="preserve">Copia simple del nombramiento de confianza, para efectos de jubilación, como Agente del Ministerio Público; </w:t>
      </w:r>
      <w:r w:rsidR="001A2D0D">
        <w:rPr>
          <w:rFonts w:ascii="Arial" w:hAnsi="Arial" w:cs="Arial"/>
          <w:b/>
          <w:bCs/>
          <w:sz w:val="24"/>
          <w:szCs w:val="24"/>
        </w:rPr>
        <w:t xml:space="preserve">4.- </w:t>
      </w:r>
      <w:r w:rsidR="001A2D0D">
        <w:rPr>
          <w:rFonts w:ascii="Arial" w:hAnsi="Arial" w:cs="Arial"/>
          <w:sz w:val="24"/>
          <w:szCs w:val="24"/>
        </w:rPr>
        <w:t xml:space="preserve">Copia simple de la constancia de contribución al fondo de pensiones </w:t>
      </w:r>
      <w:r w:rsidR="001531A0">
        <w:rPr>
          <w:rFonts w:ascii="Arial" w:hAnsi="Arial" w:cs="Arial"/>
          <w:sz w:val="24"/>
          <w:szCs w:val="24"/>
        </w:rPr>
        <w:t>****/19</w:t>
      </w:r>
      <w:r w:rsidR="001A2D0D">
        <w:rPr>
          <w:rFonts w:ascii="Arial" w:hAnsi="Arial" w:cs="Arial"/>
          <w:sz w:val="24"/>
          <w:szCs w:val="24"/>
        </w:rPr>
        <w:t xml:space="preserve">, de veinte de septiembre de dos mil diecinueve (20/09/20019); </w:t>
      </w:r>
      <w:r w:rsidR="001A2D0D">
        <w:rPr>
          <w:rFonts w:ascii="Arial" w:hAnsi="Arial" w:cs="Arial"/>
          <w:b/>
          <w:bCs/>
          <w:sz w:val="24"/>
          <w:szCs w:val="24"/>
        </w:rPr>
        <w:t xml:space="preserve">5.- </w:t>
      </w:r>
      <w:r w:rsidR="001A2D0D">
        <w:rPr>
          <w:rFonts w:ascii="Arial" w:hAnsi="Arial" w:cs="Arial"/>
          <w:sz w:val="24"/>
          <w:szCs w:val="24"/>
        </w:rPr>
        <w:t>Acuse de recibo pensión por jubilación, de veintiséis de septiembre de dos mil diecinueve (26/09/2019)</w:t>
      </w:r>
      <w:r w:rsidRPr="001042B6">
        <w:rPr>
          <w:rFonts w:ascii="Arial" w:hAnsi="Arial" w:cs="Arial"/>
          <w:sz w:val="24"/>
          <w:szCs w:val="24"/>
        </w:rPr>
        <w:t>.</w:t>
      </w:r>
    </w:p>
    <w:p w14:paraId="4FBDCF05" w14:textId="057D69A8" w:rsidR="003B24B8" w:rsidRDefault="00413791" w:rsidP="00413791">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Gobierno del Estado, se admitieron las DOCUMENTALES consistentes en: </w:t>
      </w:r>
      <w:r w:rsidRPr="001042B6">
        <w:rPr>
          <w:rFonts w:ascii="Arial" w:hAnsi="Arial" w:cs="Arial"/>
          <w:b/>
          <w:sz w:val="24"/>
          <w:szCs w:val="24"/>
        </w:rPr>
        <w:t>1.-</w:t>
      </w:r>
      <w:r w:rsidRPr="001042B6">
        <w:rPr>
          <w:rFonts w:ascii="Arial" w:hAnsi="Arial" w:cs="Arial"/>
          <w:sz w:val="24"/>
          <w:szCs w:val="24"/>
        </w:rPr>
        <w:t xml:space="preserve"> </w:t>
      </w:r>
      <w:r w:rsidR="000A2772">
        <w:rPr>
          <w:rFonts w:ascii="Arial" w:hAnsi="Arial" w:cs="Arial"/>
          <w:sz w:val="24"/>
          <w:szCs w:val="24"/>
        </w:rPr>
        <w:t xml:space="preserve">Oficio número </w:t>
      </w:r>
      <w:r w:rsidR="001531A0">
        <w:rPr>
          <w:rFonts w:ascii="Arial" w:hAnsi="Arial" w:cs="Arial"/>
          <w:sz w:val="24"/>
          <w:szCs w:val="24"/>
        </w:rPr>
        <w:t>OP/DG/****/2019</w:t>
      </w:r>
      <w:r w:rsidR="000A2772">
        <w:rPr>
          <w:rFonts w:ascii="Arial" w:hAnsi="Arial" w:cs="Arial"/>
          <w:sz w:val="24"/>
          <w:szCs w:val="24"/>
        </w:rPr>
        <w:t xml:space="preserve">, de </w:t>
      </w:r>
      <w:r w:rsidR="001531A0">
        <w:rPr>
          <w:rFonts w:ascii="Arial" w:hAnsi="Arial" w:cs="Arial"/>
          <w:sz w:val="24"/>
          <w:szCs w:val="24"/>
        </w:rPr>
        <w:t>***** de ***** de dos mil diecinueve (**/**/2019)</w:t>
      </w:r>
      <w:r w:rsidR="00DA2E75">
        <w:rPr>
          <w:rFonts w:ascii="Arial" w:hAnsi="Arial" w:cs="Arial"/>
          <w:sz w:val="24"/>
          <w:szCs w:val="24"/>
        </w:rPr>
        <w:t xml:space="preserve"> ofrecido por el actor</w:t>
      </w:r>
      <w:r w:rsidR="003B24B8">
        <w:rPr>
          <w:rFonts w:ascii="Arial" w:hAnsi="Arial" w:cs="Arial"/>
          <w:sz w:val="24"/>
          <w:szCs w:val="24"/>
        </w:rPr>
        <w:t>.</w:t>
      </w:r>
    </w:p>
    <w:p w14:paraId="19EB3795" w14:textId="3DEAE328" w:rsidR="00DA2E75" w:rsidRDefault="00413791"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documentos originales </w:t>
      </w:r>
      <w:r w:rsidR="003B24B8">
        <w:rPr>
          <w:rFonts w:ascii="Arial" w:hAnsi="Arial" w:cs="Arial"/>
          <w:sz w:val="24"/>
          <w:szCs w:val="24"/>
        </w:rPr>
        <w:t xml:space="preserve">remitidos por </w:t>
      </w:r>
      <w:r w:rsidR="00DA2E75">
        <w:rPr>
          <w:rFonts w:ascii="Arial" w:hAnsi="Arial" w:cs="Arial"/>
          <w:sz w:val="24"/>
          <w:szCs w:val="24"/>
        </w:rPr>
        <w:t>e</w:t>
      </w:r>
      <w:r w:rsidR="003B24B8">
        <w:rPr>
          <w:rFonts w:ascii="Arial" w:hAnsi="Arial" w:cs="Arial"/>
          <w:sz w:val="24"/>
          <w:szCs w:val="24"/>
        </w:rPr>
        <w:t>l</w:t>
      </w:r>
      <w:r w:rsidRPr="001042B6">
        <w:rPr>
          <w:rFonts w:ascii="Arial" w:hAnsi="Arial" w:cs="Arial"/>
          <w:sz w:val="24"/>
          <w:szCs w:val="24"/>
        </w:rPr>
        <w:t xml:space="preserve"> actor, tienen </w:t>
      </w:r>
      <w:r w:rsidRPr="001042B6">
        <w:rPr>
          <w:rFonts w:ascii="Arial" w:hAnsi="Arial" w:cs="Arial"/>
          <w:b/>
          <w:sz w:val="24"/>
          <w:szCs w:val="24"/>
        </w:rPr>
        <w:t>valor probatorio pleno</w:t>
      </w:r>
      <w:r w:rsidRPr="001042B6">
        <w:rPr>
          <w:rFonts w:ascii="Arial" w:hAnsi="Arial" w:cs="Arial"/>
          <w:sz w:val="24"/>
          <w:szCs w:val="24"/>
        </w:rPr>
        <w:t>, porque en el original del oficio impugnado</w:t>
      </w:r>
      <w:r w:rsidR="006525DD">
        <w:rPr>
          <w:rFonts w:ascii="Arial" w:hAnsi="Arial" w:cs="Arial"/>
          <w:sz w:val="24"/>
          <w:szCs w:val="24"/>
        </w:rPr>
        <w:t xml:space="preserve">, que se trata de un documento público, </w:t>
      </w:r>
      <w:r w:rsidRPr="001042B6">
        <w:rPr>
          <w:rFonts w:ascii="Arial" w:hAnsi="Arial" w:cs="Arial"/>
          <w:sz w:val="24"/>
          <w:szCs w:val="24"/>
        </w:rPr>
        <w:t>aparece el nombre del servidor público que lo emitió, además del nombre, firma y sello de la dependencia a la que pertenecen</w:t>
      </w:r>
      <w:r w:rsidR="00DA2E75">
        <w:rPr>
          <w:rFonts w:ascii="Arial" w:hAnsi="Arial" w:cs="Arial"/>
          <w:sz w:val="24"/>
          <w:szCs w:val="24"/>
        </w:rPr>
        <w:t xml:space="preserve">, </w:t>
      </w:r>
      <w:r w:rsidRPr="001042B6">
        <w:rPr>
          <w:rFonts w:ascii="Arial" w:hAnsi="Arial" w:cs="Arial"/>
          <w:sz w:val="24"/>
          <w:szCs w:val="24"/>
        </w:rPr>
        <w:t>de ahí la convicción sobre su existencia</w:t>
      </w:r>
      <w:r w:rsidR="006525DD">
        <w:rPr>
          <w:rFonts w:ascii="Arial" w:hAnsi="Arial" w:cs="Arial"/>
          <w:sz w:val="24"/>
          <w:szCs w:val="24"/>
        </w:rPr>
        <w:t xml:space="preserve"> y la veracidad de su contenido.</w:t>
      </w:r>
    </w:p>
    <w:p w14:paraId="77AD3760" w14:textId="51026544" w:rsidR="00DA2E75" w:rsidRDefault="006525DD"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Por lo que respecta  a las copias simples remitidas por el actor, se les otorga valor probatorio indiciario, pues si bien se trata documento simples, lo cierto es que</w:t>
      </w:r>
      <w:r w:rsidR="001950D6">
        <w:rPr>
          <w:rFonts w:ascii="Arial" w:hAnsi="Arial" w:cs="Arial"/>
          <w:sz w:val="24"/>
          <w:szCs w:val="24"/>
        </w:rPr>
        <w:t xml:space="preserve"> son copias de documentos públicos, además, éstos </w:t>
      </w:r>
      <w:r>
        <w:rPr>
          <w:rFonts w:ascii="Arial" w:hAnsi="Arial" w:cs="Arial"/>
          <w:sz w:val="24"/>
          <w:szCs w:val="24"/>
        </w:rPr>
        <w:t xml:space="preserve">fueron tomados en cuenta para le emisión del dictamen que aquí impugna el actor, </w:t>
      </w:r>
      <w:r>
        <w:rPr>
          <w:rFonts w:ascii="Arial" w:hAnsi="Arial" w:cs="Arial"/>
          <w:sz w:val="24"/>
          <w:szCs w:val="24"/>
        </w:rPr>
        <w:lastRenderedPageBreak/>
        <w:t>incluso</w:t>
      </w:r>
      <w:r w:rsidR="001950D6">
        <w:rPr>
          <w:rFonts w:ascii="Arial" w:hAnsi="Arial" w:cs="Arial"/>
          <w:sz w:val="24"/>
          <w:szCs w:val="24"/>
        </w:rPr>
        <w:t>,</w:t>
      </w:r>
      <w:r>
        <w:rPr>
          <w:rFonts w:ascii="Arial" w:hAnsi="Arial" w:cs="Arial"/>
          <w:sz w:val="24"/>
          <w:szCs w:val="24"/>
        </w:rPr>
        <w:t xml:space="preserve"> se advierte la mención de alguno</w:t>
      </w:r>
      <w:r w:rsidR="001950D6">
        <w:rPr>
          <w:rFonts w:ascii="Arial" w:hAnsi="Arial" w:cs="Arial"/>
          <w:sz w:val="24"/>
          <w:szCs w:val="24"/>
        </w:rPr>
        <w:t xml:space="preserve"> de ellos</w:t>
      </w:r>
      <w:r>
        <w:rPr>
          <w:rFonts w:ascii="Arial" w:hAnsi="Arial" w:cs="Arial"/>
          <w:sz w:val="24"/>
          <w:szCs w:val="24"/>
        </w:rPr>
        <w:t xml:space="preserve"> en el original del oficio </w:t>
      </w:r>
      <w:r w:rsidR="001531A0">
        <w:rPr>
          <w:rFonts w:ascii="Arial" w:hAnsi="Arial" w:cs="Arial"/>
          <w:sz w:val="24"/>
          <w:szCs w:val="24"/>
        </w:rPr>
        <w:t>OP/DG/****/2019</w:t>
      </w:r>
      <w:r>
        <w:rPr>
          <w:rFonts w:ascii="Arial" w:hAnsi="Arial" w:cs="Arial"/>
          <w:sz w:val="24"/>
          <w:szCs w:val="24"/>
        </w:rPr>
        <w:t xml:space="preserve"> aquí impugnado, de </w:t>
      </w:r>
      <w:r w:rsidR="001950D6">
        <w:rPr>
          <w:rFonts w:ascii="Arial" w:hAnsi="Arial" w:cs="Arial"/>
          <w:sz w:val="24"/>
          <w:szCs w:val="24"/>
        </w:rPr>
        <w:t>ahí</w:t>
      </w:r>
      <w:r>
        <w:rPr>
          <w:rFonts w:ascii="Arial" w:hAnsi="Arial" w:cs="Arial"/>
          <w:sz w:val="24"/>
          <w:szCs w:val="24"/>
        </w:rPr>
        <w:t xml:space="preserve"> que no se trate de documentos aislado</w:t>
      </w:r>
      <w:r w:rsidR="001950D6">
        <w:rPr>
          <w:rFonts w:ascii="Arial" w:hAnsi="Arial" w:cs="Arial"/>
          <w:sz w:val="24"/>
          <w:szCs w:val="24"/>
        </w:rPr>
        <w:t>s</w:t>
      </w:r>
      <w:r>
        <w:rPr>
          <w:rFonts w:ascii="Arial" w:hAnsi="Arial" w:cs="Arial"/>
          <w:sz w:val="24"/>
          <w:szCs w:val="24"/>
        </w:rPr>
        <w:t>, por el contrario</w:t>
      </w:r>
      <w:r w:rsidR="001950D6">
        <w:rPr>
          <w:rFonts w:ascii="Arial" w:hAnsi="Arial" w:cs="Arial"/>
          <w:sz w:val="24"/>
          <w:szCs w:val="24"/>
        </w:rPr>
        <w:t>,</w:t>
      </w:r>
      <w:r>
        <w:rPr>
          <w:rFonts w:ascii="Arial" w:hAnsi="Arial" w:cs="Arial"/>
          <w:sz w:val="24"/>
          <w:szCs w:val="24"/>
        </w:rPr>
        <w:t xml:space="preserve"> se encuentran concatenados con </w:t>
      </w:r>
      <w:r w:rsidR="001950D6">
        <w:rPr>
          <w:rFonts w:ascii="Arial" w:hAnsi="Arial" w:cs="Arial"/>
          <w:sz w:val="24"/>
          <w:szCs w:val="24"/>
        </w:rPr>
        <w:t>las restantes pruebas remitidas por el actor, de ahí la convicción sobre su existencia y veracidad de su contenido,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1950D6" w:rsidRPr="003D7FBC">
        <w:rPr>
          <w:rFonts w:ascii="Arial" w:hAnsi="Arial" w:cs="Arial"/>
          <w:i/>
          <w:sz w:val="24"/>
          <w:szCs w:val="24"/>
        </w:rPr>
        <w:t>COPIAS FOTOSTATICAS SIMPLES, CARECEN DE VALOR PROBATORIO SI NO SE ENCUENTRAN ADMINICULADAS CON ALGUNA OTRA PRUEBA.”</w:t>
      </w:r>
    </w:p>
    <w:p w14:paraId="03E3643C" w14:textId="77777777"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 de conformidad a lo que establece el citado artículo 203 fracción I de la Ley de Procedimiento y Justicia Administrativa para el Estado de Oaxaca.</w:t>
      </w:r>
    </w:p>
    <w:p w14:paraId="4588F1F1" w14:textId="1F806B16"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C560D1">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31B68178" w14:textId="1C98FFF7"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C560D1">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AD7FC5">
        <w:rPr>
          <w:rFonts w:ascii="Arial" w:hAnsi="Arial" w:cs="Arial"/>
          <w:sz w:val="24"/>
          <w:szCs w:val="24"/>
        </w:rPr>
        <w:t>cuestionado</w:t>
      </w:r>
      <w:r w:rsidRPr="001042B6">
        <w:rPr>
          <w:rFonts w:ascii="Arial" w:hAnsi="Arial" w:cs="Arial"/>
          <w:sz w:val="24"/>
          <w:szCs w:val="24"/>
        </w:rPr>
        <w:t>. En tanto que la presunción humana, es una inferencia qu</w:t>
      </w:r>
      <w:r w:rsidR="00AD7FC5">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 - - - - - - - - - - - - - - - - - - - - </w:t>
      </w:r>
      <w:r>
        <w:rPr>
          <w:rFonts w:ascii="Arial" w:hAnsi="Arial" w:cs="Arial"/>
          <w:sz w:val="24"/>
          <w:szCs w:val="24"/>
        </w:rPr>
        <w:t xml:space="preserve">- </w:t>
      </w:r>
      <w:r w:rsidR="000A2772">
        <w:rPr>
          <w:rFonts w:ascii="Arial" w:hAnsi="Arial" w:cs="Arial"/>
          <w:sz w:val="24"/>
          <w:szCs w:val="24"/>
        </w:rPr>
        <w:t>- - - - - - - - - - - - - - - - - - - - - - -</w:t>
      </w:r>
    </w:p>
    <w:p w14:paraId="4191A70B" w14:textId="5926D734"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0A2772">
        <w:rPr>
          <w:rFonts w:ascii="Arial" w:hAnsi="Arial" w:cs="Arial"/>
          <w:b/>
          <w:sz w:val="24"/>
          <w:szCs w:val="24"/>
        </w:rPr>
        <w:t xml:space="preserve"> AGRAVIOS.- </w:t>
      </w:r>
      <w:r w:rsidR="00087D42">
        <w:rPr>
          <w:rFonts w:ascii="Arial" w:hAnsi="Arial" w:cs="Arial"/>
          <w:sz w:val="24"/>
        </w:rPr>
        <w:t>Esta</w:t>
      </w:r>
      <w:r w:rsidRPr="001042B6">
        <w:rPr>
          <w:rFonts w:ascii="Arial" w:hAnsi="Arial" w:cs="Arial"/>
          <w:sz w:val="24"/>
        </w:rPr>
        <w:t xml:space="preserve"> Juzgadora, no realiza la transcripción de los agravios vertidos por la</w:t>
      </w:r>
      <w:r w:rsidR="001B709F">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lastRenderedPageBreak/>
        <w:t>Visible en la Novena Época, pág. 830, registro 164618, Jurisprudencia Común, Segunda Sala, del Semanario Judicial de la Federación y su Gaceta</w:t>
      </w:r>
      <w:r w:rsidRPr="001042B6">
        <w:rPr>
          <w:rFonts w:ascii="Arial" w:hAnsi="Arial" w:cs="Arial"/>
          <w:sz w:val="24"/>
        </w:rPr>
        <w:t xml:space="preserve">.- - - - - - - </w:t>
      </w:r>
    </w:p>
    <w:p w14:paraId="0BC231A8" w14:textId="6F77BEEB"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000C6373">
        <w:rPr>
          <w:rFonts w:ascii="Arial" w:hAnsi="Arial" w:cs="Arial"/>
          <w:b/>
          <w:sz w:val="24"/>
          <w:szCs w:val="24"/>
        </w:rPr>
        <w:t xml:space="preserve">PERSONALIDAD.- </w:t>
      </w:r>
      <w:r w:rsidRPr="001042B6">
        <w:rPr>
          <w:rFonts w:ascii="Arial" w:hAnsi="Arial" w:cs="Arial"/>
          <w:sz w:val="24"/>
          <w:szCs w:val="24"/>
        </w:rPr>
        <w:t>La personalidad del actor</w:t>
      </w:r>
      <w:r w:rsidR="000C6373">
        <w:rPr>
          <w:rFonts w:ascii="Arial" w:hAnsi="Arial" w:cs="Arial"/>
          <w:sz w:val="24"/>
          <w:szCs w:val="24"/>
        </w:rPr>
        <w:t xml:space="preserve"> </w:t>
      </w:r>
      <w:r w:rsidR="001531A0">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 dio respuesta a su petición</w:t>
      </w:r>
      <w:r w:rsidR="0020476C">
        <w:rPr>
          <w:rFonts w:ascii="Arial" w:hAnsi="Arial" w:cs="Arial"/>
          <w:sz w:val="24"/>
          <w:szCs w:val="24"/>
        </w:rPr>
        <w:t xml:space="preserve"> de jubilación</w:t>
      </w:r>
      <w:r w:rsidRPr="001042B6">
        <w:rPr>
          <w:rFonts w:ascii="Arial" w:hAnsi="Arial" w:cs="Arial"/>
          <w:sz w:val="24"/>
          <w:szCs w:val="24"/>
        </w:rPr>
        <w:t xml:space="preserve">, </w:t>
      </w:r>
      <w:r w:rsidR="0020476C">
        <w:rPr>
          <w:rFonts w:ascii="Arial" w:hAnsi="Arial" w:cs="Arial"/>
          <w:sz w:val="24"/>
          <w:szCs w:val="24"/>
        </w:rPr>
        <w:t xml:space="preserve">lo cierto es que considera que él no se contemplan diversas prestaciones que considera le corresponden, además que se le realiza un descuento del 9% a la pensión otorgada, lo que considera ilegal, </w:t>
      </w:r>
      <w:r w:rsidRPr="001042B6">
        <w:rPr>
          <w:rFonts w:ascii="Arial" w:hAnsi="Arial" w:cs="Arial"/>
          <w:sz w:val="24"/>
          <w:szCs w:val="24"/>
        </w:rPr>
        <w:t>surgiendo así la afectación a su esfera jurídica, por la cual instaura el presente Juicio, por lo que sin duda quedó justificada su personalidad jurídica y legítima en el presente Juicio.</w:t>
      </w:r>
    </w:p>
    <w:p w14:paraId="33F7B9A5" w14:textId="018E2CB5" w:rsidR="00413791" w:rsidRPr="00F81622"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D1380B">
        <w:rPr>
          <w:rFonts w:ascii="Arial" w:hAnsi="Arial" w:cs="Arial"/>
          <w:b/>
          <w:sz w:val="24"/>
        </w:rPr>
        <w:t>s</w:t>
      </w:r>
      <w:r w:rsidRPr="001042B6">
        <w:rPr>
          <w:rFonts w:ascii="Arial" w:hAnsi="Arial" w:cs="Arial"/>
          <w:b/>
          <w:sz w:val="24"/>
        </w:rPr>
        <w:t xml:space="preserve"> autoridad</w:t>
      </w:r>
      <w:r w:rsidR="00D1380B">
        <w:rPr>
          <w:rFonts w:ascii="Arial" w:hAnsi="Arial" w:cs="Arial"/>
          <w:b/>
          <w:sz w:val="24"/>
        </w:rPr>
        <w:t>es</w:t>
      </w:r>
      <w:r w:rsidRPr="001042B6">
        <w:rPr>
          <w:rFonts w:ascii="Arial" w:hAnsi="Arial" w:cs="Arial"/>
          <w:b/>
          <w:sz w:val="24"/>
        </w:rPr>
        <w:t xml:space="preserve"> demandada</w:t>
      </w:r>
      <w:r w:rsidR="00D1380B">
        <w:rPr>
          <w:rFonts w:ascii="Arial" w:hAnsi="Arial" w:cs="Arial"/>
          <w:b/>
          <w:sz w:val="24"/>
        </w:rPr>
        <w:t>s</w:t>
      </w:r>
      <w:r w:rsidRPr="001042B6">
        <w:rPr>
          <w:rFonts w:ascii="Arial" w:hAnsi="Arial" w:cs="Arial"/>
          <w:sz w:val="24"/>
        </w:rPr>
        <w:t xml:space="preserve"> </w:t>
      </w:r>
      <w:r w:rsidR="0020476C">
        <w:rPr>
          <w:rFonts w:ascii="Arial" w:hAnsi="Arial" w:cs="Arial"/>
          <w:sz w:val="24"/>
        </w:rPr>
        <w:t xml:space="preserve">Consejo Directivo de la Oficina de Pensiones del Estado de Oaxaca, y </w:t>
      </w:r>
      <w:r w:rsidRPr="001042B6">
        <w:rPr>
          <w:rFonts w:ascii="Arial" w:hAnsi="Arial" w:cs="Arial"/>
          <w:sz w:val="24"/>
        </w:rPr>
        <w:t xml:space="preserve">Director General de la </w:t>
      </w:r>
      <w:r w:rsidRPr="00F81622">
        <w:rPr>
          <w:rFonts w:ascii="Arial" w:hAnsi="Arial" w:cs="Arial"/>
          <w:sz w:val="24"/>
        </w:rPr>
        <w:t>Oficina de Pensiones, se tiene por acreditada su personalidad</w:t>
      </w:r>
      <w:r w:rsidR="0020476C" w:rsidRPr="00F81622">
        <w:rPr>
          <w:rFonts w:ascii="Arial" w:hAnsi="Arial" w:cs="Arial"/>
          <w:sz w:val="24"/>
        </w:rPr>
        <w:t>,</w:t>
      </w:r>
      <w:r w:rsidRPr="00F81622">
        <w:rPr>
          <w:rFonts w:ascii="Arial" w:hAnsi="Arial" w:cs="Arial"/>
          <w:sz w:val="24"/>
        </w:rPr>
        <w:t xml:space="preserve"> en términos del artículo 151 de la Ley de Procedimiento y Justicia Administrativa del Estado de Oaxaca, toda vez que ésta no fu</w:t>
      </w:r>
      <w:r w:rsidR="00FF40B1" w:rsidRPr="00F81622">
        <w:rPr>
          <w:rFonts w:ascii="Arial" w:hAnsi="Arial" w:cs="Arial"/>
          <w:sz w:val="24"/>
        </w:rPr>
        <w:t>e impugnada por la parte actora</w:t>
      </w:r>
      <w:r w:rsidRPr="00F81622">
        <w:rPr>
          <w:rFonts w:ascii="Arial" w:hAnsi="Arial" w:cs="Arial"/>
          <w:sz w:val="24"/>
        </w:rPr>
        <w:t xml:space="preserve">.- </w:t>
      </w:r>
      <w:r w:rsidR="000C6373" w:rsidRPr="00F81622">
        <w:rPr>
          <w:rFonts w:ascii="Arial" w:hAnsi="Arial" w:cs="Arial"/>
          <w:sz w:val="24"/>
        </w:rPr>
        <w:t>- - - - - -</w:t>
      </w:r>
      <w:r w:rsidR="0020476C" w:rsidRPr="00F81622">
        <w:rPr>
          <w:rFonts w:ascii="Arial" w:hAnsi="Arial" w:cs="Arial"/>
          <w:sz w:val="24"/>
        </w:rPr>
        <w:t xml:space="preserve"> </w:t>
      </w:r>
    </w:p>
    <w:p w14:paraId="4199D0F3" w14:textId="0694B639" w:rsidR="00413791" w:rsidRPr="001042B6" w:rsidRDefault="00413791" w:rsidP="00413791">
      <w:pPr>
        <w:tabs>
          <w:tab w:val="center" w:pos="4574"/>
        </w:tabs>
        <w:spacing w:line="360" w:lineRule="auto"/>
        <w:ind w:firstLine="708"/>
        <w:jc w:val="both"/>
        <w:rPr>
          <w:rFonts w:ascii="Arial" w:hAnsi="Arial" w:cs="Arial"/>
          <w:sz w:val="24"/>
          <w:szCs w:val="24"/>
        </w:rPr>
      </w:pPr>
      <w:r w:rsidRPr="00F81622">
        <w:rPr>
          <w:rFonts w:ascii="Arial" w:hAnsi="Arial" w:cs="Arial"/>
          <w:b/>
          <w:sz w:val="24"/>
          <w:szCs w:val="24"/>
        </w:rPr>
        <w:t>QUINTO.-</w:t>
      </w:r>
      <w:r w:rsidR="00C560D1">
        <w:rPr>
          <w:rFonts w:ascii="Arial" w:hAnsi="Arial" w:cs="Arial"/>
          <w:b/>
          <w:sz w:val="24"/>
          <w:szCs w:val="24"/>
        </w:rPr>
        <w:t xml:space="preserve"> CAUSALES DE IMPROCEDENCIA Y S</w:t>
      </w:r>
      <w:r w:rsidR="000C6373" w:rsidRPr="00F81622">
        <w:rPr>
          <w:rFonts w:ascii="Arial" w:hAnsi="Arial" w:cs="Arial"/>
          <w:b/>
          <w:sz w:val="24"/>
          <w:szCs w:val="24"/>
        </w:rPr>
        <w:t xml:space="preserve">OBRESEIMIENTO.- </w:t>
      </w:r>
      <w:r w:rsidRPr="00F81622">
        <w:rPr>
          <w:rFonts w:ascii="Arial" w:hAnsi="Arial" w:cs="Arial"/>
          <w:b/>
          <w:sz w:val="24"/>
          <w:szCs w:val="24"/>
        </w:rPr>
        <w:t xml:space="preserve"> </w:t>
      </w:r>
      <w:r w:rsidRPr="00F81622">
        <w:rPr>
          <w:rFonts w:ascii="Arial" w:hAnsi="Arial" w:cs="Arial"/>
          <w:sz w:val="24"/>
          <w:szCs w:val="24"/>
        </w:rPr>
        <w:t xml:space="preserve">Las causales de </w:t>
      </w:r>
      <w:r w:rsidRPr="00F81622">
        <w:rPr>
          <w:rFonts w:ascii="Arial" w:hAnsi="Arial" w:cs="Arial"/>
          <w:b/>
          <w:sz w:val="24"/>
          <w:szCs w:val="24"/>
        </w:rPr>
        <w:t xml:space="preserve">improcedencia y sobreseimiento </w:t>
      </w:r>
      <w:r w:rsidRPr="00F81622">
        <w:rPr>
          <w:rFonts w:ascii="Arial" w:hAnsi="Arial" w:cs="Arial"/>
          <w:sz w:val="24"/>
          <w:szCs w:val="24"/>
        </w:rPr>
        <w:t>son de orden público y de estudio preferente a cualquier otra cuestión, porque aún de oficio deben</w:t>
      </w:r>
      <w:r w:rsidRPr="001042B6">
        <w:rPr>
          <w:rFonts w:ascii="Arial" w:hAnsi="Arial" w:cs="Arial"/>
          <w:sz w:val="24"/>
          <w:szCs w:val="24"/>
        </w:rPr>
        <w:t xml:space="preserve">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5C6637EC" w14:textId="5794B563" w:rsidR="008F63A0" w:rsidRDefault="00413791" w:rsidP="00413791">
      <w:pPr>
        <w:pStyle w:val="corte4fondoCarCarCar"/>
        <w:spacing w:before="240"/>
        <w:ind w:firstLine="708"/>
        <w:rPr>
          <w:rFonts w:cs="Arial"/>
          <w:bCs/>
          <w:sz w:val="24"/>
        </w:rPr>
      </w:pPr>
      <w:r w:rsidRPr="001042B6">
        <w:rPr>
          <w:rFonts w:cs="Arial"/>
          <w:bCs/>
          <w:sz w:val="24"/>
        </w:rPr>
        <w:t>La autoridad demanda hizo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9E5D9C">
        <w:rPr>
          <w:rFonts w:cs="Arial"/>
          <w:bCs/>
          <w:sz w:val="24"/>
        </w:rPr>
        <w:t>falta de acción y derecho del actor</w:t>
      </w:r>
      <w:r>
        <w:rPr>
          <w:rFonts w:cs="Arial"/>
          <w:bCs/>
          <w:sz w:val="24"/>
        </w:rPr>
        <w:t>,</w:t>
      </w:r>
      <w:r w:rsidR="0037685F">
        <w:rPr>
          <w:rFonts w:cs="Arial"/>
          <w:bCs/>
          <w:sz w:val="24"/>
        </w:rPr>
        <w:t xml:space="preserve"> además</w:t>
      </w:r>
      <w:r w:rsidR="008F63A0">
        <w:rPr>
          <w:rFonts w:cs="Arial"/>
          <w:bCs/>
          <w:sz w:val="24"/>
        </w:rPr>
        <w:t>,</w:t>
      </w:r>
      <w:r w:rsidR="0037685F">
        <w:rPr>
          <w:rFonts w:cs="Arial"/>
          <w:bCs/>
          <w:sz w:val="24"/>
        </w:rPr>
        <w:t xml:space="preserve"> </w:t>
      </w:r>
      <w:r w:rsidR="009E5D9C">
        <w:rPr>
          <w:rFonts w:cs="Arial"/>
          <w:bCs/>
          <w:sz w:val="24"/>
        </w:rPr>
        <w:t xml:space="preserve">la falsedad de los hechos en que </w:t>
      </w:r>
      <w:r w:rsidR="00164F5C">
        <w:rPr>
          <w:rFonts w:cs="Arial"/>
          <w:bCs/>
          <w:sz w:val="24"/>
        </w:rPr>
        <w:t xml:space="preserve">se </w:t>
      </w:r>
      <w:r w:rsidR="009E5D9C">
        <w:rPr>
          <w:rFonts w:cs="Arial"/>
          <w:bCs/>
          <w:sz w:val="24"/>
        </w:rPr>
        <w:t xml:space="preserve">funda </w:t>
      </w:r>
      <w:r w:rsidR="00164F5C">
        <w:rPr>
          <w:rFonts w:cs="Arial"/>
          <w:bCs/>
          <w:sz w:val="24"/>
        </w:rPr>
        <w:t>la</w:t>
      </w:r>
      <w:r w:rsidR="008F63A0">
        <w:rPr>
          <w:rFonts w:cs="Arial"/>
          <w:bCs/>
          <w:sz w:val="24"/>
        </w:rPr>
        <w:t xml:space="preserve">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164F5C">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1B2CDC">
        <w:rPr>
          <w:rFonts w:cs="Arial"/>
          <w:bCs/>
          <w:sz w:val="24"/>
        </w:rPr>
        <w:t xml:space="preserve">el actor considera que </w:t>
      </w:r>
      <w:r w:rsidR="00DF4FFD">
        <w:rPr>
          <w:rFonts w:cs="Arial"/>
          <w:bCs/>
          <w:sz w:val="24"/>
        </w:rPr>
        <w:t>en</w:t>
      </w:r>
      <w:r w:rsidR="008F63A0">
        <w:rPr>
          <w:rFonts w:cs="Arial"/>
          <w:bCs/>
          <w:sz w:val="24"/>
        </w:rPr>
        <w:t xml:space="preserve"> el dictamen emitido por el Consejo Directivo de Pensiones, </w:t>
      </w:r>
      <w:r w:rsidR="001B2CDC">
        <w:rPr>
          <w:rFonts w:cs="Arial"/>
          <w:bCs/>
          <w:sz w:val="24"/>
        </w:rPr>
        <w:t xml:space="preserve">no se contemplaron diversas prestaciones que considera le corresponden, además se ordenó aplicar un 9% de descuento sobre su pensión, lo cual considera ilegal, de ahí que quedara acreditado el derecho de acción del actor </w:t>
      </w:r>
      <w:r w:rsidR="00566E58">
        <w:rPr>
          <w:rFonts w:cs="Arial"/>
          <w:bCs/>
          <w:sz w:val="24"/>
        </w:rPr>
        <w:t>ante este Tribunal, por lo que no se actualiza la excepción planteada.</w:t>
      </w:r>
    </w:p>
    <w:p w14:paraId="44F1C43B" w14:textId="6A77DD4B" w:rsidR="009E5D9C" w:rsidRDefault="00566E58" w:rsidP="00413791">
      <w:pPr>
        <w:pStyle w:val="corte4fondoCarCarCar"/>
        <w:spacing w:before="240"/>
        <w:ind w:firstLine="708"/>
        <w:rPr>
          <w:rFonts w:cs="Arial"/>
          <w:bCs/>
          <w:sz w:val="24"/>
        </w:rPr>
      </w:pPr>
      <w:r w:rsidRPr="00926D54">
        <w:rPr>
          <w:rFonts w:cs="Arial"/>
          <w:bCs/>
          <w:sz w:val="24"/>
        </w:rPr>
        <w:lastRenderedPageBreak/>
        <w:t>R</w:t>
      </w:r>
      <w:r w:rsidR="009E5D9C" w:rsidRPr="00926D54">
        <w:rPr>
          <w:rFonts w:cs="Arial"/>
          <w:bCs/>
          <w:sz w:val="24"/>
        </w:rPr>
        <w:t>especto de la</w:t>
      </w:r>
      <w:r w:rsidR="00307100" w:rsidRPr="00926D54">
        <w:rPr>
          <w:rFonts w:cs="Arial"/>
          <w:bCs/>
          <w:sz w:val="24"/>
        </w:rPr>
        <w:t xml:space="preserve"> excepción de</w:t>
      </w:r>
      <w:r w:rsidR="009E5D9C" w:rsidRPr="00926D54">
        <w:rPr>
          <w:rFonts w:cs="Arial"/>
          <w:bCs/>
          <w:sz w:val="24"/>
        </w:rPr>
        <w:t xml:space="preserve"> falsedad de los hechos que refiere la autoridad demandada</w:t>
      </w:r>
      <w:r w:rsidR="00F263DA" w:rsidRPr="00926D54">
        <w:rPr>
          <w:rFonts w:cs="Arial"/>
          <w:bCs/>
          <w:sz w:val="24"/>
        </w:rPr>
        <w:t>,</w:t>
      </w:r>
      <w:r w:rsidR="009E5D9C" w:rsidRPr="00926D54">
        <w:rPr>
          <w:rFonts w:cs="Arial"/>
          <w:bCs/>
          <w:sz w:val="24"/>
        </w:rPr>
        <w:t xml:space="preserve"> tampoco se actualiza, p</w:t>
      </w:r>
      <w:r w:rsidR="00085137" w:rsidRPr="00926D54">
        <w:rPr>
          <w:rFonts w:cs="Arial"/>
          <w:bCs/>
          <w:sz w:val="24"/>
        </w:rPr>
        <w:t>ues en el escrito de demanda, el</w:t>
      </w:r>
      <w:r w:rsidR="009E5D9C" w:rsidRPr="00926D54">
        <w:rPr>
          <w:rFonts w:cs="Arial"/>
          <w:bCs/>
          <w:sz w:val="24"/>
        </w:rPr>
        <w:t xml:space="preserve"> actor se concret</w:t>
      </w:r>
      <w:r w:rsidR="00F263DA" w:rsidRPr="00926D54">
        <w:rPr>
          <w:rFonts w:cs="Arial"/>
          <w:bCs/>
          <w:sz w:val="24"/>
        </w:rPr>
        <w:t xml:space="preserve">ó a señalar las fechas en que </w:t>
      </w:r>
      <w:r w:rsidR="00926D54" w:rsidRPr="00926D54">
        <w:rPr>
          <w:rFonts w:cs="Arial"/>
          <w:bCs/>
          <w:sz w:val="24"/>
        </w:rPr>
        <w:t>realizó diversos trámites administrativo</w:t>
      </w:r>
      <w:r w:rsidR="00E84B53">
        <w:rPr>
          <w:rFonts w:cs="Arial"/>
          <w:bCs/>
          <w:sz w:val="24"/>
        </w:rPr>
        <w:t>s</w:t>
      </w:r>
      <w:r w:rsidR="00926D54" w:rsidRPr="00926D54">
        <w:rPr>
          <w:rFonts w:cs="Arial"/>
          <w:bCs/>
          <w:sz w:val="24"/>
        </w:rPr>
        <w:t xml:space="preserve"> para la obtención de su pensión, </w:t>
      </w:r>
      <w:r w:rsidR="009E5D9C" w:rsidRPr="00926D54">
        <w:rPr>
          <w:rFonts w:cs="Arial"/>
          <w:bCs/>
          <w:sz w:val="24"/>
        </w:rPr>
        <w:t>hechos que se advierten plasmados en la resolución aquí impugnada</w:t>
      </w:r>
      <w:r w:rsidR="000E2BE1" w:rsidRPr="00926D54">
        <w:rPr>
          <w:rFonts w:cs="Arial"/>
          <w:bCs/>
          <w:sz w:val="24"/>
        </w:rPr>
        <w:t>,</w:t>
      </w:r>
      <w:r w:rsidR="009E5D9C" w:rsidRPr="00926D54">
        <w:rPr>
          <w:rFonts w:cs="Arial"/>
          <w:bCs/>
          <w:sz w:val="24"/>
        </w:rPr>
        <w:t xml:space="preserve"> de ahí que la excepción planteada no se actualice.</w:t>
      </w:r>
    </w:p>
    <w:p w14:paraId="0A01EFFE" w14:textId="49EC455A"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E84B53">
        <w:rPr>
          <w:rFonts w:cs="Arial"/>
          <w:bCs/>
          <w:sz w:val="24"/>
        </w:rPr>
        <w:t xml:space="preserve">l estudio </w:t>
      </w:r>
      <w:r w:rsidR="00723430">
        <w:rPr>
          <w:rFonts w:cs="Arial"/>
          <w:bCs/>
          <w:sz w:val="24"/>
        </w:rPr>
        <w:t>de</w:t>
      </w:r>
      <w:r w:rsidRPr="001042B6">
        <w:rPr>
          <w:rFonts w:cs="Arial"/>
          <w:bCs/>
          <w:sz w:val="24"/>
        </w:rPr>
        <w:t xml:space="preserve"> fondo del presente asunto, consecuentemente, este Juicio de Nulidad NO SE SOBRESEE.- - - </w:t>
      </w:r>
      <w:r>
        <w:rPr>
          <w:rFonts w:cs="Arial"/>
          <w:bCs/>
          <w:sz w:val="24"/>
        </w:rPr>
        <w:t xml:space="preserve">- - </w:t>
      </w:r>
    </w:p>
    <w:p w14:paraId="20E50B20" w14:textId="3762E525" w:rsidR="00A61142" w:rsidRDefault="00413791"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004376A0">
        <w:rPr>
          <w:rFonts w:ascii="Arial" w:hAnsi="Arial" w:cs="Arial"/>
          <w:b/>
          <w:sz w:val="24"/>
          <w:szCs w:val="24"/>
        </w:rPr>
        <w:t xml:space="preserve"> ESTUDIO DE FONDO.- </w:t>
      </w:r>
      <w:r w:rsidR="00A61142">
        <w:rPr>
          <w:rFonts w:ascii="Arial" w:hAnsi="Arial" w:cs="Arial"/>
          <w:sz w:val="24"/>
          <w:szCs w:val="24"/>
        </w:rPr>
        <w:t>El presente asunto se centra en determinar, si resulta procedente</w:t>
      </w:r>
      <w:r w:rsidR="00FE6C9A">
        <w:rPr>
          <w:rFonts w:ascii="Arial" w:hAnsi="Arial" w:cs="Arial"/>
          <w:sz w:val="24"/>
          <w:szCs w:val="24"/>
        </w:rPr>
        <w:t xml:space="preserve"> el pago reclamado por el actor</w:t>
      </w:r>
      <w:r w:rsidR="00A61142">
        <w:rPr>
          <w:rFonts w:ascii="Arial" w:hAnsi="Arial" w:cs="Arial"/>
          <w:sz w:val="24"/>
          <w:szCs w:val="24"/>
        </w:rPr>
        <w:t xml:space="preserve"> sobre las prestaciones siguientes: previsión social, despensa, vida cara, quinquenios, aguinaldo, estimulo del día de jubilado, y canasta navideña, contempladas únicamente para los trabajadores de base, las cuales fueron excluidas en el dictamen de pensión otorgado al actor.</w:t>
      </w:r>
    </w:p>
    <w:p w14:paraId="0DE88BF7" w14:textId="2102954B"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Ahora bien, de acuerdo al dictamen de pensión por jubilación que le fue otorgado al actor con fecha </w:t>
      </w:r>
      <w:r w:rsidR="001531A0">
        <w:rPr>
          <w:rFonts w:ascii="Arial" w:hAnsi="Arial" w:cs="Arial"/>
          <w:sz w:val="24"/>
          <w:szCs w:val="24"/>
        </w:rPr>
        <w:t>***** de ***** de dos mil diecinueve (**/**/2019)</w:t>
      </w:r>
      <w:r>
        <w:rPr>
          <w:rFonts w:ascii="Arial" w:hAnsi="Arial" w:cs="Arial"/>
          <w:sz w:val="24"/>
          <w:szCs w:val="24"/>
        </w:rPr>
        <w:t>, por el Consejo Directivo de Pensiones del Estado de Oaxaca</w:t>
      </w:r>
      <w:r w:rsidR="003A5194">
        <w:rPr>
          <w:rFonts w:ascii="Arial" w:hAnsi="Arial" w:cs="Arial"/>
          <w:sz w:val="24"/>
          <w:szCs w:val="24"/>
        </w:rPr>
        <w:t xml:space="preserve">, contenido en el oficio </w:t>
      </w:r>
      <w:r w:rsidR="001531A0">
        <w:rPr>
          <w:rFonts w:ascii="Arial" w:hAnsi="Arial" w:cs="Arial"/>
          <w:sz w:val="24"/>
          <w:szCs w:val="24"/>
        </w:rPr>
        <w:t>OP/DG/****/2019</w:t>
      </w:r>
      <w:r>
        <w:rPr>
          <w:rFonts w:ascii="Arial" w:hAnsi="Arial" w:cs="Arial"/>
          <w:sz w:val="24"/>
          <w:szCs w:val="24"/>
        </w:rPr>
        <w:t xml:space="preserve">, expedido por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le fue concedida una pensión del 100% de su sueldo base, por la cantidad de $8,349.00 (OCHO MIL TRECIENTOS CUARENTA Y NUEVE PESOS 00/100 M.N.).</w:t>
      </w:r>
    </w:p>
    <w:p w14:paraId="2D4E4531" w14:textId="48461162"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para determinar </w:t>
      </w:r>
      <w:r w:rsidRPr="009035DC">
        <w:rPr>
          <w:rFonts w:ascii="Arial" w:hAnsi="Arial" w:cs="Arial"/>
          <w:sz w:val="24"/>
          <w:szCs w:val="24"/>
        </w:rPr>
        <w:t xml:space="preserve">si resulta </w:t>
      </w:r>
      <w:r w:rsidRPr="003B0F52">
        <w:rPr>
          <w:rFonts w:ascii="Arial" w:hAnsi="Arial" w:cs="Arial"/>
          <w:sz w:val="24"/>
          <w:szCs w:val="24"/>
        </w:rPr>
        <w:t xml:space="preserve">procedente el pago de las prestaciones solicitadas por </w:t>
      </w:r>
      <w:r>
        <w:rPr>
          <w:rFonts w:ascii="Arial" w:hAnsi="Arial" w:cs="Arial"/>
          <w:sz w:val="24"/>
          <w:szCs w:val="24"/>
        </w:rPr>
        <w:t>la</w:t>
      </w:r>
      <w:r w:rsidRPr="003B0F52">
        <w:rPr>
          <w:rFonts w:ascii="Arial" w:hAnsi="Arial" w:cs="Arial"/>
          <w:sz w:val="24"/>
          <w:szCs w:val="24"/>
        </w:rPr>
        <w:t xml:space="preserve"> </w:t>
      </w:r>
      <w:r>
        <w:rPr>
          <w:rFonts w:ascii="Arial" w:hAnsi="Arial" w:cs="Arial"/>
          <w:sz w:val="24"/>
          <w:szCs w:val="24"/>
        </w:rPr>
        <w:t xml:space="preserve">parte </w:t>
      </w:r>
      <w:r w:rsidRPr="003B0F52">
        <w:rPr>
          <w:rFonts w:ascii="Arial" w:hAnsi="Arial" w:cs="Arial"/>
          <w:sz w:val="24"/>
          <w:szCs w:val="24"/>
        </w:rPr>
        <w:t>actor</w:t>
      </w:r>
      <w:r>
        <w:rPr>
          <w:rFonts w:ascii="Arial" w:hAnsi="Arial" w:cs="Arial"/>
          <w:sz w:val="24"/>
          <w:szCs w:val="24"/>
        </w:rPr>
        <w:t>a</w:t>
      </w:r>
      <w:r w:rsidR="003A5194">
        <w:rPr>
          <w:rFonts w:ascii="Arial" w:hAnsi="Arial" w:cs="Arial"/>
          <w:sz w:val="24"/>
          <w:szCs w:val="24"/>
        </w:rPr>
        <w:t>,</w:t>
      </w:r>
      <w:r>
        <w:rPr>
          <w:rFonts w:ascii="Arial" w:hAnsi="Arial" w:cs="Arial"/>
          <w:sz w:val="24"/>
          <w:szCs w:val="24"/>
        </w:rPr>
        <w:t xml:space="preserve"> en su calidad de </w:t>
      </w:r>
      <w:r w:rsidRPr="003B0F52">
        <w:rPr>
          <w:rFonts w:ascii="Arial" w:hAnsi="Arial" w:cs="Arial"/>
          <w:sz w:val="24"/>
          <w:szCs w:val="24"/>
        </w:rPr>
        <w:t>trabajador de confianza,</w:t>
      </w:r>
      <w:r>
        <w:rPr>
          <w:rFonts w:ascii="Arial" w:hAnsi="Arial" w:cs="Arial"/>
          <w:sz w:val="24"/>
          <w:szCs w:val="24"/>
        </w:rPr>
        <w:t xml:space="preserve"> consistentes en previsión social múltiple, despensa, vida cara, quinquenios, aguinaldo, estimulo del día del jubilado, y canasta navideña, contempladas únicamente para los trabajadores de base, en el artículo 54 de la Ley de Pensiones para los Trabajadores del Gobierno del Estado, que a letra dice:</w:t>
      </w:r>
    </w:p>
    <w:p w14:paraId="2EC14710" w14:textId="77777777" w:rsidR="00A61142" w:rsidRPr="00BE7257" w:rsidRDefault="00A61142" w:rsidP="00A61142">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47CFF79F" w14:textId="77777777" w:rsidR="00A61142" w:rsidRPr="00BE7257" w:rsidRDefault="00A61142" w:rsidP="00A61142">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5B5B31" w14:textId="77777777" w:rsidR="00A61142" w:rsidRPr="00BE7257" w:rsidRDefault="00A61142" w:rsidP="00A61142">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El aguinaldo para jubilados será equivalente a 70 días de la cuantía diaria; y</w:t>
      </w:r>
    </w:p>
    <w:p w14:paraId="1BC624C5" w14:textId="77777777" w:rsidR="00A61142" w:rsidRPr="00BE7257" w:rsidRDefault="00A61142" w:rsidP="00A61142">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lastRenderedPageBreak/>
        <w:t>II. Pensionados y pensionistas: canasta navideña.</w:t>
      </w:r>
    </w:p>
    <w:p w14:paraId="1B7D555D" w14:textId="77777777" w:rsidR="00A61142" w:rsidRPr="00BE7257" w:rsidRDefault="00A61142" w:rsidP="00A61142">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32408250" w14:textId="77777777" w:rsidR="00A61142" w:rsidRDefault="00A61142" w:rsidP="00A61142">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(Lo resaltado no es de origen)</w:t>
      </w:r>
    </w:p>
    <w:p w14:paraId="6FD4135F" w14:textId="3B4701AE" w:rsidR="00A61142" w:rsidRPr="001042B6"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su contenido se advierte, que dicho dispositivo legal únicamente contempla el pago de las percepciones para los jubilados de base, no así para los de confianza, </w:t>
      </w:r>
      <w:r w:rsidR="003A5194">
        <w:rPr>
          <w:rFonts w:ascii="Arial" w:hAnsi="Arial" w:cs="Arial"/>
          <w:sz w:val="24"/>
          <w:szCs w:val="24"/>
        </w:rPr>
        <w:t>como es el caso, por lo que ésta</w:t>
      </w:r>
      <w:r>
        <w:rPr>
          <w:rFonts w:ascii="Arial" w:hAnsi="Arial" w:cs="Arial"/>
          <w:sz w:val="24"/>
          <w:szCs w:val="24"/>
        </w:rPr>
        <w:t xml:space="preserve"> Juzgador</w:t>
      </w:r>
      <w:r w:rsidR="003A5194">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Pr="00757049">
        <w:rPr>
          <w:rFonts w:ascii="Arial" w:hAnsi="Arial" w:cs="Arial"/>
          <w:sz w:val="24"/>
          <w:szCs w:val="24"/>
        </w:rPr>
        <w:t xml:space="preserve"> respecto al derecho humano a la seguridad social de</w:t>
      </w:r>
      <w:r>
        <w:rPr>
          <w:rFonts w:ascii="Arial" w:hAnsi="Arial" w:cs="Arial"/>
          <w:sz w:val="24"/>
          <w:szCs w:val="24"/>
        </w:rPr>
        <w:t xml:space="preserve">l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35F81B53" w14:textId="77777777" w:rsidR="00A61142" w:rsidRPr="001042B6"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0A3D03B7" w14:textId="77777777" w:rsidR="00A61142" w:rsidRPr="001042B6"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1C43EAC" w14:textId="77777777" w:rsidR="00A61142" w:rsidRPr="001042B6"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40A5395B" w14:textId="77777777" w:rsidR="00A61142" w:rsidRPr="001042B6"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1D962EFA"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En base a dichas premisas, se procede al análisis del derecho a la seguridad social de los trabajadores de confianza, considerando que el artículo 123 apartado B fracción XIV, de la Carta Magna establece:</w:t>
      </w:r>
    </w:p>
    <w:p w14:paraId="2594FB46" w14:textId="77777777" w:rsidR="00A61142" w:rsidRPr="00404770" w:rsidRDefault="00A61142" w:rsidP="00A61142">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F7866B9" w14:textId="77777777" w:rsidR="00A61142" w:rsidRPr="00404770" w:rsidRDefault="00A61142" w:rsidP="00A61142">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2909AD30" w14:textId="77777777" w:rsidR="00A61142" w:rsidRPr="00404770" w:rsidRDefault="00A61142" w:rsidP="00A61142">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7345C614" w14:textId="77777777" w:rsidR="00A61142" w:rsidRPr="00404770" w:rsidRDefault="00A61142" w:rsidP="00A61142">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lastRenderedPageBreak/>
        <w:t>B.</w:t>
      </w:r>
      <w:r w:rsidRPr="00404770">
        <w:rPr>
          <w:rFonts w:ascii="Arial" w:hAnsi="Arial" w:cs="Arial"/>
          <w:i/>
          <w:sz w:val="24"/>
          <w:szCs w:val="24"/>
        </w:rPr>
        <w:t xml:space="preserve"> Entre los Poderes de la Unión, el Gobierno del Distrito Federal y sus trabajadores:…</w:t>
      </w:r>
    </w:p>
    <w:p w14:paraId="56CCDD95" w14:textId="77777777" w:rsidR="00A61142" w:rsidRDefault="00A61142" w:rsidP="00A61142">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0C5D81C3"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Luego entonces, la máxima legislación del Estado Mexicano, contempla la existencia de los trabajadores con la categoría de confianza, los cuáles considera que disfrutaran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xml:space="preserve">, es decir, que en la Carta Magna se protege el derecho humano a la seguridad social de todos los trabajadores, incluidos los de confianza, pues no hace distinción alguna. </w:t>
      </w:r>
    </w:p>
    <w:p w14:paraId="7A47C724" w14:textId="22114BBA"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Por otra parte, la Organización de las Naciones Unidas, ha considerado 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 (vigente en la fecha del primer nombramiento del actor), ya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xml:space="preserve">”, luego entonces, el carácter progresivo que contempla la Constitución Política de los Estados Unidos Mexicanos, resulta </w:t>
      </w:r>
      <w:r>
        <w:rPr>
          <w:rFonts w:ascii="Arial" w:hAnsi="Arial" w:cs="Arial"/>
          <w:sz w:val="24"/>
          <w:szCs w:val="24"/>
        </w:rPr>
        <w:lastRenderedPageBreak/>
        <w:t xml:space="preserve">violentado con la disposición del artículo 54 fracción I de la Ley de Pensiones para los Trabajadores del Gobierno del Estado de Oaxaca (actualmente vigente), que contempla únicamente a los trabajadores de base para recibir las percepciones que solicitó el actor, consecuentemente, el artículo mencionado, </w:t>
      </w:r>
      <w:r w:rsidRPr="00562DC7">
        <w:rPr>
          <w:rFonts w:ascii="Arial" w:hAnsi="Arial" w:cs="Arial"/>
          <w:b/>
          <w:sz w:val="24"/>
          <w:szCs w:val="24"/>
        </w:rPr>
        <w:t>si resulta discriminatorio</w:t>
      </w:r>
      <w:r>
        <w:rPr>
          <w:rFonts w:ascii="Arial" w:hAnsi="Arial" w:cs="Arial"/>
          <w:sz w:val="24"/>
          <w:szCs w:val="24"/>
        </w:rPr>
        <w:t xml:space="preserve"> </w:t>
      </w:r>
      <w:r w:rsidRPr="00562DC7">
        <w:rPr>
          <w:rFonts w:ascii="Arial" w:hAnsi="Arial" w:cs="Arial"/>
          <w:b/>
          <w:sz w:val="24"/>
          <w:szCs w:val="24"/>
        </w:rPr>
        <w:t xml:space="preserve">para </w:t>
      </w:r>
      <w:r>
        <w:rPr>
          <w:rFonts w:ascii="Arial" w:hAnsi="Arial" w:cs="Arial"/>
          <w:b/>
          <w:sz w:val="24"/>
          <w:szCs w:val="24"/>
        </w:rPr>
        <w:t xml:space="preserve">el actor como </w:t>
      </w:r>
      <w:r w:rsidRPr="00562DC7">
        <w:rPr>
          <w:rFonts w:ascii="Arial" w:hAnsi="Arial" w:cs="Arial"/>
          <w:b/>
          <w:sz w:val="24"/>
          <w:szCs w:val="24"/>
        </w:rPr>
        <w:t>trabajador de confianza</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contrario a lo expuesto por la autoridad demandada, pues </w:t>
      </w:r>
      <w:r w:rsidR="008B1E07">
        <w:rPr>
          <w:rFonts w:ascii="Arial" w:hAnsi="Arial" w:cs="Arial"/>
          <w:sz w:val="24"/>
          <w:szCs w:val="24"/>
        </w:rPr>
        <w:t>al otorgar la pensión al actor como lo hizo</w:t>
      </w:r>
      <w:r>
        <w:rPr>
          <w:rFonts w:ascii="Arial" w:hAnsi="Arial" w:cs="Arial"/>
          <w:sz w:val="24"/>
          <w:szCs w:val="24"/>
        </w:rPr>
        <w:t xml:space="preserve">, </w:t>
      </w:r>
      <w:r w:rsidR="008B1E07">
        <w:rPr>
          <w:rFonts w:ascii="Arial" w:hAnsi="Arial" w:cs="Arial"/>
          <w:sz w:val="24"/>
          <w:szCs w:val="24"/>
        </w:rPr>
        <w:t xml:space="preserve">lo </w:t>
      </w:r>
      <w:r>
        <w:rPr>
          <w:rFonts w:ascii="Arial" w:hAnsi="Arial" w:cs="Arial"/>
          <w:sz w:val="24"/>
          <w:szCs w:val="24"/>
        </w:rPr>
        <w:t>priva de la protección integral del derecho humano a la seguridad social</w:t>
      </w:r>
      <w:r w:rsidR="008B1E07">
        <w:rPr>
          <w:rFonts w:ascii="Arial" w:hAnsi="Arial" w:cs="Arial"/>
          <w:sz w:val="24"/>
          <w:szCs w:val="24"/>
        </w:rPr>
        <w:t>,</w:t>
      </w:r>
      <w:r>
        <w:rPr>
          <w:rFonts w:ascii="Arial" w:hAnsi="Arial" w:cs="Arial"/>
          <w:sz w:val="24"/>
          <w:szCs w:val="24"/>
        </w:rPr>
        <w:t xml:space="preserve"> previsto en la Constitución Política de los Estados Unidos Mexicanos</w:t>
      </w:r>
      <w:r w:rsidR="008B1E07">
        <w:rPr>
          <w:rFonts w:ascii="Arial" w:hAnsi="Arial" w:cs="Arial"/>
          <w:sz w:val="24"/>
          <w:szCs w:val="24"/>
        </w:rPr>
        <w:t>,</w:t>
      </w:r>
      <w:r>
        <w:rPr>
          <w:rFonts w:ascii="Arial" w:hAnsi="Arial" w:cs="Arial"/>
          <w:sz w:val="24"/>
          <w:szCs w:val="24"/>
        </w:rPr>
        <w:t xml:space="preserve"> como ya se precisó; consecuentemente, al no haberse otorgado dichas prestaciones, se inobservaron  los supuestos del artículo 1 fracción III, de la Ley Federal para Prevenir y Eliminar la discriminación, que para mayor comprensión se transcribe:</w:t>
      </w:r>
    </w:p>
    <w:p w14:paraId="2EAF9DD9" w14:textId="77777777" w:rsidR="00A61142" w:rsidRPr="00984554" w:rsidRDefault="00A61142" w:rsidP="00A61142">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22476BB8" w14:textId="77777777" w:rsidR="00A61142" w:rsidRPr="00984554" w:rsidRDefault="00A61142" w:rsidP="00A61142">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28FC3C2D" w14:textId="77777777" w:rsidR="00A61142" w:rsidRPr="00984554" w:rsidRDefault="00A61142" w:rsidP="00A61142">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6F9D4504"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7F6D8CE8"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También se destaca el hecho de que el Comité de Derechos Económicos Sociales y Culturales, en la Observación General No. 19. El derecho a la Seguridad Social, en su artículo 9, precisa que la seguridad social,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8C39432"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xml:space="preserve">, en particular en casos de </w:t>
      </w:r>
      <w:r>
        <w:rPr>
          <w:rFonts w:ascii="Arial" w:hAnsi="Arial" w:cs="Arial"/>
          <w:sz w:val="24"/>
          <w:szCs w:val="24"/>
        </w:rPr>
        <w:lastRenderedPageBreak/>
        <w:t>jubilación, desempleo, enfermedad, invalidez, vejez u otra incapacidad para trabajar, así como el derecho a vacaciones pagadas.</w:t>
      </w:r>
    </w:p>
    <w:p w14:paraId="72191C00"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48542409"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anterior se concluye, que tanto la Constitución Política de los Estados Unidos Mexicanos, como los Tratados Internacionales descritos, 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5EF746CF" w14:textId="1E25EAFC" w:rsidR="00A61142" w:rsidRPr="001042B6"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En consecuencia, debe tomarse en cuenta</w:t>
      </w:r>
      <w:r w:rsidR="00E4193B">
        <w:rPr>
          <w:rFonts w:ascii="Arial" w:hAnsi="Arial" w:cs="Arial"/>
          <w:sz w:val="24"/>
          <w:szCs w:val="24"/>
        </w:rPr>
        <w:t>,</w:t>
      </w:r>
      <w:r>
        <w:rPr>
          <w:rFonts w:ascii="Arial" w:hAnsi="Arial" w:cs="Arial"/>
          <w:sz w:val="24"/>
          <w:szCs w:val="24"/>
        </w:rPr>
        <w:t xml:space="preserve"> que </w:t>
      </w:r>
      <w:r w:rsidRPr="001042B6">
        <w:rPr>
          <w:rFonts w:ascii="Arial" w:hAnsi="Arial" w:cs="Arial"/>
          <w:sz w:val="24"/>
          <w:szCs w:val="24"/>
        </w:rPr>
        <w:t>si bien es cie</w:t>
      </w:r>
      <w:r>
        <w:rPr>
          <w:rFonts w:ascii="Arial" w:hAnsi="Arial" w:cs="Arial"/>
          <w:sz w:val="24"/>
          <w:szCs w:val="24"/>
        </w:rPr>
        <w:t xml:space="preserve">rto,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4F644F5C" w14:textId="51ED0438" w:rsidR="00A61142"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E4193B">
        <w:rPr>
          <w:rFonts w:ascii="Arial" w:hAnsi="Arial" w:cs="Arial"/>
          <w:sz w:val="24"/>
          <w:szCs w:val="24"/>
        </w:rPr>
        <w:t>a</w:t>
      </w:r>
      <w:r w:rsidRPr="001042B6">
        <w:rPr>
          <w:rFonts w:ascii="Arial" w:hAnsi="Arial" w:cs="Arial"/>
          <w:sz w:val="24"/>
          <w:szCs w:val="24"/>
        </w:rPr>
        <w:t xml:space="preserve"> Juzgador</w:t>
      </w:r>
      <w:r w:rsidR="00E4193B">
        <w:rPr>
          <w:rFonts w:ascii="Arial" w:hAnsi="Arial" w:cs="Arial"/>
          <w:sz w:val="24"/>
          <w:szCs w:val="24"/>
        </w:rPr>
        <w:t>a</w:t>
      </w:r>
      <w:r w:rsidRPr="001042B6">
        <w:rPr>
          <w:rFonts w:ascii="Arial" w:hAnsi="Arial" w:cs="Arial"/>
          <w:sz w:val="24"/>
          <w:szCs w:val="24"/>
        </w:rPr>
        <w:t xml:space="preserve"> considera</w:t>
      </w:r>
      <w:r w:rsidR="00E4193B">
        <w:rPr>
          <w:rFonts w:ascii="Arial" w:hAnsi="Arial" w:cs="Arial"/>
          <w:sz w:val="24"/>
          <w:szCs w:val="24"/>
        </w:rPr>
        <w:t>,</w:t>
      </w:r>
      <w:r w:rsidRPr="001042B6">
        <w:rPr>
          <w:rFonts w:ascii="Arial" w:hAnsi="Arial" w:cs="Arial"/>
          <w:sz w:val="24"/>
          <w:szCs w:val="24"/>
        </w:rPr>
        <w:t xml:space="preserve">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 xml:space="preserve">del artículo 54 fracción I de la Ley de Pensiones para los Trabajadores del </w:t>
      </w:r>
      <w:r w:rsidRPr="00182625">
        <w:rPr>
          <w:rFonts w:ascii="Arial" w:hAnsi="Arial" w:cs="Arial"/>
          <w:sz w:val="24"/>
          <w:szCs w:val="24"/>
        </w:rPr>
        <w:lastRenderedPageBreak/>
        <w:t>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 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 xml:space="preserve">al actor </w:t>
      </w:r>
      <w:r w:rsidR="001531A0">
        <w:rPr>
          <w:rFonts w:ascii="Arial" w:hAnsi="Arial" w:cs="Arial"/>
          <w:sz w:val="24"/>
          <w:szCs w:val="24"/>
        </w:rPr>
        <w:t>***** ***** *****</w:t>
      </w:r>
      <w:r>
        <w:rPr>
          <w:rFonts w:ascii="Arial" w:hAnsi="Arial" w:cs="Arial"/>
          <w:sz w:val="24"/>
          <w:szCs w:val="24"/>
        </w:rPr>
        <w:t>, evitando la discriminación.</w:t>
      </w:r>
    </w:p>
    <w:p w14:paraId="51C3BE44" w14:textId="77777777" w:rsidR="00FC4939" w:rsidRDefault="00A61142" w:rsidP="00FC493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C4939">
        <w:rPr>
          <w:rFonts w:ascii="Arial" w:hAnsi="Arial" w:cs="Arial"/>
          <w:sz w:val="24"/>
          <w:szCs w:val="24"/>
        </w:rPr>
        <w:t xml:space="preserve">Por lo que se refiere a </w:t>
      </w:r>
      <w:r w:rsidR="00FC4939" w:rsidRPr="00574909">
        <w:rPr>
          <w:rFonts w:ascii="Arial" w:hAnsi="Arial" w:cs="Arial"/>
          <w:b/>
          <w:sz w:val="24"/>
          <w:szCs w:val="24"/>
          <w:u w:val="single"/>
        </w:rPr>
        <w:t xml:space="preserve">la </w:t>
      </w:r>
      <w:r w:rsidR="00FC4939">
        <w:rPr>
          <w:rFonts w:ascii="Arial" w:hAnsi="Arial" w:cs="Arial"/>
          <w:b/>
          <w:sz w:val="24"/>
          <w:szCs w:val="24"/>
          <w:u w:val="single"/>
        </w:rPr>
        <w:t>segunda</w:t>
      </w:r>
      <w:r w:rsidR="00FC4939" w:rsidRPr="00574909">
        <w:rPr>
          <w:rFonts w:ascii="Arial" w:hAnsi="Arial" w:cs="Arial"/>
          <w:b/>
          <w:sz w:val="24"/>
          <w:szCs w:val="24"/>
          <w:u w:val="single"/>
        </w:rPr>
        <w:t xml:space="preserve"> premisa</w:t>
      </w:r>
      <w:r w:rsidR="00FC4939">
        <w:rPr>
          <w:rFonts w:ascii="Arial" w:hAnsi="Arial" w:cs="Arial"/>
          <w:sz w:val="24"/>
          <w:szCs w:val="24"/>
        </w:rPr>
        <w:t xml:space="preserve">, consistente en la reducción del 9% de la pensión, se concede razón al actor, en cuanto a su inconstitucionalidad, porque dicho descuento fue sustentado en los artículos 6 fracción IV, 18 párrafo segundo  y Transitorio Octavo, todos de la Ley de Pensiones para los Trabajadores del Gobierno del Estado de Oaxaca, </w:t>
      </w:r>
      <w:r w:rsidR="00FC4939" w:rsidRPr="0014321E">
        <w:rPr>
          <w:rFonts w:ascii="Arial" w:hAnsi="Arial" w:cs="Arial"/>
          <w:b/>
          <w:sz w:val="24"/>
          <w:szCs w:val="24"/>
        </w:rPr>
        <w:t xml:space="preserve">artículos </w:t>
      </w:r>
      <w:r w:rsidR="00FC4939">
        <w:rPr>
          <w:rFonts w:ascii="Arial" w:hAnsi="Arial" w:cs="Arial"/>
          <w:b/>
          <w:sz w:val="24"/>
          <w:szCs w:val="24"/>
        </w:rPr>
        <w:t xml:space="preserve">que </w:t>
      </w:r>
      <w:r w:rsidR="00FC4939" w:rsidRPr="0014321E">
        <w:rPr>
          <w:rFonts w:ascii="Arial" w:hAnsi="Arial" w:cs="Arial"/>
          <w:b/>
          <w:sz w:val="24"/>
          <w:szCs w:val="24"/>
        </w:rPr>
        <w:t>fueron considerados violatorios del derecho humano a la seguridad social</w:t>
      </w:r>
      <w:r w:rsidR="00FC4939">
        <w:rPr>
          <w:rFonts w:ascii="Arial" w:hAnsi="Arial" w:cs="Arial"/>
          <w:sz w:val="24"/>
          <w:szCs w:val="24"/>
        </w:rPr>
        <w:t xml:space="preserve"> por el más alto Tribunal de este País, quien consideró que la aportación regulada por el legislador local (9% a la pensión), no encuadra en ninguna de las hipótesis permitidas, ya que se traduce en un descuento indebido del monto de la pensión jubilatoria, encaminado a constituir el fondo monetario con el que se cubriría la misma.</w:t>
      </w:r>
    </w:p>
    <w:p w14:paraId="5D6711BD" w14:textId="220E3316" w:rsidR="00FC4939" w:rsidRDefault="00FC4939" w:rsidP="00FC4939">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También determinó, que los artículos señalados, violan el Principio de Igualdad, en tanto ubican a trabajadores jubilados y pensionados, en hipótesis diferentes, y aun así les impone el pago de la cuota del nueve por ciento de su sueldo base, no obstante las diferencias esenciales existentes entre trabajadores activos, jubilados y pensionados, por lo que consideró la Suprema Corte de Justicia de la Nación, que el legislador local no debe ubicarlos en una misma posición, con el mismo tratamiento y cargas, por ser excesivo, pues una vez que se obtiene el beneficio de la jubilación, no debe imponerse al jubilado y pensionado, la carga de contribuir al fondo de pensiones, cuando supone que agotó ya esa aportación durante su vida de trabajo, consecuentemente, con el actuar de las autoridades aquí demandadas se violentó el artículo 1 de la Constitución Política de los Estados Unidos Mexicanos, en perjuicio del actor, que se refiere a su Derecho a la Igualdad y a la no discriminación, de ahí la ilegalidad del descuento del nueve por cierto a la pensión obsequiada. </w:t>
      </w:r>
    </w:p>
    <w:p w14:paraId="3F723E56"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1CCE4315"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Tomo I, Constitucional 3. Derechos Fundamentales, Primera Parte-SCJN, Vigésima Segunda, Sección- Derechos laborales, Novena Época, pág. 2169, </w:t>
      </w:r>
      <w:r w:rsidRPr="001042B6">
        <w:rPr>
          <w:rFonts w:ascii="Arial" w:hAnsi="Arial" w:cs="Arial"/>
          <w:sz w:val="24"/>
          <w:szCs w:val="24"/>
        </w:rPr>
        <w:lastRenderedPageBreak/>
        <w:t>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2FF04E4D" w14:textId="77777777"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30F8B95D" w14:textId="70D2658C" w:rsidR="00A61142"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sidR="00A45E03">
        <w:rPr>
          <w:rFonts w:ascii="Arial" w:hAnsi="Arial" w:cs="Arial"/>
          <w:sz w:val="24"/>
          <w:szCs w:val="24"/>
        </w:rPr>
        <w:t>; y,</w:t>
      </w:r>
    </w:p>
    <w:p w14:paraId="15CA8832" w14:textId="528E9A27" w:rsidR="00FC4939" w:rsidRDefault="00A45E03"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11, </w:t>
      </w:r>
      <w:proofErr w:type="gramStart"/>
      <w:r>
        <w:rPr>
          <w:rFonts w:ascii="Arial" w:hAnsi="Arial" w:cs="Arial"/>
          <w:sz w:val="24"/>
          <w:szCs w:val="24"/>
        </w:rPr>
        <w:t>Octubre</w:t>
      </w:r>
      <w:proofErr w:type="gramEnd"/>
      <w:r>
        <w:rPr>
          <w:rFonts w:ascii="Arial" w:hAnsi="Arial" w:cs="Arial"/>
          <w:sz w:val="24"/>
          <w:szCs w:val="24"/>
        </w:rPr>
        <w:t xml:space="preserve"> de 2014, Tomo III, Décima Época, pág. 2512. Registro 2007629, Jurisprudencia Constitucional, Tribunales Colegiados de Circuito, y de rubro: “</w:t>
      </w:r>
      <w:r w:rsidRPr="009B63D6">
        <w:rPr>
          <w:rFonts w:ascii="Arial" w:hAnsi="Arial" w:cs="Arial"/>
          <w:sz w:val="24"/>
          <w:szCs w:val="24"/>
        </w:rPr>
        <w:t xml:space="preserve">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w:t>
      </w:r>
      <w:r w:rsidRPr="00F81279">
        <w:rPr>
          <w:rFonts w:ascii="Arial" w:hAnsi="Arial" w:cs="Arial"/>
          <w:sz w:val="24"/>
          <w:szCs w:val="24"/>
        </w:rPr>
        <w:t>AL DESATENDER LOS ARTÍCULOS 26, NUMERAL 3 Y 67, INCISO B), DEL CONVENIO NÚMERO 102 DE LA ORGANIZACIÓN INTERNACIONAL DEL</w:t>
      </w:r>
      <w:r w:rsidRPr="009B63D6">
        <w:rPr>
          <w:rFonts w:ascii="Arial" w:hAnsi="Arial" w:cs="Arial"/>
          <w:sz w:val="24"/>
          <w:szCs w:val="24"/>
        </w:rPr>
        <w:t xml:space="preserve"> TRABAJO Y VIOLAR EL DERECHO HUMANO A LA IGUALDAD.</w:t>
      </w:r>
      <w:r>
        <w:rPr>
          <w:rFonts w:ascii="Arial" w:hAnsi="Arial" w:cs="Arial"/>
          <w:sz w:val="24"/>
          <w:szCs w:val="24"/>
        </w:rPr>
        <w:t>”;</w:t>
      </w:r>
    </w:p>
    <w:p w14:paraId="50EBF302" w14:textId="0367FF7F" w:rsidR="00A61142" w:rsidRPr="001042B6" w:rsidRDefault="00A61142" w:rsidP="00A61142">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1531A0">
        <w:rPr>
          <w:rFonts w:ascii="Arial" w:hAnsi="Arial" w:cs="Arial"/>
          <w:sz w:val="24"/>
          <w:szCs w:val="24"/>
        </w:rPr>
        <w:t>OP/DG/****/2019</w:t>
      </w:r>
      <w:r>
        <w:rPr>
          <w:rFonts w:ascii="Arial" w:hAnsi="Arial" w:cs="Arial"/>
          <w:sz w:val="24"/>
          <w:szCs w:val="24"/>
        </w:rPr>
        <w:t xml:space="preserve">, de fecha </w:t>
      </w:r>
      <w:r w:rsidR="001531A0">
        <w:rPr>
          <w:rFonts w:ascii="Arial" w:hAnsi="Arial" w:cs="Arial"/>
          <w:sz w:val="24"/>
          <w:szCs w:val="24"/>
        </w:rPr>
        <w:t>***** de ***** de dos mil diecinueve (**/**/2019)</w:t>
      </w:r>
      <w:r>
        <w:rPr>
          <w:rFonts w:ascii="Arial" w:hAnsi="Arial" w:cs="Arial"/>
          <w:sz w:val="24"/>
          <w:szCs w:val="24"/>
        </w:rPr>
        <w:t xml:space="preserve">, emitido por el </w:t>
      </w:r>
      <w:r w:rsidRPr="001042B6">
        <w:rPr>
          <w:rFonts w:ascii="Arial" w:hAnsi="Arial" w:cs="Arial"/>
          <w:sz w:val="24"/>
          <w:szCs w:val="24"/>
        </w:rPr>
        <w:t xml:space="preserve"> Director General de la Oficina de Pensiones del Estado de </w:t>
      </w:r>
      <w:r w:rsidRPr="00A461FD">
        <w:rPr>
          <w:rFonts w:ascii="Arial" w:hAnsi="Arial" w:cs="Arial"/>
          <w:sz w:val="24"/>
          <w:szCs w:val="24"/>
        </w:rPr>
        <w:lastRenderedPageBreak/>
        <w:t>Oaxaca</w:t>
      </w:r>
      <w:r>
        <w:rPr>
          <w:rFonts w:ascii="Arial" w:hAnsi="Arial" w:cs="Arial"/>
          <w:sz w:val="24"/>
          <w:szCs w:val="24"/>
        </w:rPr>
        <w:t>, así como el dictamen de pensión por jubilación emitido por el Consejo Directivo de Pensiones</w:t>
      </w:r>
      <w:r w:rsidRPr="00182625">
        <w:rPr>
          <w:rFonts w:ascii="Arial" w:hAnsi="Arial" w:cs="Arial"/>
          <w:sz w:val="24"/>
          <w:szCs w:val="24"/>
        </w:rPr>
        <w:t xml:space="preserve"> </w:t>
      </w:r>
      <w:r w:rsidR="00FA2DA3">
        <w:rPr>
          <w:rFonts w:ascii="Arial" w:hAnsi="Arial" w:cs="Arial"/>
          <w:sz w:val="24"/>
          <w:szCs w:val="24"/>
        </w:rPr>
        <w:t xml:space="preserve">con fecha </w:t>
      </w:r>
      <w:r w:rsidR="001531A0">
        <w:rPr>
          <w:rFonts w:ascii="Arial" w:hAnsi="Arial" w:cs="Arial"/>
          <w:sz w:val="24"/>
          <w:szCs w:val="24"/>
        </w:rPr>
        <w:t>***** de ***** de dos mil diecinueve (**/**/2019)</w:t>
      </w:r>
      <w:r>
        <w:rPr>
          <w:rFonts w:ascii="Arial" w:hAnsi="Arial" w:cs="Arial"/>
          <w:sz w:val="24"/>
          <w:szCs w:val="24"/>
        </w:rPr>
        <w:t xml:space="preserve">, </w:t>
      </w:r>
      <w:r w:rsidRPr="001042B6">
        <w:rPr>
          <w:rFonts w:ascii="Arial" w:hAnsi="Arial" w:cs="Arial"/>
          <w:sz w:val="24"/>
          <w:szCs w:val="24"/>
        </w:rPr>
        <w:t xml:space="preserve">para el </w:t>
      </w:r>
      <w:r w:rsidRPr="001042B6">
        <w:rPr>
          <w:rFonts w:ascii="Arial" w:hAnsi="Arial" w:cs="Arial"/>
          <w:b/>
          <w:sz w:val="24"/>
          <w:szCs w:val="24"/>
        </w:rPr>
        <w:t>EFECTO</w:t>
      </w:r>
      <w:r>
        <w:rPr>
          <w:rFonts w:ascii="Arial" w:hAnsi="Arial" w:cs="Arial"/>
          <w:sz w:val="24"/>
          <w:szCs w:val="24"/>
        </w:rPr>
        <w:t xml:space="preserve">, de que la autoridad demandada Consejo Directivo de Pensiones, emita </w:t>
      </w:r>
      <w:r w:rsidRPr="001042B6">
        <w:rPr>
          <w:rFonts w:ascii="Arial" w:hAnsi="Arial" w:cs="Arial"/>
          <w:sz w:val="24"/>
          <w:szCs w:val="24"/>
        </w:rPr>
        <w:t>otro, en el que</w:t>
      </w:r>
      <w:r>
        <w:rPr>
          <w:rFonts w:ascii="Arial" w:hAnsi="Arial" w:cs="Arial"/>
          <w:sz w:val="24"/>
          <w:szCs w:val="24"/>
        </w:rPr>
        <w:t xml:space="preserve"> considerando además de la pensión por jubilación otorgada por el 100% del último sueldo del actor, conceda </w:t>
      </w:r>
      <w:r w:rsidRPr="001042B6">
        <w:rPr>
          <w:rFonts w:ascii="Arial" w:hAnsi="Arial" w:cs="Arial"/>
          <w:sz w:val="24"/>
          <w:szCs w:val="24"/>
        </w:rPr>
        <w:t>la</w:t>
      </w:r>
      <w:r>
        <w:rPr>
          <w:rFonts w:ascii="Arial" w:hAnsi="Arial" w:cs="Arial"/>
          <w:sz w:val="24"/>
          <w:szCs w:val="24"/>
        </w:rPr>
        <w:t xml:space="preserve">s prestaciones ya precisadas en esta resolución, </w:t>
      </w:r>
      <w:r w:rsidRPr="007C63C7">
        <w:rPr>
          <w:rFonts w:ascii="Arial" w:hAnsi="Arial" w:cs="Arial"/>
          <w:b/>
          <w:sz w:val="24"/>
          <w:szCs w:val="24"/>
        </w:rPr>
        <w:t>en el entendido</w:t>
      </w:r>
      <w:r>
        <w:rPr>
          <w:rFonts w:ascii="Arial" w:hAnsi="Arial" w:cs="Arial"/>
          <w:sz w:val="24"/>
          <w:szCs w:val="24"/>
        </w:rPr>
        <w:t xml:space="preserve"> que para tener por</w:t>
      </w:r>
      <w:r w:rsidR="00342EAD">
        <w:rPr>
          <w:rFonts w:ascii="Arial" w:hAnsi="Arial" w:cs="Arial"/>
          <w:sz w:val="24"/>
          <w:szCs w:val="24"/>
        </w:rPr>
        <w:t xml:space="preserve"> cumplida la presente sentencia</w:t>
      </w:r>
      <w:r>
        <w:rPr>
          <w:rFonts w:ascii="Arial" w:hAnsi="Arial" w:cs="Arial"/>
          <w:sz w:val="24"/>
          <w:szCs w:val="24"/>
        </w:rPr>
        <w:t xml:space="preserve"> </w:t>
      </w:r>
      <w:r w:rsidR="006A3633">
        <w:rPr>
          <w:rFonts w:ascii="Arial" w:hAnsi="Arial" w:cs="Arial"/>
          <w:sz w:val="24"/>
          <w:szCs w:val="24"/>
        </w:rPr>
        <w:t xml:space="preserve">(en caso de que el actor ya no sea empleado en activo, y se encuentre gozando del beneficio de la pensión que le había sido otorgada), </w:t>
      </w:r>
      <w:r>
        <w:rPr>
          <w:rFonts w:ascii="Arial" w:hAnsi="Arial" w:cs="Arial"/>
          <w:sz w:val="24"/>
          <w:szCs w:val="24"/>
        </w:rPr>
        <w:t>se habrán de reintegrar las prestaciones correspondientes no otorgadas ni pagadas a partir de la emisión del primer dictamen de pensión (1</w:t>
      </w:r>
      <w:r w:rsidR="009461DB">
        <w:rPr>
          <w:rFonts w:ascii="Arial" w:hAnsi="Arial" w:cs="Arial"/>
          <w:sz w:val="24"/>
          <w:szCs w:val="24"/>
        </w:rPr>
        <w:t>6/12</w:t>
      </w:r>
      <w:r>
        <w:rPr>
          <w:rFonts w:ascii="Arial" w:hAnsi="Arial" w:cs="Arial"/>
          <w:sz w:val="24"/>
          <w:szCs w:val="24"/>
        </w:rPr>
        <w:t xml:space="preserve">/2019) y que aquí se declararon procedentes, </w:t>
      </w:r>
      <w:r w:rsidR="009461DB">
        <w:rPr>
          <w:rFonts w:ascii="Arial" w:hAnsi="Arial" w:cs="Arial"/>
          <w:sz w:val="24"/>
          <w:szCs w:val="24"/>
        </w:rPr>
        <w:t xml:space="preserve">además de reintegrar los descuentos </w:t>
      </w:r>
      <w:r w:rsidR="009429C9">
        <w:rPr>
          <w:rFonts w:ascii="Arial" w:hAnsi="Arial" w:cs="Arial"/>
          <w:sz w:val="24"/>
          <w:szCs w:val="24"/>
        </w:rPr>
        <w:t xml:space="preserve">que efectivamente se hayan realizado </w:t>
      </w:r>
      <w:r w:rsidR="009461DB">
        <w:rPr>
          <w:rFonts w:ascii="Arial" w:hAnsi="Arial" w:cs="Arial"/>
          <w:sz w:val="24"/>
          <w:szCs w:val="24"/>
        </w:rPr>
        <w:t xml:space="preserve">del 9% efectuados a partir de esa fecha a la pensión del actor; </w:t>
      </w:r>
      <w:r w:rsidRPr="001042B6">
        <w:rPr>
          <w:rFonts w:ascii="Arial" w:hAnsi="Arial" w:cs="Arial"/>
          <w:sz w:val="24"/>
          <w:szCs w:val="24"/>
        </w:rPr>
        <w:t xml:space="preserve">lo anterior de conformidad con lo dispuesto en los artículos 207, 208, y 209 de la Ley de Procedimiento y Justicia Administrativa para el Estado de Oaxaca. </w:t>
      </w:r>
    </w:p>
    <w:p w14:paraId="06D685D9" w14:textId="6D6E8305" w:rsidR="00A61142" w:rsidRDefault="00A61142" w:rsidP="00A61142">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r w:rsidR="009461DB">
        <w:rPr>
          <w:rFonts w:ascii="Arial" w:hAnsi="Arial" w:cs="Arial"/>
          <w:sz w:val="24"/>
          <w:szCs w:val="24"/>
        </w:rPr>
        <w:t>- - - - - -</w:t>
      </w:r>
    </w:p>
    <w:p w14:paraId="6ED97B72" w14:textId="77777777" w:rsidR="00A61142" w:rsidRDefault="00A61142" w:rsidP="00A6114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861A54C" w14:textId="5FBB4035" w:rsidR="00A61142" w:rsidRDefault="00A61142" w:rsidP="00A6114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Esta Tercera Sala de Primera Instancia del Tribunal de Justicia Administrativa del Estado de Oaxaca, es legalmente competente para conocer y resolver del presente Juicio de Nulidad. - - - - - - - - - - - - - - - -</w:t>
      </w:r>
      <w:r w:rsidR="00995775">
        <w:rPr>
          <w:rFonts w:ascii="Arial" w:hAnsi="Arial" w:cs="Arial"/>
          <w:sz w:val="24"/>
          <w:szCs w:val="24"/>
        </w:rPr>
        <w:t xml:space="preserve"> - - - -</w:t>
      </w:r>
    </w:p>
    <w:p w14:paraId="450F2934" w14:textId="77777777" w:rsidR="00A61142" w:rsidRDefault="00A61142" w:rsidP="00A6114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71AC8C80" w14:textId="613D745C" w:rsidR="00A61142" w:rsidRDefault="00A61142" w:rsidP="00A61142">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1531A0">
        <w:rPr>
          <w:rFonts w:ascii="Arial" w:hAnsi="Arial" w:cs="Arial"/>
          <w:sz w:val="24"/>
          <w:szCs w:val="24"/>
        </w:rPr>
        <w:t>OP/DG/****/2019</w:t>
      </w:r>
      <w:r w:rsidR="00657D60">
        <w:rPr>
          <w:rFonts w:ascii="Arial" w:hAnsi="Arial" w:cs="Arial"/>
          <w:sz w:val="24"/>
          <w:szCs w:val="24"/>
        </w:rPr>
        <w:t xml:space="preserve">, de fecha </w:t>
      </w:r>
      <w:r w:rsidR="001531A0">
        <w:rPr>
          <w:rFonts w:ascii="Arial" w:hAnsi="Arial" w:cs="Arial"/>
          <w:sz w:val="24"/>
          <w:szCs w:val="24"/>
        </w:rPr>
        <w:t>***** de ***** de dos mil diecinueve (**/**/2019)</w:t>
      </w:r>
      <w:r w:rsidR="00657D60">
        <w:rPr>
          <w:rFonts w:ascii="Arial" w:hAnsi="Arial" w:cs="Arial"/>
          <w:sz w:val="24"/>
          <w:szCs w:val="24"/>
        </w:rPr>
        <w:t xml:space="preserve">, emitido por el </w:t>
      </w:r>
      <w:r w:rsidR="00657D60" w:rsidRPr="001042B6">
        <w:rPr>
          <w:rFonts w:ascii="Arial" w:hAnsi="Arial" w:cs="Arial"/>
          <w:sz w:val="24"/>
          <w:szCs w:val="24"/>
        </w:rPr>
        <w:t xml:space="preserve"> Director General de la Oficina de Pensiones del Estado de </w:t>
      </w:r>
      <w:r w:rsidR="00657D60" w:rsidRPr="00A461FD">
        <w:rPr>
          <w:rFonts w:ascii="Arial" w:hAnsi="Arial" w:cs="Arial"/>
          <w:sz w:val="24"/>
          <w:szCs w:val="24"/>
        </w:rPr>
        <w:t>Oaxaca</w:t>
      </w:r>
      <w:r w:rsidR="00657D60">
        <w:rPr>
          <w:rFonts w:ascii="Arial" w:hAnsi="Arial" w:cs="Arial"/>
          <w:sz w:val="24"/>
          <w:szCs w:val="24"/>
        </w:rPr>
        <w:t>, así como el dictamen de pensión por jubilación emitido por el Consejo Directivo de Pensiones</w:t>
      </w:r>
      <w:r w:rsidR="00657D60" w:rsidRPr="00182625">
        <w:rPr>
          <w:rFonts w:ascii="Arial" w:hAnsi="Arial" w:cs="Arial"/>
          <w:sz w:val="24"/>
          <w:szCs w:val="24"/>
        </w:rPr>
        <w:t xml:space="preserve"> </w:t>
      </w:r>
      <w:r w:rsidR="00657D60">
        <w:rPr>
          <w:rFonts w:ascii="Arial" w:hAnsi="Arial" w:cs="Arial"/>
          <w:sz w:val="24"/>
          <w:szCs w:val="24"/>
        </w:rPr>
        <w:t xml:space="preserve">con fecha </w:t>
      </w:r>
      <w:r w:rsidR="001531A0">
        <w:rPr>
          <w:rFonts w:ascii="Arial" w:hAnsi="Arial" w:cs="Arial"/>
          <w:sz w:val="24"/>
          <w:szCs w:val="24"/>
        </w:rPr>
        <w:t>***** de ***** de dos mil diecinueve (**/**/2019)</w:t>
      </w:r>
      <w:r w:rsidR="00657D60">
        <w:rPr>
          <w:rFonts w:ascii="Arial" w:hAnsi="Arial" w:cs="Arial"/>
          <w:sz w:val="24"/>
          <w:szCs w:val="24"/>
        </w:rPr>
        <w:t xml:space="preserve">, </w:t>
      </w:r>
      <w:r w:rsidR="00657D60" w:rsidRPr="001042B6">
        <w:rPr>
          <w:rFonts w:ascii="Arial" w:hAnsi="Arial" w:cs="Arial"/>
          <w:sz w:val="24"/>
          <w:szCs w:val="24"/>
        </w:rPr>
        <w:t xml:space="preserve">para el </w:t>
      </w:r>
      <w:r w:rsidR="00657D60" w:rsidRPr="001042B6">
        <w:rPr>
          <w:rFonts w:ascii="Arial" w:hAnsi="Arial" w:cs="Arial"/>
          <w:b/>
          <w:sz w:val="24"/>
          <w:szCs w:val="24"/>
        </w:rPr>
        <w:t>EFECTO</w:t>
      </w:r>
      <w:r w:rsidR="00657D60">
        <w:rPr>
          <w:rFonts w:ascii="Arial" w:hAnsi="Arial" w:cs="Arial"/>
          <w:sz w:val="24"/>
          <w:szCs w:val="24"/>
        </w:rPr>
        <w:t xml:space="preserve">, de que la autoridad demandada Consejo Directivo de Pensiones, emita </w:t>
      </w:r>
      <w:r w:rsidR="00657D60" w:rsidRPr="001042B6">
        <w:rPr>
          <w:rFonts w:ascii="Arial" w:hAnsi="Arial" w:cs="Arial"/>
          <w:sz w:val="24"/>
          <w:szCs w:val="24"/>
        </w:rPr>
        <w:t>otro, en el que</w:t>
      </w:r>
      <w:r w:rsidR="00657D60">
        <w:rPr>
          <w:rFonts w:ascii="Arial" w:hAnsi="Arial" w:cs="Arial"/>
          <w:sz w:val="24"/>
          <w:szCs w:val="24"/>
        </w:rPr>
        <w:t xml:space="preserve"> considerando además de la pensión por jubilación otorgada por el 100% del último sueldo del actor, conceda </w:t>
      </w:r>
      <w:r w:rsidR="00657D60" w:rsidRPr="001042B6">
        <w:rPr>
          <w:rFonts w:ascii="Arial" w:hAnsi="Arial" w:cs="Arial"/>
          <w:sz w:val="24"/>
          <w:szCs w:val="24"/>
        </w:rPr>
        <w:t>la</w:t>
      </w:r>
      <w:r w:rsidR="00657D60">
        <w:rPr>
          <w:rFonts w:ascii="Arial" w:hAnsi="Arial" w:cs="Arial"/>
          <w:sz w:val="24"/>
          <w:szCs w:val="24"/>
        </w:rPr>
        <w:t xml:space="preserve">s prestaciones ya precisadas en esta resolución, </w:t>
      </w:r>
      <w:r w:rsidR="00657D60" w:rsidRPr="007C63C7">
        <w:rPr>
          <w:rFonts w:ascii="Arial" w:hAnsi="Arial" w:cs="Arial"/>
          <w:b/>
          <w:sz w:val="24"/>
          <w:szCs w:val="24"/>
        </w:rPr>
        <w:t>en el entendido</w:t>
      </w:r>
      <w:r w:rsidR="00657D60">
        <w:rPr>
          <w:rFonts w:ascii="Arial" w:hAnsi="Arial" w:cs="Arial"/>
          <w:sz w:val="24"/>
          <w:szCs w:val="24"/>
        </w:rPr>
        <w:t xml:space="preserve"> que para tener por cumplida la presente </w:t>
      </w:r>
      <w:r w:rsidR="009429C9">
        <w:rPr>
          <w:rFonts w:ascii="Arial" w:hAnsi="Arial" w:cs="Arial"/>
          <w:sz w:val="24"/>
          <w:szCs w:val="24"/>
        </w:rPr>
        <w:t xml:space="preserve">sentencia (en caso de que el actor ya no sea empleado en activo, y se encuentre gozando del beneficio de la pensión que le había sido </w:t>
      </w:r>
      <w:r w:rsidR="009429C9">
        <w:rPr>
          <w:rFonts w:ascii="Arial" w:hAnsi="Arial" w:cs="Arial"/>
          <w:sz w:val="24"/>
          <w:szCs w:val="24"/>
        </w:rPr>
        <w:lastRenderedPageBreak/>
        <w:t>otorgada)</w:t>
      </w:r>
      <w:r w:rsidR="00657D60">
        <w:rPr>
          <w:rFonts w:ascii="Arial" w:hAnsi="Arial" w:cs="Arial"/>
          <w:sz w:val="24"/>
          <w:szCs w:val="24"/>
        </w:rPr>
        <w:t>, se habrán de reintegrar las prestaciones correspondientes no otorgadas ni pagadas a partir de la emisión del primer dictamen de pensión (16/12/2019) y que aquí se declararon procedentes, además de reintegrar los descuentos</w:t>
      </w:r>
      <w:r w:rsidR="009429C9">
        <w:rPr>
          <w:rFonts w:ascii="Arial" w:hAnsi="Arial" w:cs="Arial"/>
          <w:sz w:val="24"/>
          <w:szCs w:val="24"/>
        </w:rPr>
        <w:t xml:space="preserve"> que efectivamente se hayan</w:t>
      </w:r>
      <w:r w:rsidR="00657D60">
        <w:rPr>
          <w:rFonts w:ascii="Arial" w:hAnsi="Arial" w:cs="Arial"/>
          <w:sz w:val="24"/>
          <w:szCs w:val="24"/>
        </w:rPr>
        <w:t xml:space="preserve"> </w:t>
      </w:r>
      <w:r w:rsidR="009429C9">
        <w:rPr>
          <w:rFonts w:ascii="Arial" w:hAnsi="Arial" w:cs="Arial"/>
          <w:sz w:val="24"/>
          <w:szCs w:val="24"/>
        </w:rPr>
        <w:t xml:space="preserve">realizado </w:t>
      </w:r>
      <w:r w:rsidR="00657D60">
        <w:rPr>
          <w:rFonts w:ascii="Arial" w:hAnsi="Arial" w:cs="Arial"/>
          <w:sz w:val="24"/>
          <w:szCs w:val="24"/>
        </w:rPr>
        <w:t>del 9% efectuados a partir de esa fecha a la pensión del actor;</w:t>
      </w:r>
      <w:r>
        <w:rPr>
          <w:rFonts w:ascii="Arial" w:hAnsi="Arial" w:cs="Arial"/>
          <w:sz w:val="24"/>
          <w:szCs w:val="24"/>
        </w:rPr>
        <w:t xml:space="preserve"> lo anterior en términos precisados en el considerando SEXTO de esta resolución. - - - - - - - </w:t>
      </w:r>
    </w:p>
    <w:p w14:paraId="0396F7D3" w14:textId="77777777" w:rsidR="00A61142" w:rsidRDefault="00A61142" w:rsidP="00A61142">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Pr>
          <w:rFonts w:ascii="Arial" w:hAnsi="Arial" w:cs="Arial"/>
          <w:sz w:val="24"/>
          <w:szCs w:val="24"/>
        </w:rPr>
        <w:t>- - - - - - - - - - - - - -</w:t>
      </w:r>
    </w:p>
    <w:p w14:paraId="4A0909B5" w14:textId="14A6215A" w:rsidR="00EB0680" w:rsidRPr="0000129F"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7F54D7">
        <w:rPr>
          <w:rFonts w:ascii="Arial" w:hAnsi="Arial" w:cs="Arial"/>
          <w:sz w:val="24"/>
          <w:szCs w:val="24"/>
        </w:rPr>
        <w:t xml:space="preserve">- - - </w:t>
      </w:r>
    </w:p>
    <w:sectPr w:rsidR="00EB0680" w:rsidRPr="0000129F" w:rsidSect="005F0A49">
      <w:headerReference w:type="even" r:id="rId10"/>
      <w:headerReference w:type="default" r:id="rId11"/>
      <w:footerReference w:type="default" r:id="rId12"/>
      <w:headerReference w:type="first" r:id="rId13"/>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1614E" w14:textId="77777777" w:rsidR="00BD2E39" w:rsidRDefault="00BD2E39" w:rsidP="007A5B5E">
      <w:pPr>
        <w:spacing w:after="0" w:line="240" w:lineRule="auto"/>
      </w:pPr>
      <w:r>
        <w:separator/>
      </w:r>
    </w:p>
  </w:endnote>
  <w:endnote w:type="continuationSeparator" w:id="0">
    <w:p w14:paraId="3F0A80D7"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31199124"/>
      <w:docPartObj>
        <w:docPartGallery w:val="Page Numbers (Bottom of Page)"/>
        <w:docPartUnique/>
      </w:docPartObj>
    </w:sdtPr>
    <w:sdtEndPr/>
    <w:sdtContent>
      <w:p w14:paraId="45849AD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6192" behindDoc="0" locked="0" layoutInCell="1" allowOverlap="1" wp14:anchorId="23CE2207" wp14:editId="35FC3046">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D576C6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1686" w:rsidRPr="00B81686">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CE2207"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0D576C60"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B81686" w:rsidRPr="00B81686">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6470F" w14:textId="77777777" w:rsidR="00BD2E39" w:rsidRDefault="00BD2E39" w:rsidP="007A5B5E">
      <w:pPr>
        <w:spacing w:after="0" w:line="240" w:lineRule="auto"/>
      </w:pPr>
      <w:r>
        <w:separator/>
      </w:r>
    </w:p>
  </w:footnote>
  <w:footnote w:type="continuationSeparator" w:id="0">
    <w:p w14:paraId="752EA7DC"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F2E5A" w14:textId="77777777" w:rsidR="00BD2E39" w:rsidRDefault="001531A0">
    <w:pPr>
      <w:pStyle w:val="Encabezado"/>
    </w:pPr>
    <w:r>
      <w:rPr>
        <w:noProof/>
        <w:lang w:eastAsia="es-MX"/>
      </w:rPr>
      <w:pict w14:anchorId="505AF9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A2E0" w14:textId="7D311535"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8240" behindDoc="0" locked="0" layoutInCell="1" allowOverlap="1" wp14:anchorId="4D1BD552" wp14:editId="0296880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A668554" w14:textId="77777777" w:rsidR="00BD2E39" w:rsidRDefault="00BD2E39" w:rsidP="002960E1">
                          <w:r>
                            <w:rPr>
                              <w:noProof/>
                              <w:lang w:eastAsia="es-MX"/>
                            </w:rPr>
                            <w:drawing>
                              <wp:inline distT="0" distB="0" distL="0" distR="0" wp14:anchorId="78557920" wp14:editId="0214B345">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1BD552"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4A668554" w14:textId="77777777" w:rsidR="00BD2E39" w:rsidRDefault="00BD2E39" w:rsidP="002960E1">
                    <w:r>
                      <w:rPr>
                        <w:noProof/>
                        <w:lang w:eastAsia="es-MX"/>
                      </w:rPr>
                      <w:drawing>
                        <wp:inline distT="0" distB="0" distL="0" distR="0" wp14:anchorId="78557920" wp14:editId="0214B345">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8C0B7E">
      <w:rPr>
        <w:rFonts w:ascii="Bookman Old Style" w:hAnsi="Bookman Old Style"/>
        <w:b/>
        <w:sz w:val="24"/>
        <w:szCs w:val="24"/>
      </w:rPr>
      <w:t>0</w:t>
    </w:r>
    <w:r w:rsidR="004B10FE">
      <w:rPr>
        <w:rFonts w:ascii="Bookman Old Style" w:hAnsi="Bookman Old Style"/>
        <w:b/>
        <w:sz w:val="24"/>
        <w:szCs w:val="24"/>
      </w:rPr>
      <w:t>034</w:t>
    </w:r>
    <w:r w:rsidRPr="00391F24">
      <w:rPr>
        <w:rFonts w:ascii="Bookman Old Style" w:hAnsi="Bookman Old Style"/>
        <w:b/>
        <w:sz w:val="24"/>
        <w:szCs w:val="24"/>
      </w:rPr>
      <w:t>/</w:t>
    </w:r>
    <w:r w:rsidR="00B544E2">
      <w:rPr>
        <w:rFonts w:ascii="Bookman Old Style" w:hAnsi="Bookman Old Style"/>
        <w:b/>
        <w:sz w:val="24"/>
        <w:szCs w:val="24"/>
      </w:rPr>
      <w:t>2020</w:t>
    </w:r>
  </w:p>
  <w:p w14:paraId="112444B1" w14:textId="5F078A83" w:rsidR="00BD2E39" w:rsidRPr="00071C38" w:rsidRDefault="001531A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2336" behindDoc="1" locked="0" layoutInCell="1" allowOverlap="1" wp14:anchorId="64CCEA4A" wp14:editId="0D9EB225">
              <wp:simplePos x="0" y="0"/>
              <wp:positionH relativeFrom="leftMargin">
                <wp:posOffset>173355</wp:posOffset>
              </wp:positionH>
              <wp:positionV relativeFrom="paragraph">
                <wp:posOffset>4143375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18C7730" w14:textId="77777777" w:rsidR="001531A0" w:rsidRPr="003B6E97" w:rsidRDefault="001531A0" w:rsidP="001531A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CCEA4A" id="Cuadro de texto 3" o:spid="_x0000_s1027" type="#_x0000_t202" style="position:absolute;left:0;text-align:left;margin-left:13.65pt;margin-top:326.25pt;width:93pt;height:125.25pt;z-index:-25165414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Aczeao4AAAAAoBAAAPAAAAZHJz&#10;L2Rvd25yZXYueG1sTI/BTsMwDIbvSLxDZCQuiCVrWbeVphNCArEbDATXrPHaisQpSdaVtyec4Gj7&#10;0+/vrzaTNWxEH3pHEuYzAQypcbqnVsLb68P1CliIirQyjlDCNwbY1OdnlSq1O9ELjrvYshRCoVQS&#10;uhiHkvPQdGhVmLkBKd0OzlsV0+hbrr06pXBreCZEwa3qKX3o1ID3HTafu6OVsLp5Gj/CNn9+b4qD&#10;Wcer5fj45aW8vJjuboFFnOIfDL/6SR3q5LR3R9KBGQnZMk+khGKRLYAlIJvnabOXsBa5AF5X/H+F&#10;+gcAAP//AwBQSwECLQAUAAYACAAAACEAtoM4kv4AAADhAQAAEwAAAAAAAAAAAAAAAAAAAAAAW0Nv&#10;bnRlbnRfVHlwZXNdLnhtbFBLAQItABQABgAIAAAAIQA4/SH/1gAAAJQBAAALAAAAAAAAAAAAAAAA&#10;AC8BAABfcmVscy8ucmVsc1BLAQItABQABgAIAAAAIQBAEAkmMgIAAF8EAAAOAAAAAAAAAAAAAAAA&#10;AC4CAABkcnMvZTJvRG9jLnhtbFBLAQItABQABgAIAAAAIQAczeao4AAAAAoBAAAPAAAAAAAAAAAA&#10;AAAAAIwEAABkcnMvZG93bnJldi54bWxQSwUGAAAAAAQABADzAAAAmQUAAAAA&#10;">
              <v:textbox>
                <w:txbxContent>
                  <w:p w14:paraId="218C7730" w14:textId="77777777" w:rsidR="001531A0" w:rsidRPr="003B6E97" w:rsidRDefault="001531A0" w:rsidP="001531A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0288" behindDoc="0" locked="0" layoutInCell="1" allowOverlap="1" wp14:anchorId="30184BB9" wp14:editId="2F1DC2FD">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40E04" w14:textId="77777777" w:rsidR="00BD2E39" w:rsidRDefault="001531A0">
    <w:pPr>
      <w:pStyle w:val="Encabezado"/>
    </w:pPr>
    <w:r>
      <w:rPr>
        <w:noProof/>
        <w:lang w:eastAsia="es-MX"/>
      </w:rPr>
      <w:pict w14:anchorId="26D4BD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8BA"/>
    <w:rsid w:val="00037AFB"/>
    <w:rsid w:val="000400C0"/>
    <w:rsid w:val="00041042"/>
    <w:rsid w:val="000414D8"/>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0B95"/>
    <w:rsid w:val="0006273F"/>
    <w:rsid w:val="00062DC6"/>
    <w:rsid w:val="00066A1F"/>
    <w:rsid w:val="000679B2"/>
    <w:rsid w:val="00067DE1"/>
    <w:rsid w:val="00073453"/>
    <w:rsid w:val="00073DA8"/>
    <w:rsid w:val="000740B4"/>
    <w:rsid w:val="0007623E"/>
    <w:rsid w:val="00080379"/>
    <w:rsid w:val="0008431D"/>
    <w:rsid w:val="00084FF9"/>
    <w:rsid w:val="00085137"/>
    <w:rsid w:val="00085C5D"/>
    <w:rsid w:val="00086629"/>
    <w:rsid w:val="00087D42"/>
    <w:rsid w:val="0009037A"/>
    <w:rsid w:val="000920FC"/>
    <w:rsid w:val="00092B13"/>
    <w:rsid w:val="00094496"/>
    <w:rsid w:val="000971FD"/>
    <w:rsid w:val="000A1953"/>
    <w:rsid w:val="000A2772"/>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C6373"/>
    <w:rsid w:val="000D03A5"/>
    <w:rsid w:val="000D332F"/>
    <w:rsid w:val="000D6626"/>
    <w:rsid w:val="000D6D16"/>
    <w:rsid w:val="000D7002"/>
    <w:rsid w:val="000D7442"/>
    <w:rsid w:val="000E0164"/>
    <w:rsid w:val="000E2BE1"/>
    <w:rsid w:val="000E38C0"/>
    <w:rsid w:val="000E3B74"/>
    <w:rsid w:val="000E43FC"/>
    <w:rsid w:val="000E7B24"/>
    <w:rsid w:val="000F1F37"/>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31A0"/>
    <w:rsid w:val="00154068"/>
    <w:rsid w:val="00154BB8"/>
    <w:rsid w:val="00154E74"/>
    <w:rsid w:val="00160131"/>
    <w:rsid w:val="00160942"/>
    <w:rsid w:val="00160AF0"/>
    <w:rsid w:val="00162137"/>
    <w:rsid w:val="00162198"/>
    <w:rsid w:val="00163B6F"/>
    <w:rsid w:val="00164320"/>
    <w:rsid w:val="00164F5C"/>
    <w:rsid w:val="00164FAD"/>
    <w:rsid w:val="0016706C"/>
    <w:rsid w:val="001721C6"/>
    <w:rsid w:val="00172912"/>
    <w:rsid w:val="00173C5C"/>
    <w:rsid w:val="00174AD4"/>
    <w:rsid w:val="001770F1"/>
    <w:rsid w:val="001771FB"/>
    <w:rsid w:val="00182700"/>
    <w:rsid w:val="00184097"/>
    <w:rsid w:val="00184A54"/>
    <w:rsid w:val="00185A8C"/>
    <w:rsid w:val="001866CE"/>
    <w:rsid w:val="00187B21"/>
    <w:rsid w:val="0019193E"/>
    <w:rsid w:val="001950D6"/>
    <w:rsid w:val="00196D71"/>
    <w:rsid w:val="00197CCC"/>
    <w:rsid w:val="001A273D"/>
    <w:rsid w:val="001A2D0D"/>
    <w:rsid w:val="001A2E7B"/>
    <w:rsid w:val="001A3488"/>
    <w:rsid w:val="001A360C"/>
    <w:rsid w:val="001A420D"/>
    <w:rsid w:val="001A512A"/>
    <w:rsid w:val="001A7108"/>
    <w:rsid w:val="001A761C"/>
    <w:rsid w:val="001A7C13"/>
    <w:rsid w:val="001B0015"/>
    <w:rsid w:val="001B1D93"/>
    <w:rsid w:val="001B2CDC"/>
    <w:rsid w:val="001B31AA"/>
    <w:rsid w:val="001B3EDE"/>
    <w:rsid w:val="001B709F"/>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2019F1"/>
    <w:rsid w:val="002023B3"/>
    <w:rsid w:val="00204439"/>
    <w:rsid w:val="0020476C"/>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40E"/>
    <w:rsid w:val="00227673"/>
    <w:rsid w:val="00227B0E"/>
    <w:rsid w:val="00230C37"/>
    <w:rsid w:val="00231BB4"/>
    <w:rsid w:val="00236040"/>
    <w:rsid w:val="00237BFA"/>
    <w:rsid w:val="00242030"/>
    <w:rsid w:val="002428E1"/>
    <w:rsid w:val="00243840"/>
    <w:rsid w:val="00244832"/>
    <w:rsid w:val="0024563C"/>
    <w:rsid w:val="00245911"/>
    <w:rsid w:val="00245B7F"/>
    <w:rsid w:val="00247186"/>
    <w:rsid w:val="002476D8"/>
    <w:rsid w:val="002505F9"/>
    <w:rsid w:val="00250EDB"/>
    <w:rsid w:val="00251C7F"/>
    <w:rsid w:val="00256213"/>
    <w:rsid w:val="00260406"/>
    <w:rsid w:val="00261905"/>
    <w:rsid w:val="00264161"/>
    <w:rsid w:val="00264419"/>
    <w:rsid w:val="00266D60"/>
    <w:rsid w:val="002679C5"/>
    <w:rsid w:val="002723B8"/>
    <w:rsid w:val="00272998"/>
    <w:rsid w:val="00273025"/>
    <w:rsid w:val="00273681"/>
    <w:rsid w:val="0027404B"/>
    <w:rsid w:val="00274646"/>
    <w:rsid w:val="00274840"/>
    <w:rsid w:val="00275008"/>
    <w:rsid w:val="002777B4"/>
    <w:rsid w:val="00277BF9"/>
    <w:rsid w:val="00277F55"/>
    <w:rsid w:val="00280C38"/>
    <w:rsid w:val="00282C25"/>
    <w:rsid w:val="0028392C"/>
    <w:rsid w:val="00284F95"/>
    <w:rsid w:val="0028642F"/>
    <w:rsid w:val="00287C4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C53F6"/>
    <w:rsid w:val="002D0034"/>
    <w:rsid w:val="002D049B"/>
    <w:rsid w:val="002D0A58"/>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F02CC"/>
    <w:rsid w:val="002F0653"/>
    <w:rsid w:val="002F0DE0"/>
    <w:rsid w:val="002F173D"/>
    <w:rsid w:val="002F4152"/>
    <w:rsid w:val="002F510D"/>
    <w:rsid w:val="002F7E67"/>
    <w:rsid w:val="002F7E96"/>
    <w:rsid w:val="00300D5A"/>
    <w:rsid w:val="00307100"/>
    <w:rsid w:val="00310B88"/>
    <w:rsid w:val="00314069"/>
    <w:rsid w:val="00315E00"/>
    <w:rsid w:val="003171EB"/>
    <w:rsid w:val="00321363"/>
    <w:rsid w:val="0032191E"/>
    <w:rsid w:val="003232EF"/>
    <w:rsid w:val="00323A0D"/>
    <w:rsid w:val="00324531"/>
    <w:rsid w:val="0032672E"/>
    <w:rsid w:val="00327FE7"/>
    <w:rsid w:val="00331366"/>
    <w:rsid w:val="003328A1"/>
    <w:rsid w:val="00334280"/>
    <w:rsid w:val="003370E1"/>
    <w:rsid w:val="003416F3"/>
    <w:rsid w:val="0034172C"/>
    <w:rsid w:val="00342EAD"/>
    <w:rsid w:val="00343DE2"/>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6B9"/>
    <w:rsid w:val="003739C0"/>
    <w:rsid w:val="00374EFB"/>
    <w:rsid w:val="00374F50"/>
    <w:rsid w:val="0037509C"/>
    <w:rsid w:val="00375885"/>
    <w:rsid w:val="00375B6F"/>
    <w:rsid w:val="003763B0"/>
    <w:rsid w:val="0037685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19E0"/>
    <w:rsid w:val="003A257E"/>
    <w:rsid w:val="003A4548"/>
    <w:rsid w:val="003A5194"/>
    <w:rsid w:val="003A54A8"/>
    <w:rsid w:val="003A5730"/>
    <w:rsid w:val="003A6F4F"/>
    <w:rsid w:val="003A766C"/>
    <w:rsid w:val="003B1785"/>
    <w:rsid w:val="003B1E1B"/>
    <w:rsid w:val="003B24B8"/>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376A0"/>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8C5"/>
    <w:rsid w:val="00480C7E"/>
    <w:rsid w:val="00481558"/>
    <w:rsid w:val="00482137"/>
    <w:rsid w:val="004839B4"/>
    <w:rsid w:val="004847B0"/>
    <w:rsid w:val="00484921"/>
    <w:rsid w:val="00485500"/>
    <w:rsid w:val="0048552C"/>
    <w:rsid w:val="00485BB2"/>
    <w:rsid w:val="0048608F"/>
    <w:rsid w:val="00486AED"/>
    <w:rsid w:val="00493F4D"/>
    <w:rsid w:val="004943A0"/>
    <w:rsid w:val="004953B5"/>
    <w:rsid w:val="004953DE"/>
    <w:rsid w:val="004A0636"/>
    <w:rsid w:val="004A0969"/>
    <w:rsid w:val="004A0ACE"/>
    <w:rsid w:val="004A3624"/>
    <w:rsid w:val="004B074C"/>
    <w:rsid w:val="004B10FE"/>
    <w:rsid w:val="004B21D3"/>
    <w:rsid w:val="004B2EC4"/>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545C"/>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647"/>
    <w:rsid w:val="004E3EF3"/>
    <w:rsid w:val="004E42B9"/>
    <w:rsid w:val="004E4921"/>
    <w:rsid w:val="004E594A"/>
    <w:rsid w:val="004E6A61"/>
    <w:rsid w:val="004E6D38"/>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06B6F"/>
    <w:rsid w:val="005108C4"/>
    <w:rsid w:val="00510BB9"/>
    <w:rsid w:val="005129E0"/>
    <w:rsid w:val="00512B63"/>
    <w:rsid w:val="005133AB"/>
    <w:rsid w:val="0051390F"/>
    <w:rsid w:val="005221FE"/>
    <w:rsid w:val="00522A4F"/>
    <w:rsid w:val="00522C05"/>
    <w:rsid w:val="00523223"/>
    <w:rsid w:val="0052369A"/>
    <w:rsid w:val="00523A3B"/>
    <w:rsid w:val="00524366"/>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50E48"/>
    <w:rsid w:val="00553A79"/>
    <w:rsid w:val="00553A88"/>
    <w:rsid w:val="00555EC8"/>
    <w:rsid w:val="005650AD"/>
    <w:rsid w:val="0056582A"/>
    <w:rsid w:val="0056625C"/>
    <w:rsid w:val="00566511"/>
    <w:rsid w:val="00566E58"/>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95200"/>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34C0"/>
    <w:rsid w:val="005E583E"/>
    <w:rsid w:val="005E6B1F"/>
    <w:rsid w:val="005E720D"/>
    <w:rsid w:val="005E7791"/>
    <w:rsid w:val="005E788E"/>
    <w:rsid w:val="005F0498"/>
    <w:rsid w:val="005F0A49"/>
    <w:rsid w:val="005F4676"/>
    <w:rsid w:val="005F76E9"/>
    <w:rsid w:val="00602BEA"/>
    <w:rsid w:val="00604785"/>
    <w:rsid w:val="006050EC"/>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3918"/>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CC7"/>
    <w:rsid w:val="006525DD"/>
    <w:rsid w:val="006532EB"/>
    <w:rsid w:val="00653A69"/>
    <w:rsid w:val="0065458C"/>
    <w:rsid w:val="00655524"/>
    <w:rsid w:val="00657D60"/>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4F54"/>
    <w:rsid w:val="0067751D"/>
    <w:rsid w:val="00680A5D"/>
    <w:rsid w:val="00680F7D"/>
    <w:rsid w:val="00682104"/>
    <w:rsid w:val="006823F1"/>
    <w:rsid w:val="00685BA2"/>
    <w:rsid w:val="00686A51"/>
    <w:rsid w:val="00692FFF"/>
    <w:rsid w:val="00694E21"/>
    <w:rsid w:val="00694FBA"/>
    <w:rsid w:val="0069526B"/>
    <w:rsid w:val="0069780D"/>
    <w:rsid w:val="006A0B2E"/>
    <w:rsid w:val="006A11E3"/>
    <w:rsid w:val="006A1E8F"/>
    <w:rsid w:val="006A284E"/>
    <w:rsid w:val="006A28D2"/>
    <w:rsid w:val="006A3633"/>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89F"/>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07A54"/>
    <w:rsid w:val="0071474B"/>
    <w:rsid w:val="00714E8F"/>
    <w:rsid w:val="0071537A"/>
    <w:rsid w:val="007171A5"/>
    <w:rsid w:val="007173F1"/>
    <w:rsid w:val="007175DA"/>
    <w:rsid w:val="007200C8"/>
    <w:rsid w:val="00721EC8"/>
    <w:rsid w:val="00723430"/>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22E2"/>
    <w:rsid w:val="00783121"/>
    <w:rsid w:val="007846E5"/>
    <w:rsid w:val="0078531B"/>
    <w:rsid w:val="00785927"/>
    <w:rsid w:val="00786894"/>
    <w:rsid w:val="00786F18"/>
    <w:rsid w:val="00787149"/>
    <w:rsid w:val="00787C90"/>
    <w:rsid w:val="00794BFE"/>
    <w:rsid w:val="00794EA7"/>
    <w:rsid w:val="0079519F"/>
    <w:rsid w:val="0079545D"/>
    <w:rsid w:val="007A13A0"/>
    <w:rsid w:val="007A22EE"/>
    <w:rsid w:val="007A43ED"/>
    <w:rsid w:val="007A44BA"/>
    <w:rsid w:val="007A5119"/>
    <w:rsid w:val="007A5B5E"/>
    <w:rsid w:val="007A774E"/>
    <w:rsid w:val="007A7A48"/>
    <w:rsid w:val="007B26AA"/>
    <w:rsid w:val="007B3624"/>
    <w:rsid w:val="007B38E9"/>
    <w:rsid w:val="007B3EBE"/>
    <w:rsid w:val="007B4C91"/>
    <w:rsid w:val="007B4FFD"/>
    <w:rsid w:val="007B5518"/>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54D7"/>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66661"/>
    <w:rsid w:val="00875789"/>
    <w:rsid w:val="008840EE"/>
    <w:rsid w:val="008846DD"/>
    <w:rsid w:val="008848C8"/>
    <w:rsid w:val="00885691"/>
    <w:rsid w:val="00886378"/>
    <w:rsid w:val="00886688"/>
    <w:rsid w:val="00887DAD"/>
    <w:rsid w:val="00890C8B"/>
    <w:rsid w:val="008911C8"/>
    <w:rsid w:val="00896F1B"/>
    <w:rsid w:val="008973C3"/>
    <w:rsid w:val="008A027B"/>
    <w:rsid w:val="008A0B67"/>
    <w:rsid w:val="008A0DB8"/>
    <w:rsid w:val="008A27E3"/>
    <w:rsid w:val="008A4EBD"/>
    <w:rsid w:val="008A5038"/>
    <w:rsid w:val="008B1E07"/>
    <w:rsid w:val="008B481A"/>
    <w:rsid w:val="008B4928"/>
    <w:rsid w:val="008C0B7E"/>
    <w:rsid w:val="008C1225"/>
    <w:rsid w:val="008C2010"/>
    <w:rsid w:val="008C223B"/>
    <w:rsid w:val="008C5CBD"/>
    <w:rsid w:val="008C5FB8"/>
    <w:rsid w:val="008C6592"/>
    <w:rsid w:val="008C7219"/>
    <w:rsid w:val="008D17E8"/>
    <w:rsid w:val="008D2F2D"/>
    <w:rsid w:val="008D6A15"/>
    <w:rsid w:val="008E24B9"/>
    <w:rsid w:val="008E2F4C"/>
    <w:rsid w:val="008E3CC6"/>
    <w:rsid w:val="008E5B65"/>
    <w:rsid w:val="008E5D7B"/>
    <w:rsid w:val="008E656B"/>
    <w:rsid w:val="008E7CB5"/>
    <w:rsid w:val="008F0C04"/>
    <w:rsid w:val="008F3652"/>
    <w:rsid w:val="008F378D"/>
    <w:rsid w:val="008F4675"/>
    <w:rsid w:val="008F4EA9"/>
    <w:rsid w:val="008F5460"/>
    <w:rsid w:val="008F63A0"/>
    <w:rsid w:val="009001D8"/>
    <w:rsid w:val="00900837"/>
    <w:rsid w:val="00900CAE"/>
    <w:rsid w:val="0090118B"/>
    <w:rsid w:val="009015F9"/>
    <w:rsid w:val="00901822"/>
    <w:rsid w:val="00901ED2"/>
    <w:rsid w:val="00902C09"/>
    <w:rsid w:val="00902E2C"/>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6D2F"/>
    <w:rsid w:val="00926D54"/>
    <w:rsid w:val="0092754C"/>
    <w:rsid w:val="0093030F"/>
    <w:rsid w:val="00930BDF"/>
    <w:rsid w:val="0093147D"/>
    <w:rsid w:val="0093785B"/>
    <w:rsid w:val="00937EAC"/>
    <w:rsid w:val="009429C9"/>
    <w:rsid w:val="00944386"/>
    <w:rsid w:val="00944597"/>
    <w:rsid w:val="009461DB"/>
    <w:rsid w:val="009468AA"/>
    <w:rsid w:val="00947085"/>
    <w:rsid w:val="00952BBB"/>
    <w:rsid w:val="00952DA2"/>
    <w:rsid w:val="00953189"/>
    <w:rsid w:val="00956C6E"/>
    <w:rsid w:val="009575F5"/>
    <w:rsid w:val="00961528"/>
    <w:rsid w:val="00961A42"/>
    <w:rsid w:val="00961AB8"/>
    <w:rsid w:val="009652D6"/>
    <w:rsid w:val="00967EAE"/>
    <w:rsid w:val="0097185F"/>
    <w:rsid w:val="009755FD"/>
    <w:rsid w:val="00980029"/>
    <w:rsid w:val="009802A4"/>
    <w:rsid w:val="009836F2"/>
    <w:rsid w:val="009878B0"/>
    <w:rsid w:val="0099265D"/>
    <w:rsid w:val="00995775"/>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5D9C"/>
    <w:rsid w:val="009E7E15"/>
    <w:rsid w:val="009F006E"/>
    <w:rsid w:val="009F2123"/>
    <w:rsid w:val="009F3D2B"/>
    <w:rsid w:val="009F4899"/>
    <w:rsid w:val="009F5B0C"/>
    <w:rsid w:val="00A00586"/>
    <w:rsid w:val="00A00744"/>
    <w:rsid w:val="00A03414"/>
    <w:rsid w:val="00A045F3"/>
    <w:rsid w:val="00A049AD"/>
    <w:rsid w:val="00A057F6"/>
    <w:rsid w:val="00A068EB"/>
    <w:rsid w:val="00A13F37"/>
    <w:rsid w:val="00A154B0"/>
    <w:rsid w:val="00A16DB7"/>
    <w:rsid w:val="00A17ABB"/>
    <w:rsid w:val="00A206A3"/>
    <w:rsid w:val="00A2218D"/>
    <w:rsid w:val="00A24D9A"/>
    <w:rsid w:val="00A276A9"/>
    <w:rsid w:val="00A30D89"/>
    <w:rsid w:val="00A3104C"/>
    <w:rsid w:val="00A3160F"/>
    <w:rsid w:val="00A326E4"/>
    <w:rsid w:val="00A32B8A"/>
    <w:rsid w:val="00A3304C"/>
    <w:rsid w:val="00A357D2"/>
    <w:rsid w:val="00A371D5"/>
    <w:rsid w:val="00A377F9"/>
    <w:rsid w:val="00A37DF5"/>
    <w:rsid w:val="00A41D9F"/>
    <w:rsid w:val="00A43406"/>
    <w:rsid w:val="00A44239"/>
    <w:rsid w:val="00A4544A"/>
    <w:rsid w:val="00A45E03"/>
    <w:rsid w:val="00A465BE"/>
    <w:rsid w:val="00A47699"/>
    <w:rsid w:val="00A478B9"/>
    <w:rsid w:val="00A51258"/>
    <w:rsid w:val="00A521C9"/>
    <w:rsid w:val="00A52A8B"/>
    <w:rsid w:val="00A54C1E"/>
    <w:rsid w:val="00A56A2F"/>
    <w:rsid w:val="00A57E36"/>
    <w:rsid w:val="00A61142"/>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00E5"/>
    <w:rsid w:val="00A917BE"/>
    <w:rsid w:val="00A968B7"/>
    <w:rsid w:val="00A96E44"/>
    <w:rsid w:val="00A97BC6"/>
    <w:rsid w:val="00AA0710"/>
    <w:rsid w:val="00AA0DE5"/>
    <w:rsid w:val="00AA2D87"/>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D7FC5"/>
    <w:rsid w:val="00AE0255"/>
    <w:rsid w:val="00AE058A"/>
    <w:rsid w:val="00AE134C"/>
    <w:rsid w:val="00AE2300"/>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2B27"/>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B41"/>
    <w:rsid w:val="00B7407D"/>
    <w:rsid w:val="00B755B0"/>
    <w:rsid w:val="00B76724"/>
    <w:rsid w:val="00B77C3E"/>
    <w:rsid w:val="00B81686"/>
    <w:rsid w:val="00B81C77"/>
    <w:rsid w:val="00B86059"/>
    <w:rsid w:val="00B9140E"/>
    <w:rsid w:val="00B91B88"/>
    <w:rsid w:val="00B92449"/>
    <w:rsid w:val="00B937F5"/>
    <w:rsid w:val="00B94C99"/>
    <w:rsid w:val="00B96811"/>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B6EA8"/>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4B7"/>
    <w:rsid w:val="00BE3865"/>
    <w:rsid w:val="00BE52B6"/>
    <w:rsid w:val="00BE7135"/>
    <w:rsid w:val="00BF0E86"/>
    <w:rsid w:val="00BF1A88"/>
    <w:rsid w:val="00BF1B60"/>
    <w:rsid w:val="00BF2E0E"/>
    <w:rsid w:val="00BF76D7"/>
    <w:rsid w:val="00C006F9"/>
    <w:rsid w:val="00C011CA"/>
    <w:rsid w:val="00C04195"/>
    <w:rsid w:val="00C046EC"/>
    <w:rsid w:val="00C049F6"/>
    <w:rsid w:val="00C057DF"/>
    <w:rsid w:val="00C070B3"/>
    <w:rsid w:val="00C1368C"/>
    <w:rsid w:val="00C13B09"/>
    <w:rsid w:val="00C13FB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0D1"/>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2F36"/>
    <w:rsid w:val="00C84412"/>
    <w:rsid w:val="00C84F09"/>
    <w:rsid w:val="00C86601"/>
    <w:rsid w:val="00C86A96"/>
    <w:rsid w:val="00C876BE"/>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380B"/>
    <w:rsid w:val="00D14D1C"/>
    <w:rsid w:val="00D14FD7"/>
    <w:rsid w:val="00D208EE"/>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7F35"/>
    <w:rsid w:val="00D714AE"/>
    <w:rsid w:val="00D7617B"/>
    <w:rsid w:val="00D80489"/>
    <w:rsid w:val="00D8282E"/>
    <w:rsid w:val="00D841BC"/>
    <w:rsid w:val="00D84AF9"/>
    <w:rsid w:val="00D869D1"/>
    <w:rsid w:val="00D8770B"/>
    <w:rsid w:val="00D91179"/>
    <w:rsid w:val="00D925FE"/>
    <w:rsid w:val="00DA253C"/>
    <w:rsid w:val="00DA2D58"/>
    <w:rsid w:val="00DA2E36"/>
    <w:rsid w:val="00DA2E75"/>
    <w:rsid w:val="00DA5796"/>
    <w:rsid w:val="00DB142A"/>
    <w:rsid w:val="00DB42D5"/>
    <w:rsid w:val="00DB5795"/>
    <w:rsid w:val="00DB693D"/>
    <w:rsid w:val="00DC0E04"/>
    <w:rsid w:val="00DC0F1E"/>
    <w:rsid w:val="00DC104E"/>
    <w:rsid w:val="00DC1120"/>
    <w:rsid w:val="00DC14DE"/>
    <w:rsid w:val="00DC18DF"/>
    <w:rsid w:val="00DC247F"/>
    <w:rsid w:val="00DC24B5"/>
    <w:rsid w:val="00DC5E0C"/>
    <w:rsid w:val="00DD217B"/>
    <w:rsid w:val="00DD3263"/>
    <w:rsid w:val="00DD39C2"/>
    <w:rsid w:val="00DD6535"/>
    <w:rsid w:val="00DD7775"/>
    <w:rsid w:val="00DD7B94"/>
    <w:rsid w:val="00DE04F5"/>
    <w:rsid w:val="00DE2AAD"/>
    <w:rsid w:val="00DE3267"/>
    <w:rsid w:val="00DE45DF"/>
    <w:rsid w:val="00DE4BFA"/>
    <w:rsid w:val="00DE676E"/>
    <w:rsid w:val="00DE719E"/>
    <w:rsid w:val="00DE78F9"/>
    <w:rsid w:val="00DF0B70"/>
    <w:rsid w:val="00DF0C7E"/>
    <w:rsid w:val="00DF1654"/>
    <w:rsid w:val="00DF4249"/>
    <w:rsid w:val="00DF431D"/>
    <w:rsid w:val="00DF4A65"/>
    <w:rsid w:val="00DF4FFD"/>
    <w:rsid w:val="00DF5113"/>
    <w:rsid w:val="00DF596A"/>
    <w:rsid w:val="00DF5F35"/>
    <w:rsid w:val="00DF61BB"/>
    <w:rsid w:val="00DF7C84"/>
    <w:rsid w:val="00E0209C"/>
    <w:rsid w:val="00E059FB"/>
    <w:rsid w:val="00E05E49"/>
    <w:rsid w:val="00E07258"/>
    <w:rsid w:val="00E1331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373E3"/>
    <w:rsid w:val="00E4005F"/>
    <w:rsid w:val="00E4193B"/>
    <w:rsid w:val="00E440D4"/>
    <w:rsid w:val="00E445FA"/>
    <w:rsid w:val="00E44860"/>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5677"/>
    <w:rsid w:val="00E764E3"/>
    <w:rsid w:val="00E76510"/>
    <w:rsid w:val="00E77D22"/>
    <w:rsid w:val="00E81789"/>
    <w:rsid w:val="00E819BC"/>
    <w:rsid w:val="00E83AFF"/>
    <w:rsid w:val="00E8462D"/>
    <w:rsid w:val="00E84B53"/>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74F"/>
    <w:rsid w:val="00EF0DD2"/>
    <w:rsid w:val="00EF0E36"/>
    <w:rsid w:val="00EF36ED"/>
    <w:rsid w:val="00EF77C0"/>
    <w:rsid w:val="00EF7A16"/>
    <w:rsid w:val="00EF7E28"/>
    <w:rsid w:val="00F006C8"/>
    <w:rsid w:val="00F0095B"/>
    <w:rsid w:val="00F00D08"/>
    <w:rsid w:val="00F015A6"/>
    <w:rsid w:val="00F03C2B"/>
    <w:rsid w:val="00F05A92"/>
    <w:rsid w:val="00F1204A"/>
    <w:rsid w:val="00F1260F"/>
    <w:rsid w:val="00F13121"/>
    <w:rsid w:val="00F133A3"/>
    <w:rsid w:val="00F13EC9"/>
    <w:rsid w:val="00F14EC5"/>
    <w:rsid w:val="00F15699"/>
    <w:rsid w:val="00F2100B"/>
    <w:rsid w:val="00F21161"/>
    <w:rsid w:val="00F2234C"/>
    <w:rsid w:val="00F228AA"/>
    <w:rsid w:val="00F22EB8"/>
    <w:rsid w:val="00F24188"/>
    <w:rsid w:val="00F24B6D"/>
    <w:rsid w:val="00F251E2"/>
    <w:rsid w:val="00F259C1"/>
    <w:rsid w:val="00F25B5E"/>
    <w:rsid w:val="00F263D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1622"/>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1928"/>
    <w:rsid w:val="00FA2DA3"/>
    <w:rsid w:val="00FA2DE8"/>
    <w:rsid w:val="00FA6AE7"/>
    <w:rsid w:val="00FB7682"/>
    <w:rsid w:val="00FC10E9"/>
    <w:rsid w:val="00FC3F22"/>
    <w:rsid w:val="00FC45EE"/>
    <w:rsid w:val="00FC47E6"/>
    <w:rsid w:val="00FC4939"/>
    <w:rsid w:val="00FC4C77"/>
    <w:rsid w:val="00FC4F6A"/>
    <w:rsid w:val="00FC6458"/>
    <w:rsid w:val="00FD26EE"/>
    <w:rsid w:val="00FD339D"/>
    <w:rsid w:val="00FD3894"/>
    <w:rsid w:val="00FD6A8A"/>
    <w:rsid w:val="00FD78DB"/>
    <w:rsid w:val="00FD79EC"/>
    <w:rsid w:val="00FE00C8"/>
    <w:rsid w:val="00FE2437"/>
    <w:rsid w:val="00FE4585"/>
    <w:rsid w:val="00FE4939"/>
    <w:rsid w:val="00FE652D"/>
    <w:rsid w:val="00FE673E"/>
    <w:rsid w:val="00FE6C9A"/>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4E558D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4195A-9148-4DDC-9B3B-D93328BE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5303</Words>
  <Characters>29169</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40</cp:revision>
  <cp:lastPrinted>2021-04-29T17:05:00Z</cp:lastPrinted>
  <dcterms:created xsi:type="dcterms:W3CDTF">2021-05-28T15:47:00Z</dcterms:created>
  <dcterms:modified xsi:type="dcterms:W3CDTF">2021-10-05T19:24:00Z</dcterms:modified>
</cp:coreProperties>
</file>