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1B8FBB" w14:textId="67F55FE1" w:rsidR="00A00B34" w:rsidRDefault="000802F9" w:rsidP="003F6283">
      <w:pPr>
        <w:spacing w:line="360" w:lineRule="auto"/>
        <w:jc w:val="both"/>
        <w:rPr>
          <w:rFonts w:ascii="Arial" w:hAnsi="Arial" w:cs="Arial"/>
          <w:b/>
          <w:sz w:val="24"/>
          <w:szCs w:val="24"/>
        </w:rPr>
      </w:pPr>
      <w:r w:rsidRPr="000F1C72">
        <w:rPr>
          <w:rFonts w:ascii="Arial" w:hAnsi="Arial" w:cs="Arial"/>
          <w:b/>
          <w:sz w:val="24"/>
          <w:szCs w:val="24"/>
        </w:rPr>
        <w:t>OAXACA DE JUÁREZ, OAXACA</w:t>
      </w:r>
      <w:r w:rsidR="00B42A87">
        <w:rPr>
          <w:rFonts w:ascii="Arial" w:hAnsi="Arial" w:cs="Arial"/>
          <w:b/>
          <w:sz w:val="24"/>
          <w:szCs w:val="24"/>
        </w:rPr>
        <w:t>,</w:t>
      </w:r>
      <w:r w:rsidRPr="000F1C72">
        <w:rPr>
          <w:rFonts w:ascii="Arial" w:hAnsi="Arial" w:cs="Arial"/>
          <w:b/>
          <w:sz w:val="24"/>
          <w:szCs w:val="24"/>
        </w:rPr>
        <w:t xml:space="preserve"> A</w:t>
      </w:r>
      <w:r w:rsidR="003F6283">
        <w:rPr>
          <w:rFonts w:ascii="Arial" w:hAnsi="Arial" w:cs="Arial"/>
          <w:b/>
          <w:sz w:val="24"/>
          <w:szCs w:val="24"/>
        </w:rPr>
        <w:t xml:space="preserve"> </w:t>
      </w:r>
      <w:r w:rsidR="007B27C4">
        <w:rPr>
          <w:rFonts w:ascii="Arial" w:hAnsi="Arial" w:cs="Arial"/>
          <w:b/>
          <w:sz w:val="24"/>
          <w:szCs w:val="24"/>
        </w:rPr>
        <w:t>DOCE</w:t>
      </w:r>
      <w:r w:rsidR="003F6283">
        <w:rPr>
          <w:rFonts w:ascii="Arial" w:hAnsi="Arial" w:cs="Arial"/>
          <w:b/>
          <w:sz w:val="24"/>
          <w:szCs w:val="24"/>
        </w:rPr>
        <w:t xml:space="preserve"> DE </w:t>
      </w:r>
      <w:r w:rsidR="00237110">
        <w:rPr>
          <w:rFonts w:ascii="Arial" w:hAnsi="Arial" w:cs="Arial"/>
          <w:b/>
          <w:sz w:val="24"/>
          <w:szCs w:val="24"/>
        </w:rPr>
        <w:t>JU</w:t>
      </w:r>
      <w:r w:rsidR="00D44C45">
        <w:rPr>
          <w:rFonts w:ascii="Arial" w:hAnsi="Arial" w:cs="Arial"/>
          <w:b/>
          <w:sz w:val="24"/>
          <w:szCs w:val="24"/>
        </w:rPr>
        <w:t>L</w:t>
      </w:r>
      <w:r w:rsidR="00237110">
        <w:rPr>
          <w:rFonts w:ascii="Arial" w:hAnsi="Arial" w:cs="Arial"/>
          <w:b/>
          <w:sz w:val="24"/>
          <w:szCs w:val="24"/>
        </w:rPr>
        <w:t>IO</w:t>
      </w:r>
      <w:r w:rsidR="003F6283">
        <w:rPr>
          <w:rFonts w:ascii="Arial" w:hAnsi="Arial" w:cs="Arial"/>
          <w:b/>
          <w:sz w:val="24"/>
          <w:szCs w:val="24"/>
        </w:rPr>
        <w:t xml:space="preserve"> DE DOS MIL </w:t>
      </w:r>
      <w:r w:rsidR="00237110">
        <w:rPr>
          <w:rFonts w:ascii="Arial" w:hAnsi="Arial" w:cs="Arial"/>
          <w:b/>
          <w:sz w:val="24"/>
          <w:szCs w:val="24"/>
        </w:rPr>
        <w:t xml:space="preserve">VEINTIUNO. </w:t>
      </w:r>
    </w:p>
    <w:p w14:paraId="1F65BD92" w14:textId="5C645F26" w:rsidR="0043085C" w:rsidRPr="00237110" w:rsidRDefault="000802F9" w:rsidP="00237110">
      <w:pPr>
        <w:pStyle w:val="Sinespaciado"/>
        <w:spacing w:after="240" w:line="360" w:lineRule="auto"/>
        <w:ind w:firstLine="709"/>
        <w:jc w:val="both"/>
        <w:rPr>
          <w:rFonts w:ascii="Arial" w:eastAsia="Times New Roman" w:hAnsi="Arial" w:cs="Arial"/>
          <w:bCs/>
          <w:iCs/>
          <w:kern w:val="2"/>
          <w:sz w:val="24"/>
          <w:szCs w:val="24"/>
          <w:lang w:val="es-ES_tradnl" w:eastAsia="es-ES"/>
        </w:rPr>
      </w:pPr>
      <w:r w:rsidRPr="00BA5665">
        <w:rPr>
          <w:rFonts w:ascii="Arial" w:hAnsi="Arial" w:cs="Arial"/>
          <w:b/>
          <w:sz w:val="24"/>
          <w:szCs w:val="24"/>
          <w:lang w:eastAsia="es-ES"/>
        </w:rPr>
        <w:t>VISTOS</w:t>
      </w:r>
      <w:r w:rsidRPr="009E202F">
        <w:rPr>
          <w:rFonts w:ascii="Arial" w:hAnsi="Arial" w:cs="Arial"/>
          <w:sz w:val="24"/>
          <w:szCs w:val="24"/>
          <w:lang w:eastAsia="es-ES"/>
        </w:rPr>
        <w:t xml:space="preserve">, para resolver los autos del juicio de nulidad número </w:t>
      </w:r>
      <w:r w:rsidR="00D96257">
        <w:rPr>
          <w:rFonts w:ascii="Arial" w:hAnsi="Arial" w:cs="Arial"/>
          <w:b/>
          <w:sz w:val="24"/>
          <w:szCs w:val="24"/>
          <w:lang w:eastAsia="es-ES"/>
        </w:rPr>
        <w:t>0</w:t>
      </w:r>
      <w:r w:rsidR="00A00B34">
        <w:rPr>
          <w:rFonts w:ascii="Arial" w:hAnsi="Arial" w:cs="Arial"/>
          <w:b/>
          <w:sz w:val="24"/>
          <w:szCs w:val="24"/>
          <w:lang w:eastAsia="es-ES"/>
        </w:rPr>
        <w:t>0</w:t>
      </w:r>
      <w:r w:rsidR="00237110">
        <w:rPr>
          <w:rFonts w:ascii="Arial" w:hAnsi="Arial" w:cs="Arial"/>
          <w:b/>
          <w:sz w:val="24"/>
          <w:szCs w:val="24"/>
          <w:lang w:eastAsia="es-ES"/>
        </w:rPr>
        <w:t>29</w:t>
      </w:r>
      <w:r w:rsidR="001E294D">
        <w:rPr>
          <w:rFonts w:ascii="Arial" w:hAnsi="Arial" w:cs="Arial"/>
          <w:b/>
          <w:sz w:val="24"/>
          <w:szCs w:val="24"/>
          <w:lang w:eastAsia="es-ES"/>
        </w:rPr>
        <w:t>/20</w:t>
      </w:r>
      <w:r w:rsidR="00237110">
        <w:rPr>
          <w:rFonts w:ascii="Arial" w:hAnsi="Arial" w:cs="Arial"/>
          <w:b/>
          <w:sz w:val="24"/>
          <w:szCs w:val="24"/>
          <w:lang w:eastAsia="es-ES"/>
        </w:rPr>
        <w:t>19</w:t>
      </w:r>
      <w:r w:rsidRPr="009E202F">
        <w:rPr>
          <w:rFonts w:ascii="Arial" w:hAnsi="Arial" w:cs="Arial"/>
          <w:sz w:val="24"/>
          <w:szCs w:val="24"/>
          <w:lang w:eastAsia="es-ES"/>
        </w:rPr>
        <w:t>, promovido por</w:t>
      </w:r>
      <w:r w:rsidR="00555555">
        <w:rPr>
          <w:rFonts w:ascii="Arial" w:hAnsi="Arial" w:cs="Arial"/>
          <w:sz w:val="24"/>
          <w:szCs w:val="24"/>
          <w:lang w:eastAsia="es-ES"/>
        </w:rPr>
        <w:t xml:space="preserve"> </w:t>
      </w:r>
      <w:r w:rsidR="00BA12F1">
        <w:rPr>
          <w:rFonts w:ascii="Arial" w:hAnsi="Arial" w:cs="Arial"/>
          <w:b/>
          <w:sz w:val="24"/>
          <w:szCs w:val="24"/>
          <w:lang w:eastAsia="es-ES"/>
        </w:rPr>
        <w:t>**********</w:t>
      </w:r>
      <w:r w:rsidR="00A00B34">
        <w:rPr>
          <w:rFonts w:ascii="Arial" w:hAnsi="Arial" w:cs="Arial"/>
          <w:b/>
          <w:sz w:val="24"/>
          <w:szCs w:val="24"/>
          <w:lang w:eastAsia="es-ES"/>
        </w:rPr>
        <w:t xml:space="preserve"> </w:t>
      </w:r>
      <w:r w:rsidR="00D96257">
        <w:rPr>
          <w:rFonts w:ascii="Arial" w:eastAsia="Times New Roman" w:hAnsi="Arial" w:cs="Arial"/>
          <w:bCs/>
          <w:iCs/>
          <w:kern w:val="2"/>
          <w:sz w:val="24"/>
          <w:szCs w:val="24"/>
          <w:lang w:val="es-ES_tradnl" w:eastAsia="es-ES"/>
        </w:rPr>
        <w:t xml:space="preserve">en contra </w:t>
      </w:r>
      <w:r w:rsidR="00237110">
        <w:rPr>
          <w:rFonts w:ascii="Arial" w:eastAsia="Times New Roman" w:hAnsi="Arial" w:cs="Arial"/>
          <w:bCs/>
          <w:iCs/>
          <w:kern w:val="2"/>
          <w:sz w:val="24"/>
          <w:szCs w:val="24"/>
          <w:lang w:val="es-ES_tradnl" w:eastAsia="es-ES"/>
        </w:rPr>
        <w:t xml:space="preserve">del contenido del oficio número </w:t>
      </w:r>
      <w:r w:rsidR="00BA12F1">
        <w:rPr>
          <w:rFonts w:ascii="Arial" w:hAnsi="Arial" w:cs="Arial"/>
          <w:b/>
          <w:sz w:val="24"/>
          <w:szCs w:val="24"/>
          <w:lang w:eastAsia="es-ES"/>
        </w:rPr>
        <w:t>**********</w:t>
      </w:r>
      <w:r w:rsidR="00237110">
        <w:rPr>
          <w:rFonts w:ascii="Arial" w:eastAsia="Times New Roman" w:hAnsi="Arial" w:cs="Arial"/>
          <w:bCs/>
          <w:iCs/>
          <w:kern w:val="2"/>
          <w:sz w:val="24"/>
          <w:szCs w:val="24"/>
          <w:lang w:val="es-ES_tradnl" w:eastAsia="es-ES"/>
        </w:rPr>
        <w:t xml:space="preserve">, de dieciocho de febrero de dos mil dos mil diecinueve, dictada por </w:t>
      </w:r>
      <w:r w:rsidR="0043085C">
        <w:rPr>
          <w:rFonts w:ascii="Arial" w:hAnsi="Arial" w:cs="Arial"/>
          <w:sz w:val="24"/>
          <w:szCs w:val="24"/>
        </w:rPr>
        <w:t xml:space="preserve">el </w:t>
      </w:r>
      <w:r w:rsidR="00237110">
        <w:rPr>
          <w:rFonts w:ascii="Arial" w:hAnsi="Arial" w:cs="Arial"/>
          <w:b/>
          <w:bCs/>
          <w:sz w:val="24"/>
          <w:szCs w:val="24"/>
        </w:rPr>
        <w:t xml:space="preserve">OFICIAL MAYOR DE LA </w:t>
      </w:r>
      <w:r w:rsidR="000E0AFC" w:rsidRPr="000E0AFC">
        <w:rPr>
          <w:rFonts w:ascii="Arial" w:hAnsi="Arial" w:cs="Arial"/>
          <w:b/>
          <w:sz w:val="24"/>
          <w:szCs w:val="24"/>
        </w:rPr>
        <w:t>FISCAL GENERAL DEL ESTADO DE OAXACA</w:t>
      </w:r>
      <w:r w:rsidR="0043085C">
        <w:rPr>
          <w:rFonts w:ascii="Arial" w:hAnsi="Arial" w:cs="Arial"/>
          <w:sz w:val="24"/>
          <w:szCs w:val="24"/>
        </w:rPr>
        <w:t xml:space="preserve">, y; - - - - - - - - - - - </w:t>
      </w:r>
    </w:p>
    <w:p w14:paraId="1D264C34" w14:textId="77777777" w:rsidR="000802F9" w:rsidRDefault="000802F9" w:rsidP="000802F9">
      <w:pPr>
        <w:widowControl w:val="0"/>
        <w:spacing w:line="360" w:lineRule="auto"/>
        <w:ind w:right="51"/>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14:paraId="43A5A2B7" w14:textId="0E4E5E51" w:rsidR="0040264A" w:rsidRPr="0040264A" w:rsidRDefault="000802F9" w:rsidP="0040264A">
      <w:pPr>
        <w:spacing w:line="360" w:lineRule="auto"/>
        <w:ind w:right="51"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 w:eastAsia="es-ES"/>
        </w:rPr>
        <w:t xml:space="preserve">PRIMERO. </w:t>
      </w:r>
      <w:r w:rsidR="00D96257">
        <w:rPr>
          <w:rFonts w:ascii="Arial" w:eastAsia="Times New Roman" w:hAnsi="Arial" w:cs="Arial"/>
          <w:sz w:val="24"/>
          <w:szCs w:val="24"/>
          <w:lang w:val="es-ES" w:eastAsia="es-ES"/>
        </w:rPr>
        <w:t xml:space="preserve">Por auto de </w:t>
      </w:r>
      <w:r w:rsidR="00B9138B">
        <w:rPr>
          <w:rFonts w:ascii="Arial" w:eastAsia="Times New Roman" w:hAnsi="Arial" w:cs="Arial"/>
          <w:sz w:val="24"/>
          <w:szCs w:val="24"/>
          <w:lang w:val="es-ES" w:eastAsia="es-ES"/>
        </w:rPr>
        <w:t>cuatro de abril de dos mil diecinueve</w:t>
      </w:r>
      <w:r w:rsidR="0043085C">
        <w:rPr>
          <w:rFonts w:ascii="Arial" w:eastAsia="Times New Roman" w:hAnsi="Arial" w:cs="Arial"/>
          <w:sz w:val="24"/>
          <w:szCs w:val="24"/>
          <w:lang w:val="es-ES" w:eastAsia="es-ES"/>
        </w:rPr>
        <w:t xml:space="preserve">, </w:t>
      </w:r>
      <w:r w:rsidR="007664FA" w:rsidRPr="004A05A4">
        <w:rPr>
          <w:rFonts w:ascii="Arial" w:eastAsia="Times New Roman" w:hAnsi="Arial" w:cs="Arial"/>
          <w:b/>
          <w:sz w:val="24"/>
          <w:szCs w:val="24"/>
          <w:lang w:val="es-ES" w:eastAsia="es-ES"/>
        </w:rPr>
        <w:t>se admitió</w:t>
      </w:r>
      <w:r w:rsidR="007664FA" w:rsidRPr="000F1C72">
        <w:rPr>
          <w:rFonts w:ascii="Arial" w:eastAsia="Times New Roman" w:hAnsi="Arial" w:cs="Arial"/>
          <w:b/>
          <w:sz w:val="24"/>
          <w:szCs w:val="24"/>
          <w:lang w:val="es-ES" w:eastAsia="es-ES"/>
        </w:rPr>
        <w:t xml:space="preserve"> a trámite la demanda</w:t>
      </w:r>
      <w:r w:rsidR="007664FA">
        <w:rPr>
          <w:rFonts w:ascii="Arial" w:eastAsia="Times New Roman" w:hAnsi="Arial" w:cs="Arial"/>
          <w:b/>
          <w:sz w:val="24"/>
          <w:szCs w:val="24"/>
          <w:lang w:val="es-ES" w:eastAsia="es-ES"/>
        </w:rPr>
        <w:t xml:space="preserve"> de nulidad</w:t>
      </w:r>
      <w:r w:rsidR="008D48DF">
        <w:rPr>
          <w:rFonts w:ascii="Arial" w:eastAsia="Times New Roman" w:hAnsi="Arial" w:cs="Arial"/>
          <w:b/>
          <w:sz w:val="24"/>
          <w:szCs w:val="24"/>
          <w:lang w:val="es-ES" w:eastAsia="es-ES"/>
        </w:rPr>
        <w:t xml:space="preserve"> </w:t>
      </w:r>
      <w:r w:rsidR="008D48DF">
        <w:rPr>
          <w:rFonts w:ascii="Arial" w:eastAsia="Times New Roman" w:hAnsi="Arial" w:cs="Arial"/>
          <w:bCs/>
          <w:sz w:val="24"/>
          <w:szCs w:val="24"/>
          <w:lang w:val="es-ES" w:eastAsia="es-ES"/>
        </w:rPr>
        <w:t>del actor,</w:t>
      </w:r>
      <w:r w:rsidR="007664FA" w:rsidRPr="000F1C72">
        <w:rPr>
          <w:rFonts w:ascii="Arial" w:eastAsia="Times New Roman" w:hAnsi="Arial" w:cs="Arial"/>
          <w:sz w:val="24"/>
          <w:szCs w:val="24"/>
          <w:lang w:val="es-ES" w:eastAsia="es-ES"/>
        </w:rPr>
        <w:t xml:space="preserve"> ordenándose </w:t>
      </w:r>
      <w:r w:rsidR="007664FA" w:rsidRPr="000F1C72">
        <w:rPr>
          <w:rFonts w:ascii="Arial" w:eastAsia="Times New Roman" w:hAnsi="Arial" w:cs="Arial"/>
          <w:sz w:val="24"/>
          <w:szCs w:val="24"/>
          <w:lang w:val="es-ES_tradnl" w:eastAsia="es-ES"/>
        </w:rPr>
        <w:t xml:space="preserve">notificar, emplazar y correr traslado a la </w:t>
      </w:r>
      <w:r w:rsidR="007664FA">
        <w:rPr>
          <w:rFonts w:ascii="Arial" w:eastAsia="Times New Roman" w:hAnsi="Arial" w:cs="Arial"/>
          <w:b/>
          <w:sz w:val="24"/>
          <w:szCs w:val="24"/>
          <w:lang w:val="es-ES_tradnl" w:eastAsia="es-ES"/>
        </w:rPr>
        <w:t>autoridad demandada</w:t>
      </w:r>
      <w:r w:rsidR="00022A3D">
        <w:rPr>
          <w:rFonts w:ascii="Arial" w:eastAsia="Times New Roman" w:hAnsi="Arial" w:cs="Arial"/>
          <w:b/>
          <w:sz w:val="24"/>
          <w:szCs w:val="24"/>
          <w:lang w:val="es-ES_tradnl" w:eastAsia="es-ES"/>
        </w:rPr>
        <w:t>,</w:t>
      </w:r>
      <w:r w:rsidR="007664FA">
        <w:rPr>
          <w:rFonts w:ascii="Arial" w:eastAsia="Times New Roman" w:hAnsi="Arial" w:cs="Arial"/>
          <w:b/>
          <w:sz w:val="24"/>
          <w:szCs w:val="24"/>
          <w:lang w:val="es-ES_tradnl" w:eastAsia="es-ES"/>
        </w:rPr>
        <w:t xml:space="preserve"> </w:t>
      </w:r>
      <w:r w:rsidR="007664FA" w:rsidRPr="000F1C72">
        <w:rPr>
          <w:rFonts w:ascii="Arial" w:eastAsia="Times New Roman" w:hAnsi="Arial" w:cs="Arial"/>
          <w:sz w:val="24"/>
          <w:szCs w:val="24"/>
          <w:lang w:val="es-ES_tradnl" w:eastAsia="es-ES"/>
        </w:rPr>
        <w:t xml:space="preserve">para que dentro del término de ley la contestara; </w:t>
      </w:r>
      <w:r w:rsidR="007664FA">
        <w:rPr>
          <w:rFonts w:ascii="Arial" w:eastAsia="Times New Roman" w:hAnsi="Arial" w:cs="Arial"/>
          <w:sz w:val="24"/>
          <w:szCs w:val="24"/>
          <w:lang w:val="es-ES_tradnl" w:eastAsia="es-ES"/>
        </w:rPr>
        <w:t xml:space="preserve">apercibida </w:t>
      </w:r>
      <w:r w:rsidR="007664FA" w:rsidRPr="000F1C72">
        <w:rPr>
          <w:rFonts w:ascii="Arial" w:eastAsia="Times New Roman" w:hAnsi="Arial" w:cs="Arial"/>
          <w:sz w:val="24"/>
          <w:szCs w:val="24"/>
          <w:lang w:val="es-ES_tradnl" w:eastAsia="es-ES"/>
        </w:rPr>
        <w:t>que para</w:t>
      </w:r>
      <w:r w:rsidR="007664FA">
        <w:rPr>
          <w:rFonts w:ascii="Arial" w:eastAsia="Times New Roman" w:hAnsi="Arial" w:cs="Arial"/>
          <w:sz w:val="24"/>
          <w:szCs w:val="24"/>
          <w:lang w:val="es-ES_tradnl" w:eastAsia="es-ES"/>
        </w:rPr>
        <w:t xml:space="preserve"> el caso de no hacerlo se </w:t>
      </w:r>
      <w:r w:rsidR="009B3734">
        <w:rPr>
          <w:rFonts w:ascii="Arial" w:eastAsia="Times New Roman" w:hAnsi="Arial" w:cs="Arial"/>
          <w:sz w:val="24"/>
          <w:szCs w:val="24"/>
          <w:lang w:val="es-ES_tradnl" w:eastAsia="es-ES"/>
        </w:rPr>
        <w:t xml:space="preserve">le </w:t>
      </w:r>
      <w:r w:rsidR="007664FA" w:rsidRPr="000F1C72">
        <w:rPr>
          <w:rFonts w:ascii="Arial" w:eastAsia="Times New Roman" w:hAnsi="Arial" w:cs="Arial"/>
          <w:sz w:val="24"/>
          <w:szCs w:val="24"/>
          <w:lang w:val="es-ES_tradnl" w:eastAsia="es-ES"/>
        </w:rPr>
        <w:t xml:space="preserve">tendría </w:t>
      </w:r>
      <w:r w:rsidR="007664FA">
        <w:rPr>
          <w:rFonts w:ascii="Arial" w:eastAsia="Times New Roman" w:hAnsi="Arial" w:cs="Arial"/>
          <w:sz w:val="24"/>
          <w:szCs w:val="24"/>
          <w:lang w:val="es-ES_tradnl" w:eastAsia="es-ES"/>
        </w:rPr>
        <w:t xml:space="preserve">por </w:t>
      </w:r>
      <w:r w:rsidR="00CD56FE" w:rsidRPr="000F1C72">
        <w:rPr>
          <w:rFonts w:ascii="Arial" w:eastAsia="Times New Roman" w:hAnsi="Arial" w:cs="Arial"/>
          <w:sz w:val="24"/>
          <w:szCs w:val="24"/>
          <w:lang w:val="es-ES_tradnl" w:eastAsia="es-ES"/>
        </w:rPr>
        <w:t>precluido</w:t>
      </w:r>
      <w:r w:rsidR="007664FA" w:rsidRPr="000F1C72">
        <w:rPr>
          <w:rFonts w:ascii="Arial" w:eastAsia="Times New Roman" w:hAnsi="Arial" w:cs="Arial"/>
          <w:sz w:val="24"/>
          <w:szCs w:val="24"/>
          <w:lang w:val="es-ES_tradnl" w:eastAsia="es-ES"/>
        </w:rPr>
        <w:t xml:space="preserve"> su derecho y por contestada la demanda en sentido afirma</w:t>
      </w:r>
      <w:r w:rsidR="007664FA">
        <w:rPr>
          <w:rFonts w:ascii="Arial" w:eastAsia="Times New Roman" w:hAnsi="Arial" w:cs="Arial"/>
          <w:sz w:val="24"/>
          <w:szCs w:val="24"/>
          <w:lang w:val="es-ES_tradnl" w:eastAsia="es-ES"/>
        </w:rPr>
        <w:t>tivo, salvo prueba en contrario</w:t>
      </w:r>
      <w:r w:rsidR="00DE5543">
        <w:rPr>
          <w:rFonts w:ascii="Arial" w:eastAsia="Times New Roman" w:hAnsi="Arial" w:cs="Arial"/>
          <w:sz w:val="24"/>
          <w:szCs w:val="24"/>
          <w:lang w:val="es-ES_tradnl" w:eastAsia="es-ES"/>
        </w:rPr>
        <w:t xml:space="preserve">, </w:t>
      </w:r>
      <w:r w:rsidR="007664FA">
        <w:rPr>
          <w:rFonts w:ascii="Arial" w:eastAsia="Times New Roman" w:hAnsi="Arial" w:cs="Arial"/>
          <w:sz w:val="24"/>
          <w:szCs w:val="24"/>
          <w:lang w:val="es-ES_tradnl" w:eastAsia="es-ES"/>
        </w:rPr>
        <w:t>(foja</w:t>
      </w:r>
      <w:r w:rsidR="00FD7317">
        <w:rPr>
          <w:rFonts w:ascii="Arial" w:eastAsia="Times New Roman" w:hAnsi="Arial" w:cs="Arial"/>
          <w:sz w:val="24"/>
          <w:szCs w:val="24"/>
          <w:lang w:val="es-ES_tradnl" w:eastAsia="es-ES"/>
        </w:rPr>
        <w:t xml:space="preserve">s </w:t>
      </w:r>
      <w:r w:rsidR="00B9138B">
        <w:rPr>
          <w:rFonts w:ascii="Arial" w:eastAsia="Times New Roman" w:hAnsi="Arial" w:cs="Arial"/>
          <w:sz w:val="24"/>
          <w:szCs w:val="24"/>
          <w:lang w:val="es-ES_tradnl" w:eastAsia="es-ES"/>
        </w:rPr>
        <w:t>12</w:t>
      </w:r>
      <w:r w:rsidR="009B3734">
        <w:rPr>
          <w:rFonts w:ascii="Arial" w:eastAsia="Times New Roman" w:hAnsi="Arial" w:cs="Arial"/>
          <w:sz w:val="24"/>
          <w:szCs w:val="24"/>
          <w:lang w:val="es-ES_tradnl" w:eastAsia="es-ES"/>
        </w:rPr>
        <w:t xml:space="preserve"> </w:t>
      </w:r>
      <w:r w:rsidR="00124111">
        <w:rPr>
          <w:rFonts w:ascii="Arial" w:eastAsia="Times New Roman" w:hAnsi="Arial" w:cs="Arial"/>
          <w:sz w:val="24"/>
          <w:szCs w:val="24"/>
          <w:lang w:val="es-ES_tradnl" w:eastAsia="es-ES"/>
        </w:rPr>
        <w:t xml:space="preserve">y </w:t>
      </w:r>
      <w:r w:rsidR="00B9138B">
        <w:rPr>
          <w:rFonts w:ascii="Arial" w:eastAsia="Times New Roman" w:hAnsi="Arial" w:cs="Arial"/>
          <w:sz w:val="24"/>
          <w:szCs w:val="24"/>
          <w:lang w:val="es-ES_tradnl" w:eastAsia="es-ES"/>
        </w:rPr>
        <w:t>13</w:t>
      </w:r>
      <w:r w:rsidR="00552029">
        <w:rPr>
          <w:rFonts w:ascii="Arial" w:eastAsia="Times New Roman" w:hAnsi="Arial" w:cs="Arial"/>
          <w:sz w:val="24"/>
          <w:szCs w:val="24"/>
          <w:lang w:val="es-ES_tradnl" w:eastAsia="es-ES"/>
        </w:rPr>
        <w:t>).</w:t>
      </w:r>
    </w:p>
    <w:p w14:paraId="5BAA6015" w14:textId="377C4B3B" w:rsidR="000802F9" w:rsidRDefault="00C94935" w:rsidP="0013357B">
      <w:pPr>
        <w:spacing w:line="360" w:lineRule="auto"/>
        <w:ind w:right="51" w:firstLine="567"/>
        <w:jc w:val="both"/>
        <w:rPr>
          <w:rFonts w:ascii="Arial" w:eastAsia="Times New Roman" w:hAnsi="Arial" w:cs="Arial"/>
          <w:sz w:val="24"/>
          <w:szCs w:val="23"/>
          <w:lang w:val="es-ES" w:eastAsia="es-ES"/>
        </w:rPr>
      </w:pPr>
      <w:r>
        <w:rPr>
          <w:rFonts w:ascii="Arial" w:eastAsia="Times New Roman" w:hAnsi="Arial" w:cs="Arial"/>
          <w:b/>
          <w:sz w:val="24"/>
          <w:szCs w:val="24"/>
          <w:lang w:val="es-ES" w:eastAsia="es-ES"/>
        </w:rPr>
        <w:t>SEGUNDO</w:t>
      </w:r>
      <w:r w:rsidR="000802F9" w:rsidRPr="00C612C7">
        <w:rPr>
          <w:rFonts w:ascii="Arial" w:eastAsia="Times New Roman" w:hAnsi="Arial" w:cs="Arial"/>
          <w:b/>
          <w:sz w:val="24"/>
          <w:szCs w:val="24"/>
          <w:lang w:val="es-ES" w:eastAsia="es-ES"/>
        </w:rPr>
        <w:t xml:space="preserve">. </w:t>
      </w:r>
      <w:r w:rsidR="000802F9" w:rsidRPr="00C612C7">
        <w:rPr>
          <w:rFonts w:ascii="Arial" w:eastAsia="Times New Roman" w:hAnsi="Arial" w:cs="Arial"/>
          <w:sz w:val="24"/>
          <w:szCs w:val="24"/>
          <w:lang w:val="es-ES" w:eastAsia="es-ES"/>
        </w:rPr>
        <w:t>Mediante prov</w:t>
      </w:r>
      <w:r w:rsidR="004015FF">
        <w:rPr>
          <w:rFonts w:ascii="Arial" w:eastAsia="Times New Roman" w:hAnsi="Arial" w:cs="Arial"/>
          <w:sz w:val="24"/>
          <w:szCs w:val="24"/>
          <w:lang w:val="es-ES" w:eastAsia="es-ES"/>
        </w:rPr>
        <w:t>eído de</w:t>
      </w:r>
      <w:r w:rsidR="00552029">
        <w:rPr>
          <w:rFonts w:ascii="Arial" w:eastAsia="Times New Roman" w:hAnsi="Arial" w:cs="Arial"/>
          <w:sz w:val="24"/>
          <w:szCs w:val="24"/>
          <w:lang w:val="es-ES" w:eastAsia="es-ES"/>
        </w:rPr>
        <w:t xml:space="preserve"> </w:t>
      </w:r>
      <w:r w:rsidR="0040264A">
        <w:rPr>
          <w:rFonts w:ascii="Arial" w:eastAsia="Times New Roman" w:hAnsi="Arial" w:cs="Arial"/>
          <w:sz w:val="24"/>
          <w:szCs w:val="24"/>
          <w:lang w:val="es-ES" w:eastAsia="es-ES"/>
        </w:rPr>
        <w:t>dos de septiembre de dos mil diecinueve</w:t>
      </w:r>
      <w:r w:rsidR="00E41841">
        <w:rPr>
          <w:rFonts w:ascii="Arial" w:eastAsia="Times New Roman" w:hAnsi="Arial" w:cs="Arial"/>
          <w:sz w:val="24"/>
          <w:szCs w:val="24"/>
          <w:lang w:val="es-ES" w:eastAsia="es-ES"/>
        </w:rPr>
        <w:t xml:space="preserve">, </w:t>
      </w:r>
      <w:r w:rsidR="000E689C">
        <w:rPr>
          <w:rFonts w:ascii="Arial" w:eastAsia="Times New Roman" w:hAnsi="Arial" w:cs="Arial"/>
          <w:sz w:val="24"/>
          <w:szCs w:val="24"/>
          <w:lang w:val="es-ES" w:eastAsia="es-ES"/>
        </w:rPr>
        <w:t>se tuvo al</w:t>
      </w:r>
      <w:r w:rsidR="003745ED">
        <w:rPr>
          <w:rFonts w:ascii="Arial" w:eastAsia="Times New Roman" w:hAnsi="Arial" w:cs="Arial"/>
          <w:sz w:val="24"/>
          <w:szCs w:val="24"/>
          <w:lang w:val="es-ES" w:eastAsia="es-ES"/>
        </w:rPr>
        <w:t xml:space="preserve"> </w:t>
      </w:r>
      <w:r w:rsidR="0040264A">
        <w:rPr>
          <w:rFonts w:ascii="Arial" w:eastAsia="Times New Roman" w:hAnsi="Arial" w:cs="Arial"/>
          <w:sz w:val="24"/>
          <w:szCs w:val="24"/>
          <w:lang w:val="es-ES" w:eastAsia="es-ES"/>
        </w:rPr>
        <w:t>Oficial Mayor</w:t>
      </w:r>
      <w:r w:rsidR="003745ED">
        <w:rPr>
          <w:rFonts w:ascii="Arial" w:eastAsia="Times New Roman" w:hAnsi="Arial" w:cs="Arial"/>
          <w:sz w:val="24"/>
          <w:szCs w:val="24"/>
          <w:lang w:val="es-ES" w:eastAsia="es-ES"/>
        </w:rPr>
        <w:t xml:space="preserve"> de la Fiscalía</w:t>
      </w:r>
      <w:r w:rsidR="00655617">
        <w:rPr>
          <w:rFonts w:ascii="Arial" w:eastAsia="Times New Roman" w:hAnsi="Arial" w:cs="Arial"/>
          <w:sz w:val="24"/>
          <w:szCs w:val="24"/>
          <w:lang w:val="es-ES" w:eastAsia="es-ES"/>
        </w:rPr>
        <w:t xml:space="preserve"> </w:t>
      </w:r>
      <w:r w:rsidR="003745ED">
        <w:rPr>
          <w:rFonts w:ascii="Arial" w:eastAsia="Times New Roman" w:hAnsi="Arial" w:cs="Arial"/>
          <w:sz w:val="24"/>
          <w:szCs w:val="24"/>
          <w:lang w:val="es-ES" w:eastAsia="es-ES"/>
        </w:rPr>
        <w:t xml:space="preserve">General del Estado, </w:t>
      </w:r>
      <w:r w:rsidR="000E689C">
        <w:rPr>
          <w:rFonts w:ascii="Arial" w:hAnsi="Arial" w:cs="Arial"/>
          <w:b/>
          <w:sz w:val="24"/>
          <w:szCs w:val="24"/>
        </w:rPr>
        <w:t>contestando la demanda de nulidad de la parte actora</w:t>
      </w:r>
      <w:r w:rsidR="00E3495D">
        <w:rPr>
          <w:rFonts w:ascii="Arial" w:eastAsia="Times New Roman" w:hAnsi="Arial" w:cs="Arial"/>
          <w:sz w:val="24"/>
          <w:szCs w:val="24"/>
          <w:lang w:val="es-ES" w:eastAsia="es-ES"/>
        </w:rPr>
        <w:t>,</w:t>
      </w:r>
      <w:r w:rsidR="0013357B">
        <w:rPr>
          <w:rFonts w:ascii="Arial" w:eastAsia="Times New Roman" w:hAnsi="Arial" w:cs="Arial"/>
          <w:sz w:val="24"/>
          <w:szCs w:val="24"/>
          <w:lang w:val="es-ES" w:eastAsia="es-ES"/>
        </w:rPr>
        <w:t xml:space="preserve"> </w:t>
      </w:r>
      <w:r w:rsidR="00C33F92">
        <w:rPr>
          <w:rFonts w:ascii="Arial" w:eastAsia="Times New Roman" w:hAnsi="Arial" w:cs="Arial"/>
          <w:sz w:val="24"/>
          <w:szCs w:val="24"/>
          <w:lang w:val="es-ES" w:eastAsia="es-ES"/>
        </w:rPr>
        <w:t xml:space="preserve">por lo que, se señaló día y hora para la celebración de la Audiencia de Ley </w:t>
      </w:r>
      <w:r w:rsidR="00E4496F">
        <w:rPr>
          <w:rFonts w:ascii="Arial" w:eastAsia="Times New Roman" w:hAnsi="Arial" w:cs="Arial"/>
          <w:sz w:val="24"/>
          <w:szCs w:val="23"/>
          <w:lang w:val="es-ES" w:eastAsia="es-ES"/>
        </w:rPr>
        <w:t xml:space="preserve">(foja </w:t>
      </w:r>
      <w:r w:rsidR="00C33F92">
        <w:rPr>
          <w:rFonts w:ascii="Arial" w:eastAsia="Times New Roman" w:hAnsi="Arial" w:cs="Arial"/>
          <w:sz w:val="24"/>
          <w:szCs w:val="23"/>
          <w:lang w:val="es-ES" w:eastAsia="es-ES"/>
        </w:rPr>
        <w:t>2</w:t>
      </w:r>
      <w:r w:rsidR="00ED01B6">
        <w:rPr>
          <w:rFonts w:ascii="Arial" w:eastAsia="Times New Roman" w:hAnsi="Arial" w:cs="Arial"/>
          <w:sz w:val="24"/>
          <w:szCs w:val="23"/>
          <w:lang w:val="es-ES" w:eastAsia="es-ES"/>
        </w:rPr>
        <w:t>1</w:t>
      </w:r>
      <w:r w:rsidR="000802F9" w:rsidRPr="00381808">
        <w:rPr>
          <w:rFonts w:ascii="Arial" w:eastAsia="Times New Roman" w:hAnsi="Arial" w:cs="Arial"/>
          <w:sz w:val="24"/>
          <w:szCs w:val="23"/>
          <w:lang w:val="es-ES" w:eastAsia="es-ES"/>
        </w:rPr>
        <w:t>).</w:t>
      </w:r>
    </w:p>
    <w:p w14:paraId="365EDB5E" w14:textId="49D61050" w:rsidR="00655617" w:rsidRDefault="00655617" w:rsidP="0013357B">
      <w:pPr>
        <w:spacing w:line="360" w:lineRule="auto"/>
        <w:ind w:right="51" w:firstLine="567"/>
        <w:jc w:val="both"/>
        <w:rPr>
          <w:rFonts w:ascii="Arial" w:eastAsia="Times New Roman" w:hAnsi="Arial" w:cs="Arial"/>
          <w:sz w:val="24"/>
          <w:szCs w:val="24"/>
          <w:lang w:eastAsia="es-ES"/>
        </w:rPr>
      </w:pPr>
      <w:r>
        <w:rPr>
          <w:rFonts w:ascii="Arial" w:eastAsia="Times New Roman" w:hAnsi="Arial" w:cs="Arial"/>
          <w:b/>
          <w:bCs/>
          <w:sz w:val="24"/>
          <w:szCs w:val="23"/>
          <w:lang w:val="es-ES" w:eastAsia="es-ES"/>
        </w:rPr>
        <w:t xml:space="preserve">TERCERO. </w:t>
      </w:r>
      <w:r>
        <w:rPr>
          <w:rFonts w:ascii="Arial" w:eastAsia="Times New Roman" w:hAnsi="Arial" w:cs="Arial"/>
          <w:sz w:val="24"/>
          <w:szCs w:val="23"/>
          <w:lang w:val="es-ES" w:eastAsia="es-ES"/>
        </w:rPr>
        <w:t xml:space="preserve">El veinticinco de septiembre de dos mil diecinueve, </w:t>
      </w:r>
      <w:r w:rsidRPr="00175DDE">
        <w:rPr>
          <w:rFonts w:ascii="Arial" w:eastAsia="Times New Roman" w:hAnsi="Arial" w:cs="Arial"/>
          <w:snapToGrid w:val="0"/>
          <w:sz w:val="24"/>
          <w:szCs w:val="24"/>
          <w:lang w:val="es-ES_tradnl" w:eastAsia="es-ES"/>
        </w:rPr>
        <w:t xml:space="preserve">se llevó a cabo la Audiencia de Ley, </w:t>
      </w:r>
      <w:r w:rsidRPr="00175DDE">
        <w:rPr>
          <w:rFonts w:ascii="Arial" w:eastAsia="Times New Roman" w:hAnsi="Arial" w:cs="Arial"/>
          <w:sz w:val="24"/>
          <w:szCs w:val="24"/>
          <w:lang w:eastAsia="es-ES"/>
        </w:rPr>
        <w:t xml:space="preserve">en la que no comparecieron las partes ni persona alguna que legalmente las representara; </w:t>
      </w:r>
      <w:r>
        <w:rPr>
          <w:rFonts w:ascii="Arial" w:eastAsia="Times New Roman" w:hAnsi="Arial" w:cs="Arial"/>
          <w:sz w:val="24"/>
          <w:szCs w:val="24"/>
          <w:lang w:eastAsia="es-ES"/>
        </w:rPr>
        <w:t xml:space="preserve">y se señaló fecha y hora para que tuviera verificativo la </w:t>
      </w:r>
      <w:r>
        <w:rPr>
          <w:rFonts w:ascii="Arial" w:eastAsia="Times New Roman" w:hAnsi="Arial" w:cs="Arial"/>
          <w:b/>
          <w:bCs/>
          <w:sz w:val="24"/>
          <w:szCs w:val="24"/>
          <w:lang w:eastAsia="es-ES"/>
        </w:rPr>
        <w:t>Audiencia de Conciliación</w:t>
      </w:r>
      <w:r>
        <w:rPr>
          <w:rFonts w:ascii="Arial" w:eastAsia="Times New Roman" w:hAnsi="Arial" w:cs="Arial"/>
          <w:sz w:val="24"/>
          <w:szCs w:val="24"/>
          <w:lang w:eastAsia="es-ES"/>
        </w:rPr>
        <w:t>, como mecanismo alterno de solución de controversias (foja 29).</w:t>
      </w:r>
    </w:p>
    <w:p w14:paraId="343CAEEB" w14:textId="10F8D12B" w:rsidR="00655617" w:rsidRDefault="00655617" w:rsidP="0013357B">
      <w:pPr>
        <w:spacing w:line="360" w:lineRule="auto"/>
        <w:ind w:right="51" w:firstLine="567"/>
        <w:jc w:val="both"/>
        <w:rPr>
          <w:rFonts w:ascii="Arial" w:eastAsia="Times New Roman" w:hAnsi="Arial" w:cs="Arial"/>
          <w:sz w:val="24"/>
          <w:szCs w:val="24"/>
          <w:lang w:eastAsia="es-ES"/>
        </w:rPr>
      </w:pPr>
      <w:r>
        <w:rPr>
          <w:rFonts w:ascii="Arial" w:eastAsia="Times New Roman" w:hAnsi="Arial" w:cs="Arial"/>
          <w:b/>
          <w:bCs/>
          <w:sz w:val="24"/>
          <w:szCs w:val="24"/>
          <w:lang w:eastAsia="es-ES"/>
        </w:rPr>
        <w:t xml:space="preserve">CUARTO. </w:t>
      </w:r>
      <w:r w:rsidR="000E7EA0">
        <w:rPr>
          <w:rFonts w:ascii="Arial" w:eastAsia="Times New Roman" w:hAnsi="Arial" w:cs="Arial"/>
          <w:sz w:val="24"/>
          <w:szCs w:val="24"/>
          <w:lang w:eastAsia="es-ES"/>
        </w:rPr>
        <w:t xml:space="preserve">El veintitrés de octubre de dos mil diecinueve, </w:t>
      </w:r>
      <w:r w:rsidR="00CA2526">
        <w:rPr>
          <w:rFonts w:ascii="Arial" w:eastAsia="Times New Roman" w:hAnsi="Arial" w:cs="Arial"/>
          <w:sz w:val="24"/>
          <w:szCs w:val="24"/>
          <w:lang w:eastAsia="es-ES"/>
        </w:rPr>
        <w:t xml:space="preserve">se hizo constar la imposibilidad para llevar a cabo la </w:t>
      </w:r>
      <w:r w:rsidR="00CA2526">
        <w:rPr>
          <w:rFonts w:ascii="Arial" w:eastAsia="Times New Roman" w:hAnsi="Arial" w:cs="Arial"/>
          <w:b/>
          <w:bCs/>
          <w:sz w:val="24"/>
          <w:szCs w:val="24"/>
          <w:lang w:eastAsia="es-ES"/>
        </w:rPr>
        <w:t xml:space="preserve">audiencia de conciliación </w:t>
      </w:r>
      <w:r w:rsidR="00CA2526">
        <w:rPr>
          <w:rFonts w:ascii="Arial" w:eastAsia="Times New Roman" w:hAnsi="Arial" w:cs="Arial"/>
          <w:sz w:val="24"/>
          <w:szCs w:val="24"/>
          <w:lang w:eastAsia="es-ES"/>
        </w:rPr>
        <w:t xml:space="preserve">señalada para esa fecha, por lo que, para no causar mayores dilaciones procesales en perjuicio de las partes, se fijó nuevo día y hora para la celebración de la </w:t>
      </w:r>
      <w:r w:rsidR="00CA2526">
        <w:rPr>
          <w:rFonts w:ascii="Arial" w:eastAsia="Times New Roman" w:hAnsi="Arial" w:cs="Arial"/>
          <w:b/>
          <w:bCs/>
          <w:sz w:val="24"/>
          <w:szCs w:val="24"/>
          <w:lang w:eastAsia="es-ES"/>
        </w:rPr>
        <w:t>Audiencia de Ley</w:t>
      </w:r>
      <w:r w:rsidR="00CA2526">
        <w:rPr>
          <w:rFonts w:ascii="Arial" w:eastAsia="Times New Roman" w:hAnsi="Arial" w:cs="Arial"/>
          <w:sz w:val="24"/>
          <w:szCs w:val="24"/>
          <w:lang w:eastAsia="es-ES"/>
        </w:rPr>
        <w:t xml:space="preserve"> </w:t>
      </w:r>
      <w:r w:rsidR="008D48DF">
        <w:rPr>
          <w:rFonts w:ascii="Arial" w:eastAsia="Times New Roman" w:hAnsi="Arial" w:cs="Arial"/>
          <w:sz w:val="24"/>
          <w:szCs w:val="24"/>
          <w:lang w:eastAsia="es-ES"/>
        </w:rPr>
        <w:t xml:space="preserve">       </w:t>
      </w:r>
      <w:r w:rsidR="00CA2526">
        <w:rPr>
          <w:rFonts w:ascii="Arial" w:eastAsia="Times New Roman" w:hAnsi="Arial" w:cs="Arial"/>
          <w:sz w:val="24"/>
          <w:szCs w:val="24"/>
          <w:lang w:eastAsia="es-ES"/>
        </w:rPr>
        <w:t>(foja 35).</w:t>
      </w:r>
    </w:p>
    <w:p w14:paraId="070F284E" w14:textId="6F65BC11" w:rsidR="00CA2526" w:rsidRDefault="00CA2526" w:rsidP="0013357B">
      <w:pPr>
        <w:spacing w:line="360" w:lineRule="auto"/>
        <w:ind w:right="51" w:firstLine="567"/>
        <w:jc w:val="both"/>
        <w:rPr>
          <w:rFonts w:ascii="Arial" w:eastAsia="Times New Roman" w:hAnsi="Arial" w:cs="Arial"/>
          <w:sz w:val="24"/>
          <w:szCs w:val="24"/>
          <w:lang w:eastAsia="es-ES"/>
        </w:rPr>
      </w:pPr>
      <w:r>
        <w:rPr>
          <w:rFonts w:ascii="Arial" w:eastAsia="Times New Roman" w:hAnsi="Arial" w:cs="Arial"/>
          <w:b/>
          <w:bCs/>
          <w:sz w:val="24"/>
          <w:szCs w:val="24"/>
          <w:lang w:eastAsia="es-ES"/>
        </w:rPr>
        <w:t xml:space="preserve">QUINTO. </w:t>
      </w:r>
      <w:r>
        <w:rPr>
          <w:rFonts w:ascii="Arial" w:eastAsia="Times New Roman" w:hAnsi="Arial" w:cs="Arial"/>
          <w:sz w:val="24"/>
          <w:szCs w:val="24"/>
          <w:lang w:eastAsia="es-ES"/>
        </w:rPr>
        <w:t xml:space="preserve">El trece de noviembre de dos mil diecinueve, </w:t>
      </w:r>
      <w:r w:rsidR="00CD56FE">
        <w:rPr>
          <w:rFonts w:ascii="Arial" w:eastAsia="Times New Roman" w:hAnsi="Arial" w:cs="Arial"/>
          <w:sz w:val="24"/>
          <w:szCs w:val="24"/>
          <w:lang w:eastAsia="es-ES"/>
        </w:rPr>
        <w:t xml:space="preserve">se suspendió la Audiencia de Ley señalada para esa fecha </w:t>
      </w:r>
      <w:r w:rsidR="00FA708A">
        <w:rPr>
          <w:rFonts w:ascii="Arial" w:eastAsia="Times New Roman" w:hAnsi="Arial" w:cs="Arial"/>
          <w:sz w:val="24"/>
          <w:szCs w:val="24"/>
          <w:lang w:eastAsia="es-ES"/>
        </w:rPr>
        <w:t xml:space="preserve">y se señaló día y hora para la celebración para la </w:t>
      </w:r>
      <w:r w:rsidR="00FA708A">
        <w:rPr>
          <w:rFonts w:ascii="Arial" w:eastAsia="Times New Roman" w:hAnsi="Arial" w:cs="Arial"/>
          <w:b/>
          <w:bCs/>
          <w:sz w:val="24"/>
          <w:szCs w:val="24"/>
          <w:lang w:eastAsia="es-ES"/>
        </w:rPr>
        <w:t xml:space="preserve">Audiencia de conciliación </w:t>
      </w:r>
      <w:r w:rsidR="00FA708A">
        <w:rPr>
          <w:rFonts w:ascii="Arial" w:eastAsia="Times New Roman" w:hAnsi="Arial" w:cs="Arial"/>
          <w:sz w:val="24"/>
          <w:szCs w:val="24"/>
          <w:lang w:eastAsia="es-ES"/>
        </w:rPr>
        <w:t>como medida alterna de solución del presente asunto (fojas 52 y 53).</w:t>
      </w:r>
    </w:p>
    <w:p w14:paraId="04821773" w14:textId="5E27110D" w:rsidR="00655617" w:rsidRDefault="00FA708A" w:rsidP="009057D2">
      <w:pPr>
        <w:spacing w:line="360" w:lineRule="auto"/>
        <w:ind w:right="51" w:firstLine="567"/>
        <w:jc w:val="both"/>
        <w:rPr>
          <w:rFonts w:ascii="Arial" w:eastAsia="Times New Roman" w:hAnsi="Arial" w:cs="Arial"/>
          <w:sz w:val="24"/>
          <w:szCs w:val="24"/>
          <w:lang w:eastAsia="es-ES"/>
        </w:rPr>
      </w:pPr>
      <w:r>
        <w:rPr>
          <w:rFonts w:ascii="Arial" w:eastAsia="Times New Roman" w:hAnsi="Arial" w:cs="Arial"/>
          <w:b/>
          <w:bCs/>
          <w:sz w:val="24"/>
          <w:szCs w:val="24"/>
          <w:lang w:eastAsia="es-ES"/>
        </w:rPr>
        <w:lastRenderedPageBreak/>
        <w:t xml:space="preserve">SEXTO. </w:t>
      </w:r>
      <w:r>
        <w:rPr>
          <w:rFonts w:ascii="Arial" w:eastAsia="Times New Roman" w:hAnsi="Arial" w:cs="Arial"/>
          <w:sz w:val="24"/>
          <w:szCs w:val="24"/>
          <w:lang w:eastAsia="es-ES"/>
        </w:rPr>
        <w:t xml:space="preserve">El veintiocho de noviembre de dos mil diecinueve, </w:t>
      </w:r>
      <w:r w:rsidR="00B87EE2">
        <w:rPr>
          <w:rFonts w:ascii="Arial" w:eastAsia="Times New Roman" w:hAnsi="Arial" w:cs="Arial"/>
          <w:sz w:val="24"/>
          <w:szCs w:val="24"/>
          <w:lang w:eastAsia="es-ES"/>
        </w:rPr>
        <w:t xml:space="preserve">se hizo constar la comparecencia del actor a la </w:t>
      </w:r>
      <w:r w:rsidR="00B87EE2">
        <w:rPr>
          <w:rFonts w:ascii="Arial" w:eastAsia="Times New Roman" w:hAnsi="Arial" w:cs="Arial"/>
          <w:b/>
          <w:bCs/>
          <w:sz w:val="24"/>
          <w:szCs w:val="24"/>
          <w:lang w:eastAsia="es-ES"/>
        </w:rPr>
        <w:t xml:space="preserve">audiencia de conciliación </w:t>
      </w:r>
      <w:r w:rsidR="00B87EE2">
        <w:rPr>
          <w:rFonts w:ascii="Arial" w:eastAsia="Times New Roman" w:hAnsi="Arial" w:cs="Arial"/>
          <w:sz w:val="24"/>
          <w:szCs w:val="24"/>
          <w:lang w:eastAsia="es-ES"/>
        </w:rPr>
        <w:t>señalada para esa fecha</w:t>
      </w:r>
      <w:r w:rsidR="009631FD">
        <w:rPr>
          <w:rFonts w:ascii="Arial" w:eastAsia="Times New Roman" w:hAnsi="Arial" w:cs="Arial"/>
          <w:sz w:val="24"/>
          <w:szCs w:val="24"/>
          <w:lang w:eastAsia="es-ES"/>
        </w:rPr>
        <w:t xml:space="preserve">, además, se requirió a la </w:t>
      </w:r>
      <w:r w:rsidR="009057D2">
        <w:rPr>
          <w:rFonts w:ascii="Arial" w:eastAsia="Times New Roman" w:hAnsi="Arial" w:cs="Arial"/>
          <w:b/>
          <w:bCs/>
          <w:sz w:val="24"/>
          <w:szCs w:val="24"/>
          <w:lang w:eastAsia="es-ES"/>
        </w:rPr>
        <w:t>Jefa de la Unidad de Recursos Financieros de la Fiscalía General del Estado</w:t>
      </w:r>
      <w:r w:rsidR="009057D2">
        <w:rPr>
          <w:rFonts w:ascii="Arial" w:eastAsia="Times New Roman" w:hAnsi="Arial" w:cs="Arial"/>
          <w:sz w:val="24"/>
          <w:szCs w:val="24"/>
          <w:lang w:eastAsia="es-ES"/>
        </w:rPr>
        <w:t xml:space="preserve">, </w:t>
      </w:r>
      <w:r w:rsidR="006256F4">
        <w:rPr>
          <w:rFonts w:ascii="Arial" w:eastAsia="Times New Roman" w:hAnsi="Arial" w:cs="Arial"/>
          <w:sz w:val="24"/>
          <w:szCs w:val="24"/>
          <w:lang w:eastAsia="es-ES"/>
        </w:rPr>
        <w:t xml:space="preserve">para que dentro del término legal </w:t>
      </w:r>
      <w:r w:rsidR="00A37A86">
        <w:rPr>
          <w:rFonts w:ascii="Arial" w:eastAsia="Times New Roman" w:hAnsi="Arial" w:cs="Arial"/>
          <w:sz w:val="24"/>
          <w:szCs w:val="24"/>
          <w:lang w:eastAsia="es-ES"/>
        </w:rPr>
        <w:t>rindiera el informe solicitado en autos (fojas 64 y 65).</w:t>
      </w:r>
    </w:p>
    <w:p w14:paraId="1BC610F1" w14:textId="735F81AD" w:rsidR="00A37A86" w:rsidRDefault="00A37A86" w:rsidP="009057D2">
      <w:pPr>
        <w:spacing w:line="360" w:lineRule="auto"/>
        <w:ind w:right="51" w:firstLine="567"/>
        <w:jc w:val="both"/>
        <w:rPr>
          <w:rFonts w:ascii="Arial" w:eastAsia="Times New Roman" w:hAnsi="Arial" w:cs="Arial"/>
          <w:sz w:val="24"/>
          <w:szCs w:val="24"/>
          <w:lang w:eastAsia="es-ES"/>
        </w:rPr>
      </w:pPr>
      <w:r>
        <w:rPr>
          <w:rFonts w:ascii="Arial" w:eastAsia="Times New Roman" w:hAnsi="Arial" w:cs="Arial"/>
          <w:b/>
          <w:bCs/>
          <w:sz w:val="24"/>
          <w:szCs w:val="24"/>
          <w:lang w:eastAsia="es-ES"/>
        </w:rPr>
        <w:t xml:space="preserve">SÉPTIMO. </w:t>
      </w:r>
      <w:r>
        <w:rPr>
          <w:rFonts w:ascii="Arial" w:eastAsia="Times New Roman" w:hAnsi="Arial" w:cs="Arial"/>
          <w:sz w:val="24"/>
          <w:szCs w:val="24"/>
          <w:lang w:eastAsia="es-ES"/>
        </w:rPr>
        <w:t xml:space="preserve">Por auto de veinticuatro de enero de dos mil veinte, se tuvo a la </w:t>
      </w:r>
      <w:r>
        <w:rPr>
          <w:rFonts w:ascii="Arial" w:eastAsia="Times New Roman" w:hAnsi="Arial" w:cs="Arial"/>
          <w:b/>
          <w:bCs/>
          <w:sz w:val="24"/>
          <w:szCs w:val="24"/>
          <w:lang w:eastAsia="es-ES"/>
        </w:rPr>
        <w:t>Jefa de la Unidad de Recursos Financieros de la Fiscalía General del Estado</w:t>
      </w:r>
      <w:r>
        <w:rPr>
          <w:rFonts w:ascii="Arial" w:eastAsia="Times New Roman" w:hAnsi="Arial" w:cs="Arial"/>
          <w:sz w:val="24"/>
          <w:szCs w:val="24"/>
          <w:lang w:eastAsia="es-ES"/>
        </w:rPr>
        <w:t>, rindiendo el informe solicitado, por lo que se fijó día y hora para la celebración de la Audiencia de Ley (foja 72).</w:t>
      </w:r>
    </w:p>
    <w:p w14:paraId="31FEB838" w14:textId="2E6E2B15" w:rsidR="00A37A86" w:rsidRDefault="00A37A86" w:rsidP="009057D2">
      <w:pPr>
        <w:spacing w:line="360" w:lineRule="auto"/>
        <w:ind w:right="51" w:firstLine="567"/>
        <w:jc w:val="both"/>
        <w:rPr>
          <w:rFonts w:ascii="Arial" w:eastAsia="Times New Roman" w:hAnsi="Arial" w:cs="Arial"/>
          <w:sz w:val="24"/>
          <w:szCs w:val="24"/>
          <w:lang w:eastAsia="es-ES"/>
        </w:rPr>
      </w:pPr>
      <w:r>
        <w:rPr>
          <w:rFonts w:ascii="Arial" w:eastAsia="Times New Roman" w:hAnsi="Arial" w:cs="Arial"/>
          <w:b/>
          <w:bCs/>
          <w:sz w:val="24"/>
          <w:szCs w:val="24"/>
          <w:lang w:eastAsia="es-ES"/>
        </w:rPr>
        <w:t xml:space="preserve">OCTAVO. </w:t>
      </w:r>
      <w:r>
        <w:rPr>
          <w:rFonts w:ascii="Arial" w:eastAsia="Times New Roman" w:hAnsi="Arial" w:cs="Arial"/>
          <w:sz w:val="24"/>
          <w:szCs w:val="24"/>
          <w:lang w:eastAsia="es-ES"/>
        </w:rPr>
        <w:t xml:space="preserve">El diecinueve de febrero de dos mil veinte, </w:t>
      </w:r>
      <w:r w:rsidR="00F662A0">
        <w:rPr>
          <w:rFonts w:ascii="Arial" w:eastAsia="Times New Roman" w:hAnsi="Arial" w:cs="Arial"/>
          <w:sz w:val="24"/>
          <w:szCs w:val="24"/>
          <w:lang w:eastAsia="es-ES"/>
        </w:rPr>
        <w:t xml:space="preserve">se suspendió la Audiencia de Ley señalada para esa fecha y se requirió al </w:t>
      </w:r>
      <w:r w:rsidR="00F662A0">
        <w:rPr>
          <w:rFonts w:ascii="Arial" w:eastAsia="Times New Roman" w:hAnsi="Arial" w:cs="Arial"/>
          <w:b/>
          <w:bCs/>
          <w:sz w:val="24"/>
          <w:szCs w:val="24"/>
          <w:lang w:eastAsia="es-ES"/>
        </w:rPr>
        <w:t xml:space="preserve">actor </w:t>
      </w:r>
      <w:r w:rsidR="00F662A0">
        <w:rPr>
          <w:rFonts w:ascii="Arial" w:eastAsia="Times New Roman" w:hAnsi="Arial" w:cs="Arial"/>
          <w:sz w:val="24"/>
          <w:szCs w:val="24"/>
          <w:lang w:eastAsia="es-ES"/>
        </w:rPr>
        <w:t xml:space="preserve">para que dentro del término legal </w:t>
      </w:r>
      <w:r w:rsidR="002D7171">
        <w:rPr>
          <w:rFonts w:ascii="Arial" w:eastAsia="Times New Roman" w:hAnsi="Arial" w:cs="Arial"/>
          <w:sz w:val="24"/>
          <w:szCs w:val="24"/>
          <w:lang w:eastAsia="es-ES"/>
        </w:rPr>
        <w:t xml:space="preserve">cumpliera con los requerimientos efectuados en autos; así también, se requirió a la </w:t>
      </w:r>
      <w:r w:rsidR="002D7171">
        <w:rPr>
          <w:rFonts w:ascii="Arial" w:eastAsia="Times New Roman" w:hAnsi="Arial" w:cs="Arial"/>
          <w:b/>
          <w:bCs/>
          <w:sz w:val="24"/>
          <w:szCs w:val="24"/>
          <w:lang w:eastAsia="es-ES"/>
        </w:rPr>
        <w:t xml:space="preserve">autoridad demandada </w:t>
      </w:r>
      <w:r w:rsidR="002D7171">
        <w:rPr>
          <w:rFonts w:ascii="Arial" w:eastAsia="Times New Roman" w:hAnsi="Arial" w:cs="Arial"/>
          <w:sz w:val="24"/>
          <w:szCs w:val="24"/>
          <w:lang w:eastAsia="es-ES"/>
        </w:rPr>
        <w:t xml:space="preserve">para que exhibiera el original o copia certificada del documento en el que conste que el </w:t>
      </w:r>
      <w:r w:rsidR="002D7171">
        <w:rPr>
          <w:rFonts w:ascii="Arial" w:eastAsia="Times New Roman" w:hAnsi="Arial" w:cs="Arial"/>
          <w:b/>
          <w:bCs/>
          <w:sz w:val="24"/>
          <w:szCs w:val="24"/>
          <w:lang w:eastAsia="es-ES"/>
        </w:rPr>
        <w:t xml:space="preserve">actor </w:t>
      </w:r>
      <w:r w:rsidR="002D7171">
        <w:rPr>
          <w:rFonts w:ascii="Arial" w:eastAsia="Times New Roman" w:hAnsi="Arial" w:cs="Arial"/>
          <w:sz w:val="24"/>
          <w:szCs w:val="24"/>
          <w:lang w:eastAsia="es-ES"/>
        </w:rPr>
        <w:t>no aprobó su proceso de evaluación y control de confianza (foja 82).</w:t>
      </w:r>
    </w:p>
    <w:p w14:paraId="2A37360D" w14:textId="37394AED" w:rsidR="00837D16" w:rsidRDefault="002D7171" w:rsidP="009057D2">
      <w:pPr>
        <w:spacing w:line="360" w:lineRule="auto"/>
        <w:ind w:right="51" w:firstLine="567"/>
        <w:jc w:val="both"/>
        <w:rPr>
          <w:rFonts w:ascii="Arial" w:eastAsia="Times New Roman" w:hAnsi="Arial" w:cs="Arial"/>
          <w:sz w:val="24"/>
          <w:szCs w:val="24"/>
          <w:lang w:eastAsia="es-ES"/>
        </w:rPr>
      </w:pPr>
      <w:r w:rsidRPr="00C06AA4">
        <w:rPr>
          <w:rFonts w:ascii="Arial" w:eastAsia="Times New Roman" w:hAnsi="Arial" w:cs="Arial"/>
          <w:b/>
          <w:bCs/>
          <w:sz w:val="24"/>
          <w:szCs w:val="24"/>
          <w:lang w:eastAsia="es-ES"/>
        </w:rPr>
        <w:t xml:space="preserve">NOVENO. </w:t>
      </w:r>
      <w:r w:rsidRPr="00C06AA4">
        <w:rPr>
          <w:rFonts w:ascii="Arial" w:eastAsia="Times New Roman" w:hAnsi="Arial" w:cs="Arial"/>
          <w:sz w:val="24"/>
          <w:szCs w:val="24"/>
          <w:lang w:eastAsia="es-ES"/>
        </w:rPr>
        <w:t>Mediante</w:t>
      </w:r>
      <w:r>
        <w:rPr>
          <w:rFonts w:ascii="Arial" w:eastAsia="Times New Roman" w:hAnsi="Arial" w:cs="Arial"/>
          <w:sz w:val="24"/>
          <w:szCs w:val="24"/>
          <w:lang w:eastAsia="es-ES"/>
        </w:rPr>
        <w:t xml:space="preserve"> proveído de ocho de octubre de dos mil veinte,</w:t>
      </w:r>
      <w:r w:rsidR="00C06AA4">
        <w:rPr>
          <w:rFonts w:ascii="Arial" w:eastAsia="Times New Roman" w:hAnsi="Arial" w:cs="Arial"/>
          <w:sz w:val="24"/>
          <w:szCs w:val="24"/>
          <w:lang w:eastAsia="es-ES"/>
        </w:rPr>
        <w:t xml:space="preserve"> se tuvo al </w:t>
      </w:r>
      <w:r w:rsidR="00C06AA4">
        <w:rPr>
          <w:rFonts w:ascii="Arial" w:eastAsia="Times New Roman" w:hAnsi="Arial" w:cs="Arial"/>
          <w:b/>
          <w:bCs/>
          <w:sz w:val="24"/>
          <w:szCs w:val="24"/>
          <w:lang w:eastAsia="es-ES"/>
        </w:rPr>
        <w:t>Oficial Mayor de la Fiscalía General del Estado</w:t>
      </w:r>
      <w:r w:rsidR="00C06AA4">
        <w:rPr>
          <w:rFonts w:ascii="Arial" w:eastAsia="Times New Roman" w:hAnsi="Arial" w:cs="Arial"/>
          <w:sz w:val="24"/>
          <w:szCs w:val="24"/>
          <w:lang w:eastAsia="es-ES"/>
        </w:rPr>
        <w:t>, remitiendo copia certificada del examen de control y confianza realizado al actor, por lo que, se requirió a dicha autoridad para que manifestara la razón o razones específicas por las cuales el actor no aprobó el examen de control de confianza</w:t>
      </w:r>
      <w:r w:rsidR="00837D16">
        <w:rPr>
          <w:rFonts w:ascii="Arial" w:eastAsia="Times New Roman" w:hAnsi="Arial" w:cs="Arial"/>
          <w:sz w:val="24"/>
          <w:szCs w:val="24"/>
          <w:lang w:eastAsia="es-ES"/>
        </w:rPr>
        <w:t>, acompañando las documentales que sustent</w:t>
      </w:r>
      <w:r w:rsidR="008D48DF">
        <w:rPr>
          <w:rFonts w:ascii="Arial" w:eastAsia="Times New Roman" w:hAnsi="Arial" w:cs="Arial"/>
          <w:sz w:val="24"/>
          <w:szCs w:val="24"/>
          <w:lang w:eastAsia="es-ES"/>
        </w:rPr>
        <w:t xml:space="preserve">aran </w:t>
      </w:r>
      <w:r w:rsidR="00837D16">
        <w:rPr>
          <w:rFonts w:ascii="Arial" w:eastAsia="Times New Roman" w:hAnsi="Arial" w:cs="Arial"/>
          <w:sz w:val="24"/>
          <w:szCs w:val="24"/>
          <w:lang w:eastAsia="es-ES"/>
        </w:rPr>
        <w:t>su dicho (foja 91).</w:t>
      </w:r>
    </w:p>
    <w:p w14:paraId="25C73347" w14:textId="55B3429C" w:rsidR="00A37A86" w:rsidRPr="00484826" w:rsidRDefault="00837D16" w:rsidP="00484826">
      <w:pPr>
        <w:spacing w:line="360" w:lineRule="auto"/>
        <w:ind w:right="51" w:firstLine="567"/>
        <w:jc w:val="both"/>
        <w:rPr>
          <w:rFonts w:ascii="Arial" w:eastAsia="Times New Roman" w:hAnsi="Arial" w:cs="Arial"/>
          <w:sz w:val="24"/>
          <w:szCs w:val="24"/>
          <w:lang w:eastAsia="es-ES"/>
        </w:rPr>
      </w:pPr>
      <w:r>
        <w:rPr>
          <w:rFonts w:ascii="Arial" w:eastAsia="Times New Roman" w:hAnsi="Arial" w:cs="Arial"/>
          <w:b/>
          <w:bCs/>
          <w:sz w:val="24"/>
          <w:szCs w:val="24"/>
          <w:lang w:eastAsia="es-ES"/>
        </w:rPr>
        <w:t xml:space="preserve">DÉCIMO. </w:t>
      </w:r>
      <w:r w:rsidR="002D7171">
        <w:rPr>
          <w:rFonts w:ascii="Arial" w:eastAsia="Times New Roman" w:hAnsi="Arial" w:cs="Arial"/>
          <w:sz w:val="24"/>
          <w:szCs w:val="24"/>
          <w:lang w:eastAsia="es-ES"/>
        </w:rPr>
        <w:t xml:space="preserve"> </w:t>
      </w:r>
      <w:r w:rsidR="00484826">
        <w:rPr>
          <w:rFonts w:ascii="Arial" w:eastAsia="Times New Roman" w:hAnsi="Arial" w:cs="Arial"/>
          <w:sz w:val="24"/>
          <w:szCs w:val="24"/>
          <w:lang w:eastAsia="es-ES"/>
        </w:rPr>
        <w:t>Por acuerdo de veintinueve de abril de dos mil veintiuno, se tuvo al Oficial Mayor de la Fiscalía General del Estado, cumpliendo con lo ordenado en autos, por lo que se señaló día y hora para la celebración de la Audiencia de Ley (foja 113)</w:t>
      </w:r>
    </w:p>
    <w:p w14:paraId="34F187CA" w14:textId="448DA4AD" w:rsidR="00FA5F9A" w:rsidRPr="004922E9" w:rsidRDefault="00484826" w:rsidP="00E3495D">
      <w:pPr>
        <w:spacing w:line="360" w:lineRule="auto"/>
        <w:ind w:right="51" w:firstLine="567"/>
        <w:jc w:val="both"/>
        <w:rPr>
          <w:rFonts w:ascii="Arial" w:hAnsi="Arial" w:cs="Arial"/>
          <w:color w:val="000000"/>
          <w:sz w:val="24"/>
          <w:szCs w:val="24"/>
        </w:rPr>
      </w:pPr>
      <w:r>
        <w:rPr>
          <w:rFonts w:ascii="Arial" w:eastAsia="Times New Roman" w:hAnsi="Arial" w:cs="Arial"/>
          <w:b/>
          <w:snapToGrid w:val="0"/>
          <w:sz w:val="24"/>
          <w:szCs w:val="24"/>
          <w:lang w:val="es-ES_tradnl" w:eastAsia="es-ES"/>
        </w:rPr>
        <w:t>DÉCIMO PRIMERO</w:t>
      </w:r>
      <w:r w:rsidR="008B7143">
        <w:rPr>
          <w:rFonts w:ascii="Arial" w:eastAsia="Times New Roman" w:hAnsi="Arial" w:cs="Arial"/>
          <w:b/>
          <w:snapToGrid w:val="0"/>
          <w:sz w:val="24"/>
          <w:szCs w:val="24"/>
          <w:lang w:val="es-ES_tradnl" w:eastAsia="es-ES"/>
        </w:rPr>
        <w:t xml:space="preserve">. </w:t>
      </w:r>
      <w:r>
        <w:rPr>
          <w:rFonts w:ascii="Arial" w:eastAsia="Times New Roman" w:hAnsi="Arial" w:cs="Arial"/>
          <w:snapToGrid w:val="0"/>
          <w:sz w:val="24"/>
          <w:szCs w:val="24"/>
          <w:lang w:val="es-ES_tradnl" w:eastAsia="es-ES"/>
        </w:rPr>
        <w:t>El uno de junio</w:t>
      </w:r>
      <w:r w:rsidR="008B7143" w:rsidRPr="00175DDE">
        <w:rPr>
          <w:rFonts w:ascii="Arial" w:eastAsia="Times New Roman" w:hAnsi="Arial" w:cs="Arial"/>
          <w:snapToGrid w:val="0"/>
          <w:sz w:val="24"/>
          <w:szCs w:val="24"/>
          <w:lang w:val="es-ES_tradnl" w:eastAsia="es-ES"/>
        </w:rPr>
        <w:t xml:space="preserve"> de</w:t>
      </w:r>
      <w:r w:rsidR="00175DDE" w:rsidRPr="00175DDE">
        <w:rPr>
          <w:rFonts w:ascii="Arial" w:eastAsia="Times New Roman" w:hAnsi="Arial" w:cs="Arial"/>
          <w:snapToGrid w:val="0"/>
          <w:sz w:val="24"/>
          <w:szCs w:val="24"/>
          <w:lang w:val="es-ES_tradnl" w:eastAsia="es-ES"/>
        </w:rPr>
        <w:t xml:space="preserve"> dos mil veintiuno</w:t>
      </w:r>
      <w:r w:rsidR="008B7143" w:rsidRPr="00175DDE">
        <w:rPr>
          <w:rFonts w:ascii="Arial" w:eastAsia="Times New Roman" w:hAnsi="Arial" w:cs="Arial"/>
          <w:snapToGrid w:val="0"/>
          <w:sz w:val="24"/>
          <w:szCs w:val="24"/>
          <w:lang w:val="es-ES_tradnl" w:eastAsia="es-ES"/>
        </w:rPr>
        <w:t>, se</w:t>
      </w:r>
      <w:r w:rsidR="000802F9" w:rsidRPr="00175DDE">
        <w:rPr>
          <w:rFonts w:ascii="Arial" w:eastAsia="Times New Roman" w:hAnsi="Arial" w:cs="Arial"/>
          <w:snapToGrid w:val="0"/>
          <w:sz w:val="24"/>
          <w:szCs w:val="24"/>
          <w:lang w:val="es-ES_tradnl" w:eastAsia="es-ES"/>
        </w:rPr>
        <w:t xml:space="preserve"> llevó a cabo la Audiencia de Ley, </w:t>
      </w:r>
      <w:r w:rsidR="000802F9" w:rsidRPr="00175DDE">
        <w:rPr>
          <w:rFonts w:ascii="Arial" w:eastAsia="Times New Roman" w:hAnsi="Arial" w:cs="Arial"/>
          <w:sz w:val="24"/>
          <w:szCs w:val="24"/>
          <w:lang w:eastAsia="es-ES"/>
        </w:rPr>
        <w:t xml:space="preserve">en la que </w:t>
      </w:r>
      <w:r>
        <w:rPr>
          <w:rFonts w:ascii="Arial" w:eastAsia="Times New Roman" w:hAnsi="Arial" w:cs="Arial"/>
          <w:sz w:val="24"/>
          <w:szCs w:val="24"/>
          <w:lang w:eastAsia="es-ES"/>
        </w:rPr>
        <w:t xml:space="preserve">compareció el actor, no así la autoridad demandada </w:t>
      </w:r>
      <w:r w:rsidR="000802F9" w:rsidRPr="00175DDE">
        <w:rPr>
          <w:rFonts w:ascii="Arial" w:eastAsia="Times New Roman" w:hAnsi="Arial" w:cs="Arial"/>
          <w:sz w:val="24"/>
          <w:szCs w:val="24"/>
          <w:lang w:eastAsia="es-ES"/>
        </w:rPr>
        <w:t xml:space="preserve">ni persona alguna que legalmente la representara; </w:t>
      </w:r>
      <w:r>
        <w:rPr>
          <w:rFonts w:ascii="Arial" w:eastAsia="Times New Roman" w:hAnsi="Arial" w:cs="Arial"/>
          <w:sz w:val="24"/>
          <w:szCs w:val="24"/>
          <w:lang w:eastAsia="es-ES"/>
        </w:rPr>
        <w:t>el actor formuló sus</w:t>
      </w:r>
      <w:r w:rsidR="00B37299" w:rsidRPr="00175DDE">
        <w:rPr>
          <w:rFonts w:ascii="Arial" w:eastAsia="Times New Roman" w:hAnsi="Arial" w:cs="Arial"/>
          <w:sz w:val="24"/>
          <w:szCs w:val="24"/>
          <w:lang w:eastAsia="es-ES"/>
        </w:rPr>
        <w:t xml:space="preserve"> alegatos</w:t>
      </w:r>
      <w:r>
        <w:rPr>
          <w:rFonts w:ascii="Arial" w:eastAsia="Times New Roman" w:hAnsi="Arial" w:cs="Arial"/>
          <w:sz w:val="24"/>
          <w:szCs w:val="24"/>
          <w:lang w:eastAsia="es-ES"/>
        </w:rPr>
        <w:t>, no así la autoridad demandada</w:t>
      </w:r>
      <w:r w:rsidR="00B37299" w:rsidRPr="00175DDE">
        <w:rPr>
          <w:rFonts w:ascii="Arial" w:eastAsia="Times New Roman" w:hAnsi="Arial" w:cs="Arial"/>
          <w:sz w:val="24"/>
          <w:szCs w:val="24"/>
          <w:lang w:eastAsia="es-ES"/>
        </w:rPr>
        <w:t xml:space="preserve"> y</w:t>
      </w:r>
      <w:r w:rsidR="000802F9" w:rsidRPr="00175DDE">
        <w:rPr>
          <w:rFonts w:ascii="Arial" w:eastAsia="Times New Roman" w:hAnsi="Arial" w:cs="Arial"/>
          <w:sz w:val="24"/>
          <w:szCs w:val="24"/>
          <w:lang w:eastAsia="es-ES"/>
        </w:rPr>
        <w:t xml:space="preserve"> </w:t>
      </w:r>
      <w:r w:rsidR="000802F9" w:rsidRPr="00175DDE">
        <w:rPr>
          <w:rFonts w:ascii="Arial" w:eastAsia="Times New Roman" w:hAnsi="Arial" w:cs="Arial"/>
          <w:sz w:val="24"/>
          <w:szCs w:val="24"/>
          <w:lang w:val="es-ES_tradnl" w:eastAsia="es-ES"/>
        </w:rPr>
        <w:t xml:space="preserve">se </w:t>
      </w:r>
      <w:r w:rsidR="00F13C7A">
        <w:rPr>
          <w:rFonts w:ascii="Arial" w:eastAsia="Times New Roman" w:hAnsi="Arial" w:cs="Arial"/>
          <w:sz w:val="24"/>
          <w:szCs w:val="24"/>
          <w:lang w:val="es-ES_tradnl" w:eastAsia="es-ES"/>
        </w:rPr>
        <w:t xml:space="preserve">les </w:t>
      </w:r>
      <w:r w:rsidR="000802F9" w:rsidRPr="00175DDE">
        <w:rPr>
          <w:rFonts w:ascii="Arial" w:eastAsia="Times New Roman" w:hAnsi="Arial" w:cs="Arial"/>
          <w:sz w:val="24"/>
          <w:szCs w:val="24"/>
          <w:lang w:val="es-ES_tradnl" w:eastAsia="es-ES"/>
        </w:rPr>
        <w:t>citó para oír sentenci</w:t>
      </w:r>
      <w:r w:rsidR="00B37299" w:rsidRPr="00175DDE">
        <w:rPr>
          <w:rFonts w:ascii="Arial" w:eastAsia="Times New Roman" w:hAnsi="Arial" w:cs="Arial"/>
          <w:sz w:val="24"/>
          <w:szCs w:val="24"/>
          <w:lang w:val="es-ES_tradnl" w:eastAsia="es-ES"/>
        </w:rPr>
        <w:t>a</w:t>
      </w:r>
      <w:r w:rsidR="00E3495D" w:rsidRPr="00175DDE">
        <w:rPr>
          <w:rFonts w:ascii="Arial" w:eastAsia="Times New Roman" w:hAnsi="Arial" w:cs="Arial"/>
          <w:sz w:val="24"/>
          <w:szCs w:val="24"/>
          <w:lang w:val="es-ES_tradnl" w:eastAsia="es-ES"/>
        </w:rPr>
        <w:t xml:space="preserve">, misma que ahora se dicta </w:t>
      </w:r>
      <w:r w:rsidR="00F13C7A">
        <w:rPr>
          <w:rFonts w:ascii="Arial" w:eastAsia="Times New Roman" w:hAnsi="Arial" w:cs="Arial"/>
          <w:sz w:val="24"/>
          <w:szCs w:val="24"/>
          <w:lang w:val="es-ES_tradnl" w:eastAsia="es-ES"/>
        </w:rPr>
        <w:t>en términos d</w:t>
      </w:r>
      <w:r w:rsidR="00E3495D" w:rsidRPr="00175DDE">
        <w:rPr>
          <w:rFonts w:ascii="Arial" w:eastAsia="Times New Roman" w:hAnsi="Arial" w:cs="Arial"/>
          <w:sz w:val="24"/>
          <w:szCs w:val="24"/>
          <w:lang w:val="es-ES_tradnl" w:eastAsia="es-ES"/>
        </w:rPr>
        <w:t>el artículo 205, de la Ley de Procedimiento y Justicia Administrativa para el Estado</w:t>
      </w:r>
      <w:r w:rsidR="004922E9" w:rsidRPr="00175DDE">
        <w:rPr>
          <w:rFonts w:ascii="Arial" w:hAnsi="Arial" w:cs="Arial"/>
          <w:color w:val="000000"/>
          <w:sz w:val="24"/>
          <w:szCs w:val="24"/>
        </w:rPr>
        <w:t xml:space="preserve">, </w:t>
      </w:r>
      <w:r w:rsidR="001E57CA" w:rsidRPr="00175DDE">
        <w:rPr>
          <w:rFonts w:ascii="Arial" w:hAnsi="Arial" w:cs="Arial"/>
          <w:color w:val="000000"/>
          <w:sz w:val="24"/>
          <w:szCs w:val="24"/>
        </w:rPr>
        <w:t xml:space="preserve">y; - - - - - - - - - - - - - - - - </w:t>
      </w:r>
      <w:r w:rsidR="00E3495D" w:rsidRPr="00175DDE">
        <w:rPr>
          <w:rFonts w:ascii="Arial" w:hAnsi="Arial" w:cs="Arial"/>
          <w:color w:val="000000"/>
          <w:sz w:val="24"/>
          <w:szCs w:val="24"/>
        </w:rPr>
        <w:t xml:space="preserve">- - </w:t>
      </w:r>
      <w:r w:rsidR="00F13C7A">
        <w:rPr>
          <w:rFonts w:ascii="Arial" w:hAnsi="Arial" w:cs="Arial"/>
          <w:color w:val="000000"/>
          <w:sz w:val="24"/>
          <w:szCs w:val="24"/>
        </w:rPr>
        <w:t xml:space="preserve">- - - - - - - - - - - - - </w:t>
      </w:r>
      <w:r w:rsidR="00D72B90">
        <w:rPr>
          <w:rFonts w:ascii="Arial" w:hAnsi="Arial" w:cs="Arial"/>
          <w:color w:val="000000"/>
          <w:sz w:val="24"/>
          <w:szCs w:val="24"/>
        </w:rPr>
        <w:t xml:space="preserve">- - - - - - </w:t>
      </w:r>
    </w:p>
    <w:p w14:paraId="30F311DF" w14:textId="77777777" w:rsidR="00FA5F9A" w:rsidRPr="00C97157" w:rsidRDefault="000802F9" w:rsidP="001E57CA">
      <w:pPr>
        <w:spacing w:line="360" w:lineRule="auto"/>
        <w:ind w:right="51"/>
        <w:jc w:val="center"/>
        <w:rPr>
          <w:rFonts w:ascii="Arial" w:eastAsia="Times New Roman" w:hAnsi="Arial" w:cs="Arial"/>
          <w:b/>
          <w:bCs/>
          <w:sz w:val="24"/>
          <w:szCs w:val="24"/>
          <w:lang w:val="es-ES_tradnl" w:eastAsia="es-ES"/>
        </w:rPr>
      </w:pPr>
      <w:r w:rsidRPr="00FC3A41">
        <w:rPr>
          <w:rFonts w:ascii="Arial" w:eastAsia="Times New Roman" w:hAnsi="Arial" w:cs="Arial"/>
          <w:b/>
          <w:bCs/>
          <w:sz w:val="24"/>
          <w:szCs w:val="24"/>
          <w:lang w:val="es-ES_tradnl" w:eastAsia="es-ES"/>
        </w:rPr>
        <w:t>C O N S I D E R A N D O:</w:t>
      </w:r>
    </w:p>
    <w:p w14:paraId="78016868" w14:textId="07530A2F" w:rsidR="00F71DEC" w:rsidRDefault="00E3495D" w:rsidP="00F71DEC">
      <w:pPr>
        <w:pStyle w:val="Textoindependienteprimerasangra"/>
        <w:spacing w:line="360" w:lineRule="auto"/>
        <w:ind w:firstLine="567"/>
        <w:jc w:val="both"/>
        <w:rPr>
          <w:rFonts w:ascii="Arial" w:hAnsi="Arial" w:cs="Arial"/>
          <w:sz w:val="24"/>
          <w:szCs w:val="24"/>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00F71DEC">
        <w:rPr>
          <w:rFonts w:ascii="Arial" w:eastAsia="Times New Roman" w:hAnsi="Arial" w:cs="Arial"/>
          <w:bCs/>
          <w:sz w:val="24"/>
          <w:szCs w:val="24"/>
          <w:lang w:val="es-ES" w:eastAsia="es-ES"/>
        </w:rPr>
        <w:t xml:space="preserve">Esta </w:t>
      </w:r>
      <w:r w:rsidR="00F71DEC">
        <w:rPr>
          <w:rFonts w:ascii="Arial" w:hAnsi="Arial" w:cs="Arial"/>
          <w:sz w:val="24"/>
          <w:szCs w:val="24"/>
        </w:rPr>
        <w:t xml:space="preserve">Cuarta Sala Unitaria de Primera Instancia del Tribunal de Justicia Administrativa del Estado, </w:t>
      </w:r>
      <w:r w:rsidR="00F71DEC">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w:t>
      </w:r>
      <w:r w:rsidR="005C111B">
        <w:rPr>
          <w:rFonts w:ascii="Arial" w:eastAsia="Times New Roman" w:hAnsi="Arial" w:cs="Arial"/>
          <w:bCs/>
          <w:sz w:val="24"/>
          <w:szCs w:val="24"/>
          <w:lang w:val="es-ES" w:eastAsia="es-ES"/>
        </w:rPr>
        <w:t>estatal</w:t>
      </w:r>
      <w:r w:rsidR="00F71DEC">
        <w:rPr>
          <w:rFonts w:ascii="Arial" w:eastAsia="Times New Roman" w:hAnsi="Arial" w:cs="Arial"/>
          <w:bCs/>
          <w:sz w:val="24"/>
          <w:szCs w:val="24"/>
          <w:lang w:val="es-ES" w:eastAsia="es-ES"/>
        </w:rPr>
        <w:t xml:space="preserve">, de conformidad con lo dispuesto por el artículo </w:t>
      </w:r>
      <w:r w:rsidR="00816435">
        <w:rPr>
          <w:rFonts w:ascii="Arial" w:eastAsia="Times New Roman" w:hAnsi="Arial" w:cs="Arial"/>
          <w:bCs/>
          <w:sz w:val="24"/>
          <w:szCs w:val="24"/>
          <w:lang w:val="es-ES" w:eastAsia="es-ES"/>
        </w:rPr>
        <w:t>11</w:t>
      </w:r>
      <w:r w:rsidR="008D48DF">
        <w:rPr>
          <w:rFonts w:ascii="Arial" w:eastAsia="Times New Roman" w:hAnsi="Arial" w:cs="Arial"/>
          <w:bCs/>
          <w:sz w:val="24"/>
          <w:szCs w:val="24"/>
          <w:lang w:val="es-ES" w:eastAsia="es-ES"/>
        </w:rPr>
        <w:t>6</w:t>
      </w:r>
      <w:r w:rsidR="00816435">
        <w:rPr>
          <w:rFonts w:ascii="Arial" w:eastAsia="Times New Roman" w:hAnsi="Arial" w:cs="Arial"/>
          <w:bCs/>
          <w:sz w:val="24"/>
          <w:szCs w:val="24"/>
          <w:lang w:val="es-ES" w:eastAsia="es-ES"/>
        </w:rPr>
        <w:t xml:space="preserve"> fracción V de la Constitución Política de los Estados Unidos Mexicanos, artículo </w:t>
      </w:r>
      <w:r w:rsidR="00F71DEC">
        <w:rPr>
          <w:rFonts w:ascii="Arial" w:eastAsia="Times New Roman" w:hAnsi="Arial" w:cs="Arial"/>
          <w:bCs/>
          <w:sz w:val="24"/>
          <w:szCs w:val="24"/>
          <w:lang w:val="es-ES" w:eastAsia="es-ES"/>
        </w:rPr>
        <w:t xml:space="preserve">114 QUÁTER, de </w:t>
      </w:r>
      <w:r w:rsidR="00F71DEC">
        <w:rPr>
          <w:rFonts w:ascii="Arial" w:hAnsi="Arial" w:cs="Arial"/>
          <w:sz w:val="24"/>
          <w:szCs w:val="24"/>
        </w:rPr>
        <w:t xml:space="preserve">la Constitución Política del Estado Libre y Soberano de Oaxaca, en relación con los artículos 119, 120 fracción IV, 129, 132 </w:t>
      </w:r>
      <w:r w:rsidR="00F71DEC">
        <w:rPr>
          <w:rFonts w:ascii="Arial" w:hAnsi="Arial" w:cs="Arial"/>
          <w:sz w:val="24"/>
          <w:szCs w:val="24"/>
        </w:rPr>
        <w:lastRenderedPageBreak/>
        <w:t>fracciones I y II, 133 fracciones I a la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 y los artículos 4 fracción X, 35 fracción II, 36 fracción I, de la Ley Orgánica del Tribunal de Justicia Administrativa del Estado, publicada en el Extra del Periódico Oficial del Estado, el siete de noviembre de dos mil diecinueve.</w:t>
      </w:r>
    </w:p>
    <w:p w14:paraId="38D2D000" w14:textId="77EFB6D5" w:rsidR="00272325" w:rsidRDefault="000802F9" w:rsidP="00272325">
      <w:pPr>
        <w:spacing w:line="360" w:lineRule="auto"/>
        <w:ind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sidR="00272325">
        <w:rPr>
          <w:rFonts w:ascii="Arial" w:eastAsia="Times New Roman" w:hAnsi="Arial" w:cs="Arial"/>
          <w:b/>
          <w:sz w:val="24"/>
          <w:szCs w:val="24"/>
          <w:lang w:val="es-ES_tradnl" w:eastAsia="es-ES"/>
        </w:rPr>
        <w:t xml:space="preserve">Personalidad. </w:t>
      </w:r>
      <w:r w:rsidR="00272325">
        <w:rPr>
          <w:rFonts w:ascii="Arial" w:eastAsia="Times New Roman" w:hAnsi="Arial" w:cs="Arial"/>
          <w:sz w:val="24"/>
          <w:szCs w:val="24"/>
          <w:lang w:val="es-ES_tradnl" w:eastAsia="es-ES"/>
        </w:rPr>
        <w:t xml:space="preserve">La personalidad de la </w:t>
      </w:r>
      <w:r w:rsidR="00272325">
        <w:rPr>
          <w:rFonts w:ascii="Arial" w:eastAsia="Times New Roman" w:hAnsi="Arial" w:cs="Arial"/>
          <w:b/>
          <w:sz w:val="24"/>
          <w:szCs w:val="24"/>
          <w:lang w:val="es-ES_tradnl" w:eastAsia="es-ES"/>
        </w:rPr>
        <w:t xml:space="preserve">actora </w:t>
      </w:r>
      <w:r w:rsidR="00272325">
        <w:rPr>
          <w:rFonts w:ascii="Arial" w:eastAsia="Times New Roman" w:hAnsi="Arial" w:cs="Arial"/>
          <w:sz w:val="24"/>
          <w:szCs w:val="24"/>
          <w:lang w:val="es-ES_tradnl" w:eastAsia="es-ES"/>
        </w:rPr>
        <w:t xml:space="preserve">quedó acreditada en términos del artículo 148, de la Ley de Procedimiento y Justicia Administrativa para el Estado, ya que promueve por su propio derecho; y la </w:t>
      </w:r>
      <w:r w:rsidR="00272325">
        <w:rPr>
          <w:rFonts w:ascii="Arial" w:eastAsia="Times New Roman" w:hAnsi="Arial" w:cs="Arial"/>
          <w:b/>
          <w:sz w:val="24"/>
          <w:szCs w:val="24"/>
          <w:lang w:val="es-ES_tradnl" w:eastAsia="es-ES"/>
        </w:rPr>
        <w:t xml:space="preserve">autoridad demandada, </w:t>
      </w:r>
      <w:r w:rsidR="00272325">
        <w:rPr>
          <w:rFonts w:ascii="Arial" w:eastAsia="Times New Roman" w:hAnsi="Arial" w:cs="Arial"/>
          <w:sz w:val="24"/>
          <w:szCs w:val="24"/>
          <w:lang w:val="es-ES_tradnl" w:eastAsia="es-ES"/>
        </w:rPr>
        <w:t>la acreditó en términos del artículo 151 de la Ley citada.</w:t>
      </w:r>
    </w:p>
    <w:p w14:paraId="5D24594C" w14:textId="2CAFDFCE" w:rsidR="00204F27" w:rsidRDefault="00204F27" w:rsidP="00204F27">
      <w:pPr>
        <w:spacing w:line="360" w:lineRule="auto"/>
        <w:ind w:firstLine="567"/>
        <w:jc w:val="both"/>
        <w:rPr>
          <w:rFonts w:ascii="Arial" w:eastAsia="Times New Roman" w:hAnsi="Arial" w:cs="Arial"/>
          <w:bCs/>
          <w:sz w:val="24"/>
          <w:szCs w:val="24"/>
          <w:lang w:eastAsia="es-ES"/>
        </w:rPr>
      </w:pPr>
      <w:r>
        <w:rPr>
          <w:rFonts w:ascii="Arial" w:eastAsia="Times New Roman" w:hAnsi="Arial" w:cs="Arial"/>
          <w:b/>
          <w:sz w:val="24"/>
          <w:szCs w:val="24"/>
          <w:lang w:val="es-ES_tradnl" w:eastAsia="es-ES"/>
        </w:rPr>
        <w:t>TERCERO. Causales de</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improcedencia y sobreseimiento. </w:t>
      </w:r>
      <w:r>
        <w:rPr>
          <w:rFonts w:ascii="Arial" w:eastAsia="Times New Roman" w:hAnsi="Arial" w:cs="Arial"/>
          <w:sz w:val="24"/>
          <w:szCs w:val="24"/>
          <w:lang w:val="es-ES_tradnl" w:eastAsia="es-ES"/>
        </w:rPr>
        <w:t>Por ser</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Pr>
          <w:rFonts w:ascii="Arial" w:eastAsia="Times New Roman" w:hAnsi="Arial" w:cs="Arial"/>
          <w:bCs/>
          <w:sz w:val="24"/>
          <w:szCs w:val="24"/>
          <w:lang w:eastAsia="es-ES"/>
        </w:rPr>
        <w:t>ya que, de actualizarse las hipótesis normativas, ello impide la resolución de fondo del asunto y deberá decretarse su sobreseimiento, en los términos de los artículos 161 y 162, de la ley de la materia.</w:t>
      </w:r>
    </w:p>
    <w:p w14:paraId="7229ABF0" w14:textId="3088A0A0" w:rsidR="00204F27" w:rsidRDefault="00204F27" w:rsidP="00204F27">
      <w:pPr>
        <w:spacing w:line="360" w:lineRule="auto"/>
        <w:ind w:firstLine="567"/>
        <w:jc w:val="both"/>
        <w:rPr>
          <w:rFonts w:ascii="Arial" w:eastAsia="Times New Roman" w:hAnsi="Arial" w:cs="Arial"/>
          <w:b/>
          <w:sz w:val="24"/>
          <w:szCs w:val="24"/>
          <w:lang w:eastAsia="es-ES"/>
        </w:rPr>
      </w:pPr>
      <w:r>
        <w:rPr>
          <w:rFonts w:ascii="Arial" w:eastAsia="Times New Roman" w:hAnsi="Arial" w:cs="Arial"/>
          <w:bCs/>
          <w:sz w:val="24"/>
          <w:szCs w:val="24"/>
          <w:lang w:eastAsia="es-ES"/>
        </w:rPr>
        <w:t>Este Juz</w:t>
      </w:r>
      <w:r w:rsidR="0059569F">
        <w:rPr>
          <w:rFonts w:ascii="Arial" w:eastAsia="Times New Roman" w:hAnsi="Arial" w:cs="Arial"/>
          <w:bCs/>
          <w:sz w:val="24"/>
          <w:szCs w:val="24"/>
          <w:lang w:eastAsia="es-ES"/>
        </w:rPr>
        <w:t xml:space="preserve">gador de autos advierte, que no se actualiza ninguna causal de improcedencia y sobreseimiento, por lo que </w:t>
      </w:r>
      <w:r w:rsidR="0059569F">
        <w:rPr>
          <w:rFonts w:ascii="Arial" w:eastAsia="Times New Roman" w:hAnsi="Arial" w:cs="Arial"/>
          <w:b/>
          <w:sz w:val="24"/>
          <w:szCs w:val="24"/>
          <w:lang w:eastAsia="es-ES"/>
        </w:rPr>
        <w:t>NO SE SOBRESEE EL JUICIO.</w:t>
      </w:r>
    </w:p>
    <w:p w14:paraId="6375C85C" w14:textId="3927AE16" w:rsidR="00190CC9" w:rsidRDefault="0059569F" w:rsidP="0059569F">
      <w:pPr>
        <w:spacing w:line="360" w:lineRule="auto"/>
        <w:ind w:firstLine="567"/>
        <w:jc w:val="both"/>
        <w:rPr>
          <w:rFonts w:ascii="Arial" w:eastAsia="Times New Roman" w:hAnsi="Arial" w:cs="Arial"/>
          <w:bCs/>
          <w:sz w:val="24"/>
          <w:szCs w:val="24"/>
          <w:lang w:eastAsia="es-ES"/>
        </w:rPr>
      </w:pPr>
      <w:r>
        <w:rPr>
          <w:rFonts w:ascii="Arial" w:eastAsia="Times New Roman" w:hAnsi="Arial" w:cs="Arial"/>
          <w:b/>
          <w:sz w:val="24"/>
          <w:szCs w:val="24"/>
          <w:lang w:eastAsia="es-ES"/>
        </w:rPr>
        <w:t xml:space="preserve">CUARTO. Excepciones. </w:t>
      </w:r>
      <w:r>
        <w:rPr>
          <w:rFonts w:ascii="Arial" w:eastAsia="Times New Roman" w:hAnsi="Arial" w:cs="Arial"/>
          <w:bCs/>
          <w:sz w:val="24"/>
          <w:szCs w:val="24"/>
          <w:lang w:eastAsia="es-ES"/>
        </w:rPr>
        <w:t xml:space="preserve">La autoridad demandada </w:t>
      </w:r>
      <w:r>
        <w:rPr>
          <w:rFonts w:ascii="Arial" w:eastAsia="Times New Roman" w:hAnsi="Arial" w:cs="Arial"/>
          <w:b/>
          <w:sz w:val="24"/>
          <w:szCs w:val="24"/>
          <w:lang w:eastAsia="es-ES"/>
        </w:rPr>
        <w:t>Oficial Mayor de la Fiscalía General del Estado</w:t>
      </w:r>
      <w:r>
        <w:rPr>
          <w:rFonts w:ascii="Arial" w:eastAsia="Times New Roman" w:hAnsi="Arial" w:cs="Arial"/>
          <w:bCs/>
          <w:sz w:val="24"/>
          <w:szCs w:val="24"/>
          <w:lang w:eastAsia="es-ES"/>
        </w:rPr>
        <w:t xml:space="preserve">, al momento de contestar su demanda de nulidad hizo valer como excepciones: </w:t>
      </w:r>
      <w:r>
        <w:rPr>
          <w:rFonts w:ascii="Arial" w:eastAsia="Times New Roman" w:hAnsi="Arial" w:cs="Arial"/>
          <w:b/>
          <w:sz w:val="24"/>
          <w:szCs w:val="24"/>
          <w:lang w:eastAsia="es-ES"/>
        </w:rPr>
        <w:t xml:space="preserve">a) </w:t>
      </w:r>
      <w:r>
        <w:rPr>
          <w:rFonts w:ascii="Arial" w:eastAsia="Times New Roman" w:hAnsi="Arial" w:cs="Arial"/>
          <w:bCs/>
          <w:sz w:val="24"/>
          <w:szCs w:val="24"/>
          <w:lang w:eastAsia="es-ES"/>
        </w:rPr>
        <w:t xml:space="preserve">la de reconocimiento y validez del oficio </w:t>
      </w:r>
      <w:r w:rsidR="00BA12F1">
        <w:rPr>
          <w:rFonts w:ascii="Arial" w:hAnsi="Arial" w:cs="Arial"/>
          <w:b/>
          <w:sz w:val="24"/>
          <w:szCs w:val="24"/>
          <w:lang w:eastAsia="es-ES"/>
        </w:rPr>
        <w:t>**********</w:t>
      </w:r>
      <w:r>
        <w:rPr>
          <w:rFonts w:ascii="Arial" w:eastAsia="Times New Roman" w:hAnsi="Arial" w:cs="Arial"/>
          <w:bCs/>
          <w:sz w:val="24"/>
          <w:szCs w:val="24"/>
          <w:lang w:eastAsia="es-ES"/>
        </w:rPr>
        <w:t xml:space="preserve">, de dieciocho de febrero de dos mil diecinueve; y </w:t>
      </w:r>
      <w:r>
        <w:rPr>
          <w:rFonts w:ascii="Arial" w:eastAsia="Times New Roman" w:hAnsi="Arial" w:cs="Arial"/>
          <w:b/>
          <w:sz w:val="24"/>
          <w:szCs w:val="24"/>
          <w:lang w:eastAsia="es-ES"/>
        </w:rPr>
        <w:t xml:space="preserve">b) </w:t>
      </w:r>
      <w:r>
        <w:rPr>
          <w:rFonts w:ascii="Arial" w:eastAsia="Times New Roman" w:hAnsi="Arial" w:cs="Arial"/>
          <w:bCs/>
          <w:sz w:val="24"/>
          <w:szCs w:val="24"/>
          <w:lang w:eastAsia="es-ES"/>
        </w:rPr>
        <w:t xml:space="preserve">la de improcedencia de las prestaciones reclamadas en los incisos </w:t>
      </w:r>
      <w:r>
        <w:rPr>
          <w:rFonts w:ascii="Arial" w:eastAsia="Times New Roman" w:hAnsi="Arial" w:cs="Arial"/>
          <w:b/>
          <w:sz w:val="24"/>
          <w:szCs w:val="24"/>
          <w:lang w:eastAsia="es-ES"/>
        </w:rPr>
        <w:t>a) y b)</w:t>
      </w:r>
      <w:r>
        <w:rPr>
          <w:rFonts w:ascii="Arial" w:eastAsia="Times New Roman" w:hAnsi="Arial" w:cs="Arial"/>
          <w:bCs/>
          <w:sz w:val="24"/>
          <w:szCs w:val="24"/>
          <w:lang w:eastAsia="es-ES"/>
        </w:rPr>
        <w:t xml:space="preserve"> del escrito de demandada. </w:t>
      </w:r>
    </w:p>
    <w:p w14:paraId="163924BD" w14:textId="51CFBB71" w:rsidR="003864CF" w:rsidRDefault="003864CF" w:rsidP="0059569F">
      <w:pPr>
        <w:spacing w:line="360" w:lineRule="auto"/>
        <w:ind w:firstLine="567"/>
        <w:jc w:val="both"/>
        <w:rPr>
          <w:rFonts w:ascii="Arial" w:eastAsia="Times New Roman" w:hAnsi="Arial" w:cs="Arial"/>
          <w:bCs/>
          <w:sz w:val="24"/>
          <w:szCs w:val="24"/>
          <w:lang w:eastAsia="es-ES"/>
        </w:rPr>
      </w:pPr>
      <w:r>
        <w:rPr>
          <w:rFonts w:ascii="Arial" w:eastAsia="Times New Roman" w:hAnsi="Arial" w:cs="Arial"/>
          <w:b/>
          <w:sz w:val="24"/>
          <w:szCs w:val="24"/>
          <w:lang w:eastAsia="es-ES"/>
        </w:rPr>
        <w:t>Sin embargo</w:t>
      </w:r>
      <w:r>
        <w:rPr>
          <w:rFonts w:ascii="Arial" w:eastAsia="Times New Roman" w:hAnsi="Arial" w:cs="Arial"/>
          <w:bCs/>
          <w:sz w:val="24"/>
          <w:szCs w:val="24"/>
          <w:lang w:eastAsia="es-ES"/>
        </w:rPr>
        <w:t xml:space="preserve">, dada la naturaleza de las excepciones planteadas por la demandada, estas serán estudiadas en el considerando relativo al fondo del asunto, en donde se analizará la legalidad o ilegalidad del </w:t>
      </w:r>
      <w:r w:rsidR="003B6626">
        <w:rPr>
          <w:rFonts w:ascii="Arial" w:eastAsia="Times New Roman" w:hAnsi="Arial" w:cs="Arial"/>
          <w:bCs/>
          <w:sz w:val="24"/>
          <w:szCs w:val="24"/>
          <w:lang w:eastAsia="es-ES"/>
        </w:rPr>
        <w:t xml:space="preserve">oficio </w:t>
      </w:r>
      <w:r w:rsidR="00BA12F1">
        <w:rPr>
          <w:rFonts w:ascii="Arial" w:hAnsi="Arial" w:cs="Arial"/>
          <w:b/>
          <w:sz w:val="24"/>
          <w:szCs w:val="24"/>
          <w:lang w:eastAsia="es-ES"/>
        </w:rPr>
        <w:t>**********</w:t>
      </w:r>
      <w:r w:rsidR="003B6626">
        <w:rPr>
          <w:rFonts w:ascii="Arial" w:eastAsia="Times New Roman" w:hAnsi="Arial" w:cs="Arial"/>
          <w:bCs/>
          <w:sz w:val="24"/>
          <w:szCs w:val="24"/>
          <w:lang w:eastAsia="es-ES"/>
        </w:rPr>
        <w:t>, de dieciocho de febrero de dos mil diecinueve y como consecuencia las prestaciones reclamadas por el actor.</w:t>
      </w:r>
    </w:p>
    <w:p w14:paraId="2D21F8AF" w14:textId="69ED9E43" w:rsidR="00443E64" w:rsidRDefault="00443E64" w:rsidP="0059569F">
      <w:pPr>
        <w:spacing w:line="360" w:lineRule="auto"/>
        <w:ind w:firstLine="567"/>
        <w:jc w:val="both"/>
        <w:rPr>
          <w:rFonts w:ascii="Arial" w:eastAsia="Times New Roman" w:hAnsi="Arial" w:cs="Arial"/>
          <w:bCs/>
          <w:sz w:val="24"/>
          <w:szCs w:val="24"/>
          <w:lang w:eastAsia="es-ES"/>
        </w:rPr>
      </w:pPr>
      <w:r>
        <w:rPr>
          <w:rFonts w:ascii="Arial" w:eastAsia="Times New Roman" w:hAnsi="Arial" w:cs="Arial"/>
          <w:b/>
          <w:sz w:val="24"/>
          <w:szCs w:val="24"/>
          <w:lang w:eastAsia="es-ES"/>
        </w:rPr>
        <w:t>QUINTO. Fijación de los puntos controvertidos</w:t>
      </w:r>
      <w:r w:rsidR="00F16096">
        <w:rPr>
          <w:rFonts w:ascii="Arial" w:eastAsia="Times New Roman" w:hAnsi="Arial" w:cs="Arial"/>
          <w:b/>
          <w:sz w:val="24"/>
          <w:szCs w:val="24"/>
          <w:lang w:eastAsia="es-ES"/>
        </w:rPr>
        <w:t xml:space="preserve"> y valoración de las pruebas.</w:t>
      </w:r>
      <w:r w:rsidR="006E055B">
        <w:rPr>
          <w:rFonts w:ascii="Arial" w:eastAsia="Times New Roman" w:hAnsi="Arial" w:cs="Arial"/>
          <w:b/>
          <w:sz w:val="24"/>
          <w:szCs w:val="24"/>
          <w:lang w:eastAsia="es-ES"/>
        </w:rPr>
        <w:t xml:space="preserve"> </w:t>
      </w:r>
      <w:r w:rsidR="007679A0">
        <w:rPr>
          <w:rFonts w:ascii="Arial" w:eastAsia="Times New Roman" w:hAnsi="Arial" w:cs="Arial"/>
          <w:bCs/>
          <w:sz w:val="24"/>
          <w:szCs w:val="24"/>
          <w:lang w:eastAsia="es-ES"/>
        </w:rPr>
        <w:t xml:space="preserve">El artículo 207 de la Ley de Procedimiento y Justicia Administrativa para el Estado, dispone que en la sentencia </w:t>
      </w:r>
      <w:r w:rsidR="00F16096">
        <w:rPr>
          <w:rFonts w:ascii="Arial" w:eastAsia="Times New Roman" w:hAnsi="Arial" w:cs="Arial"/>
          <w:bCs/>
          <w:sz w:val="24"/>
          <w:szCs w:val="24"/>
          <w:lang w:eastAsia="es-ES"/>
        </w:rPr>
        <w:t xml:space="preserve">definitiva </w:t>
      </w:r>
      <w:r w:rsidR="007679A0">
        <w:rPr>
          <w:rFonts w:ascii="Arial" w:eastAsia="Times New Roman" w:hAnsi="Arial" w:cs="Arial"/>
          <w:bCs/>
          <w:sz w:val="24"/>
          <w:szCs w:val="24"/>
          <w:lang w:eastAsia="es-ES"/>
        </w:rPr>
        <w:t>el Juzgador deberá de realizar una fijación de los puntos controvertidos por las partes</w:t>
      </w:r>
      <w:r w:rsidR="00F16096">
        <w:rPr>
          <w:rFonts w:ascii="Arial" w:eastAsia="Times New Roman" w:hAnsi="Arial" w:cs="Arial"/>
          <w:bCs/>
          <w:sz w:val="24"/>
          <w:szCs w:val="24"/>
          <w:lang w:eastAsia="es-ES"/>
        </w:rPr>
        <w:t xml:space="preserve"> y valorar las pruebas ofrecidas por estas.</w:t>
      </w:r>
    </w:p>
    <w:p w14:paraId="0B0FBDD8" w14:textId="23944B55" w:rsidR="000108B5" w:rsidRDefault="007679A0" w:rsidP="0059569F">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En ese sentido</w:t>
      </w:r>
      <w:r w:rsidR="00F16096">
        <w:rPr>
          <w:rFonts w:ascii="Arial" w:eastAsia="Times New Roman" w:hAnsi="Arial" w:cs="Arial"/>
          <w:bCs/>
          <w:sz w:val="24"/>
          <w:szCs w:val="24"/>
          <w:lang w:eastAsia="es-ES"/>
        </w:rPr>
        <w:t xml:space="preserve">, el actor </w:t>
      </w:r>
      <w:r w:rsidR="00BA12F1">
        <w:rPr>
          <w:rFonts w:ascii="Arial" w:hAnsi="Arial" w:cs="Arial"/>
          <w:b/>
          <w:sz w:val="24"/>
          <w:szCs w:val="24"/>
          <w:lang w:eastAsia="es-ES"/>
        </w:rPr>
        <w:t>**********</w:t>
      </w:r>
      <w:r w:rsidR="00F16096">
        <w:rPr>
          <w:rFonts w:ascii="Arial" w:eastAsia="Times New Roman" w:hAnsi="Arial" w:cs="Arial"/>
          <w:bCs/>
          <w:sz w:val="24"/>
          <w:szCs w:val="24"/>
          <w:lang w:eastAsia="es-ES"/>
        </w:rPr>
        <w:t xml:space="preserve">, demandó la nulidad del contenido del oficio número </w:t>
      </w:r>
      <w:r w:rsidR="00BA12F1">
        <w:rPr>
          <w:rFonts w:ascii="Arial" w:hAnsi="Arial" w:cs="Arial"/>
          <w:b/>
          <w:sz w:val="24"/>
          <w:szCs w:val="24"/>
          <w:lang w:eastAsia="es-ES"/>
        </w:rPr>
        <w:t>**********</w:t>
      </w:r>
      <w:r w:rsidR="00F16096">
        <w:rPr>
          <w:rFonts w:ascii="Arial" w:eastAsia="Times New Roman" w:hAnsi="Arial" w:cs="Arial"/>
          <w:bCs/>
          <w:sz w:val="24"/>
          <w:szCs w:val="24"/>
          <w:lang w:eastAsia="es-ES"/>
        </w:rPr>
        <w:t xml:space="preserve">, de dieciocho de febrero de dos mil diecinueve, </w:t>
      </w:r>
      <w:r w:rsidR="0021516B">
        <w:rPr>
          <w:rFonts w:ascii="Arial" w:eastAsia="Times New Roman" w:hAnsi="Arial" w:cs="Arial"/>
          <w:bCs/>
          <w:sz w:val="24"/>
          <w:szCs w:val="24"/>
          <w:lang w:eastAsia="es-ES"/>
        </w:rPr>
        <w:t xml:space="preserve">emitido por el Oficial Mayor de la Fiscalía General del Estado, </w:t>
      </w:r>
      <w:r w:rsidR="000108B5">
        <w:rPr>
          <w:rFonts w:ascii="Arial" w:eastAsia="Times New Roman" w:hAnsi="Arial" w:cs="Arial"/>
          <w:bCs/>
          <w:sz w:val="24"/>
          <w:szCs w:val="24"/>
          <w:lang w:eastAsia="es-ES"/>
        </w:rPr>
        <w:t xml:space="preserve">por medio del cual se le dio a </w:t>
      </w:r>
      <w:r w:rsidR="000108B5">
        <w:rPr>
          <w:rFonts w:ascii="Arial" w:eastAsia="Times New Roman" w:hAnsi="Arial" w:cs="Arial"/>
          <w:bCs/>
          <w:sz w:val="24"/>
          <w:szCs w:val="24"/>
          <w:lang w:eastAsia="es-ES"/>
        </w:rPr>
        <w:lastRenderedPageBreak/>
        <w:t xml:space="preserve">conocer el motivo por el cual se suspendió el pago de la prestación </w:t>
      </w:r>
      <w:r w:rsidR="005822FD">
        <w:rPr>
          <w:rFonts w:ascii="Arial" w:eastAsia="Times New Roman" w:hAnsi="Arial" w:cs="Arial"/>
          <w:bCs/>
          <w:sz w:val="24"/>
          <w:szCs w:val="24"/>
          <w:lang w:eastAsia="es-ES"/>
        </w:rPr>
        <w:t>denominada “Ayudas de confianza</w:t>
      </w:r>
      <w:r w:rsidR="000108B5">
        <w:rPr>
          <w:rFonts w:ascii="Arial" w:eastAsia="Times New Roman" w:hAnsi="Arial" w:cs="Arial"/>
          <w:bCs/>
          <w:sz w:val="24"/>
          <w:szCs w:val="24"/>
          <w:lang w:eastAsia="es-ES"/>
        </w:rPr>
        <w:t xml:space="preserve"> (Homologación)</w:t>
      </w:r>
      <w:r w:rsidR="005822FD">
        <w:rPr>
          <w:rFonts w:ascii="Arial" w:eastAsia="Times New Roman" w:hAnsi="Arial" w:cs="Arial"/>
          <w:bCs/>
          <w:sz w:val="24"/>
          <w:szCs w:val="24"/>
          <w:lang w:eastAsia="es-ES"/>
        </w:rPr>
        <w:t>”</w:t>
      </w:r>
      <w:r w:rsidR="000108B5">
        <w:rPr>
          <w:rFonts w:ascii="Arial" w:eastAsia="Times New Roman" w:hAnsi="Arial" w:cs="Arial"/>
          <w:bCs/>
          <w:sz w:val="24"/>
          <w:szCs w:val="24"/>
          <w:lang w:eastAsia="es-ES"/>
        </w:rPr>
        <w:t>.</w:t>
      </w:r>
    </w:p>
    <w:p w14:paraId="544BCF4E" w14:textId="1BEB0F08" w:rsidR="007679A0" w:rsidRDefault="000108B5" w:rsidP="0059569F">
      <w:pPr>
        <w:spacing w:line="360" w:lineRule="auto"/>
        <w:ind w:firstLine="567"/>
        <w:jc w:val="both"/>
        <w:rPr>
          <w:rFonts w:ascii="Arial" w:hAnsi="Arial" w:cs="Arial"/>
          <w:sz w:val="24"/>
          <w:szCs w:val="24"/>
        </w:rPr>
      </w:pPr>
      <w:r>
        <w:rPr>
          <w:rFonts w:ascii="Arial" w:eastAsia="Times New Roman" w:hAnsi="Arial" w:cs="Arial"/>
          <w:bCs/>
          <w:sz w:val="24"/>
          <w:szCs w:val="24"/>
          <w:lang w:eastAsia="es-ES"/>
        </w:rPr>
        <w:t>Ofrecien</w:t>
      </w:r>
      <w:r w:rsidR="005822FD">
        <w:rPr>
          <w:rFonts w:ascii="Arial" w:eastAsia="Times New Roman" w:hAnsi="Arial" w:cs="Arial"/>
          <w:bCs/>
          <w:sz w:val="24"/>
          <w:szCs w:val="24"/>
          <w:lang w:eastAsia="es-ES"/>
        </w:rPr>
        <w:t xml:space="preserve">do como pruebas las siguientes: </w:t>
      </w:r>
      <w:r w:rsidR="00C92BA0" w:rsidRPr="004C57C4">
        <w:rPr>
          <w:rFonts w:ascii="Arial" w:hAnsi="Arial" w:cs="Arial"/>
          <w:b/>
          <w:sz w:val="24"/>
          <w:szCs w:val="24"/>
        </w:rPr>
        <w:t>1.</w:t>
      </w:r>
      <w:r w:rsidR="00C92BA0">
        <w:rPr>
          <w:rFonts w:ascii="Arial" w:hAnsi="Arial" w:cs="Arial"/>
          <w:b/>
          <w:sz w:val="24"/>
          <w:szCs w:val="24"/>
        </w:rPr>
        <w:t xml:space="preserve"> Documental pública.</w:t>
      </w:r>
      <w:r w:rsidR="00C92BA0">
        <w:rPr>
          <w:rFonts w:ascii="Arial" w:hAnsi="Arial" w:cs="Arial"/>
          <w:sz w:val="24"/>
          <w:szCs w:val="24"/>
        </w:rPr>
        <w:t xml:space="preserve">  Consistente en el original del oficio número </w:t>
      </w:r>
      <w:r w:rsidR="00BA12F1">
        <w:rPr>
          <w:rFonts w:ascii="Arial" w:hAnsi="Arial" w:cs="Arial"/>
          <w:b/>
          <w:sz w:val="24"/>
          <w:szCs w:val="24"/>
          <w:lang w:eastAsia="es-ES"/>
        </w:rPr>
        <w:t>**********</w:t>
      </w:r>
      <w:r w:rsidR="005822FD">
        <w:rPr>
          <w:rFonts w:ascii="Arial" w:hAnsi="Arial" w:cs="Arial"/>
          <w:sz w:val="24"/>
          <w:szCs w:val="24"/>
        </w:rPr>
        <w:t xml:space="preserve">, de dieciocho de febrero de </w:t>
      </w:r>
      <w:r w:rsidR="00C92BA0">
        <w:rPr>
          <w:rFonts w:ascii="Arial" w:hAnsi="Arial" w:cs="Arial"/>
          <w:sz w:val="24"/>
          <w:szCs w:val="24"/>
        </w:rPr>
        <w:t xml:space="preserve">dos mil diecinueve; </w:t>
      </w:r>
      <w:r w:rsidR="00C92BA0">
        <w:rPr>
          <w:rFonts w:ascii="Arial" w:hAnsi="Arial" w:cs="Arial"/>
          <w:b/>
          <w:sz w:val="24"/>
          <w:szCs w:val="24"/>
        </w:rPr>
        <w:t>2. La instrumental de actuaciones; y 3. La presuncional legal y humana</w:t>
      </w:r>
      <w:r w:rsidR="00C92BA0">
        <w:rPr>
          <w:rFonts w:ascii="Arial" w:hAnsi="Arial" w:cs="Arial"/>
          <w:sz w:val="24"/>
          <w:szCs w:val="24"/>
        </w:rPr>
        <w:t xml:space="preserve">; la prueba marcada con el número </w:t>
      </w:r>
      <w:r w:rsidR="00C92BA0" w:rsidRPr="00333419">
        <w:rPr>
          <w:rFonts w:ascii="Arial" w:hAnsi="Arial" w:cs="Arial"/>
          <w:b/>
          <w:bCs/>
          <w:sz w:val="24"/>
          <w:szCs w:val="24"/>
        </w:rPr>
        <w:t>1</w:t>
      </w:r>
      <w:r w:rsidR="00C92BA0">
        <w:rPr>
          <w:rFonts w:ascii="Arial" w:hAnsi="Arial" w:cs="Arial"/>
          <w:sz w:val="24"/>
          <w:szCs w:val="24"/>
        </w:rPr>
        <w:t>, hace prueba plena al ser un documento emitido por un servidor público en ejercicio de sus funciones</w:t>
      </w:r>
      <w:r w:rsidR="00333419">
        <w:rPr>
          <w:rFonts w:ascii="Arial" w:hAnsi="Arial" w:cs="Arial"/>
          <w:sz w:val="24"/>
          <w:szCs w:val="24"/>
        </w:rPr>
        <w:t xml:space="preserve">; y las pruebas marcadas con los números </w:t>
      </w:r>
      <w:r w:rsidR="00333419">
        <w:rPr>
          <w:rFonts w:ascii="Arial" w:hAnsi="Arial" w:cs="Arial"/>
          <w:b/>
          <w:bCs/>
          <w:sz w:val="24"/>
          <w:szCs w:val="24"/>
        </w:rPr>
        <w:t xml:space="preserve">2 y 3 </w:t>
      </w:r>
      <w:r w:rsidR="00333419">
        <w:rPr>
          <w:rFonts w:ascii="Arial" w:hAnsi="Arial" w:cs="Arial"/>
          <w:sz w:val="24"/>
          <w:szCs w:val="24"/>
        </w:rPr>
        <w:t>se desahogan por su propia y especial naturaleza, lo anterior en términos de las fracciones I y II del artículo 203 de la Ley de Procedimiento y Justicia Administrativa del Estado.</w:t>
      </w:r>
    </w:p>
    <w:p w14:paraId="61C72402" w14:textId="28A2971C" w:rsidR="00333419" w:rsidRDefault="00BC367D" w:rsidP="0059569F">
      <w:pPr>
        <w:spacing w:line="360" w:lineRule="auto"/>
        <w:ind w:firstLine="567"/>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Por su parte, la </w:t>
      </w:r>
      <w:r>
        <w:rPr>
          <w:rFonts w:ascii="Arial" w:eastAsia="Times New Roman" w:hAnsi="Arial" w:cs="Arial"/>
          <w:b/>
          <w:bCs/>
          <w:sz w:val="24"/>
          <w:szCs w:val="24"/>
          <w:lang w:eastAsia="es-ES"/>
        </w:rPr>
        <w:t xml:space="preserve">autoridad demandada </w:t>
      </w:r>
      <w:r>
        <w:rPr>
          <w:rFonts w:ascii="Arial" w:eastAsia="Times New Roman" w:hAnsi="Arial" w:cs="Arial"/>
          <w:sz w:val="24"/>
          <w:szCs w:val="24"/>
          <w:lang w:eastAsia="es-ES"/>
        </w:rPr>
        <w:t xml:space="preserve">Oficial Mayor de la Fiscalía General del Estado de Oaxaca, </w:t>
      </w:r>
      <w:r w:rsidR="007A6B73">
        <w:rPr>
          <w:rFonts w:ascii="Arial" w:eastAsia="Times New Roman" w:hAnsi="Arial" w:cs="Arial"/>
          <w:sz w:val="24"/>
          <w:szCs w:val="24"/>
          <w:lang w:eastAsia="es-ES"/>
        </w:rPr>
        <w:t xml:space="preserve">al contestar la demandada indicó </w:t>
      </w:r>
      <w:r w:rsidR="004E4330">
        <w:rPr>
          <w:rFonts w:ascii="Arial" w:eastAsia="Times New Roman" w:hAnsi="Arial" w:cs="Arial"/>
          <w:sz w:val="24"/>
          <w:szCs w:val="24"/>
          <w:lang w:eastAsia="es-ES"/>
        </w:rPr>
        <w:t>que el estímulo denominado “Ayudas de confianza (Homologación</w:t>
      </w:r>
      <w:r w:rsidR="001939D7">
        <w:rPr>
          <w:rFonts w:ascii="Arial" w:eastAsia="Times New Roman" w:hAnsi="Arial" w:cs="Arial"/>
          <w:sz w:val="24"/>
          <w:szCs w:val="24"/>
          <w:lang w:eastAsia="es-ES"/>
        </w:rPr>
        <w:t>)</w:t>
      </w:r>
      <w:r w:rsidR="004E4330">
        <w:rPr>
          <w:rFonts w:ascii="Arial" w:eastAsia="Times New Roman" w:hAnsi="Arial" w:cs="Arial"/>
          <w:sz w:val="24"/>
          <w:szCs w:val="24"/>
          <w:lang w:eastAsia="es-ES"/>
        </w:rPr>
        <w:t>”</w:t>
      </w:r>
      <w:r w:rsidR="006B4154">
        <w:rPr>
          <w:rFonts w:ascii="Arial" w:eastAsia="Times New Roman" w:hAnsi="Arial" w:cs="Arial"/>
          <w:sz w:val="24"/>
          <w:szCs w:val="24"/>
          <w:lang w:eastAsia="es-ES"/>
        </w:rPr>
        <w:t xml:space="preserve"> requiere para su otorgamiento cumplir con los requisitos y lineamientos exigidos en el acuerdo de veintidós de noviembre de dos mil quince, emitido por el Maestro </w:t>
      </w:r>
      <w:r w:rsidR="00BA12F1">
        <w:rPr>
          <w:rFonts w:ascii="Arial" w:hAnsi="Arial" w:cs="Arial"/>
          <w:b/>
          <w:sz w:val="24"/>
          <w:szCs w:val="24"/>
          <w:lang w:eastAsia="es-ES"/>
        </w:rPr>
        <w:t>**********</w:t>
      </w:r>
      <w:r w:rsidR="006B4154">
        <w:rPr>
          <w:rFonts w:ascii="Arial" w:eastAsia="Times New Roman" w:hAnsi="Arial" w:cs="Arial"/>
          <w:sz w:val="24"/>
          <w:szCs w:val="24"/>
          <w:lang w:eastAsia="es-ES"/>
        </w:rPr>
        <w:t>, entonces Fiscal General del Estado de Oaxaca, siendo uno de ellos el aprobar los exámenes de control de confianza y al no haberlos aprobado el actor, no se hace acreedor a este beneficio.</w:t>
      </w:r>
    </w:p>
    <w:p w14:paraId="1EA01EAC" w14:textId="710E509C" w:rsidR="00385CCC" w:rsidRDefault="00542C3E" w:rsidP="00385CCC">
      <w:pPr>
        <w:spacing w:line="360" w:lineRule="auto"/>
        <w:ind w:firstLine="567"/>
        <w:jc w:val="both"/>
        <w:rPr>
          <w:rFonts w:ascii="Arial" w:hAnsi="Arial" w:cs="Arial"/>
          <w:sz w:val="24"/>
          <w:szCs w:val="24"/>
        </w:rPr>
      </w:pPr>
      <w:r>
        <w:rPr>
          <w:rFonts w:ascii="Arial" w:eastAsia="Times New Roman" w:hAnsi="Arial" w:cs="Arial"/>
          <w:sz w:val="24"/>
          <w:szCs w:val="24"/>
          <w:lang w:eastAsia="es-ES"/>
        </w:rPr>
        <w:t xml:space="preserve">Ofreciendo como pruebas, las siguientes: </w:t>
      </w:r>
      <w:r w:rsidR="00A55F95">
        <w:rPr>
          <w:rFonts w:ascii="Arial" w:hAnsi="Arial" w:cs="Arial"/>
          <w:b/>
          <w:sz w:val="25"/>
          <w:szCs w:val="25"/>
        </w:rPr>
        <w:t>1. La instrumental de actuaciones y 2.</w:t>
      </w:r>
      <w:r w:rsidR="00A55F95">
        <w:rPr>
          <w:rFonts w:ascii="Arial" w:hAnsi="Arial" w:cs="Arial"/>
          <w:sz w:val="25"/>
          <w:szCs w:val="25"/>
        </w:rPr>
        <w:t xml:space="preserve"> </w:t>
      </w:r>
      <w:r w:rsidR="00A55F95">
        <w:rPr>
          <w:rFonts w:ascii="Arial" w:hAnsi="Arial" w:cs="Arial"/>
          <w:b/>
          <w:sz w:val="25"/>
          <w:szCs w:val="25"/>
        </w:rPr>
        <w:t>La presuncional legal y humana</w:t>
      </w:r>
      <w:r w:rsidR="00385CCC">
        <w:rPr>
          <w:rFonts w:ascii="Arial" w:hAnsi="Arial" w:cs="Arial"/>
          <w:bCs/>
          <w:sz w:val="25"/>
          <w:szCs w:val="25"/>
        </w:rPr>
        <w:t xml:space="preserve">; mismas que </w:t>
      </w:r>
      <w:r w:rsidR="00385CCC">
        <w:rPr>
          <w:rFonts w:ascii="Arial" w:hAnsi="Arial" w:cs="Arial"/>
          <w:sz w:val="24"/>
          <w:szCs w:val="24"/>
        </w:rPr>
        <w:t>se desahogan por su propia y especial naturaleza, y hacen prueba plena en términos de las fracciones I y II del artículo 203 de la Ley de Procedimiento y Justicia Administrativa del Estado.</w:t>
      </w:r>
    </w:p>
    <w:p w14:paraId="5AB690D9" w14:textId="1C07DC1F" w:rsidR="004B01D6" w:rsidRDefault="00FF36BE" w:rsidP="004B01D6">
      <w:pPr>
        <w:spacing w:line="360" w:lineRule="auto"/>
        <w:ind w:firstLine="567"/>
        <w:jc w:val="both"/>
        <w:rPr>
          <w:rFonts w:ascii="Arial" w:hAnsi="Arial" w:cs="Arial"/>
          <w:bCs/>
          <w:sz w:val="24"/>
          <w:szCs w:val="24"/>
        </w:rPr>
      </w:pPr>
      <w:r>
        <w:rPr>
          <w:rFonts w:ascii="Arial" w:hAnsi="Arial" w:cs="Arial"/>
          <w:b/>
          <w:bCs/>
          <w:sz w:val="24"/>
          <w:szCs w:val="24"/>
        </w:rPr>
        <w:t>SEXTO. Análisis de</w:t>
      </w:r>
      <w:r w:rsidR="0005630F">
        <w:rPr>
          <w:rFonts w:ascii="Arial" w:hAnsi="Arial" w:cs="Arial"/>
          <w:b/>
          <w:bCs/>
          <w:sz w:val="24"/>
          <w:szCs w:val="24"/>
        </w:rPr>
        <w:t xml:space="preserve"> los conceptos de impugnación. </w:t>
      </w:r>
      <w:r w:rsidR="00C823F7">
        <w:rPr>
          <w:rFonts w:ascii="Arial" w:hAnsi="Arial" w:cs="Arial"/>
          <w:sz w:val="24"/>
          <w:szCs w:val="24"/>
        </w:rPr>
        <w:t xml:space="preserve">Este Juzgador procede al análisis conjunto de los conceptos de impugnación </w:t>
      </w:r>
      <w:r w:rsidR="00B0470F">
        <w:rPr>
          <w:rFonts w:ascii="Arial" w:hAnsi="Arial" w:cs="Arial"/>
          <w:b/>
          <w:bCs/>
          <w:sz w:val="24"/>
          <w:szCs w:val="24"/>
        </w:rPr>
        <w:t xml:space="preserve">uno y cuatro </w:t>
      </w:r>
      <w:r w:rsidR="0028305F">
        <w:rPr>
          <w:rFonts w:ascii="Arial" w:hAnsi="Arial" w:cs="Arial"/>
          <w:sz w:val="24"/>
          <w:szCs w:val="24"/>
        </w:rPr>
        <w:t xml:space="preserve">hechos valer por el actor, por relacionarse entre sí, </w:t>
      </w:r>
      <w:r w:rsidR="004B01D6">
        <w:rPr>
          <w:rFonts w:ascii="Arial" w:hAnsi="Arial" w:cs="Arial"/>
          <w:bCs/>
          <w:sz w:val="24"/>
          <w:szCs w:val="24"/>
        </w:rPr>
        <w:t>lo anterior con apoyo en la Jurisprudencia de la Décima Época, con número de Registro digital: 2011406, Materias(s): Común, Tesis: (IV Región) 2o. J/5 (10a.), visible en la Gaceta del Semanario Judicial de la Federación. Libro 29, Abril de 2016, Tomo III, página 2018, con el rubro y texto siguientes:</w:t>
      </w:r>
    </w:p>
    <w:p w14:paraId="28DFB9D6" w14:textId="77777777" w:rsidR="004B01D6" w:rsidRDefault="004B01D6" w:rsidP="004B01D6">
      <w:pPr>
        <w:spacing w:line="276" w:lineRule="auto"/>
        <w:ind w:left="567" w:right="567" w:firstLine="567"/>
        <w:jc w:val="both"/>
        <w:rPr>
          <w:rFonts w:ascii="Arial" w:hAnsi="Arial" w:cs="Arial"/>
          <w:bCs/>
          <w:i/>
          <w:iCs/>
        </w:rPr>
      </w:pPr>
      <w:r>
        <w:rPr>
          <w:rFonts w:ascii="Arial" w:hAnsi="Arial" w:cs="Arial"/>
          <w:b/>
          <w:i/>
          <w:iCs/>
        </w:rPr>
        <w:t>“CONCEPTOS DE VIOLACIÓN O AGRAVIOS. PROCEDE SU ANÁLISIS DE MANERA INDIVIDUAL, CONJUNTA O POR GRUPOS Y EN EL ORDEN PROPUESTO O EN UNO DIVERSO</w:t>
      </w:r>
      <w:r>
        <w:rPr>
          <w:rFonts w:ascii="Arial" w:hAnsi="Arial" w:cs="Arial"/>
          <w:bCs/>
          <w:i/>
          <w:iCs/>
        </w:rPr>
        <w:t>. El artículo 76 de la Ley de Amparo, publicada en el Diario Oficial de la Federación el 2 de abril de 2013, en vigor al día siguiente, previene que el órgano jurisdiccional que conozca del amparo podrá examinar en su conjunto los conceptos de violación o los agravios, así como los demás razonamientos de las partes, a fin de resolver la cuestión efectivamente planteada, empero, no impone la obligación a dicho órgano de seguir el orden propuesto por el quejoso o recurrente, sino que la única condición que establece el referido precepto es que no se cambien los hechos de la demanda. Por tanto, el estudio correspondiente puede hacerse de manera individual, conjunta o por grupos, en el propio orden de su exposición o en uno diverso.”</w:t>
      </w:r>
    </w:p>
    <w:p w14:paraId="4DC4CD4D" w14:textId="6E88E8A6" w:rsidR="00255C1F" w:rsidRDefault="00412663" w:rsidP="00385CCC">
      <w:pPr>
        <w:spacing w:line="360" w:lineRule="auto"/>
        <w:ind w:firstLine="567"/>
        <w:jc w:val="both"/>
        <w:rPr>
          <w:rFonts w:ascii="Arial" w:hAnsi="Arial" w:cs="Arial"/>
          <w:sz w:val="24"/>
          <w:szCs w:val="24"/>
        </w:rPr>
      </w:pPr>
      <w:r>
        <w:rPr>
          <w:rFonts w:ascii="Arial" w:hAnsi="Arial" w:cs="Arial"/>
          <w:sz w:val="24"/>
          <w:szCs w:val="24"/>
        </w:rPr>
        <w:lastRenderedPageBreak/>
        <w:t xml:space="preserve">Haciendo </w:t>
      </w:r>
      <w:r w:rsidR="004468C8">
        <w:rPr>
          <w:rFonts w:ascii="Arial" w:hAnsi="Arial" w:cs="Arial"/>
          <w:sz w:val="24"/>
          <w:szCs w:val="24"/>
        </w:rPr>
        <w:t xml:space="preserve">hincapié, que esta Sala Unitaria omitirá el análisis de los conceptos de impugnación </w:t>
      </w:r>
      <w:r w:rsidR="004468C8">
        <w:rPr>
          <w:rFonts w:ascii="Arial" w:hAnsi="Arial" w:cs="Arial"/>
          <w:b/>
          <w:bCs/>
          <w:sz w:val="24"/>
          <w:szCs w:val="24"/>
        </w:rPr>
        <w:t>segundo y tercero</w:t>
      </w:r>
      <w:r w:rsidR="004468C8">
        <w:rPr>
          <w:rFonts w:ascii="Arial" w:hAnsi="Arial" w:cs="Arial"/>
          <w:sz w:val="24"/>
          <w:szCs w:val="24"/>
        </w:rPr>
        <w:t xml:space="preserve">, en virtud de </w:t>
      </w:r>
      <w:r w:rsidR="001661F3">
        <w:rPr>
          <w:rFonts w:ascii="Arial" w:hAnsi="Arial" w:cs="Arial"/>
          <w:sz w:val="24"/>
          <w:szCs w:val="24"/>
        </w:rPr>
        <w:t>que,</w:t>
      </w:r>
      <w:r w:rsidR="004468C8">
        <w:rPr>
          <w:rFonts w:ascii="Arial" w:hAnsi="Arial" w:cs="Arial"/>
          <w:sz w:val="24"/>
          <w:szCs w:val="24"/>
        </w:rPr>
        <w:t xml:space="preserve"> en ellos, el accionante solicita que este Juzgador, realice </w:t>
      </w:r>
      <w:r w:rsidR="008A3965">
        <w:rPr>
          <w:rFonts w:ascii="Arial" w:hAnsi="Arial" w:cs="Arial"/>
          <w:sz w:val="24"/>
          <w:szCs w:val="24"/>
        </w:rPr>
        <w:t xml:space="preserve">un análisis y declaratoria </w:t>
      </w:r>
      <w:r w:rsidR="004468C8">
        <w:rPr>
          <w:rFonts w:ascii="Arial" w:hAnsi="Arial" w:cs="Arial"/>
          <w:sz w:val="24"/>
          <w:szCs w:val="24"/>
        </w:rPr>
        <w:t xml:space="preserve">de inconstitucionalidad </w:t>
      </w:r>
      <w:r w:rsidR="00DD4C2E">
        <w:rPr>
          <w:rFonts w:ascii="Arial" w:hAnsi="Arial" w:cs="Arial"/>
          <w:sz w:val="24"/>
          <w:szCs w:val="24"/>
        </w:rPr>
        <w:t>de</w:t>
      </w:r>
      <w:r w:rsidR="004468C8">
        <w:rPr>
          <w:rFonts w:ascii="Arial" w:hAnsi="Arial" w:cs="Arial"/>
          <w:sz w:val="24"/>
          <w:szCs w:val="24"/>
        </w:rPr>
        <w:t xml:space="preserve">l acuerdo </w:t>
      </w:r>
      <w:r w:rsidR="00DD4C2E">
        <w:rPr>
          <w:rFonts w:ascii="Arial" w:hAnsi="Arial" w:cs="Arial"/>
          <w:sz w:val="24"/>
          <w:szCs w:val="24"/>
        </w:rPr>
        <w:t xml:space="preserve">de fecha veintidós de noviembre </w:t>
      </w:r>
      <w:r w:rsidR="001661F3">
        <w:rPr>
          <w:rFonts w:ascii="Arial" w:hAnsi="Arial" w:cs="Arial"/>
          <w:sz w:val="24"/>
          <w:szCs w:val="24"/>
        </w:rPr>
        <w:t xml:space="preserve">de dos mil quince, expedido por el </w:t>
      </w:r>
      <w:r w:rsidR="005822FD">
        <w:rPr>
          <w:rFonts w:ascii="Arial" w:hAnsi="Arial" w:cs="Arial"/>
          <w:sz w:val="24"/>
          <w:szCs w:val="24"/>
        </w:rPr>
        <w:t xml:space="preserve">entonces </w:t>
      </w:r>
      <w:r w:rsidR="001661F3">
        <w:rPr>
          <w:rFonts w:ascii="Arial" w:hAnsi="Arial" w:cs="Arial"/>
          <w:sz w:val="24"/>
          <w:szCs w:val="24"/>
        </w:rPr>
        <w:t xml:space="preserve">Fiscal General del Estado, </w:t>
      </w:r>
      <w:r w:rsidR="00A04CE6">
        <w:rPr>
          <w:rFonts w:ascii="Arial" w:hAnsi="Arial" w:cs="Arial"/>
          <w:b/>
          <w:bCs/>
          <w:sz w:val="24"/>
          <w:szCs w:val="24"/>
        </w:rPr>
        <w:t>sin embargo</w:t>
      </w:r>
      <w:r w:rsidR="00A04CE6">
        <w:rPr>
          <w:rFonts w:ascii="Arial" w:hAnsi="Arial" w:cs="Arial"/>
          <w:sz w:val="24"/>
          <w:szCs w:val="24"/>
        </w:rPr>
        <w:t xml:space="preserve">, esta Sala Unitaria </w:t>
      </w:r>
      <w:r w:rsidR="00A04CE6" w:rsidRPr="00B6482E">
        <w:rPr>
          <w:rFonts w:ascii="Arial" w:hAnsi="Arial" w:cs="Arial"/>
          <w:b/>
          <w:bCs/>
          <w:sz w:val="24"/>
          <w:szCs w:val="24"/>
        </w:rPr>
        <w:t>carece de facultades</w:t>
      </w:r>
      <w:r w:rsidR="00A04CE6">
        <w:rPr>
          <w:rFonts w:ascii="Arial" w:hAnsi="Arial" w:cs="Arial"/>
          <w:sz w:val="24"/>
          <w:szCs w:val="24"/>
        </w:rPr>
        <w:t xml:space="preserve"> para realizar el análisis de una norma general, como en el caso es el citado acuerdo, en término</w:t>
      </w:r>
      <w:r w:rsidR="00B6482E">
        <w:rPr>
          <w:rFonts w:ascii="Arial" w:hAnsi="Arial" w:cs="Arial"/>
          <w:sz w:val="24"/>
          <w:szCs w:val="24"/>
        </w:rPr>
        <w:t>s</w:t>
      </w:r>
      <w:r w:rsidR="00A04CE6">
        <w:rPr>
          <w:rFonts w:ascii="Arial" w:hAnsi="Arial" w:cs="Arial"/>
          <w:sz w:val="24"/>
          <w:szCs w:val="24"/>
        </w:rPr>
        <w:t xml:space="preserve"> del artículo </w:t>
      </w:r>
      <w:r w:rsidR="00BA40CF">
        <w:rPr>
          <w:rFonts w:ascii="Arial" w:hAnsi="Arial" w:cs="Arial"/>
          <w:sz w:val="24"/>
          <w:szCs w:val="24"/>
        </w:rPr>
        <w:t>107 fracción I, inciso g) de la Ley de Amparo vigente</w:t>
      </w:r>
      <w:r w:rsidR="004B20F4">
        <w:rPr>
          <w:rFonts w:ascii="Arial" w:hAnsi="Arial" w:cs="Arial"/>
          <w:sz w:val="24"/>
          <w:szCs w:val="24"/>
        </w:rPr>
        <w:t xml:space="preserve">; en razón de que dicha facultad está conferida a los órganos del </w:t>
      </w:r>
      <w:r w:rsidR="00A45CC9">
        <w:rPr>
          <w:rFonts w:ascii="Arial" w:hAnsi="Arial" w:cs="Arial"/>
          <w:sz w:val="24"/>
          <w:szCs w:val="24"/>
        </w:rPr>
        <w:t>Poder Judicial de la Federación, quienes tienen la competencia para declarar inconstitucionalidad de una norma general.</w:t>
      </w:r>
    </w:p>
    <w:p w14:paraId="209D2548" w14:textId="1175BBCC" w:rsidR="008A6718" w:rsidRDefault="008A6718" w:rsidP="00385CCC">
      <w:pPr>
        <w:spacing w:line="360" w:lineRule="auto"/>
        <w:ind w:firstLine="567"/>
        <w:jc w:val="both"/>
        <w:rPr>
          <w:rFonts w:ascii="Arial" w:hAnsi="Arial" w:cs="Arial"/>
          <w:sz w:val="24"/>
          <w:szCs w:val="24"/>
        </w:rPr>
      </w:pPr>
      <w:r>
        <w:rPr>
          <w:rFonts w:ascii="Arial" w:hAnsi="Arial" w:cs="Arial"/>
          <w:sz w:val="24"/>
          <w:szCs w:val="24"/>
        </w:rPr>
        <w:t xml:space="preserve">Por otra parte, el </w:t>
      </w:r>
      <w:r>
        <w:rPr>
          <w:rFonts w:ascii="Arial" w:hAnsi="Arial" w:cs="Arial"/>
          <w:b/>
          <w:bCs/>
          <w:sz w:val="24"/>
          <w:szCs w:val="24"/>
        </w:rPr>
        <w:t xml:space="preserve">actor </w:t>
      </w:r>
      <w:r>
        <w:rPr>
          <w:rFonts w:ascii="Arial" w:hAnsi="Arial" w:cs="Arial"/>
          <w:sz w:val="24"/>
          <w:szCs w:val="24"/>
        </w:rPr>
        <w:t xml:space="preserve">indica en sus conceptos de impugnación </w:t>
      </w:r>
      <w:r>
        <w:rPr>
          <w:rFonts w:ascii="Arial" w:hAnsi="Arial" w:cs="Arial"/>
          <w:b/>
          <w:bCs/>
          <w:sz w:val="24"/>
          <w:szCs w:val="24"/>
        </w:rPr>
        <w:t>primero y cuarto</w:t>
      </w:r>
      <w:r w:rsidR="00832215">
        <w:rPr>
          <w:rFonts w:ascii="Arial" w:hAnsi="Arial" w:cs="Arial"/>
          <w:sz w:val="24"/>
          <w:szCs w:val="24"/>
        </w:rPr>
        <w:t>,</w:t>
      </w:r>
      <w:r w:rsidR="00536D46">
        <w:rPr>
          <w:rFonts w:ascii="Arial" w:hAnsi="Arial" w:cs="Arial"/>
          <w:sz w:val="24"/>
          <w:szCs w:val="24"/>
        </w:rPr>
        <w:t xml:space="preserve"> </w:t>
      </w:r>
      <w:r w:rsidR="00832215">
        <w:rPr>
          <w:rFonts w:ascii="Arial" w:hAnsi="Arial" w:cs="Arial"/>
          <w:sz w:val="24"/>
          <w:szCs w:val="24"/>
        </w:rPr>
        <w:t xml:space="preserve">que el acto impugnado es ilegal en virtud de que </w:t>
      </w:r>
      <w:r w:rsidR="00BA3408">
        <w:rPr>
          <w:rFonts w:ascii="Arial" w:hAnsi="Arial" w:cs="Arial"/>
          <w:sz w:val="24"/>
          <w:szCs w:val="24"/>
        </w:rPr>
        <w:t>se le privó de su derecho al salario</w:t>
      </w:r>
      <w:r w:rsidR="00765E96">
        <w:rPr>
          <w:rFonts w:ascii="Arial" w:hAnsi="Arial" w:cs="Arial"/>
          <w:sz w:val="24"/>
          <w:szCs w:val="24"/>
        </w:rPr>
        <w:t xml:space="preserve"> y al derecho a percibir una remuneración devengada por su trabajo desempeñado como Agente Estatal de Investigaciones, </w:t>
      </w:r>
      <w:r w:rsidR="00536D46">
        <w:rPr>
          <w:rFonts w:ascii="Arial" w:hAnsi="Arial" w:cs="Arial"/>
          <w:sz w:val="24"/>
          <w:szCs w:val="24"/>
        </w:rPr>
        <w:t>sin</w:t>
      </w:r>
      <w:r w:rsidR="00863DEB">
        <w:rPr>
          <w:rFonts w:ascii="Arial" w:hAnsi="Arial" w:cs="Arial"/>
          <w:sz w:val="24"/>
          <w:szCs w:val="24"/>
        </w:rPr>
        <w:t xml:space="preserve"> notific</w:t>
      </w:r>
      <w:r w:rsidR="00536D46">
        <w:rPr>
          <w:rFonts w:ascii="Arial" w:hAnsi="Arial" w:cs="Arial"/>
          <w:sz w:val="24"/>
          <w:szCs w:val="24"/>
        </w:rPr>
        <w:t>arle</w:t>
      </w:r>
      <w:r w:rsidR="00863DEB">
        <w:rPr>
          <w:rFonts w:ascii="Arial" w:hAnsi="Arial" w:cs="Arial"/>
          <w:sz w:val="24"/>
          <w:szCs w:val="24"/>
        </w:rPr>
        <w:t xml:space="preserve"> el resultado de la Evaluación de Control de Confianza; además, que dicho acto no se encuentra debidamente fundado y motivado, en razón de que la autoridad demandada </w:t>
      </w:r>
      <w:r w:rsidR="00756476">
        <w:rPr>
          <w:rFonts w:ascii="Arial" w:hAnsi="Arial" w:cs="Arial"/>
          <w:sz w:val="24"/>
          <w:szCs w:val="24"/>
        </w:rPr>
        <w:t>únicamente in</w:t>
      </w:r>
      <w:r w:rsidR="00536D46">
        <w:rPr>
          <w:rFonts w:ascii="Arial" w:hAnsi="Arial" w:cs="Arial"/>
          <w:sz w:val="24"/>
          <w:szCs w:val="24"/>
        </w:rPr>
        <w:t>dica</w:t>
      </w:r>
      <w:r w:rsidR="00756476">
        <w:rPr>
          <w:rFonts w:ascii="Arial" w:hAnsi="Arial" w:cs="Arial"/>
          <w:sz w:val="24"/>
          <w:szCs w:val="24"/>
        </w:rPr>
        <w:t xml:space="preserve"> como fundamento, diversos numerales del acuerdo de fecha veintidós de noviembre de dos mil quince, pero, omite realizar los razonamientos jurídicos por los que dichos disposi</w:t>
      </w:r>
      <w:r w:rsidR="00536D46">
        <w:rPr>
          <w:rFonts w:ascii="Arial" w:hAnsi="Arial" w:cs="Arial"/>
          <w:sz w:val="24"/>
          <w:szCs w:val="24"/>
        </w:rPr>
        <w:t>tivos</w:t>
      </w:r>
      <w:r w:rsidR="00756476">
        <w:rPr>
          <w:rFonts w:ascii="Arial" w:hAnsi="Arial" w:cs="Arial"/>
          <w:sz w:val="24"/>
          <w:szCs w:val="24"/>
        </w:rPr>
        <w:t xml:space="preserve"> legales resultan aplicables al caso concreto.</w:t>
      </w:r>
    </w:p>
    <w:p w14:paraId="2A809FC5" w14:textId="468341C7" w:rsidR="002D72B7" w:rsidRPr="002D72B7" w:rsidRDefault="002D72B7" w:rsidP="00385CCC">
      <w:pPr>
        <w:spacing w:line="360" w:lineRule="auto"/>
        <w:ind w:firstLine="567"/>
        <w:jc w:val="both"/>
        <w:rPr>
          <w:rFonts w:ascii="Arial" w:hAnsi="Arial" w:cs="Arial"/>
          <w:sz w:val="24"/>
          <w:szCs w:val="24"/>
        </w:rPr>
      </w:pPr>
      <w:r>
        <w:rPr>
          <w:rFonts w:ascii="Arial" w:hAnsi="Arial" w:cs="Arial"/>
          <w:sz w:val="24"/>
          <w:szCs w:val="24"/>
        </w:rPr>
        <w:t xml:space="preserve">Son </w:t>
      </w:r>
      <w:r>
        <w:rPr>
          <w:rFonts w:ascii="Arial" w:hAnsi="Arial" w:cs="Arial"/>
          <w:b/>
          <w:sz w:val="24"/>
          <w:szCs w:val="24"/>
        </w:rPr>
        <w:t xml:space="preserve">fundados </w:t>
      </w:r>
      <w:r>
        <w:rPr>
          <w:rFonts w:ascii="Arial" w:hAnsi="Arial" w:cs="Arial"/>
          <w:sz w:val="24"/>
          <w:szCs w:val="24"/>
        </w:rPr>
        <w:t xml:space="preserve">los </w:t>
      </w:r>
      <w:r>
        <w:rPr>
          <w:rFonts w:ascii="Arial" w:hAnsi="Arial" w:cs="Arial"/>
          <w:b/>
          <w:sz w:val="24"/>
          <w:szCs w:val="24"/>
        </w:rPr>
        <w:t xml:space="preserve">conceptos de impugnación </w:t>
      </w:r>
      <w:r>
        <w:rPr>
          <w:rFonts w:ascii="Arial" w:hAnsi="Arial" w:cs="Arial"/>
          <w:sz w:val="24"/>
          <w:szCs w:val="24"/>
        </w:rPr>
        <w:t>vertidos por el actor en su demanda de nulidad, por las siguientes consideraciones:</w:t>
      </w:r>
    </w:p>
    <w:p w14:paraId="0532DB7D" w14:textId="6ED161BF" w:rsidR="00832309" w:rsidRDefault="002D72B7" w:rsidP="00385CCC">
      <w:pPr>
        <w:spacing w:line="360" w:lineRule="auto"/>
        <w:ind w:firstLine="567"/>
        <w:jc w:val="both"/>
        <w:rPr>
          <w:rFonts w:ascii="Arial" w:eastAsia="Times New Roman" w:hAnsi="Arial" w:cs="Arial"/>
          <w:sz w:val="24"/>
          <w:szCs w:val="24"/>
          <w:lang w:eastAsia="es-ES"/>
        </w:rPr>
      </w:pPr>
      <w:r>
        <w:rPr>
          <w:rFonts w:ascii="Arial" w:hAnsi="Arial" w:cs="Arial"/>
          <w:sz w:val="24"/>
          <w:szCs w:val="24"/>
        </w:rPr>
        <w:t>M</w:t>
      </w:r>
      <w:r w:rsidR="00C2532B">
        <w:rPr>
          <w:rFonts w:ascii="Arial" w:hAnsi="Arial" w:cs="Arial"/>
          <w:sz w:val="24"/>
          <w:szCs w:val="24"/>
        </w:rPr>
        <w:t>ediante</w:t>
      </w:r>
      <w:r w:rsidR="00832309">
        <w:rPr>
          <w:rFonts w:ascii="Arial" w:hAnsi="Arial" w:cs="Arial"/>
          <w:sz w:val="24"/>
          <w:szCs w:val="24"/>
        </w:rPr>
        <w:t xml:space="preserve"> escrito de dieciocho de dieciocho de julio de dos mil diecisiete, el actor solicitó al Oficial </w:t>
      </w:r>
      <w:r w:rsidR="00C2532B">
        <w:rPr>
          <w:rFonts w:ascii="Arial" w:hAnsi="Arial" w:cs="Arial"/>
          <w:sz w:val="24"/>
          <w:szCs w:val="24"/>
        </w:rPr>
        <w:t xml:space="preserve">Mayor de la Fiscalía General del Estado, le informara las razones por las que se le dejó de pagar la prestación denominada </w:t>
      </w:r>
      <w:r w:rsidR="00C2532B">
        <w:rPr>
          <w:rFonts w:ascii="Arial" w:eastAsia="Times New Roman" w:hAnsi="Arial" w:cs="Arial"/>
          <w:sz w:val="24"/>
          <w:szCs w:val="24"/>
          <w:lang w:eastAsia="es-ES"/>
        </w:rPr>
        <w:t>“Ayudas de confianza (Homologación)”.</w:t>
      </w:r>
    </w:p>
    <w:p w14:paraId="1C6D5A6E" w14:textId="0CFD0B62" w:rsidR="00C2532B" w:rsidRPr="00C2532B" w:rsidRDefault="00C2532B" w:rsidP="00385CCC">
      <w:pPr>
        <w:spacing w:line="360" w:lineRule="auto"/>
        <w:ind w:firstLine="567"/>
        <w:jc w:val="both"/>
        <w:rPr>
          <w:rFonts w:ascii="Arial" w:hAnsi="Arial" w:cs="Arial"/>
          <w:sz w:val="24"/>
          <w:szCs w:val="24"/>
        </w:rPr>
      </w:pPr>
      <w:r>
        <w:rPr>
          <w:rFonts w:ascii="Arial" w:eastAsia="Times New Roman" w:hAnsi="Arial" w:cs="Arial"/>
          <w:sz w:val="24"/>
          <w:szCs w:val="24"/>
          <w:lang w:eastAsia="es-ES"/>
        </w:rPr>
        <w:t xml:space="preserve">En atención a lo anterior, mediante oficio número </w:t>
      </w:r>
      <w:r w:rsidR="00BA12F1">
        <w:rPr>
          <w:rFonts w:ascii="Arial" w:hAnsi="Arial" w:cs="Arial"/>
          <w:b/>
          <w:sz w:val="24"/>
          <w:szCs w:val="24"/>
          <w:lang w:eastAsia="es-ES"/>
        </w:rPr>
        <w:t>**********</w:t>
      </w:r>
      <w:r>
        <w:rPr>
          <w:rFonts w:ascii="Arial" w:eastAsia="Times New Roman" w:hAnsi="Arial" w:cs="Arial"/>
          <w:sz w:val="24"/>
          <w:szCs w:val="24"/>
          <w:lang w:eastAsia="es-ES"/>
        </w:rPr>
        <w:t xml:space="preserve">, de dieciocho de febrero de dos mil diecinueve, el </w:t>
      </w:r>
      <w:r>
        <w:rPr>
          <w:rFonts w:ascii="Arial" w:eastAsia="Times New Roman" w:hAnsi="Arial" w:cs="Arial"/>
          <w:b/>
          <w:sz w:val="24"/>
          <w:szCs w:val="24"/>
          <w:lang w:eastAsia="es-ES"/>
        </w:rPr>
        <w:t>Oficial Mayor de la Fiscalía General del Estado</w:t>
      </w:r>
      <w:r w:rsidR="007D2F68">
        <w:rPr>
          <w:rFonts w:ascii="Arial" w:eastAsia="Times New Roman" w:hAnsi="Arial" w:cs="Arial"/>
          <w:sz w:val="24"/>
          <w:szCs w:val="24"/>
          <w:lang w:eastAsia="es-ES"/>
        </w:rPr>
        <w:t xml:space="preserve">, </w:t>
      </w:r>
      <w:r w:rsidR="00E22404">
        <w:rPr>
          <w:rFonts w:ascii="Arial" w:eastAsia="Times New Roman" w:hAnsi="Arial" w:cs="Arial"/>
          <w:sz w:val="24"/>
          <w:szCs w:val="24"/>
          <w:lang w:eastAsia="es-ES"/>
        </w:rPr>
        <w:t xml:space="preserve">le informó al administrado que el motivo por el cual </w:t>
      </w:r>
      <w:r w:rsidR="00E22404">
        <w:rPr>
          <w:rFonts w:ascii="Arial" w:hAnsi="Arial" w:cs="Arial"/>
          <w:sz w:val="24"/>
          <w:szCs w:val="24"/>
        </w:rPr>
        <w:t xml:space="preserve">se le dejó de pagar la prestación denominada </w:t>
      </w:r>
      <w:r w:rsidR="00E22404">
        <w:rPr>
          <w:rFonts w:ascii="Arial" w:eastAsia="Times New Roman" w:hAnsi="Arial" w:cs="Arial"/>
          <w:sz w:val="24"/>
          <w:szCs w:val="24"/>
          <w:lang w:eastAsia="es-ES"/>
        </w:rPr>
        <w:t>“Ayudas de confianza (Homologación)” desde el mes de junio del año dos mil diecisiete, fue por no haber aprobado el examen de evaluación y control de confianza</w:t>
      </w:r>
      <w:r w:rsidR="002D72B7">
        <w:rPr>
          <w:rFonts w:ascii="Arial" w:eastAsia="Times New Roman" w:hAnsi="Arial" w:cs="Arial"/>
          <w:sz w:val="24"/>
          <w:szCs w:val="24"/>
          <w:lang w:eastAsia="es-ES"/>
        </w:rPr>
        <w:t>, pues en términos del punto 5.4 del Acuerdo de veintidós de noviembre de dos mil quince, emitido por el Fiscal General del Estado</w:t>
      </w:r>
      <w:r w:rsidR="00F74067">
        <w:rPr>
          <w:rFonts w:ascii="Arial" w:eastAsia="Times New Roman" w:hAnsi="Arial" w:cs="Arial"/>
          <w:sz w:val="24"/>
          <w:szCs w:val="24"/>
          <w:lang w:eastAsia="es-ES"/>
        </w:rPr>
        <w:t>, para que el pago de dicha prestación sea procedente, el administrado debe de aprobar los exámenes de control y confianza.</w:t>
      </w:r>
    </w:p>
    <w:p w14:paraId="2890A946" w14:textId="72DE957D" w:rsidR="00236863" w:rsidRDefault="00832309" w:rsidP="00385CCC">
      <w:pPr>
        <w:spacing w:line="360" w:lineRule="auto"/>
        <w:ind w:firstLine="567"/>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En ese </w:t>
      </w:r>
      <w:r w:rsidR="00CA397F">
        <w:rPr>
          <w:rFonts w:ascii="Arial" w:eastAsia="Times New Roman" w:hAnsi="Arial" w:cs="Arial"/>
          <w:sz w:val="24"/>
          <w:szCs w:val="24"/>
          <w:lang w:eastAsia="es-ES"/>
        </w:rPr>
        <w:t>orden de ideas</w:t>
      </w:r>
      <w:r>
        <w:rPr>
          <w:rFonts w:ascii="Arial" w:eastAsia="Times New Roman" w:hAnsi="Arial" w:cs="Arial"/>
          <w:sz w:val="24"/>
          <w:szCs w:val="24"/>
          <w:lang w:eastAsia="es-ES"/>
        </w:rPr>
        <w:t xml:space="preserve">, la prestación denominada “Ayudas de confianza (Homologación)”, </w:t>
      </w:r>
      <w:r w:rsidR="00DB01B7">
        <w:rPr>
          <w:rFonts w:ascii="Arial" w:eastAsia="Times New Roman" w:hAnsi="Arial" w:cs="Arial"/>
          <w:sz w:val="24"/>
          <w:szCs w:val="24"/>
          <w:lang w:eastAsia="es-ES"/>
        </w:rPr>
        <w:t>se rige por los lineamientos establecidos en el acuerdo de fecha veintidós de noviembre de dos mil quince, emitido por el entonces Fiscal General del Estado de Oaxaca, el cual indica:</w:t>
      </w:r>
    </w:p>
    <w:p w14:paraId="601DD0C2" w14:textId="2848E850" w:rsidR="00DB01B7" w:rsidRPr="00A90FC3" w:rsidRDefault="00DB01B7" w:rsidP="00A90FC3">
      <w:pPr>
        <w:spacing w:line="240" w:lineRule="auto"/>
        <w:ind w:left="567" w:right="425" w:firstLine="567"/>
        <w:jc w:val="both"/>
        <w:rPr>
          <w:rFonts w:ascii="Arial" w:eastAsia="Times New Roman" w:hAnsi="Arial" w:cs="Arial"/>
          <w:i/>
          <w:szCs w:val="24"/>
          <w:lang w:eastAsia="es-ES"/>
        </w:rPr>
      </w:pPr>
      <w:r w:rsidRPr="00A90FC3">
        <w:rPr>
          <w:rFonts w:ascii="Arial" w:eastAsia="Times New Roman" w:hAnsi="Arial" w:cs="Arial"/>
          <w:i/>
          <w:szCs w:val="24"/>
          <w:lang w:eastAsia="es-ES"/>
        </w:rPr>
        <w:lastRenderedPageBreak/>
        <w:t>“</w:t>
      </w:r>
      <w:r w:rsidR="007B27C4">
        <w:rPr>
          <w:rFonts w:ascii="Arial" w:eastAsia="Times New Roman" w:hAnsi="Arial" w:cs="Arial"/>
          <w:i/>
          <w:szCs w:val="24"/>
          <w:lang w:eastAsia="es-ES"/>
        </w:rPr>
        <w:t>…</w:t>
      </w:r>
      <w:r w:rsidRPr="00A90FC3">
        <w:rPr>
          <w:rFonts w:ascii="Arial" w:eastAsia="Times New Roman" w:hAnsi="Arial" w:cs="Arial"/>
          <w:i/>
          <w:szCs w:val="24"/>
          <w:lang w:eastAsia="es-ES"/>
        </w:rPr>
        <w:t>QUINTO. Términos, condiciones y procedimientos a seguir para el otorgamiento.</w:t>
      </w:r>
    </w:p>
    <w:p w14:paraId="357EF90A" w14:textId="1796A8C9" w:rsidR="00DB01B7" w:rsidRPr="00A90FC3" w:rsidRDefault="00DB01B7" w:rsidP="00A90FC3">
      <w:pPr>
        <w:spacing w:line="240" w:lineRule="auto"/>
        <w:ind w:left="567" w:right="425" w:firstLine="567"/>
        <w:jc w:val="both"/>
        <w:rPr>
          <w:rFonts w:ascii="Arial" w:eastAsia="Times New Roman" w:hAnsi="Arial" w:cs="Arial"/>
          <w:i/>
          <w:szCs w:val="24"/>
          <w:lang w:eastAsia="es-ES"/>
        </w:rPr>
      </w:pPr>
      <w:r w:rsidRPr="00A90FC3">
        <w:rPr>
          <w:rFonts w:ascii="Arial" w:eastAsia="Times New Roman" w:hAnsi="Arial" w:cs="Arial"/>
          <w:i/>
          <w:szCs w:val="24"/>
          <w:lang w:eastAsia="es-ES"/>
        </w:rPr>
        <w:t xml:space="preserve">5.1 El pago por </w:t>
      </w:r>
      <w:r w:rsidR="007B27C4">
        <w:rPr>
          <w:rFonts w:ascii="Arial" w:eastAsia="Times New Roman" w:hAnsi="Arial" w:cs="Arial"/>
          <w:i/>
          <w:szCs w:val="24"/>
          <w:lang w:eastAsia="es-ES"/>
        </w:rPr>
        <w:t>‘</w:t>
      </w:r>
      <w:r w:rsidRPr="00A90FC3">
        <w:rPr>
          <w:rFonts w:ascii="Arial" w:eastAsia="Times New Roman" w:hAnsi="Arial" w:cs="Arial"/>
          <w:i/>
          <w:szCs w:val="24"/>
          <w:lang w:eastAsia="es-ES"/>
        </w:rPr>
        <w:t>Ayuda para confianza</w:t>
      </w:r>
      <w:r w:rsidR="007B27C4">
        <w:rPr>
          <w:rFonts w:ascii="Arial" w:eastAsia="Times New Roman" w:hAnsi="Arial" w:cs="Arial"/>
          <w:i/>
          <w:szCs w:val="24"/>
          <w:lang w:eastAsia="es-ES"/>
        </w:rPr>
        <w:t>’</w:t>
      </w:r>
      <w:r w:rsidRPr="00A90FC3">
        <w:rPr>
          <w:rFonts w:ascii="Arial" w:eastAsia="Times New Roman" w:hAnsi="Arial" w:cs="Arial"/>
          <w:i/>
          <w:szCs w:val="24"/>
          <w:lang w:eastAsia="es-ES"/>
        </w:rPr>
        <w:t>, se otorgará de acuerdo con el desempeño, logros alcanzados, impacto en el cumplimiento de objetivos institucionales.</w:t>
      </w:r>
    </w:p>
    <w:p w14:paraId="30E64F2F" w14:textId="706AF84A" w:rsidR="00DB01B7" w:rsidRPr="00A90FC3" w:rsidRDefault="00DB01B7" w:rsidP="00A90FC3">
      <w:pPr>
        <w:spacing w:line="240" w:lineRule="auto"/>
        <w:ind w:left="567" w:right="425" w:firstLine="567"/>
        <w:jc w:val="both"/>
        <w:rPr>
          <w:rFonts w:ascii="Arial" w:eastAsia="Times New Roman" w:hAnsi="Arial" w:cs="Arial"/>
          <w:i/>
          <w:szCs w:val="24"/>
          <w:lang w:eastAsia="es-ES"/>
        </w:rPr>
      </w:pPr>
      <w:r w:rsidRPr="00A90FC3">
        <w:rPr>
          <w:rFonts w:ascii="Arial" w:eastAsia="Times New Roman" w:hAnsi="Arial" w:cs="Arial"/>
          <w:i/>
          <w:szCs w:val="24"/>
          <w:lang w:eastAsia="es-ES"/>
        </w:rPr>
        <w:t xml:space="preserve">5.2 El pago de percepciones </w:t>
      </w:r>
      <w:r w:rsidR="00A90FC3" w:rsidRPr="00A90FC3">
        <w:rPr>
          <w:rFonts w:ascii="Arial" w:eastAsia="Times New Roman" w:hAnsi="Arial" w:cs="Arial"/>
          <w:i/>
          <w:szCs w:val="24"/>
          <w:lang w:eastAsia="es-ES"/>
        </w:rPr>
        <w:t xml:space="preserve">de </w:t>
      </w:r>
      <w:r w:rsidR="007B27C4">
        <w:rPr>
          <w:rFonts w:ascii="Arial" w:eastAsia="Times New Roman" w:hAnsi="Arial" w:cs="Arial"/>
          <w:i/>
          <w:szCs w:val="24"/>
          <w:lang w:eastAsia="es-ES"/>
        </w:rPr>
        <w:t>‘</w:t>
      </w:r>
      <w:r w:rsidR="00A90FC3" w:rsidRPr="00A90FC3">
        <w:rPr>
          <w:rFonts w:ascii="Arial" w:eastAsia="Times New Roman" w:hAnsi="Arial" w:cs="Arial"/>
          <w:i/>
          <w:szCs w:val="24"/>
          <w:lang w:eastAsia="es-ES"/>
        </w:rPr>
        <w:t>Ayuda para confianza</w:t>
      </w:r>
      <w:r w:rsidR="007B27C4">
        <w:rPr>
          <w:rFonts w:ascii="Arial" w:eastAsia="Times New Roman" w:hAnsi="Arial" w:cs="Arial"/>
          <w:i/>
          <w:szCs w:val="24"/>
          <w:lang w:eastAsia="es-ES"/>
        </w:rPr>
        <w:t>’</w:t>
      </w:r>
      <w:r w:rsidR="00A90FC3" w:rsidRPr="00A90FC3">
        <w:rPr>
          <w:rFonts w:ascii="Arial" w:eastAsia="Times New Roman" w:hAnsi="Arial" w:cs="Arial"/>
          <w:i/>
          <w:szCs w:val="24"/>
          <w:lang w:eastAsia="es-ES"/>
        </w:rPr>
        <w:t>, en ningún caso constituirá un ingreso fijo, regular y permanente, por lo tanto, no forma parte del salario de quien lo recibe.</w:t>
      </w:r>
    </w:p>
    <w:p w14:paraId="295184B9" w14:textId="6C654BB2" w:rsidR="00A90FC3" w:rsidRPr="00A90FC3" w:rsidRDefault="00A90FC3" w:rsidP="00A90FC3">
      <w:pPr>
        <w:spacing w:line="240" w:lineRule="auto"/>
        <w:ind w:left="567" w:right="425" w:firstLine="567"/>
        <w:jc w:val="both"/>
        <w:rPr>
          <w:rFonts w:ascii="Arial" w:eastAsia="Times New Roman" w:hAnsi="Arial" w:cs="Arial"/>
          <w:i/>
          <w:szCs w:val="24"/>
          <w:lang w:eastAsia="es-ES"/>
        </w:rPr>
      </w:pPr>
      <w:r w:rsidRPr="00A90FC3">
        <w:rPr>
          <w:rFonts w:ascii="Arial" w:eastAsia="Times New Roman" w:hAnsi="Arial" w:cs="Arial"/>
          <w:i/>
          <w:szCs w:val="24"/>
          <w:lang w:eastAsia="es-ES"/>
        </w:rPr>
        <w:t>(…)</w:t>
      </w:r>
    </w:p>
    <w:p w14:paraId="4A4C4E51" w14:textId="7DF7B337" w:rsidR="00A90FC3" w:rsidRPr="00A90FC3" w:rsidRDefault="00A90FC3" w:rsidP="00A90FC3">
      <w:pPr>
        <w:spacing w:line="240" w:lineRule="auto"/>
        <w:ind w:left="567" w:right="425" w:firstLine="567"/>
        <w:jc w:val="both"/>
        <w:rPr>
          <w:rFonts w:ascii="Arial" w:eastAsia="Times New Roman" w:hAnsi="Arial" w:cs="Arial"/>
          <w:i/>
          <w:szCs w:val="24"/>
          <w:lang w:eastAsia="es-ES"/>
        </w:rPr>
      </w:pPr>
      <w:r w:rsidRPr="00A90FC3">
        <w:rPr>
          <w:rFonts w:ascii="Arial" w:eastAsia="Times New Roman" w:hAnsi="Arial" w:cs="Arial"/>
          <w:i/>
          <w:szCs w:val="24"/>
          <w:lang w:eastAsia="es-ES"/>
        </w:rPr>
        <w:t xml:space="preserve">5.4. El recurso por concepto de </w:t>
      </w:r>
      <w:r w:rsidR="007B27C4">
        <w:rPr>
          <w:rFonts w:ascii="Arial" w:eastAsia="Times New Roman" w:hAnsi="Arial" w:cs="Arial"/>
          <w:i/>
          <w:szCs w:val="24"/>
          <w:lang w:eastAsia="es-ES"/>
        </w:rPr>
        <w:t>‘</w:t>
      </w:r>
      <w:r w:rsidRPr="00A90FC3">
        <w:rPr>
          <w:rFonts w:ascii="Arial" w:eastAsia="Times New Roman" w:hAnsi="Arial" w:cs="Arial"/>
          <w:i/>
          <w:szCs w:val="24"/>
          <w:lang w:eastAsia="es-ES"/>
        </w:rPr>
        <w:t>Ayuda para confianza</w:t>
      </w:r>
      <w:r w:rsidR="007B27C4">
        <w:rPr>
          <w:rFonts w:ascii="Arial" w:eastAsia="Times New Roman" w:hAnsi="Arial" w:cs="Arial"/>
          <w:i/>
          <w:szCs w:val="24"/>
          <w:lang w:eastAsia="es-ES"/>
        </w:rPr>
        <w:t>’</w:t>
      </w:r>
      <w:r w:rsidRPr="00A90FC3">
        <w:rPr>
          <w:rFonts w:ascii="Arial" w:eastAsia="Times New Roman" w:hAnsi="Arial" w:cs="Arial"/>
          <w:i/>
          <w:szCs w:val="24"/>
          <w:lang w:eastAsia="es-ES"/>
        </w:rPr>
        <w:t xml:space="preserve"> se otorgará al cumplir los siguientes requisitos por parte de los servidores públicos de la Fiscalía General del Estado de Oaxaca:</w:t>
      </w:r>
    </w:p>
    <w:p w14:paraId="4021CF5A" w14:textId="49819F8D" w:rsidR="00A90FC3" w:rsidRPr="00A90FC3" w:rsidRDefault="00A90FC3" w:rsidP="00A90FC3">
      <w:pPr>
        <w:spacing w:line="240" w:lineRule="auto"/>
        <w:ind w:left="567" w:right="425" w:firstLine="567"/>
        <w:jc w:val="both"/>
        <w:rPr>
          <w:rFonts w:ascii="Arial" w:eastAsia="Times New Roman" w:hAnsi="Arial" w:cs="Arial"/>
          <w:i/>
          <w:szCs w:val="24"/>
          <w:lang w:eastAsia="es-ES"/>
        </w:rPr>
      </w:pPr>
      <w:r w:rsidRPr="00A90FC3">
        <w:rPr>
          <w:rFonts w:ascii="Arial" w:eastAsia="Times New Roman" w:hAnsi="Arial" w:cs="Arial"/>
          <w:i/>
          <w:szCs w:val="24"/>
          <w:lang w:eastAsia="es-ES"/>
        </w:rPr>
        <w:t>(…)</w:t>
      </w:r>
    </w:p>
    <w:p w14:paraId="61C0472E" w14:textId="257A7CBC" w:rsidR="00A90FC3" w:rsidRPr="00A90FC3" w:rsidRDefault="00A90FC3" w:rsidP="00A90FC3">
      <w:pPr>
        <w:spacing w:line="240" w:lineRule="auto"/>
        <w:ind w:left="567" w:right="425" w:firstLine="567"/>
        <w:jc w:val="both"/>
        <w:rPr>
          <w:rFonts w:ascii="Arial" w:eastAsia="Times New Roman" w:hAnsi="Arial" w:cs="Arial"/>
          <w:i/>
          <w:szCs w:val="24"/>
          <w:lang w:eastAsia="es-ES"/>
        </w:rPr>
      </w:pPr>
      <w:r w:rsidRPr="00A90FC3">
        <w:rPr>
          <w:rFonts w:ascii="Arial" w:eastAsia="Times New Roman" w:hAnsi="Arial" w:cs="Arial"/>
          <w:i/>
          <w:szCs w:val="24"/>
          <w:lang w:eastAsia="es-ES"/>
        </w:rPr>
        <w:t>Fracción II. Policías de Investigación: Además de cumplir con los requisitos señalados en el artículo 45 de la Ley Orgánica de la Fiscalía General del Estado de Oaxaca, deberá:</w:t>
      </w:r>
    </w:p>
    <w:p w14:paraId="02522C4F" w14:textId="7C1B5892" w:rsidR="00A90FC3" w:rsidRPr="00A90FC3" w:rsidRDefault="00A90FC3" w:rsidP="00A90FC3">
      <w:pPr>
        <w:spacing w:line="240" w:lineRule="auto"/>
        <w:ind w:left="567" w:right="425" w:firstLine="567"/>
        <w:jc w:val="both"/>
        <w:rPr>
          <w:rFonts w:ascii="Arial" w:eastAsia="Times New Roman" w:hAnsi="Arial" w:cs="Arial"/>
          <w:i/>
          <w:szCs w:val="24"/>
          <w:lang w:eastAsia="es-ES"/>
        </w:rPr>
      </w:pPr>
      <w:r w:rsidRPr="00A90FC3">
        <w:rPr>
          <w:rFonts w:ascii="Arial" w:eastAsia="Times New Roman" w:hAnsi="Arial" w:cs="Arial"/>
          <w:i/>
          <w:szCs w:val="24"/>
          <w:lang w:eastAsia="es-ES"/>
        </w:rPr>
        <w:t>(…)</w:t>
      </w:r>
    </w:p>
    <w:p w14:paraId="028DA42C" w14:textId="69CE2C0C" w:rsidR="00426D3E" w:rsidRPr="00B11851" w:rsidRDefault="00A90FC3" w:rsidP="00B11851">
      <w:pPr>
        <w:spacing w:line="240" w:lineRule="auto"/>
        <w:ind w:left="567" w:right="425" w:firstLine="567"/>
        <w:jc w:val="both"/>
        <w:rPr>
          <w:rFonts w:ascii="Arial" w:eastAsia="Times New Roman" w:hAnsi="Arial" w:cs="Arial"/>
          <w:i/>
          <w:szCs w:val="24"/>
          <w:lang w:eastAsia="es-ES"/>
        </w:rPr>
      </w:pPr>
      <w:r w:rsidRPr="00A90FC3">
        <w:rPr>
          <w:rFonts w:ascii="Arial" w:eastAsia="Times New Roman" w:hAnsi="Arial" w:cs="Arial"/>
          <w:i/>
          <w:szCs w:val="24"/>
          <w:lang w:eastAsia="es-ES"/>
        </w:rPr>
        <w:t>Obtener y mantener su calificación, mediante la aprobación de los exámenes de control de confianza (C</w:t>
      </w:r>
      <w:r w:rsidR="007B27C4" w:rsidRPr="00A90FC3">
        <w:rPr>
          <w:rFonts w:ascii="Arial" w:eastAsia="Times New Roman" w:hAnsi="Arial" w:cs="Arial"/>
          <w:i/>
          <w:szCs w:val="24"/>
          <w:lang w:eastAsia="es-ES"/>
        </w:rPr>
        <w:t>3)</w:t>
      </w:r>
      <w:r w:rsidR="007B27C4">
        <w:rPr>
          <w:rFonts w:ascii="Arial" w:eastAsia="Times New Roman" w:hAnsi="Arial" w:cs="Arial"/>
          <w:i/>
          <w:szCs w:val="24"/>
          <w:lang w:eastAsia="es-ES"/>
        </w:rPr>
        <w:t xml:space="preserve"> …</w:t>
      </w:r>
      <w:r w:rsidRPr="00A90FC3">
        <w:rPr>
          <w:rFonts w:ascii="Arial" w:eastAsia="Times New Roman" w:hAnsi="Arial" w:cs="Arial"/>
          <w:i/>
          <w:szCs w:val="24"/>
          <w:lang w:eastAsia="es-ES"/>
        </w:rPr>
        <w:t>”</w:t>
      </w:r>
    </w:p>
    <w:p w14:paraId="78719567" w14:textId="3B577595" w:rsidR="00426D3E" w:rsidRDefault="00426D3E" w:rsidP="00385CCC">
      <w:pPr>
        <w:spacing w:line="360" w:lineRule="auto"/>
        <w:ind w:firstLine="567"/>
        <w:jc w:val="both"/>
        <w:rPr>
          <w:rFonts w:ascii="Arial" w:eastAsia="Times New Roman" w:hAnsi="Arial" w:cs="Arial"/>
          <w:sz w:val="24"/>
          <w:szCs w:val="24"/>
          <w:lang w:eastAsia="es-ES"/>
        </w:rPr>
      </w:pPr>
      <w:r>
        <w:rPr>
          <w:rFonts w:ascii="Arial" w:eastAsia="Times New Roman" w:hAnsi="Arial" w:cs="Arial"/>
          <w:sz w:val="24"/>
          <w:szCs w:val="24"/>
          <w:lang w:eastAsia="es-ES"/>
        </w:rPr>
        <w:t>En términos de</w:t>
      </w:r>
      <w:r w:rsidR="00317E17">
        <w:rPr>
          <w:rFonts w:ascii="Arial" w:eastAsia="Times New Roman" w:hAnsi="Arial" w:cs="Arial"/>
          <w:sz w:val="24"/>
          <w:szCs w:val="24"/>
          <w:lang w:eastAsia="es-ES"/>
        </w:rPr>
        <w:t xml:space="preserve"> </w:t>
      </w:r>
      <w:r>
        <w:rPr>
          <w:rFonts w:ascii="Arial" w:eastAsia="Times New Roman" w:hAnsi="Arial" w:cs="Arial"/>
          <w:sz w:val="24"/>
          <w:szCs w:val="24"/>
          <w:lang w:eastAsia="es-ES"/>
        </w:rPr>
        <w:t xml:space="preserve">los artículos citados, </w:t>
      </w:r>
      <w:r w:rsidR="00317E17">
        <w:rPr>
          <w:rFonts w:ascii="Arial" w:eastAsia="Times New Roman" w:hAnsi="Arial" w:cs="Arial"/>
          <w:sz w:val="24"/>
          <w:szCs w:val="24"/>
          <w:lang w:eastAsia="es-ES"/>
        </w:rPr>
        <w:t>la percepción denominada “Ayuda para confianza”, es un ingreso que reciben los servidores públicos adscritos a la Fiscalía General del Estado de Oaxaca</w:t>
      </w:r>
      <w:r w:rsidR="009E15C9">
        <w:rPr>
          <w:rFonts w:ascii="Arial" w:eastAsia="Times New Roman" w:hAnsi="Arial" w:cs="Arial"/>
          <w:sz w:val="24"/>
          <w:szCs w:val="24"/>
          <w:lang w:eastAsia="es-ES"/>
        </w:rPr>
        <w:t>, el cual se otorgará de acuerdo con el desempeño, logros alcanzados e impacto en el cumplimiento de objetivos institucionales; que, en el caso de los Policías de Investigación (cargo que ostenta el actor), se les otorgar</w:t>
      </w:r>
      <w:r w:rsidR="001567CA">
        <w:rPr>
          <w:rFonts w:ascii="Arial" w:eastAsia="Times New Roman" w:hAnsi="Arial" w:cs="Arial"/>
          <w:sz w:val="24"/>
          <w:szCs w:val="24"/>
          <w:lang w:eastAsia="es-ES"/>
        </w:rPr>
        <w:t xml:space="preserve">á cuando </w:t>
      </w:r>
      <w:r w:rsidR="009E15C9">
        <w:rPr>
          <w:rFonts w:ascii="Arial" w:eastAsia="Times New Roman" w:hAnsi="Arial" w:cs="Arial"/>
          <w:sz w:val="24"/>
          <w:szCs w:val="24"/>
          <w:lang w:eastAsia="es-ES"/>
        </w:rPr>
        <w:t xml:space="preserve">cumplan con los requisitos exigidos por el artículo 45 de la Ley Orgánica de la Fiscalía </w:t>
      </w:r>
      <w:r w:rsidR="001567CA">
        <w:rPr>
          <w:rFonts w:ascii="Arial" w:eastAsia="Times New Roman" w:hAnsi="Arial" w:cs="Arial"/>
          <w:sz w:val="24"/>
          <w:szCs w:val="24"/>
          <w:lang w:eastAsia="es-ES"/>
        </w:rPr>
        <w:t>General del Estado, además de aprobar los exámenes de control y confianza.</w:t>
      </w:r>
    </w:p>
    <w:p w14:paraId="7E23690A" w14:textId="650CE4E3" w:rsidR="00A57BBD" w:rsidRDefault="00A57BBD" w:rsidP="00385CCC">
      <w:pPr>
        <w:spacing w:line="360" w:lineRule="auto"/>
        <w:ind w:firstLine="567"/>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En el caso, la autoridad demanda informó al actor que el motivo por el cual </w:t>
      </w:r>
      <w:r w:rsidR="00E3557B">
        <w:rPr>
          <w:rFonts w:ascii="Arial" w:eastAsia="Times New Roman" w:hAnsi="Arial" w:cs="Arial"/>
          <w:sz w:val="24"/>
          <w:szCs w:val="24"/>
          <w:lang w:eastAsia="es-ES"/>
        </w:rPr>
        <w:t>se le dejó de pagar la percepción denominada “Ayuda para confianza”, era que no había aprobado los exámenes de control y confianza.</w:t>
      </w:r>
    </w:p>
    <w:p w14:paraId="61F8ED99" w14:textId="22A47911" w:rsidR="00F90CE4" w:rsidRPr="00E3557B" w:rsidRDefault="00E3557B" w:rsidP="00F90CE4">
      <w:pPr>
        <w:spacing w:line="360" w:lineRule="auto"/>
        <w:ind w:firstLine="567"/>
        <w:jc w:val="both"/>
        <w:rPr>
          <w:rFonts w:ascii="Arial" w:eastAsia="Times New Roman" w:hAnsi="Arial" w:cs="Arial"/>
          <w:sz w:val="24"/>
          <w:szCs w:val="24"/>
          <w:lang w:eastAsia="es-ES"/>
        </w:rPr>
      </w:pPr>
      <w:r>
        <w:rPr>
          <w:rFonts w:ascii="Arial" w:eastAsia="Times New Roman" w:hAnsi="Arial" w:cs="Arial"/>
          <w:sz w:val="24"/>
          <w:szCs w:val="24"/>
          <w:lang w:eastAsia="es-ES"/>
        </w:rPr>
        <w:t>Al respecto, mediante oficio</w:t>
      </w:r>
      <w:r w:rsidR="007B27C4">
        <w:rPr>
          <w:rFonts w:ascii="Arial" w:eastAsia="Times New Roman" w:hAnsi="Arial" w:cs="Arial"/>
          <w:sz w:val="24"/>
          <w:szCs w:val="24"/>
          <w:lang w:eastAsia="es-ES"/>
        </w:rPr>
        <w:t>s</w:t>
      </w:r>
      <w:r>
        <w:rPr>
          <w:rFonts w:ascii="Arial" w:eastAsia="Times New Roman" w:hAnsi="Arial" w:cs="Arial"/>
          <w:sz w:val="24"/>
          <w:szCs w:val="24"/>
          <w:lang w:eastAsia="es-ES"/>
        </w:rPr>
        <w:t xml:space="preserve"> número </w:t>
      </w:r>
      <w:r w:rsidR="00BA12F1">
        <w:rPr>
          <w:rFonts w:ascii="Arial" w:hAnsi="Arial" w:cs="Arial"/>
          <w:b/>
          <w:sz w:val="24"/>
          <w:szCs w:val="24"/>
          <w:lang w:eastAsia="es-ES"/>
        </w:rPr>
        <w:t xml:space="preserve">********** </w:t>
      </w:r>
      <w:r w:rsidR="007B27C4">
        <w:rPr>
          <w:rFonts w:ascii="Arial" w:eastAsia="Times New Roman" w:hAnsi="Arial" w:cs="Arial"/>
          <w:sz w:val="24"/>
          <w:szCs w:val="24"/>
          <w:lang w:eastAsia="es-ES"/>
        </w:rPr>
        <w:t xml:space="preserve">de uno de junio de dos mil diecinueve y </w:t>
      </w:r>
      <w:r w:rsidR="00BA12F1">
        <w:rPr>
          <w:rFonts w:ascii="Arial" w:hAnsi="Arial" w:cs="Arial"/>
          <w:b/>
          <w:sz w:val="24"/>
          <w:szCs w:val="24"/>
          <w:lang w:eastAsia="es-ES"/>
        </w:rPr>
        <w:t>**********</w:t>
      </w:r>
      <w:r>
        <w:rPr>
          <w:rFonts w:ascii="Arial" w:eastAsia="Times New Roman" w:hAnsi="Arial" w:cs="Arial"/>
          <w:sz w:val="24"/>
          <w:szCs w:val="24"/>
          <w:lang w:eastAsia="es-ES"/>
        </w:rPr>
        <w:t>, de doce de abril de dos mil veintiuno, el Oficial Mayor de la Fiscalía General del Estado</w:t>
      </w:r>
      <w:r w:rsidR="00F90CE4">
        <w:rPr>
          <w:rFonts w:ascii="Arial" w:eastAsia="Times New Roman" w:hAnsi="Arial" w:cs="Arial"/>
          <w:sz w:val="24"/>
          <w:szCs w:val="24"/>
          <w:lang w:eastAsia="es-ES"/>
        </w:rPr>
        <w:t>, remitió los resultados del examen de control y confianza realizado al actor, dando como resultado “no aprobado”, omitiendo señalar los motivos y circunstancias por las cuales el actor no aprobó dichos exámenes.</w:t>
      </w:r>
    </w:p>
    <w:p w14:paraId="7E1EC23C" w14:textId="3A626680" w:rsidR="00F90CE4" w:rsidRDefault="00B11851" w:rsidP="00385CCC">
      <w:pPr>
        <w:spacing w:line="360" w:lineRule="auto"/>
        <w:ind w:firstLine="567"/>
        <w:jc w:val="both"/>
        <w:rPr>
          <w:rFonts w:ascii="Arial" w:eastAsia="Times New Roman" w:hAnsi="Arial" w:cs="Arial"/>
          <w:sz w:val="24"/>
          <w:szCs w:val="24"/>
          <w:lang w:eastAsia="es-ES"/>
        </w:rPr>
      </w:pPr>
      <w:r>
        <w:rPr>
          <w:rFonts w:ascii="Arial" w:eastAsia="Times New Roman" w:hAnsi="Arial" w:cs="Arial"/>
          <w:sz w:val="24"/>
          <w:szCs w:val="24"/>
          <w:lang w:eastAsia="es-ES"/>
        </w:rPr>
        <w:t>En ese sentido</w:t>
      </w:r>
      <w:r w:rsidR="00C41F79">
        <w:rPr>
          <w:rFonts w:ascii="Arial" w:eastAsia="Times New Roman" w:hAnsi="Arial" w:cs="Arial"/>
          <w:sz w:val="24"/>
          <w:szCs w:val="24"/>
          <w:lang w:eastAsia="es-ES"/>
        </w:rPr>
        <w:t xml:space="preserve">, los </w:t>
      </w:r>
      <w:r w:rsidR="00A57BBD">
        <w:rPr>
          <w:rFonts w:ascii="Arial" w:eastAsia="Times New Roman" w:hAnsi="Arial" w:cs="Arial"/>
          <w:sz w:val="24"/>
          <w:szCs w:val="24"/>
          <w:lang w:eastAsia="es-ES"/>
        </w:rPr>
        <w:t>artículo</w:t>
      </w:r>
      <w:r w:rsidR="00C41F79">
        <w:rPr>
          <w:rFonts w:ascii="Arial" w:eastAsia="Times New Roman" w:hAnsi="Arial" w:cs="Arial"/>
          <w:sz w:val="24"/>
          <w:szCs w:val="24"/>
          <w:lang w:eastAsia="es-ES"/>
        </w:rPr>
        <w:t>s</w:t>
      </w:r>
      <w:r w:rsidR="00A57BBD">
        <w:rPr>
          <w:rFonts w:ascii="Arial" w:eastAsia="Times New Roman" w:hAnsi="Arial" w:cs="Arial"/>
          <w:sz w:val="24"/>
          <w:szCs w:val="24"/>
          <w:lang w:eastAsia="es-ES"/>
        </w:rPr>
        <w:t xml:space="preserve"> 48 </w:t>
      </w:r>
      <w:r w:rsidR="00C41F79">
        <w:rPr>
          <w:rFonts w:ascii="Arial" w:eastAsia="Times New Roman" w:hAnsi="Arial" w:cs="Arial"/>
          <w:sz w:val="24"/>
          <w:szCs w:val="24"/>
          <w:lang w:eastAsia="es-ES"/>
        </w:rPr>
        <w:t xml:space="preserve">y 49 </w:t>
      </w:r>
      <w:r w:rsidR="00A57BBD">
        <w:rPr>
          <w:rFonts w:ascii="Arial" w:eastAsia="Times New Roman" w:hAnsi="Arial" w:cs="Arial"/>
          <w:sz w:val="24"/>
          <w:szCs w:val="24"/>
          <w:lang w:eastAsia="es-ES"/>
        </w:rPr>
        <w:t>de la Ley Orgánica de la Fiscal</w:t>
      </w:r>
      <w:r w:rsidR="00F90CE4">
        <w:rPr>
          <w:rFonts w:ascii="Arial" w:eastAsia="Times New Roman" w:hAnsi="Arial" w:cs="Arial"/>
          <w:sz w:val="24"/>
          <w:szCs w:val="24"/>
          <w:lang w:eastAsia="es-ES"/>
        </w:rPr>
        <w:t>ía General del Estado y el diverso 84 del Reglamento del Servicio Civil de Carrera de la Fiscalía General del Estado,</w:t>
      </w:r>
      <w:r w:rsidR="00A57BBD">
        <w:rPr>
          <w:rFonts w:ascii="Arial" w:eastAsia="Times New Roman" w:hAnsi="Arial" w:cs="Arial"/>
          <w:sz w:val="24"/>
          <w:szCs w:val="24"/>
          <w:lang w:eastAsia="es-ES"/>
        </w:rPr>
        <w:t xml:space="preserve"> señala</w:t>
      </w:r>
      <w:r w:rsidR="00F90CE4">
        <w:rPr>
          <w:rFonts w:ascii="Arial" w:eastAsia="Times New Roman" w:hAnsi="Arial" w:cs="Arial"/>
          <w:sz w:val="24"/>
          <w:szCs w:val="24"/>
          <w:lang w:eastAsia="es-ES"/>
        </w:rPr>
        <w:t>n:</w:t>
      </w:r>
    </w:p>
    <w:p w14:paraId="52CE283D" w14:textId="1620F378" w:rsidR="00A15319" w:rsidRPr="00C41F79" w:rsidRDefault="00A57BBD" w:rsidP="00C41F79">
      <w:pPr>
        <w:spacing w:line="240" w:lineRule="auto"/>
        <w:ind w:left="567" w:right="425" w:firstLine="567"/>
        <w:jc w:val="both"/>
        <w:rPr>
          <w:rFonts w:ascii="Arial" w:eastAsia="Times New Roman" w:hAnsi="Arial" w:cs="Arial"/>
          <w:i/>
          <w:szCs w:val="24"/>
          <w:lang w:eastAsia="es-ES"/>
        </w:rPr>
      </w:pPr>
      <w:r w:rsidRPr="00C41F79">
        <w:rPr>
          <w:rFonts w:ascii="Arial" w:eastAsia="Times New Roman" w:hAnsi="Arial" w:cs="Arial"/>
          <w:b/>
          <w:i/>
          <w:szCs w:val="24"/>
          <w:lang w:eastAsia="es-ES"/>
        </w:rPr>
        <w:t xml:space="preserve"> </w:t>
      </w:r>
      <w:r w:rsidR="00C41F79" w:rsidRPr="00C41F79">
        <w:rPr>
          <w:rFonts w:ascii="Arial" w:eastAsia="Times New Roman" w:hAnsi="Arial" w:cs="Arial"/>
          <w:b/>
          <w:i/>
          <w:szCs w:val="24"/>
          <w:lang w:eastAsia="es-ES"/>
        </w:rPr>
        <w:t>“</w:t>
      </w:r>
      <w:r w:rsidR="00A15319" w:rsidRPr="00C41F79">
        <w:rPr>
          <w:rFonts w:ascii="Arial" w:eastAsia="Times New Roman" w:hAnsi="Arial" w:cs="Arial"/>
          <w:b/>
          <w:i/>
          <w:szCs w:val="24"/>
          <w:lang w:eastAsia="es-ES"/>
        </w:rPr>
        <w:t>Artículo 48</w:t>
      </w:r>
      <w:r w:rsidR="00A15319" w:rsidRPr="00C41F79">
        <w:rPr>
          <w:rFonts w:ascii="Arial" w:eastAsia="Times New Roman" w:hAnsi="Arial" w:cs="Arial"/>
          <w:i/>
          <w:szCs w:val="24"/>
          <w:lang w:eastAsia="es-ES"/>
        </w:rPr>
        <w:t>. El procedimiento de evaluación de control de confianza, constará de los exámenes siguientes:</w:t>
      </w:r>
    </w:p>
    <w:p w14:paraId="49EAA086" w14:textId="77777777" w:rsidR="00A15319" w:rsidRPr="00C41F79" w:rsidRDefault="00A15319" w:rsidP="00C41F79">
      <w:pPr>
        <w:spacing w:line="240" w:lineRule="auto"/>
        <w:ind w:left="567" w:right="425" w:firstLine="567"/>
        <w:jc w:val="both"/>
        <w:rPr>
          <w:rFonts w:ascii="Arial" w:eastAsia="Times New Roman" w:hAnsi="Arial" w:cs="Arial"/>
          <w:i/>
          <w:szCs w:val="24"/>
          <w:lang w:eastAsia="es-ES"/>
        </w:rPr>
      </w:pPr>
      <w:r w:rsidRPr="00C41F79">
        <w:rPr>
          <w:rFonts w:ascii="Arial" w:eastAsia="Times New Roman" w:hAnsi="Arial" w:cs="Arial"/>
          <w:i/>
          <w:szCs w:val="24"/>
          <w:lang w:eastAsia="es-ES"/>
        </w:rPr>
        <w:t>I. Patrimonial y de entorno social;</w:t>
      </w:r>
    </w:p>
    <w:p w14:paraId="491D11E4" w14:textId="77777777" w:rsidR="00A15319" w:rsidRPr="00C41F79" w:rsidRDefault="00A15319" w:rsidP="00C41F79">
      <w:pPr>
        <w:spacing w:line="240" w:lineRule="auto"/>
        <w:ind w:left="567" w:right="425" w:firstLine="567"/>
        <w:jc w:val="both"/>
        <w:rPr>
          <w:rFonts w:ascii="Arial" w:eastAsia="Times New Roman" w:hAnsi="Arial" w:cs="Arial"/>
          <w:i/>
          <w:szCs w:val="24"/>
          <w:lang w:eastAsia="es-ES"/>
        </w:rPr>
      </w:pPr>
      <w:r w:rsidRPr="00C41F79">
        <w:rPr>
          <w:rFonts w:ascii="Arial" w:eastAsia="Times New Roman" w:hAnsi="Arial" w:cs="Arial"/>
          <w:i/>
          <w:szCs w:val="24"/>
          <w:lang w:eastAsia="es-ES"/>
        </w:rPr>
        <w:t>II. Médico;</w:t>
      </w:r>
    </w:p>
    <w:p w14:paraId="7B44302A" w14:textId="77777777" w:rsidR="00A15319" w:rsidRPr="00C41F79" w:rsidRDefault="00A15319" w:rsidP="00C41F79">
      <w:pPr>
        <w:spacing w:line="240" w:lineRule="auto"/>
        <w:ind w:left="567" w:right="425" w:firstLine="567"/>
        <w:jc w:val="both"/>
        <w:rPr>
          <w:rFonts w:ascii="Arial" w:eastAsia="Times New Roman" w:hAnsi="Arial" w:cs="Arial"/>
          <w:i/>
          <w:szCs w:val="24"/>
          <w:lang w:eastAsia="es-ES"/>
        </w:rPr>
      </w:pPr>
      <w:r w:rsidRPr="00C41F79">
        <w:rPr>
          <w:rFonts w:ascii="Arial" w:eastAsia="Times New Roman" w:hAnsi="Arial" w:cs="Arial"/>
          <w:i/>
          <w:szCs w:val="24"/>
          <w:lang w:eastAsia="es-ES"/>
        </w:rPr>
        <w:t>III. Psicológico;</w:t>
      </w:r>
    </w:p>
    <w:p w14:paraId="01F8C162" w14:textId="77777777" w:rsidR="00A15319" w:rsidRPr="00C41F79" w:rsidRDefault="00A15319" w:rsidP="00C41F79">
      <w:pPr>
        <w:spacing w:line="240" w:lineRule="auto"/>
        <w:ind w:left="567" w:right="425" w:firstLine="567"/>
        <w:jc w:val="both"/>
        <w:rPr>
          <w:rFonts w:ascii="Arial" w:eastAsia="Times New Roman" w:hAnsi="Arial" w:cs="Arial"/>
          <w:i/>
          <w:szCs w:val="24"/>
          <w:lang w:eastAsia="es-ES"/>
        </w:rPr>
      </w:pPr>
      <w:r w:rsidRPr="00C41F79">
        <w:rPr>
          <w:rFonts w:ascii="Arial" w:eastAsia="Times New Roman" w:hAnsi="Arial" w:cs="Arial"/>
          <w:i/>
          <w:szCs w:val="24"/>
          <w:lang w:eastAsia="es-ES"/>
        </w:rPr>
        <w:t>IV. Poligráfico;</w:t>
      </w:r>
    </w:p>
    <w:p w14:paraId="3F1F8579" w14:textId="77777777" w:rsidR="00A15319" w:rsidRPr="00C41F79" w:rsidRDefault="00A15319" w:rsidP="00C41F79">
      <w:pPr>
        <w:spacing w:line="240" w:lineRule="auto"/>
        <w:ind w:left="567" w:right="425" w:firstLine="567"/>
        <w:jc w:val="both"/>
        <w:rPr>
          <w:rFonts w:ascii="Arial" w:eastAsia="Times New Roman" w:hAnsi="Arial" w:cs="Arial"/>
          <w:i/>
          <w:szCs w:val="24"/>
          <w:lang w:eastAsia="es-ES"/>
        </w:rPr>
      </w:pPr>
      <w:r w:rsidRPr="00C41F79">
        <w:rPr>
          <w:rFonts w:ascii="Arial" w:eastAsia="Times New Roman" w:hAnsi="Arial" w:cs="Arial"/>
          <w:i/>
          <w:szCs w:val="24"/>
          <w:lang w:eastAsia="es-ES"/>
        </w:rPr>
        <w:lastRenderedPageBreak/>
        <w:t>V. Toxicológico; y</w:t>
      </w:r>
    </w:p>
    <w:p w14:paraId="1514BA47" w14:textId="77B58757" w:rsidR="001567CA" w:rsidRPr="00C41F79" w:rsidRDefault="00A15319" w:rsidP="00C41F79">
      <w:pPr>
        <w:spacing w:line="240" w:lineRule="auto"/>
        <w:ind w:left="567" w:right="425" w:firstLine="567"/>
        <w:jc w:val="both"/>
        <w:rPr>
          <w:rFonts w:ascii="Arial" w:eastAsia="Times New Roman" w:hAnsi="Arial" w:cs="Arial"/>
          <w:i/>
          <w:szCs w:val="24"/>
          <w:lang w:eastAsia="es-ES"/>
        </w:rPr>
      </w:pPr>
      <w:r w:rsidRPr="00C41F79">
        <w:rPr>
          <w:rFonts w:ascii="Arial" w:eastAsia="Times New Roman" w:hAnsi="Arial" w:cs="Arial"/>
          <w:i/>
          <w:szCs w:val="24"/>
          <w:lang w:eastAsia="es-ES"/>
        </w:rPr>
        <w:t>VI. Los demás que establezcan las disposiciones aplicables.</w:t>
      </w:r>
    </w:p>
    <w:p w14:paraId="3D8473D5" w14:textId="69D20EE8" w:rsidR="00C41F79" w:rsidRPr="00C41F79" w:rsidRDefault="00C41F79" w:rsidP="00C41F79">
      <w:pPr>
        <w:spacing w:line="240" w:lineRule="auto"/>
        <w:ind w:left="567" w:right="425" w:firstLine="567"/>
        <w:jc w:val="both"/>
        <w:rPr>
          <w:rFonts w:ascii="Arial" w:eastAsia="Times New Roman" w:hAnsi="Arial" w:cs="Arial"/>
          <w:i/>
          <w:szCs w:val="24"/>
          <w:lang w:eastAsia="es-ES"/>
        </w:rPr>
      </w:pPr>
      <w:r w:rsidRPr="00C41F79">
        <w:rPr>
          <w:rFonts w:ascii="Arial" w:eastAsia="Times New Roman" w:hAnsi="Arial" w:cs="Arial"/>
          <w:b/>
          <w:i/>
          <w:szCs w:val="24"/>
          <w:lang w:eastAsia="es-ES"/>
        </w:rPr>
        <w:t>Artículo 49.</w:t>
      </w:r>
      <w:r w:rsidRPr="00C41F79">
        <w:rPr>
          <w:rFonts w:ascii="Arial" w:eastAsia="Times New Roman" w:hAnsi="Arial" w:cs="Arial"/>
          <w:i/>
          <w:szCs w:val="24"/>
          <w:lang w:eastAsia="es-ES"/>
        </w:rPr>
        <w:t xml:space="preserve"> Los exámenes del procedimiento de evaluación de control de confianza se valorarán en conjunto, salvo el examen toxicológico que se presentará y calificará por separado.</w:t>
      </w:r>
    </w:p>
    <w:p w14:paraId="5DC17A07" w14:textId="00C2F23F" w:rsidR="00A15319" w:rsidRPr="00C41F79" w:rsidRDefault="00A15319" w:rsidP="00C41F79">
      <w:pPr>
        <w:spacing w:line="240" w:lineRule="auto"/>
        <w:ind w:left="567" w:right="425" w:firstLine="567"/>
        <w:jc w:val="both"/>
        <w:rPr>
          <w:rFonts w:ascii="Arial" w:eastAsia="Times New Roman" w:hAnsi="Arial" w:cs="Arial"/>
          <w:i/>
          <w:szCs w:val="24"/>
          <w:lang w:eastAsia="es-ES"/>
        </w:rPr>
      </w:pPr>
      <w:r w:rsidRPr="00C41F79">
        <w:rPr>
          <w:rFonts w:ascii="Arial" w:eastAsia="Times New Roman" w:hAnsi="Arial" w:cs="Arial"/>
          <w:b/>
          <w:i/>
          <w:szCs w:val="24"/>
          <w:lang w:eastAsia="es-ES"/>
        </w:rPr>
        <w:t xml:space="preserve">Artículo 84. </w:t>
      </w:r>
      <w:r w:rsidRPr="00C41F79">
        <w:rPr>
          <w:rFonts w:ascii="Arial" w:eastAsia="Times New Roman" w:hAnsi="Arial" w:cs="Arial"/>
          <w:i/>
          <w:szCs w:val="24"/>
          <w:lang w:eastAsia="es-ES"/>
        </w:rPr>
        <w:t>La evaluación de control de confianza, constará de los exámenes que señala el artículo 48 de la Ley Orgánica y los demás que señal</w:t>
      </w:r>
      <w:r w:rsidR="00C41F79" w:rsidRPr="00C41F79">
        <w:rPr>
          <w:rFonts w:ascii="Arial" w:eastAsia="Times New Roman" w:hAnsi="Arial" w:cs="Arial"/>
          <w:i/>
          <w:szCs w:val="24"/>
          <w:lang w:eastAsia="es-ES"/>
        </w:rPr>
        <w:t>en las disposiciones aplicables.</w:t>
      </w:r>
    </w:p>
    <w:p w14:paraId="0D6F4551" w14:textId="3F7A6238" w:rsidR="00C41F79" w:rsidRPr="00C41F79" w:rsidRDefault="00C41F79" w:rsidP="00C41F79">
      <w:pPr>
        <w:spacing w:line="240" w:lineRule="auto"/>
        <w:ind w:left="567" w:right="425" w:firstLine="567"/>
        <w:jc w:val="both"/>
        <w:rPr>
          <w:rFonts w:ascii="Arial" w:eastAsia="Times New Roman" w:hAnsi="Arial" w:cs="Arial"/>
          <w:i/>
          <w:szCs w:val="24"/>
          <w:lang w:eastAsia="es-ES"/>
        </w:rPr>
      </w:pPr>
      <w:r w:rsidRPr="00C41F79">
        <w:rPr>
          <w:rFonts w:ascii="Arial" w:eastAsia="Times New Roman" w:hAnsi="Arial" w:cs="Arial"/>
          <w:i/>
          <w:szCs w:val="24"/>
          <w:lang w:eastAsia="es-ES"/>
        </w:rPr>
        <w:t>Los exámenes del procedimiento de evaluación de control de confianza se valorarán en conjunto, salvo toxicológico que se presentará y calificará por separado.”</w:t>
      </w:r>
    </w:p>
    <w:p w14:paraId="04A287FB" w14:textId="1244FACC" w:rsidR="00980D51" w:rsidRDefault="000E2BF2" w:rsidP="00385CCC">
      <w:pPr>
        <w:spacing w:line="360" w:lineRule="auto"/>
        <w:ind w:firstLine="567"/>
        <w:jc w:val="both"/>
        <w:rPr>
          <w:rFonts w:ascii="Arial" w:eastAsia="Times New Roman" w:hAnsi="Arial" w:cs="Arial"/>
          <w:sz w:val="24"/>
          <w:szCs w:val="24"/>
          <w:lang w:eastAsia="es-ES"/>
        </w:rPr>
      </w:pPr>
      <w:r>
        <w:rPr>
          <w:rFonts w:ascii="Arial" w:eastAsia="Times New Roman" w:hAnsi="Arial" w:cs="Arial"/>
          <w:sz w:val="24"/>
          <w:szCs w:val="24"/>
          <w:lang w:eastAsia="es-ES"/>
        </w:rPr>
        <w:t>Los artículos</w:t>
      </w:r>
      <w:r w:rsidR="000E7A0B">
        <w:rPr>
          <w:rFonts w:ascii="Arial" w:eastAsia="Times New Roman" w:hAnsi="Arial" w:cs="Arial"/>
          <w:sz w:val="24"/>
          <w:szCs w:val="24"/>
          <w:lang w:eastAsia="es-ES"/>
        </w:rPr>
        <w:t xml:space="preserve"> transcritos indican, que el procedimiento de evaluación</w:t>
      </w:r>
      <w:r>
        <w:rPr>
          <w:rFonts w:ascii="Arial" w:eastAsia="Times New Roman" w:hAnsi="Arial" w:cs="Arial"/>
          <w:sz w:val="24"/>
          <w:szCs w:val="24"/>
          <w:lang w:eastAsia="es-ES"/>
        </w:rPr>
        <w:t xml:space="preserve"> de control y confianza que se practican a los elementos de la Fiscalía General del Estado, </w:t>
      </w:r>
      <w:r w:rsidR="000E7A0B">
        <w:rPr>
          <w:rFonts w:ascii="Arial" w:eastAsia="Times New Roman" w:hAnsi="Arial" w:cs="Arial"/>
          <w:sz w:val="24"/>
          <w:szCs w:val="24"/>
          <w:lang w:eastAsia="es-ES"/>
        </w:rPr>
        <w:t>estará integrado de los exámenes patrimonial y de entorno social, médico, psicológico, poligráfico, toxicológico, los cuales se valorarán en conjunto (con excepción del toxicológico), para determinar su aprobación.</w:t>
      </w:r>
    </w:p>
    <w:p w14:paraId="2D5ADFB5" w14:textId="306CA617" w:rsidR="000E7A0B" w:rsidRDefault="000E7A0B" w:rsidP="00385CCC">
      <w:pPr>
        <w:spacing w:line="360" w:lineRule="auto"/>
        <w:ind w:firstLine="567"/>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En el caso, </w:t>
      </w:r>
      <w:r>
        <w:rPr>
          <w:rFonts w:ascii="Arial" w:eastAsia="Times New Roman" w:hAnsi="Arial" w:cs="Arial"/>
          <w:b/>
          <w:sz w:val="24"/>
          <w:szCs w:val="24"/>
          <w:lang w:eastAsia="es-ES"/>
        </w:rPr>
        <w:t xml:space="preserve">la autoridad demandada </w:t>
      </w:r>
      <w:r w:rsidR="00B10E47">
        <w:rPr>
          <w:rFonts w:ascii="Arial" w:eastAsia="Times New Roman" w:hAnsi="Arial" w:cs="Arial"/>
          <w:sz w:val="24"/>
          <w:szCs w:val="24"/>
          <w:lang w:eastAsia="es-ES"/>
        </w:rPr>
        <w:t xml:space="preserve">le indicó al </w:t>
      </w:r>
      <w:r w:rsidR="001A2B35">
        <w:rPr>
          <w:rFonts w:ascii="Arial" w:eastAsia="Times New Roman" w:hAnsi="Arial" w:cs="Arial"/>
          <w:b/>
          <w:sz w:val="24"/>
          <w:szCs w:val="24"/>
          <w:lang w:eastAsia="es-ES"/>
        </w:rPr>
        <w:t>actor</w:t>
      </w:r>
      <w:r w:rsidR="001A2B35">
        <w:rPr>
          <w:rFonts w:ascii="Arial" w:eastAsia="Times New Roman" w:hAnsi="Arial" w:cs="Arial"/>
          <w:sz w:val="24"/>
          <w:szCs w:val="24"/>
          <w:lang w:eastAsia="es-ES"/>
        </w:rPr>
        <w:t xml:space="preserve"> que el motivo por el cual se le había dejado de pagar la percepción denominada, “Ayuda para confianza”, era porque no había aprobado los exámenes de control y confianza, </w:t>
      </w:r>
      <w:r w:rsidR="001A2B35">
        <w:rPr>
          <w:rFonts w:ascii="Arial" w:eastAsia="Times New Roman" w:hAnsi="Arial" w:cs="Arial"/>
          <w:b/>
          <w:sz w:val="24"/>
          <w:szCs w:val="24"/>
          <w:lang w:eastAsia="es-ES"/>
        </w:rPr>
        <w:t>sin embargo</w:t>
      </w:r>
      <w:r w:rsidR="001A2B35">
        <w:rPr>
          <w:rFonts w:ascii="Arial" w:eastAsia="Times New Roman" w:hAnsi="Arial" w:cs="Arial"/>
          <w:sz w:val="24"/>
          <w:szCs w:val="24"/>
          <w:lang w:eastAsia="es-ES"/>
        </w:rPr>
        <w:t>, omitió indicarle los motivos y circunstancias especiales por las</w:t>
      </w:r>
      <w:r w:rsidR="00B33795">
        <w:rPr>
          <w:rFonts w:ascii="Arial" w:eastAsia="Times New Roman" w:hAnsi="Arial" w:cs="Arial"/>
          <w:sz w:val="24"/>
          <w:szCs w:val="24"/>
          <w:lang w:eastAsia="es-ES"/>
        </w:rPr>
        <w:t xml:space="preserve"> que</w:t>
      </w:r>
      <w:r w:rsidR="001A2B35">
        <w:rPr>
          <w:rFonts w:ascii="Arial" w:eastAsia="Times New Roman" w:hAnsi="Arial" w:cs="Arial"/>
          <w:sz w:val="24"/>
          <w:szCs w:val="24"/>
          <w:lang w:eastAsia="es-ES"/>
        </w:rPr>
        <w:t xml:space="preserve"> </w:t>
      </w:r>
      <w:r w:rsidR="00B33795">
        <w:rPr>
          <w:rFonts w:ascii="Arial" w:eastAsia="Times New Roman" w:hAnsi="Arial" w:cs="Arial"/>
          <w:sz w:val="24"/>
          <w:szCs w:val="24"/>
          <w:lang w:eastAsia="es-ES"/>
        </w:rPr>
        <w:t xml:space="preserve">el accionante </w:t>
      </w:r>
      <w:r w:rsidR="00953F5C">
        <w:rPr>
          <w:rFonts w:ascii="Arial" w:eastAsia="Times New Roman" w:hAnsi="Arial" w:cs="Arial"/>
          <w:sz w:val="24"/>
          <w:szCs w:val="24"/>
          <w:lang w:eastAsia="es-ES"/>
        </w:rPr>
        <w:t>no aprobó dicho examen de control y confianza, pues en el caso, debió de hacerle de su conocimiento cuales habían sido los resultados obtenidos en cada uno de los exámenes individuales (patrimonial y de entorno social, médico, psicológico, poligráfico, toxicológico) y el motivo por el cual no había aprobado cada uno de ellos.</w:t>
      </w:r>
    </w:p>
    <w:p w14:paraId="5A169C07" w14:textId="6AAE3049" w:rsidR="00953F5C" w:rsidRPr="00953F5C" w:rsidRDefault="00953F5C" w:rsidP="00385CCC">
      <w:pPr>
        <w:spacing w:line="360" w:lineRule="auto"/>
        <w:ind w:firstLine="567"/>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Siendo </w:t>
      </w:r>
      <w:r>
        <w:rPr>
          <w:rFonts w:ascii="Arial" w:eastAsia="Times New Roman" w:hAnsi="Arial" w:cs="Arial"/>
          <w:b/>
          <w:sz w:val="24"/>
          <w:szCs w:val="24"/>
          <w:lang w:eastAsia="es-ES"/>
        </w:rPr>
        <w:t>insuficiente</w:t>
      </w:r>
      <w:r>
        <w:rPr>
          <w:rFonts w:ascii="Arial" w:eastAsia="Times New Roman" w:hAnsi="Arial" w:cs="Arial"/>
          <w:sz w:val="24"/>
          <w:szCs w:val="24"/>
          <w:lang w:eastAsia="es-ES"/>
        </w:rPr>
        <w:t xml:space="preserve">, que la autoridad demanda haya exhibido el informe del Centro Estatal de Evaluaciones y Control de Confianza, en donde consta el nombre del actor, pues en dicho informe únicamente se aprecia el nombre del actor, acompañado de la leyenda “no aprobado”, sin indicar con precisión, el resultado obtenido por el administrado en los exámenes patrimonial y de entorno social, médico, psicológico, poligráfico, toxicológico, y con ello su valoración conjunta; pues, la </w:t>
      </w:r>
      <w:r>
        <w:rPr>
          <w:rFonts w:ascii="Arial" w:eastAsia="Times New Roman" w:hAnsi="Arial" w:cs="Arial"/>
          <w:b/>
          <w:sz w:val="24"/>
          <w:szCs w:val="24"/>
          <w:lang w:eastAsia="es-ES"/>
        </w:rPr>
        <w:t xml:space="preserve">demandada </w:t>
      </w:r>
      <w:r>
        <w:rPr>
          <w:rFonts w:ascii="Arial" w:eastAsia="Times New Roman" w:hAnsi="Arial" w:cs="Arial"/>
          <w:sz w:val="24"/>
          <w:szCs w:val="24"/>
          <w:lang w:eastAsia="es-ES"/>
        </w:rPr>
        <w:t>únicamente se limitó a informar que el actor no había aprobado el examen de control y confianza, sin darle a conocer, como llegó a dicha conclusión.</w:t>
      </w:r>
    </w:p>
    <w:p w14:paraId="012DC2B0" w14:textId="26B2241F" w:rsidR="00D543BA" w:rsidRDefault="00953F5C" w:rsidP="005C54EF">
      <w:pPr>
        <w:spacing w:line="360" w:lineRule="auto"/>
        <w:ind w:right="51" w:firstLine="567"/>
        <w:jc w:val="both"/>
        <w:rPr>
          <w:rFonts w:ascii="Arial" w:hAnsi="Arial" w:cs="Arial"/>
          <w:sz w:val="24"/>
          <w:szCs w:val="24"/>
        </w:rPr>
      </w:pPr>
      <w:r>
        <w:rPr>
          <w:rFonts w:ascii="Arial" w:eastAsia="Times New Roman" w:hAnsi="Arial" w:cs="Arial"/>
          <w:sz w:val="24"/>
          <w:szCs w:val="24"/>
          <w:lang w:eastAsia="es-ES"/>
        </w:rPr>
        <w:t xml:space="preserve">Luego entonces, </w:t>
      </w:r>
      <w:r w:rsidR="00D543BA">
        <w:rPr>
          <w:rFonts w:ascii="Arial" w:eastAsia="Times New Roman" w:hAnsi="Arial" w:cs="Arial"/>
          <w:sz w:val="24"/>
          <w:szCs w:val="24"/>
          <w:lang w:eastAsia="es-ES"/>
        </w:rPr>
        <w:t xml:space="preserve">el </w:t>
      </w:r>
      <w:r w:rsidR="00D543BA">
        <w:rPr>
          <w:rFonts w:ascii="Arial" w:eastAsia="Times New Roman" w:hAnsi="Arial" w:cs="Arial"/>
          <w:b/>
          <w:sz w:val="24"/>
          <w:szCs w:val="24"/>
          <w:lang w:eastAsia="es-ES"/>
        </w:rPr>
        <w:t xml:space="preserve">Oficial Mayor de la Fiscalía General del Estado </w:t>
      </w:r>
      <w:r w:rsidR="00D543BA">
        <w:rPr>
          <w:rFonts w:ascii="Arial" w:hAnsi="Arial" w:cs="Arial"/>
          <w:sz w:val="24"/>
          <w:szCs w:val="24"/>
        </w:rPr>
        <w:t>al no precisar y concluir con argumentos lógico jurídicos las circunstancias por las cuales estimó que</w:t>
      </w:r>
      <w:r w:rsidR="005C54EF">
        <w:rPr>
          <w:rFonts w:ascii="Arial" w:hAnsi="Arial" w:cs="Arial"/>
          <w:sz w:val="24"/>
          <w:szCs w:val="24"/>
        </w:rPr>
        <w:t xml:space="preserve"> en el caso concreto resultaba aplicable el punto 5.4 del acuerdo </w:t>
      </w:r>
      <w:r w:rsidR="005C54EF">
        <w:rPr>
          <w:rFonts w:ascii="Arial" w:eastAsia="Times New Roman" w:hAnsi="Arial" w:cs="Arial"/>
          <w:sz w:val="24"/>
          <w:szCs w:val="24"/>
          <w:lang w:eastAsia="es-ES"/>
        </w:rPr>
        <w:t>de fecha veintidós de noviembre de dos mil quince, emitido por el entonces Fiscal General del Estado de Oaxaca</w:t>
      </w:r>
      <w:r w:rsidR="00D543BA">
        <w:rPr>
          <w:rFonts w:ascii="Arial" w:hAnsi="Arial" w:cs="Arial"/>
          <w:sz w:val="24"/>
          <w:szCs w:val="24"/>
        </w:rPr>
        <w:t xml:space="preserve">, soslayó cumplir con la obligación de fundar y motivar el </w:t>
      </w:r>
      <w:r w:rsidR="005C54EF">
        <w:rPr>
          <w:rFonts w:ascii="Arial" w:hAnsi="Arial" w:cs="Arial"/>
          <w:sz w:val="24"/>
          <w:szCs w:val="24"/>
        </w:rPr>
        <w:t xml:space="preserve">acto impugnado, esto es, </w:t>
      </w:r>
      <w:r w:rsidR="00D543BA">
        <w:rPr>
          <w:rFonts w:ascii="Arial" w:hAnsi="Arial" w:cs="Arial"/>
          <w:sz w:val="24"/>
          <w:szCs w:val="24"/>
        </w:rPr>
        <w:t>señalar las circunstancias especiales, razones particulares o cosas inmediatas que haya tenido en consideración para la emisión del acto, tal y como lo prevé la fracción V del artículo 17, de la Ley de Procedimiento y Justicia Administrativa para el Estado de Oaxaca.</w:t>
      </w:r>
    </w:p>
    <w:p w14:paraId="53928E76" w14:textId="77777777" w:rsidR="00D543BA" w:rsidRDefault="00D543BA" w:rsidP="00D543BA">
      <w:pPr>
        <w:spacing w:line="360" w:lineRule="auto"/>
        <w:ind w:right="51" w:firstLine="567"/>
        <w:jc w:val="both"/>
        <w:rPr>
          <w:rFonts w:ascii="Arial" w:hAnsi="Arial" w:cs="Arial"/>
          <w:sz w:val="24"/>
          <w:szCs w:val="24"/>
        </w:rPr>
      </w:pPr>
      <w:r>
        <w:rPr>
          <w:rFonts w:ascii="Arial" w:hAnsi="Arial" w:cs="Arial"/>
          <w:sz w:val="24"/>
          <w:szCs w:val="24"/>
        </w:rPr>
        <w:lastRenderedPageBreak/>
        <w:t>Lo anterior encuentra apoyo en la Jurisprudencia VI. 2. J.7248. sustentada por el Segundo Tribunal Colegiado del Sexto Circuito, que aparece publicada en la página 43 de la Gaceta del Semanario Judicial de la Federación, tomo 64, abril de 1993, octava época, materia administrativa, bajo el rubro y texto siguientes:</w:t>
      </w:r>
    </w:p>
    <w:p w14:paraId="38702B5F" w14:textId="77777777" w:rsidR="00D543BA" w:rsidRDefault="00D543BA" w:rsidP="00D543BA">
      <w:pPr>
        <w:tabs>
          <w:tab w:val="left" w:pos="7230"/>
        </w:tabs>
        <w:spacing w:after="0"/>
        <w:ind w:left="851" w:right="425"/>
        <w:jc w:val="both"/>
        <w:rPr>
          <w:rFonts w:ascii="Arial" w:hAnsi="Arial" w:cs="Arial"/>
          <w:i/>
          <w:sz w:val="21"/>
          <w:szCs w:val="21"/>
        </w:rPr>
      </w:pPr>
      <w:r>
        <w:rPr>
          <w:rFonts w:ascii="Arial" w:hAnsi="Arial" w:cs="Arial"/>
          <w:sz w:val="21"/>
          <w:szCs w:val="21"/>
        </w:rPr>
        <w:t>“</w:t>
      </w:r>
      <w:r>
        <w:rPr>
          <w:rFonts w:ascii="Arial" w:hAnsi="Arial" w:cs="Arial"/>
          <w:b/>
          <w:i/>
          <w:sz w:val="21"/>
          <w:szCs w:val="21"/>
        </w:rPr>
        <w:t xml:space="preserve">FUNDAMENTACIÓN Y MOTIVACIÓN DE LOS ACTOS ADMINISTRATIVOS. </w:t>
      </w:r>
      <w:r>
        <w:rPr>
          <w:rFonts w:ascii="Arial" w:hAnsi="Arial" w:cs="Arial"/>
          <w:i/>
          <w:sz w:val="21"/>
          <w:szCs w:val="21"/>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14:paraId="423CAD09" w14:textId="77777777" w:rsidR="00D543BA" w:rsidRDefault="00D543BA" w:rsidP="00D543BA">
      <w:pPr>
        <w:spacing w:after="0"/>
        <w:ind w:right="566"/>
        <w:jc w:val="both"/>
        <w:rPr>
          <w:rFonts w:ascii="Arial" w:hAnsi="Arial" w:cs="Arial"/>
        </w:rPr>
      </w:pPr>
    </w:p>
    <w:p w14:paraId="0AC6916F" w14:textId="7AAF8011" w:rsidR="00BA3DAE" w:rsidRDefault="00BA3DAE" w:rsidP="00385CCC">
      <w:pPr>
        <w:spacing w:line="360" w:lineRule="auto"/>
        <w:ind w:firstLine="567"/>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Por lo tanto, resulta ilegal que la </w:t>
      </w:r>
      <w:r>
        <w:rPr>
          <w:rFonts w:ascii="Arial" w:eastAsia="Times New Roman" w:hAnsi="Arial" w:cs="Arial"/>
          <w:b/>
          <w:sz w:val="24"/>
          <w:szCs w:val="24"/>
          <w:lang w:eastAsia="es-ES"/>
        </w:rPr>
        <w:t xml:space="preserve">autoridad demandada </w:t>
      </w:r>
      <w:r>
        <w:rPr>
          <w:rFonts w:ascii="Arial" w:eastAsia="Times New Roman" w:hAnsi="Arial" w:cs="Arial"/>
          <w:sz w:val="24"/>
          <w:szCs w:val="24"/>
          <w:lang w:eastAsia="es-ES"/>
        </w:rPr>
        <w:t xml:space="preserve">haya suspendido al actor el pago de la prestación denominada “Ayudas de Confianza (Homologación)” a partir del mes de junio de dos mil diecisiete, pues en autos no quedó acreditado evidentemente que el administrado </w:t>
      </w:r>
      <w:r w:rsidR="00D845D1">
        <w:rPr>
          <w:rFonts w:ascii="Arial" w:hAnsi="Arial" w:cs="Arial"/>
          <w:b/>
          <w:sz w:val="24"/>
          <w:szCs w:val="24"/>
          <w:lang w:eastAsia="es-ES"/>
        </w:rPr>
        <w:t>**********</w:t>
      </w:r>
      <w:r>
        <w:rPr>
          <w:rFonts w:ascii="Arial" w:eastAsia="Times New Roman" w:hAnsi="Arial" w:cs="Arial"/>
          <w:sz w:val="24"/>
          <w:szCs w:val="24"/>
          <w:lang w:eastAsia="es-ES"/>
        </w:rPr>
        <w:t xml:space="preserve"> </w:t>
      </w:r>
      <w:r w:rsidR="00B22EA3">
        <w:rPr>
          <w:rFonts w:ascii="Arial" w:eastAsia="Times New Roman" w:hAnsi="Arial" w:cs="Arial"/>
          <w:sz w:val="24"/>
          <w:szCs w:val="24"/>
          <w:lang w:eastAsia="es-ES"/>
        </w:rPr>
        <w:t xml:space="preserve">no haya aprobado los exámenes de control y confianza que se le practicaron, </w:t>
      </w:r>
      <w:r w:rsidR="00117FD0">
        <w:rPr>
          <w:rFonts w:ascii="Arial" w:eastAsia="Times New Roman" w:hAnsi="Arial" w:cs="Arial"/>
          <w:sz w:val="24"/>
          <w:szCs w:val="24"/>
          <w:lang w:eastAsia="es-ES"/>
        </w:rPr>
        <w:t xml:space="preserve">por lo que, en el caso particular no resultaba aplicable </w:t>
      </w:r>
      <w:r w:rsidR="00117FD0">
        <w:rPr>
          <w:rFonts w:ascii="Arial" w:hAnsi="Arial" w:cs="Arial"/>
          <w:sz w:val="24"/>
          <w:szCs w:val="24"/>
        </w:rPr>
        <w:t xml:space="preserve">el punto 5.4 del acuerdo </w:t>
      </w:r>
      <w:r w:rsidR="00117FD0">
        <w:rPr>
          <w:rFonts w:ascii="Arial" w:eastAsia="Times New Roman" w:hAnsi="Arial" w:cs="Arial"/>
          <w:sz w:val="24"/>
          <w:szCs w:val="24"/>
          <w:lang w:eastAsia="es-ES"/>
        </w:rPr>
        <w:t>de fecha veintidós de noviembre de dos mil quince, emitido por el entonces Fiscal General del Estado de Oaxaca, pues se advierte que el actor cumplió con los requisitos exigidos para el otorgamiento del pago de la prestación denominada “Ayudas de Confianza (Homologación)”.</w:t>
      </w:r>
    </w:p>
    <w:p w14:paraId="1D84761F" w14:textId="24372718" w:rsidR="00117FD0" w:rsidRPr="00117FD0" w:rsidRDefault="00117FD0" w:rsidP="00117FD0">
      <w:pPr>
        <w:spacing w:line="360" w:lineRule="auto"/>
        <w:ind w:firstLine="567"/>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De ahí que para reparar la violación cometida, es procedente ordenar a la </w:t>
      </w:r>
      <w:r>
        <w:rPr>
          <w:rFonts w:ascii="Arial" w:eastAsia="Times New Roman" w:hAnsi="Arial" w:cs="Arial"/>
          <w:b/>
          <w:sz w:val="24"/>
          <w:szCs w:val="24"/>
          <w:lang w:eastAsia="es-ES"/>
        </w:rPr>
        <w:t xml:space="preserve">autoridad demandada </w:t>
      </w:r>
      <w:r>
        <w:rPr>
          <w:rFonts w:ascii="Arial" w:eastAsia="Times New Roman" w:hAnsi="Arial" w:cs="Arial"/>
          <w:sz w:val="24"/>
          <w:szCs w:val="24"/>
          <w:lang w:eastAsia="es-ES"/>
        </w:rPr>
        <w:t xml:space="preserve">realice el </w:t>
      </w:r>
      <w:r w:rsidRPr="008A1B8F">
        <w:rPr>
          <w:rFonts w:ascii="Arial" w:eastAsia="Times New Roman" w:hAnsi="Arial" w:cs="Arial"/>
          <w:b/>
          <w:bCs/>
          <w:sz w:val="24"/>
          <w:szCs w:val="24"/>
          <w:lang w:eastAsia="es-ES"/>
        </w:rPr>
        <w:t>pago</w:t>
      </w:r>
      <w:r>
        <w:rPr>
          <w:rFonts w:ascii="Arial" w:eastAsia="Times New Roman" w:hAnsi="Arial" w:cs="Arial"/>
          <w:sz w:val="24"/>
          <w:szCs w:val="24"/>
          <w:lang w:eastAsia="es-ES"/>
        </w:rPr>
        <w:t xml:space="preserve"> de manera retroactiva de la prestación denominada “Ayudas de Confianza (Homologación)” al mes de junio de dos mil diecisiete, </w:t>
      </w:r>
      <w:r w:rsidR="00EF218F">
        <w:rPr>
          <w:rFonts w:ascii="Arial" w:eastAsia="Times New Roman" w:hAnsi="Arial" w:cs="Arial"/>
          <w:sz w:val="24"/>
          <w:szCs w:val="24"/>
          <w:lang w:eastAsia="es-ES"/>
        </w:rPr>
        <w:t>fecha en la que dejó de pagársele la mencionada prestación.</w:t>
      </w:r>
    </w:p>
    <w:p w14:paraId="4552B7E2" w14:textId="3EE40781" w:rsidR="00575D97" w:rsidRDefault="005C54EF" w:rsidP="007D4804">
      <w:pPr>
        <w:spacing w:line="360" w:lineRule="auto"/>
        <w:ind w:firstLine="567"/>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Por todo lo anteriormente señalado, al carecer el acto impugnado del requisito exigido por el artículo 17 fracción V de la Ley de Procedimiento y Justicia Administrativa para el Estado, con fundamento en el artículo 208 fracción VI de la Ley citada, se declara la </w:t>
      </w:r>
      <w:r>
        <w:rPr>
          <w:rFonts w:ascii="Arial" w:eastAsia="Times New Roman" w:hAnsi="Arial" w:cs="Arial"/>
          <w:b/>
          <w:sz w:val="24"/>
          <w:szCs w:val="24"/>
          <w:lang w:eastAsia="es-ES"/>
        </w:rPr>
        <w:t xml:space="preserve">NULIDAD </w:t>
      </w:r>
      <w:r>
        <w:rPr>
          <w:rFonts w:ascii="Arial" w:eastAsia="Times New Roman" w:hAnsi="Arial" w:cs="Arial"/>
          <w:sz w:val="24"/>
          <w:szCs w:val="24"/>
          <w:lang w:eastAsia="es-ES"/>
        </w:rPr>
        <w:t xml:space="preserve">del acto impugnado, </w:t>
      </w:r>
      <w:r>
        <w:rPr>
          <w:rFonts w:ascii="Arial" w:eastAsia="Times New Roman" w:hAnsi="Arial" w:cs="Arial"/>
          <w:b/>
          <w:sz w:val="24"/>
          <w:szCs w:val="24"/>
          <w:lang w:eastAsia="es-ES"/>
        </w:rPr>
        <w:t xml:space="preserve">PARA EL EFECTO </w:t>
      </w:r>
      <w:r>
        <w:rPr>
          <w:rFonts w:ascii="Arial" w:eastAsia="Times New Roman" w:hAnsi="Arial" w:cs="Arial"/>
          <w:sz w:val="24"/>
          <w:szCs w:val="24"/>
          <w:lang w:eastAsia="es-ES"/>
        </w:rPr>
        <w:t xml:space="preserve">de que la autoridad demandada </w:t>
      </w:r>
      <w:r>
        <w:rPr>
          <w:rFonts w:ascii="Arial" w:eastAsia="Times New Roman" w:hAnsi="Arial" w:cs="Arial"/>
          <w:b/>
          <w:sz w:val="24"/>
          <w:szCs w:val="24"/>
          <w:lang w:eastAsia="es-ES"/>
        </w:rPr>
        <w:t>Oficial Mayor de la Fiscal</w:t>
      </w:r>
      <w:r w:rsidR="00117FD0">
        <w:rPr>
          <w:rFonts w:ascii="Arial" w:eastAsia="Times New Roman" w:hAnsi="Arial" w:cs="Arial"/>
          <w:b/>
          <w:sz w:val="24"/>
          <w:szCs w:val="24"/>
          <w:lang w:eastAsia="es-ES"/>
        </w:rPr>
        <w:t xml:space="preserve">ía General del Estado: a) </w:t>
      </w:r>
      <w:r w:rsidR="00117FD0">
        <w:rPr>
          <w:rFonts w:ascii="Arial" w:eastAsia="Times New Roman" w:hAnsi="Arial" w:cs="Arial"/>
          <w:sz w:val="24"/>
          <w:szCs w:val="24"/>
          <w:lang w:eastAsia="es-ES"/>
        </w:rPr>
        <w:t xml:space="preserve">deje sin efectos el oficio número </w:t>
      </w:r>
      <w:r w:rsidR="00257215">
        <w:rPr>
          <w:rFonts w:ascii="Arial" w:hAnsi="Arial" w:cs="Arial"/>
          <w:b/>
          <w:sz w:val="24"/>
          <w:szCs w:val="24"/>
          <w:lang w:eastAsia="es-ES"/>
        </w:rPr>
        <w:t xml:space="preserve">********** </w:t>
      </w:r>
      <w:r w:rsidR="00117FD0">
        <w:rPr>
          <w:rFonts w:ascii="Arial" w:eastAsia="Times New Roman" w:hAnsi="Arial" w:cs="Arial"/>
          <w:sz w:val="24"/>
          <w:szCs w:val="24"/>
          <w:lang w:eastAsia="es-ES"/>
        </w:rPr>
        <w:t xml:space="preserve">de dieciocho de febrero de dos mil diecinueve; </w:t>
      </w:r>
      <w:r w:rsidR="00117FD0">
        <w:rPr>
          <w:rFonts w:ascii="Arial" w:eastAsia="Times New Roman" w:hAnsi="Arial" w:cs="Arial"/>
          <w:b/>
          <w:sz w:val="24"/>
          <w:szCs w:val="24"/>
          <w:lang w:eastAsia="es-ES"/>
        </w:rPr>
        <w:t xml:space="preserve">b) </w:t>
      </w:r>
      <w:r w:rsidR="00117FD0">
        <w:rPr>
          <w:rFonts w:ascii="Arial" w:eastAsia="Times New Roman" w:hAnsi="Arial" w:cs="Arial"/>
          <w:sz w:val="24"/>
          <w:szCs w:val="24"/>
          <w:lang w:eastAsia="es-ES"/>
        </w:rPr>
        <w:t xml:space="preserve">en su lugar, emita otro acto debidamente </w:t>
      </w:r>
      <w:r w:rsidR="00117FD0">
        <w:rPr>
          <w:rFonts w:ascii="Arial" w:eastAsia="Times New Roman" w:hAnsi="Arial" w:cs="Arial"/>
          <w:b/>
          <w:sz w:val="24"/>
          <w:szCs w:val="24"/>
          <w:lang w:eastAsia="es-ES"/>
        </w:rPr>
        <w:t>fundado y motivado</w:t>
      </w:r>
      <w:r w:rsidR="00117FD0">
        <w:rPr>
          <w:rFonts w:ascii="Arial" w:eastAsia="Times New Roman" w:hAnsi="Arial" w:cs="Arial"/>
          <w:sz w:val="24"/>
          <w:szCs w:val="24"/>
          <w:lang w:eastAsia="es-ES"/>
        </w:rPr>
        <w:t xml:space="preserve"> en el que ordene a la autoridad administrativa correspondiente, </w:t>
      </w:r>
      <w:r w:rsidR="00EF218F">
        <w:rPr>
          <w:rFonts w:ascii="Arial" w:eastAsia="Times New Roman" w:hAnsi="Arial" w:cs="Arial"/>
          <w:sz w:val="24"/>
          <w:szCs w:val="24"/>
          <w:lang w:eastAsia="es-ES"/>
        </w:rPr>
        <w:t xml:space="preserve">realice el pago al actor </w:t>
      </w:r>
      <w:r w:rsidR="00257215">
        <w:rPr>
          <w:rFonts w:ascii="Arial" w:hAnsi="Arial" w:cs="Arial"/>
          <w:b/>
          <w:sz w:val="24"/>
          <w:szCs w:val="24"/>
          <w:lang w:eastAsia="es-ES"/>
        </w:rPr>
        <w:t>**********</w:t>
      </w:r>
      <w:r w:rsidR="00EF218F">
        <w:rPr>
          <w:rFonts w:ascii="Arial" w:eastAsia="Times New Roman" w:hAnsi="Arial" w:cs="Arial"/>
          <w:sz w:val="24"/>
          <w:szCs w:val="24"/>
          <w:lang w:eastAsia="es-ES"/>
        </w:rPr>
        <w:t>, de la prestación denominada “Ayudas de Confianza (Homologación)”</w:t>
      </w:r>
      <w:r w:rsidR="007D4804">
        <w:rPr>
          <w:rFonts w:ascii="Arial" w:eastAsia="Times New Roman" w:hAnsi="Arial" w:cs="Arial"/>
          <w:sz w:val="24"/>
          <w:szCs w:val="24"/>
          <w:lang w:eastAsia="es-ES"/>
        </w:rPr>
        <w:t xml:space="preserve"> a partir del mes </w:t>
      </w:r>
      <w:r w:rsidR="007D4804">
        <w:rPr>
          <w:rFonts w:ascii="Arial" w:eastAsia="Times New Roman" w:hAnsi="Arial" w:cs="Arial"/>
          <w:sz w:val="24"/>
          <w:szCs w:val="24"/>
          <w:lang w:eastAsia="es-ES"/>
        </w:rPr>
        <w:lastRenderedPageBreak/>
        <w:t xml:space="preserve">de junio de dos mil diecisiete, hasta la fecha en que cause ejecutoria la presente sentencia; </w:t>
      </w:r>
      <w:r w:rsidR="008A1B8F">
        <w:rPr>
          <w:rFonts w:ascii="Arial" w:eastAsia="Times New Roman" w:hAnsi="Arial" w:cs="Arial"/>
          <w:sz w:val="24"/>
          <w:szCs w:val="24"/>
          <w:lang w:eastAsia="es-ES"/>
        </w:rPr>
        <w:t xml:space="preserve">y </w:t>
      </w:r>
      <w:r w:rsidR="007D4804">
        <w:rPr>
          <w:rFonts w:ascii="Arial" w:eastAsia="Times New Roman" w:hAnsi="Arial" w:cs="Arial"/>
          <w:b/>
          <w:sz w:val="24"/>
          <w:szCs w:val="24"/>
          <w:lang w:eastAsia="es-ES"/>
        </w:rPr>
        <w:t xml:space="preserve">c) </w:t>
      </w:r>
      <w:r w:rsidR="007D4804">
        <w:rPr>
          <w:rFonts w:ascii="Arial" w:eastAsia="Times New Roman" w:hAnsi="Arial" w:cs="Arial"/>
          <w:sz w:val="24"/>
          <w:szCs w:val="24"/>
          <w:lang w:eastAsia="es-ES"/>
        </w:rPr>
        <w:t xml:space="preserve">ordene a la autoridad correspondiente, realice el pago al actor </w:t>
      </w:r>
      <w:r w:rsidR="00257215">
        <w:rPr>
          <w:rFonts w:ascii="Arial" w:hAnsi="Arial" w:cs="Arial"/>
          <w:b/>
          <w:sz w:val="24"/>
          <w:szCs w:val="24"/>
          <w:lang w:eastAsia="es-ES"/>
        </w:rPr>
        <w:t>**********</w:t>
      </w:r>
      <w:r w:rsidR="007D4804">
        <w:rPr>
          <w:rFonts w:ascii="Arial" w:eastAsia="Times New Roman" w:hAnsi="Arial" w:cs="Arial"/>
          <w:sz w:val="24"/>
          <w:szCs w:val="24"/>
          <w:lang w:eastAsia="es-ES"/>
        </w:rPr>
        <w:t>, de la prestación denominada “Ayudas de Confianza (Homologación)”, de manera mensual como lo venía realizando hasta antes de su ilegal suspensión, siempre y cuando el actor cumpla con los requisitos exigidos para su otorgamiento.</w:t>
      </w:r>
    </w:p>
    <w:p w14:paraId="51A575BC" w14:textId="77777777" w:rsidR="00183526" w:rsidRPr="003E244E" w:rsidRDefault="00183526" w:rsidP="00183526">
      <w:pPr>
        <w:spacing w:before="240" w:after="0" w:line="360" w:lineRule="auto"/>
        <w:ind w:firstLine="709"/>
        <w:jc w:val="both"/>
        <w:rPr>
          <w:sz w:val="24"/>
          <w:szCs w:val="24"/>
        </w:rPr>
      </w:pPr>
      <w:r w:rsidRPr="003E244E">
        <w:rPr>
          <w:rFonts w:ascii="Arial" w:hAnsi="Arial" w:cs="Arial"/>
          <w:bCs/>
          <w:sz w:val="24"/>
          <w:szCs w:val="24"/>
        </w:rPr>
        <w:t>Al respecto, se cita la jurisprudencia de la novena época dictada por el Séptimo Tribunal Colegiado en Materia Administrativa del Primer Circuito que aparece en la página 2212 del Semanario Judicial de la Federación y su Gaceta a Tomo XXII de octubre de 2005, bajo el rubro y texto siguientes:</w:t>
      </w:r>
      <w:r w:rsidRPr="003E244E">
        <w:rPr>
          <w:rFonts w:ascii="Arial" w:hAnsi="Arial" w:cs="Arial"/>
          <w:sz w:val="24"/>
          <w:szCs w:val="24"/>
        </w:rPr>
        <w:t xml:space="preserve"> - - - </w:t>
      </w:r>
    </w:p>
    <w:p w14:paraId="58072385" w14:textId="1F4942D1" w:rsidR="00183526" w:rsidRPr="00183526" w:rsidRDefault="00183526" w:rsidP="00183526">
      <w:pPr>
        <w:spacing w:before="240" w:line="276" w:lineRule="auto"/>
        <w:ind w:left="426" w:right="333"/>
        <w:jc w:val="both"/>
        <w:rPr>
          <w:rFonts w:ascii="Arial" w:hAnsi="Arial" w:cs="Arial"/>
          <w:b/>
          <w:bCs/>
          <w:szCs w:val="24"/>
        </w:rPr>
      </w:pPr>
      <w:r w:rsidRPr="001A788B">
        <w:rPr>
          <w:rFonts w:ascii="Arial" w:hAnsi="Arial" w:cs="Arial"/>
          <w:i/>
          <w:szCs w:val="24"/>
        </w:rPr>
        <w:t>“</w:t>
      </w:r>
      <w:r w:rsidRPr="001A788B">
        <w:rPr>
          <w:rFonts w:ascii="Arial" w:hAnsi="Arial" w:cs="Arial"/>
          <w:b/>
          <w:i/>
          <w:szCs w:val="24"/>
        </w:rPr>
        <w:t>NULIDAD. REGLAS PARA SU DETERMINACIÓN EN EL JUICIO CONTENCIOSO ADMINISTRATIVO EN EL DISTRITO FEDERAL</w:t>
      </w:r>
      <w:r w:rsidRPr="001A788B">
        <w:rPr>
          <w:rFonts w:ascii="Arial" w:hAnsi="Arial" w:cs="Arial"/>
          <w:i/>
          <w:szCs w:val="24"/>
        </w:rPr>
        <w:t>. Los artículos 80 a 82 de la Ley del Tribunal de lo Contencioso Administrativo del Distrito Federal, no prevén textualmente las figuras jurídicas de "nulidad lisa y llana" o "nulidad para efectos", limitándose a precisar que dicho tribunal podrá decretar la nulidad de los actos impugnados, y que sus sentencias habrán de ejecutarse en los términos que dispongan éstas. A efecto de determinar si la nulidad decretada por las Salas de dicho órgano contencioso administrativo debe ser lisa y llana, o en su defecto, para efectos, deberá estarse a los criterios jurisprudenciales en la materia, así como a los principios que rigen el derecho administrativo. Se decretará la nulidad lisa y llana cuando el acto impugnado adolezca de vicios ostensibles y particularmente graves, que bajo ninguna forma pueden ser convalidados; el resultado jurídico de este tipo de nulidad implica la existencia de cosa juzgada, por lo que la autoridad demandada no podrá emitir una nueva resolución en el mismo sentido; por ejemplo, la incompetencia del servidor público que emitió el acto impugnado, y por regla general, en los asuntos en que el Tribunal de lo Contencioso Administrativo del Distrito Federal estudie el fondo del asunto, determinando que la conducta del particular está justificada por alguna norma de carácter general, o que los hechos que generaron el acto administrativo o fiscal no encuadran en el supuesto normativo invocado por la demandada. Por otra parte, la nulidad para efectos procede en los casos en que el acto impugnado contenga vicios subsanables, o que los mismos se encuentren en el procedimiento que le dio origen, lo que doctrinalmente se conoce como vicios de nulidad relativa; la consecuencia jurídica de dicha determinación obliga a la autoridad a subsanar tales ilicitudes, ya sea reponiendo el procedimiento o dictando una nueva determinación; de manera ejemplificativa, y no restrictiva, se pueden citar defectos u omisiones en el llamamiento al procedimiento administrativo (emplazamiento); no brindar oportunidad de probar y alegar; indebida fundamentación y motivación; y el no constreñimiento de la resolución a la cuestión debatida, que se forma con la pretensión del Estado y las defensas del particular, como sería la falta o indebida valoración de pruebas.”</w:t>
      </w:r>
    </w:p>
    <w:p w14:paraId="0CA4AFB7" w14:textId="4D00AADE" w:rsidR="005D2794" w:rsidRDefault="005D2794" w:rsidP="005D2794">
      <w:pPr>
        <w:pStyle w:val="corte4fondo"/>
        <w:spacing w:after="240"/>
        <w:ind w:firstLine="567"/>
        <w:rPr>
          <w:rFonts w:cs="Arial"/>
          <w:b/>
          <w:sz w:val="24"/>
          <w:szCs w:val="24"/>
        </w:rPr>
      </w:pPr>
      <w:r>
        <w:rPr>
          <w:rFonts w:cs="Arial"/>
          <w:bCs/>
          <w:color w:val="000000"/>
          <w:sz w:val="24"/>
          <w:szCs w:val="24"/>
        </w:rPr>
        <w:t xml:space="preserve">En mérito de lo expuesto y con fundamento en los artículos 207 fracciones I, II y III, </w:t>
      </w:r>
      <w:r>
        <w:rPr>
          <w:rFonts w:cs="Arial"/>
          <w:sz w:val="24"/>
          <w:szCs w:val="24"/>
        </w:rPr>
        <w:t>208 fracción VI y 209 de la Ley de Procedimiento y Justicia Administrativa para el Estado de Oaxaca, se:</w:t>
      </w:r>
      <w:r>
        <w:rPr>
          <w:rFonts w:cs="Arial"/>
          <w:bCs/>
          <w:color w:val="000000"/>
          <w:sz w:val="24"/>
          <w:szCs w:val="24"/>
        </w:rPr>
        <w:t xml:space="preserve"> - - - - - - - - - - - - - - - - - - - - - - - - - - - - - - - - - - -</w:t>
      </w:r>
      <w:r>
        <w:rPr>
          <w:rFonts w:cs="Arial"/>
          <w:bCs/>
          <w:sz w:val="24"/>
          <w:szCs w:val="24"/>
          <w:lang w:eastAsia="es-ES"/>
        </w:rPr>
        <w:t xml:space="preserve"> - - - </w:t>
      </w:r>
      <w:r w:rsidR="00257215">
        <w:rPr>
          <w:rFonts w:cs="Arial"/>
          <w:bCs/>
          <w:sz w:val="24"/>
          <w:szCs w:val="24"/>
          <w:lang w:eastAsia="es-ES"/>
        </w:rPr>
        <w:t xml:space="preserve">- - - - </w:t>
      </w:r>
    </w:p>
    <w:p w14:paraId="24F5C1CB" w14:textId="77777777" w:rsidR="005D2794" w:rsidRDefault="005D2794" w:rsidP="005D2794">
      <w:pPr>
        <w:spacing w:line="360" w:lineRule="auto"/>
        <w:ind w:right="-1134"/>
        <w:jc w:val="center"/>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t>R E S U E L V E:</w:t>
      </w:r>
    </w:p>
    <w:p w14:paraId="03185913" w14:textId="5BF0482E" w:rsidR="005D2794" w:rsidRDefault="005D2794" w:rsidP="005D2794">
      <w:pPr>
        <w:widowControl w:val="0"/>
        <w:suppressAutoHyphens/>
        <w:spacing w:after="0"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bCs/>
          <w:kern w:val="2"/>
          <w:sz w:val="24"/>
          <w:szCs w:val="24"/>
          <w:lang w:eastAsia="ar-SA"/>
        </w:rPr>
        <w:t>PRIMERO.</w:t>
      </w:r>
      <w:r w:rsidR="00183526">
        <w:rPr>
          <w:rFonts w:ascii="Arial" w:eastAsia="Arial Unicode MS" w:hAnsi="Arial" w:cs="Arial"/>
          <w:b/>
          <w:bCs/>
          <w:kern w:val="2"/>
          <w:sz w:val="24"/>
          <w:szCs w:val="24"/>
          <w:lang w:eastAsia="ar-SA"/>
        </w:rPr>
        <w:t>-</w:t>
      </w:r>
      <w:r>
        <w:rPr>
          <w:rFonts w:ascii="Arial" w:eastAsia="Arial Unicode MS" w:hAnsi="Arial" w:cs="Arial"/>
          <w:kern w:val="2"/>
          <w:sz w:val="24"/>
          <w:szCs w:val="24"/>
          <w:lang w:eastAsia="ar-SA"/>
        </w:rPr>
        <w:t xml:space="preserve"> Esta Cuarta Sala Unitaria fue </w:t>
      </w:r>
      <w:r>
        <w:rPr>
          <w:rFonts w:ascii="Arial" w:eastAsia="Arial Unicode MS" w:hAnsi="Arial" w:cs="Arial"/>
          <w:b/>
          <w:kern w:val="2"/>
          <w:sz w:val="24"/>
          <w:szCs w:val="24"/>
          <w:lang w:eastAsia="ar-SA"/>
        </w:rPr>
        <w:t>competente</w:t>
      </w:r>
      <w:r>
        <w:rPr>
          <w:rFonts w:ascii="Arial" w:eastAsia="Arial Unicode MS" w:hAnsi="Arial" w:cs="Arial"/>
          <w:kern w:val="2"/>
          <w:sz w:val="24"/>
          <w:szCs w:val="24"/>
          <w:lang w:eastAsia="ar-SA"/>
        </w:rPr>
        <w:t xml:space="preserve"> para conocer y resolver del presente asunto. - - - - - - - - - - - - - - - - - - - - - - - - - - - - - - - - - - - - - - - </w:t>
      </w:r>
    </w:p>
    <w:p w14:paraId="52559EB1" w14:textId="2FDEE5E4" w:rsidR="00183526" w:rsidRDefault="005D2794" w:rsidP="00183526">
      <w:pPr>
        <w:spacing w:before="240" w:after="0" w:line="360" w:lineRule="auto"/>
        <w:ind w:right="49" w:firstLine="567"/>
        <w:jc w:val="both"/>
        <w:rPr>
          <w:rFonts w:ascii="Arial" w:hAnsi="Arial" w:cs="Arial"/>
          <w:sz w:val="24"/>
          <w:szCs w:val="24"/>
        </w:rPr>
      </w:pPr>
      <w:r>
        <w:rPr>
          <w:rFonts w:ascii="Arial" w:hAnsi="Arial" w:cs="Arial"/>
          <w:b/>
          <w:sz w:val="24"/>
          <w:szCs w:val="24"/>
          <w:lang w:val="es-ES_tradnl" w:eastAsia="ar-SA"/>
        </w:rPr>
        <w:t>SEGUNDO.</w:t>
      </w:r>
      <w:r w:rsidR="00183526">
        <w:rPr>
          <w:rFonts w:ascii="Arial" w:hAnsi="Arial" w:cs="Arial"/>
          <w:b/>
          <w:sz w:val="24"/>
          <w:szCs w:val="24"/>
          <w:lang w:val="es-ES_tradnl" w:eastAsia="ar-SA"/>
        </w:rPr>
        <w:t>-</w:t>
      </w:r>
      <w:r>
        <w:rPr>
          <w:rFonts w:ascii="Arial" w:hAnsi="Arial" w:cs="Arial"/>
          <w:b/>
          <w:sz w:val="24"/>
          <w:szCs w:val="24"/>
          <w:lang w:val="es-ES_tradnl" w:eastAsia="ar-SA"/>
        </w:rPr>
        <w:t xml:space="preserve"> </w:t>
      </w:r>
      <w:r>
        <w:rPr>
          <w:rFonts w:ascii="Arial" w:hAnsi="Arial" w:cs="Arial"/>
          <w:sz w:val="24"/>
          <w:szCs w:val="24"/>
        </w:rPr>
        <w:t xml:space="preserve"> </w:t>
      </w:r>
      <w:r w:rsidR="00183526" w:rsidRPr="003E244E">
        <w:rPr>
          <w:rFonts w:ascii="Arial" w:hAnsi="Arial" w:cs="Arial"/>
          <w:sz w:val="24"/>
          <w:szCs w:val="24"/>
        </w:rPr>
        <w:t>La personalidad de las partes quedó acreditada en autos.</w:t>
      </w:r>
      <w:r w:rsidR="00183526">
        <w:rPr>
          <w:rFonts w:ascii="Arial" w:hAnsi="Arial" w:cs="Arial"/>
          <w:sz w:val="24"/>
          <w:szCs w:val="24"/>
        </w:rPr>
        <w:t xml:space="preserve"> - - - - </w:t>
      </w:r>
    </w:p>
    <w:p w14:paraId="39B5BAE7" w14:textId="10A01B65" w:rsidR="00183526" w:rsidRDefault="00183526" w:rsidP="00183526">
      <w:pPr>
        <w:spacing w:before="240" w:after="0" w:line="360" w:lineRule="auto"/>
        <w:ind w:right="49" w:firstLine="567"/>
        <w:jc w:val="both"/>
        <w:rPr>
          <w:rFonts w:ascii="Arial" w:hAnsi="Arial" w:cs="Arial"/>
          <w:sz w:val="24"/>
          <w:szCs w:val="24"/>
        </w:rPr>
      </w:pPr>
      <w:r w:rsidRPr="003E244E">
        <w:rPr>
          <w:rFonts w:ascii="Arial" w:hAnsi="Arial" w:cs="Arial"/>
          <w:b/>
          <w:sz w:val="24"/>
          <w:szCs w:val="24"/>
        </w:rPr>
        <w:lastRenderedPageBreak/>
        <w:t>TERCERO.-</w:t>
      </w:r>
      <w:r w:rsidRPr="003E244E">
        <w:rPr>
          <w:rFonts w:ascii="Arial" w:hAnsi="Arial" w:cs="Arial"/>
          <w:sz w:val="24"/>
          <w:szCs w:val="24"/>
        </w:rPr>
        <w:t xml:space="preserve"> No se actualizaron causales de improcedencia y sobreseimiento en el presente asunto, por lo que </w:t>
      </w:r>
      <w:r w:rsidRPr="003E244E">
        <w:rPr>
          <w:rFonts w:ascii="Arial" w:hAnsi="Arial" w:cs="Arial"/>
          <w:b/>
          <w:bCs/>
          <w:sz w:val="24"/>
          <w:szCs w:val="24"/>
        </w:rPr>
        <w:t>NO SE SOBRESEE</w:t>
      </w:r>
      <w:r w:rsidRPr="003E244E">
        <w:rPr>
          <w:rFonts w:ascii="Arial" w:hAnsi="Arial" w:cs="Arial"/>
          <w:sz w:val="24"/>
          <w:szCs w:val="24"/>
        </w:rPr>
        <w:t xml:space="preserve"> el juicio. - </w:t>
      </w:r>
      <w:r>
        <w:rPr>
          <w:rFonts w:ascii="Arial" w:hAnsi="Arial" w:cs="Arial"/>
          <w:sz w:val="24"/>
          <w:szCs w:val="24"/>
        </w:rPr>
        <w:t xml:space="preserve">- - - - - - - - - - - - - - </w:t>
      </w:r>
    </w:p>
    <w:p w14:paraId="400A3474" w14:textId="5A9B73F7" w:rsidR="00183526" w:rsidRDefault="00183526" w:rsidP="00183526">
      <w:pPr>
        <w:spacing w:before="240" w:line="360" w:lineRule="auto"/>
        <w:ind w:right="49" w:firstLine="567"/>
        <w:jc w:val="both"/>
        <w:rPr>
          <w:rFonts w:ascii="Arial" w:hAnsi="Arial" w:cs="Arial"/>
          <w:sz w:val="24"/>
          <w:szCs w:val="24"/>
        </w:rPr>
      </w:pPr>
      <w:r>
        <w:rPr>
          <w:rFonts w:ascii="Arial" w:hAnsi="Arial" w:cs="Arial"/>
          <w:b/>
          <w:sz w:val="24"/>
          <w:szCs w:val="24"/>
        </w:rPr>
        <w:t xml:space="preserve">CUARTO.- </w:t>
      </w:r>
      <w:r>
        <w:rPr>
          <w:rFonts w:ascii="Arial" w:hAnsi="Arial" w:cs="Arial"/>
          <w:sz w:val="24"/>
          <w:szCs w:val="24"/>
        </w:rPr>
        <w:t xml:space="preserve">Se declara la </w:t>
      </w:r>
      <w:r>
        <w:rPr>
          <w:rFonts w:ascii="Arial" w:eastAsia="Times New Roman" w:hAnsi="Arial" w:cs="Arial"/>
          <w:b/>
          <w:sz w:val="24"/>
          <w:szCs w:val="24"/>
          <w:lang w:eastAsia="es-ES"/>
        </w:rPr>
        <w:t xml:space="preserve">NULIDAD del </w:t>
      </w:r>
      <w:r>
        <w:rPr>
          <w:rFonts w:ascii="Arial" w:eastAsia="Times New Roman" w:hAnsi="Arial" w:cs="Arial"/>
          <w:sz w:val="24"/>
          <w:szCs w:val="24"/>
          <w:lang w:eastAsia="es-ES"/>
        </w:rPr>
        <w:t xml:space="preserve">oficio número </w:t>
      </w:r>
      <w:r w:rsidR="00257215">
        <w:rPr>
          <w:rFonts w:ascii="Arial" w:hAnsi="Arial" w:cs="Arial"/>
          <w:b/>
          <w:sz w:val="24"/>
          <w:szCs w:val="24"/>
          <w:lang w:eastAsia="es-ES"/>
        </w:rPr>
        <w:t xml:space="preserve">********** </w:t>
      </w:r>
      <w:r>
        <w:rPr>
          <w:rFonts w:ascii="Arial" w:eastAsia="Times New Roman" w:hAnsi="Arial" w:cs="Arial"/>
          <w:sz w:val="24"/>
          <w:szCs w:val="24"/>
          <w:lang w:eastAsia="es-ES"/>
        </w:rPr>
        <w:t xml:space="preserve">de dieciocho de febrero de dos mil diecinueve, </w:t>
      </w:r>
      <w:r>
        <w:rPr>
          <w:rFonts w:ascii="Arial" w:eastAsia="Times New Roman" w:hAnsi="Arial" w:cs="Arial"/>
          <w:b/>
          <w:sz w:val="24"/>
          <w:szCs w:val="24"/>
          <w:lang w:eastAsia="es-ES"/>
        </w:rPr>
        <w:t xml:space="preserve">PARA EL EFECTO </w:t>
      </w:r>
      <w:r>
        <w:rPr>
          <w:rFonts w:ascii="Arial" w:eastAsia="Times New Roman" w:hAnsi="Arial" w:cs="Arial"/>
          <w:sz w:val="24"/>
          <w:szCs w:val="24"/>
          <w:lang w:eastAsia="es-ES"/>
        </w:rPr>
        <w:t xml:space="preserve">de que la autoridad demandada </w:t>
      </w:r>
      <w:r>
        <w:rPr>
          <w:rFonts w:ascii="Arial" w:eastAsia="Times New Roman" w:hAnsi="Arial" w:cs="Arial"/>
          <w:b/>
          <w:sz w:val="24"/>
          <w:szCs w:val="24"/>
          <w:lang w:eastAsia="es-ES"/>
        </w:rPr>
        <w:t>Oficial Mayor de la Fiscalía General del Estado</w:t>
      </w:r>
      <w:r>
        <w:rPr>
          <w:rFonts w:ascii="Arial" w:eastAsia="Times New Roman" w:hAnsi="Arial" w:cs="Arial"/>
          <w:sz w:val="24"/>
          <w:szCs w:val="24"/>
          <w:lang w:eastAsia="es-ES"/>
        </w:rPr>
        <w:t>, cumpla con lo señalado en los incisos</w:t>
      </w:r>
      <w:r>
        <w:rPr>
          <w:rFonts w:ascii="Arial" w:eastAsia="Times New Roman" w:hAnsi="Arial" w:cs="Arial"/>
          <w:b/>
          <w:sz w:val="24"/>
          <w:szCs w:val="24"/>
          <w:lang w:eastAsia="es-ES"/>
        </w:rPr>
        <w:t xml:space="preserve"> a), b) y c)</w:t>
      </w:r>
      <w:r>
        <w:rPr>
          <w:rFonts w:ascii="Arial" w:eastAsia="Times New Roman" w:hAnsi="Arial" w:cs="Arial"/>
          <w:sz w:val="24"/>
          <w:szCs w:val="24"/>
          <w:lang w:eastAsia="es-ES"/>
        </w:rPr>
        <w:t xml:space="preserve">, del considerando </w:t>
      </w:r>
      <w:r>
        <w:rPr>
          <w:rFonts w:ascii="Arial" w:eastAsia="Times New Roman" w:hAnsi="Arial" w:cs="Arial"/>
          <w:b/>
          <w:sz w:val="24"/>
          <w:szCs w:val="24"/>
          <w:lang w:eastAsia="es-ES"/>
        </w:rPr>
        <w:t xml:space="preserve">sexto </w:t>
      </w:r>
      <w:r>
        <w:rPr>
          <w:rFonts w:ascii="Arial" w:eastAsia="Times New Roman" w:hAnsi="Arial" w:cs="Arial"/>
          <w:sz w:val="24"/>
          <w:szCs w:val="24"/>
          <w:lang w:eastAsia="es-ES"/>
        </w:rPr>
        <w:t xml:space="preserve">de esta sentencia. - - - - </w:t>
      </w:r>
    </w:p>
    <w:p w14:paraId="28780AC3" w14:textId="2534B812" w:rsidR="005D2794" w:rsidRDefault="00183526" w:rsidP="005D2794">
      <w:pPr>
        <w:spacing w:line="360" w:lineRule="auto"/>
        <w:ind w:firstLine="567"/>
        <w:jc w:val="both"/>
        <w:rPr>
          <w:rFonts w:ascii="Arial" w:eastAsia="Arial Unicode MS" w:hAnsi="Arial" w:cs="Arial"/>
          <w:kern w:val="2"/>
          <w:sz w:val="24"/>
          <w:szCs w:val="24"/>
          <w:lang w:eastAsia="ar-SA"/>
        </w:rPr>
      </w:pPr>
      <w:r>
        <w:rPr>
          <w:rFonts w:ascii="Arial" w:hAnsi="Arial" w:cs="Arial"/>
          <w:b/>
          <w:bCs/>
          <w:sz w:val="24"/>
          <w:szCs w:val="24"/>
        </w:rPr>
        <w:t>QUINTO</w:t>
      </w:r>
      <w:r w:rsidR="005D2794">
        <w:rPr>
          <w:rFonts w:ascii="Arial" w:hAnsi="Arial" w:cs="Arial"/>
          <w:b/>
          <w:bCs/>
          <w:sz w:val="24"/>
          <w:szCs w:val="24"/>
        </w:rPr>
        <w:t xml:space="preserve">. </w:t>
      </w:r>
      <w:r w:rsidR="005D2794">
        <w:rPr>
          <w:rFonts w:ascii="Arial" w:eastAsia="Arial Unicode MS" w:hAnsi="Arial" w:cs="Arial"/>
          <w:b/>
          <w:kern w:val="2"/>
          <w:sz w:val="24"/>
          <w:szCs w:val="24"/>
          <w:lang w:eastAsia="ar-SA"/>
        </w:rPr>
        <w:t>NOTIFÍQUESE PERSONALMENTE A LA PARTE ACTORA Y POR OFICIO A LA AUTORIDAD DEMANDADA</w:t>
      </w:r>
      <w:r w:rsidR="005D2794">
        <w:rPr>
          <w:rFonts w:ascii="Arial" w:eastAsia="Arial Unicode MS" w:hAnsi="Arial" w:cs="Arial"/>
          <w:kern w:val="2"/>
          <w:sz w:val="24"/>
          <w:szCs w:val="24"/>
          <w:lang w:eastAsia="ar-SA"/>
        </w:rPr>
        <w:t xml:space="preserve">, con fundamento en los artículos 172 fracción I y 173 fracciones I y II, de la Ley de Procedimiento y Justicia Administrativa para el Estado de Oaxaca. - - - - - - - - - - - - - - - - - - - - - - - - - - - - - - </w:t>
      </w:r>
    </w:p>
    <w:p w14:paraId="053BDD5D" w14:textId="77777777" w:rsidR="001734DF" w:rsidRPr="00FC78A8" w:rsidRDefault="001734DF" w:rsidP="001734DF">
      <w:pPr>
        <w:widowControl w:val="0"/>
        <w:suppressAutoHyphens/>
        <w:spacing w:line="360" w:lineRule="auto"/>
        <w:ind w:right="51" w:firstLine="567"/>
        <w:jc w:val="both"/>
        <w:rPr>
          <w:rFonts w:ascii="Arial" w:hAnsi="Arial" w:cs="Arial"/>
          <w:sz w:val="24"/>
          <w:szCs w:val="24"/>
        </w:rPr>
      </w:pPr>
      <w:r>
        <w:rPr>
          <w:rFonts w:ascii="Arial" w:hAnsi="Arial" w:cs="Arial"/>
          <w:sz w:val="24"/>
          <w:szCs w:val="24"/>
        </w:rPr>
        <w:t xml:space="preserve">Así lo resolvió y firma la Licenciada Monserrat García Altamirano, Secretaria de Acuerdos Encargada del Despacho de la Cuarta Sala Unitaria de Primera Instancia de este Tribunal, autorizada mediante oficio número </w:t>
      </w:r>
      <w:r>
        <w:rPr>
          <w:rFonts w:ascii="Arial" w:hAnsi="Arial" w:cs="Arial"/>
          <w:b/>
          <w:bCs/>
          <w:sz w:val="24"/>
          <w:szCs w:val="24"/>
        </w:rPr>
        <w:t>TJAO/P/77/2021</w:t>
      </w:r>
      <w:r>
        <w:rPr>
          <w:rFonts w:ascii="Arial" w:hAnsi="Arial" w:cs="Arial"/>
          <w:sz w:val="24"/>
          <w:szCs w:val="24"/>
        </w:rPr>
        <w:t xml:space="preserve">, de fecha cinco de abril de dos mil veintiuno, suscrito por el Magistrado Presidente del Tribunal de Justicia Administrativa del Estado de Oaxaca, para tramitar y resolver los asuntos que se lleven en esta Cuarta Sala Unitaria de Primera Instancia de este Tribunal, quien actúa legalmente asistida del Pste. en D. Medardo Martínez Bautista, Actuario adscrito a la Sala, quien autoriza y da fe. - - - - - - - - - - - - - - - - - </w:t>
      </w:r>
      <w:bookmarkStart w:id="0" w:name="_GoBack"/>
      <w:bookmarkEnd w:id="0"/>
    </w:p>
    <w:sectPr w:rsidR="001734DF" w:rsidRPr="00FC78A8" w:rsidSect="00FA5F9A">
      <w:headerReference w:type="default" r:id="rId7"/>
      <w:headerReference w:type="first" r:id="rId8"/>
      <w:pgSz w:w="12242" w:h="20163" w:code="5"/>
      <w:pgMar w:top="1276" w:right="1185" w:bottom="1276" w:left="2127" w:header="993"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1553E3" w14:textId="77777777" w:rsidR="008546B2" w:rsidRDefault="008546B2" w:rsidP="000802F9">
      <w:pPr>
        <w:spacing w:after="0" w:line="240" w:lineRule="auto"/>
      </w:pPr>
      <w:r>
        <w:separator/>
      </w:r>
    </w:p>
  </w:endnote>
  <w:endnote w:type="continuationSeparator" w:id="0">
    <w:p w14:paraId="7D9E7368" w14:textId="77777777" w:rsidR="008546B2" w:rsidRDefault="008546B2"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AA24A8" w14:textId="77777777" w:rsidR="008546B2" w:rsidRDefault="008546B2" w:rsidP="000802F9">
      <w:pPr>
        <w:spacing w:after="0" w:line="240" w:lineRule="auto"/>
      </w:pPr>
      <w:r>
        <w:separator/>
      </w:r>
    </w:p>
  </w:footnote>
  <w:footnote w:type="continuationSeparator" w:id="0">
    <w:p w14:paraId="34998859" w14:textId="77777777" w:rsidR="008546B2" w:rsidRDefault="008546B2"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682351"/>
      <w:docPartObj>
        <w:docPartGallery w:val="Page Numbers (Top of Page)"/>
        <w:docPartUnique/>
      </w:docPartObj>
    </w:sdtPr>
    <w:sdtEndPr/>
    <w:sdtContent>
      <w:p w14:paraId="1F2EBB6E" w14:textId="790114C7" w:rsidR="00995817" w:rsidRDefault="00995817">
        <w:pPr>
          <w:pStyle w:val="Encabezado"/>
          <w:jc w:val="center"/>
        </w:pPr>
        <w:r>
          <w:fldChar w:fldCharType="begin"/>
        </w:r>
        <w:r>
          <w:instrText>PAGE   \* MERGEFORMAT</w:instrText>
        </w:r>
        <w:r>
          <w:fldChar w:fldCharType="separate"/>
        </w:r>
        <w:r w:rsidR="00257215" w:rsidRPr="00257215">
          <w:rPr>
            <w:noProof/>
            <w:lang w:val="es-ES"/>
          </w:rPr>
          <w:t>10</w:t>
        </w:r>
        <w:r>
          <w:fldChar w:fldCharType="end"/>
        </w:r>
        <w:r w:rsidR="006F2653">
          <w:t xml:space="preserve"> </w:t>
        </w:r>
      </w:p>
    </w:sdtContent>
  </w:sdt>
  <w:p w14:paraId="5ED94061" w14:textId="61AD3708" w:rsidR="00995817" w:rsidRDefault="006F2653">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62848" behindDoc="0" locked="0" layoutInCell="1" allowOverlap="1" wp14:anchorId="03E752F3" wp14:editId="2643154D">
              <wp:simplePos x="0" y="0"/>
              <wp:positionH relativeFrom="column">
                <wp:posOffset>-962660</wp:posOffset>
              </wp:positionH>
              <wp:positionV relativeFrom="paragraph">
                <wp:posOffset>4566519</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3D6A7485" w14:textId="77777777" w:rsidR="006F2653" w:rsidRDefault="006F2653" w:rsidP="006F2653">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3E752F3" id="_x0000_t202" coordsize="21600,21600" o:spt="202" path="m,l,21600r21600,l21600,xe">
              <v:stroke joinstyle="miter"/>
              <v:path gradientshapeok="t" o:connecttype="rect"/>
            </v:shapetype>
            <v:shape id="Cuadro de texto 1" o:spid="_x0000_s1026" type="#_x0000_t202" style="position:absolute;margin-left:-75.8pt;margin-top:359.55pt;width:64.95pt;height:129.2pt;z-index:251662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AWBvmjiAAAADAEAAA8AAABkcnMvZG93bnJl&#10;di54bWxMj8FOwzAQRO9I/IO1SFxQ6rjQuAlxKoQEojcoCK5u7CYR9jrYbhr+HnOC42qeZt7Wm9ka&#10;MmkfBocC2CIHorF1asBOwNvrQ7YGEqJEJY1DLeBbB9g052e1rJQ74YuedrEjqQRDJQX0MY4VpaHt&#10;tZVh4UaNKTs4b2VMp++o8vKUyq2hyzwvqJUDpoVejvq+1+3n7mgFrG+epo+wvX5+b4uDKeMVnx6/&#10;vBCXF/PdLZCo5/gHw69+UocmOe3dEVUgRkDGVqxIrADOSgYkIdmScSB7ASXnK6BNTf8/0fwAAAD/&#10;/wMAUEsBAi0AFAAGAAgAAAAhALaDOJL+AAAA4QEAABMAAAAAAAAAAAAAAAAAAAAAAFtDb250ZW50&#10;X1R5cGVzXS54bWxQSwECLQAUAAYACAAAACEAOP0h/9YAAACUAQAACwAAAAAAAAAAAAAAAAAvAQAA&#10;X3JlbHMvLnJlbHNQSwECLQAUAAYACAAAACEAEeOoNisCAABLBAAADgAAAAAAAAAAAAAAAAAuAgAA&#10;ZHJzL2Uyb0RvYy54bWxQSwECLQAUAAYACAAAACEABYG+aOIAAAAMAQAADwAAAAAAAAAAAAAAAACF&#10;BAAAZHJzL2Rvd25yZXYueG1sUEsFBgAAAAAEAAQA8wAAAJQFAAAAAA==&#10;">
              <v:textbox>
                <w:txbxContent>
                  <w:p w14:paraId="3D6A7485" w14:textId="77777777" w:rsidR="006F2653" w:rsidRDefault="006F2653" w:rsidP="006F2653">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7163" w:type="dxa"/>
      <w:tblInd w:w="1787" w:type="dxa"/>
      <w:tblLayout w:type="fixed"/>
      <w:tblLook w:val="04A0" w:firstRow="1" w:lastRow="0" w:firstColumn="1" w:lastColumn="0" w:noHBand="0" w:noVBand="1"/>
    </w:tblPr>
    <w:tblGrid>
      <w:gridCol w:w="2716"/>
      <w:gridCol w:w="4426"/>
      <w:gridCol w:w="21"/>
    </w:tblGrid>
    <w:tr w:rsidR="00995817" w:rsidRPr="00481955" w14:paraId="2B72524B" w14:textId="77777777" w:rsidTr="004C2588">
      <w:trPr>
        <w:gridAfter w:val="1"/>
        <w:wAfter w:w="21" w:type="dxa"/>
        <w:trHeight w:val="1101"/>
      </w:trPr>
      <w:tc>
        <w:tcPr>
          <w:tcW w:w="7142" w:type="dxa"/>
          <w:gridSpan w:val="2"/>
        </w:tcPr>
        <w:p w14:paraId="21EF8349" w14:textId="77777777" w:rsidR="00995817" w:rsidRPr="00481955" w:rsidRDefault="00995817" w:rsidP="000607F6">
          <w:pPr>
            <w:pStyle w:val="Encabezado"/>
            <w:spacing w:line="276" w:lineRule="auto"/>
            <w:ind w:left="548" w:firstLine="34"/>
            <w:jc w:val="both"/>
            <w:rPr>
              <w:rFonts w:ascii="Arial" w:hAnsi="Arial" w:cs="Arial"/>
              <w:b/>
              <w:sz w:val="24"/>
              <w:szCs w:val="24"/>
            </w:rPr>
          </w:pPr>
          <w:r w:rsidRPr="00481955">
            <w:rPr>
              <w:rFonts w:ascii="Arial" w:hAnsi="Arial" w:cs="Arial"/>
              <w:b/>
              <w:sz w:val="24"/>
              <w:szCs w:val="24"/>
            </w:rPr>
            <w:t xml:space="preserve">CUARTA SALA UNITARIA DE PRIMERA INSTANCIA DEL TRIBUNAL DE JUSTICIA ADMINISTRATIVA </w:t>
          </w:r>
          <w:r>
            <w:rPr>
              <w:rFonts w:ascii="Arial" w:eastAsia="Times New Roman" w:hAnsi="Arial" w:cs="Arial"/>
              <w:b/>
              <w:iCs/>
              <w:kern w:val="2"/>
              <w:sz w:val="24"/>
              <w:szCs w:val="24"/>
              <w:lang w:val="es-ES_tradnl" w:eastAsia="es-ES"/>
            </w:rPr>
            <w:t>DEL ESTADO DE OAXACA</w:t>
          </w:r>
        </w:p>
        <w:p w14:paraId="7C8C3FA3" w14:textId="77777777" w:rsidR="00995817" w:rsidRPr="00481955" w:rsidRDefault="00995817" w:rsidP="000607F6">
          <w:pPr>
            <w:tabs>
              <w:tab w:val="center" w:pos="4419"/>
              <w:tab w:val="right" w:pos="8838"/>
            </w:tabs>
            <w:suppressAutoHyphens/>
            <w:spacing w:after="0" w:line="100" w:lineRule="atLeast"/>
            <w:ind w:left="548" w:right="51"/>
            <w:jc w:val="both"/>
            <w:rPr>
              <w:rFonts w:ascii="Arial" w:eastAsia="Times New Roman" w:hAnsi="Arial" w:cs="Arial"/>
              <w:iCs/>
              <w:kern w:val="2"/>
              <w:sz w:val="24"/>
              <w:szCs w:val="24"/>
              <w:lang w:val="es-ES_tradnl" w:eastAsia="es-ES"/>
            </w:rPr>
          </w:pPr>
        </w:p>
      </w:tc>
    </w:tr>
    <w:tr w:rsidR="00995817" w:rsidRPr="00481955" w14:paraId="6EF584B9" w14:textId="77777777" w:rsidTr="004C2588">
      <w:trPr>
        <w:gridAfter w:val="1"/>
        <w:wAfter w:w="21" w:type="dxa"/>
        <w:trHeight w:val="657"/>
      </w:trPr>
      <w:tc>
        <w:tcPr>
          <w:tcW w:w="2716" w:type="dxa"/>
          <w:hideMark/>
        </w:tcPr>
        <w:p w14:paraId="5BCBC74F" w14:textId="77777777" w:rsidR="00995817" w:rsidRPr="00481955" w:rsidRDefault="00995817" w:rsidP="000607F6">
          <w:pPr>
            <w:tabs>
              <w:tab w:val="center" w:pos="4419"/>
              <w:tab w:val="right" w:pos="8838"/>
            </w:tabs>
            <w:suppressAutoHyphens/>
            <w:spacing w:after="0" w:line="100" w:lineRule="atLeast"/>
            <w:ind w:left="548" w:right="-383"/>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 xml:space="preserve">juicio de </w:t>
          </w:r>
        </w:p>
        <w:p w14:paraId="33AA0727" w14:textId="77777777" w:rsidR="00995817" w:rsidRPr="00481955" w:rsidRDefault="00995817" w:rsidP="000607F6">
          <w:pPr>
            <w:tabs>
              <w:tab w:val="center" w:pos="4419"/>
              <w:tab w:val="right" w:pos="8838"/>
            </w:tabs>
            <w:suppressAutoHyphens/>
            <w:spacing w:after="0" w:line="100" w:lineRule="atLeast"/>
            <w:ind w:left="548" w:right="-383"/>
            <w:jc w:val="both"/>
            <w:rPr>
              <w:rFonts w:ascii="Arial" w:eastAsia="Times New Roman" w:hAnsi="Arial" w:cs="Arial"/>
              <w:b/>
              <w:iCs/>
              <w:kern w:val="2"/>
              <w:sz w:val="24"/>
              <w:szCs w:val="24"/>
              <w:lang w:val="es-ES_tradnl" w:eastAsia="es-ES"/>
            </w:rPr>
          </w:pPr>
          <w:r w:rsidRPr="00481955">
            <w:rPr>
              <w:rFonts w:ascii="Arial" w:eastAsia="Times New Roman" w:hAnsi="Arial" w:cs="Arial"/>
              <w:b/>
              <w:iCs/>
              <w:caps/>
              <w:kern w:val="2"/>
              <w:sz w:val="24"/>
              <w:szCs w:val="24"/>
              <w:lang w:val="es-ES_tradnl" w:eastAsia="es-ES"/>
            </w:rPr>
            <w:t>nulidad:</w:t>
          </w:r>
        </w:p>
      </w:tc>
      <w:tc>
        <w:tcPr>
          <w:tcW w:w="4426" w:type="dxa"/>
          <w:hideMark/>
        </w:tcPr>
        <w:p w14:paraId="1CE13AC3" w14:textId="1A360F84" w:rsidR="00995817" w:rsidRPr="00C97157" w:rsidRDefault="00995817" w:rsidP="004C2588">
          <w:pPr>
            <w:tabs>
              <w:tab w:val="center" w:pos="4419"/>
              <w:tab w:val="right" w:pos="8838"/>
            </w:tabs>
            <w:suppressAutoHyphens/>
            <w:spacing w:after="0" w:line="100" w:lineRule="atLeast"/>
            <w:ind w:left="-108" w:right="-39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00</w:t>
          </w:r>
          <w:r w:rsidR="00237110">
            <w:rPr>
              <w:rFonts w:ascii="Arial" w:eastAsia="Times New Roman" w:hAnsi="Arial" w:cs="Arial"/>
              <w:bCs/>
              <w:iCs/>
              <w:caps/>
              <w:kern w:val="2"/>
              <w:sz w:val="24"/>
              <w:szCs w:val="24"/>
              <w:lang w:val="es-ES_tradnl" w:eastAsia="es-ES"/>
            </w:rPr>
            <w:t>29</w:t>
          </w:r>
          <w:r>
            <w:rPr>
              <w:rFonts w:ascii="Arial" w:eastAsia="Times New Roman" w:hAnsi="Arial" w:cs="Arial"/>
              <w:bCs/>
              <w:iCs/>
              <w:caps/>
              <w:kern w:val="2"/>
              <w:sz w:val="24"/>
              <w:szCs w:val="24"/>
              <w:lang w:val="es-ES_tradnl" w:eastAsia="es-ES"/>
            </w:rPr>
            <w:t>/20</w:t>
          </w:r>
          <w:r w:rsidR="00237110">
            <w:rPr>
              <w:rFonts w:ascii="Arial" w:eastAsia="Times New Roman" w:hAnsi="Arial" w:cs="Arial"/>
              <w:bCs/>
              <w:iCs/>
              <w:caps/>
              <w:kern w:val="2"/>
              <w:sz w:val="24"/>
              <w:szCs w:val="24"/>
              <w:lang w:val="es-ES_tradnl" w:eastAsia="es-ES"/>
            </w:rPr>
            <w:t>19</w:t>
          </w:r>
        </w:p>
        <w:p w14:paraId="07980B48" w14:textId="77777777" w:rsidR="00995817" w:rsidRPr="00481955" w:rsidRDefault="00995817" w:rsidP="000607F6">
          <w:pPr>
            <w:tabs>
              <w:tab w:val="center" w:pos="4419"/>
              <w:tab w:val="right" w:pos="8838"/>
            </w:tabs>
            <w:suppressAutoHyphens/>
            <w:spacing w:after="0" w:line="100" w:lineRule="atLeast"/>
            <w:ind w:left="-73" w:right="-391"/>
            <w:jc w:val="both"/>
            <w:rPr>
              <w:rFonts w:ascii="Arial" w:eastAsia="Times New Roman" w:hAnsi="Arial" w:cs="Arial"/>
              <w:bCs/>
              <w:iCs/>
              <w:caps/>
              <w:kern w:val="2"/>
              <w:sz w:val="24"/>
              <w:szCs w:val="24"/>
              <w:lang w:val="es-ES_tradnl" w:eastAsia="es-ES"/>
            </w:rPr>
          </w:pPr>
        </w:p>
      </w:tc>
    </w:tr>
    <w:tr w:rsidR="00995817" w:rsidRPr="00481955" w14:paraId="0014D069" w14:textId="77777777" w:rsidTr="00722600">
      <w:trPr>
        <w:trHeight w:val="115"/>
      </w:trPr>
      <w:tc>
        <w:tcPr>
          <w:tcW w:w="2716" w:type="dxa"/>
          <w:hideMark/>
        </w:tcPr>
        <w:p w14:paraId="5BF1968E" w14:textId="77777777" w:rsidR="00995817" w:rsidRPr="00481955" w:rsidRDefault="00995817" w:rsidP="00956CE7">
          <w:pPr>
            <w:tabs>
              <w:tab w:val="center" w:pos="4419"/>
              <w:tab w:val="right" w:pos="8838"/>
            </w:tabs>
            <w:suppressAutoHyphens/>
            <w:spacing w:after="0" w:line="100" w:lineRule="atLeast"/>
            <w:ind w:left="548" w:right="51"/>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ACTOR:</w:t>
          </w:r>
        </w:p>
      </w:tc>
      <w:tc>
        <w:tcPr>
          <w:tcW w:w="4447" w:type="dxa"/>
          <w:gridSpan w:val="2"/>
        </w:tcPr>
        <w:p w14:paraId="5E29AE69" w14:textId="6FB53BFB" w:rsidR="00995817" w:rsidRPr="00481955" w:rsidRDefault="006F2653" w:rsidP="000802F9">
          <w:pPr>
            <w:suppressAutoHyphens/>
            <w:spacing w:after="0" w:line="100" w:lineRule="atLeast"/>
            <w:ind w:left="-73" w:right="51"/>
            <w:jc w:val="both"/>
            <w:rPr>
              <w:rFonts w:ascii="Arial" w:eastAsia="Times New Roman" w:hAnsi="Arial" w:cs="Arial"/>
              <w:bCs/>
              <w:iCs/>
              <w:caps/>
              <w:kern w:val="2"/>
              <w:sz w:val="24"/>
              <w:szCs w:val="24"/>
              <w:lang w:val="es-ES_tradnl" w:eastAsia="es-ES"/>
            </w:rPr>
          </w:pPr>
          <w:r>
            <w:rPr>
              <w:rFonts w:ascii="Arial" w:hAnsi="Arial" w:cs="Arial"/>
              <w:b/>
              <w:sz w:val="24"/>
              <w:szCs w:val="24"/>
              <w:lang w:eastAsia="es-ES"/>
            </w:rPr>
            <w:t xml:space="preserve">********** </w:t>
          </w:r>
        </w:p>
      </w:tc>
    </w:tr>
    <w:tr w:rsidR="00995817" w:rsidRPr="00481955" w14:paraId="0CDC2908" w14:textId="77777777" w:rsidTr="004C2588">
      <w:trPr>
        <w:trHeight w:val="1448"/>
      </w:trPr>
      <w:tc>
        <w:tcPr>
          <w:tcW w:w="2716" w:type="dxa"/>
        </w:tcPr>
        <w:p w14:paraId="398BEC97" w14:textId="5D45232A" w:rsidR="00995817" w:rsidRPr="00481955" w:rsidRDefault="00995817" w:rsidP="000607F6">
          <w:pPr>
            <w:tabs>
              <w:tab w:val="center" w:pos="4419"/>
              <w:tab w:val="right" w:pos="8838"/>
            </w:tabs>
            <w:suppressAutoHyphens/>
            <w:spacing w:after="0" w:line="100" w:lineRule="atLeast"/>
            <w:ind w:left="548" w:right="-241"/>
            <w:jc w:val="both"/>
            <w:rPr>
              <w:rFonts w:ascii="Arial" w:eastAsia="Times New Roman" w:hAnsi="Arial" w:cs="Arial"/>
              <w:b/>
              <w:bCs/>
              <w:iCs/>
              <w:caps/>
              <w:kern w:val="2"/>
              <w:sz w:val="24"/>
              <w:szCs w:val="24"/>
              <w:lang w:val="es-ES_tradnl" w:eastAsia="es-ES"/>
            </w:rPr>
          </w:pPr>
        </w:p>
        <w:p w14:paraId="48002949" w14:textId="210AC116" w:rsidR="00995817" w:rsidRPr="00481955" w:rsidRDefault="00995817"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r>
            <w:rPr>
              <w:rFonts w:ascii="Arial" w:eastAsia="Times New Roman" w:hAnsi="Arial" w:cs="Arial"/>
              <w:b/>
              <w:bCs/>
              <w:iCs/>
              <w:caps/>
              <w:kern w:val="2"/>
              <w:sz w:val="24"/>
              <w:szCs w:val="24"/>
              <w:lang w:val="es-ES_tradnl" w:eastAsia="es-ES"/>
            </w:rPr>
            <w:t>demandadA</w:t>
          </w:r>
          <w:r w:rsidRPr="00481955">
            <w:rPr>
              <w:rFonts w:ascii="Arial" w:eastAsia="Times New Roman" w:hAnsi="Arial" w:cs="Arial"/>
              <w:b/>
              <w:bCs/>
              <w:iCs/>
              <w:caps/>
              <w:kern w:val="2"/>
              <w:sz w:val="24"/>
              <w:szCs w:val="24"/>
              <w:lang w:val="es-ES_tradnl" w:eastAsia="es-ES"/>
            </w:rPr>
            <w:t>:</w:t>
          </w:r>
        </w:p>
        <w:p w14:paraId="493CA11F" w14:textId="52904414" w:rsidR="00995817" w:rsidRPr="00481955" w:rsidRDefault="00995817"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14:paraId="138D01E0" w14:textId="77777777" w:rsidR="00995817" w:rsidRPr="00481955" w:rsidRDefault="00995817"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14:paraId="238DA4DA" w14:textId="77777777" w:rsidR="00995817" w:rsidRPr="00481955" w:rsidRDefault="00995817"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SECRETARIa:</w:t>
          </w:r>
        </w:p>
        <w:p w14:paraId="0BF9F4B3" w14:textId="77777777" w:rsidR="00995817" w:rsidRPr="00481955" w:rsidRDefault="00995817"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14:paraId="0F2D1EAB" w14:textId="77777777" w:rsidR="00995817" w:rsidRPr="00481955" w:rsidRDefault="00995817" w:rsidP="000607F6">
          <w:pPr>
            <w:tabs>
              <w:tab w:val="center" w:pos="4419"/>
              <w:tab w:val="right" w:pos="8838"/>
            </w:tabs>
            <w:suppressAutoHyphens/>
            <w:spacing w:after="0" w:line="100" w:lineRule="atLeast"/>
            <w:ind w:left="548" w:right="51"/>
            <w:jc w:val="both"/>
            <w:rPr>
              <w:rFonts w:ascii="Arial" w:eastAsia="Times New Roman" w:hAnsi="Arial" w:cs="Arial"/>
              <w:b/>
              <w:iCs/>
              <w:caps/>
              <w:kern w:val="2"/>
              <w:sz w:val="24"/>
              <w:szCs w:val="24"/>
              <w:lang w:val="es-ES_tradnl" w:eastAsia="es-ES"/>
            </w:rPr>
          </w:pPr>
        </w:p>
      </w:tc>
      <w:tc>
        <w:tcPr>
          <w:tcW w:w="4447" w:type="dxa"/>
          <w:gridSpan w:val="2"/>
        </w:tcPr>
        <w:p w14:paraId="50FE3CF8" w14:textId="77777777" w:rsidR="00995817" w:rsidRPr="00481955" w:rsidRDefault="00995817"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p>
        <w:p w14:paraId="4475CE6F" w14:textId="3AE99B05" w:rsidR="00995817" w:rsidRDefault="00237110"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 xml:space="preserve">OFICIAL MAYOR DE LA </w:t>
          </w:r>
          <w:r w:rsidR="00995817">
            <w:rPr>
              <w:rFonts w:ascii="Arial" w:eastAsia="Times New Roman" w:hAnsi="Arial" w:cs="Arial"/>
              <w:bCs/>
              <w:iCs/>
              <w:caps/>
              <w:kern w:val="2"/>
              <w:sz w:val="24"/>
              <w:szCs w:val="24"/>
              <w:lang w:val="es-ES_tradnl" w:eastAsia="es-ES"/>
            </w:rPr>
            <w:t>FISCAL GENERAL DEL ESTADO</w:t>
          </w:r>
        </w:p>
        <w:p w14:paraId="767D5814" w14:textId="77777777" w:rsidR="00995817" w:rsidRPr="00481955" w:rsidRDefault="00995817"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p>
        <w:p w14:paraId="43FE464F" w14:textId="5C4858F5" w:rsidR="00995817" w:rsidRPr="00481955" w:rsidRDefault="00995817" w:rsidP="00237110">
          <w:pPr>
            <w:suppressAutoHyphens/>
            <w:spacing w:after="0" w:line="100" w:lineRule="atLeast"/>
            <w:ind w:right="51"/>
            <w:jc w:val="both"/>
            <w:rPr>
              <w:rFonts w:ascii="Arial" w:eastAsia="Times New Roman" w:hAnsi="Arial" w:cs="Arial"/>
              <w:bCs/>
              <w:iCs/>
              <w:caps/>
              <w:kern w:val="2"/>
              <w:sz w:val="24"/>
              <w:szCs w:val="24"/>
              <w:lang w:val="es-ES_tradnl" w:eastAsia="es-ES"/>
            </w:rPr>
          </w:pPr>
          <w:r w:rsidRPr="00481955">
            <w:rPr>
              <w:rFonts w:ascii="Arial" w:eastAsia="Times New Roman" w:hAnsi="Arial" w:cs="Arial"/>
              <w:bCs/>
              <w:iCs/>
              <w:caps/>
              <w:kern w:val="2"/>
              <w:sz w:val="24"/>
              <w:szCs w:val="24"/>
              <w:lang w:val="es-ES_tradnl" w:eastAsia="es-ES"/>
            </w:rPr>
            <w:t xml:space="preserve">lIC. monserrat garcía </w:t>
          </w:r>
          <w:r w:rsidR="00BA12F1">
            <w:rPr>
              <w:rFonts w:ascii="Arial" w:eastAsia="Times New Roman" w:hAnsi="Arial" w:cs="Arial"/>
              <w:bCs/>
              <w:iCs/>
              <w:caps/>
              <w:kern w:val="2"/>
              <w:sz w:val="24"/>
              <w:szCs w:val="24"/>
              <w:lang w:val="es-ES_tradnl" w:eastAsia="es-ES"/>
            </w:rPr>
            <w:t>altamirano</w:t>
          </w:r>
        </w:p>
      </w:tc>
    </w:tr>
  </w:tbl>
  <w:p w14:paraId="751ED3B2" w14:textId="03909DF8" w:rsidR="00995817" w:rsidRDefault="006F2653">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7728" behindDoc="0" locked="0" layoutInCell="1" allowOverlap="1" wp14:anchorId="52B3362A" wp14:editId="39A9503F">
              <wp:simplePos x="0" y="0"/>
              <wp:positionH relativeFrom="column">
                <wp:posOffset>-1099688</wp:posOffset>
              </wp:positionH>
              <wp:positionV relativeFrom="paragraph">
                <wp:posOffset>4226836</wp:posOffset>
              </wp:positionV>
              <wp:extent cx="824865" cy="1640840"/>
              <wp:effectExtent l="0" t="0" r="13335" b="165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29758440" w14:textId="77777777" w:rsidR="006F2653" w:rsidRDefault="006F2653" w:rsidP="006F2653">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2B3362A" id="_x0000_t202" coordsize="21600,21600" o:spt="202" path="m,l,21600r21600,l21600,xe">
              <v:stroke joinstyle="miter"/>
              <v:path gradientshapeok="t" o:connecttype="rect"/>
            </v:shapetype>
            <v:shape id="Cuadro de texto 4" o:spid="_x0000_s1027" type="#_x0000_t202" style="position:absolute;margin-left:-86.6pt;margin-top:332.8pt;width:64.95pt;height:129.2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K7WKgIAAFIEAAAOAAAAZHJzL2Uyb0RvYy54bWysVFFv0zAQfkfiP1h+p0mrtHRR02l0FCGN&#10;gTT4AVfbaSwcX7DdJuPXc3a6rhrwgsiD5fOdP3/33V1W10Nr2FE5r9FWfDrJOVNWoNR2X/FvX7dv&#10;lpz5AFaCQasq/qg8v16/frXqu1LNsEEjlWMEYn3ZdxVvQujKLPOiUS34CXbKkrNG10Ig0+0z6aAn&#10;9NZkszxfZD062TkUyns6vR2dfJ3w61qJ8LmuvQrMVJy4hbS6tO7imq1XUO4ddI0WJxrwDyxa0JYe&#10;PUPdQgB2cPo3qFYLhx7rMBHYZljXWqiUA2UzzV9k89BAp1IuJI7vzjL5/wcr7o9fHNOy4gVnFloq&#10;0eYA0iGTigU1BGRFFKnvfEmxDx1Fh+EdDlTslLDv7lB898zipgG7VzfOYd8okERyGm9mF1dHHB9B&#10;dv0nlPQaHAImoKF2bVSQNGGETsV6PBeIeDBBh8tZsVzMORPkmi6KfFmkCmZQPt3unA8fFLYsbiru&#10;qAESOhzvfIhsoHwKiY95NFputTHJcPvdxjh2BGqWbfpSAi/CjGV9xa/ms/kowF8h8vT9CaLVgbre&#10;6JZSOgdBGWV7b2XqyQDajHuibOxJxyjdKGIYdkOqWxI5arxD+UjCOhybnIaSNg26n5z11OAV9z8O&#10;4BRn5qOl4lxNC1KPhWQU87czMtylZ3fpASsIquKBs3G7CWmKom4Wb6iItU76PjM5UabGTbKfhixO&#10;xqWdop5/BetfAAAA//8DAFBLAwQUAAYACAAAACEAeKWL9eIAAAAMAQAADwAAAGRycy9kb3ducmV2&#10;LnhtbEyPwU7DMBBE70j8g7VIXFDqNAluG7KpEBIIblAQXN14m0TEdrDdNPw95gTH1TzNvK22sx7Y&#10;RM731iAsFykwMo1VvWkR3l7vkzUwH6RRcrCGEL7Jw7Y+P6tkqezJvNC0Cy2LJcaXEqELYSw5901H&#10;WvqFHcnE7GCdliGeruXKyVMs1wPP0lRwLXsTFzo50l1HzefuqBHWxeP04Z/y5/dGHIZNuFpND18O&#10;8fJivr0BFmgOfzD86kd1qKPT3h6N8mxASJarPIssghDXAlhEkiLPge0RNlmRAq8r/v+J+gcAAP//&#10;AwBQSwECLQAUAAYACAAAACEAtoM4kv4AAADhAQAAEwAAAAAAAAAAAAAAAAAAAAAAW0NvbnRlbnRf&#10;VHlwZXNdLnhtbFBLAQItABQABgAIAAAAIQA4/SH/1gAAAJQBAAALAAAAAAAAAAAAAAAAAC8BAABf&#10;cmVscy8ucmVsc1BLAQItABQABgAIAAAAIQAzzK7WKgIAAFIEAAAOAAAAAAAAAAAAAAAAAC4CAABk&#10;cnMvZTJvRG9jLnhtbFBLAQItABQABgAIAAAAIQB4pYv14gAAAAwBAAAPAAAAAAAAAAAAAAAAAIQE&#10;AABkcnMvZG93bnJldi54bWxQSwUGAAAAAAQABADzAAAAkwUAAAAA&#10;">
              <v:textbox>
                <w:txbxContent>
                  <w:p w14:paraId="29758440" w14:textId="77777777" w:rsidR="006F2653" w:rsidRDefault="006F2653" w:rsidP="006F2653">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108B5"/>
    <w:rsid w:val="0001336C"/>
    <w:rsid w:val="00015198"/>
    <w:rsid w:val="000213B5"/>
    <w:rsid w:val="00022A3D"/>
    <w:rsid w:val="00033D8A"/>
    <w:rsid w:val="000429DB"/>
    <w:rsid w:val="00043377"/>
    <w:rsid w:val="00046574"/>
    <w:rsid w:val="000510BD"/>
    <w:rsid w:val="00052B89"/>
    <w:rsid w:val="0005630F"/>
    <w:rsid w:val="000607F6"/>
    <w:rsid w:val="00061508"/>
    <w:rsid w:val="00062062"/>
    <w:rsid w:val="000775D2"/>
    <w:rsid w:val="000802F9"/>
    <w:rsid w:val="00080CF7"/>
    <w:rsid w:val="000967CF"/>
    <w:rsid w:val="000A30AF"/>
    <w:rsid w:val="000E0AFC"/>
    <w:rsid w:val="000E2BF2"/>
    <w:rsid w:val="000E689C"/>
    <w:rsid w:val="000E6EF9"/>
    <w:rsid w:val="000E7035"/>
    <w:rsid w:val="000E7A0B"/>
    <w:rsid w:val="000E7EA0"/>
    <w:rsid w:val="000F0D77"/>
    <w:rsid w:val="00103DA1"/>
    <w:rsid w:val="00117FD0"/>
    <w:rsid w:val="00124111"/>
    <w:rsid w:val="0013357B"/>
    <w:rsid w:val="00140BBB"/>
    <w:rsid w:val="00146F24"/>
    <w:rsid w:val="00155266"/>
    <w:rsid w:val="001567CA"/>
    <w:rsid w:val="00156D35"/>
    <w:rsid w:val="0016257F"/>
    <w:rsid w:val="00164349"/>
    <w:rsid w:val="00164601"/>
    <w:rsid w:val="001661F3"/>
    <w:rsid w:val="00172BBF"/>
    <w:rsid w:val="001734DF"/>
    <w:rsid w:val="00175DDE"/>
    <w:rsid w:val="00183526"/>
    <w:rsid w:val="00185746"/>
    <w:rsid w:val="00190CC9"/>
    <w:rsid w:val="001939D7"/>
    <w:rsid w:val="001A2B35"/>
    <w:rsid w:val="001A6C41"/>
    <w:rsid w:val="001D6088"/>
    <w:rsid w:val="001E1262"/>
    <w:rsid w:val="001E294D"/>
    <w:rsid w:val="001E382B"/>
    <w:rsid w:val="001E57CA"/>
    <w:rsid w:val="001F321F"/>
    <w:rsid w:val="001F7126"/>
    <w:rsid w:val="002031AF"/>
    <w:rsid w:val="00204F27"/>
    <w:rsid w:val="002146CF"/>
    <w:rsid w:val="0021516B"/>
    <w:rsid w:val="00215D26"/>
    <w:rsid w:val="00226269"/>
    <w:rsid w:val="00236863"/>
    <w:rsid w:val="00237110"/>
    <w:rsid w:val="002407CF"/>
    <w:rsid w:val="00245983"/>
    <w:rsid w:val="00245F31"/>
    <w:rsid w:val="00246223"/>
    <w:rsid w:val="00246750"/>
    <w:rsid w:val="00254463"/>
    <w:rsid w:val="0025463B"/>
    <w:rsid w:val="00255C1F"/>
    <w:rsid w:val="00256BAE"/>
    <w:rsid w:val="00257215"/>
    <w:rsid w:val="00267006"/>
    <w:rsid w:val="00272325"/>
    <w:rsid w:val="002743B5"/>
    <w:rsid w:val="00282970"/>
    <w:rsid w:val="0028305F"/>
    <w:rsid w:val="00286CA4"/>
    <w:rsid w:val="002901A1"/>
    <w:rsid w:val="00293F83"/>
    <w:rsid w:val="002A16C0"/>
    <w:rsid w:val="002A6988"/>
    <w:rsid w:val="002B3AB9"/>
    <w:rsid w:val="002C2317"/>
    <w:rsid w:val="002D14B7"/>
    <w:rsid w:val="002D7171"/>
    <w:rsid w:val="002D72B7"/>
    <w:rsid w:val="002E50A3"/>
    <w:rsid w:val="00302FD0"/>
    <w:rsid w:val="00304279"/>
    <w:rsid w:val="00314A05"/>
    <w:rsid w:val="00317E17"/>
    <w:rsid w:val="00325291"/>
    <w:rsid w:val="00331BD9"/>
    <w:rsid w:val="00333419"/>
    <w:rsid w:val="00340C69"/>
    <w:rsid w:val="0035230D"/>
    <w:rsid w:val="00352A14"/>
    <w:rsid w:val="003533DA"/>
    <w:rsid w:val="0036461F"/>
    <w:rsid w:val="003745ED"/>
    <w:rsid w:val="00375F28"/>
    <w:rsid w:val="003839E9"/>
    <w:rsid w:val="003858AA"/>
    <w:rsid w:val="003858E2"/>
    <w:rsid w:val="00385CCC"/>
    <w:rsid w:val="003864CF"/>
    <w:rsid w:val="00394B9F"/>
    <w:rsid w:val="0039522E"/>
    <w:rsid w:val="003975C5"/>
    <w:rsid w:val="003A7580"/>
    <w:rsid w:val="003B6626"/>
    <w:rsid w:val="003B6D0C"/>
    <w:rsid w:val="003C3330"/>
    <w:rsid w:val="003C3EE3"/>
    <w:rsid w:val="003D0754"/>
    <w:rsid w:val="003D4270"/>
    <w:rsid w:val="003E196E"/>
    <w:rsid w:val="003E564F"/>
    <w:rsid w:val="003F6283"/>
    <w:rsid w:val="004015FF"/>
    <w:rsid w:val="0040264A"/>
    <w:rsid w:val="00402D3D"/>
    <w:rsid w:val="00412663"/>
    <w:rsid w:val="00415BF7"/>
    <w:rsid w:val="0041661F"/>
    <w:rsid w:val="00426D3E"/>
    <w:rsid w:val="0043085C"/>
    <w:rsid w:val="00443E64"/>
    <w:rsid w:val="004468C8"/>
    <w:rsid w:val="00450F4F"/>
    <w:rsid w:val="00452662"/>
    <w:rsid w:val="004543E0"/>
    <w:rsid w:val="00471A59"/>
    <w:rsid w:val="00484826"/>
    <w:rsid w:val="00485D10"/>
    <w:rsid w:val="004922E9"/>
    <w:rsid w:val="0049671F"/>
    <w:rsid w:val="004B01D6"/>
    <w:rsid w:val="004B20F4"/>
    <w:rsid w:val="004C2588"/>
    <w:rsid w:val="004D6471"/>
    <w:rsid w:val="004E4330"/>
    <w:rsid w:val="004E6F16"/>
    <w:rsid w:val="004F587C"/>
    <w:rsid w:val="004F638E"/>
    <w:rsid w:val="00502622"/>
    <w:rsid w:val="00511112"/>
    <w:rsid w:val="0051797B"/>
    <w:rsid w:val="00521ABD"/>
    <w:rsid w:val="00535D60"/>
    <w:rsid w:val="00536D46"/>
    <w:rsid w:val="00542C3E"/>
    <w:rsid w:val="00552029"/>
    <w:rsid w:val="00555555"/>
    <w:rsid w:val="00555E26"/>
    <w:rsid w:val="00555E6B"/>
    <w:rsid w:val="005666BA"/>
    <w:rsid w:val="00567260"/>
    <w:rsid w:val="00570D25"/>
    <w:rsid w:val="005722AA"/>
    <w:rsid w:val="0057251E"/>
    <w:rsid w:val="00573078"/>
    <w:rsid w:val="00573A56"/>
    <w:rsid w:val="00575D97"/>
    <w:rsid w:val="005822FD"/>
    <w:rsid w:val="0058238C"/>
    <w:rsid w:val="005901D1"/>
    <w:rsid w:val="0059569F"/>
    <w:rsid w:val="005A1DA5"/>
    <w:rsid w:val="005A5EE2"/>
    <w:rsid w:val="005B19D7"/>
    <w:rsid w:val="005C111B"/>
    <w:rsid w:val="005C54EF"/>
    <w:rsid w:val="005C6E5A"/>
    <w:rsid w:val="005D2794"/>
    <w:rsid w:val="005D7BEE"/>
    <w:rsid w:val="005F4E8F"/>
    <w:rsid w:val="005F6B3F"/>
    <w:rsid w:val="006035FB"/>
    <w:rsid w:val="006042A6"/>
    <w:rsid w:val="00612DF2"/>
    <w:rsid w:val="00614809"/>
    <w:rsid w:val="006256F4"/>
    <w:rsid w:val="00651996"/>
    <w:rsid w:val="00652F4A"/>
    <w:rsid w:val="00654C1F"/>
    <w:rsid w:val="00655617"/>
    <w:rsid w:val="00661008"/>
    <w:rsid w:val="006852B3"/>
    <w:rsid w:val="00687B74"/>
    <w:rsid w:val="006B4154"/>
    <w:rsid w:val="006B6C7A"/>
    <w:rsid w:val="006C7765"/>
    <w:rsid w:val="006E055B"/>
    <w:rsid w:val="006E34BD"/>
    <w:rsid w:val="006F0F7D"/>
    <w:rsid w:val="006F122D"/>
    <w:rsid w:val="006F2653"/>
    <w:rsid w:val="00700293"/>
    <w:rsid w:val="00710383"/>
    <w:rsid w:val="007220A8"/>
    <w:rsid w:val="00722600"/>
    <w:rsid w:val="007230D8"/>
    <w:rsid w:val="00744C47"/>
    <w:rsid w:val="00746A4B"/>
    <w:rsid w:val="00746BD4"/>
    <w:rsid w:val="00750A94"/>
    <w:rsid w:val="00756476"/>
    <w:rsid w:val="00756926"/>
    <w:rsid w:val="00757AB8"/>
    <w:rsid w:val="00765E96"/>
    <w:rsid w:val="007664FA"/>
    <w:rsid w:val="007679A0"/>
    <w:rsid w:val="0077309B"/>
    <w:rsid w:val="007803ED"/>
    <w:rsid w:val="00781F5F"/>
    <w:rsid w:val="00783DD4"/>
    <w:rsid w:val="00791A32"/>
    <w:rsid w:val="0079562B"/>
    <w:rsid w:val="007A3E64"/>
    <w:rsid w:val="007A4BC5"/>
    <w:rsid w:val="007A6B73"/>
    <w:rsid w:val="007A749A"/>
    <w:rsid w:val="007B27C4"/>
    <w:rsid w:val="007C1394"/>
    <w:rsid w:val="007C2537"/>
    <w:rsid w:val="007C25A4"/>
    <w:rsid w:val="007D2C57"/>
    <w:rsid w:val="007D2F68"/>
    <w:rsid w:val="007D4804"/>
    <w:rsid w:val="007E73B7"/>
    <w:rsid w:val="007F393B"/>
    <w:rsid w:val="00816435"/>
    <w:rsid w:val="008208F4"/>
    <w:rsid w:val="00822B0B"/>
    <w:rsid w:val="00832215"/>
    <w:rsid w:val="00832309"/>
    <w:rsid w:val="00837D16"/>
    <w:rsid w:val="008442E1"/>
    <w:rsid w:val="00844355"/>
    <w:rsid w:val="00847093"/>
    <w:rsid w:val="00847815"/>
    <w:rsid w:val="008546B2"/>
    <w:rsid w:val="0086057A"/>
    <w:rsid w:val="00863DEB"/>
    <w:rsid w:val="0086651E"/>
    <w:rsid w:val="00883E71"/>
    <w:rsid w:val="0089415A"/>
    <w:rsid w:val="008A1B8F"/>
    <w:rsid w:val="008A3965"/>
    <w:rsid w:val="008A6718"/>
    <w:rsid w:val="008B2F67"/>
    <w:rsid w:val="008B3B6C"/>
    <w:rsid w:val="008B423A"/>
    <w:rsid w:val="008B7143"/>
    <w:rsid w:val="008D48DF"/>
    <w:rsid w:val="008F3728"/>
    <w:rsid w:val="008F41B1"/>
    <w:rsid w:val="009011F5"/>
    <w:rsid w:val="0090306A"/>
    <w:rsid w:val="009057D2"/>
    <w:rsid w:val="00906A3D"/>
    <w:rsid w:val="00931791"/>
    <w:rsid w:val="0093464F"/>
    <w:rsid w:val="00953F5C"/>
    <w:rsid w:val="00955CEF"/>
    <w:rsid w:val="00956047"/>
    <w:rsid w:val="00956CE7"/>
    <w:rsid w:val="009631FD"/>
    <w:rsid w:val="00980D51"/>
    <w:rsid w:val="00983446"/>
    <w:rsid w:val="00986503"/>
    <w:rsid w:val="00990BB0"/>
    <w:rsid w:val="0099509F"/>
    <w:rsid w:val="009954D2"/>
    <w:rsid w:val="00995817"/>
    <w:rsid w:val="009A05BE"/>
    <w:rsid w:val="009A21EA"/>
    <w:rsid w:val="009B3734"/>
    <w:rsid w:val="009C2D10"/>
    <w:rsid w:val="009C3C6E"/>
    <w:rsid w:val="009C5FF1"/>
    <w:rsid w:val="009E15C9"/>
    <w:rsid w:val="009E221D"/>
    <w:rsid w:val="009F0510"/>
    <w:rsid w:val="009F251B"/>
    <w:rsid w:val="00A00747"/>
    <w:rsid w:val="00A00B34"/>
    <w:rsid w:val="00A04CE6"/>
    <w:rsid w:val="00A06D6A"/>
    <w:rsid w:val="00A07202"/>
    <w:rsid w:val="00A15319"/>
    <w:rsid w:val="00A34600"/>
    <w:rsid w:val="00A37A86"/>
    <w:rsid w:val="00A44221"/>
    <w:rsid w:val="00A44B16"/>
    <w:rsid w:val="00A45CC9"/>
    <w:rsid w:val="00A55F95"/>
    <w:rsid w:val="00A57BBD"/>
    <w:rsid w:val="00A72008"/>
    <w:rsid w:val="00A762CD"/>
    <w:rsid w:val="00A808D6"/>
    <w:rsid w:val="00A8536C"/>
    <w:rsid w:val="00A90FC3"/>
    <w:rsid w:val="00A97EC8"/>
    <w:rsid w:val="00AA43A6"/>
    <w:rsid w:val="00AB377E"/>
    <w:rsid w:val="00AB4447"/>
    <w:rsid w:val="00AB639F"/>
    <w:rsid w:val="00AB6D04"/>
    <w:rsid w:val="00AB7DB7"/>
    <w:rsid w:val="00AD5212"/>
    <w:rsid w:val="00AD6740"/>
    <w:rsid w:val="00AD6B65"/>
    <w:rsid w:val="00AE1854"/>
    <w:rsid w:val="00AF1625"/>
    <w:rsid w:val="00B0470F"/>
    <w:rsid w:val="00B056F5"/>
    <w:rsid w:val="00B10DF6"/>
    <w:rsid w:val="00B10E47"/>
    <w:rsid w:val="00B11851"/>
    <w:rsid w:val="00B215B6"/>
    <w:rsid w:val="00B22643"/>
    <w:rsid w:val="00B22EA3"/>
    <w:rsid w:val="00B2630A"/>
    <w:rsid w:val="00B33795"/>
    <w:rsid w:val="00B37299"/>
    <w:rsid w:val="00B42A87"/>
    <w:rsid w:val="00B6482E"/>
    <w:rsid w:val="00B64F2B"/>
    <w:rsid w:val="00B70FC2"/>
    <w:rsid w:val="00B731D1"/>
    <w:rsid w:val="00B76007"/>
    <w:rsid w:val="00B774E6"/>
    <w:rsid w:val="00B828E1"/>
    <w:rsid w:val="00B87EE2"/>
    <w:rsid w:val="00B9138B"/>
    <w:rsid w:val="00B933D8"/>
    <w:rsid w:val="00B94A85"/>
    <w:rsid w:val="00BA12F1"/>
    <w:rsid w:val="00BA3408"/>
    <w:rsid w:val="00BA3DAE"/>
    <w:rsid w:val="00BA40CF"/>
    <w:rsid w:val="00BB7B6B"/>
    <w:rsid w:val="00BC367D"/>
    <w:rsid w:val="00BD027D"/>
    <w:rsid w:val="00BD15F4"/>
    <w:rsid w:val="00BD1881"/>
    <w:rsid w:val="00BD5E3E"/>
    <w:rsid w:val="00BD6A84"/>
    <w:rsid w:val="00C02416"/>
    <w:rsid w:val="00C02D7E"/>
    <w:rsid w:val="00C068C1"/>
    <w:rsid w:val="00C06AA4"/>
    <w:rsid w:val="00C16941"/>
    <w:rsid w:val="00C2532B"/>
    <w:rsid w:val="00C33F92"/>
    <w:rsid w:val="00C41F79"/>
    <w:rsid w:val="00C509EC"/>
    <w:rsid w:val="00C5183C"/>
    <w:rsid w:val="00C51C01"/>
    <w:rsid w:val="00C54003"/>
    <w:rsid w:val="00C65442"/>
    <w:rsid w:val="00C65510"/>
    <w:rsid w:val="00C66C18"/>
    <w:rsid w:val="00C67FC7"/>
    <w:rsid w:val="00C715E1"/>
    <w:rsid w:val="00C7308A"/>
    <w:rsid w:val="00C7431D"/>
    <w:rsid w:val="00C80EAA"/>
    <w:rsid w:val="00C823F7"/>
    <w:rsid w:val="00C82957"/>
    <w:rsid w:val="00C92BA0"/>
    <w:rsid w:val="00C94935"/>
    <w:rsid w:val="00C97157"/>
    <w:rsid w:val="00C971B7"/>
    <w:rsid w:val="00CA2526"/>
    <w:rsid w:val="00CA397F"/>
    <w:rsid w:val="00CA5528"/>
    <w:rsid w:val="00CB17A6"/>
    <w:rsid w:val="00CD4E04"/>
    <w:rsid w:val="00CD56FE"/>
    <w:rsid w:val="00CE57BA"/>
    <w:rsid w:val="00CF6C9A"/>
    <w:rsid w:val="00D01C42"/>
    <w:rsid w:val="00D164F6"/>
    <w:rsid w:val="00D3777D"/>
    <w:rsid w:val="00D44C45"/>
    <w:rsid w:val="00D5077E"/>
    <w:rsid w:val="00D543BA"/>
    <w:rsid w:val="00D7027B"/>
    <w:rsid w:val="00D72B90"/>
    <w:rsid w:val="00D845D1"/>
    <w:rsid w:val="00D909BE"/>
    <w:rsid w:val="00D96257"/>
    <w:rsid w:val="00DA2734"/>
    <w:rsid w:val="00DB01B7"/>
    <w:rsid w:val="00DB2C1E"/>
    <w:rsid w:val="00DC6591"/>
    <w:rsid w:val="00DD1D5B"/>
    <w:rsid w:val="00DD4C2E"/>
    <w:rsid w:val="00DE1928"/>
    <w:rsid w:val="00DE5543"/>
    <w:rsid w:val="00DE7BCC"/>
    <w:rsid w:val="00DF3DDE"/>
    <w:rsid w:val="00DF6738"/>
    <w:rsid w:val="00E22404"/>
    <w:rsid w:val="00E3495D"/>
    <w:rsid w:val="00E3557B"/>
    <w:rsid w:val="00E41841"/>
    <w:rsid w:val="00E43EFA"/>
    <w:rsid w:val="00E4496F"/>
    <w:rsid w:val="00E5391E"/>
    <w:rsid w:val="00E54166"/>
    <w:rsid w:val="00E9320C"/>
    <w:rsid w:val="00EA7FB3"/>
    <w:rsid w:val="00EB23E8"/>
    <w:rsid w:val="00EC269A"/>
    <w:rsid w:val="00ED01B6"/>
    <w:rsid w:val="00ED2BD7"/>
    <w:rsid w:val="00EE0507"/>
    <w:rsid w:val="00EE220A"/>
    <w:rsid w:val="00EE5DF0"/>
    <w:rsid w:val="00EF218F"/>
    <w:rsid w:val="00EF4FF0"/>
    <w:rsid w:val="00EF705F"/>
    <w:rsid w:val="00F13C7A"/>
    <w:rsid w:val="00F16096"/>
    <w:rsid w:val="00F16BBC"/>
    <w:rsid w:val="00F16DA3"/>
    <w:rsid w:val="00F500C3"/>
    <w:rsid w:val="00F54DF3"/>
    <w:rsid w:val="00F56D77"/>
    <w:rsid w:val="00F61833"/>
    <w:rsid w:val="00F662A0"/>
    <w:rsid w:val="00F663FA"/>
    <w:rsid w:val="00F716A9"/>
    <w:rsid w:val="00F71DEC"/>
    <w:rsid w:val="00F739C2"/>
    <w:rsid w:val="00F74067"/>
    <w:rsid w:val="00F818FC"/>
    <w:rsid w:val="00F90CE4"/>
    <w:rsid w:val="00FA583E"/>
    <w:rsid w:val="00FA5F9A"/>
    <w:rsid w:val="00FA708A"/>
    <w:rsid w:val="00FB6D07"/>
    <w:rsid w:val="00FC3A41"/>
    <w:rsid w:val="00FC6F65"/>
    <w:rsid w:val="00FD084C"/>
    <w:rsid w:val="00FD7317"/>
    <w:rsid w:val="00FF0500"/>
    <w:rsid w:val="00FF36B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90938E"/>
  <w15:docId w15:val="{6BE6B027-F857-4334-97D6-329C880CA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6B6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Textodeglobo">
    <w:name w:val="Balloon Text"/>
    <w:basedOn w:val="Normal"/>
    <w:link w:val="TextodegloboCar"/>
    <w:uiPriority w:val="99"/>
    <w:semiHidden/>
    <w:unhideWhenUsed/>
    <w:rsid w:val="00FA5F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A5F9A"/>
    <w:rPr>
      <w:rFonts w:ascii="Tahoma" w:hAnsi="Tahoma" w:cs="Tahoma"/>
      <w:sz w:val="16"/>
      <w:szCs w:val="16"/>
    </w:rPr>
  </w:style>
  <w:style w:type="character" w:customStyle="1" w:styleId="corte4fondoCar">
    <w:name w:val="corte4 fondo Car"/>
    <w:link w:val="corte4fondo"/>
    <w:locked/>
    <w:rsid w:val="005D2794"/>
    <w:rPr>
      <w:rFonts w:ascii="Arial" w:eastAsia="Times New Roman" w:hAnsi="Arial" w:cs="Times New Roman"/>
      <w:sz w:val="30"/>
      <w:szCs w:val="20"/>
      <w:lang w:val="es-ES_tradnl" w:eastAsia="x-none"/>
    </w:rPr>
  </w:style>
  <w:style w:type="paragraph" w:customStyle="1" w:styleId="corte4fondo">
    <w:name w:val="corte4 fondo"/>
    <w:basedOn w:val="Normal"/>
    <w:link w:val="corte4fondoCar"/>
    <w:rsid w:val="005D2794"/>
    <w:pPr>
      <w:spacing w:after="0" w:line="360" w:lineRule="auto"/>
      <w:ind w:firstLine="709"/>
      <w:jc w:val="both"/>
    </w:pPr>
    <w:rPr>
      <w:rFonts w:ascii="Arial" w:eastAsia="Times New Roman" w:hAnsi="Arial" w:cs="Times New Roman"/>
      <w:sz w:val="30"/>
      <w:szCs w:val="20"/>
      <w:lang w:val="es-ES_tradnl" w:eastAsia="x-none"/>
    </w:rPr>
  </w:style>
  <w:style w:type="table" w:customStyle="1" w:styleId="Tablaconcuadrcula1">
    <w:name w:val="Tabla con cuadrícula1"/>
    <w:basedOn w:val="Tablanormal"/>
    <w:uiPriority w:val="59"/>
    <w:rsid w:val="005D279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406663">
      <w:bodyDiv w:val="1"/>
      <w:marLeft w:val="0"/>
      <w:marRight w:val="0"/>
      <w:marTop w:val="0"/>
      <w:marBottom w:val="0"/>
      <w:divBdr>
        <w:top w:val="none" w:sz="0" w:space="0" w:color="auto"/>
        <w:left w:val="none" w:sz="0" w:space="0" w:color="auto"/>
        <w:bottom w:val="none" w:sz="0" w:space="0" w:color="auto"/>
        <w:right w:val="none" w:sz="0" w:space="0" w:color="auto"/>
      </w:divBdr>
    </w:div>
    <w:div w:id="563300674">
      <w:bodyDiv w:val="1"/>
      <w:marLeft w:val="0"/>
      <w:marRight w:val="0"/>
      <w:marTop w:val="0"/>
      <w:marBottom w:val="0"/>
      <w:divBdr>
        <w:top w:val="none" w:sz="0" w:space="0" w:color="auto"/>
        <w:left w:val="none" w:sz="0" w:space="0" w:color="auto"/>
        <w:bottom w:val="none" w:sz="0" w:space="0" w:color="auto"/>
        <w:right w:val="none" w:sz="0" w:space="0" w:color="auto"/>
      </w:divBdr>
    </w:div>
    <w:div w:id="639266497">
      <w:bodyDiv w:val="1"/>
      <w:marLeft w:val="0"/>
      <w:marRight w:val="0"/>
      <w:marTop w:val="0"/>
      <w:marBottom w:val="0"/>
      <w:divBdr>
        <w:top w:val="none" w:sz="0" w:space="0" w:color="auto"/>
        <w:left w:val="none" w:sz="0" w:space="0" w:color="auto"/>
        <w:bottom w:val="none" w:sz="0" w:space="0" w:color="auto"/>
        <w:right w:val="none" w:sz="0" w:space="0" w:color="auto"/>
      </w:divBdr>
    </w:div>
    <w:div w:id="670065145">
      <w:bodyDiv w:val="1"/>
      <w:marLeft w:val="0"/>
      <w:marRight w:val="0"/>
      <w:marTop w:val="0"/>
      <w:marBottom w:val="0"/>
      <w:divBdr>
        <w:top w:val="none" w:sz="0" w:space="0" w:color="auto"/>
        <w:left w:val="none" w:sz="0" w:space="0" w:color="auto"/>
        <w:bottom w:val="none" w:sz="0" w:space="0" w:color="auto"/>
        <w:right w:val="none" w:sz="0" w:space="0" w:color="auto"/>
      </w:divBdr>
    </w:div>
    <w:div w:id="1469860271">
      <w:bodyDiv w:val="1"/>
      <w:marLeft w:val="0"/>
      <w:marRight w:val="0"/>
      <w:marTop w:val="0"/>
      <w:marBottom w:val="0"/>
      <w:divBdr>
        <w:top w:val="none" w:sz="0" w:space="0" w:color="auto"/>
        <w:left w:val="none" w:sz="0" w:space="0" w:color="auto"/>
        <w:bottom w:val="none" w:sz="0" w:space="0" w:color="auto"/>
        <w:right w:val="none" w:sz="0" w:space="0" w:color="auto"/>
      </w:divBdr>
    </w:div>
    <w:div w:id="1594241925">
      <w:bodyDiv w:val="1"/>
      <w:marLeft w:val="0"/>
      <w:marRight w:val="0"/>
      <w:marTop w:val="0"/>
      <w:marBottom w:val="0"/>
      <w:divBdr>
        <w:top w:val="none" w:sz="0" w:space="0" w:color="auto"/>
        <w:left w:val="none" w:sz="0" w:space="0" w:color="auto"/>
        <w:bottom w:val="none" w:sz="0" w:space="0" w:color="auto"/>
        <w:right w:val="none" w:sz="0" w:space="0" w:color="auto"/>
      </w:divBdr>
    </w:div>
    <w:div w:id="1681589674">
      <w:bodyDiv w:val="1"/>
      <w:marLeft w:val="0"/>
      <w:marRight w:val="0"/>
      <w:marTop w:val="0"/>
      <w:marBottom w:val="0"/>
      <w:divBdr>
        <w:top w:val="none" w:sz="0" w:space="0" w:color="auto"/>
        <w:left w:val="none" w:sz="0" w:space="0" w:color="auto"/>
        <w:bottom w:val="none" w:sz="0" w:space="0" w:color="auto"/>
        <w:right w:val="none" w:sz="0" w:space="0" w:color="auto"/>
      </w:divBdr>
    </w:div>
    <w:div w:id="1887138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940C5C-C6B6-4AA6-985E-1F6CF80CAC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2712</TotalTime>
  <Pages>10</Pages>
  <Words>4230</Words>
  <Characters>23271</Characters>
  <Application>Microsoft Office Word</Application>
  <DocSecurity>0</DocSecurity>
  <Lines>193</Lines>
  <Paragraphs>54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27447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91</cp:revision>
  <cp:lastPrinted>2018-11-27T19:10:00Z</cp:lastPrinted>
  <dcterms:created xsi:type="dcterms:W3CDTF">2021-03-16T18:18:00Z</dcterms:created>
  <dcterms:modified xsi:type="dcterms:W3CDTF">2022-10-06T19:57:00Z</dcterms:modified>
</cp:coreProperties>
</file>