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8A522D"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14:paraId="557F4257" w14:textId="3A46FE31" w:rsidR="00C06661" w:rsidRPr="00CB6405" w:rsidRDefault="00AD1817" w:rsidP="00C06661">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299</w:t>
      </w:r>
      <w:r w:rsidR="00FF518D">
        <w:rPr>
          <w:rFonts w:ascii="Arial" w:hAnsi="Arial" w:cs="Arial"/>
          <w:b/>
          <w:sz w:val="26"/>
          <w:szCs w:val="26"/>
        </w:rPr>
        <w:t>/20</w:t>
      </w:r>
      <w:r w:rsidR="00187EB8">
        <w:rPr>
          <w:rFonts w:ascii="Arial" w:hAnsi="Arial" w:cs="Arial"/>
          <w:b/>
          <w:sz w:val="26"/>
          <w:szCs w:val="26"/>
        </w:rPr>
        <w:t>19</w:t>
      </w:r>
    </w:p>
    <w:p w14:paraId="0E20F414" w14:textId="014F09F0"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AD1817">
        <w:rPr>
          <w:rFonts w:ascii="Arial" w:hAnsi="Arial" w:cs="Arial"/>
          <w:b/>
          <w:sz w:val="26"/>
          <w:szCs w:val="26"/>
        </w:rPr>
        <w:t>7</w:t>
      </w:r>
      <w:r w:rsidR="00187EB8">
        <w:rPr>
          <w:rFonts w:ascii="Arial" w:hAnsi="Arial" w:cs="Arial"/>
          <w:b/>
          <w:sz w:val="26"/>
          <w:szCs w:val="26"/>
        </w:rPr>
        <w:t>2</w:t>
      </w:r>
      <w:r>
        <w:rPr>
          <w:rFonts w:ascii="Arial" w:hAnsi="Arial" w:cs="Arial"/>
          <w:b/>
          <w:sz w:val="26"/>
          <w:szCs w:val="26"/>
        </w:rPr>
        <w:t>/</w:t>
      </w:r>
      <w:r w:rsidRPr="00CB6405">
        <w:rPr>
          <w:rFonts w:ascii="Arial" w:hAnsi="Arial" w:cs="Arial"/>
          <w:b/>
          <w:sz w:val="26"/>
          <w:szCs w:val="26"/>
        </w:rPr>
        <w:t>201</w:t>
      </w:r>
      <w:r w:rsidR="00AD1817">
        <w:rPr>
          <w:rFonts w:ascii="Arial" w:hAnsi="Arial" w:cs="Arial"/>
          <w:b/>
          <w:sz w:val="26"/>
          <w:szCs w:val="26"/>
        </w:rPr>
        <w:t>9</w:t>
      </w:r>
      <w:r w:rsidRPr="00CB6405">
        <w:rPr>
          <w:rFonts w:ascii="Arial" w:hAnsi="Arial" w:cs="Arial"/>
          <w:b/>
          <w:sz w:val="26"/>
          <w:szCs w:val="26"/>
        </w:rPr>
        <w:t xml:space="preserve"> </w:t>
      </w:r>
      <w:r w:rsidR="00AD1817">
        <w:rPr>
          <w:rFonts w:ascii="Arial" w:hAnsi="Arial" w:cs="Arial"/>
          <w:b/>
          <w:sz w:val="26"/>
          <w:szCs w:val="26"/>
        </w:rPr>
        <w:t>CUARTA</w:t>
      </w:r>
      <w:r w:rsidR="00D60731">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14:paraId="2140547F" w14:textId="18F2D1D4"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w:t>
      </w:r>
      <w:r w:rsidR="00431ECB">
        <w:rPr>
          <w:rFonts w:ascii="Arial" w:hAnsi="Arial" w:cs="Arial"/>
          <w:b/>
          <w:sz w:val="26"/>
          <w:szCs w:val="26"/>
        </w:rPr>
        <w:t>O ABRAHAM SANTIAGO SORIANO.</w:t>
      </w:r>
    </w:p>
    <w:p w14:paraId="72E48555" w14:textId="4C271874" w:rsidR="000F560C" w:rsidRDefault="000F560C" w:rsidP="000F560C">
      <w:pPr>
        <w:spacing w:before="240" w:line="360" w:lineRule="auto"/>
        <w:jc w:val="both"/>
        <w:rPr>
          <w:rFonts w:ascii="Arial" w:hAnsi="Arial" w:cs="Arial"/>
          <w:b/>
          <w:sz w:val="26"/>
          <w:szCs w:val="26"/>
        </w:rPr>
      </w:pPr>
      <w:r>
        <w:rPr>
          <w:rFonts w:ascii="Arial" w:hAnsi="Arial" w:cs="Arial"/>
          <w:b/>
          <w:sz w:val="26"/>
          <w:szCs w:val="26"/>
        </w:rPr>
        <w:t>OAXACA DE JUÁREZ, OAXACA</w:t>
      </w:r>
      <w:r w:rsidR="008D66C3">
        <w:rPr>
          <w:rFonts w:ascii="Arial" w:hAnsi="Arial" w:cs="Arial"/>
          <w:b/>
          <w:sz w:val="26"/>
          <w:szCs w:val="26"/>
        </w:rPr>
        <w:t xml:space="preserve">, A UNO DE OCTUBRE </w:t>
      </w:r>
      <w:r>
        <w:rPr>
          <w:rFonts w:ascii="Arial" w:hAnsi="Arial" w:cs="Arial"/>
          <w:b/>
          <w:sz w:val="26"/>
          <w:szCs w:val="26"/>
        </w:rPr>
        <w:t xml:space="preserve">DE DOS MIL </w:t>
      </w:r>
      <w:r w:rsidR="006B7AEC">
        <w:rPr>
          <w:rFonts w:ascii="Arial" w:hAnsi="Arial" w:cs="Arial"/>
          <w:b/>
          <w:sz w:val="26"/>
          <w:szCs w:val="26"/>
        </w:rPr>
        <w:t>VEINTE</w:t>
      </w:r>
      <w:r>
        <w:rPr>
          <w:rFonts w:ascii="Arial" w:hAnsi="Arial" w:cs="Arial"/>
          <w:b/>
          <w:sz w:val="26"/>
          <w:szCs w:val="26"/>
        </w:rPr>
        <w:t>.</w:t>
      </w:r>
      <w:r w:rsidR="008D66C3">
        <w:rPr>
          <w:rFonts w:ascii="Arial" w:hAnsi="Arial" w:cs="Arial"/>
          <w:b/>
          <w:sz w:val="26"/>
          <w:szCs w:val="26"/>
        </w:rPr>
        <w:t xml:space="preserve"> - - - - - - - - - - - - - - - - - - - - - - - - - - - - - - - - - - - - - - - - - - - - - - </w:t>
      </w:r>
    </w:p>
    <w:p w14:paraId="43DBF73A" w14:textId="41B564BF" w:rsidR="004446D8" w:rsidRPr="00CB6405" w:rsidRDefault="00595443" w:rsidP="00595443">
      <w:pPr>
        <w:spacing w:line="360" w:lineRule="auto"/>
        <w:jc w:val="both"/>
        <w:rPr>
          <w:rFonts w:ascii="Arial" w:hAnsi="Arial" w:cs="Arial"/>
          <w:sz w:val="26"/>
          <w:szCs w:val="26"/>
        </w:rPr>
      </w:pPr>
      <w:r>
        <w:rPr>
          <w:rFonts w:ascii="Arial" w:hAnsi="Arial" w:cs="Arial"/>
          <w:sz w:val="26"/>
          <w:szCs w:val="26"/>
        </w:rPr>
        <w:t xml:space="preserve">      </w:t>
      </w:r>
      <w:r w:rsidR="00B525A6" w:rsidRPr="00CB6405">
        <w:rPr>
          <w:rFonts w:ascii="Arial" w:hAnsi="Arial" w:cs="Arial"/>
          <w:sz w:val="26"/>
          <w:szCs w:val="26"/>
        </w:rPr>
        <w:t xml:space="preserve">Por recibido el Cuaderno de Revisión </w:t>
      </w:r>
      <w:r w:rsidR="00AD1817">
        <w:rPr>
          <w:rFonts w:ascii="Arial" w:hAnsi="Arial" w:cs="Arial"/>
          <w:b/>
          <w:sz w:val="26"/>
          <w:szCs w:val="26"/>
        </w:rPr>
        <w:t>299</w:t>
      </w:r>
      <w:r w:rsidR="00B525A6" w:rsidRPr="00CB6405">
        <w:rPr>
          <w:rFonts w:ascii="Arial" w:hAnsi="Arial" w:cs="Arial"/>
          <w:b/>
          <w:sz w:val="26"/>
          <w:szCs w:val="26"/>
        </w:rPr>
        <w:t>/201</w:t>
      </w:r>
      <w:r w:rsidR="006B7AEC">
        <w:rPr>
          <w:rFonts w:ascii="Arial" w:hAnsi="Arial" w:cs="Arial"/>
          <w:b/>
          <w:sz w:val="26"/>
          <w:szCs w:val="26"/>
        </w:rPr>
        <w:t>9</w:t>
      </w:r>
      <w:r w:rsidR="00B525A6" w:rsidRPr="00CB6405">
        <w:rPr>
          <w:rFonts w:ascii="Arial" w:hAnsi="Arial" w:cs="Arial"/>
          <w:sz w:val="26"/>
          <w:szCs w:val="26"/>
        </w:rPr>
        <w:t>, que remite la Secretaría General de Acuerdos, con motivo del recurso de revisión interpuesto por</w:t>
      </w:r>
      <w:r w:rsidR="00665C64">
        <w:rPr>
          <w:rFonts w:ascii="Arial" w:hAnsi="Arial" w:cs="Arial"/>
          <w:sz w:val="26"/>
          <w:szCs w:val="26"/>
        </w:rPr>
        <w:t xml:space="preserve"> </w:t>
      </w:r>
      <w:r w:rsidR="00C154AF" w:rsidRPr="00C154AF">
        <w:rPr>
          <w:rFonts w:ascii="Arial" w:hAnsi="Arial" w:cs="Arial"/>
          <w:sz w:val="26"/>
          <w:szCs w:val="26"/>
        </w:rPr>
        <w:t>la persona moral denominada</w:t>
      </w:r>
      <w:r w:rsidR="00AD1817">
        <w:rPr>
          <w:rFonts w:ascii="Arial" w:hAnsi="Arial" w:cs="Arial"/>
          <w:b/>
          <w:sz w:val="26"/>
          <w:szCs w:val="26"/>
        </w:rPr>
        <w:t xml:space="preserve"> </w:t>
      </w:r>
      <w:r w:rsidR="009E19AD">
        <w:rPr>
          <w:rFonts w:ascii="Arial" w:hAnsi="Arial" w:cs="Arial"/>
          <w:color w:val="000000"/>
          <w:sz w:val="26"/>
          <w:szCs w:val="26"/>
        </w:rPr>
        <w:t>***********</w:t>
      </w:r>
      <w:r w:rsidR="00AD1817">
        <w:rPr>
          <w:rFonts w:ascii="Arial" w:hAnsi="Arial" w:cs="Arial"/>
          <w:b/>
          <w:sz w:val="26"/>
          <w:szCs w:val="26"/>
        </w:rPr>
        <w:t>,</w:t>
      </w:r>
      <w:r w:rsidR="00B525A6" w:rsidRPr="00CB6405">
        <w:rPr>
          <w:rFonts w:ascii="Arial" w:hAnsi="Arial" w:cs="Arial"/>
          <w:sz w:val="26"/>
          <w:szCs w:val="26"/>
        </w:rPr>
        <w:t xml:space="preserve"> en contra </w:t>
      </w:r>
      <w:r w:rsidR="00FB77BA">
        <w:rPr>
          <w:rFonts w:ascii="Arial" w:hAnsi="Arial" w:cs="Arial"/>
          <w:sz w:val="26"/>
          <w:szCs w:val="26"/>
        </w:rPr>
        <w:t xml:space="preserve">de la parte relativa </w:t>
      </w:r>
      <w:r w:rsidR="00B525A6" w:rsidRPr="00CB6405">
        <w:rPr>
          <w:rFonts w:ascii="Arial" w:hAnsi="Arial" w:cs="Arial"/>
          <w:sz w:val="26"/>
          <w:szCs w:val="26"/>
        </w:rPr>
        <w:t>de</w:t>
      </w:r>
      <w:r w:rsidR="00AD1817">
        <w:rPr>
          <w:rFonts w:ascii="Arial" w:hAnsi="Arial" w:cs="Arial"/>
          <w:sz w:val="26"/>
          <w:szCs w:val="26"/>
        </w:rPr>
        <w:t>l acuerdo de quince de julio</w:t>
      </w:r>
      <w:r w:rsidR="00D60731">
        <w:rPr>
          <w:rFonts w:ascii="Arial" w:hAnsi="Arial" w:cs="Arial"/>
          <w:sz w:val="26"/>
          <w:szCs w:val="26"/>
        </w:rPr>
        <w:t xml:space="preserve"> </w:t>
      </w:r>
      <w:r w:rsidR="00665C64">
        <w:rPr>
          <w:rFonts w:ascii="Arial" w:hAnsi="Arial" w:cs="Arial"/>
          <w:sz w:val="26"/>
          <w:szCs w:val="26"/>
        </w:rPr>
        <w:t>de dos mil</w:t>
      </w:r>
      <w:r w:rsidR="00D60731">
        <w:rPr>
          <w:rFonts w:ascii="Arial" w:hAnsi="Arial" w:cs="Arial"/>
          <w:sz w:val="26"/>
          <w:szCs w:val="26"/>
        </w:rPr>
        <w:t xml:space="preserve"> diecinueve</w:t>
      </w:r>
      <w:r w:rsidR="00187EB8">
        <w:rPr>
          <w:rFonts w:ascii="Arial" w:hAnsi="Arial" w:cs="Arial"/>
          <w:sz w:val="26"/>
          <w:szCs w:val="26"/>
        </w:rPr>
        <w:t>, dictado</w:t>
      </w:r>
      <w:r w:rsidR="00B525A6" w:rsidRPr="00CB6405">
        <w:rPr>
          <w:rFonts w:ascii="Arial" w:hAnsi="Arial" w:cs="Arial"/>
          <w:sz w:val="26"/>
          <w:szCs w:val="26"/>
        </w:rPr>
        <w:t xml:space="preserve"> en el expediente </w:t>
      </w:r>
      <w:r w:rsidR="00AD1817">
        <w:rPr>
          <w:rFonts w:ascii="Arial" w:hAnsi="Arial" w:cs="Arial"/>
          <w:b/>
          <w:sz w:val="26"/>
          <w:szCs w:val="26"/>
        </w:rPr>
        <w:t>72/2019</w:t>
      </w:r>
      <w:r w:rsidR="00B525A6" w:rsidRPr="00CB6405">
        <w:rPr>
          <w:rFonts w:ascii="Arial" w:hAnsi="Arial" w:cs="Arial"/>
          <w:sz w:val="26"/>
          <w:szCs w:val="26"/>
        </w:rPr>
        <w:t xml:space="preserve"> de la </w:t>
      </w:r>
      <w:r w:rsidR="00AD1817">
        <w:rPr>
          <w:rFonts w:ascii="Arial" w:hAnsi="Arial" w:cs="Arial"/>
          <w:sz w:val="26"/>
          <w:szCs w:val="26"/>
        </w:rPr>
        <w:t>Cuarta</w:t>
      </w:r>
      <w:r w:rsidR="00D60731">
        <w:rPr>
          <w:rFonts w:ascii="Arial" w:hAnsi="Arial" w:cs="Arial"/>
          <w:sz w:val="26"/>
          <w:szCs w:val="26"/>
        </w:rPr>
        <w:t xml:space="preserve"> </w:t>
      </w:r>
      <w:r w:rsidR="00B525A6" w:rsidRPr="00CB6405">
        <w:rPr>
          <w:rFonts w:ascii="Arial" w:hAnsi="Arial" w:cs="Arial"/>
          <w:sz w:val="26"/>
          <w:szCs w:val="26"/>
        </w:rPr>
        <w:t xml:space="preserve">Sala Unitaria de Primera Instancia, relativo al </w:t>
      </w:r>
      <w:r w:rsidR="00B525A6">
        <w:rPr>
          <w:rFonts w:ascii="Arial" w:hAnsi="Arial" w:cs="Arial"/>
          <w:sz w:val="26"/>
          <w:szCs w:val="26"/>
        </w:rPr>
        <w:t>juicio de nulidad promovido por</w:t>
      </w:r>
      <w:r w:rsidR="00AD1817">
        <w:rPr>
          <w:rFonts w:ascii="Arial" w:hAnsi="Arial" w:cs="Arial"/>
          <w:sz w:val="26"/>
          <w:szCs w:val="26"/>
        </w:rPr>
        <w:t xml:space="preserve"> </w:t>
      </w:r>
      <w:r w:rsidR="00AD1817" w:rsidRPr="00AD1817">
        <w:rPr>
          <w:rFonts w:ascii="Arial" w:hAnsi="Arial" w:cs="Arial"/>
          <w:b/>
          <w:sz w:val="26"/>
          <w:szCs w:val="26"/>
        </w:rPr>
        <w:t>EL</w:t>
      </w:r>
      <w:r w:rsidR="00187EB8">
        <w:rPr>
          <w:rFonts w:ascii="Arial" w:hAnsi="Arial" w:cs="Arial"/>
          <w:b/>
          <w:sz w:val="26"/>
          <w:szCs w:val="26"/>
        </w:rPr>
        <w:t xml:space="preserve"> RECURRENTE</w:t>
      </w:r>
      <w:r w:rsidR="00B525A6" w:rsidRPr="00CB6405">
        <w:rPr>
          <w:rFonts w:ascii="Arial" w:hAnsi="Arial" w:cs="Arial"/>
          <w:b/>
          <w:sz w:val="26"/>
          <w:szCs w:val="26"/>
        </w:rPr>
        <w:t xml:space="preserve">, </w:t>
      </w:r>
      <w:r w:rsidR="00B525A6" w:rsidRPr="00CB6405">
        <w:rPr>
          <w:rFonts w:ascii="Arial" w:hAnsi="Arial" w:cs="Arial"/>
          <w:sz w:val="26"/>
          <w:szCs w:val="26"/>
        </w:rPr>
        <w:t xml:space="preserve">en contra </w:t>
      </w:r>
      <w:r w:rsidR="00AD1817" w:rsidRPr="00FB77BA">
        <w:rPr>
          <w:rFonts w:ascii="Arial" w:hAnsi="Arial" w:cs="Arial"/>
          <w:sz w:val="26"/>
          <w:szCs w:val="26"/>
        </w:rPr>
        <w:t>del</w:t>
      </w:r>
      <w:r w:rsidR="00AD1817">
        <w:rPr>
          <w:rFonts w:ascii="Arial" w:hAnsi="Arial" w:cs="Arial"/>
          <w:b/>
          <w:sz w:val="26"/>
          <w:szCs w:val="26"/>
        </w:rPr>
        <w:t xml:space="preserve"> FISCAL GENERAL, OFICIAL MAYOR DE LA FISCALÍA GENERAL</w:t>
      </w:r>
      <w:r w:rsidR="00FB77BA">
        <w:rPr>
          <w:rFonts w:ascii="Arial" w:hAnsi="Arial" w:cs="Arial"/>
          <w:b/>
          <w:sz w:val="26"/>
          <w:szCs w:val="26"/>
        </w:rPr>
        <w:t>, DIRECTOR DE ASUNTOS JURÍDICOS DE LA FISCALÍA GENERAL Y DEL AGENTE DEL MINISTERIO PÚBLICO DE LA MESA 4, ADSCRITO A LA VISITADURÍA GENERAL DE LA FISCALÍA GENERAL, TODAS LAS AUTORIDADES DEL ESTADO DE OAXACA</w:t>
      </w:r>
      <w:r w:rsidR="00B525A6" w:rsidRPr="006B3BEA">
        <w:rPr>
          <w:rFonts w:ascii="Arial" w:hAnsi="Arial" w:cs="Arial"/>
          <w:sz w:val="26"/>
          <w:szCs w:val="26"/>
        </w:rPr>
        <w:t>;</w:t>
      </w:r>
      <w:r w:rsidR="00B525A6" w:rsidRPr="00CB6405">
        <w:rPr>
          <w:rFonts w:ascii="Arial" w:hAnsi="Arial" w:cs="Arial"/>
          <w:b/>
          <w:sz w:val="26"/>
          <w:szCs w:val="26"/>
        </w:rPr>
        <w:t xml:space="preserve"> </w:t>
      </w:r>
      <w:r w:rsidR="004446D8" w:rsidRPr="00CB6405">
        <w:rPr>
          <w:rFonts w:ascii="Arial" w:hAnsi="Arial" w:cs="Arial"/>
          <w:sz w:val="26"/>
          <w:szCs w:val="26"/>
        </w:rPr>
        <w:t>por lo que co</w:t>
      </w:r>
      <w:r w:rsidR="004446D8">
        <w:rPr>
          <w:rFonts w:ascii="Arial" w:hAnsi="Arial" w:cs="Arial"/>
          <w:sz w:val="26"/>
          <w:szCs w:val="26"/>
        </w:rPr>
        <w:t>n fundamento en los artículos 236 y 23</w:t>
      </w:r>
      <w:r w:rsidR="004446D8" w:rsidRPr="00CB6405">
        <w:rPr>
          <w:rFonts w:ascii="Arial" w:hAnsi="Arial" w:cs="Arial"/>
          <w:sz w:val="26"/>
          <w:szCs w:val="26"/>
        </w:rPr>
        <w:t xml:space="preserve">8 de la Ley de </w:t>
      </w:r>
      <w:r w:rsidR="004446D8">
        <w:rPr>
          <w:rFonts w:ascii="Arial" w:hAnsi="Arial" w:cs="Arial"/>
          <w:sz w:val="26"/>
          <w:szCs w:val="26"/>
        </w:rPr>
        <w:t xml:space="preserve">Procedimiento y Justicia Administrativa para el </w:t>
      </w:r>
      <w:r w:rsidR="004446D8" w:rsidRPr="00CB6405">
        <w:rPr>
          <w:rFonts w:ascii="Arial" w:hAnsi="Arial" w:cs="Arial"/>
          <w:sz w:val="26"/>
          <w:szCs w:val="26"/>
        </w:rPr>
        <w:t>Estado de Oaxaca</w:t>
      </w:r>
      <w:r w:rsidR="004446D8">
        <w:rPr>
          <w:rFonts w:ascii="Arial" w:hAnsi="Arial" w:cs="Arial"/>
          <w:sz w:val="26"/>
          <w:szCs w:val="26"/>
        </w:rPr>
        <w:t xml:space="preserve">, </w:t>
      </w:r>
      <w:r w:rsidR="004446D8" w:rsidRPr="00CB6405">
        <w:rPr>
          <w:rFonts w:ascii="Arial" w:hAnsi="Arial" w:cs="Arial"/>
          <w:sz w:val="26"/>
          <w:szCs w:val="26"/>
        </w:rPr>
        <w:t>se admite. En consecuencia, se procede a dictar resolución en los siguientes términos:</w:t>
      </w:r>
    </w:p>
    <w:p w14:paraId="68A854E5" w14:textId="77777777" w:rsidR="00B525A6" w:rsidRPr="00CB6405" w:rsidRDefault="00B525A6" w:rsidP="006B7AEC">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1CCDB374" w14:textId="6A703243" w:rsidR="00B525A6" w:rsidRPr="00CB6405" w:rsidRDefault="00B525A6" w:rsidP="00B525A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FB77BA">
        <w:rPr>
          <w:rFonts w:ascii="Arial" w:hAnsi="Arial" w:cs="Arial"/>
          <w:sz w:val="26"/>
          <w:szCs w:val="26"/>
        </w:rPr>
        <w:t>la parte relativa del acuerdo de quince de julio</w:t>
      </w:r>
      <w:r w:rsidR="00D60731">
        <w:rPr>
          <w:rFonts w:ascii="Arial" w:hAnsi="Arial" w:cs="Arial"/>
          <w:sz w:val="26"/>
          <w:szCs w:val="26"/>
        </w:rPr>
        <w:t xml:space="preserve"> de dos mil diecinueve</w:t>
      </w:r>
      <w:r w:rsidRPr="00CB6405">
        <w:rPr>
          <w:rFonts w:ascii="Arial" w:hAnsi="Arial" w:cs="Arial"/>
          <w:sz w:val="26"/>
          <w:szCs w:val="26"/>
        </w:rPr>
        <w:t>, dictad</w:t>
      </w:r>
      <w:r w:rsidR="00FB77BA">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FB77BA">
        <w:rPr>
          <w:rFonts w:ascii="Arial" w:hAnsi="Arial" w:cs="Arial"/>
          <w:sz w:val="26"/>
          <w:szCs w:val="26"/>
        </w:rPr>
        <w:t>Cuarta</w:t>
      </w:r>
      <w:r w:rsidR="00D60731">
        <w:rPr>
          <w:rFonts w:ascii="Arial" w:hAnsi="Arial" w:cs="Arial"/>
          <w:sz w:val="26"/>
          <w:szCs w:val="26"/>
        </w:rPr>
        <w:t xml:space="preserve"> </w:t>
      </w:r>
      <w:r w:rsidRPr="00CB6405">
        <w:rPr>
          <w:rFonts w:ascii="Arial" w:hAnsi="Arial" w:cs="Arial"/>
          <w:sz w:val="26"/>
          <w:szCs w:val="26"/>
        </w:rPr>
        <w:t>Sala</w:t>
      </w:r>
      <w:r w:rsidR="007D070C">
        <w:rPr>
          <w:rFonts w:ascii="Arial" w:hAnsi="Arial" w:cs="Arial"/>
          <w:sz w:val="26"/>
          <w:szCs w:val="26"/>
        </w:rPr>
        <w:t xml:space="preserve"> Unitaria de Primera Instancia,</w:t>
      </w:r>
      <w:r w:rsidR="00FB77BA">
        <w:rPr>
          <w:rFonts w:ascii="Arial" w:hAnsi="Arial" w:cs="Arial"/>
          <w:sz w:val="26"/>
          <w:szCs w:val="26"/>
        </w:rPr>
        <w:t xml:space="preserve"> </w:t>
      </w:r>
      <w:r w:rsidR="009E19AD">
        <w:rPr>
          <w:rFonts w:ascii="Arial" w:hAnsi="Arial" w:cs="Arial"/>
          <w:color w:val="000000"/>
          <w:sz w:val="26"/>
          <w:szCs w:val="26"/>
        </w:rPr>
        <w:t>***********</w:t>
      </w:r>
      <w:r w:rsidR="00FB77BA">
        <w:rPr>
          <w:rFonts w:ascii="Arial" w:hAnsi="Arial" w:cs="Arial"/>
          <w:sz w:val="26"/>
          <w:szCs w:val="26"/>
        </w:rPr>
        <w:t>,</w:t>
      </w:r>
      <w:r w:rsidRPr="00CB6405">
        <w:rPr>
          <w:rFonts w:ascii="Arial" w:hAnsi="Arial" w:cs="Arial"/>
          <w:sz w:val="26"/>
          <w:szCs w:val="26"/>
        </w:rPr>
        <w:t xml:space="preserve"> interpuso en su contra recurso de revisión.</w:t>
      </w:r>
    </w:p>
    <w:p w14:paraId="1A6A2FF3" w14:textId="3065DE7D" w:rsidR="00B525A6" w:rsidRDefault="00B525A6" w:rsidP="00B525A6">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FB77BA">
        <w:rPr>
          <w:rFonts w:ascii="Arial" w:hAnsi="Arial" w:cs="Arial"/>
          <w:bCs/>
          <w:sz w:val="26"/>
          <w:szCs w:val="26"/>
        </w:rPr>
        <w:t>La parte relativa del acuerdo recurrido</w:t>
      </w:r>
      <w:r w:rsidR="00C154AF">
        <w:rPr>
          <w:rFonts w:ascii="Arial" w:hAnsi="Arial" w:cs="Arial"/>
          <w:bCs/>
          <w:sz w:val="26"/>
          <w:szCs w:val="26"/>
        </w:rPr>
        <w:t>,</w:t>
      </w:r>
      <w:r w:rsidR="00820FA7">
        <w:rPr>
          <w:rFonts w:ascii="Arial" w:hAnsi="Arial" w:cs="Arial"/>
          <w:bCs/>
          <w:sz w:val="26"/>
          <w:szCs w:val="26"/>
        </w:rPr>
        <w:t xml:space="preserve"> es del tenor literal siguiente</w:t>
      </w:r>
      <w:r>
        <w:rPr>
          <w:rFonts w:ascii="Arial" w:hAnsi="Arial" w:cs="Arial"/>
          <w:bCs/>
          <w:sz w:val="26"/>
          <w:szCs w:val="26"/>
        </w:rPr>
        <w:t>:</w:t>
      </w:r>
    </w:p>
    <w:p w14:paraId="76BE49B4" w14:textId="59B1651D" w:rsidR="00B525A6" w:rsidRPr="009335A7" w:rsidRDefault="00B525A6" w:rsidP="00FB77BA">
      <w:pPr>
        <w:widowControl w:val="0"/>
        <w:tabs>
          <w:tab w:val="left" w:pos="7938"/>
        </w:tabs>
        <w:spacing w:before="240" w:after="0"/>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0007168A">
        <w:rPr>
          <w:rFonts w:ascii="Arial" w:eastAsia="Times New Roman" w:hAnsi="Arial" w:cs="Arial"/>
          <w:bCs/>
          <w:i/>
          <w:iCs/>
          <w:sz w:val="24"/>
          <w:szCs w:val="24"/>
          <w:lang w:eastAsia="es-ES"/>
        </w:rPr>
        <w:t>(…)</w:t>
      </w:r>
      <w:r w:rsidR="00FB77BA" w:rsidRPr="009335A7">
        <w:rPr>
          <w:rFonts w:ascii="Arial" w:eastAsia="Times New Roman" w:hAnsi="Arial" w:cs="Arial"/>
          <w:bCs/>
          <w:i/>
          <w:iCs/>
          <w:sz w:val="24"/>
          <w:szCs w:val="24"/>
          <w:lang w:eastAsia="es-ES"/>
        </w:rPr>
        <w:t>Ahora bien, en lo que refiere a la autoridad</w:t>
      </w:r>
      <w:r w:rsidR="00FB77BA">
        <w:rPr>
          <w:rFonts w:ascii="Arial" w:eastAsia="Times New Roman" w:hAnsi="Arial" w:cs="Arial"/>
          <w:b/>
          <w:bCs/>
          <w:i/>
          <w:iCs/>
          <w:sz w:val="24"/>
          <w:szCs w:val="24"/>
          <w:lang w:eastAsia="es-ES"/>
        </w:rPr>
        <w:t xml:space="preserve"> </w:t>
      </w:r>
      <w:r w:rsidR="0007168A">
        <w:rPr>
          <w:rFonts w:ascii="Arial" w:eastAsia="Times New Roman" w:hAnsi="Arial" w:cs="Arial"/>
          <w:b/>
          <w:bCs/>
          <w:i/>
          <w:iCs/>
          <w:sz w:val="24"/>
          <w:szCs w:val="24"/>
          <w:lang w:eastAsia="es-ES"/>
        </w:rPr>
        <w:t>Fiscal</w:t>
      </w:r>
      <w:r w:rsidR="00FB77BA">
        <w:rPr>
          <w:rFonts w:ascii="Arial" w:eastAsia="Times New Roman" w:hAnsi="Arial" w:cs="Arial"/>
          <w:b/>
          <w:bCs/>
          <w:i/>
          <w:iCs/>
          <w:sz w:val="24"/>
          <w:szCs w:val="24"/>
          <w:lang w:eastAsia="es-ES"/>
        </w:rPr>
        <w:t xml:space="preserve"> </w:t>
      </w:r>
      <w:r w:rsidR="0007168A">
        <w:rPr>
          <w:rFonts w:ascii="Arial" w:eastAsia="Times New Roman" w:hAnsi="Arial" w:cs="Arial"/>
          <w:b/>
          <w:bCs/>
          <w:i/>
          <w:iCs/>
          <w:sz w:val="24"/>
          <w:szCs w:val="24"/>
          <w:lang w:eastAsia="es-ES"/>
        </w:rPr>
        <w:t>General</w:t>
      </w:r>
      <w:r w:rsidR="00FB77BA">
        <w:rPr>
          <w:rFonts w:ascii="Arial" w:eastAsia="Times New Roman" w:hAnsi="Arial" w:cs="Arial"/>
          <w:b/>
          <w:bCs/>
          <w:i/>
          <w:iCs/>
          <w:sz w:val="24"/>
          <w:szCs w:val="24"/>
          <w:lang w:eastAsia="es-ES"/>
        </w:rPr>
        <w:t xml:space="preserve"> del Estado</w:t>
      </w:r>
      <w:r w:rsidR="00FB77BA" w:rsidRPr="009335A7">
        <w:rPr>
          <w:rFonts w:ascii="Arial" w:eastAsia="Times New Roman" w:hAnsi="Arial" w:cs="Arial"/>
          <w:bCs/>
          <w:i/>
          <w:iCs/>
          <w:sz w:val="24"/>
          <w:szCs w:val="24"/>
          <w:lang w:eastAsia="es-ES"/>
        </w:rPr>
        <w:t>, dígasele al promovente, que</w:t>
      </w:r>
      <w:r w:rsidR="00FB77BA">
        <w:rPr>
          <w:rFonts w:ascii="Arial" w:eastAsia="Times New Roman" w:hAnsi="Arial" w:cs="Arial"/>
          <w:b/>
          <w:bCs/>
          <w:i/>
          <w:iCs/>
          <w:sz w:val="24"/>
          <w:szCs w:val="24"/>
          <w:lang w:eastAsia="es-ES"/>
        </w:rPr>
        <w:t xml:space="preserve"> no ha lugar </w:t>
      </w:r>
      <w:r w:rsidR="00FB77BA" w:rsidRPr="009335A7">
        <w:rPr>
          <w:rFonts w:ascii="Arial" w:eastAsia="Times New Roman" w:hAnsi="Arial" w:cs="Arial"/>
          <w:bCs/>
          <w:i/>
          <w:iCs/>
          <w:sz w:val="24"/>
          <w:szCs w:val="24"/>
          <w:lang w:eastAsia="es-ES"/>
        </w:rPr>
        <w:t xml:space="preserve">a tenerle </w:t>
      </w:r>
      <w:r w:rsidR="0007168A" w:rsidRPr="009335A7">
        <w:rPr>
          <w:rFonts w:ascii="Arial" w:eastAsia="Times New Roman" w:hAnsi="Arial" w:cs="Arial"/>
          <w:bCs/>
          <w:i/>
          <w:iCs/>
          <w:sz w:val="24"/>
          <w:szCs w:val="24"/>
          <w:lang w:eastAsia="es-ES"/>
        </w:rPr>
        <w:t>demandando</w:t>
      </w:r>
      <w:r w:rsidR="00FB77BA" w:rsidRPr="009335A7">
        <w:rPr>
          <w:rFonts w:ascii="Arial" w:eastAsia="Times New Roman" w:hAnsi="Arial" w:cs="Arial"/>
          <w:bCs/>
          <w:i/>
          <w:iCs/>
          <w:sz w:val="24"/>
          <w:szCs w:val="24"/>
          <w:lang w:eastAsia="es-ES"/>
        </w:rPr>
        <w:t xml:space="preserve"> a la citada autoridad, lo anterior en virtud de que, de los actos </w:t>
      </w:r>
      <w:r w:rsidR="0007168A" w:rsidRPr="009335A7">
        <w:rPr>
          <w:rFonts w:ascii="Arial" w:eastAsia="Times New Roman" w:hAnsi="Arial" w:cs="Arial"/>
          <w:bCs/>
          <w:i/>
          <w:iCs/>
          <w:sz w:val="24"/>
          <w:szCs w:val="24"/>
          <w:lang w:eastAsia="es-ES"/>
        </w:rPr>
        <w:t>impugnados</w:t>
      </w:r>
      <w:r w:rsidR="00FB77BA">
        <w:rPr>
          <w:rFonts w:ascii="Arial" w:eastAsia="Times New Roman" w:hAnsi="Arial" w:cs="Arial"/>
          <w:b/>
          <w:bCs/>
          <w:i/>
          <w:iCs/>
          <w:sz w:val="24"/>
          <w:szCs w:val="24"/>
          <w:lang w:eastAsia="es-ES"/>
        </w:rPr>
        <w:t xml:space="preserve"> a) </w:t>
      </w:r>
      <w:r w:rsidR="00FB77BA" w:rsidRPr="009335A7">
        <w:rPr>
          <w:rFonts w:ascii="Arial" w:eastAsia="Times New Roman" w:hAnsi="Arial" w:cs="Arial"/>
          <w:bCs/>
          <w:i/>
          <w:iCs/>
          <w:sz w:val="24"/>
          <w:szCs w:val="24"/>
          <w:lang w:eastAsia="es-ES"/>
        </w:rPr>
        <w:t xml:space="preserve">oficio </w:t>
      </w:r>
      <w:r w:rsidR="0007168A" w:rsidRPr="009335A7">
        <w:rPr>
          <w:rFonts w:ascii="Arial" w:eastAsia="Times New Roman" w:hAnsi="Arial" w:cs="Arial"/>
          <w:bCs/>
          <w:i/>
          <w:iCs/>
          <w:sz w:val="24"/>
          <w:szCs w:val="24"/>
          <w:lang w:eastAsia="es-ES"/>
        </w:rPr>
        <w:t>número</w:t>
      </w:r>
      <w:r w:rsidR="00FB77BA">
        <w:rPr>
          <w:rFonts w:ascii="Arial" w:eastAsia="Times New Roman" w:hAnsi="Arial" w:cs="Arial"/>
          <w:b/>
          <w:bCs/>
          <w:i/>
          <w:iCs/>
          <w:sz w:val="24"/>
          <w:szCs w:val="24"/>
          <w:lang w:eastAsia="es-ES"/>
        </w:rPr>
        <w:t xml:space="preserve"> </w:t>
      </w:r>
      <w:r w:rsidR="0007168A">
        <w:rPr>
          <w:rFonts w:ascii="Arial" w:eastAsia="Times New Roman" w:hAnsi="Arial" w:cs="Arial"/>
          <w:b/>
          <w:bCs/>
          <w:i/>
          <w:iCs/>
          <w:sz w:val="24"/>
          <w:szCs w:val="24"/>
          <w:lang w:eastAsia="es-ES"/>
        </w:rPr>
        <w:t xml:space="preserve"> </w:t>
      </w:r>
      <w:r w:rsidR="009E19AD">
        <w:rPr>
          <w:rFonts w:ascii="Arial" w:hAnsi="Arial" w:cs="Arial"/>
          <w:color w:val="000000"/>
          <w:sz w:val="26"/>
          <w:szCs w:val="26"/>
        </w:rPr>
        <w:t>***********</w:t>
      </w:r>
      <w:r w:rsidR="0007168A">
        <w:rPr>
          <w:rFonts w:ascii="Arial" w:eastAsia="Times New Roman" w:hAnsi="Arial" w:cs="Arial"/>
          <w:b/>
          <w:bCs/>
          <w:i/>
          <w:iCs/>
          <w:sz w:val="24"/>
          <w:szCs w:val="24"/>
          <w:lang w:eastAsia="es-ES"/>
        </w:rPr>
        <w:t xml:space="preserve">, </w:t>
      </w:r>
      <w:r w:rsidR="0007168A" w:rsidRPr="009335A7">
        <w:rPr>
          <w:rFonts w:ascii="Arial" w:eastAsia="Times New Roman" w:hAnsi="Arial" w:cs="Arial"/>
          <w:bCs/>
          <w:i/>
          <w:iCs/>
          <w:sz w:val="24"/>
          <w:szCs w:val="24"/>
          <w:lang w:eastAsia="es-ES"/>
        </w:rPr>
        <w:t>de dieciocho de junio del presente año,</w:t>
      </w:r>
      <w:r w:rsidR="0007168A">
        <w:rPr>
          <w:rFonts w:ascii="Arial" w:eastAsia="Times New Roman" w:hAnsi="Arial" w:cs="Arial"/>
          <w:b/>
          <w:bCs/>
          <w:i/>
          <w:iCs/>
          <w:sz w:val="24"/>
          <w:szCs w:val="24"/>
          <w:lang w:eastAsia="es-ES"/>
        </w:rPr>
        <w:t xml:space="preserve"> b) </w:t>
      </w:r>
      <w:r w:rsidR="0007168A" w:rsidRPr="009335A7">
        <w:rPr>
          <w:rFonts w:ascii="Arial" w:eastAsia="Times New Roman" w:hAnsi="Arial" w:cs="Arial"/>
          <w:bCs/>
          <w:i/>
          <w:iCs/>
          <w:sz w:val="24"/>
          <w:szCs w:val="24"/>
          <w:lang w:eastAsia="es-ES"/>
        </w:rPr>
        <w:t>dictamen contenido  en el oficio</w:t>
      </w:r>
      <w:r w:rsidR="0007168A">
        <w:rPr>
          <w:rFonts w:ascii="Arial" w:eastAsia="Times New Roman" w:hAnsi="Arial" w:cs="Arial"/>
          <w:b/>
          <w:bCs/>
          <w:i/>
          <w:iCs/>
          <w:sz w:val="24"/>
          <w:szCs w:val="24"/>
          <w:lang w:eastAsia="es-ES"/>
        </w:rPr>
        <w:t xml:space="preserve"> </w:t>
      </w:r>
      <w:r w:rsidR="009E19AD">
        <w:rPr>
          <w:rFonts w:ascii="Arial" w:hAnsi="Arial" w:cs="Arial"/>
          <w:color w:val="000000"/>
          <w:sz w:val="26"/>
          <w:szCs w:val="26"/>
        </w:rPr>
        <w:t>***********</w:t>
      </w:r>
      <w:r w:rsidR="0007168A">
        <w:rPr>
          <w:rFonts w:ascii="Arial" w:eastAsia="Times New Roman" w:hAnsi="Arial" w:cs="Arial"/>
          <w:b/>
          <w:bCs/>
          <w:i/>
          <w:iCs/>
          <w:sz w:val="24"/>
          <w:szCs w:val="24"/>
          <w:lang w:eastAsia="es-ES"/>
        </w:rPr>
        <w:t xml:space="preserve">, </w:t>
      </w:r>
      <w:r w:rsidR="0007168A" w:rsidRPr="009335A7">
        <w:rPr>
          <w:rFonts w:ascii="Arial" w:eastAsia="Times New Roman" w:hAnsi="Arial" w:cs="Arial"/>
          <w:bCs/>
          <w:i/>
          <w:iCs/>
          <w:sz w:val="24"/>
          <w:szCs w:val="24"/>
          <w:lang w:eastAsia="es-ES"/>
        </w:rPr>
        <w:t>de trece de junio de la anualidad que transcurre, y</w:t>
      </w:r>
      <w:r w:rsidR="0007168A">
        <w:rPr>
          <w:rFonts w:ascii="Arial" w:eastAsia="Times New Roman" w:hAnsi="Arial" w:cs="Arial"/>
          <w:b/>
          <w:bCs/>
          <w:i/>
          <w:iCs/>
          <w:sz w:val="24"/>
          <w:szCs w:val="24"/>
          <w:lang w:eastAsia="es-ES"/>
        </w:rPr>
        <w:t xml:space="preserve"> c) </w:t>
      </w:r>
      <w:r w:rsidR="0007168A" w:rsidRPr="009335A7">
        <w:rPr>
          <w:rFonts w:ascii="Arial" w:eastAsia="Times New Roman" w:hAnsi="Arial" w:cs="Arial"/>
          <w:bCs/>
          <w:i/>
          <w:iCs/>
          <w:sz w:val="24"/>
          <w:szCs w:val="24"/>
          <w:lang w:eastAsia="es-ES"/>
        </w:rPr>
        <w:t>procedimiento administrativo número</w:t>
      </w:r>
      <w:r w:rsidR="0007168A">
        <w:rPr>
          <w:rFonts w:ascii="Arial" w:eastAsia="Times New Roman" w:hAnsi="Arial" w:cs="Arial"/>
          <w:b/>
          <w:bCs/>
          <w:i/>
          <w:iCs/>
          <w:sz w:val="24"/>
          <w:szCs w:val="24"/>
          <w:lang w:eastAsia="es-ES"/>
        </w:rPr>
        <w:t xml:space="preserve"> </w:t>
      </w:r>
      <w:r w:rsidR="009E19AD">
        <w:rPr>
          <w:rFonts w:ascii="Arial" w:hAnsi="Arial" w:cs="Arial"/>
          <w:color w:val="000000"/>
          <w:sz w:val="26"/>
          <w:szCs w:val="26"/>
        </w:rPr>
        <w:t>***********</w:t>
      </w:r>
      <w:r w:rsidR="0007168A" w:rsidRPr="009335A7">
        <w:rPr>
          <w:rFonts w:ascii="Arial" w:eastAsia="Times New Roman" w:hAnsi="Arial" w:cs="Arial"/>
          <w:bCs/>
          <w:i/>
          <w:iCs/>
          <w:sz w:val="24"/>
          <w:szCs w:val="24"/>
          <w:lang w:eastAsia="es-ES"/>
        </w:rPr>
        <w:t xml:space="preserve">, no se advierte que el citado </w:t>
      </w:r>
      <w:r w:rsidR="0007168A" w:rsidRPr="009335A7">
        <w:rPr>
          <w:rFonts w:ascii="Arial" w:eastAsia="Times New Roman" w:hAnsi="Arial" w:cs="Arial"/>
          <w:bCs/>
          <w:i/>
          <w:iCs/>
          <w:sz w:val="24"/>
          <w:szCs w:val="24"/>
          <w:lang w:eastAsia="es-ES"/>
        </w:rPr>
        <w:lastRenderedPageBreak/>
        <w:t>Fiscal General, haya dictado, ordenado, ejecutado o tratado de ejecutar el acto impugnado, lo anterior con fundamento en el artículo 163 fracción II, inciso a) de la Ley de Procedimiento y Justicia Administrativa para el Estado de Oaxaca</w:t>
      </w:r>
      <w:r w:rsidR="000E6437">
        <w:rPr>
          <w:rFonts w:ascii="Arial" w:eastAsia="Times New Roman" w:hAnsi="Arial" w:cs="Arial"/>
          <w:bCs/>
          <w:i/>
          <w:iCs/>
          <w:sz w:val="24"/>
          <w:szCs w:val="24"/>
          <w:lang w:eastAsia="es-ES"/>
        </w:rPr>
        <w:t xml:space="preserve">. </w:t>
      </w:r>
      <w:r w:rsidR="0007168A" w:rsidRPr="009335A7">
        <w:rPr>
          <w:rFonts w:ascii="Arial" w:eastAsia="Times New Roman" w:hAnsi="Arial" w:cs="Arial"/>
          <w:bCs/>
          <w:i/>
          <w:iCs/>
          <w:sz w:val="24"/>
          <w:szCs w:val="24"/>
          <w:lang w:eastAsia="es-ES"/>
        </w:rPr>
        <w:t>(…)</w:t>
      </w:r>
      <w:r w:rsidRPr="009335A7">
        <w:rPr>
          <w:rFonts w:ascii="Arial" w:eastAsia="Times New Roman" w:hAnsi="Arial" w:cs="Arial"/>
          <w:bCs/>
          <w:i/>
          <w:iCs/>
          <w:sz w:val="24"/>
          <w:szCs w:val="24"/>
          <w:lang w:eastAsia="es-ES"/>
        </w:rPr>
        <w:t>”</w:t>
      </w:r>
    </w:p>
    <w:p w14:paraId="7D1E62B7" w14:textId="77777777" w:rsidR="00B525A6" w:rsidRPr="00CB6405" w:rsidRDefault="00B525A6" w:rsidP="00B525A6">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11BE0F14" w14:textId="7AF8FE05" w:rsidR="00822141" w:rsidRPr="00CB6405" w:rsidRDefault="00822141" w:rsidP="00822141">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w:t>
      </w:r>
      <w:r>
        <w:rPr>
          <w:rFonts w:ascii="Arial" w:hAnsi="Arial" w:cs="Arial"/>
          <w:bCs/>
          <w:iCs/>
          <w:sz w:val="26"/>
          <w:szCs w:val="26"/>
          <w:lang w:eastAsia="es-ES"/>
        </w:rPr>
        <w:t>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w:t>
      </w:r>
      <w:r w:rsidR="00685496">
        <w:rPr>
          <w:rFonts w:ascii="Arial" w:hAnsi="Arial" w:cs="Arial"/>
          <w:bCs/>
          <w:iCs/>
          <w:sz w:val="26"/>
          <w:szCs w:val="26"/>
        </w:rPr>
        <w:t>evisión in</w:t>
      </w:r>
      <w:r w:rsidR="0045398C">
        <w:rPr>
          <w:rFonts w:ascii="Arial" w:hAnsi="Arial" w:cs="Arial"/>
          <w:bCs/>
          <w:iCs/>
          <w:sz w:val="26"/>
          <w:szCs w:val="26"/>
        </w:rPr>
        <w:t>terpuesto en contra de la</w:t>
      </w:r>
      <w:r w:rsidR="009335A7">
        <w:rPr>
          <w:rFonts w:ascii="Arial" w:hAnsi="Arial" w:cs="Arial"/>
          <w:bCs/>
          <w:iCs/>
          <w:sz w:val="26"/>
          <w:szCs w:val="26"/>
        </w:rPr>
        <w:t xml:space="preserve">  parte relativa del acuerdo de quince de julio</w:t>
      </w:r>
      <w:r w:rsidR="0084256F">
        <w:rPr>
          <w:rFonts w:ascii="Arial" w:hAnsi="Arial" w:cs="Arial"/>
          <w:bCs/>
          <w:iCs/>
          <w:sz w:val="26"/>
          <w:szCs w:val="26"/>
        </w:rPr>
        <w:t xml:space="preserve"> de dos mil diecinueve</w:t>
      </w:r>
      <w:r w:rsidR="0045398C">
        <w:rPr>
          <w:rFonts w:ascii="Arial" w:hAnsi="Arial" w:cs="Arial"/>
          <w:bCs/>
          <w:iCs/>
          <w:sz w:val="26"/>
          <w:szCs w:val="26"/>
        </w:rPr>
        <w:t>, dictada</w:t>
      </w:r>
      <w:r>
        <w:rPr>
          <w:rFonts w:ascii="Arial" w:hAnsi="Arial" w:cs="Arial"/>
          <w:bCs/>
          <w:iCs/>
          <w:sz w:val="26"/>
          <w:szCs w:val="26"/>
        </w:rPr>
        <w:t xml:space="preserve"> </w:t>
      </w:r>
      <w:r w:rsidRPr="00CB6405">
        <w:rPr>
          <w:rFonts w:ascii="Arial" w:hAnsi="Arial" w:cs="Arial"/>
          <w:bCs/>
          <w:iCs/>
          <w:sz w:val="26"/>
          <w:szCs w:val="26"/>
        </w:rPr>
        <w:t xml:space="preserve">por la </w:t>
      </w:r>
      <w:r w:rsidR="009335A7">
        <w:rPr>
          <w:rFonts w:ascii="Arial" w:hAnsi="Arial" w:cs="Arial"/>
          <w:bCs/>
          <w:iCs/>
          <w:sz w:val="26"/>
          <w:szCs w:val="26"/>
        </w:rPr>
        <w:t>Cuarta</w:t>
      </w:r>
      <w:r w:rsidR="0084256F">
        <w:rPr>
          <w:rFonts w:ascii="Arial" w:hAnsi="Arial" w:cs="Arial"/>
          <w:bCs/>
          <w:iCs/>
          <w:sz w:val="26"/>
          <w:szCs w:val="26"/>
        </w:rPr>
        <w:t xml:space="preserve"> </w:t>
      </w:r>
      <w:r w:rsidRPr="00CB6405">
        <w:rPr>
          <w:rFonts w:ascii="Arial" w:hAnsi="Arial" w:cs="Arial"/>
          <w:bCs/>
          <w:iCs/>
          <w:sz w:val="26"/>
          <w:szCs w:val="26"/>
        </w:rPr>
        <w:t xml:space="preserve">Sala Unitaria de Primera Instancia de este Tribunal, en el expediente </w:t>
      </w:r>
      <w:r w:rsidR="009335A7">
        <w:rPr>
          <w:rFonts w:ascii="Arial" w:hAnsi="Arial" w:cs="Arial"/>
          <w:b/>
          <w:bCs/>
          <w:iCs/>
          <w:sz w:val="26"/>
          <w:szCs w:val="26"/>
        </w:rPr>
        <w:t>72/2019</w:t>
      </w:r>
      <w:r w:rsidRPr="00CB6405">
        <w:rPr>
          <w:rFonts w:ascii="Arial" w:hAnsi="Arial" w:cs="Arial"/>
          <w:sz w:val="26"/>
          <w:szCs w:val="26"/>
        </w:rPr>
        <w:t>.</w:t>
      </w:r>
    </w:p>
    <w:p w14:paraId="1DDA20E7" w14:textId="77777777" w:rsidR="00AA51A0" w:rsidRDefault="00822141" w:rsidP="00AA51A0">
      <w:pPr>
        <w:spacing w:line="360" w:lineRule="auto"/>
        <w:ind w:firstLine="708"/>
        <w:jc w:val="both"/>
        <w:rPr>
          <w:rFonts w:ascii="Arial" w:hAnsi="Arial" w:cs="Arial"/>
          <w:sz w:val="26"/>
          <w:szCs w:val="26"/>
        </w:rPr>
      </w:pPr>
      <w:r w:rsidRPr="00CB6405">
        <w:rPr>
          <w:rFonts w:ascii="Arial" w:hAnsi="Arial" w:cs="Arial"/>
          <w:b/>
          <w:sz w:val="26"/>
          <w:szCs w:val="26"/>
        </w:rPr>
        <w:t>SEGUNDO</w:t>
      </w:r>
      <w:r w:rsidRPr="00A351D0">
        <w:rPr>
          <w:rFonts w:ascii="Arial" w:hAnsi="Arial" w:cs="Arial"/>
          <w:b/>
          <w:sz w:val="26"/>
          <w:szCs w:val="26"/>
        </w:rPr>
        <w:t>.</w:t>
      </w:r>
      <w:r w:rsidRPr="00CB6405">
        <w:rPr>
          <w:rFonts w:ascii="Arial" w:hAnsi="Arial" w:cs="Arial"/>
          <w:sz w:val="26"/>
          <w:szCs w:val="26"/>
        </w:rPr>
        <w:t xml:space="preserve"> </w:t>
      </w:r>
      <w:r w:rsidR="00AA51A0">
        <w:rPr>
          <w:rFonts w:ascii="Arial" w:hAnsi="Arial" w:cs="Arial"/>
          <w:bCs/>
          <w:sz w:val="26"/>
          <w:szCs w:val="26"/>
        </w:rPr>
        <w:t>Los agravios hechos valer se encuentran expuestos en el respectivo escrito del recurrente, por lo que no existe necesidad de transcribirlos, virtud a que ello no implica transgresión a derecho alguno del recurrente, como tampoco se vulnera disposición expresa que imponga tal obligación</w:t>
      </w:r>
      <w:r w:rsidR="00AA51A0">
        <w:rPr>
          <w:rFonts w:ascii="Arial" w:hAnsi="Arial" w:cs="Arial"/>
          <w:sz w:val="26"/>
          <w:szCs w:val="26"/>
        </w:rPr>
        <w:t>. En apoyo a lo anterior, se invoca el criterio Jurisprudencial</w:t>
      </w:r>
      <w:r w:rsidR="00AA51A0">
        <w:rPr>
          <w:rFonts w:ascii="Arial" w:hAnsi="Arial" w:cs="Arial"/>
          <w:bCs/>
          <w:color w:val="000000"/>
          <w:sz w:val="26"/>
          <w:szCs w:val="26"/>
          <w:lang w:val="es-MX"/>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p>
    <w:p w14:paraId="355932E7" w14:textId="69359479" w:rsidR="00822141" w:rsidRPr="00AA51A0" w:rsidRDefault="00AA51A0" w:rsidP="00AA51A0">
      <w:pPr>
        <w:spacing w:before="240"/>
        <w:ind w:left="567" w:right="474"/>
        <w:jc w:val="both"/>
        <w:rPr>
          <w:rFonts w:ascii="Arial" w:eastAsia="Calibri" w:hAnsi="Arial" w:cs="Arial"/>
          <w:b/>
          <w:bCs/>
          <w:i/>
          <w:sz w:val="24"/>
          <w:szCs w:val="24"/>
        </w:rPr>
      </w:pPr>
      <w:r>
        <w:rPr>
          <w:rFonts w:ascii="Arial" w:eastAsia="Calibri" w:hAnsi="Arial" w:cs="Arial"/>
          <w:b/>
          <w:bCs/>
          <w:i/>
          <w:sz w:val="24"/>
          <w:szCs w:val="24"/>
        </w:rPr>
        <w:t>“</w:t>
      </w:r>
      <w:r w:rsidRPr="00777D7B">
        <w:rPr>
          <w:rFonts w:ascii="Arial" w:eastAsia="Calibri" w:hAnsi="Arial" w:cs="Arial"/>
          <w:b/>
          <w:bCs/>
          <w:i/>
          <w:sz w:val="24"/>
          <w:szCs w:val="24"/>
        </w:rPr>
        <w:t>CONCEPTOS DE VIOLACIÓN O AGRAVIOS. PARA CUMPLIR CON LOS PRINCIPIOS DE CONGRUENCIA Y EXHAUSTIVIDAD EN LAS SENTENCIAS DE AMPARO ES INNECESARIA SU TRANSCRIPCIÓN.</w:t>
      </w:r>
      <w:r>
        <w:rPr>
          <w:rFonts w:ascii="Arial" w:eastAsia="Calibri" w:hAnsi="Arial" w:cs="Arial"/>
          <w:b/>
          <w:bCs/>
          <w:i/>
          <w:sz w:val="24"/>
          <w:szCs w:val="24"/>
        </w:rPr>
        <w:t xml:space="preserve"> </w:t>
      </w:r>
      <w:r w:rsidRPr="00777D7B">
        <w:rPr>
          <w:rFonts w:ascii="Arial" w:eastAsia="Calibri" w:hAnsi="Arial" w:cs="Arial"/>
          <w:bCs/>
          <w:i/>
          <w:sz w:val="24"/>
          <w:szCs w:val="24"/>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w:t>
      </w:r>
      <w:r w:rsidRPr="00777D7B">
        <w:rPr>
          <w:rFonts w:ascii="Arial" w:eastAsia="Calibri" w:hAnsi="Arial" w:cs="Arial"/>
          <w:bCs/>
          <w:i/>
          <w:sz w:val="24"/>
          <w:szCs w:val="24"/>
        </w:rPr>
        <w:lastRenderedPageBreak/>
        <w:t>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sz w:val="24"/>
          <w:szCs w:val="24"/>
        </w:rPr>
        <w:t>”</w:t>
      </w:r>
    </w:p>
    <w:p w14:paraId="304B16DE" w14:textId="4A7391FB" w:rsidR="00C50EE8" w:rsidRDefault="00B525A6" w:rsidP="00054351">
      <w:pPr>
        <w:spacing w:before="240"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009335A7">
        <w:rPr>
          <w:rFonts w:ascii="Arial" w:eastAsia="Calibri" w:hAnsi="Arial" w:cs="Arial"/>
          <w:bCs/>
          <w:sz w:val="26"/>
          <w:szCs w:val="26"/>
        </w:rPr>
        <w:t>El recurrente alega que, la parte relativa del acuerdo que impugna viola en su perjuicio lo dispuesto en los artículos 207, fracción II, de la Ley de Procedimiento y Justicia Administrativa para el Estado de Oaxaca, en relación con los diversos 14, 16 y 17 de la Constitución Política de los Estados Unidos Mexicanos; porque la</w:t>
      </w:r>
      <w:r w:rsidR="000E6437">
        <w:rPr>
          <w:rFonts w:ascii="Arial" w:eastAsia="Calibri" w:hAnsi="Arial" w:cs="Arial"/>
          <w:bCs/>
          <w:sz w:val="26"/>
          <w:szCs w:val="26"/>
        </w:rPr>
        <w:t xml:space="preserve"> Sala de Primera Instancia optó</w:t>
      </w:r>
      <w:r w:rsidR="009335A7">
        <w:rPr>
          <w:rFonts w:ascii="Arial" w:eastAsia="Calibri" w:hAnsi="Arial" w:cs="Arial"/>
          <w:bCs/>
          <w:sz w:val="26"/>
          <w:szCs w:val="26"/>
        </w:rPr>
        <w:t xml:space="preserve"> por no tener por admitida a trámite si demanda respecto al Fiscal General del Estado, al argumentar que no dictó, ordenó, ejecutó o trató de ejecutar los actos que impugna, transgrediéndose su derecho de audiencia y el debido proceso.</w:t>
      </w:r>
    </w:p>
    <w:p w14:paraId="52231B4F" w14:textId="6EDBAED7" w:rsidR="009335A7" w:rsidRDefault="009335A7" w:rsidP="00054351">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Continúa alegando que, al ser el </w:t>
      </w:r>
      <w:r w:rsidR="00DF571C">
        <w:rPr>
          <w:rFonts w:ascii="Arial" w:eastAsia="Calibri" w:hAnsi="Arial" w:cs="Arial"/>
          <w:bCs/>
          <w:sz w:val="26"/>
          <w:szCs w:val="26"/>
        </w:rPr>
        <w:t>Fiscal</w:t>
      </w:r>
      <w:r>
        <w:rPr>
          <w:rFonts w:ascii="Arial" w:eastAsia="Calibri" w:hAnsi="Arial" w:cs="Arial"/>
          <w:bCs/>
          <w:sz w:val="26"/>
          <w:szCs w:val="26"/>
        </w:rPr>
        <w:t xml:space="preserve"> </w:t>
      </w:r>
      <w:r w:rsidR="00DF571C">
        <w:rPr>
          <w:rFonts w:ascii="Arial" w:eastAsia="Calibri" w:hAnsi="Arial" w:cs="Arial"/>
          <w:bCs/>
          <w:sz w:val="26"/>
          <w:szCs w:val="26"/>
        </w:rPr>
        <w:t>General</w:t>
      </w:r>
      <w:r>
        <w:rPr>
          <w:rFonts w:ascii="Arial" w:eastAsia="Calibri" w:hAnsi="Arial" w:cs="Arial"/>
          <w:bCs/>
          <w:sz w:val="26"/>
          <w:szCs w:val="26"/>
        </w:rPr>
        <w:t xml:space="preserve"> del Estado el </w:t>
      </w:r>
      <w:r w:rsidR="00DF571C">
        <w:rPr>
          <w:rFonts w:ascii="Arial" w:eastAsia="Calibri" w:hAnsi="Arial" w:cs="Arial"/>
          <w:bCs/>
          <w:sz w:val="26"/>
          <w:szCs w:val="26"/>
        </w:rPr>
        <w:t>superior</w:t>
      </w:r>
      <w:r>
        <w:rPr>
          <w:rFonts w:ascii="Arial" w:eastAsia="Calibri" w:hAnsi="Arial" w:cs="Arial"/>
          <w:bCs/>
          <w:sz w:val="26"/>
          <w:szCs w:val="26"/>
        </w:rPr>
        <w:t xml:space="preserve"> </w:t>
      </w:r>
      <w:r w:rsidR="00DF571C">
        <w:rPr>
          <w:rFonts w:ascii="Arial" w:eastAsia="Calibri" w:hAnsi="Arial" w:cs="Arial"/>
          <w:bCs/>
          <w:sz w:val="26"/>
          <w:szCs w:val="26"/>
        </w:rPr>
        <w:t>jerárquico</w:t>
      </w:r>
      <w:r>
        <w:rPr>
          <w:rFonts w:ascii="Arial" w:eastAsia="Calibri" w:hAnsi="Arial" w:cs="Arial"/>
          <w:bCs/>
          <w:sz w:val="26"/>
          <w:szCs w:val="26"/>
        </w:rPr>
        <w:t xml:space="preserve"> de </w:t>
      </w:r>
      <w:r w:rsidR="00DF571C">
        <w:rPr>
          <w:rFonts w:ascii="Arial" w:eastAsia="Calibri" w:hAnsi="Arial" w:cs="Arial"/>
          <w:bCs/>
          <w:sz w:val="26"/>
          <w:szCs w:val="26"/>
        </w:rPr>
        <w:t>todas</w:t>
      </w:r>
      <w:r>
        <w:rPr>
          <w:rFonts w:ascii="Arial" w:eastAsia="Calibri" w:hAnsi="Arial" w:cs="Arial"/>
          <w:bCs/>
          <w:sz w:val="26"/>
          <w:szCs w:val="26"/>
        </w:rPr>
        <w:t xml:space="preserve"> las autoridades que demanda</w:t>
      </w:r>
      <w:r w:rsidR="000E6437">
        <w:rPr>
          <w:rFonts w:ascii="Arial" w:eastAsia="Calibri" w:hAnsi="Arial" w:cs="Arial"/>
          <w:bCs/>
          <w:sz w:val="26"/>
          <w:szCs w:val="26"/>
        </w:rPr>
        <w:t xml:space="preserve">, </w:t>
      </w:r>
      <w:r w:rsidR="00DF571C">
        <w:rPr>
          <w:rFonts w:ascii="Arial" w:eastAsia="Calibri" w:hAnsi="Arial" w:cs="Arial"/>
          <w:bCs/>
          <w:sz w:val="26"/>
          <w:szCs w:val="26"/>
        </w:rPr>
        <w:t xml:space="preserve">debe ponderarse que la responsabilidad y representación inmediata y directa de la </w:t>
      </w:r>
      <w:r w:rsidR="000E6437">
        <w:rPr>
          <w:rFonts w:ascii="Arial" w:eastAsia="Calibri" w:hAnsi="Arial" w:cs="Arial"/>
          <w:bCs/>
          <w:sz w:val="26"/>
          <w:szCs w:val="26"/>
        </w:rPr>
        <w:t>Fiscalía General del Estado</w:t>
      </w:r>
      <w:r w:rsidR="00DF571C">
        <w:rPr>
          <w:rFonts w:ascii="Arial" w:eastAsia="Calibri" w:hAnsi="Arial" w:cs="Arial"/>
          <w:bCs/>
          <w:sz w:val="26"/>
          <w:szCs w:val="26"/>
        </w:rPr>
        <w:t xml:space="preserve"> recae en el Fiscal, por tanto, todas y cada una de las determinaciones que emanan de esa dependencia son resultado del ejercicio de sus facultades, de conformidad en los artículos 6 y 11, fracción XII, de la Ley Orgánica de la Fiscalía General del Estado de Oaxaca. (transcribe artículos)</w:t>
      </w:r>
    </w:p>
    <w:p w14:paraId="12A20B9D" w14:textId="20018A6F" w:rsidR="00DF571C" w:rsidRDefault="00DF571C" w:rsidP="00DF571C">
      <w:pPr>
        <w:spacing w:before="240" w:line="360" w:lineRule="auto"/>
        <w:jc w:val="both"/>
        <w:rPr>
          <w:rFonts w:ascii="Arial" w:eastAsia="Calibri" w:hAnsi="Arial" w:cs="Arial"/>
          <w:bCs/>
          <w:sz w:val="26"/>
          <w:szCs w:val="26"/>
        </w:rPr>
      </w:pPr>
      <w:r>
        <w:rPr>
          <w:rFonts w:ascii="Arial" w:eastAsia="Calibri" w:hAnsi="Arial" w:cs="Arial"/>
          <w:bCs/>
          <w:sz w:val="26"/>
          <w:szCs w:val="26"/>
        </w:rPr>
        <w:t xml:space="preserve">     </w:t>
      </w:r>
      <w:r w:rsidR="00FB6E7C">
        <w:rPr>
          <w:rFonts w:ascii="Arial" w:eastAsia="Calibri" w:hAnsi="Arial" w:cs="Arial"/>
          <w:bCs/>
          <w:sz w:val="26"/>
          <w:szCs w:val="26"/>
        </w:rPr>
        <w:t>Asimismo,</w:t>
      </w:r>
      <w:r>
        <w:rPr>
          <w:rFonts w:ascii="Arial" w:eastAsia="Calibri" w:hAnsi="Arial" w:cs="Arial"/>
          <w:bCs/>
          <w:sz w:val="26"/>
          <w:szCs w:val="26"/>
        </w:rPr>
        <w:t xml:space="preserve"> señala el recurrente que, al Fiscal le corresponde designar y remover libremente a los servidores públicos considerados como personal de confianza, así como en los casos que proceda a los Agentes del Ministerio Público, policías de investigación y peritos por </w:t>
      </w:r>
      <w:r w:rsidR="00FB6E7C">
        <w:rPr>
          <w:rFonts w:ascii="Arial" w:eastAsia="Calibri" w:hAnsi="Arial" w:cs="Arial"/>
          <w:bCs/>
          <w:sz w:val="26"/>
          <w:szCs w:val="26"/>
        </w:rPr>
        <w:t>designación</w:t>
      </w:r>
      <w:r>
        <w:rPr>
          <w:rFonts w:ascii="Arial" w:eastAsia="Calibri" w:hAnsi="Arial" w:cs="Arial"/>
          <w:bCs/>
          <w:sz w:val="26"/>
          <w:szCs w:val="26"/>
        </w:rPr>
        <w:t xml:space="preserve"> especial</w:t>
      </w:r>
      <w:r w:rsidR="00DB7CBC">
        <w:rPr>
          <w:rFonts w:ascii="Arial" w:eastAsia="Calibri" w:hAnsi="Arial" w:cs="Arial"/>
          <w:bCs/>
          <w:sz w:val="26"/>
          <w:szCs w:val="26"/>
        </w:rPr>
        <w:t>, actualizándose</w:t>
      </w:r>
      <w:r w:rsidR="00FB6E7C">
        <w:rPr>
          <w:rFonts w:ascii="Arial" w:eastAsia="Calibri" w:hAnsi="Arial" w:cs="Arial"/>
          <w:bCs/>
          <w:sz w:val="26"/>
          <w:szCs w:val="26"/>
        </w:rPr>
        <w:t xml:space="preserve"> el </w:t>
      </w:r>
      <w:r w:rsidR="00DB7CBC">
        <w:rPr>
          <w:rFonts w:ascii="Arial" w:eastAsia="Calibri" w:hAnsi="Arial" w:cs="Arial"/>
          <w:bCs/>
          <w:sz w:val="26"/>
          <w:szCs w:val="26"/>
        </w:rPr>
        <w:t>supuesto</w:t>
      </w:r>
      <w:r w:rsidR="00FB6E7C">
        <w:rPr>
          <w:rFonts w:ascii="Arial" w:eastAsia="Calibri" w:hAnsi="Arial" w:cs="Arial"/>
          <w:bCs/>
          <w:sz w:val="26"/>
          <w:szCs w:val="26"/>
        </w:rPr>
        <w:t xml:space="preserve"> de que los actos que impugna constituyen actos por los cuales fue ilegalmente </w:t>
      </w:r>
      <w:r w:rsidR="00DB7CBC">
        <w:rPr>
          <w:rFonts w:ascii="Arial" w:eastAsia="Calibri" w:hAnsi="Arial" w:cs="Arial"/>
          <w:bCs/>
          <w:sz w:val="26"/>
          <w:szCs w:val="26"/>
        </w:rPr>
        <w:t>separado</w:t>
      </w:r>
      <w:r w:rsidR="00FB6E7C">
        <w:rPr>
          <w:rFonts w:ascii="Arial" w:eastAsia="Calibri" w:hAnsi="Arial" w:cs="Arial"/>
          <w:bCs/>
          <w:sz w:val="26"/>
          <w:szCs w:val="26"/>
        </w:rPr>
        <w:t xml:space="preserve"> de su cargo, por tanto, es </w:t>
      </w:r>
      <w:r w:rsidR="00DB7CBC">
        <w:rPr>
          <w:rFonts w:ascii="Arial" w:eastAsia="Calibri" w:hAnsi="Arial" w:cs="Arial"/>
          <w:bCs/>
          <w:sz w:val="26"/>
          <w:szCs w:val="26"/>
        </w:rPr>
        <w:t>indudable</w:t>
      </w:r>
      <w:r w:rsidR="00FB6E7C">
        <w:rPr>
          <w:rFonts w:ascii="Arial" w:eastAsia="Calibri" w:hAnsi="Arial" w:cs="Arial"/>
          <w:bCs/>
          <w:sz w:val="26"/>
          <w:szCs w:val="26"/>
        </w:rPr>
        <w:t xml:space="preserve"> que en </w:t>
      </w:r>
      <w:r w:rsidR="00DB7CBC">
        <w:rPr>
          <w:rFonts w:ascii="Arial" w:eastAsia="Calibri" w:hAnsi="Arial" w:cs="Arial"/>
          <w:bCs/>
          <w:sz w:val="26"/>
          <w:szCs w:val="26"/>
        </w:rPr>
        <w:t>términos</w:t>
      </w:r>
      <w:r w:rsidR="00FB6E7C">
        <w:rPr>
          <w:rFonts w:ascii="Arial" w:eastAsia="Calibri" w:hAnsi="Arial" w:cs="Arial"/>
          <w:bCs/>
          <w:sz w:val="26"/>
          <w:szCs w:val="26"/>
        </w:rPr>
        <w:t xml:space="preserve"> del</w:t>
      </w:r>
      <w:r w:rsidR="00DB7CBC">
        <w:rPr>
          <w:rFonts w:ascii="Arial" w:eastAsia="Calibri" w:hAnsi="Arial" w:cs="Arial"/>
          <w:bCs/>
          <w:sz w:val="26"/>
          <w:szCs w:val="26"/>
        </w:rPr>
        <w:t xml:space="preserve"> artículo</w:t>
      </w:r>
      <w:r w:rsidR="00FB6E7C">
        <w:rPr>
          <w:rFonts w:ascii="Arial" w:eastAsia="Calibri" w:hAnsi="Arial" w:cs="Arial"/>
          <w:bCs/>
          <w:sz w:val="26"/>
          <w:szCs w:val="26"/>
        </w:rPr>
        <w:t xml:space="preserve"> 11, </w:t>
      </w:r>
      <w:r w:rsidR="00DB7CBC">
        <w:rPr>
          <w:rFonts w:ascii="Arial" w:eastAsia="Calibri" w:hAnsi="Arial" w:cs="Arial"/>
          <w:bCs/>
          <w:sz w:val="26"/>
          <w:szCs w:val="26"/>
        </w:rPr>
        <w:t>fracción</w:t>
      </w:r>
      <w:r w:rsidR="00FB6E7C">
        <w:rPr>
          <w:rFonts w:ascii="Arial" w:eastAsia="Calibri" w:hAnsi="Arial" w:cs="Arial"/>
          <w:bCs/>
          <w:sz w:val="26"/>
          <w:szCs w:val="26"/>
        </w:rPr>
        <w:t xml:space="preserve"> XII, de la Ley </w:t>
      </w:r>
      <w:r w:rsidR="00DB7CBC">
        <w:rPr>
          <w:rFonts w:ascii="Arial" w:eastAsia="Calibri" w:hAnsi="Arial" w:cs="Arial"/>
          <w:bCs/>
          <w:sz w:val="26"/>
          <w:szCs w:val="26"/>
        </w:rPr>
        <w:t>Orgánica</w:t>
      </w:r>
      <w:r w:rsidR="00FB6E7C">
        <w:rPr>
          <w:rFonts w:ascii="Arial" w:eastAsia="Calibri" w:hAnsi="Arial" w:cs="Arial"/>
          <w:bCs/>
          <w:sz w:val="26"/>
          <w:szCs w:val="26"/>
        </w:rPr>
        <w:t xml:space="preserve"> de la Fiscalía </w:t>
      </w:r>
      <w:r w:rsidR="00DB7CBC">
        <w:rPr>
          <w:rFonts w:ascii="Arial" w:eastAsia="Calibri" w:hAnsi="Arial" w:cs="Arial"/>
          <w:bCs/>
          <w:sz w:val="26"/>
          <w:szCs w:val="26"/>
        </w:rPr>
        <w:t>General del Estado</w:t>
      </w:r>
      <w:r w:rsidR="00FB6E7C">
        <w:rPr>
          <w:rFonts w:ascii="Arial" w:eastAsia="Calibri" w:hAnsi="Arial" w:cs="Arial"/>
          <w:bCs/>
          <w:sz w:val="26"/>
          <w:szCs w:val="26"/>
        </w:rPr>
        <w:t xml:space="preserve"> le corresponde al </w:t>
      </w:r>
      <w:r w:rsidR="00DB7CBC">
        <w:rPr>
          <w:rFonts w:ascii="Arial" w:eastAsia="Calibri" w:hAnsi="Arial" w:cs="Arial"/>
          <w:bCs/>
          <w:sz w:val="26"/>
          <w:szCs w:val="26"/>
        </w:rPr>
        <w:t>Fiscal</w:t>
      </w:r>
      <w:r w:rsidR="00FB6E7C">
        <w:rPr>
          <w:rFonts w:ascii="Arial" w:eastAsia="Calibri" w:hAnsi="Arial" w:cs="Arial"/>
          <w:bCs/>
          <w:sz w:val="26"/>
          <w:szCs w:val="26"/>
        </w:rPr>
        <w:t xml:space="preserve"> </w:t>
      </w:r>
      <w:r w:rsidR="00DB7CBC">
        <w:rPr>
          <w:rFonts w:ascii="Arial" w:eastAsia="Calibri" w:hAnsi="Arial" w:cs="Arial"/>
          <w:bCs/>
          <w:sz w:val="26"/>
          <w:szCs w:val="26"/>
        </w:rPr>
        <w:t>General</w:t>
      </w:r>
      <w:r w:rsidR="00FB6E7C">
        <w:rPr>
          <w:rFonts w:ascii="Arial" w:eastAsia="Calibri" w:hAnsi="Arial" w:cs="Arial"/>
          <w:bCs/>
          <w:sz w:val="26"/>
          <w:szCs w:val="26"/>
        </w:rPr>
        <w:t xml:space="preserve"> del Estado responder su demanda, toda vez que el fondo de su pretensión es que fue </w:t>
      </w:r>
      <w:r w:rsidR="00DB7CBC">
        <w:rPr>
          <w:rFonts w:ascii="Arial" w:eastAsia="Calibri" w:hAnsi="Arial" w:cs="Arial"/>
          <w:bCs/>
          <w:sz w:val="26"/>
          <w:szCs w:val="26"/>
        </w:rPr>
        <w:t>separado</w:t>
      </w:r>
      <w:r w:rsidR="00FB6E7C">
        <w:rPr>
          <w:rFonts w:ascii="Arial" w:eastAsia="Calibri" w:hAnsi="Arial" w:cs="Arial"/>
          <w:bCs/>
          <w:sz w:val="26"/>
          <w:szCs w:val="26"/>
        </w:rPr>
        <w:t xml:space="preserve">, removido o </w:t>
      </w:r>
      <w:r w:rsidR="00DB7CBC">
        <w:rPr>
          <w:rFonts w:ascii="Arial" w:eastAsia="Calibri" w:hAnsi="Arial" w:cs="Arial"/>
          <w:bCs/>
          <w:sz w:val="26"/>
          <w:szCs w:val="26"/>
        </w:rPr>
        <w:t>despedido</w:t>
      </w:r>
      <w:r w:rsidR="00FB6E7C">
        <w:rPr>
          <w:rFonts w:ascii="Arial" w:eastAsia="Calibri" w:hAnsi="Arial" w:cs="Arial"/>
          <w:bCs/>
          <w:sz w:val="26"/>
          <w:szCs w:val="26"/>
        </w:rPr>
        <w:t xml:space="preserve"> de su cargo.</w:t>
      </w:r>
    </w:p>
    <w:p w14:paraId="76287BFE" w14:textId="0FF63586" w:rsidR="00DB7CBC" w:rsidRDefault="004936D6" w:rsidP="00DF571C">
      <w:pPr>
        <w:spacing w:before="240" w:line="360" w:lineRule="auto"/>
        <w:jc w:val="both"/>
        <w:rPr>
          <w:rFonts w:ascii="Arial" w:eastAsia="Calibri" w:hAnsi="Arial" w:cs="Arial"/>
          <w:bCs/>
          <w:sz w:val="26"/>
          <w:szCs w:val="26"/>
        </w:rPr>
      </w:pPr>
      <w:r>
        <w:rPr>
          <w:rFonts w:ascii="Arial" w:eastAsia="Calibri" w:hAnsi="Arial" w:cs="Arial"/>
          <w:bCs/>
          <w:sz w:val="26"/>
          <w:szCs w:val="26"/>
        </w:rPr>
        <w:t xml:space="preserve">     D</w:t>
      </w:r>
      <w:r w:rsidR="00DB7CBC">
        <w:rPr>
          <w:rFonts w:ascii="Arial" w:eastAsia="Calibri" w:hAnsi="Arial" w:cs="Arial"/>
          <w:bCs/>
          <w:sz w:val="26"/>
          <w:szCs w:val="26"/>
        </w:rPr>
        <w:t>e igual forma, el recurrente argumenta que la Sala de Primera Insta</w:t>
      </w:r>
      <w:r>
        <w:rPr>
          <w:rFonts w:ascii="Arial" w:eastAsia="Calibri" w:hAnsi="Arial" w:cs="Arial"/>
          <w:bCs/>
          <w:sz w:val="26"/>
          <w:szCs w:val="26"/>
        </w:rPr>
        <w:t>ncia realiza un estudio superfluo</w:t>
      </w:r>
      <w:r w:rsidR="00DB7CBC">
        <w:rPr>
          <w:rFonts w:ascii="Arial" w:eastAsia="Calibri" w:hAnsi="Arial" w:cs="Arial"/>
          <w:bCs/>
          <w:sz w:val="26"/>
          <w:szCs w:val="26"/>
        </w:rPr>
        <w:t xml:space="preserve"> de su escrito de demanda, evidenciando su falta de estudio de los autos y su ignorancia de las </w:t>
      </w:r>
      <w:r w:rsidR="00DB7CBC">
        <w:rPr>
          <w:rFonts w:ascii="Arial" w:eastAsia="Calibri" w:hAnsi="Arial" w:cs="Arial"/>
          <w:bCs/>
          <w:sz w:val="26"/>
          <w:szCs w:val="26"/>
        </w:rPr>
        <w:lastRenderedPageBreak/>
        <w:t>leyes, al limitarse al realizar un estudio vano de su demanda y no analiza la trascendencia de sus determinaciones</w:t>
      </w:r>
      <w:r w:rsidR="004A0A23">
        <w:rPr>
          <w:rFonts w:ascii="Arial" w:eastAsia="Calibri" w:hAnsi="Arial" w:cs="Arial"/>
          <w:bCs/>
          <w:sz w:val="26"/>
          <w:szCs w:val="26"/>
        </w:rPr>
        <w:t>; por tanto, solicita se amoneste al A quo para que analice las demandas de los justiciables concienzudamente y pormenorizadamente, al ser su deber como jugador.</w:t>
      </w:r>
    </w:p>
    <w:p w14:paraId="09BD9289" w14:textId="6EDAE4B3" w:rsidR="004D018F" w:rsidRDefault="00C50EE8" w:rsidP="00054351">
      <w:pPr>
        <w:spacing w:before="240" w:line="360" w:lineRule="auto"/>
        <w:ind w:firstLine="708"/>
        <w:jc w:val="both"/>
        <w:rPr>
          <w:rFonts w:ascii="Arial" w:hAnsi="Arial" w:cs="Arial"/>
          <w:color w:val="000000"/>
          <w:sz w:val="26"/>
          <w:szCs w:val="26"/>
        </w:rPr>
      </w:pPr>
      <w:r w:rsidRPr="00B226D7">
        <w:rPr>
          <w:rFonts w:ascii="Arial" w:hAnsi="Arial" w:cs="Arial"/>
          <w:b/>
          <w:color w:val="000000"/>
          <w:sz w:val="26"/>
          <w:szCs w:val="26"/>
        </w:rPr>
        <w:t>Ahora</w:t>
      </w:r>
      <w:r>
        <w:rPr>
          <w:rFonts w:ascii="Arial" w:hAnsi="Arial" w:cs="Arial"/>
          <w:color w:val="000000"/>
          <w:sz w:val="26"/>
          <w:szCs w:val="26"/>
        </w:rPr>
        <w:t>, de las constancias de autos que fueron remitidas para la substanciación del presente recurso de revisión, con valor probatorio pleno conforme a lo dispuesto por el artículo 203, fracción I, de la Ley de Procedimiento y Justicia Administrativa para el Estado de Oaxaca, por tratarse de actuaciones contenidas en documentos público; se advierte</w:t>
      </w:r>
      <w:r w:rsidR="005F3EBB">
        <w:rPr>
          <w:rFonts w:ascii="Arial" w:hAnsi="Arial" w:cs="Arial"/>
          <w:color w:val="000000"/>
          <w:sz w:val="26"/>
          <w:szCs w:val="26"/>
        </w:rPr>
        <w:t xml:space="preserve"> que la parte relativa impugnada del acuerdo admisorio de fecha quince de julio de dos mil diecinueve, es del tenor</w:t>
      </w:r>
      <w:r w:rsidR="00054351">
        <w:rPr>
          <w:rFonts w:ascii="Arial" w:hAnsi="Arial" w:cs="Arial"/>
          <w:color w:val="000000"/>
          <w:sz w:val="26"/>
          <w:szCs w:val="26"/>
        </w:rPr>
        <w:t xml:space="preserve"> siguiente:</w:t>
      </w:r>
    </w:p>
    <w:p w14:paraId="5E849399" w14:textId="0F84AA39" w:rsidR="005F3EBB" w:rsidRPr="00054351" w:rsidRDefault="005F3EBB" w:rsidP="005F3EBB">
      <w:pPr>
        <w:spacing w:before="240" w:line="360" w:lineRule="auto"/>
        <w:ind w:left="567" w:right="333"/>
        <w:jc w:val="both"/>
        <w:rPr>
          <w:rFonts w:ascii="Arial" w:hAnsi="Arial" w:cs="Arial"/>
          <w:color w:val="000000"/>
          <w:sz w:val="26"/>
          <w:szCs w:val="26"/>
        </w:rPr>
      </w:pPr>
      <w:r>
        <w:rPr>
          <w:rFonts w:ascii="Arial" w:eastAsia="Times New Roman" w:hAnsi="Arial" w:cs="Arial"/>
          <w:bCs/>
          <w:i/>
          <w:iCs/>
          <w:sz w:val="24"/>
          <w:szCs w:val="24"/>
          <w:lang w:eastAsia="es-ES"/>
        </w:rPr>
        <w:t>“…</w:t>
      </w:r>
      <w:r w:rsidRPr="009335A7">
        <w:rPr>
          <w:rFonts w:ascii="Arial" w:eastAsia="Times New Roman" w:hAnsi="Arial" w:cs="Arial"/>
          <w:bCs/>
          <w:i/>
          <w:iCs/>
          <w:sz w:val="24"/>
          <w:szCs w:val="24"/>
          <w:lang w:eastAsia="es-ES"/>
        </w:rPr>
        <w:t>Ahora bien, en lo que refiere a la autoridad</w:t>
      </w:r>
      <w:r>
        <w:rPr>
          <w:rFonts w:ascii="Arial" w:eastAsia="Times New Roman" w:hAnsi="Arial" w:cs="Arial"/>
          <w:b/>
          <w:bCs/>
          <w:i/>
          <w:iCs/>
          <w:sz w:val="24"/>
          <w:szCs w:val="24"/>
          <w:lang w:eastAsia="es-ES"/>
        </w:rPr>
        <w:t xml:space="preserve"> Fiscal General del Estado</w:t>
      </w:r>
      <w:r w:rsidRPr="009335A7">
        <w:rPr>
          <w:rFonts w:ascii="Arial" w:eastAsia="Times New Roman" w:hAnsi="Arial" w:cs="Arial"/>
          <w:bCs/>
          <w:i/>
          <w:iCs/>
          <w:sz w:val="24"/>
          <w:szCs w:val="24"/>
          <w:lang w:eastAsia="es-ES"/>
        </w:rPr>
        <w:t>, dígasele al promovente, que</w:t>
      </w:r>
      <w:r>
        <w:rPr>
          <w:rFonts w:ascii="Arial" w:eastAsia="Times New Roman" w:hAnsi="Arial" w:cs="Arial"/>
          <w:b/>
          <w:bCs/>
          <w:i/>
          <w:iCs/>
          <w:sz w:val="24"/>
          <w:szCs w:val="24"/>
          <w:lang w:eastAsia="es-ES"/>
        </w:rPr>
        <w:t xml:space="preserve"> no ha lugar </w:t>
      </w:r>
      <w:r w:rsidRPr="009335A7">
        <w:rPr>
          <w:rFonts w:ascii="Arial" w:eastAsia="Times New Roman" w:hAnsi="Arial" w:cs="Arial"/>
          <w:bCs/>
          <w:i/>
          <w:iCs/>
          <w:sz w:val="24"/>
          <w:szCs w:val="24"/>
          <w:lang w:eastAsia="es-ES"/>
        </w:rPr>
        <w:t>a tenerle demandando a la citada autoridad, lo anterior en virtud de que, de los actos impugnados</w:t>
      </w:r>
      <w:r>
        <w:rPr>
          <w:rFonts w:ascii="Arial" w:eastAsia="Times New Roman" w:hAnsi="Arial" w:cs="Arial"/>
          <w:b/>
          <w:bCs/>
          <w:i/>
          <w:iCs/>
          <w:sz w:val="24"/>
          <w:szCs w:val="24"/>
          <w:lang w:eastAsia="es-ES"/>
        </w:rPr>
        <w:t xml:space="preserve"> a) </w:t>
      </w:r>
      <w:r w:rsidRPr="009335A7">
        <w:rPr>
          <w:rFonts w:ascii="Arial" w:eastAsia="Times New Roman" w:hAnsi="Arial" w:cs="Arial"/>
          <w:bCs/>
          <w:i/>
          <w:iCs/>
          <w:sz w:val="24"/>
          <w:szCs w:val="24"/>
          <w:lang w:eastAsia="es-ES"/>
        </w:rPr>
        <w:t>oficio número</w:t>
      </w:r>
      <w:r>
        <w:rPr>
          <w:rFonts w:ascii="Arial" w:eastAsia="Times New Roman" w:hAnsi="Arial" w:cs="Arial"/>
          <w:b/>
          <w:bCs/>
          <w:i/>
          <w:iCs/>
          <w:sz w:val="24"/>
          <w:szCs w:val="24"/>
          <w:lang w:eastAsia="es-ES"/>
        </w:rPr>
        <w:t xml:space="preserve">  </w:t>
      </w:r>
      <w:r w:rsidR="009E19AD">
        <w:rPr>
          <w:rFonts w:ascii="Arial" w:hAnsi="Arial" w:cs="Arial"/>
          <w:color w:val="000000"/>
          <w:sz w:val="26"/>
          <w:szCs w:val="26"/>
        </w:rPr>
        <w:t>***********</w:t>
      </w:r>
      <w:r>
        <w:rPr>
          <w:rFonts w:ascii="Arial" w:eastAsia="Times New Roman" w:hAnsi="Arial" w:cs="Arial"/>
          <w:b/>
          <w:bCs/>
          <w:i/>
          <w:iCs/>
          <w:sz w:val="24"/>
          <w:szCs w:val="24"/>
          <w:lang w:eastAsia="es-ES"/>
        </w:rPr>
        <w:t xml:space="preserve">, </w:t>
      </w:r>
      <w:r w:rsidRPr="009335A7">
        <w:rPr>
          <w:rFonts w:ascii="Arial" w:eastAsia="Times New Roman" w:hAnsi="Arial" w:cs="Arial"/>
          <w:bCs/>
          <w:i/>
          <w:iCs/>
          <w:sz w:val="24"/>
          <w:szCs w:val="24"/>
          <w:lang w:eastAsia="es-ES"/>
        </w:rPr>
        <w:t>de dieciocho de junio del presente año,</w:t>
      </w:r>
      <w:r>
        <w:rPr>
          <w:rFonts w:ascii="Arial" w:eastAsia="Times New Roman" w:hAnsi="Arial" w:cs="Arial"/>
          <w:b/>
          <w:bCs/>
          <w:i/>
          <w:iCs/>
          <w:sz w:val="24"/>
          <w:szCs w:val="24"/>
          <w:lang w:eastAsia="es-ES"/>
        </w:rPr>
        <w:t xml:space="preserve"> b) </w:t>
      </w:r>
      <w:r w:rsidRPr="009335A7">
        <w:rPr>
          <w:rFonts w:ascii="Arial" w:eastAsia="Times New Roman" w:hAnsi="Arial" w:cs="Arial"/>
          <w:bCs/>
          <w:i/>
          <w:iCs/>
          <w:sz w:val="24"/>
          <w:szCs w:val="24"/>
          <w:lang w:eastAsia="es-ES"/>
        </w:rPr>
        <w:t>dictamen contenido  en el oficio</w:t>
      </w:r>
      <w:r>
        <w:rPr>
          <w:rFonts w:ascii="Arial" w:eastAsia="Times New Roman" w:hAnsi="Arial" w:cs="Arial"/>
          <w:b/>
          <w:bCs/>
          <w:i/>
          <w:iCs/>
          <w:sz w:val="24"/>
          <w:szCs w:val="24"/>
          <w:lang w:eastAsia="es-ES"/>
        </w:rPr>
        <w:t xml:space="preserve"> </w:t>
      </w:r>
      <w:r w:rsidR="009E19AD">
        <w:rPr>
          <w:rFonts w:ascii="Arial" w:hAnsi="Arial" w:cs="Arial"/>
          <w:color w:val="000000"/>
          <w:sz w:val="26"/>
          <w:szCs w:val="26"/>
        </w:rPr>
        <w:t>***********</w:t>
      </w:r>
      <w:r>
        <w:rPr>
          <w:rFonts w:ascii="Arial" w:eastAsia="Times New Roman" w:hAnsi="Arial" w:cs="Arial"/>
          <w:b/>
          <w:bCs/>
          <w:i/>
          <w:iCs/>
          <w:sz w:val="24"/>
          <w:szCs w:val="24"/>
          <w:lang w:eastAsia="es-ES"/>
        </w:rPr>
        <w:t xml:space="preserve">, </w:t>
      </w:r>
      <w:r w:rsidRPr="009335A7">
        <w:rPr>
          <w:rFonts w:ascii="Arial" w:eastAsia="Times New Roman" w:hAnsi="Arial" w:cs="Arial"/>
          <w:bCs/>
          <w:i/>
          <w:iCs/>
          <w:sz w:val="24"/>
          <w:szCs w:val="24"/>
          <w:lang w:eastAsia="es-ES"/>
        </w:rPr>
        <w:t>de trece de junio de la anualidad que transcurre, y</w:t>
      </w:r>
      <w:r>
        <w:rPr>
          <w:rFonts w:ascii="Arial" w:eastAsia="Times New Roman" w:hAnsi="Arial" w:cs="Arial"/>
          <w:b/>
          <w:bCs/>
          <w:i/>
          <w:iCs/>
          <w:sz w:val="24"/>
          <w:szCs w:val="24"/>
          <w:lang w:eastAsia="es-ES"/>
        </w:rPr>
        <w:t xml:space="preserve"> c) </w:t>
      </w:r>
      <w:r w:rsidRPr="009335A7">
        <w:rPr>
          <w:rFonts w:ascii="Arial" w:eastAsia="Times New Roman" w:hAnsi="Arial" w:cs="Arial"/>
          <w:bCs/>
          <w:i/>
          <w:iCs/>
          <w:sz w:val="24"/>
          <w:szCs w:val="24"/>
          <w:lang w:eastAsia="es-ES"/>
        </w:rPr>
        <w:t>procedimiento administrativo número</w:t>
      </w:r>
      <w:r>
        <w:rPr>
          <w:rFonts w:ascii="Arial" w:eastAsia="Times New Roman" w:hAnsi="Arial" w:cs="Arial"/>
          <w:b/>
          <w:bCs/>
          <w:i/>
          <w:iCs/>
          <w:sz w:val="24"/>
          <w:szCs w:val="24"/>
          <w:lang w:eastAsia="es-ES"/>
        </w:rPr>
        <w:t xml:space="preserve"> </w:t>
      </w:r>
      <w:r w:rsidR="009E19AD">
        <w:rPr>
          <w:rFonts w:ascii="Arial" w:hAnsi="Arial" w:cs="Arial"/>
          <w:color w:val="000000"/>
          <w:sz w:val="26"/>
          <w:szCs w:val="26"/>
        </w:rPr>
        <w:t>***********</w:t>
      </w:r>
      <w:r w:rsidRPr="009335A7">
        <w:rPr>
          <w:rFonts w:ascii="Arial" w:eastAsia="Times New Roman" w:hAnsi="Arial" w:cs="Arial"/>
          <w:bCs/>
          <w:i/>
          <w:iCs/>
          <w:sz w:val="24"/>
          <w:szCs w:val="24"/>
          <w:lang w:eastAsia="es-ES"/>
        </w:rPr>
        <w:t>, no se advierte que el citado Fiscal General, haya dictado, ordenado, ejecutado o tratado de ejecutar el acto impugnado, lo anterior con fundamento en el artículo 163 fracción II, inciso a) de la Ley de Procedimiento y Justicia Administrativa para el Estado de Oaxaca</w:t>
      </w:r>
      <w:r>
        <w:rPr>
          <w:rFonts w:ascii="Arial" w:eastAsia="Times New Roman" w:hAnsi="Arial" w:cs="Arial"/>
          <w:bCs/>
          <w:i/>
          <w:iCs/>
          <w:sz w:val="24"/>
          <w:szCs w:val="24"/>
          <w:lang w:eastAsia="es-ES"/>
        </w:rPr>
        <w:t>…”</w:t>
      </w:r>
    </w:p>
    <w:p w14:paraId="70CBBF23" w14:textId="74FA5CA0" w:rsidR="00982020" w:rsidRDefault="00FE1D24" w:rsidP="00FE1D24">
      <w:pPr>
        <w:spacing w:before="240" w:line="360" w:lineRule="auto"/>
        <w:jc w:val="both"/>
        <w:rPr>
          <w:rFonts w:ascii="Arial" w:eastAsia="Calibri" w:hAnsi="Arial" w:cs="Arial"/>
          <w:b/>
          <w:bCs/>
          <w:sz w:val="26"/>
          <w:szCs w:val="26"/>
        </w:rPr>
      </w:pPr>
      <w:r w:rsidRPr="00091F56">
        <w:rPr>
          <w:rFonts w:ascii="Arial" w:eastAsia="Calibri" w:hAnsi="Arial" w:cs="Arial"/>
          <w:bCs/>
          <w:sz w:val="26"/>
          <w:szCs w:val="26"/>
        </w:rPr>
        <w:t xml:space="preserve">   </w:t>
      </w:r>
      <w:r w:rsidR="00091F56" w:rsidRPr="00091F56">
        <w:rPr>
          <w:rFonts w:ascii="Arial" w:eastAsia="Calibri" w:hAnsi="Arial" w:cs="Arial"/>
          <w:bCs/>
          <w:sz w:val="26"/>
          <w:szCs w:val="26"/>
        </w:rPr>
        <w:t xml:space="preserve">   </w:t>
      </w:r>
      <w:r w:rsidRPr="00091F56">
        <w:rPr>
          <w:rFonts w:ascii="Arial" w:eastAsia="Calibri" w:hAnsi="Arial" w:cs="Arial"/>
          <w:bCs/>
          <w:sz w:val="26"/>
          <w:szCs w:val="26"/>
        </w:rPr>
        <w:t xml:space="preserve"> </w:t>
      </w:r>
      <w:r w:rsidR="00091F56" w:rsidRPr="00091F56">
        <w:rPr>
          <w:rFonts w:ascii="Arial" w:eastAsia="Calibri" w:hAnsi="Arial" w:cs="Arial"/>
          <w:bCs/>
          <w:sz w:val="26"/>
          <w:szCs w:val="26"/>
        </w:rPr>
        <w:t xml:space="preserve">Del estudio integral </w:t>
      </w:r>
      <w:r w:rsidR="000B6446">
        <w:rPr>
          <w:rFonts w:ascii="Arial" w:eastAsia="Calibri" w:hAnsi="Arial" w:cs="Arial"/>
          <w:bCs/>
          <w:sz w:val="26"/>
          <w:szCs w:val="26"/>
        </w:rPr>
        <w:t>de los agravios expuestos por el</w:t>
      </w:r>
      <w:r w:rsidR="00091F56" w:rsidRPr="00091F56">
        <w:rPr>
          <w:rFonts w:ascii="Arial" w:eastAsia="Calibri" w:hAnsi="Arial" w:cs="Arial"/>
          <w:bCs/>
          <w:sz w:val="26"/>
          <w:szCs w:val="26"/>
        </w:rPr>
        <w:t xml:space="preserve"> recurrente </w:t>
      </w:r>
      <w:r w:rsidR="005F3EBB">
        <w:rPr>
          <w:rFonts w:ascii="Arial" w:eastAsia="Calibri" w:hAnsi="Arial" w:cs="Arial"/>
          <w:bCs/>
          <w:sz w:val="26"/>
          <w:szCs w:val="26"/>
        </w:rPr>
        <w:t>y de la parte relativa del acuerdo recurrido</w:t>
      </w:r>
      <w:r w:rsidR="00091F56">
        <w:rPr>
          <w:rFonts w:ascii="Arial" w:eastAsia="Calibri" w:hAnsi="Arial" w:cs="Arial"/>
          <w:b/>
          <w:bCs/>
          <w:sz w:val="26"/>
          <w:szCs w:val="26"/>
        </w:rPr>
        <w:t xml:space="preserve">, esta Sala Superior los califica como </w:t>
      </w:r>
      <w:r w:rsidR="005F3EBB">
        <w:rPr>
          <w:rFonts w:ascii="Arial" w:eastAsia="Calibri" w:hAnsi="Arial" w:cs="Arial"/>
          <w:b/>
          <w:bCs/>
          <w:sz w:val="26"/>
          <w:szCs w:val="26"/>
        </w:rPr>
        <w:t>in</w:t>
      </w:r>
      <w:r w:rsidR="00091F56">
        <w:rPr>
          <w:rFonts w:ascii="Arial" w:eastAsia="Calibri" w:hAnsi="Arial" w:cs="Arial"/>
          <w:b/>
          <w:bCs/>
          <w:sz w:val="26"/>
          <w:szCs w:val="26"/>
        </w:rPr>
        <w:t>fundados</w:t>
      </w:r>
      <w:r w:rsidR="00982020" w:rsidRPr="00982020">
        <w:rPr>
          <w:rFonts w:ascii="Arial" w:eastAsia="Calibri" w:hAnsi="Arial" w:cs="Arial"/>
          <w:b/>
          <w:bCs/>
          <w:sz w:val="26"/>
          <w:szCs w:val="26"/>
        </w:rPr>
        <w:t>.</w:t>
      </w:r>
    </w:p>
    <w:p w14:paraId="571D8491" w14:textId="37F57F85" w:rsidR="005F3EBB" w:rsidRDefault="005F3EBB" w:rsidP="00FE1D24">
      <w:pPr>
        <w:spacing w:before="240" w:line="360" w:lineRule="auto"/>
        <w:jc w:val="both"/>
        <w:rPr>
          <w:rFonts w:ascii="Arial" w:eastAsia="Calibri" w:hAnsi="Arial" w:cs="Arial"/>
          <w:bCs/>
          <w:sz w:val="26"/>
          <w:szCs w:val="26"/>
        </w:rPr>
      </w:pPr>
      <w:r w:rsidRPr="005F3EBB">
        <w:rPr>
          <w:rFonts w:ascii="Arial" w:eastAsia="Calibri" w:hAnsi="Arial" w:cs="Arial"/>
          <w:bCs/>
          <w:sz w:val="26"/>
          <w:szCs w:val="26"/>
        </w:rPr>
        <w:t xml:space="preserve">          </w:t>
      </w:r>
      <w:r w:rsidR="004349BD">
        <w:rPr>
          <w:rFonts w:ascii="Arial" w:eastAsia="Calibri" w:hAnsi="Arial" w:cs="Arial"/>
          <w:bCs/>
          <w:sz w:val="26"/>
          <w:szCs w:val="26"/>
        </w:rPr>
        <w:t>L</w:t>
      </w:r>
      <w:r w:rsidR="000B6446">
        <w:rPr>
          <w:rFonts w:ascii="Arial" w:eastAsia="Calibri" w:hAnsi="Arial" w:cs="Arial"/>
          <w:bCs/>
          <w:sz w:val="26"/>
          <w:szCs w:val="26"/>
        </w:rPr>
        <w:t>a</w:t>
      </w:r>
      <w:r w:rsidRPr="005F3EBB">
        <w:rPr>
          <w:rFonts w:ascii="Arial" w:eastAsia="Calibri" w:hAnsi="Arial" w:cs="Arial"/>
          <w:bCs/>
          <w:sz w:val="26"/>
          <w:szCs w:val="26"/>
        </w:rPr>
        <w:t xml:space="preserve"> resolutor</w:t>
      </w:r>
      <w:r w:rsidR="000B6446">
        <w:rPr>
          <w:rFonts w:ascii="Arial" w:eastAsia="Calibri" w:hAnsi="Arial" w:cs="Arial"/>
          <w:bCs/>
          <w:sz w:val="26"/>
          <w:szCs w:val="26"/>
        </w:rPr>
        <w:t>a</w:t>
      </w:r>
      <w:r w:rsidRPr="005F3EBB">
        <w:rPr>
          <w:rFonts w:ascii="Arial" w:eastAsia="Calibri" w:hAnsi="Arial" w:cs="Arial"/>
          <w:bCs/>
          <w:sz w:val="26"/>
          <w:szCs w:val="26"/>
        </w:rPr>
        <w:t xml:space="preserve"> de la Primera Sala Unitaria de Primera Instancia</w:t>
      </w:r>
      <w:r w:rsidR="004936D6">
        <w:rPr>
          <w:rFonts w:ascii="Arial" w:eastAsia="Calibri" w:hAnsi="Arial" w:cs="Arial"/>
          <w:bCs/>
          <w:sz w:val="26"/>
          <w:szCs w:val="26"/>
        </w:rPr>
        <w:t>,</w:t>
      </w:r>
      <w:r w:rsidRPr="005F3EBB">
        <w:rPr>
          <w:rFonts w:ascii="Arial" w:eastAsia="Calibri" w:hAnsi="Arial" w:cs="Arial"/>
          <w:bCs/>
          <w:sz w:val="26"/>
          <w:szCs w:val="26"/>
        </w:rPr>
        <w:t xml:space="preserve"> de forma </w:t>
      </w:r>
      <w:r>
        <w:rPr>
          <w:rFonts w:ascii="Arial" w:eastAsia="Calibri" w:hAnsi="Arial" w:cs="Arial"/>
          <w:bCs/>
          <w:sz w:val="26"/>
          <w:szCs w:val="26"/>
        </w:rPr>
        <w:t>acertada determinó que “no ha lugar” a tener al actor demandando al Fiscal General del Estado de Oaxaca, al no advertirse de los actos que impugna que los haya dictado, ordenado, ejecutado o tratado de ejecutar, de conformidad con la fracción II, del artículo 163 de la Ley de Procedimiento y Justicia Administrativa para el Estado de Oaxaca.</w:t>
      </w:r>
    </w:p>
    <w:p w14:paraId="2CA6D89F" w14:textId="515E9A29" w:rsidR="004936D6" w:rsidRDefault="004936D6" w:rsidP="00FE1D24">
      <w:pPr>
        <w:spacing w:before="240" w:line="360" w:lineRule="auto"/>
        <w:jc w:val="both"/>
        <w:rPr>
          <w:rFonts w:ascii="Arial" w:eastAsia="Calibri" w:hAnsi="Arial" w:cs="Arial"/>
          <w:bCs/>
          <w:sz w:val="26"/>
          <w:szCs w:val="26"/>
        </w:rPr>
      </w:pPr>
      <w:r>
        <w:rPr>
          <w:rFonts w:ascii="Arial" w:eastAsia="Calibri" w:hAnsi="Arial" w:cs="Arial"/>
          <w:bCs/>
          <w:sz w:val="26"/>
          <w:szCs w:val="26"/>
        </w:rPr>
        <w:t xml:space="preserve">      Esto es así, pues de las constancias que obran en el expediente de nulidad de origen que tienen valor probatorio pleno de conformidad en la fracción I, del artículo 203 de la Ley de Procedimiento y Justicia Administrativa para el Estado de Oaxaca, se desprende </w:t>
      </w:r>
      <w:r w:rsidR="00612C78">
        <w:rPr>
          <w:rFonts w:ascii="Arial" w:eastAsia="Calibri" w:hAnsi="Arial" w:cs="Arial"/>
          <w:bCs/>
          <w:sz w:val="26"/>
          <w:szCs w:val="26"/>
        </w:rPr>
        <w:t xml:space="preserve">que </w:t>
      </w:r>
      <w:r>
        <w:rPr>
          <w:rFonts w:ascii="Arial" w:eastAsia="Calibri" w:hAnsi="Arial" w:cs="Arial"/>
          <w:bCs/>
          <w:sz w:val="26"/>
          <w:szCs w:val="26"/>
        </w:rPr>
        <w:t xml:space="preserve">del acuerdo </w:t>
      </w:r>
      <w:r>
        <w:rPr>
          <w:rFonts w:ascii="Arial" w:eastAsia="Calibri" w:hAnsi="Arial" w:cs="Arial"/>
          <w:bCs/>
          <w:sz w:val="26"/>
          <w:szCs w:val="26"/>
        </w:rPr>
        <w:lastRenderedPageBreak/>
        <w:t>de fecha treinta de mayo de dos mil diecinueve</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dictado por la Licenciada </w:t>
      </w:r>
      <w:r w:rsidR="009E19AD">
        <w:rPr>
          <w:rFonts w:ascii="Arial" w:hAnsi="Arial" w:cs="Arial"/>
          <w:color w:val="000000"/>
          <w:sz w:val="26"/>
          <w:szCs w:val="26"/>
        </w:rPr>
        <w:t xml:space="preserve">*********** </w:t>
      </w:r>
      <w:r>
        <w:rPr>
          <w:rFonts w:ascii="Arial" w:eastAsia="Calibri" w:hAnsi="Arial" w:cs="Arial"/>
          <w:bCs/>
          <w:sz w:val="26"/>
          <w:szCs w:val="26"/>
        </w:rPr>
        <w:t xml:space="preserve"> en su carácter de Agente del Ministerio Público de la Mesa 4, adscrita a Visitaduría General de la Fiscalía General del Estado de Oaxaca, que el Visitador General de la Fiscalía General del Estado a través del oficio </w:t>
      </w:r>
      <w:r w:rsidR="009E19AD">
        <w:rPr>
          <w:rFonts w:ascii="Arial" w:hAnsi="Arial" w:cs="Arial"/>
          <w:color w:val="000000"/>
          <w:sz w:val="26"/>
          <w:szCs w:val="26"/>
        </w:rPr>
        <w:t xml:space="preserve">*********** </w:t>
      </w:r>
      <w:r>
        <w:rPr>
          <w:rFonts w:ascii="Arial" w:eastAsia="Calibri" w:hAnsi="Arial" w:cs="Arial"/>
          <w:bCs/>
          <w:sz w:val="26"/>
          <w:szCs w:val="26"/>
        </w:rPr>
        <w:t xml:space="preserve"> le remitió una nota periodística en la página de internet del periódico “NOTICIAS VOZ E IMAGEN DE OAXACA”, con la finalidad de que enterado de su contenido procediera a la investigación administrativa por el probable incumplimiento a un requisito de permanencia, practicara las diligencias pertinentes para acreditar el probable incumplimiento al requisito de permanencia  que se le atribuye  al servidor público implicado, de nombre </w:t>
      </w:r>
      <w:r w:rsidR="009E19AD">
        <w:rPr>
          <w:rFonts w:ascii="Arial" w:hAnsi="Arial" w:cs="Arial"/>
          <w:color w:val="000000"/>
          <w:sz w:val="26"/>
          <w:szCs w:val="26"/>
        </w:rPr>
        <w:t xml:space="preserve">*********** </w:t>
      </w:r>
      <w:r>
        <w:rPr>
          <w:rFonts w:ascii="Arial" w:eastAsia="Calibri" w:hAnsi="Arial" w:cs="Arial"/>
          <w:bCs/>
          <w:sz w:val="26"/>
          <w:szCs w:val="26"/>
        </w:rPr>
        <w:t xml:space="preserve"> como Agente del Ministerio Público y, que en su oportunidad resolviera lo que en derecho procediera; </w:t>
      </w:r>
      <w:r w:rsidRPr="000B6446">
        <w:rPr>
          <w:rFonts w:ascii="Arial" w:eastAsia="Calibri" w:hAnsi="Arial" w:cs="Arial"/>
          <w:b/>
          <w:bCs/>
          <w:sz w:val="26"/>
          <w:szCs w:val="26"/>
        </w:rPr>
        <w:t>acreditándose</w:t>
      </w:r>
      <w:r>
        <w:rPr>
          <w:rFonts w:ascii="Arial" w:eastAsia="Calibri" w:hAnsi="Arial" w:cs="Arial"/>
          <w:bCs/>
          <w:sz w:val="26"/>
          <w:szCs w:val="26"/>
        </w:rPr>
        <w:t xml:space="preserve"> que el Fiscal General del Estado no ordenó el inicio del procedimiento administrativo </w:t>
      </w:r>
      <w:r w:rsidR="009E19AD">
        <w:rPr>
          <w:rFonts w:ascii="Arial" w:hAnsi="Arial" w:cs="Arial"/>
          <w:color w:val="000000"/>
          <w:sz w:val="26"/>
          <w:szCs w:val="26"/>
        </w:rPr>
        <w:t xml:space="preserve">*********** </w:t>
      </w:r>
      <w:r>
        <w:rPr>
          <w:rFonts w:ascii="Arial" w:eastAsia="Calibri" w:hAnsi="Arial" w:cs="Arial"/>
          <w:bCs/>
          <w:sz w:val="26"/>
          <w:szCs w:val="26"/>
        </w:rPr>
        <w:t xml:space="preserve"> en contra del citado servidor público, ni tampoco se advierte que haya ordenado la emisión del dictamen contenido en el oficio </w:t>
      </w:r>
      <w:r w:rsidR="009E19AD">
        <w:rPr>
          <w:rFonts w:ascii="Arial" w:hAnsi="Arial" w:cs="Arial"/>
          <w:color w:val="000000"/>
          <w:sz w:val="26"/>
          <w:szCs w:val="26"/>
        </w:rPr>
        <w:t xml:space="preserve">*********** </w:t>
      </w:r>
      <w:r>
        <w:rPr>
          <w:rFonts w:ascii="Arial" w:eastAsia="Calibri" w:hAnsi="Arial" w:cs="Arial"/>
          <w:bCs/>
          <w:sz w:val="26"/>
          <w:szCs w:val="26"/>
        </w:rPr>
        <w:t xml:space="preserve"> emitido por el Director de Asuntos Jurídicos de la Fiscalía General del Estado</w:t>
      </w:r>
      <w:r>
        <w:rPr>
          <w:rStyle w:val="Refdenotaalpie"/>
          <w:rFonts w:ascii="Arial" w:eastAsia="Calibri" w:hAnsi="Arial" w:cs="Arial"/>
          <w:bCs/>
          <w:sz w:val="26"/>
          <w:szCs w:val="26"/>
        </w:rPr>
        <w:footnoteReference w:id="2"/>
      </w:r>
      <w:r>
        <w:rPr>
          <w:rFonts w:ascii="Arial" w:eastAsia="Calibri" w:hAnsi="Arial" w:cs="Arial"/>
          <w:bCs/>
          <w:sz w:val="26"/>
          <w:szCs w:val="26"/>
        </w:rPr>
        <w:t xml:space="preserve">, así como del oficio </w:t>
      </w:r>
      <w:r w:rsidR="009E19AD">
        <w:rPr>
          <w:rFonts w:ascii="Arial" w:hAnsi="Arial" w:cs="Arial"/>
          <w:color w:val="000000"/>
          <w:sz w:val="26"/>
          <w:szCs w:val="26"/>
        </w:rPr>
        <w:t xml:space="preserve">*********** </w:t>
      </w:r>
      <w:r>
        <w:rPr>
          <w:rFonts w:ascii="Arial" w:eastAsia="Calibri" w:hAnsi="Arial" w:cs="Arial"/>
          <w:bCs/>
          <w:sz w:val="26"/>
          <w:szCs w:val="26"/>
        </w:rPr>
        <w:t xml:space="preserve"> emitido por el Oficial Mayor de la misma Fiscalía</w:t>
      </w:r>
      <w:r>
        <w:rPr>
          <w:rStyle w:val="Refdenotaalpie"/>
          <w:rFonts w:ascii="Arial" w:eastAsia="Calibri" w:hAnsi="Arial" w:cs="Arial"/>
          <w:bCs/>
          <w:sz w:val="26"/>
          <w:szCs w:val="26"/>
        </w:rPr>
        <w:footnoteReference w:id="3"/>
      </w:r>
      <w:r>
        <w:rPr>
          <w:rFonts w:ascii="Arial" w:eastAsia="Calibri" w:hAnsi="Arial" w:cs="Arial"/>
          <w:bCs/>
          <w:sz w:val="26"/>
          <w:szCs w:val="26"/>
        </w:rPr>
        <w:t>, por tanto, no le reviste el carácter de autoridad demandada o responsable en el expediente natural, al no ordenar o ejecutar los actos impugnados, como lo establece la fracción II, inciso a)</w:t>
      </w:r>
      <w:r>
        <w:rPr>
          <w:rStyle w:val="Refdenotaalpie"/>
          <w:rFonts w:ascii="Arial" w:eastAsia="Calibri" w:hAnsi="Arial" w:cs="Arial"/>
          <w:bCs/>
          <w:sz w:val="26"/>
          <w:szCs w:val="26"/>
        </w:rPr>
        <w:footnoteReference w:id="4"/>
      </w:r>
      <w:r>
        <w:rPr>
          <w:rFonts w:ascii="Arial" w:eastAsia="Calibri" w:hAnsi="Arial" w:cs="Arial"/>
          <w:bCs/>
          <w:sz w:val="26"/>
          <w:szCs w:val="26"/>
        </w:rPr>
        <w:t>, del artículo 163, de la Ley de Procedimiento y Justicia Administrativa para el Estado de Oaxaca.</w:t>
      </w:r>
    </w:p>
    <w:p w14:paraId="13E84BCA" w14:textId="5E5AEF01" w:rsidR="005F3EBB" w:rsidRDefault="005F3EBB" w:rsidP="00FE1D24">
      <w:pPr>
        <w:spacing w:before="240" w:line="360" w:lineRule="auto"/>
        <w:jc w:val="both"/>
        <w:rPr>
          <w:rFonts w:ascii="Arial" w:eastAsia="Calibri" w:hAnsi="Arial" w:cs="Arial"/>
          <w:bCs/>
          <w:sz w:val="26"/>
          <w:szCs w:val="26"/>
        </w:rPr>
      </w:pPr>
      <w:r>
        <w:rPr>
          <w:rFonts w:ascii="Arial" w:eastAsia="Calibri" w:hAnsi="Arial" w:cs="Arial"/>
          <w:bCs/>
          <w:sz w:val="26"/>
          <w:szCs w:val="26"/>
        </w:rPr>
        <w:t xml:space="preserve">   </w:t>
      </w:r>
      <w:r w:rsidR="00612C78">
        <w:rPr>
          <w:rFonts w:ascii="Arial" w:eastAsia="Calibri" w:hAnsi="Arial" w:cs="Arial"/>
          <w:bCs/>
          <w:sz w:val="26"/>
          <w:szCs w:val="26"/>
        </w:rPr>
        <w:t xml:space="preserve">      Aunando que, </w:t>
      </w:r>
      <w:r>
        <w:rPr>
          <w:rFonts w:ascii="Arial" w:eastAsia="Calibri" w:hAnsi="Arial" w:cs="Arial"/>
          <w:bCs/>
          <w:sz w:val="26"/>
          <w:szCs w:val="26"/>
        </w:rPr>
        <w:t>de la lectura integral de</w:t>
      </w:r>
      <w:r w:rsidR="00292BAE">
        <w:rPr>
          <w:rFonts w:ascii="Arial" w:eastAsia="Calibri" w:hAnsi="Arial" w:cs="Arial"/>
          <w:bCs/>
          <w:sz w:val="26"/>
          <w:szCs w:val="26"/>
        </w:rPr>
        <w:t xml:space="preserve">l capítulo VIII denominado </w:t>
      </w:r>
      <w:r w:rsidR="00292BAE" w:rsidRPr="00292BAE">
        <w:rPr>
          <w:rFonts w:eastAsia="Calibri" w:cs="Arial"/>
          <w:b/>
          <w:bCs/>
          <w:sz w:val="24"/>
          <w:szCs w:val="24"/>
        </w:rPr>
        <w:t>“CONCEPTOS DE IMPUGNACIÓN”</w:t>
      </w:r>
      <w:r w:rsidR="00292BAE">
        <w:rPr>
          <w:rFonts w:ascii="Arial" w:eastAsia="Calibri" w:hAnsi="Arial" w:cs="Arial"/>
          <w:bCs/>
          <w:sz w:val="26"/>
          <w:szCs w:val="26"/>
        </w:rPr>
        <w:t xml:space="preserve"> contenido</w:t>
      </w:r>
      <w:r>
        <w:rPr>
          <w:rFonts w:ascii="Arial" w:eastAsia="Calibri" w:hAnsi="Arial" w:cs="Arial"/>
          <w:bCs/>
          <w:sz w:val="26"/>
          <w:szCs w:val="26"/>
        </w:rPr>
        <w:t xml:space="preserve"> en su escrito inicial</w:t>
      </w:r>
      <w:r w:rsidR="00292BAE">
        <w:rPr>
          <w:rFonts w:ascii="Arial" w:eastAsia="Calibri" w:hAnsi="Arial" w:cs="Arial"/>
          <w:bCs/>
          <w:sz w:val="26"/>
          <w:szCs w:val="26"/>
        </w:rPr>
        <w:t xml:space="preserve"> de demanda, se observa que ninguno de los conceptos de impugnación formulados por el aquí recurrente es en contra de algún acto atribuido de alguna forma al Fiscal General del Estado de Oaxaca</w:t>
      </w:r>
      <w:r w:rsidR="00F95577">
        <w:rPr>
          <w:rFonts w:ascii="Arial" w:eastAsia="Calibri" w:hAnsi="Arial" w:cs="Arial"/>
          <w:bCs/>
          <w:sz w:val="26"/>
          <w:szCs w:val="26"/>
        </w:rPr>
        <w:t xml:space="preserve">; lo cual es necesario para </w:t>
      </w:r>
      <w:r w:rsidR="00957844">
        <w:rPr>
          <w:rFonts w:ascii="Arial" w:eastAsia="Calibri" w:hAnsi="Arial" w:cs="Arial"/>
          <w:bCs/>
          <w:sz w:val="26"/>
          <w:szCs w:val="26"/>
        </w:rPr>
        <w:t>que sea llamado a juicio y controvierta</w:t>
      </w:r>
      <w:r w:rsidR="00E86259">
        <w:rPr>
          <w:rFonts w:ascii="Arial" w:eastAsia="Calibri" w:hAnsi="Arial" w:cs="Arial"/>
          <w:bCs/>
          <w:sz w:val="26"/>
          <w:szCs w:val="26"/>
        </w:rPr>
        <w:t xml:space="preserve"> los argumentos vertidos en su contra</w:t>
      </w:r>
      <w:r w:rsidR="00957844">
        <w:rPr>
          <w:rFonts w:ascii="Arial" w:eastAsia="Calibri" w:hAnsi="Arial" w:cs="Arial"/>
          <w:bCs/>
          <w:sz w:val="26"/>
          <w:szCs w:val="26"/>
        </w:rPr>
        <w:t xml:space="preserve"> al contestar la demanda, lo que aquí no acontece.</w:t>
      </w:r>
    </w:p>
    <w:p w14:paraId="552EF9A9" w14:textId="586D0D5F" w:rsidR="00870EC4" w:rsidRDefault="00957844" w:rsidP="00870EC4">
      <w:pPr>
        <w:spacing w:before="240" w:line="360" w:lineRule="auto"/>
        <w:jc w:val="both"/>
        <w:rPr>
          <w:rFonts w:ascii="Arial" w:eastAsia="Calibri" w:hAnsi="Arial" w:cs="Arial"/>
          <w:bCs/>
          <w:sz w:val="26"/>
          <w:szCs w:val="26"/>
        </w:rPr>
      </w:pPr>
      <w:r>
        <w:rPr>
          <w:rFonts w:ascii="Arial" w:eastAsia="Calibri" w:hAnsi="Arial" w:cs="Arial"/>
          <w:bCs/>
          <w:sz w:val="26"/>
          <w:szCs w:val="26"/>
        </w:rPr>
        <w:t xml:space="preserve">     Que si bien, el Fiscal General del Estado es superior jerárquico de las demás autoridades que señala como demandadas el aquí recurrente y  </w:t>
      </w:r>
      <w:r>
        <w:rPr>
          <w:rFonts w:ascii="Arial" w:eastAsia="Calibri" w:hAnsi="Arial" w:cs="Arial"/>
          <w:bCs/>
          <w:sz w:val="26"/>
          <w:szCs w:val="26"/>
        </w:rPr>
        <w:lastRenderedPageBreak/>
        <w:t>titular de la Fi</w:t>
      </w:r>
      <w:r w:rsidR="000B6446">
        <w:rPr>
          <w:rFonts w:ascii="Arial" w:eastAsia="Calibri" w:hAnsi="Arial" w:cs="Arial"/>
          <w:bCs/>
          <w:sz w:val="26"/>
          <w:szCs w:val="26"/>
        </w:rPr>
        <w:t>scalía General del Estado y,</w:t>
      </w:r>
      <w:r>
        <w:rPr>
          <w:rFonts w:ascii="Arial" w:eastAsia="Calibri" w:hAnsi="Arial" w:cs="Arial"/>
          <w:bCs/>
          <w:sz w:val="26"/>
          <w:szCs w:val="26"/>
        </w:rPr>
        <w:t xml:space="preserve"> le compete el ejercicio originario de las facultades, atribuciones y funciones que le otorgan a la Fiscalía General y al Ministerio Público, la Constitución Federal, Constitución Local, su Ley Orgánica y demás disposiciones aplicables, como lo estatuye el artículo 6, de la Ley Orgánica de la Fiscalía General del Estado de Oaxaca; </w:t>
      </w:r>
      <w:r w:rsidRPr="007F3E92">
        <w:rPr>
          <w:rFonts w:ascii="Arial" w:eastAsia="Calibri" w:hAnsi="Arial" w:cs="Arial"/>
          <w:b/>
          <w:bCs/>
          <w:sz w:val="26"/>
          <w:szCs w:val="26"/>
        </w:rPr>
        <w:t>también</w:t>
      </w:r>
      <w:r w:rsidR="007F3E92" w:rsidRPr="007F3E92">
        <w:rPr>
          <w:rFonts w:ascii="Arial" w:eastAsia="Calibri" w:hAnsi="Arial" w:cs="Arial"/>
          <w:b/>
          <w:bCs/>
          <w:sz w:val="26"/>
          <w:szCs w:val="26"/>
        </w:rPr>
        <w:t xml:space="preserve"> es</w:t>
      </w:r>
      <w:r w:rsidRPr="007F3E92">
        <w:rPr>
          <w:rFonts w:ascii="Arial" w:eastAsia="Calibri" w:hAnsi="Arial" w:cs="Arial"/>
          <w:b/>
          <w:bCs/>
          <w:sz w:val="26"/>
          <w:szCs w:val="26"/>
        </w:rPr>
        <w:t xml:space="preserve"> que</w:t>
      </w:r>
      <w:r>
        <w:rPr>
          <w:rFonts w:ascii="Arial" w:eastAsia="Calibri" w:hAnsi="Arial" w:cs="Arial"/>
          <w:bCs/>
          <w:sz w:val="26"/>
          <w:szCs w:val="26"/>
        </w:rPr>
        <w:t xml:space="preserve">, </w:t>
      </w:r>
      <w:r w:rsidR="007F3E92">
        <w:rPr>
          <w:rFonts w:ascii="Arial" w:eastAsia="Calibri" w:hAnsi="Arial" w:cs="Arial"/>
          <w:bCs/>
          <w:sz w:val="26"/>
          <w:szCs w:val="26"/>
        </w:rPr>
        <w:t xml:space="preserve">de los actos que impugna la parte actora en el juicio natural, consistentes en: </w:t>
      </w:r>
      <w:r w:rsidR="007F3E92" w:rsidRPr="007F3E92">
        <w:rPr>
          <w:rFonts w:ascii="Arial" w:eastAsia="Calibri" w:hAnsi="Arial" w:cs="Arial"/>
          <w:b/>
          <w:bCs/>
          <w:sz w:val="26"/>
          <w:szCs w:val="26"/>
        </w:rPr>
        <w:t>a)</w:t>
      </w:r>
      <w:r w:rsidR="007F3E92">
        <w:rPr>
          <w:rFonts w:ascii="Arial" w:eastAsia="Calibri" w:hAnsi="Arial" w:cs="Arial"/>
          <w:bCs/>
          <w:sz w:val="26"/>
          <w:szCs w:val="26"/>
        </w:rPr>
        <w:t xml:space="preserve"> resolución contenida en el oficio </w:t>
      </w:r>
      <w:r w:rsidR="009E19AD">
        <w:rPr>
          <w:rFonts w:ascii="Arial" w:hAnsi="Arial" w:cs="Arial"/>
          <w:color w:val="000000"/>
          <w:sz w:val="26"/>
          <w:szCs w:val="26"/>
        </w:rPr>
        <w:t xml:space="preserve">*********** </w:t>
      </w:r>
      <w:r w:rsidR="007F3E92">
        <w:rPr>
          <w:rFonts w:ascii="Arial" w:eastAsia="Calibri" w:hAnsi="Arial" w:cs="Arial"/>
          <w:bCs/>
          <w:sz w:val="26"/>
          <w:szCs w:val="26"/>
        </w:rPr>
        <w:t xml:space="preserve"> de fecha dieciocho de junio de dos mil diecinueve, emitida por el Oficial Mayor de la Fiscalía General del Estado de Oaxaca, </w:t>
      </w:r>
      <w:r w:rsidR="007F3E92" w:rsidRPr="007F3E92">
        <w:rPr>
          <w:rFonts w:ascii="Arial" w:eastAsia="Calibri" w:hAnsi="Arial" w:cs="Arial"/>
          <w:b/>
          <w:bCs/>
          <w:sz w:val="26"/>
          <w:szCs w:val="26"/>
        </w:rPr>
        <w:t>b)</w:t>
      </w:r>
      <w:r w:rsidR="007F3E92">
        <w:rPr>
          <w:rFonts w:ascii="Arial" w:eastAsia="Calibri" w:hAnsi="Arial" w:cs="Arial"/>
          <w:bCs/>
          <w:sz w:val="26"/>
          <w:szCs w:val="26"/>
        </w:rPr>
        <w:t xml:space="preserve"> determinación dictada en el Dictamen  identificado  con el oficio </w:t>
      </w:r>
      <w:r w:rsidR="009E19AD">
        <w:rPr>
          <w:rFonts w:ascii="Arial" w:hAnsi="Arial" w:cs="Arial"/>
          <w:color w:val="000000"/>
          <w:sz w:val="26"/>
          <w:szCs w:val="26"/>
        </w:rPr>
        <w:t xml:space="preserve">*********** </w:t>
      </w:r>
      <w:r w:rsidR="007F3E92">
        <w:rPr>
          <w:rFonts w:ascii="Arial" w:eastAsia="Calibri" w:hAnsi="Arial" w:cs="Arial"/>
          <w:bCs/>
          <w:sz w:val="26"/>
          <w:szCs w:val="26"/>
        </w:rPr>
        <w:t xml:space="preserve"> de fecha trece de junio de dos mil diecinueve, emitido por el Director de Asuntos Jurídicos de la Fiscalía General del Estado de Oaxaca, </w:t>
      </w:r>
      <w:r w:rsidR="007F3E92" w:rsidRPr="007F3E92">
        <w:rPr>
          <w:rFonts w:ascii="Arial" w:eastAsia="Calibri" w:hAnsi="Arial" w:cs="Arial"/>
          <w:b/>
          <w:bCs/>
          <w:sz w:val="26"/>
          <w:szCs w:val="26"/>
        </w:rPr>
        <w:t>c)</w:t>
      </w:r>
      <w:r w:rsidR="007F3E92">
        <w:rPr>
          <w:rFonts w:ascii="Arial" w:eastAsia="Calibri" w:hAnsi="Arial" w:cs="Arial"/>
          <w:bCs/>
          <w:sz w:val="26"/>
          <w:szCs w:val="26"/>
        </w:rPr>
        <w:t xml:space="preserve"> el procedimiento administrativo identificado con el número </w:t>
      </w:r>
      <w:r w:rsidR="009E19AD">
        <w:rPr>
          <w:rFonts w:ascii="Arial" w:hAnsi="Arial" w:cs="Arial"/>
          <w:color w:val="000000"/>
          <w:sz w:val="26"/>
          <w:szCs w:val="26"/>
        </w:rPr>
        <w:t>***********</w:t>
      </w:r>
      <w:r w:rsidR="007F3E92">
        <w:rPr>
          <w:rFonts w:ascii="Arial" w:eastAsia="Calibri" w:hAnsi="Arial" w:cs="Arial"/>
          <w:bCs/>
          <w:sz w:val="26"/>
          <w:szCs w:val="26"/>
        </w:rPr>
        <w:t xml:space="preserve"> tramitado por la Agente del Ministerio Público Titular de la Mesa 4, adscrita a la Visitaduría General de la Fiscal</w:t>
      </w:r>
      <w:r w:rsidR="00870EC4">
        <w:rPr>
          <w:rFonts w:ascii="Arial" w:eastAsia="Calibri" w:hAnsi="Arial" w:cs="Arial"/>
          <w:bCs/>
          <w:sz w:val="26"/>
          <w:szCs w:val="26"/>
        </w:rPr>
        <w:t>ía General del Estado de Oaxaca;</w:t>
      </w:r>
      <w:r w:rsidR="007F3E92">
        <w:rPr>
          <w:rFonts w:ascii="Arial" w:eastAsia="Calibri" w:hAnsi="Arial" w:cs="Arial"/>
          <w:bCs/>
          <w:sz w:val="26"/>
          <w:szCs w:val="26"/>
        </w:rPr>
        <w:t xml:space="preserve"> no se observa que el Fiscal General del Estado haya ordenado la ejecución de dichos actos</w:t>
      </w:r>
      <w:r w:rsidR="00870EC4">
        <w:rPr>
          <w:rFonts w:ascii="Arial" w:eastAsia="Calibri" w:hAnsi="Arial" w:cs="Arial"/>
          <w:bCs/>
          <w:sz w:val="26"/>
          <w:szCs w:val="26"/>
        </w:rPr>
        <w:t xml:space="preserve">, por lo que no existen elementos para que se demande al titular de la Fiscalía General del Estado, ya que el juicio versa sobre la legalidad o ilegalidad de los actos impugnados emitidos </w:t>
      </w:r>
      <w:r w:rsidR="00BB62D0">
        <w:rPr>
          <w:rFonts w:ascii="Arial" w:eastAsia="Calibri" w:hAnsi="Arial" w:cs="Arial"/>
          <w:bCs/>
          <w:sz w:val="26"/>
          <w:szCs w:val="26"/>
        </w:rPr>
        <w:t xml:space="preserve">de manera expresa </w:t>
      </w:r>
      <w:r w:rsidR="00870EC4">
        <w:rPr>
          <w:rFonts w:ascii="Arial" w:eastAsia="Calibri" w:hAnsi="Arial" w:cs="Arial"/>
          <w:bCs/>
          <w:sz w:val="26"/>
          <w:szCs w:val="26"/>
        </w:rPr>
        <w:t>por las autoridades demandadas.</w:t>
      </w:r>
    </w:p>
    <w:p w14:paraId="5B2618D8" w14:textId="64C66FE0" w:rsidR="009E39DB" w:rsidRDefault="004349BD" w:rsidP="00FE1D24">
      <w:pPr>
        <w:spacing w:before="240" w:line="360" w:lineRule="auto"/>
        <w:jc w:val="both"/>
        <w:rPr>
          <w:rFonts w:ascii="Arial" w:eastAsia="Calibri" w:hAnsi="Arial" w:cs="Arial"/>
          <w:bCs/>
          <w:sz w:val="26"/>
          <w:szCs w:val="26"/>
        </w:rPr>
      </w:pPr>
      <w:r>
        <w:rPr>
          <w:rFonts w:ascii="Arial" w:eastAsia="Calibri" w:hAnsi="Arial" w:cs="Arial"/>
          <w:bCs/>
          <w:sz w:val="26"/>
          <w:szCs w:val="26"/>
        </w:rPr>
        <w:t xml:space="preserve">   Asimismo,</w:t>
      </w:r>
      <w:r w:rsidR="00870EC4">
        <w:rPr>
          <w:rFonts w:ascii="Arial" w:eastAsia="Calibri" w:hAnsi="Arial" w:cs="Arial"/>
          <w:bCs/>
          <w:sz w:val="26"/>
          <w:szCs w:val="26"/>
        </w:rPr>
        <w:t xml:space="preserve"> como bien lo señala el recurrente, al ser atribuciones que de origen le corresponde</w:t>
      </w:r>
      <w:r w:rsidR="00870EC4">
        <w:rPr>
          <w:rStyle w:val="Refdenotaalpie"/>
          <w:rFonts w:ascii="Arial" w:eastAsia="Calibri" w:hAnsi="Arial" w:cs="Arial"/>
          <w:bCs/>
          <w:sz w:val="26"/>
          <w:szCs w:val="26"/>
        </w:rPr>
        <w:footnoteReference w:id="5"/>
      </w:r>
      <w:r w:rsidR="00870EC4">
        <w:rPr>
          <w:rFonts w:ascii="Arial" w:eastAsia="Calibri" w:hAnsi="Arial" w:cs="Arial"/>
          <w:bCs/>
          <w:sz w:val="26"/>
          <w:szCs w:val="26"/>
        </w:rPr>
        <w:t>al Fiscal General del Estado de Oaxaca</w:t>
      </w:r>
      <w:r w:rsidR="008C51BC">
        <w:rPr>
          <w:rFonts w:ascii="Arial" w:eastAsia="Calibri" w:hAnsi="Arial" w:cs="Arial"/>
          <w:bCs/>
          <w:sz w:val="26"/>
          <w:szCs w:val="26"/>
        </w:rPr>
        <w:t>, también es que</w:t>
      </w:r>
      <w:r w:rsidR="00870EC4">
        <w:rPr>
          <w:rFonts w:ascii="Arial" w:eastAsia="Calibri" w:hAnsi="Arial" w:cs="Arial"/>
          <w:bCs/>
          <w:sz w:val="26"/>
          <w:szCs w:val="26"/>
        </w:rPr>
        <w:t xml:space="preserve"> este Tribunal </w:t>
      </w:r>
      <w:r w:rsidR="008C51BC">
        <w:rPr>
          <w:rFonts w:ascii="Arial" w:eastAsia="Calibri" w:hAnsi="Arial" w:cs="Arial"/>
          <w:bCs/>
          <w:sz w:val="26"/>
          <w:szCs w:val="26"/>
        </w:rPr>
        <w:t>en todo caso, al emitir la</w:t>
      </w:r>
      <w:r w:rsidR="004936D6">
        <w:rPr>
          <w:rFonts w:ascii="Arial" w:eastAsia="Calibri" w:hAnsi="Arial" w:cs="Arial"/>
          <w:bCs/>
          <w:sz w:val="26"/>
          <w:szCs w:val="26"/>
        </w:rPr>
        <w:t xml:space="preserve"> sentencia en el juicio natural, </w:t>
      </w:r>
      <w:r w:rsidR="00870EC4" w:rsidRPr="004936D6">
        <w:rPr>
          <w:rFonts w:ascii="Arial" w:eastAsia="Calibri" w:hAnsi="Arial" w:cs="Arial"/>
          <w:b/>
          <w:bCs/>
          <w:sz w:val="26"/>
          <w:szCs w:val="26"/>
        </w:rPr>
        <w:t>debe vincular</w:t>
      </w:r>
      <w:r w:rsidR="008C51BC" w:rsidRPr="004936D6">
        <w:rPr>
          <w:rFonts w:ascii="Arial" w:eastAsia="Calibri" w:hAnsi="Arial" w:cs="Arial"/>
          <w:b/>
          <w:bCs/>
          <w:sz w:val="26"/>
          <w:szCs w:val="26"/>
        </w:rPr>
        <w:t>lo</w:t>
      </w:r>
      <w:r w:rsidR="00870EC4">
        <w:rPr>
          <w:rFonts w:ascii="Arial" w:eastAsia="Calibri" w:hAnsi="Arial" w:cs="Arial"/>
          <w:bCs/>
          <w:sz w:val="26"/>
          <w:szCs w:val="26"/>
        </w:rPr>
        <w:t xml:space="preserve"> como superior jerárquico de las autoridades demandadas para que gestione, ordene o efectúe todas las actuaciones necesarias para el cabal cumplimiento de la sentencia</w:t>
      </w:r>
      <w:r w:rsidR="004936D6">
        <w:rPr>
          <w:rFonts w:ascii="Arial" w:eastAsia="Calibri" w:hAnsi="Arial" w:cs="Arial"/>
          <w:bCs/>
          <w:sz w:val="26"/>
          <w:szCs w:val="26"/>
        </w:rPr>
        <w:t xml:space="preserve">; por lo que, no se le eximiría de sus obligaciones originarias que le confiere </w:t>
      </w:r>
      <w:r w:rsidR="004936D6">
        <w:rPr>
          <w:rFonts w:ascii="Arial" w:eastAsia="Calibri" w:hAnsi="Arial" w:cs="Arial"/>
          <w:bCs/>
          <w:sz w:val="26"/>
          <w:szCs w:val="26"/>
        </w:rPr>
        <w:lastRenderedPageBreak/>
        <w:t>la Ley Orgánica de la Fiscalía General del Estado de Oaxaca, sin ocasionar en este caso, agravio a la parte actora.</w:t>
      </w:r>
    </w:p>
    <w:p w14:paraId="6D6B8EE9" w14:textId="145099BF" w:rsidR="00B525A6" w:rsidRDefault="000410EE" w:rsidP="00B525A6">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5117C3">
        <w:rPr>
          <w:rFonts w:ascii="Arial" w:eastAsia="Calibri" w:hAnsi="Arial" w:cs="Arial"/>
          <w:bCs/>
          <w:sz w:val="26"/>
          <w:szCs w:val="26"/>
        </w:rPr>
        <w:t xml:space="preserve">Consecuentemente, </w:t>
      </w:r>
      <w:r w:rsidR="005117C3" w:rsidRPr="005117C3">
        <w:rPr>
          <w:rFonts w:ascii="Arial" w:eastAsia="Calibri" w:hAnsi="Arial" w:cs="Arial"/>
          <w:b/>
          <w:bCs/>
          <w:sz w:val="26"/>
          <w:szCs w:val="26"/>
        </w:rPr>
        <w:t>al r</w:t>
      </w:r>
      <w:r w:rsidR="00E86259">
        <w:rPr>
          <w:rFonts w:ascii="Arial" w:eastAsia="Calibri" w:hAnsi="Arial" w:cs="Arial"/>
          <w:b/>
          <w:bCs/>
          <w:sz w:val="26"/>
          <w:szCs w:val="26"/>
        </w:rPr>
        <w:t>esultar infundados</w:t>
      </w:r>
      <w:r w:rsidR="005117C3" w:rsidRPr="005117C3">
        <w:rPr>
          <w:rFonts w:ascii="Arial" w:eastAsia="Calibri" w:hAnsi="Arial" w:cs="Arial"/>
          <w:b/>
          <w:bCs/>
          <w:sz w:val="26"/>
          <w:szCs w:val="26"/>
        </w:rPr>
        <w:t xml:space="preserve"> los agravios expuesto</w:t>
      </w:r>
      <w:r w:rsidR="00E86259">
        <w:rPr>
          <w:rFonts w:ascii="Arial" w:eastAsia="Calibri" w:hAnsi="Arial" w:cs="Arial"/>
          <w:b/>
          <w:bCs/>
          <w:sz w:val="26"/>
          <w:szCs w:val="26"/>
        </w:rPr>
        <w:t>s</w:t>
      </w:r>
      <w:r w:rsidR="005117C3" w:rsidRPr="005117C3">
        <w:rPr>
          <w:rFonts w:ascii="Arial" w:eastAsia="Calibri" w:hAnsi="Arial" w:cs="Arial"/>
          <w:b/>
          <w:bCs/>
          <w:sz w:val="26"/>
          <w:szCs w:val="26"/>
        </w:rPr>
        <w:t xml:space="preserve"> por la recurrente</w:t>
      </w:r>
      <w:r w:rsidR="00E86259">
        <w:rPr>
          <w:rFonts w:ascii="Arial" w:eastAsia="Calibri" w:hAnsi="Arial" w:cs="Arial"/>
          <w:bCs/>
          <w:sz w:val="26"/>
          <w:szCs w:val="26"/>
        </w:rPr>
        <w:t xml:space="preserve">, lo procedente es </w:t>
      </w:r>
      <w:r w:rsidR="00E86259" w:rsidRPr="00E86259">
        <w:rPr>
          <w:rFonts w:ascii="Arial" w:eastAsia="Calibri" w:hAnsi="Arial" w:cs="Arial"/>
          <w:b/>
          <w:bCs/>
          <w:sz w:val="26"/>
          <w:szCs w:val="26"/>
        </w:rPr>
        <w:t>CONFIRMAR</w:t>
      </w:r>
      <w:r w:rsidR="00B525A6">
        <w:rPr>
          <w:rFonts w:ascii="Arial" w:eastAsia="Calibri" w:hAnsi="Arial" w:cs="Arial"/>
          <w:b/>
          <w:bCs/>
          <w:sz w:val="26"/>
          <w:szCs w:val="26"/>
        </w:rPr>
        <w:t xml:space="preserve"> </w:t>
      </w:r>
      <w:r w:rsidR="00E86259">
        <w:rPr>
          <w:rFonts w:ascii="Arial" w:eastAsia="Calibri" w:hAnsi="Arial" w:cs="Arial"/>
          <w:bCs/>
          <w:sz w:val="26"/>
          <w:szCs w:val="26"/>
        </w:rPr>
        <w:t>la parte relativa del acuerdo alzado</w:t>
      </w:r>
      <w:r w:rsidR="004325E2">
        <w:rPr>
          <w:rFonts w:ascii="Arial" w:eastAsia="Calibri" w:hAnsi="Arial" w:cs="Arial"/>
          <w:bCs/>
          <w:sz w:val="26"/>
          <w:szCs w:val="26"/>
        </w:rPr>
        <w:t>; y</w:t>
      </w:r>
      <w:r w:rsidR="00312EEA">
        <w:rPr>
          <w:rFonts w:ascii="Arial" w:eastAsia="Calibri" w:hAnsi="Arial" w:cs="Arial"/>
          <w:bCs/>
          <w:sz w:val="26"/>
          <w:szCs w:val="26"/>
        </w:rPr>
        <w:t>,</w:t>
      </w:r>
      <w:r w:rsidR="004325E2">
        <w:rPr>
          <w:rFonts w:ascii="Arial" w:eastAsia="Calibri" w:hAnsi="Arial" w:cs="Arial"/>
          <w:bCs/>
          <w:sz w:val="26"/>
          <w:szCs w:val="26"/>
        </w:rPr>
        <w:t xml:space="preserve"> </w:t>
      </w:r>
      <w:r w:rsidR="00B525A6">
        <w:rPr>
          <w:rFonts w:ascii="Arial" w:hAnsi="Arial" w:cs="Arial"/>
          <w:sz w:val="26"/>
          <w:szCs w:val="26"/>
        </w:rPr>
        <w:t xml:space="preserve">con fundamento en los </w:t>
      </w:r>
      <w:r w:rsidR="00872784">
        <w:rPr>
          <w:rFonts w:ascii="Arial" w:hAnsi="Arial" w:cs="Arial"/>
          <w:sz w:val="26"/>
          <w:szCs w:val="26"/>
        </w:rPr>
        <w:t xml:space="preserve">en los artículos 237 y 238 de la Ley de Procedimiento y Justicia Administrativa para el Estado de Oaxaca, </w:t>
      </w:r>
      <w:r w:rsidR="00B525A6">
        <w:rPr>
          <w:rFonts w:ascii="Arial" w:hAnsi="Arial" w:cs="Arial"/>
          <w:sz w:val="26"/>
          <w:szCs w:val="26"/>
        </w:rPr>
        <w:t>se:</w:t>
      </w:r>
    </w:p>
    <w:p w14:paraId="52567D8D" w14:textId="77777777" w:rsidR="00B525A6" w:rsidRDefault="00B525A6" w:rsidP="00B525A6">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14:paraId="5B1B5C45" w14:textId="12E1F9E7" w:rsidR="004325E2" w:rsidRDefault="00B525A6" w:rsidP="004325E2">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sidRPr="00312EEA">
        <w:rPr>
          <w:rFonts w:ascii="Arial" w:hAnsi="Arial" w:cs="Arial"/>
          <w:b/>
          <w:color w:val="000000"/>
          <w:sz w:val="26"/>
          <w:szCs w:val="26"/>
        </w:rPr>
        <w:t>.</w:t>
      </w:r>
      <w:r>
        <w:rPr>
          <w:rFonts w:ascii="Arial" w:hAnsi="Arial" w:cs="Arial"/>
          <w:color w:val="000000"/>
          <w:sz w:val="26"/>
          <w:szCs w:val="26"/>
        </w:rPr>
        <w:t xml:space="preserve"> </w:t>
      </w:r>
      <w:r>
        <w:rPr>
          <w:rFonts w:ascii="Arial" w:hAnsi="Arial" w:cs="Arial"/>
          <w:color w:val="000000"/>
          <w:sz w:val="26"/>
          <w:szCs w:val="26"/>
          <w:lang w:val="es-MX"/>
        </w:rPr>
        <w:t xml:space="preserve">Se </w:t>
      </w:r>
      <w:r w:rsidR="00E86259">
        <w:rPr>
          <w:rFonts w:ascii="Arial" w:hAnsi="Arial" w:cs="Arial"/>
          <w:b/>
          <w:color w:val="000000"/>
          <w:sz w:val="26"/>
          <w:szCs w:val="26"/>
          <w:lang w:val="es-MX"/>
        </w:rPr>
        <w:t>CONFIRMA</w:t>
      </w:r>
      <w:r>
        <w:rPr>
          <w:rFonts w:ascii="Arial" w:hAnsi="Arial" w:cs="Arial"/>
          <w:b/>
          <w:color w:val="000000"/>
          <w:sz w:val="26"/>
          <w:szCs w:val="26"/>
          <w:lang w:val="es-MX"/>
        </w:rPr>
        <w:t xml:space="preserve"> </w:t>
      </w:r>
      <w:r w:rsidR="00E86259">
        <w:rPr>
          <w:rFonts w:ascii="Arial" w:hAnsi="Arial" w:cs="Arial"/>
          <w:color w:val="000000"/>
          <w:sz w:val="26"/>
          <w:szCs w:val="26"/>
          <w:lang w:val="es-MX"/>
        </w:rPr>
        <w:t>la parte relativa del acuerdo de fecha quince de julio</w:t>
      </w:r>
      <w:r w:rsidR="00312EEA">
        <w:rPr>
          <w:rFonts w:ascii="Arial" w:hAnsi="Arial" w:cs="Arial"/>
          <w:color w:val="000000"/>
          <w:sz w:val="26"/>
          <w:szCs w:val="26"/>
          <w:lang w:val="es-MX"/>
        </w:rPr>
        <w:t xml:space="preserve"> de dos mil diecinueve</w:t>
      </w:r>
      <w:r>
        <w:rPr>
          <w:rFonts w:ascii="Arial" w:hAnsi="Arial" w:cs="Arial"/>
          <w:color w:val="000000"/>
          <w:sz w:val="26"/>
          <w:szCs w:val="26"/>
          <w:lang w:val="es-MX"/>
        </w:rPr>
        <w:t xml:space="preserve">, por las razones expuestas en el considerando que </w:t>
      </w:r>
      <w:r w:rsidR="00312EEA">
        <w:rPr>
          <w:rFonts w:ascii="Arial" w:hAnsi="Arial" w:cs="Arial"/>
          <w:color w:val="000000"/>
          <w:sz w:val="26"/>
          <w:szCs w:val="26"/>
          <w:lang w:val="es-MX"/>
        </w:rPr>
        <w:t xml:space="preserve">antecede. </w:t>
      </w:r>
    </w:p>
    <w:p w14:paraId="43AF98EF" w14:textId="023CCBA5" w:rsidR="0028420C" w:rsidRDefault="00312EEA"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SEGUNDO.</w:t>
      </w:r>
      <w:r w:rsidR="0028420C">
        <w:rPr>
          <w:rFonts w:ascii="Arial" w:hAnsi="Arial" w:cs="Arial"/>
          <w:b/>
          <w:sz w:val="26"/>
          <w:szCs w:val="26"/>
        </w:rPr>
        <w:t xml:space="preserve"> </w:t>
      </w:r>
      <w:r w:rsidR="0028420C" w:rsidRPr="007B1E95">
        <w:rPr>
          <w:rFonts w:ascii="Arial" w:hAnsi="Arial" w:cs="Arial"/>
          <w:b/>
          <w:sz w:val="26"/>
          <w:szCs w:val="26"/>
        </w:rPr>
        <w:t>N</w:t>
      </w:r>
      <w:r w:rsidR="0028420C" w:rsidRPr="006E349D">
        <w:rPr>
          <w:rFonts w:ascii="Arial" w:hAnsi="Arial" w:cs="Arial"/>
          <w:b/>
          <w:sz w:val="26"/>
          <w:szCs w:val="26"/>
        </w:rPr>
        <w:t>OTIFÍQUESE</w:t>
      </w:r>
      <w:r w:rsidR="0028420C">
        <w:rPr>
          <w:rFonts w:ascii="Arial" w:hAnsi="Arial" w:cs="Arial"/>
          <w:b/>
          <w:sz w:val="26"/>
          <w:szCs w:val="26"/>
        </w:rPr>
        <w:t xml:space="preserve"> Y CÚMPLASE,</w:t>
      </w:r>
      <w:r w:rsidR="0028420C" w:rsidRPr="00986534">
        <w:rPr>
          <w:rFonts w:ascii="Arial" w:hAnsi="Arial" w:cs="Arial"/>
          <w:sz w:val="26"/>
          <w:szCs w:val="26"/>
        </w:rPr>
        <w:t xml:space="preserve"> </w:t>
      </w:r>
      <w:r w:rsidR="0028420C">
        <w:rPr>
          <w:rFonts w:ascii="Arial" w:hAnsi="Arial" w:cs="Arial"/>
          <w:sz w:val="26"/>
          <w:szCs w:val="26"/>
        </w:rPr>
        <w:t xml:space="preserve">remítase copia certificada de la presente resolución a la </w:t>
      </w:r>
      <w:r w:rsidR="00E86259">
        <w:rPr>
          <w:rFonts w:ascii="Arial" w:hAnsi="Arial" w:cs="Arial"/>
          <w:sz w:val="26"/>
          <w:szCs w:val="26"/>
        </w:rPr>
        <w:t>Primera</w:t>
      </w:r>
      <w:r w:rsidR="00B65FA9">
        <w:rPr>
          <w:rFonts w:ascii="Arial" w:hAnsi="Arial" w:cs="Arial"/>
          <w:sz w:val="26"/>
          <w:szCs w:val="26"/>
        </w:rPr>
        <w:t xml:space="preserve"> </w:t>
      </w:r>
      <w:r w:rsidR="0028420C">
        <w:rPr>
          <w:rFonts w:ascii="Arial" w:hAnsi="Arial" w:cs="Arial"/>
          <w:sz w:val="26"/>
          <w:szCs w:val="26"/>
        </w:rPr>
        <w:t xml:space="preserve">Sala Unitaria de Primera Instancia de este Tribunal y en su oportunidad archívese el presente cuaderno de revisión como asunto </w:t>
      </w:r>
      <w:r>
        <w:rPr>
          <w:rFonts w:ascii="Arial" w:hAnsi="Arial" w:cs="Arial"/>
          <w:sz w:val="26"/>
          <w:szCs w:val="26"/>
        </w:rPr>
        <w:t xml:space="preserve">concluido. </w:t>
      </w:r>
    </w:p>
    <w:p w14:paraId="2FD26DBB" w14:textId="77777777" w:rsidR="008D66C3" w:rsidRDefault="008D66C3" w:rsidP="008D66C3">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quienes actúan con el Licenciado Juan Edy García Coronado, Secretario General de Acuerdos de este Tribunal, que autoriza y da fe.</w:t>
      </w:r>
    </w:p>
    <w:p w14:paraId="36C86777" w14:textId="77777777" w:rsidR="008D66C3" w:rsidRDefault="008D66C3" w:rsidP="008D66C3">
      <w:pPr>
        <w:tabs>
          <w:tab w:val="left" w:pos="1680"/>
          <w:tab w:val="center" w:pos="4277"/>
        </w:tabs>
        <w:rPr>
          <w:rFonts w:ascii="Arial" w:hAnsi="Arial" w:cs="Arial"/>
          <w:sz w:val="26"/>
          <w:szCs w:val="26"/>
        </w:rPr>
      </w:pPr>
    </w:p>
    <w:p w14:paraId="4136137A" w14:textId="77777777" w:rsidR="008D66C3" w:rsidRDefault="008D66C3" w:rsidP="008D66C3">
      <w:pPr>
        <w:tabs>
          <w:tab w:val="left" w:pos="1680"/>
          <w:tab w:val="center" w:pos="4277"/>
        </w:tabs>
        <w:spacing w:line="240" w:lineRule="auto"/>
        <w:rPr>
          <w:rFonts w:ascii="Arial" w:hAnsi="Arial" w:cs="Arial"/>
          <w:sz w:val="26"/>
          <w:szCs w:val="26"/>
        </w:rPr>
      </w:pPr>
    </w:p>
    <w:p w14:paraId="52960197" w14:textId="77777777" w:rsidR="008D66C3" w:rsidRDefault="008D66C3" w:rsidP="008D66C3">
      <w:pPr>
        <w:tabs>
          <w:tab w:val="left" w:pos="1680"/>
          <w:tab w:val="center" w:pos="4277"/>
        </w:tabs>
        <w:spacing w:line="240" w:lineRule="auto"/>
        <w:jc w:val="center"/>
        <w:rPr>
          <w:rFonts w:ascii="Arial" w:hAnsi="Arial" w:cs="Arial"/>
          <w:sz w:val="26"/>
          <w:szCs w:val="26"/>
        </w:rPr>
      </w:pPr>
    </w:p>
    <w:p w14:paraId="5FC7E8A0" w14:textId="77777777" w:rsidR="008D66C3" w:rsidRDefault="008D66C3" w:rsidP="008D66C3">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13343C1C" w14:textId="77777777" w:rsidR="008D66C3" w:rsidRDefault="008D66C3" w:rsidP="008D66C3">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55F2CCEC" w14:textId="77777777" w:rsidR="008D66C3" w:rsidRDefault="008D66C3" w:rsidP="008D66C3">
      <w:pPr>
        <w:spacing w:after="0" w:line="360" w:lineRule="auto"/>
        <w:jc w:val="center"/>
        <w:rPr>
          <w:rFonts w:ascii="Arial" w:hAnsi="Arial" w:cs="Arial"/>
          <w:sz w:val="26"/>
          <w:szCs w:val="26"/>
        </w:rPr>
      </w:pPr>
    </w:p>
    <w:p w14:paraId="5EAC4FE6" w14:textId="715D194F" w:rsidR="008D66C3" w:rsidRDefault="008D66C3" w:rsidP="008D66C3">
      <w:pPr>
        <w:spacing w:after="0" w:line="360" w:lineRule="auto"/>
        <w:rPr>
          <w:rFonts w:ascii="Arial" w:hAnsi="Arial" w:cs="Arial"/>
          <w:sz w:val="26"/>
          <w:szCs w:val="26"/>
        </w:rPr>
      </w:pPr>
    </w:p>
    <w:p w14:paraId="1BA0D787" w14:textId="77777777" w:rsidR="008D66C3" w:rsidRDefault="008D66C3" w:rsidP="008D66C3">
      <w:pPr>
        <w:spacing w:after="0" w:line="360" w:lineRule="auto"/>
        <w:rPr>
          <w:rFonts w:ascii="Arial" w:hAnsi="Arial" w:cs="Arial"/>
          <w:sz w:val="26"/>
          <w:szCs w:val="26"/>
        </w:rPr>
      </w:pPr>
    </w:p>
    <w:p w14:paraId="1382266A" w14:textId="77777777" w:rsidR="008D66C3" w:rsidRDefault="008D66C3" w:rsidP="008D66C3">
      <w:pPr>
        <w:spacing w:after="0" w:line="360" w:lineRule="auto"/>
        <w:jc w:val="center"/>
        <w:rPr>
          <w:rFonts w:ascii="Arial" w:hAnsi="Arial" w:cs="Arial"/>
          <w:sz w:val="26"/>
          <w:szCs w:val="26"/>
        </w:rPr>
      </w:pPr>
    </w:p>
    <w:p w14:paraId="03086DA7" w14:textId="77777777" w:rsidR="008D66C3" w:rsidRDefault="008D66C3" w:rsidP="008D66C3">
      <w:pPr>
        <w:spacing w:after="0" w:line="360" w:lineRule="auto"/>
        <w:rPr>
          <w:rFonts w:ascii="Arial" w:hAnsi="Arial" w:cs="Arial"/>
          <w:sz w:val="26"/>
          <w:szCs w:val="26"/>
        </w:rPr>
      </w:pPr>
    </w:p>
    <w:p w14:paraId="75635B88" w14:textId="77777777" w:rsidR="008D66C3" w:rsidRDefault="008D66C3" w:rsidP="008D66C3">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7FBB75A1" w14:textId="77777777" w:rsidR="008D66C3" w:rsidRDefault="008D66C3" w:rsidP="008D66C3">
      <w:pPr>
        <w:tabs>
          <w:tab w:val="center" w:pos="4135"/>
          <w:tab w:val="left" w:pos="7515"/>
        </w:tabs>
        <w:spacing w:after="0" w:line="360" w:lineRule="auto"/>
        <w:rPr>
          <w:rFonts w:ascii="Arial" w:hAnsi="Arial" w:cs="Arial"/>
          <w:sz w:val="26"/>
          <w:szCs w:val="26"/>
        </w:rPr>
      </w:pPr>
    </w:p>
    <w:p w14:paraId="559C90C1" w14:textId="77777777" w:rsidR="008D66C3" w:rsidRDefault="008D66C3" w:rsidP="008D66C3">
      <w:pPr>
        <w:tabs>
          <w:tab w:val="center" w:pos="4135"/>
          <w:tab w:val="left" w:pos="7515"/>
        </w:tabs>
        <w:spacing w:after="0" w:line="360" w:lineRule="auto"/>
        <w:jc w:val="center"/>
        <w:rPr>
          <w:rFonts w:ascii="Arial" w:hAnsi="Arial" w:cs="Arial"/>
          <w:sz w:val="26"/>
          <w:szCs w:val="26"/>
        </w:rPr>
      </w:pPr>
    </w:p>
    <w:p w14:paraId="726A3246" w14:textId="77777777" w:rsidR="008D66C3" w:rsidRDefault="008D66C3" w:rsidP="008D66C3">
      <w:pPr>
        <w:tabs>
          <w:tab w:val="center" w:pos="4135"/>
          <w:tab w:val="left" w:pos="7515"/>
        </w:tabs>
        <w:spacing w:after="0" w:line="360" w:lineRule="auto"/>
        <w:jc w:val="center"/>
        <w:rPr>
          <w:rFonts w:ascii="Arial" w:hAnsi="Arial" w:cs="Arial"/>
          <w:sz w:val="26"/>
          <w:szCs w:val="26"/>
        </w:rPr>
      </w:pPr>
    </w:p>
    <w:p w14:paraId="6F17926D" w14:textId="05E423F8" w:rsidR="008D66C3" w:rsidRPr="008D66C3" w:rsidRDefault="008D66C3" w:rsidP="008D66C3">
      <w:pPr>
        <w:tabs>
          <w:tab w:val="center" w:pos="4135"/>
          <w:tab w:val="left" w:pos="7515"/>
        </w:tabs>
        <w:spacing w:after="0" w:line="360" w:lineRule="auto"/>
        <w:jc w:val="center"/>
        <w:rPr>
          <w:rFonts w:ascii="Arial" w:hAnsi="Arial" w:cs="Arial"/>
          <w:b/>
          <w:bCs/>
          <w:sz w:val="14"/>
          <w:szCs w:val="14"/>
        </w:rPr>
      </w:pPr>
      <w:r w:rsidRPr="008D66C3">
        <w:rPr>
          <w:rFonts w:ascii="Arial" w:hAnsi="Arial" w:cs="Arial"/>
          <w:b/>
          <w:bCs/>
          <w:sz w:val="14"/>
          <w:szCs w:val="14"/>
        </w:rPr>
        <w:t>LAS PRESENTES FIRMAS CORRESPONDEN AL RECURSO DE REVISIÓN 299/2019</w:t>
      </w:r>
    </w:p>
    <w:p w14:paraId="1C448F8D" w14:textId="0D43DF61" w:rsidR="008D66C3" w:rsidRPr="008D66C3" w:rsidRDefault="008D66C3" w:rsidP="008D66C3">
      <w:pPr>
        <w:tabs>
          <w:tab w:val="center" w:pos="4135"/>
          <w:tab w:val="left" w:pos="7515"/>
        </w:tabs>
        <w:spacing w:after="0" w:line="360" w:lineRule="auto"/>
        <w:jc w:val="center"/>
        <w:rPr>
          <w:rFonts w:ascii="Arial" w:hAnsi="Arial" w:cs="Arial"/>
          <w:b/>
          <w:bCs/>
          <w:sz w:val="14"/>
          <w:szCs w:val="14"/>
        </w:rPr>
      </w:pPr>
    </w:p>
    <w:p w14:paraId="7FDD46D4" w14:textId="66F334DD" w:rsidR="008D66C3" w:rsidRDefault="008D66C3" w:rsidP="008D66C3">
      <w:pPr>
        <w:tabs>
          <w:tab w:val="center" w:pos="4135"/>
          <w:tab w:val="left" w:pos="7515"/>
        </w:tabs>
        <w:spacing w:after="0" w:line="360" w:lineRule="auto"/>
        <w:jc w:val="center"/>
        <w:rPr>
          <w:rFonts w:ascii="Arial" w:hAnsi="Arial" w:cs="Arial"/>
          <w:sz w:val="26"/>
          <w:szCs w:val="26"/>
        </w:rPr>
      </w:pPr>
    </w:p>
    <w:p w14:paraId="1B3FFA3F" w14:textId="00701550" w:rsidR="008D66C3" w:rsidRDefault="008D66C3" w:rsidP="008D66C3">
      <w:pPr>
        <w:tabs>
          <w:tab w:val="center" w:pos="4135"/>
          <w:tab w:val="left" w:pos="7515"/>
        </w:tabs>
        <w:spacing w:after="0" w:line="360" w:lineRule="auto"/>
        <w:jc w:val="center"/>
        <w:rPr>
          <w:rFonts w:ascii="Arial" w:hAnsi="Arial" w:cs="Arial"/>
          <w:sz w:val="26"/>
          <w:szCs w:val="26"/>
        </w:rPr>
      </w:pPr>
    </w:p>
    <w:p w14:paraId="66EE4A0B" w14:textId="6D2F1B3B" w:rsidR="008D66C3" w:rsidRDefault="008D66C3" w:rsidP="008D66C3">
      <w:pPr>
        <w:tabs>
          <w:tab w:val="center" w:pos="4135"/>
          <w:tab w:val="left" w:pos="7515"/>
        </w:tabs>
        <w:spacing w:after="0" w:line="360" w:lineRule="auto"/>
        <w:jc w:val="center"/>
        <w:rPr>
          <w:rFonts w:ascii="Arial" w:hAnsi="Arial" w:cs="Arial"/>
          <w:sz w:val="26"/>
          <w:szCs w:val="26"/>
        </w:rPr>
      </w:pPr>
    </w:p>
    <w:p w14:paraId="1210C6BC" w14:textId="77777777" w:rsidR="008D66C3" w:rsidRDefault="008D66C3" w:rsidP="008D66C3">
      <w:pPr>
        <w:tabs>
          <w:tab w:val="center" w:pos="4135"/>
          <w:tab w:val="left" w:pos="7515"/>
        </w:tabs>
        <w:spacing w:after="0" w:line="360" w:lineRule="auto"/>
        <w:jc w:val="center"/>
        <w:rPr>
          <w:rFonts w:ascii="Arial" w:hAnsi="Arial" w:cs="Arial"/>
          <w:sz w:val="26"/>
          <w:szCs w:val="26"/>
        </w:rPr>
      </w:pPr>
    </w:p>
    <w:p w14:paraId="0D9A22A0" w14:textId="77777777" w:rsidR="008D66C3" w:rsidRDefault="008D66C3" w:rsidP="008D66C3">
      <w:pPr>
        <w:tabs>
          <w:tab w:val="center" w:pos="4135"/>
          <w:tab w:val="left" w:pos="7515"/>
        </w:tabs>
        <w:spacing w:after="0" w:line="360" w:lineRule="auto"/>
        <w:jc w:val="center"/>
        <w:rPr>
          <w:rFonts w:ascii="Arial" w:hAnsi="Arial" w:cs="Arial"/>
          <w:sz w:val="26"/>
          <w:szCs w:val="26"/>
        </w:rPr>
      </w:pPr>
    </w:p>
    <w:p w14:paraId="7659481F" w14:textId="77777777" w:rsidR="008D66C3" w:rsidRDefault="008D66C3" w:rsidP="008D66C3">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5A30B616" w14:textId="77777777" w:rsidR="008D66C3" w:rsidRDefault="008D66C3" w:rsidP="008D66C3">
      <w:pPr>
        <w:tabs>
          <w:tab w:val="center" w:pos="4135"/>
          <w:tab w:val="left" w:pos="7515"/>
        </w:tabs>
        <w:spacing w:after="0" w:line="360" w:lineRule="auto"/>
        <w:rPr>
          <w:rFonts w:ascii="Arial" w:hAnsi="Arial" w:cs="Arial"/>
          <w:sz w:val="26"/>
          <w:szCs w:val="26"/>
        </w:rPr>
      </w:pPr>
    </w:p>
    <w:p w14:paraId="19C64854" w14:textId="28A4E41A" w:rsidR="008D66C3" w:rsidRDefault="008D66C3" w:rsidP="008D66C3">
      <w:pPr>
        <w:tabs>
          <w:tab w:val="center" w:pos="4135"/>
          <w:tab w:val="left" w:pos="7515"/>
        </w:tabs>
        <w:spacing w:line="360" w:lineRule="auto"/>
        <w:jc w:val="center"/>
        <w:rPr>
          <w:rFonts w:ascii="Arial" w:hAnsi="Arial" w:cs="Arial"/>
          <w:sz w:val="26"/>
          <w:szCs w:val="26"/>
        </w:rPr>
      </w:pPr>
    </w:p>
    <w:p w14:paraId="58CF9010" w14:textId="2DD68EC1" w:rsidR="008D66C3" w:rsidRDefault="008D66C3" w:rsidP="008D66C3">
      <w:pPr>
        <w:tabs>
          <w:tab w:val="center" w:pos="4135"/>
          <w:tab w:val="left" w:pos="7515"/>
        </w:tabs>
        <w:spacing w:line="360" w:lineRule="auto"/>
        <w:jc w:val="center"/>
        <w:rPr>
          <w:rFonts w:ascii="Arial" w:hAnsi="Arial" w:cs="Arial"/>
          <w:sz w:val="26"/>
          <w:szCs w:val="26"/>
        </w:rPr>
      </w:pPr>
    </w:p>
    <w:p w14:paraId="1B2F4CE5" w14:textId="77777777" w:rsidR="008D66C3" w:rsidRDefault="008D66C3" w:rsidP="008D66C3">
      <w:pPr>
        <w:tabs>
          <w:tab w:val="center" w:pos="4135"/>
          <w:tab w:val="left" w:pos="7515"/>
        </w:tabs>
        <w:spacing w:line="360" w:lineRule="auto"/>
        <w:jc w:val="center"/>
        <w:rPr>
          <w:rFonts w:ascii="Arial" w:hAnsi="Arial" w:cs="Arial"/>
          <w:sz w:val="26"/>
          <w:szCs w:val="26"/>
        </w:rPr>
      </w:pPr>
    </w:p>
    <w:p w14:paraId="66D18C4A" w14:textId="77777777" w:rsidR="008D66C3" w:rsidRDefault="008D66C3" w:rsidP="008D66C3">
      <w:pPr>
        <w:tabs>
          <w:tab w:val="center" w:pos="4135"/>
          <w:tab w:val="left" w:pos="7515"/>
        </w:tabs>
        <w:spacing w:after="0" w:line="360" w:lineRule="auto"/>
        <w:rPr>
          <w:rFonts w:ascii="Arial" w:hAnsi="Arial" w:cs="Arial"/>
          <w:sz w:val="26"/>
          <w:szCs w:val="26"/>
        </w:rPr>
      </w:pPr>
    </w:p>
    <w:p w14:paraId="0FFFE18E" w14:textId="77777777" w:rsidR="008D66C3" w:rsidRDefault="008D66C3" w:rsidP="008D66C3">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667CC2ED" w14:textId="77777777" w:rsidR="008D66C3" w:rsidRPr="003B7173" w:rsidRDefault="008D66C3" w:rsidP="008D66C3">
      <w:pPr>
        <w:jc w:val="center"/>
        <w:rPr>
          <w:rFonts w:eastAsiaTheme="minorEastAsia"/>
          <w:sz w:val="26"/>
          <w:szCs w:val="26"/>
        </w:rPr>
      </w:pPr>
      <w:r>
        <w:rPr>
          <w:rFonts w:ascii="Arial" w:hAnsi="Arial" w:cs="Arial"/>
          <w:sz w:val="26"/>
          <w:szCs w:val="26"/>
        </w:rPr>
        <w:t>SECRETARIO GENERAL DE ACUERDOS</w:t>
      </w:r>
    </w:p>
    <w:p w14:paraId="5C9B1390" w14:textId="3135210E" w:rsidR="002E1762" w:rsidRDefault="002E1762" w:rsidP="008D66C3">
      <w:pPr>
        <w:spacing w:before="240" w:line="360" w:lineRule="auto"/>
        <w:ind w:firstLine="708"/>
        <w:jc w:val="both"/>
        <w:rPr>
          <w:sz w:val="26"/>
          <w:szCs w:val="26"/>
        </w:rPr>
      </w:pPr>
    </w:p>
    <w:sectPr w:rsidR="002E1762" w:rsidSect="008D66C3">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5C18E9" w14:textId="77777777" w:rsidR="00035EE1" w:rsidRDefault="00035EE1">
      <w:pPr>
        <w:spacing w:after="0" w:line="240" w:lineRule="auto"/>
      </w:pPr>
      <w:r>
        <w:separator/>
      </w:r>
    </w:p>
  </w:endnote>
  <w:endnote w:type="continuationSeparator" w:id="0">
    <w:p w14:paraId="4B9592D9" w14:textId="77777777" w:rsidR="00035EE1" w:rsidRDefault="00035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F53FDF" w14:textId="77777777" w:rsidR="008D66C3" w:rsidRDefault="008D66C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B7EA41" w14:textId="77777777" w:rsidR="008D66C3" w:rsidRDefault="008D66C3">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8ACB67" w14:textId="77777777" w:rsidR="008D66C3" w:rsidRDefault="008D66C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77FB84" w14:textId="77777777" w:rsidR="00035EE1" w:rsidRDefault="00035EE1">
      <w:pPr>
        <w:spacing w:after="0" w:line="240" w:lineRule="auto"/>
      </w:pPr>
      <w:r>
        <w:separator/>
      </w:r>
    </w:p>
  </w:footnote>
  <w:footnote w:type="continuationSeparator" w:id="0">
    <w:p w14:paraId="0DF69562" w14:textId="77777777" w:rsidR="00035EE1" w:rsidRDefault="00035EE1">
      <w:pPr>
        <w:spacing w:after="0" w:line="240" w:lineRule="auto"/>
      </w:pPr>
      <w:r>
        <w:continuationSeparator/>
      </w:r>
    </w:p>
  </w:footnote>
  <w:footnote w:id="1">
    <w:p w14:paraId="60EF3826" w14:textId="77777777" w:rsidR="004936D6" w:rsidRPr="006920F4" w:rsidRDefault="004936D6" w:rsidP="004936D6">
      <w:pPr>
        <w:pStyle w:val="Textonotapie"/>
        <w:rPr>
          <w:lang w:val="es-MX"/>
        </w:rPr>
      </w:pPr>
      <w:r>
        <w:rPr>
          <w:rStyle w:val="Refdenotaalpie"/>
        </w:rPr>
        <w:footnoteRef/>
      </w:r>
      <w:r>
        <w:t xml:space="preserve"> </w:t>
      </w:r>
      <w:r>
        <w:rPr>
          <w:lang w:val="es-MX"/>
        </w:rPr>
        <w:t>Visible a foja 25 del expediente de nulidad de origen.</w:t>
      </w:r>
    </w:p>
  </w:footnote>
  <w:footnote w:id="2">
    <w:p w14:paraId="5449E537" w14:textId="77777777" w:rsidR="004936D6" w:rsidRPr="009E39DB" w:rsidRDefault="004936D6" w:rsidP="004936D6">
      <w:pPr>
        <w:pStyle w:val="Textonotapie"/>
        <w:rPr>
          <w:lang w:val="es-MX"/>
        </w:rPr>
      </w:pPr>
      <w:r>
        <w:rPr>
          <w:rStyle w:val="Refdenotaalpie"/>
        </w:rPr>
        <w:footnoteRef/>
      </w:r>
      <w:r>
        <w:t xml:space="preserve"> </w:t>
      </w:r>
      <w:r>
        <w:rPr>
          <w:lang w:val="es-MX"/>
        </w:rPr>
        <w:t>Visible a foja 16 del expediente de nulidad de origen.</w:t>
      </w:r>
    </w:p>
  </w:footnote>
  <w:footnote w:id="3">
    <w:p w14:paraId="31EB5FE6" w14:textId="77777777" w:rsidR="004936D6" w:rsidRPr="009E39DB" w:rsidRDefault="004936D6" w:rsidP="004936D6">
      <w:pPr>
        <w:pStyle w:val="Textonotapie"/>
        <w:rPr>
          <w:lang w:val="es-MX"/>
        </w:rPr>
      </w:pPr>
      <w:r>
        <w:rPr>
          <w:rStyle w:val="Refdenotaalpie"/>
        </w:rPr>
        <w:footnoteRef/>
      </w:r>
      <w:r>
        <w:t xml:space="preserve"> </w:t>
      </w:r>
      <w:r>
        <w:rPr>
          <w:lang w:val="es-MX"/>
        </w:rPr>
        <w:t>Visible a foja 15 del expediente de nulidad de origen.</w:t>
      </w:r>
    </w:p>
  </w:footnote>
  <w:footnote w:id="4">
    <w:p w14:paraId="2DCACA21" w14:textId="77777777" w:rsidR="004936D6" w:rsidRDefault="004936D6" w:rsidP="004936D6">
      <w:pPr>
        <w:pStyle w:val="Textonotapie"/>
        <w:jc w:val="both"/>
        <w:rPr>
          <w:lang w:val="es-MX"/>
        </w:rPr>
      </w:pPr>
      <w:r>
        <w:rPr>
          <w:rStyle w:val="Refdenotaalpie"/>
        </w:rPr>
        <w:footnoteRef/>
      </w:r>
      <w:r>
        <w:t xml:space="preserve"> </w:t>
      </w:r>
      <w:r>
        <w:rPr>
          <w:lang w:val="es-MX"/>
        </w:rPr>
        <w:t>“</w:t>
      </w:r>
      <w:r w:rsidRPr="009005F0">
        <w:rPr>
          <w:b/>
          <w:lang w:val="es-MX"/>
        </w:rPr>
        <w:t>ARTÍCULO 163.-</w:t>
      </w:r>
      <w:r>
        <w:rPr>
          <w:lang w:val="es-MX"/>
        </w:rPr>
        <w:t xml:space="preserve"> Son partes en el juicio contencioso administrativo: (…)</w:t>
      </w:r>
    </w:p>
    <w:p w14:paraId="57B92A14" w14:textId="77777777" w:rsidR="004936D6" w:rsidRPr="009005F0" w:rsidRDefault="004936D6" w:rsidP="004936D6">
      <w:pPr>
        <w:pStyle w:val="Textonotapie"/>
        <w:jc w:val="both"/>
        <w:rPr>
          <w:lang w:val="es-MX"/>
        </w:rPr>
      </w:pPr>
      <w:r>
        <w:rPr>
          <w:lang w:val="es-MX"/>
        </w:rPr>
        <w:t>II. El demandado. Tendrá ese carácter: a) La autoridad que dicte, ordene, ejecute o trate de ejecutar el acto impugnado, o que omita dar respuesta a las peticiones o instancias de los particulares; (…)</w:t>
      </w:r>
    </w:p>
  </w:footnote>
  <w:footnote w:id="5">
    <w:p w14:paraId="122A4AA2" w14:textId="77777777" w:rsidR="00870EC4" w:rsidRPr="00A822B7" w:rsidRDefault="00870EC4" w:rsidP="00870EC4">
      <w:pPr>
        <w:pStyle w:val="Textonotapie"/>
        <w:jc w:val="both"/>
        <w:rPr>
          <w:lang w:val="es-MX"/>
        </w:rPr>
      </w:pPr>
      <w:r>
        <w:rPr>
          <w:rStyle w:val="Refdenotaalpie"/>
        </w:rPr>
        <w:footnoteRef/>
      </w:r>
      <w:r>
        <w:t xml:space="preserve"> </w:t>
      </w:r>
      <w:r>
        <w:rPr>
          <w:lang w:val="es-MX"/>
        </w:rPr>
        <w:t>Sirve de apoyo para estas consideraciones la Jurisprudencia P./J. 28/2012, publicada por el Pleno de la Suprema Corte de Justicia de la Nación en el Semanario Judicial de la Federación y su Gaceta, Libro XIII, Octubre de 2012, Tomo 1, visible a página 6, Novena Época, que es del rubro y texto siguiente:</w:t>
      </w:r>
      <w:r w:rsidRPr="00A822B7">
        <w:rPr>
          <w:rFonts w:eastAsia="Calibri" w:cs="Arial"/>
          <w:bCs/>
        </w:rPr>
        <w:t xml:space="preserve"> </w:t>
      </w:r>
      <w:r>
        <w:rPr>
          <w:rFonts w:eastAsia="Calibri" w:cs="Arial"/>
          <w:bCs/>
        </w:rPr>
        <w:t>“</w:t>
      </w:r>
      <w:r w:rsidRPr="00A822B7">
        <w:rPr>
          <w:rFonts w:eastAsia="Calibri" w:cs="Arial"/>
          <w:b/>
          <w:bCs/>
        </w:rPr>
        <w:t>CUMPLIMIENTO DE SENTENCIAS DE AMPARO. EL ACUERDO EN VIRTUD DEL CUAL LA AUTORIDAD VINCULADA DELEGA SUS ATRIBUCIONES A UN INFERIOR JERÁRQUICO NO DESINCORPORA DE SU ESFERA COMPETENCIAL LA OBLIGACIÓN CONSTITUCIONAL RESPECTIVA</w:t>
      </w:r>
      <w:r w:rsidRPr="00A822B7">
        <w:rPr>
          <w:rFonts w:eastAsia="Calibri" w:cs="Arial"/>
          <w:bCs/>
        </w:rPr>
        <w:t xml:space="preserve">. Si bien es cierto que un acto administrativo de esa naturaleza pretende optimizar el ejercicio de las funciones encomendadas a una determinada dependencia de la administración pública, también lo es que con ello no se desincorpora de la esfera competencial de la autoridad titular de la atribución delegada la responsabilidad constitucional que le asiste para ejercerla en acatamiento de una sentencia de amparo. De ahí que aun cuando el deber de acatar una sentencia de amparo puede transferirse a una diversa autoridad, jurisprudencialmente denominada "autoridad sustituta", con motivo de una reforma a la normativa legal o reglamentaria que rige a la autoridad originalmente vinculada, debe tomarse en cuenta que dicha sustitución no puede operar válidamente cuando a un inferior jerárquico se le delega la atribución necesaria para cumplir con la sentencia </w:t>
      </w:r>
      <w:proofErr w:type="spellStart"/>
      <w:r w:rsidRPr="00A822B7">
        <w:rPr>
          <w:rFonts w:eastAsia="Calibri" w:cs="Arial"/>
          <w:bCs/>
        </w:rPr>
        <w:t>concesoria</w:t>
      </w:r>
      <w:proofErr w:type="spellEnd"/>
      <w:r w:rsidRPr="00A822B7">
        <w:rPr>
          <w:rFonts w:eastAsia="Calibri" w:cs="Arial"/>
          <w:bCs/>
        </w:rPr>
        <w:t xml:space="preserve"> mediante un acuerdo administrativo ya que, legalmente, en ese supuesto la responsabilidad que al respecto le asiste al superior jerárquico se mantendrá en su esfera competencial por ser una atribución que de origen le corresponde, y si bien éste puede auxiliarse de algún inferior jerárquico para su ejercicio, será bajo su más estricta responsabilidad, por lo que el retraso en el cumplimiento de una sentencia de amparo será imputable al titular de la atribución respectiva y no al inferior al que le fue delegada.</w:t>
      </w:r>
      <w:r>
        <w:rPr>
          <w:rFonts w:eastAsia="Calibri" w:cs="Arial"/>
          <w:bCs/>
        </w:rPr>
        <w:t>”</w:t>
      </w:r>
    </w:p>
    <w:p w14:paraId="7B7DD9A0" w14:textId="77777777" w:rsidR="00870EC4" w:rsidRPr="00A822B7" w:rsidRDefault="00870EC4" w:rsidP="00870EC4">
      <w:pPr>
        <w:pStyle w:val="Textonotapie"/>
        <w:jc w:val="both"/>
        <w:rPr>
          <w:lang w:val="es-MX"/>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02CDE4F6" w14:textId="3047543B" w:rsidR="00B578F5" w:rsidRDefault="00035EE1" w:rsidP="00D25099">
        <w:pPr>
          <w:pStyle w:val="Encabezado"/>
          <w:jc w:val="center"/>
        </w:pPr>
        <w:r>
          <w:rPr>
            <w:noProof/>
          </w:rPr>
          <w:pict w14:anchorId="3B7722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8359422" o:spid="_x0000_s2066"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r w:rsidR="00B578F5">
          <w:fldChar w:fldCharType="begin"/>
        </w:r>
        <w:r w:rsidR="00B578F5">
          <w:instrText>PAGE   \* MERGEFORMAT</w:instrText>
        </w:r>
        <w:r w:rsidR="00B578F5">
          <w:fldChar w:fldCharType="separate"/>
        </w:r>
        <w:r w:rsidR="009E19AD">
          <w:rPr>
            <w:noProof/>
          </w:rPr>
          <w:t>2</w:t>
        </w:r>
        <w:r w:rsidR="00B578F5">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0C415C" w14:textId="30CA4D5F" w:rsidR="009E19AD" w:rsidRDefault="009E19AD" w:rsidP="009E19AD">
    <w:pPr>
      <w:pStyle w:val="Encabezado"/>
      <w:tabs>
        <w:tab w:val="left" w:pos="3385"/>
        <w:tab w:val="center" w:pos="4135"/>
      </w:tabs>
    </w:pPr>
  </w:p>
  <w:sdt>
    <w:sdtPr>
      <w:id w:val="-1748483066"/>
      <w:docPartObj>
        <w:docPartGallery w:val="Page Numbers (Top of Page)"/>
        <w:docPartUnique/>
      </w:docPartObj>
    </w:sdtPr>
    <w:sdtEndPr/>
    <w:sdtContent>
      <w:p w14:paraId="297359AB" w14:textId="42E38904" w:rsidR="00B578F5" w:rsidRDefault="009E19AD" w:rsidP="009E19AD">
        <w:pPr>
          <w:pStyle w:val="Encabezado"/>
          <w:tabs>
            <w:tab w:val="left" w:pos="3385"/>
            <w:tab w:val="center" w:pos="4135"/>
          </w:tabs>
          <w:rPr>
            <w:noProof/>
          </w:rPr>
        </w:pPr>
        <w:r>
          <w:tab/>
        </w:r>
        <w:r>
          <w:tab/>
        </w:r>
        <w:bookmarkStart w:id="0" w:name="_GoBack"/>
        <w:r w:rsidR="00035EE1">
          <w:rPr>
            <w:noProof/>
          </w:rPr>
          <w:pict w14:anchorId="2D88B0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8359423" o:spid="_x0000_s2067" type="#_x0000_t75" style="position:absolute;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bookmarkEnd w:id="0"/>
        <w:r w:rsidR="00B578F5">
          <w:fldChar w:fldCharType="begin"/>
        </w:r>
        <w:r w:rsidR="00B578F5">
          <w:instrText xml:space="preserve"> PAGE   \* MERGEFORMAT </w:instrText>
        </w:r>
        <w:r w:rsidR="00B578F5">
          <w:fldChar w:fldCharType="separate"/>
        </w:r>
        <w:r>
          <w:rPr>
            <w:noProof/>
          </w:rPr>
          <w:t>1</w:t>
        </w:r>
        <w:r w:rsidR="00B578F5">
          <w:rPr>
            <w:noProof/>
          </w:rPr>
          <w:fldChar w:fldCharType="end"/>
        </w:r>
      </w:p>
      <w:p w14:paraId="4943CA9D" w14:textId="77777777" w:rsidR="00B578F5" w:rsidRDefault="00035EE1" w:rsidP="008C74CA">
        <w:pPr>
          <w:pStyle w:val="Encabezado"/>
          <w:jc w:val="center"/>
        </w:pPr>
      </w:p>
    </w:sdtContent>
  </w:sdt>
  <w:p w14:paraId="48C0CC8A" w14:textId="7D871374" w:rsidR="00B578F5" w:rsidRDefault="00B578F5" w:rsidP="00256B01">
    <w:pPr>
      <w:pStyle w:val="Encabezado"/>
      <w:jc w:val="center"/>
    </w:pPr>
  </w:p>
  <w:p w14:paraId="2773AC5E" w14:textId="420244FF" w:rsidR="00B578F5" w:rsidRDefault="009E19AD" w:rsidP="00256B01">
    <w:pPr>
      <w:pStyle w:val="Encabezado"/>
      <w:jc w:val="center"/>
    </w:pPr>
    <w:r>
      <w:rPr>
        <w:noProof/>
      </w:rPr>
      <mc:AlternateContent>
        <mc:Choice Requires="wps">
          <w:drawing>
            <wp:anchor distT="45720" distB="45720" distL="114300" distR="114300" simplePos="0" relativeHeight="251663360" behindDoc="0" locked="0" layoutInCell="1" allowOverlap="1" wp14:anchorId="3F82E07D" wp14:editId="1C47816E">
              <wp:simplePos x="0" y="0"/>
              <wp:positionH relativeFrom="column">
                <wp:posOffset>-1582420</wp:posOffset>
              </wp:positionH>
              <wp:positionV relativeFrom="paragraph">
                <wp:posOffset>5351420</wp:posOffset>
              </wp:positionV>
              <wp:extent cx="1146175" cy="756920"/>
              <wp:effectExtent l="0" t="0" r="15875" b="2413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756920"/>
                      </a:xfrm>
                      <a:prstGeom prst="rect">
                        <a:avLst/>
                      </a:prstGeom>
                      <a:solidFill>
                        <a:srgbClr val="FFFFFF"/>
                      </a:solidFill>
                      <a:ln w="9525">
                        <a:solidFill>
                          <a:srgbClr val="000000"/>
                        </a:solidFill>
                        <a:miter lim="800000"/>
                        <a:headEnd/>
                        <a:tailEnd/>
                      </a:ln>
                    </wps:spPr>
                    <wps:txbx>
                      <w:txbxContent>
                        <w:p w14:paraId="49D8E23B" w14:textId="3D562097" w:rsidR="009E19AD" w:rsidRPr="009E19AD" w:rsidRDefault="009E19AD">
                          <w:pPr>
                            <w:rPr>
                              <w:sz w:val="16"/>
                              <w:szCs w:val="16"/>
                            </w:rPr>
                          </w:pPr>
                          <w:r w:rsidRPr="009E19AD">
                            <w:rPr>
                              <w:sz w:val="16"/>
                              <w:szCs w:val="16"/>
                            </w:rPr>
                            <w:t xml:space="preserve">Los datos personales están protegidos por el art.116 de la LGTAIP y el art.56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82E07D" id="_x0000_t202" coordsize="21600,21600" o:spt="202" path="m,l,21600r21600,l21600,xe">
              <v:stroke joinstyle="miter"/>
              <v:path gradientshapeok="t" o:connecttype="rect"/>
            </v:shapetype>
            <v:shape id="Cuadro de texto 2" o:spid="_x0000_s1026" type="#_x0000_t202" style="position:absolute;left:0;text-align:left;margin-left:-124.6pt;margin-top:421.35pt;width:90.25pt;height:59.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">
              <v:textbox>
                <w:txbxContent>
                  <w:p w14:paraId="49D8E23B" w14:textId="3D562097" w:rsidR="009E19AD" w:rsidRPr="009E19AD" w:rsidRDefault="009E19AD">
                    <w:pPr>
                      <w:rPr>
                        <w:sz w:val="16"/>
                        <w:szCs w:val="16"/>
                      </w:rPr>
                    </w:pPr>
                    <w:r w:rsidRPr="009E19AD">
                      <w:rPr>
                        <w:sz w:val="16"/>
                        <w:szCs w:val="16"/>
                      </w:rPr>
                      <w:t xml:space="preserve">Los datos personales están protegidos por el art.116 de la LGTAIP y el art.56 de la LTAIPEO. </w:t>
                    </w:r>
                  </w:p>
                </w:txbxContent>
              </v:textbox>
              <w10:wrap type="square"/>
            </v:shape>
          </w:pict>
        </mc:Fallback>
      </mc:AlternateContent>
    </w:r>
    <w:r w:rsidR="008D66C3">
      <w:rPr>
        <w:noProof/>
        <w:lang w:val="es-MX" w:eastAsia="es-MX"/>
      </w:rPr>
      <mc:AlternateContent>
        <mc:Choice Requires="wpg">
          <w:drawing>
            <wp:anchor distT="0" distB="0" distL="114300" distR="114300" simplePos="0" relativeHeight="251658240" behindDoc="0" locked="0" layoutInCell="1" allowOverlap="1" wp14:anchorId="160EAE52" wp14:editId="4B6F70FA">
              <wp:simplePos x="0" y="0"/>
              <wp:positionH relativeFrom="margin">
                <wp:posOffset>-1419225</wp:posOffset>
              </wp:positionH>
              <wp:positionV relativeFrom="page">
                <wp:posOffset>5315791</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ACBEDF7" id="Grupo 3" o:spid="_x0000_s1026" style="position:absolute;margin-left:-111.75pt;margin-top:418.55pt;width:90pt;height:63.6pt;z-index:251658240;mso-position-horizontal-relative:margin;mso-position-vertical-relative:page;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2114A" w14:textId="11A9EFE9" w:rsidR="008D66C3" w:rsidRDefault="00035EE1">
    <w:pPr>
      <w:pStyle w:val="Encabezado"/>
    </w:pPr>
    <w:r>
      <w:rPr>
        <w:noProof/>
      </w:rPr>
      <w:pict w14:anchorId="3F6567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8359421" o:spid="_x0000_s2065"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DEE2444"/>
    <w:multiLevelType w:val="hybridMultilevel"/>
    <w:tmpl w:val="5330AAD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3200646D"/>
    <w:multiLevelType w:val="hybridMultilevel"/>
    <w:tmpl w:val="2B0CE20C"/>
    <w:lvl w:ilvl="0" w:tplc="17F2E66A">
      <w:start w:val="6"/>
      <w:numFmt w:val="upperRoman"/>
      <w:lvlText w:val="%1."/>
      <w:lvlJc w:val="left"/>
      <w:pPr>
        <w:ind w:left="2193" w:hanging="720"/>
      </w:pPr>
      <w:rPr>
        <w:rFonts w:hint="default"/>
        <w:sz w:val="22"/>
      </w:rPr>
    </w:lvl>
    <w:lvl w:ilvl="1" w:tplc="080A0019" w:tentative="1">
      <w:start w:val="1"/>
      <w:numFmt w:val="lowerLetter"/>
      <w:lvlText w:val="%2."/>
      <w:lvlJc w:val="left"/>
      <w:pPr>
        <w:ind w:left="2553" w:hanging="360"/>
      </w:pPr>
    </w:lvl>
    <w:lvl w:ilvl="2" w:tplc="080A001B" w:tentative="1">
      <w:start w:val="1"/>
      <w:numFmt w:val="lowerRoman"/>
      <w:lvlText w:val="%3."/>
      <w:lvlJc w:val="right"/>
      <w:pPr>
        <w:ind w:left="3273" w:hanging="180"/>
      </w:pPr>
    </w:lvl>
    <w:lvl w:ilvl="3" w:tplc="080A000F" w:tentative="1">
      <w:start w:val="1"/>
      <w:numFmt w:val="decimal"/>
      <w:lvlText w:val="%4."/>
      <w:lvlJc w:val="left"/>
      <w:pPr>
        <w:ind w:left="3993" w:hanging="360"/>
      </w:pPr>
    </w:lvl>
    <w:lvl w:ilvl="4" w:tplc="080A0019" w:tentative="1">
      <w:start w:val="1"/>
      <w:numFmt w:val="lowerLetter"/>
      <w:lvlText w:val="%5."/>
      <w:lvlJc w:val="left"/>
      <w:pPr>
        <w:ind w:left="4713" w:hanging="360"/>
      </w:pPr>
    </w:lvl>
    <w:lvl w:ilvl="5" w:tplc="080A001B" w:tentative="1">
      <w:start w:val="1"/>
      <w:numFmt w:val="lowerRoman"/>
      <w:lvlText w:val="%6."/>
      <w:lvlJc w:val="right"/>
      <w:pPr>
        <w:ind w:left="5433" w:hanging="180"/>
      </w:pPr>
    </w:lvl>
    <w:lvl w:ilvl="6" w:tplc="080A000F" w:tentative="1">
      <w:start w:val="1"/>
      <w:numFmt w:val="decimal"/>
      <w:lvlText w:val="%7."/>
      <w:lvlJc w:val="left"/>
      <w:pPr>
        <w:ind w:left="6153" w:hanging="360"/>
      </w:pPr>
    </w:lvl>
    <w:lvl w:ilvl="7" w:tplc="080A0019" w:tentative="1">
      <w:start w:val="1"/>
      <w:numFmt w:val="lowerLetter"/>
      <w:lvlText w:val="%8."/>
      <w:lvlJc w:val="left"/>
      <w:pPr>
        <w:ind w:left="6873" w:hanging="360"/>
      </w:pPr>
    </w:lvl>
    <w:lvl w:ilvl="8" w:tplc="080A001B" w:tentative="1">
      <w:start w:val="1"/>
      <w:numFmt w:val="lowerRoman"/>
      <w:lvlText w:val="%9."/>
      <w:lvlJc w:val="right"/>
      <w:pPr>
        <w:ind w:left="7593" w:hanging="180"/>
      </w:pPr>
    </w:lvl>
  </w:abstractNum>
  <w:abstractNum w:abstractNumId="5">
    <w:nsid w:val="39397900"/>
    <w:multiLevelType w:val="hybridMultilevel"/>
    <w:tmpl w:val="C67E88EC"/>
    <w:lvl w:ilvl="0" w:tplc="849AAFEE">
      <w:start w:val="1"/>
      <w:numFmt w:val="lowerRoman"/>
      <w:lvlText w:val="%1)"/>
      <w:lvlJc w:val="left"/>
      <w:pPr>
        <w:ind w:left="1995" w:hanging="720"/>
      </w:pPr>
      <w:rPr>
        <w:rFonts w:hint="default"/>
      </w:rPr>
    </w:lvl>
    <w:lvl w:ilvl="1" w:tplc="080A0019" w:tentative="1">
      <w:start w:val="1"/>
      <w:numFmt w:val="lowerLetter"/>
      <w:lvlText w:val="%2."/>
      <w:lvlJc w:val="left"/>
      <w:pPr>
        <w:ind w:left="2355" w:hanging="360"/>
      </w:pPr>
    </w:lvl>
    <w:lvl w:ilvl="2" w:tplc="080A001B" w:tentative="1">
      <w:start w:val="1"/>
      <w:numFmt w:val="lowerRoman"/>
      <w:lvlText w:val="%3."/>
      <w:lvlJc w:val="right"/>
      <w:pPr>
        <w:ind w:left="3075" w:hanging="180"/>
      </w:pPr>
    </w:lvl>
    <w:lvl w:ilvl="3" w:tplc="080A000F" w:tentative="1">
      <w:start w:val="1"/>
      <w:numFmt w:val="decimal"/>
      <w:lvlText w:val="%4."/>
      <w:lvlJc w:val="left"/>
      <w:pPr>
        <w:ind w:left="3795" w:hanging="360"/>
      </w:pPr>
    </w:lvl>
    <w:lvl w:ilvl="4" w:tplc="080A0019" w:tentative="1">
      <w:start w:val="1"/>
      <w:numFmt w:val="lowerLetter"/>
      <w:lvlText w:val="%5."/>
      <w:lvlJc w:val="left"/>
      <w:pPr>
        <w:ind w:left="4515" w:hanging="360"/>
      </w:pPr>
    </w:lvl>
    <w:lvl w:ilvl="5" w:tplc="080A001B" w:tentative="1">
      <w:start w:val="1"/>
      <w:numFmt w:val="lowerRoman"/>
      <w:lvlText w:val="%6."/>
      <w:lvlJc w:val="right"/>
      <w:pPr>
        <w:ind w:left="5235" w:hanging="180"/>
      </w:pPr>
    </w:lvl>
    <w:lvl w:ilvl="6" w:tplc="080A000F" w:tentative="1">
      <w:start w:val="1"/>
      <w:numFmt w:val="decimal"/>
      <w:lvlText w:val="%7."/>
      <w:lvlJc w:val="left"/>
      <w:pPr>
        <w:ind w:left="5955" w:hanging="360"/>
      </w:pPr>
    </w:lvl>
    <w:lvl w:ilvl="7" w:tplc="080A0019" w:tentative="1">
      <w:start w:val="1"/>
      <w:numFmt w:val="lowerLetter"/>
      <w:lvlText w:val="%8."/>
      <w:lvlJc w:val="left"/>
      <w:pPr>
        <w:ind w:left="6675" w:hanging="360"/>
      </w:pPr>
    </w:lvl>
    <w:lvl w:ilvl="8" w:tplc="080A001B" w:tentative="1">
      <w:start w:val="1"/>
      <w:numFmt w:val="lowerRoman"/>
      <w:lvlText w:val="%9."/>
      <w:lvlJc w:val="right"/>
      <w:pPr>
        <w:ind w:left="7395" w:hanging="180"/>
      </w:pPr>
    </w:lvl>
  </w:abstractNum>
  <w:abstractNum w:abstractNumId="6">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8">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6"/>
  </w:num>
  <w:num w:numId="7">
    <w:abstractNumId w:val="3"/>
  </w:num>
  <w:num w:numId="8">
    <w:abstractNumId w:val="9"/>
  </w:num>
  <w:num w:numId="9">
    <w:abstractNumId w:val="7"/>
  </w:num>
  <w:num w:numId="10">
    <w:abstractNumId w:val="8"/>
  </w:num>
  <w:num w:numId="11">
    <w:abstractNumId w:val="4"/>
  </w:num>
  <w:num w:numId="12">
    <w:abstractNumId w:val="5"/>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6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2DC"/>
    <w:rsid w:val="00004A31"/>
    <w:rsid w:val="0000725B"/>
    <w:rsid w:val="000114B9"/>
    <w:rsid w:val="00011594"/>
    <w:rsid w:val="000169A3"/>
    <w:rsid w:val="00017C09"/>
    <w:rsid w:val="00021DF1"/>
    <w:rsid w:val="0002236D"/>
    <w:rsid w:val="00026C11"/>
    <w:rsid w:val="00026F35"/>
    <w:rsid w:val="000330FB"/>
    <w:rsid w:val="0003331C"/>
    <w:rsid w:val="00035047"/>
    <w:rsid w:val="00035379"/>
    <w:rsid w:val="00035EE1"/>
    <w:rsid w:val="00036496"/>
    <w:rsid w:val="00036D01"/>
    <w:rsid w:val="000410A1"/>
    <w:rsid w:val="000410EE"/>
    <w:rsid w:val="00041D15"/>
    <w:rsid w:val="00042B31"/>
    <w:rsid w:val="00042D04"/>
    <w:rsid w:val="0004575F"/>
    <w:rsid w:val="00045A11"/>
    <w:rsid w:val="00046F11"/>
    <w:rsid w:val="00047409"/>
    <w:rsid w:val="00050B7F"/>
    <w:rsid w:val="00053617"/>
    <w:rsid w:val="00053C13"/>
    <w:rsid w:val="00054351"/>
    <w:rsid w:val="00055CE8"/>
    <w:rsid w:val="0005701D"/>
    <w:rsid w:val="00057174"/>
    <w:rsid w:val="00057817"/>
    <w:rsid w:val="000612E4"/>
    <w:rsid w:val="000616B5"/>
    <w:rsid w:val="000669DE"/>
    <w:rsid w:val="00070777"/>
    <w:rsid w:val="0007168A"/>
    <w:rsid w:val="00072A51"/>
    <w:rsid w:val="000737BF"/>
    <w:rsid w:val="0007458B"/>
    <w:rsid w:val="00075234"/>
    <w:rsid w:val="000752E9"/>
    <w:rsid w:val="00076CEA"/>
    <w:rsid w:val="000803AB"/>
    <w:rsid w:val="00081361"/>
    <w:rsid w:val="000822AF"/>
    <w:rsid w:val="00083BEB"/>
    <w:rsid w:val="00085132"/>
    <w:rsid w:val="00085720"/>
    <w:rsid w:val="00085F69"/>
    <w:rsid w:val="00090B95"/>
    <w:rsid w:val="00091F56"/>
    <w:rsid w:val="00094546"/>
    <w:rsid w:val="0009618C"/>
    <w:rsid w:val="000961D2"/>
    <w:rsid w:val="000975B2"/>
    <w:rsid w:val="000A1494"/>
    <w:rsid w:val="000A4E40"/>
    <w:rsid w:val="000A55D7"/>
    <w:rsid w:val="000A6360"/>
    <w:rsid w:val="000A6EC7"/>
    <w:rsid w:val="000A7BA9"/>
    <w:rsid w:val="000B0E70"/>
    <w:rsid w:val="000B1A06"/>
    <w:rsid w:val="000B3B3B"/>
    <w:rsid w:val="000B4122"/>
    <w:rsid w:val="000B6446"/>
    <w:rsid w:val="000C1F7C"/>
    <w:rsid w:val="000C313C"/>
    <w:rsid w:val="000C3DBF"/>
    <w:rsid w:val="000D0E1D"/>
    <w:rsid w:val="000D1597"/>
    <w:rsid w:val="000D16A7"/>
    <w:rsid w:val="000D1BD0"/>
    <w:rsid w:val="000D29A1"/>
    <w:rsid w:val="000D29D8"/>
    <w:rsid w:val="000D2FDE"/>
    <w:rsid w:val="000E12D3"/>
    <w:rsid w:val="000E218B"/>
    <w:rsid w:val="000E2E24"/>
    <w:rsid w:val="000E322A"/>
    <w:rsid w:val="000E329B"/>
    <w:rsid w:val="000E504E"/>
    <w:rsid w:val="000E6437"/>
    <w:rsid w:val="000F018A"/>
    <w:rsid w:val="000F5004"/>
    <w:rsid w:val="000F54B0"/>
    <w:rsid w:val="000F560C"/>
    <w:rsid w:val="000F5D12"/>
    <w:rsid w:val="000F62C3"/>
    <w:rsid w:val="000F7CF6"/>
    <w:rsid w:val="00103FE7"/>
    <w:rsid w:val="001058D3"/>
    <w:rsid w:val="00105DF0"/>
    <w:rsid w:val="0010644A"/>
    <w:rsid w:val="00111B33"/>
    <w:rsid w:val="00111BFC"/>
    <w:rsid w:val="001134A3"/>
    <w:rsid w:val="001144A1"/>
    <w:rsid w:val="00114AC5"/>
    <w:rsid w:val="00116579"/>
    <w:rsid w:val="00120740"/>
    <w:rsid w:val="001208F4"/>
    <w:rsid w:val="00121600"/>
    <w:rsid w:val="0012217B"/>
    <w:rsid w:val="00122F5E"/>
    <w:rsid w:val="00126F80"/>
    <w:rsid w:val="00127839"/>
    <w:rsid w:val="00127A57"/>
    <w:rsid w:val="00127D14"/>
    <w:rsid w:val="00130500"/>
    <w:rsid w:val="001308D4"/>
    <w:rsid w:val="00131CDF"/>
    <w:rsid w:val="00131E5E"/>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3A4F"/>
    <w:rsid w:val="00174CF4"/>
    <w:rsid w:val="001761CB"/>
    <w:rsid w:val="00180F55"/>
    <w:rsid w:val="00181505"/>
    <w:rsid w:val="001827CF"/>
    <w:rsid w:val="00183FF0"/>
    <w:rsid w:val="001843E8"/>
    <w:rsid w:val="00184B23"/>
    <w:rsid w:val="00187CEF"/>
    <w:rsid w:val="00187EB8"/>
    <w:rsid w:val="0019080F"/>
    <w:rsid w:val="00190DE9"/>
    <w:rsid w:val="00191A27"/>
    <w:rsid w:val="00192287"/>
    <w:rsid w:val="00194A88"/>
    <w:rsid w:val="00194C5C"/>
    <w:rsid w:val="0019600D"/>
    <w:rsid w:val="001A15DC"/>
    <w:rsid w:val="001A2DD1"/>
    <w:rsid w:val="001A3755"/>
    <w:rsid w:val="001A5951"/>
    <w:rsid w:val="001A5B4D"/>
    <w:rsid w:val="001A608E"/>
    <w:rsid w:val="001A7D56"/>
    <w:rsid w:val="001B1297"/>
    <w:rsid w:val="001B34B1"/>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7D6"/>
    <w:rsid w:val="001D68F4"/>
    <w:rsid w:val="001D694C"/>
    <w:rsid w:val="001D730F"/>
    <w:rsid w:val="001D7FCD"/>
    <w:rsid w:val="001E1758"/>
    <w:rsid w:val="001E3B11"/>
    <w:rsid w:val="001E503D"/>
    <w:rsid w:val="001E631B"/>
    <w:rsid w:val="001E680E"/>
    <w:rsid w:val="001F03C6"/>
    <w:rsid w:val="001F147E"/>
    <w:rsid w:val="001F62ED"/>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131C"/>
    <w:rsid w:val="00242891"/>
    <w:rsid w:val="00243181"/>
    <w:rsid w:val="0024497C"/>
    <w:rsid w:val="00245BAC"/>
    <w:rsid w:val="00246862"/>
    <w:rsid w:val="00246915"/>
    <w:rsid w:val="00246F70"/>
    <w:rsid w:val="00247875"/>
    <w:rsid w:val="00247D11"/>
    <w:rsid w:val="00254ED2"/>
    <w:rsid w:val="00256B01"/>
    <w:rsid w:val="00262666"/>
    <w:rsid w:val="00263720"/>
    <w:rsid w:val="002639E6"/>
    <w:rsid w:val="0026762A"/>
    <w:rsid w:val="00267A88"/>
    <w:rsid w:val="002729E4"/>
    <w:rsid w:val="00273171"/>
    <w:rsid w:val="00274366"/>
    <w:rsid w:val="00276599"/>
    <w:rsid w:val="002802EC"/>
    <w:rsid w:val="002805AC"/>
    <w:rsid w:val="002811D0"/>
    <w:rsid w:val="0028174E"/>
    <w:rsid w:val="0028299E"/>
    <w:rsid w:val="00283967"/>
    <w:rsid w:val="00283B3F"/>
    <w:rsid w:val="0028420C"/>
    <w:rsid w:val="002844AF"/>
    <w:rsid w:val="002870CA"/>
    <w:rsid w:val="002905F5"/>
    <w:rsid w:val="002908C0"/>
    <w:rsid w:val="00291333"/>
    <w:rsid w:val="00292316"/>
    <w:rsid w:val="00292BAE"/>
    <w:rsid w:val="00292C7D"/>
    <w:rsid w:val="0029542B"/>
    <w:rsid w:val="00296748"/>
    <w:rsid w:val="00297344"/>
    <w:rsid w:val="002A0B1C"/>
    <w:rsid w:val="002A2817"/>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0BE0"/>
    <w:rsid w:val="002C291C"/>
    <w:rsid w:val="002C7363"/>
    <w:rsid w:val="002D1979"/>
    <w:rsid w:val="002D2BC6"/>
    <w:rsid w:val="002D3B49"/>
    <w:rsid w:val="002D7BCE"/>
    <w:rsid w:val="002E07CB"/>
    <w:rsid w:val="002E1762"/>
    <w:rsid w:val="002E26EB"/>
    <w:rsid w:val="002E796C"/>
    <w:rsid w:val="002F19AF"/>
    <w:rsid w:val="002F45B6"/>
    <w:rsid w:val="002F4F72"/>
    <w:rsid w:val="002F69D0"/>
    <w:rsid w:val="002F7173"/>
    <w:rsid w:val="002F7484"/>
    <w:rsid w:val="00302511"/>
    <w:rsid w:val="00302C57"/>
    <w:rsid w:val="00303020"/>
    <w:rsid w:val="003032E2"/>
    <w:rsid w:val="00304999"/>
    <w:rsid w:val="003058D3"/>
    <w:rsid w:val="003076B0"/>
    <w:rsid w:val="00307E06"/>
    <w:rsid w:val="00310EFD"/>
    <w:rsid w:val="00312470"/>
    <w:rsid w:val="003124A7"/>
    <w:rsid w:val="00312EEA"/>
    <w:rsid w:val="00314E8F"/>
    <w:rsid w:val="00315C76"/>
    <w:rsid w:val="0031730E"/>
    <w:rsid w:val="00321AAB"/>
    <w:rsid w:val="00321C10"/>
    <w:rsid w:val="003253CA"/>
    <w:rsid w:val="003267FD"/>
    <w:rsid w:val="003312FD"/>
    <w:rsid w:val="00331836"/>
    <w:rsid w:val="0033426E"/>
    <w:rsid w:val="00335EF4"/>
    <w:rsid w:val="003362D5"/>
    <w:rsid w:val="00337583"/>
    <w:rsid w:val="0034013A"/>
    <w:rsid w:val="0034180B"/>
    <w:rsid w:val="00342CE5"/>
    <w:rsid w:val="003462AA"/>
    <w:rsid w:val="003505C2"/>
    <w:rsid w:val="00355E72"/>
    <w:rsid w:val="003606C9"/>
    <w:rsid w:val="00360A0B"/>
    <w:rsid w:val="00362E0E"/>
    <w:rsid w:val="003633B9"/>
    <w:rsid w:val="003646B9"/>
    <w:rsid w:val="003669F1"/>
    <w:rsid w:val="003708D3"/>
    <w:rsid w:val="00371360"/>
    <w:rsid w:val="003731F5"/>
    <w:rsid w:val="00374D85"/>
    <w:rsid w:val="00375176"/>
    <w:rsid w:val="003779D8"/>
    <w:rsid w:val="00380BAC"/>
    <w:rsid w:val="003818BD"/>
    <w:rsid w:val="00381DC3"/>
    <w:rsid w:val="00382FD0"/>
    <w:rsid w:val="00383FB5"/>
    <w:rsid w:val="003873E7"/>
    <w:rsid w:val="00387C97"/>
    <w:rsid w:val="003939B8"/>
    <w:rsid w:val="00395802"/>
    <w:rsid w:val="003965ED"/>
    <w:rsid w:val="003A0ACC"/>
    <w:rsid w:val="003A1F55"/>
    <w:rsid w:val="003A3A38"/>
    <w:rsid w:val="003A7955"/>
    <w:rsid w:val="003B09B5"/>
    <w:rsid w:val="003B1512"/>
    <w:rsid w:val="003B20F0"/>
    <w:rsid w:val="003B2E9F"/>
    <w:rsid w:val="003B2FF4"/>
    <w:rsid w:val="003B373B"/>
    <w:rsid w:val="003B4BAF"/>
    <w:rsid w:val="003B68EA"/>
    <w:rsid w:val="003B6C7E"/>
    <w:rsid w:val="003B7C7A"/>
    <w:rsid w:val="003C0AC1"/>
    <w:rsid w:val="003C319E"/>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19BC"/>
    <w:rsid w:val="003F47AD"/>
    <w:rsid w:val="003F5528"/>
    <w:rsid w:val="003F5E8A"/>
    <w:rsid w:val="00400164"/>
    <w:rsid w:val="00400449"/>
    <w:rsid w:val="00402F1A"/>
    <w:rsid w:val="00403C9F"/>
    <w:rsid w:val="0040457E"/>
    <w:rsid w:val="00404D0E"/>
    <w:rsid w:val="00407B2F"/>
    <w:rsid w:val="00411707"/>
    <w:rsid w:val="00412972"/>
    <w:rsid w:val="0041349D"/>
    <w:rsid w:val="004138D3"/>
    <w:rsid w:val="0041760B"/>
    <w:rsid w:val="00423A9D"/>
    <w:rsid w:val="00424229"/>
    <w:rsid w:val="00427081"/>
    <w:rsid w:val="00431ECB"/>
    <w:rsid w:val="004325E2"/>
    <w:rsid w:val="00433FAD"/>
    <w:rsid w:val="004349BD"/>
    <w:rsid w:val="004407BC"/>
    <w:rsid w:val="00441D6B"/>
    <w:rsid w:val="004426E6"/>
    <w:rsid w:val="004446D8"/>
    <w:rsid w:val="00444733"/>
    <w:rsid w:val="00447469"/>
    <w:rsid w:val="004503A6"/>
    <w:rsid w:val="004517C4"/>
    <w:rsid w:val="00451BE8"/>
    <w:rsid w:val="0045398C"/>
    <w:rsid w:val="00454494"/>
    <w:rsid w:val="004547D3"/>
    <w:rsid w:val="004567C7"/>
    <w:rsid w:val="00457CC7"/>
    <w:rsid w:val="004608C1"/>
    <w:rsid w:val="00460B31"/>
    <w:rsid w:val="004633DC"/>
    <w:rsid w:val="00470924"/>
    <w:rsid w:val="004715AF"/>
    <w:rsid w:val="00472E19"/>
    <w:rsid w:val="00474E30"/>
    <w:rsid w:val="00475221"/>
    <w:rsid w:val="0047763B"/>
    <w:rsid w:val="0048005F"/>
    <w:rsid w:val="0048396A"/>
    <w:rsid w:val="00485388"/>
    <w:rsid w:val="004870D8"/>
    <w:rsid w:val="00491DA5"/>
    <w:rsid w:val="004936D6"/>
    <w:rsid w:val="004961AD"/>
    <w:rsid w:val="00496E71"/>
    <w:rsid w:val="00497E3B"/>
    <w:rsid w:val="004A055F"/>
    <w:rsid w:val="004A0A23"/>
    <w:rsid w:val="004A2326"/>
    <w:rsid w:val="004A319F"/>
    <w:rsid w:val="004A4ECC"/>
    <w:rsid w:val="004A54A3"/>
    <w:rsid w:val="004B02D5"/>
    <w:rsid w:val="004B3A2F"/>
    <w:rsid w:val="004B3A33"/>
    <w:rsid w:val="004B3D2E"/>
    <w:rsid w:val="004B483F"/>
    <w:rsid w:val="004B6F87"/>
    <w:rsid w:val="004B748E"/>
    <w:rsid w:val="004B74CE"/>
    <w:rsid w:val="004B7A3D"/>
    <w:rsid w:val="004C10F3"/>
    <w:rsid w:val="004C20AC"/>
    <w:rsid w:val="004C3E7C"/>
    <w:rsid w:val="004C4306"/>
    <w:rsid w:val="004C456C"/>
    <w:rsid w:val="004C489E"/>
    <w:rsid w:val="004C4A02"/>
    <w:rsid w:val="004C57A9"/>
    <w:rsid w:val="004D018F"/>
    <w:rsid w:val="004D316A"/>
    <w:rsid w:val="004D3AC9"/>
    <w:rsid w:val="004D3ADD"/>
    <w:rsid w:val="004D5713"/>
    <w:rsid w:val="004D5934"/>
    <w:rsid w:val="004D6FEE"/>
    <w:rsid w:val="004D7564"/>
    <w:rsid w:val="004E154D"/>
    <w:rsid w:val="004E16A4"/>
    <w:rsid w:val="004E661E"/>
    <w:rsid w:val="004F03BE"/>
    <w:rsid w:val="004F1CDA"/>
    <w:rsid w:val="004F1E03"/>
    <w:rsid w:val="004F4970"/>
    <w:rsid w:val="004F4B8D"/>
    <w:rsid w:val="004F5821"/>
    <w:rsid w:val="004F674E"/>
    <w:rsid w:val="00501DFC"/>
    <w:rsid w:val="00501EAB"/>
    <w:rsid w:val="005043E1"/>
    <w:rsid w:val="005053FA"/>
    <w:rsid w:val="005068F2"/>
    <w:rsid w:val="00510956"/>
    <w:rsid w:val="00510C9F"/>
    <w:rsid w:val="005115C3"/>
    <w:rsid w:val="005117C3"/>
    <w:rsid w:val="00512FF2"/>
    <w:rsid w:val="0051428C"/>
    <w:rsid w:val="00515E05"/>
    <w:rsid w:val="00516F56"/>
    <w:rsid w:val="00517C59"/>
    <w:rsid w:val="00520000"/>
    <w:rsid w:val="00526DC4"/>
    <w:rsid w:val="005274F2"/>
    <w:rsid w:val="005300DF"/>
    <w:rsid w:val="00531A5A"/>
    <w:rsid w:val="00531A6D"/>
    <w:rsid w:val="00531B0F"/>
    <w:rsid w:val="00531B2A"/>
    <w:rsid w:val="00531DE3"/>
    <w:rsid w:val="0053422E"/>
    <w:rsid w:val="00534AC4"/>
    <w:rsid w:val="00534C95"/>
    <w:rsid w:val="005351E1"/>
    <w:rsid w:val="0053715D"/>
    <w:rsid w:val="005410B3"/>
    <w:rsid w:val="00541ACF"/>
    <w:rsid w:val="00541B18"/>
    <w:rsid w:val="00542671"/>
    <w:rsid w:val="005443FC"/>
    <w:rsid w:val="00544A76"/>
    <w:rsid w:val="005452AF"/>
    <w:rsid w:val="005455C1"/>
    <w:rsid w:val="00545D35"/>
    <w:rsid w:val="00547036"/>
    <w:rsid w:val="005478F9"/>
    <w:rsid w:val="00551263"/>
    <w:rsid w:val="00551897"/>
    <w:rsid w:val="00552AAF"/>
    <w:rsid w:val="00553578"/>
    <w:rsid w:val="00557727"/>
    <w:rsid w:val="005609AA"/>
    <w:rsid w:val="00561910"/>
    <w:rsid w:val="00563B9C"/>
    <w:rsid w:val="00564C75"/>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5443"/>
    <w:rsid w:val="00597C5A"/>
    <w:rsid w:val="005A0A32"/>
    <w:rsid w:val="005A0D5F"/>
    <w:rsid w:val="005A1C28"/>
    <w:rsid w:val="005A3800"/>
    <w:rsid w:val="005A415D"/>
    <w:rsid w:val="005A493F"/>
    <w:rsid w:val="005B09D6"/>
    <w:rsid w:val="005B13A7"/>
    <w:rsid w:val="005B2365"/>
    <w:rsid w:val="005B4AA8"/>
    <w:rsid w:val="005B597F"/>
    <w:rsid w:val="005B74A1"/>
    <w:rsid w:val="005C0B46"/>
    <w:rsid w:val="005C2C8E"/>
    <w:rsid w:val="005C32A7"/>
    <w:rsid w:val="005C3AA7"/>
    <w:rsid w:val="005C3D13"/>
    <w:rsid w:val="005C414F"/>
    <w:rsid w:val="005C484C"/>
    <w:rsid w:val="005C4F8D"/>
    <w:rsid w:val="005C770C"/>
    <w:rsid w:val="005C7C2F"/>
    <w:rsid w:val="005D1684"/>
    <w:rsid w:val="005D31EB"/>
    <w:rsid w:val="005D3F0B"/>
    <w:rsid w:val="005D4300"/>
    <w:rsid w:val="005D536A"/>
    <w:rsid w:val="005D62CD"/>
    <w:rsid w:val="005D65FC"/>
    <w:rsid w:val="005D74CC"/>
    <w:rsid w:val="005D751A"/>
    <w:rsid w:val="005E18B0"/>
    <w:rsid w:val="005E28FF"/>
    <w:rsid w:val="005E3275"/>
    <w:rsid w:val="005E40A8"/>
    <w:rsid w:val="005E48F2"/>
    <w:rsid w:val="005E5273"/>
    <w:rsid w:val="005E74C5"/>
    <w:rsid w:val="005E76E1"/>
    <w:rsid w:val="005F0B76"/>
    <w:rsid w:val="005F0D57"/>
    <w:rsid w:val="005F1575"/>
    <w:rsid w:val="005F2C92"/>
    <w:rsid w:val="005F35AE"/>
    <w:rsid w:val="005F3EBB"/>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2C78"/>
    <w:rsid w:val="00613D88"/>
    <w:rsid w:val="006150FB"/>
    <w:rsid w:val="0062084F"/>
    <w:rsid w:val="00621035"/>
    <w:rsid w:val="00621070"/>
    <w:rsid w:val="006226BF"/>
    <w:rsid w:val="00626B35"/>
    <w:rsid w:val="00630C62"/>
    <w:rsid w:val="00633FA0"/>
    <w:rsid w:val="006345EE"/>
    <w:rsid w:val="00635A9B"/>
    <w:rsid w:val="006361ED"/>
    <w:rsid w:val="006418C8"/>
    <w:rsid w:val="00641ABB"/>
    <w:rsid w:val="006422F6"/>
    <w:rsid w:val="0064256C"/>
    <w:rsid w:val="006427D9"/>
    <w:rsid w:val="00642FC8"/>
    <w:rsid w:val="00643498"/>
    <w:rsid w:val="00645439"/>
    <w:rsid w:val="00645E2A"/>
    <w:rsid w:val="0065279D"/>
    <w:rsid w:val="00653354"/>
    <w:rsid w:val="00653C7A"/>
    <w:rsid w:val="00655BA3"/>
    <w:rsid w:val="00655D87"/>
    <w:rsid w:val="00661E08"/>
    <w:rsid w:val="006621D0"/>
    <w:rsid w:val="0066306B"/>
    <w:rsid w:val="0066335A"/>
    <w:rsid w:val="0066407D"/>
    <w:rsid w:val="006640C5"/>
    <w:rsid w:val="00665C64"/>
    <w:rsid w:val="00670A3B"/>
    <w:rsid w:val="00672CCF"/>
    <w:rsid w:val="006735F6"/>
    <w:rsid w:val="00674D05"/>
    <w:rsid w:val="00675661"/>
    <w:rsid w:val="00676DFB"/>
    <w:rsid w:val="00680133"/>
    <w:rsid w:val="00681F17"/>
    <w:rsid w:val="00682164"/>
    <w:rsid w:val="006826DA"/>
    <w:rsid w:val="0068325D"/>
    <w:rsid w:val="006839FA"/>
    <w:rsid w:val="00683DC9"/>
    <w:rsid w:val="00685496"/>
    <w:rsid w:val="00685A2A"/>
    <w:rsid w:val="00687B92"/>
    <w:rsid w:val="006920F4"/>
    <w:rsid w:val="006921D8"/>
    <w:rsid w:val="00692778"/>
    <w:rsid w:val="00696616"/>
    <w:rsid w:val="00696F11"/>
    <w:rsid w:val="00697ECB"/>
    <w:rsid w:val="006A0EFD"/>
    <w:rsid w:val="006A141D"/>
    <w:rsid w:val="006A4C24"/>
    <w:rsid w:val="006A5F24"/>
    <w:rsid w:val="006A6FE7"/>
    <w:rsid w:val="006B0915"/>
    <w:rsid w:val="006B0B08"/>
    <w:rsid w:val="006B10A8"/>
    <w:rsid w:val="006B119B"/>
    <w:rsid w:val="006B26D3"/>
    <w:rsid w:val="006B3BEA"/>
    <w:rsid w:val="006B485E"/>
    <w:rsid w:val="006B4B65"/>
    <w:rsid w:val="006B4FD6"/>
    <w:rsid w:val="006B52CD"/>
    <w:rsid w:val="006B78C5"/>
    <w:rsid w:val="006B7AEC"/>
    <w:rsid w:val="006B7F22"/>
    <w:rsid w:val="006C1383"/>
    <w:rsid w:val="006C2F23"/>
    <w:rsid w:val="006C31AF"/>
    <w:rsid w:val="006C3540"/>
    <w:rsid w:val="006C3E47"/>
    <w:rsid w:val="006D1203"/>
    <w:rsid w:val="006D4142"/>
    <w:rsid w:val="006D4B71"/>
    <w:rsid w:val="006D5E68"/>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5689"/>
    <w:rsid w:val="0070679D"/>
    <w:rsid w:val="00706C96"/>
    <w:rsid w:val="00707019"/>
    <w:rsid w:val="00707245"/>
    <w:rsid w:val="00710E5B"/>
    <w:rsid w:val="00712EE0"/>
    <w:rsid w:val="00714F96"/>
    <w:rsid w:val="0071697F"/>
    <w:rsid w:val="00716A80"/>
    <w:rsid w:val="0071716F"/>
    <w:rsid w:val="0072215B"/>
    <w:rsid w:val="0072271C"/>
    <w:rsid w:val="00723286"/>
    <w:rsid w:val="00724F1A"/>
    <w:rsid w:val="00727C09"/>
    <w:rsid w:val="00733866"/>
    <w:rsid w:val="00736256"/>
    <w:rsid w:val="007372AF"/>
    <w:rsid w:val="007372F0"/>
    <w:rsid w:val="007402AF"/>
    <w:rsid w:val="00742461"/>
    <w:rsid w:val="00742758"/>
    <w:rsid w:val="0074315B"/>
    <w:rsid w:val="007449ED"/>
    <w:rsid w:val="00745F93"/>
    <w:rsid w:val="00747AB7"/>
    <w:rsid w:val="00752052"/>
    <w:rsid w:val="00752B02"/>
    <w:rsid w:val="00755251"/>
    <w:rsid w:val="00755A91"/>
    <w:rsid w:val="00755EDD"/>
    <w:rsid w:val="007568F4"/>
    <w:rsid w:val="007569A2"/>
    <w:rsid w:val="0075724E"/>
    <w:rsid w:val="0076494C"/>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3F61"/>
    <w:rsid w:val="007B448D"/>
    <w:rsid w:val="007B6958"/>
    <w:rsid w:val="007C4D7C"/>
    <w:rsid w:val="007C4FC7"/>
    <w:rsid w:val="007C5134"/>
    <w:rsid w:val="007C6CD3"/>
    <w:rsid w:val="007C7AD1"/>
    <w:rsid w:val="007D070C"/>
    <w:rsid w:val="007D2543"/>
    <w:rsid w:val="007D4645"/>
    <w:rsid w:val="007D4E0F"/>
    <w:rsid w:val="007D55DA"/>
    <w:rsid w:val="007D5638"/>
    <w:rsid w:val="007D58E9"/>
    <w:rsid w:val="007D61EC"/>
    <w:rsid w:val="007D6D8D"/>
    <w:rsid w:val="007D7972"/>
    <w:rsid w:val="007E1BC3"/>
    <w:rsid w:val="007E32FC"/>
    <w:rsid w:val="007E503E"/>
    <w:rsid w:val="007E52F1"/>
    <w:rsid w:val="007E56CB"/>
    <w:rsid w:val="007E6F05"/>
    <w:rsid w:val="007E7DD4"/>
    <w:rsid w:val="007F1451"/>
    <w:rsid w:val="007F3488"/>
    <w:rsid w:val="007F3E92"/>
    <w:rsid w:val="007F4057"/>
    <w:rsid w:val="007F43B4"/>
    <w:rsid w:val="007F4ED0"/>
    <w:rsid w:val="007F566C"/>
    <w:rsid w:val="007F5AE4"/>
    <w:rsid w:val="007F64F9"/>
    <w:rsid w:val="007F7B65"/>
    <w:rsid w:val="007F7BD1"/>
    <w:rsid w:val="007F7F91"/>
    <w:rsid w:val="0080043A"/>
    <w:rsid w:val="00801F35"/>
    <w:rsid w:val="0080399F"/>
    <w:rsid w:val="00805C67"/>
    <w:rsid w:val="00807736"/>
    <w:rsid w:val="00807D70"/>
    <w:rsid w:val="00812A0A"/>
    <w:rsid w:val="0081414F"/>
    <w:rsid w:val="00815878"/>
    <w:rsid w:val="0082010D"/>
    <w:rsid w:val="00820FA7"/>
    <w:rsid w:val="00821C04"/>
    <w:rsid w:val="00822141"/>
    <w:rsid w:val="0083002A"/>
    <w:rsid w:val="00830884"/>
    <w:rsid w:val="00830ED6"/>
    <w:rsid w:val="00831537"/>
    <w:rsid w:val="00832757"/>
    <w:rsid w:val="00832BFA"/>
    <w:rsid w:val="00832FE5"/>
    <w:rsid w:val="008354D4"/>
    <w:rsid w:val="0084114B"/>
    <w:rsid w:val="00841573"/>
    <w:rsid w:val="00841CA9"/>
    <w:rsid w:val="0084256F"/>
    <w:rsid w:val="00842ED4"/>
    <w:rsid w:val="00845EA4"/>
    <w:rsid w:val="00847A1D"/>
    <w:rsid w:val="00847F39"/>
    <w:rsid w:val="008550F0"/>
    <w:rsid w:val="00855650"/>
    <w:rsid w:val="008561AA"/>
    <w:rsid w:val="00857BD3"/>
    <w:rsid w:val="00860037"/>
    <w:rsid w:val="00860E78"/>
    <w:rsid w:val="00860FEF"/>
    <w:rsid w:val="008618D9"/>
    <w:rsid w:val="0086361E"/>
    <w:rsid w:val="008649E5"/>
    <w:rsid w:val="00864F72"/>
    <w:rsid w:val="00870EC4"/>
    <w:rsid w:val="00872784"/>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32DC"/>
    <w:rsid w:val="008B4B2E"/>
    <w:rsid w:val="008B4EBC"/>
    <w:rsid w:val="008B5E35"/>
    <w:rsid w:val="008C23E8"/>
    <w:rsid w:val="008C297E"/>
    <w:rsid w:val="008C380D"/>
    <w:rsid w:val="008C508D"/>
    <w:rsid w:val="008C51BC"/>
    <w:rsid w:val="008C5745"/>
    <w:rsid w:val="008C74CA"/>
    <w:rsid w:val="008D04B8"/>
    <w:rsid w:val="008D1236"/>
    <w:rsid w:val="008D38EC"/>
    <w:rsid w:val="008D66C3"/>
    <w:rsid w:val="008E215F"/>
    <w:rsid w:val="008E4231"/>
    <w:rsid w:val="008E586E"/>
    <w:rsid w:val="008E5A8E"/>
    <w:rsid w:val="008F05C2"/>
    <w:rsid w:val="008F1125"/>
    <w:rsid w:val="008F52F4"/>
    <w:rsid w:val="008F6A42"/>
    <w:rsid w:val="008F7D31"/>
    <w:rsid w:val="00900115"/>
    <w:rsid w:val="009005F0"/>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7FE"/>
    <w:rsid w:val="00920D15"/>
    <w:rsid w:val="009210A6"/>
    <w:rsid w:val="00922508"/>
    <w:rsid w:val="009233B3"/>
    <w:rsid w:val="00926FCD"/>
    <w:rsid w:val="00927607"/>
    <w:rsid w:val="00931E3D"/>
    <w:rsid w:val="009335A7"/>
    <w:rsid w:val="0094005B"/>
    <w:rsid w:val="00943709"/>
    <w:rsid w:val="00943B62"/>
    <w:rsid w:val="009443A6"/>
    <w:rsid w:val="0094607A"/>
    <w:rsid w:val="00947785"/>
    <w:rsid w:val="009509E2"/>
    <w:rsid w:val="00956CD1"/>
    <w:rsid w:val="00957844"/>
    <w:rsid w:val="009623FA"/>
    <w:rsid w:val="00964969"/>
    <w:rsid w:val="00964A87"/>
    <w:rsid w:val="00965794"/>
    <w:rsid w:val="00965870"/>
    <w:rsid w:val="00966603"/>
    <w:rsid w:val="00970BC4"/>
    <w:rsid w:val="00973D8D"/>
    <w:rsid w:val="009752F6"/>
    <w:rsid w:val="009758DB"/>
    <w:rsid w:val="009768B5"/>
    <w:rsid w:val="0097768E"/>
    <w:rsid w:val="00982020"/>
    <w:rsid w:val="00983201"/>
    <w:rsid w:val="00984197"/>
    <w:rsid w:val="00985FF1"/>
    <w:rsid w:val="00986534"/>
    <w:rsid w:val="00991037"/>
    <w:rsid w:val="00991B75"/>
    <w:rsid w:val="009928D1"/>
    <w:rsid w:val="00995692"/>
    <w:rsid w:val="00996B6C"/>
    <w:rsid w:val="00997217"/>
    <w:rsid w:val="00997F96"/>
    <w:rsid w:val="009A33AC"/>
    <w:rsid w:val="009A33BE"/>
    <w:rsid w:val="009A5AE2"/>
    <w:rsid w:val="009A5D8D"/>
    <w:rsid w:val="009B1106"/>
    <w:rsid w:val="009B1EAF"/>
    <w:rsid w:val="009B38C8"/>
    <w:rsid w:val="009B3FAA"/>
    <w:rsid w:val="009B4DEF"/>
    <w:rsid w:val="009C187A"/>
    <w:rsid w:val="009C4221"/>
    <w:rsid w:val="009D1ED8"/>
    <w:rsid w:val="009D4A0A"/>
    <w:rsid w:val="009D6659"/>
    <w:rsid w:val="009D7058"/>
    <w:rsid w:val="009E0336"/>
    <w:rsid w:val="009E06CD"/>
    <w:rsid w:val="009E10EC"/>
    <w:rsid w:val="009E14E2"/>
    <w:rsid w:val="009E19AD"/>
    <w:rsid w:val="009E2542"/>
    <w:rsid w:val="009E2797"/>
    <w:rsid w:val="009E39DB"/>
    <w:rsid w:val="009E3A9A"/>
    <w:rsid w:val="009E5841"/>
    <w:rsid w:val="009F3C2D"/>
    <w:rsid w:val="009F50FA"/>
    <w:rsid w:val="00A022D9"/>
    <w:rsid w:val="00A033BB"/>
    <w:rsid w:val="00A0357E"/>
    <w:rsid w:val="00A03990"/>
    <w:rsid w:val="00A045F4"/>
    <w:rsid w:val="00A05B4F"/>
    <w:rsid w:val="00A10387"/>
    <w:rsid w:val="00A21B13"/>
    <w:rsid w:val="00A21E0F"/>
    <w:rsid w:val="00A24358"/>
    <w:rsid w:val="00A2508C"/>
    <w:rsid w:val="00A2572E"/>
    <w:rsid w:val="00A25FC0"/>
    <w:rsid w:val="00A262B6"/>
    <w:rsid w:val="00A26D41"/>
    <w:rsid w:val="00A27138"/>
    <w:rsid w:val="00A3359F"/>
    <w:rsid w:val="00A33A89"/>
    <w:rsid w:val="00A351D0"/>
    <w:rsid w:val="00A3709C"/>
    <w:rsid w:val="00A3728F"/>
    <w:rsid w:val="00A4105D"/>
    <w:rsid w:val="00A442A4"/>
    <w:rsid w:val="00A4466C"/>
    <w:rsid w:val="00A4628E"/>
    <w:rsid w:val="00A51216"/>
    <w:rsid w:val="00A51F5A"/>
    <w:rsid w:val="00A530DE"/>
    <w:rsid w:val="00A5314A"/>
    <w:rsid w:val="00A57F60"/>
    <w:rsid w:val="00A61A6E"/>
    <w:rsid w:val="00A65B8D"/>
    <w:rsid w:val="00A67424"/>
    <w:rsid w:val="00A67E6B"/>
    <w:rsid w:val="00A703CE"/>
    <w:rsid w:val="00A7188F"/>
    <w:rsid w:val="00A7216C"/>
    <w:rsid w:val="00A7622C"/>
    <w:rsid w:val="00A76546"/>
    <w:rsid w:val="00A776EA"/>
    <w:rsid w:val="00A77949"/>
    <w:rsid w:val="00A8007D"/>
    <w:rsid w:val="00A80B43"/>
    <w:rsid w:val="00A822B7"/>
    <w:rsid w:val="00A8244C"/>
    <w:rsid w:val="00A83D36"/>
    <w:rsid w:val="00A85B97"/>
    <w:rsid w:val="00A86899"/>
    <w:rsid w:val="00A870FA"/>
    <w:rsid w:val="00A87174"/>
    <w:rsid w:val="00A923D9"/>
    <w:rsid w:val="00A93F22"/>
    <w:rsid w:val="00A94D13"/>
    <w:rsid w:val="00A94E2C"/>
    <w:rsid w:val="00A97466"/>
    <w:rsid w:val="00A977D1"/>
    <w:rsid w:val="00AA0100"/>
    <w:rsid w:val="00AA0A4A"/>
    <w:rsid w:val="00AA27AB"/>
    <w:rsid w:val="00AA29E9"/>
    <w:rsid w:val="00AA38C5"/>
    <w:rsid w:val="00AA3DF2"/>
    <w:rsid w:val="00AA4A07"/>
    <w:rsid w:val="00AA4B1C"/>
    <w:rsid w:val="00AA512C"/>
    <w:rsid w:val="00AA51A0"/>
    <w:rsid w:val="00AB00F1"/>
    <w:rsid w:val="00AB0764"/>
    <w:rsid w:val="00AB10A6"/>
    <w:rsid w:val="00AB19C6"/>
    <w:rsid w:val="00AB1E7B"/>
    <w:rsid w:val="00AB2CB9"/>
    <w:rsid w:val="00AB4741"/>
    <w:rsid w:val="00AB628D"/>
    <w:rsid w:val="00AB641E"/>
    <w:rsid w:val="00AB785A"/>
    <w:rsid w:val="00AC017A"/>
    <w:rsid w:val="00AC1530"/>
    <w:rsid w:val="00AC1D64"/>
    <w:rsid w:val="00AC2BA3"/>
    <w:rsid w:val="00AC5EBC"/>
    <w:rsid w:val="00AD0059"/>
    <w:rsid w:val="00AD0330"/>
    <w:rsid w:val="00AD1817"/>
    <w:rsid w:val="00AD1E25"/>
    <w:rsid w:val="00AD38ED"/>
    <w:rsid w:val="00AD4282"/>
    <w:rsid w:val="00AD77FD"/>
    <w:rsid w:val="00AE1A7A"/>
    <w:rsid w:val="00AE4894"/>
    <w:rsid w:val="00AE5AC8"/>
    <w:rsid w:val="00AF15FC"/>
    <w:rsid w:val="00AF3316"/>
    <w:rsid w:val="00AF6B54"/>
    <w:rsid w:val="00AF6F6A"/>
    <w:rsid w:val="00B049EC"/>
    <w:rsid w:val="00B04D26"/>
    <w:rsid w:val="00B04DD6"/>
    <w:rsid w:val="00B078A6"/>
    <w:rsid w:val="00B10264"/>
    <w:rsid w:val="00B10FF6"/>
    <w:rsid w:val="00B1212B"/>
    <w:rsid w:val="00B14213"/>
    <w:rsid w:val="00B15800"/>
    <w:rsid w:val="00B173E2"/>
    <w:rsid w:val="00B177F2"/>
    <w:rsid w:val="00B216FE"/>
    <w:rsid w:val="00B2186A"/>
    <w:rsid w:val="00B226D7"/>
    <w:rsid w:val="00B235F3"/>
    <w:rsid w:val="00B244A4"/>
    <w:rsid w:val="00B26CCB"/>
    <w:rsid w:val="00B31114"/>
    <w:rsid w:val="00B31B5C"/>
    <w:rsid w:val="00B34D98"/>
    <w:rsid w:val="00B35503"/>
    <w:rsid w:val="00B358D9"/>
    <w:rsid w:val="00B37C1A"/>
    <w:rsid w:val="00B37E5F"/>
    <w:rsid w:val="00B408F8"/>
    <w:rsid w:val="00B420C9"/>
    <w:rsid w:val="00B45AA5"/>
    <w:rsid w:val="00B461BE"/>
    <w:rsid w:val="00B466DA"/>
    <w:rsid w:val="00B5088E"/>
    <w:rsid w:val="00B517B3"/>
    <w:rsid w:val="00B51D39"/>
    <w:rsid w:val="00B525A6"/>
    <w:rsid w:val="00B53176"/>
    <w:rsid w:val="00B55C20"/>
    <w:rsid w:val="00B578F5"/>
    <w:rsid w:val="00B60F70"/>
    <w:rsid w:val="00B61158"/>
    <w:rsid w:val="00B61D3E"/>
    <w:rsid w:val="00B61F76"/>
    <w:rsid w:val="00B626F5"/>
    <w:rsid w:val="00B64A03"/>
    <w:rsid w:val="00B64AED"/>
    <w:rsid w:val="00B65FA9"/>
    <w:rsid w:val="00B66885"/>
    <w:rsid w:val="00B7058E"/>
    <w:rsid w:val="00B70873"/>
    <w:rsid w:val="00B70A9C"/>
    <w:rsid w:val="00B70EC1"/>
    <w:rsid w:val="00B7103E"/>
    <w:rsid w:val="00B71315"/>
    <w:rsid w:val="00B7173A"/>
    <w:rsid w:val="00B72F47"/>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3406"/>
    <w:rsid w:val="00B94DC9"/>
    <w:rsid w:val="00B95F1A"/>
    <w:rsid w:val="00BA05BF"/>
    <w:rsid w:val="00BA0DB3"/>
    <w:rsid w:val="00BA0E19"/>
    <w:rsid w:val="00BA0E31"/>
    <w:rsid w:val="00BA2FEE"/>
    <w:rsid w:val="00BA42E0"/>
    <w:rsid w:val="00BA485B"/>
    <w:rsid w:val="00BB1D6B"/>
    <w:rsid w:val="00BB1EC2"/>
    <w:rsid w:val="00BB2686"/>
    <w:rsid w:val="00BB48B1"/>
    <w:rsid w:val="00BB62D0"/>
    <w:rsid w:val="00BB62D7"/>
    <w:rsid w:val="00BB7BCF"/>
    <w:rsid w:val="00BC05E2"/>
    <w:rsid w:val="00BC0C9A"/>
    <w:rsid w:val="00BC7BD0"/>
    <w:rsid w:val="00BC7DE1"/>
    <w:rsid w:val="00BD08FE"/>
    <w:rsid w:val="00BD249F"/>
    <w:rsid w:val="00BD5CAE"/>
    <w:rsid w:val="00BD7208"/>
    <w:rsid w:val="00BD7209"/>
    <w:rsid w:val="00BD7C52"/>
    <w:rsid w:val="00BE01B0"/>
    <w:rsid w:val="00BE1BBE"/>
    <w:rsid w:val="00BE32C7"/>
    <w:rsid w:val="00BE4652"/>
    <w:rsid w:val="00BE4A75"/>
    <w:rsid w:val="00BE4FDC"/>
    <w:rsid w:val="00BE5382"/>
    <w:rsid w:val="00BE5C36"/>
    <w:rsid w:val="00BF01B4"/>
    <w:rsid w:val="00BF0DCB"/>
    <w:rsid w:val="00BF161E"/>
    <w:rsid w:val="00BF1EC0"/>
    <w:rsid w:val="00BF2AD9"/>
    <w:rsid w:val="00BF2F98"/>
    <w:rsid w:val="00BF698D"/>
    <w:rsid w:val="00C00D17"/>
    <w:rsid w:val="00C02A64"/>
    <w:rsid w:val="00C06278"/>
    <w:rsid w:val="00C06502"/>
    <w:rsid w:val="00C06661"/>
    <w:rsid w:val="00C11344"/>
    <w:rsid w:val="00C1297D"/>
    <w:rsid w:val="00C14017"/>
    <w:rsid w:val="00C148AE"/>
    <w:rsid w:val="00C14B07"/>
    <w:rsid w:val="00C1506F"/>
    <w:rsid w:val="00C154AF"/>
    <w:rsid w:val="00C158D5"/>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4725C"/>
    <w:rsid w:val="00C50EE8"/>
    <w:rsid w:val="00C52510"/>
    <w:rsid w:val="00C539E3"/>
    <w:rsid w:val="00C53F32"/>
    <w:rsid w:val="00C55168"/>
    <w:rsid w:val="00C56885"/>
    <w:rsid w:val="00C57680"/>
    <w:rsid w:val="00C57997"/>
    <w:rsid w:val="00C57C9F"/>
    <w:rsid w:val="00C57DE8"/>
    <w:rsid w:val="00C606BD"/>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4BFC"/>
    <w:rsid w:val="00C904A0"/>
    <w:rsid w:val="00C9115E"/>
    <w:rsid w:val="00C9167C"/>
    <w:rsid w:val="00C926A1"/>
    <w:rsid w:val="00C9405A"/>
    <w:rsid w:val="00C94AA0"/>
    <w:rsid w:val="00C94AC7"/>
    <w:rsid w:val="00C95207"/>
    <w:rsid w:val="00C962CF"/>
    <w:rsid w:val="00CA1B76"/>
    <w:rsid w:val="00CA4E8C"/>
    <w:rsid w:val="00CA5FA7"/>
    <w:rsid w:val="00CA6573"/>
    <w:rsid w:val="00CA6EEF"/>
    <w:rsid w:val="00CA7887"/>
    <w:rsid w:val="00CB27A4"/>
    <w:rsid w:val="00CB2F1C"/>
    <w:rsid w:val="00CB31BF"/>
    <w:rsid w:val="00CB621B"/>
    <w:rsid w:val="00CB65EC"/>
    <w:rsid w:val="00CB6E8A"/>
    <w:rsid w:val="00CC1DB1"/>
    <w:rsid w:val="00CC1F58"/>
    <w:rsid w:val="00CC7CEF"/>
    <w:rsid w:val="00CD0468"/>
    <w:rsid w:val="00CD1491"/>
    <w:rsid w:val="00CD2E70"/>
    <w:rsid w:val="00CD353C"/>
    <w:rsid w:val="00CD64DE"/>
    <w:rsid w:val="00CD6EC0"/>
    <w:rsid w:val="00CE1F13"/>
    <w:rsid w:val="00CE50AD"/>
    <w:rsid w:val="00CE5195"/>
    <w:rsid w:val="00CE51E4"/>
    <w:rsid w:val="00CF10FC"/>
    <w:rsid w:val="00CF1E45"/>
    <w:rsid w:val="00CF3428"/>
    <w:rsid w:val="00CF5631"/>
    <w:rsid w:val="00CF6971"/>
    <w:rsid w:val="00CF7993"/>
    <w:rsid w:val="00D00AC1"/>
    <w:rsid w:val="00D014AF"/>
    <w:rsid w:val="00D03926"/>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3A63"/>
    <w:rsid w:val="00D44218"/>
    <w:rsid w:val="00D4494B"/>
    <w:rsid w:val="00D45843"/>
    <w:rsid w:val="00D5482F"/>
    <w:rsid w:val="00D54C8F"/>
    <w:rsid w:val="00D566F5"/>
    <w:rsid w:val="00D56752"/>
    <w:rsid w:val="00D56F54"/>
    <w:rsid w:val="00D5720A"/>
    <w:rsid w:val="00D60731"/>
    <w:rsid w:val="00D62375"/>
    <w:rsid w:val="00D63A6F"/>
    <w:rsid w:val="00D70AB8"/>
    <w:rsid w:val="00D7104A"/>
    <w:rsid w:val="00D718E2"/>
    <w:rsid w:val="00D73282"/>
    <w:rsid w:val="00D73B5B"/>
    <w:rsid w:val="00D74FDC"/>
    <w:rsid w:val="00D81429"/>
    <w:rsid w:val="00D818E1"/>
    <w:rsid w:val="00D82506"/>
    <w:rsid w:val="00D82AEB"/>
    <w:rsid w:val="00D871A9"/>
    <w:rsid w:val="00D9154A"/>
    <w:rsid w:val="00D91AF2"/>
    <w:rsid w:val="00D927CA"/>
    <w:rsid w:val="00D93271"/>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B7CBC"/>
    <w:rsid w:val="00DB7EB1"/>
    <w:rsid w:val="00DC0207"/>
    <w:rsid w:val="00DC1DD2"/>
    <w:rsid w:val="00DC3F3A"/>
    <w:rsid w:val="00DC638A"/>
    <w:rsid w:val="00DC68E2"/>
    <w:rsid w:val="00DC691A"/>
    <w:rsid w:val="00DC6A6C"/>
    <w:rsid w:val="00DC6CDC"/>
    <w:rsid w:val="00DC6D72"/>
    <w:rsid w:val="00DC71EE"/>
    <w:rsid w:val="00DC76BD"/>
    <w:rsid w:val="00DC7E64"/>
    <w:rsid w:val="00DD0702"/>
    <w:rsid w:val="00DD190B"/>
    <w:rsid w:val="00DD1BAF"/>
    <w:rsid w:val="00DD4CC6"/>
    <w:rsid w:val="00DD4E98"/>
    <w:rsid w:val="00DD58B8"/>
    <w:rsid w:val="00DD664B"/>
    <w:rsid w:val="00DE06FD"/>
    <w:rsid w:val="00DE2129"/>
    <w:rsid w:val="00DE28BF"/>
    <w:rsid w:val="00DE44E9"/>
    <w:rsid w:val="00DE5048"/>
    <w:rsid w:val="00DE6690"/>
    <w:rsid w:val="00DE73A1"/>
    <w:rsid w:val="00DE7637"/>
    <w:rsid w:val="00DF09B8"/>
    <w:rsid w:val="00DF15EE"/>
    <w:rsid w:val="00DF20A8"/>
    <w:rsid w:val="00DF2313"/>
    <w:rsid w:val="00DF53EA"/>
    <w:rsid w:val="00DF571C"/>
    <w:rsid w:val="00E006B6"/>
    <w:rsid w:val="00E013E9"/>
    <w:rsid w:val="00E02840"/>
    <w:rsid w:val="00E02932"/>
    <w:rsid w:val="00E1020C"/>
    <w:rsid w:val="00E1033E"/>
    <w:rsid w:val="00E10F14"/>
    <w:rsid w:val="00E11F28"/>
    <w:rsid w:val="00E12B19"/>
    <w:rsid w:val="00E14744"/>
    <w:rsid w:val="00E14816"/>
    <w:rsid w:val="00E1487F"/>
    <w:rsid w:val="00E154AB"/>
    <w:rsid w:val="00E155CD"/>
    <w:rsid w:val="00E164E7"/>
    <w:rsid w:val="00E16654"/>
    <w:rsid w:val="00E21CDD"/>
    <w:rsid w:val="00E22360"/>
    <w:rsid w:val="00E23669"/>
    <w:rsid w:val="00E25425"/>
    <w:rsid w:val="00E25B8B"/>
    <w:rsid w:val="00E25C3E"/>
    <w:rsid w:val="00E308DF"/>
    <w:rsid w:val="00E31D43"/>
    <w:rsid w:val="00E31EBB"/>
    <w:rsid w:val="00E32EEE"/>
    <w:rsid w:val="00E33520"/>
    <w:rsid w:val="00E3462A"/>
    <w:rsid w:val="00E3623E"/>
    <w:rsid w:val="00E37775"/>
    <w:rsid w:val="00E40BC0"/>
    <w:rsid w:val="00E41A8D"/>
    <w:rsid w:val="00E427DF"/>
    <w:rsid w:val="00E433FA"/>
    <w:rsid w:val="00E43435"/>
    <w:rsid w:val="00E475A6"/>
    <w:rsid w:val="00E47828"/>
    <w:rsid w:val="00E500B1"/>
    <w:rsid w:val="00E52305"/>
    <w:rsid w:val="00E52319"/>
    <w:rsid w:val="00E57493"/>
    <w:rsid w:val="00E57ACD"/>
    <w:rsid w:val="00E60ED0"/>
    <w:rsid w:val="00E61AB6"/>
    <w:rsid w:val="00E61CDE"/>
    <w:rsid w:val="00E64061"/>
    <w:rsid w:val="00E65459"/>
    <w:rsid w:val="00E66951"/>
    <w:rsid w:val="00E67D3C"/>
    <w:rsid w:val="00E7006D"/>
    <w:rsid w:val="00E705F5"/>
    <w:rsid w:val="00E72540"/>
    <w:rsid w:val="00E74393"/>
    <w:rsid w:val="00E74817"/>
    <w:rsid w:val="00E75BB5"/>
    <w:rsid w:val="00E808D6"/>
    <w:rsid w:val="00E80E37"/>
    <w:rsid w:val="00E825C5"/>
    <w:rsid w:val="00E83450"/>
    <w:rsid w:val="00E8389D"/>
    <w:rsid w:val="00E86259"/>
    <w:rsid w:val="00E86739"/>
    <w:rsid w:val="00E90E54"/>
    <w:rsid w:val="00E91FF2"/>
    <w:rsid w:val="00E94929"/>
    <w:rsid w:val="00E94FF3"/>
    <w:rsid w:val="00E9514D"/>
    <w:rsid w:val="00E95F4A"/>
    <w:rsid w:val="00E96B8B"/>
    <w:rsid w:val="00EA0F7F"/>
    <w:rsid w:val="00EA2590"/>
    <w:rsid w:val="00EA2C19"/>
    <w:rsid w:val="00EA2D35"/>
    <w:rsid w:val="00EA379C"/>
    <w:rsid w:val="00EA37E1"/>
    <w:rsid w:val="00EA4780"/>
    <w:rsid w:val="00EA4997"/>
    <w:rsid w:val="00EA4DC3"/>
    <w:rsid w:val="00EA4F63"/>
    <w:rsid w:val="00EA5167"/>
    <w:rsid w:val="00EA6E66"/>
    <w:rsid w:val="00EA7123"/>
    <w:rsid w:val="00EB37B1"/>
    <w:rsid w:val="00EB3956"/>
    <w:rsid w:val="00EB4DFF"/>
    <w:rsid w:val="00EB50B4"/>
    <w:rsid w:val="00EB73B0"/>
    <w:rsid w:val="00EC2980"/>
    <w:rsid w:val="00EC2DA8"/>
    <w:rsid w:val="00EC45FC"/>
    <w:rsid w:val="00EC4A4E"/>
    <w:rsid w:val="00EC6A8E"/>
    <w:rsid w:val="00EC6BCB"/>
    <w:rsid w:val="00ED073E"/>
    <w:rsid w:val="00ED2E55"/>
    <w:rsid w:val="00ED54D9"/>
    <w:rsid w:val="00ED5DDA"/>
    <w:rsid w:val="00ED7D48"/>
    <w:rsid w:val="00EE1352"/>
    <w:rsid w:val="00EE3E2A"/>
    <w:rsid w:val="00EE480B"/>
    <w:rsid w:val="00EE4B2A"/>
    <w:rsid w:val="00EE695C"/>
    <w:rsid w:val="00EF738E"/>
    <w:rsid w:val="00F0156D"/>
    <w:rsid w:val="00F02DE0"/>
    <w:rsid w:val="00F053FC"/>
    <w:rsid w:val="00F06CB3"/>
    <w:rsid w:val="00F079CC"/>
    <w:rsid w:val="00F07A83"/>
    <w:rsid w:val="00F07FC2"/>
    <w:rsid w:val="00F123A4"/>
    <w:rsid w:val="00F13DD5"/>
    <w:rsid w:val="00F1519C"/>
    <w:rsid w:val="00F16359"/>
    <w:rsid w:val="00F1764F"/>
    <w:rsid w:val="00F21698"/>
    <w:rsid w:val="00F24A07"/>
    <w:rsid w:val="00F2514D"/>
    <w:rsid w:val="00F278EC"/>
    <w:rsid w:val="00F27F68"/>
    <w:rsid w:val="00F3026A"/>
    <w:rsid w:val="00F321E1"/>
    <w:rsid w:val="00F34F31"/>
    <w:rsid w:val="00F3568E"/>
    <w:rsid w:val="00F35DBE"/>
    <w:rsid w:val="00F36D77"/>
    <w:rsid w:val="00F37880"/>
    <w:rsid w:val="00F4125C"/>
    <w:rsid w:val="00F41BB8"/>
    <w:rsid w:val="00F42116"/>
    <w:rsid w:val="00F4377C"/>
    <w:rsid w:val="00F4392A"/>
    <w:rsid w:val="00F44524"/>
    <w:rsid w:val="00F448E0"/>
    <w:rsid w:val="00F4491E"/>
    <w:rsid w:val="00F466A1"/>
    <w:rsid w:val="00F469C7"/>
    <w:rsid w:val="00F46C66"/>
    <w:rsid w:val="00F512B9"/>
    <w:rsid w:val="00F530D1"/>
    <w:rsid w:val="00F54415"/>
    <w:rsid w:val="00F54463"/>
    <w:rsid w:val="00F54E38"/>
    <w:rsid w:val="00F551B0"/>
    <w:rsid w:val="00F56523"/>
    <w:rsid w:val="00F62D24"/>
    <w:rsid w:val="00F6398A"/>
    <w:rsid w:val="00F668B1"/>
    <w:rsid w:val="00F71C1E"/>
    <w:rsid w:val="00F72E7B"/>
    <w:rsid w:val="00F762D5"/>
    <w:rsid w:val="00F76381"/>
    <w:rsid w:val="00F7668F"/>
    <w:rsid w:val="00F77C87"/>
    <w:rsid w:val="00F81765"/>
    <w:rsid w:val="00F82312"/>
    <w:rsid w:val="00F83C99"/>
    <w:rsid w:val="00F841EA"/>
    <w:rsid w:val="00F8426B"/>
    <w:rsid w:val="00F8623A"/>
    <w:rsid w:val="00F8652F"/>
    <w:rsid w:val="00F90B7E"/>
    <w:rsid w:val="00F90CCF"/>
    <w:rsid w:val="00F92334"/>
    <w:rsid w:val="00F95577"/>
    <w:rsid w:val="00F972BF"/>
    <w:rsid w:val="00FA0211"/>
    <w:rsid w:val="00FA0F1F"/>
    <w:rsid w:val="00FA17DB"/>
    <w:rsid w:val="00FA26F7"/>
    <w:rsid w:val="00FA3C84"/>
    <w:rsid w:val="00FA4E53"/>
    <w:rsid w:val="00FA7264"/>
    <w:rsid w:val="00FB0E2A"/>
    <w:rsid w:val="00FB1E09"/>
    <w:rsid w:val="00FB4039"/>
    <w:rsid w:val="00FB409B"/>
    <w:rsid w:val="00FB4892"/>
    <w:rsid w:val="00FB6C65"/>
    <w:rsid w:val="00FB6DF3"/>
    <w:rsid w:val="00FB6E7C"/>
    <w:rsid w:val="00FB77BA"/>
    <w:rsid w:val="00FC0ED3"/>
    <w:rsid w:val="00FC1289"/>
    <w:rsid w:val="00FC15D5"/>
    <w:rsid w:val="00FC479D"/>
    <w:rsid w:val="00FC7940"/>
    <w:rsid w:val="00FD0CFA"/>
    <w:rsid w:val="00FD0F89"/>
    <w:rsid w:val="00FD41C0"/>
    <w:rsid w:val="00FD46BA"/>
    <w:rsid w:val="00FD5D4A"/>
    <w:rsid w:val="00FD7489"/>
    <w:rsid w:val="00FE04E0"/>
    <w:rsid w:val="00FE09B0"/>
    <w:rsid w:val="00FE0F9D"/>
    <w:rsid w:val="00FE10E6"/>
    <w:rsid w:val="00FE1705"/>
    <w:rsid w:val="00FE1D24"/>
    <w:rsid w:val="00FE48CB"/>
    <w:rsid w:val="00FE6F33"/>
    <w:rsid w:val="00FE7A9A"/>
    <w:rsid w:val="00FF1D19"/>
    <w:rsid w:val="00FF24FD"/>
    <w:rsid w:val="00FF2C39"/>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1"/>
    </o:shapelayout>
  </w:shapeDefaults>
  <w:decimalSymbol w:val="."/>
  <w:listSeparator w:val=","/>
  <w14:docId w14:val="72271BEF"/>
  <w15:docId w15:val="{FAE0E7DD-61F9-422F-A02F-78E7B5DA3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1"/>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Textonotaalfinal">
    <w:name w:val="endnote text"/>
    <w:basedOn w:val="Normal"/>
    <w:link w:val="TextonotaalfinalCar"/>
    <w:uiPriority w:val="99"/>
    <w:semiHidden/>
    <w:unhideWhenUsed/>
    <w:rsid w:val="00A776E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A776EA"/>
    <w:rPr>
      <w:sz w:val="20"/>
      <w:szCs w:val="20"/>
      <w:lang w:val="es-ES"/>
    </w:rPr>
  </w:style>
  <w:style w:type="character" w:styleId="Refdenotaalfinal">
    <w:name w:val="endnote reference"/>
    <w:basedOn w:val="Fuentedeprrafopredeter"/>
    <w:uiPriority w:val="99"/>
    <w:semiHidden/>
    <w:unhideWhenUsed/>
    <w:rsid w:val="00A776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53783">
      <w:bodyDiv w:val="1"/>
      <w:marLeft w:val="0"/>
      <w:marRight w:val="0"/>
      <w:marTop w:val="0"/>
      <w:marBottom w:val="0"/>
      <w:divBdr>
        <w:top w:val="none" w:sz="0" w:space="0" w:color="auto"/>
        <w:left w:val="none" w:sz="0" w:space="0" w:color="auto"/>
        <w:bottom w:val="none" w:sz="0" w:space="0" w:color="auto"/>
        <w:right w:val="none" w:sz="0" w:space="0" w:color="auto"/>
      </w:divBdr>
      <w:divsChild>
        <w:div w:id="506752641">
          <w:marLeft w:val="0"/>
          <w:marRight w:val="0"/>
          <w:marTop w:val="0"/>
          <w:marBottom w:val="0"/>
          <w:divBdr>
            <w:top w:val="none" w:sz="0" w:space="0" w:color="auto"/>
            <w:left w:val="none" w:sz="0" w:space="0" w:color="auto"/>
            <w:bottom w:val="none" w:sz="0" w:space="0" w:color="auto"/>
            <w:right w:val="none" w:sz="0" w:space="0" w:color="auto"/>
          </w:divBdr>
        </w:div>
      </w:divsChild>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15076068">
      <w:bodyDiv w:val="1"/>
      <w:marLeft w:val="0"/>
      <w:marRight w:val="0"/>
      <w:marTop w:val="0"/>
      <w:marBottom w:val="0"/>
      <w:divBdr>
        <w:top w:val="none" w:sz="0" w:space="0" w:color="auto"/>
        <w:left w:val="none" w:sz="0" w:space="0" w:color="auto"/>
        <w:bottom w:val="none" w:sz="0" w:space="0" w:color="auto"/>
        <w:right w:val="none" w:sz="0" w:space="0" w:color="auto"/>
      </w:divBdr>
      <w:divsChild>
        <w:div w:id="1308316906">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47470558">
      <w:bodyDiv w:val="1"/>
      <w:marLeft w:val="0"/>
      <w:marRight w:val="0"/>
      <w:marTop w:val="0"/>
      <w:marBottom w:val="0"/>
      <w:divBdr>
        <w:top w:val="none" w:sz="0" w:space="0" w:color="auto"/>
        <w:left w:val="none" w:sz="0" w:space="0" w:color="auto"/>
        <w:bottom w:val="none" w:sz="0" w:space="0" w:color="auto"/>
        <w:right w:val="none" w:sz="0" w:space="0" w:color="auto"/>
      </w:divBdr>
    </w:div>
    <w:div w:id="1890024518">
      <w:bodyDiv w:val="1"/>
      <w:marLeft w:val="0"/>
      <w:marRight w:val="0"/>
      <w:marTop w:val="0"/>
      <w:marBottom w:val="0"/>
      <w:divBdr>
        <w:top w:val="none" w:sz="0" w:space="0" w:color="auto"/>
        <w:left w:val="none" w:sz="0" w:space="0" w:color="auto"/>
        <w:bottom w:val="none" w:sz="0" w:space="0" w:color="auto"/>
        <w:right w:val="none" w:sz="0" w:space="0" w:color="auto"/>
      </w:divBdr>
      <w:divsChild>
        <w:div w:id="1980916933">
          <w:marLeft w:val="0"/>
          <w:marRight w:val="0"/>
          <w:marTop w:val="0"/>
          <w:marBottom w:val="0"/>
          <w:divBdr>
            <w:top w:val="none" w:sz="0" w:space="0" w:color="auto"/>
            <w:left w:val="none" w:sz="0" w:space="0" w:color="auto"/>
            <w:bottom w:val="none" w:sz="0" w:space="0" w:color="auto"/>
            <w:right w:val="none" w:sz="0" w:space="0" w:color="auto"/>
          </w:divBdr>
        </w:div>
      </w:divsChild>
    </w:div>
    <w:div w:id="191766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7EC7ED-241C-4E3F-9EB6-D9C03C133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TotalTime>
  <Pages>1</Pages>
  <Words>2297</Words>
  <Characters>12637</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JuanEdy</cp:lastModifiedBy>
  <cp:revision>14</cp:revision>
  <cp:lastPrinted>2018-11-28T17:50:00Z</cp:lastPrinted>
  <dcterms:created xsi:type="dcterms:W3CDTF">2020-05-28T20:38:00Z</dcterms:created>
  <dcterms:modified xsi:type="dcterms:W3CDTF">2021-01-21T18:29:00Z</dcterms:modified>
</cp:coreProperties>
</file>