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14A8F" w14:textId="77777777" w:rsidR="00BA344D" w:rsidRDefault="00BA344D"/>
    <w:tbl>
      <w:tblPr>
        <w:tblpPr w:leftFromText="141" w:rightFromText="141" w:vertAnchor="text" w:horzAnchor="page" w:tblpX="1941" w:tblpY="-386"/>
        <w:tblW w:w="9782" w:type="dxa"/>
        <w:tblLayout w:type="fixed"/>
        <w:tblCellMar>
          <w:left w:w="70" w:type="dxa"/>
          <w:right w:w="70" w:type="dxa"/>
        </w:tblCellMar>
        <w:tblLook w:val="0000" w:firstRow="0" w:lastRow="0" w:firstColumn="0" w:lastColumn="0" w:noHBand="0" w:noVBand="0"/>
      </w:tblPr>
      <w:tblGrid>
        <w:gridCol w:w="2356"/>
        <w:gridCol w:w="7426"/>
      </w:tblGrid>
      <w:tr w:rsidR="00FD13D4" w:rsidRPr="00D65424" w14:paraId="4E200E51" w14:textId="77777777" w:rsidTr="00FD13D4">
        <w:tc>
          <w:tcPr>
            <w:tcW w:w="2356" w:type="dxa"/>
          </w:tcPr>
          <w:p w14:paraId="3FA6534D" w14:textId="77777777" w:rsidR="00FD13D4" w:rsidRPr="00376096" w:rsidRDefault="00B50E2C" w:rsidP="00FD13D4">
            <w:pPr>
              <w:spacing w:after="0" w:line="240" w:lineRule="auto"/>
              <w:rPr>
                <w:rFonts w:ascii="Arial" w:hAnsi="Arial" w:cs="Arial"/>
                <w:b/>
                <w:sz w:val="26"/>
                <w:szCs w:val="26"/>
              </w:rPr>
            </w:pPr>
            <w:r>
              <w:rPr>
                <w:rFonts w:ascii="Arial" w:hAnsi="Arial" w:cs="Arial"/>
                <w:b/>
                <w:sz w:val="26"/>
                <w:szCs w:val="26"/>
              </w:rPr>
              <w:t xml:space="preserve"> </w:t>
            </w:r>
          </w:p>
          <w:p w14:paraId="6AD6747B" w14:textId="77777777" w:rsidR="00FD13D4" w:rsidRPr="00376096" w:rsidRDefault="00FD13D4" w:rsidP="00FD13D4">
            <w:pPr>
              <w:spacing w:after="0" w:line="240" w:lineRule="auto"/>
              <w:rPr>
                <w:rFonts w:ascii="Arial" w:hAnsi="Arial" w:cs="Arial"/>
                <w:b/>
                <w:sz w:val="26"/>
                <w:szCs w:val="26"/>
              </w:rPr>
            </w:pPr>
          </w:p>
        </w:tc>
        <w:tc>
          <w:tcPr>
            <w:tcW w:w="7426" w:type="dxa"/>
          </w:tcPr>
          <w:p w14:paraId="403F85C6" w14:textId="77777777" w:rsidR="00FD13D4" w:rsidRPr="00376096" w:rsidRDefault="00FD13D4" w:rsidP="00FD13D4">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14:paraId="5FFBD6C4" w14:textId="5CC23655" w:rsidR="00FD13D4" w:rsidRPr="00FD13D4" w:rsidRDefault="00FD13D4" w:rsidP="00FD13D4">
            <w:pPr>
              <w:tabs>
                <w:tab w:val="left" w:pos="3103"/>
              </w:tabs>
              <w:spacing w:after="0"/>
              <w:ind w:left="1119" w:hanging="1119"/>
              <w:jc w:val="both"/>
              <w:rPr>
                <w:rFonts w:ascii="Arial" w:hAnsi="Arial" w:cs="Arial"/>
                <w:b/>
                <w:iCs/>
                <w:caps/>
                <w:sz w:val="26"/>
                <w:szCs w:val="26"/>
              </w:rPr>
            </w:pPr>
            <w:r w:rsidRPr="00FD13D4">
              <w:rPr>
                <w:rFonts w:ascii="Arial" w:hAnsi="Arial" w:cs="Arial"/>
                <w:b/>
                <w:i/>
                <w:iCs/>
                <w:caps/>
                <w:sz w:val="26"/>
                <w:szCs w:val="26"/>
              </w:rPr>
              <w:t xml:space="preserve">            </w:t>
            </w:r>
            <w:r w:rsidR="00CF0BF5">
              <w:rPr>
                <w:rFonts w:ascii="Arial" w:hAnsi="Arial" w:cs="Arial"/>
                <w:b/>
                <w:i/>
                <w:iCs/>
                <w:caps/>
                <w:sz w:val="26"/>
                <w:szCs w:val="26"/>
              </w:rPr>
              <w:t xml:space="preserve">   </w:t>
            </w:r>
            <w:r w:rsidRPr="00FD13D4">
              <w:rPr>
                <w:rFonts w:ascii="Arial" w:hAnsi="Arial" w:cs="Arial"/>
                <w:b/>
                <w:i/>
                <w:iCs/>
                <w:caps/>
                <w:sz w:val="26"/>
                <w:szCs w:val="26"/>
              </w:rPr>
              <w:t xml:space="preserve"> </w:t>
            </w:r>
            <w:r w:rsidRPr="00FD13D4">
              <w:rPr>
                <w:rFonts w:ascii="Arial" w:hAnsi="Arial" w:cs="Arial"/>
                <w:b/>
                <w:iCs/>
                <w:caps/>
                <w:sz w:val="26"/>
                <w:szCs w:val="26"/>
              </w:rPr>
              <w:t>SALA SUPERIOR DEL TRIBUNAL DE JUSTICIA ADMINISTRATIVA DEL ESTADO DE OAXACA</w:t>
            </w:r>
          </w:p>
          <w:p w14:paraId="5B6B153D"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p>
          <w:p w14:paraId="361A9E8D"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r w:rsidR="000520E1">
              <w:rPr>
                <w:rFonts w:ascii="Arial" w:hAnsi="Arial" w:cs="Arial"/>
                <w:b/>
                <w:iCs/>
                <w:caps/>
                <w:sz w:val="26"/>
                <w:szCs w:val="26"/>
              </w:rPr>
              <w:t xml:space="preserve">     RECURSO DE REVISIÓN:   0</w:t>
            </w:r>
            <w:r w:rsidR="008500D7">
              <w:rPr>
                <w:rFonts w:ascii="Arial" w:hAnsi="Arial" w:cs="Arial"/>
                <w:b/>
                <w:iCs/>
                <w:caps/>
                <w:sz w:val="26"/>
                <w:szCs w:val="26"/>
              </w:rPr>
              <w:t>3</w:t>
            </w:r>
            <w:r w:rsidR="00A64E13">
              <w:rPr>
                <w:rFonts w:ascii="Arial" w:hAnsi="Arial" w:cs="Arial"/>
                <w:b/>
                <w:iCs/>
                <w:caps/>
                <w:sz w:val="26"/>
                <w:szCs w:val="26"/>
              </w:rPr>
              <w:t>0</w:t>
            </w:r>
            <w:r w:rsidR="000520E1">
              <w:rPr>
                <w:rFonts w:ascii="Arial" w:hAnsi="Arial" w:cs="Arial"/>
                <w:b/>
                <w:iCs/>
                <w:caps/>
                <w:sz w:val="26"/>
                <w:szCs w:val="26"/>
              </w:rPr>
              <w:t>2</w:t>
            </w:r>
            <w:r w:rsidRPr="00FD13D4">
              <w:rPr>
                <w:rFonts w:ascii="Arial" w:hAnsi="Arial" w:cs="Arial"/>
                <w:b/>
                <w:iCs/>
                <w:caps/>
                <w:sz w:val="26"/>
                <w:szCs w:val="26"/>
              </w:rPr>
              <w:t>/201</w:t>
            </w:r>
            <w:r w:rsidR="00864EBA">
              <w:rPr>
                <w:rFonts w:ascii="Arial" w:hAnsi="Arial" w:cs="Arial"/>
                <w:b/>
                <w:iCs/>
                <w:caps/>
                <w:sz w:val="26"/>
                <w:szCs w:val="26"/>
              </w:rPr>
              <w:t>9</w:t>
            </w:r>
          </w:p>
          <w:p w14:paraId="36415573"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r w:rsidR="008444EF">
              <w:rPr>
                <w:rFonts w:ascii="Arial" w:hAnsi="Arial" w:cs="Arial"/>
                <w:b/>
                <w:iCs/>
                <w:caps/>
                <w:sz w:val="26"/>
                <w:szCs w:val="26"/>
              </w:rPr>
              <w:t xml:space="preserve">                EXPEDIENTE: 00</w:t>
            </w:r>
            <w:r w:rsidR="008500D7">
              <w:rPr>
                <w:rFonts w:ascii="Arial" w:hAnsi="Arial" w:cs="Arial"/>
                <w:b/>
                <w:iCs/>
                <w:caps/>
                <w:sz w:val="26"/>
                <w:szCs w:val="26"/>
              </w:rPr>
              <w:t>4</w:t>
            </w:r>
            <w:r w:rsidR="00A64E13">
              <w:rPr>
                <w:rFonts w:ascii="Arial" w:hAnsi="Arial" w:cs="Arial"/>
                <w:b/>
                <w:iCs/>
                <w:caps/>
                <w:sz w:val="26"/>
                <w:szCs w:val="26"/>
              </w:rPr>
              <w:t>5</w:t>
            </w:r>
            <w:r w:rsidR="00864EBA">
              <w:rPr>
                <w:rFonts w:ascii="Arial" w:hAnsi="Arial" w:cs="Arial"/>
                <w:b/>
                <w:iCs/>
                <w:caps/>
                <w:sz w:val="26"/>
                <w:szCs w:val="26"/>
              </w:rPr>
              <w:t>/201</w:t>
            </w:r>
            <w:r w:rsidR="00A64E13">
              <w:rPr>
                <w:rFonts w:ascii="Arial" w:hAnsi="Arial" w:cs="Arial"/>
                <w:b/>
                <w:iCs/>
                <w:caps/>
                <w:sz w:val="26"/>
                <w:szCs w:val="26"/>
              </w:rPr>
              <w:t>8</w:t>
            </w:r>
            <w:r w:rsidR="008444EF">
              <w:rPr>
                <w:rFonts w:ascii="Arial" w:hAnsi="Arial" w:cs="Arial"/>
                <w:b/>
                <w:iCs/>
                <w:caps/>
                <w:sz w:val="26"/>
                <w:szCs w:val="26"/>
              </w:rPr>
              <w:t xml:space="preserve"> DE LA </w:t>
            </w:r>
            <w:r w:rsidR="00A64E13">
              <w:rPr>
                <w:rFonts w:ascii="Arial" w:hAnsi="Arial" w:cs="Arial"/>
                <w:b/>
                <w:iCs/>
                <w:caps/>
                <w:sz w:val="26"/>
                <w:szCs w:val="26"/>
              </w:rPr>
              <w:t>TERCERA</w:t>
            </w:r>
            <w:r w:rsidRPr="00FD13D4">
              <w:rPr>
                <w:rFonts w:ascii="Arial" w:hAnsi="Arial" w:cs="Arial"/>
                <w:b/>
                <w:iCs/>
                <w:caps/>
                <w:sz w:val="26"/>
                <w:szCs w:val="26"/>
              </w:rPr>
              <w:t xml:space="preserve"> sala</w:t>
            </w:r>
          </w:p>
          <w:p w14:paraId="0377E889"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UNITARIA de primera instancia </w:t>
            </w:r>
          </w:p>
          <w:p w14:paraId="2A207563"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p>
          <w:p w14:paraId="3A44117C" w14:textId="77777777"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ponente: magISTRADO MANUEL VELASCO  </w:t>
            </w:r>
          </w:p>
          <w:p w14:paraId="605F9690" w14:textId="77777777" w:rsidR="00FD13D4" w:rsidRPr="00D6542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ALCÁNTARA.</w:t>
            </w:r>
          </w:p>
        </w:tc>
      </w:tr>
    </w:tbl>
    <w:p w14:paraId="22DA9A8B" w14:textId="06118F64" w:rsidR="00E65BA3" w:rsidRDefault="00E65BA3" w:rsidP="00E65BA3">
      <w:pPr>
        <w:spacing w:line="360" w:lineRule="auto"/>
        <w:jc w:val="both"/>
        <w:rPr>
          <w:rFonts w:ascii="Arial" w:hAnsi="Arial" w:cs="Arial"/>
          <w:b/>
          <w:sz w:val="26"/>
          <w:szCs w:val="26"/>
          <w:lang w:val="es-MX"/>
        </w:rPr>
      </w:pPr>
      <w:r w:rsidRPr="00D65424">
        <w:rPr>
          <w:rFonts w:ascii="Arial" w:hAnsi="Arial" w:cs="Arial"/>
          <w:b/>
          <w:sz w:val="26"/>
          <w:szCs w:val="26"/>
          <w:lang w:val="es-MX"/>
        </w:rPr>
        <w:t>OAXACA DE JUÁRE</w:t>
      </w:r>
      <w:r>
        <w:rPr>
          <w:rFonts w:ascii="Arial" w:hAnsi="Arial" w:cs="Arial"/>
          <w:b/>
          <w:sz w:val="26"/>
          <w:szCs w:val="26"/>
          <w:lang w:val="es-MX"/>
        </w:rPr>
        <w:t>Z, OAXACA</w:t>
      </w:r>
      <w:r w:rsidR="00CF0BF5">
        <w:rPr>
          <w:rFonts w:ascii="Arial" w:hAnsi="Arial" w:cs="Arial"/>
          <w:b/>
          <w:sz w:val="26"/>
          <w:szCs w:val="26"/>
          <w:lang w:val="es-MX"/>
        </w:rPr>
        <w:t xml:space="preserve">, A OCHO DE OCTUBRE </w:t>
      </w:r>
      <w:r w:rsidRPr="00D65424">
        <w:rPr>
          <w:rFonts w:ascii="Arial" w:hAnsi="Arial" w:cs="Arial"/>
          <w:b/>
          <w:sz w:val="26"/>
          <w:szCs w:val="26"/>
          <w:lang w:val="es-MX"/>
        </w:rPr>
        <w:t xml:space="preserve">DE DOS MIL </w:t>
      </w:r>
      <w:r>
        <w:rPr>
          <w:rFonts w:ascii="Arial" w:hAnsi="Arial" w:cs="Arial"/>
          <w:b/>
          <w:sz w:val="26"/>
          <w:szCs w:val="26"/>
          <w:lang w:val="es-MX"/>
        </w:rPr>
        <w:t xml:space="preserve">VEINTE. - - - - - - - - - - - - - - - - - - - - - - - - - - - - - - - - - - - - - - - - - - </w:t>
      </w:r>
    </w:p>
    <w:p w14:paraId="37679BC4" w14:textId="202406F8" w:rsidR="00E65BA3" w:rsidRPr="00D65424" w:rsidRDefault="00E65BA3" w:rsidP="00E65BA3">
      <w:pPr>
        <w:spacing w:before="240" w:line="360" w:lineRule="auto"/>
        <w:ind w:firstLine="708"/>
        <w:jc w:val="both"/>
        <w:rPr>
          <w:rFonts w:ascii="Arial" w:hAnsi="Arial" w:cs="Arial"/>
          <w:sz w:val="26"/>
          <w:szCs w:val="26"/>
          <w:lang w:val="es-MX"/>
        </w:rPr>
      </w:pPr>
      <w:r w:rsidRPr="00D65424">
        <w:rPr>
          <w:rFonts w:ascii="Arial" w:hAnsi="Arial" w:cs="Arial"/>
          <w:sz w:val="26"/>
          <w:szCs w:val="26"/>
          <w:lang w:val="es-MX"/>
        </w:rPr>
        <w:t>Se</w:t>
      </w:r>
      <w:r w:rsidRPr="00D65424">
        <w:rPr>
          <w:rFonts w:ascii="Arial" w:hAnsi="Arial" w:cs="Arial"/>
          <w:sz w:val="26"/>
          <w:szCs w:val="26"/>
        </w:rPr>
        <w:t xml:space="preserve"> tiene por recibido el Cuaderno de Revisión </w:t>
      </w:r>
      <w:r>
        <w:rPr>
          <w:rFonts w:ascii="Arial" w:hAnsi="Arial" w:cs="Arial"/>
          <w:b/>
          <w:sz w:val="26"/>
          <w:szCs w:val="26"/>
        </w:rPr>
        <w:t>0302</w:t>
      </w:r>
      <w:r w:rsidRPr="00D65424">
        <w:rPr>
          <w:rFonts w:ascii="Arial" w:hAnsi="Arial" w:cs="Arial"/>
          <w:b/>
          <w:sz w:val="26"/>
          <w:szCs w:val="26"/>
        </w:rPr>
        <w:t>/201</w:t>
      </w:r>
      <w:r>
        <w:rPr>
          <w:rFonts w:ascii="Arial" w:hAnsi="Arial" w:cs="Arial"/>
          <w:b/>
          <w:sz w:val="26"/>
          <w:szCs w:val="26"/>
        </w:rPr>
        <w:t>9</w:t>
      </w:r>
      <w:r w:rsidRPr="00D65424">
        <w:rPr>
          <w:rFonts w:ascii="Arial" w:hAnsi="Arial" w:cs="Arial"/>
          <w:b/>
          <w:sz w:val="26"/>
          <w:szCs w:val="26"/>
        </w:rPr>
        <w:t>,</w:t>
      </w:r>
      <w:r w:rsidRPr="00D65424">
        <w:rPr>
          <w:rFonts w:ascii="Arial" w:hAnsi="Arial" w:cs="Arial"/>
          <w:sz w:val="26"/>
          <w:szCs w:val="26"/>
        </w:rPr>
        <w:t xml:space="preserve"> que remite la Secretaría General de Acuerdos, </w:t>
      </w:r>
      <w:r w:rsidRPr="00D65424">
        <w:rPr>
          <w:rFonts w:ascii="Arial" w:hAnsi="Arial" w:cs="Arial"/>
          <w:sz w:val="26"/>
          <w:szCs w:val="26"/>
          <w:lang w:val="es-MX"/>
        </w:rPr>
        <w:t>con motivo del recurso de revisión interpuesto por</w:t>
      </w:r>
      <w:r>
        <w:rPr>
          <w:rFonts w:ascii="Arial" w:hAnsi="Arial" w:cs="Arial"/>
          <w:b/>
          <w:sz w:val="26"/>
          <w:szCs w:val="26"/>
          <w:lang w:val="es-MX"/>
        </w:rPr>
        <w:t xml:space="preserve"> </w:t>
      </w:r>
      <w:r w:rsidR="00FF195B">
        <w:rPr>
          <w:rFonts w:ascii="Arial" w:hAnsi="Arial" w:cs="Arial"/>
          <w:b/>
          <w:sz w:val="26"/>
          <w:szCs w:val="26"/>
        </w:rPr>
        <w:t>***********</w:t>
      </w:r>
      <w:r>
        <w:rPr>
          <w:rFonts w:ascii="Arial" w:hAnsi="Arial" w:cs="Arial"/>
          <w:b/>
          <w:sz w:val="26"/>
          <w:szCs w:val="26"/>
          <w:lang w:val="es-MX"/>
        </w:rPr>
        <w:t>, DIRECTOR JURÍDICO DE LA SECRETARÍA DE LA CONTRALORÍA Y TRANSPARENCIA GUBERNAMENTAL</w:t>
      </w:r>
      <w:r>
        <w:rPr>
          <w:rFonts w:ascii="Arial" w:hAnsi="Arial" w:cs="Arial"/>
          <w:sz w:val="26"/>
          <w:szCs w:val="26"/>
          <w:lang w:val="es-MX"/>
        </w:rPr>
        <w:t xml:space="preserve">, en contra de la </w:t>
      </w:r>
      <w:r w:rsidR="00CF0BF5">
        <w:rPr>
          <w:rFonts w:ascii="Arial" w:hAnsi="Arial" w:cs="Arial"/>
          <w:sz w:val="26"/>
          <w:szCs w:val="26"/>
          <w:lang w:val="es-MX"/>
        </w:rPr>
        <w:t>sentencia</w:t>
      </w:r>
      <w:r>
        <w:rPr>
          <w:rFonts w:ascii="Arial" w:hAnsi="Arial" w:cs="Arial"/>
          <w:sz w:val="26"/>
          <w:szCs w:val="26"/>
          <w:lang w:val="es-MX"/>
        </w:rPr>
        <w:t xml:space="preserve"> de veintitrés</w:t>
      </w:r>
      <w:r w:rsidRPr="00D65424">
        <w:rPr>
          <w:rFonts w:ascii="Arial" w:hAnsi="Arial" w:cs="Arial"/>
          <w:sz w:val="26"/>
          <w:szCs w:val="26"/>
          <w:lang w:val="es-MX"/>
        </w:rPr>
        <w:t xml:space="preserve"> de </w:t>
      </w:r>
      <w:r>
        <w:rPr>
          <w:rFonts w:ascii="Arial" w:hAnsi="Arial" w:cs="Arial"/>
          <w:sz w:val="26"/>
          <w:szCs w:val="26"/>
          <w:lang w:val="es-MX"/>
        </w:rPr>
        <w:t>agosto de</w:t>
      </w:r>
      <w:r w:rsidRPr="00D65424">
        <w:rPr>
          <w:rFonts w:ascii="Arial" w:hAnsi="Arial" w:cs="Arial"/>
          <w:sz w:val="26"/>
          <w:szCs w:val="26"/>
          <w:lang w:val="es-MX"/>
        </w:rPr>
        <w:t xml:space="preserve"> dos mil dieci</w:t>
      </w:r>
      <w:r>
        <w:rPr>
          <w:rFonts w:ascii="Arial" w:hAnsi="Arial" w:cs="Arial"/>
          <w:sz w:val="26"/>
          <w:szCs w:val="26"/>
          <w:lang w:val="es-MX"/>
        </w:rPr>
        <w:t>nueve, dictada</w:t>
      </w:r>
      <w:r w:rsidRPr="00D65424">
        <w:rPr>
          <w:rFonts w:ascii="Arial" w:hAnsi="Arial" w:cs="Arial"/>
          <w:sz w:val="26"/>
          <w:szCs w:val="26"/>
          <w:lang w:val="es-MX"/>
        </w:rPr>
        <w:t xml:space="preserve"> en el expediente </w:t>
      </w:r>
      <w:r w:rsidRPr="00D65424">
        <w:rPr>
          <w:rFonts w:ascii="Arial" w:hAnsi="Arial" w:cs="Arial"/>
          <w:b/>
          <w:bCs/>
          <w:iCs/>
          <w:sz w:val="26"/>
          <w:szCs w:val="26"/>
        </w:rPr>
        <w:t>00</w:t>
      </w:r>
      <w:r>
        <w:rPr>
          <w:rFonts w:ascii="Arial" w:hAnsi="Arial" w:cs="Arial"/>
          <w:b/>
          <w:bCs/>
          <w:iCs/>
          <w:sz w:val="26"/>
          <w:szCs w:val="26"/>
        </w:rPr>
        <w:t>45</w:t>
      </w:r>
      <w:r w:rsidRPr="00D65424">
        <w:rPr>
          <w:rFonts w:ascii="Arial" w:hAnsi="Arial" w:cs="Arial"/>
          <w:b/>
          <w:sz w:val="26"/>
          <w:szCs w:val="26"/>
          <w:lang w:val="es-MX"/>
        </w:rPr>
        <w:t>/201</w:t>
      </w:r>
      <w:r>
        <w:rPr>
          <w:rFonts w:ascii="Arial" w:hAnsi="Arial" w:cs="Arial"/>
          <w:b/>
          <w:sz w:val="26"/>
          <w:szCs w:val="26"/>
          <w:lang w:val="es-MX"/>
        </w:rPr>
        <w:t>8</w:t>
      </w:r>
      <w:r w:rsidRPr="00D65424">
        <w:rPr>
          <w:rFonts w:ascii="Arial" w:hAnsi="Arial" w:cs="Arial"/>
          <w:b/>
          <w:sz w:val="26"/>
          <w:szCs w:val="26"/>
          <w:lang w:val="es-MX"/>
        </w:rPr>
        <w:t>,</w:t>
      </w:r>
      <w:r>
        <w:rPr>
          <w:rFonts w:ascii="Arial" w:hAnsi="Arial" w:cs="Arial"/>
          <w:sz w:val="26"/>
          <w:szCs w:val="26"/>
          <w:lang w:val="es-MX"/>
        </w:rPr>
        <w:t xml:space="preserve"> del</w:t>
      </w:r>
      <w:r w:rsidRPr="00D65424">
        <w:rPr>
          <w:rFonts w:ascii="Arial" w:hAnsi="Arial" w:cs="Arial"/>
          <w:sz w:val="26"/>
          <w:szCs w:val="26"/>
          <w:lang w:val="es-MX"/>
        </w:rPr>
        <w:t xml:space="preserve"> índice de </w:t>
      </w:r>
      <w:r>
        <w:rPr>
          <w:rFonts w:ascii="Arial" w:hAnsi="Arial" w:cs="Arial"/>
          <w:sz w:val="26"/>
          <w:szCs w:val="26"/>
          <w:lang w:val="es-MX"/>
        </w:rPr>
        <w:t>la Tercera</w:t>
      </w:r>
      <w:r w:rsidRPr="00D65424">
        <w:rPr>
          <w:rFonts w:ascii="Arial" w:hAnsi="Arial" w:cs="Arial"/>
          <w:sz w:val="26"/>
          <w:szCs w:val="26"/>
          <w:lang w:val="es-MX"/>
        </w:rPr>
        <w:t xml:space="preserve"> Sala Unitaria de Primera Instancia del Tribunal de Justicia Administrativa del Estado, relativo al juicio de nulidad promovido por</w:t>
      </w:r>
      <w:r w:rsidRPr="00D65424">
        <w:rPr>
          <w:rFonts w:ascii="Arial" w:hAnsi="Arial" w:cs="Arial"/>
          <w:b/>
          <w:sz w:val="26"/>
          <w:szCs w:val="26"/>
          <w:lang w:val="es-MX"/>
        </w:rPr>
        <w:t xml:space="preserve"> </w:t>
      </w:r>
      <w:r w:rsidR="00FF195B">
        <w:rPr>
          <w:rFonts w:ascii="Arial" w:hAnsi="Arial" w:cs="Arial"/>
          <w:b/>
          <w:sz w:val="26"/>
          <w:szCs w:val="26"/>
        </w:rPr>
        <w:t>***********</w:t>
      </w:r>
      <w:r w:rsidRPr="00D65424">
        <w:rPr>
          <w:rFonts w:ascii="Arial" w:hAnsi="Arial" w:cs="Arial"/>
          <w:b/>
          <w:sz w:val="26"/>
          <w:szCs w:val="26"/>
          <w:lang w:val="es-MX"/>
        </w:rPr>
        <w:t xml:space="preserve">, </w:t>
      </w:r>
      <w:r w:rsidRPr="00D65424">
        <w:rPr>
          <w:rFonts w:ascii="Arial" w:hAnsi="Arial" w:cs="Arial"/>
          <w:sz w:val="26"/>
          <w:szCs w:val="26"/>
          <w:lang w:val="es-MX"/>
        </w:rPr>
        <w:t xml:space="preserve">en contra del </w:t>
      </w:r>
      <w:r w:rsidRPr="002852F6">
        <w:rPr>
          <w:rFonts w:ascii="Arial" w:hAnsi="Arial" w:cs="Arial"/>
          <w:b/>
          <w:sz w:val="26"/>
          <w:szCs w:val="26"/>
          <w:lang w:val="es-MX"/>
        </w:rPr>
        <w:t xml:space="preserve">DIRECTOR </w:t>
      </w:r>
      <w:r>
        <w:rPr>
          <w:rFonts w:ascii="Arial" w:hAnsi="Arial" w:cs="Arial"/>
          <w:b/>
          <w:sz w:val="26"/>
          <w:szCs w:val="26"/>
          <w:lang w:val="es-MX"/>
        </w:rPr>
        <w:t>DE RESPONSABILIDADES ADMINISTRATIVAS Y SITUACIÓN PATRIMONIAL, Y JEFE DEL DEPARTAMENTO DE PROCEDIMIENTOS ADMINISTRATIVOS AMBOS DE LA SECRETARÍA DE LA CONTRALORÍA Y TRANSPARENCIA GUBERNAMENTAL;</w:t>
      </w:r>
      <w:r w:rsidRPr="00D65424">
        <w:rPr>
          <w:rFonts w:ascii="Arial" w:hAnsi="Arial" w:cs="Arial"/>
          <w:b/>
          <w:sz w:val="26"/>
          <w:szCs w:val="26"/>
          <w:lang w:val="es-MX"/>
        </w:rPr>
        <w:t xml:space="preserve"> </w:t>
      </w:r>
      <w:r w:rsidRPr="00D65424">
        <w:rPr>
          <w:rFonts w:ascii="Arial" w:hAnsi="Arial" w:cs="Arial"/>
          <w:sz w:val="26"/>
          <w:szCs w:val="26"/>
          <w:lang w:val="es-MX"/>
        </w:rPr>
        <w:t>por lo que</w:t>
      </w:r>
      <w:r>
        <w:rPr>
          <w:rFonts w:ascii="Arial" w:hAnsi="Arial" w:cs="Arial"/>
          <w:sz w:val="26"/>
          <w:szCs w:val="26"/>
          <w:lang w:val="es-MX"/>
        </w:rPr>
        <w:t>,</w:t>
      </w:r>
      <w:r w:rsidRPr="00D65424">
        <w:rPr>
          <w:rFonts w:ascii="Arial" w:hAnsi="Arial" w:cs="Arial"/>
          <w:sz w:val="26"/>
          <w:szCs w:val="26"/>
          <w:lang w:val="es-MX"/>
        </w:rPr>
        <w:t xml:space="preserve"> con fundamento en los artículos 2</w:t>
      </w:r>
      <w:r>
        <w:rPr>
          <w:rFonts w:ascii="Arial" w:hAnsi="Arial" w:cs="Arial"/>
          <w:sz w:val="26"/>
          <w:szCs w:val="26"/>
          <w:lang w:val="es-MX"/>
        </w:rPr>
        <w:t>3</w:t>
      </w:r>
      <w:r w:rsidRPr="00D65424">
        <w:rPr>
          <w:rFonts w:ascii="Arial" w:hAnsi="Arial" w:cs="Arial"/>
          <w:sz w:val="26"/>
          <w:szCs w:val="26"/>
          <w:lang w:val="es-MX"/>
        </w:rPr>
        <w:t>7 y 2</w:t>
      </w:r>
      <w:r>
        <w:rPr>
          <w:rFonts w:ascii="Arial" w:hAnsi="Arial" w:cs="Arial"/>
          <w:sz w:val="26"/>
          <w:szCs w:val="26"/>
          <w:lang w:val="es-MX"/>
        </w:rPr>
        <w:t>3</w:t>
      </w:r>
      <w:r w:rsidRPr="00D65424">
        <w:rPr>
          <w:rFonts w:ascii="Arial" w:hAnsi="Arial" w:cs="Arial"/>
          <w:sz w:val="26"/>
          <w:szCs w:val="26"/>
          <w:lang w:val="es-MX"/>
        </w:rPr>
        <w:t xml:space="preserve">8, de la Ley de </w:t>
      </w:r>
      <w:r>
        <w:rPr>
          <w:rFonts w:ascii="Arial" w:hAnsi="Arial" w:cs="Arial"/>
          <w:sz w:val="26"/>
          <w:szCs w:val="26"/>
          <w:lang w:val="es-MX"/>
        </w:rPr>
        <w:t xml:space="preserve">Procedimiento y </w:t>
      </w:r>
      <w:r w:rsidRPr="00D65424">
        <w:rPr>
          <w:rFonts w:ascii="Arial" w:hAnsi="Arial" w:cs="Arial"/>
          <w:sz w:val="26"/>
          <w:szCs w:val="26"/>
          <w:lang w:val="es-MX"/>
        </w:rPr>
        <w:t>Justicia Administrativa para el Estado de Oaxaca, se admite. En consecuencia, se procede a dictar resolución en los siguientes términos:</w:t>
      </w:r>
      <w:r w:rsidR="00CF0BF5">
        <w:rPr>
          <w:rFonts w:ascii="Arial" w:hAnsi="Arial" w:cs="Arial"/>
          <w:sz w:val="26"/>
          <w:szCs w:val="26"/>
          <w:lang w:val="es-MX"/>
        </w:rPr>
        <w:t xml:space="preserve"> - - - - - - - - - - - - - - - - - - - - - - - - </w:t>
      </w:r>
    </w:p>
    <w:p w14:paraId="1CCF7CCE" w14:textId="77777777" w:rsidR="00E65BA3" w:rsidRPr="00D65424" w:rsidRDefault="00E65BA3" w:rsidP="00E65BA3">
      <w:pPr>
        <w:spacing w:before="240" w:line="360" w:lineRule="auto"/>
        <w:jc w:val="center"/>
        <w:rPr>
          <w:rFonts w:ascii="Arial" w:hAnsi="Arial" w:cs="Arial"/>
          <w:b/>
          <w:bCs/>
          <w:sz w:val="26"/>
          <w:szCs w:val="26"/>
          <w:lang w:val="es-MX"/>
        </w:rPr>
      </w:pPr>
      <w:r w:rsidRPr="00D65424">
        <w:rPr>
          <w:rFonts w:ascii="Arial" w:hAnsi="Arial" w:cs="Arial"/>
          <w:b/>
          <w:bCs/>
          <w:sz w:val="26"/>
          <w:szCs w:val="26"/>
          <w:lang w:val="es-MX"/>
        </w:rPr>
        <w:t>R E S U L T A N D O</w:t>
      </w:r>
    </w:p>
    <w:p w14:paraId="5EF3B311" w14:textId="052F1F22" w:rsidR="00E65BA3" w:rsidRPr="00D65424" w:rsidRDefault="00E65BA3" w:rsidP="00E65BA3">
      <w:pPr>
        <w:spacing w:before="240" w:line="360" w:lineRule="auto"/>
        <w:jc w:val="both"/>
        <w:rPr>
          <w:rFonts w:ascii="Arial" w:hAnsi="Arial" w:cs="Arial"/>
          <w:sz w:val="26"/>
          <w:szCs w:val="26"/>
          <w:lang w:val="es-MX"/>
        </w:rPr>
      </w:pPr>
      <w:r w:rsidRPr="00D65424">
        <w:rPr>
          <w:rFonts w:ascii="Arial" w:hAnsi="Arial" w:cs="Arial"/>
          <w:b/>
          <w:bCs/>
          <w:sz w:val="26"/>
          <w:szCs w:val="26"/>
          <w:lang w:val="es-MX"/>
        </w:rPr>
        <w:tab/>
        <w:t xml:space="preserve">PRIMERO. </w:t>
      </w:r>
      <w:r w:rsidRPr="00D65424">
        <w:rPr>
          <w:rFonts w:ascii="Arial" w:hAnsi="Arial" w:cs="Arial"/>
          <w:sz w:val="26"/>
          <w:szCs w:val="26"/>
          <w:lang w:val="es-MX"/>
        </w:rPr>
        <w:t xml:space="preserve">Inconforme con </w:t>
      </w:r>
      <w:r>
        <w:rPr>
          <w:rFonts w:ascii="Arial" w:hAnsi="Arial" w:cs="Arial"/>
          <w:sz w:val="26"/>
          <w:szCs w:val="26"/>
          <w:lang w:val="es-MX"/>
        </w:rPr>
        <w:t>la resolución de veintitrés</w:t>
      </w:r>
      <w:r w:rsidRPr="00D65424">
        <w:rPr>
          <w:rFonts w:ascii="Arial" w:hAnsi="Arial" w:cs="Arial"/>
          <w:sz w:val="26"/>
          <w:szCs w:val="26"/>
          <w:lang w:val="es-MX"/>
        </w:rPr>
        <w:t xml:space="preserve"> de </w:t>
      </w:r>
      <w:r>
        <w:rPr>
          <w:rFonts w:ascii="Arial" w:hAnsi="Arial" w:cs="Arial"/>
          <w:sz w:val="26"/>
          <w:szCs w:val="26"/>
          <w:lang w:val="es-MX"/>
        </w:rPr>
        <w:t>agosto de</w:t>
      </w:r>
      <w:r w:rsidRPr="00D65424">
        <w:rPr>
          <w:rFonts w:ascii="Arial" w:hAnsi="Arial" w:cs="Arial"/>
          <w:sz w:val="26"/>
          <w:szCs w:val="26"/>
          <w:lang w:val="es-MX"/>
        </w:rPr>
        <w:t xml:space="preserve"> dos mil dieci</w:t>
      </w:r>
      <w:r>
        <w:rPr>
          <w:rFonts w:ascii="Arial" w:hAnsi="Arial" w:cs="Arial"/>
          <w:sz w:val="26"/>
          <w:szCs w:val="26"/>
          <w:lang w:val="es-MX"/>
        </w:rPr>
        <w:t>nueve, dictada</w:t>
      </w:r>
      <w:r w:rsidRPr="00D65424">
        <w:rPr>
          <w:rFonts w:ascii="Arial" w:hAnsi="Arial" w:cs="Arial"/>
          <w:sz w:val="26"/>
          <w:szCs w:val="26"/>
          <w:lang w:val="es-MX"/>
        </w:rPr>
        <w:t xml:space="preserve"> por la </w:t>
      </w:r>
      <w:r>
        <w:rPr>
          <w:rFonts w:ascii="Arial" w:hAnsi="Arial" w:cs="Arial"/>
          <w:sz w:val="26"/>
          <w:szCs w:val="26"/>
          <w:lang w:val="es-MX"/>
        </w:rPr>
        <w:t>Tercera</w:t>
      </w:r>
      <w:r w:rsidRPr="00D65424">
        <w:rPr>
          <w:rFonts w:ascii="Arial" w:hAnsi="Arial" w:cs="Arial"/>
          <w:sz w:val="26"/>
          <w:szCs w:val="26"/>
          <w:lang w:val="es-MX"/>
        </w:rPr>
        <w:t xml:space="preserve"> Sala Unitaria de Primera Instancia</w:t>
      </w:r>
      <w:r w:rsidRPr="00882B6A">
        <w:rPr>
          <w:rFonts w:ascii="Arial" w:hAnsi="Arial" w:cs="Arial"/>
          <w:b/>
          <w:sz w:val="26"/>
          <w:szCs w:val="26"/>
          <w:lang w:val="es-MX"/>
        </w:rPr>
        <w:t xml:space="preserve"> </w:t>
      </w:r>
      <w:r w:rsidR="00FF195B">
        <w:rPr>
          <w:rFonts w:ascii="Arial" w:hAnsi="Arial" w:cs="Arial"/>
          <w:b/>
          <w:sz w:val="26"/>
          <w:szCs w:val="26"/>
        </w:rPr>
        <w:t>***********</w:t>
      </w:r>
      <w:r>
        <w:rPr>
          <w:rFonts w:ascii="Arial" w:hAnsi="Arial" w:cs="Arial"/>
          <w:b/>
          <w:sz w:val="26"/>
          <w:szCs w:val="26"/>
          <w:lang w:val="es-MX"/>
        </w:rPr>
        <w:t>, DIRECTOR JURÍDICO DE LA SECRETARÍA DE LA CONTRALORÍA Y TRANSPARENCIA GUBERNAMENTAL</w:t>
      </w:r>
      <w:r w:rsidRPr="00D65424">
        <w:rPr>
          <w:rFonts w:ascii="Arial" w:hAnsi="Arial" w:cs="Arial"/>
          <w:sz w:val="26"/>
          <w:szCs w:val="26"/>
          <w:lang w:val="es-MX"/>
        </w:rPr>
        <w:t>, interpuso en su contra recurso de revisión.</w:t>
      </w:r>
      <w:r w:rsidR="00CF0BF5">
        <w:rPr>
          <w:rFonts w:ascii="Arial" w:hAnsi="Arial" w:cs="Arial"/>
          <w:sz w:val="26"/>
          <w:szCs w:val="26"/>
          <w:lang w:val="es-MX"/>
        </w:rPr>
        <w:t xml:space="preserve"> - - - - - - - - - - - - - - - - - - - - - - - - - - - - - - - - - - - - - </w:t>
      </w:r>
    </w:p>
    <w:p w14:paraId="462970E9" w14:textId="64478C5F" w:rsidR="00E65BA3" w:rsidRPr="00FD13D4" w:rsidRDefault="00E65BA3" w:rsidP="00E65BA3">
      <w:pPr>
        <w:spacing w:line="360" w:lineRule="auto"/>
        <w:ind w:firstLine="709"/>
        <w:jc w:val="both"/>
        <w:rPr>
          <w:rFonts w:ascii="Arial" w:hAnsi="Arial" w:cs="Arial"/>
          <w:bCs/>
          <w:sz w:val="26"/>
          <w:szCs w:val="26"/>
          <w:lang w:val="es-MX"/>
        </w:rPr>
      </w:pPr>
      <w:r w:rsidRPr="00D65424">
        <w:rPr>
          <w:rFonts w:ascii="Arial" w:hAnsi="Arial" w:cs="Arial"/>
          <w:b/>
          <w:bCs/>
          <w:sz w:val="26"/>
          <w:szCs w:val="26"/>
          <w:lang w:val="es-MX"/>
        </w:rPr>
        <w:lastRenderedPageBreak/>
        <w:t xml:space="preserve">SEGUNDO.- </w:t>
      </w:r>
      <w:r>
        <w:rPr>
          <w:rFonts w:ascii="Arial" w:hAnsi="Arial" w:cs="Arial"/>
          <w:bCs/>
          <w:sz w:val="26"/>
          <w:szCs w:val="26"/>
          <w:lang w:val="es-MX"/>
        </w:rPr>
        <w:t xml:space="preserve">Los puntos de la resolución </w:t>
      </w:r>
      <w:r w:rsidRPr="00D65424">
        <w:rPr>
          <w:rFonts w:ascii="Arial" w:hAnsi="Arial" w:cs="Arial"/>
          <w:bCs/>
          <w:sz w:val="26"/>
          <w:szCs w:val="26"/>
          <w:lang w:val="es-MX"/>
        </w:rPr>
        <w:t>recurrid</w:t>
      </w:r>
      <w:r>
        <w:rPr>
          <w:rFonts w:ascii="Arial" w:hAnsi="Arial" w:cs="Arial"/>
          <w:bCs/>
          <w:sz w:val="26"/>
          <w:szCs w:val="26"/>
          <w:lang w:val="es-MX"/>
        </w:rPr>
        <w:t xml:space="preserve">a son del </w:t>
      </w:r>
      <w:r w:rsidRPr="00D65424">
        <w:rPr>
          <w:rFonts w:ascii="Arial" w:hAnsi="Arial" w:cs="Arial"/>
          <w:bCs/>
          <w:sz w:val="26"/>
          <w:szCs w:val="26"/>
          <w:lang w:val="es-MX"/>
        </w:rPr>
        <w:t>tenor literal siguiente:</w:t>
      </w:r>
      <w:r w:rsidR="00CF0BF5">
        <w:rPr>
          <w:rFonts w:ascii="Arial" w:hAnsi="Arial" w:cs="Arial"/>
          <w:bCs/>
          <w:sz w:val="26"/>
          <w:szCs w:val="26"/>
          <w:lang w:val="es-MX"/>
        </w:rPr>
        <w:t xml:space="preserve"> - - - - - - - - - - - - - - - - - - - - - - - - - - - - - - - - - - - - - - - -</w:t>
      </w:r>
    </w:p>
    <w:p w14:paraId="3EDD7D67" w14:textId="77777777" w:rsidR="00E65BA3" w:rsidRPr="00B86A80" w:rsidRDefault="00E65BA3" w:rsidP="00E65BA3">
      <w:pPr>
        <w:ind w:left="709" w:firstLine="709"/>
        <w:jc w:val="both"/>
        <w:rPr>
          <w:i/>
        </w:rPr>
      </w:pPr>
      <w:r>
        <w:rPr>
          <w:rFonts w:ascii="Arial" w:hAnsi="Arial" w:cs="Arial"/>
          <w:i/>
          <w:szCs w:val="24"/>
          <w:lang w:val="es-MX"/>
        </w:rPr>
        <w:t xml:space="preserve"> </w:t>
      </w:r>
      <w:r w:rsidRPr="005A65B0">
        <w:rPr>
          <w:rFonts w:ascii="Arial" w:hAnsi="Arial" w:cs="Arial"/>
          <w:i/>
          <w:szCs w:val="24"/>
          <w:lang w:val="es-MX"/>
        </w:rPr>
        <w:t>“</w:t>
      </w:r>
      <w:r w:rsidRPr="00B86A80">
        <w:rPr>
          <w:b/>
          <w:i/>
        </w:rPr>
        <w:t xml:space="preserve">PRIMERO. </w:t>
      </w:r>
      <w:r w:rsidRPr="00B86A80">
        <w:rPr>
          <w:i/>
        </w:rPr>
        <w:t xml:space="preserve">Esta Tercera Sala Unitaria de Primera Instancia del Tribunal de Justicia Administrativa del Estado, fue competente para conocer y resolver del presente asunto. - - </w:t>
      </w:r>
      <w:r>
        <w:rPr>
          <w:i/>
        </w:rPr>
        <w:t>- - - - - - - - - - - - - - - - - - - - - - - - - - - - - - - - - - - - - - - - - - - - - - - -</w:t>
      </w:r>
    </w:p>
    <w:p w14:paraId="52209B54" w14:textId="77777777" w:rsidR="00E65BA3" w:rsidRPr="00B86A80" w:rsidRDefault="00E65BA3" w:rsidP="00E65BA3">
      <w:pPr>
        <w:ind w:left="709" w:firstLine="709"/>
        <w:jc w:val="both"/>
        <w:rPr>
          <w:i/>
        </w:rPr>
      </w:pPr>
      <w:r w:rsidRPr="00B86A80">
        <w:rPr>
          <w:b/>
          <w:i/>
        </w:rPr>
        <w:t xml:space="preserve">SEGUNDO. </w:t>
      </w:r>
      <w:r w:rsidRPr="00B86A80">
        <w:rPr>
          <w:i/>
        </w:rPr>
        <w:t>La personalidad de las partes, quedó acredit</w:t>
      </w:r>
      <w:r>
        <w:rPr>
          <w:i/>
        </w:rPr>
        <w:t>ada en autos. - - - - -</w:t>
      </w:r>
      <w:r w:rsidRPr="00B86A80">
        <w:rPr>
          <w:i/>
        </w:rPr>
        <w:t xml:space="preserve">- </w:t>
      </w:r>
    </w:p>
    <w:p w14:paraId="47F3C739" w14:textId="2360BDFF" w:rsidR="00E65BA3" w:rsidRDefault="00E65BA3" w:rsidP="00E65BA3">
      <w:pPr>
        <w:ind w:left="709" w:firstLine="709"/>
        <w:jc w:val="both"/>
        <w:rPr>
          <w:i/>
        </w:rPr>
      </w:pPr>
      <w:r w:rsidRPr="00B86A80">
        <w:rPr>
          <w:b/>
          <w:i/>
        </w:rPr>
        <w:t>TERCERO.</w:t>
      </w:r>
      <w:r w:rsidRPr="00B86A80">
        <w:rPr>
          <w:i/>
        </w:rPr>
        <w:t xml:space="preserve"> Se decreta que operó </w:t>
      </w:r>
      <w:r w:rsidRPr="00B86A80">
        <w:rPr>
          <w:b/>
          <w:i/>
        </w:rPr>
        <w:t xml:space="preserve">LA CADUCIDAD DE LA INSTANCIA PROCEDIMENTAL SANCIONATORIA </w:t>
      </w:r>
      <w:r w:rsidRPr="00B86A80">
        <w:rPr>
          <w:i/>
        </w:rPr>
        <w:t xml:space="preserve">en favor del accionante </w:t>
      </w:r>
      <w:r w:rsidR="00FF195B">
        <w:rPr>
          <w:rFonts w:ascii="Arial" w:hAnsi="Arial" w:cs="Arial"/>
          <w:b/>
          <w:sz w:val="26"/>
          <w:szCs w:val="26"/>
        </w:rPr>
        <w:t>***********</w:t>
      </w:r>
      <w:r w:rsidRPr="00B86A80">
        <w:rPr>
          <w:b/>
          <w:i/>
        </w:rPr>
        <w:t xml:space="preserve"> </w:t>
      </w:r>
      <w:r w:rsidRPr="00B86A80">
        <w:rPr>
          <w:i/>
        </w:rPr>
        <w:t xml:space="preserve">y se declara la </w:t>
      </w:r>
      <w:r w:rsidRPr="00B86A80">
        <w:rPr>
          <w:b/>
          <w:i/>
        </w:rPr>
        <w:t xml:space="preserve">NULIDAD LISA Y LLANA </w:t>
      </w:r>
      <w:r w:rsidRPr="00B86A80">
        <w:rPr>
          <w:i/>
        </w:rPr>
        <w:t xml:space="preserve">de la resolución administrativa de fecha 26 veintiséis de febrero de 2018 dos mil dieciocho emitida por el </w:t>
      </w:r>
      <w:r w:rsidRPr="00B86A80">
        <w:rPr>
          <w:b/>
          <w:i/>
        </w:rPr>
        <w:t xml:space="preserve">DIRECTOR DE RESPONSABILIDADES ADMINISTRATIVAS Y SITUACIÓN PATRIMONIAL asistido por el JEFE DEL DEPARTAMENTO DE PROCEDIMIENTOS ADMINISTRATIVOS “A”, </w:t>
      </w:r>
      <w:r w:rsidRPr="00B86A80">
        <w:rPr>
          <w:i/>
        </w:rPr>
        <w:t xml:space="preserve">ambos de la </w:t>
      </w:r>
      <w:r w:rsidRPr="00B86A80">
        <w:rPr>
          <w:b/>
          <w:i/>
        </w:rPr>
        <w:t xml:space="preserve">SUBSECRETARÍA DE RESPONSABILIDADES ADMINISTRATIVAS Y ANTICORRUPCIÓN DE LA SECRETARÍA DE LA CONTRALORÍA Y TRANSPARENCIA GUBERNMENTAL DEL PODER EJECUTIVO DEL ESTADO DE OAXACA, </w:t>
      </w:r>
      <w:r w:rsidRPr="00B86A80">
        <w:rPr>
          <w:i/>
        </w:rPr>
        <w:t>así como la Toma de nota de la sanción impuesta, y el registro de la sanción correspondiente en el libro de sanciones en los términos del último considerando de la presente sentencia.</w:t>
      </w:r>
      <w:r>
        <w:rPr>
          <w:i/>
        </w:rPr>
        <w:t xml:space="preserve"> - - - - - - - - - - - - - - - - - - - - - - - - - - - - - - - - - - - - - - - - - - - - - - - - - - - - - - -</w:t>
      </w:r>
    </w:p>
    <w:p w14:paraId="6E2EAA26" w14:textId="77777777" w:rsidR="00E65BA3" w:rsidRPr="00C80669" w:rsidRDefault="00E65BA3" w:rsidP="00E65BA3">
      <w:pPr>
        <w:ind w:left="709" w:firstLine="709"/>
        <w:jc w:val="both"/>
        <w:rPr>
          <w:i/>
        </w:rPr>
      </w:pPr>
      <w:r w:rsidRPr="00B86A80">
        <w:rPr>
          <w:b/>
          <w:i/>
        </w:rPr>
        <w:t xml:space="preserve">CUARTO. </w:t>
      </w:r>
      <w:r w:rsidRPr="00B86A80">
        <w:rPr>
          <w:i/>
        </w:rPr>
        <w:t xml:space="preserve">Conforme a lo dispuesto en los artículos 172, fracción I y 173, fracciones I y II, de la Ley de Procedimiento y Justicia Administrativa para el Estado, </w:t>
      </w:r>
      <w:r w:rsidRPr="00B86A80">
        <w:rPr>
          <w:b/>
          <w:i/>
        </w:rPr>
        <w:t>NOTÍFIQUESE PERSONALEMNTE A LA PARTE ACTORA Y POR OFICIO A LA AUTORIDAD DEMANDADA. CÚMPLASE. - - - - - - - - - - - - - - - - - - - - - -  - - - - - - - - -</w:t>
      </w:r>
      <w:r>
        <w:rPr>
          <w:b/>
          <w:i/>
        </w:rPr>
        <w:t xml:space="preserve"> - </w:t>
      </w:r>
      <w:r w:rsidRPr="00B86A80">
        <w:rPr>
          <w:b/>
          <w:i/>
        </w:rPr>
        <w:t>-</w:t>
      </w:r>
    </w:p>
    <w:p w14:paraId="0F4268D9" w14:textId="77777777" w:rsidR="00E65BA3" w:rsidRPr="00D65424" w:rsidRDefault="00E65BA3" w:rsidP="00E65BA3">
      <w:pPr>
        <w:ind w:left="993" w:right="900"/>
        <w:jc w:val="both"/>
        <w:rPr>
          <w:rFonts w:ascii="Arial" w:hAnsi="Arial" w:cs="Arial"/>
          <w:i/>
          <w:szCs w:val="24"/>
          <w:lang w:val="es-MX"/>
        </w:rPr>
      </w:pPr>
      <w:r w:rsidRPr="00D65424">
        <w:rPr>
          <w:rFonts w:ascii="Arial" w:hAnsi="Arial" w:cs="Arial"/>
          <w:i/>
          <w:szCs w:val="24"/>
          <w:lang w:val="es-MX"/>
        </w:rPr>
        <w:t>…”</w:t>
      </w:r>
    </w:p>
    <w:p w14:paraId="01BCF5D2" w14:textId="77777777" w:rsidR="00E65BA3" w:rsidRPr="00D65424" w:rsidRDefault="00E65BA3" w:rsidP="00E65BA3">
      <w:pPr>
        <w:autoSpaceDE w:val="0"/>
        <w:autoSpaceDN w:val="0"/>
        <w:adjustRightInd w:val="0"/>
        <w:spacing w:before="240" w:after="0" w:line="360" w:lineRule="auto"/>
        <w:ind w:left="1134"/>
        <w:jc w:val="center"/>
        <w:rPr>
          <w:rFonts w:ascii="Arial" w:hAnsi="Arial" w:cs="Arial"/>
          <w:b/>
          <w:bCs/>
          <w:sz w:val="26"/>
          <w:szCs w:val="26"/>
          <w:lang w:val="es-MX"/>
        </w:rPr>
      </w:pPr>
      <w:r w:rsidRPr="00D65424">
        <w:rPr>
          <w:rFonts w:ascii="Arial" w:hAnsi="Arial" w:cs="Arial"/>
          <w:b/>
          <w:bCs/>
          <w:sz w:val="26"/>
          <w:szCs w:val="26"/>
          <w:lang w:val="es-MX"/>
        </w:rPr>
        <w:t>C O N S I D E R A N D O</w:t>
      </w:r>
    </w:p>
    <w:p w14:paraId="492F3A7A" w14:textId="34412ED6" w:rsidR="00E65BA3" w:rsidRPr="00D65424" w:rsidRDefault="00E65BA3" w:rsidP="00E65BA3">
      <w:pPr>
        <w:pStyle w:val="Textoindependiente21"/>
        <w:spacing w:before="240" w:line="360" w:lineRule="auto"/>
        <w:ind w:right="18" w:firstLine="0"/>
        <w:rPr>
          <w:rFonts w:ascii="Arial" w:hAnsi="Arial" w:cs="Arial"/>
          <w:b/>
          <w:bCs/>
          <w:iCs/>
          <w:sz w:val="26"/>
          <w:szCs w:val="26"/>
        </w:rPr>
      </w:pPr>
      <w:r w:rsidRPr="00D65424">
        <w:rPr>
          <w:rFonts w:ascii="Arial" w:hAnsi="Arial" w:cs="Arial"/>
          <w:b/>
          <w:bCs/>
          <w:sz w:val="26"/>
          <w:szCs w:val="26"/>
          <w:lang w:val="es-MX"/>
        </w:rPr>
        <w:tab/>
      </w:r>
      <w:r w:rsidRPr="00D65424">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1 segundo párrafo, 2 primero y cuarto párrafo, 4, 23, 24, 25, 26 y 27 de la Ley Orgánica del Tribunal de Justicia Administrativa del Estado de Oaxaca,</w:t>
      </w:r>
      <w:r w:rsidRPr="00D65424">
        <w:rPr>
          <w:rFonts w:ascii="Arial" w:hAnsi="Arial" w:cs="Arial"/>
          <w:bCs/>
          <w:iCs/>
          <w:sz w:val="26"/>
          <w:szCs w:val="26"/>
        </w:rPr>
        <w:t xml:space="preserve"> 120, 125, 127, 129, 130 fracción I, 131, 231, 236 y 238 de la Ley de Procedimiento y Justicia Administrativa para el Estado de Oaxaca, dado que se trata de un Recurso de Re</w:t>
      </w:r>
      <w:r>
        <w:rPr>
          <w:rFonts w:ascii="Arial" w:hAnsi="Arial" w:cs="Arial"/>
          <w:bCs/>
          <w:iCs/>
          <w:sz w:val="26"/>
          <w:szCs w:val="26"/>
        </w:rPr>
        <w:t>visión interpuesto en contra de</w:t>
      </w:r>
      <w:r w:rsidRPr="00D65424">
        <w:rPr>
          <w:rFonts w:ascii="Arial" w:hAnsi="Arial" w:cs="Arial"/>
          <w:bCs/>
          <w:iCs/>
          <w:sz w:val="26"/>
          <w:szCs w:val="26"/>
        </w:rPr>
        <w:t xml:space="preserve"> </w:t>
      </w:r>
      <w:r>
        <w:rPr>
          <w:rFonts w:ascii="Arial" w:hAnsi="Arial" w:cs="Arial"/>
          <w:sz w:val="26"/>
          <w:szCs w:val="26"/>
          <w:lang w:val="es-MX"/>
        </w:rPr>
        <w:t>la resolución de veintitrés</w:t>
      </w:r>
      <w:r w:rsidRPr="00D65424">
        <w:rPr>
          <w:rFonts w:ascii="Arial" w:hAnsi="Arial" w:cs="Arial"/>
          <w:sz w:val="26"/>
          <w:szCs w:val="26"/>
          <w:lang w:val="es-MX"/>
        </w:rPr>
        <w:t xml:space="preserve"> de </w:t>
      </w:r>
      <w:r>
        <w:rPr>
          <w:rFonts w:ascii="Arial" w:hAnsi="Arial" w:cs="Arial"/>
          <w:sz w:val="26"/>
          <w:szCs w:val="26"/>
          <w:lang w:val="es-MX"/>
        </w:rPr>
        <w:t xml:space="preserve">agosto de </w:t>
      </w:r>
      <w:r w:rsidRPr="00D65424">
        <w:rPr>
          <w:rFonts w:ascii="Arial" w:hAnsi="Arial" w:cs="Arial"/>
          <w:sz w:val="26"/>
          <w:szCs w:val="26"/>
          <w:lang w:val="es-MX"/>
        </w:rPr>
        <w:t>dos mil dieci</w:t>
      </w:r>
      <w:r>
        <w:rPr>
          <w:rFonts w:ascii="Arial" w:hAnsi="Arial" w:cs="Arial"/>
          <w:sz w:val="26"/>
          <w:szCs w:val="26"/>
          <w:lang w:val="es-MX"/>
        </w:rPr>
        <w:t>nueve, dictada</w:t>
      </w:r>
      <w:r w:rsidRPr="00D65424">
        <w:rPr>
          <w:rFonts w:ascii="Arial" w:hAnsi="Arial" w:cs="Arial"/>
          <w:sz w:val="26"/>
          <w:szCs w:val="26"/>
          <w:lang w:val="es-MX"/>
        </w:rPr>
        <w:t xml:space="preserve"> por la </w:t>
      </w:r>
      <w:r>
        <w:rPr>
          <w:rFonts w:ascii="Arial" w:hAnsi="Arial" w:cs="Arial"/>
          <w:sz w:val="26"/>
          <w:szCs w:val="26"/>
          <w:lang w:val="es-MX"/>
        </w:rPr>
        <w:t>Tercera</w:t>
      </w:r>
      <w:r w:rsidRPr="00D65424">
        <w:rPr>
          <w:rFonts w:ascii="Arial" w:hAnsi="Arial" w:cs="Arial"/>
          <w:sz w:val="26"/>
          <w:szCs w:val="26"/>
          <w:lang w:val="es-MX"/>
        </w:rPr>
        <w:t xml:space="preserve"> Sala Unitaria del Tribunal de Justicia Administrativa del Estado,</w:t>
      </w:r>
      <w:r w:rsidRPr="00D65424">
        <w:rPr>
          <w:rFonts w:ascii="Arial" w:hAnsi="Arial" w:cs="Arial"/>
          <w:bCs/>
          <w:iCs/>
          <w:sz w:val="26"/>
          <w:szCs w:val="26"/>
        </w:rPr>
        <w:t xml:space="preserve"> en el expediente relativo al Juicio de nulidad </w:t>
      </w:r>
      <w:r w:rsidRPr="00D65424">
        <w:rPr>
          <w:rFonts w:ascii="Arial" w:hAnsi="Arial" w:cs="Arial"/>
          <w:b/>
          <w:bCs/>
          <w:iCs/>
          <w:sz w:val="26"/>
          <w:szCs w:val="26"/>
        </w:rPr>
        <w:t>00</w:t>
      </w:r>
      <w:r>
        <w:rPr>
          <w:rFonts w:ascii="Arial" w:hAnsi="Arial" w:cs="Arial"/>
          <w:b/>
          <w:bCs/>
          <w:iCs/>
          <w:sz w:val="26"/>
          <w:szCs w:val="26"/>
        </w:rPr>
        <w:t>45</w:t>
      </w:r>
      <w:r w:rsidRPr="00D65424">
        <w:rPr>
          <w:rFonts w:ascii="Arial" w:hAnsi="Arial" w:cs="Arial"/>
          <w:b/>
          <w:sz w:val="26"/>
          <w:szCs w:val="26"/>
          <w:lang w:val="es-MX"/>
        </w:rPr>
        <w:t>/201</w:t>
      </w:r>
      <w:r>
        <w:rPr>
          <w:rFonts w:ascii="Arial" w:hAnsi="Arial" w:cs="Arial"/>
          <w:b/>
          <w:sz w:val="26"/>
          <w:szCs w:val="26"/>
          <w:lang w:val="es-MX"/>
        </w:rPr>
        <w:t>8</w:t>
      </w:r>
      <w:r w:rsidRPr="00D65424">
        <w:rPr>
          <w:rFonts w:ascii="Arial" w:hAnsi="Arial" w:cs="Arial"/>
          <w:b/>
          <w:bCs/>
          <w:iCs/>
          <w:sz w:val="26"/>
          <w:szCs w:val="26"/>
        </w:rPr>
        <w:t>.</w:t>
      </w:r>
      <w:r w:rsidR="00CF0BF5">
        <w:rPr>
          <w:rFonts w:ascii="Arial" w:hAnsi="Arial" w:cs="Arial"/>
          <w:b/>
          <w:bCs/>
          <w:iCs/>
          <w:sz w:val="26"/>
          <w:szCs w:val="26"/>
        </w:rPr>
        <w:t xml:space="preserve"> </w:t>
      </w:r>
      <w:r w:rsidR="00CF0BF5" w:rsidRPr="00CF0BF5">
        <w:rPr>
          <w:rFonts w:ascii="Arial" w:hAnsi="Arial" w:cs="Arial"/>
          <w:iCs/>
          <w:sz w:val="26"/>
          <w:szCs w:val="26"/>
        </w:rPr>
        <w:t xml:space="preserve">- - - - - - - - - - - - - - - - - - - - - - - - - - - - - - - - - - - - - - - - - - - </w:t>
      </w:r>
    </w:p>
    <w:p w14:paraId="33E33536" w14:textId="6638B691" w:rsidR="00E65BA3" w:rsidRDefault="00E65BA3" w:rsidP="00E65BA3">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r w:rsidR="00CF0BF5">
        <w:rPr>
          <w:rFonts w:ascii="Arial" w:hAnsi="Arial" w:cs="Arial"/>
          <w:bCs/>
          <w:color w:val="000000"/>
          <w:sz w:val="26"/>
          <w:szCs w:val="26"/>
          <w:lang w:val="es-MX"/>
        </w:rPr>
        <w:t xml:space="preserve">- - - - - - - - - - - - - - - - - - - - - - - - - </w:t>
      </w:r>
    </w:p>
    <w:p w14:paraId="2E7D2FC3" w14:textId="00E2303B" w:rsidR="00E65BA3" w:rsidRDefault="00E65BA3" w:rsidP="00E65BA3">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CF0BF5">
        <w:rPr>
          <w:rFonts w:ascii="Arial" w:hAnsi="Arial" w:cs="Arial"/>
          <w:bCs/>
          <w:color w:val="000000"/>
          <w:sz w:val="26"/>
          <w:szCs w:val="26"/>
        </w:rPr>
        <w:t xml:space="preserve">- - - - - - - - - - - - - - - - - - - - - - - - - - - - - - - - - - - - - - - - </w:t>
      </w:r>
    </w:p>
    <w:p w14:paraId="139E08D6" w14:textId="77777777" w:rsidR="00E65BA3" w:rsidRDefault="00E65BA3" w:rsidP="00E65BA3">
      <w:pPr>
        <w:spacing w:after="0" w:line="240" w:lineRule="auto"/>
        <w:ind w:left="709" w:right="709" w:firstLine="567"/>
        <w:jc w:val="both"/>
        <w:rPr>
          <w:rFonts w:cs="Calibri"/>
          <w:b/>
          <w:bCs/>
          <w:i/>
          <w:color w:val="000000"/>
        </w:rPr>
      </w:pPr>
    </w:p>
    <w:p w14:paraId="30C5A7AD" w14:textId="77777777" w:rsidR="00E65BA3" w:rsidRDefault="00E65BA3" w:rsidP="00E65BA3">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Pr="00FB403B">
        <w:rPr>
          <w:rFonts w:cs="Calibri"/>
          <w:bCs/>
          <w:i/>
          <w:color w:val="000000"/>
        </w:rPr>
        <w:t>-</w:t>
      </w:r>
      <w:r>
        <w:rPr>
          <w:rFonts w:cs="Calibri"/>
          <w:bCs/>
          <w:i/>
          <w:color w:val="000000"/>
        </w:rPr>
        <w:t xml:space="preserve"> - - - - - -</w:t>
      </w:r>
      <w:r w:rsidRPr="00FB403B">
        <w:rPr>
          <w:rFonts w:cs="Calibri"/>
          <w:bCs/>
          <w:i/>
          <w:color w:val="000000"/>
        </w:rPr>
        <w:t xml:space="preserve"> </w:t>
      </w:r>
    </w:p>
    <w:p w14:paraId="29BE5896" w14:textId="77777777" w:rsidR="00E65BA3" w:rsidRDefault="00E65BA3" w:rsidP="00E65BA3">
      <w:pPr>
        <w:spacing w:after="0" w:line="240" w:lineRule="auto"/>
        <w:ind w:left="709" w:right="709" w:firstLine="567"/>
        <w:jc w:val="both"/>
        <w:rPr>
          <w:rFonts w:cs="Calibri"/>
          <w:bCs/>
          <w:i/>
          <w:color w:val="000000"/>
        </w:rPr>
      </w:pPr>
    </w:p>
    <w:p w14:paraId="065949F0" w14:textId="77777777" w:rsidR="00E65BA3" w:rsidRPr="003437C1" w:rsidRDefault="00E65BA3" w:rsidP="00E65BA3">
      <w:pPr>
        <w:spacing w:after="0" w:line="240" w:lineRule="auto"/>
        <w:ind w:left="709" w:right="709" w:firstLine="567"/>
        <w:jc w:val="both"/>
        <w:rPr>
          <w:rFonts w:cs="Calibri"/>
          <w:bCs/>
          <w:i/>
          <w:color w:val="000000"/>
        </w:rPr>
      </w:pPr>
    </w:p>
    <w:p w14:paraId="2A762EB1" w14:textId="5CA1F17C" w:rsidR="00FE63CD" w:rsidRDefault="00E65BA3" w:rsidP="00E65BA3">
      <w:pPr>
        <w:spacing w:line="360" w:lineRule="auto"/>
        <w:ind w:firstLine="708"/>
        <w:jc w:val="both"/>
        <w:rPr>
          <w:rFonts w:ascii="Arial" w:hAnsi="Arial" w:cs="Arial"/>
          <w:color w:val="000000"/>
          <w:sz w:val="26"/>
          <w:szCs w:val="26"/>
        </w:rPr>
      </w:pPr>
      <w:r w:rsidRPr="00D65424">
        <w:rPr>
          <w:rFonts w:ascii="Arial" w:hAnsi="Arial" w:cs="Arial"/>
          <w:b/>
          <w:bCs/>
          <w:sz w:val="26"/>
          <w:szCs w:val="26"/>
          <w:lang w:val="es-MX"/>
        </w:rPr>
        <w:t xml:space="preserve">TERCERO. </w:t>
      </w:r>
      <w:r>
        <w:rPr>
          <w:rFonts w:ascii="Arial" w:hAnsi="Arial" w:cs="Arial"/>
          <w:color w:val="000000"/>
          <w:sz w:val="26"/>
          <w:szCs w:val="26"/>
        </w:rPr>
        <w:t xml:space="preserve">Señala </w:t>
      </w:r>
      <w:r w:rsidR="00795AD9">
        <w:rPr>
          <w:rFonts w:ascii="Arial" w:hAnsi="Arial" w:cs="Arial"/>
          <w:color w:val="000000"/>
          <w:sz w:val="26"/>
          <w:szCs w:val="26"/>
        </w:rPr>
        <w:t>e</w:t>
      </w:r>
      <w:r>
        <w:rPr>
          <w:rFonts w:ascii="Arial" w:hAnsi="Arial" w:cs="Arial"/>
          <w:color w:val="000000"/>
          <w:sz w:val="26"/>
          <w:szCs w:val="26"/>
        </w:rPr>
        <w:t>l recurrente</w:t>
      </w:r>
      <w:r w:rsidR="00795AD9">
        <w:rPr>
          <w:rFonts w:ascii="Arial" w:hAnsi="Arial" w:cs="Arial"/>
          <w:color w:val="000000"/>
          <w:sz w:val="26"/>
          <w:szCs w:val="26"/>
        </w:rPr>
        <w:t>,</w:t>
      </w:r>
      <w:r>
        <w:rPr>
          <w:rFonts w:ascii="Arial" w:hAnsi="Arial" w:cs="Arial"/>
          <w:color w:val="000000"/>
          <w:sz w:val="26"/>
          <w:szCs w:val="26"/>
        </w:rPr>
        <w:t xml:space="preserve"> le causa agravio </w:t>
      </w:r>
      <w:r w:rsidR="00795AD9">
        <w:rPr>
          <w:rFonts w:ascii="Arial" w:hAnsi="Arial" w:cs="Arial"/>
          <w:color w:val="000000"/>
          <w:sz w:val="26"/>
          <w:szCs w:val="26"/>
        </w:rPr>
        <w:t>la manera de resolver de la primera instancia, al resultar ilegal, toda vez que no opera la figura de la caducidad, en virtud que la Ley aplicable en la época de los hechos no contempla dicha figura jurídica</w:t>
      </w:r>
      <w:r w:rsidR="00C43203">
        <w:rPr>
          <w:rFonts w:ascii="Arial" w:hAnsi="Arial" w:cs="Arial"/>
          <w:color w:val="000000"/>
          <w:sz w:val="26"/>
          <w:szCs w:val="26"/>
        </w:rPr>
        <w:t xml:space="preserve">, refiriendo que el artículo 69, fracción II, de la Ley de Responsabilidades de los Servidores Públicos del Estado y Municipios de Oaxaca, vigente en la época de los hechos, </w:t>
      </w:r>
      <w:r w:rsidR="00FE63CD">
        <w:rPr>
          <w:rFonts w:ascii="Arial" w:hAnsi="Arial" w:cs="Arial"/>
          <w:color w:val="000000"/>
          <w:sz w:val="26"/>
          <w:szCs w:val="26"/>
        </w:rPr>
        <w:t>y</w:t>
      </w:r>
      <w:r w:rsidR="00C43203">
        <w:rPr>
          <w:rFonts w:ascii="Arial" w:hAnsi="Arial" w:cs="Arial"/>
          <w:color w:val="000000"/>
          <w:sz w:val="26"/>
          <w:szCs w:val="26"/>
        </w:rPr>
        <w:t xml:space="preserve"> </w:t>
      </w:r>
      <w:r>
        <w:rPr>
          <w:rFonts w:ascii="Arial" w:hAnsi="Arial" w:cs="Arial"/>
          <w:color w:val="000000"/>
          <w:sz w:val="26"/>
          <w:szCs w:val="26"/>
        </w:rPr>
        <w:t xml:space="preserve">el </w:t>
      </w:r>
      <w:r w:rsidR="00C43203">
        <w:rPr>
          <w:rFonts w:ascii="Arial" w:hAnsi="Arial" w:cs="Arial"/>
          <w:color w:val="000000"/>
          <w:sz w:val="26"/>
          <w:szCs w:val="26"/>
        </w:rPr>
        <w:t>artículo 69, fracción V, de la Ley de Responsabilidades de los Servidores Públicos del Estado y Municipios de Oaxaca, que entró en vig</w:t>
      </w:r>
      <w:r w:rsidR="00FE6B6F">
        <w:rPr>
          <w:rFonts w:ascii="Arial" w:hAnsi="Arial" w:cs="Arial"/>
          <w:color w:val="000000"/>
          <w:sz w:val="26"/>
          <w:szCs w:val="26"/>
        </w:rPr>
        <w:t>or</w:t>
      </w:r>
      <w:r w:rsidR="00C43203">
        <w:rPr>
          <w:rFonts w:ascii="Arial" w:hAnsi="Arial" w:cs="Arial"/>
          <w:color w:val="000000"/>
          <w:sz w:val="26"/>
          <w:szCs w:val="26"/>
        </w:rPr>
        <w:t xml:space="preserve"> el veintiséis de diciembre de dos mil quince</w:t>
      </w:r>
      <w:r w:rsidR="00FE63CD">
        <w:rPr>
          <w:rFonts w:ascii="Arial" w:hAnsi="Arial" w:cs="Arial"/>
          <w:color w:val="000000"/>
          <w:sz w:val="26"/>
          <w:szCs w:val="26"/>
        </w:rPr>
        <w:t>, establecen un plazo de treinta y cincuenta días hábiles al cierre de la instrucción para que la autoridad dicte la resolución, en la que declare la inexistencia de la responsabilidad o imponga</w:t>
      </w:r>
      <w:r w:rsidR="00FE6B6F">
        <w:rPr>
          <w:rFonts w:ascii="Arial" w:hAnsi="Arial" w:cs="Arial"/>
          <w:color w:val="000000"/>
          <w:sz w:val="26"/>
          <w:szCs w:val="26"/>
        </w:rPr>
        <w:t xml:space="preserve"> las sanciones administrativas correspondientes;</w:t>
      </w:r>
      <w:r w:rsidR="00FE63CD">
        <w:rPr>
          <w:rFonts w:ascii="Arial" w:hAnsi="Arial" w:cs="Arial"/>
          <w:color w:val="000000"/>
          <w:sz w:val="26"/>
          <w:szCs w:val="26"/>
        </w:rPr>
        <w:t xml:space="preserve"> sin </w:t>
      </w:r>
      <w:r w:rsidR="00FE6B6F">
        <w:rPr>
          <w:rFonts w:ascii="Arial" w:hAnsi="Arial" w:cs="Arial"/>
          <w:color w:val="000000"/>
          <w:sz w:val="26"/>
          <w:szCs w:val="26"/>
        </w:rPr>
        <w:t xml:space="preserve">que </w:t>
      </w:r>
      <w:r w:rsidR="00FE63CD">
        <w:rPr>
          <w:rFonts w:ascii="Arial" w:hAnsi="Arial" w:cs="Arial"/>
          <w:color w:val="000000"/>
          <w:sz w:val="26"/>
          <w:szCs w:val="26"/>
        </w:rPr>
        <w:t>en estos artículos, ni en ningún otro de la Ley de Responsabilidades de los Servidores Públicos del Estado y Municipios de Oaxaca, se estable</w:t>
      </w:r>
      <w:r w:rsidR="00FE6B6F">
        <w:rPr>
          <w:rFonts w:ascii="Arial" w:hAnsi="Arial" w:cs="Arial"/>
          <w:color w:val="000000"/>
          <w:sz w:val="26"/>
          <w:szCs w:val="26"/>
        </w:rPr>
        <w:t xml:space="preserve">zcan </w:t>
      </w:r>
      <w:r w:rsidR="00FE63CD">
        <w:rPr>
          <w:rFonts w:ascii="Arial" w:hAnsi="Arial" w:cs="Arial"/>
          <w:color w:val="000000"/>
          <w:sz w:val="26"/>
          <w:szCs w:val="26"/>
        </w:rPr>
        <w:t>que la consecuencia de la inobservancia del plazo aludido sea la caducidad o la pérdida de la facultad para resolver.</w:t>
      </w:r>
      <w:r w:rsidR="00CF0BF5">
        <w:rPr>
          <w:rFonts w:ascii="Arial" w:hAnsi="Arial" w:cs="Arial"/>
          <w:color w:val="000000"/>
          <w:sz w:val="26"/>
          <w:szCs w:val="26"/>
        </w:rPr>
        <w:t xml:space="preserve"> - - - - - - - - - - - - - - - - - - - - - - - - </w:t>
      </w:r>
    </w:p>
    <w:p w14:paraId="12EA001D" w14:textId="3323059F" w:rsidR="00E65BA3" w:rsidRPr="00795AD9" w:rsidRDefault="00E65BA3" w:rsidP="00795AD9">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Es </w:t>
      </w:r>
      <w:r>
        <w:rPr>
          <w:rFonts w:ascii="Arial" w:hAnsi="Arial" w:cs="Arial"/>
          <w:b/>
          <w:color w:val="000000"/>
          <w:sz w:val="26"/>
          <w:szCs w:val="26"/>
        </w:rPr>
        <w:t>SUSTANCIALMENTE</w:t>
      </w:r>
      <w:r>
        <w:rPr>
          <w:rFonts w:ascii="Arial" w:hAnsi="Arial" w:cs="Arial"/>
          <w:color w:val="000000"/>
          <w:sz w:val="26"/>
          <w:szCs w:val="26"/>
        </w:rPr>
        <w:t xml:space="preserve"> </w:t>
      </w:r>
      <w:r>
        <w:rPr>
          <w:rFonts w:ascii="Arial" w:hAnsi="Arial" w:cs="Arial"/>
          <w:b/>
          <w:color w:val="000000"/>
          <w:sz w:val="26"/>
          <w:szCs w:val="26"/>
        </w:rPr>
        <w:t>FUNDADO</w:t>
      </w:r>
      <w:r>
        <w:rPr>
          <w:rFonts w:ascii="Arial" w:hAnsi="Arial" w:cs="Arial"/>
          <w:color w:val="000000"/>
          <w:sz w:val="26"/>
          <w:szCs w:val="26"/>
        </w:rPr>
        <w:t xml:space="preserve"> el agravio expresado por </w:t>
      </w:r>
      <w:r w:rsidR="00FE63CD">
        <w:rPr>
          <w:rFonts w:ascii="Arial" w:hAnsi="Arial" w:cs="Arial"/>
          <w:color w:val="000000"/>
          <w:sz w:val="26"/>
          <w:szCs w:val="26"/>
        </w:rPr>
        <w:t>e</w:t>
      </w:r>
      <w:r>
        <w:rPr>
          <w:rFonts w:ascii="Arial" w:hAnsi="Arial" w:cs="Arial"/>
          <w:color w:val="000000"/>
          <w:sz w:val="26"/>
          <w:szCs w:val="26"/>
        </w:rPr>
        <w:t xml:space="preserve">l recurrente; dado que de las constancias de autos que fueron remitidas para la substanciación del presente asunto, con valor probatorio pleno acorde a lo dispuesto por la fracción I, del artículo 203, de la Ley de Procedimiento y Justicia Administrativa para el Estado de Oaxaca, se advierte que en la resolución </w:t>
      </w:r>
      <w:r w:rsidR="00FE63CD">
        <w:rPr>
          <w:rFonts w:ascii="Arial" w:hAnsi="Arial" w:cs="Arial"/>
          <w:color w:val="000000"/>
          <w:sz w:val="26"/>
          <w:szCs w:val="26"/>
        </w:rPr>
        <w:t>impugnada,</w:t>
      </w:r>
      <w:r>
        <w:rPr>
          <w:rFonts w:ascii="Arial" w:hAnsi="Arial" w:cs="Arial"/>
          <w:color w:val="000000"/>
          <w:sz w:val="26"/>
          <w:szCs w:val="26"/>
        </w:rPr>
        <w:t xml:space="preserve"> la primera instancia determinó lo siguiente:</w:t>
      </w:r>
      <w:r w:rsidR="00CF0BF5">
        <w:rPr>
          <w:rFonts w:ascii="Arial" w:hAnsi="Arial" w:cs="Arial"/>
          <w:color w:val="000000"/>
          <w:sz w:val="26"/>
          <w:szCs w:val="26"/>
        </w:rPr>
        <w:t xml:space="preserve"> - - - - - - - - - - - - - - - - - - - - - - - - - - - - - - - - - - - </w:t>
      </w:r>
    </w:p>
    <w:p w14:paraId="36131AC6" w14:textId="77777777" w:rsidR="00E65BA3" w:rsidRDefault="00E65BA3" w:rsidP="00E65BA3">
      <w:pPr>
        <w:ind w:firstLine="709"/>
        <w:jc w:val="both"/>
        <w:rPr>
          <w:i/>
        </w:rPr>
      </w:pPr>
      <w:r>
        <w:rPr>
          <w:i/>
        </w:rPr>
        <w:t>“…</w:t>
      </w:r>
    </w:p>
    <w:p w14:paraId="15F6E74A" w14:textId="77777777" w:rsidR="00E65BA3" w:rsidRPr="00B86A80" w:rsidRDefault="00E65BA3" w:rsidP="00E65BA3">
      <w:pPr>
        <w:ind w:firstLine="709"/>
        <w:jc w:val="both"/>
        <w:rPr>
          <w:i/>
        </w:rPr>
      </w:pPr>
      <w:r w:rsidRPr="00B86A80">
        <w:rPr>
          <w:i/>
        </w:rPr>
        <w:lastRenderedPageBreak/>
        <w:t xml:space="preserve">En cuanto a la caducidad de la instancia procedimental el administrado se funda para solicitarla en el artículo 69 fracciones I y II de la Ley de Responsabilidades de los Servidores Públicos del Estado y Municipios, refiriéndose a la ley vigente a la fecha de los hechos imputados como faltas administrativas, y al transcribir el artículo se advierte que se trata de la misma ley en que la autoridad se fundó para imponerle la sanción, es decir la que, </w:t>
      </w:r>
      <w:r w:rsidRPr="00B86A80">
        <w:rPr>
          <w:b/>
          <w:i/>
        </w:rPr>
        <w:t xml:space="preserve">estuvo en vigencia hasta antes </w:t>
      </w:r>
      <w:r w:rsidRPr="00B86A80">
        <w:rPr>
          <w:i/>
        </w:rPr>
        <w:t>del 26 veintiséis de diciembre de 2015, debido a que las reformas aprobadas por el Congreso del Estado y observadas por el Ejecutivo del Estado, la publicación en el Periódico Oficial del Gobierno del Estado, fue del 26 veintiséis de diciembre de 2013 dos mil trece, fijándose 730 setecientos treinta días naturales para que entrara en vigor. Esto es que, si los hechos correspondieron al ejercicio presupuestal del año 2014 dos mil catorce, lógico es que la ley vigente a la fecha de los hechos fue la anterior a la publicada el 26 veintiséis de diciembre de 2013 dos mil trece (decreto 2055), debido a que en su artículo primero transitorio se le impuso una entrada de vigencia de 730 setecientos treinta días naturales después de la publicación, lo que equivale a dos años. Esto es que fue hasta el 26 veintiséis de diciembre de 2015 dos mil quince que entro en vigencia.</w:t>
      </w:r>
    </w:p>
    <w:p w14:paraId="3C13AEB1" w14:textId="77777777" w:rsidR="00E65BA3" w:rsidRPr="00B86A80" w:rsidRDefault="00E65BA3" w:rsidP="00E65BA3">
      <w:pPr>
        <w:ind w:firstLine="709"/>
        <w:jc w:val="both"/>
        <w:rPr>
          <w:i/>
        </w:rPr>
      </w:pPr>
      <w:r w:rsidRPr="00B86A80">
        <w:rPr>
          <w:b/>
          <w:i/>
        </w:rPr>
        <w:t>Artículo 69.-</w:t>
      </w:r>
      <w:r w:rsidRPr="00B86A80">
        <w:rPr>
          <w:i/>
        </w:rPr>
        <w:t xml:space="preserve"> Las sanciones administrativas cuya aplicación corresponda a la Contraloría y a los órganos de control interno correspondientes, excepto la amonestación que procederá de plano, se aplicarán mediante el siguiente procedimiento: </w:t>
      </w:r>
    </w:p>
    <w:p w14:paraId="5A21879A" w14:textId="77777777" w:rsidR="00E65BA3" w:rsidRPr="00B86A80" w:rsidRDefault="00E65BA3" w:rsidP="00E65BA3">
      <w:pPr>
        <w:ind w:firstLine="709"/>
        <w:jc w:val="both"/>
        <w:rPr>
          <w:i/>
        </w:rPr>
      </w:pPr>
      <w:r w:rsidRPr="00B86A80">
        <w:rPr>
          <w:i/>
        </w:rPr>
        <w:t>I.-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14:paraId="535C0DD7" w14:textId="77777777" w:rsidR="00E65BA3" w:rsidRPr="00B86A80" w:rsidRDefault="00E65BA3" w:rsidP="00E65BA3">
      <w:pPr>
        <w:ind w:firstLine="709"/>
        <w:jc w:val="both"/>
        <w:rPr>
          <w:i/>
        </w:rPr>
      </w:pPr>
      <w:r w:rsidRPr="00B86A80">
        <w:rPr>
          <w:i/>
        </w:rPr>
        <w:t xml:space="preserve"> Entre la fecha de la citación y la de la audiencia, deberá mediar un plazo no menor de cinco ni mayor de quince días hábiles; </w:t>
      </w:r>
    </w:p>
    <w:p w14:paraId="0D8BC45B" w14:textId="77777777" w:rsidR="00E65BA3" w:rsidRPr="00B86A80" w:rsidRDefault="00E65BA3" w:rsidP="00E65BA3">
      <w:pPr>
        <w:ind w:firstLine="709"/>
        <w:jc w:val="both"/>
        <w:rPr>
          <w:i/>
        </w:rPr>
      </w:pPr>
      <w:r w:rsidRPr="00B86A80">
        <w:rPr>
          <w:i/>
        </w:rPr>
        <w:t xml:space="preserve">II.- </w:t>
      </w:r>
      <w:r w:rsidRPr="00B86A80">
        <w:rPr>
          <w:b/>
          <w:i/>
          <w:u w:val="single"/>
        </w:rPr>
        <w:t>Al concluir la audiencia</w:t>
      </w:r>
      <w:r w:rsidRPr="00B86A80">
        <w:rPr>
          <w:i/>
        </w:rPr>
        <w:t xml:space="preserve"> o dentro de los </w:t>
      </w:r>
      <w:r w:rsidRPr="00B86A80">
        <w:rPr>
          <w:b/>
          <w:i/>
          <w:u w:val="single"/>
        </w:rPr>
        <w:t>treinta días</w:t>
      </w:r>
      <w:r w:rsidRPr="00B86A80">
        <w:rPr>
          <w:i/>
        </w:rPr>
        <w:t xml:space="preserve"> siguientes, se resolverá sobre la existencia o inexistencia de responsabilidad, e impondrá al infractor en el primer caso la sanción o sanciones administrativas correspondientes. La resolución se notificará al interesado, a su jefe inmediato, al representante designado por la Dependencia y al superior jerárquico, dentro de las setenta y dos horas siguientes; (Énfasis añadido)</w:t>
      </w:r>
    </w:p>
    <w:p w14:paraId="45F882F7" w14:textId="77777777" w:rsidR="0057153D" w:rsidRDefault="00E65BA3" w:rsidP="0057153D">
      <w:pPr>
        <w:ind w:firstLine="709"/>
        <w:jc w:val="both"/>
        <w:rPr>
          <w:i/>
        </w:rPr>
      </w:pPr>
      <w:r w:rsidRPr="00B86A80">
        <w:rPr>
          <w:i/>
        </w:rPr>
        <w:t xml:space="preserve">De la lectura del artículo 69 fracción II antes transcrito, cabe señalar que la fecha en la que se inicia el procedimiento administrativo en contra del accionante de este juicio, fue el 17 diecisiete de junio de 2016 dos mil dieciséis, es decir bajo la vigencia ya de las reformas y observaciones publicadas el 26 de diciembre de 2013, es por ello, que en el procedimiento se aplica esta ley; mas sin embargo en el fincamiento de las responsabilidades con toda claridad la autoridad, se funda en la Ley de Responsabilidades de los Servidores Públicos del Estado y Municipios de Oaxaca, </w:t>
      </w:r>
      <w:r w:rsidRPr="00B86A80">
        <w:rPr>
          <w:b/>
          <w:i/>
        </w:rPr>
        <w:t xml:space="preserve">vigente antes </w:t>
      </w:r>
      <w:r w:rsidRPr="00B86A80">
        <w:rPr>
          <w:i/>
        </w:rPr>
        <w:t>de la entrada en vigor de las reformas estipuladas en el decreto 2055 publicado en el Periódico Oficial Extra del 18 dieciocho de octubre de 2013 y sus partes observadas publicadas en el Periódico Oficial Extra del 26 veintiséis de diciembre de 2013 dos mil trece, mediante decreto 2074. Esto es que el procedimiento administrativo sancionatorio, lo rigió la ley vigente a la fecha en la que se inició el citado procedimiento administrativo sancionador y la sanción en sí, se le aplicó la ley vigente a la fecha en la que ocurrieron los hechos (2012, 2013 y 2014), es decir la que regía antes de la entrada en vigencia de ésta última.</w:t>
      </w:r>
    </w:p>
    <w:p w14:paraId="69C52880" w14:textId="77777777" w:rsidR="00E65BA3" w:rsidRPr="00B86A80" w:rsidRDefault="00E65BA3" w:rsidP="0057153D">
      <w:pPr>
        <w:ind w:firstLine="709"/>
        <w:jc w:val="both"/>
        <w:rPr>
          <w:b/>
          <w:i/>
        </w:rPr>
      </w:pPr>
      <w:r w:rsidRPr="00B86A80">
        <w:rPr>
          <w:i/>
        </w:rPr>
        <w:t xml:space="preserve">Para los efectos de la caducidad alegada por el actor de este juicio, y en aplicación del artículo antes transcrito, es inconcuso que le asiste razón. Debido a que el tiempo que transcurrió entre la fecha de la audiencia de ley (diecisiete de junio de dos mil dieciséis) a la fecha en la que se dictó la resolución en la que se le impone la inhabilitación cuya nulidad pide ahora (veintiséis de febrero de dos mil dieciocho), transcurrieron más de </w:t>
      </w:r>
      <w:r w:rsidRPr="00B86A80">
        <w:rPr>
          <w:b/>
          <w:i/>
        </w:rPr>
        <w:t xml:space="preserve">treinta días hábiles. </w:t>
      </w:r>
      <w:r w:rsidRPr="00B86A80">
        <w:rPr>
          <w:i/>
        </w:rPr>
        <w:t xml:space="preserve">Ahora, no obstante ello y bajo el supuesto de la ley que se encontraba vigente a la fecha en la que se inició el procedimiento: es decir, la aprobada en el decreto 2055 publicado en el Periódico Oficial Extra del 18 dieciocho de octubre de 2013 y sus partes observadas publicadas en el Periódico Oficial Extra, del 26 veintiséis de diciembre de 2013 dos mil trece, mediante decreto 2074, que como se explica en el párrafo anterior, que entró en vigencia el 26 veintiséis de diciembre de 2015 dos mil quince, misma que rigió el procedimiento, y que </w:t>
      </w:r>
      <w:r w:rsidRPr="00B86A80">
        <w:rPr>
          <w:i/>
        </w:rPr>
        <w:lastRenderedPageBreak/>
        <w:t xml:space="preserve">amplía el término entre la conclusión de la etapa de alegatos y la fecha de la emisión de la resolución de la existencia o no, de la responsabilidad; en la que se fija también, la causal de caducidad por el término de </w:t>
      </w:r>
      <w:r w:rsidRPr="00B86A80">
        <w:rPr>
          <w:b/>
          <w:i/>
        </w:rPr>
        <w:t xml:space="preserve">50 días hábiles, </w:t>
      </w:r>
      <w:r w:rsidRPr="00B86A80">
        <w:rPr>
          <w:i/>
        </w:rPr>
        <w:t xml:space="preserve">prevista en el artículo 69 fracción V, de la Ley antes citada, entre la conclusión de la etapa de alegatos y el dictado de la resolución. </w:t>
      </w:r>
    </w:p>
    <w:p w14:paraId="4BAFB07C" w14:textId="77777777" w:rsidR="00E65BA3" w:rsidRPr="00B86A80" w:rsidRDefault="00E65BA3" w:rsidP="00E65BA3">
      <w:pPr>
        <w:ind w:left="709" w:firstLine="709"/>
        <w:jc w:val="both"/>
        <w:rPr>
          <w:i/>
        </w:rPr>
      </w:pPr>
      <w:r w:rsidRPr="00B86A80">
        <w:rPr>
          <w:b/>
          <w:i/>
        </w:rPr>
        <w:t>Artículo 69.-</w:t>
      </w:r>
      <w:r w:rsidRPr="00B86A80">
        <w:rPr>
          <w:i/>
        </w:rPr>
        <w:t xml:space="preserve"> La Contraloría, a través de la Dirección de Procedimientos Jurídicos o su equivalente orgánico, y los Órganos de Control Interno competentes, impondrán las sanciones administrativas a que se refiere este capítulo, mediante el procedimiento siguiente:</w:t>
      </w:r>
    </w:p>
    <w:p w14:paraId="2E1253CC" w14:textId="77777777" w:rsidR="00E65BA3" w:rsidRPr="00B86A80" w:rsidRDefault="00E65BA3" w:rsidP="00E65BA3">
      <w:pPr>
        <w:ind w:left="709" w:firstLine="709"/>
        <w:jc w:val="both"/>
        <w:rPr>
          <w:i/>
        </w:rPr>
      </w:pPr>
      <w:r w:rsidRPr="00B86A80">
        <w:rPr>
          <w:i/>
        </w:rPr>
        <w:t xml:space="preserve">V. Concluida la etapa de alegatos, la Contraloría y los Órganos de Control Interno competentes, procederán a dictar la resolución respectiva dentro de los </w:t>
      </w:r>
      <w:r w:rsidRPr="00B86A80">
        <w:rPr>
          <w:b/>
          <w:i/>
        </w:rPr>
        <w:t>cincuenta días hábiles</w:t>
      </w:r>
      <w:r w:rsidRPr="00B86A80">
        <w:rPr>
          <w:i/>
        </w:rPr>
        <w:t xml:space="preserve"> siguientes, resolviendo sobre la inexistencia de responsabilidad o imponiendo al infractor las sanciones administrativas correspondientes, y procederá a notificar la resolución en breve término.</w:t>
      </w:r>
    </w:p>
    <w:p w14:paraId="10258F48" w14:textId="77777777" w:rsidR="0057153D" w:rsidRDefault="00E65BA3" w:rsidP="0057153D">
      <w:pPr>
        <w:ind w:firstLine="709"/>
        <w:jc w:val="both"/>
        <w:rPr>
          <w:i/>
        </w:rPr>
      </w:pPr>
      <w:r w:rsidRPr="00B86A80">
        <w:rPr>
          <w:i/>
        </w:rPr>
        <w:t>Dicha resolución, en su caso, se notificará para los efectos de su ejecución al jefe inmediato o al superior jerárquico según corresponda, en un plazo no mayor de diez días hábiles, y éste a su vez, informará a la Contraloría o al Órgano de Control Interno correspondiente sobre el cumplimiento de la resolución, en un plazo no mayor de tres días hábiles a la ejecución de ésta; (Énfasis añadido)</w:t>
      </w:r>
      <w:r w:rsidR="0057153D">
        <w:rPr>
          <w:i/>
        </w:rPr>
        <w:t>.</w:t>
      </w:r>
    </w:p>
    <w:p w14:paraId="0BF66C4A" w14:textId="77777777" w:rsidR="00372955" w:rsidRDefault="00E65BA3" w:rsidP="00372955">
      <w:pPr>
        <w:ind w:firstLine="709"/>
        <w:jc w:val="both"/>
        <w:rPr>
          <w:i/>
        </w:rPr>
      </w:pPr>
      <w:r w:rsidRPr="00B86A80">
        <w:rPr>
          <w:i/>
        </w:rPr>
        <w:t>De tal manera, que aún bajo esta nueva ley, también opera la causal de caducidad de acuerdo al artículo antes transcrito, ya que del 11 once de noviembre 2016 dos mil dieciséis, fecha en que se cerró la etapa de alegatos, al 26 veintiséis de febrero del año del 2018 dos mil dieciocho, fecha en la que se dictó la resolución que hoy se impugna transcurrieron en exceso los 50 cincuenta días, señalados para la caducidad de la instancia procedimental. Esto debido a que los cincuenta días, transcurrieron del once de noviembre de dos mil dieciséis al trece de febrero de dos mil diecisiete, excluyéndose los días doce, trece, diecinueve, veinte, veintiséis, veintisiete y treinta de noviembre; así como uno, tres, cuatro, diez y once de diciembre del dos mil diecisiete, de igual manera los días uno, siete, ocho, catorce, quince, veintiuno, veintidós, veintiocho y veintinueve de enero; cuatro, cinco once y doce de febrero del 2017 dos mil diecisiete, por ser inhábiles para este Tribunal. También se excluye el segundo periodo vacacional correspondiente del dieciséis al treinta de diciembre de dos mil dieciséis, es claro que el doce de febrero de dos mil diecisiete concluyó el plazo de los cincuenta días hábiles.</w:t>
      </w:r>
    </w:p>
    <w:p w14:paraId="07A51007" w14:textId="77777777" w:rsidR="00372955" w:rsidRDefault="00E65BA3" w:rsidP="00372955">
      <w:pPr>
        <w:ind w:firstLine="709"/>
        <w:jc w:val="both"/>
        <w:rPr>
          <w:i/>
        </w:rPr>
      </w:pPr>
      <w:r w:rsidRPr="00B86A80">
        <w:rPr>
          <w:i/>
        </w:rPr>
        <w:t xml:space="preserve">De acuerdo al diccionario enciclopédico </w:t>
      </w:r>
      <w:proofErr w:type="spellStart"/>
      <w:r w:rsidRPr="00B86A80">
        <w:rPr>
          <w:i/>
        </w:rPr>
        <w:t>Omeba</w:t>
      </w:r>
      <w:proofErr w:type="spellEnd"/>
      <w:r w:rsidRPr="00B86A80">
        <w:rPr>
          <w:i/>
        </w:rPr>
        <w:t>: la caducidad se ha entendido como una institución jurídica por la que, la ley o la voluntad de los particulares señalan un término fijo para la duración de un derecho, de tal modo que transcurrió ese término, no puede ejercitarse.</w:t>
      </w:r>
    </w:p>
    <w:p w14:paraId="62649869" w14:textId="77777777" w:rsidR="00E65BA3" w:rsidRPr="00B86A80" w:rsidRDefault="00E65BA3" w:rsidP="00372955">
      <w:pPr>
        <w:ind w:firstLine="709"/>
        <w:jc w:val="both"/>
        <w:rPr>
          <w:i/>
        </w:rPr>
      </w:pPr>
      <w:r w:rsidRPr="00B86A80">
        <w:rPr>
          <w:i/>
        </w:rPr>
        <w:t>Es aplicable la tesis VI.3°A202 A, de la Novena Época, emitida por los Tribunales Colegiados de Circuito, publicada en el Semanario Judicial de la Federación y su Gaceta, tomo XX, noviembre de 2004, página 1929, que a la letra dice:</w:t>
      </w:r>
    </w:p>
    <w:p w14:paraId="4837D301" w14:textId="77777777" w:rsidR="00E65BA3" w:rsidRDefault="00372955" w:rsidP="00E65BA3">
      <w:pPr>
        <w:ind w:left="709" w:firstLine="709"/>
        <w:jc w:val="both"/>
        <w:rPr>
          <w:i/>
        </w:rPr>
      </w:pPr>
      <w:r>
        <w:rPr>
          <w:i/>
        </w:rPr>
        <w:t>´</w:t>
      </w:r>
      <w:r w:rsidR="00E65BA3" w:rsidRPr="00B86A80">
        <w:rPr>
          <w:i/>
        </w:rPr>
        <w:t>CADUCIDAD</w:t>
      </w:r>
      <w:r w:rsidR="00E65BA3" w:rsidRPr="000064ED">
        <w:rPr>
          <w:i/>
        </w:rPr>
        <w:t> DE LA </w:t>
      </w:r>
      <w:r w:rsidR="00E65BA3" w:rsidRPr="00B86A80">
        <w:rPr>
          <w:i/>
        </w:rPr>
        <w:t xml:space="preserve">INSTANCIA EN </w:t>
      </w:r>
      <w:r w:rsidR="00E65BA3" w:rsidRPr="000064ED">
        <w:rPr>
          <w:i/>
        </w:rPr>
        <w:t>EL </w:t>
      </w:r>
      <w:r w:rsidR="00E65BA3" w:rsidRPr="00B86A80">
        <w:rPr>
          <w:i/>
        </w:rPr>
        <w:t>PROCEDIMIENTO</w:t>
      </w:r>
      <w:r w:rsidR="00E65BA3" w:rsidRPr="000064ED">
        <w:rPr>
          <w:i/>
        </w:rPr>
        <w:t> </w:t>
      </w:r>
      <w:r w:rsidR="00E65BA3" w:rsidRPr="00B86A80">
        <w:rPr>
          <w:i/>
        </w:rPr>
        <w:t>ADMINISTRATIVO</w:t>
      </w:r>
      <w:r w:rsidR="00E65BA3" w:rsidRPr="000064ED">
        <w:rPr>
          <w:i/>
        </w:rPr>
        <w:t>. EL CONCEPTO DE VIOLACIÓN EN QUE SE DISCUTA SU PROCEDENCIA ES DE ESTUDIO PREFERENTE, AUN FRENTE A MOTIVOS DE DISENTIMIE</w:t>
      </w:r>
      <w:r w:rsidR="00E65BA3" w:rsidRPr="00B86A80">
        <w:rPr>
          <w:i/>
        </w:rPr>
        <w:t xml:space="preserve">NTO DE ÍNDOLE FORMAL O PROCESAL. </w:t>
      </w:r>
      <w:r w:rsidR="00E65BA3" w:rsidRPr="000064ED">
        <w:rPr>
          <w:i/>
        </w:rPr>
        <w:t>De conformidad con la teleología que inspira el último párrafo del artículo </w:t>
      </w:r>
      <w:hyperlink r:id="rId8" w:history="1">
        <w:r w:rsidR="00E65BA3" w:rsidRPr="00B86A80">
          <w:rPr>
            <w:i/>
          </w:rPr>
          <w:t>60 de la Ley Federal de Procedimiento Administrativo</w:t>
        </w:r>
      </w:hyperlink>
      <w:r w:rsidR="00E65BA3" w:rsidRPr="000064ED">
        <w:rPr>
          <w:i/>
        </w:rPr>
        <w:t>, la </w:t>
      </w:r>
      <w:r w:rsidR="00E65BA3" w:rsidRPr="00B86A80">
        <w:rPr>
          <w:i/>
        </w:rPr>
        <w:t>caducidad</w:t>
      </w:r>
      <w:r w:rsidR="00E65BA3" w:rsidRPr="000064ED">
        <w:rPr>
          <w:i/>
        </w:rPr>
        <w:t> tiene como efecto primordial que se anule todo lo actuado en el </w:t>
      </w:r>
      <w:r w:rsidR="00E65BA3" w:rsidRPr="00B86A80">
        <w:rPr>
          <w:i/>
        </w:rPr>
        <w:t>procedimiento</w:t>
      </w:r>
      <w:r w:rsidR="00E65BA3" w:rsidRPr="000064ED">
        <w:rPr>
          <w:i/>
        </w:rPr>
        <w:t>, dejando las cosas como si éste no se hubiese incoado; de ahí que la función de esa institución es la de poner fin a la </w:t>
      </w:r>
      <w:r w:rsidR="00E65BA3" w:rsidRPr="00B86A80">
        <w:rPr>
          <w:i/>
        </w:rPr>
        <w:t>instancia</w:t>
      </w:r>
      <w:r w:rsidR="00E65BA3" w:rsidRPr="000064ED">
        <w:rPr>
          <w:i/>
        </w:rPr>
        <w:t> y, por ende, conlleva una extinción anticipada del </w:t>
      </w:r>
      <w:r w:rsidR="00E65BA3" w:rsidRPr="00B86A80">
        <w:rPr>
          <w:i/>
        </w:rPr>
        <w:t>procedimiento</w:t>
      </w:r>
      <w:r w:rsidR="00E65BA3" w:rsidRPr="000064ED">
        <w:rPr>
          <w:i/>
        </w:rPr>
        <w:t xml:space="preserve">. Así, dada la entidad y trascendencia de la perención, ésta es de análisis privilegiado incluso frente a violaciones procesales y formales, pues si el cumplimiento de los plazos legales es una condición de validez para el dictado de las </w:t>
      </w:r>
      <w:r w:rsidR="00E65BA3" w:rsidRPr="000064ED">
        <w:rPr>
          <w:i/>
        </w:rPr>
        <w:lastRenderedPageBreak/>
        <w:t>resoluciones atinentes a los procedimientos administrativos iniciados de oficio, es claro que, de ser fundado el concepto de violación en el que se ponga en disputa la incorrecta valoración de ese aspecto por la responsable, traerá aparejada la conclusión de que ha operado la pérdida de las facultades de la autoridad demandada en el juicio contencioso para emitir su fallo y, por tanto, resultaría ocioso cualquier otro pronunciamiento, si finalmente y en virtud de la </w:t>
      </w:r>
      <w:r w:rsidR="00E65BA3" w:rsidRPr="00B86A80">
        <w:rPr>
          <w:i/>
        </w:rPr>
        <w:t>caducidad</w:t>
      </w:r>
      <w:r w:rsidR="00E65BA3" w:rsidRPr="000064ED">
        <w:rPr>
          <w:i/>
        </w:rPr>
        <w:t>, procede el archivo de las actuaciones. Entonces, el concepto de violación que rebata la </w:t>
      </w:r>
      <w:r w:rsidR="00E65BA3" w:rsidRPr="00B86A80">
        <w:rPr>
          <w:i/>
        </w:rPr>
        <w:t>caducidad</w:t>
      </w:r>
      <w:r w:rsidR="00E65BA3" w:rsidRPr="000064ED">
        <w:rPr>
          <w:i/>
        </w:rPr>
        <w:t> es de ponderación preferente, porque de consumarse la perención se generarán mayores beneficios al justiciable por invalidarse la totalidad del </w:t>
      </w:r>
      <w:r w:rsidR="00E65BA3" w:rsidRPr="00B86A80">
        <w:rPr>
          <w:i/>
        </w:rPr>
        <w:t>procedimiento</w:t>
      </w:r>
      <w:r w:rsidR="00E65BA3" w:rsidRPr="000064ED">
        <w:rPr>
          <w:i/>
        </w:rPr>
        <w:t>, con lo que se consolida la garantía de celeridad en la administración de la justicia consagrada en el artículo </w:t>
      </w:r>
      <w:hyperlink r:id="rId9" w:history="1">
        <w:r w:rsidR="00E65BA3" w:rsidRPr="00B86A80">
          <w:rPr>
            <w:i/>
          </w:rPr>
          <w:t>17 constitucional</w:t>
        </w:r>
      </w:hyperlink>
      <w:r w:rsidR="00E65BA3" w:rsidRPr="000064ED">
        <w:rPr>
          <w:i/>
        </w:rPr>
        <w:t>.</w:t>
      </w:r>
      <w:r>
        <w:rPr>
          <w:i/>
        </w:rPr>
        <w:t>´</w:t>
      </w:r>
    </w:p>
    <w:p w14:paraId="20A6A58E" w14:textId="4F16D1CA" w:rsidR="00372955" w:rsidRDefault="00E65BA3" w:rsidP="00372955">
      <w:pPr>
        <w:ind w:firstLine="709"/>
        <w:jc w:val="both"/>
        <w:rPr>
          <w:i/>
        </w:rPr>
      </w:pPr>
      <w:r w:rsidRPr="00B86A80">
        <w:rPr>
          <w:i/>
        </w:rPr>
        <w:t xml:space="preserve">Con motivo de las anteladas razones, y con fundamento en el artículo 69 fracción V de la Ley de Responsabilidades de los Servidores Públicos del Estado y Municipios de Oaxaca, aprobada en el decreto 2055 publicado en el Periódico Oficial Extra del 18 dieciocho de octubre de 2013 y sus partes observadas publicadas en el Periódico Oficial Extra del 26 veintiséis de diciembre de 2013 dos mil trece, mediante decreto 2074 </w:t>
      </w:r>
      <w:r w:rsidRPr="00B86A80">
        <w:rPr>
          <w:b/>
          <w:i/>
        </w:rPr>
        <w:t xml:space="preserve">SE DECRETA LA CADUCIDAD </w:t>
      </w:r>
      <w:r w:rsidRPr="00B86A80">
        <w:rPr>
          <w:i/>
        </w:rPr>
        <w:t xml:space="preserve">del procedimiento sancionatorio por el que se le impuso sanciones al actor </w:t>
      </w:r>
      <w:r w:rsidR="00FF195B">
        <w:rPr>
          <w:rFonts w:ascii="Arial" w:hAnsi="Arial" w:cs="Arial"/>
          <w:b/>
          <w:sz w:val="26"/>
          <w:szCs w:val="26"/>
        </w:rPr>
        <w:t>***********</w:t>
      </w:r>
      <w:r w:rsidRPr="00B86A80">
        <w:rPr>
          <w:b/>
          <w:i/>
        </w:rPr>
        <w:t xml:space="preserve">, </w:t>
      </w:r>
      <w:r w:rsidRPr="00B86A80">
        <w:rPr>
          <w:i/>
        </w:rPr>
        <w:t xml:space="preserve">cuyo efecto es la </w:t>
      </w:r>
      <w:r w:rsidRPr="00B86A80">
        <w:rPr>
          <w:b/>
          <w:i/>
        </w:rPr>
        <w:t xml:space="preserve">NULIDAD LISA Y LLANA </w:t>
      </w:r>
      <w:r w:rsidRPr="00B86A80">
        <w:rPr>
          <w:i/>
        </w:rPr>
        <w:t xml:space="preserve">de la resolución administrativa de fecha 26 veintiséis de febrero de 2018 dos mil dieciocho emitida por el </w:t>
      </w:r>
      <w:r w:rsidRPr="00B86A80">
        <w:rPr>
          <w:b/>
          <w:i/>
        </w:rPr>
        <w:t xml:space="preserve">DIRECTOR DE RESPONSABILIDADES ADMINISTRATIVAS Y SITUACIÓN PATRIMONIAL asistido por el JEFE DEL DEPARTAMENTO DE PROCEDIMIENTOS ADMINISTRATIVOS “A”, </w:t>
      </w:r>
      <w:r w:rsidRPr="00B86A80">
        <w:rPr>
          <w:i/>
        </w:rPr>
        <w:t xml:space="preserve">ambos de la </w:t>
      </w:r>
      <w:r w:rsidRPr="00B86A80">
        <w:rPr>
          <w:b/>
          <w:i/>
        </w:rPr>
        <w:t xml:space="preserve">SUBSECRETARÍA D RESPONSABILIDADES ADMINISTRATIVAS Y ANTICORRUPCIÓN DE LA SECRETARÍA DE LA CONTRALORÍA Y TRANSPARENCIA GUBERNAMENTAL DEL PODER EJECUTIVO DEL ESTADO DE OAXACA, </w:t>
      </w:r>
      <w:r w:rsidRPr="00B86A80">
        <w:rPr>
          <w:i/>
        </w:rPr>
        <w:t>así como la Toma de nota de la sanción impuesta, y el registro de la sanción correspondiente en el libro de sanciones.</w:t>
      </w:r>
    </w:p>
    <w:p w14:paraId="342A0A69" w14:textId="77777777" w:rsidR="00E65BA3" w:rsidRPr="000929AC" w:rsidRDefault="00E65BA3" w:rsidP="00372955">
      <w:pPr>
        <w:ind w:firstLine="709"/>
        <w:jc w:val="both"/>
        <w:rPr>
          <w:i/>
        </w:rPr>
      </w:pPr>
      <w:r>
        <w:rPr>
          <w:i/>
        </w:rPr>
        <w:t xml:space="preserve">  ...”</w:t>
      </w:r>
    </w:p>
    <w:p w14:paraId="4BDE1F1B" w14:textId="1FA2078E" w:rsidR="00F14A2E" w:rsidRDefault="00E65BA3" w:rsidP="00936ACD">
      <w:pPr>
        <w:spacing w:line="360" w:lineRule="auto"/>
        <w:ind w:right="-93" w:firstLine="349"/>
        <w:jc w:val="both"/>
        <w:rPr>
          <w:rFonts w:ascii="Arial" w:hAnsi="Arial" w:cs="Arial"/>
          <w:sz w:val="24"/>
          <w:szCs w:val="24"/>
        </w:rPr>
      </w:pPr>
      <w:r w:rsidRPr="00EF1B21">
        <w:rPr>
          <w:rFonts w:ascii="Arial" w:eastAsia="Times New Roman" w:hAnsi="Arial" w:cs="Arial"/>
          <w:bCs/>
          <w:color w:val="000000"/>
          <w:sz w:val="26"/>
          <w:szCs w:val="26"/>
          <w:lang w:eastAsia="es-MX"/>
        </w:rPr>
        <w:t xml:space="preserve">De lo anteriormente transcrito, </w:t>
      </w:r>
      <w:r>
        <w:rPr>
          <w:rFonts w:ascii="Arial" w:eastAsia="Times New Roman" w:hAnsi="Arial" w:cs="Arial"/>
          <w:bCs/>
          <w:color w:val="000000"/>
          <w:sz w:val="26"/>
          <w:szCs w:val="26"/>
          <w:lang w:eastAsia="es-MX"/>
        </w:rPr>
        <w:t xml:space="preserve">se advierte que la resolución combatida no fue exhaustiva, vulnerando con ello lo dispuesto por </w:t>
      </w:r>
      <w:r w:rsidR="00A9791B">
        <w:rPr>
          <w:rFonts w:ascii="Arial" w:eastAsia="Times New Roman" w:hAnsi="Arial" w:cs="Arial"/>
          <w:bCs/>
          <w:color w:val="000000"/>
          <w:sz w:val="26"/>
          <w:szCs w:val="26"/>
          <w:lang w:eastAsia="es-MX"/>
        </w:rPr>
        <w:t>e</w:t>
      </w:r>
      <w:r>
        <w:rPr>
          <w:rFonts w:ascii="Arial" w:eastAsia="Times New Roman" w:hAnsi="Arial" w:cs="Arial"/>
          <w:bCs/>
          <w:color w:val="000000"/>
          <w:sz w:val="26"/>
          <w:szCs w:val="26"/>
          <w:lang w:eastAsia="es-MX"/>
        </w:rPr>
        <w:t xml:space="preserve">l artículo </w:t>
      </w:r>
      <w:r w:rsidR="00A9791B">
        <w:rPr>
          <w:rFonts w:ascii="Arial" w:eastAsia="Times New Roman" w:hAnsi="Arial" w:cs="Arial"/>
          <w:bCs/>
          <w:color w:val="000000"/>
          <w:sz w:val="26"/>
          <w:szCs w:val="26"/>
          <w:lang w:eastAsia="es-MX"/>
        </w:rPr>
        <w:t>20</w:t>
      </w:r>
      <w:r w:rsidR="00A9791B" w:rsidRPr="00A9791B">
        <w:rPr>
          <w:rFonts w:ascii="Arial" w:eastAsia="Times New Roman" w:hAnsi="Arial" w:cs="Arial"/>
          <w:bCs/>
          <w:color w:val="000000"/>
          <w:sz w:val="26"/>
          <w:szCs w:val="26"/>
          <w:lang w:eastAsia="es-MX"/>
        </w:rPr>
        <w:t>7, fracci</w:t>
      </w:r>
      <w:r w:rsidR="00DD651A">
        <w:rPr>
          <w:rFonts w:ascii="Arial" w:eastAsia="Times New Roman" w:hAnsi="Arial" w:cs="Arial"/>
          <w:bCs/>
          <w:color w:val="000000"/>
          <w:sz w:val="26"/>
          <w:szCs w:val="26"/>
          <w:lang w:eastAsia="es-MX"/>
        </w:rPr>
        <w:t>o</w:t>
      </w:r>
      <w:r w:rsidRPr="00A9791B">
        <w:rPr>
          <w:rFonts w:ascii="Arial" w:eastAsia="Times New Roman" w:hAnsi="Arial" w:cs="Arial"/>
          <w:bCs/>
          <w:color w:val="000000"/>
          <w:sz w:val="26"/>
          <w:szCs w:val="26"/>
          <w:lang w:eastAsia="es-MX"/>
        </w:rPr>
        <w:t>n</w:t>
      </w:r>
      <w:r w:rsidR="00DD651A">
        <w:rPr>
          <w:rFonts w:ascii="Arial" w:eastAsia="Times New Roman" w:hAnsi="Arial" w:cs="Arial"/>
          <w:bCs/>
          <w:color w:val="000000"/>
          <w:sz w:val="26"/>
          <w:szCs w:val="26"/>
          <w:lang w:eastAsia="es-MX"/>
        </w:rPr>
        <w:t>es</w:t>
      </w:r>
      <w:r w:rsidRPr="00A9791B">
        <w:rPr>
          <w:rFonts w:ascii="Arial" w:eastAsia="Times New Roman" w:hAnsi="Arial" w:cs="Arial"/>
          <w:bCs/>
          <w:color w:val="000000"/>
          <w:sz w:val="26"/>
          <w:szCs w:val="26"/>
          <w:lang w:eastAsia="es-MX"/>
        </w:rPr>
        <w:t xml:space="preserve"> </w:t>
      </w:r>
      <w:r w:rsidR="00372955">
        <w:rPr>
          <w:rFonts w:ascii="Arial" w:eastAsia="Times New Roman" w:hAnsi="Arial" w:cs="Arial"/>
          <w:bCs/>
          <w:color w:val="000000"/>
          <w:sz w:val="26"/>
          <w:szCs w:val="26"/>
          <w:lang w:eastAsia="es-MX"/>
        </w:rPr>
        <w:t xml:space="preserve">I y </w:t>
      </w:r>
      <w:r w:rsidRPr="00A9791B">
        <w:rPr>
          <w:rFonts w:ascii="Arial" w:eastAsia="Times New Roman" w:hAnsi="Arial" w:cs="Arial"/>
          <w:bCs/>
          <w:color w:val="000000"/>
          <w:sz w:val="26"/>
          <w:szCs w:val="26"/>
          <w:lang w:eastAsia="es-MX"/>
        </w:rPr>
        <w:t xml:space="preserve">II, de la Ley de </w:t>
      </w:r>
      <w:r w:rsidR="00372955">
        <w:rPr>
          <w:rFonts w:ascii="Arial" w:eastAsia="Times New Roman" w:hAnsi="Arial" w:cs="Arial"/>
          <w:bCs/>
          <w:color w:val="000000"/>
          <w:sz w:val="26"/>
          <w:szCs w:val="26"/>
          <w:lang w:eastAsia="es-MX"/>
        </w:rPr>
        <w:t xml:space="preserve">Procedimiento y </w:t>
      </w:r>
      <w:r w:rsidRPr="00A9791B">
        <w:rPr>
          <w:rFonts w:ascii="Arial" w:eastAsia="Times New Roman" w:hAnsi="Arial" w:cs="Arial"/>
          <w:bCs/>
          <w:color w:val="000000"/>
          <w:sz w:val="26"/>
          <w:szCs w:val="26"/>
          <w:lang w:eastAsia="es-MX"/>
        </w:rPr>
        <w:t>Justicia Administrativa para el Estado de Oaxaca</w:t>
      </w:r>
      <w:r>
        <w:rPr>
          <w:rFonts w:ascii="Arial" w:eastAsia="Times New Roman" w:hAnsi="Arial" w:cs="Arial"/>
          <w:bCs/>
          <w:color w:val="000000"/>
          <w:sz w:val="26"/>
          <w:szCs w:val="26"/>
          <w:lang w:eastAsia="es-MX"/>
        </w:rPr>
        <w:t>, mism</w:t>
      </w:r>
      <w:r w:rsidR="00F55500">
        <w:rPr>
          <w:rFonts w:ascii="Arial" w:eastAsia="Times New Roman" w:hAnsi="Arial" w:cs="Arial"/>
          <w:bCs/>
          <w:color w:val="000000"/>
          <w:sz w:val="26"/>
          <w:szCs w:val="26"/>
          <w:lang w:eastAsia="es-MX"/>
        </w:rPr>
        <w:t>a</w:t>
      </w:r>
      <w:r>
        <w:rPr>
          <w:rFonts w:ascii="Arial" w:eastAsia="Times New Roman" w:hAnsi="Arial" w:cs="Arial"/>
          <w:bCs/>
          <w:color w:val="000000"/>
          <w:sz w:val="26"/>
          <w:szCs w:val="26"/>
          <w:lang w:eastAsia="es-MX"/>
        </w:rPr>
        <w:t xml:space="preserve">s que establecen que las resoluciones que se emitan deberán contener la fijación clara y precisa de los puntos controvertidos y la exposición fundada y motivada de las consideraciones en que se basa la resolución, de las cuales adolece la </w:t>
      </w:r>
      <w:r w:rsidR="004F29B8">
        <w:rPr>
          <w:rFonts w:ascii="Arial" w:eastAsia="Times New Roman" w:hAnsi="Arial" w:cs="Arial"/>
          <w:bCs/>
          <w:color w:val="000000"/>
          <w:sz w:val="26"/>
          <w:szCs w:val="26"/>
          <w:lang w:eastAsia="es-MX"/>
        </w:rPr>
        <w:t>determinación</w:t>
      </w:r>
      <w:r>
        <w:rPr>
          <w:rFonts w:ascii="Arial" w:eastAsia="Times New Roman" w:hAnsi="Arial" w:cs="Arial"/>
          <w:bCs/>
          <w:color w:val="000000"/>
          <w:sz w:val="26"/>
          <w:szCs w:val="26"/>
          <w:lang w:eastAsia="es-MX"/>
        </w:rPr>
        <w:t xml:space="preserve"> combatida, omitiendo fijar claramente los fundamentos y motivos en que bas</w:t>
      </w:r>
      <w:r w:rsidR="00DD651A">
        <w:rPr>
          <w:rFonts w:ascii="Arial" w:eastAsia="Times New Roman" w:hAnsi="Arial" w:cs="Arial"/>
          <w:bCs/>
          <w:color w:val="000000"/>
          <w:sz w:val="26"/>
          <w:szCs w:val="26"/>
          <w:lang w:eastAsia="es-MX"/>
        </w:rPr>
        <w:t>ó</w:t>
      </w:r>
      <w:r>
        <w:rPr>
          <w:rFonts w:ascii="Arial" w:eastAsia="Times New Roman" w:hAnsi="Arial" w:cs="Arial"/>
          <w:bCs/>
          <w:color w:val="000000"/>
          <w:sz w:val="26"/>
          <w:szCs w:val="26"/>
          <w:lang w:eastAsia="es-MX"/>
        </w:rPr>
        <w:t xml:space="preserve"> su determinación; </w:t>
      </w:r>
      <w:r w:rsidR="00DD651A">
        <w:rPr>
          <w:rFonts w:ascii="Arial" w:eastAsia="Times New Roman" w:hAnsi="Arial" w:cs="Arial"/>
          <w:bCs/>
          <w:color w:val="000000"/>
          <w:sz w:val="26"/>
          <w:szCs w:val="26"/>
          <w:lang w:eastAsia="es-MX"/>
        </w:rPr>
        <w:t>ello es así</w:t>
      </w:r>
      <w:r w:rsidR="00F14A2E">
        <w:rPr>
          <w:rFonts w:ascii="Arial" w:eastAsia="Times New Roman" w:hAnsi="Arial" w:cs="Arial"/>
          <w:bCs/>
          <w:color w:val="000000"/>
          <w:sz w:val="26"/>
          <w:szCs w:val="26"/>
          <w:lang w:eastAsia="es-MX"/>
        </w:rPr>
        <w:t>,</w:t>
      </w:r>
      <w:r w:rsidR="00DD651A">
        <w:rPr>
          <w:rFonts w:ascii="Arial" w:eastAsia="Times New Roman" w:hAnsi="Arial" w:cs="Arial"/>
          <w:bCs/>
          <w:color w:val="000000"/>
          <w:sz w:val="26"/>
          <w:szCs w:val="26"/>
          <w:lang w:eastAsia="es-MX"/>
        </w:rPr>
        <w:t xml:space="preserve"> dado que</w:t>
      </w:r>
      <w:r w:rsidR="00F14A2E">
        <w:rPr>
          <w:rFonts w:ascii="Arial" w:eastAsia="Times New Roman" w:hAnsi="Arial" w:cs="Arial"/>
          <w:bCs/>
          <w:color w:val="000000"/>
          <w:sz w:val="26"/>
          <w:szCs w:val="26"/>
          <w:lang w:eastAsia="es-MX"/>
        </w:rPr>
        <w:t>,</w:t>
      </w:r>
      <w:r w:rsidR="00DD651A">
        <w:rPr>
          <w:rFonts w:ascii="Arial" w:eastAsia="Times New Roman" w:hAnsi="Arial" w:cs="Arial"/>
          <w:bCs/>
          <w:color w:val="000000"/>
          <w:sz w:val="26"/>
          <w:szCs w:val="26"/>
          <w:lang w:eastAsia="es-MX"/>
        </w:rPr>
        <w:t xml:space="preserve"> para sostener su argumento</w:t>
      </w:r>
      <w:r w:rsidR="00F14A2E">
        <w:rPr>
          <w:rFonts w:ascii="Arial" w:eastAsia="Times New Roman" w:hAnsi="Arial" w:cs="Arial"/>
          <w:bCs/>
          <w:color w:val="000000"/>
          <w:sz w:val="26"/>
          <w:szCs w:val="26"/>
          <w:lang w:eastAsia="es-MX"/>
        </w:rPr>
        <w:t>,</w:t>
      </w:r>
      <w:r w:rsidR="001878EA">
        <w:rPr>
          <w:rFonts w:ascii="Arial" w:eastAsia="Times New Roman" w:hAnsi="Arial" w:cs="Arial"/>
          <w:bCs/>
          <w:color w:val="000000"/>
          <w:sz w:val="26"/>
          <w:szCs w:val="26"/>
          <w:lang w:eastAsia="es-MX"/>
        </w:rPr>
        <w:t xml:space="preserve"> indebidamente </w:t>
      </w:r>
      <w:r w:rsidR="001878EA">
        <w:rPr>
          <w:rFonts w:ascii="Arial" w:hAnsi="Arial" w:cs="Arial"/>
          <w:sz w:val="24"/>
          <w:szCs w:val="24"/>
        </w:rPr>
        <w:t>determinó la existencia de la figura de la caducidad procedimental</w:t>
      </w:r>
      <w:r w:rsidR="00936ACD">
        <w:rPr>
          <w:rFonts w:ascii="Arial" w:hAnsi="Arial" w:cs="Arial"/>
          <w:sz w:val="24"/>
          <w:szCs w:val="24"/>
        </w:rPr>
        <w:t>,</w:t>
      </w:r>
      <w:r w:rsidR="001878EA">
        <w:rPr>
          <w:rFonts w:ascii="Arial" w:hAnsi="Arial" w:cs="Arial"/>
          <w:sz w:val="24"/>
          <w:szCs w:val="24"/>
        </w:rPr>
        <w:t xml:space="preserve"> en términos del artículo 69, fracción V, de la Ley de Responsabilidades de los Servidores Públicos del Estado y Municipios de Oaxaca, </w:t>
      </w:r>
      <w:r w:rsidR="00936ACD">
        <w:rPr>
          <w:rFonts w:ascii="Arial" w:hAnsi="Arial" w:cs="Arial"/>
          <w:sz w:val="24"/>
          <w:szCs w:val="24"/>
        </w:rPr>
        <w:t xml:space="preserve">y que al no existir precepto legal que </w:t>
      </w:r>
      <w:r w:rsidR="001878EA">
        <w:rPr>
          <w:rFonts w:ascii="Arial" w:hAnsi="Arial" w:cs="Arial"/>
          <w:sz w:val="24"/>
          <w:szCs w:val="24"/>
        </w:rPr>
        <w:t>sustentar</w:t>
      </w:r>
      <w:r w:rsidR="00936ACD">
        <w:rPr>
          <w:rFonts w:ascii="Arial" w:hAnsi="Arial" w:cs="Arial"/>
          <w:sz w:val="24"/>
          <w:szCs w:val="24"/>
        </w:rPr>
        <w:t>a</w:t>
      </w:r>
      <w:r w:rsidR="001878EA">
        <w:rPr>
          <w:rFonts w:ascii="Arial" w:hAnsi="Arial" w:cs="Arial"/>
          <w:sz w:val="24"/>
          <w:szCs w:val="24"/>
        </w:rPr>
        <w:t xml:space="preserve"> sus afirmaciones</w:t>
      </w:r>
      <w:r w:rsidR="00936ACD">
        <w:rPr>
          <w:rFonts w:ascii="Arial" w:hAnsi="Arial" w:cs="Arial"/>
          <w:sz w:val="24"/>
          <w:szCs w:val="24"/>
        </w:rPr>
        <w:t xml:space="preserve">, se apoyó en </w:t>
      </w:r>
      <w:r w:rsidR="00F14A2E">
        <w:rPr>
          <w:rFonts w:ascii="Arial" w:hAnsi="Arial" w:cs="Arial"/>
          <w:sz w:val="24"/>
          <w:szCs w:val="24"/>
        </w:rPr>
        <w:t>criterio</w:t>
      </w:r>
      <w:r w:rsidR="00724FCA">
        <w:rPr>
          <w:rFonts w:ascii="Arial" w:hAnsi="Arial" w:cs="Arial"/>
          <w:sz w:val="24"/>
          <w:szCs w:val="24"/>
        </w:rPr>
        <w:t xml:space="preserve"> emitido</w:t>
      </w:r>
      <w:r w:rsidR="00936ACD">
        <w:rPr>
          <w:rFonts w:ascii="Arial" w:hAnsi="Arial" w:cs="Arial"/>
          <w:sz w:val="24"/>
          <w:szCs w:val="24"/>
        </w:rPr>
        <w:t xml:space="preserve"> por </w:t>
      </w:r>
      <w:r w:rsidR="00724FCA">
        <w:rPr>
          <w:rFonts w:ascii="Arial" w:hAnsi="Arial" w:cs="Arial"/>
          <w:sz w:val="24"/>
          <w:szCs w:val="24"/>
        </w:rPr>
        <w:t>e</w:t>
      </w:r>
      <w:r w:rsidR="00936ACD">
        <w:rPr>
          <w:rFonts w:ascii="Arial" w:hAnsi="Arial" w:cs="Arial"/>
          <w:sz w:val="24"/>
          <w:szCs w:val="24"/>
        </w:rPr>
        <w:t>l</w:t>
      </w:r>
      <w:r w:rsidR="00724FCA">
        <w:rPr>
          <w:rFonts w:ascii="Arial" w:hAnsi="Arial" w:cs="Arial"/>
          <w:sz w:val="24"/>
          <w:szCs w:val="24"/>
        </w:rPr>
        <w:t xml:space="preserve"> Tercer </w:t>
      </w:r>
      <w:r w:rsidR="00936ACD">
        <w:rPr>
          <w:rFonts w:ascii="Arial" w:hAnsi="Arial" w:cs="Arial"/>
          <w:sz w:val="24"/>
          <w:szCs w:val="24"/>
        </w:rPr>
        <w:t xml:space="preserve">Tribunal Colegiado </w:t>
      </w:r>
      <w:r w:rsidR="00724FCA">
        <w:rPr>
          <w:rFonts w:ascii="Arial" w:hAnsi="Arial" w:cs="Arial"/>
          <w:sz w:val="24"/>
          <w:szCs w:val="24"/>
        </w:rPr>
        <w:t xml:space="preserve">en Materia Administrativa del Sexto </w:t>
      </w:r>
      <w:r w:rsidR="00936ACD">
        <w:rPr>
          <w:rFonts w:ascii="Arial" w:hAnsi="Arial" w:cs="Arial"/>
          <w:sz w:val="24"/>
          <w:szCs w:val="24"/>
        </w:rPr>
        <w:t xml:space="preserve">Circuito, </w:t>
      </w:r>
      <w:r w:rsidR="00724FCA">
        <w:rPr>
          <w:rFonts w:ascii="Arial" w:hAnsi="Arial" w:cs="Arial"/>
          <w:sz w:val="24"/>
          <w:szCs w:val="24"/>
        </w:rPr>
        <w:t>mism</w:t>
      </w:r>
      <w:r w:rsidR="00F14A2E">
        <w:rPr>
          <w:rFonts w:ascii="Arial" w:hAnsi="Arial" w:cs="Arial"/>
          <w:sz w:val="24"/>
          <w:szCs w:val="24"/>
        </w:rPr>
        <w:t>o</w:t>
      </w:r>
      <w:r w:rsidR="00724FCA">
        <w:rPr>
          <w:rFonts w:ascii="Arial" w:hAnsi="Arial" w:cs="Arial"/>
          <w:sz w:val="24"/>
          <w:szCs w:val="24"/>
        </w:rPr>
        <w:t xml:space="preserve"> que aparece registrad</w:t>
      </w:r>
      <w:r w:rsidR="00F14A2E">
        <w:rPr>
          <w:rFonts w:ascii="Arial" w:hAnsi="Arial" w:cs="Arial"/>
          <w:sz w:val="24"/>
          <w:szCs w:val="24"/>
        </w:rPr>
        <w:t>o</w:t>
      </w:r>
      <w:r w:rsidR="00724FCA">
        <w:rPr>
          <w:rFonts w:ascii="Arial" w:hAnsi="Arial" w:cs="Arial"/>
          <w:sz w:val="24"/>
          <w:szCs w:val="24"/>
        </w:rPr>
        <w:t xml:space="preserve"> en el sistema IUS, </w:t>
      </w:r>
      <w:r w:rsidR="00936ACD">
        <w:rPr>
          <w:rFonts w:ascii="Arial" w:hAnsi="Arial" w:cs="Arial"/>
          <w:sz w:val="24"/>
          <w:szCs w:val="24"/>
        </w:rPr>
        <w:t>con número de reg</w:t>
      </w:r>
      <w:r w:rsidR="00724FCA">
        <w:rPr>
          <w:rFonts w:ascii="Arial" w:hAnsi="Arial" w:cs="Arial"/>
          <w:sz w:val="24"/>
          <w:szCs w:val="24"/>
        </w:rPr>
        <w:t xml:space="preserve">istro </w:t>
      </w:r>
      <w:r w:rsidR="00FF195B">
        <w:rPr>
          <w:rFonts w:ascii="Arial" w:hAnsi="Arial" w:cs="Arial"/>
          <w:b/>
          <w:sz w:val="26"/>
          <w:szCs w:val="26"/>
        </w:rPr>
        <w:t>***********</w:t>
      </w:r>
      <w:r w:rsidR="00F14A2E">
        <w:rPr>
          <w:rFonts w:ascii="Arial" w:hAnsi="Arial" w:cs="Arial"/>
          <w:sz w:val="24"/>
          <w:szCs w:val="24"/>
        </w:rPr>
        <w:t>.</w:t>
      </w:r>
      <w:r w:rsidR="00CF0BF5">
        <w:rPr>
          <w:rFonts w:ascii="Arial" w:hAnsi="Arial" w:cs="Arial"/>
          <w:sz w:val="24"/>
          <w:szCs w:val="24"/>
        </w:rPr>
        <w:t xml:space="preserve"> - - - - - -</w:t>
      </w:r>
    </w:p>
    <w:p w14:paraId="235C3B28" w14:textId="09B4D2A8" w:rsidR="0066617D" w:rsidRDefault="0066617D" w:rsidP="0066617D">
      <w:pPr>
        <w:spacing w:line="360" w:lineRule="auto"/>
        <w:ind w:firstLine="360"/>
        <w:jc w:val="both"/>
        <w:rPr>
          <w:rFonts w:ascii="Arial" w:hAnsi="Arial" w:cs="Arial"/>
          <w:sz w:val="24"/>
          <w:szCs w:val="24"/>
        </w:rPr>
      </w:pPr>
      <w:r>
        <w:rPr>
          <w:rFonts w:ascii="Arial" w:hAnsi="Arial" w:cs="Arial"/>
          <w:sz w:val="24"/>
          <w:szCs w:val="24"/>
        </w:rPr>
        <w:t xml:space="preserve">Cabe resaltar que el segundo párrafo del artículo 60, de la Ley de Responsabilidades de los Servidores Públicos del Estado y Municipios de Oaxaca, establece lo siguiente: </w:t>
      </w:r>
      <w:r w:rsidR="00CF0BF5">
        <w:rPr>
          <w:rFonts w:ascii="Arial" w:hAnsi="Arial" w:cs="Arial"/>
          <w:sz w:val="24"/>
          <w:szCs w:val="24"/>
        </w:rPr>
        <w:t xml:space="preserve">- - - - - - - - - - - - - - - - - - - - - - - - - - - - - - - - - </w:t>
      </w:r>
    </w:p>
    <w:p w14:paraId="24563A09" w14:textId="77777777" w:rsidR="0066617D" w:rsidRDefault="0066617D" w:rsidP="0066617D">
      <w:pPr>
        <w:pStyle w:val="Textoindependienteprimerasangra"/>
        <w:tabs>
          <w:tab w:val="left" w:pos="3828"/>
        </w:tabs>
        <w:spacing w:after="0" w:line="240" w:lineRule="auto"/>
        <w:ind w:left="709" w:right="758"/>
        <w:jc w:val="both"/>
        <w:rPr>
          <w:rFonts w:ascii="Arial" w:hAnsi="Arial" w:cs="Arial"/>
          <w:i/>
          <w:sz w:val="24"/>
          <w:szCs w:val="24"/>
        </w:rPr>
      </w:pPr>
    </w:p>
    <w:p w14:paraId="1AFD3035" w14:textId="77777777" w:rsidR="0066617D" w:rsidRDefault="0066617D" w:rsidP="0066617D">
      <w:pPr>
        <w:pStyle w:val="Textoindependienteprimerasangra"/>
        <w:tabs>
          <w:tab w:val="left" w:pos="3828"/>
        </w:tabs>
        <w:spacing w:after="0" w:line="240" w:lineRule="auto"/>
        <w:ind w:left="709" w:right="758"/>
        <w:jc w:val="both"/>
        <w:rPr>
          <w:rFonts w:ascii="Arial" w:hAnsi="Arial" w:cs="Arial"/>
          <w:i/>
          <w:sz w:val="24"/>
          <w:szCs w:val="24"/>
        </w:rPr>
      </w:pPr>
    </w:p>
    <w:p w14:paraId="7E2F18EC" w14:textId="77777777" w:rsidR="0066617D" w:rsidRPr="001A2590" w:rsidRDefault="0066617D" w:rsidP="0066617D">
      <w:pPr>
        <w:pStyle w:val="Textoindependienteprimerasangra"/>
        <w:tabs>
          <w:tab w:val="left" w:pos="3828"/>
        </w:tabs>
        <w:spacing w:after="0" w:line="240" w:lineRule="auto"/>
        <w:ind w:right="758"/>
        <w:jc w:val="both"/>
        <w:rPr>
          <w:i/>
        </w:rPr>
      </w:pPr>
      <w:r>
        <w:rPr>
          <w:rFonts w:ascii="Arial" w:hAnsi="Arial" w:cs="Arial"/>
          <w:i/>
          <w:sz w:val="24"/>
          <w:szCs w:val="24"/>
        </w:rPr>
        <w:t xml:space="preserve">    </w:t>
      </w:r>
      <w:r w:rsidRPr="001A2590">
        <w:rPr>
          <w:rFonts w:ascii="Arial" w:hAnsi="Arial" w:cs="Arial"/>
          <w:i/>
          <w:sz w:val="24"/>
          <w:szCs w:val="24"/>
        </w:rPr>
        <w:t>“</w:t>
      </w:r>
      <w:r w:rsidRPr="001A2590">
        <w:rPr>
          <w:i/>
        </w:rPr>
        <w:t>Artículo 60.-</w:t>
      </w:r>
      <w:r>
        <w:rPr>
          <w:i/>
        </w:rPr>
        <w:t xml:space="preserve">  </w:t>
      </w:r>
    </w:p>
    <w:p w14:paraId="6FDC145C" w14:textId="77777777" w:rsidR="0066617D" w:rsidRPr="001A2590" w:rsidRDefault="0066617D" w:rsidP="0066617D">
      <w:pPr>
        <w:pStyle w:val="Textoindependienteprimerasangra"/>
        <w:tabs>
          <w:tab w:val="left" w:pos="3828"/>
        </w:tabs>
        <w:spacing w:after="0" w:line="240" w:lineRule="auto"/>
        <w:ind w:left="709" w:right="758"/>
        <w:jc w:val="both"/>
        <w:rPr>
          <w:i/>
        </w:rPr>
      </w:pPr>
      <w:r w:rsidRPr="001A2590">
        <w:rPr>
          <w:i/>
        </w:rPr>
        <w:t xml:space="preserve"> …</w:t>
      </w:r>
    </w:p>
    <w:p w14:paraId="69060CB9" w14:textId="77777777" w:rsidR="0066617D" w:rsidRDefault="0066617D" w:rsidP="0066617D">
      <w:pPr>
        <w:spacing w:line="240" w:lineRule="auto"/>
        <w:ind w:left="709" w:right="758" w:firstLine="349"/>
        <w:jc w:val="both"/>
        <w:rPr>
          <w:i/>
        </w:rPr>
      </w:pPr>
      <w:r w:rsidRPr="001A2590">
        <w:rPr>
          <w:i/>
        </w:rPr>
        <w:t>En todo lo relacionado al procedimiento, ofrecimiento y valoración de pruebas que se regulan en este Título Cuarto, son aplicables supletoriamente las disposiciones del Código de Procedimientos Civiles del Estado.”</w:t>
      </w:r>
    </w:p>
    <w:p w14:paraId="2823066D" w14:textId="3124246C" w:rsidR="001878EA" w:rsidRDefault="0066617D" w:rsidP="0066617D">
      <w:pPr>
        <w:spacing w:line="360" w:lineRule="auto"/>
        <w:ind w:right="-93" w:firstLine="349"/>
        <w:jc w:val="both"/>
        <w:rPr>
          <w:rFonts w:ascii="Arial" w:hAnsi="Arial" w:cs="Arial"/>
          <w:sz w:val="24"/>
          <w:szCs w:val="24"/>
        </w:rPr>
      </w:pPr>
      <w:r>
        <w:rPr>
          <w:rFonts w:ascii="Arial" w:hAnsi="Arial" w:cs="Arial"/>
          <w:sz w:val="24"/>
          <w:szCs w:val="24"/>
        </w:rPr>
        <w:t>De lo anteriormente transcrito, se advierte que e</w:t>
      </w:r>
      <w:r w:rsidR="001878EA">
        <w:rPr>
          <w:rFonts w:ascii="Arial" w:hAnsi="Arial" w:cs="Arial"/>
          <w:sz w:val="24"/>
          <w:szCs w:val="24"/>
        </w:rPr>
        <w:t xml:space="preserve">l estudio de la caducidad </w:t>
      </w:r>
      <w:r w:rsidR="004902B5">
        <w:rPr>
          <w:rFonts w:ascii="Arial" w:hAnsi="Arial" w:cs="Arial"/>
          <w:sz w:val="24"/>
          <w:szCs w:val="24"/>
        </w:rPr>
        <w:t>argumentada por la primera instancia</w:t>
      </w:r>
      <w:r w:rsidR="001878EA">
        <w:rPr>
          <w:rFonts w:ascii="Arial" w:hAnsi="Arial" w:cs="Arial"/>
          <w:sz w:val="24"/>
          <w:szCs w:val="24"/>
        </w:rPr>
        <w:t xml:space="preserve">, </w:t>
      </w:r>
      <w:r w:rsidR="004902B5">
        <w:rPr>
          <w:rFonts w:ascii="Arial" w:hAnsi="Arial" w:cs="Arial"/>
          <w:sz w:val="24"/>
          <w:szCs w:val="24"/>
        </w:rPr>
        <w:t xml:space="preserve">resulta inadecuado, dado </w:t>
      </w:r>
      <w:r w:rsidR="001878EA">
        <w:rPr>
          <w:rFonts w:ascii="Arial" w:hAnsi="Arial" w:cs="Arial"/>
          <w:sz w:val="24"/>
          <w:szCs w:val="24"/>
        </w:rPr>
        <w:t>que</w:t>
      </w:r>
      <w:r w:rsidR="004902B5">
        <w:rPr>
          <w:rFonts w:ascii="Arial" w:hAnsi="Arial" w:cs="Arial"/>
          <w:sz w:val="24"/>
          <w:szCs w:val="24"/>
        </w:rPr>
        <w:t>,</w:t>
      </w:r>
      <w:r w:rsidR="001878EA">
        <w:rPr>
          <w:rFonts w:ascii="Arial" w:hAnsi="Arial" w:cs="Arial"/>
          <w:sz w:val="24"/>
          <w:szCs w:val="24"/>
        </w:rPr>
        <w:t xml:space="preserve"> esta figura jurídica es aplicable durante el </w:t>
      </w:r>
      <w:r w:rsidR="004902B5">
        <w:rPr>
          <w:rFonts w:ascii="Arial" w:hAnsi="Arial" w:cs="Arial"/>
          <w:sz w:val="24"/>
          <w:szCs w:val="24"/>
        </w:rPr>
        <w:t xml:space="preserve">desahogo del </w:t>
      </w:r>
      <w:r w:rsidR="001878EA">
        <w:rPr>
          <w:rFonts w:ascii="Arial" w:hAnsi="Arial" w:cs="Arial"/>
          <w:sz w:val="24"/>
          <w:szCs w:val="24"/>
        </w:rPr>
        <w:t xml:space="preserve">procedimiento; como </w:t>
      </w:r>
      <w:r w:rsidR="004902B5">
        <w:rPr>
          <w:rFonts w:ascii="Arial" w:hAnsi="Arial" w:cs="Arial"/>
          <w:sz w:val="24"/>
          <w:szCs w:val="24"/>
        </w:rPr>
        <w:t xml:space="preserve">se advierte de lo dispuesto por </w:t>
      </w:r>
      <w:r w:rsidR="001878EA">
        <w:rPr>
          <w:rFonts w:ascii="Arial" w:hAnsi="Arial" w:cs="Arial"/>
          <w:sz w:val="24"/>
          <w:szCs w:val="24"/>
        </w:rPr>
        <w:t xml:space="preserve">el artículo 127 Bis, del Código de Procedimientos Civiles del Estado de Oaxaca, </w:t>
      </w:r>
      <w:r w:rsidR="004902B5">
        <w:rPr>
          <w:rFonts w:ascii="Arial" w:hAnsi="Arial" w:cs="Arial"/>
          <w:sz w:val="24"/>
          <w:szCs w:val="24"/>
        </w:rPr>
        <w:t xml:space="preserve">de aplicación supletoria a la Ley de Responsabilidades de los Servidores Públicos del Estado y Municipios de Oaxaca, así como a la Ley de la materia; mismo </w:t>
      </w:r>
      <w:r w:rsidR="001878EA">
        <w:rPr>
          <w:rFonts w:ascii="Arial" w:hAnsi="Arial" w:cs="Arial"/>
          <w:sz w:val="24"/>
          <w:szCs w:val="24"/>
        </w:rPr>
        <w:t xml:space="preserve">que </w:t>
      </w:r>
      <w:r w:rsidR="004902B5">
        <w:rPr>
          <w:rFonts w:ascii="Arial" w:hAnsi="Arial" w:cs="Arial"/>
          <w:sz w:val="24"/>
          <w:szCs w:val="24"/>
        </w:rPr>
        <w:t>establece lo siguiente</w:t>
      </w:r>
      <w:r w:rsidR="001878EA">
        <w:rPr>
          <w:rFonts w:ascii="Arial" w:hAnsi="Arial" w:cs="Arial"/>
          <w:sz w:val="24"/>
          <w:szCs w:val="24"/>
        </w:rPr>
        <w:t xml:space="preserve">: </w:t>
      </w:r>
      <w:r w:rsidR="00CF0BF5">
        <w:rPr>
          <w:rFonts w:ascii="Arial" w:hAnsi="Arial" w:cs="Arial"/>
          <w:sz w:val="24"/>
          <w:szCs w:val="24"/>
        </w:rPr>
        <w:t xml:space="preserve">- - </w:t>
      </w:r>
    </w:p>
    <w:p w14:paraId="62BA48AE" w14:textId="77777777" w:rsidR="001878EA" w:rsidRPr="00AD0E02" w:rsidRDefault="001878EA" w:rsidP="001878EA">
      <w:pPr>
        <w:pStyle w:val="Textoindependienteprimerasangra"/>
        <w:tabs>
          <w:tab w:val="left" w:pos="3828"/>
        </w:tabs>
        <w:jc w:val="both"/>
        <w:rPr>
          <w:rFonts w:cstheme="minorHAnsi"/>
          <w:i/>
        </w:rPr>
      </w:pPr>
      <w:r w:rsidRPr="00AD0E02">
        <w:rPr>
          <w:rFonts w:cstheme="minorHAnsi"/>
          <w:i/>
        </w:rPr>
        <w:t xml:space="preserve">“127 Bis.- La caducidad de la instancia operará de pleno derecho cualquiera que sea el estado del juicio, </w:t>
      </w:r>
      <w:r w:rsidRPr="00AD0E02">
        <w:rPr>
          <w:rFonts w:cstheme="minorHAnsi"/>
          <w:b/>
          <w:i/>
        </w:rPr>
        <w:t>desde el emplazamiento hasta antes de la citación para sentencia</w:t>
      </w:r>
      <w:r w:rsidRPr="00AD0E02">
        <w:rPr>
          <w:rFonts w:cstheme="minorHAnsi"/>
          <w:i/>
        </w:rPr>
        <w:t xml:space="preserve">, si transcurridos ciento ochenta días, incluidos los inhábiles, contados a partir del día siguiente al en que surta efectos la notificación del último acuerdo judicial, </w:t>
      </w:r>
      <w:r w:rsidRPr="004A74F1">
        <w:rPr>
          <w:rFonts w:cstheme="minorHAnsi"/>
          <w:b/>
          <w:i/>
        </w:rPr>
        <w:t>no hubiere promoción por escrito de cualquiera de las partes, necesaria para impulsar el procedimiento</w:t>
      </w:r>
      <w:r w:rsidRPr="00AD0E02">
        <w:rPr>
          <w:rFonts w:cstheme="minorHAnsi"/>
          <w:i/>
        </w:rPr>
        <w:t>, los efectos y las formas de su declaración se sujetarán a las siguientes normas:</w:t>
      </w:r>
    </w:p>
    <w:p w14:paraId="1F83272F" w14:textId="77777777" w:rsidR="001878EA" w:rsidRDefault="001878EA" w:rsidP="001878EA">
      <w:pPr>
        <w:pStyle w:val="Textoindependienteprimerasangra"/>
        <w:tabs>
          <w:tab w:val="left" w:pos="3828"/>
        </w:tabs>
        <w:jc w:val="both"/>
        <w:rPr>
          <w:rFonts w:ascii="Arial" w:hAnsi="Arial" w:cs="Arial"/>
          <w:sz w:val="24"/>
          <w:szCs w:val="24"/>
        </w:rPr>
      </w:pPr>
      <w:r w:rsidRPr="00AD0E02">
        <w:rPr>
          <w:rFonts w:cstheme="minorHAnsi"/>
          <w:i/>
        </w:rPr>
        <w:t xml:space="preserve">I…” </w:t>
      </w:r>
      <w:r>
        <w:rPr>
          <w:rFonts w:ascii="Arial" w:hAnsi="Arial" w:cs="Arial"/>
          <w:sz w:val="24"/>
          <w:szCs w:val="24"/>
        </w:rPr>
        <w:t>(Lo resaltado es nuestro).</w:t>
      </w:r>
    </w:p>
    <w:p w14:paraId="0583061A" w14:textId="19809077" w:rsidR="001878EA" w:rsidRDefault="001878EA" w:rsidP="001878EA">
      <w:pPr>
        <w:pStyle w:val="Textoindependienteprimerasangra"/>
        <w:tabs>
          <w:tab w:val="left" w:pos="3828"/>
        </w:tabs>
        <w:spacing w:line="360" w:lineRule="auto"/>
        <w:jc w:val="both"/>
        <w:rPr>
          <w:rFonts w:ascii="Arial" w:hAnsi="Arial" w:cs="Arial"/>
          <w:sz w:val="24"/>
          <w:szCs w:val="24"/>
        </w:rPr>
      </w:pPr>
      <w:r w:rsidRPr="00FE76F9">
        <w:rPr>
          <w:rFonts w:ascii="Arial" w:hAnsi="Arial" w:cs="Arial"/>
          <w:sz w:val="24"/>
          <w:szCs w:val="24"/>
        </w:rPr>
        <w:t>E</w:t>
      </w:r>
      <w:r w:rsidR="00C14339" w:rsidRPr="00FE76F9">
        <w:rPr>
          <w:rFonts w:ascii="Arial" w:hAnsi="Arial" w:cs="Arial"/>
          <w:sz w:val="24"/>
          <w:szCs w:val="24"/>
        </w:rPr>
        <w:t>s decir,</w:t>
      </w:r>
      <w:r w:rsidRPr="00FE76F9">
        <w:rPr>
          <w:rFonts w:ascii="Arial" w:hAnsi="Arial" w:cs="Arial"/>
          <w:sz w:val="24"/>
          <w:szCs w:val="24"/>
        </w:rPr>
        <w:t xml:space="preserve"> </w:t>
      </w:r>
      <w:r w:rsidR="00C14339" w:rsidRPr="00FE76F9">
        <w:rPr>
          <w:rFonts w:ascii="Arial" w:hAnsi="Arial" w:cs="Arial"/>
          <w:sz w:val="24"/>
          <w:szCs w:val="24"/>
        </w:rPr>
        <w:t xml:space="preserve">para que </w:t>
      </w:r>
      <w:r w:rsidRPr="00FE76F9">
        <w:rPr>
          <w:rFonts w:ascii="Arial" w:hAnsi="Arial" w:cs="Arial"/>
          <w:sz w:val="24"/>
          <w:szCs w:val="24"/>
        </w:rPr>
        <w:t xml:space="preserve">en el caso en estudio, </w:t>
      </w:r>
      <w:r w:rsidR="00C14339" w:rsidRPr="00FE76F9">
        <w:rPr>
          <w:rFonts w:ascii="Arial" w:hAnsi="Arial" w:cs="Arial"/>
          <w:sz w:val="24"/>
          <w:szCs w:val="24"/>
        </w:rPr>
        <w:t xml:space="preserve">pudiera </w:t>
      </w:r>
      <w:r w:rsidRPr="00FE76F9">
        <w:rPr>
          <w:rFonts w:ascii="Arial" w:hAnsi="Arial" w:cs="Arial"/>
          <w:sz w:val="24"/>
          <w:szCs w:val="24"/>
        </w:rPr>
        <w:t xml:space="preserve">configurarse la caducidad, </w:t>
      </w:r>
      <w:r w:rsidR="00C14339" w:rsidRPr="00FE76F9">
        <w:rPr>
          <w:rFonts w:ascii="Arial" w:hAnsi="Arial" w:cs="Arial"/>
          <w:sz w:val="24"/>
          <w:szCs w:val="24"/>
        </w:rPr>
        <w:t xml:space="preserve">esta operaría </w:t>
      </w:r>
      <w:r w:rsidRPr="00FE76F9">
        <w:rPr>
          <w:rFonts w:ascii="Arial" w:hAnsi="Arial" w:cs="Arial"/>
          <w:sz w:val="24"/>
          <w:szCs w:val="24"/>
        </w:rPr>
        <w:t xml:space="preserve">a partir </w:t>
      </w:r>
      <w:r w:rsidR="00C14339" w:rsidRPr="00FE76F9">
        <w:rPr>
          <w:rFonts w:ascii="Arial" w:hAnsi="Arial" w:cs="Arial"/>
          <w:sz w:val="24"/>
          <w:szCs w:val="24"/>
        </w:rPr>
        <w:t>de</w:t>
      </w:r>
      <w:r w:rsidRPr="00FE76F9">
        <w:rPr>
          <w:rFonts w:ascii="Arial" w:hAnsi="Arial" w:cs="Arial"/>
          <w:sz w:val="24"/>
          <w:szCs w:val="24"/>
        </w:rPr>
        <w:t xml:space="preserve"> l</w:t>
      </w:r>
      <w:r w:rsidR="00C14339" w:rsidRPr="00FE76F9">
        <w:rPr>
          <w:rFonts w:ascii="Arial" w:hAnsi="Arial" w:cs="Arial"/>
          <w:sz w:val="24"/>
          <w:szCs w:val="24"/>
        </w:rPr>
        <w:t>a</w:t>
      </w:r>
      <w:r w:rsidRPr="00FE76F9">
        <w:rPr>
          <w:rFonts w:ascii="Arial" w:hAnsi="Arial" w:cs="Arial"/>
          <w:sz w:val="24"/>
          <w:szCs w:val="24"/>
        </w:rPr>
        <w:t xml:space="preserve"> notifica</w:t>
      </w:r>
      <w:r w:rsidR="00C14339" w:rsidRPr="00FE76F9">
        <w:rPr>
          <w:rFonts w:ascii="Arial" w:hAnsi="Arial" w:cs="Arial"/>
          <w:sz w:val="24"/>
          <w:szCs w:val="24"/>
        </w:rPr>
        <w:t>ción</w:t>
      </w:r>
      <w:r w:rsidRPr="00FE76F9">
        <w:rPr>
          <w:rFonts w:ascii="Arial" w:hAnsi="Arial" w:cs="Arial"/>
          <w:sz w:val="24"/>
          <w:szCs w:val="24"/>
        </w:rPr>
        <w:t xml:space="preserve"> al servidor público</w:t>
      </w:r>
      <w:r w:rsidR="001A5356" w:rsidRPr="00FE76F9">
        <w:rPr>
          <w:rFonts w:ascii="Arial" w:hAnsi="Arial" w:cs="Arial"/>
          <w:sz w:val="24"/>
          <w:szCs w:val="24"/>
        </w:rPr>
        <w:t>,</w:t>
      </w:r>
      <w:r w:rsidRPr="00FE76F9">
        <w:rPr>
          <w:rFonts w:ascii="Arial" w:hAnsi="Arial" w:cs="Arial"/>
          <w:sz w:val="24"/>
          <w:szCs w:val="24"/>
        </w:rPr>
        <w:t xml:space="preserve"> </w:t>
      </w:r>
      <w:r w:rsidR="00C14339" w:rsidRPr="00FE76F9">
        <w:rPr>
          <w:rFonts w:ascii="Arial" w:hAnsi="Arial" w:cs="Arial"/>
          <w:sz w:val="24"/>
          <w:szCs w:val="24"/>
        </w:rPr>
        <w:t xml:space="preserve">de </w:t>
      </w:r>
      <w:r w:rsidRPr="00FE76F9">
        <w:rPr>
          <w:rFonts w:ascii="Arial" w:hAnsi="Arial" w:cs="Arial"/>
          <w:sz w:val="24"/>
          <w:szCs w:val="24"/>
        </w:rPr>
        <w:t>la inst</w:t>
      </w:r>
      <w:r>
        <w:rPr>
          <w:rFonts w:ascii="Arial" w:hAnsi="Arial" w:cs="Arial"/>
          <w:sz w:val="24"/>
          <w:szCs w:val="24"/>
        </w:rPr>
        <w:t xml:space="preserve">auración del procedimiento administrativo de responsabilidad </w:t>
      </w:r>
      <w:r w:rsidR="001A5356">
        <w:rPr>
          <w:rFonts w:ascii="Arial" w:hAnsi="Arial" w:cs="Arial"/>
          <w:sz w:val="24"/>
          <w:szCs w:val="24"/>
        </w:rPr>
        <w:t xml:space="preserve">iniciado </w:t>
      </w:r>
      <w:r>
        <w:rPr>
          <w:rFonts w:ascii="Arial" w:hAnsi="Arial" w:cs="Arial"/>
          <w:sz w:val="24"/>
          <w:szCs w:val="24"/>
        </w:rPr>
        <w:t>en su contra</w:t>
      </w:r>
      <w:r w:rsidR="00C14339">
        <w:rPr>
          <w:rFonts w:ascii="Arial" w:hAnsi="Arial" w:cs="Arial"/>
          <w:sz w:val="24"/>
          <w:szCs w:val="24"/>
        </w:rPr>
        <w:t xml:space="preserve"> y</w:t>
      </w:r>
      <w:r w:rsidR="0066617D">
        <w:rPr>
          <w:rFonts w:ascii="Arial" w:hAnsi="Arial" w:cs="Arial"/>
          <w:sz w:val="24"/>
          <w:szCs w:val="24"/>
        </w:rPr>
        <w:t>,</w:t>
      </w:r>
      <w:r>
        <w:rPr>
          <w:rFonts w:ascii="Arial" w:hAnsi="Arial" w:cs="Arial"/>
          <w:sz w:val="24"/>
          <w:szCs w:val="24"/>
        </w:rPr>
        <w:t xml:space="preserve"> </w:t>
      </w:r>
      <w:r w:rsidR="00C14339">
        <w:rPr>
          <w:rFonts w:ascii="Arial" w:hAnsi="Arial" w:cs="Arial"/>
          <w:sz w:val="24"/>
          <w:szCs w:val="24"/>
        </w:rPr>
        <w:t xml:space="preserve">hasta </w:t>
      </w:r>
      <w:r>
        <w:rPr>
          <w:rFonts w:ascii="Arial" w:hAnsi="Arial" w:cs="Arial"/>
          <w:sz w:val="24"/>
          <w:szCs w:val="24"/>
        </w:rPr>
        <w:t>la audiencia de pruebas y alegatos</w:t>
      </w:r>
      <w:r w:rsidR="00162450">
        <w:rPr>
          <w:rFonts w:ascii="Arial" w:hAnsi="Arial" w:cs="Arial"/>
          <w:sz w:val="24"/>
          <w:szCs w:val="24"/>
        </w:rPr>
        <w:t>.</w:t>
      </w:r>
      <w:r w:rsidR="00CF0BF5">
        <w:rPr>
          <w:rFonts w:ascii="Arial" w:hAnsi="Arial" w:cs="Arial"/>
          <w:sz w:val="24"/>
          <w:szCs w:val="24"/>
        </w:rPr>
        <w:t xml:space="preserve"> - - - - - - - - - - - - - - - - - </w:t>
      </w:r>
    </w:p>
    <w:p w14:paraId="0E8DC6A0" w14:textId="0C78C2A7" w:rsidR="00FA52DD" w:rsidRDefault="0066617D" w:rsidP="00C14339">
      <w:pPr>
        <w:spacing w:line="360" w:lineRule="auto"/>
        <w:ind w:firstLine="360"/>
        <w:jc w:val="both"/>
        <w:rPr>
          <w:rFonts w:ascii="Arial" w:hAnsi="Arial" w:cs="Arial"/>
          <w:sz w:val="24"/>
          <w:szCs w:val="24"/>
        </w:rPr>
      </w:pPr>
      <w:r>
        <w:rPr>
          <w:rFonts w:ascii="Arial" w:hAnsi="Arial" w:cs="Arial"/>
          <w:sz w:val="24"/>
          <w:szCs w:val="24"/>
        </w:rPr>
        <w:t xml:space="preserve">Resultando </w:t>
      </w:r>
      <w:r w:rsidR="001878EA" w:rsidRPr="00FA52DD">
        <w:rPr>
          <w:rFonts w:ascii="Arial" w:hAnsi="Arial" w:cs="Arial"/>
          <w:sz w:val="24"/>
          <w:szCs w:val="24"/>
        </w:rPr>
        <w:t xml:space="preserve">que </w:t>
      </w:r>
      <w:r w:rsidR="004D3E50" w:rsidRPr="00FA52DD">
        <w:rPr>
          <w:rFonts w:ascii="Arial" w:hAnsi="Arial" w:cs="Arial"/>
          <w:sz w:val="24"/>
          <w:szCs w:val="24"/>
        </w:rPr>
        <w:t>e</w:t>
      </w:r>
      <w:r w:rsidR="001878EA" w:rsidRPr="00FA52DD">
        <w:rPr>
          <w:rFonts w:ascii="Arial" w:hAnsi="Arial" w:cs="Arial"/>
          <w:sz w:val="24"/>
          <w:szCs w:val="24"/>
        </w:rPr>
        <w:t>l</w:t>
      </w:r>
      <w:r w:rsidR="004D3E50" w:rsidRPr="00FA52DD">
        <w:rPr>
          <w:rFonts w:ascii="Arial" w:hAnsi="Arial" w:cs="Arial"/>
          <w:sz w:val="24"/>
          <w:szCs w:val="24"/>
        </w:rPr>
        <w:t xml:space="preserve"> momento procesal oportuno</w:t>
      </w:r>
      <w:r w:rsidR="001878EA" w:rsidRPr="00FA52DD">
        <w:rPr>
          <w:rFonts w:ascii="Arial" w:hAnsi="Arial" w:cs="Arial"/>
          <w:sz w:val="24"/>
          <w:szCs w:val="24"/>
        </w:rPr>
        <w:t xml:space="preserve"> para invocar la caducidad</w:t>
      </w:r>
      <w:r w:rsidR="004D3E50" w:rsidRPr="00FA52DD">
        <w:rPr>
          <w:rFonts w:ascii="Arial" w:hAnsi="Arial" w:cs="Arial"/>
          <w:sz w:val="24"/>
          <w:szCs w:val="24"/>
        </w:rPr>
        <w:t xml:space="preserve"> de la instancia,</w:t>
      </w:r>
      <w:r w:rsidR="001878EA" w:rsidRPr="00FA52DD">
        <w:rPr>
          <w:rFonts w:ascii="Arial" w:hAnsi="Arial" w:cs="Arial"/>
          <w:sz w:val="24"/>
          <w:szCs w:val="24"/>
        </w:rPr>
        <w:t xml:space="preserve"> </w:t>
      </w:r>
      <w:r w:rsidR="00134B9E">
        <w:rPr>
          <w:rFonts w:ascii="Arial" w:hAnsi="Arial" w:cs="Arial"/>
          <w:sz w:val="24"/>
          <w:szCs w:val="24"/>
        </w:rPr>
        <w:t>lo fue,</w:t>
      </w:r>
      <w:r w:rsidR="001878EA" w:rsidRPr="00FA52DD">
        <w:rPr>
          <w:rFonts w:ascii="Arial" w:hAnsi="Arial" w:cs="Arial"/>
          <w:sz w:val="24"/>
          <w:szCs w:val="24"/>
        </w:rPr>
        <w:t xml:space="preserve"> d</w:t>
      </w:r>
      <w:r w:rsidR="004D3E50" w:rsidRPr="00FA52DD">
        <w:rPr>
          <w:rFonts w:ascii="Arial" w:hAnsi="Arial" w:cs="Arial"/>
          <w:sz w:val="24"/>
          <w:szCs w:val="24"/>
        </w:rPr>
        <w:t>urante</w:t>
      </w:r>
      <w:r w:rsidR="001878EA" w:rsidRPr="00FA52DD">
        <w:rPr>
          <w:rFonts w:ascii="Arial" w:hAnsi="Arial" w:cs="Arial"/>
          <w:sz w:val="24"/>
          <w:szCs w:val="24"/>
        </w:rPr>
        <w:t xml:space="preserve"> el </w:t>
      </w:r>
      <w:r w:rsidR="006B2691" w:rsidRPr="00FA52DD">
        <w:rPr>
          <w:rFonts w:ascii="Arial" w:hAnsi="Arial" w:cs="Arial"/>
          <w:sz w:val="24"/>
          <w:szCs w:val="24"/>
        </w:rPr>
        <w:t xml:space="preserve">trámite del </w:t>
      </w:r>
      <w:r w:rsidR="001878EA" w:rsidRPr="00FA52DD">
        <w:rPr>
          <w:rFonts w:ascii="Arial" w:hAnsi="Arial" w:cs="Arial"/>
          <w:sz w:val="24"/>
          <w:szCs w:val="24"/>
        </w:rPr>
        <w:t xml:space="preserve">procedimiento en el </w:t>
      </w:r>
      <w:r w:rsidR="004D3E50" w:rsidRPr="00FA52DD">
        <w:rPr>
          <w:rFonts w:ascii="Arial" w:hAnsi="Arial" w:cs="Arial"/>
          <w:sz w:val="24"/>
          <w:szCs w:val="24"/>
        </w:rPr>
        <w:t>que las part</w:t>
      </w:r>
      <w:r w:rsidR="001878EA" w:rsidRPr="00FA52DD">
        <w:rPr>
          <w:rFonts w:ascii="Arial" w:hAnsi="Arial" w:cs="Arial"/>
          <w:sz w:val="24"/>
          <w:szCs w:val="24"/>
        </w:rPr>
        <w:t xml:space="preserve">es </w:t>
      </w:r>
      <w:r w:rsidR="004D3E50" w:rsidRPr="00FA52DD">
        <w:rPr>
          <w:rFonts w:ascii="Arial" w:hAnsi="Arial" w:cs="Arial"/>
          <w:sz w:val="24"/>
          <w:szCs w:val="24"/>
        </w:rPr>
        <w:t xml:space="preserve">involucradas en el asunto </w:t>
      </w:r>
      <w:r w:rsidR="001878EA" w:rsidRPr="00FA52DD">
        <w:rPr>
          <w:rFonts w:ascii="Arial" w:hAnsi="Arial" w:cs="Arial"/>
          <w:sz w:val="24"/>
          <w:szCs w:val="24"/>
        </w:rPr>
        <w:t>se encarga</w:t>
      </w:r>
      <w:r w:rsidR="00134B9E">
        <w:rPr>
          <w:rFonts w:ascii="Arial" w:hAnsi="Arial" w:cs="Arial"/>
          <w:sz w:val="24"/>
          <w:szCs w:val="24"/>
        </w:rPr>
        <w:t>ro</w:t>
      </w:r>
      <w:r w:rsidR="001878EA" w:rsidRPr="00FA52DD">
        <w:rPr>
          <w:rFonts w:ascii="Arial" w:hAnsi="Arial" w:cs="Arial"/>
          <w:sz w:val="24"/>
          <w:szCs w:val="24"/>
        </w:rPr>
        <w:t xml:space="preserve">n de su impulso; </w:t>
      </w:r>
      <w:r w:rsidR="004D3E50" w:rsidRPr="00FA52DD">
        <w:rPr>
          <w:rFonts w:ascii="Arial" w:hAnsi="Arial" w:cs="Arial"/>
          <w:sz w:val="24"/>
          <w:szCs w:val="24"/>
        </w:rPr>
        <w:t>hasta la audiencia de alegatos, es decir, antes de que</w:t>
      </w:r>
      <w:r w:rsidR="001878EA" w:rsidRPr="00FA52DD">
        <w:rPr>
          <w:rFonts w:ascii="Arial" w:hAnsi="Arial" w:cs="Arial"/>
          <w:sz w:val="24"/>
          <w:szCs w:val="24"/>
        </w:rPr>
        <w:t xml:space="preserve"> se turn</w:t>
      </w:r>
      <w:r w:rsidR="00134B9E">
        <w:rPr>
          <w:rFonts w:ascii="Arial" w:hAnsi="Arial" w:cs="Arial"/>
          <w:sz w:val="24"/>
          <w:szCs w:val="24"/>
        </w:rPr>
        <w:t>ara</w:t>
      </w:r>
      <w:r w:rsidR="001878EA" w:rsidRPr="00FA52DD">
        <w:rPr>
          <w:rFonts w:ascii="Arial" w:hAnsi="Arial" w:cs="Arial"/>
          <w:sz w:val="24"/>
          <w:szCs w:val="24"/>
        </w:rPr>
        <w:t xml:space="preserve"> para </w:t>
      </w:r>
      <w:r w:rsidR="00FA52DD" w:rsidRPr="00FA52DD">
        <w:rPr>
          <w:rFonts w:ascii="Arial" w:hAnsi="Arial" w:cs="Arial"/>
          <w:sz w:val="24"/>
          <w:szCs w:val="24"/>
        </w:rPr>
        <w:t>el dictado de</w:t>
      </w:r>
      <w:r w:rsidR="001878EA" w:rsidRPr="00FA52DD">
        <w:rPr>
          <w:rFonts w:ascii="Arial" w:hAnsi="Arial" w:cs="Arial"/>
          <w:sz w:val="24"/>
          <w:szCs w:val="24"/>
        </w:rPr>
        <w:t xml:space="preserve"> </w:t>
      </w:r>
      <w:r w:rsidR="00CD0695" w:rsidRPr="00FA52DD">
        <w:rPr>
          <w:rFonts w:ascii="Arial" w:hAnsi="Arial" w:cs="Arial"/>
          <w:sz w:val="24"/>
          <w:szCs w:val="24"/>
        </w:rPr>
        <w:t xml:space="preserve">la </w:t>
      </w:r>
      <w:r w:rsidR="001878EA" w:rsidRPr="00FA52DD">
        <w:rPr>
          <w:rFonts w:ascii="Arial" w:hAnsi="Arial" w:cs="Arial"/>
          <w:sz w:val="24"/>
          <w:szCs w:val="24"/>
        </w:rPr>
        <w:t>resolución</w:t>
      </w:r>
      <w:r w:rsidR="00CD0695" w:rsidRPr="00FA52DD">
        <w:rPr>
          <w:rFonts w:ascii="Arial" w:hAnsi="Arial" w:cs="Arial"/>
          <w:sz w:val="24"/>
          <w:szCs w:val="24"/>
        </w:rPr>
        <w:t xml:space="preserve"> correspondiente</w:t>
      </w:r>
      <w:r w:rsidR="001878EA" w:rsidRPr="00FA52DD">
        <w:rPr>
          <w:rFonts w:ascii="Arial" w:hAnsi="Arial" w:cs="Arial"/>
          <w:sz w:val="24"/>
          <w:szCs w:val="24"/>
        </w:rPr>
        <w:t>, sin que la caducidad opere en esta etapa del proce</w:t>
      </w:r>
      <w:r w:rsidR="00FA52DD">
        <w:rPr>
          <w:rFonts w:ascii="Arial" w:hAnsi="Arial" w:cs="Arial"/>
          <w:sz w:val="24"/>
          <w:szCs w:val="24"/>
        </w:rPr>
        <w:t>dimiento,</w:t>
      </w:r>
      <w:r w:rsidR="001878EA" w:rsidRPr="00FA52DD">
        <w:rPr>
          <w:rFonts w:ascii="Arial" w:hAnsi="Arial" w:cs="Arial"/>
          <w:sz w:val="24"/>
          <w:szCs w:val="24"/>
        </w:rPr>
        <w:t xml:space="preserve"> </w:t>
      </w:r>
      <w:r w:rsidR="00FA52DD">
        <w:rPr>
          <w:rFonts w:ascii="Arial" w:hAnsi="Arial" w:cs="Arial"/>
          <w:sz w:val="24"/>
          <w:szCs w:val="24"/>
        </w:rPr>
        <w:t>tomando en consideración que la autoridad encargada de resolver</w:t>
      </w:r>
      <w:r w:rsidR="001878EA">
        <w:rPr>
          <w:rFonts w:ascii="Arial" w:hAnsi="Arial" w:cs="Arial"/>
          <w:sz w:val="24"/>
          <w:szCs w:val="24"/>
        </w:rPr>
        <w:t xml:space="preserve">, debe hacerlo </w:t>
      </w:r>
      <w:r w:rsidR="00FA52DD">
        <w:rPr>
          <w:rFonts w:ascii="Arial" w:hAnsi="Arial" w:cs="Arial"/>
          <w:sz w:val="24"/>
          <w:szCs w:val="24"/>
        </w:rPr>
        <w:t xml:space="preserve">acorde </w:t>
      </w:r>
      <w:r w:rsidR="001878EA">
        <w:rPr>
          <w:rFonts w:ascii="Arial" w:hAnsi="Arial" w:cs="Arial"/>
          <w:sz w:val="24"/>
          <w:szCs w:val="24"/>
        </w:rPr>
        <w:t>a su carga de trabajo, la delicadeza del caso, lo voluminoso del expediente</w:t>
      </w:r>
      <w:r w:rsidR="00134B9E">
        <w:rPr>
          <w:rFonts w:ascii="Arial" w:hAnsi="Arial" w:cs="Arial"/>
          <w:sz w:val="24"/>
          <w:szCs w:val="24"/>
        </w:rPr>
        <w:t>,</w:t>
      </w:r>
      <w:r w:rsidR="00FA52DD">
        <w:rPr>
          <w:rFonts w:ascii="Arial" w:hAnsi="Arial" w:cs="Arial"/>
          <w:sz w:val="24"/>
          <w:szCs w:val="24"/>
        </w:rPr>
        <w:t xml:space="preserve"> además</w:t>
      </w:r>
      <w:r w:rsidR="001878EA">
        <w:rPr>
          <w:rFonts w:ascii="Arial" w:hAnsi="Arial" w:cs="Arial"/>
          <w:sz w:val="24"/>
          <w:szCs w:val="24"/>
        </w:rPr>
        <w:t xml:space="preserve"> </w:t>
      </w:r>
      <w:r w:rsidR="00FA52DD">
        <w:rPr>
          <w:rFonts w:ascii="Arial" w:hAnsi="Arial" w:cs="Arial"/>
          <w:sz w:val="24"/>
          <w:szCs w:val="24"/>
        </w:rPr>
        <w:t>d</w:t>
      </w:r>
      <w:r w:rsidR="001878EA">
        <w:rPr>
          <w:rFonts w:ascii="Arial" w:hAnsi="Arial" w:cs="Arial"/>
          <w:sz w:val="24"/>
          <w:szCs w:val="24"/>
        </w:rPr>
        <w:t>el estudio acucioso que haga del mismo</w:t>
      </w:r>
      <w:r w:rsidR="00CE0E82">
        <w:rPr>
          <w:rFonts w:ascii="Arial" w:hAnsi="Arial" w:cs="Arial"/>
          <w:sz w:val="24"/>
          <w:szCs w:val="24"/>
        </w:rPr>
        <w:t>; máxime que el artículo 69</w:t>
      </w:r>
      <w:r>
        <w:rPr>
          <w:rFonts w:ascii="Arial" w:hAnsi="Arial" w:cs="Arial"/>
          <w:sz w:val="24"/>
          <w:szCs w:val="24"/>
        </w:rPr>
        <w:t>,</w:t>
      </w:r>
      <w:r w:rsidR="00CE0E82">
        <w:rPr>
          <w:rFonts w:ascii="Arial" w:hAnsi="Arial" w:cs="Arial"/>
          <w:sz w:val="24"/>
          <w:szCs w:val="24"/>
        </w:rPr>
        <w:t xml:space="preserve"> de la Ley de Responsabilidades en cita, no prevé sanción o consecuencia por la dilación en el dictado de la resolución que ponga fin al procedimiento administrativo</w:t>
      </w:r>
      <w:r>
        <w:rPr>
          <w:rFonts w:ascii="Arial" w:hAnsi="Arial" w:cs="Arial"/>
          <w:sz w:val="24"/>
          <w:szCs w:val="24"/>
        </w:rPr>
        <w:t>.</w:t>
      </w:r>
      <w:r w:rsidR="00460F28">
        <w:rPr>
          <w:rFonts w:ascii="Arial" w:hAnsi="Arial" w:cs="Arial"/>
          <w:sz w:val="24"/>
          <w:szCs w:val="24"/>
        </w:rPr>
        <w:t xml:space="preserve"> - - - - - - - - - - - - - - - </w:t>
      </w:r>
    </w:p>
    <w:p w14:paraId="70099DEC" w14:textId="0C87525B" w:rsidR="00A12D6A" w:rsidRDefault="00A12D6A" w:rsidP="00C14339">
      <w:pPr>
        <w:spacing w:line="360" w:lineRule="auto"/>
        <w:ind w:firstLine="360"/>
        <w:jc w:val="both"/>
        <w:rPr>
          <w:rFonts w:ascii="Arial" w:hAnsi="Arial" w:cs="Arial"/>
          <w:sz w:val="24"/>
          <w:szCs w:val="24"/>
        </w:rPr>
      </w:pPr>
      <w:r>
        <w:rPr>
          <w:rFonts w:ascii="Arial" w:hAnsi="Arial" w:cs="Arial"/>
          <w:sz w:val="24"/>
          <w:szCs w:val="24"/>
        </w:rPr>
        <w:t xml:space="preserve">En consecuencia, tomando en consideración que la primera instancia decretó la caducidad en el juicio de nulidad natural, pasando desapercibido lo dispuesto por el artículo 127 Bis, del Código de Procedimientos Civiles del Estado de Oaxaca, de aplicación supletoria a la Ley que rige el </w:t>
      </w:r>
      <w:r>
        <w:rPr>
          <w:rFonts w:ascii="Arial" w:hAnsi="Arial" w:cs="Arial"/>
          <w:sz w:val="24"/>
          <w:szCs w:val="24"/>
        </w:rPr>
        <w:lastRenderedPageBreak/>
        <w:t xml:space="preserve">procedimiento; </w:t>
      </w:r>
      <w:r>
        <w:rPr>
          <w:rFonts w:ascii="Arial" w:eastAsia="Times New Roman" w:hAnsi="Arial" w:cs="Arial"/>
          <w:bCs/>
          <w:color w:val="000000"/>
          <w:sz w:val="26"/>
          <w:szCs w:val="26"/>
          <w:lang w:eastAsia="es-MX"/>
        </w:rPr>
        <w:t>de ahí, lo sustancialmente fundado del agravio expresado por el recurrente.</w:t>
      </w:r>
      <w:r w:rsidR="00460F28">
        <w:rPr>
          <w:rFonts w:ascii="Arial" w:eastAsia="Times New Roman" w:hAnsi="Arial" w:cs="Arial"/>
          <w:bCs/>
          <w:color w:val="000000"/>
          <w:sz w:val="26"/>
          <w:szCs w:val="26"/>
          <w:lang w:eastAsia="es-MX"/>
        </w:rPr>
        <w:t xml:space="preserve"> - - - - - - - - - - - - - - - - - - - - - - - - - - - - - - - </w:t>
      </w:r>
    </w:p>
    <w:p w14:paraId="3BFC509C" w14:textId="5D991DFA" w:rsidR="00E65BA3" w:rsidRPr="00567AD2" w:rsidRDefault="00E65BA3" w:rsidP="00E65BA3">
      <w:pPr>
        <w:spacing w:line="360" w:lineRule="auto"/>
        <w:ind w:right="-93" w:firstLine="349"/>
        <w:jc w:val="both"/>
        <w:rPr>
          <w:rFonts w:ascii="Arial" w:eastAsia="Times New Roman" w:hAnsi="Arial" w:cs="Arial"/>
          <w:bCs/>
          <w:color w:val="000000"/>
          <w:sz w:val="26"/>
          <w:szCs w:val="26"/>
          <w:lang w:eastAsia="es-MX"/>
        </w:rPr>
      </w:pPr>
      <w:r w:rsidRPr="00020BC7">
        <w:rPr>
          <w:rFonts w:ascii="Arial" w:eastAsia="Times New Roman" w:hAnsi="Arial" w:cs="Arial"/>
          <w:bCs/>
          <w:color w:val="000000"/>
          <w:sz w:val="26"/>
          <w:szCs w:val="26"/>
          <w:lang w:eastAsia="es-MX"/>
        </w:rPr>
        <w:t>En tales consideraciones</w:t>
      </w:r>
      <w:r>
        <w:rPr>
          <w:rFonts w:ascii="Arial" w:eastAsia="Times New Roman" w:hAnsi="Arial" w:cs="Arial"/>
          <w:bCs/>
          <w:color w:val="000000"/>
          <w:sz w:val="26"/>
          <w:szCs w:val="26"/>
          <w:lang w:eastAsia="es-MX"/>
        </w:rPr>
        <w:t>,</w:t>
      </w:r>
      <w:r w:rsidRPr="00020BC7">
        <w:rPr>
          <w:rFonts w:ascii="Arial" w:eastAsia="Times New Roman" w:hAnsi="Arial" w:cs="Arial"/>
          <w:bCs/>
          <w:color w:val="000000"/>
          <w:sz w:val="26"/>
          <w:szCs w:val="26"/>
          <w:lang w:eastAsia="es-MX"/>
        </w:rPr>
        <w:t xml:space="preserve"> esta Sala Superior </w:t>
      </w:r>
      <w:r w:rsidR="00CF1122">
        <w:rPr>
          <w:rFonts w:ascii="Arial" w:eastAsia="Times New Roman" w:hAnsi="Arial" w:cs="Arial"/>
          <w:bCs/>
          <w:color w:val="000000"/>
          <w:sz w:val="26"/>
          <w:szCs w:val="26"/>
          <w:lang w:eastAsia="es-MX"/>
        </w:rPr>
        <w:t xml:space="preserve">determina que al haberse </w:t>
      </w:r>
      <w:r w:rsidRPr="00020BC7">
        <w:rPr>
          <w:rFonts w:ascii="Arial" w:eastAsia="Times New Roman" w:hAnsi="Arial" w:cs="Arial"/>
          <w:bCs/>
          <w:color w:val="000000"/>
          <w:sz w:val="26"/>
          <w:szCs w:val="26"/>
          <w:lang w:eastAsia="es-MX"/>
        </w:rPr>
        <w:t>dej</w:t>
      </w:r>
      <w:r w:rsidR="00CF1122">
        <w:rPr>
          <w:rFonts w:ascii="Arial" w:eastAsia="Times New Roman" w:hAnsi="Arial" w:cs="Arial"/>
          <w:bCs/>
          <w:color w:val="000000"/>
          <w:sz w:val="26"/>
          <w:szCs w:val="26"/>
          <w:lang w:eastAsia="es-MX"/>
        </w:rPr>
        <w:t>ado</w:t>
      </w:r>
      <w:r w:rsidRPr="00020BC7">
        <w:rPr>
          <w:rFonts w:ascii="Arial" w:eastAsia="Times New Roman" w:hAnsi="Arial" w:cs="Arial"/>
          <w:bCs/>
          <w:color w:val="000000"/>
          <w:sz w:val="26"/>
          <w:szCs w:val="26"/>
          <w:lang w:eastAsia="es-MX"/>
        </w:rPr>
        <w:t xml:space="preserve"> de analizar el fondo del asunto planteado que como se ha señalado</w:t>
      </w:r>
      <w:r>
        <w:rPr>
          <w:rFonts w:ascii="Arial" w:eastAsia="Times New Roman" w:hAnsi="Arial" w:cs="Arial"/>
          <w:bCs/>
          <w:color w:val="000000"/>
          <w:sz w:val="26"/>
          <w:szCs w:val="26"/>
          <w:lang w:eastAsia="es-MX"/>
        </w:rPr>
        <w:t>,</w:t>
      </w:r>
      <w:r w:rsidRPr="00020BC7">
        <w:rPr>
          <w:rFonts w:ascii="Arial" w:eastAsia="Times New Roman" w:hAnsi="Arial" w:cs="Arial"/>
          <w:bCs/>
          <w:color w:val="000000"/>
          <w:sz w:val="26"/>
          <w:szCs w:val="26"/>
          <w:lang w:eastAsia="es-MX"/>
        </w:rPr>
        <w:t xml:space="preserve"> consiste en la </w:t>
      </w:r>
      <w:r>
        <w:rPr>
          <w:rFonts w:ascii="Arial" w:eastAsia="Times New Roman" w:hAnsi="Arial" w:cs="Arial"/>
          <w:bCs/>
          <w:color w:val="000000"/>
          <w:sz w:val="26"/>
          <w:szCs w:val="26"/>
          <w:lang w:eastAsia="es-MX"/>
        </w:rPr>
        <w:t xml:space="preserve">legalidad o validez </w:t>
      </w:r>
      <w:r w:rsidRPr="00567AD2">
        <w:rPr>
          <w:rFonts w:ascii="Arial" w:hAnsi="Arial" w:cs="Arial"/>
          <w:sz w:val="26"/>
          <w:szCs w:val="26"/>
        </w:rPr>
        <w:t xml:space="preserve">de la resolución administrativa de fecha 26 veintiséis de febrero de 2018 dos mil dieciocho emitida por el </w:t>
      </w:r>
      <w:r w:rsidRPr="00567AD2">
        <w:rPr>
          <w:rFonts w:ascii="Arial" w:hAnsi="Arial" w:cs="Arial"/>
          <w:b/>
          <w:sz w:val="26"/>
          <w:szCs w:val="26"/>
        </w:rPr>
        <w:t xml:space="preserve">DIRECTOR DE RESPONSABILIDADES ADMINISTRATIVAS Y SITUACIÓN PATRIMONIAL asistido por el JEFE DEL DEPARTAMENTO DE PROCEDIMIENTOS ADMINISTRATIVOS “A”, </w:t>
      </w:r>
      <w:r w:rsidRPr="00567AD2">
        <w:rPr>
          <w:rFonts w:ascii="Arial" w:hAnsi="Arial" w:cs="Arial"/>
          <w:sz w:val="26"/>
          <w:szCs w:val="26"/>
        </w:rPr>
        <w:t xml:space="preserve">ambos de la </w:t>
      </w:r>
      <w:r w:rsidRPr="00567AD2">
        <w:rPr>
          <w:rFonts w:ascii="Arial" w:hAnsi="Arial" w:cs="Arial"/>
          <w:b/>
          <w:sz w:val="26"/>
          <w:szCs w:val="26"/>
        </w:rPr>
        <w:t>SUBSECRETARÍA D</w:t>
      </w:r>
      <w:r w:rsidR="000E71DA">
        <w:rPr>
          <w:rFonts w:ascii="Arial" w:hAnsi="Arial" w:cs="Arial"/>
          <w:b/>
          <w:sz w:val="26"/>
          <w:szCs w:val="26"/>
        </w:rPr>
        <w:t>E</w:t>
      </w:r>
      <w:r w:rsidRPr="00567AD2">
        <w:rPr>
          <w:rFonts w:ascii="Arial" w:hAnsi="Arial" w:cs="Arial"/>
          <w:b/>
          <w:sz w:val="26"/>
          <w:szCs w:val="26"/>
        </w:rPr>
        <w:t xml:space="preserve"> RESPONSABILIDADES ADMINISTRATIVAS Y ANTICORRUPCIÓN DE LA SECRETARÍA DE LA CONTRALORÍA Y TRANSPARENCIA GUBERNAMENTAL DEL PODER EJECUTIVO DEL ESTADO DE OAXACA, </w:t>
      </w:r>
      <w:r w:rsidRPr="00567AD2">
        <w:rPr>
          <w:rFonts w:ascii="Arial" w:hAnsi="Arial" w:cs="Arial"/>
          <w:sz w:val="26"/>
          <w:szCs w:val="26"/>
        </w:rPr>
        <w:t>así como la Toma de nota de la sanción impuesta, y el registro de la sanción correspondiente en el libro de sanciones</w:t>
      </w:r>
      <w:r>
        <w:rPr>
          <w:rFonts w:ascii="Arial" w:hAnsi="Arial" w:cs="Arial"/>
          <w:sz w:val="26"/>
          <w:szCs w:val="26"/>
        </w:rPr>
        <w:t>.</w:t>
      </w:r>
      <w:r w:rsidR="00460F28">
        <w:rPr>
          <w:rFonts w:ascii="Arial" w:hAnsi="Arial" w:cs="Arial"/>
          <w:sz w:val="26"/>
          <w:szCs w:val="26"/>
        </w:rPr>
        <w:t xml:space="preserve"> - - - - - - </w:t>
      </w:r>
    </w:p>
    <w:p w14:paraId="59AD3D79" w14:textId="17121557" w:rsidR="00E65BA3" w:rsidRDefault="00E65BA3" w:rsidP="00E65BA3">
      <w:pPr>
        <w:spacing w:line="360" w:lineRule="auto"/>
        <w:ind w:right="-93" w:firstLine="708"/>
        <w:jc w:val="both"/>
        <w:rPr>
          <w:rFonts w:ascii="Arial" w:hAnsi="Arial" w:cs="Arial"/>
          <w:bCs/>
          <w:sz w:val="26"/>
          <w:szCs w:val="26"/>
        </w:rPr>
      </w:pPr>
      <w:r>
        <w:rPr>
          <w:rFonts w:ascii="Arial" w:eastAsia="Times New Roman" w:hAnsi="Arial" w:cs="Arial"/>
          <w:bCs/>
          <w:color w:val="000000"/>
          <w:sz w:val="26"/>
          <w:szCs w:val="26"/>
          <w:lang w:eastAsia="es-MX"/>
        </w:rPr>
        <w:t xml:space="preserve">Por tanto, en consideración a lo dispuesto en los artículos 1, párrafos primero, segundo y tercero, 17, párrafo segundo, de la Constitución Política de los Estado Unidos Mexicanos, con el objeto de garantizar la tutela judicial efectiva a que tienen derecho las partes en el juicio, y </w:t>
      </w:r>
      <w:r>
        <w:rPr>
          <w:rFonts w:ascii="Arial" w:hAnsi="Arial" w:cs="Arial"/>
          <w:color w:val="000000"/>
          <w:sz w:val="26"/>
          <w:szCs w:val="26"/>
        </w:rPr>
        <w:t xml:space="preserve">ante lo </w:t>
      </w:r>
      <w:r w:rsidRPr="000A29E7">
        <w:rPr>
          <w:rFonts w:ascii="Arial" w:hAnsi="Arial" w:cs="Arial"/>
          <w:b/>
          <w:color w:val="000000"/>
          <w:sz w:val="26"/>
          <w:szCs w:val="26"/>
        </w:rPr>
        <w:t>SUSTANCIALMENTE</w:t>
      </w:r>
      <w:r>
        <w:rPr>
          <w:rFonts w:ascii="Arial" w:hAnsi="Arial" w:cs="Arial"/>
          <w:color w:val="000000"/>
          <w:sz w:val="26"/>
          <w:szCs w:val="26"/>
        </w:rPr>
        <w:t xml:space="preserve"> </w:t>
      </w:r>
      <w:r>
        <w:rPr>
          <w:rFonts w:ascii="Arial" w:hAnsi="Arial" w:cs="Arial"/>
          <w:b/>
          <w:color w:val="000000"/>
          <w:sz w:val="26"/>
          <w:szCs w:val="26"/>
        </w:rPr>
        <w:t xml:space="preserve">FUNDADO </w:t>
      </w:r>
      <w:r>
        <w:rPr>
          <w:rFonts w:ascii="Arial" w:hAnsi="Arial" w:cs="Arial"/>
          <w:color w:val="000000"/>
          <w:sz w:val="26"/>
          <w:szCs w:val="26"/>
        </w:rPr>
        <w:t xml:space="preserve">del agravio expresado </w:t>
      </w:r>
      <w:r w:rsidRPr="00D65424">
        <w:rPr>
          <w:rFonts w:ascii="Arial" w:hAnsi="Arial" w:cs="Arial"/>
          <w:sz w:val="26"/>
          <w:szCs w:val="26"/>
        </w:rPr>
        <w:t>por</w:t>
      </w:r>
      <w:r>
        <w:rPr>
          <w:rFonts w:ascii="Arial" w:hAnsi="Arial" w:cs="Arial"/>
          <w:b/>
          <w:sz w:val="26"/>
          <w:szCs w:val="26"/>
          <w:lang w:val="es-MX"/>
        </w:rPr>
        <w:t xml:space="preserve"> </w:t>
      </w:r>
      <w:r w:rsidR="00FF195B">
        <w:rPr>
          <w:rFonts w:ascii="Arial" w:hAnsi="Arial" w:cs="Arial"/>
          <w:b/>
          <w:sz w:val="26"/>
          <w:szCs w:val="26"/>
        </w:rPr>
        <w:t>***********</w:t>
      </w:r>
      <w:r>
        <w:rPr>
          <w:rFonts w:ascii="Arial" w:hAnsi="Arial" w:cs="Arial"/>
          <w:b/>
          <w:sz w:val="26"/>
          <w:szCs w:val="26"/>
          <w:lang w:val="es-MX"/>
        </w:rPr>
        <w:t>, DIRECTOR JURÍDICO DE LA SECRETARÍA DE LA CONTRALORÍA Y TRANSPARENCIA GUBERNAMENTAL</w:t>
      </w:r>
      <w:r w:rsidRPr="00D65424">
        <w:rPr>
          <w:rFonts w:ascii="Arial" w:hAnsi="Arial" w:cs="Arial"/>
          <w:sz w:val="26"/>
          <w:szCs w:val="26"/>
          <w:lang w:val="es-MX"/>
        </w:rPr>
        <w:t>,</w:t>
      </w:r>
      <w:r w:rsidRPr="00D65424">
        <w:rPr>
          <w:rFonts w:ascii="Arial" w:hAnsi="Arial" w:cs="Arial"/>
          <w:sz w:val="26"/>
          <w:szCs w:val="26"/>
        </w:rPr>
        <w:t xml:space="preserve"> </w:t>
      </w:r>
      <w:r w:rsidRPr="00D65424">
        <w:rPr>
          <w:rFonts w:ascii="Arial" w:hAnsi="Arial" w:cs="Arial"/>
          <w:bCs/>
          <w:sz w:val="26"/>
          <w:szCs w:val="26"/>
        </w:rPr>
        <w:t xml:space="preserve">lo procedente es </w:t>
      </w:r>
      <w:r>
        <w:rPr>
          <w:rFonts w:ascii="Arial" w:hAnsi="Arial" w:cs="Arial"/>
          <w:b/>
          <w:bCs/>
          <w:sz w:val="26"/>
          <w:szCs w:val="26"/>
        </w:rPr>
        <w:t xml:space="preserve">REVOCAR </w:t>
      </w:r>
      <w:r w:rsidRPr="00D65424">
        <w:rPr>
          <w:rFonts w:ascii="Arial" w:hAnsi="Arial" w:cs="Arial"/>
          <w:bCs/>
          <w:sz w:val="26"/>
          <w:szCs w:val="26"/>
        </w:rPr>
        <w:t>l</w:t>
      </w:r>
      <w:r>
        <w:rPr>
          <w:rFonts w:ascii="Arial" w:hAnsi="Arial" w:cs="Arial"/>
          <w:bCs/>
          <w:sz w:val="26"/>
          <w:szCs w:val="26"/>
        </w:rPr>
        <w:t>a</w:t>
      </w:r>
      <w:r w:rsidRPr="00D65424">
        <w:rPr>
          <w:rFonts w:ascii="Arial" w:hAnsi="Arial" w:cs="Arial"/>
          <w:bCs/>
          <w:sz w:val="26"/>
          <w:szCs w:val="26"/>
        </w:rPr>
        <w:t xml:space="preserve"> </w:t>
      </w:r>
      <w:r>
        <w:rPr>
          <w:rFonts w:ascii="Arial" w:hAnsi="Arial" w:cs="Arial"/>
          <w:bCs/>
          <w:sz w:val="26"/>
          <w:szCs w:val="26"/>
        </w:rPr>
        <w:t>resolución</w:t>
      </w:r>
      <w:r w:rsidRPr="00D65424">
        <w:rPr>
          <w:rFonts w:ascii="Arial" w:hAnsi="Arial" w:cs="Arial"/>
          <w:bCs/>
          <w:sz w:val="26"/>
          <w:szCs w:val="26"/>
        </w:rPr>
        <w:t xml:space="preserve"> </w:t>
      </w:r>
      <w:r>
        <w:rPr>
          <w:rFonts w:ascii="Arial" w:hAnsi="Arial" w:cs="Arial"/>
          <w:bCs/>
          <w:sz w:val="26"/>
          <w:szCs w:val="26"/>
        </w:rPr>
        <w:t xml:space="preserve">combatida, debiendo remitir los autos a la sala de origen, para el efecto de que la Magistrada de la Sala de Primera Instancia agote su jurisdicción, sin que ello implique reenvío, a fin de resolver el fondo del asunto respecto de la </w:t>
      </w:r>
      <w:r>
        <w:rPr>
          <w:rFonts w:ascii="Arial" w:eastAsia="Times New Roman" w:hAnsi="Arial" w:cs="Arial"/>
          <w:bCs/>
          <w:color w:val="000000"/>
          <w:sz w:val="26"/>
          <w:szCs w:val="26"/>
          <w:lang w:eastAsia="es-MX"/>
        </w:rPr>
        <w:t xml:space="preserve">legalidad o validez </w:t>
      </w:r>
      <w:r w:rsidRPr="00567AD2">
        <w:rPr>
          <w:rFonts w:ascii="Arial" w:hAnsi="Arial" w:cs="Arial"/>
          <w:sz w:val="26"/>
          <w:szCs w:val="26"/>
        </w:rPr>
        <w:t>de la resolución administrativa de fecha 26 veintiséis de febrero de 2018 dos mil dieciocho</w:t>
      </w:r>
      <w:r>
        <w:rPr>
          <w:rFonts w:ascii="Arial" w:hAnsi="Arial" w:cs="Arial"/>
          <w:bCs/>
          <w:sz w:val="26"/>
          <w:szCs w:val="26"/>
        </w:rPr>
        <w:t>, emitida por la autoridad demandada, virtud a que este órgano revisor no tiene facultades para pronunciarse respecto de un asunto donde la juzgadora no agotó la obligación que le impone la ley para resolver a cerca de todas las cuestiones sometidas a su consideración.</w:t>
      </w:r>
      <w:r w:rsidR="00460F28">
        <w:rPr>
          <w:rFonts w:ascii="Arial" w:hAnsi="Arial" w:cs="Arial"/>
          <w:bCs/>
          <w:sz w:val="26"/>
          <w:szCs w:val="26"/>
        </w:rPr>
        <w:t xml:space="preserve"> </w:t>
      </w:r>
    </w:p>
    <w:p w14:paraId="661C2BC3" w14:textId="30CB24D8" w:rsidR="00E65BA3" w:rsidRDefault="00E65BA3" w:rsidP="00E65BA3">
      <w:pPr>
        <w:spacing w:line="360" w:lineRule="auto"/>
        <w:ind w:firstLine="708"/>
        <w:jc w:val="both"/>
        <w:rPr>
          <w:rFonts w:ascii="Arial" w:hAnsi="Arial" w:cs="Arial"/>
          <w:bCs/>
          <w:sz w:val="26"/>
          <w:szCs w:val="26"/>
        </w:rPr>
      </w:pPr>
      <w:r>
        <w:rPr>
          <w:rFonts w:ascii="Arial" w:hAnsi="Arial" w:cs="Arial"/>
          <w:bCs/>
          <w:sz w:val="26"/>
          <w:szCs w:val="26"/>
        </w:rPr>
        <w:t>Tiene aplicación al presente asunto la tesis aislada, sostenida por los Tribunales Colegiados de Circuito, octava época, con número de registro 223025, del Semanario Judicial de la federación, Tomo VII, mayo 1991, de rubro y texto siguientes:</w:t>
      </w:r>
      <w:r w:rsidR="00460F28">
        <w:rPr>
          <w:rFonts w:ascii="Arial" w:hAnsi="Arial" w:cs="Arial"/>
          <w:bCs/>
          <w:sz w:val="26"/>
          <w:szCs w:val="26"/>
        </w:rPr>
        <w:t xml:space="preserve"> - - - - - - - - - - - - - - - - - - - - - - - </w:t>
      </w:r>
    </w:p>
    <w:p w14:paraId="61C7CBC1" w14:textId="39076DED" w:rsidR="00E65BA3" w:rsidRPr="00865E01" w:rsidRDefault="00E65BA3" w:rsidP="00E65BA3">
      <w:pPr>
        <w:spacing w:after="0" w:line="240" w:lineRule="auto"/>
        <w:ind w:left="709" w:right="616"/>
        <w:jc w:val="both"/>
        <w:rPr>
          <w:rFonts w:eastAsia="Times New Roman" w:cstheme="minorHAnsi"/>
          <w:i/>
          <w:color w:val="000000"/>
          <w:lang w:val="es-MX" w:eastAsia="es-MX"/>
        </w:rPr>
      </w:pPr>
      <w:r w:rsidRPr="00150CE1">
        <w:rPr>
          <w:rFonts w:eastAsia="Times New Roman" w:cstheme="minorHAnsi"/>
          <w:b/>
          <w:bCs/>
          <w:i/>
          <w:color w:val="000000"/>
          <w:lang w:val="es-MX" w:eastAsia="es-MX"/>
        </w:rPr>
        <w:t>REENVÍO</w:t>
      </w:r>
      <w:r w:rsidRPr="00865E01">
        <w:rPr>
          <w:rFonts w:eastAsia="Times New Roman" w:cstheme="minorHAnsi"/>
          <w:b/>
          <w:bCs/>
          <w:i/>
          <w:color w:val="000000"/>
          <w:lang w:val="es-MX" w:eastAsia="es-MX"/>
        </w:rPr>
        <w:t>. EL TRIBUNAL DE ALZADA NO TIENE FACULTADES PARA FALLAR UN ASUNTO EN QUE EL JUEZ NATURAL AUN NO HA PRONUNCIADO SENTENCIA.</w:t>
      </w:r>
      <w:r>
        <w:rPr>
          <w:rFonts w:eastAsia="Times New Roman" w:cstheme="minorHAnsi"/>
          <w:b/>
          <w:bCs/>
          <w:i/>
          <w:color w:val="000000"/>
          <w:lang w:val="es-MX" w:eastAsia="es-MX"/>
        </w:rPr>
        <w:t xml:space="preserve"> </w:t>
      </w:r>
      <w:r w:rsidRPr="00865E01">
        <w:rPr>
          <w:rFonts w:eastAsia="Times New Roman" w:cstheme="minorHAnsi"/>
          <w:i/>
          <w:color w:val="000000"/>
          <w:lang w:val="es-MX" w:eastAsia="es-MX"/>
        </w:rPr>
        <w:t xml:space="preserve">Cuando en la legislación respectiva no se establezca la existencia </w:t>
      </w:r>
      <w:r w:rsidRPr="00865E01">
        <w:rPr>
          <w:rFonts w:eastAsia="Times New Roman" w:cstheme="minorHAnsi"/>
          <w:i/>
          <w:color w:val="000000"/>
          <w:lang w:val="es-MX" w:eastAsia="es-MX"/>
        </w:rPr>
        <w:lastRenderedPageBreak/>
        <w:t>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r w:rsidRPr="00150CE1">
        <w:rPr>
          <w:rFonts w:eastAsia="Times New Roman" w:cstheme="minorHAnsi"/>
          <w:i/>
          <w:color w:val="000000"/>
          <w:lang w:val="es-MX" w:eastAsia="es-MX"/>
        </w:rPr>
        <w:t>.</w:t>
      </w:r>
      <w:r w:rsidR="00460F28">
        <w:rPr>
          <w:rFonts w:eastAsia="Times New Roman" w:cstheme="minorHAnsi"/>
          <w:i/>
          <w:color w:val="000000"/>
          <w:lang w:val="es-MX" w:eastAsia="es-MX"/>
        </w:rPr>
        <w:t xml:space="preserve"> - - - - - - - - - - - - - - - - - - - - - - - - - - - - - - - - - - - - - - - - - - - - - - - - - - - - </w:t>
      </w:r>
    </w:p>
    <w:p w14:paraId="48E084E1" w14:textId="77777777" w:rsidR="00E65BA3" w:rsidRDefault="00E65BA3" w:rsidP="00E65BA3">
      <w:pPr>
        <w:spacing w:line="360" w:lineRule="auto"/>
        <w:ind w:firstLine="708"/>
        <w:jc w:val="both"/>
        <w:rPr>
          <w:rFonts w:ascii="Arial" w:hAnsi="Arial" w:cs="Arial"/>
          <w:color w:val="000000"/>
          <w:sz w:val="26"/>
          <w:szCs w:val="26"/>
          <w:lang w:val="es-MX"/>
        </w:rPr>
      </w:pPr>
    </w:p>
    <w:p w14:paraId="68567671" w14:textId="4BFEB9AF" w:rsidR="00E65BA3" w:rsidRDefault="00E65BA3" w:rsidP="00E65BA3">
      <w:pPr>
        <w:spacing w:line="360" w:lineRule="auto"/>
        <w:ind w:firstLine="708"/>
        <w:jc w:val="both"/>
        <w:rPr>
          <w:rFonts w:ascii="Arial" w:hAnsi="Arial" w:cs="Arial"/>
          <w:sz w:val="26"/>
          <w:szCs w:val="26"/>
        </w:rPr>
      </w:pPr>
      <w:r>
        <w:rPr>
          <w:rFonts w:ascii="Arial" w:hAnsi="Arial" w:cs="Arial"/>
          <w:color w:val="000000"/>
          <w:sz w:val="26"/>
          <w:szCs w:val="26"/>
          <w:lang w:val="es-MX"/>
        </w:rPr>
        <w:t>Por último, a</w:t>
      </w:r>
      <w:r w:rsidRPr="00DC0DEF">
        <w:rPr>
          <w:rFonts w:ascii="Arial" w:hAnsi="Arial" w:cs="Arial"/>
          <w:sz w:val="26"/>
          <w:szCs w:val="26"/>
        </w:rPr>
        <w:t>l haber resultado suficiente el est</w:t>
      </w:r>
      <w:r>
        <w:rPr>
          <w:rFonts w:ascii="Arial" w:hAnsi="Arial" w:cs="Arial"/>
          <w:sz w:val="26"/>
          <w:szCs w:val="26"/>
        </w:rPr>
        <w:t xml:space="preserve">udio del motivo de impugnación </w:t>
      </w:r>
      <w:r w:rsidRPr="00DC0DEF">
        <w:rPr>
          <w:rFonts w:ascii="Arial" w:hAnsi="Arial" w:cs="Arial"/>
          <w:sz w:val="26"/>
          <w:szCs w:val="26"/>
        </w:rPr>
        <w:t xml:space="preserve">por haber logrado evidenciar la ilegalidad en la </w:t>
      </w:r>
      <w:r>
        <w:rPr>
          <w:rFonts w:ascii="Arial" w:hAnsi="Arial" w:cs="Arial"/>
          <w:sz w:val="26"/>
          <w:szCs w:val="26"/>
        </w:rPr>
        <w:t>resolución impugnada</w:t>
      </w:r>
      <w:r w:rsidRPr="00DC0DEF">
        <w:rPr>
          <w:rFonts w:ascii="Arial" w:hAnsi="Arial" w:cs="Arial"/>
          <w:sz w:val="26"/>
          <w:szCs w:val="26"/>
        </w:rPr>
        <w:t xml:space="preserve">, resulta innecesario el análisis de los restantes </w:t>
      </w:r>
      <w:r>
        <w:rPr>
          <w:rFonts w:ascii="Arial" w:hAnsi="Arial" w:cs="Arial"/>
          <w:sz w:val="26"/>
          <w:szCs w:val="26"/>
        </w:rPr>
        <w:t>agravios,</w:t>
      </w:r>
      <w:r w:rsidRPr="00DC0DEF">
        <w:rPr>
          <w:rFonts w:ascii="Arial" w:hAnsi="Arial" w:cs="Arial"/>
          <w:sz w:val="26"/>
          <w:szCs w:val="26"/>
        </w:rPr>
        <w:t xml:space="preserve"> pues en nada mejoraría la determinación emitida, al haberse </w:t>
      </w:r>
      <w:r>
        <w:rPr>
          <w:rFonts w:ascii="Arial" w:hAnsi="Arial" w:cs="Arial"/>
          <w:sz w:val="26"/>
          <w:szCs w:val="26"/>
        </w:rPr>
        <w:t>declarado que no es procedente declarar la caducidad y remitir los autos a la sala de origen.</w:t>
      </w:r>
      <w:r w:rsidR="00460F28">
        <w:rPr>
          <w:rFonts w:ascii="Arial" w:hAnsi="Arial" w:cs="Arial"/>
          <w:sz w:val="26"/>
          <w:szCs w:val="26"/>
        </w:rPr>
        <w:t xml:space="preserve">  - - - - - - - - - - - - - - - - - - - - - - - - - - - - - - - - - - - - - - - - - - - -</w:t>
      </w:r>
    </w:p>
    <w:p w14:paraId="580AAA8F" w14:textId="382FADC2" w:rsidR="00E65BA3" w:rsidRDefault="00E65BA3" w:rsidP="00E65BA3">
      <w:pPr>
        <w:spacing w:after="0" w:line="360" w:lineRule="auto"/>
        <w:ind w:firstLine="708"/>
        <w:jc w:val="both"/>
        <w:rPr>
          <w:rFonts w:ascii="Arial" w:hAnsi="Arial" w:cs="Arial"/>
          <w:sz w:val="26"/>
          <w:szCs w:val="26"/>
        </w:rPr>
      </w:pPr>
      <w:r w:rsidRPr="00DC0DEF">
        <w:rPr>
          <w:rFonts w:ascii="Arial" w:hAnsi="Arial" w:cs="Arial"/>
          <w:sz w:val="26"/>
          <w:szCs w:val="26"/>
        </w:rPr>
        <w:t>Esta consideración 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r w:rsidR="00460F28">
        <w:rPr>
          <w:rFonts w:ascii="Arial" w:hAnsi="Arial" w:cs="Arial"/>
          <w:sz w:val="26"/>
          <w:szCs w:val="26"/>
        </w:rPr>
        <w:t xml:space="preserve"> - - - - - - - - - - - - - - - - - - - - - - - - - - - - - - - - - - - </w:t>
      </w:r>
    </w:p>
    <w:p w14:paraId="2C3E242A" w14:textId="77777777" w:rsidR="00E65BA3" w:rsidRPr="00F51878" w:rsidRDefault="00E65BA3" w:rsidP="00E65BA3">
      <w:pPr>
        <w:spacing w:after="0" w:line="360" w:lineRule="auto"/>
        <w:ind w:firstLine="708"/>
        <w:jc w:val="both"/>
        <w:rPr>
          <w:rFonts w:ascii="Arial" w:hAnsi="Arial" w:cs="Arial"/>
          <w:sz w:val="24"/>
          <w:szCs w:val="24"/>
        </w:rPr>
      </w:pPr>
    </w:p>
    <w:p w14:paraId="66FE2E88" w14:textId="77777777" w:rsidR="00E65BA3" w:rsidRPr="00A17E4C" w:rsidRDefault="00E65BA3" w:rsidP="00E65BA3">
      <w:pPr>
        <w:spacing w:after="0" w:line="240" w:lineRule="auto"/>
        <w:ind w:left="851" w:right="616"/>
        <w:jc w:val="both"/>
        <w:rPr>
          <w:rFonts w:cstheme="minorHAnsi"/>
          <w:i/>
        </w:rPr>
      </w:pPr>
      <w:r w:rsidRPr="00A17E4C">
        <w:rPr>
          <w:rFonts w:cstheme="minorHAnsi"/>
          <w:b/>
          <w:i/>
        </w:rPr>
        <w:t>“CONCEPTOS DE ANULACIÓN. LA EXIGENCIA DE EXAMINARLOS EXHAUSTIVAMENTE DEBE PONDERARSE A LA LUZ DE CADA CONTROVERSIA EN PARTICULAR</w:t>
      </w:r>
      <w:r w:rsidRPr="00A17E4C">
        <w:rPr>
          <w:rFonts w:cstheme="minorHAnsi"/>
          <w:i/>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404BF7FD" w14:textId="77777777" w:rsidR="00E65BA3" w:rsidRDefault="00E65BA3" w:rsidP="00E65BA3">
      <w:pPr>
        <w:spacing w:after="0" w:line="360" w:lineRule="auto"/>
        <w:ind w:firstLine="708"/>
        <w:jc w:val="both"/>
        <w:rPr>
          <w:rFonts w:ascii="Arial" w:hAnsi="Arial" w:cs="Arial"/>
          <w:sz w:val="26"/>
          <w:szCs w:val="26"/>
        </w:rPr>
      </w:pPr>
    </w:p>
    <w:p w14:paraId="3D7583EB" w14:textId="197F922C" w:rsidR="00E65BA3" w:rsidRPr="001172EA" w:rsidRDefault="00E65BA3" w:rsidP="00E65BA3">
      <w:pPr>
        <w:spacing w:line="360" w:lineRule="auto"/>
        <w:ind w:firstLine="708"/>
        <w:jc w:val="both"/>
        <w:rPr>
          <w:rFonts w:ascii="Arial" w:hAnsi="Arial" w:cs="Arial"/>
          <w:sz w:val="26"/>
          <w:szCs w:val="26"/>
          <w:lang w:val="es-MX"/>
        </w:rPr>
      </w:pPr>
      <w:r w:rsidRPr="00D65424">
        <w:rPr>
          <w:rFonts w:ascii="Arial" w:hAnsi="Arial" w:cs="Arial"/>
          <w:sz w:val="26"/>
          <w:szCs w:val="26"/>
        </w:rPr>
        <w:t>En mérito de lo anterior, co</w:t>
      </w:r>
      <w:r>
        <w:rPr>
          <w:rFonts w:ascii="Arial" w:hAnsi="Arial" w:cs="Arial"/>
          <w:sz w:val="26"/>
          <w:szCs w:val="26"/>
        </w:rPr>
        <w:t>n fundamento en los artículos 237 y 23</w:t>
      </w:r>
      <w:r w:rsidRPr="00D65424">
        <w:rPr>
          <w:rFonts w:ascii="Arial" w:hAnsi="Arial" w:cs="Arial"/>
          <w:sz w:val="26"/>
          <w:szCs w:val="26"/>
        </w:rPr>
        <w:t xml:space="preserve">8 de la </w:t>
      </w:r>
      <w:r w:rsidRPr="006E349D">
        <w:rPr>
          <w:rFonts w:ascii="Arial" w:hAnsi="Arial" w:cs="Arial"/>
          <w:sz w:val="26"/>
          <w:szCs w:val="26"/>
          <w:lang w:val="es-MX"/>
        </w:rPr>
        <w:t xml:space="preserve">Ley de </w:t>
      </w:r>
      <w:r>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w:t>
      </w:r>
      <w:r w:rsidRPr="00D65424">
        <w:rPr>
          <w:rFonts w:ascii="Arial" w:hAnsi="Arial" w:cs="Arial"/>
          <w:sz w:val="26"/>
          <w:szCs w:val="26"/>
        </w:rPr>
        <w:t>, se</w:t>
      </w:r>
      <w:r w:rsidRPr="00D65424">
        <w:rPr>
          <w:rFonts w:ascii="Arial" w:hAnsi="Arial" w:cs="Arial"/>
          <w:sz w:val="26"/>
          <w:szCs w:val="26"/>
          <w:lang w:val="es-MX"/>
        </w:rPr>
        <w:t>:</w:t>
      </w:r>
      <w:r w:rsidR="00460F28">
        <w:rPr>
          <w:rFonts w:ascii="Arial" w:hAnsi="Arial" w:cs="Arial"/>
          <w:sz w:val="26"/>
          <w:szCs w:val="26"/>
          <w:lang w:val="es-MX"/>
        </w:rPr>
        <w:t xml:space="preserve"> - - - - - - - - - - - - - - - - - - - - - - - - - - - - - - - - - - - - - - - - - </w:t>
      </w:r>
    </w:p>
    <w:p w14:paraId="6052B47F" w14:textId="77777777" w:rsidR="00E65BA3" w:rsidRPr="00D65424" w:rsidRDefault="00E65BA3" w:rsidP="00E65BA3">
      <w:pPr>
        <w:tabs>
          <w:tab w:val="left" w:pos="1134"/>
        </w:tabs>
        <w:spacing w:before="240" w:line="360" w:lineRule="auto"/>
        <w:jc w:val="center"/>
        <w:rPr>
          <w:rFonts w:ascii="Arial" w:hAnsi="Arial" w:cs="Arial"/>
          <w:b/>
          <w:sz w:val="26"/>
          <w:szCs w:val="26"/>
        </w:rPr>
      </w:pPr>
      <w:r w:rsidRPr="00D65424">
        <w:rPr>
          <w:rFonts w:ascii="Arial" w:hAnsi="Arial" w:cs="Arial"/>
          <w:b/>
          <w:sz w:val="26"/>
          <w:szCs w:val="26"/>
        </w:rPr>
        <w:t>R E S U E L V E</w:t>
      </w:r>
    </w:p>
    <w:p w14:paraId="5FE35C14" w14:textId="77777777" w:rsidR="006547D4" w:rsidRPr="00D65424" w:rsidRDefault="00E65BA3" w:rsidP="00E65BA3">
      <w:pPr>
        <w:spacing w:after="0" w:line="360" w:lineRule="auto"/>
        <w:ind w:firstLine="708"/>
        <w:jc w:val="both"/>
        <w:rPr>
          <w:rFonts w:ascii="Arial" w:hAnsi="Arial" w:cs="Arial"/>
          <w:sz w:val="26"/>
          <w:szCs w:val="26"/>
          <w:lang w:val="es-MX"/>
        </w:rPr>
      </w:pPr>
      <w:r w:rsidRPr="00D65424">
        <w:rPr>
          <w:rFonts w:ascii="Arial" w:hAnsi="Arial" w:cs="Arial"/>
          <w:b/>
          <w:sz w:val="26"/>
          <w:szCs w:val="26"/>
        </w:rPr>
        <w:t>PRIMERO</w:t>
      </w:r>
      <w:r w:rsidRPr="00D65424">
        <w:rPr>
          <w:rFonts w:ascii="Arial" w:hAnsi="Arial" w:cs="Arial"/>
          <w:sz w:val="26"/>
          <w:szCs w:val="26"/>
          <w:lang w:val="es-MX"/>
        </w:rPr>
        <w:t xml:space="preserve">. </w:t>
      </w:r>
      <w:r w:rsidRPr="00D65424">
        <w:rPr>
          <w:rFonts w:ascii="Arial" w:hAnsi="Arial" w:cs="Arial"/>
          <w:color w:val="000000"/>
          <w:sz w:val="26"/>
          <w:szCs w:val="26"/>
          <w:lang w:val="es-MX"/>
        </w:rPr>
        <w:t xml:space="preserve">Se </w:t>
      </w:r>
      <w:r>
        <w:rPr>
          <w:rFonts w:ascii="Arial" w:hAnsi="Arial" w:cs="Arial"/>
          <w:b/>
          <w:color w:val="000000"/>
          <w:sz w:val="26"/>
          <w:szCs w:val="26"/>
          <w:lang w:val="es-MX"/>
        </w:rPr>
        <w:t>REVO</w:t>
      </w:r>
      <w:r>
        <w:rPr>
          <w:rFonts w:ascii="Arial" w:hAnsi="Arial" w:cs="Arial"/>
          <w:b/>
          <w:sz w:val="26"/>
          <w:szCs w:val="26"/>
          <w:lang w:val="es-MX"/>
        </w:rPr>
        <w:t>CA</w:t>
      </w:r>
      <w:r w:rsidRPr="00D65424">
        <w:rPr>
          <w:rFonts w:ascii="Arial" w:hAnsi="Arial" w:cs="Arial"/>
          <w:b/>
          <w:sz w:val="26"/>
          <w:szCs w:val="26"/>
          <w:lang w:val="es-MX"/>
        </w:rPr>
        <w:t xml:space="preserve"> </w:t>
      </w:r>
      <w:r>
        <w:rPr>
          <w:rFonts w:ascii="Arial" w:hAnsi="Arial" w:cs="Arial"/>
          <w:sz w:val="26"/>
          <w:szCs w:val="26"/>
          <w:lang w:val="es-MX"/>
        </w:rPr>
        <w:t xml:space="preserve">la resolución de veintitrés de agosto de </w:t>
      </w:r>
      <w:r w:rsidRPr="00D65424">
        <w:rPr>
          <w:rFonts w:ascii="Arial" w:hAnsi="Arial" w:cs="Arial"/>
          <w:sz w:val="26"/>
          <w:szCs w:val="26"/>
          <w:lang w:val="es-MX"/>
        </w:rPr>
        <w:t>dos mil dieci</w:t>
      </w:r>
      <w:r>
        <w:rPr>
          <w:rFonts w:ascii="Arial" w:hAnsi="Arial" w:cs="Arial"/>
          <w:sz w:val="26"/>
          <w:szCs w:val="26"/>
          <w:lang w:val="es-MX"/>
        </w:rPr>
        <w:t>nueve</w:t>
      </w:r>
      <w:r w:rsidRPr="00D65424">
        <w:rPr>
          <w:rFonts w:ascii="Arial" w:hAnsi="Arial" w:cs="Arial"/>
          <w:color w:val="000000"/>
          <w:sz w:val="26"/>
          <w:szCs w:val="26"/>
          <w:lang w:val="es-MX"/>
        </w:rPr>
        <w:t>, por las razones expuestas e</w:t>
      </w:r>
      <w:r>
        <w:rPr>
          <w:rFonts w:ascii="Arial" w:hAnsi="Arial" w:cs="Arial"/>
          <w:color w:val="000000"/>
          <w:sz w:val="26"/>
          <w:szCs w:val="26"/>
          <w:lang w:val="es-MX"/>
        </w:rPr>
        <w:t>n el considerando que antecede.- - - - - - - - - - - - - - - - - - - - - - - - - - - - - - - - - - - - - - - - - - - -</w:t>
      </w:r>
    </w:p>
    <w:p w14:paraId="30505358" w14:textId="77777777" w:rsidR="001E4BDD" w:rsidRPr="00C90E22" w:rsidRDefault="00150A73" w:rsidP="00C90E22">
      <w:pPr>
        <w:pStyle w:val="Sinespaciado"/>
        <w:spacing w:before="240" w:after="240" w:line="360" w:lineRule="auto"/>
        <w:ind w:firstLine="708"/>
        <w:jc w:val="both"/>
        <w:rPr>
          <w:rFonts w:ascii="Arial" w:hAnsi="Arial" w:cs="Arial"/>
          <w:b/>
          <w:sz w:val="26"/>
          <w:szCs w:val="26"/>
          <w:lang w:val="es-MX"/>
        </w:rPr>
      </w:pPr>
      <w:r>
        <w:rPr>
          <w:rFonts w:ascii="Arial" w:hAnsi="Arial" w:cs="Arial"/>
          <w:b/>
          <w:bCs/>
          <w:sz w:val="26"/>
          <w:szCs w:val="26"/>
        </w:rPr>
        <w:t>SEGUNDO.-</w:t>
      </w:r>
      <w:r w:rsidR="006547D4">
        <w:rPr>
          <w:rFonts w:ascii="Arial" w:hAnsi="Arial" w:cs="Arial"/>
          <w:b/>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w:t>
      </w:r>
      <w:r>
        <w:rPr>
          <w:rFonts w:ascii="Arial" w:hAnsi="Arial" w:cs="Arial"/>
          <w:sz w:val="26"/>
          <w:szCs w:val="26"/>
          <w:lang w:val="es-MX"/>
        </w:rPr>
        <w:lastRenderedPageBreak/>
        <w:t xml:space="preserve">efectos legales a que haya lugar, y </w:t>
      </w:r>
      <w:r w:rsidRPr="006E349D">
        <w:rPr>
          <w:rFonts w:ascii="Arial" w:hAnsi="Arial" w:cs="Arial"/>
          <w:sz w:val="26"/>
          <w:szCs w:val="26"/>
          <w:lang w:val="es-MX"/>
        </w:rPr>
        <w:t xml:space="preserve">en su oportunidad archívese el presente cuaderno de </w:t>
      </w:r>
      <w:r w:rsidR="001E4BDD">
        <w:rPr>
          <w:rFonts w:ascii="Arial" w:hAnsi="Arial" w:cs="Arial"/>
          <w:sz w:val="26"/>
          <w:szCs w:val="26"/>
          <w:lang w:val="es-MX"/>
        </w:rPr>
        <w:t>revisión como asunto concluido.</w:t>
      </w:r>
      <w:r w:rsidR="00CD3F1B">
        <w:rPr>
          <w:rFonts w:ascii="Arial" w:hAnsi="Arial" w:cs="Arial"/>
          <w:sz w:val="26"/>
          <w:szCs w:val="26"/>
          <w:lang w:val="es-MX"/>
        </w:rPr>
        <w:t>- - - - - - - - - - - -</w:t>
      </w:r>
      <w:r w:rsidR="009A49F9">
        <w:rPr>
          <w:rFonts w:ascii="Arial" w:hAnsi="Arial" w:cs="Arial"/>
          <w:sz w:val="26"/>
          <w:szCs w:val="26"/>
          <w:lang w:val="es-MX"/>
        </w:rPr>
        <w:t xml:space="preserve">- </w:t>
      </w:r>
    </w:p>
    <w:p w14:paraId="538A447F" w14:textId="77777777" w:rsidR="00460F28" w:rsidRDefault="00460F28" w:rsidP="00CF0BF5">
      <w:pPr>
        <w:spacing w:line="360" w:lineRule="auto"/>
        <w:ind w:firstLine="708"/>
        <w:jc w:val="both"/>
        <w:rPr>
          <w:rFonts w:ascii="Arial" w:hAnsi="Arial" w:cs="Arial"/>
          <w:sz w:val="26"/>
          <w:szCs w:val="26"/>
        </w:rPr>
      </w:pPr>
    </w:p>
    <w:p w14:paraId="448476D4" w14:textId="7172934F" w:rsidR="00CF0BF5" w:rsidRDefault="00CF0BF5" w:rsidP="00CF0BF5">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w:t>
      </w:r>
    </w:p>
    <w:p w14:paraId="28CF6960" w14:textId="77777777" w:rsidR="00CF0BF5" w:rsidRDefault="00CF0BF5" w:rsidP="00CF0BF5">
      <w:pPr>
        <w:spacing w:line="360" w:lineRule="auto"/>
        <w:ind w:firstLine="708"/>
        <w:jc w:val="both"/>
        <w:rPr>
          <w:rFonts w:ascii="Arial" w:hAnsi="Arial" w:cs="Arial"/>
          <w:sz w:val="26"/>
          <w:szCs w:val="26"/>
        </w:rPr>
      </w:pPr>
    </w:p>
    <w:p w14:paraId="380A50DB" w14:textId="77777777" w:rsidR="00CF0BF5" w:rsidRDefault="00CF0BF5" w:rsidP="00CF0BF5">
      <w:pPr>
        <w:spacing w:line="360" w:lineRule="auto"/>
        <w:ind w:firstLine="708"/>
        <w:jc w:val="both"/>
        <w:rPr>
          <w:rFonts w:ascii="Arial" w:hAnsi="Arial" w:cs="Arial"/>
          <w:sz w:val="26"/>
          <w:szCs w:val="26"/>
        </w:rPr>
      </w:pPr>
    </w:p>
    <w:p w14:paraId="7ECCB83F" w14:textId="77777777" w:rsidR="00CF0BF5" w:rsidRDefault="00CF0BF5" w:rsidP="00CF0BF5">
      <w:pPr>
        <w:spacing w:line="360" w:lineRule="auto"/>
        <w:ind w:firstLine="708"/>
        <w:jc w:val="both"/>
        <w:rPr>
          <w:rFonts w:ascii="Arial" w:hAnsi="Arial" w:cs="Arial"/>
          <w:sz w:val="26"/>
          <w:szCs w:val="26"/>
        </w:rPr>
      </w:pPr>
    </w:p>
    <w:p w14:paraId="0EC54F29" w14:textId="77777777" w:rsidR="00CF0BF5" w:rsidRDefault="00CF0BF5" w:rsidP="00CF0BF5">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427A9E8D" w14:textId="77777777" w:rsidR="00CF0BF5" w:rsidRDefault="00CF0BF5" w:rsidP="00CF0BF5">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75216C13" w14:textId="77777777" w:rsidR="00CF0BF5" w:rsidRDefault="00CF0BF5" w:rsidP="00CF0BF5">
      <w:pPr>
        <w:spacing w:after="0" w:line="240" w:lineRule="auto"/>
        <w:ind w:firstLine="708"/>
        <w:jc w:val="center"/>
        <w:rPr>
          <w:rFonts w:ascii="Arial" w:eastAsia="Calibri" w:hAnsi="Arial" w:cs="Arial"/>
          <w:sz w:val="26"/>
          <w:szCs w:val="26"/>
        </w:rPr>
      </w:pPr>
    </w:p>
    <w:p w14:paraId="1E3C017A" w14:textId="77777777" w:rsidR="00CF0BF5" w:rsidRDefault="00CF0BF5" w:rsidP="00CF0BF5">
      <w:pPr>
        <w:spacing w:after="0" w:line="240" w:lineRule="auto"/>
        <w:ind w:firstLine="708"/>
        <w:jc w:val="center"/>
        <w:rPr>
          <w:rFonts w:ascii="Arial" w:eastAsia="Calibri" w:hAnsi="Arial" w:cs="Arial"/>
          <w:sz w:val="26"/>
          <w:szCs w:val="26"/>
        </w:rPr>
      </w:pPr>
    </w:p>
    <w:p w14:paraId="7F11606F" w14:textId="77777777" w:rsidR="00CF0BF5" w:rsidRDefault="00CF0BF5" w:rsidP="00CF0BF5">
      <w:pPr>
        <w:spacing w:after="0" w:line="240" w:lineRule="auto"/>
        <w:ind w:firstLine="708"/>
        <w:jc w:val="center"/>
        <w:rPr>
          <w:rFonts w:ascii="Arial" w:eastAsia="Calibri" w:hAnsi="Arial" w:cs="Arial"/>
          <w:sz w:val="26"/>
          <w:szCs w:val="26"/>
        </w:rPr>
      </w:pPr>
    </w:p>
    <w:p w14:paraId="58AD8E97" w14:textId="77777777" w:rsidR="00CF0BF5" w:rsidRDefault="00CF0BF5" w:rsidP="00CF0BF5">
      <w:pPr>
        <w:spacing w:after="0" w:line="240" w:lineRule="auto"/>
        <w:rPr>
          <w:rFonts w:ascii="Arial" w:eastAsia="Calibri" w:hAnsi="Arial" w:cs="Arial"/>
          <w:sz w:val="26"/>
          <w:szCs w:val="26"/>
        </w:rPr>
      </w:pPr>
    </w:p>
    <w:p w14:paraId="154411E5" w14:textId="77777777" w:rsidR="00CF0BF5" w:rsidRDefault="00CF0BF5" w:rsidP="00CF0BF5">
      <w:pPr>
        <w:spacing w:after="0" w:line="240" w:lineRule="auto"/>
        <w:rPr>
          <w:rFonts w:ascii="Arial" w:eastAsia="Calibri" w:hAnsi="Arial" w:cs="Arial"/>
          <w:sz w:val="26"/>
          <w:szCs w:val="26"/>
        </w:rPr>
      </w:pPr>
    </w:p>
    <w:p w14:paraId="6F6F4C44" w14:textId="77777777" w:rsidR="00CF0BF5" w:rsidRDefault="00CF0BF5" w:rsidP="00CF0BF5">
      <w:pPr>
        <w:spacing w:after="0" w:line="240" w:lineRule="auto"/>
        <w:ind w:firstLine="708"/>
        <w:jc w:val="center"/>
        <w:rPr>
          <w:rFonts w:ascii="Arial" w:hAnsi="Arial" w:cs="Arial"/>
          <w:sz w:val="26"/>
          <w:szCs w:val="26"/>
        </w:rPr>
      </w:pPr>
    </w:p>
    <w:p w14:paraId="1BCDB0E3" w14:textId="77777777" w:rsidR="00CF0BF5" w:rsidRDefault="00CF0BF5" w:rsidP="00CF0BF5">
      <w:pPr>
        <w:spacing w:after="0" w:line="240" w:lineRule="auto"/>
        <w:rPr>
          <w:rFonts w:ascii="Arial" w:hAnsi="Arial" w:cs="Arial"/>
          <w:sz w:val="26"/>
          <w:szCs w:val="26"/>
        </w:rPr>
      </w:pPr>
    </w:p>
    <w:p w14:paraId="3D07A265" w14:textId="77777777" w:rsidR="00CF0BF5" w:rsidRDefault="00CF0BF5" w:rsidP="00CF0BF5">
      <w:pPr>
        <w:spacing w:after="0" w:line="240" w:lineRule="auto"/>
        <w:ind w:firstLine="708"/>
        <w:jc w:val="center"/>
        <w:rPr>
          <w:rFonts w:ascii="Arial" w:hAnsi="Arial" w:cs="Arial"/>
          <w:sz w:val="26"/>
          <w:szCs w:val="26"/>
        </w:rPr>
      </w:pPr>
    </w:p>
    <w:p w14:paraId="68EDE3CA" w14:textId="77777777" w:rsidR="00CF0BF5" w:rsidRDefault="00CF0BF5" w:rsidP="00CF0BF5">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0948BA31" w14:textId="77777777" w:rsidR="00CF0BF5" w:rsidRDefault="00CF0BF5" w:rsidP="00CF0BF5">
      <w:pPr>
        <w:spacing w:after="0" w:line="240" w:lineRule="auto"/>
        <w:ind w:firstLine="708"/>
        <w:jc w:val="center"/>
        <w:rPr>
          <w:rFonts w:ascii="Arial" w:hAnsi="Arial" w:cs="Arial"/>
          <w:sz w:val="26"/>
          <w:szCs w:val="26"/>
        </w:rPr>
      </w:pPr>
    </w:p>
    <w:p w14:paraId="461B9C4D" w14:textId="77777777" w:rsidR="00CF0BF5" w:rsidRDefault="00CF0BF5" w:rsidP="00CF0BF5">
      <w:pPr>
        <w:spacing w:after="0" w:line="240" w:lineRule="auto"/>
        <w:ind w:firstLine="708"/>
        <w:jc w:val="center"/>
        <w:rPr>
          <w:rFonts w:ascii="Arial" w:hAnsi="Arial" w:cs="Arial"/>
          <w:sz w:val="26"/>
          <w:szCs w:val="26"/>
        </w:rPr>
      </w:pPr>
    </w:p>
    <w:p w14:paraId="2C482026" w14:textId="77777777" w:rsidR="00CF0BF5" w:rsidRDefault="00CF0BF5" w:rsidP="00CF0BF5">
      <w:pPr>
        <w:spacing w:after="0" w:line="240" w:lineRule="auto"/>
        <w:ind w:firstLine="708"/>
        <w:jc w:val="center"/>
        <w:rPr>
          <w:rFonts w:ascii="Arial" w:hAnsi="Arial" w:cs="Arial"/>
          <w:sz w:val="26"/>
          <w:szCs w:val="26"/>
        </w:rPr>
      </w:pPr>
    </w:p>
    <w:p w14:paraId="6606140A" w14:textId="77777777" w:rsidR="00CF0BF5" w:rsidRDefault="00CF0BF5" w:rsidP="00CF0BF5">
      <w:pPr>
        <w:spacing w:after="0" w:line="240" w:lineRule="auto"/>
        <w:ind w:firstLine="708"/>
        <w:jc w:val="center"/>
        <w:rPr>
          <w:rFonts w:ascii="Arial" w:hAnsi="Arial" w:cs="Arial"/>
          <w:sz w:val="26"/>
          <w:szCs w:val="26"/>
        </w:rPr>
      </w:pPr>
    </w:p>
    <w:p w14:paraId="123BB35B" w14:textId="77777777" w:rsidR="00CF0BF5" w:rsidRDefault="00CF0BF5" w:rsidP="00CF0BF5">
      <w:pPr>
        <w:spacing w:after="0" w:line="240" w:lineRule="auto"/>
        <w:ind w:firstLine="708"/>
        <w:jc w:val="center"/>
        <w:rPr>
          <w:rFonts w:ascii="Arial" w:hAnsi="Arial" w:cs="Arial"/>
          <w:sz w:val="26"/>
          <w:szCs w:val="26"/>
        </w:rPr>
      </w:pPr>
    </w:p>
    <w:p w14:paraId="175C56DE" w14:textId="77777777" w:rsidR="00CF0BF5" w:rsidRDefault="00CF0BF5" w:rsidP="00CF0BF5">
      <w:pPr>
        <w:spacing w:after="0" w:line="240" w:lineRule="auto"/>
        <w:ind w:firstLine="708"/>
        <w:jc w:val="center"/>
        <w:rPr>
          <w:rFonts w:ascii="Arial" w:hAnsi="Arial" w:cs="Arial"/>
          <w:sz w:val="26"/>
          <w:szCs w:val="26"/>
        </w:rPr>
      </w:pPr>
    </w:p>
    <w:p w14:paraId="4C7D4DF3" w14:textId="77777777" w:rsidR="00CF0BF5" w:rsidRDefault="00CF0BF5" w:rsidP="00CF0BF5">
      <w:pPr>
        <w:spacing w:after="0" w:line="240" w:lineRule="auto"/>
        <w:ind w:firstLine="708"/>
        <w:jc w:val="center"/>
        <w:rPr>
          <w:rFonts w:ascii="Arial" w:hAnsi="Arial" w:cs="Arial"/>
          <w:sz w:val="26"/>
          <w:szCs w:val="26"/>
        </w:rPr>
      </w:pPr>
    </w:p>
    <w:p w14:paraId="7E24522B" w14:textId="77777777" w:rsidR="00CF0BF5" w:rsidRDefault="00CF0BF5" w:rsidP="00CF0BF5">
      <w:pPr>
        <w:spacing w:after="0" w:line="240" w:lineRule="auto"/>
        <w:ind w:firstLine="708"/>
        <w:jc w:val="center"/>
        <w:rPr>
          <w:rFonts w:ascii="Arial" w:hAnsi="Arial" w:cs="Arial"/>
          <w:sz w:val="26"/>
          <w:szCs w:val="26"/>
        </w:rPr>
      </w:pPr>
    </w:p>
    <w:p w14:paraId="5271353B" w14:textId="77777777" w:rsidR="00CF0BF5" w:rsidRDefault="00CF0BF5" w:rsidP="00CF0BF5">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5C13EAC7" w14:textId="77777777" w:rsidR="00CF0BF5" w:rsidRDefault="00CF0BF5" w:rsidP="00CF0BF5">
      <w:pPr>
        <w:spacing w:after="0" w:line="240" w:lineRule="auto"/>
        <w:ind w:firstLine="708"/>
        <w:jc w:val="center"/>
        <w:rPr>
          <w:rFonts w:ascii="Arial" w:hAnsi="Arial" w:cs="Arial"/>
          <w:sz w:val="26"/>
          <w:szCs w:val="26"/>
        </w:rPr>
      </w:pPr>
    </w:p>
    <w:p w14:paraId="0322C60A" w14:textId="77777777" w:rsidR="00CF0BF5" w:rsidRDefault="00CF0BF5" w:rsidP="00CF0BF5">
      <w:pPr>
        <w:spacing w:after="0" w:line="240" w:lineRule="auto"/>
        <w:ind w:firstLine="708"/>
        <w:jc w:val="center"/>
        <w:rPr>
          <w:rFonts w:ascii="Arial" w:hAnsi="Arial" w:cs="Arial"/>
          <w:sz w:val="26"/>
          <w:szCs w:val="26"/>
        </w:rPr>
      </w:pPr>
    </w:p>
    <w:p w14:paraId="681416C4" w14:textId="77777777" w:rsidR="00CF0BF5" w:rsidRDefault="00CF0BF5" w:rsidP="00CF0BF5">
      <w:pPr>
        <w:spacing w:after="0" w:line="240" w:lineRule="auto"/>
        <w:ind w:firstLine="708"/>
        <w:jc w:val="center"/>
        <w:rPr>
          <w:rFonts w:ascii="Arial" w:hAnsi="Arial" w:cs="Arial"/>
          <w:sz w:val="26"/>
          <w:szCs w:val="26"/>
        </w:rPr>
      </w:pPr>
    </w:p>
    <w:p w14:paraId="65BA52B1" w14:textId="77777777" w:rsidR="00CF0BF5" w:rsidRDefault="00CF0BF5" w:rsidP="00CF0BF5">
      <w:pPr>
        <w:spacing w:after="0" w:line="240" w:lineRule="auto"/>
        <w:ind w:firstLine="708"/>
        <w:jc w:val="center"/>
        <w:rPr>
          <w:rFonts w:ascii="Arial" w:hAnsi="Arial" w:cs="Arial"/>
          <w:sz w:val="26"/>
          <w:szCs w:val="26"/>
        </w:rPr>
      </w:pPr>
    </w:p>
    <w:p w14:paraId="380339F3" w14:textId="77777777" w:rsidR="00CF0BF5" w:rsidRDefault="00CF0BF5" w:rsidP="00CF0BF5">
      <w:pPr>
        <w:spacing w:after="0" w:line="240" w:lineRule="auto"/>
        <w:ind w:firstLine="708"/>
        <w:jc w:val="center"/>
        <w:rPr>
          <w:rFonts w:ascii="Arial" w:hAnsi="Arial" w:cs="Arial"/>
          <w:sz w:val="26"/>
          <w:szCs w:val="26"/>
        </w:rPr>
      </w:pPr>
    </w:p>
    <w:p w14:paraId="6ED2FD76" w14:textId="77777777" w:rsidR="00CF0BF5" w:rsidRDefault="00CF0BF5" w:rsidP="00CF0BF5">
      <w:pPr>
        <w:spacing w:after="0" w:line="240" w:lineRule="auto"/>
        <w:rPr>
          <w:rFonts w:ascii="Arial" w:hAnsi="Arial" w:cs="Arial"/>
          <w:sz w:val="26"/>
          <w:szCs w:val="26"/>
        </w:rPr>
      </w:pPr>
    </w:p>
    <w:p w14:paraId="2F527E12" w14:textId="77777777" w:rsidR="00CF0BF5" w:rsidRDefault="00CF0BF5" w:rsidP="00CF0BF5">
      <w:pPr>
        <w:spacing w:after="0" w:line="240" w:lineRule="auto"/>
        <w:ind w:firstLine="708"/>
        <w:jc w:val="center"/>
        <w:rPr>
          <w:rFonts w:ascii="Arial" w:hAnsi="Arial" w:cs="Arial"/>
          <w:sz w:val="26"/>
          <w:szCs w:val="26"/>
        </w:rPr>
      </w:pPr>
    </w:p>
    <w:p w14:paraId="0ABB4917" w14:textId="77777777" w:rsidR="00CF0BF5" w:rsidRDefault="00CF0BF5" w:rsidP="00CF0BF5">
      <w:pPr>
        <w:spacing w:after="0" w:line="240" w:lineRule="auto"/>
        <w:ind w:firstLine="708"/>
        <w:jc w:val="center"/>
        <w:rPr>
          <w:rFonts w:ascii="Arial" w:eastAsia="Calibri" w:hAnsi="Arial" w:cs="Arial"/>
          <w:sz w:val="26"/>
          <w:szCs w:val="26"/>
        </w:rPr>
      </w:pPr>
    </w:p>
    <w:p w14:paraId="4DEFB4F2" w14:textId="77777777" w:rsidR="00CF0BF5" w:rsidRDefault="00CF0BF5" w:rsidP="00CF0BF5">
      <w:pPr>
        <w:spacing w:after="0" w:line="240" w:lineRule="auto"/>
        <w:ind w:firstLine="708"/>
        <w:jc w:val="center"/>
        <w:rPr>
          <w:rFonts w:ascii="Arial" w:eastAsia="Calibri" w:hAnsi="Arial" w:cs="Arial"/>
          <w:sz w:val="26"/>
          <w:szCs w:val="26"/>
        </w:rPr>
      </w:pPr>
      <w:r>
        <w:rPr>
          <w:rFonts w:ascii="Arial" w:hAnsi="Arial" w:cs="Arial"/>
          <w:sz w:val="26"/>
          <w:szCs w:val="26"/>
        </w:rPr>
        <w:t>LICENCIADO JUAN EDY GARCÍA CORONADO</w:t>
      </w:r>
    </w:p>
    <w:p w14:paraId="7FFD8D97" w14:textId="77777777" w:rsidR="00CF0BF5" w:rsidRPr="00863583" w:rsidRDefault="00CF0BF5" w:rsidP="00CF0BF5">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p w14:paraId="3D2DC65A" w14:textId="77777777" w:rsidR="00CF0BF5" w:rsidRPr="00BC2CF6" w:rsidRDefault="00CF0BF5" w:rsidP="00CF0BF5">
      <w:pPr>
        <w:spacing w:before="240" w:line="360" w:lineRule="auto"/>
        <w:ind w:firstLine="708"/>
        <w:jc w:val="both"/>
        <w:rPr>
          <w:rFonts w:ascii="Arial" w:eastAsia="Calibri" w:hAnsi="Arial" w:cs="Arial"/>
          <w:sz w:val="26"/>
          <w:szCs w:val="26"/>
        </w:rPr>
      </w:pPr>
    </w:p>
    <w:p w14:paraId="01EA6F01" w14:textId="77777777" w:rsidR="00CE0E82" w:rsidRDefault="00CE0E82" w:rsidP="00CF0BF5">
      <w:pPr>
        <w:spacing w:before="240" w:line="360" w:lineRule="auto"/>
        <w:ind w:firstLine="708"/>
        <w:jc w:val="both"/>
        <w:rPr>
          <w:sz w:val="26"/>
          <w:szCs w:val="26"/>
        </w:rPr>
      </w:pPr>
    </w:p>
    <w:sectPr w:rsidR="00CE0E82" w:rsidSect="00CF0BF5">
      <w:headerReference w:type="even" r:id="rId10"/>
      <w:headerReference w:type="default" r:id="rId11"/>
      <w:footerReference w:type="even" r:id="rId12"/>
      <w:footerReference w:type="default" r:id="rId13"/>
      <w:headerReference w:type="first" r:id="rId14"/>
      <w:footerReference w:type="first" r:id="rId15"/>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58FC4" w14:textId="77777777" w:rsidR="002301C2" w:rsidRDefault="002301C2">
      <w:pPr>
        <w:spacing w:after="0" w:line="240" w:lineRule="auto"/>
      </w:pPr>
      <w:r>
        <w:separator/>
      </w:r>
    </w:p>
  </w:endnote>
  <w:endnote w:type="continuationSeparator" w:id="0">
    <w:p w14:paraId="671F56B2" w14:textId="77777777" w:rsidR="002301C2" w:rsidRDefault="00230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12F8B" w14:textId="77777777" w:rsidR="001654F7" w:rsidRDefault="001654F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85376" w14:textId="0BE23BA0" w:rsidR="001654F7" w:rsidRDefault="001654F7">
    <w:pPr>
      <w:pStyle w:val="Piedepgina"/>
    </w:pPr>
    <w:r>
      <w:rPr>
        <w:noProof/>
      </w:rPr>
      <mc:AlternateContent>
        <mc:Choice Requires="wps">
          <w:drawing>
            <wp:anchor distT="45720" distB="45720" distL="114300" distR="114300" simplePos="0" relativeHeight="251662848" behindDoc="0" locked="0" layoutInCell="1" allowOverlap="1" wp14:anchorId="0DCD35DD" wp14:editId="3AD395AD">
              <wp:simplePos x="0" y="0"/>
              <wp:positionH relativeFrom="column">
                <wp:posOffset>-1486535</wp:posOffset>
              </wp:positionH>
              <wp:positionV relativeFrom="paragraph">
                <wp:posOffset>-4169410</wp:posOffset>
              </wp:positionV>
              <wp:extent cx="1173480" cy="681990"/>
              <wp:effectExtent l="0" t="0" r="26670" b="228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681990"/>
                      </a:xfrm>
                      <a:prstGeom prst="rect">
                        <a:avLst/>
                      </a:prstGeom>
                      <a:solidFill>
                        <a:srgbClr val="FFFFFF"/>
                      </a:solidFill>
                      <a:ln w="9525">
                        <a:solidFill>
                          <a:srgbClr val="000000"/>
                        </a:solidFill>
                        <a:miter lim="800000"/>
                        <a:headEnd/>
                        <a:tailEnd/>
                      </a:ln>
                    </wps:spPr>
                    <wps:txbx>
                      <w:txbxContent>
                        <w:p w14:paraId="5A5A623E" w14:textId="0EB364AC" w:rsidR="001654F7" w:rsidRDefault="001654F7" w:rsidP="001654F7">
                          <w:pPr>
                            <w:rPr>
                              <w:sz w:val="16"/>
                              <w:szCs w:val="16"/>
                            </w:rPr>
                          </w:pPr>
                          <w:bookmarkStart w:id="0" w:name="_GoBack"/>
                          <w:r>
                            <w:rPr>
                              <w:sz w:val="16"/>
                              <w:szCs w:val="16"/>
                            </w:rPr>
                            <w:t>Los datos personales están protegidos por el art.116 de la LGTAIP y el art. 56 de la LTAIPEO</w:t>
                          </w:r>
                        </w:p>
                        <w:bookmarkEnd w:id="0"/>
                        <w:p w14:paraId="1BB4613F" w14:textId="00210B19" w:rsidR="001654F7" w:rsidRDefault="001654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D35DD" id="_x0000_t202" coordsize="21600,21600" o:spt="202" path="m,l,21600r21600,l21600,xe">
              <v:stroke joinstyle="miter"/>
              <v:path gradientshapeok="t" o:connecttype="rect"/>
            </v:shapetype>
            <v:shape id="Cuadro de texto 2" o:spid="_x0000_s1026" type="#_x0000_t202" style="position:absolute;margin-left:-117.05pt;margin-top:-328.3pt;width:92.4pt;height:53.7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">
              <v:textbox>
                <w:txbxContent>
                  <w:p w14:paraId="5A5A623E" w14:textId="0EB364AC" w:rsidR="001654F7" w:rsidRDefault="001654F7" w:rsidP="001654F7">
                    <w:pPr>
                      <w:rPr>
                        <w:sz w:val="16"/>
                        <w:szCs w:val="16"/>
                      </w:rPr>
                    </w:pPr>
                    <w:bookmarkStart w:id="1" w:name="_GoBack"/>
                    <w:r>
                      <w:rPr>
                        <w:sz w:val="16"/>
                        <w:szCs w:val="16"/>
                      </w:rPr>
                      <w:t>Los datos personales están protegidos por el art.116 de la LGTAIP y el art. 56 de la LTAIPEO</w:t>
                    </w:r>
                  </w:p>
                  <w:bookmarkEnd w:id="1"/>
                  <w:p w14:paraId="1BB4613F" w14:textId="00210B19" w:rsidR="001654F7" w:rsidRDefault="001654F7"/>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76FED" w14:textId="77777777" w:rsidR="001654F7" w:rsidRDefault="001654F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9B6A7C" w14:textId="77777777" w:rsidR="002301C2" w:rsidRDefault="002301C2">
      <w:pPr>
        <w:spacing w:after="0" w:line="240" w:lineRule="auto"/>
      </w:pPr>
      <w:r>
        <w:separator/>
      </w:r>
    </w:p>
  </w:footnote>
  <w:footnote w:type="continuationSeparator" w:id="0">
    <w:p w14:paraId="74A17D69" w14:textId="77777777" w:rsidR="002301C2" w:rsidRDefault="002301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028AE50" w14:textId="4E5DD018" w:rsidR="007A2B3C" w:rsidRDefault="001654F7" w:rsidP="00D25099">
        <w:pPr>
          <w:pStyle w:val="Encabezado"/>
          <w:jc w:val="center"/>
        </w:pPr>
        <w:r>
          <w:rPr>
            <w:noProof/>
          </w:rPr>
          <w:pict w14:anchorId="00051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970235"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PAGE   \* MERGEFORMAT</w:instrText>
        </w:r>
        <w:r w:rsidR="007A2B3C">
          <w:fldChar w:fldCharType="separate"/>
        </w:r>
        <w:r>
          <w:rPr>
            <w:noProof/>
          </w:rPr>
          <w:t>10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2AFCA" w14:textId="616FFED0" w:rsidR="001654F7" w:rsidRDefault="001654F7" w:rsidP="00206B99">
    <w:pPr>
      <w:pStyle w:val="Encabezado"/>
      <w:jc w:val="center"/>
    </w:pPr>
  </w:p>
  <w:sdt>
    <w:sdtPr>
      <w:id w:val="-1748483066"/>
      <w:docPartObj>
        <w:docPartGallery w:val="Page Numbers (Top of Page)"/>
        <w:docPartUnique/>
      </w:docPartObj>
    </w:sdtPr>
    <w:sdtEndPr/>
    <w:sdtContent>
      <w:p w14:paraId="1050E9C9" w14:textId="27773F0D" w:rsidR="007A2B3C" w:rsidRDefault="001654F7" w:rsidP="00206B99">
        <w:pPr>
          <w:pStyle w:val="Encabezado"/>
          <w:jc w:val="center"/>
          <w:rPr>
            <w:noProof/>
          </w:rPr>
        </w:pPr>
        <w:r>
          <w:rPr>
            <w:noProof/>
          </w:rPr>
          <w:pict w14:anchorId="291910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970236"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 xml:space="preserve"> PAGE   \* MERGEFORMAT </w:instrText>
        </w:r>
        <w:r w:rsidR="007A2B3C">
          <w:fldChar w:fldCharType="separate"/>
        </w:r>
        <w:r>
          <w:rPr>
            <w:noProof/>
          </w:rPr>
          <w:t>1</w:t>
        </w:r>
        <w:r w:rsidR="007A2B3C">
          <w:rPr>
            <w:noProof/>
          </w:rPr>
          <w:fldChar w:fldCharType="end"/>
        </w:r>
      </w:p>
      <w:p w14:paraId="0B257879" w14:textId="0D73F58A" w:rsidR="008C74CA" w:rsidRDefault="001654F7" w:rsidP="008C74CA">
        <w:pPr>
          <w:pStyle w:val="Encabezado"/>
          <w:jc w:val="center"/>
        </w:pPr>
      </w:p>
    </w:sdtContent>
  </w:sdt>
  <w:p w14:paraId="378B7321" w14:textId="58051A56" w:rsidR="00256B01" w:rsidRDefault="00256B01" w:rsidP="00256B01">
    <w:pPr>
      <w:pStyle w:val="Encabezado"/>
      <w:jc w:val="center"/>
    </w:pPr>
  </w:p>
  <w:p w14:paraId="7BCC832A" w14:textId="693AB297" w:rsidR="007A2B3C" w:rsidRDefault="00CF0BF5" w:rsidP="00256B01">
    <w:pPr>
      <w:pStyle w:val="Encabezado"/>
      <w:jc w:val="center"/>
    </w:pPr>
    <w:r w:rsidRPr="007112DA">
      <w:rPr>
        <w:noProof/>
        <w:sz w:val="22"/>
        <w:szCs w:val="22"/>
        <w:lang w:val="es-MX" w:eastAsia="es-MX"/>
      </w:rPr>
      <mc:AlternateContent>
        <mc:Choice Requires="wpg">
          <w:drawing>
            <wp:anchor distT="0" distB="0" distL="114300" distR="114300" simplePos="0" relativeHeight="251656704" behindDoc="0" locked="0" layoutInCell="1" allowOverlap="1" wp14:anchorId="5907B6CE" wp14:editId="1B476DF7">
              <wp:simplePos x="0" y="0"/>
              <wp:positionH relativeFrom="margin">
                <wp:posOffset>-1419225</wp:posOffset>
              </wp:positionH>
              <wp:positionV relativeFrom="paragraph">
                <wp:posOffset>5695315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55F2E29" id="Grupo 3" o:spid="_x0000_s1026" style="position:absolute;margin-left:-111.75pt;margin-top:448.45pt;width:90pt;height:63.6pt;z-index:25165670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DDAD1" w14:textId="3CDCA482" w:rsidR="00CF0BF5" w:rsidRDefault="001654F7">
    <w:pPr>
      <w:pStyle w:val="Encabezado"/>
    </w:pPr>
    <w:r>
      <w:rPr>
        <w:noProof/>
      </w:rPr>
      <w:pict w14:anchorId="779FF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970234"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9646029"/>
    <w:multiLevelType w:val="hybridMultilevel"/>
    <w:tmpl w:val="A52070F0"/>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3"/>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E2E"/>
    <w:rsid w:val="00002F5A"/>
    <w:rsid w:val="000042DC"/>
    <w:rsid w:val="00004A31"/>
    <w:rsid w:val="0000725B"/>
    <w:rsid w:val="00011594"/>
    <w:rsid w:val="00013776"/>
    <w:rsid w:val="00014F43"/>
    <w:rsid w:val="000169A3"/>
    <w:rsid w:val="00017C09"/>
    <w:rsid w:val="00020BC7"/>
    <w:rsid w:val="00021DF1"/>
    <w:rsid w:val="0002236D"/>
    <w:rsid w:val="000225EC"/>
    <w:rsid w:val="00026C11"/>
    <w:rsid w:val="00026ED4"/>
    <w:rsid w:val="000330FB"/>
    <w:rsid w:val="000346F2"/>
    <w:rsid w:val="00035047"/>
    <w:rsid w:val="00035379"/>
    <w:rsid w:val="00035833"/>
    <w:rsid w:val="000360E0"/>
    <w:rsid w:val="00036D01"/>
    <w:rsid w:val="000410A1"/>
    <w:rsid w:val="00041D15"/>
    <w:rsid w:val="0004527C"/>
    <w:rsid w:val="0004575F"/>
    <w:rsid w:val="00045A11"/>
    <w:rsid w:val="00050312"/>
    <w:rsid w:val="00050B7F"/>
    <w:rsid w:val="000520E1"/>
    <w:rsid w:val="00053617"/>
    <w:rsid w:val="00053C13"/>
    <w:rsid w:val="00055CE8"/>
    <w:rsid w:val="0005701D"/>
    <w:rsid w:val="00057174"/>
    <w:rsid w:val="00057817"/>
    <w:rsid w:val="000579A7"/>
    <w:rsid w:val="000612E4"/>
    <w:rsid w:val="00061348"/>
    <w:rsid w:val="000616B5"/>
    <w:rsid w:val="0006242A"/>
    <w:rsid w:val="0006603D"/>
    <w:rsid w:val="0007067E"/>
    <w:rsid w:val="00070777"/>
    <w:rsid w:val="000737BF"/>
    <w:rsid w:val="0007458B"/>
    <w:rsid w:val="000752E9"/>
    <w:rsid w:val="00075840"/>
    <w:rsid w:val="00076CEA"/>
    <w:rsid w:val="000803AB"/>
    <w:rsid w:val="00081323"/>
    <w:rsid w:val="000822AF"/>
    <w:rsid w:val="00083BEB"/>
    <w:rsid w:val="00085132"/>
    <w:rsid w:val="00085790"/>
    <w:rsid w:val="00085F69"/>
    <w:rsid w:val="00086B99"/>
    <w:rsid w:val="00087FA3"/>
    <w:rsid w:val="000929AC"/>
    <w:rsid w:val="0009452A"/>
    <w:rsid w:val="00094546"/>
    <w:rsid w:val="0009618C"/>
    <w:rsid w:val="000961D2"/>
    <w:rsid w:val="000A1494"/>
    <w:rsid w:val="000A2784"/>
    <w:rsid w:val="000A29E7"/>
    <w:rsid w:val="000A3114"/>
    <w:rsid w:val="000A3456"/>
    <w:rsid w:val="000A3AF0"/>
    <w:rsid w:val="000A4E40"/>
    <w:rsid w:val="000A5AD6"/>
    <w:rsid w:val="000A6360"/>
    <w:rsid w:val="000A6EC7"/>
    <w:rsid w:val="000A77F7"/>
    <w:rsid w:val="000A7BA9"/>
    <w:rsid w:val="000B0E6E"/>
    <w:rsid w:val="000B0E70"/>
    <w:rsid w:val="000B1A06"/>
    <w:rsid w:val="000B3B3B"/>
    <w:rsid w:val="000B4122"/>
    <w:rsid w:val="000C1BF1"/>
    <w:rsid w:val="000C1F7C"/>
    <w:rsid w:val="000C313C"/>
    <w:rsid w:val="000C3DBF"/>
    <w:rsid w:val="000C4E06"/>
    <w:rsid w:val="000C6569"/>
    <w:rsid w:val="000D04C1"/>
    <w:rsid w:val="000D0E1D"/>
    <w:rsid w:val="000D1BD0"/>
    <w:rsid w:val="000D24E8"/>
    <w:rsid w:val="000D29A1"/>
    <w:rsid w:val="000D2FDE"/>
    <w:rsid w:val="000D5B81"/>
    <w:rsid w:val="000E0146"/>
    <w:rsid w:val="000E12D3"/>
    <w:rsid w:val="000E218B"/>
    <w:rsid w:val="000E2C93"/>
    <w:rsid w:val="000E2CF6"/>
    <w:rsid w:val="000E2E24"/>
    <w:rsid w:val="000E322A"/>
    <w:rsid w:val="000E32A6"/>
    <w:rsid w:val="000E4126"/>
    <w:rsid w:val="000E45D6"/>
    <w:rsid w:val="000E5C68"/>
    <w:rsid w:val="000E71DA"/>
    <w:rsid w:val="000F018A"/>
    <w:rsid w:val="000F251F"/>
    <w:rsid w:val="000F3D9D"/>
    <w:rsid w:val="000F54B0"/>
    <w:rsid w:val="000F5D12"/>
    <w:rsid w:val="000F62C3"/>
    <w:rsid w:val="000F7CF6"/>
    <w:rsid w:val="001023AF"/>
    <w:rsid w:val="00103FE7"/>
    <w:rsid w:val="00105899"/>
    <w:rsid w:val="001058D3"/>
    <w:rsid w:val="00105DF0"/>
    <w:rsid w:val="0010644A"/>
    <w:rsid w:val="001079FF"/>
    <w:rsid w:val="00107A85"/>
    <w:rsid w:val="00110BAD"/>
    <w:rsid w:val="00111362"/>
    <w:rsid w:val="00111B33"/>
    <w:rsid w:val="00111BFC"/>
    <w:rsid w:val="00112BB5"/>
    <w:rsid w:val="001144A1"/>
    <w:rsid w:val="00114AC5"/>
    <w:rsid w:val="00116579"/>
    <w:rsid w:val="001172EA"/>
    <w:rsid w:val="0012006E"/>
    <w:rsid w:val="00120740"/>
    <w:rsid w:val="001208F4"/>
    <w:rsid w:val="00121600"/>
    <w:rsid w:val="0012217B"/>
    <w:rsid w:val="00122F5E"/>
    <w:rsid w:val="00126F80"/>
    <w:rsid w:val="001276A9"/>
    <w:rsid w:val="00127839"/>
    <w:rsid w:val="00127D14"/>
    <w:rsid w:val="00130500"/>
    <w:rsid w:val="001308D4"/>
    <w:rsid w:val="00130A1D"/>
    <w:rsid w:val="00131CDF"/>
    <w:rsid w:val="00131E58"/>
    <w:rsid w:val="00133C57"/>
    <w:rsid w:val="00133D64"/>
    <w:rsid w:val="00134675"/>
    <w:rsid w:val="00134B9E"/>
    <w:rsid w:val="00136897"/>
    <w:rsid w:val="00137197"/>
    <w:rsid w:val="00137423"/>
    <w:rsid w:val="001379C1"/>
    <w:rsid w:val="00137E1C"/>
    <w:rsid w:val="0014067A"/>
    <w:rsid w:val="0014069B"/>
    <w:rsid w:val="00141175"/>
    <w:rsid w:val="00142893"/>
    <w:rsid w:val="001438A5"/>
    <w:rsid w:val="00143B21"/>
    <w:rsid w:val="001441D3"/>
    <w:rsid w:val="0014484E"/>
    <w:rsid w:val="00146509"/>
    <w:rsid w:val="00147A8B"/>
    <w:rsid w:val="00150A73"/>
    <w:rsid w:val="00150CE1"/>
    <w:rsid w:val="0015144F"/>
    <w:rsid w:val="00151D48"/>
    <w:rsid w:val="001528D6"/>
    <w:rsid w:val="00152A17"/>
    <w:rsid w:val="00152D3F"/>
    <w:rsid w:val="00152EF4"/>
    <w:rsid w:val="0015351E"/>
    <w:rsid w:val="00154584"/>
    <w:rsid w:val="00161FBA"/>
    <w:rsid w:val="00162450"/>
    <w:rsid w:val="001628C1"/>
    <w:rsid w:val="00162A20"/>
    <w:rsid w:val="001639D7"/>
    <w:rsid w:val="00164061"/>
    <w:rsid w:val="00164BAD"/>
    <w:rsid w:val="00164ED7"/>
    <w:rsid w:val="001654F7"/>
    <w:rsid w:val="00171831"/>
    <w:rsid w:val="00172205"/>
    <w:rsid w:val="00172B29"/>
    <w:rsid w:val="001761CB"/>
    <w:rsid w:val="0018043D"/>
    <w:rsid w:val="001809BA"/>
    <w:rsid w:val="00180F55"/>
    <w:rsid w:val="00181F41"/>
    <w:rsid w:val="001827CF"/>
    <w:rsid w:val="00184321"/>
    <w:rsid w:val="001843E8"/>
    <w:rsid w:val="00184B23"/>
    <w:rsid w:val="00184C24"/>
    <w:rsid w:val="001878EA"/>
    <w:rsid w:val="00190DAE"/>
    <w:rsid w:val="00190DE9"/>
    <w:rsid w:val="00191A27"/>
    <w:rsid w:val="00192287"/>
    <w:rsid w:val="00194A88"/>
    <w:rsid w:val="00194C5C"/>
    <w:rsid w:val="0019600D"/>
    <w:rsid w:val="001A2DD1"/>
    <w:rsid w:val="001A3755"/>
    <w:rsid w:val="001A4B48"/>
    <w:rsid w:val="001A5356"/>
    <w:rsid w:val="001A5951"/>
    <w:rsid w:val="001A5B4D"/>
    <w:rsid w:val="001A608E"/>
    <w:rsid w:val="001B1297"/>
    <w:rsid w:val="001B3DDE"/>
    <w:rsid w:val="001B40F8"/>
    <w:rsid w:val="001B469D"/>
    <w:rsid w:val="001B477F"/>
    <w:rsid w:val="001B552D"/>
    <w:rsid w:val="001B6227"/>
    <w:rsid w:val="001C0740"/>
    <w:rsid w:val="001C1578"/>
    <w:rsid w:val="001C1FCF"/>
    <w:rsid w:val="001C3488"/>
    <w:rsid w:val="001C4AAC"/>
    <w:rsid w:val="001C50D1"/>
    <w:rsid w:val="001C6A1B"/>
    <w:rsid w:val="001D0A5A"/>
    <w:rsid w:val="001D21AB"/>
    <w:rsid w:val="001D2397"/>
    <w:rsid w:val="001D27A6"/>
    <w:rsid w:val="001D3B81"/>
    <w:rsid w:val="001D5877"/>
    <w:rsid w:val="001D694C"/>
    <w:rsid w:val="001D730F"/>
    <w:rsid w:val="001D7FCD"/>
    <w:rsid w:val="001E1758"/>
    <w:rsid w:val="001E3B11"/>
    <w:rsid w:val="001E4BDD"/>
    <w:rsid w:val="001E503D"/>
    <w:rsid w:val="001E631B"/>
    <w:rsid w:val="001E680E"/>
    <w:rsid w:val="001F03C6"/>
    <w:rsid w:val="001F309C"/>
    <w:rsid w:val="001F72DF"/>
    <w:rsid w:val="00200843"/>
    <w:rsid w:val="00201A7F"/>
    <w:rsid w:val="0020247E"/>
    <w:rsid w:val="00203FD3"/>
    <w:rsid w:val="002058CE"/>
    <w:rsid w:val="002061DA"/>
    <w:rsid w:val="00206222"/>
    <w:rsid w:val="00206B99"/>
    <w:rsid w:val="00206BE6"/>
    <w:rsid w:val="00206E2A"/>
    <w:rsid w:val="0020738E"/>
    <w:rsid w:val="002113FA"/>
    <w:rsid w:val="00211AEE"/>
    <w:rsid w:val="00211DEF"/>
    <w:rsid w:val="00212CDB"/>
    <w:rsid w:val="00212D0A"/>
    <w:rsid w:val="0021319A"/>
    <w:rsid w:val="002142F8"/>
    <w:rsid w:val="00214B69"/>
    <w:rsid w:val="002161DA"/>
    <w:rsid w:val="00216474"/>
    <w:rsid w:val="00216595"/>
    <w:rsid w:val="00220A65"/>
    <w:rsid w:val="002214CB"/>
    <w:rsid w:val="0022196F"/>
    <w:rsid w:val="00222DE0"/>
    <w:rsid w:val="00223F75"/>
    <w:rsid w:val="00226A03"/>
    <w:rsid w:val="0023003B"/>
    <w:rsid w:val="002301C2"/>
    <w:rsid w:val="002310A8"/>
    <w:rsid w:val="002327AF"/>
    <w:rsid w:val="00233034"/>
    <w:rsid w:val="00233214"/>
    <w:rsid w:val="0023434D"/>
    <w:rsid w:val="00236064"/>
    <w:rsid w:val="002366C4"/>
    <w:rsid w:val="002372C9"/>
    <w:rsid w:val="002378DE"/>
    <w:rsid w:val="00237F22"/>
    <w:rsid w:val="00242891"/>
    <w:rsid w:val="00243181"/>
    <w:rsid w:val="0024497C"/>
    <w:rsid w:val="00245BAC"/>
    <w:rsid w:val="00246862"/>
    <w:rsid w:val="00246915"/>
    <w:rsid w:val="00246F70"/>
    <w:rsid w:val="00247875"/>
    <w:rsid w:val="00247D11"/>
    <w:rsid w:val="00253AB4"/>
    <w:rsid w:val="00254ED2"/>
    <w:rsid w:val="0025624C"/>
    <w:rsid w:val="0025662D"/>
    <w:rsid w:val="00256B01"/>
    <w:rsid w:val="00262666"/>
    <w:rsid w:val="00263720"/>
    <w:rsid w:val="0026762A"/>
    <w:rsid w:val="00267A88"/>
    <w:rsid w:val="00270962"/>
    <w:rsid w:val="002729E4"/>
    <w:rsid w:val="00273171"/>
    <w:rsid w:val="00273419"/>
    <w:rsid w:val="00274366"/>
    <w:rsid w:val="002769EA"/>
    <w:rsid w:val="002802EC"/>
    <w:rsid w:val="002805AC"/>
    <w:rsid w:val="002811D0"/>
    <w:rsid w:val="00283967"/>
    <w:rsid w:val="00283B3F"/>
    <w:rsid w:val="002844AF"/>
    <w:rsid w:val="002852F6"/>
    <w:rsid w:val="002870CA"/>
    <w:rsid w:val="002908C0"/>
    <w:rsid w:val="00291333"/>
    <w:rsid w:val="00292316"/>
    <w:rsid w:val="00292581"/>
    <w:rsid w:val="00292833"/>
    <w:rsid w:val="0029542B"/>
    <w:rsid w:val="00296748"/>
    <w:rsid w:val="002A0B1C"/>
    <w:rsid w:val="002A28E5"/>
    <w:rsid w:val="002A2985"/>
    <w:rsid w:val="002A2F53"/>
    <w:rsid w:val="002A3F98"/>
    <w:rsid w:val="002A4088"/>
    <w:rsid w:val="002A411F"/>
    <w:rsid w:val="002A5510"/>
    <w:rsid w:val="002A6EF0"/>
    <w:rsid w:val="002A72DF"/>
    <w:rsid w:val="002B0C42"/>
    <w:rsid w:val="002B2AF4"/>
    <w:rsid w:val="002B3E55"/>
    <w:rsid w:val="002B5C82"/>
    <w:rsid w:val="002B73F3"/>
    <w:rsid w:val="002B7422"/>
    <w:rsid w:val="002B79C4"/>
    <w:rsid w:val="002C01EA"/>
    <w:rsid w:val="002C0324"/>
    <w:rsid w:val="002C7363"/>
    <w:rsid w:val="002D1959"/>
    <w:rsid w:val="002D1979"/>
    <w:rsid w:val="002D1E2E"/>
    <w:rsid w:val="002D2BC6"/>
    <w:rsid w:val="002D4302"/>
    <w:rsid w:val="002D7231"/>
    <w:rsid w:val="002D796A"/>
    <w:rsid w:val="002D7BCE"/>
    <w:rsid w:val="002E06DE"/>
    <w:rsid w:val="002E07CB"/>
    <w:rsid w:val="002E0D17"/>
    <w:rsid w:val="002E26EB"/>
    <w:rsid w:val="002E35FA"/>
    <w:rsid w:val="002E796C"/>
    <w:rsid w:val="002F19AF"/>
    <w:rsid w:val="002F1C78"/>
    <w:rsid w:val="002F45B6"/>
    <w:rsid w:val="002F4F72"/>
    <w:rsid w:val="002F55C4"/>
    <w:rsid w:val="002F69D0"/>
    <w:rsid w:val="002F7173"/>
    <w:rsid w:val="002F7484"/>
    <w:rsid w:val="002F7CAF"/>
    <w:rsid w:val="00300EA8"/>
    <w:rsid w:val="00302511"/>
    <w:rsid w:val="00302C57"/>
    <w:rsid w:val="00303020"/>
    <w:rsid w:val="00303240"/>
    <w:rsid w:val="003032E2"/>
    <w:rsid w:val="00303596"/>
    <w:rsid w:val="00304999"/>
    <w:rsid w:val="003076B0"/>
    <w:rsid w:val="00307E06"/>
    <w:rsid w:val="00312470"/>
    <w:rsid w:val="003124A7"/>
    <w:rsid w:val="00314AF0"/>
    <w:rsid w:val="00315C76"/>
    <w:rsid w:val="0031730E"/>
    <w:rsid w:val="003174DD"/>
    <w:rsid w:val="003209FD"/>
    <w:rsid w:val="00321AAB"/>
    <w:rsid w:val="00321C10"/>
    <w:rsid w:val="00322CDE"/>
    <w:rsid w:val="003253CA"/>
    <w:rsid w:val="00331836"/>
    <w:rsid w:val="0033426E"/>
    <w:rsid w:val="00335EF4"/>
    <w:rsid w:val="0033725F"/>
    <w:rsid w:val="00337583"/>
    <w:rsid w:val="003376D7"/>
    <w:rsid w:val="00337805"/>
    <w:rsid w:val="00337912"/>
    <w:rsid w:val="0034180B"/>
    <w:rsid w:val="00342CE5"/>
    <w:rsid w:val="003435E8"/>
    <w:rsid w:val="003437C1"/>
    <w:rsid w:val="003462AA"/>
    <w:rsid w:val="00347BD8"/>
    <w:rsid w:val="003505C2"/>
    <w:rsid w:val="00352F7F"/>
    <w:rsid w:val="00355E72"/>
    <w:rsid w:val="00355F67"/>
    <w:rsid w:val="00360A0B"/>
    <w:rsid w:val="00362E0E"/>
    <w:rsid w:val="003633B9"/>
    <w:rsid w:val="003646B9"/>
    <w:rsid w:val="003675DE"/>
    <w:rsid w:val="003708D3"/>
    <w:rsid w:val="0037118C"/>
    <w:rsid w:val="003715BE"/>
    <w:rsid w:val="00372955"/>
    <w:rsid w:val="003731F5"/>
    <w:rsid w:val="00375176"/>
    <w:rsid w:val="00380926"/>
    <w:rsid w:val="00380BAC"/>
    <w:rsid w:val="003818BD"/>
    <w:rsid w:val="00381DC3"/>
    <w:rsid w:val="00382FD0"/>
    <w:rsid w:val="003873E7"/>
    <w:rsid w:val="00387C97"/>
    <w:rsid w:val="0039285D"/>
    <w:rsid w:val="003965ED"/>
    <w:rsid w:val="003A0ACC"/>
    <w:rsid w:val="003A1F55"/>
    <w:rsid w:val="003A224B"/>
    <w:rsid w:val="003A3A38"/>
    <w:rsid w:val="003A621A"/>
    <w:rsid w:val="003A6DE0"/>
    <w:rsid w:val="003A760D"/>
    <w:rsid w:val="003B1F21"/>
    <w:rsid w:val="003B20F0"/>
    <w:rsid w:val="003B2E9F"/>
    <w:rsid w:val="003B2FF4"/>
    <w:rsid w:val="003B373B"/>
    <w:rsid w:val="003B4BAF"/>
    <w:rsid w:val="003B4F5F"/>
    <w:rsid w:val="003B54ED"/>
    <w:rsid w:val="003B68EA"/>
    <w:rsid w:val="003B6C7E"/>
    <w:rsid w:val="003B7C7A"/>
    <w:rsid w:val="003C0AC1"/>
    <w:rsid w:val="003C2532"/>
    <w:rsid w:val="003C3C72"/>
    <w:rsid w:val="003C3CE8"/>
    <w:rsid w:val="003C4A93"/>
    <w:rsid w:val="003C63BE"/>
    <w:rsid w:val="003D1EF2"/>
    <w:rsid w:val="003D5E2A"/>
    <w:rsid w:val="003D707F"/>
    <w:rsid w:val="003D7F85"/>
    <w:rsid w:val="003E051B"/>
    <w:rsid w:val="003E0B3C"/>
    <w:rsid w:val="003E0F2A"/>
    <w:rsid w:val="003E1113"/>
    <w:rsid w:val="003E15CF"/>
    <w:rsid w:val="003E2B2E"/>
    <w:rsid w:val="003E2C06"/>
    <w:rsid w:val="003E3274"/>
    <w:rsid w:val="003E4162"/>
    <w:rsid w:val="003E4484"/>
    <w:rsid w:val="003E52CC"/>
    <w:rsid w:val="003E5B1E"/>
    <w:rsid w:val="003E7801"/>
    <w:rsid w:val="003E7C91"/>
    <w:rsid w:val="003F09E7"/>
    <w:rsid w:val="003F47AD"/>
    <w:rsid w:val="003F5E8A"/>
    <w:rsid w:val="003F6240"/>
    <w:rsid w:val="003F6DC6"/>
    <w:rsid w:val="00400164"/>
    <w:rsid w:val="0040457E"/>
    <w:rsid w:val="00404CEE"/>
    <w:rsid w:val="00407146"/>
    <w:rsid w:val="00407B2F"/>
    <w:rsid w:val="00411707"/>
    <w:rsid w:val="0041281D"/>
    <w:rsid w:val="0041349D"/>
    <w:rsid w:val="004138D3"/>
    <w:rsid w:val="0041760B"/>
    <w:rsid w:val="00423093"/>
    <w:rsid w:val="00423A9D"/>
    <w:rsid w:val="00424229"/>
    <w:rsid w:val="00427081"/>
    <w:rsid w:val="00432CD7"/>
    <w:rsid w:val="00433FAD"/>
    <w:rsid w:val="004407BC"/>
    <w:rsid w:val="004426E6"/>
    <w:rsid w:val="0044317A"/>
    <w:rsid w:val="004436DB"/>
    <w:rsid w:val="00444733"/>
    <w:rsid w:val="004503A6"/>
    <w:rsid w:val="004532B4"/>
    <w:rsid w:val="00453CB3"/>
    <w:rsid w:val="00454494"/>
    <w:rsid w:val="004563AA"/>
    <w:rsid w:val="004567C7"/>
    <w:rsid w:val="00456826"/>
    <w:rsid w:val="00456B11"/>
    <w:rsid w:val="00457CC7"/>
    <w:rsid w:val="00460F28"/>
    <w:rsid w:val="00461189"/>
    <w:rsid w:val="004633DC"/>
    <w:rsid w:val="00466CF8"/>
    <w:rsid w:val="00466DD6"/>
    <w:rsid w:val="004715AF"/>
    <w:rsid w:val="00472E19"/>
    <w:rsid w:val="00474E30"/>
    <w:rsid w:val="0047763B"/>
    <w:rsid w:val="00484E00"/>
    <w:rsid w:val="00485388"/>
    <w:rsid w:val="004870D8"/>
    <w:rsid w:val="004902B5"/>
    <w:rsid w:val="00491DA5"/>
    <w:rsid w:val="004961AD"/>
    <w:rsid w:val="00497E3B"/>
    <w:rsid w:val="004A2326"/>
    <w:rsid w:val="004A319F"/>
    <w:rsid w:val="004A4ECC"/>
    <w:rsid w:val="004A6F59"/>
    <w:rsid w:val="004B2759"/>
    <w:rsid w:val="004B3A33"/>
    <w:rsid w:val="004B3D2E"/>
    <w:rsid w:val="004B483F"/>
    <w:rsid w:val="004B48D5"/>
    <w:rsid w:val="004B6F87"/>
    <w:rsid w:val="004B748E"/>
    <w:rsid w:val="004B74CE"/>
    <w:rsid w:val="004B7A3D"/>
    <w:rsid w:val="004C0D90"/>
    <w:rsid w:val="004C1006"/>
    <w:rsid w:val="004C10F3"/>
    <w:rsid w:val="004C11DF"/>
    <w:rsid w:val="004C1C89"/>
    <w:rsid w:val="004C20AC"/>
    <w:rsid w:val="004C3E7C"/>
    <w:rsid w:val="004C4306"/>
    <w:rsid w:val="004C456C"/>
    <w:rsid w:val="004C489E"/>
    <w:rsid w:val="004C57A9"/>
    <w:rsid w:val="004D316A"/>
    <w:rsid w:val="004D3ADD"/>
    <w:rsid w:val="004D3E50"/>
    <w:rsid w:val="004D5713"/>
    <w:rsid w:val="004D5934"/>
    <w:rsid w:val="004D6FEE"/>
    <w:rsid w:val="004D72BE"/>
    <w:rsid w:val="004D7564"/>
    <w:rsid w:val="004E05C4"/>
    <w:rsid w:val="004E154D"/>
    <w:rsid w:val="004E16A4"/>
    <w:rsid w:val="004E3870"/>
    <w:rsid w:val="004E5D15"/>
    <w:rsid w:val="004E65F6"/>
    <w:rsid w:val="004E661E"/>
    <w:rsid w:val="004E7280"/>
    <w:rsid w:val="004F03BE"/>
    <w:rsid w:val="004F29B8"/>
    <w:rsid w:val="004F3787"/>
    <w:rsid w:val="004F3AFC"/>
    <w:rsid w:val="004F4970"/>
    <w:rsid w:val="004F4B8D"/>
    <w:rsid w:val="004F5821"/>
    <w:rsid w:val="004F674E"/>
    <w:rsid w:val="004F7551"/>
    <w:rsid w:val="00501354"/>
    <w:rsid w:val="00501DFC"/>
    <w:rsid w:val="00501EAB"/>
    <w:rsid w:val="005043E1"/>
    <w:rsid w:val="005068F2"/>
    <w:rsid w:val="00510956"/>
    <w:rsid w:val="00510C9F"/>
    <w:rsid w:val="005115C3"/>
    <w:rsid w:val="00512FF2"/>
    <w:rsid w:val="0051307B"/>
    <w:rsid w:val="00513626"/>
    <w:rsid w:val="0051369E"/>
    <w:rsid w:val="0051428C"/>
    <w:rsid w:val="00515E05"/>
    <w:rsid w:val="00516F56"/>
    <w:rsid w:val="00517C59"/>
    <w:rsid w:val="00520000"/>
    <w:rsid w:val="00520145"/>
    <w:rsid w:val="00521EF6"/>
    <w:rsid w:val="0052247B"/>
    <w:rsid w:val="00524784"/>
    <w:rsid w:val="00526DC4"/>
    <w:rsid w:val="005300DF"/>
    <w:rsid w:val="005302FA"/>
    <w:rsid w:val="00531A5A"/>
    <w:rsid w:val="00531A6D"/>
    <w:rsid w:val="00531B0F"/>
    <w:rsid w:val="00531B2A"/>
    <w:rsid w:val="00531DE3"/>
    <w:rsid w:val="00534C95"/>
    <w:rsid w:val="00535363"/>
    <w:rsid w:val="00535C8B"/>
    <w:rsid w:val="0053715D"/>
    <w:rsid w:val="00541B18"/>
    <w:rsid w:val="00542671"/>
    <w:rsid w:val="005443FC"/>
    <w:rsid w:val="00544A76"/>
    <w:rsid w:val="00545D35"/>
    <w:rsid w:val="005478F9"/>
    <w:rsid w:val="00550559"/>
    <w:rsid w:val="00551263"/>
    <w:rsid w:val="00551897"/>
    <w:rsid w:val="00551C7E"/>
    <w:rsid w:val="00553578"/>
    <w:rsid w:val="00556C9D"/>
    <w:rsid w:val="00557727"/>
    <w:rsid w:val="005609AA"/>
    <w:rsid w:val="00563B9C"/>
    <w:rsid w:val="00565465"/>
    <w:rsid w:val="00566AD2"/>
    <w:rsid w:val="00567AD2"/>
    <w:rsid w:val="00567E8E"/>
    <w:rsid w:val="0057052D"/>
    <w:rsid w:val="005707BD"/>
    <w:rsid w:val="0057153D"/>
    <w:rsid w:val="00571B02"/>
    <w:rsid w:val="005720EB"/>
    <w:rsid w:val="00572775"/>
    <w:rsid w:val="00572D0A"/>
    <w:rsid w:val="005758AC"/>
    <w:rsid w:val="00575B84"/>
    <w:rsid w:val="00577013"/>
    <w:rsid w:val="005770F4"/>
    <w:rsid w:val="005776B9"/>
    <w:rsid w:val="00580F64"/>
    <w:rsid w:val="005817AB"/>
    <w:rsid w:val="005864C3"/>
    <w:rsid w:val="005903F7"/>
    <w:rsid w:val="0059108E"/>
    <w:rsid w:val="005913ED"/>
    <w:rsid w:val="00593333"/>
    <w:rsid w:val="00594670"/>
    <w:rsid w:val="00594F1B"/>
    <w:rsid w:val="00595186"/>
    <w:rsid w:val="00597C5A"/>
    <w:rsid w:val="005A0A32"/>
    <w:rsid w:val="005A0D5F"/>
    <w:rsid w:val="005A1495"/>
    <w:rsid w:val="005A1C28"/>
    <w:rsid w:val="005A3800"/>
    <w:rsid w:val="005A415D"/>
    <w:rsid w:val="005A493F"/>
    <w:rsid w:val="005A64B0"/>
    <w:rsid w:val="005A65B0"/>
    <w:rsid w:val="005B13A7"/>
    <w:rsid w:val="005B2365"/>
    <w:rsid w:val="005B3D22"/>
    <w:rsid w:val="005B74A1"/>
    <w:rsid w:val="005C0B46"/>
    <w:rsid w:val="005C2C8E"/>
    <w:rsid w:val="005C3258"/>
    <w:rsid w:val="005C32A7"/>
    <w:rsid w:val="005C33BA"/>
    <w:rsid w:val="005C3AA7"/>
    <w:rsid w:val="005C414F"/>
    <w:rsid w:val="005C59E9"/>
    <w:rsid w:val="005C770C"/>
    <w:rsid w:val="005C7C2F"/>
    <w:rsid w:val="005D1684"/>
    <w:rsid w:val="005D3F0B"/>
    <w:rsid w:val="005D4300"/>
    <w:rsid w:val="005D536A"/>
    <w:rsid w:val="005D6257"/>
    <w:rsid w:val="005D62CD"/>
    <w:rsid w:val="005D65FC"/>
    <w:rsid w:val="005D74CC"/>
    <w:rsid w:val="005D751A"/>
    <w:rsid w:val="005E15B4"/>
    <w:rsid w:val="005E18B0"/>
    <w:rsid w:val="005E3275"/>
    <w:rsid w:val="005E3ED8"/>
    <w:rsid w:val="005E40A8"/>
    <w:rsid w:val="005E5273"/>
    <w:rsid w:val="005E6972"/>
    <w:rsid w:val="005E76E1"/>
    <w:rsid w:val="005F0B76"/>
    <w:rsid w:val="005F1575"/>
    <w:rsid w:val="005F35AE"/>
    <w:rsid w:val="005F7C3D"/>
    <w:rsid w:val="006012BD"/>
    <w:rsid w:val="00602086"/>
    <w:rsid w:val="006031E8"/>
    <w:rsid w:val="0060326D"/>
    <w:rsid w:val="00604002"/>
    <w:rsid w:val="0060423E"/>
    <w:rsid w:val="0060569F"/>
    <w:rsid w:val="00605D2B"/>
    <w:rsid w:val="006062DA"/>
    <w:rsid w:val="00606509"/>
    <w:rsid w:val="00607309"/>
    <w:rsid w:val="00607F3D"/>
    <w:rsid w:val="006105BC"/>
    <w:rsid w:val="00610C46"/>
    <w:rsid w:val="006112F6"/>
    <w:rsid w:val="00611349"/>
    <w:rsid w:val="00611746"/>
    <w:rsid w:val="00611DD6"/>
    <w:rsid w:val="00614081"/>
    <w:rsid w:val="006150FB"/>
    <w:rsid w:val="00616CE8"/>
    <w:rsid w:val="00621035"/>
    <w:rsid w:val="00621070"/>
    <w:rsid w:val="00624307"/>
    <w:rsid w:val="00630C62"/>
    <w:rsid w:val="00632C51"/>
    <w:rsid w:val="00633FA0"/>
    <w:rsid w:val="006345EE"/>
    <w:rsid w:val="00635CA3"/>
    <w:rsid w:val="006361ED"/>
    <w:rsid w:val="006418C8"/>
    <w:rsid w:val="00641ABB"/>
    <w:rsid w:val="006422F6"/>
    <w:rsid w:val="0064256C"/>
    <w:rsid w:val="006427D9"/>
    <w:rsid w:val="00643498"/>
    <w:rsid w:val="00645439"/>
    <w:rsid w:val="00645E2A"/>
    <w:rsid w:val="00650D73"/>
    <w:rsid w:val="006518F1"/>
    <w:rsid w:val="0065279D"/>
    <w:rsid w:val="00653354"/>
    <w:rsid w:val="00653C7A"/>
    <w:rsid w:val="006547D4"/>
    <w:rsid w:val="00655BA3"/>
    <w:rsid w:val="00655D87"/>
    <w:rsid w:val="00657940"/>
    <w:rsid w:val="00661C7D"/>
    <w:rsid w:val="00661E08"/>
    <w:rsid w:val="00662FE6"/>
    <w:rsid w:val="0066306B"/>
    <w:rsid w:val="0066335A"/>
    <w:rsid w:val="0066407D"/>
    <w:rsid w:val="006640C5"/>
    <w:rsid w:val="0066617D"/>
    <w:rsid w:val="006666BD"/>
    <w:rsid w:val="00670A3B"/>
    <w:rsid w:val="00671144"/>
    <w:rsid w:val="0067369E"/>
    <w:rsid w:val="00675661"/>
    <w:rsid w:val="00681F17"/>
    <w:rsid w:val="00682164"/>
    <w:rsid w:val="0068251C"/>
    <w:rsid w:val="006826DA"/>
    <w:rsid w:val="0068325D"/>
    <w:rsid w:val="00683DC9"/>
    <w:rsid w:val="00685A2A"/>
    <w:rsid w:val="00686012"/>
    <w:rsid w:val="00687B92"/>
    <w:rsid w:val="006916E5"/>
    <w:rsid w:val="006921D8"/>
    <w:rsid w:val="00692778"/>
    <w:rsid w:val="00694816"/>
    <w:rsid w:val="00696616"/>
    <w:rsid w:val="00696EB4"/>
    <w:rsid w:val="00696F11"/>
    <w:rsid w:val="00697ECB"/>
    <w:rsid w:val="006A037E"/>
    <w:rsid w:val="006A0B3A"/>
    <w:rsid w:val="006A141D"/>
    <w:rsid w:val="006A3428"/>
    <w:rsid w:val="006A43C9"/>
    <w:rsid w:val="006A4C24"/>
    <w:rsid w:val="006A5F24"/>
    <w:rsid w:val="006A6DCC"/>
    <w:rsid w:val="006A6FE7"/>
    <w:rsid w:val="006A7874"/>
    <w:rsid w:val="006B0915"/>
    <w:rsid w:val="006B0AA4"/>
    <w:rsid w:val="006B0B08"/>
    <w:rsid w:val="006B10A8"/>
    <w:rsid w:val="006B119B"/>
    <w:rsid w:val="006B1F6B"/>
    <w:rsid w:val="006B2691"/>
    <w:rsid w:val="006B26D3"/>
    <w:rsid w:val="006B3BEA"/>
    <w:rsid w:val="006B4FD6"/>
    <w:rsid w:val="006B52CD"/>
    <w:rsid w:val="006B71C0"/>
    <w:rsid w:val="006B78C5"/>
    <w:rsid w:val="006C2E84"/>
    <w:rsid w:val="006C2F23"/>
    <w:rsid w:val="006C31AF"/>
    <w:rsid w:val="006C3540"/>
    <w:rsid w:val="006C3C4F"/>
    <w:rsid w:val="006C4D75"/>
    <w:rsid w:val="006D002E"/>
    <w:rsid w:val="006D0720"/>
    <w:rsid w:val="006D1203"/>
    <w:rsid w:val="006D3598"/>
    <w:rsid w:val="006D4142"/>
    <w:rsid w:val="006D6D54"/>
    <w:rsid w:val="006D7A68"/>
    <w:rsid w:val="006D7AAA"/>
    <w:rsid w:val="006E04EF"/>
    <w:rsid w:val="006E18BB"/>
    <w:rsid w:val="006E1B16"/>
    <w:rsid w:val="006E1CB4"/>
    <w:rsid w:val="006E1CFD"/>
    <w:rsid w:val="006E22F2"/>
    <w:rsid w:val="006E27BA"/>
    <w:rsid w:val="006E3965"/>
    <w:rsid w:val="006E40EA"/>
    <w:rsid w:val="006E43D3"/>
    <w:rsid w:val="006E44A9"/>
    <w:rsid w:val="006E6519"/>
    <w:rsid w:val="006F0897"/>
    <w:rsid w:val="006F0D29"/>
    <w:rsid w:val="006F2412"/>
    <w:rsid w:val="006F3363"/>
    <w:rsid w:val="006F3A7A"/>
    <w:rsid w:val="006F4093"/>
    <w:rsid w:val="006F5760"/>
    <w:rsid w:val="006F66FB"/>
    <w:rsid w:val="006F6BE0"/>
    <w:rsid w:val="006F7275"/>
    <w:rsid w:val="00700013"/>
    <w:rsid w:val="0070099B"/>
    <w:rsid w:val="00701FA5"/>
    <w:rsid w:val="00702141"/>
    <w:rsid w:val="00702862"/>
    <w:rsid w:val="00702D97"/>
    <w:rsid w:val="00703F64"/>
    <w:rsid w:val="00704CD1"/>
    <w:rsid w:val="0070679D"/>
    <w:rsid w:val="00707019"/>
    <w:rsid w:val="00707245"/>
    <w:rsid w:val="007119CB"/>
    <w:rsid w:val="0071233B"/>
    <w:rsid w:val="00712EE0"/>
    <w:rsid w:val="00716874"/>
    <w:rsid w:val="0071716F"/>
    <w:rsid w:val="0072215B"/>
    <w:rsid w:val="0072271C"/>
    <w:rsid w:val="00723286"/>
    <w:rsid w:val="00724FCA"/>
    <w:rsid w:val="00725734"/>
    <w:rsid w:val="00727C09"/>
    <w:rsid w:val="00730992"/>
    <w:rsid w:val="00733866"/>
    <w:rsid w:val="007372AF"/>
    <w:rsid w:val="007372F0"/>
    <w:rsid w:val="00737CF4"/>
    <w:rsid w:val="007402AF"/>
    <w:rsid w:val="00740FFD"/>
    <w:rsid w:val="007419B3"/>
    <w:rsid w:val="00742461"/>
    <w:rsid w:val="00742758"/>
    <w:rsid w:val="0074315B"/>
    <w:rsid w:val="00745DF1"/>
    <w:rsid w:val="00745F93"/>
    <w:rsid w:val="00747AB7"/>
    <w:rsid w:val="00752B02"/>
    <w:rsid w:val="00755251"/>
    <w:rsid w:val="00755D6C"/>
    <w:rsid w:val="0075641F"/>
    <w:rsid w:val="007568F4"/>
    <w:rsid w:val="0075724E"/>
    <w:rsid w:val="0076494C"/>
    <w:rsid w:val="00766389"/>
    <w:rsid w:val="007712F8"/>
    <w:rsid w:val="0077356E"/>
    <w:rsid w:val="007737E8"/>
    <w:rsid w:val="00773DC9"/>
    <w:rsid w:val="007740BF"/>
    <w:rsid w:val="007758EE"/>
    <w:rsid w:val="00776E5E"/>
    <w:rsid w:val="0077739D"/>
    <w:rsid w:val="007806D4"/>
    <w:rsid w:val="00780E6A"/>
    <w:rsid w:val="0078132A"/>
    <w:rsid w:val="00782019"/>
    <w:rsid w:val="0078202A"/>
    <w:rsid w:val="00783C46"/>
    <w:rsid w:val="00785325"/>
    <w:rsid w:val="00790C1A"/>
    <w:rsid w:val="00790E52"/>
    <w:rsid w:val="00791F12"/>
    <w:rsid w:val="00792E46"/>
    <w:rsid w:val="007931B7"/>
    <w:rsid w:val="007943A4"/>
    <w:rsid w:val="00795AD9"/>
    <w:rsid w:val="00795CE3"/>
    <w:rsid w:val="0079608A"/>
    <w:rsid w:val="007A0743"/>
    <w:rsid w:val="007A0DD5"/>
    <w:rsid w:val="007A1ABA"/>
    <w:rsid w:val="007A245E"/>
    <w:rsid w:val="007A25A8"/>
    <w:rsid w:val="007A2B3C"/>
    <w:rsid w:val="007A3ECB"/>
    <w:rsid w:val="007A4CC0"/>
    <w:rsid w:val="007B0E0D"/>
    <w:rsid w:val="007B29E4"/>
    <w:rsid w:val="007B2CC2"/>
    <w:rsid w:val="007B448D"/>
    <w:rsid w:val="007B6958"/>
    <w:rsid w:val="007C2391"/>
    <w:rsid w:val="007C4D7C"/>
    <w:rsid w:val="007C4FC7"/>
    <w:rsid w:val="007C5134"/>
    <w:rsid w:val="007C6CD3"/>
    <w:rsid w:val="007C75D3"/>
    <w:rsid w:val="007C7AD1"/>
    <w:rsid w:val="007D05D9"/>
    <w:rsid w:val="007D0CC7"/>
    <w:rsid w:val="007D2543"/>
    <w:rsid w:val="007D4645"/>
    <w:rsid w:val="007D4E0F"/>
    <w:rsid w:val="007D4F9E"/>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417F"/>
    <w:rsid w:val="00805C67"/>
    <w:rsid w:val="00807736"/>
    <w:rsid w:val="00807D70"/>
    <w:rsid w:val="008117A7"/>
    <w:rsid w:val="00814AF8"/>
    <w:rsid w:val="00815878"/>
    <w:rsid w:val="0082010D"/>
    <w:rsid w:val="00821C04"/>
    <w:rsid w:val="00823AF1"/>
    <w:rsid w:val="0083002A"/>
    <w:rsid w:val="00830884"/>
    <w:rsid w:val="00832757"/>
    <w:rsid w:val="00832BFA"/>
    <w:rsid w:val="00832FE5"/>
    <w:rsid w:val="008344D7"/>
    <w:rsid w:val="00836CC2"/>
    <w:rsid w:val="0084114B"/>
    <w:rsid w:val="00841573"/>
    <w:rsid w:val="00841CA9"/>
    <w:rsid w:val="00841D58"/>
    <w:rsid w:val="00842C2D"/>
    <w:rsid w:val="00842ED4"/>
    <w:rsid w:val="00843254"/>
    <w:rsid w:val="008444EF"/>
    <w:rsid w:val="00845357"/>
    <w:rsid w:val="00845EA4"/>
    <w:rsid w:val="00847A1D"/>
    <w:rsid w:val="008500D7"/>
    <w:rsid w:val="008523DA"/>
    <w:rsid w:val="008550F0"/>
    <w:rsid w:val="00855650"/>
    <w:rsid w:val="00857BD3"/>
    <w:rsid w:val="00860037"/>
    <w:rsid w:val="008606D5"/>
    <w:rsid w:val="00860FEF"/>
    <w:rsid w:val="008618D9"/>
    <w:rsid w:val="0086287A"/>
    <w:rsid w:val="00862ACA"/>
    <w:rsid w:val="0086361E"/>
    <w:rsid w:val="008649E5"/>
    <w:rsid w:val="00864EBA"/>
    <w:rsid w:val="00864F72"/>
    <w:rsid w:val="0086594B"/>
    <w:rsid w:val="00865E01"/>
    <w:rsid w:val="008738A1"/>
    <w:rsid w:val="00873D60"/>
    <w:rsid w:val="00874D05"/>
    <w:rsid w:val="00875CD2"/>
    <w:rsid w:val="00875F67"/>
    <w:rsid w:val="00881FFB"/>
    <w:rsid w:val="00882B6A"/>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931"/>
    <w:rsid w:val="008B29F6"/>
    <w:rsid w:val="008B2E64"/>
    <w:rsid w:val="008B2FDE"/>
    <w:rsid w:val="008B4B2E"/>
    <w:rsid w:val="008B4EBC"/>
    <w:rsid w:val="008B5756"/>
    <w:rsid w:val="008B5E35"/>
    <w:rsid w:val="008C25FC"/>
    <w:rsid w:val="008C297E"/>
    <w:rsid w:val="008C380D"/>
    <w:rsid w:val="008C4AF8"/>
    <w:rsid w:val="008C508D"/>
    <w:rsid w:val="008C6510"/>
    <w:rsid w:val="008C74CA"/>
    <w:rsid w:val="008D04B8"/>
    <w:rsid w:val="008D096D"/>
    <w:rsid w:val="008D1236"/>
    <w:rsid w:val="008D2540"/>
    <w:rsid w:val="008D30EF"/>
    <w:rsid w:val="008D342E"/>
    <w:rsid w:val="008E0FE3"/>
    <w:rsid w:val="008E215F"/>
    <w:rsid w:val="008E239D"/>
    <w:rsid w:val="008E4231"/>
    <w:rsid w:val="008E586E"/>
    <w:rsid w:val="008E6C8F"/>
    <w:rsid w:val="008E7B58"/>
    <w:rsid w:val="008F05C2"/>
    <w:rsid w:val="008F2AD5"/>
    <w:rsid w:val="008F49B2"/>
    <w:rsid w:val="008F52F4"/>
    <w:rsid w:val="008F6A42"/>
    <w:rsid w:val="008F7D31"/>
    <w:rsid w:val="00900115"/>
    <w:rsid w:val="009007FC"/>
    <w:rsid w:val="0090282D"/>
    <w:rsid w:val="00903211"/>
    <w:rsid w:val="00903BE5"/>
    <w:rsid w:val="009049BE"/>
    <w:rsid w:val="009073DD"/>
    <w:rsid w:val="00907FE3"/>
    <w:rsid w:val="009111EA"/>
    <w:rsid w:val="0091170B"/>
    <w:rsid w:val="00911C01"/>
    <w:rsid w:val="00912837"/>
    <w:rsid w:val="0091304F"/>
    <w:rsid w:val="009133A9"/>
    <w:rsid w:val="00913895"/>
    <w:rsid w:val="00913A80"/>
    <w:rsid w:val="009159DA"/>
    <w:rsid w:val="00920D15"/>
    <w:rsid w:val="009210A6"/>
    <w:rsid w:val="009233B3"/>
    <w:rsid w:val="00923D0E"/>
    <w:rsid w:val="00926FCD"/>
    <w:rsid w:val="009275B9"/>
    <w:rsid w:val="00927607"/>
    <w:rsid w:val="00931E3D"/>
    <w:rsid w:val="009344FD"/>
    <w:rsid w:val="00936ACD"/>
    <w:rsid w:val="0093718A"/>
    <w:rsid w:val="0094005B"/>
    <w:rsid w:val="00941EF8"/>
    <w:rsid w:val="00943184"/>
    <w:rsid w:val="00943709"/>
    <w:rsid w:val="00943B62"/>
    <w:rsid w:val="0094607A"/>
    <w:rsid w:val="00947785"/>
    <w:rsid w:val="00952598"/>
    <w:rsid w:val="00953623"/>
    <w:rsid w:val="00954227"/>
    <w:rsid w:val="00956CD1"/>
    <w:rsid w:val="009623FA"/>
    <w:rsid w:val="00964969"/>
    <w:rsid w:val="00964A87"/>
    <w:rsid w:val="00965794"/>
    <w:rsid w:val="00965870"/>
    <w:rsid w:val="00970BC4"/>
    <w:rsid w:val="0097129B"/>
    <w:rsid w:val="009723B9"/>
    <w:rsid w:val="00973D8D"/>
    <w:rsid w:val="00974123"/>
    <w:rsid w:val="009752F6"/>
    <w:rsid w:val="009758DB"/>
    <w:rsid w:val="00976138"/>
    <w:rsid w:val="009768B5"/>
    <w:rsid w:val="0097768E"/>
    <w:rsid w:val="00983201"/>
    <w:rsid w:val="00984197"/>
    <w:rsid w:val="00986534"/>
    <w:rsid w:val="00986646"/>
    <w:rsid w:val="00991870"/>
    <w:rsid w:val="0099568A"/>
    <w:rsid w:val="00995692"/>
    <w:rsid w:val="00996B6C"/>
    <w:rsid w:val="00997217"/>
    <w:rsid w:val="00997F96"/>
    <w:rsid w:val="009A33AC"/>
    <w:rsid w:val="009A33BE"/>
    <w:rsid w:val="009A49D9"/>
    <w:rsid w:val="009A49F9"/>
    <w:rsid w:val="009A53A5"/>
    <w:rsid w:val="009A5AE2"/>
    <w:rsid w:val="009A5D8D"/>
    <w:rsid w:val="009A609F"/>
    <w:rsid w:val="009A6781"/>
    <w:rsid w:val="009B0B4B"/>
    <w:rsid w:val="009B1106"/>
    <w:rsid w:val="009B1EAF"/>
    <w:rsid w:val="009B38C8"/>
    <w:rsid w:val="009B3FAA"/>
    <w:rsid w:val="009C390E"/>
    <w:rsid w:val="009C4221"/>
    <w:rsid w:val="009D1ED8"/>
    <w:rsid w:val="009D4214"/>
    <w:rsid w:val="009D423D"/>
    <w:rsid w:val="009D4A0A"/>
    <w:rsid w:val="009D5654"/>
    <w:rsid w:val="009D6659"/>
    <w:rsid w:val="009D7058"/>
    <w:rsid w:val="009D7590"/>
    <w:rsid w:val="009D75FC"/>
    <w:rsid w:val="009E0336"/>
    <w:rsid w:val="009E10EC"/>
    <w:rsid w:val="009E3A9A"/>
    <w:rsid w:val="009E5841"/>
    <w:rsid w:val="009E60C0"/>
    <w:rsid w:val="009E7B57"/>
    <w:rsid w:val="009F4F11"/>
    <w:rsid w:val="009F4F31"/>
    <w:rsid w:val="009F50FA"/>
    <w:rsid w:val="009F7CAF"/>
    <w:rsid w:val="00A01AAB"/>
    <w:rsid w:val="00A022D9"/>
    <w:rsid w:val="00A033BB"/>
    <w:rsid w:val="00A0357E"/>
    <w:rsid w:val="00A045F4"/>
    <w:rsid w:val="00A04AA6"/>
    <w:rsid w:val="00A05B4F"/>
    <w:rsid w:val="00A06070"/>
    <w:rsid w:val="00A10387"/>
    <w:rsid w:val="00A12D6A"/>
    <w:rsid w:val="00A15CE2"/>
    <w:rsid w:val="00A20505"/>
    <w:rsid w:val="00A21B13"/>
    <w:rsid w:val="00A2508C"/>
    <w:rsid w:val="00A2572E"/>
    <w:rsid w:val="00A25FC0"/>
    <w:rsid w:val="00A262B6"/>
    <w:rsid w:val="00A26D41"/>
    <w:rsid w:val="00A2707D"/>
    <w:rsid w:val="00A27138"/>
    <w:rsid w:val="00A30C74"/>
    <w:rsid w:val="00A3229B"/>
    <w:rsid w:val="00A3286F"/>
    <w:rsid w:val="00A3359F"/>
    <w:rsid w:val="00A33A89"/>
    <w:rsid w:val="00A3709C"/>
    <w:rsid w:val="00A3728F"/>
    <w:rsid w:val="00A37424"/>
    <w:rsid w:val="00A4105D"/>
    <w:rsid w:val="00A442A4"/>
    <w:rsid w:val="00A4466C"/>
    <w:rsid w:val="00A44AF2"/>
    <w:rsid w:val="00A4628E"/>
    <w:rsid w:val="00A50A49"/>
    <w:rsid w:val="00A51216"/>
    <w:rsid w:val="00A5172E"/>
    <w:rsid w:val="00A518B3"/>
    <w:rsid w:val="00A5314A"/>
    <w:rsid w:val="00A579FE"/>
    <w:rsid w:val="00A57F60"/>
    <w:rsid w:val="00A61831"/>
    <w:rsid w:val="00A61B50"/>
    <w:rsid w:val="00A62842"/>
    <w:rsid w:val="00A64E13"/>
    <w:rsid w:val="00A65B8D"/>
    <w:rsid w:val="00A65D82"/>
    <w:rsid w:val="00A65E26"/>
    <w:rsid w:val="00A6692D"/>
    <w:rsid w:val="00A67424"/>
    <w:rsid w:val="00A703CE"/>
    <w:rsid w:val="00A7188F"/>
    <w:rsid w:val="00A7216C"/>
    <w:rsid w:val="00A73726"/>
    <w:rsid w:val="00A74063"/>
    <w:rsid w:val="00A7622C"/>
    <w:rsid w:val="00A77949"/>
    <w:rsid w:val="00A77DC7"/>
    <w:rsid w:val="00A8007D"/>
    <w:rsid w:val="00A805A1"/>
    <w:rsid w:val="00A80B43"/>
    <w:rsid w:val="00A80F82"/>
    <w:rsid w:val="00A8244C"/>
    <w:rsid w:val="00A83D36"/>
    <w:rsid w:val="00A83D4E"/>
    <w:rsid w:val="00A842B2"/>
    <w:rsid w:val="00A85B97"/>
    <w:rsid w:val="00A86899"/>
    <w:rsid w:val="00A86C3E"/>
    <w:rsid w:val="00A870FA"/>
    <w:rsid w:val="00A87174"/>
    <w:rsid w:val="00A911E2"/>
    <w:rsid w:val="00A923D9"/>
    <w:rsid w:val="00A93F22"/>
    <w:rsid w:val="00A94E2C"/>
    <w:rsid w:val="00A96674"/>
    <w:rsid w:val="00A977D1"/>
    <w:rsid w:val="00A9791B"/>
    <w:rsid w:val="00AA0100"/>
    <w:rsid w:val="00AA0A4A"/>
    <w:rsid w:val="00AA27AB"/>
    <w:rsid w:val="00AA29E9"/>
    <w:rsid w:val="00AA38C5"/>
    <w:rsid w:val="00AA3DF2"/>
    <w:rsid w:val="00AA4CFC"/>
    <w:rsid w:val="00AA55FC"/>
    <w:rsid w:val="00AA645A"/>
    <w:rsid w:val="00AA749F"/>
    <w:rsid w:val="00AB00F1"/>
    <w:rsid w:val="00AB0764"/>
    <w:rsid w:val="00AB0C54"/>
    <w:rsid w:val="00AB10A6"/>
    <w:rsid w:val="00AB19C6"/>
    <w:rsid w:val="00AB1E7B"/>
    <w:rsid w:val="00AB628D"/>
    <w:rsid w:val="00AB641E"/>
    <w:rsid w:val="00AC1530"/>
    <w:rsid w:val="00AC1D64"/>
    <w:rsid w:val="00AD1E25"/>
    <w:rsid w:val="00AD38ED"/>
    <w:rsid w:val="00AD4282"/>
    <w:rsid w:val="00AD44F3"/>
    <w:rsid w:val="00AD77FD"/>
    <w:rsid w:val="00AE1A7A"/>
    <w:rsid w:val="00AE4894"/>
    <w:rsid w:val="00AE58A7"/>
    <w:rsid w:val="00AE5AC8"/>
    <w:rsid w:val="00AF2758"/>
    <w:rsid w:val="00AF2EB7"/>
    <w:rsid w:val="00AF3C06"/>
    <w:rsid w:val="00AF40DB"/>
    <w:rsid w:val="00AF6A67"/>
    <w:rsid w:val="00AF6F49"/>
    <w:rsid w:val="00AF6F6A"/>
    <w:rsid w:val="00AF7921"/>
    <w:rsid w:val="00B049EC"/>
    <w:rsid w:val="00B04DD6"/>
    <w:rsid w:val="00B078A6"/>
    <w:rsid w:val="00B10264"/>
    <w:rsid w:val="00B109EB"/>
    <w:rsid w:val="00B10FF6"/>
    <w:rsid w:val="00B1212B"/>
    <w:rsid w:val="00B14213"/>
    <w:rsid w:val="00B15800"/>
    <w:rsid w:val="00B16ECA"/>
    <w:rsid w:val="00B173E2"/>
    <w:rsid w:val="00B177F2"/>
    <w:rsid w:val="00B20133"/>
    <w:rsid w:val="00B216FE"/>
    <w:rsid w:val="00B22B40"/>
    <w:rsid w:val="00B24BF4"/>
    <w:rsid w:val="00B26CCB"/>
    <w:rsid w:val="00B31114"/>
    <w:rsid w:val="00B31B5C"/>
    <w:rsid w:val="00B31C12"/>
    <w:rsid w:val="00B3287B"/>
    <w:rsid w:val="00B335E3"/>
    <w:rsid w:val="00B34D98"/>
    <w:rsid w:val="00B35503"/>
    <w:rsid w:val="00B37C1A"/>
    <w:rsid w:val="00B37E5F"/>
    <w:rsid w:val="00B408F8"/>
    <w:rsid w:val="00B40A98"/>
    <w:rsid w:val="00B45AA5"/>
    <w:rsid w:val="00B461BE"/>
    <w:rsid w:val="00B5088E"/>
    <w:rsid w:val="00B50E2C"/>
    <w:rsid w:val="00B50EFF"/>
    <w:rsid w:val="00B517B3"/>
    <w:rsid w:val="00B51D39"/>
    <w:rsid w:val="00B53176"/>
    <w:rsid w:val="00B55C20"/>
    <w:rsid w:val="00B60E0B"/>
    <w:rsid w:val="00B61D3E"/>
    <w:rsid w:val="00B61F76"/>
    <w:rsid w:val="00B626F5"/>
    <w:rsid w:val="00B62782"/>
    <w:rsid w:val="00B64DA8"/>
    <w:rsid w:val="00B66885"/>
    <w:rsid w:val="00B671F1"/>
    <w:rsid w:val="00B7058E"/>
    <w:rsid w:val="00B70873"/>
    <w:rsid w:val="00B70EC1"/>
    <w:rsid w:val="00B7103E"/>
    <w:rsid w:val="00B71315"/>
    <w:rsid w:val="00B7139B"/>
    <w:rsid w:val="00B7173A"/>
    <w:rsid w:val="00B720F7"/>
    <w:rsid w:val="00B72FDD"/>
    <w:rsid w:val="00B737DD"/>
    <w:rsid w:val="00B73E27"/>
    <w:rsid w:val="00B758E5"/>
    <w:rsid w:val="00B76F62"/>
    <w:rsid w:val="00B77B2E"/>
    <w:rsid w:val="00B8098C"/>
    <w:rsid w:val="00B82E03"/>
    <w:rsid w:val="00B83381"/>
    <w:rsid w:val="00B8390D"/>
    <w:rsid w:val="00B860B7"/>
    <w:rsid w:val="00B87E94"/>
    <w:rsid w:val="00B90D57"/>
    <w:rsid w:val="00B90ED9"/>
    <w:rsid w:val="00B912A0"/>
    <w:rsid w:val="00B914B7"/>
    <w:rsid w:val="00B94DC9"/>
    <w:rsid w:val="00B9565F"/>
    <w:rsid w:val="00B95F1A"/>
    <w:rsid w:val="00B973AF"/>
    <w:rsid w:val="00BA0486"/>
    <w:rsid w:val="00BA05BF"/>
    <w:rsid w:val="00BA0DB3"/>
    <w:rsid w:val="00BA0E31"/>
    <w:rsid w:val="00BA2FEE"/>
    <w:rsid w:val="00BA344D"/>
    <w:rsid w:val="00BA42E0"/>
    <w:rsid w:val="00BA6870"/>
    <w:rsid w:val="00BA6C87"/>
    <w:rsid w:val="00BB1EC2"/>
    <w:rsid w:val="00BB1F9B"/>
    <w:rsid w:val="00BB2686"/>
    <w:rsid w:val="00BB2FDB"/>
    <w:rsid w:val="00BB62D7"/>
    <w:rsid w:val="00BB7BD7"/>
    <w:rsid w:val="00BC0C9A"/>
    <w:rsid w:val="00BC0CE4"/>
    <w:rsid w:val="00BC1B9C"/>
    <w:rsid w:val="00BC1EDE"/>
    <w:rsid w:val="00BC6F15"/>
    <w:rsid w:val="00BC6F69"/>
    <w:rsid w:val="00BC7BD0"/>
    <w:rsid w:val="00BD13A2"/>
    <w:rsid w:val="00BD249F"/>
    <w:rsid w:val="00BD44B2"/>
    <w:rsid w:val="00BD5CAE"/>
    <w:rsid w:val="00BD7C52"/>
    <w:rsid w:val="00BE01B0"/>
    <w:rsid w:val="00BE1BBE"/>
    <w:rsid w:val="00BE2DC8"/>
    <w:rsid w:val="00BE32C7"/>
    <w:rsid w:val="00BE4652"/>
    <w:rsid w:val="00BE4A75"/>
    <w:rsid w:val="00BE4FDC"/>
    <w:rsid w:val="00BE5C36"/>
    <w:rsid w:val="00BE5D41"/>
    <w:rsid w:val="00BE5E38"/>
    <w:rsid w:val="00BE6AB8"/>
    <w:rsid w:val="00BF01B4"/>
    <w:rsid w:val="00BF0D74"/>
    <w:rsid w:val="00BF0DCB"/>
    <w:rsid w:val="00BF1D3E"/>
    <w:rsid w:val="00BF1EC0"/>
    <w:rsid w:val="00BF2AD9"/>
    <w:rsid w:val="00BF2F98"/>
    <w:rsid w:val="00C00D17"/>
    <w:rsid w:val="00C01348"/>
    <w:rsid w:val="00C02A64"/>
    <w:rsid w:val="00C06278"/>
    <w:rsid w:val="00C06502"/>
    <w:rsid w:val="00C06661"/>
    <w:rsid w:val="00C11344"/>
    <w:rsid w:val="00C1297D"/>
    <w:rsid w:val="00C14017"/>
    <w:rsid w:val="00C14339"/>
    <w:rsid w:val="00C148AE"/>
    <w:rsid w:val="00C14B07"/>
    <w:rsid w:val="00C1506F"/>
    <w:rsid w:val="00C16BC0"/>
    <w:rsid w:val="00C20D6D"/>
    <w:rsid w:val="00C224D0"/>
    <w:rsid w:val="00C22D01"/>
    <w:rsid w:val="00C22D64"/>
    <w:rsid w:val="00C23695"/>
    <w:rsid w:val="00C24E8F"/>
    <w:rsid w:val="00C27C9C"/>
    <w:rsid w:val="00C30AC0"/>
    <w:rsid w:val="00C31741"/>
    <w:rsid w:val="00C31CFE"/>
    <w:rsid w:val="00C33CFB"/>
    <w:rsid w:val="00C346BF"/>
    <w:rsid w:val="00C35B04"/>
    <w:rsid w:val="00C35CE7"/>
    <w:rsid w:val="00C362F6"/>
    <w:rsid w:val="00C37A09"/>
    <w:rsid w:val="00C40250"/>
    <w:rsid w:val="00C412FF"/>
    <w:rsid w:val="00C41357"/>
    <w:rsid w:val="00C4233C"/>
    <w:rsid w:val="00C42EFC"/>
    <w:rsid w:val="00C43203"/>
    <w:rsid w:val="00C446B2"/>
    <w:rsid w:val="00C45315"/>
    <w:rsid w:val="00C4666C"/>
    <w:rsid w:val="00C46DE0"/>
    <w:rsid w:val="00C4711E"/>
    <w:rsid w:val="00C52510"/>
    <w:rsid w:val="00C53AA4"/>
    <w:rsid w:val="00C548B9"/>
    <w:rsid w:val="00C55168"/>
    <w:rsid w:val="00C56885"/>
    <w:rsid w:val="00C56A00"/>
    <w:rsid w:val="00C57680"/>
    <w:rsid w:val="00C57997"/>
    <w:rsid w:val="00C57DE8"/>
    <w:rsid w:val="00C57EAB"/>
    <w:rsid w:val="00C6008E"/>
    <w:rsid w:val="00C607C9"/>
    <w:rsid w:val="00C60D08"/>
    <w:rsid w:val="00C6230B"/>
    <w:rsid w:val="00C625C8"/>
    <w:rsid w:val="00C62C05"/>
    <w:rsid w:val="00C669B9"/>
    <w:rsid w:val="00C70AD4"/>
    <w:rsid w:val="00C7296B"/>
    <w:rsid w:val="00C72D55"/>
    <w:rsid w:val="00C732C5"/>
    <w:rsid w:val="00C73A6C"/>
    <w:rsid w:val="00C80261"/>
    <w:rsid w:val="00C80FE1"/>
    <w:rsid w:val="00C8246A"/>
    <w:rsid w:val="00C830CA"/>
    <w:rsid w:val="00C83120"/>
    <w:rsid w:val="00C83BAB"/>
    <w:rsid w:val="00C84197"/>
    <w:rsid w:val="00C84663"/>
    <w:rsid w:val="00C85077"/>
    <w:rsid w:val="00C90249"/>
    <w:rsid w:val="00C904A0"/>
    <w:rsid w:val="00C90E22"/>
    <w:rsid w:val="00C9115E"/>
    <w:rsid w:val="00C9167C"/>
    <w:rsid w:val="00C9216D"/>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52F"/>
    <w:rsid w:val="00CC1CE1"/>
    <w:rsid w:val="00CC1DB1"/>
    <w:rsid w:val="00CC7136"/>
    <w:rsid w:val="00CC7CEF"/>
    <w:rsid w:val="00CD0468"/>
    <w:rsid w:val="00CD0531"/>
    <w:rsid w:val="00CD0695"/>
    <w:rsid w:val="00CD1491"/>
    <w:rsid w:val="00CD2E0F"/>
    <w:rsid w:val="00CD39B3"/>
    <w:rsid w:val="00CD3F1B"/>
    <w:rsid w:val="00CD400C"/>
    <w:rsid w:val="00CD64DE"/>
    <w:rsid w:val="00CD6CBA"/>
    <w:rsid w:val="00CE0E82"/>
    <w:rsid w:val="00CE50AD"/>
    <w:rsid w:val="00CE5195"/>
    <w:rsid w:val="00CE51E4"/>
    <w:rsid w:val="00CF0BF5"/>
    <w:rsid w:val="00CF10FC"/>
    <w:rsid w:val="00CF1122"/>
    <w:rsid w:val="00CF14D4"/>
    <w:rsid w:val="00CF1E45"/>
    <w:rsid w:val="00CF2A1C"/>
    <w:rsid w:val="00CF5088"/>
    <w:rsid w:val="00CF52A9"/>
    <w:rsid w:val="00CF5631"/>
    <w:rsid w:val="00CF6971"/>
    <w:rsid w:val="00CF7993"/>
    <w:rsid w:val="00D00AC1"/>
    <w:rsid w:val="00D014AF"/>
    <w:rsid w:val="00D03B93"/>
    <w:rsid w:val="00D0470D"/>
    <w:rsid w:val="00D0621C"/>
    <w:rsid w:val="00D12214"/>
    <w:rsid w:val="00D12D3B"/>
    <w:rsid w:val="00D16225"/>
    <w:rsid w:val="00D16547"/>
    <w:rsid w:val="00D2010F"/>
    <w:rsid w:val="00D20368"/>
    <w:rsid w:val="00D22035"/>
    <w:rsid w:val="00D24260"/>
    <w:rsid w:val="00D2489A"/>
    <w:rsid w:val="00D24BE6"/>
    <w:rsid w:val="00D25099"/>
    <w:rsid w:val="00D2589A"/>
    <w:rsid w:val="00D309C0"/>
    <w:rsid w:val="00D33A7B"/>
    <w:rsid w:val="00D33C66"/>
    <w:rsid w:val="00D34A5A"/>
    <w:rsid w:val="00D35BF1"/>
    <w:rsid w:val="00D3635F"/>
    <w:rsid w:val="00D378CF"/>
    <w:rsid w:val="00D44218"/>
    <w:rsid w:val="00D4494B"/>
    <w:rsid w:val="00D45843"/>
    <w:rsid w:val="00D512AF"/>
    <w:rsid w:val="00D5482F"/>
    <w:rsid w:val="00D5491A"/>
    <w:rsid w:val="00D566F5"/>
    <w:rsid w:val="00D56752"/>
    <w:rsid w:val="00D56F54"/>
    <w:rsid w:val="00D5780C"/>
    <w:rsid w:val="00D62375"/>
    <w:rsid w:val="00D63950"/>
    <w:rsid w:val="00D63A6F"/>
    <w:rsid w:val="00D6418B"/>
    <w:rsid w:val="00D70AB8"/>
    <w:rsid w:val="00D7104A"/>
    <w:rsid w:val="00D718E2"/>
    <w:rsid w:val="00D71C93"/>
    <w:rsid w:val="00D73B5B"/>
    <w:rsid w:val="00D73C51"/>
    <w:rsid w:val="00D74FDC"/>
    <w:rsid w:val="00D81FE4"/>
    <w:rsid w:val="00D82506"/>
    <w:rsid w:val="00D871A9"/>
    <w:rsid w:val="00D90B45"/>
    <w:rsid w:val="00D9154A"/>
    <w:rsid w:val="00D91AF2"/>
    <w:rsid w:val="00D93271"/>
    <w:rsid w:val="00D94A88"/>
    <w:rsid w:val="00D957F2"/>
    <w:rsid w:val="00D96319"/>
    <w:rsid w:val="00D96B92"/>
    <w:rsid w:val="00DA0CA2"/>
    <w:rsid w:val="00DA1573"/>
    <w:rsid w:val="00DA158D"/>
    <w:rsid w:val="00DA1A82"/>
    <w:rsid w:val="00DA4B87"/>
    <w:rsid w:val="00DB0766"/>
    <w:rsid w:val="00DB225F"/>
    <w:rsid w:val="00DB31F5"/>
    <w:rsid w:val="00DB4D86"/>
    <w:rsid w:val="00DB53F2"/>
    <w:rsid w:val="00DB55B5"/>
    <w:rsid w:val="00DB5D12"/>
    <w:rsid w:val="00DC0207"/>
    <w:rsid w:val="00DC1DD2"/>
    <w:rsid w:val="00DC2CBE"/>
    <w:rsid w:val="00DC62A8"/>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51A"/>
    <w:rsid w:val="00DD664B"/>
    <w:rsid w:val="00DD7E8E"/>
    <w:rsid w:val="00DE06FD"/>
    <w:rsid w:val="00DE2129"/>
    <w:rsid w:val="00DE28BF"/>
    <w:rsid w:val="00DE5048"/>
    <w:rsid w:val="00DE6690"/>
    <w:rsid w:val="00DE7637"/>
    <w:rsid w:val="00DF09B8"/>
    <w:rsid w:val="00DF15EE"/>
    <w:rsid w:val="00DF2313"/>
    <w:rsid w:val="00DF2414"/>
    <w:rsid w:val="00E006B6"/>
    <w:rsid w:val="00E013E9"/>
    <w:rsid w:val="00E02840"/>
    <w:rsid w:val="00E02932"/>
    <w:rsid w:val="00E03C3C"/>
    <w:rsid w:val="00E03CD9"/>
    <w:rsid w:val="00E0670C"/>
    <w:rsid w:val="00E1020C"/>
    <w:rsid w:val="00E1033E"/>
    <w:rsid w:val="00E1037F"/>
    <w:rsid w:val="00E10991"/>
    <w:rsid w:val="00E10F14"/>
    <w:rsid w:val="00E11F28"/>
    <w:rsid w:val="00E12B19"/>
    <w:rsid w:val="00E14744"/>
    <w:rsid w:val="00E154AB"/>
    <w:rsid w:val="00E164E7"/>
    <w:rsid w:val="00E16654"/>
    <w:rsid w:val="00E1684A"/>
    <w:rsid w:val="00E20FA4"/>
    <w:rsid w:val="00E21CDD"/>
    <w:rsid w:val="00E221AF"/>
    <w:rsid w:val="00E22360"/>
    <w:rsid w:val="00E23669"/>
    <w:rsid w:val="00E25425"/>
    <w:rsid w:val="00E25B8B"/>
    <w:rsid w:val="00E25C3E"/>
    <w:rsid w:val="00E31D43"/>
    <w:rsid w:val="00E32E8C"/>
    <w:rsid w:val="00E32EEE"/>
    <w:rsid w:val="00E33520"/>
    <w:rsid w:val="00E3623E"/>
    <w:rsid w:val="00E37775"/>
    <w:rsid w:val="00E40BC0"/>
    <w:rsid w:val="00E41A8D"/>
    <w:rsid w:val="00E41B56"/>
    <w:rsid w:val="00E427DF"/>
    <w:rsid w:val="00E43435"/>
    <w:rsid w:val="00E452B1"/>
    <w:rsid w:val="00E475A6"/>
    <w:rsid w:val="00E5029D"/>
    <w:rsid w:val="00E5191F"/>
    <w:rsid w:val="00E52305"/>
    <w:rsid w:val="00E541B0"/>
    <w:rsid w:val="00E57493"/>
    <w:rsid w:val="00E61CDE"/>
    <w:rsid w:val="00E6422C"/>
    <w:rsid w:val="00E65459"/>
    <w:rsid w:val="00E65BA3"/>
    <w:rsid w:val="00E67D3C"/>
    <w:rsid w:val="00E7006D"/>
    <w:rsid w:val="00E705F5"/>
    <w:rsid w:val="00E70F17"/>
    <w:rsid w:val="00E742BA"/>
    <w:rsid w:val="00E75BB5"/>
    <w:rsid w:val="00E80E37"/>
    <w:rsid w:val="00E8133F"/>
    <w:rsid w:val="00E83450"/>
    <w:rsid w:val="00E83502"/>
    <w:rsid w:val="00E8389D"/>
    <w:rsid w:val="00E86739"/>
    <w:rsid w:val="00E87E3A"/>
    <w:rsid w:val="00E90895"/>
    <w:rsid w:val="00E90E54"/>
    <w:rsid w:val="00E91FF2"/>
    <w:rsid w:val="00E9216D"/>
    <w:rsid w:val="00E94929"/>
    <w:rsid w:val="00E94FF3"/>
    <w:rsid w:val="00E9514D"/>
    <w:rsid w:val="00E9641D"/>
    <w:rsid w:val="00EA0F7F"/>
    <w:rsid w:val="00EA2C19"/>
    <w:rsid w:val="00EA379C"/>
    <w:rsid w:val="00EA37E1"/>
    <w:rsid w:val="00EA3D24"/>
    <w:rsid w:val="00EA4780"/>
    <w:rsid w:val="00EA4997"/>
    <w:rsid w:val="00EA4DC3"/>
    <w:rsid w:val="00EA4F63"/>
    <w:rsid w:val="00EA5167"/>
    <w:rsid w:val="00EA5E1B"/>
    <w:rsid w:val="00EA6B8E"/>
    <w:rsid w:val="00EA7123"/>
    <w:rsid w:val="00EB37B1"/>
    <w:rsid w:val="00EB4A8B"/>
    <w:rsid w:val="00EB4DFF"/>
    <w:rsid w:val="00EB7630"/>
    <w:rsid w:val="00EC0A91"/>
    <w:rsid w:val="00EC2D3E"/>
    <w:rsid w:val="00EC2DA8"/>
    <w:rsid w:val="00EC3B6D"/>
    <w:rsid w:val="00EC3CA5"/>
    <w:rsid w:val="00EC45FC"/>
    <w:rsid w:val="00EC4A4E"/>
    <w:rsid w:val="00EC6A8E"/>
    <w:rsid w:val="00EC6BCB"/>
    <w:rsid w:val="00EC6D2B"/>
    <w:rsid w:val="00ED073E"/>
    <w:rsid w:val="00ED2E55"/>
    <w:rsid w:val="00ED3CC3"/>
    <w:rsid w:val="00ED4ACD"/>
    <w:rsid w:val="00ED54D9"/>
    <w:rsid w:val="00ED5DDA"/>
    <w:rsid w:val="00ED7D48"/>
    <w:rsid w:val="00EE1352"/>
    <w:rsid w:val="00EE13BD"/>
    <w:rsid w:val="00EE3E2A"/>
    <w:rsid w:val="00EE3E2F"/>
    <w:rsid w:val="00EE480B"/>
    <w:rsid w:val="00EE695C"/>
    <w:rsid w:val="00EF1B21"/>
    <w:rsid w:val="00EF6D91"/>
    <w:rsid w:val="00F02180"/>
    <w:rsid w:val="00F024F6"/>
    <w:rsid w:val="00F02DE0"/>
    <w:rsid w:val="00F053FC"/>
    <w:rsid w:val="00F06CB3"/>
    <w:rsid w:val="00F0776B"/>
    <w:rsid w:val="00F079CC"/>
    <w:rsid w:val="00F07FC2"/>
    <w:rsid w:val="00F11040"/>
    <w:rsid w:val="00F11375"/>
    <w:rsid w:val="00F123A4"/>
    <w:rsid w:val="00F1402D"/>
    <w:rsid w:val="00F14A2E"/>
    <w:rsid w:val="00F1519C"/>
    <w:rsid w:val="00F16359"/>
    <w:rsid w:val="00F179FA"/>
    <w:rsid w:val="00F17D61"/>
    <w:rsid w:val="00F206EF"/>
    <w:rsid w:val="00F21698"/>
    <w:rsid w:val="00F24A07"/>
    <w:rsid w:val="00F2514D"/>
    <w:rsid w:val="00F25784"/>
    <w:rsid w:val="00F27F5D"/>
    <w:rsid w:val="00F27F68"/>
    <w:rsid w:val="00F3043E"/>
    <w:rsid w:val="00F30907"/>
    <w:rsid w:val="00F32035"/>
    <w:rsid w:val="00F321E1"/>
    <w:rsid w:val="00F32509"/>
    <w:rsid w:val="00F3568E"/>
    <w:rsid w:val="00F35DBE"/>
    <w:rsid w:val="00F37880"/>
    <w:rsid w:val="00F42116"/>
    <w:rsid w:val="00F4377C"/>
    <w:rsid w:val="00F4392A"/>
    <w:rsid w:val="00F4491E"/>
    <w:rsid w:val="00F466A1"/>
    <w:rsid w:val="00F469C7"/>
    <w:rsid w:val="00F46C66"/>
    <w:rsid w:val="00F51128"/>
    <w:rsid w:val="00F512B9"/>
    <w:rsid w:val="00F530D1"/>
    <w:rsid w:val="00F5315D"/>
    <w:rsid w:val="00F53782"/>
    <w:rsid w:val="00F54463"/>
    <w:rsid w:val="00F54E38"/>
    <w:rsid w:val="00F551B0"/>
    <w:rsid w:val="00F55500"/>
    <w:rsid w:val="00F57365"/>
    <w:rsid w:val="00F6038A"/>
    <w:rsid w:val="00F62D24"/>
    <w:rsid w:val="00F6398A"/>
    <w:rsid w:val="00F662B1"/>
    <w:rsid w:val="00F66731"/>
    <w:rsid w:val="00F702D3"/>
    <w:rsid w:val="00F72415"/>
    <w:rsid w:val="00F762D5"/>
    <w:rsid w:val="00F76381"/>
    <w:rsid w:val="00F7668F"/>
    <w:rsid w:val="00F807EF"/>
    <w:rsid w:val="00F81765"/>
    <w:rsid w:val="00F82312"/>
    <w:rsid w:val="00F83C99"/>
    <w:rsid w:val="00F841EA"/>
    <w:rsid w:val="00F8426B"/>
    <w:rsid w:val="00F849C5"/>
    <w:rsid w:val="00F8623A"/>
    <w:rsid w:val="00F8650B"/>
    <w:rsid w:val="00F8652F"/>
    <w:rsid w:val="00F87E4D"/>
    <w:rsid w:val="00F90B7E"/>
    <w:rsid w:val="00F90CCF"/>
    <w:rsid w:val="00F90F11"/>
    <w:rsid w:val="00F92334"/>
    <w:rsid w:val="00F94C52"/>
    <w:rsid w:val="00F960DD"/>
    <w:rsid w:val="00F972BF"/>
    <w:rsid w:val="00FA0211"/>
    <w:rsid w:val="00FA0F1F"/>
    <w:rsid w:val="00FA26F7"/>
    <w:rsid w:val="00FA3C84"/>
    <w:rsid w:val="00FA4E53"/>
    <w:rsid w:val="00FA52DD"/>
    <w:rsid w:val="00FA745A"/>
    <w:rsid w:val="00FB0E2A"/>
    <w:rsid w:val="00FB1E09"/>
    <w:rsid w:val="00FB2D96"/>
    <w:rsid w:val="00FB4039"/>
    <w:rsid w:val="00FB409B"/>
    <w:rsid w:val="00FB4892"/>
    <w:rsid w:val="00FB48F2"/>
    <w:rsid w:val="00FB5F85"/>
    <w:rsid w:val="00FB6C65"/>
    <w:rsid w:val="00FB6DF3"/>
    <w:rsid w:val="00FC0ED3"/>
    <w:rsid w:val="00FC1289"/>
    <w:rsid w:val="00FC15D5"/>
    <w:rsid w:val="00FC1EB8"/>
    <w:rsid w:val="00FC4C17"/>
    <w:rsid w:val="00FC7940"/>
    <w:rsid w:val="00FD0CFA"/>
    <w:rsid w:val="00FD0F89"/>
    <w:rsid w:val="00FD13D4"/>
    <w:rsid w:val="00FD41C0"/>
    <w:rsid w:val="00FD46BA"/>
    <w:rsid w:val="00FD5289"/>
    <w:rsid w:val="00FD5D4A"/>
    <w:rsid w:val="00FD6A65"/>
    <w:rsid w:val="00FD7489"/>
    <w:rsid w:val="00FE09B0"/>
    <w:rsid w:val="00FE0F9D"/>
    <w:rsid w:val="00FE10E6"/>
    <w:rsid w:val="00FE1705"/>
    <w:rsid w:val="00FE2BA0"/>
    <w:rsid w:val="00FE36E0"/>
    <w:rsid w:val="00FE39B6"/>
    <w:rsid w:val="00FE48CB"/>
    <w:rsid w:val="00FE498F"/>
    <w:rsid w:val="00FE56C7"/>
    <w:rsid w:val="00FE5730"/>
    <w:rsid w:val="00FE63CD"/>
    <w:rsid w:val="00FE6B6F"/>
    <w:rsid w:val="00FE6D48"/>
    <w:rsid w:val="00FE6F33"/>
    <w:rsid w:val="00FE76F9"/>
    <w:rsid w:val="00FE7CF8"/>
    <w:rsid w:val="00FF10BD"/>
    <w:rsid w:val="00FF195B"/>
    <w:rsid w:val="00FF1B37"/>
    <w:rsid w:val="00FF1D19"/>
    <w:rsid w:val="00FF1F29"/>
    <w:rsid w:val="00FF24FD"/>
    <w:rsid w:val="00FF36BC"/>
    <w:rsid w:val="00FF481A"/>
    <w:rsid w:val="00FF4988"/>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ED6310"/>
  <w15:docId w15:val="{65E83BE6-3EF6-48FD-B9AF-28BD5F04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red">
    <w:name w:val="red"/>
    <w:basedOn w:val="Fuentedeprrafopredeter"/>
    <w:rsid w:val="005E3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78890059">
      <w:bodyDiv w:val="1"/>
      <w:marLeft w:val="0"/>
      <w:marRight w:val="0"/>
      <w:marTop w:val="0"/>
      <w:marBottom w:val="0"/>
      <w:divBdr>
        <w:top w:val="none" w:sz="0" w:space="0" w:color="auto"/>
        <w:left w:val="none" w:sz="0" w:space="0" w:color="auto"/>
        <w:bottom w:val="none" w:sz="0" w:space="0" w:color="auto"/>
        <w:right w:val="none" w:sz="0" w:space="0" w:color="auto"/>
      </w:divBdr>
      <w:divsChild>
        <w:div w:id="465392753">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007367942">
      <w:bodyDiv w:val="1"/>
      <w:marLeft w:val="0"/>
      <w:marRight w:val="0"/>
      <w:marTop w:val="0"/>
      <w:marBottom w:val="0"/>
      <w:divBdr>
        <w:top w:val="none" w:sz="0" w:space="0" w:color="auto"/>
        <w:left w:val="none" w:sz="0" w:space="0" w:color="auto"/>
        <w:bottom w:val="none" w:sz="0" w:space="0" w:color="auto"/>
        <w:right w:val="none" w:sz="0" w:space="0" w:color="auto"/>
      </w:divBdr>
      <w:divsChild>
        <w:div w:id="45375346">
          <w:marLeft w:val="0"/>
          <w:marRight w:val="0"/>
          <w:marTop w:val="0"/>
          <w:marBottom w:val="0"/>
          <w:divBdr>
            <w:top w:val="none" w:sz="0" w:space="0" w:color="auto"/>
            <w:left w:val="none" w:sz="0" w:space="0" w:color="auto"/>
            <w:bottom w:val="none" w:sz="0" w:space="0" w:color="auto"/>
            <w:right w:val="none" w:sz="0" w:space="0" w:color="auto"/>
          </w:divBdr>
        </w:div>
      </w:divsChild>
    </w:div>
    <w:div w:id="1205754502">
      <w:bodyDiv w:val="1"/>
      <w:marLeft w:val="0"/>
      <w:marRight w:val="0"/>
      <w:marTop w:val="0"/>
      <w:marBottom w:val="0"/>
      <w:divBdr>
        <w:top w:val="none" w:sz="0" w:space="0" w:color="auto"/>
        <w:left w:val="none" w:sz="0" w:space="0" w:color="auto"/>
        <w:bottom w:val="none" w:sz="0" w:space="0" w:color="auto"/>
        <w:right w:val="none" w:sz="0" w:space="0" w:color="auto"/>
      </w:divBdr>
      <w:divsChild>
        <w:div w:id="177408608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77860402">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3)"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16459-3140-4E1E-B21C-ADF19FC69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4897</TotalTime>
  <Pages>10</Pages>
  <Words>4383</Words>
  <Characters>24112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111</cp:revision>
  <cp:lastPrinted>2019-05-23T17:33:00Z</cp:lastPrinted>
  <dcterms:created xsi:type="dcterms:W3CDTF">2019-05-23T17:34:00Z</dcterms:created>
  <dcterms:modified xsi:type="dcterms:W3CDTF">2021-01-25T20:21:00Z</dcterms:modified>
</cp:coreProperties>
</file>