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011D5FD5" w:rsidR="00C06661" w:rsidRPr="00CB6405" w:rsidRDefault="002F083C" w:rsidP="00C06661">
      <w:pPr>
        <w:spacing w:line="240" w:lineRule="auto"/>
        <w:ind w:left="2124"/>
        <w:jc w:val="both"/>
        <w:rPr>
          <w:rFonts w:ascii="Arial" w:hAnsi="Arial" w:cs="Arial"/>
          <w:b/>
          <w:sz w:val="26"/>
          <w:szCs w:val="26"/>
        </w:rPr>
      </w:pPr>
      <w:r>
        <w:rPr>
          <w:rFonts w:ascii="Arial" w:hAnsi="Arial" w:cs="Arial"/>
          <w:b/>
          <w:sz w:val="26"/>
          <w:szCs w:val="26"/>
        </w:rPr>
        <w:t>RECURSO DE REVISIÓN:   307</w:t>
      </w:r>
      <w:r w:rsidR="00FF518D">
        <w:rPr>
          <w:rFonts w:ascii="Arial" w:hAnsi="Arial" w:cs="Arial"/>
          <w:b/>
          <w:sz w:val="26"/>
          <w:szCs w:val="26"/>
        </w:rPr>
        <w:t>/20</w:t>
      </w:r>
      <w:r w:rsidR="00187EB8">
        <w:rPr>
          <w:rFonts w:ascii="Arial" w:hAnsi="Arial" w:cs="Arial"/>
          <w:b/>
          <w:sz w:val="26"/>
          <w:szCs w:val="26"/>
        </w:rPr>
        <w:t>19</w:t>
      </w:r>
    </w:p>
    <w:p w14:paraId="0E20F414" w14:textId="1438D2D9"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F083C">
        <w:rPr>
          <w:rFonts w:ascii="Arial" w:hAnsi="Arial" w:cs="Arial"/>
          <w:b/>
          <w:sz w:val="26"/>
          <w:szCs w:val="26"/>
        </w:rPr>
        <w:t>1</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2F083C">
        <w:rPr>
          <w:rFonts w:ascii="Arial" w:hAnsi="Arial" w:cs="Arial"/>
          <w:b/>
          <w:sz w:val="26"/>
          <w:szCs w:val="26"/>
        </w:rPr>
        <w:t>SEGUNDA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00B11583"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2492E3A3" w14:textId="77777777" w:rsidR="00BC3A3C" w:rsidRDefault="00BC3A3C" w:rsidP="00C06661">
      <w:pPr>
        <w:spacing w:line="240" w:lineRule="auto"/>
        <w:ind w:left="2124"/>
        <w:jc w:val="both"/>
        <w:rPr>
          <w:rFonts w:ascii="Arial" w:hAnsi="Arial" w:cs="Arial"/>
          <w:b/>
          <w:sz w:val="26"/>
          <w:szCs w:val="26"/>
        </w:rPr>
      </w:pPr>
    </w:p>
    <w:p w14:paraId="72E48555" w14:textId="781B6D0A"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4F36F5">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4F36F5">
        <w:rPr>
          <w:rFonts w:ascii="Arial" w:hAnsi="Arial" w:cs="Arial"/>
          <w:b/>
          <w:sz w:val="26"/>
          <w:szCs w:val="26"/>
        </w:rPr>
        <w:t xml:space="preserve"> - - - - - - - - - - - - - - - - - - - - - - - - - - - - - - - - - - - - - - - - - - - - -</w:t>
      </w:r>
    </w:p>
    <w:p w14:paraId="43DBF73A" w14:textId="0E5B4263" w:rsidR="004446D8" w:rsidRPr="00F67505" w:rsidRDefault="00B525A6" w:rsidP="00F67505">
      <w:pPr>
        <w:spacing w:line="360" w:lineRule="auto"/>
        <w:ind w:firstLine="708"/>
        <w:jc w:val="both"/>
        <w:rPr>
          <w:rFonts w:ascii="Arial" w:hAnsi="Arial" w:cs="Arial"/>
          <w:b/>
          <w:sz w:val="26"/>
          <w:szCs w:val="26"/>
        </w:rPr>
      </w:pPr>
      <w:r w:rsidRPr="00CB6405">
        <w:rPr>
          <w:rFonts w:ascii="Arial" w:hAnsi="Arial" w:cs="Arial"/>
          <w:sz w:val="26"/>
          <w:szCs w:val="26"/>
        </w:rPr>
        <w:t xml:space="preserve">Por recibido el Cuaderno de Revisión </w:t>
      </w:r>
      <w:r w:rsidR="002F083C">
        <w:rPr>
          <w:rFonts w:ascii="Arial" w:hAnsi="Arial" w:cs="Arial"/>
          <w:b/>
          <w:sz w:val="26"/>
          <w:szCs w:val="26"/>
        </w:rPr>
        <w:t>307</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6E7FBD">
        <w:rPr>
          <w:rFonts w:ascii="Arial" w:hAnsi="Arial" w:cs="Arial"/>
          <w:color w:val="000000"/>
          <w:sz w:val="26"/>
          <w:szCs w:val="26"/>
        </w:rPr>
        <w:t>***********</w:t>
      </w:r>
      <w:r w:rsidR="009207FE">
        <w:rPr>
          <w:rFonts w:ascii="Arial" w:hAnsi="Arial" w:cs="Arial"/>
          <w:sz w:val="26"/>
          <w:szCs w:val="26"/>
        </w:rPr>
        <w:t>,</w:t>
      </w:r>
      <w:r w:rsidRPr="00CB6405">
        <w:rPr>
          <w:rFonts w:ascii="Arial" w:hAnsi="Arial" w:cs="Arial"/>
          <w:sz w:val="26"/>
          <w:szCs w:val="26"/>
        </w:rPr>
        <w:t xml:space="preserve"> en contra de</w:t>
      </w:r>
      <w:r w:rsidR="008143D6">
        <w:rPr>
          <w:rFonts w:ascii="Arial" w:hAnsi="Arial" w:cs="Arial"/>
          <w:sz w:val="26"/>
          <w:szCs w:val="26"/>
        </w:rPr>
        <w:t xml:space="preserve">l </w:t>
      </w:r>
      <w:r w:rsidR="00187EB8">
        <w:rPr>
          <w:rFonts w:ascii="Arial" w:hAnsi="Arial" w:cs="Arial"/>
          <w:sz w:val="26"/>
          <w:szCs w:val="26"/>
        </w:rPr>
        <w:t xml:space="preserve"> acuerdo</w:t>
      </w:r>
      <w:r>
        <w:rPr>
          <w:rFonts w:ascii="Arial" w:hAnsi="Arial" w:cs="Arial"/>
          <w:sz w:val="26"/>
          <w:szCs w:val="26"/>
        </w:rPr>
        <w:t xml:space="preserve"> de </w:t>
      </w:r>
      <w:r w:rsidR="008143D6">
        <w:rPr>
          <w:rFonts w:ascii="Arial" w:hAnsi="Arial" w:cs="Arial"/>
          <w:sz w:val="26"/>
          <w:szCs w:val="26"/>
        </w:rPr>
        <w:t>nueve</w:t>
      </w:r>
      <w:r w:rsidR="00F67505">
        <w:rPr>
          <w:rFonts w:ascii="Arial" w:hAnsi="Arial" w:cs="Arial"/>
          <w:sz w:val="26"/>
          <w:szCs w:val="26"/>
        </w:rPr>
        <w:t xml:space="preserve"> de agosto</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Pr="00CB6405">
        <w:rPr>
          <w:rFonts w:ascii="Arial" w:hAnsi="Arial" w:cs="Arial"/>
          <w:sz w:val="26"/>
          <w:szCs w:val="26"/>
        </w:rPr>
        <w:t xml:space="preserve"> en el expediente </w:t>
      </w:r>
      <w:r w:rsidR="008143D6">
        <w:rPr>
          <w:rFonts w:ascii="Arial" w:hAnsi="Arial" w:cs="Arial"/>
          <w:b/>
          <w:sz w:val="26"/>
          <w:szCs w:val="26"/>
        </w:rPr>
        <w:t>1</w:t>
      </w:r>
      <w:r w:rsidR="00187EB8">
        <w:rPr>
          <w:rFonts w:ascii="Arial" w:hAnsi="Arial" w:cs="Arial"/>
          <w:b/>
          <w:sz w:val="26"/>
          <w:szCs w:val="26"/>
        </w:rPr>
        <w:t>/2019</w:t>
      </w:r>
      <w:r w:rsidRPr="00CB6405">
        <w:rPr>
          <w:rFonts w:ascii="Arial" w:hAnsi="Arial" w:cs="Arial"/>
          <w:sz w:val="26"/>
          <w:szCs w:val="26"/>
        </w:rPr>
        <w:t xml:space="preserve"> de la </w:t>
      </w:r>
      <w:r w:rsidR="008143D6">
        <w:rPr>
          <w:rFonts w:ascii="Arial" w:hAnsi="Arial" w:cs="Arial"/>
          <w:sz w:val="26"/>
          <w:szCs w:val="26"/>
        </w:rPr>
        <w:t>Segunda</w:t>
      </w:r>
      <w:r w:rsidR="00D60731">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8143D6">
        <w:rPr>
          <w:rFonts w:ascii="Arial" w:hAnsi="Arial" w:cs="Arial"/>
          <w:b/>
          <w:sz w:val="26"/>
          <w:szCs w:val="26"/>
        </w:rPr>
        <w:t>LA</w:t>
      </w:r>
      <w:r w:rsidR="00187EB8">
        <w:rPr>
          <w:rFonts w:ascii="Arial" w:hAnsi="Arial" w:cs="Arial"/>
          <w:b/>
          <w:sz w:val="26"/>
          <w:szCs w:val="26"/>
        </w:rPr>
        <w:t xml:space="preserve"> RECURRENTE</w:t>
      </w:r>
      <w:r w:rsidRPr="00CB6405">
        <w:rPr>
          <w:rFonts w:ascii="Arial" w:hAnsi="Arial" w:cs="Arial"/>
          <w:b/>
          <w:sz w:val="26"/>
          <w:szCs w:val="26"/>
        </w:rPr>
        <w:t xml:space="preserve">, </w:t>
      </w:r>
      <w:r w:rsidRPr="00CB6405">
        <w:rPr>
          <w:rFonts w:ascii="Arial" w:hAnsi="Arial" w:cs="Arial"/>
          <w:sz w:val="26"/>
          <w:szCs w:val="26"/>
        </w:rPr>
        <w:t xml:space="preserve">en contra </w:t>
      </w:r>
      <w:r w:rsidR="00F67505">
        <w:rPr>
          <w:rFonts w:ascii="Arial" w:hAnsi="Arial" w:cs="Arial"/>
          <w:b/>
          <w:sz w:val="26"/>
          <w:szCs w:val="26"/>
        </w:rPr>
        <w:t xml:space="preserve">del DIRECTOR DE </w:t>
      </w:r>
      <w:r w:rsidR="008143D6">
        <w:rPr>
          <w:rFonts w:ascii="Arial" w:hAnsi="Arial" w:cs="Arial"/>
          <w:b/>
          <w:sz w:val="26"/>
          <w:szCs w:val="26"/>
        </w:rPr>
        <w:t>ADMINISTRACIÓN DE LOS SERVICIOS DE SALUD DE OAXACA</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2268AFD3"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F67505">
        <w:rPr>
          <w:rFonts w:ascii="Arial" w:hAnsi="Arial" w:cs="Arial"/>
          <w:sz w:val="26"/>
          <w:szCs w:val="26"/>
        </w:rPr>
        <w:t>el</w:t>
      </w:r>
      <w:r w:rsidR="00187EB8">
        <w:rPr>
          <w:rFonts w:ascii="Arial" w:hAnsi="Arial" w:cs="Arial"/>
          <w:sz w:val="26"/>
          <w:szCs w:val="26"/>
        </w:rPr>
        <w:t xml:space="preserve"> acuerdo</w:t>
      </w:r>
      <w:r>
        <w:rPr>
          <w:rFonts w:ascii="Arial" w:hAnsi="Arial" w:cs="Arial"/>
          <w:sz w:val="26"/>
          <w:szCs w:val="26"/>
        </w:rPr>
        <w:t xml:space="preserve"> </w:t>
      </w:r>
      <w:r w:rsidRPr="00CB6405">
        <w:rPr>
          <w:rFonts w:ascii="Arial" w:hAnsi="Arial" w:cs="Arial"/>
          <w:sz w:val="26"/>
          <w:szCs w:val="26"/>
        </w:rPr>
        <w:t xml:space="preserve">de </w:t>
      </w:r>
      <w:r w:rsidR="008143D6">
        <w:rPr>
          <w:rFonts w:ascii="Arial" w:hAnsi="Arial" w:cs="Arial"/>
          <w:sz w:val="26"/>
          <w:szCs w:val="26"/>
        </w:rPr>
        <w:t>nueve</w:t>
      </w:r>
      <w:r w:rsidR="00F67505">
        <w:rPr>
          <w:rFonts w:ascii="Arial" w:hAnsi="Arial" w:cs="Arial"/>
          <w:sz w:val="26"/>
          <w:szCs w:val="26"/>
        </w:rPr>
        <w:t xml:space="preserve"> de agosto</w:t>
      </w:r>
      <w:r w:rsidR="00D60731">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008143D6">
        <w:rPr>
          <w:rFonts w:ascii="Arial" w:hAnsi="Arial" w:cs="Arial"/>
          <w:sz w:val="26"/>
          <w:szCs w:val="26"/>
        </w:rPr>
        <w:t>en</w:t>
      </w:r>
      <w:r w:rsidRPr="00CB6405">
        <w:rPr>
          <w:rFonts w:ascii="Arial" w:hAnsi="Arial" w:cs="Arial"/>
          <w:sz w:val="26"/>
          <w:szCs w:val="26"/>
        </w:rPr>
        <w:t xml:space="preserve"> la </w:t>
      </w:r>
      <w:r w:rsidR="008143D6">
        <w:rPr>
          <w:rFonts w:ascii="Arial" w:hAnsi="Arial" w:cs="Arial"/>
          <w:sz w:val="26"/>
          <w:szCs w:val="26"/>
        </w:rPr>
        <w:t>Segunda</w:t>
      </w:r>
      <w:r w:rsidR="00F67505">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9207FE">
        <w:rPr>
          <w:rFonts w:ascii="Arial" w:hAnsi="Arial" w:cs="Arial"/>
          <w:sz w:val="26"/>
          <w:szCs w:val="26"/>
        </w:rPr>
        <w:t xml:space="preserve"> </w:t>
      </w:r>
      <w:r w:rsidR="006E7FBD">
        <w:rPr>
          <w:rFonts w:ascii="Arial" w:hAnsi="Arial" w:cs="Arial"/>
          <w:color w:val="000000"/>
          <w:sz w:val="26"/>
          <w:szCs w:val="26"/>
        </w:rPr>
        <w:t>***********</w:t>
      </w:r>
      <w:r w:rsidRPr="00CB6405">
        <w:rPr>
          <w:rFonts w:ascii="Arial" w:hAnsi="Arial" w:cs="Arial"/>
          <w:sz w:val="26"/>
          <w:szCs w:val="26"/>
        </w:rPr>
        <w:t>, interpuso en su contra recurso de revisión.</w:t>
      </w:r>
    </w:p>
    <w:p w14:paraId="1A6A2FF3" w14:textId="2B74F000"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8143D6">
        <w:rPr>
          <w:rFonts w:ascii="Arial" w:hAnsi="Arial" w:cs="Arial"/>
          <w:bCs/>
          <w:sz w:val="26"/>
          <w:szCs w:val="26"/>
        </w:rPr>
        <w:t>E</w:t>
      </w:r>
      <w:r w:rsidR="00F67505">
        <w:rPr>
          <w:rFonts w:ascii="Arial" w:hAnsi="Arial" w:cs="Arial"/>
          <w:bCs/>
          <w:sz w:val="26"/>
          <w:szCs w:val="26"/>
        </w:rPr>
        <w:t>l</w:t>
      </w:r>
      <w:r w:rsidR="00820FA7">
        <w:rPr>
          <w:rFonts w:ascii="Arial" w:hAnsi="Arial" w:cs="Arial"/>
          <w:bCs/>
          <w:sz w:val="26"/>
          <w:szCs w:val="26"/>
        </w:rPr>
        <w:t xml:space="preserve"> acuerdo recurrido es del tenor literal siguiente</w:t>
      </w:r>
      <w:r>
        <w:rPr>
          <w:rFonts w:ascii="Arial" w:hAnsi="Arial" w:cs="Arial"/>
          <w:bCs/>
          <w:sz w:val="26"/>
          <w:szCs w:val="26"/>
        </w:rPr>
        <w:t>:</w:t>
      </w:r>
    </w:p>
    <w:p w14:paraId="20205B8B" w14:textId="4AB53570" w:rsidR="00333AC5" w:rsidRDefault="00B525A6" w:rsidP="00333AC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8143D6">
        <w:rPr>
          <w:rFonts w:ascii="Arial" w:eastAsia="Times New Roman" w:hAnsi="Arial" w:cs="Arial"/>
          <w:bCs/>
          <w:i/>
          <w:iCs/>
          <w:sz w:val="24"/>
          <w:szCs w:val="24"/>
          <w:lang w:eastAsia="es-ES"/>
        </w:rPr>
        <w:t>…</w:t>
      </w:r>
      <w:r w:rsidR="00333AC5">
        <w:rPr>
          <w:rFonts w:ascii="Arial" w:eastAsia="Times New Roman" w:hAnsi="Arial" w:cs="Arial"/>
          <w:bCs/>
          <w:i/>
          <w:iCs/>
          <w:sz w:val="24"/>
          <w:szCs w:val="24"/>
          <w:lang w:eastAsia="es-ES"/>
        </w:rPr>
        <w:t>Agréguese</w:t>
      </w:r>
      <w:r w:rsidR="008143D6">
        <w:rPr>
          <w:rFonts w:ascii="Arial" w:eastAsia="Times New Roman" w:hAnsi="Arial" w:cs="Arial"/>
          <w:bCs/>
          <w:i/>
          <w:iCs/>
          <w:sz w:val="24"/>
          <w:szCs w:val="24"/>
          <w:lang w:eastAsia="es-ES"/>
        </w:rPr>
        <w:t xml:space="preserve"> a los autos el oficio </w:t>
      </w:r>
      <w:r w:rsidR="006E7FBD">
        <w:rPr>
          <w:rFonts w:ascii="Arial" w:hAnsi="Arial" w:cs="Arial"/>
          <w:color w:val="000000"/>
          <w:sz w:val="26"/>
          <w:szCs w:val="26"/>
        </w:rPr>
        <w:t>***********</w:t>
      </w:r>
      <w:r w:rsidR="008143D6">
        <w:rPr>
          <w:rFonts w:ascii="Arial" w:eastAsia="Times New Roman" w:hAnsi="Arial" w:cs="Arial"/>
          <w:bCs/>
          <w:i/>
          <w:iCs/>
          <w:sz w:val="24"/>
          <w:szCs w:val="24"/>
          <w:lang w:eastAsia="es-ES"/>
        </w:rPr>
        <w:t xml:space="preserve">, suscrito por </w:t>
      </w:r>
      <w:r w:rsidR="006E7FBD">
        <w:rPr>
          <w:rFonts w:ascii="Arial" w:hAnsi="Arial" w:cs="Arial"/>
          <w:color w:val="000000"/>
          <w:sz w:val="26"/>
          <w:szCs w:val="26"/>
        </w:rPr>
        <w:t>***********</w:t>
      </w:r>
      <w:r w:rsidR="008143D6">
        <w:rPr>
          <w:rFonts w:ascii="Arial" w:eastAsia="Times New Roman" w:hAnsi="Arial" w:cs="Arial"/>
          <w:bCs/>
          <w:i/>
          <w:iCs/>
          <w:sz w:val="24"/>
          <w:szCs w:val="24"/>
          <w:lang w:eastAsia="es-ES"/>
        </w:rPr>
        <w:t xml:space="preserve">, Director </w:t>
      </w:r>
      <w:r w:rsidR="00333AC5">
        <w:rPr>
          <w:rFonts w:ascii="Arial" w:eastAsia="Times New Roman" w:hAnsi="Arial" w:cs="Arial"/>
          <w:bCs/>
          <w:i/>
          <w:iCs/>
          <w:sz w:val="24"/>
          <w:szCs w:val="24"/>
          <w:lang w:eastAsia="es-ES"/>
        </w:rPr>
        <w:t>Jurídico</w:t>
      </w:r>
      <w:r w:rsidR="008143D6">
        <w:rPr>
          <w:rFonts w:ascii="Arial" w:eastAsia="Times New Roman" w:hAnsi="Arial" w:cs="Arial"/>
          <w:bCs/>
          <w:i/>
          <w:iCs/>
          <w:sz w:val="24"/>
          <w:szCs w:val="24"/>
          <w:lang w:eastAsia="es-ES"/>
        </w:rPr>
        <w:t xml:space="preserve"> de la Secretaría de la Contraloría y </w:t>
      </w:r>
      <w:r w:rsidR="00333AC5">
        <w:rPr>
          <w:rFonts w:ascii="Arial" w:eastAsia="Times New Roman" w:hAnsi="Arial" w:cs="Arial"/>
          <w:bCs/>
          <w:i/>
          <w:iCs/>
          <w:sz w:val="24"/>
          <w:szCs w:val="24"/>
          <w:lang w:eastAsia="es-ES"/>
        </w:rPr>
        <w:t>Transparencia</w:t>
      </w:r>
      <w:r w:rsidR="008143D6">
        <w:rPr>
          <w:rFonts w:ascii="Arial" w:eastAsia="Times New Roman" w:hAnsi="Arial" w:cs="Arial"/>
          <w:bCs/>
          <w:i/>
          <w:iCs/>
          <w:sz w:val="24"/>
          <w:szCs w:val="24"/>
          <w:lang w:eastAsia="es-ES"/>
        </w:rPr>
        <w:t xml:space="preserve"> Gubernamental del estado (sic) de Oaxaca, </w:t>
      </w:r>
      <w:r w:rsidR="00333AC5">
        <w:rPr>
          <w:rFonts w:ascii="Arial" w:eastAsia="Times New Roman" w:hAnsi="Arial" w:cs="Arial"/>
          <w:bCs/>
          <w:i/>
          <w:iCs/>
          <w:sz w:val="24"/>
          <w:szCs w:val="24"/>
          <w:lang w:eastAsia="es-ES"/>
        </w:rPr>
        <w:t>promoviendo</w:t>
      </w:r>
      <w:r w:rsidR="008143D6">
        <w:rPr>
          <w:rFonts w:ascii="Arial" w:eastAsia="Times New Roman" w:hAnsi="Arial" w:cs="Arial"/>
          <w:bCs/>
          <w:i/>
          <w:iCs/>
          <w:sz w:val="24"/>
          <w:szCs w:val="24"/>
          <w:lang w:eastAsia="es-ES"/>
        </w:rPr>
        <w:t xml:space="preserve"> por sí y en legal </w:t>
      </w:r>
      <w:r w:rsidR="00333AC5">
        <w:rPr>
          <w:rFonts w:ascii="Arial" w:eastAsia="Times New Roman" w:hAnsi="Arial" w:cs="Arial"/>
          <w:bCs/>
          <w:i/>
          <w:iCs/>
          <w:sz w:val="24"/>
          <w:szCs w:val="24"/>
          <w:lang w:eastAsia="es-ES"/>
        </w:rPr>
        <w:t xml:space="preserve">representación del Director de </w:t>
      </w:r>
      <w:bookmarkStart w:id="0" w:name="_GoBack"/>
      <w:bookmarkEnd w:id="0"/>
      <w:r w:rsidR="00333AC5">
        <w:rPr>
          <w:rFonts w:ascii="Arial" w:eastAsia="Times New Roman" w:hAnsi="Arial" w:cs="Arial"/>
          <w:bCs/>
          <w:i/>
          <w:iCs/>
          <w:sz w:val="24"/>
          <w:szCs w:val="24"/>
          <w:lang w:eastAsia="es-ES"/>
        </w:rPr>
        <w:t>Responsabilidades</w:t>
      </w:r>
      <w:r w:rsidR="008143D6">
        <w:rPr>
          <w:rFonts w:ascii="Arial" w:eastAsia="Times New Roman" w:hAnsi="Arial" w:cs="Arial"/>
          <w:bCs/>
          <w:i/>
          <w:iCs/>
          <w:sz w:val="24"/>
          <w:szCs w:val="24"/>
          <w:lang w:eastAsia="es-ES"/>
        </w:rPr>
        <w:t xml:space="preserve"> Administrativas y </w:t>
      </w:r>
      <w:r w:rsidR="00333AC5">
        <w:rPr>
          <w:rFonts w:ascii="Arial" w:eastAsia="Times New Roman" w:hAnsi="Arial" w:cs="Arial"/>
          <w:bCs/>
          <w:i/>
          <w:iCs/>
          <w:sz w:val="24"/>
          <w:szCs w:val="24"/>
          <w:lang w:eastAsia="es-ES"/>
        </w:rPr>
        <w:t>Situación</w:t>
      </w:r>
      <w:r w:rsidR="008143D6">
        <w:rPr>
          <w:rFonts w:ascii="Arial" w:eastAsia="Times New Roman" w:hAnsi="Arial" w:cs="Arial"/>
          <w:bCs/>
          <w:i/>
          <w:iCs/>
          <w:sz w:val="24"/>
          <w:szCs w:val="24"/>
          <w:lang w:eastAsia="es-ES"/>
        </w:rPr>
        <w:t xml:space="preserve"> Patrimonial de la Secretaría de la </w:t>
      </w:r>
      <w:r w:rsidR="00333AC5">
        <w:rPr>
          <w:rFonts w:ascii="Arial" w:eastAsia="Times New Roman" w:hAnsi="Arial" w:cs="Arial"/>
          <w:bCs/>
          <w:i/>
          <w:iCs/>
          <w:sz w:val="24"/>
          <w:szCs w:val="24"/>
          <w:lang w:eastAsia="es-ES"/>
        </w:rPr>
        <w:t>Contraloría</w:t>
      </w:r>
      <w:r w:rsidR="008143D6">
        <w:rPr>
          <w:rFonts w:ascii="Arial" w:eastAsia="Times New Roman" w:hAnsi="Arial" w:cs="Arial"/>
          <w:bCs/>
          <w:i/>
          <w:iCs/>
          <w:sz w:val="24"/>
          <w:szCs w:val="24"/>
          <w:lang w:eastAsia="es-ES"/>
        </w:rPr>
        <w:t xml:space="preserve"> y Transparencia </w:t>
      </w:r>
      <w:r w:rsidR="00333AC5">
        <w:rPr>
          <w:rFonts w:ascii="Arial" w:eastAsia="Times New Roman" w:hAnsi="Arial" w:cs="Arial"/>
          <w:bCs/>
          <w:i/>
          <w:iCs/>
          <w:sz w:val="24"/>
          <w:szCs w:val="24"/>
          <w:lang w:eastAsia="es-ES"/>
        </w:rPr>
        <w:t>Gubernamental</w:t>
      </w:r>
      <w:r w:rsidR="008143D6">
        <w:rPr>
          <w:rFonts w:ascii="Arial" w:eastAsia="Times New Roman" w:hAnsi="Arial" w:cs="Arial"/>
          <w:bCs/>
          <w:i/>
          <w:iCs/>
          <w:sz w:val="24"/>
          <w:szCs w:val="24"/>
          <w:lang w:eastAsia="es-ES"/>
        </w:rPr>
        <w:t xml:space="preserve"> del estado (sic) de Oaxaca, recibido el doce de julio del </w:t>
      </w:r>
      <w:r w:rsidR="00333AC5">
        <w:rPr>
          <w:rFonts w:ascii="Arial" w:eastAsia="Times New Roman" w:hAnsi="Arial" w:cs="Arial"/>
          <w:bCs/>
          <w:i/>
          <w:iCs/>
          <w:sz w:val="24"/>
          <w:szCs w:val="24"/>
          <w:lang w:eastAsia="es-ES"/>
        </w:rPr>
        <w:t>presente</w:t>
      </w:r>
      <w:r w:rsidR="008143D6">
        <w:rPr>
          <w:rFonts w:ascii="Arial" w:eastAsia="Times New Roman" w:hAnsi="Arial" w:cs="Arial"/>
          <w:bCs/>
          <w:i/>
          <w:iCs/>
          <w:sz w:val="24"/>
          <w:szCs w:val="24"/>
          <w:lang w:eastAsia="es-ES"/>
        </w:rPr>
        <w:t xml:space="preserve"> año; visto su </w:t>
      </w:r>
      <w:r w:rsidR="00333AC5">
        <w:rPr>
          <w:rFonts w:ascii="Arial" w:eastAsia="Times New Roman" w:hAnsi="Arial" w:cs="Arial"/>
          <w:bCs/>
          <w:i/>
          <w:iCs/>
          <w:sz w:val="24"/>
          <w:szCs w:val="24"/>
          <w:lang w:eastAsia="es-ES"/>
        </w:rPr>
        <w:t>contenido</w:t>
      </w:r>
      <w:r w:rsidR="008143D6">
        <w:rPr>
          <w:rFonts w:ascii="Arial" w:eastAsia="Times New Roman" w:hAnsi="Arial" w:cs="Arial"/>
          <w:bCs/>
          <w:i/>
          <w:iCs/>
          <w:sz w:val="24"/>
          <w:szCs w:val="24"/>
          <w:lang w:eastAsia="es-ES"/>
        </w:rPr>
        <w:t xml:space="preserve">, y en atención a la certificación que antecede, se le tiene </w:t>
      </w:r>
      <w:r w:rsidR="00333AC5">
        <w:rPr>
          <w:rFonts w:ascii="Arial" w:eastAsia="Times New Roman" w:hAnsi="Arial" w:cs="Arial"/>
          <w:bCs/>
          <w:i/>
          <w:iCs/>
          <w:sz w:val="24"/>
          <w:szCs w:val="24"/>
          <w:lang w:eastAsia="es-ES"/>
        </w:rPr>
        <w:t>contestando</w:t>
      </w:r>
      <w:r w:rsidR="008143D6">
        <w:rPr>
          <w:rFonts w:ascii="Arial" w:eastAsia="Times New Roman" w:hAnsi="Arial" w:cs="Arial"/>
          <w:bCs/>
          <w:i/>
          <w:iCs/>
          <w:sz w:val="24"/>
          <w:szCs w:val="24"/>
          <w:lang w:eastAsia="es-ES"/>
        </w:rPr>
        <w:t xml:space="preserve"> en tiempo y forma la demanda; por acreditada la </w:t>
      </w:r>
      <w:r w:rsidR="00333AC5">
        <w:rPr>
          <w:rFonts w:ascii="Arial" w:eastAsia="Times New Roman" w:hAnsi="Arial" w:cs="Arial"/>
          <w:bCs/>
          <w:i/>
          <w:iCs/>
          <w:sz w:val="24"/>
          <w:szCs w:val="24"/>
          <w:lang w:eastAsia="es-ES"/>
        </w:rPr>
        <w:t>personalidad</w:t>
      </w:r>
      <w:r w:rsidR="008143D6">
        <w:rPr>
          <w:rFonts w:ascii="Arial" w:eastAsia="Times New Roman" w:hAnsi="Arial" w:cs="Arial"/>
          <w:bCs/>
          <w:i/>
          <w:iCs/>
          <w:sz w:val="24"/>
          <w:szCs w:val="24"/>
          <w:lang w:eastAsia="es-ES"/>
        </w:rPr>
        <w:t xml:space="preserve"> con la que se </w:t>
      </w:r>
      <w:r w:rsidR="00333AC5">
        <w:rPr>
          <w:rFonts w:ascii="Arial" w:eastAsia="Times New Roman" w:hAnsi="Arial" w:cs="Arial"/>
          <w:bCs/>
          <w:i/>
          <w:iCs/>
          <w:sz w:val="24"/>
          <w:szCs w:val="24"/>
          <w:lang w:eastAsia="es-ES"/>
        </w:rPr>
        <w:t>ostenta</w:t>
      </w:r>
      <w:r w:rsidR="008143D6">
        <w:rPr>
          <w:rFonts w:ascii="Arial" w:eastAsia="Times New Roman" w:hAnsi="Arial" w:cs="Arial"/>
          <w:bCs/>
          <w:i/>
          <w:iCs/>
          <w:sz w:val="24"/>
          <w:szCs w:val="24"/>
          <w:lang w:eastAsia="es-ES"/>
        </w:rPr>
        <w:t xml:space="preserve">, en </w:t>
      </w:r>
      <w:r w:rsidR="00333AC5">
        <w:rPr>
          <w:rFonts w:ascii="Arial" w:eastAsia="Times New Roman" w:hAnsi="Arial" w:cs="Arial"/>
          <w:bCs/>
          <w:i/>
          <w:iCs/>
          <w:sz w:val="24"/>
          <w:szCs w:val="24"/>
          <w:lang w:eastAsia="es-ES"/>
        </w:rPr>
        <w:t>términos</w:t>
      </w:r>
      <w:r w:rsidR="008143D6">
        <w:rPr>
          <w:rFonts w:ascii="Arial" w:eastAsia="Times New Roman" w:hAnsi="Arial" w:cs="Arial"/>
          <w:bCs/>
          <w:i/>
          <w:iCs/>
          <w:sz w:val="24"/>
          <w:szCs w:val="24"/>
          <w:lang w:eastAsia="es-ES"/>
        </w:rPr>
        <w:t xml:space="preserve"> del </w:t>
      </w:r>
      <w:r w:rsidR="00333AC5">
        <w:rPr>
          <w:rFonts w:ascii="Arial" w:eastAsia="Times New Roman" w:hAnsi="Arial" w:cs="Arial"/>
          <w:bCs/>
          <w:i/>
          <w:iCs/>
          <w:sz w:val="24"/>
          <w:szCs w:val="24"/>
          <w:lang w:eastAsia="es-ES"/>
        </w:rPr>
        <w:t>artículo</w:t>
      </w:r>
      <w:r w:rsidR="008143D6">
        <w:rPr>
          <w:rFonts w:ascii="Arial" w:eastAsia="Times New Roman" w:hAnsi="Arial" w:cs="Arial"/>
          <w:bCs/>
          <w:i/>
          <w:iCs/>
          <w:sz w:val="24"/>
          <w:szCs w:val="24"/>
          <w:lang w:eastAsia="es-ES"/>
        </w:rPr>
        <w:t xml:space="preserve"> 151 de la Ley </w:t>
      </w:r>
      <w:r w:rsidR="008143D6">
        <w:rPr>
          <w:rFonts w:ascii="Arial" w:eastAsia="Times New Roman" w:hAnsi="Arial" w:cs="Arial"/>
          <w:bCs/>
          <w:i/>
          <w:iCs/>
          <w:sz w:val="24"/>
          <w:szCs w:val="24"/>
          <w:lang w:eastAsia="es-ES"/>
        </w:rPr>
        <w:lastRenderedPageBreak/>
        <w:t xml:space="preserve">de </w:t>
      </w:r>
      <w:r w:rsidR="00333AC5">
        <w:rPr>
          <w:rFonts w:ascii="Arial" w:eastAsia="Times New Roman" w:hAnsi="Arial" w:cs="Arial"/>
          <w:bCs/>
          <w:i/>
          <w:iCs/>
          <w:sz w:val="24"/>
          <w:szCs w:val="24"/>
          <w:lang w:eastAsia="es-ES"/>
        </w:rPr>
        <w:t>Procedimiento</w:t>
      </w:r>
      <w:r w:rsidR="008143D6">
        <w:rPr>
          <w:rFonts w:ascii="Arial" w:eastAsia="Times New Roman" w:hAnsi="Arial" w:cs="Arial"/>
          <w:bCs/>
          <w:i/>
          <w:iCs/>
          <w:sz w:val="24"/>
          <w:szCs w:val="24"/>
          <w:lang w:eastAsia="es-ES"/>
        </w:rPr>
        <w:t xml:space="preserve"> y Justicia </w:t>
      </w:r>
      <w:r w:rsidR="00333AC5">
        <w:rPr>
          <w:rFonts w:ascii="Arial" w:eastAsia="Times New Roman" w:hAnsi="Arial" w:cs="Arial"/>
          <w:bCs/>
          <w:i/>
          <w:iCs/>
          <w:sz w:val="24"/>
          <w:szCs w:val="24"/>
          <w:lang w:eastAsia="es-ES"/>
        </w:rPr>
        <w:t>Administrativa</w:t>
      </w:r>
      <w:r w:rsidR="008143D6">
        <w:rPr>
          <w:rFonts w:ascii="Arial" w:eastAsia="Times New Roman" w:hAnsi="Arial" w:cs="Arial"/>
          <w:bCs/>
          <w:i/>
          <w:iCs/>
          <w:sz w:val="24"/>
          <w:szCs w:val="24"/>
          <w:lang w:eastAsia="es-ES"/>
        </w:rPr>
        <w:t xml:space="preserve"> para el Estado de Oaxaca</w:t>
      </w:r>
      <w:r w:rsidR="00333AC5">
        <w:rPr>
          <w:rFonts w:ascii="Arial" w:eastAsia="Times New Roman" w:hAnsi="Arial" w:cs="Arial"/>
          <w:bCs/>
          <w:i/>
          <w:iCs/>
          <w:sz w:val="24"/>
          <w:szCs w:val="24"/>
          <w:lang w:eastAsia="es-ES"/>
        </w:rPr>
        <w:t>.</w:t>
      </w:r>
    </w:p>
    <w:p w14:paraId="7E04FB39" w14:textId="1E8C58FE" w:rsidR="008143D6" w:rsidRDefault="008143D6" w:rsidP="00333AC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cuanto a las pruebas que ofrece, se admiten las que se indica en el </w:t>
      </w:r>
      <w:r w:rsidR="00333AC5">
        <w:rPr>
          <w:rFonts w:ascii="Arial" w:eastAsia="Times New Roman" w:hAnsi="Arial" w:cs="Arial"/>
          <w:bCs/>
          <w:i/>
          <w:iCs/>
          <w:sz w:val="24"/>
          <w:szCs w:val="24"/>
          <w:lang w:eastAsia="es-ES"/>
        </w:rPr>
        <w:t>capítulo</w:t>
      </w:r>
      <w:r>
        <w:rPr>
          <w:rFonts w:ascii="Arial" w:eastAsia="Times New Roman" w:hAnsi="Arial" w:cs="Arial"/>
          <w:bCs/>
          <w:i/>
          <w:iCs/>
          <w:sz w:val="24"/>
          <w:szCs w:val="24"/>
          <w:lang w:eastAsia="es-ES"/>
        </w:rPr>
        <w:t xml:space="preserve"> </w:t>
      </w:r>
      <w:r w:rsidR="00333AC5">
        <w:rPr>
          <w:rFonts w:ascii="Arial" w:eastAsia="Times New Roman" w:hAnsi="Arial" w:cs="Arial"/>
          <w:bCs/>
          <w:i/>
          <w:iCs/>
          <w:sz w:val="24"/>
          <w:szCs w:val="24"/>
          <w:lang w:eastAsia="es-ES"/>
        </w:rPr>
        <w:t>respectivo</w:t>
      </w:r>
      <w:r>
        <w:rPr>
          <w:rFonts w:ascii="Arial" w:eastAsia="Times New Roman" w:hAnsi="Arial" w:cs="Arial"/>
          <w:bCs/>
          <w:i/>
          <w:iCs/>
          <w:sz w:val="24"/>
          <w:szCs w:val="24"/>
          <w:lang w:eastAsia="es-ES"/>
        </w:rPr>
        <w:t xml:space="preserve">, por </w:t>
      </w:r>
      <w:r w:rsidR="00333AC5">
        <w:rPr>
          <w:rFonts w:ascii="Arial" w:eastAsia="Times New Roman" w:hAnsi="Arial" w:cs="Arial"/>
          <w:bCs/>
          <w:i/>
          <w:iCs/>
          <w:sz w:val="24"/>
          <w:szCs w:val="24"/>
          <w:lang w:eastAsia="es-ES"/>
        </w:rPr>
        <w:t>relacionarlas</w:t>
      </w:r>
      <w:r>
        <w:rPr>
          <w:rFonts w:ascii="Arial" w:eastAsia="Times New Roman" w:hAnsi="Arial" w:cs="Arial"/>
          <w:bCs/>
          <w:i/>
          <w:iCs/>
          <w:sz w:val="24"/>
          <w:szCs w:val="24"/>
          <w:lang w:eastAsia="es-ES"/>
        </w:rPr>
        <w:t xml:space="preserve"> con los puntos de su contestación, como lo ordenan los artículos 188 y 189 de la Ley en cita.</w:t>
      </w:r>
    </w:p>
    <w:p w14:paraId="078C119E" w14:textId="3DE92AB6" w:rsidR="00827DA8" w:rsidRDefault="00827DA8"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Por lo que </w:t>
      </w:r>
      <w:r w:rsidR="00333AC5">
        <w:rPr>
          <w:rFonts w:ascii="Arial" w:eastAsia="Times New Roman" w:hAnsi="Arial" w:cs="Arial"/>
          <w:bCs/>
          <w:i/>
          <w:iCs/>
          <w:sz w:val="24"/>
          <w:szCs w:val="24"/>
          <w:lang w:eastAsia="es-ES"/>
        </w:rPr>
        <w:t>respecta</w:t>
      </w:r>
      <w:r>
        <w:rPr>
          <w:rFonts w:ascii="Arial" w:eastAsia="Times New Roman" w:hAnsi="Arial" w:cs="Arial"/>
          <w:bCs/>
          <w:i/>
          <w:iCs/>
          <w:sz w:val="24"/>
          <w:szCs w:val="24"/>
          <w:lang w:eastAsia="es-ES"/>
        </w:rPr>
        <w:t xml:space="preserve"> a la prueba marcad</w:t>
      </w:r>
      <w:r w:rsidR="00FF7090">
        <w:rPr>
          <w:rFonts w:ascii="Arial" w:eastAsia="Times New Roman" w:hAnsi="Arial" w:cs="Arial"/>
          <w:bCs/>
          <w:i/>
          <w:iCs/>
          <w:sz w:val="24"/>
          <w:szCs w:val="24"/>
          <w:lang w:eastAsia="es-ES"/>
        </w:rPr>
        <w:t>a</w:t>
      </w:r>
      <w:r>
        <w:rPr>
          <w:rFonts w:ascii="Arial" w:eastAsia="Times New Roman" w:hAnsi="Arial" w:cs="Arial"/>
          <w:bCs/>
          <w:i/>
          <w:iCs/>
          <w:sz w:val="24"/>
          <w:szCs w:val="24"/>
          <w:lang w:eastAsia="es-ES"/>
        </w:rPr>
        <w:t xml:space="preserve"> con el número 2, la autoridad demandada no anexa </w:t>
      </w:r>
      <w:r w:rsidR="00333AC5">
        <w:rPr>
          <w:rFonts w:ascii="Arial" w:eastAsia="Times New Roman" w:hAnsi="Arial" w:cs="Arial"/>
          <w:bCs/>
          <w:i/>
          <w:iCs/>
          <w:sz w:val="24"/>
          <w:szCs w:val="24"/>
          <w:lang w:eastAsia="es-ES"/>
        </w:rPr>
        <w:t>dichos documentales</w:t>
      </w:r>
      <w:r>
        <w:rPr>
          <w:rFonts w:ascii="Arial" w:eastAsia="Times New Roman" w:hAnsi="Arial" w:cs="Arial"/>
          <w:bCs/>
          <w:i/>
          <w:iCs/>
          <w:sz w:val="24"/>
          <w:szCs w:val="24"/>
          <w:lang w:eastAsia="es-ES"/>
        </w:rPr>
        <w:t xml:space="preserve"> a su contestación, y toda vez que la suplencia de la deficiencia de la queja contempla en el </w:t>
      </w:r>
      <w:r w:rsidR="00333AC5">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149 de la Ley de </w:t>
      </w:r>
      <w:r w:rsidR="00333AC5">
        <w:rPr>
          <w:rFonts w:ascii="Arial" w:eastAsia="Times New Roman" w:hAnsi="Arial" w:cs="Arial"/>
          <w:bCs/>
          <w:i/>
          <w:iCs/>
          <w:sz w:val="24"/>
          <w:szCs w:val="24"/>
          <w:lang w:eastAsia="es-ES"/>
        </w:rPr>
        <w:t>Procedimiento</w:t>
      </w:r>
      <w:r>
        <w:rPr>
          <w:rFonts w:ascii="Arial" w:eastAsia="Times New Roman" w:hAnsi="Arial" w:cs="Arial"/>
          <w:bCs/>
          <w:i/>
          <w:iCs/>
          <w:sz w:val="24"/>
          <w:szCs w:val="24"/>
          <w:lang w:eastAsia="es-ES"/>
        </w:rPr>
        <w:t xml:space="preserve"> y </w:t>
      </w:r>
      <w:r w:rsidR="00333AC5">
        <w:rPr>
          <w:rFonts w:ascii="Arial" w:eastAsia="Times New Roman" w:hAnsi="Arial" w:cs="Arial"/>
          <w:bCs/>
          <w:i/>
          <w:iCs/>
          <w:sz w:val="24"/>
          <w:szCs w:val="24"/>
          <w:lang w:eastAsia="es-ES"/>
        </w:rPr>
        <w:t>Justicia</w:t>
      </w:r>
      <w:r>
        <w:rPr>
          <w:rFonts w:ascii="Arial" w:eastAsia="Times New Roman" w:hAnsi="Arial" w:cs="Arial"/>
          <w:bCs/>
          <w:i/>
          <w:iCs/>
          <w:sz w:val="24"/>
          <w:szCs w:val="24"/>
          <w:lang w:eastAsia="es-ES"/>
        </w:rPr>
        <w:t xml:space="preserve"> </w:t>
      </w:r>
      <w:r w:rsidR="00333AC5">
        <w:rPr>
          <w:rFonts w:ascii="Arial" w:eastAsia="Times New Roman" w:hAnsi="Arial" w:cs="Arial"/>
          <w:bCs/>
          <w:i/>
          <w:iCs/>
          <w:sz w:val="24"/>
          <w:szCs w:val="24"/>
          <w:lang w:eastAsia="es-ES"/>
        </w:rPr>
        <w:t>Administrativa</w:t>
      </w:r>
      <w:r>
        <w:rPr>
          <w:rFonts w:ascii="Arial" w:eastAsia="Times New Roman" w:hAnsi="Arial" w:cs="Arial"/>
          <w:bCs/>
          <w:i/>
          <w:iCs/>
          <w:sz w:val="24"/>
          <w:szCs w:val="24"/>
          <w:lang w:eastAsia="es-ES"/>
        </w:rPr>
        <w:t xml:space="preserve">, no opera en el </w:t>
      </w:r>
      <w:r w:rsidR="00333AC5">
        <w:rPr>
          <w:rFonts w:ascii="Arial" w:eastAsia="Times New Roman" w:hAnsi="Arial" w:cs="Arial"/>
          <w:bCs/>
          <w:i/>
          <w:iCs/>
          <w:sz w:val="24"/>
          <w:szCs w:val="24"/>
          <w:lang w:eastAsia="es-ES"/>
        </w:rPr>
        <w:t>ofrecimiento</w:t>
      </w:r>
      <w:r>
        <w:rPr>
          <w:rFonts w:ascii="Arial" w:eastAsia="Times New Roman" w:hAnsi="Arial" w:cs="Arial"/>
          <w:bCs/>
          <w:i/>
          <w:iCs/>
          <w:sz w:val="24"/>
          <w:szCs w:val="24"/>
          <w:lang w:eastAsia="es-ES"/>
        </w:rPr>
        <w:t xml:space="preserve"> de pruebas, se le tiene como no ofrecida la </w:t>
      </w:r>
      <w:r w:rsidR="00333AC5">
        <w:rPr>
          <w:rFonts w:ascii="Arial" w:eastAsia="Times New Roman" w:hAnsi="Arial" w:cs="Arial"/>
          <w:bCs/>
          <w:i/>
          <w:iCs/>
          <w:sz w:val="24"/>
          <w:szCs w:val="24"/>
          <w:lang w:eastAsia="es-ES"/>
        </w:rPr>
        <w:t>documental en referencia</w:t>
      </w:r>
      <w:r>
        <w:rPr>
          <w:rFonts w:ascii="Arial" w:eastAsia="Times New Roman" w:hAnsi="Arial" w:cs="Arial"/>
          <w:bCs/>
          <w:i/>
          <w:iCs/>
          <w:sz w:val="24"/>
          <w:szCs w:val="24"/>
          <w:lang w:eastAsia="es-ES"/>
        </w:rPr>
        <w:t>.</w:t>
      </w:r>
    </w:p>
    <w:p w14:paraId="3B44A880" w14:textId="4576765B" w:rsidR="00827DA8" w:rsidRPr="00333AC5" w:rsidRDefault="00827DA8" w:rsidP="00F6750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Sirve de apoyo a lo anterior, el </w:t>
      </w:r>
      <w:r w:rsidR="00333AC5">
        <w:rPr>
          <w:rFonts w:ascii="Arial" w:eastAsia="Times New Roman" w:hAnsi="Arial" w:cs="Arial"/>
          <w:bCs/>
          <w:i/>
          <w:iCs/>
          <w:sz w:val="24"/>
          <w:szCs w:val="24"/>
          <w:lang w:eastAsia="es-ES"/>
        </w:rPr>
        <w:t>criterio</w:t>
      </w:r>
      <w:r>
        <w:rPr>
          <w:rFonts w:ascii="Arial" w:eastAsia="Times New Roman" w:hAnsi="Arial" w:cs="Arial"/>
          <w:bCs/>
          <w:i/>
          <w:iCs/>
          <w:sz w:val="24"/>
          <w:szCs w:val="24"/>
          <w:lang w:eastAsia="es-ES"/>
        </w:rPr>
        <w:t xml:space="preserve"> de la sala superior (sic) Primera Época, </w:t>
      </w:r>
      <w:r w:rsidR="00333AC5">
        <w:rPr>
          <w:rFonts w:ascii="Arial" w:eastAsia="Times New Roman" w:hAnsi="Arial" w:cs="Arial"/>
          <w:bCs/>
          <w:i/>
          <w:iCs/>
          <w:sz w:val="24"/>
          <w:szCs w:val="24"/>
          <w:lang w:eastAsia="es-ES"/>
        </w:rPr>
        <w:t>Boletín número</w:t>
      </w:r>
      <w:r>
        <w:rPr>
          <w:rFonts w:ascii="Arial" w:eastAsia="Times New Roman" w:hAnsi="Arial" w:cs="Arial"/>
          <w:bCs/>
          <w:i/>
          <w:iCs/>
          <w:sz w:val="24"/>
          <w:szCs w:val="24"/>
          <w:lang w:eastAsia="es-ES"/>
        </w:rPr>
        <w:t xml:space="preserve"> 1 del Tribunal de lo Contencioso Administrativo del Estado de Oaxaca, Tomo I, enero de 2011, Tesis TCASS0005/2011TO. 1DA, Página 5, número de </w:t>
      </w:r>
      <w:r w:rsidR="00333AC5">
        <w:rPr>
          <w:rFonts w:ascii="Arial" w:eastAsia="Times New Roman" w:hAnsi="Arial" w:cs="Arial"/>
          <w:bCs/>
          <w:i/>
          <w:iCs/>
          <w:sz w:val="24"/>
          <w:szCs w:val="24"/>
          <w:lang w:eastAsia="es-ES"/>
        </w:rPr>
        <w:t>registro</w:t>
      </w:r>
      <w:r>
        <w:rPr>
          <w:rFonts w:ascii="Arial" w:eastAsia="Times New Roman" w:hAnsi="Arial" w:cs="Arial"/>
          <w:bCs/>
          <w:i/>
          <w:iCs/>
          <w:sz w:val="24"/>
          <w:szCs w:val="24"/>
          <w:lang w:eastAsia="es-ES"/>
        </w:rPr>
        <w:t xml:space="preserve"> 5 materia Ad. Y bajo rubro </w:t>
      </w:r>
      <w:r w:rsidRPr="00333AC5">
        <w:rPr>
          <w:rFonts w:ascii="Arial" w:eastAsia="Times New Roman" w:hAnsi="Arial" w:cs="Arial"/>
          <w:b/>
          <w:bCs/>
          <w:i/>
          <w:iCs/>
          <w:sz w:val="24"/>
          <w:szCs w:val="24"/>
          <w:lang w:eastAsia="es-ES"/>
        </w:rPr>
        <w:t>SUPLENCIA DE LA QUEJA. LA QUE PREVÉ EL ARTÍCULO 118 DE LA LEY DE JUSTICIA ADMINISTRATIVA NO ES APLICABLE A LAS PRUEBAS.</w:t>
      </w:r>
    </w:p>
    <w:p w14:paraId="44D1995D" w14:textId="1E60B254" w:rsidR="00827DA8" w:rsidRDefault="00827DA8"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La </w:t>
      </w:r>
      <w:r w:rsidR="00333AC5">
        <w:rPr>
          <w:rFonts w:ascii="Arial" w:eastAsia="Times New Roman" w:hAnsi="Arial" w:cs="Arial"/>
          <w:bCs/>
          <w:i/>
          <w:iCs/>
          <w:sz w:val="24"/>
          <w:szCs w:val="24"/>
          <w:lang w:eastAsia="es-ES"/>
        </w:rPr>
        <w:t>suplencia</w:t>
      </w:r>
      <w:r>
        <w:rPr>
          <w:rFonts w:ascii="Arial" w:eastAsia="Times New Roman" w:hAnsi="Arial" w:cs="Arial"/>
          <w:bCs/>
          <w:i/>
          <w:iCs/>
          <w:sz w:val="24"/>
          <w:szCs w:val="24"/>
          <w:lang w:eastAsia="es-ES"/>
        </w:rPr>
        <w:t xml:space="preserve"> de la </w:t>
      </w:r>
      <w:r w:rsidR="00333AC5">
        <w:rPr>
          <w:rFonts w:ascii="Arial" w:eastAsia="Times New Roman" w:hAnsi="Arial" w:cs="Arial"/>
          <w:bCs/>
          <w:i/>
          <w:iCs/>
          <w:sz w:val="24"/>
          <w:szCs w:val="24"/>
          <w:lang w:eastAsia="es-ES"/>
        </w:rPr>
        <w:t>deficiencia de la queja</w:t>
      </w:r>
      <w:r>
        <w:rPr>
          <w:rFonts w:ascii="Arial" w:eastAsia="Times New Roman" w:hAnsi="Arial" w:cs="Arial"/>
          <w:bCs/>
          <w:i/>
          <w:iCs/>
          <w:sz w:val="24"/>
          <w:szCs w:val="24"/>
          <w:lang w:eastAsia="es-ES"/>
        </w:rPr>
        <w:t xml:space="preserve"> que se refiere el </w:t>
      </w:r>
      <w:r w:rsidR="00333AC5">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118 de la Ley de Justicia </w:t>
      </w:r>
      <w:r w:rsidR="00333AC5">
        <w:rPr>
          <w:rFonts w:ascii="Arial" w:eastAsia="Times New Roman" w:hAnsi="Arial" w:cs="Arial"/>
          <w:bCs/>
          <w:i/>
          <w:iCs/>
          <w:sz w:val="24"/>
          <w:szCs w:val="24"/>
          <w:lang w:eastAsia="es-ES"/>
        </w:rPr>
        <w:t>Administrativa</w:t>
      </w:r>
      <w:r>
        <w:rPr>
          <w:rFonts w:ascii="Arial" w:eastAsia="Times New Roman" w:hAnsi="Arial" w:cs="Arial"/>
          <w:bCs/>
          <w:i/>
          <w:iCs/>
          <w:sz w:val="24"/>
          <w:szCs w:val="24"/>
          <w:lang w:eastAsia="es-ES"/>
        </w:rPr>
        <w:t xml:space="preserve"> para el Estado de </w:t>
      </w:r>
      <w:r w:rsidR="00333AC5">
        <w:rPr>
          <w:rFonts w:ascii="Arial" w:eastAsia="Times New Roman" w:hAnsi="Arial" w:cs="Arial"/>
          <w:bCs/>
          <w:i/>
          <w:iCs/>
          <w:sz w:val="24"/>
          <w:szCs w:val="24"/>
          <w:lang w:eastAsia="es-ES"/>
        </w:rPr>
        <w:t>Oaxaca</w:t>
      </w:r>
      <w:r>
        <w:rPr>
          <w:rFonts w:ascii="Arial" w:eastAsia="Times New Roman" w:hAnsi="Arial" w:cs="Arial"/>
          <w:bCs/>
          <w:i/>
          <w:iCs/>
          <w:sz w:val="24"/>
          <w:szCs w:val="24"/>
          <w:lang w:eastAsia="es-ES"/>
        </w:rPr>
        <w:t xml:space="preserve">, es </w:t>
      </w:r>
      <w:r w:rsidR="00333AC5">
        <w:rPr>
          <w:rFonts w:ascii="Arial" w:eastAsia="Times New Roman" w:hAnsi="Arial" w:cs="Arial"/>
          <w:bCs/>
          <w:i/>
          <w:iCs/>
          <w:sz w:val="24"/>
          <w:szCs w:val="24"/>
          <w:lang w:eastAsia="es-ES"/>
        </w:rPr>
        <w:t>aplicable</w:t>
      </w:r>
      <w:r>
        <w:rPr>
          <w:rFonts w:ascii="Arial" w:eastAsia="Times New Roman" w:hAnsi="Arial" w:cs="Arial"/>
          <w:bCs/>
          <w:i/>
          <w:iCs/>
          <w:sz w:val="24"/>
          <w:szCs w:val="24"/>
          <w:lang w:eastAsia="es-ES"/>
        </w:rPr>
        <w:t xml:space="preserve"> a los conceptos de </w:t>
      </w:r>
      <w:r w:rsidR="00333AC5">
        <w:rPr>
          <w:rFonts w:ascii="Arial" w:eastAsia="Times New Roman" w:hAnsi="Arial" w:cs="Arial"/>
          <w:bCs/>
          <w:i/>
          <w:iCs/>
          <w:sz w:val="24"/>
          <w:szCs w:val="24"/>
          <w:lang w:eastAsia="es-ES"/>
        </w:rPr>
        <w:t>impugnación</w:t>
      </w:r>
      <w:r>
        <w:rPr>
          <w:rFonts w:ascii="Arial" w:eastAsia="Times New Roman" w:hAnsi="Arial" w:cs="Arial"/>
          <w:bCs/>
          <w:i/>
          <w:iCs/>
          <w:sz w:val="24"/>
          <w:szCs w:val="24"/>
          <w:lang w:eastAsia="es-ES"/>
        </w:rPr>
        <w:t xml:space="preserve"> que formula el actor y no para </w:t>
      </w:r>
      <w:r w:rsidR="00333AC5">
        <w:rPr>
          <w:rFonts w:ascii="Arial" w:eastAsia="Times New Roman" w:hAnsi="Arial" w:cs="Arial"/>
          <w:bCs/>
          <w:i/>
          <w:iCs/>
          <w:sz w:val="24"/>
          <w:szCs w:val="24"/>
          <w:lang w:eastAsia="es-ES"/>
        </w:rPr>
        <w:t>admitir</w:t>
      </w:r>
      <w:r>
        <w:rPr>
          <w:rFonts w:ascii="Arial" w:eastAsia="Times New Roman" w:hAnsi="Arial" w:cs="Arial"/>
          <w:bCs/>
          <w:i/>
          <w:iCs/>
          <w:sz w:val="24"/>
          <w:szCs w:val="24"/>
          <w:lang w:eastAsia="es-ES"/>
        </w:rPr>
        <w:t xml:space="preserve"> pruebas, ello es así porque corresponde a las partes la carga probatoria, por ello la suplencia de la queja a favor del actor no puede abarcar a las pruebas ofrecidas.</w:t>
      </w:r>
    </w:p>
    <w:p w14:paraId="75BFAE2B" w14:textId="252106A5" w:rsidR="00827DA8" w:rsidRDefault="00827DA8"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Designando el </w:t>
      </w:r>
      <w:r w:rsidR="00333AC5">
        <w:rPr>
          <w:rFonts w:ascii="Arial" w:eastAsia="Times New Roman" w:hAnsi="Arial" w:cs="Arial"/>
          <w:bCs/>
          <w:i/>
          <w:iCs/>
          <w:sz w:val="24"/>
          <w:szCs w:val="24"/>
          <w:lang w:eastAsia="es-ES"/>
        </w:rPr>
        <w:t>domicilio</w:t>
      </w:r>
      <w:r>
        <w:rPr>
          <w:rFonts w:ascii="Arial" w:eastAsia="Times New Roman" w:hAnsi="Arial" w:cs="Arial"/>
          <w:bCs/>
          <w:i/>
          <w:iCs/>
          <w:sz w:val="24"/>
          <w:szCs w:val="24"/>
          <w:lang w:eastAsia="es-ES"/>
        </w:rPr>
        <w:t xml:space="preserve"> que refiere para recibir notificaciones y para tal efecto a las personas que alude y por </w:t>
      </w:r>
      <w:r w:rsidR="00333AC5">
        <w:rPr>
          <w:rFonts w:ascii="Arial" w:eastAsia="Times New Roman" w:hAnsi="Arial" w:cs="Arial"/>
          <w:bCs/>
          <w:i/>
          <w:iCs/>
          <w:sz w:val="24"/>
          <w:szCs w:val="24"/>
          <w:lang w:eastAsia="es-ES"/>
        </w:rPr>
        <w:t>autorizados</w:t>
      </w:r>
      <w:r>
        <w:rPr>
          <w:rFonts w:ascii="Arial" w:eastAsia="Times New Roman" w:hAnsi="Arial" w:cs="Arial"/>
          <w:bCs/>
          <w:i/>
          <w:iCs/>
          <w:sz w:val="24"/>
          <w:szCs w:val="24"/>
          <w:lang w:eastAsia="es-ES"/>
        </w:rPr>
        <w:t xml:space="preserve"> en términos del </w:t>
      </w:r>
      <w:r w:rsidR="00333AC5">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148 de la Ley de la materia a </w:t>
      </w:r>
      <w:r w:rsidR="006E7FBD">
        <w:rPr>
          <w:rFonts w:ascii="Arial" w:hAnsi="Arial" w:cs="Arial"/>
          <w:color w:val="000000"/>
          <w:sz w:val="26"/>
          <w:szCs w:val="26"/>
        </w:rPr>
        <w:t>***********</w:t>
      </w:r>
      <w:r>
        <w:rPr>
          <w:rFonts w:ascii="Arial" w:eastAsia="Times New Roman" w:hAnsi="Arial" w:cs="Arial"/>
          <w:bCs/>
          <w:i/>
          <w:iCs/>
          <w:sz w:val="24"/>
          <w:szCs w:val="24"/>
          <w:lang w:eastAsia="es-ES"/>
        </w:rPr>
        <w:t>.</w:t>
      </w:r>
    </w:p>
    <w:p w14:paraId="56585FDA" w14:textId="668D85EE" w:rsidR="00827DA8" w:rsidRDefault="00827DA8"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Conforme a lo dispuesto por el </w:t>
      </w:r>
      <w:r w:rsidR="00333AC5">
        <w:rPr>
          <w:rFonts w:ascii="Arial" w:eastAsia="Times New Roman" w:hAnsi="Arial" w:cs="Arial"/>
          <w:bCs/>
          <w:i/>
          <w:iCs/>
          <w:sz w:val="24"/>
          <w:szCs w:val="24"/>
          <w:lang w:eastAsia="es-ES"/>
        </w:rPr>
        <w:t>artículo</w:t>
      </w:r>
      <w:r>
        <w:rPr>
          <w:rFonts w:ascii="Arial" w:eastAsia="Times New Roman" w:hAnsi="Arial" w:cs="Arial"/>
          <w:bCs/>
          <w:i/>
          <w:iCs/>
          <w:sz w:val="24"/>
          <w:szCs w:val="24"/>
          <w:lang w:eastAsia="es-ES"/>
        </w:rPr>
        <w:t xml:space="preserve"> 155 de la Ley de la materia, las copias simples que acompaña a la </w:t>
      </w:r>
      <w:r w:rsidR="00333AC5">
        <w:rPr>
          <w:rFonts w:ascii="Arial" w:eastAsia="Times New Roman" w:hAnsi="Arial" w:cs="Arial"/>
          <w:bCs/>
          <w:i/>
          <w:iCs/>
          <w:sz w:val="24"/>
          <w:szCs w:val="24"/>
          <w:lang w:eastAsia="es-ES"/>
        </w:rPr>
        <w:t>contestación</w:t>
      </w:r>
      <w:r>
        <w:rPr>
          <w:rFonts w:ascii="Arial" w:eastAsia="Times New Roman" w:hAnsi="Arial" w:cs="Arial"/>
          <w:bCs/>
          <w:i/>
          <w:iCs/>
          <w:sz w:val="24"/>
          <w:szCs w:val="24"/>
          <w:lang w:eastAsia="es-ES"/>
        </w:rPr>
        <w:t xml:space="preserve"> de demanda</w:t>
      </w:r>
      <w:r w:rsidR="00333AC5">
        <w:rPr>
          <w:rFonts w:ascii="Arial" w:eastAsia="Times New Roman" w:hAnsi="Arial" w:cs="Arial"/>
          <w:bCs/>
          <w:i/>
          <w:iCs/>
          <w:sz w:val="24"/>
          <w:szCs w:val="24"/>
          <w:lang w:eastAsia="es-ES"/>
        </w:rPr>
        <w:t>, quedan a disposición</w:t>
      </w:r>
      <w:r>
        <w:rPr>
          <w:rFonts w:ascii="Arial" w:eastAsia="Times New Roman" w:hAnsi="Arial" w:cs="Arial"/>
          <w:bCs/>
          <w:i/>
          <w:iCs/>
          <w:sz w:val="24"/>
          <w:szCs w:val="24"/>
          <w:lang w:eastAsia="es-ES"/>
        </w:rPr>
        <w:t xml:space="preserve"> de la parte actora.</w:t>
      </w:r>
    </w:p>
    <w:p w14:paraId="07DBB992" w14:textId="0D46BB38" w:rsidR="00827DA8" w:rsidRDefault="00333AC5"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Agréguese</w:t>
      </w:r>
      <w:r w:rsidR="00827DA8">
        <w:rPr>
          <w:rFonts w:ascii="Arial" w:eastAsia="Times New Roman" w:hAnsi="Arial" w:cs="Arial"/>
          <w:bCs/>
          <w:i/>
          <w:iCs/>
          <w:sz w:val="24"/>
          <w:szCs w:val="24"/>
          <w:lang w:eastAsia="es-ES"/>
        </w:rPr>
        <w:t xml:space="preserve"> a los autos el escrito de </w:t>
      </w:r>
      <w:r w:rsidR="006E7FBD">
        <w:rPr>
          <w:rFonts w:ascii="Arial" w:hAnsi="Arial" w:cs="Arial"/>
          <w:color w:val="000000"/>
          <w:sz w:val="26"/>
          <w:szCs w:val="26"/>
        </w:rPr>
        <w:t>***********</w:t>
      </w:r>
      <w:r w:rsidR="00827DA8">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recibido</w:t>
      </w:r>
      <w:r w:rsidR="00827DA8">
        <w:rPr>
          <w:rFonts w:ascii="Arial" w:eastAsia="Times New Roman" w:hAnsi="Arial" w:cs="Arial"/>
          <w:bCs/>
          <w:i/>
          <w:iCs/>
          <w:sz w:val="24"/>
          <w:szCs w:val="24"/>
          <w:lang w:eastAsia="es-ES"/>
        </w:rPr>
        <w:t xml:space="preserve"> el </w:t>
      </w:r>
      <w:r>
        <w:rPr>
          <w:rFonts w:ascii="Arial" w:eastAsia="Times New Roman" w:hAnsi="Arial" w:cs="Arial"/>
          <w:bCs/>
          <w:i/>
          <w:iCs/>
          <w:sz w:val="24"/>
          <w:szCs w:val="24"/>
          <w:lang w:eastAsia="es-ES"/>
        </w:rPr>
        <w:t>diecisiete</w:t>
      </w:r>
      <w:r w:rsidR="00827DA8">
        <w:rPr>
          <w:rFonts w:ascii="Arial" w:eastAsia="Times New Roman" w:hAnsi="Arial" w:cs="Arial"/>
          <w:bCs/>
          <w:i/>
          <w:iCs/>
          <w:sz w:val="24"/>
          <w:szCs w:val="24"/>
          <w:lang w:eastAsia="es-ES"/>
        </w:rPr>
        <w:t xml:space="preserve"> de junio del año actual; en su atención, la promovente deberá estar a lo acordado en los párrafos </w:t>
      </w:r>
      <w:r>
        <w:rPr>
          <w:rFonts w:ascii="Arial" w:eastAsia="Times New Roman" w:hAnsi="Arial" w:cs="Arial"/>
          <w:bCs/>
          <w:i/>
          <w:iCs/>
          <w:sz w:val="24"/>
          <w:szCs w:val="24"/>
          <w:lang w:eastAsia="es-ES"/>
        </w:rPr>
        <w:t>anteriores</w:t>
      </w:r>
      <w:r w:rsidR="00827DA8">
        <w:rPr>
          <w:rFonts w:ascii="Arial" w:eastAsia="Times New Roman" w:hAnsi="Arial" w:cs="Arial"/>
          <w:bCs/>
          <w:i/>
          <w:iCs/>
          <w:sz w:val="24"/>
          <w:szCs w:val="24"/>
          <w:lang w:eastAsia="es-ES"/>
        </w:rPr>
        <w:t>.</w:t>
      </w:r>
    </w:p>
    <w:p w14:paraId="76BE49B4" w14:textId="3DDFEC10" w:rsidR="00B525A6" w:rsidRPr="00F67505" w:rsidRDefault="00827DA8" w:rsidP="00F67505">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lastRenderedPageBreak/>
        <w:t xml:space="preserve">Finalmente, y tal como lo solicita la parte actora, se señalan las </w:t>
      </w:r>
      <w:r w:rsidRPr="00333AC5">
        <w:rPr>
          <w:rFonts w:ascii="Arial" w:eastAsia="Times New Roman" w:hAnsi="Arial" w:cs="Arial"/>
          <w:b/>
          <w:bCs/>
          <w:i/>
          <w:iCs/>
          <w:sz w:val="24"/>
          <w:szCs w:val="24"/>
          <w:lang w:eastAsia="es-ES"/>
        </w:rPr>
        <w:t>CATORCE HORAS</w:t>
      </w:r>
      <w:r>
        <w:rPr>
          <w:rFonts w:ascii="Arial" w:eastAsia="Times New Roman" w:hAnsi="Arial" w:cs="Arial"/>
          <w:bCs/>
          <w:i/>
          <w:iCs/>
          <w:sz w:val="24"/>
          <w:szCs w:val="24"/>
          <w:lang w:eastAsia="es-ES"/>
        </w:rPr>
        <w:t xml:space="preserve"> del </w:t>
      </w:r>
      <w:r w:rsidR="00333AC5">
        <w:rPr>
          <w:rFonts w:ascii="Arial" w:eastAsia="Times New Roman" w:hAnsi="Arial" w:cs="Arial"/>
          <w:bCs/>
          <w:i/>
          <w:iCs/>
          <w:sz w:val="24"/>
          <w:szCs w:val="24"/>
          <w:lang w:eastAsia="es-ES"/>
        </w:rPr>
        <w:t>día</w:t>
      </w:r>
      <w:r>
        <w:rPr>
          <w:rFonts w:ascii="Arial" w:eastAsia="Times New Roman" w:hAnsi="Arial" w:cs="Arial"/>
          <w:bCs/>
          <w:i/>
          <w:iCs/>
          <w:sz w:val="24"/>
          <w:szCs w:val="24"/>
          <w:lang w:eastAsia="es-ES"/>
        </w:rPr>
        <w:t xml:space="preserve"> </w:t>
      </w:r>
      <w:r w:rsidRPr="00333AC5">
        <w:rPr>
          <w:rFonts w:ascii="Arial" w:eastAsia="Times New Roman" w:hAnsi="Arial" w:cs="Arial"/>
          <w:b/>
          <w:bCs/>
          <w:i/>
          <w:iCs/>
          <w:sz w:val="24"/>
          <w:szCs w:val="24"/>
          <w:lang w:eastAsia="es-ES"/>
        </w:rPr>
        <w:t>CUATRO DE OCTUBRE DEL PRESENTE AÑO</w:t>
      </w:r>
      <w:r>
        <w:rPr>
          <w:rFonts w:ascii="Arial" w:eastAsia="Times New Roman" w:hAnsi="Arial" w:cs="Arial"/>
          <w:bCs/>
          <w:i/>
          <w:iCs/>
          <w:sz w:val="24"/>
          <w:szCs w:val="24"/>
          <w:lang w:eastAsia="es-ES"/>
        </w:rPr>
        <w:t xml:space="preserve">, para llevar a cabo la audiencia final en el </w:t>
      </w:r>
      <w:r w:rsidR="00333AC5">
        <w:rPr>
          <w:rFonts w:ascii="Arial" w:eastAsia="Times New Roman" w:hAnsi="Arial" w:cs="Arial"/>
          <w:bCs/>
          <w:i/>
          <w:iCs/>
          <w:sz w:val="24"/>
          <w:szCs w:val="24"/>
          <w:lang w:eastAsia="es-ES"/>
        </w:rPr>
        <w:t>presente</w:t>
      </w:r>
      <w:r>
        <w:rPr>
          <w:rFonts w:ascii="Arial" w:eastAsia="Times New Roman" w:hAnsi="Arial" w:cs="Arial"/>
          <w:bCs/>
          <w:i/>
          <w:iCs/>
          <w:sz w:val="24"/>
          <w:szCs w:val="24"/>
          <w:lang w:eastAsia="es-ES"/>
        </w:rPr>
        <w:t xml:space="preserve"> asunto</w:t>
      </w:r>
      <w:r w:rsidR="00757674">
        <w:rPr>
          <w:rFonts w:ascii="Arial" w:eastAsia="Times New Roman" w:hAnsi="Arial" w:cs="Arial"/>
          <w:bCs/>
          <w:i/>
          <w:iCs/>
          <w:sz w:val="24"/>
          <w:szCs w:val="24"/>
          <w:lang w:eastAsia="es-ES"/>
        </w:rPr>
        <w:t xml:space="preserve">, en la que se desahogarán las pruebas </w:t>
      </w:r>
      <w:r w:rsidR="00333AC5">
        <w:rPr>
          <w:rFonts w:ascii="Arial" w:eastAsia="Times New Roman" w:hAnsi="Arial" w:cs="Arial"/>
          <w:bCs/>
          <w:i/>
          <w:iCs/>
          <w:sz w:val="24"/>
          <w:szCs w:val="24"/>
          <w:lang w:eastAsia="es-ES"/>
        </w:rPr>
        <w:t>ofrecidas</w:t>
      </w:r>
      <w:r w:rsidR="00757674">
        <w:rPr>
          <w:rFonts w:ascii="Arial" w:eastAsia="Times New Roman" w:hAnsi="Arial" w:cs="Arial"/>
          <w:bCs/>
          <w:i/>
          <w:iCs/>
          <w:sz w:val="24"/>
          <w:szCs w:val="24"/>
          <w:lang w:eastAsia="es-ES"/>
        </w:rPr>
        <w:t xml:space="preserve"> en el Juicio y se recibirán alegatos por </w:t>
      </w:r>
      <w:r w:rsidR="00333AC5">
        <w:rPr>
          <w:rFonts w:ascii="Arial" w:eastAsia="Times New Roman" w:hAnsi="Arial" w:cs="Arial"/>
          <w:bCs/>
          <w:i/>
          <w:iCs/>
          <w:sz w:val="24"/>
          <w:szCs w:val="24"/>
          <w:lang w:eastAsia="es-ES"/>
        </w:rPr>
        <w:t>escrito</w:t>
      </w:r>
      <w:r w:rsidR="00757674">
        <w:rPr>
          <w:rFonts w:ascii="Arial" w:eastAsia="Times New Roman" w:hAnsi="Arial" w:cs="Arial"/>
          <w:bCs/>
          <w:i/>
          <w:iCs/>
          <w:sz w:val="24"/>
          <w:szCs w:val="24"/>
          <w:lang w:eastAsia="es-ES"/>
        </w:rPr>
        <w:t>, la cual se celebrar</w:t>
      </w:r>
      <w:r w:rsidR="00333AC5">
        <w:rPr>
          <w:rFonts w:ascii="Arial" w:eastAsia="Times New Roman" w:hAnsi="Arial" w:cs="Arial"/>
          <w:bCs/>
          <w:i/>
          <w:iCs/>
          <w:sz w:val="24"/>
          <w:szCs w:val="24"/>
          <w:lang w:eastAsia="es-ES"/>
        </w:rPr>
        <w:t>á aun sin la presencia</w:t>
      </w:r>
      <w:r w:rsidR="00757674">
        <w:rPr>
          <w:rFonts w:ascii="Arial" w:eastAsia="Times New Roman" w:hAnsi="Arial" w:cs="Arial"/>
          <w:bCs/>
          <w:i/>
          <w:iCs/>
          <w:sz w:val="24"/>
          <w:szCs w:val="24"/>
          <w:lang w:eastAsia="es-ES"/>
        </w:rPr>
        <w:t xml:space="preserve"> de las </w:t>
      </w:r>
      <w:r w:rsidR="006E7FBD">
        <w:rPr>
          <w:rFonts w:ascii="Arial" w:eastAsia="Times New Roman" w:hAnsi="Arial" w:cs="Arial"/>
          <w:bCs/>
          <w:i/>
          <w:iCs/>
          <w:sz w:val="24"/>
          <w:szCs w:val="24"/>
          <w:lang w:eastAsia="es-ES"/>
        </w:rPr>
        <w:t>partes,</w:t>
      </w:r>
      <w:r w:rsidR="00757674">
        <w:rPr>
          <w:rFonts w:ascii="Arial" w:eastAsia="Times New Roman" w:hAnsi="Arial" w:cs="Arial"/>
          <w:bCs/>
          <w:i/>
          <w:iCs/>
          <w:sz w:val="24"/>
          <w:szCs w:val="24"/>
          <w:lang w:eastAsia="es-ES"/>
        </w:rPr>
        <w:t xml:space="preserve"> lo anterior en </w:t>
      </w:r>
      <w:r w:rsidR="00333AC5">
        <w:rPr>
          <w:rFonts w:ascii="Arial" w:eastAsia="Times New Roman" w:hAnsi="Arial" w:cs="Arial"/>
          <w:bCs/>
          <w:i/>
          <w:iCs/>
          <w:sz w:val="24"/>
          <w:szCs w:val="24"/>
          <w:lang w:eastAsia="es-ES"/>
        </w:rPr>
        <w:t>términos</w:t>
      </w:r>
      <w:r w:rsidR="00757674">
        <w:rPr>
          <w:rFonts w:ascii="Arial" w:eastAsia="Times New Roman" w:hAnsi="Arial" w:cs="Arial"/>
          <w:bCs/>
          <w:i/>
          <w:iCs/>
          <w:sz w:val="24"/>
          <w:szCs w:val="24"/>
          <w:lang w:eastAsia="es-ES"/>
        </w:rPr>
        <w:t xml:space="preserve"> del </w:t>
      </w:r>
      <w:r w:rsidR="00333AC5">
        <w:rPr>
          <w:rFonts w:ascii="Arial" w:eastAsia="Times New Roman" w:hAnsi="Arial" w:cs="Arial"/>
          <w:bCs/>
          <w:i/>
          <w:iCs/>
          <w:sz w:val="24"/>
          <w:szCs w:val="24"/>
          <w:lang w:eastAsia="es-ES"/>
        </w:rPr>
        <w:t>artículo</w:t>
      </w:r>
      <w:r w:rsidR="00757674">
        <w:rPr>
          <w:rFonts w:ascii="Arial" w:eastAsia="Times New Roman" w:hAnsi="Arial" w:cs="Arial"/>
          <w:bCs/>
          <w:i/>
          <w:iCs/>
          <w:sz w:val="24"/>
          <w:szCs w:val="24"/>
          <w:lang w:eastAsia="es-ES"/>
        </w:rPr>
        <w:t xml:space="preserve"> 174 de la Ley de Justicia Administrativa para el Estado de Oaxaca.</w:t>
      </w:r>
      <w:r w:rsidR="00B525A6"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63C86470"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e</w:t>
      </w:r>
      <w:r w:rsidR="000E7864">
        <w:rPr>
          <w:rFonts w:ascii="Arial" w:hAnsi="Arial" w:cs="Arial"/>
          <w:bCs/>
          <w:iCs/>
          <w:sz w:val="26"/>
          <w:szCs w:val="26"/>
        </w:rPr>
        <w:t>visión interpuesto</w:t>
      </w:r>
      <w:r w:rsidR="00333AC5">
        <w:rPr>
          <w:rFonts w:ascii="Arial" w:hAnsi="Arial" w:cs="Arial"/>
          <w:bCs/>
          <w:iCs/>
          <w:sz w:val="26"/>
          <w:szCs w:val="26"/>
        </w:rPr>
        <w:t xml:space="preserve"> en contra </w:t>
      </w:r>
      <w:r w:rsidR="000E7864">
        <w:rPr>
          <w:rFonts w:ascii="Arial" w:hAnsi="Arial" w:cs="Arial"/>
          <w:bCs/>
          <w:iCs/>
          <w:sz w:val="26"/>
          <w:szCs w:val="26"/>
        </w:rPr>
        <w:t>del</w:t>
      </w:r>
      <w:r w:rsidR="00685496">
        <w:rPr>
          <w:rFonts w:ascii="Arial" w:hAnsi="Arial" w:cs="Arial"/>
          <w:bCs/>
          <w:iCs/>
          <w:sz w:val="26"/>
          <w:szCs w:val="26"/>
        </w:rPr>
        <w:t xml:space="preserve"> acuerdo </w:t>
      </w:r>
      <w:r>
        <w:rPr>
          <w:rFonts w:ascii="Arial" w:hAnsi="Arial" w:cs="Arial"/>
          <w:bCs/>
          <w:iCs/>
          <w:sz w:val="26"/>
          <w:szCs w:val="26"/>
        </w:rPr>
        <w:t xml:space="preserve">de </w:t>
      </w:r>
      <w:r w:rsidR="00333AC5">
        <w:rPr>
          <w:rFonts w:ascii="Arial" w:hAnsi="Arial" w:cs="Arial"/>
          <w:bCs/>
          <w:iCs/>
          <w:sz w:val="26"/>
          <w:szCs w:val="26"/>
        </w:rPr>
        <w:t>nueve</w:t>
      </w:r>
      <w:r w:rsidR="000E7864">
        <w:rPr>
          <w:rFonts w:ascii="Arial" w:hAnsi="Arial" w:cs="Arial"/>
          <w:bCs/>
          <w:iCs/>
          <w:sz w:val="26"/>
          <w:szCs w:val="26"/>
        </w:rPr>
        <w:t xml:space="preserve"> de agosto</w:t>
      </w:r>
      <w:r w:rsidR="0084256F">
        <w:rPr>
          <w:rFonts w:ascii="Arial" w:hAnsi="Arial" w:cs="Arial"/>
          <w:bCs/>
          <w:iCs/>
          <w:sz w:val="26"/>
          <w:szCs w:val="26"/>
        </w:rPr>
        <w:t xml:space="preserve"> de dos mil diecinueve</w:t>
      </w:r>
      <w:r>
        <w:rPr>
          <w:rFonts w:ascii="Arial" w:hAnsi="Arial" w:cs="Arial"/>
          <w:bCs/>
          <w:iCs/>
          <w:sz w:val="26"/>
          <w:szCs w:val="26"/>
        </w:rPr>
        <w:t xml:space="preserve">, dictado </w:t>
      </w:r>
      <w:r w:rsidR="000E7864">
        <w:rPr>
          <w:rFonts w:ascii="Arial" w:hAnsi="Arial" w:cs="Arial"/>
          <w:bCs/>
          <w:iCs/>
          <w:sz w:val="26"/>
          <w:szCs w:val="26"/>
        </w:rPr>
        <w:t>en</w:t>
      </w:r>
      <w:r w:rsidRPr="00CB6405">
        <w:rPr>
          <w:rFonts w:ascii="Arial" w:hAnsi="Arial" w:cs="Arial"/>
          <w:bCs/>
          <w:iCs/>
          <w:sz w:val="26"/>
          <w:szCs w:val="26"/>
        </w:rPr>
        <w:t xml:space="preserve"> la </w:t>
      </w:r>
      <w:r w:rsidR="00333AC5">
        <w:rPr>
          <w:rFonts w:ascii="Arial" w:hAnsi="Arial" w:cs="Arial"/>
          <w:bCs/>
          <w:iCs/>
          <w:sz w:val="26"/>
          <w:szCs w:val="26"/>
        </w:rPr>
        <w:t>Segunda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333AC5">
        <w:rPr>
          <w:rFonts w:ascii="Arial" w:hAnsi="Arial" w:cs="Arial"/>
          <w:b/>
          <w:bCs/>
          <w:iCs/>
          <w:sz w:val="26"/>
          <w:szCs w:val="26"/>
        </w:rPr>
        <w:t>1</w:t>
      </w:r>
      <w:r>
        <w:rPr>
          <w:rFonts w:ascii="Arial" w:hAnsi="Arial" w:cs="Arial"/>
          <w:b/>
          <w:bCs/>
          <w:iCs/>
          <w:sz w:val="26"/>
          <w:szCs w:val="26"/>
        </w:rPr>
        <w:t>/2019</w:t>
      </w:r>
      <w:r w:rsidRPr="00CB6405">
        <w:rPr>
          <w:rFonts w:ascii="Arial" w:hAnsi="Arial" w:cs="Arial"/>
          <w:sz w:val="26"/>
          <w:szCs w:val="26"/>
        </w:rPr>
        <w:t>.</w:t>
      </w:r>
    </w:p>
    <w:p w14:paraId="0CE5C4E5" w14:textId="77777777" w:rsidR="00830ED6" w:rsidRDefault="00822141" w:rsidP="00830ED6">
      <w:pPr>
        <w:spacing w:line="360" w:lineRule="auto"/>
        <w:ind w:firstLine="708"/>
        <w:jc w:val="both"/>
        <w:rPr>
          <w:rFonts w:ascii="Arial" w:hAnsi="Arial" w:cs="Arial"/>
          <w:sz w:val="26"/>
          <w:szCs w:val="26"/>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830ED6">
        <w:rPr>
          <w:rFonts w:ascii="Arial" w:hAnsi="Arial" w:cs="Arial"/>
          <w:sz w:val="26"/>
          <w:szCs w:val="26"/>
        </w:rPr>
        <w:t>. En apoyo a lo anterior, se invoca la T</w:t>
      </w:r>
      <w:r w:rsidR="00830ED6">
        <w:rPr>
          <w:rFonts w:ascii="Arial" w:hAnsi="Arial" w:cs="Arial"/>
          <w:bCs/>
          <w:color w:val="000000"/>
          <w:sz w:val="26"/>
          <w:szCs w:val="26"/>
          <w:lang w:val="es-MX"/>
        </w:rPr>
        <w:t>esis XVII.1o.C.T.30 K, emitida por los Tribunales Colegiados de Circuito, con número de registro 175433, publicada en la Gaceta del Semanario Judicial de la Federación, Tomo XXIII, Marzo de 2006, visible a página 2115, Novena Época, bajo el rubro y texto siguiente:</w:t>
      </w:r>
    </w:p>
    <w:p w14:paraId="355932E7" w14:textId="11DF4A6A" w:rsidR="00822141" w:rsidRPr="00830ED6" w:rsidRDefault="00830ED6" w:rsidP="00830ED6">
      <w:pPr>
        <w:ind w:left="851"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 xml:space="preserve">El hecho de que en las sentencias que emitan los Tribunales Colegiados de Circuito no se transcriba la resolución recurrida, no infringe disposiciones de la Ley de Amparo, a la cual quedan sujetas sus actuaciones, pues el </w:t>
      </w:r>
      <w:r w:rsidRPr="00C41C98">
        <w:rPr>
          <w:rFonts w:ascii="Arial" w:eastAsia="Times New Roman" w:hAnsi="Arial" w:cs="Arial"/>
          <w:bCs/>
          <w:i/>
          <w:sz w:val="24"/>
          <w:szCs w:val="24"/>
          <w:lang w:val="es-MX" w:eastAsia="es-MX"/>
        </w:rPr>
        <w:lastRenderedPageBreak/>
        <w:t>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48D6401D" w14:textId="11649C46" w:rsidR="00685496" w:rsidRDefault="00B525A6" w:rsidP="00333AC5">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0E7864">
        <w:rPr>
          <w:rFonts w:ascii="Arial" w:eastAsia="Calibri" w:hAnsi="Arial" w:cs="Arial"/>
          <w:bCs/>
          <w:sz w:val="26"/>
          <w:szCs w:val="26"/>
        </w:rPr>
        <w:t>El recurren</w:t>
      </w:r>
      <w:r w:rsidR="00292508">
        <w:rPr>
          <w:rFonts w:ascii="Arial" w:eastAsia="Calibri" w:hAnsi="Arial" w:cs="Arial"/>
          <w:bCs/>
          <w:sz w:val="26"/>
          <w:szCs w:val="26"/>
        </w:rPr>
        <w:t xml:space="preserve">te alega que el acuerdo que recurre carece de sustento legal, al no haber sido demandado el Director </w:t>
      </w:r>
      <w:r w:rsidR="002343EB">
        <w:rPr>
          <w:rFonts w:ascii="Arial" w:eastAsia="Calibri" w:hAnsi="Arial" w:cs="Arial"/>
          <w:bCs/>
          <w:sz w:val="26"/>
          <w:szCs w:val="26"/>
        </w:rPr>
        <w:t>Jurídico</w:t>
      </w:r>
      <w:r w:rsidR="00292508">
        <w:rPr>
          <w:rFonts w:ascii="Arial" w:eastAsia="Calibri" w:hAnsi="Arial" w:cs="Arial"/>
          <w:bCs/>
          <w:sz w:val="26"/>
          <w:szCs w:val="26"/>
        </w:rPr>
        <w:t xml:space="preserve"> de la Secretaría de la </w:t>
      </w:r>
      <w:r w:rsidR="002343EB">
        <w:rPr>
          <w:rFonts w:ascii="Arial" w:eastAsia="Calibri" w:hAnsi="Arial" w:cs="Arial"/>
          <w:bCs/>
          <w:sz w:val="26"/>
          <w:szCs w:val="26"/>
        </w:rPr>
        <w:t>Contraloría</w:t>
      </w:r>
      <w:r w:rsidR="00292508">
        <w:rPr>
          <w:rFonts w:ascii="Arial" w:eastAsia="Calibri" w:hAnsi="Arial" w:cs="Arial"/>
          <w:bCs/>
          <w:sz w:val="26"/>
          <w:szCs w:val="26"/>
        </w:rPr>
        <w:t xml:space="preserve"> y </w:t>
      </w:r>
      <w:r w:rsidR="002343EB">
        <w:rPr>
          <w:rFonts w:ascii="Arial" w:eastAsia="Calibri" w:hAnsi="Arial" w:cs="Arial"/>
          <w:bCs/>
          <w:sz w:val="26"/>
          <w:szCs w:val="26"/>
        </w:rPr>
        <w:t>Transparencia</w:t>
      </w:r>
      <w:r w:rsidR="00292508">
        <w:rPr>
          <w:rFonts w:ascii="Arial" w:eastAsia="Calibri" w:hAnsi="Arial" w:cs="Arial"/>
          <w:bCs/>
          <w:sz w:val="26"/>
          <w:szCs w:val="26"/>
        </w:rPr>
        <w:t xml:space="preserve"> </w:t>
      </w:r>
      <w:r w:rsidR="002343EB">
        <w:rPr>
          <w:rFonts w:ascii="Arial" w:eastAsia="Calibri" w:hAnsi="Arial" w:cs="Arial"/>
          <w:bCs/>
          <w:sz w:val="26"/>
          <w:szCs w:val="26"/>
        </w:rPr>
        <w:t>Gubernamental</w:t>
      </w:r>
      <w:r w:rsidR="00292508">
        <w:rPr>
          <w:rFonts w:ascii="Arial" w:eastAsia="Calibri" w:hAnsi="Arial" w:cs="Arial"/>
          <w:bCs/>
          <w:sz w:val="26"/>
          <w:szCs w:val="26"/>
        </w:rPr>
        <w:t xml:space="preserve"> del Estado de Oaxaca, quien no tiene la </w:t>
      </w:r>
      <w:r w:rsidR="002343EB">
        <w:rPr>
          <w:rFonts w:ascii="Arial" w:eastAsia="Calibri" w:hAnsi="Arial" w:cs="Arial"/>
          <w:bCs/>
          <w:sz w:val="26"/>
          <w:szCs w:val="26"/>
        </w:rPr>
        <w:t>representación</w:t>
      </w:r>
      <w:r w:rsidR="00292508">
        <w:rPr>
          <w:rFonts w:ascii="Arial" w:eastAsia="Calibri" w:hAnsi="Arial" w:cs="Arial"/>
          <w:bCs/>
          <w:sz w:val="26"/>
          <w:szCs w:val="26"/>
        </w:rPr>
        <w:t xml:space="preserve"> del Director de </w:t>
      </w:r>
      <w:r w:rsidR="002343EB">
        <w:rPr>
          <w:rFonts w:ascii="Arial" w:eastAsia="Calibri" w:hAnsi="Arial" w:cs="Arial"/>
          <w:bCs/>
          <w:sz w:val="26"/>
          <w:szCs w:val="26"/>
        </w:rPr>
        <w:t>Responsabilidades</w:t>
      </w:r>
      <w:r w:rsidR="00292508">
        <w:rPr>
          <w:rFonts w:ascii="Arial" w:eastAsia="Calibri" w:hAnsi="Arial" w:cs="Arial"/>
          <w:bCs/>
          <w:sz w:val="26"/>
          <w:szCs w:val="26"/>
        </w:rPr>
        <w:t xml:space="preserve"> Administrativas y </w:t>
      </w:r>
      <w:r w:rsidR="002343EB">
        <w:rPr>
          <w:rFonts w:ascii="Arial" w:eastAsia="Calibri" w:hAnsi="Arial" w:cs="Arial"/>
          <w:bCs/>
          <w:sz w:val="26"/>
          <w:szCs w:val="26"/>
        </w:rPr>
        <w:t>Situación</w:t>
      </w:r>
      <w:r w:rsidR="00292508">
        <w:rPr>
          <w:rFonts w:ascii="Arial" w:eastAsia="Calibri" w:hAnsi="Arial" w:cs="Arial"/>
          <w:bCs/>
          <w:sz w:val="26"/>
          <w:szCs w:val="26"/>
        </w:rPr>
        <w:t xml:space="preserve"> Patrimonial, actualmente Director de </w:t>
      </w:r>
      <w:r w:rsidR="002343EB">
        <w:rPr>
          <w:rFonts w:ascii="Arial" w:eastAsia="Calibri" w:hAnsi="Arial" w:cs="Arial"/>
          <w:bCs/>
          <w:sz w:val="26"/>
          <w:szCs w:val="26"/>
        </w:rPr>
        <w:t>Responsabilidades</w:t>
      </w:r>
      <w:r w:rsidR="00292508">
        <w:rPr>
          <w:rFonts w:ascii="Arial" w:eastAsia="Calibri" w:hAnsi="Arial" w:cs="Arial"/>
          <w:bCs/>
          <w:sz w:val="26"/>
          <w:szCs w:val="26"/>
        </w:rPr>
        <w:t xml:space="preserve"> Administrativas y </w:t>
      </w:r>
      <w:r w:rsidR="002343EB">
        <w:rPr>
          <w:rFonts w:ascii="Arial" w:eastAsia="Calibri" w:hAnsi="Arial" w:cs="Arial"/>
          <w:bCs/>
          <w:sz w:val="26"/>
          <w:szCs w:val="26"/>
        </w:rPr>
        <w:t>Situación</w:t>
      </w:r>
      <w:r w:rsidR="00292508">
        <w:rPr>
          <w:rFonts w:ascii="Arial" w:eastAsia="Calibri" w:hAnsi="Arial" w:cs="Arial"/>
          <w:bCs/>
          <w:sz w:val="26"/>
          <w:szCs w:val="26"/>
        </w:rPr>
        <w:t xml:space="preserve"> Patrimonial de la Secretaría de la </w:t>
      </w:r>
      <w:r w:rsidR="002343EB">
        <w:rPr>
          <w:rFonts w:ascii="Arial" w:eastAsia="Calibri" w:hAnsi="Arial" w:cs="Arial"/>
          <w:bCs/>
          <w:sz w:val="26"/>
          <w:szCs w:val="26"/>
        </w:rPr>
        <w:t>Contraloría</w:t>
      </w:r>
      <w:r w:rsidR="00292508">
        <w:rPr>
          <w:rFonts w:ascii="Arial" w:eastAsia="Calibri" w:hAnsi="Arial" w:cs="Arial"/>
          <w:bCs/>
          <w:sz w:val="26"/>
          <w:szCs w:val="26"/>
        </w:rPr>
        <w:t xml:space="preserve"> y </w:t>
      </w:r>
      <w:r w:rsidR="002343EB">
        <w:rPr>
          <w:rFonts w:ascii="Arial" w:eastAsia="Calibri" w:hAnsi="Arial" w:cs="Arial"/>
          <w:bCs/>
          <w:sz w:val="26"/>
          <w:szCs w:val="26"/>
        </w:rPr>
        <w:t>Transparencia</w:t>
      </w:r>
      <w:r w:rsidR="00292508">
        <w:rPr>
          <w:rFonts w:ascii="Arial" w:eastAsia="Calibri" w:hAnsi="Arial" w:cs="Arial"/>
          <w:bCs/>
          <w:sz w:val="26"/>
          <w:szCs w:val="26"/>
        </w:rPr>
        <w:t xml:space="preserve"> </w:t>
      </w:r>
      <w:r w:rsidR="002343EB">
        <w:rPr>
          <w:rFonts w:ascii="Arial" w:eastAsia="Calibri" w:hAnsi="Arial" w:cs="Arial"/>
          <w:bCs/>
          <w:sz w:val="26"/>
          <w:szCs w:val="26"/>
        </w:rPr>
        <w:t>Gubernamental</w:t>
      </w:r>
      <w:r w:rsidR="00292508">
        <w:rPr>
          <w:rFonts w:ascii="Arial" w:eastAsia="Calibri" w:hAnsi="Arial" w:cs="Arial"/>
          <w:bCs/>
          <w:sz w:val="26"/>
          <w:szCs w:val="26"/>
        </w:rPr>
        <w:t>.</w:t>
      </w:r>
    </w:p>
    <w:p w14:paraId="2FA037CE" w14:textId="3C32E787" w:rsidR="00292508" w:rsidRDefault="00292508" w:rsidP="00333AC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Señala que esto es así porque el Director </w:t>
      </w:r>
      <w:r w:rsidR="002343EB">
        <w:rPr>
          <w:rFonts w:ascii="Arial" w:eastAsia="Calibri" w:hAnsi="Arial" w:cs="Arial"/>
          <w:bCs/>
          <w:sz w:val="26"/>
          <w:szCs w:val="26"/>
        </w:rPr>
        <w:t>Jurídico</w:t>
      </w:r>
      <w:r>
        <w:rPr>
          <w:rFonts w:ascii="Arial" w:eastAsia="Calibri" w:hAnsi="Arial" w:cs="Arial"/>
          <w:bCs/>
          <w:sz w:val="26"/>
          <w:szCs w:val="26"/>
        </w:rPr>
        <w:t xml:space="preserve"> no acreditó con </w:t>
      </w:r>
      <w:r w:rsidR="002343EB">
        <w:rPr>
          <w:rFonts w:ascii="Arial" w:eastAsia="Calibri" w:hAnsi="Arial" w:cs="Arial"/>
          <w:bCs/>
          <w:sz w:val="26"/>
          <w:szCs w:val="26"/>
        </w:rPr>
        <w:t>documento</w:t>
      </w:r>
      <w:r>
        <w:rPr>
          <w:rFonts w:ascii="Arial" w:eastAsia="Calibri" w:hAnsi="Arial" w:cs="Arial"/>
          <w:bCs/>
          <w:sz w:val="26"/>
          <w:szCs w:val="26"/>
        </w:rPr>
        <w:t xml:space="preserve"> alguno la </w:t>
      </w:r>
      <w:r w:rsidR="002343EB">
        <w:rPr>
          <w:rFonts w:ascii="Arial" w:eastAsia="Calibri" w:hAnsi="Arial" w:cs="Arial"/>
          <w:bCs/>
          <w:sz w:val="26"/>
          <w:szCs w:val="26"/>
        </w:rPr>
        <w:t>representación</w:t>
      </w:r>
      <w:r>
        <w:rPr>
          <w:rFonts w:ascii="Arial" w:eastAsia="Calibri" w:hAnsi="Arial" w:cs="Arial"/>
          <w:bCs/>
          <w:sz w:val="26"/>
          <w:szCs w:val="26"/>
        </w:rPr>
        <w:t xml:space="preserve"> del Director de </w:t>
      </w:r>
      <w:r w:rsidR="002343EB">
        <w:rPr>
          <w:rFonts w:ascii="Arial" w:eastAsia="Calibri" w:hAnsi="Arial" w:cs="Arial"/>
          <w:bCs/>
          <w:sz w:val="26"/>
          <w:szCs w:val="26"/>
        </w:rPr>
        <w:t>Responsabilidades Administrativas</w:t>
      </w:r>
      <w:r>
        <w:rPr>
          <w:rFonts w:ascii="Arial" w:eastAsia="Calibri" w:hAnsi="Arial" w:cs="Arial"/>
          <w:bCs/>
          <w:sz w:val="26"/>
          <w:szCs w:val="26"/>
        </w:rPr>
        <w:t xml:space="preserve"> y </w:t>
      </w:r>
      <w:r w:rsidR="002343EB">
        <w:rPr>
          <w:rFonts w:ascii="Arial" w:eastAsia="Calibri" w:hAnsi="Arial" w:cs="Arial"/>
          <w:bCs/>
          <w:sz w:val="26"/>
          <w:szCs w:val="26"/>
        </w:rPr>
        <w:t>Situación</w:t>
      </w:r>
      <w:r>
        <w:rPr>
          <w:rFonts w:ascii="Arial" w:eastAsia="Calibri" w:hAnsi="Arial" w:cs="Arial"/>
          <w:bCs/>
          <w:sz w:val="26"/>
          <w:szCs w:val="26"/>
        </w:rPr>
        <w:t xml:space="preserve"> Patrimonial, ya que únicamente exhibió su nombramiento como Director </w:t>
      </w:r>
      <w:r w:rsidR="002343EB">
        <w:rPr>
          <w:rFonts w:ascii="Arial" w:eastAsia="Calibri" w:hAnsi="Arial" w:cs="Arial"/>
          <w:bCs/>
          <w:sz w:val="26"/>
          <w:szCs w:val="26"/>
        </w:rPr>
        <w:t>Jurídico</w:t>
      </w:r>
      <w:r>
        <w:rPr>
          <w:rFonts w:ascii="Arial" w:eastAsia="Calibri" w:hAnsi="Arial" w:cs="Arial"/>
          <w:bCs/>
          <w:sz w:val="26"/>
          <w:szCs w:val="26"/>
        </w:rPr>
        <w:t xml:space="preserve">, lo cual no es </w:t>
      </w:r>
      <w:r w:rsidR="002343EB">
        <w:rPr>
          <w:rFonts w:ascii="Arial" w:eastAsia="Calibri" w:hAnsi="Arial" w:cs="Arial"/>
          <w:bCs/>
          <w:sz w:val="26"/>
          <w:szCs w:val="26"/>
        </w:rPr>
        <w:t>suficiente</w:t>
      </w:r>
      <w:r>
        <w:rPr>
          <w:rFonts w:ascii="Arial" w:eastAsia="Calibri" w:hAnsi="Arial" w:cs="Arial"/>
          <w:bCs/>
          <w:sz w:val="26"/>
          <w:szCs w:val="26"/>
        </w:rPr>
        <w:t xml:space="preserve"> para que </w:t>
      </w:r>
      <w:r w:rsidR="002343EB">
        <w:rPr>
          <w:rFonts w:ascii="Arial" w:eastAsia="Calibri" w:hAnsi="Arial" w:cs="Arial"/>
          <w:bCs/>
          <w:sz w:val="26"/>
          <w:szCs w:val="26"/>
        </w:rPr>
        <w:t>ejerza</w:t>
      </w:r>
      <w:r>
        <w:rPr>
          <w:rFonts w:ascii="Arial" w:eastAsia="Calibri" w:hAnsi="Arial" w:cs="Arial"/>
          <w:bCs/>
          <w:sz w:val="26"/>
          <w:szCs w:val="26"/>
        </w:rPr>
        <w:t xml:space="preserve"> la </w:t>
      </w:r>
      <w:r w:rsidR="002343EB">
        <w:rPr>
          <w:rFonts w:ascii="Arial" w:eastAsia="Calibri" w:hAnsi="Arial" w:cs="Arial"/>
          <w:bCs/>
          <w:sz w:val="26"/>
          <w:szCs w:val="26"/>
        </w:rPr>
        <w:t>representación</w:t>
      </w:r>
      <w:r>
        <w:rPr>
          <w:rFonts w:ascii="Arial" w:eastAsia="Calibri" w:hAnsi="Arial" w:cs="Arial"/>
          <w:bCs/>
          <w:sz w:val="26"/>
          <w:szCs w:val="26"/>
        </w:rPr>
        <w:t xml:space="preserve"> de la autoridad demandada, por lo que debió exhibir otro </w:t>
      </w:r>
      <w:r w:rsidR="002343EB">
        <w:rPr>
          <w:rFonts w:ascii="Arial" w:eastAsia="Calibri" w:hAnsi="Arial" w:cs="Arial"/>
          <w:bCs/>
          <w:sz w:val="26"/>
          <w:szCs w:val="26"/>
        </w:rPr>
        <w:t>documento</w:t>
      </w:r>
      <w:r>
        <w:rPr>
          <w:rFonts w:ascii="Arial" w:eastAsia="Calibri" w:hAnsi="Arial" w:cs="Arial"/>
          <w:bCs/>
          <w:sz w:val="26"/>
          <w:szCs w:val="26"/>
        </w:rPr>
        <w:t xml:space="preserve"> en el cual se le otorgara dicha </w:t>
      </w:r>
      <w:r w:rsidR="002343EB">
        <w:rPr>
          <w:rFonts w:ascii="Arial" w:eastAsia="Calibri" w:hAnsi="Arial" w:cs="Arial"/>
          <w:bCs/>
          <w:sz w:val="26"/>
          <w:szCs w:val="26"/>
        </w:rPr>
        <w:t>representación</w:t>
      </w:r>
      <w:r>
        <w:rPr>
          <w:rFonts w:ascii="Arial" w:eastAsia="Calibri" w:hAnsi="Arial" w:cs="Arial"/>
          <w:bCs/>
          <w:sz w:val="26"/>
          <w:szCs w:val="26"/>
        </w:rPr>
        <w:t>.</w:t>
      </w:r>
    </w:p>
    <w:p w14:paraId="48B7E017" w14:textId="38D4B4FD" w:rsidR="00292508" w:rsidRDefault="002343EB" w:rsidP="00333AC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Agregando</w:t>
      </w:r>
      <w:r w:rsidR="00292508">
        <w:rPr>
          <w:rFonts w:ascii="Arial" w:eastAsia="Calibri" w:hAnsi="Arial" w:cs="Arial"/>
          <w:bCs/>
          <w:sz w:val="26"/>
          <w:szCs w:val="26"/>
        </w:rPr>
        <w:t xml:space="preserve"> el recurrente, que no obstante a lo anterior, el citado Director </w:t>
      </w:r>
      <w:r>
        <w:rPr>
          <w:rFonts w:ascii="Arial" w:eastAsia="Calibri" w:hAnsi="Arial" w:cs="Arial"/>
          <w:bCs/>
          <w:sz w:val="26"/>
          <w:szCs w:val="26"/>
        </w:rPr>
        <w:t>Jurídico</w:t>
      </w:r>
      <w:r w:rsidR="00292508">
        <w:rPr>
          <w:rFonts w:ascii="Arial" w:eastAsia="Calibri" w:hAnsi="Arial" w:cs="Arial"/>
          <w:bCs/>
          <w:sz w:val="26"/>
          <w:szCs w:val="26"/>
        </w:rPr>
        <w:t xml:space="preserve"> haya </w:t>
      </w:r>
      <w:r>
        <w:rPr>
          <w:rFonts w:ascii="Arial" w:eastAsia="Calibri" w:hAnsi="Arial" w:cs="Arial"/>
          <w:bCs/>
          <w:sz w:val="26"/>
          <w:szCs w:val="26"/>
        </w:rPr>
        <w:t>invocado</w:t>
      </w:r>
      <w:r w:rsidR="00292508">
        <w:rPr>
          <w:rFonts w:ascii="Arial" w:eastAsia="Calibri" w:hAnsi="Arial" w:cs="Arial"/>
          <w:bCs/>
          <w:sz w:val="26"/>
          <w:szCs w:val="26"/>
        </w:rPr>
        <w:t xml:space="preserve"> entre otros fundamentos el </w:t>
      </w:r>
      <w:r>
        <w:rPr>
          <w:rFonts w:ascii="Arial" w:eastAsia="Calibri" w:hAnsi="Arial" w:cs="Arial"/>
          <w:bCs/>
          <w:sz w:val="26"/>
          <w:szCs w:val="26"/>
        </w:rPr>
        <w:t>artículo</w:t>
      </w:r>
      <w:r w:rsidR="00292508">
        <w:rPr>
          <w:rFonts w:ascii="Arial" w:eastAsia="Calibri" w:hAnsi="Arial" w:cs="Arial"/>
          <w:bCs/>
          <w:sz w:val="26"/>
          <w:szCs w:val="26"/>
        </w:rPr>
        <w:t xml:space="preserve"> 71 fracciones IX, XIV, XV y XXVI, del Reglamento Interno de la Secretaría de la Contraloría y Transparencia Gubernamental, pues i bien, dicho precepto legal indica que el </w:t>
      </w:r>
      <w:r>
        <w:rPr>
          <w:rFonts w:ascii="Arial" w:eastAsia="Calibri" w:hAnsi="Arial" w:cs="Arial"/>
          <w:bCs/>
          <w:sz w:val="26"/>
          <w:szCs w:val="26"/>
        </w:rPr>
        <w:t>Director</w:t>
      </w:r>
      <w:r w:rsidR="00292508">
        <w:rPr>
          <w:rFonts w:ascii="Arial" w:eastAsia="Calibri" w:hAnsi="Arial" w:cs="Arial"/>
          <w:bCs/>
          <w:sz w:val="26"/>
          <w:szCs w:val="26"/>
        </w:rPr>
        <w:t xml:space="preserve"> </w:t>
      </w:r>
      <w:r>
        <w:rPr>
          <w:rFonts w:ascii="Arial" w:eastAsia="Calibri" w:hAnsi="Arial" w:cs="Arial"/>
          <w:bCs/>
          <w:sz w:val="26"/>
          <w:szCs w:val="26"/>
        </w:rPr>
        <w:t>Jurídico</w:t>
      </w:r>
      <w:r w:rsidR="00292508">
        <w:rPr>
          <w:rFonts w:ascii="Arial" w:eastAsia="Calibri" w:hAnsi="Arial" w:cs="Arial"/>
          <w:bCs/>
          <w:sz w:val="26"/>
          <w:szCs w:val="26"/>
        </w:rPr>
        <w:t xml:space="preserve"> </w:t>
      </w:r>
      <w:r>
        <w:rPr>
          <w:rFonts w:ascii="Arial" w:eastAsia="Calibri" w:hAnsi="Arial" w:cs="Arial"/>
          <w:bCs/>
          <w:sz w:val="26"/>
          <w:szCs w:val="26"/>
        </w:rPr>
        <w:t>está</w:t>
      </w:r>
      <w:r w:rsidR="00292508">
        <w:rPr>
          <w:rFonts w:ascii="Arial" w:eastAsia="Calibri" w:hAnsi="Arial" w:cs="Arial"/>
          <w:bCs/>
          <w:sz w:val="26"/>
          <w:szCs w:val="26"/>
        </w:rPr>
        <w:t xml:space="preserve"> facultado para </w:t>
      </w:r>
      <w:r>
        <w:rPr>
          <w:rFonts w:ascii="Arial" w:eastAsia="Calibri" w:hAnsi="Arial" w:cs="Arial"/>
          <w:bCs/>
          <w:sz w:val="26"/>
          <w:szCs w:val="26"/>
        </w:rPr>
        <w:t>representar</w:t>
      </w:r>
      <w:r w:rsidR="00292508">
        <w:rPr>
          <w:rFonts w:ascii="Arial" w:eastAsia="Calibri" w:hAnsi="Arial" w:cs="Arial"/>
          <w:bCs/>
          <w:sz w:val="26"/>
          <w:szCs w:val="26"/>
        </w:rPr>
        <w:t xml:space="preserve"> al </w:t>
      </w:r>
      <w:r>
        <w:rPr>
          <w:rFonts w:ascii="Arial" w:eastAsia="Calibri" w:hAnsi="Arial" w:cs="Arial"/>
          <w:bCs/>
          <w:sz w:val="26"/>
          <w:szCs w:val="26"/>
        </w:rPr>
        <w:t>Secretario</w:t>
      </w:r>
      <w:r w:rsidR="00292508">
        <w:rPr>
          <w:rFonts w:ascii="Arial" w:eastAsia="Calibri" w:hAnsi="Arial" w:cs="Arial"/>
          <w:bCs/>
          <w:sz w:val="26"/>
          <w:szCs w:val="26"/>
        </w:rPr>
        <w:t xml:space="preserve"> y a </w:t>
      </w:r>
      <w:r>
        <w:rPr>
          <w:rFonts w:ascii="Arial" w:eastAsia="Calibri" w:hAnsi="Arial" w:cs="Arial"/>
          <w:bCs/>
          <w:sz w:val="26"/>
          <w:szCs w:val="26"/>
        </w:rPr>
        <w:t>la</w:t>
      </w:r>
      <w:r w:rsidR="00292508">
        <w:rPr>
          <w:rFonts w:ascii="Arial" w:eastAsia="Calibri" w:hAnsi="Arial" w:cs="Arial"/>
          <w:bCs/>
          <w:sz w:val="26"/>
          <w:szCs w:val="26"/>
        </w:rPr>
        <w:t xml:space="preserve"> Secretaría, ello no implica que pueda </w:t>
      </w:r>
      <w:r>
        <w:rPr>
          <w:rFonts w:ascii="Arial" w:eastAsia="Calibri" w:hAnsi="Arial" w:cs="Arial"/>
          <w:bCs/>
          <w:sz w:val="26"/>
          <w:szCs w:val="26"/>
        </w:rPr>
        <w:t>representar</w:t>
      </w:r>
      <w:r w:rsidR="00292508">
        <w:rPr>
          <w:rFonts w:ascii="Arial" w:eastAsia="Calibri" w:hAnsi="Arial" w:cs="Arial"/>
          <w:bCs/>
          <w:sz w:val="26"/>
          <w:szCs w:val="26"/>
        </w:rPr>
        <w:t xml:space="preserve"> a todos los funcionarios de la </w:t>
      </w:r>
      <w:r>
        <w:rPr>
          <w:rFonts w:ascii="Arial" w:eastAsia="Calibri" w:hAnsi="Arial" w:cs="Arial"/>
          <w:bCs/>
          <w:sz w:val="26"/>
          <w:szCs w:val="26"/>
        </w:rPr>
        <w:t>Secretaría</w:t>
      </w:r>
      <w:r w:rsidR="00292508">
        <w:rPr>
          <w:rFonts w:ascii="Arial" w:eastAsia="Calibri" w:hAnsi="Arial" w:cs="Arial"/>
          <w:bCs/>
          <w:sz w:val="26"/>
          <w:szCs w:val="26"/>
        </w:rPr>
        <w:t xml:space="preserve"> de la </w:t>
      </w:r>
      <w:r>
        <w:rPr>
          <w:rFonts w:ascii="Arial" w:eastAsia="Calibri" w:hAnsi="Arial" w:cs="Arial"/>
          <w:bCs/>
          <w:sz w:val="26"/>
          <w:szCs w:val="26"/>
        </w:rPr>
        <w:t>Contraloría</w:t>
      </w:r>
      <w:r w:rsidR="00292508">
        <w:rPr>
          <w:rFonts w:ascii="Arial" w:eastAsia="Calibri" w:hAnsi="Arial" w:cs="Arial"/>
          <w:bCs/>
          <w:sz w:val="26"/>
          <w:szCs w:val="26"/>
        </w:rPr>
        <w:t xml:space="preserve"> y </w:t>
      </w:r>
      <w:r>
        <w:rPr>
          <w:rFonts w:ascii="Arial" w:eastAsia="Calibri" w:hAnsi="Arial" w:cs="Arial"/>
          <w:bCs/>
          <w:sz w:val="26"/>
          <w:szCs w:val="26"/>
        </w:rPr>
        <w:t>Transparencia Gubernamental</w:t>
      </w:r>
      <w:r w:rsidR="00292508">
        <w:rPr>
          <w:rFonts w:ascii="Arial" w:eastAsia="Calibri" w:hAnsi="Arial" w:cs="Arial"/>
          <w:bCs/>
          <w:sz w:val="26"/>
          <w:szCs w:val="26"/>
        </w:rPr>
        <w:t xml:space="preserve"> o las áreas que la integran, por lo defenderá los intereses </w:t>
      </w:r>
      <w:r>
        <w:rPr>
          <w:rFonts w:ascii="Arial" w:eastAsia="Calibri" w:hAnsi="Arial" w:cs="Arial"/>
          <w:bCs/>
          <w:sz w:val="26"/>
          <w:szCs w:val="26"/>
        </w:rPr>
        <w:t>propios</w:t>
      </w:r>
      <w:r w:rsidR="00292508">
        <w:rPr>
          <w:rFonts w:ascii="Arial" w:eastAsia="Calibri" w:hAnsi="Arial" w:cs="Arial"/>
          <w:bCs/>
          <w:sz w:val="26"/>
          <w:szCs w:val="26"/>
        </w:rPr>
        <w:t xml:space="preserve"> de la </w:t>
      </w:r>
      <w:r>
        <w:rPr>
          <w:rFonts w:ascii="Arial" w:eastAsia="Calibri" w:hAnsi="Arial" w:cs="Arial"/>
          <w:bCs/>
          <w:sz w:val="26"/>
          <w:szCs w:val="26"/>
        </w:rPr>
        <w:t>Secretaría</w:t>
      </w:r>
      <w:r w:rsidR="00292508">
        <w:rPr>
          <w:rFonts w:ascii="Arial" w:eastAsia="Calibri" w:hAnsi="Arial" w:cs="Arial"/>
          <w:bCs/>
          <w:sz w:val="26"/>
          <w:szCs w:val="26"/>
        </w:rPr>
        <w:t xml:space="preserve"> y de ahí, su </w:t>
      </w:r>
      <w:r>
        <w:rPr>
          <w:rFonts w:ascii="Arial" w:eastAsia="Calibri" w:hAnsi="Arial" w:cs="Arial"/>
          <w:bCs/>
          <w:sz w:val="26"/>
          <w:szCs w:val="26"/>
        </w:rPr>
        <w:t>facultad</w:t>
      </w:r>
      <w:r w:rsidR="00292508">
        <w:rPr>
          <w:rFonts w:ascii="Arial" w:eastAsia="Calibri" w:hAnsi="Arial" w:cs="Arial"/>
          <w:bCs/>
          <w:sz w:val="26"/>
          <w:szCs w:val="26"/>
        </w:rPr>
        <w:t xml:space="preserve"> de a </w:t>
      </w:r>
      <w:r>
        <w:rPr>
          <w:rFonts w:ascii="Arial" w:eastAsia="Calibri" w:hAnsi="Arial" w:cs="Arial"/>
          <w:bCs/>
          <w:sz w:val="26"/>
          <w:szCs w:val="26"/>
        </w:rPr>
        <w:t>cualquier</w:t>
      </w:r>
      <w:r w:rsidR="00292508">
        <w:rPr>
          <w:rFonts w:ascii="Arial" w:eastAsia="Calibri" w:hAnsi="Arial" w:cs="Arial"/>
          <w:bCs/>
          <w:sz w:val="26"/>
          <w:szCs w:val="26"/>
        </w:rPr>
        <w:t xml:space="preserve"> tipo de juicio.</w:t>
      </w:r>
    </w:p>
    <w:p w14:paraId="661016E4" w14:textId="40B2AE95" w:rsidR="00685496" w:rsidRPr="002343EB" w:rsidRDefault="002343EB" w:rsidP="00685496">
      <w:pPr>
        <w:spacing w:before="240" w:line="360" w:lineRule="auto"/>
        <w:ind w:firstLine="708"/>
        <w:jc w:val="both"/>
        <w:rPr>
          <w:rFonts w:ascii="Arial" w:eastAsia="Calibri" w:hAnsi="Arial" w:cs="Arial"/>
          <w:b/>
          <w:bCs/>
          <w:sz w:val="26"/>
          <w:szCs w:val="26"/>
        </w:rPr>
      </w:pPr>
      <w:r w:rsidRPr="002343EB">
        <w:rPr>
          <w:rFonts w:ascii="Arial" w:eastAsia="Calibri" w:hAnsi="Arial" w:cs="Arial"/>
          <w:b/>
          <w:bCs/>
          <w:sz w:val="26"/>
          <w:szCs w:val="26"/>
        </w:rPr>
        <w:t>Es infundado el agravio expuesto por la recurrente.</w:t>
      </w:r>
    </w:p>
    <w:p w14:paraId="596C6780" w14:textId="440FD8FB" w:rsidR="00E12A9B" w:rsidRPr="00BC3A3C" w:rsidRDefault="002343EB" w:rsidP="00BC3A3C">
      <w:pPr>
        <w:spacing w:before="240" w:line="360" w:lineRule="auto"/>
        <w:ind w:firstLine="708"/>
        <w:jc w:val="both"/>
        <w:rPr>
          <w:rFonts w:ascii="Arial" w:eastAsia="Calibri" w:hAnsi="Arial" w:cs="Arial"/>
          <w:bCs/>
          <w:sz w:val="26"/>
          <w:szCs w:val="26"/>
        </w:rPr>
      </w:pPr>
      <w:r w:rsidRPr="00A47A2B">
        <w:rPr>
          <w:rFonts w:ascii="Arial" w:eastAsia="Calibri" w:hAnsi="Arial" w:cs="Arial"/>
          <w:bCs/>
          <w:sz w:val="26"/>
          <w:szCs w:val="26"/>
          <w:u w:val="single"/>
        </w:rPr>
        <w:t>Le asiste razón a la recurrente</w:t>
      </w:r>
      <w:r>
        <w:rPr>
          <w:rFonts w:ascii="Arial" w:eastAsia="Calibri" w:hAnsi="Arial" w:cs="Arial"/>
          <w:bCs/>
          <w:sz w:val="26"/>
          <w:szCs w:val="26"/>
        </w:rPr>
        <w:t xml:space="preserve">, respecto al argumento que señala que, el acuerdo que impugna carece de sustento legal; esto es así, dado que la Sala de Primera Instancia no funda suficientemente la parte relativa del acuerdo mediante el cual tuvo contestando la demanda al Director Jurídico de la Secretaría de la Contraloría y Transparencia Gubernamental, en legal representación del Director de Responsabilidades Administrativas y Situación Patrimonial de la misma Secretaría, al no invocar el cuarto párrafo, del artículo 148, de la Ley de </w:t>
      </w:r>
      <w:r>
        <w:rPr>
          <w:rFonts w:ascii="Arial" w:eastAsia="Calibri" w:hAnsi="Arial" w:cs="Arial"/>
          <w:bCs/>
          <w:sz w:val="26"/>
          <w:szCs w:val="26"/>
        </w:rPr>
        <w:lastRenderedPageBreak/>
        <w:t>Procedimiento y Justicia Administrativa para el Estado de Oaxaca</w:t>
      </w:r>
      <w:r w:rsidR="00BC3A3C">
        <w:rPr>
          <w:rFonts w:ascii="Arial" w:eastAsia="Calibri" w:hAnsi="Arial" w:cs="Arial"/>
          <w:bCs/>
          <w:sz w:val="26"/>
          <w:szCs w:val="26"/>
        </w:rPr>
        <w:t xml:space="preserve">, por lo que </w:t>
      </w:r>
      <w:r w:rsidR="00E12A9B" w:rsidRPr="00E12A9B">
        <w:rPr>
          <w:rFonts w:ascii="Arial" w:hAnsi="Arial" w:cs="Arial"/>
          <w:sz w:val="26"/>
          <w:szCs w:val="26"/>
        </w:rPr>
        <w:t>resulta oportuno</w:t>
      </w:r>
      <w:r w:rsidR="00BC3A3C">
        <w:rPr>
          <w:rFonts w:ascii="Arial" w:hAnsi="Arial" w:cs="Arial"/>
          <w:sz w:val="26"/>
          <w:szCs w:val="26"/>
        </w:rPr>
        <w:t xml:space="preserve"> citar el referido precepto legal,</w:t>
      </w:r>
      <w:r w:rsidR="00E12A9B" w:rsidRPr="00E12A9B">
        <w:rPr>
          <w:rFonts w:ascii="Arial" w:hAnsi="Arial" w:cs="Arial"/>
          <w:sz w:val="26"/>
          <w:szCs w:val="26"/>
        </w:rPr>
        <w:t xml:space="preserve"> que establece: </w:t>
      </w:r>
    </w:p>
    <w:p w14:paraId="2ECB77E9" w14:textId="77777777" w:rsidR="00E12A9B" w:rsidRPr="00EF38E2" w:rsidRDefault="00E12A9B" w:rsidP="00E12A9B">
      <w:pPr>
        <w:pStyle w:val="Normal0"/>
        <w:jc w:val="both"/>
        <w:rPr>
          <w:rFonts w:asciiTheme="majorHAnsi" w:hAnsiTheme="majorHAnsi"/>
          <w:b/>
        </w:rPr>
      </w:pPr>
    </w:p>
    <w:p w14:paraId="4F699283" w14:textId="5CF1AAC2" w:rsidR="00E12A9B" w:rsidRPr="00E12A9B" w:rsidRDefault="00E12A9B" w:rsidP="00E12A9B">
      <w:pPr>
        <w:autoSpaceDE w:val="0"/>
        <w:autoSpaceDN w:val="0"/>
        <w:adjustRightInd w:val="0"/>
        <w:ind w:left="851" w:right="1467"/>
        <w:jc w:val="both"/>
        <w:rPr>
          <w:rFonts w:ascii="Arial" w:hAnsi="Arial" w:cs="Arial"/>
          <w:i/>
          <w:sz w:val="24"/>
          <w:szCs w:val="24"/>
        </w:rPr>
      </w:pPr>
      <w:r w:rsidRPr="00E12A9B">
        <w:rPr>
          <w:rFonts w:ascii="Arial" w:hAnsi="Arial" w:cs="Arial"/>
          <w:b/>
          <w:bCs/>
          <w:i/>
          <w:sz w:val="24"/>
          <w:szCs w:val="24"/>
        </w:rPr>
        <w:t xml:space="preserve">“ARTICULO 148.- </w:t>
      </w:r>
      <w:r w:rsidRPr="00E12A9B">
        <w:rPr>
          <w:rFonts w:ascii="Arial" w:hAnsi="Arial" w:cs="Arial"/>
          <w:i/>
          <w:sz w:val="24"/>
          <w:szCs w:val="24"/>
        </w:rPr>
        <w:t xml:space="preserve">La representación de las personas físicas para comparecer en juicio, se otorgará en escritura pública o carta poder firmada ante dos testigos y ratificada ante Notario Público o ante el secretario de acuerdos que corresponda. </w:t>
      </w:r>
    </w:p>
    <w:p w14:paraId="1F8CC52B" w14:textId="53B60153" w:rsidR="00E12A9B" w:rsidRPr="00E12A9B" w:rsidRDefault="00E12A9B" w:rsidP="00E12A9B">
      <w:pPr>
        <w:autoSpaceDE w:val="0"/>
        <w:autoSpaceDN w:val="0"/>
        <w:adjustRightInd w:val="0"/>
        <w:ind w:left="851" w:right="1467"/>
        <w:jc w:val="both"/>
        <w:rPr>
          <w:rFonts w:ascii="Arial" w:hAnsi="Arial" w:cs="Arial"/>
          <w:i/>
          <w:sz w:val="24"/>
          <w:szCs w:val="24"/>
        </w:rPr>
      </w:pPr>
      <w:r w:rsidRPr="00E12A9B">
        <w:rPr>
          <w:rFonts w:ascii="Arial" w:hAnsi="Arial" w:cs="Arial"/>
          <w:bCs/>
          <w:i/>
          <w:sz w:val="24"/>
          <w:szCs w:val="24"/>
        </w:rPr>
        <w:t>(…</w:t>
      </w:r>
      <w:r w:rsidRPr="00E12A9B">
        <w:rPr>
          <w:rFonts w:ascii="Arial" w:hAnsi="Arial" w:cs="Arial"/>
          <w:i/>
          <w:sz w:val="24"/>
          <w:szCs w:val="24"/>
        </w:rPr>
        <w:t>)</w:t>
      </w:r>
    </w:p>
    <w:p w14:paraId="59B7EB5C" w14:textId="57EAC6E2" w:rsidR="00E12A9B" w:rsidRDefault="00E12A9B" w:rsidP="00E12A9B">
      <w:pPr>
        <w:autoSpaceDE w:val="0"/>
        <w:autoSpaceDN w:val="0"/>
        <w:adjustRightInd w:val="0"/>
        <w:ind w:left="851" w:right="1467"/>
        <w:jc w:val="both"/>
        <w:rPr>
          <w:rFonts w:ascii="Arial" w:hAnsi="Arial" w:cs="Arial"/>
          <w:i/>
          <w:sz w:val="24"/>
          <w:szCs w:val="24"/>
        </w:rPr>
      </w:pPr>
      <w:r w:rsidRPr="00E12A9B">
        <w:rPr>
          <w:rFonts w:ascii="Arial" w:hAnsi="Arial" w:cs="Arial"/>
          <w:b/>
          <w:i/>
          <w:sz w:val="24"/>
          <w:szCs w:val="24"/>
        </w:rPr>
        <w:t>La representación de las autoridades corresponderá a los titulares de las mismas por si o a través de las unidades administrativas encargadas de su defensa jurídica, conforme lo establezcan las disposiciones legales aplicables</w:t>
      </w:r>
      <w:r w:rsidRPr="00E12A9B">
        <w:rPr>
          <w:rFonts w:ascii="Arial" w:hAnsi="Arial" w:cs="Arial"/>
          <w:i/>
          <w:sz w:val="24"/>
          <w:szCs w:val="24"/>
        </w:rPr>
        <w:t>. (énfasis añadido)</w:t>
      </w:r>
    </w:p>
    <w:p w14:paraId="64DCA111" w14:textId="77777777" w:rsidR="00E12A9B" w:rsidRPr="00E12A9B" w:rsidRDefault="00E12A9B" w:rsidP="00E12A9B">
      <w:pPr>
        <w:autoSpaceDE w:val="0"/>
        <w:autoSpaceDN w:val="0"/>
        <w:adjustRightInd w:val="0"/>
        <w:ind w:left="851" w:right="1467"/>
        <w:jc w:val="both"/>
        <w:rPr>
          <w:rFonts w:ascii="Arial" w:hAnsi="Arial" w:cs="Arial"/>
          <w:i/>
          <w:sz w:val="24"/>
          <w:szCs w:val="24"/>
        </w:rPr>
      </w:pPr>
    </w:p>
    <w:p w14:paraId="03B1B466" w14:textId="7D89C207" w:rsidR="00E12A9B" w:rsidRPr="00E12A9B" w:rsidRDefault="00E12A9B" w:rsidP="00E12A9B">
      <w:pPr>
        <w:pStyle w:val="Normal0"/>
        <w:spacing w:line="360" w:lineRule="auto"/>
        <w:ind w:right="49"/>
        <w:jc w:val="both"/>
        <w:rPr>
          <w:sz w:val="26"/>
          <w:szCs w:val="26"/>
        </w:rPr>
      </w:pPr>
      <w:r>
        <w:rPr>
          <w:sz w:val="26"/>
          <w:szCs w:val="26"/>
        </w:rPr>
        <w:t xml:space="preserve">     </w:t>
      </w:r>
      <w:r w:rsidR="00A47A2B" w:rsidRPr="00A47A2B">
        <w:rPr>
          <w:b/>
          <w:sz w:val="26"/>
          <w:szCs w:val="26"/>
        </w:rPr>
        <w:t>Sin embargo</w:t>
      </w:r>
      <w:r w:rsidR="00A47A2B">
        <w:rPr>
          <w:sz w:val="26"/>
          <w:szCs w:val="26"/>
        </w:rPr>
        <w:t>, c</w:t>
      </w:r>
      <w:r w:rsidRPr="00E12A9B">
        <w:rPr>
          <w:sz w:val="26"/>
          <w:szCs w:val="26"/>
        </w:rPr>
        <w:t xml:space="preserve">omo se ve, </w:t>
      </w:r>
      <w:r w:rsidR="00A47A2B" w:rsidRPr="00A47A2B">
        <w:rPr>
          <w:b/>
          <w:sz w:val="26"/>
          <w:szCs w:val="26"/>
        </w:rPr>
        <w:t>deviene infundado su agravio</w:t>
      </w:r>
      <w:r w:rsidR="00A47A2B">
        <w:rPr>
          <w:sz w:val="26"/>
          <w:szCs w:val="26"/>
        </w:rPr>
        <w:t xml:space="preserve">, pues  </w:t>
      </w:r>
      <w:r w:rsidRPr="00E12A9B">
        <w:rPr>
          <w:sz w:val="26"/>
          <w:szCs w:val="26"/>
        </w:rPr>
        <w:t xml:space="preserve">según </w:t>
      </w:r>
      <w:r w:rsidR="00A47A2B">
        <w:rPr>
          <w:sz w:val="26"/>
          <w:szCs w:val="26"/>
        </w:rPr>
        <w:t xml:space="preserve">con </w:t>
      </w:r>
      <w:r w:rsidRPr="00E12A9B">
        <w:rPr>
          <w:sz w:val="26"/>
          <w:szCs w:val="26"/>
        </w:rPr>
        <w:t xml:space="preserve">lo dispuesto por el párrafo cuarto del artículo citado, la representación de las autoridades corresponde a la unidad administrativa encargada de su defensa jurídica según lo dispongan las disposiciones legales aplicables, lo que comprende el reglamento o decreto respectivo, que en este caso sería el </w:t>
      </w:r>
      <w:r w:rsidRPr="00E12A9B">
        <w:rPr>
          <w:color w:val="000000"/>
          <w:sz w:val="26"/>
          <w:szCs w:val="26"/>
        </w:rPr>
        <w:t xml:space="preserve">Reglamento Interno de la Secretaría de la Contraloría y Transparencia Gubernamental publicado el día dos de enero del año dos mil dieciocho, mismo que entro en vigor a partir del día tres de enero del año dos mil dieciocho, </w:t>
      </w:r>
      <w:r>
        <w:rPr>
          <w:sz w:val="26"/>
          <w:szCs w:val="26"/>
        </w:rPr>
        <w:t xml:space="preserve">y esto obedece </w:t>
      </w:r>
      <w:r w:rsidRPr="00E12A9B">
        <w:rPr>
          <w:sz w:val="26"/>
          <w:szCs w:val="26"/>
        </w:rPr>
        <w:t xml:space="preserve"> a la desconcentración de funciones de la propia Administración Pública Estatal Centralizada, que aún y cuando funge en el juicio contencioso administrativo como p</w:t>
      </w:r>
      <w:r>
        <w:rPr>
          <w:sz w:val="26"/>
          <w:szCs w:val="26"/>
        </w:rPr>
        <w:t>arte, en una relación de supra</w:t>
      </w:r>
      <w:r w:rsidRPr="00E12A9B">
        <w:rPr>
          <w:sz w:val="26"/>
          <w:szCs w:val="26"/>
        </w:rPr>
        <w:t xml:space="preserve"> subordinación, respecto del promovente de la acción, también lo es que como representa al Estado como ficción jurídica que lo es, el ejercicio de sus funciones y facultades requiere especialización y en consecuencia división de funciones aún en la propia dependencia de que se trate.</w:t>
      </w:r>
    </w:p>
    <w:p w14:paraId="536270F0" w14:textId="77777777" w:rsidR="00E12A9B" w:rsidRPr="00E12A9B" w:rsidRDefault="00E12A9B" w:rsidP="00E12A9B">
      <w:pPr>
        <w:pStyle w:val="Normal0"/>
        <w:spacing w:line="360" w:lineRule="auto"/>
        <w:ind w:right="49"/>
        <w:jc w:val="both"/>
        <w:rPr>
          <w:sz w:val="26"/>
          <w:szCs w:val="26"/>
        </w:rPr>
      </w:pPr>
    </w:p>
    <w:p w14:paraId="029396C3" w14:textId="77E2D442" w:rsidR="00E12A9B" w:rsidRPr="00E12A9B" w:rsidRDefault="00B10456" w:rsidP="00E12A9B">
      <w:pPr>
        <w:pStyle w:val="Normal0"/>
        <w:spacing w:line="360" w:lineRule="auto"/>
        <w:ind w:right="49"/>
        <w:jc w:val="both"/>
        <w:rPr>
          <w:sz w:val="26"/>
          <w:szCs w:val="26"/>
        </w:rPr>
      </w:pPr>
      <w:r>
        <w:rPr>
          <w:sz w:val="26"/>
          <w:szCs w:val="26"/>
        </w:rPr>
        <w:t xml:space="preserve">     </w:t>
      </w:r>
      <w:r w:rsidR="00E12A9B" w:rsidRPr="00E12A9B">
        <w:rPr>
          <w:sz w:val="26"/>
          <w:szCs w:val="26"/>
        </w:rPr>
        <w:t xml:space="preserve">Para mayor abundamiento, se señala a continuación el concepto de </w:t>
      </w:r>
      <w:r w:rsidR="00E12A9B" w:rsidRPr="00E12A9B">
        <w:rPr>
          <w:i/>
          <w:sz w:val="26"/>
          <w:szCs w:val="26"/>
        </w:rPr>
        <w:t>“representación”</w:t>
      </w:r>
      <w:r w:rsidR="00E12A9B" w:rsidRPr="00E12A9B">
        <w:rPr>
          <w:sz w:val="26"/>
          <w:szCs w:val="26"/>
        </w:rPr>
        <w:t xml:space="preserve"> planteado por Cipriano Gómez Lara en su obra “Teoría General del Proceso”, Editorial Oxford, 9ª edición:</w:t>
      </w:r>
    </w:p>
    <w:p w14:paraId="730B55B5" w14:textId="77777777" w:rsidR="00E12A9B" w:rsidRPr="00E12A9B" w:rsidRDefault="00E12A9B" w:rsidP="00E12A9B">
      <w:pPr>
        <w:pStyle w:val="Normal0"/>
        <w:spacing w:line="360" w:lineRule="auto"/>
        <w:ind w:left="851" w:right="49"/>
        <w:jc w:val="both"/>
        <w:rPr>
          <w:sz w:val="26"/>
          <w:szCs w:val="26"/>
        </w:rPr>
      </w:pPr>
    </w:p>
    <w:p w14:paraId="14E3FAAB" w14:textId="77777777" w:rsidR="00E12A9B" w:rsidRPr="00B10456" w:rsidRDefault="00E12A9B" w:rsidP="00B10456">
      <w:pPr>
        <w:pStyle w:val="Normal0"/>
        <w:spacing w:line="360" w:lineRule="auto"/>
        <w:ind w:left="851" w:right="758"/>
        <w:jc w:val="both"/>
        <w:rPr>
          <w:i/>
        </w:rPr>
      </w:pPr>
      <w:r w:rsidRPr="00B10456">
        <w:rPr>
          <w:i/>
        </w:rPr>
        <w:t>“</w:t>
      </w:r>
      <w:r w:rsidRPr="00B10456">
        <w:rPr>
          <w:b/>
          <w:i/>
        </w:rPr>
        <w:t>La representación (…) entraña la posibilidad de que una persona realice actos jurídicos por otra, ocupando su lugar o actuando por ella”</w:t>
      </w:r>
      <w:r w:rsidRPr="00B10456">
        <w:rPr>
          <w:i/>
        </w:rPr>
        <w:t>. (énfasis añadido).</w:t>
      </w:r>
    </w:p>
    <w:p w14:paraId="09142A8C" w14:textId="77777777" w:rsidR="00E12A9B" w:rsidRPr="00B10456" w:rsidRDefault="00E12A9B" w:rsidP="00B10456">
      <w:pPr>
        <w:pStyle w:val="Normal0"/>
        <w:spacing w:line="360" w:lineRule="auto"/>
        <w:ind w:left="851" w:right="758"/>
        <w:jc w:val="both"/>
        <w:rPr>
          <w:i/>
        </w:rPr>
      </w:pPr>
    </w:p>
    <w:p w14:paraId="65B0E7B7" w14:textId="2F387FE2" w:rsidR="00E12A9B" w:rsidRPr="00B10456" w:rsidRDefault="00B10456" w:rsidP="003A314C">
      <w:pPr>
        <w:pStyle w:val="Normal0"/>
        <w:spacing w:line="360" w:lineRule="auto"/>
        <w:ind w:right="49"/>
        <w:jc w:val="both"/>
        <w:rPr>
          <w:sz w:val="26"/>
          <w:szCs w:val="26"/>
        </w:rPr>
      </w:pPr>
      <w:r>
        <w:rPr>
          <w:sz w:val="26"/>
          <w:szCs w:val="26"/>
        </w:rPr>
        <w:t xml:space="preserve">      </w:t>
      </w:r>
      <w:r w:rsidR="00E12A9B" w:rsidRPr="00B10456">
        <w:rPr>
          <w:sz w:val="26"/>
          <w:szCs w:val="26"/>
        </w:rPr>
        <w:t>El anterior concepto aplicado al caso concreto, establece que la figura de la representación opera en el caso de que en la ley expresamente se prevea que la demanda que dio origen al juicio de nulidad, puede ser contestada por otro ente de la misma administración que tenga conferida en la ley dicha atribución, distinto de la autoridad señalada como demandada por la actora, y que en el caso de las autoridades estatales, toca a las unidades administrativas encargadas de la defensa jurídica de la autoridad de que se trate.</w:t>
      </w:r>
    </w:p>
    <w:p w14:paraId="4EB653C9" w14:textId="77777777" w:rsidR="00E12A9B" w:rsidRPr="00B10456" w:rsidRDefault="00E12A9B" w:rsidP="003A314C">
      <w:pPr>
        <w:pStyle w:val="Normal0"/>
        <w:spacing w:line="360" w:lineRule="auto"/>
        <w:ind w:right="49"/>
        <w:jc w:val="both"/>
        <w:rPr>
          <w:sz w:val="26"/>
          <w:szCs w:val="26"/>
        </w:rPr>
      </w:pPr>
    </w:p>
    <w:p w14:paraId="30BEE162" w14:textId="352E11FB" w:rsidR="00B10456" w:rsidRDefault="00B10456" w:rsidP="003A314C">
      <w:pPr>
        <w:pStyle w:val="Textoindependiente"/>
        <w:spacing w:line="360" w:lineRule="auto"/>
        <w:ind w:right="49"/>
        <w:jc w:val="both"/>
        <w:rPr>
          <w:rFonts w:ascii="Arial" w:hAnsi="Arial" w:cs="Arial"/>
          <w:sz w:val="26"/>
          <w:szCs w:val="26"/>
        </w:rPr>
      </w:pPr>
      <w:r>
        <w:rPr>
          <w:rFonts w:ascii="Arial" w:hAnsi="Arial" w:cs="Arial"/>
          <w:sz w:val="26"/>
          <w:szCs w:val="26"/>
        </w:rPr>
        <w:t xml:space="preserve">      </w:t>
      </w:r>
      <w:r w:rsidR="00E12A9B" w:rsidRPr="00B10456">
        <w:rPr>
          <w:rFonts w:ascii="Arial" w:hAnsi="Arial" w:cs="Arial"/>
          <w:sz w:val="26"/>
          <w:szCs w:val="26"/>
        </w:rPr>
        <w:t xml:space="preserve">En </w:t>
      </w:r>
      <w:r>
        <w:rPr>
          <w:rFonts w:ascii="Arial" w:hAnsi="Arial" w:cs="Arial"/>
          <w:sz w:val="26"/>
          <w:szCs w:val="26"/>
        </w:rPr>
        <w:t>ese contexto</w:t>
      </w:r>
      <w:r w:rsidR="00E12A9B" w:rsidRPr="00B10456">
        <w:rPr>
          <w:rFonts w:ascii="Arial" w:hAnsi="Arial" w:cs="Arial"/>
          <w:sz w:val="26"/>
          <w:szCs w:val="26"/>
        </w:rPr>
        <w:t>, el párrafo cuarto del artículo 148</w:t>
      </w:r>
      <w:r>
        <w:rPr>
          <w:rFonts w:ascii="Arial" w:hAnsi="Arial" w:cs="Arial"/>
          <w:sz w:val="26"/>
          <w:szCs w:val="26"/>
        </w:rPr>
        <w:t>,</w:t>
      </w:r>
      <w:r w:rsidR="00E12A9B" w:rsidRPr="00B10456">
        <w:rPr>
          <w:rFonts w:ascii="Arial" w:hAnsi="Arial" w:cs="Arial"/>
          <w:sz w:val="26"/>
          <w:szCs w:val="26"/>
        </w:rPr>
        <w:t xml:space="preserve"> invocado en líneas anteriores, es claro al establecer que la</w:t>
      </w:r>
      <w:r w:rsidR="00E12A9B" w:rsidRPr="00B10456">
        <w:rPr>
          <w:rFonts w:ascii="Arial" w:hAnsi="Arial" w:cs="Arial"/>
          <w:b/>
          <w:sz w:val="26"/>
          <w:szCs w:val="26"/>
        </w:rPr>
        <w:t xml:space="preserve"> </w:t>
      </w:r>
      <w:r w:rsidR="00E12A9B" w:rsidRPr="00B10456">
        <w:rPr>
          <w:rFonts w:ascii="Arial" w:hAnsi="Arial" w:cs="Arial"/>
          <w:sz w:val="26"/>
          <w:szCs w:val="26"/>
        </w:rPr>
        <w:t>representación de las autoridades demandadas en el juicio contencioso administrativo, corresponderá a las unidades administrativas encargadas de su defensa jurídica, o en su caso a través del órgano o dependencia que tenga señalada en la ley o reglamento correspondiente la atribución de comparecer a juicio en representación del mencionado órgano o ente público que haya sido demandado.</w:t>
      </w:r>
    </w:p>
    <w:p w14:paraId="43749CC1" w14:textId="77777777" w:rsidR="00B10456" w:rsidRPr="00B10456" w:rsidRDefault="00B10456" w:rsidP="00B10456">
      <w:pPr>
        <w:pStyle w:val="Textoindependiente"/>
        <w:spacing w:line="360" w:lineRule="auto"/>
        <w:ind w:right="-850"/>
        <w:jc w:val="both"/>
        <w:rPr>
          <w:rFonts w:ascii="Arial" w:hAnsi="Arial" w:cs="Arial"/>
          <w:sz w:val="26"/>
          <w:szCs w:val="26"/>
        </w:rPr>
      </w:pPr>
    </w:p>
    <w:p w14:paraId="77BC0EE1" w14:textId="2666B2EA" w:rsidR="00E12A9B" w:rsidRPr="00B10456" w:rsidRDefault="00B10456" w:rsidP="003A314C">
      <w:pPr>
        <w:pStyle w:val="Textoindependiente"/>
        <w:spacing w:line="360" w:lineRule="auto"/>
        <w:ind w:right="49"/>
        <w:jc w:val="both"/>
        <w:rPr>
          <w:rFonts w:ascii="Arial" w:hAnsi="Arial" w:cs="Arial"/>
          <w:sz w:val="26"/>
          <w:szCs w:val="26"/>
        </w:rPr>
      </w:pPr>
      <w:r>
        <w:rPr>
          <w:rFonts w:ascii="Arial" w:hAnsi="Arial" w:cs="Arial"/>
          <w:bCs/>
          <w:sz w:val="26"/>
          <w:szCs w:val="26"/>
        </w:rPr>
        <w:t xml:space="preserve">      </w:t>
      </w:r>
      <w:r w:rsidR="00E12A9B" w:rsidRPr="00B10456">
        <w:rPr>
          <w:rFonts w:ascii="Arial" w:hAnsi="Arial" w:cs="Arial"/>
          <w:sz w:val="26"/>
          <w:szCs w:val="26"/>
        </w:rPr>
        <w:t>Por ello, se hace hincapié en que, atendiendo a lo estipulado en el cuarto párrafo en comento del artículo 148 de la Ley de Procedimiento y Justicia Administrativa del Estado de Oaxaca, y tratándose de autoridades demandadas, su defensa jurídica se realizará conforme lo establezcan las disposiciones locales, y dada la pluralidad de formas en que pueden estar integradas las estructuras orgánicas de las autoridades que conforman la Administración Pública del Estado de Oaxaca, es poco probable que la verdadera voluntad del legislador hubiera sido establecer de forma unilateral, la manera en que podría comparecer una autoridad enjuiciada dentro de un juicio de nulidad, puesto que del contenido en el artículo 90</w:t>
      </w:r>
      <w:r>
        <w:rPr>
          <w:rFonts w:ascii="Arial" w:hAnsi="Arial" w:cs="Arial"/>
          <w:sz w:val="26"/>
          <w:szCs w:val="26"/>
        </w:rPr>
        <w:t>,</w:t>
      </w:r>
      <w:r w:rsidR="00E12A9B" w:rsidRPr="00B10456">
        <w:rPr>
          <w:rFonts w:ascii="Arial" w:hAnsi="Arial" w:cs="Arial"/>
          <w:sz w:val="26"/>
          <w:szCs w:val="26"/>
        </w:rPr>
        <w:t xml:space="preserve"> fracción II</w:t>
      </w:r>
      <w:r>
        <w:rPr>
          <w:rFonts w:ascii="Arial" w:hAnsi="Arial" w:cs="Arial"/>
          <w:sz w:val="26"/>
          <w:szCs w:val="26"/>
        </w:rPr>
        <w:t>,</w:t>
      </w:r>
      <w:r w:rsidR="00E12A9B" w:rsidRPr="00B10456">
        <w:rPr>
          <w:rFonts w:ascii="Arial" w:hAnsi="Arial" w:cs="Arial"/>
          <w:sz w:val="26"/>
          <w:szCs w:val="26"/>
        </w:rPr>
        <w:t xml:space="preserve"> de la Constitución Política del Estado Libre y Soberano de Oaxaca se desprende que la Ley Orgánica del Poder Ejecutivo del Estado de Oaxaca establecerá las atribuciones, obligaciones y competencias de cada una de las Secretarías que integran el Poder Ejecutivo de esta Entidad, norma que se invoca enseguida:</w:t>
      </w:r>
    </w:p>
    <w:p w14:paraId="0493C04F" w14:textId="77777777" w:rsidR="00E12A9B" w:rsidRDefault="00E12A9B" w:rsidP="003A314C">
      <w:pPr>
        <w:pStyle w:val="Textoindependiente"/>
        <w:ind w:right="49"/>
        <w:rPr>
          <w:rFonts w:cs="Arial"/>
        </w:rPr>
      </w:pPr>
    </w:p>
    <w:p w14:paraId="33453FD6" w14:textId="77777777" w:rsidR="00E12A9B" w:rsidRPr="00B10456" w:rsidRDefault="00E12A9B" w:rsidP="00E12A9B">
      <w:pPr>
        <w:pStyle w:val="Textoindependiente"/>
        <w:ind w:right="-93"/>
        <w:jc w:val="center"/>
        <w:rPr>
          <w:rFonts w:ascii="Arial" w:hAnsi="Arial" w:cs="Arial"/>
          <w:b/>
          <w:i/>
          <w:sz w:val="24"/>
          <w:szCs w:val="24"/>
          <w:u w:val="single"/>
        </w:rPr>
      </w:pPr>
      <w:r w:rsidRPr="00B10456">
        <w:rPr>
          <w:rFonts w:ascii="Arial" w:hAnsi="Arial" w:cs="Arial"/>
          <w:b/>
          <w:i/>
          <w:sz w:val="24"/>
          <w:szCs w:val="24"/>
          <w:u w:val="single"/>
        </w:rPr>
        <w:t>CONSTITUCION POLITICA DEL ESTADO LIBRE Y SOBERANO DE OAXACA</w:t>
      </w:r>
    </w:p>
    <w:p w14:paraId="02AEC3DF" w14:textId="77777777" w:rsidR="00E12A9B" w:rsidRPr="00B10456" w:rsidRDefault="00E12A9B" w:rsidP="00E12A9B">
      <w:pPr>
        <w:pStyle w:val="Textoindependiente"/>
        <w:ind w:right="-93"/>
        <w:rPr>
          <w:rFonts w:ascii="Arial" w:hAnsi="Arial" w:cs="Arial"/>
          <w:i/>
          <w:sz w:val="24"/>
          <w:szCs w:val="24"/>
        </w:rPr>
      </w:pPr>
    </w:p>
    <w:p w14:paraId="059CEE4C" w14:textId="7E9582D0" w:rsidR="00E12A9B" w:rsidRPr="00B10456" w:rsidRDefault="00B10456" w:rsidP="00E12A9B">
      <w:pPr>
        <w:ind w:left="1134" w:right="1183"/>
        <w:jc w:val="both"/>
        <w:rPr>
          <w:rFonts w:ascii="Arial" w:hAnsi="Arial" w:cs="Arial"/>
          <w:i/>
          <w:sz w:val="24"/>
          <w:szCs w:val="24"/>
        </w:rPr>
      </w:pPr>
      <w:r>
        <w:rPr>
          <w:rFonts w:ascii="Arial" w:hAnsi="Arial" w:cs="Arial"/>
          <w:b/>
          <w:i/>
          <w:sz w:val="24"/>
          <w:szCs w:val="24"/>
        </w:rPr>
        <w:lastRenderedPageBreak/>
        <w:t>“ARTÍ</w:t>
      </w:r>
      <w:r w:rsidR="00E12A9B" w:rsidRPr="00B10456">
        <w:rPr>
          <w:rFonts w:ascii="Arial" w:hAnsi="Arial" w:cs="Arial"/>
          <w:b/>
          <w:i/>
          <w:sz w:val="24"/>
          <w:szCs w:val="24"/>
        </w:rPr>
        <w:t>CULO 90.-</w:t>
      </w:r>
      <w:r w:rsidR="00E12A9B" w:rsidRPr="00B10456">
        <w:rPr>
          <w:rFonts w:ascii="Arial" w:hAnsi="Arial" w:cs="Arial"/>
          <w:i/>
          <w:sz w:val="24"/>
          <w:szCs w:val="24"/>
        </w:rPr>
        <w:t xml:space="preserve"> La Ley Orgánica del Poder Ejecutivo del Estado se sujetará a las siguientes disposiciones generales:</w:t>
      </w:r>
    </w:p>
    <w:p w14:paraId="706E9A7F" w14:textId="79498F20" w:rsidR="00E12A9B" w:rsidRPr="00B10456" w:rsidRDefault="00B10456" w:rsidP="00E12A9B">
      <w:pPr>
        <w:ind w:left="1134" w:right="1183"/>
        <w:jc w:val="both"/>
        <w:rPr>
          <w:rFonts w:ascii="Arial" w:hAnsi="Arial" w:cs="Arial"/>
          <w:i/>
          <w:sz w:val="24"/>
          <w:szCs w:val="24"/>
        </w:rPr>
      </w:pPr>
      <w:r>
        <w:rPr>
          <w:rFonts w:ascii="Arial" w:hAnsi="Arial" w:cs="Arial"/>
          <w:i/>
          <w:sz w:val="24"/>
          <w:szCs w:val="24"/>
        </w:rPr>
        <w:t>(…)</w:t>
      </w:r>
    </w:p>
    <w:p w14:paraId="5E29F682" w14:textId="72C49728" w:rsidR="00E12A9B" w:rsidRPr="00B10456" w:rsidRDefault="00E12A9B" w:rsidP="00E12A9B">
      <w:pPr>
        <w:ind w:left="1134" w:right="1183"/>
        <w:jc w:val="both"/>
        <w:rPr>
          <w:rFonts w:ascii="Arial" w:hAnsi="Arial" w:cs="Arial"/>
          <w:i/>
          <w:sz w:val="24"/>
          <w:szCs w:val="24"/>
        </w:rPr>
      </w:pPr>
      <w:r w:rsidRPr="00B10456">
        <w:rPr>
          <w:rFonts w:ascii="Arial" w:hAnsi="Arial" w:cs="Arial"/>
          <w:i/>
          <w:sz w:val="24"/>
          <w:szCs w:val="24"/>
        </w:rPr>
        <w:t>II.- Asignará las atribuciones, obligaciones y competencias de cada una de ellas;</w:t>
      </w:r>
      <w:r w:rsidR="00B10456">
        <w:rPr>
          <w:rFonts w:ascii="Arial" w:hAnsi="Arial" w:cs="Arial"/>
          <w:i/>
          <w:sz w:val="24"/>
          <w:szCs w:val="24"/>
        </w:rPr>
        <w:t>” (…)</w:t>
      </w:r>
    </w:p>
    <w:p w14:paraId="0AE2B804" w14:textId="77777777" w:rsidR="00E12A9B" w:rsidRPr="0018022F" w:rsidRDefault="00E12A9B" w:rsidP="00E12A9B">
      <w:pPr>
        <w:ind w:left="1134" w:right="1183"/>
        <w:jc w:val="both"/>
        <w:rPr>
          <w:rFonts w:asciiTheme="majorHAnsi" w:hAnsiTheme="majorHAnsi" w:cs="Arial"/>
        </w:rPr>
      </w:pPr>
    </w:p>
    <w:p w14:paraId="1CDCFF02" w14:textId="09F21C00" w:rsidR="00E12A9B" w:rsidRPr="00155E3D" w:rsidRDefault="00B10456" w:rsidP="00155E3D">
      <w:pPr>
        <w:pStyle w:val="Textoindependiente"/>
        <w:spacing w:line="360" w:lineRule="auto"/>
        <w:ind w:right="49"/>
        <w:jc w:val="both"/>
        <w:rPr>
          <w:rFonts w:ascii="Arial" w:hAnsi="Arial" w:cs="Arial"/>
          <w:sz w:val="26"/>
          <w:szCs w:val="26"/>
        </w:rPr>
      </w:pPr>
      <w:r>
        <w:rPr>
          <w:rFonts w:ascii="Arial" w:hAnsi="Arial" w:cs="Arial"/>
          <w:sz w:val="26"/>
          <w:szCs w:val="26"/>
        </w:rPr>
        <w:t xml:space="preserve">     </w:t>
      </w:r>
      <w:r w:rsidR="00E12A9B" w:rsidRPr="00B10456">
        <w:rPr>
          <w:rFonts w:ascii="Arial" w:hAnsi="Arial" w:cs="Arial"/>
          <w:sz w:val="26"/>
          <w:szCs w:val="26"/>
        </w:rPr>
        <w:t xml:space="preserve">En esa tesitura, dentro de la fundamentación del oficio </w:t>
      </w:r>
      <w:r>
        <w:rPr>
          <w:rFonts w:ascii="Arial" w:hAnsi="Arial" w:cs="Arial"/>
          <w:sz w:val="26"/>
          <w:szCs w:val="26"/>
        </w:rPr>
        <w:t xml:space="preserve">de contestación de demanda, el Director Jurídico de la Secretaría de la Contraloría y Transparencia Gubernamental </w:t>
      </w:r>
      <w:r w:rsidR="00E12A9B" w:rsidRPr="00B10456">
        <w:rPr>
          <w:rFonts w:ascii="Arial" w:hAnsi="Arial" w:cs="Arial"/>
          <w:sz w:val="26"/>
          <w:szCs w:val="26"/>
        </w:rPr>
        <w:t xml:space="preserve">citó </w:t>
      </w:r>
      <w:r w:rsidR="006F44EF">
        <w:rPr>
          <w:rFonts w:ascii="Arial" w:hAnsi="Arial" w:cs="Arial"/>
          <w:sz w:val="26"/>
          <w:szCs w:val="26"/>
        </w:rPr>
        <w:t>entre otros preceptos el artículo</w:t>
      </w:r>
      <w:r w:rsidR="00E12A9B" w:rsidRPr="00B10456">
        <w:rPr>
          <w:rFonts w:ascii="Arial" w:hAnsi="Arial" w:cs="Arial"/>
          <w:color w:val="000000"/>
          <w:sz w:val="26"/>
          <w:szCs w:val="26"/>
        </w:rPr>
        <w:t xml:space="preserve"> 71, fracciones IX, XIV, XV, y XXVI del Reglamento Interno de la Secretaría de la Contraloría y Transparencia Gubernamental, publicado el día dos de enero del año dos mil dieciocho, mismo que entro en vigor a partir del día tres de enero del año dos mil dieciocho</w:t>
      </w:r>
      <w:r>
        <w:rPr>
          <w:rFonts w:ascii="Arial" w:hAnsi="Arial" w:cs="Arial"/>
          <w:color w:val="000000"/>
          <w:sz w:val="26"/>
          <w:szCs w:val="26"/>
        </w:rPr>
        <w:t>; numerales que literalmente</w:t>
      </w:r>
      <w:r w:rsidR="006F44EF">
        <w:rPr>
          <w:rFonts w:ascii="Arial" w:hAnsi="Arial" w:cs="Arial"/>
          <w:color w:val="000000"/>
          <w:sz w:val="26"/>
          <w:szCs w:val="26"/>
        </w:rPr>
        <w:t xml:space="preserve"> dice</w:t>
      </w:r>
      <w:r>
        <w:rPr>
          <w:rFonts w:ascii="Arial" w:hAnsi="Arial" w:cs="Arial"/>
          <w:color w:val="000000"/>
          <w:sz w:val="26"/>
          <w:szCs w:val="26"/>
        </w:rPr>
        <w:t xml:space="preserve"> lo siguiente:</w:t>
      </w:r>
    </w:p>
    <w:p w14:paraId="0FFBBD18" w14:textId="17D133E0" w:rsidR="00E12A9B" w:rsidRDefault="00E12A9B" w:rsidP="006F44EF">
      <w:pPr>
        <w:pStyle w:val="Textoindependiente"/>
        <w:ind w:right="-850"/>
        <w:rPr>
          <w:rFonts w:asciiTheme="majorHAnsi" w:hAnsiTheme="majorHAnsi" w:cstheme="majorHAnsi"/>
          <w:color w:val="000000"/>
          <w:sz w:val="24"/>
          <w:szCs w:val="24"/>
        </w:rPr>
      </w:pPr>
    </w:p>
    <w:p w14:paraId="4655A6E1" w14:textId="55B9CF12" w:rsidR="00E12A9B" w:rsidRPr="006F44EF" w:rsidRDefault="00E12A9B" w:rsidP="006F44EF">
      <w:pPr>
        <w:pStyle w:val="Textoindependiente"/>
        <w:ind w:left="567" w:right="284"/>
        <w:jc w:val="both"/>
        <w:rPr>
          <w:rFonts w:ascii="Arial" w:hAnsi="Arial" w:cs="Arial"/>
          <w:b/>
          <w:i/>
          <w:color w:val="000000"/>
          <w:sz w:val="24"/>
          <w:szCs w:val="24"/>
          <w:u w:val="single"/>
        </w:rPr>
      </w:pPr>
      <w:r w:rsidRPr="006F44EF">
        <w:rPr>
          <w:rFonts w:ascii="Arial" w:hAnsi="Arial" w:cs="Arial"/>
          <w:b/>
          <w:i/>
          <w:color w:val="000000"/>
          <w:sz w:val="24"/>
          <w:szCs w:val="24"/>
          <w:u w:val="single"/>
        </w:rPr>
        <w:t>REGLAMENTO INTERNO DE LA SECRETARÍA DE LA CONTRALORÍA Y TRANSPARENCIA GUBERNAMENTAL</w:t>
      </w:r>
    </w:p>
    <w:p w14:paraId="5EEFD4B6" w14:textId="77777777" w:rsidR="00E12A9B" w:rsidRPr="006F44EF" w:rsidRDefault="00E12A9B" w:rsidP="006F44EF">
      <w:pPr>
        <w:pStyle w:val="Textoindependiente"/>
        <w:ind w:left="567" w:right="284"/>
        <w:jc w:val="both"/>
        <w:rPr>
          <w:rFonts w:ascii="Arial" w:hAnsi="Arial" w:cs="Arial"/>
          <w:b/>
          <w:i/>
          <w:color w:val="000000"/>
          <w:sz w:val="24"/>
          <w:szCs w:val="24"/>
        </w:rPr>
      </w:pPr>
      <w:r w:rsidRPr="006F44EF">
        <w:rPr>
          <w:rFonts w:ascii="Arial" w:hAnsi="Arial" w:cs="Arial"/>
          <w:b/>
          <w:i/>
          <w:color w:val="000000"/>
          <w:sz w:val="24"/>
          <w:szCs w:val="24"/>
        </w:rPr>
        <w:t>CAPÍTULO XVI</w:t>
      </w:r>
    </w:p>
    <w:p w14:paraId="31C03531" w14:textId="77777777" w:rsidR="00E12A9B" w:rsidRPr="006F44EF" w:rsidRDefault="00E12A9B" w:rsidP="006F44EF">
      <w:pPr>
        <w:pStyle w:val="Textoindependiente"/>
        <w:ind w:left="567" w:right="284"/>
        <w:jc w:val="both"/>
        <w:rPr>
          <w:rFonts w:ascii="Arial" w:hAnsi="Arial" w:cs="Arial"/>
          <w:b/>
          <w:i/>
          <w:color w:val="000000"/>
          <w:sz w:val="24"/>
          <w:szCs w:val="24"/>
        </w:rPr>
      </w:pPr>
      <w:r w:rsidRPr="006F44EF">
        <w:rPr>
          <w:rFonts w:ascii="Arial" w:hAnsi="Arial" w:cs="Arial"/>
          <w:b/>
          <w:i/>
          <w:color w:val="000000"/>
          <w:sz w:val="24"/>
          <w:szCs w:val="24"/>
        </w:rPr>
        <w:t>DE LAS FACULTADES DE LA DIRECCIÓN JURÍDICA</w:t>
      </w:r>
    </w:p>
    <w:p w14:paraId="35C561EF" w14:textId="77777777" w:rsidR="00E12A9B" w:rsidRPr="006F44EF" w:rsidRDefault="00E12A9B" w:rsidP="006F44EF">
      <w:pPr>
        <w:pStyle w:val="Textoindependiente"/>
        <w:ind w:left="567" w:right="284"/>
        <w:jc w:val="both"/>
        <w:rPr>
          <w:rFonts w:ascii="Arial" w:hAnsi="Arial" w:cs="Arial"/>
          <w:b/>
          <w:i/>
          <w:color w:val="000000"/>
          <w:sz w:val="24"/>
          <w:szCs w:val="24"/>
        </w:rPr>
      </w:pPr>
    </w:p>
    <w:p w14:paraId="704ACC16" w14:textId="18EA8882" w:rsidR="00E12A9B" w:rsidRPr="006F44EF" w:rsidRDefault="006F44EF" w:rsidP="006F44EF">
      <w:pPr>
        <w:pStyle w:val="Textoindependiente"/>
        <w:ind w:left="567" w:right="284"/>
        <w:jc w:val="both"/>
        <w:rPr>
          <w:rFonts w:ascii="Arial" w:hAnsi="Arial" w:cs="Arial"/>
          <w:i/>
          <w:color w:val="000000"/>
          <w:sz w:val="24"/>
          <w:szCs w:val="24"/>
        </w:rPr>
      </w:pPr>
      <w:r>
        <w:rPr>
          <w:rFonts w:ascii="Arial" w:hAnsi="Arial" w:cs="Arial"/>
          <w:b/>
          <w:i/>
          <w:color w:val="000000"/>
          <w:sz w:val="24"/>
          <w:szCs w:val="24"/>
        </w:rPr>
        <w:t>“</w:t>
      </w:r>
      <w:r w:rsidR="00E12A9B" w:rsidRPr="006F44EF">
        <w:rPr>
          <w:rFonts w:ascii="Arial" w:hAnsi="Arial" w:cs="Arial"/>
          <w:b/>
          <w:i/>
          <w:color w:val="000000"/>
          <w:sz w:val="24"/>
          <w:szCs w:val="24"/>
        </w:rPr>
        <w:t>Artículo 71.-</w:t>
      </w:r>
      <w:r w:rsidR="00E12A9B" w:rsidRPr="006F44EF">
        <w:rPr>
          <w:rFonts w:ascii="Arial" w:hAnsi="Arial" w:cs="Arial"/>
          <w:i/>
          <w:color w:val="000000"/>
          <w:sz w:val="24"/>
          <w:szCs w:val="24"/>
        </w:rPr>
        <w:t xml:space="preserve"> Al frente de la Dirección Jurídica habrá un Director, quien dependerá directamente del Subsecretario de Responsabilidades Administrativas y Anticorrupción y tendrá las siguientes facultades: (…)</w:t>
      </w:r>
    </w:p>
    <w:p w14:paraId="00846607" w14:textId="77777777" w:rsidR="00E12A9B" w:rsidRPr="006F44EF" w:rsidRDefault="00E12A9B" w:rsidP="006F44EF">
      <w:pPr>
        <w:pStyle w:val="Textoindependiente"/>
        <w:ind w:left="567" w:right="284"/>
        <w:jc w:val="both"/>
        <w:rPr>
          <w:rFonts w:ascii="Arial" w:hAnsi="Arial" w:cs="Arial"/>
          <w:i/>
          <w:color w:val="000000"/>
          <w:sz w:val="24"/>
          <w:szCs w:val="24"/>
        </w:rPr>
      </w:pPr>
    </w:p>
    <w:p w14:paraId="724ABBBC" w14:textId="77777777" w:rsidR="00E12A9B" w:rsidRPr="006F44EF" w:rsidRDefault="00E12A9B" w:rsidP="006F44EF">
      <w:pPr>
        <w:pStyle w:val="Textoindependiente"/>
        <w:ind w:left="567" w:right="284"/>
        <w:jc w:val="both"/>
        <w:rPr>
          <w:rFonts w:ascii="Arial" w:hAnsi="Arial" w:cs="Arial"/>
          <w:i/>
          <w:color w:val="000000"/>
          <w:sz w:val="24"/>
          <w:szCs w:val="24"/>
        </w:rPr>
      </w:pPr>
      <w:r w:rsidRPr="006F44EF">
        <w:rPr>
          <w:rFonts w:ascii="Arial" w:hAnsi="Arial" w:cs="Arial"/>
          <w:b/>
          <w:i/>
          <w:color w:val="000000"/>
          <w:sz w:val="24"/>
          <w:szCs w:val="24"/>
        </w:rPr>
        <w:t>IX.-</w:t>
      </w:r>
      <w:r w:rsidRPr="006F44EF">
        <w:rPr>
          <w:rFonts w:ascii="Arial" w:hAnsi="Arial" w:cs="Arial"/>
          <w:i/>
          <w:color w:val="000000"/>
          <w:sz w:val="24"/>
          <w:szCs w:val="24"/>
        </w:rPr>
        <w:t xml:space="preserve"> Representar legalmente al Secretario y realizar la defensa jurídica de la Secretaría en los juicios de cualquier orden que se ventilen ante los tribunales locales y federales de carácter judicial y administrativo, en los que aquella sea parte como demandado, demandante o tercero interesado; (…)</w:t>
      </w:r>
    </w:p>
    <w:p w14:paraId="3811070C" w14:textId="77777777" w:rsidR="00E12A9B" w:rsidRPr="006F44EF" w:rsidRDefault="00E12A9B" w:rsidP="006F44EF">
      <w:pPr>
        <w:pStyle w:val="Textoindependiente"/>
        <w:ind w:left="567" w:right="284"/>
        <w:jc w:val="both"/>
        <w:rPr>
          <w:rFonts w:ascii="Arial" w:hAnsi="Arial" w:cs="Arial"/>
          <w:i/>
          <w:color w:val="000000"/>
          <w:sz w:val="24"/>
          <w:szCs w:val="24"/>
        </w:rPr>
      </w:pPr>
    </w:p>
    <w:p w14:paraId="00481E05" w14:textId="77777777" w:rsidR="00E12A9B" w:rsidRPr="006F44EF" w:rsidRDefault="00E12A9B" w:rsidP="006F44EF">
      <w:pPr>
        <w:pStyle w:val="Textoindependiente"/>
        <w:ind w:left="567" w:right="284"/>
        <w:jc w:val="both"/>
        <w:rPr>
          <w:rFonts w:ascii="Arial" w:hAnsi="Arial" w:cs="Arial"/>
          <w:i/>
          <w:color w:val="000000"/>
          <w:sz w:val="24"/>
          <w:szCs w:val="24"/>
        </w:rPr>
      </w:pPr>
      <w:r w:rsidRPr="006F44EF">
        <w:rPr>
          <w:rFonts w:ascii="Arial" w:hAnsi="Arial" w:cs="Arial"/>
          <w:b/>
          <w:i/>
          <w:color w:val="000000"/>
          <w:sz w:val="24"/>
          <w:szCs w:val="24"/>
        </w:rPr>
        <w:t>XIV.-</w:t>
      </w:r>
      <w:r w:rsidRPr="006F44EF">
        <w:rPr>
          <w:rFonts w:ascii="Arial" w:hAnsi="Arial" w:cs="Arial"/>
          <w:i/>
          <w:color w:val="000000"/>
          <w:sz w:val="24"/>
          <w:szCs w:val="24"/>
        </w:rPr>
        <w:t xml:space="preserve"> Intervenir en representación del Secretario, sin perjuicio de las facultades y atribuciones exclusivas de éste, en todas las controversias jurídicas en que sean parte y con todos los derechos procesales que las leyes reconocen a las personas; </w:t>
      </w:r>
    </w:p>
    <w:p w14:paraId="69B4644E" w14:textId="77777777" w:rsidR="00E12A9B" w:rsidRPr="006F44EF" w:rsidRDefault="00E12A9B" w:rsidP="006F44EF">
      <w:pPr>
        <w:pStyle w:val="Textoindependiente"/>
        <w:ind w:left="567" w:right="284"/>
        <w:jc w:val="both"/>
        <w:rPr>
          <w:rFonts w:ascii="Arial" w:hAnsi="Arial" w:cs="Arial"/>
          <w:i/>
          <w:color w:val="000000"/>
          <w:sz w:val="24"/>
          <w:szCs w:val="24"/>
        </w:rPr>
      </w:pPr>
    </w:p>
    <w:p w14:paraId="4878F0E9" w14:textId="77777777" w:rsidR="00E12A9B" w:rsidRPr="006F44EF" w:rsidRDefault="00E12A9B" w:rsidP="006F44EF">
      <w:pPr>
        <w:pStyle w:val="Textoindependiente"/>
        <w:ind w:left="567" w:right="284"/>
        <w:jc w:val="both"/>
        <w:rPr>
          <w:rFonts w:ascii="Arial" w:hAnsi="Arial" w:cs="Arial"/>
          <w:i/>
          <w:color w:val="000000"/>
          <w:sz w:val="24"/>
          <w:szCs w:val="24"/>
        </w:rPr>
      </w:pPr>
      <w:r w:rsidRPr="006F44EF">
        <w:rPr>
          <w:rFonts w:ascii="Arial" w:hAnsi="Arial" w:cs="Arial"/>
          <w:b/>
          <w:i/>
          <w:color w:val="000000"/>
          <w:sz w:val="24"/>
          <w:szCs w:val="24"/>
        </w:rPr>
        <w:t>XV.-</w:t>
      </w:r>
      <w:r w:rsidRPr="006F44EF">
        <w:rPr>
          <w:rFonts w:ascii="Arial" w:hAnsi="Arial" w:cs="Arial"/>
          <w:i/>
          <w:color w:val="000000"/>
          <w:sz w:val="24"/>
          <w:szCs w:val="24"/>
        </w:rPr>
        <w:t xml:space="preserve"> Interponer toda clase de recursos y desistirse de ellos, transigir, comprometer en árbitros, absolver y articular posiciones, recibir pagos, ofrecer y recibir toda clase de pruebas, recusar jueces, apelar y, en general, promover o realizar todos los actos permitidos por las leyes que favorezcan y salvaguarden los derechos de la Secretaría; (…)</w:t>
      </w:r>
    </w:p>
    <w:p w14:paraId="62BEE413" w14:textId="77777777" w:rsidR="00E12A9B" w:rsidRPr="006F44EF" w:rsidRDefault="00E12A9B" w:rsidP="006F44EF">
      <w:pPr>
        <w:pStyle w:val="Textoindependiente"/>
        <w:ind w:left="567" w:right="284"/>
        <w:jc w:val="both"/>
        <w:rPr>
          <w:rFonts w:ascii="Arial" w:hAnsi="Arial" w:cs="Arial"/>
          <w:i/>
          <w:color w:val="000000"/>
          <w:sz w:val="24"/>
          <w:szCs w:val="24"/>
        </w:rPr>
      </w:pPr>
    </w:p>
    <w:p w14:paraId="5040870A" w14:textId="77777777" w:rsidR="00E12A9B" w:rsidRPr="006F44EF" w:rsidRDefault="00E12A9B" w:rsidP="006F44EF">
      <w:pPr>
        <w:pStyle w:val="Textoindependiente"/>
        <w:ind w:left="567" w:right="284"/>
        <w:jc w:val="both"/>
        <w:rPr>
          <w:rFonts w:ascii="Arial" w:hAnsi="Arial" w:cs="Arial"/>
          <w:i/>
          <w:color w:val="000000"/>
          <w:sz w:val="24"/>
          <w:szCs w:val="24"/>
        </w:rPr>
      </w:pPr>
      <w:r w:rsidRPr="006F44EF">
        <w:rPr>
          <w:rFonts w:ascii="Arial" w:hAnsi="Arial" w:cs="Arial"/>
          <w:b/>
          <w:i/>
          <w:color w:val="000000"/>
          <w:sz w:val="24"/>
          <w:szCs w:val="24"/>
        </w:rPr>
        <w:t>XXVI.-</w:t>
      </w:r>
      <w:r w:rsidRPr="006F44EF">
        <w:rPr>
          <w:rFonts w:ascii="Arial" w:hAnsi="Arial" w:cs="Arial"/>
          <w:i/>
          <w:color w:val="000000"/>
          <w:sz w:val="24"/>
          <w:szCs w:val="24"/>
        </w:rPr>
        <w:t xml:space="preserve"> Certificar todos los documentos que obren en los archivos de la Secretaría que sean expedidos en el ejercicio de sus facultades, así como aquellos necesarios para la defensa de la Secretaría, incluyendo su propio nombramiento (…)</w:t>
      </w:r>
    </w:p>
    <w:p w14:paraId="5689782D" w14:textId="77777777" w:rsidR="00E12A9B" w:rsidRPr="006F44EF" w:rsidRDefault="00E12A9B" w:rsidP="006F44EF">
      <w:pPr>
        <w:pStyle w:val="Textoindependiente"/>
        <w:tabs>
          <w:tab w:val="left" w:pos="8222"/>
        </w:tabs>
        <w:ind w:left="567"/>
        <w:jc w:val="both"/>
        <w:rPr>
          <w:rFonts w:ascii="Arial" w:hAnsi="Arial" w:cs="Arial"/>
          <w:color w:val="000000"/>
          <w:sz w:val="24"/>
          <w:szCs w:val="24"/>
        </w:rPr>
      </w:pPr>
    </w:p>
    <w:p w14:paraId="72D4459D" w14:textId="3F9C774F" w:rsidR="00E12A9B" w:rsidRPr="00A93072" w:rsidRDefault="00155E3D" w:rsidP="00A93072">
      <w:pPr>
        <w:pStyle w:val="Textoindependiente"/>
        <w:spacing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E12A9B" w:rsidRPr="00A93072">
        <w:rPr>
          <w:rFonts w:ascii="Arial" w:hAnsi="Arial" w:cs="Arial"/>
          <w:color w:val="000000"/>
          <w:sz w:val="26"/>
          <w:szCs w:val="26"/>
        </w:rPr>
        <w:t xml:space="preserve">Del contenido del artículo </w:t>
      </w:r>
      <w:proofErr w:type="spellStart"/>
      <w:r w:rsidR="00E12A9B" w:rsidRPr="00A93072">
        <w:rPr>
          <w:rFonts w:ascii="Arial" w:hAnsi="Arial" w:cs="Arial"/>
          <w:color w:val="000000"/>
          <w:sz w:val="26"/>
          <w:szCs w:val="26"/>
        </w:rPr>
        <w:t>supracitado</w:t>
      </w:r>
      <w:proofErr w:type="spellEnd"/>
      <w:r w:rsidR="00E12A9B" w:rsidRPr="00A93072">
        <w:rPr>
          <w:rFonts w:ascii="Arial" w:hAnsi="Arial" w:cs="Arial"/>
          <w:color w:val="000000"/>
          <w:sz w:val="26"/>
          <w:szCs w:val="26"/>
        </w:rPr>
        <w:t xml:space="preserve">, se advierte que las fracciones IX, XI y XVIII del Reglamento Interno de la Secretaría de la Contraloría y Transparencia Gubernamental, aluden a la competencia que tiene el Director Jurídico para representar legalmente al Secretario y realizar la defensa jurídica de la Secretaría de la Contraloría y Transparencia Gubernamental en los juicios de cualquier orden que se ventilen en los Tribunales tanto locales como federales. </w:t>
      </w:r>
    </w:p>
    <w:p w14:paraId="547F8E1F" w14:textId="77777777" w:rsidR="00E12A9B" w:rsidRDefault="00E12A9B" w:rsidP="00E12A9B">
      <w:pPr>
        <w:pStyle w:val="Textoindependiente"/>
        <w:ind w:right="-425"/>
        <w:rPr>
          <w:rFonts w:asciiTheme="majorHAnsi" w:hAnsiTheme="majorHAnsi" w:cstheme="majorHAnsi"/>
          <w:color w:val="000000"/>
          <w:sz w:val="24"/>
          <w:szCs w:val="24"/>
        </w:rPr>
      </w:pPr>
    </w:p>
    <w:p w14:paraId="520E90AF" w14:textId="64D68F2C" w:rsidR="00E12A9B" w:rsidRPr="00155E3D" w:rsidRDefault="00155E3D" w:rsidP="00A47A2B">
      <w:pPr>
        <w:pStyle w:val="Textoindependiente"/>
        <w:spacing w:line="360" w:lineRule="auto"/>
        <w:ind w:right="-234"/>
        <w:jc w:val="both"/>
        <w:rPr>
          <w:rFonts w:ascii="Arial" w:hAnsi="Arial" w:cs="Arial"/>
          <w:color w:val="000000"/>
          <w:sz w:val="26"/>
          <w:szCs w:val="26"/>
        </w:rPr>
      </w:pPr>
      <w:r>
        <w:rPr>
          <w:rFonts w:ascii="Arial" w:hAnsi="Arial" w:cs="Arial"/>
          <w:color w:val="000000"/>
          <w:sz w:val="26"/>
          <w:szCs w:val="26"/>
        </w:rPr>
        <w:t xml:space="preserve">    </w:t>
      </w:r>
      <w:r w:rsidR="00E12A9B" w:rsidRPr="00155E3D">
        <w:rPr>
          <w:rFonts w:ascii="Arial" w:hAnsi="Arial" w:cs="Arial"/>
          <w:color w:val="000000"/>
          <w:sz w:val="26"/>
          <w:szCs w:val="26"/>
        </w:rPr>
        <w:t xml:space="preserve">Por ello, </w:t>
      </w:r>
      <w:r>
        <w:rPr>
          <w:rFonts w:ascii="Arial" w:hAnsi="Arial" w:cs="Arial"/>
          <w:color w:val="000000"/>
          <w:sz w:val="26"/>
          <w:szCs w:val="26"/>
        </w:rPr>
        <w:t>es claro que resulta</w:t>
      </w:r>
      <w:r w:rsidR="00E12A9B" w:rsidRPr="00155E3D">
        <w:rPr>
          <w:rFonts w:ascii="Arial" w:hAnsi="Arial" w:cs="Arial"/>
          <w:color w:val="000000"/>
          <w:sz w:val="26"/>
          <w:szCs w:val="26"/>
        </w:rPr>
        <w:t xml:space="preserve"> </w:t>
      </w:r>
      <w:r>
        <w:rPr>
          <w:rFonts w:ascii="Arial" w:hAnsi="Arial" w:cs="Arial"/>
          <w:color w:val="000000"/>
          <w:sz w:val="26"/>
          <w:szCs w:val="26"/>
        </w:rPr>
        <w:t>erróneo</w:t>
      </w:r>
      <w:r w:rsidR="00E12A9B" w:rsidRPr="00155E3D">
        <w:rPr>
          <w:rFonts w:ascii="Arial" w:hAnsi="Arial" w:cs="Arial"/>
          <w:color w:val="000000"/>
          <w:sz w:val="26"/>
          <w:szCs w:val="26"/>
        </w:rPr>
        <w:t xml:space="preserve"> e infundado el argumento de la</w:t>
      </w:r>
      <w:r>
        <w:rPr>
          <w:rFonts w:ascii="Arial" w:hAnsi="Arial" w:cs="Arial"/>
          <w:color w:val="000000"/>
          <w:sz w:val="26"/>
          <w:szCs w:val="26"/>
        </w:rPr>
        <w:t xml:space="preserve"> parte</w:t>
      </w:r>
      <w:r w:rsidR="00E12A9B" w:rsidRPr="00155E3D">
        <w:rPr>
          <w:rFonts w:ascii="Arial" w:hAnsi="Arial" w:cs="Arial"/>
          <w:color w:val="000000"/>
          <w:sz w:val="26"/>
          <w:szCs w:val="26"/>
        </w:rPr>
        <w:t xml:space="preserve"> actora, al estimar que el Director Jurídico no puede representar al Secretario de la Contraloría y Transparencia Gubernamental y a sus diversas áreas administrativas, pues al ser un todo la Secretaría y al encontrarse conformada por diversas áreas administrativas, es evidente que el Director Jurídico se encuentra facultado para representar la defensa de la Secretaría y de sus áreas </w:t>
      </w:r>
      <w:r w:rsidR="00A47A2B">
        <w:rPr>
          <w:rFonts w:ascii="Arial" w:hAnsi="Arial" w:cs="Arial"/>
          <w:color w:val="000000"/>
          <w:sz w:val="26"/>
          <w:szCs w:val="26"/>
        </w:rPr>
        <w:t>administrativas que la integran; pues</w:t>
      </w:r>
      <w:r w:rsidR="00E12A9B" w:rsidRPr="00155E3D">
        <w:rPr>
          <w:rFonts w:ascii="Arial" w:hAnsi="Arial" w:cs="Arial"/>
          <w:color w:val="000000"/>
          <w:sz w:val="26"/>
          <w:szCs w:val="26"/>
        </w:rPr>
        <w:t xml:space="preserve"> contrariamente a su apreciación, el carácter con el que acude el Director Jurídico al juicio</w:t>
      </w:r>
      <w:r w:rsidR="00A47A2B">
        <w:rPr>
          <w:rFonts w:ascii="Arial" w:hAnsi="Arial" w:cs="Arial"/>
          <w:color w:val="000000"/>
          <w:sz w:val="26"/>
          <w:szCs w:val="26"/>
        </w:rPr>
        <w:t xml:space="preserve"> de nulidad de origen</w:t>
      </w:r>
      <w:r w:rsidR="00E12A9B" w:rsidRPr="00155E3D">
        <w:rPr>
          <w:rFonts w:ascii="Arial" w:hAnsi="Arial" w:cs="Arial"/>
          <w:color w:val="000000"/>
          <w:sz w:val="26"/>
          <w:szCs w:val="26"/>
        </w:rPr>
        <w:t xml:space="preserve"> </w:t>
      </w:r>
      <w:r>
        <w:rPr>
          <w:rFonts w:ascii="Arial" w:hAnsi="Arial" w:cs="Arial"/>
          <w:color w:val="000000"/>
          <w:sz w:val="26"/>
          <w:szCs w:val="26"/>
        </w:rPr>
        <w:t xml:space="preserve">ante este </w:t>
      </w:r>
      <w:r w:rsidR="00E12A9B" w:rsidRPr="00155E3D">
        <w:rPr>
          <w:rFonts w:ascii="Arial" w:hAnsi="Arial" w:cs="Arial"/>
          <w:color w:val="000000"/>
          <w:sz w:val="26"/>
          <w:szCs w:val="26"/>
        </w:rPr>
        <w:t>Tribunal</w:t>
      </w:r>
      <w:r>
        <w:rPr>
          <w:rFonts w:ascii="Arial" w:hAnsi="Arial" w:cs="Arial"/>
          <w:color w:val="000000"/>
          <w:sz w:val="26"/>
          <w:szCs w:val="26"/>
        </w:rPr>
        <w:t xml:space="preserve"> de Justicia Administrativa del Estado de Oaxaca</w:t>
      </w:r>
      <w:r w:rsidR="00E12A9B" w:rsidRPr="00155E3D">
        <w:rPr>
          <w:rFonts w:ascii="Arial" w:hAnsi="Arial" w:cs="Arial"/>
          <w:color w:val="000000"/>
          <w:sz w:val="26"/>
          <w:szCs w:val="26"/>
        </w:rPr>
        <w:t xml:space="preserve">, es en representación de sí y del </w:t>
      </w:r>
      <w:r>
        <w:rPr>
          <w:rFonts w:ascii="Arial" w:hAnsi="Arial" w:cs="Arial"/>
          <w:color w:val="000000"/>
          <w:sz w:val="26"/>
          <w:szCs w:val="26"/>
        </w:rPr>
        <w:t>Director de Responsabilidades Administrativas y Situación Patrimonial</w:t>
      </w:r>
      <w:r w:rsidR="00E12A9B" w:rsidRPr="00155E3D">
        <w:rPr>
          <w:rFonts w:ascii="Arial" w:hAnsi="Arial" w:cs="Arial"/>
          <w:color w:val="000000"/>
          <w:sz w:val="26"/>
          <w:szCs w:val="26"/>
        </w:rPr>
        <w:t xml:space="preserve"> de la Secretaría de la Contraloría y Transparencia Gubernamental del Poder Ejecutiv</w:t>
      </w:r>
      <w:r>
        <w:rPr>
          <w:rFonts w:ascii="Arial" w:hAnsi="Arial" w:cs="Arial"/>
          <w:color w:val="000000"/>
          <w:sz w:val="26"/>
          <w:szCs w:val="26"/>
        </w:rPr>
        <w:t>o del Estado de Oaxaca</w:t>
      </w:r>
      <w:r w:rsidR="00E12A9B" w:rsidRPr="00155E3D">
        <w:rPr>
          <w:rFonts w:ascii="Arial" w:hAnsi="Arial" w:cs="Arial"/>
          <w:color w:val="000000"/>
          <w:sz w:val="26"/>
          <w:szCs w:val="26"/>
        </w:rPr>
        <w:t xml:space="preserve">, al considerarse </w:t>
      </w:r>
      <w:r>
        <w:rPr>
          <w:rFonts w:ascii="Arial" w:hAnsi="Arial" w:cs="Arial"/>
          <w:color w:val="000000"/>
          <w:sz w:val="26"/>
          <w:szCs w:val="26"/>
        </w:rPr>
        <w:t>todas las áreas de la Secretaría</w:t>
      </w:r>
      <w:r w:rsidR="00E12A9B" w:rsidRPr="00155E3D">
        <w:rPr>
          <w:rFonts w:ascii="Arial" w:hAnsi="Arial" w:cs="Arial"/>
          <w:color w:val="000000"/>
          <w:sz w:val="26"/>
          <w:szCs w:val="26"/>
        </w:rPr>
        <w:t xml:space="preserve"> como un todo</w:t>
      </w:r>
      <w:r>
        <w:rPr>
          <w:rFonts w:ascii="Arial" w:hAnsi="Arial" w:cs="Arial"/>
          <w:color w:val="000000"/>
          <w:sz w:val="26"/>
          <w:szCs w:val="26"/>
        </w:rPr>
        <w:t xml:space="preserve">, o como </w:t>
      </w:r>
      <w:r w:rsidR="00A47A2B">
        <w:rPr>
          <w:rFonts w:ascii="Arial" w:hAnsi="Arial" w:cs="Arial"/>
          <w:color w:val="000000"/>
          <w:sz w:val="26"/>
          <w:szCs w:val="26"/>
        </w:rPr>
        <w:t xml:space="preserve">un </w:t>
      </w:r>
      <w:r>
        <w:rPr>
          <w:rFonts w:ascii="Arial" w:hAnsi="Arial" w:cs="Arial"/>
          <w:color w:val="000000"/>
          <w:sz w:val="26"/>
          <w:szCs w:val="26"/>
        </w:rPr>
        <w:t>sólo organismo</w:t>
      </w:r>
      <w:r w:rsidR="00E12A9B" w:rsidRPr="00155E3D">
        <w:rPr>
          <w:rFonts w:ascii="Arial" w:hAnsi="Arial" w:cs="Arial"/>
          <w:color w:val="000000"/>
          <w:sz w:val="26"/>
          <w:szCs w:val="26"/>
        </w:rPr>
        <w:t xml:space="preserve">. </w:t>
      </w:r>
    </w:p>
    <w:p w14:paraId="13D17493" w14:textId="30366735" w:rsidR="00E12A9B" w:rsidRPr="00155E3D" w:rsidRDefault="00155E3D" w:rsidP="00155E3D">
      <w:pPr>
        <w:widowControl w:val="0"/>
        <w:autoSpaceDE w:val="0"/>
        <w:autoSpaceDN w:val="0"/>
        <w:adjustRightInd w:val="0"/>
        <w:spacing w:line="360" w:lineRule="auto"/>
        <w:ind w:right="-234"/>
        <w:jc w:val="both"/>
        <w:rPr>
          <w:rFonts w:ascii="Arial" w:hAnsi="Arial" w:cs="Arial"/>
          <w:sz w:val="26"/>
          <w:szCs w:val="26"/>
          <w:lang w:val="es-MX"/>
        </w:rPr>
      </w:pPr>
      <w:r>
        <w:rPr>
          <w:rFonts w:ascii="Arial" w:hAnsi="Arial" w:cs="Arial"/>
          <w:sz w:val="26"/>
          <w:szCs w:val="26"/>
          <w:lang w:val="es-MX"/>
        </w:rPr>
        <w:t xml:space="preserve">    </w:t>
      </w:r>
      <w:r w:rsidR="00E12A9B" w:rsidRPr="00155E3D">
        <w:rPr>
          <w:rFonts w:ascii="Arial" w:hAnsi="Arial" w:cs="Arial"/>
          <w:sz w:val="26"/>
          <w:szCs w:val="26"/>
          <w:lang w:val="es-MX"/>
        </w:rPr>
        <w:t>En apoyo a lo anterior, se invoca la siguiente tesis aislada consultable en el Semanario Judicial de la Federación y su Gaceta:</w:t>
      </w:r>
    </w:p>
    <w:p w14:paraId="6571ED90" w14:textId="77777777" w:rsidR="00E12A9B" w:rsidRPr="00EF38E2" w:rsidRDefault="00E12A9B" w:rsidP="00E12A9B">
      <w:pPr>
        <w:widowControl w:val="0"/>
        <w:autoSpaceDE w:val="0"/>
        <w:autoSpaceDN w:val="0"/>
        <w:adjustRightInd w:val="0"/>
        <w:jc w:val="both"/>
        <w:rPr>
          <w:rFonts w:asciiTheme="majorHAnsi" w:hAnsiTheme="majorHAnsi"/>
          <w:lang w:val="es-MX"/>
        </w:rPr>
      </w:pPr>
    </w:p>
    <w:p w14:paraId="5EB39610" w14:textId="527C1465" w:rsidR="00E12A9B" w:rsidRPr="00EF38E2" w:rsidRDefault="00155E3D" w:rsidP="00155E3D">
      <w:pPr>
        <w:widowControl w:val="0"/>
        <w:autoSpaceDE w:val="0"/>
        <w:autoSpaceDN w:val="0"/>
        <w:adjustRightInd w:val="0"/>
        <w:spacing w:line="240" w:lineRule="auto"/>
        <w:ind w:left="1134" w:right="1183"/>
        <w:jc w:val="both"/>
        <w:rPr>
          <w:rFonts w:asciiTheme="majorHAnsi" w:hAnsiTheme="majorHAnsi" w:cs="Arial"/>
          <w:lang w:val="es-MX"/>
        </w:rPr>
      </w:pPr>
      <w:r>
        <w:rPr>
          <w:rFonts w:asciiTheme="majorHAnsi" w:hAnsiTheme="majorHAnsi" w:cs="Arial"/>
          <w:lang w:val="es-MX"/>
        </w:rPr>
        <w:t>“</w:t>
      </w:r>
      <w:r w:rsidR="00E12A9B" w:rsidRPr="00EF38E2">
        <w:rPr>
          <w:rFonts w:asciiTheme="majorHAnsi" w:hAnsiTheme="majorHAnsi" w:cs="Arial"/>
          <w:lang w:val="es-MX"/>
        </w:rPr>
        <w:t>Novena Época</w:t>
      </w:r>
    </w:p>
    <w:p w14:paraId="2A90BB1B"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Registro: 167663</w:t>
      </w:r>
    </w:p>
    <w:p w14:paraId="0D66C5BE"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Instancia: Segunda Sala</w:t>
      </w:r>
    </w:p>
    <w:p w14:paraId="3ABCAFB7"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Tesis Aislada</w:t>
      </w:r>
    </w:p>
    <w:p w14:paraId="73ADC0F7"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Fuente: Semanario Judicial de la Federación y su Gaceta</w:t>
      </w:r>
    </w:p>
    <w:p w14:paraId="6BD0BA7D"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 xml:space="preserve"> XXIX, Marzo de 2009</w:t>
      </w:r>
    </w:p>
    <w:p w14:paraId="418F49DE"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Materia(s): Constitucional, Administrativa</w:t>
      </w:r>
    </w:p>
    <w:p w14:paraId="31119840" w14:textId="77777777"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Tesis: 2a. XVIII/2009</w:t>
      </w:r>
    </w:p>
    <w:p w14:paraId="3062276C" w14:textId="7BC96885" w:rsidR="00E12A9B" w:rsidRPr="00EF38E2" w:rsidRDefault="00E12A9B" w:rsidP="00155E3D">
      <w:pPr>
        <w:widowControl w:val="0"/>
        <w:autoSpaceDE w:val="0"/>
        <w:autoSpaceDN w:val="0"/>
        <w:adjustRightInd w:val="0"/>
        <w:spacing w:line="240" w:lineRule="auto"/>
        <w:ind w:left="1134" w:right="1183"/>
        <w:jc w:val="both"/>
        <w:rPr>
          <w:rFonts w:asciiTheme="majorHAnsi" w:hAnsiTheme="majorHAnsi"/>
          <w:lang w:val="es-MX"/>
        </w:rPr>
      </w:pPr>
      <w:r w:rsidRPr="00EF38E2">
        <w:rPr>
          <w:rFonts w:asciiTheme="majorHAnsi" w:hAnsiTheme="majorHAnsi"/>
          <w:lang w:val="es-MX"/>
        </w:rPr>
        <w:t>Página:   476</w:t>
      </w:r>
    </w:p>
    <w:p w14:paraId="408F16A0" w14:textId="77777777" w:rsidR="00E12A9B" w:rsidRPr="00EF38E2" w:rsidRDefault="00E12A9B" w:rsidP="00E12A9B">
      <w:pPr>
        <w:widowControl w:val="0"/>
        <w:autoSpaceDE w:val="0"/>
        <w:autoSpaceDN w:val="0"/>
        <w:adjustRightInd w:val="0"/>
        <w:ind w:left="1134" w:right="1183"/>
        <w:jc w:val="both"/>
        <w:rPr>
          <w:rFonts w:asciiTheme="majorHAnsi" w:hAnsiTheme="majorHAnsi"/>
          <w:b/>
          <w:lang w:val="es-MX"/>
        </w:rPr>
      </w:pPr>
      <w:r w:rsidRPr="00EF38E2">
        <w:rPr>
          <w:rFonts w:asciiTheme="majorHAnsi" w:hAnsiTheme="majorHAnsi"/>
          <w:b/>
          <w:lang w:val="es-MX"/>
        </w:rPr>
        <w:lastRenderedPageBreak/>
        <w:t>PROCEDIMIENTO CONTENCIOSO ADMINISTRATIVO. EL ARTÍCULO 5o. DE LA LEY FEDERAL RELATIVA, EN CUANTO ESTABLECE DIFERENTES REQUISITOS PARA QUE LOS PARTICULARES Y LAS AUTORIDADES ACREDITEN LA REPRESENTACIÓN CON LA QUE ACTÚAN EN EL JUICIO RESPECTIVO, NO ES VIOLATORIO DE LAS GARANTÍAS DE DEBIDO PROCESO Y DE IGUALDAD ENTRE LAS PARTES.</w:t>
      </w:r>
    </w:p>
    <w:p w14:paraId="4C63E166" w14:textId="7DEDB275" w:rsidR="00E12A9B" w:rsidRPr="00EF38E2" w:rsidRDefault="00E12A9B" w:rsidP="00E12A9B">
      <w:pPr>
        <w:widowControl w:val="0"/>
        <w:autoSpaceDE w:val="0"/>
        <w:autoSpaceDN w:val="0"/>
        <w:adjustRightInd w:val="0"/>
        <w:ind w:left="1134" w:right="1183"/>
        <w:jc w:val="both"/>
        <w:rPr>
          <w:rFonts w:asciiTheme="majorHAnsi" w:hAnsiTheme="majorHAnsi"/>
          <w:b/>
          <w:lang w:val="es-MX"/>
        </w:rPr>
      </w:pPr>
      <w:r w:rsidRPr="00EF38E2">
        <w:rPr>
          <w:rFonts w:asciiTheme="majorHAnsi" w:hAnsiTheme="majorHAnsi"/>
          <w:lang w:val="es-MX"/>
        </w:rPr>
        <w:t xml:space="preserve">El citado precepto al establecer la obligación de los particulares de acreditar su representación en el juicio de nulidad a través de escritura pública o carta poder firmada ante dos testigos y ratificadas las firmas ante notario público, y demostrar que fue otorgada a más tardar en la fecha de la presentación de la demanda, mientras que respecto de las autoridades </w:t>
      </w:r>
      <w:r w:rsidRPr="00EF38E2">
        <w:rPr>
          <w:rFonts w:asciiTheme="majorHAnsi" w:hAnsiTheme="majorHAnsi"/>
          <w:b/>
          <w:lang w:val="es-MX"/>
        </w:rPr>
        <w:t>sólo prevé que la representación corresponderá a las unidades administrativas encargadas de su defensa jurídica, no viola las garantías referidas porque aun ante la evidente disparidad de exigencias debe tenerse presente que los actos de estas últimas gozan de credibilidad,</w:t>
      </w:r>
      <w:r w:rsidRPr="00EF38E2">
        <w:rPr>
          <w:rFonts w:asciiTheme="majorHAnsi" w:hAnsiTheme="majorHAnsi"/>
          <w:lang w:val="es-MX"/>
        </w:rPr>
        <w:t xml:space="preserve"> ya que su creación está contemplada en los ordenamientos legales correspondientes, los cuales disponen la imposición de sanciones en caso de incurrir en causa de responsabilidad, pero además, </w:t>
      </w:r>
      <w:r w:rsidRPr="00EF38E2">
        <w:rPr>
          <w:rFonts w:asciiTheme="majorHAnsi" w:hAnsiTheme="majorHAnsi"/>
          <w:b/>
          <w:lang w:val="es-MX"/>
        </w:rPr>
        <w:t>porque la contestación de la demanda de nulidad por parte de una autoridad no puede considerarse como un acto de molestia al que deban exigírsele más requisitos que el simple fundamento de sus facultades para actuar, situación contraria a las obligaciones de la parte actora,</w:t>
      </w:r>
      <w:r w:rsidRPr="00EF38E2">
        <w:rPr>
          <w:rFonts w:asciiTheme="majorHAnsi" w:hAnsiTheme="majorHAnsi"/>
          <w:lang w:val="es-MX"/>
        </w:rPr>
        <w:t xml:space="preserve"> quien para demandar la nulidad de la resolución dictada por aquélla debe acreditar el derecho que afirma tener. Es decir, si bien en el primer escrito se exige al demandante la obligación de acompañar el documento con que acredita su representación expedido antes de su presentación, lo cierto es que en la especie se trata de situaciones jurídicas que no pueden equipararse, ya que el actor al presentarse excitando a los órganos jurisdiccionales del Estado para la aplicación de las normas tutelares de la ley, debe comprobar que está legitimado para hacerlo, esto es, como condición indispensable para la eficacia de su demanda y para la normalidad del procedimiento, está obligado a cumplir ciertos requisitos; en cambio, </w:t>
      </w:r>
      <w:r w:rsidRPr="00EF38E2">
        <w:rPr>
          <w:rFonts w:asciiTheme="majorHAnsi" w:hAnsiTheme="majorHAnsi"/>
          <w:b/>
          <w:lang w:val="es-MX"/>
        </w:rPr>
        <w:t>la situación de la demandada es diferente, dado que sólo está obligada a responder lo que se le atribuye, dentro del plazo legal, y la simple cita del fundamento legal que le otorga la facultad de comparecer es suficiente para acreditar su representación.</w:t>
      </w:r>
      <w:r w:rsidR="00155E3D">
        <w:rPr>
          <w:rFonts w:asciiTheme="majorHAnsi" w:hAnsiTheme="majorHAnsi"/>
          <w:b/>
          <w:lang w:val="es-MX"/>
        </w:rPr>
        <w:t>”</w:t>
      </w:r>
    </w:p>
    <w:p w14:paraId="1A26D732" w14:textId="5B73C025" w:rsidR="00E12A9B" w:rsidRPr="00431E7D" w:rsidRDefault="00E12A9B" w:rsidP="00E12A9B">
      <w:pPr>
        <w:pStyle w:val="Textoindependiente"/>
        <w:ind w:right="17"/>
        <w:rPr>
          <w:rFonts w:cs="Arial"/>
          <w:sz w:val="24"/>
          <w:szCs w:val="24"/>
        </w:rPr>
      </w:pPr>
    </w:p>
    <w:p w14:paraId="3BBD3913" w14:textId="2181F823" w:rsidR="00E12A9B" w:rsidRPr="003A314C" w:rsidRDefault="00155E3D" w:rsidP="003A314C">
      <w:pPr>
        <w:pStyle w:val="Textoindependiente"/>
        <w:spacing w:line="360" w:lineRule="auto"/>
        <w:ind w:right="49"/>
        <w:jc w:val="both"/>
        <w:rPr>
          <w:rFonts w:ascii="Arial" w:hAnsi="Arial" w:cs="Arial"/>
          <w:color w:val="000000"/>
          <w:sz w:val="26"/>
          <w:szCs w:val="26"/>
        </w:rPr>
      </w:pPr>
      <w:r>
        <w:rPr>
          <w:rFonts w:ascii="Arial" w:hAnsi="Arial" w:cs="Arial"/>
          <w:sz w:val="26"/>
          <w:szCs w:val="26"/>
        </w:rPr>
        <w:t xml:space="preserve">   </w:t>
      </w:r>
      <w:r w:rsidR="00A47A2B">
        <w:rPr>
          <w:rFonts w:ascii="Arial" w:hAnsi="Arial" w:cs="Arial"/>
          <w:sz w:val="26"/>
          <w:szCs w:val="26"/>
        </w:rPr>
        <w:t xml:space="preserve">  </w:t>
      </w:r>
      <w:r>
        <w:rPr>
          <w:rFonts w:ascii="Arial" w:hAnsi="Arial" w:cs="Arial"/>
          <w:sz w:val="26"/>
          <w:szCs w:val="26"/>
        </w:rPr>
        <w:t xml:space="preserve"> Aunado a todo lo anteriormente</w:t>
      </w:r>
      <w:r w:rsidR="00E12A9B" w:rsidRPr="00155E3D">
        <w:rPr>
          <w:rFonts w:ascii="Arial" w:hAnsi="Arial" w:cs="Arial"/>
          <w:sz w:val="26"/>
          <w:szCs w:val="26"/>
        </w:rPr>
        <w:t xml:space="preserve"> expuesto, y aunque el artículo 151 de la Ley de Procedimiento y Justicia Administrativa para el Estado de Oaxaca, establece que la personalidad de la autoridad dema</w:t>
      </w:r>
      <w:r w:rsidR="00BC3A3C">
        <w:rPr>
          <w:rFonts w:ascii="Arial" w:hAnsi="Arial" w:cs="Arial"/>
          <w:sz w:val="26"/>
          <w:szCs w:val="26"/>
        </w:rPr>
        <w:t>ndada se tendrá por acreditada,</w:t>
      </w:r>
      <w:r w:rsidR="00E12A9B" w:rsidRPr="00155E3D">
        <w:rPr>
          <w:rFonts w:ascii="Arial" w:hAnsi="Arial" w:cs="Arial"/>
          <w:sz w:val="26"/>
          <w:szCs w:val="26"/>
        </w:rPr>
        <w:t xml:space="preserve"> el Director Jurídico de la </w:t>
      </w:r>
      <w:r w:rsidR="00E12A9B" w:rsidRPr="00155E3D">
        <w:rPr>
          <w:rFonts w:ascii="Arial" w:hAnsi="Arial" w:cs="Arial"/>
          <w:color w:val="000000"/>
          <w:sz w:val="26"/>
          <w:szCs w:val="26"/>
        </w:rPr>
        <w:t xml:space="preserve">Secretaría de la Contraloría y Transparencia Gubernamental del Poder Ejecutivo del Estado de Oaxaca, acompañó a su oficio de contestación la copia certificada del documento relativo al nombramiento que le fue conferido </w:t>
      </w:r>
      <w:r w:rsidR="00E12A9B" w:rsidRPr="00155E3D">
        <w:rPr>
          <w:rFonts w:ascii="Arial" w:hAnsi="Arial" w:cs="Arial"/>
          <w:color w:val="000000"/>
          <w:sz w:val="26"/>
          <w:szCs w:val="26"/>
        </w:rPr>
        <w:lastRenderedPageBreak/>
        <w:t xml:space="preserve">con fecha </w:t>
      </w:r>
      <w:r w:rsidR="003A314C">
        <w:rPr>
          <w:rFonts w:ascii="Arial" w:hAnsi="Arial" w:cs="Arial"/>
          <w:sz w:val="26"/>
          <w:szCs w:val="26"/>
        </w:rPr>
        <w:t>uno de enero de dos mil diecinueve</w:t>
      </w:r>
      <w:r w:rsidR="00E12A9B" w:rsidRPr="00155E3D">
        <w:rPr>
          <w:rFonts w:ascii="Arial" w:hAnsi="Arial" w:cs="Arial"/>
          <w:sz w:val="26"/>
          <w:szCs w:val="26"/>
        </w:rPr>
        <w:t>, y de su toma de protesta de ley, con lo que acreditó su personería, y por tanto, se hace evidente la legalidad del acuerdo de</w:t>
      </w:r>
      <w:r w:rsidR="003A314C">
        <w:rPr>
          <w:rFonts w:ascii="Arial" w:hAnsi="Arial" w:cs="Arial"/>
          <w:sz w:val="26"/>
          <w:szCs w:val="26"/>
        </w:rPr>
        <w:t xml:space="preserve"> fecha nueve de agosto de dos mil diecinueve, en el que la Segunda Sala Unitaria de Primera Instancia de este Tribunal tuvo</w:t>
      </w:r>
      <w:r w:rsidR="00E12A9B" w:rsidRPr="00155E3D">
        <w:rPr>
          <w:rFonts w:ascii="Arial" w:hAnsi="Arial" w:cs="Arial"/>
          <w:sz w:val="26"/>
          <w:szCs w:val="26"/>
        </w:rPr>
        <w:t xml:space="preserve"> por contes</w:t>
      </w:r>
      <w:r w:rsidR="003A314C">
        <w:rPr>
          <w:rFonts w:ascii="Arial" w:hAnsi="Arial" w:cs="Arial"/>
          <w:sz w:val="26"/>
          <w:szCs w:val="26"/>
        </w:rPr>
        <w:t>tada la demanda a la autoridad demandada, a través del Director Jurídico</w:t>
      </w:r>
      <w:r w:rsidR="00E12A9B" w:rsidRPr="00155E3D">
        <w:rPr>
          <w:rFonts w:ascii="Arial" w:hAnsi="Arial" w:cs="Arial"/>
          <w:color w:val="000000"/>
          <w:sz w:val="26"/>
          <w:szCs w:val="26"/>
        </w:rPr>
        <w:t xml:space="preserve"> de la Secretaría de la Contraloría y Transparencia Gubernamental del Poder </w:t>
      </w:r>
      <w:r w:rsidR="003A314C">
        <w:rPr>
          <w:rFonts w:ascii="Arial" w:hAnsi="Arial" w:cs="Arial"/>
          <w:color w:val="000000"/>
          <w:sz w:val="26"/>
          <w:szCs w:val="26"/>
        </w:rPr>
        <w:t>Ejecutivo del Estado de Oaxaca.</w:t>
      </w:r>
    </w:p>
    <w:p w14:paraId="6D6B8EE9" w14:textId="1E087E8F" w:rsidR="00B525A6" w:rsidRDefault="003A314C" w:rsidP="003A314C">
      <w:pPr>
        <w:widowControl w:val="0"/>
        <w:tabs>
          <w:tab w:val="left" w:pos="0"/>
        </w:tabs>
        <w:spacing w:before="240" w:after="0" w:line="360" w:lineRule="auto"/>
        <w:ind w:right="49"/>
        <w:jc w:val="both"/>
        <w:rPr>
          <w:rFonts w:ascii="Arial" w:hAnsi="Arial" w:cs="Arial"/>
          <w:sz w:val="26"/>
          <w:szCs w:val="26"/>
        </w:rPr>
      </w:pPr>
      <w:r>
        <w:rPr>
          <w:rFonts w:ascii="Arial" w:eastAsia="Calibri" w:hAnsi="Arial" w:cs="Arial"/>
          <w:bCs/>
          <w:sz w:val="26"/>
          <w:szCs w:val="26"/>
        </w:rPr>
        <w:t xml:space="preserve">    </w:t>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Pr>
          <w:rFonts w:ascii="Arial" w:eastAsia="Calibri" w:hAnsi="Arial" w:cs="Arial"/>
          <w:b/>
          <w:bCs/>
          <w:sz w:val="26"/>
          <w:szCs w:val="26"/>
        </w:rPr>
        <w:t>fundado</w:t>
      </w:r>
      <w:r w:rsidR="002C0BE0">
        <w:rPr>
          <w:rFonts w:ascii="Arial" w:eastAsia="Calibri" w:hAnsi="Arial" w:cs="Arial"/>
          <w:b/>
          <w:bCs/>
          <w:sz w:val="26"/>
          <w:szCs w:val="26"/>
        </w:rPr>
        <w:t xml:space="preserve"> </w:t>
      </w:r>
      <w:r w:rsidR="00312EEA">
        <w:rPr>
          <w:rFonts w:ascii="Arial" w:eastAsia="Calibri" w:hAnsi="Arial" w:cs="Arial"/>
          <w:bCs/>
          <w:sz w:val="26"/>
          <w:szCs w:val="26"/>
        </w:rPr>
        <w:t>de</w:t>
      </w:r>
      <w:r>
        <w:rPr>
          <w:rFonts w:ascii="Arial" w:eastAsia="Calibri" w:hAnsi="Arial" w:cs="Arial"/>
          <w:bCs/>
          <w:sz w:val="26"/>
          <w:szCs w:val="26"/>
        </w:rPr>
        <w:t>l agravio expuesto</w:t>
      </w:r>
      <w:r w:rsidR="00312EEA">
        <w:rPr>
          <w:rFonts w:ascii="Arial" w:eastAsia="Calibri" w:hAnsi="Arial" w:cs="Arial"/>
          <w:bCs/>
          <w:sz w:val="26"/>
          <w:szCs w:val="26"/>
        </w:rPr>
        <w:t xml:space="preserve"> por el recurrente</w:t>
      </w:r>
      <w:r w:rsidR="00B525A6">
        <w:rPr>
          <w:rFonts w:ascii="Arial" w:eastAsia="Calibri" w:hAnsi="Arial" w:cs="Arial"/>
          <w:bCs/>
          <w:sz w:val="26"/>
          <w:szCs w:val="26"/>
        </w:rPr>
        <w:t xml:space="preserve">, lo procedente es </w:t>
      </w:r>
      <w:r w:rsidR="00B525A6">
        <w:rPr>
          <w:rFonts w:ascii="Arial" w:eastAsia="Calibri" w:hAnsi="Arial" w:cs="Arial"/>
          <w:b/>
          <w:bCs/>
          <w:sz w:val="26"/>
          <w:szCs w:val="26"/>
        </w:rPr>
        <w:t xml:space="preserve">CONFIRMAR </w:t>
      </w:r>
      <w:r>
        <w:rPr>
          <w:rFonts w:ascii="Arial" w:eastAsia="Calibri" w:hAnsi="Arial" w:cs="Arial"/>
          <w:bCs/>
          <w:sz w:val="26"/>
          <w:szCs w:val="26"/>
        </w:rPr>
        <w:t>el acuerdo alzado</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700625A9"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3A314C">
        <w:rPr>
          <w:rFonts w:ascii="Arial" w:hAnsi="Arial" w:cs="Arial"/>
          <w:color w:val="000000"/>
          <w:sz w:val="26"/>
          <w:szCs w:val="26"/>
          <w:lang w:val="es-MX"/>
        </w:rPr>
        <w:t>el acuerdo</w:t>
      </w:r>
      <w:r>
        <w:rPr>
          <w:rFonts w:ascii="Arial" w:hAnsi="Arial" w:cs="Arial"/>
          <w:sz w:val="26"/>
          <w:szCs w:val="26"/>
          <w:lang w:val="es-MX"/>
        </w:rPr>
        <w:t xml:space="preserve"> </w:t>
      </w:r>
      <w:r w:rsidR="003A314C">
        <w:rPr>
          <w:rFonts w:ascii="Arial" w:hAnsi="Arial" w:cs="Arial"/>
          <w:color w:val="000000"/>
          <w:sz w:val="26"/>
          <w:szCs w:val="26"/>
          <w:lang w:val="es-MX"/>
        </w:rPr>
        <w:t>recurrido de fecha nueve de agosto</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 xml:space="preserve">antecede. </w:t>
      </w:r>
    </w:p>
    <w:p w14:paraId="43AF98EF" w14:textId="3F698BA4"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3A314C">
        <w:rPr>
          <w:rFonts w:ascii="Arial" w:hAnsi="Arial" w:cs="Arial"/>
          <w:sz w:val="26"/>
          <w:szCs w:val="26"/>
        </w:rPr>
        <w:t>Segunda</w:t>
      </w:r>
      <w:r w:rsidR="00B65FA9">
        <w:rPr>
          <w:rFonts w:ascii="Arial" w:hAnsi="Arial" w:cs="Arial"/>
          <w:sz w:val="26"/>
          <w:szCs w:val="26"/>
        </w:rPr>
        <w:t xml:space="preserve">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 xml:space="preserve">concluido. </w:t>
      </w:r>
      <w:r w:rsidR="00B235F3">
        <w:rPr>
          <w:rFonts w:ascii="Arial" w:hAnsi="Arial" w:cs="Arial"/>
          <w:sz w:val="26"/>
          <w:szCs w:val="26"/>
        </w:rPr>
        <w:t xml:space="preserve"> </w:t>
      </w:r>
    </w:p>
    <w:p w14:paraId="324347FC" w14:textId="11BD608B" w:rsidR="004F36F5" w:rsidRDefault="004F36F5" w:rsidP="004F36F5">
      <w:pPr>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Manuel Velasco Alcántara, Abraham Santiago Soriano integrantes de la Sala Superior, con el Magistrado Enrique Pacheco Martínez, en atención a la excusa aprobada del Magistrado Raúl Palomares Palomino, para conocer, discutir y resolver en la presente resolución; quienes actúan con el Licenciado Juan Edy García Coronado, Secretario General de Acuerdos de este Tribunal, que autoriza y da fe.</w:t>
      </w:r>
    </w:p>
    <w:p w14:paraId="5F8AE67F" w14:textId="292D6AAC" w:rsidR="004F36F5" w:rsidRDefault="004F36F5" w:rsidP="004F36F5">
      <w:pPr>
        <w:spacing w:line="360" w:lineRule="auto"/>
        <w:rPr>
          <w:rFonts w:ascii="Arial" w:hAnsi="Arial" w:cs="Arial"/>
          <w:sz w:val="26"/>
          <w:szCs w:val="26"/>
        </w:rPr>
      </w:pPr>
    </w:p>
    <w:p w14:paraId="4E620879" w14:textId="77777777" w:rsidR="004F36F5" w:rsidRDefault="004F36F5" w:rsidP="004F36F5">
      <w:pPr>
        <w:spacing w:line="360" w:lineRule="auto"/>
        <w:rPr>
          <w:rFonts w:ascii="Arial" w:hAnsi="Arial" w:cs="Arial"/>
          <w:sz w:val="26"/>
          <w:szCs w:val="26"/>
        </w:rPr>
      </w:pPr>
    </w:p>
    <w:p w14:paraId="6EB971B2" w14:textId="77777777" w:rsidR="004F36F5" w:rsidRDefault="004F36F5" w:rsidP="004F36F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5B4BB884" w14:textId="77777777" w:rsidR="004F36F5" w:rsidRDefault="004F36F5" w:rsidP="004F36F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02F28DBA" w14:textId="77777777" w:rsidR="004F36F5" w:rsidRDefault="004F36F5" w:rsidP="004F36F5">
      <w:pPr>
        <w:tabs>
          <w:tab w:val="center" w:pos="4135"/>
          <w:tab w:val="left" w:pos="7515"/>
        </w:tabs>
        <w:spacing w:line="360" w:lineRule="auto"/>
        <w:jc w:val="center"/>
        <w:rPr>
          <w:rFonts w:ascii="Arial" w:hAnsi="Arial" w:cs="Arial"/>
          <w:b/>
          <w:bCs/>
          <w:sz w:val="14"/>
          <w:szCs w:val="14"/>
        </w:rPr>
      </w:pPr>
    </w:p>
    <w:p w14:paraId="14C0132F" w14:textId="77777777" w:rsidR="004F36F5" w:rsidRDefault="004F36F5" w:rsidP="004F36F5">
      <w:pPr>
        <w:tabs>
          <w:tab w:val="center" w:pos="4135"/>
          <w:tab w:val="left" w:pos="7515"/>
        </w:tabs>
        <w:spacing w:line="360" w:lineRule="auto"/>
        <w:jc w:val="center"/>
        <w:rPr>
          <w:rFonts w:ascii="Arial" w:hAnsi="Arial" w:cs="Arial"/>
          <w:sz w:val="26"/>
          <w:szCs w:val="26"/>
        </w:rPr>
      </w:pPr>
    </w:p>
    <w:p w14:paraId="27ACA181" w14:textId="77777777" w:rsidR="004F36F5" w:rsidRDefault="004F36F5" w:rsidP="004F36F5">
      <w:pPr>
        <w:tabs>
          <w:tab w:val="center" w:pos="4135"/>
          <w:tab w:val="left" w:pos="7515"/>
        </w:tabs>
        <w:spacing w:line="360" w:lineRule="auto"/>
        <w:jc w:val="center"/>
        <w:rPr>
          <w:rFonts w:ascii="Arial" w:hAnsi="Arial" w:cs="Arial"/>
          <w:sz w:val="26"/>
          <w:szCs w:val="26"/>
        </w:rPr>
      </w:pPr>
    </w:p>
    <w:p w14:paraId="24BCAAE1" w14:textId="7D5F6C0E" w:rsidR="004F36F5" w:rsidRDefault="004F36F5" w:rsidP="004F36F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0C1543D" w14:textId="77777777" w:rsidR="004F36F5" w:rsidRDefault="004F36F5" w:rsidP="004F36F5">
      <w:pPr>
        <w:tabs>
          <w:tab w:val="center" w:pos="4135"/>
          <w:tab w:val="left" w:pos="7515"/>
        </w:tabs>
        <w:spacing w:line="360" w:lineRule="auto"/>
        <w:jc w:val="center"/>
        <w:rPr>
          <w:rFonts w:ascii="Arial" w:hAnsi="Arial" w:cs="Arial"/>
          <w:sz w:val="26"/>
          <w:szCs w:val="26"/>
        </w:rPr>
      </w:pPr>
    </w:p>
    <w:p w14:paraId="74F44B7B" w14:textId="1908B048" w:rsidR="004F36F5" w:rsidRPr="004F36F5" w:rsidRDefault="004F36F5" w:rsidP="004F36F5">
      <w:pPr>
        <w:tabs>
          <w:tab w:val="center" w:pos="4135"/>
          <w:tab w:val="left" w:pos="7515"/>
        </w:tabs>
        <w:spacing w:line="360" w:lineRule="auto"/>
        <w:jc w:val="center"/>
        <w:rPr>
          <w:rFonts w:ascii="Arial" w:hAnsi="Arial" w:cs="Arial"/>
          <w:b/>
          <w:bCs/>
          <w:sz w:val="14"/>
          <w:szCs w:val="14"/>
        </w:rPr>
      </w:pPr>
      <w:r w:rsidRPr="004F36F5">
        <w:rPr>
          <w:rFonts w:ascii="Arial" w:hAnsi="Arial" w:cs="Arial"/>
          <w:b/>
          <w:bCs/>
          <w:sz w:val="14"/>
          <w:szCs w:val="14"/>
        </w:rPr>
        <w:t>LAS PRESENTES FIRMAS CORRESPONDEN AL RECURSO DE REVISIÓN 307/2019</w:t>
      </w:r>
    </w:p>
    <w:p w14:paraId="5B00B467" w14:textId="77777777" w:rsidR="004F36F5" w:rsidRDefault="004F36F5" w:rsidP="004F36F5">
      <w:pPr>
        <w:tabs>
          <w:tab w:val="center" w:pos="4135"/>
          <w:tab w:val="left" w:pos="7515"/>
        </w:tabs>
        <w:spacing w:line="360" w:lineRule="auto"/>
        <w:jc w:val="center"/>
        <w:rPr>
          <w:rFonts w:ascii="Arial" w:hAnsi="Arial" w:cs="Arial"/>
          <w:sz w:val="26"/>
          <w:szCs w:val="26"/>
        </w:rPr>
      </w:pPr>
    </w:p>
    <w:p w14:paraId="4515C409" w14:textId="23C98B71" w:rsidR="004F36F5" w:rsidRDefault="004F36F5" w:rsidP="004F36F5">
      <w:pPr>
        <w:tabs>
          <w:tab w:val="center" w:pos="4135"/>
          <w:tab w:val="left" w:pos="7515"/>
        </w:tabs>
        <w:spacing w:line="360" w:lineRule="auto"/>
        <w:jc w:val="center"/>
        <w:rPr>
          <w:rFonts w:ascii="Arial" w:hAnsi="Arial" w:cs="Arial"/>
          <w:sz w:val="26"/>
          <w:szCs w:val="26"/>
        </w:rPr>
      </w:pPr>
    </w:p>
    <w:p w14:paraId="05F73B61" w14:textId="78ADBD18" w:rsidR="004F36F5" w:rsidRDefault="004F36F5" w:rsidP="004F36F5">
      <w:pPr>
        <w:tabs>
          <w:tab w:val="center" w:pos="4135"/>
          <w:tab w:val="left" w:pos="7515"/>
        </w:tabs>
        <w:spacing w:line="360" w:lineRule="auto"/>
        <w:jc w:val="center"/>
        <w:rPr>
          <w:rFonts w:ascii="Arial" w:hAnsi="Arial" w:cs="Arial"/>
          <w:sz w:val="26"/>
          <w:szCs w:val="26"/>
        </w:rPr>
      </w:pPr>
    </w:p>
    <w:p w14:paraId="3C3C3F26" w14:textId="77777777" w:rsidR="004F36F5" w:rsidRDefault="004F36F5" w:rsidP="004F36F5">
      <w:pPr>
        <w:tabs>
          <w:tab w:val="center" w:pos="4135"/>
          <w:tab w:val="left" w:pos="7515"/>
        </w:tabs>
        <w:spacing w:line="360" w:lineRule="auto"/>
        <w:jc w:val="center"/>
        <w:rPr>
          <w:rFonts w:ascii="Arial" w:hAnsi="Arial" w:cs="Arial"/>
          <w:sz w:val="26"/>
          <w:szCs w:val="26"/>
        </w:rPr>
      </w:pPr>
    </w:p>
    <w:p w14:paraId="6F0E6755" w14:textId="77777777" w:rsidR="004F36F5" w:rsidRDefault="004F36F5" w:rsidP="004F36F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169F0E75" w14:textId="77777777" w:rsidR="004F36F5" w:rsidRDefault="004F36F5" w:rsidP="004F36F5">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6EFA6B9A" w14:textId="77777777" w:rsidR="004F36F5" w:rsidRDefault="004F36F5" w:rsidP="004F36F5">
      <w:pPr>
        <w:tabs>
          <w:tab w:val="center" w:pos="4135"/>
          <w:tab w:val="left" w:pos="7515"/>
        </w:tabs>
        <w:spacing w:line="360" w:lineRule="auto"/>
        <w:rPr>
          <w:rFonts w:ascii="Arial" w:hAnsi="Arial" w:cs="Arial"/>
          <w:sz w:val="26"/>
          <w:szCs w:val="26"/>
        </w:rPr>
      </w:pPr>
    </w:p>
    <w:p w14:paraId="17FEEFA1" w14:textId="77777777" w:rsidR="004F36F5" w:rsidRDefault="004F36F5" w:rsidP="004F36F5">
      <w:pPr>
        <w:tabs>
          <w:tab w:val="center" w:pos="4135"/>
          <w:tab w:val="left" w:pos="7515"/>
        </w:tabs>
        <w:spacing w:line="360" w:lineRule="auto"/>
        <w:rPr>
          <w:rFonts w:ascii="Arial" w:hAnsi="Arial" w:cs="Arial"/>
          <w:sz w:val="26"/>
          <w:szCs w:val="26"/>
        </w:rPr>
      </w:pPr>
    </w:p>
    <w:p w14:paraId="2A3BB08E" w14:textId="6E4F7157" w:rsidR="004F36F5" w:rsidRDefault="004F36F5" w:rsidP="004F36F5">
      <w:pPr>
        <w:tabs>
          <w:tab w:val="center" w:pos="4135"/>
          <w:tab w:val="left" w:pos="7515"/>
        </w:tabs>
        <w:spacing w:line="360" w:lineRule="auto"/>
        <w:rPr>
          <w:rFonts w:ascii="Arial" w:hAnsi="Arial" w:cs="Arial"/>
          <w:sz w:val="26"/>
          <w:szCs w:val="26"/>
        </w:rPr>
      </w:pPr>
    </w:p>
    <w:p w14:paraId="78BBFCF4" w14:textId="77777777" w:rsidR="004F36F5" w:rsidRDefault="004F36F5" w:rsidP="004F36F5">
      <w:pPr>
        <w:tabs>
          <w:tab w:val="center" w:pos="4135"/>
          <w:tab w:val="left" w:pos="7515"/>
        </w:tabs>
        <w:spacing w:line="360" w:lineRule="auto"/>
        <w:rPr>
          <w:rFonts w:ascii="Arial" w:hAnsi="Arial" w:cs="Arial"/>
          <w:sz w:val="26"/>
          <w:szCs w:val="26"/>
        </w:rPr>
      </w:pPr>
    </w:p>
    <w:p w14:paraId="4EF112D9" w14:textId="77777777" w:rsidR="004F36F5" w:rsidRDefault="004F36F5" w:rsidP="004F36F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116CF1D1" w14:textId="77777777" w:rsidR="004F36F5" w:rsidRPr="00C167EF" w:rsidRDefault="004F36F5" w:rsidP="004F36F5">
      <w:pPr>
        <w:spacing w:after="0"/>
        <w:jc w:val="center"/>
        <w:rPr>
          <w:rFonts w:ascii="Calibri" w:hAnsi="Calibri" w:cs="Times New Roman"/>
          <w:sz w:val="26"/>
          <w:szCs w:val="26"/>
        </w:rPr>
      </w:pPr>
      <w:r>
        <w:rPr>
          <w:rFonts w:ascii="Arial" w:hAnsi="Arial" w:cs="Arial"/>
          <w:sz w:val="26"/>
          <w:szCs w:val="26"/>
        </w:rPr>
        <w:t>SECRETARIO GENERAL DE ACUERDOS</w:t>
      </w:r>
    </w:p>
    <w:p w14:paraId="5C9B1390" w14:textId="3135210E" w:rsidR="002E1762" w:rsidRDefault="002E1762" w:rsidP="004F36F5">
      <w:pPr>
        <w:spacing w:before="240" w:line="360" w:lineRule="auto"/>
        <w:ind w:firstLine="708"/>
        <w:jc w:val="both"/>
        <w:rPr>
          <w:sz w:val="26"/>
          <w:szCs w:val="26"/>
        </w:rPr>
      </w:pPr>
    </w:p>
    <w:sectPr w:rsidR="002E1762" w:rsidSect="001D7FCD">
      <w:headerReference w:type="even" r:id="rId8"/>
      <w:headerReference w:type="default" r:id="rId9"/>
      <w:footerReference w:type="default" r:id="rId10"/>
      <w:headerReference w:type="firs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2847A" w14:textId="77777777" w:rsidR="00DF0694" w:rsidRDefault="00DF0694">
      <w:pPr>
        <w:spacing w:after="0" w:line="240" w:lineRule="auto"/>
      </w:pPr>
      <w:r>
        <w:separator/>
      </w:r>
    </w:p>
  </w:endnote>
  <w:endnote w:type="continuationSeparator" w:id="0">
    <w:p w14:paraId="48A3CB42" w14:textId="77777777" w:rsidR="00DF0694" w:rsidRDefault="00DF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ABBF5" w14:textId="2EDDE271" w:rsidR="004F36F5" w:rsidRDefault="006E7FBD">
    <w:pPr>
      <w:pStyle w:val="Piedepgina"/>
    </w:pPr>
    <w:r>
      <w:rPr>
        <w:noProof/>
      </w:rPr>
      <mc:AlternateContent>
        <mc:Choice Requires="wps">
          <w:drawing>
            <wp:anchor distT="45720" distB="45720" distL="114300" distR="114300" simplePos="0" relativeHeight="251664384" behindDoc="0" locked="0" layoutInCell="1" allowOverlap="1" wp14:anchorId="16BDB32D" wp14:editId="06ADD012">
              <wp:simplePos x="0" y="0"/>
              <wp:positionH relativeFrom="column">
                <wp:posOffset>-1473200</wp:posOffset>
              </wp:positionH>
              <wp:positionV relativeFrom="paragraph">
                <wp:posOffset>-5343525</wp:posOffset>
              </wp:positionV>
              <wp:extent cx="1132205" cy="770890"/>
              <wp:effectExtent l="0" t="0" r="10795"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770890"/>
                      </a:xfrm>
                      <a:prstGeom prst="rect">
                        <a:avLst/>
                      </a:prstGeom>
                      <a:solidFill>
                        <a:srgbClr val="FFFFFF"/>
                      </a:solidFill>
                      <a:ln w="9525">
                        <a:solidFill>
                          <a:srgbClr val="000000"/>
                        </a:solidFill>
                        <a:miter lim="800000"/>
                        <a:headEnd/>
                        <a:tailEnd/>
                      </a:ln>
                    </wps:spPr>
                    <wps:txbx>
                      <w:txbxContent>
                        <w:p w14:paraId="0BA67E3E" w14:textId="5FDBBB36" w:rsidR="006E7FBD" w:rsidRPr="006E7FBD" w:rsidRDefault="006E7FBD" w:rsidP="006E7FBD">
                          <w:pPr>
                            <w:jc w:val="both"/>
                            <w:rPr>
                              <w:sz w:val="16"/>
                              <w:szCs w:val="16"/>
                            </w:rPr>
                          </w:pPr>
                          <w:r w:rsidRPr="006E7FBD">
                            <w:rPr>
                              <w:sz w:val="16"/>
                              <w:szCs w:val="16"/>
                            </w:rPr>
                            <w:t>Los datos personales están protegidos por el art.116 de la LGTAIP y el art.56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BDB32D" id="_x0000_t202" coordsize="21600,21600" o:spt="202" path="m,l,21600r21600,l21600,xe">
              <v:stroke joinstyle="miter"/>
              <v:path gradientshapeok="t" o:connecttype="rect"/>
            </v:shapetype>
            <v:shape id="Cuadro de texto 2" o:spid="_x0000_s1026" type="#_x0000_t202" style="position:absolute;margin-left:-116pt;margin-top:-420.75pt;width:89.15pt;height:60.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">
              <v:textbox>
                <w:txbxContent>
                  <w:p w14:paraId="0BA67E3E" w14:textId="5FDBBB36" w:rsidR="006E7FBD" w:rsidRPr="006E7FBD" w:rsidRDefault="006E7FBD" w:rsidP="006E7FBD">
                    <w:pPr>
                      <w:jc w:val="both"/>
                      <w:rPr>
                        <w:sz w:val="16"/>
                        <w:szCs w:val="16"/>
                      </w:rPr>
                    </w:pPr>
                    <w:r w:rsidRPr="006E7FBD">
                      <w:rPr>
                        <w:sz w:val="16"/>
                        <w:szCs w:val="16"/>
                      </w:rPr>
                      <w:t>Los datos personales están protegidos por el art.116 de la LGTAIP y el art.56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107AC" w14:textId="77777777" w:rsidR="00DF0694" w:rsidRDefault="00DF0694">
      <w:pPr>
        <w:spacing w:after="0" w:line="240" w:lineRule="auto"/>
      </w:pPr>
      <w:r>
        <w:separator/>
      </w:r>
    </w:p>
  </w:footnote>
  <w:footnote w:type="continuationSeparator" w:id="0">
    <w:p w14:paraId="4C877A2C" w14:textId="77777777" w:rsidR="00DF0694" w:rsidRDefault="00DF0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7624E497" w:rsidR="00534AC4" w:rsidRDefault="00DF0694" w:rsidP="00D25099">
        <w:pPr>
          <w:pStyle w:val="Encabezado"/>
          <w:jc w:val="center"/>
        </w:pPr>
        <w:r>
          <w:rPr>
            <w:noProof/>
          </w:rPr>
          <w:pict w14:anchorId="006269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139282"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sidR="006E7FBD">
          <w:rPr>
            <w:noProof/>
          </w:rPr>
          <w:t>2</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05FFE" w14:textId="2EB68E1A" w:rsidR="006E7FBD" w:rsidRDefault="006E7FBD" w:rsidP="00206B99">
    <w:pPr>
      <w:pStyle w:val="Encabezado"/>
      <w:jc w:val="center"/>
    </w:pPr>
  </w:p>
  <w:sdt>
    <w:sdtPr>
      <w:id w:val="-1748483066"/>
      <w:docPartObj>
        <w:docPartGallery w:val="Page Numbers (Top of Page)"/>
        <w:docPartUnique/>
      </w:docPartObj>
    </w:sdtPr>
    <w:sdtEndPr/>
    <w:sdtContent>
      <w:p w14:paraId="297359AB" w14:textId="291748D3" w:rsidR="00534AC4" w:rsidRDefault="00DF0694" w:rsidP="00206B99">
        <w:pPr>
          <w:pStyle w:val="Encabezado"/>
          <w:jc w:val="center"/>
          <w:rPr>
            <w:noProof/>
          </w:rPr>
        </w:pPr>
        <w:r>
          <w:rPr>
            <w:noProof/>
          </w:rPr>
          <w:pict w14:anchorId="352340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139283"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 xml:space="preserve"> PAGE   \* MERGEFORMAT </w:instrText>
        </w:r>
        <w:r w:rsidR="00C158D5">
          <w:fldChar w:fldCharType="separate"/>
        </w:r>
        <w:r w:rsidR="006E7FBD">
          <w:rPr>
            <w:noProof/>
          </w:rPr>
          <w:t>3</w:t>
        </w:r>
        <w:r w:rsidR="00C158D5">
          <w:rPr>
            <w:noProof/>
          </w:rPr>
          <w:fldChar w:fldCharType="end"/>
        </w:r>
      </w:p>
      <w:p w14:paraId="4943CA9D" w14:textId="5DA479E4" w:rsidR="00534AC4" w:rsidRDefault="00DF0694" w:rsidP="008C74CA">
        <w:pPr>
          <w:pStyle w:val="Encabezado"/>
          <w:jc w:val="center"/>
        </w:pPr>
      </w:p>
    </w:sdtContent>
  </w:sdt>
  <w:p w14:paraId="48C0CC8A" w14:textId="0AB21A99" w:rsidR="00534AC4" w:rsidRDefault="00534AC4" w:rsidP="00256B01">
    <w:pPr>
      <w:pStyle w:val="Encabezado"/>
      <w:jc w:val="center"/>
    </w:pPr>
  </w:p>
  <w:p w14:paraId="2773AC5E" w14:textId="7B455BC1" w:rsidR="00534AC4" w:rsidRDefault="004F36F5" w:rsidP="00256B01">
    <w:pPr>
      <w:pStyle w:val="Encabezado"/>
      <w:jc w:val="center"/>
    </w:pPr>
    <w:r w:rsidRPr="007112DA">
      <w:rPr>
        <w:noProof/>
        <w:sz w:val="22"/>
        <w:szCs w:val="22"/>
        <w:lang w:val="es-MX" w:eastAsia="es-MX"/>
      </w:rPr>
      <mc:AlternateContent>
        <mc:Choice Requires="wpg">
          <w:drawing>
            <wp:anchor distT="0" distB="0" distL="114300" distR="114300" simplePos="0" relativeHeight="251659264" behindDoc="0" locked="0" layoutInCell="1" allowOverlap="1" wp14:anchorId="0596744D" wp14:editId="1470D26A">
              <wp:simplePos x="0" y="0"/>
              <wp:positionH relativeFrom="margin">
                <wp:posOffset>-1409700</wp:posOffset>
              </wp:positionH>
              <wp:positionV relativeFrom="page">
                <wp:posOffset>5718810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482F1CF" id="Grupo 3" o:spid="_x0000_s1026" style="position:absolute;margin-left:-111pt;margin-top:450.3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C7AA4" w14:textId="10B1BE5B" w:rsidR="004F36F5" w:rsidRDefault="00DF0694">
    <w:pPr>
      <w:pStyle w:val="Encabezado"/>
    </w:pPr>
    <w:r>
      <w:rPr>
        <w:noProof/>
      </w:rPr>
      <w:pict w14:anchorId="0DE06F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4139281"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4546"/>
    <w:rsid w:val="0009618C"/>
    <w:rsid w:val="000961D2"/>
    <w:rsid w:val="000A1494"/>
    <w:rsid w:val="000A4E40"/>
    <w:rsid w:val="000A55D7"/>
    <w:rsid w:val="000A6360"/>
    <w:rsid w:val="000A6EC7"/>
    <w:rsid w:val="000A7BA9"/>
    <w:rsid w:val="000B0E70"/>
    <w:rsid w:val="000B1A06"/>
    <w:rsid w:val="000B36E3"/>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329B"/>
    <w:rsid w:val="000E504E"/>
    <w:rsid w:val="000E7864"/>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E3D"/>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43EB"/>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508"/>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083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3AC5"/>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14C"/>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36F5"/>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E7FBD"/>
    <w:rsid w:val="006F0897"/>
    <w:rsid w:val="006F0D29"/>
    <w:rsid w:val="006F2412"/>
    <w:rsid w:val="006F3363"/>
    <w:rsid w:val="006F44EF"/>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587"/>
    <w:rsid w:val="00712EE0"/>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57674"/>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43D6"/>
    <w:rsid w:val="00815878"/>
    <w:rsid w:val="0082010D"/>
    <w:rsid w:val="00820FA7"/>
    <w:rsid w:val="00821C04"/>
    <w:rsid w:val="00822141"/>
    <w:rsid w:val="00827DA8"/>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77457"/>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47A2B"/>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072"/>
    <w:rsid w:val="00A93F22"/>
    <w:rsid w:val="00A94D13"/>
    <w:rsid w:val="00A94E2C"/>
    <w:rsid w:val="00A97466"/>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456"/>
    <w:rsid w:val="00B10FF6"/>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3A3C"/>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353C"/>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694"/>
    <w:rsid w:val="00DF09B8"/>
    <w:rsid w:val="00DF15EE"/>
    <w:rsid w:val="00DF20A8"/>
    <w:rsid w:val="00DF2313"/>
    <w:rsid w:val="00DF53EA"/>
    <w:rsid w:val="00E006B6"/>
    <w:rsid w:val="00E013E9"/>
    <w:rsid w:val="00E02840"/>
    <w:rsid w:val="00E02932"/>
    <w:rsid w:val="00E1020C"/>
    <w:rsid w:val="00E1033E"/>
    <w:rsid w:val="00E10F14"/>
    <w:rsid w:val="00E11F28"/>
    <w:rsid w:val="00E12A9B"/>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67505"/>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 w:val="00FF70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unhideWhenUsed/>
    <w:rsid w:val="00E12A9B"/>
    <w:pPr>
      <w:spacing w:after="120"/>
    </w:pPr>
  </w:style>
  <w:style w:type="character" w:customStyle="1" w:styleId="TextoindependienteCar">
    <w:name w:val="Texto independiente Car"/>
    <w:basedOn w:val="Fuentedeprrafopredeter"/>
    <w:link w:val="Textoindependiente"/>
    <w:uiPriority w:val="99"/>
    <w:rsid w:val="00E12A9B"/>
    <w:rPr>
      <w:lang w:val="es-ES"/>
    </w:rPr>
  </w:style>
  <w:style w:type="paragraph" w:customStyle="1" w:styleId="Normal0">
    <w:name w:val="[Normal]"/>
    <w:link w:val="NormalCar"/>
    <w:rsid w:val="00E12A9B"/>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Texto">
    <w:name w:val="Texto"/>
    <w:basedOn w:val="Normal"/>
    <w:link w:val="TextoCar"/>
    <w:rsid w:val="00E12A9B"/>
    <w:pPr>
      <w:spacing w:after="101" w:line="216" w:lineRule="exact"/>
      <w:ind w:firstLine="288"/>
      <w:jc w:val="both"/>
    </w:pPr>
    <w:rPr>
      <w:rFonts w:ascii="Arial" w:eastAsia="Times New Roman" w:hAnsi="Arial" w:cs="Times New Roman"/>
      <w:sz w:val="18"/>
      <w:szCs w:val="20"/>
      <w:lang w:eastAsia="es-ES"/>
    </w:rPr>
  </w:style>
  <w:style w:type="character" w:customStyle="1" w:styleId="TextoCar">
    <w:name w:val="Texto Car"/>
    <w:basedOn w:val="Fuentedeprrafopredeter"/>
    <w:link w:val="Texto"/>
    <w:rsid w:val="00E12A9B"/>
    <w:rPr>
      <w:rFonts w:ascii="Arial" w:eastAsia="Times New Roman" w:hAnsi="Arial" w:cs="Times New Roman"/>
      <w:sz w:val="18"/>
      <w:szCs w:val="20"/>
      <w:lang w:val="es-ES" w:eastAsia="es-ES"/>
    </w:rPr>
  </w:style>
  <w:style w:type="character" w:customStyle="1" w:styleId="NormalCar">
    <w:name w:val="[Normal] Car"/>
    <w:basedOn w:val="Fuentedeprrafopredeter"/>
    <w:link w:val="Normal0"/>
    <w:rsid w:val="00E12A9B"/>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DB447-3610-4C0E-9B9D-24895E866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3356</Words>
  <Characters>18462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12</cp:revision>
  <cp:lastPrinted>2018-11-28T17:50:00Z</cp:lastPrinted>
  <dcterms:created xsi:type="dcterms:W3CDTF">2020-05-16T08:12:00Z</dcterms:created>
  <dcterms:modified xsi:type="dcterms:W3CDTF">2021-01-21T18:50:00Z</dcterms:modified>
</cp:coreProperties>
</file>