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F376FE">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F376FE">
        <w:rPr>
          <w:rFonts w:cs="Arial"/>
          <w:b/>
          <w:i/>
          <w:sz w:val="22"/>
          <w:szCs w:val="22"/>
        </w:rPr>
        <w:t>31</w:t>
      </w:r>
      <w:r w:rsidR="00D0772C" w:rsidRPr="00930A36">
        <w:rPr>
          <w:rFonts w:cs="Arial"/>
          <w:b/>
          <w:i/>
          <w:sz w:val="22"/>
          <w:szCs w:val="22"/>
        </w:rPr>
        <w:t>/201</w:t>
      </w:r>
      <w:r w:rsidR="00F376FE">
        <w:rPr>
          <w:rFonts w:cs="Arial"/>
          <w:b/>
          <w:i/>
          <w:sz w:val="22"/>
          <w:szCs w:val="22"/>
        </w:rPr>
        <w:t>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F376FE">
        <w:rPr>
          <w:rFonts w:cs="Arial"/>
          <w:b/>
          <w:i/>
          <w:sz w:val="22"/>
          <w:szCs w:val="22"/>
        </w:rPr>
        <w:t xml:space="preserve"> </w:t>
      </w:r>
      <w:r w:rsidR="00BE448E">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930A36" w:rsidRDefault="004A41DB" w:rsidP="004C31C9">
      <w:pPr>
        <w:pStyle w:val="corte4fondo"/>
        <w:spacing w:line="240" w:lineRule="auto"/>
        <w:ind w:left="3544" w:right="-496" w:firstLine="0"/>
        <w:rPr>
          <w:rFonts w:cs="Arial"/>
          <w:b/>
          <w:sz w:val="24"/>
          <w:szCs w:val="24"/>
        </w:rPr>
      </w:pPr>
      <w:r w:rsidRPr="00930A36">
        <w:rPr>
          <w:rFonts w:cs="Arial"/>
          <w:b/>
          <w:i/>
          <w:color w:val="000000"/>
          <w:sz w:val="22"/>
          <w:szCs w:val="22"/>
        </w:rPr>
        <w:t>AUTORIDAD DEMANDADA:</w:t>
      </w:r>
      <w:r w:rsidR="00E637A4">
        <w:rPr>
          <w:rFonts w:cs="Arial"/>
          <w:b/>
          <w:i/>
          <w:color w:val="000000"/>
          <w:sz w:val="22"/>
          <w:szCs w:val="22"/>
        </w:rPr>
        <w:t xml:space="preserve"> </w:t>
      </w:r>
      <w:r w:rsidR="00F376FE">
        <w:rPr>
          <w:rFonts w:cs="Arial"/>
          <w:b/>
          <w:i/>
          <w:color w:val="000000"/>
          <w:sz w:val="22"/>
          <w:szCs w:val="22"/>
        </w:rPr>
        <w:t>CONSEJO  DIRECTIVO DE PENSIONES DEL ESTADO DE OAXACA, POR CONDUCTO DE SU REPRESENTANTE LEGAL DIRECTOR DE LA OFICINA DE PENSIONES</w:t>
      </w:r>
      <w:r w:rsidR="00D12076">
        <w:rPr>
          <w:rFonts w:cs="Arial"/>
          <w:b/>
          <w:i/>
          <w:color w:val="000000"/>
          <w:sz w:val="22"/>
          <w:szCs w:val="22"/>
        </w:rPr>
        <w:t>.</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6D1078">
        <w:rPr>
          <w:rFonts w:ascii="Arial" w:hAnsi="Arial" w:cs="Arial"/>
          <w:b/>
          <w:sz w:val="24"/>
          <w:szCs w:val="24"/>
        </w:rPr>
        <w:t xml:space="preserve">OAXACA </w:t>
      </w:r>
      <w:r>
        <w:rPr>
          <w:rFonts w:ascii="Arial" w:hAnsi="Arial" w:cs="Arial"/>
          <w:b/>
          <w:sz w:val="24"/>
          <w:szCs w:val="24"/>
        </w:rPr>
        <w:t xml:space="preserve">A </w:t>
      </w:r>
      <w:r w:rsidR="00F376FE">
        <w:rPr>
          <w:rFonts w:ascii="Arial" w:hAnsi="Arial" w:cs="Arial"/>
          <w:b/>
          <w:sz w:val="24"/>
          <w:szCs w:val="24"/>
        </w:rPr>
        <w:t>1 UNO DE JUNIO DE 2018 DOS MIL DIECIOCHO</w:t>
      </w:r>
      <w:r>
        <w:rPr>
          <w:rFonts w:ascii="Arial" w:hAnsi="Arial" w:cs="Arial"/>
          <w:b/>
          <w:sz w:val="24"/>
          <w:szCs w:val="24"/>
        </w:rPr>
        <w:t>.</w:t>
      </w:r>
      <w:r w:rsidR="003C226E" w:rsidRPr="00003F0B">
        <w:rPr>
          <w:rFonts w:ascii="Arial" w:hAnsi="Arial" w:cs="Arial"/>
          <w:b/>
          <w:sz w:val="24"/>
          <w:szCs w:val="24"/>
        </w:rPr>
        <w:t xml:space="preserve">- </w:t>
      </w:r>
      <w:r w:rsidR="006D1078">
        <w:rPr>
          <w:rFonts w:ascii="Arial" w:hAnsi="Arial" w:cs="Arial"/>
          <w:b/>
          <w:sz w:val="24"/>
          <w:szCs w:val="24"/>
        </w:rPr>
        <w:t xml:space="preserve">- - - - - - - - - - - - - - - - - - - - - - - - - - - - - - - - - - - - - - - - - - - - </w:t>
      </w:r>
      <w:r w:rsidR="00F376FE">
        <w:rPr>
          <w:rFonts w:ascii="Arial" w:hAnsi="Arial" w:cs="Arial"/>
          <w:b/>
          <w:sz w:val="24"/>
          <w:szCs w:val="24"/>
        </w:rPr>
        <w:t>- - - -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376FE">
        <w:rPr>
          <w:rFonts w:ascii="Arial" w:hAnsi="Arial" w:cs="Arial"/>
          <w:b/>
          <w:sz w:val="24"/>
          <w:szCs w:val="24"/>
          <w:lang w:val="es-MX"/>
        </w:rPr>
        <w:t>31</w:t>
      </w:r>
      <w:r w:rsidR="00D94E48" w:rsidRPr="00077383">
        <w:rPr>
          <w:rFonts w:ascii="Arial" w:hAnsi="Arial" w:cs="Arial"/>
          <w:b/>
          <w:sz w:val="24"/>
          <w:szCs w:val="24"/>
          <w:lang w:val="es-MX"/>
        </w:rPr>
        <w:t>/201</w:t>
      </w:r>
      <w:r w:rsidR="00F376F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BE448E">
        <w:rPr>
          <w:rFonts w:ascii="Arial" w:hAnsi="Arial" w:cs="Arial"/>
          <w:sz w:val="24"/>
          <w:szCs w:val="24"/>
        </w:rPr>
        <w:t>**********</w:t>
      </w:r>
      <w:r w:rsidR="004C31C9">
        <w:rPr>
          <w:rFonts w:ascii="Arial" w:hAnsi="Arial" w:cs="Arial"/>
          <w:b/>
          <w:sz w:val="24"/>
          <w:szCs w:val="24"/>
          <w:lang w:val="es-MX"/>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F376FE">
        <w:rPr>
          <w:rFonts w:ascii="Arial" w:hAnsi="Arial" w:cs="Arial"/>
          <w:sz w:val="24"/>
          <w:szCs w:val="24"/>
          <w:lang w:val="es-MX"/>
        </w:rPr>
        <w:t xml:space="preserve">CONSEJO DIRECTIVO DE PENSIONES, POR CONDUCTO DE SU REPRESENTANTE LEGAL </w:t>
      </w:r>
      <w:r w:rsidR="00D94E48">
        <w:rPr>
          <w:rFonts w:ascii="Arial" w:hAnsi="Arial" w:cs="Arial"/>
          <w:b/>
          <w:sz w:val="24"/>
          <w:szCs w:val="24"/>
          <w:lang w:val="es-MX"/>
        </w:rPr>
        <w:t>DIRECTOR GENERAL DE LA OFICINA DE PENSIONES DEL GOBIERNO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F376FE" w:rsidRDefault="00F376FE"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F376FE">
        <w:rPr>
          <w:rFonts w:ascii="Arial" w:hAnsi="Arial" w:cs="Arial"/>
          <w:color w:val="000000"/>
          <w:sz w:val="24"/>
          <w:szCs w:val="24"/>
        </w:rPr>
        <w:t>2 dos de abril de 2018 dos mil dieciocho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BE448E">
        <w:rPr>
          <w:rFonts w:ascii="Arial" w:hAnsi="Arial" w:cs="Arial"/>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3D4C40">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7C2A50">
        <w:rPr>
          <w:rFonts w:ascii="Arial" w:hAnsi="Arial" w:cs="Arial"/>
          <w:color w:val="000000"/>
          <w:sz w:val="24"/>
          <w:szCs w:val="24"/>
        </w:rPr>
        <w:t>quince de diciembre de</w:t>
      </w:r>
      <w:r w:rsidR="004C31C9">
        <w:rPr>
          <w:rFonts w:ascii="Arial" w:hAnsi="Arial" w:cs="Arial"/>
          <w:color w:val="000000"/>
          <w:sz w:val="24"/>
          <w:szCs w:val="24"/>
        </w:rPr>
        <w:t xml:space="preserve"> </w:t>
      </w:r>
      <w:r w:rsidR="00384EBA">
        <w:rPr>
          <w:rFonts w:ascii="Arial" w:hAnsi="Arial" w:cs="Arial"/>
          <w:color w:val="000000"/>
          <w:sz w:val="24"/>
          <w:szCs w:val="24"/>
        </w:rPr>
        <w:t>2017 dos mil diecisiete</w:t>
      </w:r>
      <w:r w:rsidR="00680A12">
        <w:rPr>
          <w:rFonts w:ascii="Arial" w:hAnsi="Arial" w:cs="Arial"/>
          <w:color w:val="000000"/>
          <w:sz w:val="24"/>
          <w:szCs w:val="24"/>
        </w:rPr>
        <w:t xml:space="preserve">, emitido por el </w:t>
      </w:r>
      <w:r w:rsidR="007C2A50">
        <w:rPr>
          <w:rFonts w:ascii="Arial" w:hAnsi="Arial" w:cs="Arial"/>
          <w:b/>
          <w:color w:val="000000"/>
          <w:sz w:val="24"/>
          <w:szCs w:val="24"/>
        </w:rPr>
        <w:t>CONSEJO DIRECTIVO DE PENSIONES</w:t>
      </w:r>
      <w:r w:rsidR="00680A12">
        <w:rPr>
          <w:rFonts w:ascii="Arial" w:hAnsi="Arial" w:cs="Arial"/>
          <w:b/>
          <w:color w:val="000000"/>
          <w:sz w:val="24"/>
          <w:szCs w:val="24"/>
        </w:rPr>
        <w:t xml:space="preserve">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7C2A50">
        <w:rPr>
          <w:rFonts w:ascii="Arial" w:hAnsi="Arial" w:cs="Arial"/>
          <w:color w:val="000000"/>
          <w:sz w:val="24"/>
          <w:szCs w:val="24"/>
        </w:rPr>
        <w:t>.- - - -</w:t>
      </w:r>
      <w:r w:rsidR="004C31C9">
        <w:rPr>
          <w:rFonts w:ascii="Arial" w:hAnsi="Arial" w:cs="Arial"/>
          <w:color w:val="000000"/>
          <w:sz w:val="24"/>
          <w:szCs w:val="24"/>
        </w:rPr>
        <w:t xml:space="preserve"> - - - - - - -</w:t>
      </w:r>
      <w:r w:rsidR="007C2A50">
        <w:rPr>
          <w:rFonts w:ascii="Arial" w:hAnsi="Arial" w:cs="Arial"/>
          <w:color w:val="000000"/>
          <w:sz w:val="24"/>
          <w:szCs w:val="24"/>
        </w:rPr>
        <w:t xml:space="preserve"> </w:t>
      </w:r>
      <w:r w:rsidR="004C31C9">
        <w:rPr>
          <w:rFonts w:ascii="Arial" w:hAnsi="Arial" w:cs="Arial"/>
          <w:color w:val="000000"/>
          <w:sz w:val="24"/>
          <w:szCs w:val="24"/>
        </w:rPr>
        <w:t>- - - - - -</w:t>
      </w:r>
      <w:r w:rsidR="007C2A50">
        <w:rPr>
          <w:rFonts w:ascii="Arial" w:hAnsi="Arial" w:cs="Arial"/>
          <w:color w:val="000000"/>
          <w:sz w:val="24"/>
          <w:szCs w:val="24"/>
        </w:rPr>
        <w:t xml:space="preserve"> </w:t>
      </w:r>
      <w:r w:rsidR="004C31C9">
        <w:rPr>
          <w:rFonts w:ascii="Arial" w:hAnsi="Arial" w:cs="Arial"/>
          <w:color w:val="000000"/>
          <w:sz w:val="24"/>
          <w:szCs w:val="24"/>
        </w:rPr>
        <w:t>- - -</w:t>
      </w:r>
    </w:p>
    <w:p w:rsidR="005F0D67" w:rsidRDefault="005F0D67" w:rsidP="00B8086C">
      <w:pPr>
        <w:spacing w:line="360" w:lineRule="auto"/>
        <w:ind w:right="-518" w:firstLine="567"/>
        <w:jc w:val="both"/>
        <w:rPr>
          <w:rFonts w:ascii="Arial" w:hAnsi="Arial" w:cs="Arial"/>
          <w:color w:val="000000"/>
          <w:sz w:val="24"/>
          <w:szCs w:val="24"/>
        </w:rPr>
      </w:pPr>
    </w:p>
    <w:p w:rsidR="00AE010A" w:rsidRDefault="00EB0367"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DF87798" wp14:editId="0010DD09">
                <wp:simplePos x="0" y="0"/>
                <wp:positionH relativeFrom="column">
                  <wp:posOffset>-1141730</wp:posOffset>
                </wp:positionH>
                <wp:positionV relativeFrom="paragraph">
                  <wp:posOffset>67945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9pt;margin-top:5.3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">
                <v:textbo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7C2A50">
        <w:rPr>
          <w:rFonts w:ascii="Arial" w:hAnsi="Arial" w:cs="Arial"/>
          <w:sz w:val="24"/>
          <w:szCs w:val="24"/>
        </w:rPr>
        <w:t xml:space="preserve">16 dieciséis de mayo  del presente año, </w:t>
      </w:r>
      <w:r w:rsidR="005C0976">
        <w:rPr>
          <w:rFonts w:ascii="Arial" w:hAnsi="Arial" w:cs="Arial"/>
          <w:sz w:val="24"/>
          <w:szCs w:val="24"/>
        </w:rPr>
        <w:t xml:space="preserve">se tuvo al Director General </w:t>
      </w:r>
      <w:r w:rsidR="007C5CE9">
        <w:rPr>
          <w:rFonts w:ascii="Arial" w:hAnsi="Arial" w:cs="Arial"/>
          <w:sz w:val="24"/>
          <w:szCs w:val="24"/>
        </w:rPr>
        <w:t>de Pensiones del Gobierno del Estado de Oaxaca</w:t>
      </w:r>
      <w:r w:rsidR="007C2A50">
        <w:rPr>
          <w:rFonts w:ascii="Arial" w:hAnsi="Arial" w:cs="Arial"/>
          <w:sz w:val="24"/>
          <w:szCs w:val="24"/>
        </w:rPr>
        <w:t>, en representación del consejo directivo de la citada oficina,</w:t>
      </w:r>
      <w:r w:rsidR="00384EBA">
        <w:rPr>
          <w:rFonts w:ascii="Arial" w:hAnsi="Arial" w:cs="Arial"/>
          <w:sz w:val="24"/>
          <w:szCs w:val="24"/>
        </w:rPr>
        <w:t xml:space="preserve"> contestando la demanda</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y se ordenó correr traslado a la parte actora para los efectos legales correspondientes. Asimismo se señaló fecha y hora para la celebración de la audiencia final. - - - </w:t>
      </w:r>
      <w:r w:rsidR="007C2A50">
        <w:rPr>
          <w:rFonts w:ascii="Arial" w:hAnsi="Arial" w:cs="Arial"/>
          <w:sz w:val="24"/>
          <w:szCs w:val="24"/>
        </w:rPr>
        <w:t xml:space="preserve">-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7C2A50">
        <w:rPr>
          <w:rFonts w:ascii="Arial" w:hAnsi="Arial" w:cs="Arial"/>
          <w:sz w:val="24"/>
          <w:szCs w:val="24"/>
          <w:lang w:val="es-MX"/>
        </w:rPr>
        <w:t>29 veintinueve de mayo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se dio cuenta </w:t>
      </w:r>
      <w:r w:rsidR="004C31C9">
        <w:rPr>
          <w:rFonts w:ascii="Arial" w:hAnsi="Arial" w:cs="Arial"/>
          <w:bCs/>
          <w:sz w:val="24"/>
          <w:szCs w:val="24"/>
          <w:lang w:val="es-ES"/>
        </w:rPr>
        <w:t xml:space="preserve"> con el escrito de la parte actora, por el cual, formula alegatos de su parte, mismos que se mandaron agregar a autos para efectos legales correspondientes</w:t>
      </w:r>
      <w:r w:rsidR="00077383">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w:t>
      </w:r>
      <w:r w:rsidR="004045BC" w:rsidRPr="006755D4">
        <w:rPr>
          <w:rFonts w:ascii="Arial" w:hAnsi="Arial" w:cs="Arial"/>
          <w:bCs/>
          <w:sz w:val="24"/>
          <w:szCs w:val="24"/>
          <w:lang w:val="es-ES"/>
        </w:rPr>
        <w:lastRenderedPageBreak/>
        <w:t xml:space="preserve">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D106E6">
        <w:rPr>
          <w:rFonts w:ascii="Arial" w:hAnsi="Arial" w:cs="Arial"/>
          <w:bCs/>
          <w:sz w:val="24"/>
          <w:szCs w:val="24"/>
          <w:lang w:val="es-ES"/>
        </w:rPr>
        <w:t xml:space="preserve">-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190CBF">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D106E6">
        <w:rPr>
          <w:rFonts w:ascii="Arial" w:hAnsi="Arial" w:cs="Arial"/>
          <w:color w:val="000000"/>
          <w:sz w:val="24"/>
          <w:szCs w:val="24"/>
        </w:rPr>
        <w:t>Justicia Administrativa</w:t>
      </w:r>
      <w:r w:rsidR="006755D4" w:rsidRPr="006755D4">
        <w:rPr>
          <w:rFonts w:ascii="Arial" w:hAnsi="Arial" w:cs="Arial"/>
          <w:color w:val="000000"/>
          <w:sz w:val="24"/>
          <w:szCs w:val="24"/>
        </w:rPr>
        <w:t xml:space="preserve"> del Estado, es competente para conocer y resolver del presente juicio, con fundamento en el artículo</w:t>
      </w:r>
      <w:r w:rsidR="00D106E6">
        <w:rPr>
          <w:rFonts w:ascii="Arial" w:hAnsi="Arial" w:cs="Arial"/>
          <w:color w:val="000000"/>
          <w:sz w:val="24"/>
          <w:szCs w:val="24"/>
        </w:rPr>
        <w:t xml:space="preserve"> 116, fracción V de la Constitución Política de los Estados Unidos Mexicanos,</w:t>
      </w:r>
      <w:r w:rsidR="006755D4" w:rsidRPr="006755D4">
        <w:rPr>
          <w:rFonts w:ascii="Arial" w:hAnsi="Arial" w:cs="Arial"/>
          <w:color w:val="000000"/>
          <w:sz w:val="24"/>
          <w:szCs w:val="24"/>
        </w:rPr>
        <w:t xml:space="preserve"> 11</w:t>
      </w:r>
      <w:r w:rsidR="00D106E6">
        <w:rPr>
          <w:rFonts w:ascii="Arial" w:hAnsi="Arial" w:cs="Arial"/>
          <w:color w:val="000000"/>
          <w:sz w:val="24"/>
          <w:szCs w:val="24"/>
        </w:rPr>
        <w:t>4</w:t>
      </w:r>
      <w:r w:rsidR="009E7E05">
        <w:rPr>
          <w:rFonts w:ascii="Arial" w:hAnsi="Arial" w:cs="Arial"/>
          <w:color w:val="000000"/>
          <w:sz w:val="24"/>
          <w:szCs w:val="24"/>
        </w:rPr>
        <w:t>,</w:t>
      </w:r>
      <w:r w:rsidR="00D106E6">
        <w:rPr>
          <w:rFonts w:ascii="Arial" w:hAnsi="Arial" w:cs="Arial"/>
          <w:color w:val="000000"/>
          <w:sz w:val="24"/>
          <w:szCs w:val="24"/>
        </w:rPr>
        <w:t xml:space="preserve"> Quárter de</w:t>
      </w:r>
      <w:r w:rsidR="006755D4" w:rsidRPr="006755D4">
        <w:rPr>
          <w:rFonts w:ascii="Arial" w:hAnsi="Arial" w:cs="Arial"/>
          <w:color w:val="000000"/>
          <w:sz w:val="24"/>
          <w:szCs w:val="24"/>
        </w:rPr>
        <w:t xml:space="preserve"> la Constitución Política del Estado Libre y Soberano de Oaxaca; artículos </w:t>
      </w:r>
      <w:r w:rsidR="00D106E6">
        <w:rPr>
          <w:rFonts w:ascii="Arial" w:hAnsi="Arial" w:cs="Arial"/>
          <w:color w:val="000000"/>
          <w:sz w:val="24"/>
          <w:szCs w:val="24"/>
        </w:rPr>
        <w:t>119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120 fracción I, 129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133 fracción I</w:t>
      </w:r>
      <w:r w:rsidR="006755D4" w:rsidRPr="006755D4">
        <w:rPr>
          <w:rFonts w:ascii="Arial" w:hAnsi="Arial" w:cs="Arial"/>
          <w:bCs/>
          <w:color w:val="000000"/>
          <w:sz w:val="24"/>
          <w:szCs w:val="24"/>
          <w:lang w:val="es-ES"/>
        </w:rPr>
        <w:t>, y 1</w:t>
      </w:r>
      <w:r w:rsidR="00D106E6">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w:t>
      </w:r>
      <w:r w:rsidR="00D106E6">
        <w:rPr>
          <w:rFonts w:ascii="Arial" w:hAnsi="Arial" w:cs="Arial"/>
          <w:bCs/>
          <w:color w:val="000000"/>
          <w:sz w:val="24"/>
          <w:szCs w:val="24"/>
          <w:lang w:val="es-ES"/>
        </w:rPr>
        <w:t xml:space="preserve"> Procedimiento y</w:t>
      </w:r>
      <w:r w:rsidR="006755D4" w:rsidRPr="006755D4">
        <w:rPr>
          <w:rFonts w:ascii="Arial" w:hAnsi="Arial" w:cs="Arial"/>
          <w:bCs/>
          <w:color w:val="000000"/>
          <w:sz w:val="24"/>
          <w:szCs w:val="24"/>
          <w:lang w:val="es-ES"/>
        </w:rPr>
        <w:t xml:space="preserve"> Justicia Administrativa para el Estado de Oaxaca, por tratarse </w:t>
      </w:r>
      <w:r w:rsidR="006755D4" w:rsidRPr="006755D4">
        <w:rPr>
          <w:rFonts w:ascii="Arial" w:hAnsi="Arial" w:cs="Arial"/>
          <w:color w:val="000000"/>
          <w:sz w:val="24"/>
          <w:szCs w:val="24"/>
        </w:rPr>
        <w:t>de un acto atribuido a autoridad</w:t>
      </w:r>
      <w:r w:rsidR="006755D4" w:rsidRPr="006755D4">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Pr="00117FCD"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D106E6">
        <w:rPr>
          <w:rFonts w:ascii="Arial" w:hAnsi="Arial" w:cs="Arial"/>
          <w:sz w:val="24"/>
          <w:szCs w:val="24"/>
        </w:rPr>
        <w:t>48</w:t>
      </w:r>
      <w:r w:rsidR="00C108C5" w:rsidRPr="000C0153">
        <w:rPr>
          <w:rFonts w:ascii="Arial" w:hAnsi="Arial" w:cs="Arial"/>
          <w:sz w:val="24"/>
          <w:szCs w:val="24"/>
        </w:rPr>
        <w:t xml:space="preserve"> y 1</w:t>
      </w:r>
      <w:r w:rsidR="00D106E6">
        <w:rPr>
          <w:rFonts w:ascii="Arial" w:hAnsi="Arial" w:cs="Arial"/>
          <w:sz w:val="24"/>
          <w:szCs w:val="24"/>
        </w:rPr>
        <w:t>51</w:t>
      </w:r>
      <w:r w:rsidR="00C108C5" w:rsidRPr="000C0153">
        <w:rPr>
          <w:rFonts w:ascii="Arial" w:hAnsi="Arial" w:cs="Arial"/>
          <w:sz w:val="24"/>
          <w:szCs w:val="24"/>
        </w:rPr>
        <w:t xml:space="preserve"> de la Ley de</w:t>
      </w:r>
      <w:r w:rsidR="00D106E6">
        <w:rPr>
          <w:rFonts w:ascii="Arial" w:hAnsi="Arial" w:cs="Arial"/>
          <w:sz w:val="24"/>
          <w:szCs w:val="24"/>
        </w:rPr>
        <w:t xml:space="preserve"> Procedimiento y</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 xml:space="preserve">ya que </w:t>
      </w:r>
      <w:r w:rsidR="00D106E6">
        <w:rPr>
          <w:rFonts w:ascii="Arial" w:hAnsi="Arial" w:cs="Arial"/>
          <w:bCs/>
          <w:color w:val="000000"/>
          <w:sz w:val="24"/>
          <w:szCs w:val="24"/>
        </w:rPr>
        <w:t>e</w:t>
      </w:r>
      <w:r w:rsidR="00C108C5" w:rsidRPr="000C0153">
        <w:rPr>
          <w:rFonts w:ascii="Arial" w:hAnsi="Arial" w:cs="Arial"/>
          <w:bCs/>
          <w:color w:val="000000"/>
          <w:sz w:val="24"/>
          <w:szCs w:val="24"/>
        </w:rPr>
        <w:t>l</w:t>
      </w:r>
      <w:r w:rsidR="00D106E6">
        <w:rPr>
          <w:rFonts w:ascii="Arial" w:hAnsi="Arial" w:cs="Arial"/>
          <w:bCs/>
          <w:color w:val="000000"/>
          <w:sz w:val="24"/>
          <w:szCs w:val="24"/>
        </w:rPr>
        <w:t xml:space="preserve"> </w:t>
      </w:r>
      <w:r w:rsidR="00C108C5" w:rsidRPr="000C0153">
        <w:rPr>
          <w:rFonts w:ascii="Arial" w:hAnsi="Arial" w:cs="Arial"/>
          <w:bCs/>
          <w:color w:val="000000"/>
          <w:sz w:val="24"/>
          <w:szCs w:val="24"/>
        </w:rPr>
        <w:t>actor</w:t>
      </w:r>
      <w:r w:rsidR="00D106E6">
        <w:rPr>
          <w:rFonts w:ascii="Arial" w:hAnsi="Arial" w:cs="Arial"/>
          <w:bCs/>
          <w:color w:val="000000"/>
          <w:sz w:val="24"/>
          <w:szCs w:val="24"/>
        </w:rPr>
        <w:t xml:space="preserve"> </w:t>
      </w:r>
      <w:r w:rsidR="00B06528">
        <w:rPr>
          <w:rFonts w:ascii="Arial" w:hAnsi="Arial" w:cs="Arial"/>
          <w:sz w:val="24"/>
          <w:szCs w:val="24"/>
        </w:rPr>
        <w:t xml:space="preserve">********** </w:t>
      </w:r>
      <w:r w:rsidR="00C108C5" w:rsidRPr="000C0153">
        <w:rPr>
          <w:rFonts w:ascii="Arial" w:hAnsi="Arial" w:cs="Arial"/>
          <w:bCs/>
          <w:color w:val="000000"/>
          <w:sz w:val="24"/>
          <w:szCs w:val="24"/>
        </w:rPr>
        <w:t>promueve por su propio derecho</w:t>
      </w:r>
      <w:r w:rsidR="00136097">
        <w:rPr>
          <w:rFonts w:ascii="Arial" w:hAnsi="Arial" w:cs="Arial"/>
          <w:bCs/>
          <w:color w:val="000000"/>
          <w:sz w:val="24"/>
          <w:szCs w:val="24"/>
        </w:rPr>
        <w:t xml:space="preserve"> y el </w:t>
      </w:r>
      <w:r w:rsidR="00F67F5B">
        <w:rPr>
          <w:rFonts w:ascii="Arial" w:hAnsi="Arial" w:cs="Arial"/>
          <w:bCs/>
          <w:color w:val="000000"/>
          <w:sz w:val="24"/>
          <w:szCs w:val="24"/>
        </w:rPr>
        <w:t xml:space="preserve">Director General de la </w:t>
      </w:r>
      <w:r w:rsidR="00136097">
        <w:rPr>
          <w:rFonts w:ascii="Arial" w:hAnsi="Arial" w:cs="Arial"/>
          <w:bCs/>
          <w:color w:val="000000"/>
          <w:sz w:val="24"/>
          <w:szCs w:val="24"/>
        </w:rPr>
        <w:t>Oficina de Pensiones del Estado de Oaxaca</w:t>
      </w:r>
      <w:r w:rsidR="00D106E6">
        <w:rPr>
          <w:rFonts w:ascii="Arial" w:hAnsi="Arial" w:cs="Arial"/>
          <w:bCs/>
          <w:color w:val="000000"/>
          <w:sz w:val="24"/>
          <w:szCs w:val="24"/>
        </w:rPr>
        <w:t xml:space="preserve"> en representación del Consejo Directivo de Pensiones</w:t>
      </w:r>
      <w:r w:rsidR="00136097">
        <w:rPr>
          <w:rFonts w:ascii="Arial" w:hAnsi="Arial" w:cs="Arial"/>
          <w:bCs/>
          <w:color w:val="000000"/>
          <w:sz w:val="24"/>
          <w:szCs w:val="24"/>
        </w:rPr>
        <w:t xml:space="preserve">, </w:t>
      </w:r>
      <w:r w:rsidR="000473F0">
        <w:rPr>
          <w:rFonts w:ascii="Arial" w:hAnsi="Arial" w:cs="Arial"/>
          <w:bCs/>
          <w:color w:val="000000"/>
          <w:sz w:val="24"/>
          <w:szCs w:val="24"/>
        </w:rPr>
        <w:t>exhibi</w:t>
      </w:r>
      <w:r w:rsidR="00136097">
        <w:rPr>
          <w:rFonts w:ascii="Arial" w:hAnsi="Arial" w:cs="Arial"/>
          <w:bCs/>
          <w:color w:val="000000"/>
          <w:sz w:val="24"/>
          <w:szCs w:val="24"/>
        </w:rPr>
        <w:t>ó</w:t>
      </w:r>
      <w:r w:rsidR="000473F0">
        <w:rPr>
          <w:rFonts w:ascii="Arial" w:hAnsi="Arial" w:cs="Arial"/>
          <w:bCs/>
          <w:color w:val="000000"/>
          <w:sz w:val="24"/>
          <w:szCs w:val="24"/>
        </w:rPr>
        <w:t xml:space="preserve"> copia certificada su nombramiento y protesta de ley</w:t>
      </w:r>
      <w:r w:rsidR="00591BAB">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F043A6">
        <w:rPr>
          <w:rFonts w:ascii="Arial" w:hAnsi="Arial" w:cs="Arial"/>
          <w:sz w:val="24"/>
          <w:szCs w:val="24"/>
        </w:rPr>
        <w:t xml:space="preserve"> fedatario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w:t>
      </w:r>
      <w:r w:rsidR="00C108C5" w:rsidRPr="00117FCD">
        <w:rPr>
          <w:rFonts w:ascii="Arial" w:hAnsi="Arial" w:cs="Arial"/>
          <w:sz w:val="24"/>
          <w:szCs w:val="24"/>
        </w:rPr>
        <w:t xml:space="preserve">conforme </w:t>
      </w:r>
      <w:r w:rsidR="00E95FE0">
        <w:rPr>
          <w:rFonts w:ascii="Arial" w:hAnsi="Arial" w:cs="Arial"/>
          <w:sz w:val="24"/>
          <w:szCs w:val="24"/>
        </w:rPr>
        <w:t>a lo dispuesto por el artículo 20</w:t>
      </w:r>
      <w:r w:rsidR="00C108C5" w:rsidRPr="00117FCD">
        <w:rPr>
          <w:rFonts w:ascii="Arial" w:hAnsi="Arial" w:cs="Arial"/>
          <w:sz w:val="24"/>
          <w:szCs w:val="24"/>
        </w:rPr>
        <w:t xml:space="preserve">3, fracción I de la Ley de la materia. </w:t>
      </w:r>
      <w:r w:rsidR="00834A24" w:rsidRPr="00117FCD">
        <w:rPr>
          <w:rFonts w:ascii="Arial" w:hAnsi="Arial" w:cs="Arial"/>
          <w:sz w:val="24"/>
          <w:szCs w:val="24"/>
        </w:rPr>
        <w:t xml:space="preserve"> </w:t>
      </w:r>
      <w:r w:rsidR="00C3280C" w:rsidRPr="00117FCD">
        <w:rPr>
          <w:rFonts w:ascii="Arial" w:hAnsi="Arial" w:cs="Arial"/>
          <w:sz w:val="24"/>
          <w:szCs w:val="24"/>
        </w:rPr>
        <w:t xml:space="preserve">- - - - - - - - - - - - - - - </w:t>
      </w:r>
      <w:r w:rsidR="0053794B" w:rsidRPr="00117FCD">
        <w:rPr>
          <w:rFonts w:ascii="Arial" w:hAnsi="Arial" w:cs="Arial"/>
          <w:sz w:val="24"/>
          <w:szCs w:val="24"/>
        </w:rPr>
        <w:t xml:space="preserve">- - - - - - - - - - - - </w:t>
      </w:r>
      <w:r w:rsidR="00190CBF" w:rsidRPr="00117FCD">
        <w:rPr>
          <w:rFonts w:ascii="Arial" w:hAnsi="Arial" w:cs="Arial"/>
          <w:sz w:val="24"/>
          <w:szCs w:val="24"/>
        </w:rPr>
        <w:t xml:space="preserve">- - - - - - - - - - - - - - - - - </w:t>
      </w:r>
      <w:r w:rsidR="009E7E05">
        <w:rPr>
          <w:rFonts w:ascii="Arial" w:hAnsi="Arial" w:cs="Arial"/>
          <w:sz w:val="24"/>
          <w:szCs w:val="24"/>
        </w:rPr>
        <w:t>- - - - - - - - - - -</w:t>
      </w:r>
    </w:p>
    <w:p w:rsidR="00136097" w:rsidRPr="00117FCD" w:rsidRDefault="00136097" w:rsidP="002B7F87">
      <w:pPr>
        <w:spacing w:line="360" w:lineRule="auto"/>
        <w:ind w:right="-518" w:firstLine="567"/>
        <w:jc w:val="both"/>
        <w:rPr>
          <w:rFonts w:ascii="Arial" w:hAnsi="Arial" w:cs="Arial"/>
          <w:sz w:val="24"/>
          <w:szCs w:val="24"/>
        </w:rPr>
      </w:pPr>
    </w:p>
    <w:p w:rsidR="009805D1" w:rsidRDefault="00C108C5" w:rsidP="009805D1">
      <w:pPr>
        <w:spacing w:line="360" w:lineRule="auto"/>
        <w:ind w:right="-567" w:firstLine="567"/>
        <w:jc w:val="both"/>
        <w:rPr>
          <w:rFonts w:ascii="Arial" w:hAnsi="Arial" w:cs="Arial"/>
          <w:sz w:val="24"/>
          <w:szCs w:val="24"/>
        </w:rPr>
      </w:pPr>
      <w:r w:rsidRPr="00117FCD">
        <w:rPr>
          <w:rFonts w:ascii="Arial" w:hAnsi="Arial" w:cs="Arial"/>
          <w:b/>
          <w:sz w:val="24"/>
          <w:szCs w:val="24"/>
        </w:rPr>
        <w:t>TERCERO.</w:t>
      </w:r>
      <w:r w:rsidR="00310425" w:rsidRPr="00117FCD">
        <w:rPr>
          <w:rFonts w:ascii="Arial" w:hAnsi="Arial" w:cs="Arial"/>
          <w:sz w:val="24"/>
          <w:szCs w:val="24"/>
        </w:rPr>
        <w:t xml:space="preserve"> </w:t>
      </w:r>
      <w:r w:rsidR="009805D1">
        <w:rPr>
          <w:rFonts w:ascii="Arial" w:hAnsi="Arial" w:cs="Arial"/>
          <w:b/>
          <w:sz w:val="24"/>
          <w:szCs w:val="24"/>
        </w:rPr>
        <w:t xml:space="preserve">Causales de improcedencia y sobreseimiento. </w:t>
      </w:r>
      <w:r w:rsidR="009805D1">
        <w:rPr>
          <w:rFonts w:ascii="Arial" w:hAnsi="Arial" w:cs="Arial"/>
          <w:sz w:val="24"/>
          <w:szCs w:val="24"/>
        </w:rPr>
        <w:t xml:space="preserve">Por ser de orden público y de estudio preferente a cualquier otra cuestión, esta Sala de oficio las examina, ya que de actualizarse las hipótesis normativas, ello impide la resolución de fondo del asunto y deberá decretarse su sobreseimiento, no obstante que la autoridad demandada las haga valer, de conformidad con </w:t>
      </w:r>
      <w:r w:rsidR="00E95FE0">
        <w:rPr>
          <w:rFonts w:ascii="Arial" w:hAnsi="Arial" w:cs="Arial"/>
          <w:sz w:val="24"/>
          <w:szCs w:val="24"/>
        </w:rPr>
        <w:t>lo dispuesto por los artículos 160 y 16</w:t>
      </w:r>
      <w:r w:rsidR="009805D1">
        <w:rPr>
          <w:rFonts w:ascii="Arial" w:hAnsi="Arial" w:cs="Arial"/>
          <w:sz w:val="24"/>
          <w:szCs w:val="24"/>
        </w:rPr>
        <w:t>2, de la ley de la materia.</w:t>
      </w:r>
    </w:p>
    <w:p w:rsidR="009805D1" w:rsidRDefault="009805D1" w:rsidP="009805D1">
      <w:pPr>
        <w:spacing w:line="360" w:lineRule="auto"/>
        <w:ind w:right="-567" w:firstLine="567"/>
        <w:jc w:val="both"/>
        <w:rPr>
          <w:rFonts w:ascii="Arial" w:hAnsi="Arial" w:cs="Arial"/>
          <w:sz w:val="24"/>
          <w:szCs w:val="24"/>
        </w:rPr>
      </w:pPr>
    </w:p>
    <w:p w:rsidR="009805D1" w:rsidRPr="00E2450E" w:rsidRDefault="009805D1" w:rsidP="009805D1">
      <w:pPr>
        <w:spacing w:line="360" w:lineRule="auto"/>
        <w:ind w:right="-567" w:firstLine="567"/>
        <w:jc w:val="both"/>
        <w:rPr>
          <w:rFonts w:ascii="Arial" w:hAnsi="Arial" w:cs="Arial"/>
          <w:b/>
          <w:sz w:val="24"/>
          <w:szCs w:val="24"/>
        </w:rPr>
      </w:pPr>
      <w:r>
        <w:rPr>
          <w:rFonts w:ascii="Arial" w:hAnsi="Arial" w:cs="Arial"/>
          <w:sz w:val="24"/>
          <w:szCs w:val="24"/>
        </w:rPr>
        <w:t xml:space="preserve">Este juzgador advierte que no se actualiza causal alguna de improcedencia, en consecuencia, </w:t>
      </w:r>
      <w:r>
        <w:rPr>
          <w:rFonts w:ascii="Arial" w:hAnsi="Arial" w:cs="Arial"/>
          <w:b/>
          <w:sz w:val="24"/>
          <w:szCs w:val="24"/>
        </w:rPr>
        <w:t xml:space="preserve">NO SE SOBRESEE EL JUICIO. - - - - - - - - - - - - - - - - - - - - - - - - - - -  </w:t>
      </w:r>
    </w:p>
    <w:p w:rsidR="00BF03C8" w:rsidRDefault="00E922FC" w:rsidP="00553D8C">
      <w:pPr>
        <w:spacing w:line="360" w:lineRule="auto"/>
        <w:ind w:right="-518" w:firstLine="426"/>
        <w:jc w:val="both"/>
        <w:rPr>
          <w:rFonts w:ascii="Arial" w:hAnsi="Arial" w:cs="Arial"/>
          <w:b/>
          <w:sz w:val="24"/>
          <w:szCs w:val="24"/>
        </w:rPr>
      </w:pPr>
      <w:r>
        <w:rPr>
          <w:rFonts w:ascii="Arial" w:hAnsi="Arial" w:cs="Arial"/>
          <w:sz w:val="24"/>
          <w:szCs w:val="24"/>
        </w:rPr>
        <w:t xml:space="preserve"> </w:t>
      </w:r>
    </w:p>
    <w:p w:rsidR="001561E7" w:rsidRPr="001561E7" w:rsidRDefault="00364A0F" w:rsidP="009805D1">
      <w:pPr>
        <w:spacing w:line="360" w:lineRule="auto"/>
        <w:ind w:right="-518" w:firstLine="567"/>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TO.</w:t>
      </w:r>
      <w:r w:rsidR="009805D1">
        <w:rPr>
          <w:rFonts w:ascii="Arial" w:hAnsi="Arial" w:cs="Arial"/>
          <w:b/>
          <w:sz w:val="24"/>
          <w:szCs w:val="24"/>
        </w:rPr>
        <w:t xml:space="preserve"> </w:t>
      </w:r>
      <w:r w:rsidR="001561E7">
        <w:rPr>
          <w:rFonts w:ascii="Arial" w:hAnsi="Arial" w:cs="Arial"/>
          <w:b/>
          <w:sz w:val="24"/>
          <w:szCs w:val="24"/>
        </w:rPr>
        <w:t xml:space="preserve">Existencia del acto. </w:t>
      </w:r>
      <w:r w:rsidR="001561E7">
        <w:rPr>
          <w:rFonts w:ascii="Arial" w:hAnsi="Arial" w:cs="Arial"/>
          <w:sz w:val="24"/>
          <w:szCs w:val="24"/>
        </w:rPr>
        <w:t xml:space="preserve">Se acredita la existencia del acto </w:t>
      </w:r>
      <w:r w:rsidR="00CE67CA">
        <w:rPr>
          <w:rFonts w:ascii="Arial" w:hAnsi="Arial" w:cs="Arial"/>
          <w:sz w:val="24"/>
          <w:szCs w:val="24"/>
        </w:rPr>
        <w:t xml:space="preserve">impugnado, con el oficio </w:t>
      </w:r>
      <w:r w:rsidR="003D4C40">
        <w:rPr>
          <w:rFonts w:cs="Arial"/>
          <w:b/>
          <w:i/>
          <w:sz w:val="22"/>
          <w:szCs w:val="22"/>
        </w:rPr>
        <w:t>**********</w:t>
      </w:r>
      <w:r w:rsidR="00CE67CA">
        <w:rPr>
          <w:rFonts w:ascii="Arial" w:hAnsi="Arial" w:cs="Arial"/>
          <w:sz w:val="24"/>
          <w:szCs w:val="24"/>
        </w:rPr>
        <w:t xml:space="preserve">, de fecha 15 quince de diciembre de 2017 dos mil diecisiete, que contiene el dictamen de pensión por jubilación, expedido a nombre del actor </w:t>
      </w:r>
      <w:r w:rsidR="00B06528">
        <w:rPr>
          <w:rFonts w:ascii="Arial" w:hAnsi="Arial" w:cs="Arial"/>
          <w:sz w:val="24"/>
          <w:szCs w:val="24"/>
        </w:rPr>
        <w:t>**********</w:t>
      </w:r>
      <w:r w:rsidR="00CE67CA">
        <w:rPr>
          <w:rFonts w:ascii="Arial" w:hAnsi="Arial" w:cs="Arial"/>
          <w:sz w:val="24"/>
          <w:szCs w:val="24"/>
        </w:rPr>
        <w:t xml:space="preserve">, por el Director General de la Oficina de Pensiones del Estado de Oaxaca. </w:t>
      </w:r>
    </w:p>
    <w:p w:rsidR="00CE67CA" w:rsidRDefault="00CE67CA" w:rsidP="00553D8C">
      <w:pPr>
        <w:spacing w:line="360" w:lineRule="auto"/>
        <w:ind w:right="-518" w:firstLine="426"/>
        <w:jc w:val="both"/>
        <w:rPr>
          <w:rFonts w:ascii="Arial" w:hAnsi="Arial" w:cs="Arial"/>
          <w:b/>
          <w:sz w:val="24"/>
          <w:szCs w:val="24"/>
        </w:rPr>
      </w:pPr>
    </w:p>
    <w:p w:rsidR="00724FF7" w:rsidRDefault="004036A7" w:rsidP="00553D8C">
      <w:pPr>
        <w:spacing w:line="360" w:lineRule="auto"/>
        <w:ind w:right="-518" w:firstLine="426"/>
        <w:jc w:val="both"/>
        <w:rPr>
          <w:rFonts w:ascii="Arial" w:hAnsi="Arial" w:cs="Arial"/>
          <w:sz w:val="24"/>
          <w:szCs w:val="24"/>
        </w:rPr>
      </w:pPr>
      <w:r>
        <w:rPr>
          <w:rFonts w:ascii="Arial" w:hAnsi="Arial" w:cs="Arial"/>
          <w:b/>
          <w:sz w:val="24"/>
          <w:szCs w:val="24"/>
        </w:rPr>
        <w:t xml:space="preserve"> </w:t>
      </w:r>
      <w:r w:rsidR="009805D1">
        <w:rPr>
          <w:rFonts w:ascii="Arial" w:hAnsi="Arial" w:cs="Arial"/>
          <w:b/>
          <w:sz w:val="24"/>
          <w:szCs w:val="24"/>
        </w:rPr>
        <w:t xml:space="preserve">QUINTO. </w:t>
      </w:r>
      <w:r w:rsidR="00B06528">
        <w:rPr>
          <w:rFonts w:ascii="Arial" w:hAnsi="Arial" w:cs="Arial"/>
          <w:sz w:val="24"/>
          <w:szCs w:val="24"/>
        </w:rPr>
        <w:t>**********</w:t>
      </w:r>
      <w:r w:rsidR="000E55BC">
        <w:rPr>
          <w:rFonts w:ascii="Arial" w:hAnsi="Arial" w:cs="Arial"/>
          <w:b/>
          <w:sz w:val="24"/>
          <w:szCs w:val="24"/>
        </w:rPr>
        <w:t>,</w:t>
      </w:r>
      <w:r>
        <w:rPr>
          <w:rFonts w:ascii="Arial" w:hAnsi="Arial" w:cs="Arial"/>
          <w:b/>
          <w:sz w:val="24"/>
          <w:szCs w:val="24"/>
        </w:rPr>
        <w:t xml:space="preserve"> </w:t>
      </w:r>
      <w:r w:rsidR="00CE67CA">
        <w:rPr>
          <w:rFonts w:ascii="Arial" w:hAnsi="Arial" w:cs="Arial"/>
          <w:sz w:val="24"/>
          <w:szCs w:val="24"/>
        </w:rPr>
        <w:t>demandó la nulidad d</w:t>
      </w:r>
      <w:r w:rsidR="00BF03C8">
        <w:rPr>
          <w:rFonts w:ascii="Arial" w:hAnsi="Arial" w:cs="Arial"/>
          <w:sz w:val="24"/>
          <w:szCs w:val="24"/>
        </w:rPr>
        <w:t xml:space="preserve">el oficio </w:t>
      </w:r>
      <w:r w:rsidR="003D4C40">
        <w:rPr>
          <w:rFonts w:cs="Arial"/>
          <w:b/>
          <w:i/>
          <w:sz w:val="22"/>
          <w:szCs w:val="22"/>
        </w:rPr>
        <w:t>**********</w:t>
      </w:r>
      <w:r w:rsidR="002D6C48">
        <w:rPr>
          <w:rFonts w:ascii="Arial" w:hAnsi="Arial" w:cs="Arial"/>
          <w:sz w:val="24"/>
          <w:szCs w:val="24"/>
        </w:rPr>
        <w:t>,</w:t>
      </w:r>
      <w:r w:rsidR="00BF03C8">
        <w:rPr>
          <w:rFonts w:ascii="Arial" w:hAnsi="Arial" w:cs="Arial"/>
          <w:sz w:val="24"/>
          <w:szCs w:val="24"/>
        </w:rPr>
        <w:t xml:space="preserve"> de </w:t>
      </w:r>
      <w:r w:rsidR="00CE67CA">
        <w:rPr>
          <w:rFonts w:ascii="Arial" w:hAnsi="Arial" w:cs="Arial"/>
          <w:sz w:val="24"/>
          <w:szCs w:val="24"/>
        </w:rPr>
        <w:t>quince de diciembre</w:t>
      </w:r>
      <w:r w:rsidR="009B75C6">
        <w:rPr>
          <w:rFonts w:ascii="Arial" w:hAnsi="Arial" w:cs="Arial"/>
          <w:sz w:val="24"/>
          <w:szCs w:val="24"/>
        </w:rPr>
        <w:t xml:space="preserve"> del</w:t>
      </w:r>
      <w:r w:rsidR="00864D87">
        <w:rPr>
          <w:rFonts w:ascii="Arial" w:hAnsi="Arial" w:cs="Arial"/>
          <w:sz w:val="24"/>
          <w:szCs w:val="24"/>
        </w:rPr>
        <w:t xml:space="preserve"> dos mil diecisiete</w:t>
      </w:r>
      <w:r w:rsidR="00BF03C8">
        <w:rPr>
          <w:rFonts w:ascii="Arial" w:hAnsi="Arial" w:cs="Arial"/>
          <w:sz w:val="24"/>
          <w:szCs w:val="24"/>
        </w:rPr>
        <w:t xml:space="preserve">, </w:t>
      </w:r>
      <w:r w:rsidR="00726A20">
        <w:rPr>
          <w:rFonts w:ascii="Arial" w:hAnsi="Arial" w:cs="Arial"/>
          <w:sz w:val="24"/>
          <w:szCs w:val="24"/>
        </w:rPr>
        <w:t>emitido por el DIRECTOR GENERAL DE LA</w:t>
      </w:r>
      <w:r w:rsidR="004D2CFB">
        <w:rPr>
          <w:rFonts w:ascii="Arial" w:hAnsi="Arial" w:cs="Arial"/>
          <w:sz w:val="24"/>
          <w:szCs w:val="24"/>
        </w:rPr>
        <w:t xml:space="preserve"> </w:t>
      </w:r>
      <w:r w:rsidR="004D2CFB">
        <w:rPr>
          <w:rFonts w:ascii="Arial" w:hAnsi="Arial" w:cs="Arial"/>
          <w:sz w:val="24"/>
          <w:szCs w:val="24"/>
        </w:rPr>
        <w:lastRenderedPageBreak/>
        <w:t>OFICINA DE PENSIONES DEL GOBIERNO DEL ESTADO DE OAXACA, medi</w:t>
      </w:r>
      <w:r w:rsidR="00726A20">
        <w:rPr>
          <w:rFonts w:ascii="Arial" w:hAnsi="Arial" w:cs="Arial"/>
          <w:sz w:val="24"/>
          <w:szCs w:val="24"/>
        </w:rPr>
        <w:t xml:space="preserve">ante </w:t>
      </w:r>
      <w:r w:rsidR="00CE67CA">
        <w:rPr>
          <w:rFonts w:ascii="Arial" w:hAnsi="Arial" w:cs="Arial"/>
          <w:sz w:val="24"/>
          <w:szCs w:val="24"/>
        </w:rPr>
        <w:t>e</w:t>
      </w:r>
      <w:r w:rsidR="00726A20">
        <w:rPr>
          <w:rFonts w:ascii="Arial" w:hAnsi="Arial" w:cs="Arial"/>
          <w:sz w:val="24"/>
          <w:szCs w:val="24"/>
        </w:rPr>
        <w:t>l cual,</w:t>
      </w:r>
      <w:r w:rsidR="00CE67CA">
        <w:rPr>
          <w:rFonts w:ascii="Arial" w:hAnsi="Arial" w:cs="Arial"/>
          <w:sz w:val="24"/>
          <w:szCs w:val="24"/>
        </w:rPr>
        <w:t xml:space="preserve"> se emitió el dictamen de pensión por jubilaci</w:t>
      </w:r>
      <w:r w:rsidR="001B65A4">
        <w:rPr>
          <w:rFonts w:ascii="Arial" w:hAnsi="Arial" w:cs="Arial"/>
          <w:sz w:val="24"/>
          <w:szCs w:val="24"/>
        </w:rPr>
        <w:t>ón</w:t>
      </w:r>
      <w:r w:rsidR="00724FF7">
        <w:rPr>
          <w:rFonts w:ascii="Arial" w:hAnsi="Arial" w:cs="Arial"/>
          <w:sz w:val="24"/>
          <w:szCs w:val="24"/>
        </w:rPr>
        <w:t>.</w:t>
      </w:r>
    </w:p>
    <w:p w:rsidR="00724FF7" w:rsidRDefault="00724FF7"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Señala la demandante, que la enjuiciada le concedió pensión por jubilación únicamente tomando en consideración su sueldo base, sin incluir el pago de las demás prestaciones, a las que tiene derecho como trabajador, por no encuadrar en el supuesto de trabajador de base, determinación que considera transgrede su derecho humano de no discriminación, contenido en el artículo 1 de la Constitución Política de los Estados Unidos Mexicanos y diversos instrumentos Internacionales.</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Continúa señalando la accionante, que tiene derecho a que se integre a su sueldo, la previsión social múltiple, despensa, vida cara, quinquenios, aguinaldo,</w:t>
      </w:r>
      <w:r w:rsidR="002C362B">
        <w:rPr>
          <w:rFonts w:ascii="Arial" w:hAnsi="Arial" w:cs="Arial"/>
          <w:sz w:val="24"/>
          <w:szCs w:val="24"/>
        </w:rPr>
        <w:t xml:space="preserve"> estimulo del día del jubilado </w:t>
      </w:r>
      <w:r>
        <w:rPr>
          <w:rFonts w:ascii="Arial" w:hAnsi="Arial" w:cs="Arial"/>
          <w:sz w:val="24"/>
          <w:szCs w:val="24"/>
        </w:rPr>
        <w:t>y canasta navideña</w:t>
      </w:r>
      <w:r w:rsidR="002C362B">
        <w:rPr>
          <w:rFonts w:ascii="Arial" w:hAnsi="Arial" w:cs="Arial"/>
          <w:sz w:val="24"/>
          <w:szCs w:val="24"/>
        </w:rPr>
        <w:t>,</w:t>
      </w:r>
      <w:r>
        <w:rPr>
          <w:rFonts w:ascii="Arial" w:hAnsi="Arial" w:cs="Arial"/>
          <w:sz w:val="24"/>
          <w:szCs w:val="24"/>
        </w:rPr>
        <w:t xml:space="preserve"> prerrogativas que tiene todo trabajador que obtenga su jubilación, sin importar si se trata de personal de base o de confianza, toda vez que de no ser así, se estaría discriminando y vulnerando su derecho fundamental consagrado en la Constitución Federal y en disposiciones convencionales.</w:t>
      </w:r>
    </w:p>
    <w:p w:rsidR="00815DEF" w:rsidRDefault="00815DEF" w:rsidP="00815DEF">
      <w:pPr>
        <w:spacing w:line="360" w:lineRule="auto"/>
        <w:ind w:right="-518" w:firstLine="426"/>
        <w:jc w:val="both"/>
        <w:rPr>
          <w:rFonts w:ascii="Arial" w:hAnsi="Arial" w:cs="Arial"/>
          <w:sz w:val="24"/>
          <w:szCs w:val="24"/>
        </w:rPr>
      </w:pPr>
    </w:p>
    <w:p w:rsidR="00600A73" w:rsidRDefault="00815DEF" w:rsidP="00815DEF">
      <w:pPr>
        <w:spacing w:line="360" w:lineRule="auto"/>
        <w:ind w:right="-518" w:firstLine="426"/>
        <w:jc w:val="both"/>
        <w:rPr>
          <w:rFonts w:ascii="Arial" w:hAnsi="Arial" w:cs="Arial"/>
          <w:sz w:val="24"/>
          <w:szCs w:val="24"/>
        </w:rPr>
      </w:pPr>
      <w:r>
        <w:rPr>
          <w:rFonts w:ascii="Arial" w:hAnsi="Arial" w:cs="Arial"/>
          <w:sz w:val="24"/>
          <w:szCs w:val="24"/>
        </w:rPr>
        <w:t>Al respecto, la autoridad enjuiciada,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adquiridos, sin que le resulte aplicable la Ley de Pensiones para los Empleados del Gobierno del Estado de Oaxaca</w:t>
      </w:r>
      <w:r w:rsidR="001269F6">
        <w:rPr>
          <w:rFonts w:ascii="Arial" w:hAnsi="Arial" w:cs="Arial"/>
          <w:sz w:val="24"/>
          <w:szCs w:val="24"/>
        </w:rPr>
        <w:t>,</w:t>
      </w:r>
    </w:p>
    <w:p w:rsidR="00815DEF" w:rsidRPr="00E0795E" w:rsidRDefault="00815DEF" w:rsidP="00815DEF">
      <w:pPr>
        <w:spacing w:line="360" w:lineRule="auto"/>
        <w:ind w:right="-518" w:firstLine="426"/>
        <w:jc w:val="both"/>
        <w:rPr>
          <w:rFonts w:ascii="Arial" w:hAnsi="Arial" w:cs="Arial"/>
          <w:sz w:val="24"/>
          <w:szCs w:val="24"/>
        </w:rPr>
      </w:pPr>
      <w:r w:rsidRPr="00E0795E">
        <w:rPr>
          <w:rFonts w:ascii="Arial" w:hAnsi="Arial" w:cs="Arial"/>
          <w:sz w:val="24"/>
          <w:szCs w:val="24"/>
        </w:rPr>
        <w:t xml:space="preserve"> </w:t>
      </w:r>
    </w:p>
    <w:p w:rsidR="00815DEF" w:rsidRPr="00E0795E" w:rsidRDefault="00EB0367" w:rsidP="00815DEF">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A388ED9" wp14:editId="26CCF798">
                <wp:simplePos x="0" y="0"/>
                <wp:positionH relativeFrom="column">
                  <wp:posOffset>-1151255</wp:posOffset>
                </wp:positionH>
                <wp:positionV relativeFrom="paragraph">
                  <wp:posOffset>170180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0.65pt;margin-top:13.4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">
                <v:textbo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6C4D63" w:rsidRDefault="00815DEF" w:rsidP="006C4D63">
      <w:pPr>
        <w:spacing w:line="360" w:lineRule="auto"/>
        <w:ind w:right="-518" w:firstLine="426"/>
        <w:jc w:val="both"/>
        <w:rPr>
          <w:rFonts w:ascii="Arial" w:hAnsi="Arial" w:cs="Arial"/>
          <w:sz w:val="24"/>
          <w:szCs w:val="24"/>
        </w:rPr>
      </w:pPr>
      <w:r>
        <w:rPr>
          <w:rFonts w:ascii="Arial" w:hAnsi="Arial" w:cs="Arial"/>
          <w:sz w:val="24"/>
          <w:szCs w:val="24"/>
        </w:rPr>
        <w:t>Del análisis del</w:t>
      </w:r>
      <w:r w:rsidR="005B1731">
        <w:rPr>
          <w:rFonts w:ascii="Arial" w:hAnsi="Arial" w:cs="Arial"/>
          <w:sz w:val="24"/>
          <w:szCs w:val="24"/>
        </w:rPr>
        <w:t xml:space="preserve"> oficio </w:t>
      </w:r>
      <w:r w:rsidR="003D4C40">
        <w:rPr>
          <w:rFonts w:cs="Arial"/>
          <w:b/>
          <w:i/>
          <w:sz w:val="22"/>
          <w:szCs w:val="22"/>
        </w:rPr>
        <w:t xml:space="preserve">********** </w:t>
      </w:r>
      <w:r w:rsidR="005B1731">
        <w:rPr>
          <w:rFonts w:ascii="Arial" w:hAnsi="Arial" w:cs="Arial"/>
          <w:sz w:val="24"/>
          <w:szCs w:val="24"/>
        </w:rPr>
        <w:t>de 15 quince de diciembre de 2017 dos mil diecisiete, emitido por el Director General de la Oficina de Pensiones, documental a la que se le concede pleno valor probatorio, conforme al artículo 173 de la Ley de Procedimiento y Justicia Administrativa del Estado de Oaxaca, por haber sido elaborado por una autoridad administrativa en ejercicio de sus funciones;</w:t>
      </w:r>
      <w:r>
        <w:rPr>
          <w:rFonts w:ascii="Arial" w:hAnsi="Arial" w:cs="Arial"/>
          <w:sz w:val="24"/>
          <w:szCs w:val="24"/>
        </w:rPr>
        <w:t xml:space="preserve"> se advierte que el Director General de la Oficina de Pensiones del Estado de Oaxaca, informa a</w:t>
      </w:r>
      <w:r w:rsidR="00724FF7">
        <w:rPr>
          <w:rFonts w:ascii="Arial" w:hAnsi="Arial" w:cs="Arial"/>
          <w:sz w:val="24"/>
          <w:szCs w:val="24"/>
        </w:rPr>
        <w:t xml:space="preserve"> </w:t>
      </w:r>
      <w:r w:rsidR="00B06528">
        <w:rPr>
          <w:rFonts w:ascii="Arial" w:hAnsi="Arial" w:cs="Arial"/>
          <w:sz w:val="24"/>
          <w:szCs w:val="24"/>
        </w:rPr>
        <w:t xml:space="preserve">********** </w:t>
      </w:r>
      <w:r>
        <w:rPr>
          <w:rFonts w:ascii="Arial" w:hAnsi="Arial" w:cs="Arial"/>
          <w:sz w:val="24"/>
          <w:szCs w:val="24"/>
        </w:rPr>
        <w:t xml:space="preserve">que en sesión ordinaria de fecha </w:t>
      </w:r>
      <w:r w:rsidR="00724FF7">
        <w:rPr>
          <w:rFonts w:ascii="Arial" w:hAnsi="Arial" w:cs="Arial"/>
          <w:sz w:val="24"/>
          <w:szCs w:val="24"/>
        </w:rPr>
        <w:t xml:space="preserve">15 quince de diciembre </w:t>
      </w:r>
      <w:r>
        <w:rPr>
          <w:rFonts w:ascii="Arial" w:hAnsi="Arial" w:cs="Arial"/>
          <w:sz w:val="24"/>
          <w:szCs w:val="24"/>
        </w:rPr>
        <w:t>de 2017 dos mil diecisiete, el Consejo Directivo de la Oficina de Pensiones del Estado, autorizó su petición de pensión por jubilación</w:t>
      </w:r>
      <w:r w:rsidR="009D09B0">
        <w:rPr>
          <w:rFonts w:ascii="Arial" w:hAnsi="Arial" w:cs="Arial"/>
          <w:sz w:val="24"/>
          <w:szCs w:val="24"/>
        </w:rPr>
        <w:t xml:space="preserve">, con el 100% del sueldo base que percibía como músico solista, que es </w:t>
      </w:r>
      <w:r w:rsidR="009D09B0" w:rsidRPr="00603C5E">
        <w:rPr>
          <w:rFonts w:ascii="Arial" w:hAnsi="Arial" w:cs="Arial"/>
          <w:sz w:val="24"/>
          <w:szCs w:val="24"/>
        </w:rPr>
        <w:t>de $5,755.00 (CINCO MIL SETECIENTOS CINCUENTA Y CINCO PESOS 00/100 MONEDA NACIONAL)</w:t>
      </w:r>
      <w:r w:rsidR="002C362B" w:rsidRPr="00603C5E">
        <w:rPr>
          <w:rFonts w:ascii="Arial" w:hAnsi="Arial" w:cs="Arial"/>
          <w:sz w:val="24"/>
          <w:szCs w:val="24"/>
        </w:rPr>
        <w:t xml:space="preserve">; </w:t>
      </w:r>
      <w:r w:rsidR="006C4D63">
        <w:rPr>
          <w:rFonts w:ascii="Arial" w:hAnsi="Arial" w:cs="Arial"/>
          <w:sz w:val="24"/>
          <w:szCs w:val="24"/>
        </w:rPr>
        <w:t>citando como fundamento legal de dicha determinación entre otros, los artículos 53 y 54 de la Ley de Pensiones para los Trabajadores del Gobierno del Estado, entre otros.</w:t>
      </w:r>
    </w:p>
    <w:p w:rsidR="006C4D63" w:rsidRDefault="006C4D63"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sidRPr="00E0795E">
        <w:rPr>
          <w:rFonts w:ascii="Arial" w:hAnsi="Arial" w:cs="Arial"/>
          <w:sz w:val="24"/>
          <w:szCs w:val="24"/>
        </w:rPr>
        <w:lastRenderedPageBreak/>
        <w:t xml:space="preserve"> </w:t>
      </w:r>
      <w:r>
        <w:rPr>
          <w:rFonts w:ascii="Arial" w:hAnsi="Arial" w:cs="Arial"/>
          <w:sz w:val="24"/>
          <w:szCs w:val="24"/>
        </w:rPr>
        <w:t>Por otra parte</w:t>
      </w:r>
      <w:r w:rsidR="002C362B">
        <w:rPr>
          <w:rFonts w:ascii="Arial" w:hAnsi="Arial" w:cs="Arial"/>
          <w:sz w:val="24"/>
          <w:szCs w:val="24"/>
        </w:rPr>
        <w:t xml:space="preserve"> en </w:t>
      </w:r>
      <w:r>
        <w:rPr>
          <w:rFonts w:ascii="Arial" w:hAnsi="Arial" w:cs="Arial"/>
          <w:sz w:val="24"/>
          <w:szCs w:val="24"/>
        </w:rPr>
        <w:t>e</w:t>
      </w:r>
      <w:r w:rsidRPr="00E0795E">
        <w:rPr>
          <w:rFonts w:ascii="Arial" w:hAnsi="Arial" w:cs="Arial"/>
          <w:sz w:val="24"/>
          <w:szCs w:val="24"/>
        </w:rPr>
        <w:t>l</w:t>
      </w:r>
      <w:r>
        <w:rPr>
          <w:rFonts w:ascii="Arial" w:hAnsi="Arial" w:cs="Arial"/>
          <w:sz w:val="24"/>
          <w:szCs w:val="24"/>
        </w:rPr>
        <w:t xml:space="preserve"> </w:t>
      </w:r>
      <w:r w:rsidR="002C362B">
        <w:rPr>
          <w:rFonts w:ascii="Arial" w:hAnsi="Arial" w:cs="Arial"/>
          <w:sz w:val="24"/>
          <w:szCs w:val="24"/>
        </w:rPr>
        <w:t xml:space="preserve">citado </w:t>
      </w:r>
      <w:r>
        <w:rPr>
          <w:rFonts w:ascii="Arial" w:hAnsi="Arial" w:cs="Arial"/>
          <w:sz w:val="24"/>
          <w:szCs w:val="24"/>
        </w:rPr>
        <w:t xml:space="preserve">dictamen de pensión por jubilación, </w:t>
      </w:r>
      <w:r w:rsidR="002C362B">
        <w:rPr>
          <w:rFonts w:ascii="Arial" w:hAnsi="Arial" w:cs="Arial"/>
          <w:sz w:val="24"/>
          <w:szCs w:val="24"/>
        </w:rPr>
        <w:t>la enjuiciada determinó</w:t>
      </w:r>
      <w:r w:rsidRPr="00E0795E">
        <w:rPr>
          <w:rFonts w:ascii="Arial" w:hAnsi="Arial" w:cs="Arial"/>
          <w:sz w:val="24"/>
          <w:szCs w:val="24"/>
        </w:rPr>
        <w:t xml:space="preserve"> que con las constancia presentadas por la actora en su solicitud, acreditó ser una trabajadora incorporada antes de la vigencia de la Ley de Pensiones para los Trabajadores del Gobierno del Estado, por lo que con fundamento en el </w:t>
      </w:r>
      <w:r>
        <w:rPr>
          <w:rFonts w:ascii="Arial" w:hAnsi="Arial" w:cs="Arial"/>
          <w:sz w:val="24"/>
          <w:szCs w:val="24"/>
        </w:rPr>
        <w:t>artículo 6º fracción III, 18 párrafo segundo y transitorio octavo de la Ley de Pensiones para los Trabajadores del Gobierno del Estado, ordenó a la oficina de pensiones que al monto de su pensión por jubilación, se le descuente el nueve por ciento por concepto de cuota al fondo de pensiones, por ser la Ley que jurídicamente le corresponde.</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815DEF" w:rsidRDefault="00815DEF" w:rsidP="00815DEF">
      <w:pPr>
        <w:spacing w:line="360" w:lineRule="auto"/>
        <w:ind w:right="-518" w:firstLine="426"/>
        <w:jc w:val="both"/>
        <w:rPr>
          <w:rFonts w:ascii="Arial" w:hAnsi="Arial" w:cs="Arial"/>
          <w:sz w:val="24"/>
          <w:szCs w:val="24"/>
        </w:rPr>
      </w:pPr>
    </w:p>
    <w:p w:rsidR="00815DEF" w:rsidRPr="00732D7D" w:rsidRDefault="00815DEF" w:rsidP="00815DEF">
      <w:pPr>
        <w:spacing w:line="360" w:lineRule="auto"/>
        <w:ind w:left="709" w:right="-518"/>
        <w:jc w:val="both"/>
        <w:rPr>
          <w:rFonts w:ascii="Arial" w:hAnsi="Arial" w:cs="Arial"/>
          <w:i/>
          <w:sz w:val="24"/>
          <w:szCs w:val="24"/>
        </w:rPr>
      </w:pPr>
      <w:r w:rsidRPr="00732D7D">
        <w:rPr>
          <w:rFonts w:ascii="Arial" w:hAnsi="Arial" w:cs="Arial"/>
          <w:i/>
          <w:sz w:val="24"/>
          <w:szCs w:val="24"/>
        </w:rPr>
        <w:t>ARTÍCULO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815DEF" w:rsidRPr="00732D7D" w:rsidRDefault="00815DEF" w:rsidP="00815DEF">
      <w:pPr>
        <w:spacing w:line="360" w:lineRule="auto"/>
        <w:ind w:left="709" w:right="-518"/>
        <w:jc w:val="both"/>
        <w:rPr>
          <w:rFonts w:ascii="Arial" w:hAnsi="Arial" w:cs="Arial"/>
          <w:i/>
          <w:sz w:val="24"/>
          <w:szCs w:val="24"/>
        </w:rPr>
      </w:pPr>
      <w:r w:rsidRPr="00732D7D">
        <w:rPr>
          <w:rFonts w:ascii="Arial" w:hAnsi="Arial" w:cs="Arial"/>
          <w:i/>
          <w:sz w:val="24"/>
          <w:szCs w:val="24"/>
        </w:rPr>
        <w:t>ARTÍCULO 54. Al monto resultante de la pensión señalada en el artículo anterior, se integrarán las prestaciones siguientes:</w:t>
      </w:r>
    </w:p>
    <w:p w:rsidR="00815DEF" w:rsidRPr="00732D7D" w:rsidRDefault="00815DEF" w:rsidP="00815DEF">
      <w:pPr>
        <w:spacing w:line="360" w:lineRule="auto"/>
        <w:ind w:left="709" w:right="-518"/>
        <w:jc w:val="both"/>
        <w:rPr>
          <w:rFonts w:ascii="Arial" w:hAnsi="Arial" w:cs="Arial"/>
          <w:b/>
          <w:i/>
          <w:sz w:val="24"/>
          <w:szCs w:val="24"/>
        </w:rPr>
      </w:pPr>
      <w:r w:rsidRPr="00732D7D">
        <w:rPr>
          <w:rFonts w:ascii="Arial" w:hAnsi="Arial" w:cs="Arial"/>
          <w:i/>
          <w:sz w:val="24"/>
          <w:szCs w:val="24"/>
        </w:rPr>
        <w:t xml:space="preserve">I.- Jubilados: tratándose </w:t>
      </w:r>
      <w:r w:rsidRPr="00732D7D">
        <w:rPr>
          <w:rFonts w:ascii="Arial" w:hAnsi="Arial" w:cs="Arial"/>
          <w:b/>
          <w:i/>
          <w:sz w:val="24"/>
          <w:szCs w:val="24"/>
        </w:rPr>
        <w:t xml:space="preserve">solo de aquéllos que fueron trabajadores de base se integrarán la previsión social múltiple, despensa, vida cara, quinquenios, aguinaldo, estímulo del día del jubilado, día de las madres y canasta navideña. </w:t>
      </w:r>
    </w:p>
    <w:p w:rsidR="00815DEF" w:rsidRPr="00732D7D" w:rsidRDefault="00815DEF" w:rsidP="00815DEF">
      <w:pPr>
        <w:spacing w:line="360" w:lineRule="auto"/>
        <w:ind w:left="709" w:right="-518"/>
        <w:jc w:val="both"/>
        <w:rPr>
          <w:rFonts w:ascii="Arial" w:hAnsi="Arial" w:cs="Arial"/>
          <w:b/>
          <w:i/>
          <w:sz w:val="24"/>
          <w:szCs w:val="24"/>
        </w:rPr>
      </w:pPr>
      <w:r w:rsidRPr="00732D7D">
        <w:rPr>
          <w:rFonts w:ascii="Arial" w:hAnsi="Arial" w:cs="Arial"/>
          <w:b/>
          <w:i/>
          <w:sz w:val="24"/>
          <w:szCs w:val="24"/>
        </w:rPr>
        <w:t>El aguinaldo para jubilados será equivalente a 70 días de la cuantía diaria; y</w:t>
      </w:r>
    </w:p>
    <w:p w:rsidR="00815DEF" w:rsidRPr="00732D7D" w:rsidRDefault="00815DEF" w:rsidP="00815DEF">
      <w:pPr>
        <w:spacing w:line="360" w:lineRule="auto"/>
        <w:ind w:left="709" w:right="-518"/>
        <w:jc w:val="both"/>
        <w:rPr>
          <w:rFonts w:ascii="Arial" w:hAnsi="Arial" w:cs="Arial"/>
          <w:i/>
          <w:sz w:val="24"/>
          <w:szCs w:val="24"/>
        </w:rPr>
      </w:pPr>
      <w:r w:rsidRPr="00732D7D">
        <w:rPr>
          <w:rFonts w:ascii="Arial" w:hAnsi="Arial" w:cs="Arial"/>
          <w:i/>
          <w:sz w:val="24"/>
          <w:szCs w:val="24"/>
        </w:rPr>
        <w:t>II. Pensionados y pensionistas: canasta navideña.</w:t>
      </w:r>
    </w:p>
    <w:p w:rsidR="00815DEF" w:rsidRDefault="00815DEF" w:rsidP="00815DEF">
      <w:pPr>
        <w:spacing w:line="360" w:lineRule="auto"/>
        <w:ind w:left="709" w:right="-518"/>
        <w:jc w:val="both"/>
        <w:rPr>
          <w:rFonts w:ascii="Arial" w:hAnsi="Arial" w:cs="Arial"/>
          <w:sz w:val="24"/>
          <w:szCs w:val="24"/>
        </w:rPr>
      </w:pPr>
      <w:r>
        <w:rPr>
          <w:rFonts w:ascii="Arial" w:hAnsi="Arial" w:cs="Arial"/>
          <w:sz w:val="24"/>
          <w:szCs w:val="24"/>
        </w:rPr>
        <w:t>Los montos de las prestaciones señaladas en las fracciones anteriores serán determinados por acuerdo del Consejo Directivo, mismos que no deberán ser superiores a los montos que se otorguen a los trabajadores activos.</w:t>
      </w:r>
    </w:p>
    <w:p w:rsidR="00815DEF" w:rsidRDefault="00815DEF" w:rsidP="00815DEF">
      <w:pPr>
        <w:spacing w:line="360" w:lineRule="auto"/>
        <w:ind w:left="709" w:right="-518"/>
        <w:jc w:val="both"/>
        <w:rPr>
          <w:rFonts w:ascii="Arial" w:hAnsi="Arial" w:cs="Arial"/>
          <w:sz w:val="24"/>
          <w:szCs w:val="24"/>
        </w:rPr>
      </w:pPr>
      <w:r>
        <w:rPr>
          <w:rFonts w:ascii="Arial" w:hAnsi="Arial" w:cs="Arial"/>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Como se ve, el numeral 54 transcrito, es discriminatorio </w:t>
      </w:r>
      <w:r w:rsidRPr="002906E2">
        <w:rPr>
          <w:rFonts w:ascii="Arial" w:hAnsi="Arial" w:cs="Arial"/>
          <w:b/>
          <w:sz w:val="24"/>
          <w:szCs w:val="24"/>
        </w:rPr>
        <w:t>para los trabajadores jubilados de confianza,</w:t>
      </w:r>
      <w:r>
        <w:rPr>
          <w:rFonts w:ascii="Arial" w:hAnsi="Arial" w:cs="Arial"/>
          <w:sz w:val="24"/>
          <w:szCs w:val="24"/>
        </w:rPr>
        <w:t xml:space="preserve"> ya que sólo se refiere a que los </w:t>
      </w:r>
      <w:r w:rsidRPr="002906E2">
        <w:rPr>
          <w:rFonts w:ascii="Arial" w:hAnsi="Arial" w:cs="Arial"/>
          <w:b/>
          <w:sz w:val="24"/>
          <w:szCs w:val="24"/>
        </w:rPr>
        <w:t>trabajadores jubilados de base,</w:t>
      </w:r>
      <w:r>
        <w:rPr>
          <w:rFonts w:ascii="Arial" w:hAnsi="Arial" w:cs="Arial"/>
          <w:sz w:val="24"/>
          <w:szCs w:val="24"/>
        </w:rPr>
        <w:t xml:space="preserve"> tienen las siguientes prestaciones: previsión social múltiple, despensa, vida cara, quinquenios, aguinaldos, </w:t>
      </w:r>
      <w:r w:rsidR="006C4D63">
        <w:rPr>
          <w:rFonts w:ascii="Arial" w:hAnsi="Arial" w:cs="Arial"/>
          <w:sz w:val="24"/>
          <w:szCs w:val="24"/>
        </w:rPr>
        <w:t xml:space="preserve">estímulos del día del jubilado </w:t>
      </w:r>
      <w:r>
        <w:rPr>
          <w:rFonts w:ascii="Arial" w:hAnsi="Arial" w:cs="Arial"/>
          <w:sz w:val="24"/>
          <w:szCs w:val="24"/>
        </w:rPr>
        <w:t>y canasta navideña, el aguinaldo para jubilados será equivalente a setenta días de la cuantía diaria y a canasta navideña; por lo tanto, ante la existencia de un acto discriminatorio, por ende, resulta violario del artículo 1º de la Constitución Política de los Estados Unidos Mexicanos.</w:t>
      </w:r>
    </w:p>
    <w:p w:rsidR="00815DEF" w:rsidRDefault="00815DEF" w:rsidP="00815DEF">
      <w:pPr>
        <w:spacing w:line="360" w:lineRule="auto"/>
        <w:ind w:right="-518" w:firstLine="426"/>
        <w:jc w:val="both"/>
        <w:rPr>
          <w:rFonts w:ascii="Arial" w:hAnsi="Arial" w:cs="Arial"/>
          <w:sz w:val="24"/>
          <w:szCs w:val="24"/>
        </w:rPr>
      </w:pPr>
    </w:p>
    <w:p w:rsidR="00815DEF" w:rsidRDefault="00EB0367" w:rsidP="00815DEF">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562101F" wp14:editId="7E11582A">
                <wp:simplePos x="0" y="0"/>
                <wp:positionH relativeFrom="column">
                  <wp:posOffset>-989330</wp:posOffset>
                </wp:positionH>
                <wp:positionV relativeFrom="paragraph">
                  <wp:posOffset>4901565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9pt;margin-top:385.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">
                <v:textbo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15DEF">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En ese tenor, el artículo 1 de la Constitución Federal señala:</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left="567" w:right="-518"/>
        <w:jc w:val="both"/>
        <w:rPr>
          <w:rFonts w:ascii="Arial" w:hAnsi="Arial" w:cs="Arial"/>
          <w:i/>
          <w:sz w:val="24"/>
          <w:szCs w:val="24"/>
        </w:rPr>
      </w:pPr>
      <w:r w:rsidRPr="00732D7D">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815DEF" w:rsidRPr="00732D7D" w:rsidRDefault="00815DEF" w:rsidP="00815DEF">
      <w:pPr>
        <w:spacing w:line="360" w:lineRule="auto"/>
        <w:ind w:left="567" w:right="-518"/>
        <w:jc w:val="both"/>
        <w:rPr>
          <w:rFonts w:ascii="Arial" w:hAnsi="Arial" w:cs="Arial"/>
          <w:i/>
          <w:sz w:val="24"/>
          <w:szCs w:val="24"/>
        </w:rPr>
      </w:pPr>
      <w:r w:rsidRPr="00732D7D">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815DEF" w:rsidRPr="00732D7D" w:rsidRDefault="00815DEF" w:rsidP="00815DEF">
      <w:pPr>
        <w:spacing w:line="360" w:lineRule="auto"/>
        <w:ind w:left="567" w:right="-518"/>
        <w:jc w:val="both"/>
        <w:rPr>
          <w:rFonts w:ascii="Arial" w:hAnsi="Arial" w:cs="Arial"/>
          <w:i/>
          <w:sz w:val="24"/>
          <w:szCs w:val="24"/>
        </w:rPr>
      </w:pPr>
      <w:r w:rsidRPr="00732D7D">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815DEF" w:rsidRPr="00732D7D" w:rsidRDefault="00815DEF" w:rsidP="00815DEF">
      <w:pPr>
        <w:spacing w:line="360" w:lineRule="auto"/>
        <w:ind w:left="567" w:right="-518"/>
        <w:jc w:val="both"/>
        <w:rPr>
          <w:rFonts w:ascii="Arial" w:hAnsi="Arial" w:cs="Arial"/>
          <w:i/>
          <w:sz w:val="24"/>
          <w:szCs w:val="24"/>
        </w:rPr>
      </w:pPr>
      <w:r w:rsidRPr="00732D7D">
        <w:rPr>
          <w:rFonts w:ascii="Arial" w:hAnsi="Arial" w:cs="Arial"/>
          <w:i/>
          <w:sz w:val="24"/>
          <w:szCs w:val="24"/>
        </w:rPr>
        <w:t xml:space="preserve">“Artículo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w:t>
      </w:r>
      <w:r w:rsidRPr="00732D7D">
        <w:rPr>
          <w:rFonts w:ascii="Arial" w:hAnsi="Arial" w:cs="Arial"/>
          <w:i/>
          <w:sz w:val="24"/>
          <w:szCs w:val="24"/>
        </w:rPr>
        <w:lastRenderedPageBreak/>
        <w:t>cada Estado se arreglaran a dicha Constitución, leyes y tratados, a pesar de las disposiciones en contrario que pueda haber en las Constituciones o leyes de los Estados”</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815DEF" w:rsidRDefault="00815DEF" w:rsidP="00815DEF">
      <w:pPr>
        <w:spacing w:line="360" w:lineRule="auto"/>
        <w:ind w:right="-518" w:firstLine="426"/>
        <w:jc w:val="both"/>
        <w:rPr>
          <w:rFonts w:ascii="Arial" w:hAnsi="Arial" w:cs="Arial"/>
          <w:sz w:val="24"/>
          <w:szCs w:val="24"/>
        </w:rPr>
      </w:pPr>
    </w:p>
    <w:p w:rsidR="00815DEF" w:rsidRDefault="00815DEF" w:rsidP="00815DEF">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815DEF" w:rsidRPr="0041504C" w:rsidRDefault="00815DEF" w:rsidP="00815DEF">
      <w:pPr>
        <w:spacing w:line="360" w:lineRule="auto"/>
        <w:ind w:right="-518" w:firstLine="426"/>
        <w:jc w:val="both"/>
        <w:rPr>
          <w:rFonts w:ascii="Arial" w:hAnsi="Arial" w:cs="Arial"/>
          <w:b/>
          <w:i/>
          <w:sz w:val="24"/>
          <w:szCs w:val="24"/>
        </w:rPr>
      </w:pPr>
      <w:r w:rsidRPr="0041504C">
        <w:rPr>
          <w:rFonts w:ascii="Arial" w:hAnsi="Arial" w:cs="Arial"/>
          <w:b/>
          <w:i/>
          <w:sz w:val="24"/>
          <w:szCs w:val="24"/>
        </w:rPr>
        <w:t>Artículo 1</w:t>
      </w:r>
    </w:p>
    <w:p w:rsidR="00815DEF" w:rsidRPr="0041504C" w:rsidRDefault="00815DEF" w:rsidP="00815DEF">
      <w:pPr>
        <w:pStyle w:val="Prrafodelista"/>
        <w:numPr>
          <w:ilvl w:val="0"/>
          <w:numId w:val="5"/>
        </w:numPr>
        <w:spacing w:line="360" w:lineRule="auto"/>
        <w:ind w:right="-518"/>
        <w:jc w:val="both"/>
        <w:rPr>
          <w:rFonts w:ascii="Arial" w:hAnsi="Arial" w:cs="Arial"/>
          <w:i/>
          <w:sz w:val="24"/>
          <w:szCs w:val="24"/>
        </w:rPr>
      </w:pPr>
      <w:r w:rsidRPr="0041504C">
        <w:rPr>
          <w:rFonts w:ascii="Arial" w:hAnsi="Arial" w:cs="Arial"/>
          <w:i/>
          <w:sz w:val="24"/>
          <w:szCs w:val="24"/>
        </w:rPr>
        <w:t>A los efectos de este Convenio el término discriminación comprende:</w:t>
      </w:r>
    </w:p>
    <w:p w:rsidR="00815DEF" w:rsidRPr="0041504C" w:rsidRDefault="00815DEF" w:rsidP="00815DEF">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815DEF" w:rsidRPr="0041504C" w:rsidRDefault="00815DEF" w:rsidP="00815DEF">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41504C">
        <w:rPr>
          <w:rFonts w:ascii="Arial" w:hAnsi="Arial" w:cs="Arial"/>
          <w:i/>
          <w:sz w:val="24"/>
          <w:szCs w:val="24"/>
        </w:rPr>
        <w:t>o</w:t>
      </w:r>
      <w:proofErr w:type="spellEnd"/>
      <w:r w:rsidRPr="0041504C">
        <w:rPr>
          <w:rFonts w:ascii="Arial" w:hAnsi="Arial" w:cs="Arial"/>
          <w:i/>
          <w:sz w:val="24"/>
          <w:szCs w:val="24"/>
        </w:rPr>
        <w:t xml:space="preserve"> ocupación…”</w:t>
      </w:r>
    </w:p>
    <w:p w:rsidR="00815DEF" w:rsidRDefault="00815DEF" w:rsidP="00815DEF">
      <w:pPr>
        <w:pStyle w:val="Prrafodelista"/>
        <w:spacing w:line="360" w:lineRule="auto"/>
        <w:ind w:left="786" w:right="-518"/>
        <w:jc w:val="both"/>
        <w:rPr>
          <w:rFonts w:ascii="Arial" w:hAnsi="Arial" w:cs="Arial"/>
          <w:sz w:val="24"/>
          <w:szCs w:val="24"/>
        </w:rPr>
      </w:pPr>
    </w:p>
    <w:p w:rsidR="00815DEF" w:rsidRDefault="00815DEF" w:rsidP="00815DEF">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815DEF" w:rsidRDefault="00815DEF" w:rsidP="00815DEF">
      <w:pPr>
        <w:spacing w:line="360" w:lineRule="auto"/>
        <w:ind w:right="-518"/>
        <w:jc w:val="both"/>
        <w:rPr>
          <w:rFonts w:ascii="Arial" w:hAnsi="Arial" w:cs="Arial"/>
          <w:sz w:val="24"/>
          <w:szCs w:val="24"/>
        </w:rPr>
      </w:pPr>
    </w:p>
    <w:p w:rsidR="00815DEF" w:rsidRDefault="00815DEF" w:rsidP="00815DEF">
      <w:pPr>
        <w:spacing w:line="360" w:lineRule="auto"/>
        <w:ind w:right="-518" w:firstLine="708"/>
        <w:jc w:val="both"/>
        <w:rPr>
          <w:rFonts w:ascii="Arial" w:hAnsi="Arial" w:cs="Arial"/>
          <w:sz w:val="24"/>
          <w:szCs w:val="24"/>
        </w:rPr>
      </w:pPr>
      <w:r>
        <w:rPr>
          <w:rFonts w:ascii="Arial" w:hAnsi="Arial" w:cs="Arial"/>
          <w:sz w:val="24"/>
          <w:szCs w:val="24"/>
        </w:rPr>
        <w:lastRenderedPageBreak/>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815DEF" w:rsidRDefault="00815DEF" w:rsidP="00815DEF">
      <w:pPr>
        <w:spacing w:line="360" w:lineRule="auto"/>
        <w:ind w:right="-518"/>
        <w:jc w:val="both"/>
        <w:rPr>
          <w:rFonts w:ascii="Arial" w:hAnsi="Arial" w:cs="Arial"/>
          <w:sz w:val="24"/>
          <w:szCs w:val="24"/>
        </w:rPr>
      </w:pPr>
    </w:p>
    <w:p w:rsidR="00815DEF" w:rsidRPr="0041504C" w:rsidRDefault="00EB0367" w:rsidP="00805C9E">
      <w:pPr>
        <w:spacing w:line="276"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0A1FB200" wp14:editId="7CFC58C0">
                <wp:simplePos x="0" y="0"/>
                <wp:positionH relativeFrom="column">
                  <wp:posOffset>-998855</wp:posOffset>
                </wp:positionH>
                <wp:positionV relativeFrom="paragraph">
                  <wp:posOffset>3214370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8.65pt;margin-top:253.1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">
                <v:textbo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15DEF" w:rsidRPr="0041504C">
        <w:rPr>
          <w:rFonts w:ascii="Arial" w:hAnsi="Arial" w:cs="Arial"/>
          <w:b/>
          <w:i/>
          <w:sz w:val="24"/>
          <w:szCs w:val="24"/>
        </w:rPr>
        <w:t>PASOS A SEGUIR EN EL CONTROL DE CONSTITUCIONALIDAD Y CONVENCIONALIDAD EX OFFICIO EN MATERIA DE DERECHOS HUMANOS.</w:t>
      </w:r>
      <w:r w:rsidR="00815DEF" w:rsidRPr="0041504C">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00815DEF" w:rsidRPr="0041504C">
        <w:rPr>
          <w:rFonts w:ascii="Arial" w:hAnsi="Arial" w:cs="Arial"/>
          <w:i/>
          <w:sz w:val="24"/>
          <w:szCs w:val="24"/>
        </w:rPr>
        <w:t>officio</w:t>
      </w:r>
      <w:proofErr w:type="spellEnd"/>
      <w:r w:rsidR="00815DEF" w:rsidRPr="0041504C">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815DEF" w:rsidRDefault="00815DEF" w:rsidP="00815DEF">
      <w:pPr>
        <w:spacing w:line="360" w:lineRule="auto"/>
        <w:ind w:right="-518"/>
        <w:jc w:val="both"/>
        <w:rPr>
          <w:rFonts w:ascii="Arial" w:hAnsi="Arial" w:cs="Arial"/>
          <w:i/>
          <w:sz w:val="24"/>
          <w:szCs w:val="24"/>
        </w:rPr>
      </w:pPr>
    </w:p>
    <w:p w:rsidR="00815DEF" w:rsidRDefault="00815DEF" w:rsidP="00815DEF">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815DEF" w:rsidRDefault="00815DEF" w:rsidP="00815DEF">
      <w:pPr>
        <w:spacing w:line="360" w:lineRule="auto"/>
        <w:ind w:right="-518"/>
        <w:jc w:val="both"/>
        <w:rPr>
          <w:rFonts w:ascii="Arial" w:hAnsi="Arial" w:cs="Arial"/>
          <w:sz w:val="24"/>
          <w:szCs w:val="24"/>
        </w:rPr>
      </w:pPr>
    </w:p>
    <w:p w:rsidR="00815DEF" w:rsidRPr="00232004" w:rsidRDefault="00815DEF" w:rsidP="00805C9E">
      <w:pPr>
        <w:spacing w:line="276" w:lineRule="auto"/>
        <w:ind w:left="567" w:right="-518"/>
        <w:jc w:val="both"/>
        <w:rPr>
          <w:rFonts w:ascii="Arial" w:hAnsi="Arial" w:cs="Arial"/>
          <w:i/>
          <w:sz w:val="24"/>
          <w:szCs w:val="24"/>
        </w:rPr>
      </w:pPr>
      <w:r w:rsidRPr="00232004">
        <w:rPr>
          <w:rFonts w:ascii="Arial" w:hAnsi="Arial" w:cs="Arial"/>
          <w:b/>
          <w:i/>
          <w:sz w:val="24"/>
          <w:szCs w:val="24"/>
        </w:rPr>
        <w:lastRenderedPageBreak/>
        <w:t>CONTROL DIFUSO DE CONSTITUCIONALIDAD EX OFFICIO. PASOS Y ASPECTOS SUSTANTIVOS E INSTRUMENTALES QUE DEBEN OBSERVARSE PARA REALIZARLO.</w:t>
      </w:r>
      <w:r>
        <w:rPr>
          <w:rFonts w:ascii="Arial" w:hAnsi="Arial" w:cs="Arial"/>
          <w:i/>
          <w:sz w:val="24"/>
          <w:szCs w:val="24"/>
        </w:rPr>
        <w:t xml:space="preserve"> </w:t>
      </w:r>
      <w:r w:rsidRPr="00232004">
        <w:rPr>
          <w:rFonts w:ascii="Arial" w:hAnsi="Arial" w:cs="Arial"/>
          <w:i/>
          <w:sz w:val="24"/>
          <w:szCs w:val="24"/>
        </w:rPr>
        <w:t xml:space="preserve">Para realizar el control difuso de constitucionalidad -connotación que incluye el control de convencionalidad- en la modalidad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232004">
        <w:rPr>
          <w:rFonts w:ascii="Arial" w:hAnsi="Arial" w:cs="Arial"/>
          <w:i/>
          <w:sz w:val="24"/>
          <w:szCs w:val="24"/>
        </w:rPr>
        <w:t>iura</w:t>
      </w:r>
      <w:proofErr w:type="spellEnd"/>
      <w:r w:rsidRPr="00232004">
        <w:rPr>
          <w:rFonts w:ascii="Arial" w:hAnsi="Arial" w:cs="Arial"/>
          <w:i/>
          <w:sz w:val="24"/>
          <w:szCs w:val="24"/>
        </w:rPr>
        <w:t xml:space="preserve"> </w:t>
      </w:r>
      <w:proofErr w:type="spellStart"/>
      <w:r w:rsidRPr="00232004">
        <w:rPr>
          <w:rFonts w:ascii="Arial" w:hAnsi="Arial" w:cs="Arial"/>
          <w:i/>
          <w:sz w:val="24"/>
          <w:szCs w:val="24"/>
        </w:rPr>
        <w:t>novit</w:t>
      </w:r>
      <w:proofErr w:type="spellEnd"/>
      <w:r w:rsidRPr="0023200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232004">
        <w:rPr>
          <w:rFonts w:ascii="Arial" w:hAnsi="Arial" w:cs="Arial"/>
          <w:i/>
          <w:sz w:val="24"/>
          <w:szCs w:val="24"/>
        </w:rPr>
        <w:t>homine</w:t>
      </w:r>
      <w:proofErr w:type="spellEnd"/>
      <w:r w:rsidRPr="00232004">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815DEF" w:rsidRPr="00232004" w:rsidRDefault="00815DEF" w:rsidP="00815DEF">
      <w:pPr>
        <w:spacing w:line="360" w:lineRule="auto"/>
        <w:ind w:left="567" w:right="-518"/>
        <w:jc w:val="both"/>
        <w:rPr>
          <w:rFonts w:ascii="Arial" w:hAnsi="Arial" w:cs="Arial"/>
          <w:i/>
          <w:sz w:val="24"/>
          <w:szCs w:val="24"/>
        </w:rPr>
      </w:pPr>
    </w:p>
    <w:p w:rsidR="00815DEF" w:rsidRDefault="00815DEF" w:rsidP="00815DEF">
      <w:pPr>
        <w:spacing w:line="360" w:lineRule="auto"/>
        <w:ind w:right="-518" w:firstLine="567"/>
        <w:jc w:val="both"/>
        <w:rPr>
          <w:rFonts w:ascii="Arial" w:hAnsi="Arial" w:cs="Arial"/>
          <w:sz w:val="24"/>
          <w:szCs w:val="24"/>
        </w:rPr>
      </w:pPr>
      <w:r>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3D4C40">
        <w:rPr>
          <w:rFonts w:cs="Arial"/>
          <w:b/>
          <w:i/>
          <w:sz w:val="22"/>
          <w:szCs w:val="22"/>
        </w:rPr>
        <w:t>**********</w:t>
      </w:r>
      <w:r>
        <w:rPr>
          <w:rFonts w:ascii="Arial" w:hAnsi="Arial" w:cs="Arial"/>
          <w:sz w:val="24"/>
          <w:szCs w:val="24"/>
        </w:rPr>
        <w:t>de 1</w:t>
      </w:r>
      <w:r w:rsidR="006C4D63">
        <w:rPr>
          <w:rFonts w:ascii="Arial" w:hAnsi="Arial" w:cs="Arial"/>
          <w:sz w:val="24"/>
          <w:szCs w:val="24"/>
        </w:rPr>
        <w:t>5 quince de diciembre</w:t>
      </w:r>
      <w:r>
        <w:rPr>
          <w:rFonts w:ascii="Arial" w:hAnsi="Arial" w:cs="Arial"/>
          <w:sz w:val="24"/>
          <w:szCs w:val="24"/>
        </w:rPr>
        <w:t xml:space="preserve"> de 2017 dos mil diecisiete, emitido por el Director General de la Oficina de Pensiones del Gobierno del Estado, al ejecutar el acuerdo del Consejo Directivo de la Oficina de Pensiones, fundándose en el artículo 54, de la ley de pensiones vigente, en </w:t>
      </w:r>
      <w:r w:rsidRPr="00E0795E">
        <w:rPr>
          <w:rFonts w:ascii="Arial" w:hAnsi="Arial" w:cs="Arial"/>
          <w:sz w:val="24"/>
          <w:szCs w:val="24"/>
        </w:rPr>
        <w:t>el que niega el pago de diversas prestaciones al actor por haber sido trabajador de confianza</w:t>
      </w:r>
      <w:r>
        <w:rPr>
          <w:rFonts w:ascii="Arial" w:hAnsi="Arial" w:cs="Arial"/>
          <w:sz w:val="24"/>
          <w:szCs w:val="24"/>
        </w:rPr>
        <w:t xml:space="preserve">, </w:t>
      </w:r>
      <w:r>
        <w:rPr>
          <w:rFonts w:ascii="Arial" w:hAnsi="Arial" w:cs="Arial"/>
          <w:b/>
          <w:sz w:val="24"/>
          <w:szCs w:val="24"/>
        </w:rPr>
        <w:t xml:space="preserve">es violatorio de los derechos humanos contenidos en la Constitución Federal y en los Tratados Internacionales, </w:t>
      </w:r>
      <w:r>
        <w:rPr>
          <w:rFonts w:ascii="Arial" w:hAnsi="Arial" w:cs="Arial"/>
          <w:sz w:val="24"/>
          <w:szCs w:val="24"/>
        </w:rPr>
        <w:t xml:space="preserve">por ello, con la </w:t>
      </w:r>
      <w:r>
        <w:rPr>
          <w:rFonts w:ascii="Arial" w:hAnsi="Arial" w:cs="Arial"/>
          <w:sz w:val="24"/>
          <w:szCs w:val="24"/>
        </w:rPr>
        <w:lastRenderedPageBreak/>
        <w:t>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815DEF" w:rsidRDefault="00815DEF" w:rsidP="00815DEF">
      <w:pPr>
        <w:spacing w:line="360" w:lineRule="auto"/>
        <w:ind w:right="-518"/>
        <w:jc w:val="both"/>
        <w:rPr>
          <w:rFonts w:ascii="Arial" w:hAnsi="Arial" w:cs="Arial"/>
          <w:sz w:val="24"/>
          <w:szCs w:val="24"/>
        </w:rPr>
      </w:pPr>
    </w:p>
    <w:p w:rsidR="00815DEF" w:rsidRDefault="00815DEF" w:rsidP="00815DEF">
      <w:pPr>
        <w:spacing w:line="360" w:lineRule="auto"/>
        <w:ind w:right="-518" w:firstLine="567"/>
        <w:jc w:val="both"/>
        <w:rPr>
          <w:rFonts w:ascii="Arial" w:hAnsi="Arial" w:cs="Arial"/>
          <w:sz w:val="24"/>
          <w:szCs w:val="24"/>
        </w:rPr>
      </w:pPr>
      <w:r>
        <w:rPr>
          <w:rFonts w:ascii="Arial" w:hAnsi="Arial" w:cs="Arial"/>
          <w:sz w:val="24"/>
          <w:szCs w:val="24"/>
        </w:rPr>
        <w:t xml:space="preserve">Finalmente, respecto al descuento del 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Gobierno del Estado, del que se duele la actora, cabe precisar, que dichos numerales ya han sido declarados inconvencionales e inconstitucionales, por jurisprudencia del Tribunal Colegiados en materias del Trabajo y Administrativa del Décimo Tercer Circuito, por lo que resulta improcedente el descuento del nueve por ciento por dicho concepto. </w:t>
      </w:r>
    </w:p>
    <w:p w:rsidR="00815DEF" w:rsidRDefault="00815DEF" w:rsidP="00815DEF">
      <w:pPr>
        <w:spacing w:line="360" w:lineRule="auto"/>
        <w:ind w:right="-518" w:firstLine="567"/>
        <w:jc w:val="both"/>
        <w:rPr>
          <w:rFonts w:ascii="Arial" w:hAnsi="Arial" w:cs="Arial"/>
          <w:sz w:val="24"/>
          <w:szCs w:val="24"/>
        </w:rPr>
      </w:pPr>
    </w:p>
    <w:p w:rsidR="00815DEF" w:rsidRDefault="00815DEF" w:rsidP="00815DEF">
      <w:pPr>
        <w:spacing w:line="360" w:lineRule="auto"/>
        <w:ind w:right="-518" w:firstLine="567"/>
        <w:jc w:val="both"/>
        <w:rPr>
          <w:rFonts w:ascii="Arial" w:hAnsi="Arial" w:cs="Arial"/>
          <w:sz w:val="24"/>
          <w:szCs w:val="24"/>
        </w:rPr>
      </w:pPr>
      <w:r>
        <w:rPr>
          <w:rFonts w:ascii="Arial" w:hAnsi="Arial" w:cs="Arial"/>
          <w:sz w:val="24"/>
          <w:szCs w:val="24"/>
        </w:rPr>
        <w:t>Resulta aplicable a la anterior determinación, la jurisprudencia con número de registro 2007629, de la décima época, publicada en la Gaceta del Semanario Judicial de la Federación, en octubre de 2014, tomo III, tesis XIII. T.A. J/2 (10ª.), visible a página 2512, que al rubro y texto dice:</w:t>
      </w:r>
    </w:p>
    <w:p w:rsidR="00815DEF" w:rsidRDefault="00815DEF" w:rsidP="00815DEF">
      <w:pPr>
        <w:spacing w:line="360" w:lineRule="auto"/>
        <w:ind w:right="-518"/>
        <w:jc w:val="both"/>
        <w:rPr>
          <w:rFonts w:ascii="Arial" w:hAnsi="Arial" w:cs="Arial"/>
          <w:sz w:val="24"/>
          <w:szCs w:val="24"/>
        </w:rPr>
      </w:pPr>
    </w:p>
    <w:p w:rsidR="00815DEF" w:rsidRPr="00CA35A1" w:rsidRDefault="00EB0367" w:rsidP="00805C9E">
      <w:pPr>
        <w:spacing w:line="276" w:lineRule="auto"/>
        <w:ind w:left="567"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49A6643E" wp14:editId="0F60851B">
                <wp:simplePos x="0" y="0"/>
                <wp:positionH relativeFrom="column">
                  <wp:posOffset>-979805</wp:posOffset>
                </wp:positionH>
                <wp:positionV relativeFrom="paragraph">
                  <wp:posOffset>59690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7.15pt;margin-top:4.7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">
                <v:textbox>
                  <w:txbxContent>
                    <w:p w:rsidR="00EB0367" w:rsidRDefault="00EB0367" w:rsidP="00EB036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15DEF" w:rsidRPr="0041504C">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815DEF" w:rsidRPr="0041504C">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w:t>
      </w:r>
      <w:r w:rsidR="00815DEF" w:rsidRPr="0041504C">
        <w:rPr>
          <w:rFonts w:ascii="Arial" w:hAnsi="Arial" w:cs="Arial"/>
          <w:i/>
          <w:sz w:val="24"/>
          <w:szCs w:val="24"/>
        </w:rPr>
        <w:lastRenderedPageBreak/>
        <w:t>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815DEF" w:rsidRPr="00CA35A1">
        <w:rPr>
          <w:rFonts w:ascii="Arial" w:hAnsi="Arial" w:cs="Arial"/>
          <w:sz w:val="24"/>
          <w:szCs w:val="24"/>
        </w:rPr>
        <w:t>.</w:t>
      </w:r>
    </w:p>
    <w:p w:rsidR="00815DEF" w:rsidRPr="00CA35A1" w:rsidRDefault="00815DEF" w:rsidP="00815DEF">
      <w:pPr>
        <w:spacing w:line="360" w:lineRule="auto"/>
        <w:ind w:right="-518"/>
        <w:jc w:val="both"/>
        <w:rPr>
          <w:rFonts w:ascii="Arial" w:hAnsi="Arial" w:cs="Arial"/>
          <w:sz w:val="24"/>
          <w:szCs w:val="24"/>
        </w:rPr>
      </w:pPr>
    </w:p>
    <w:p w:rsidR="00815DEF" w:rsidRPr="0041504C" w:rsidRDefault="00815DEF" w:rsidP="00815DEF">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Pr="0041504C">
        <w:rPr>
          <w:rFonts w:ascii="Arial" w:hAnsi="Arial" w:cs="Arial"/>
          <w:bCs/>
          <w:color w:val="000000"/>
          <w:sz w:val="24"/>
          <w:szCs w:val="24"/>
        </w:rPr>
        <w:t xml:space="preserve">de la resolución contenida en el oficio </w:t>
      </w:r>
      <w:r w:rsidR="003D4C40">
        <w:rPr>
          <w:rFonts w:cs="Arial"/>
          <w:b/>
          <w:i/>
          <w:sz w:val="22"/>
          <w:szCs w:val="22"/>
        </w:rPr>
        <w:t xml:space="preserve">********** </w:t>
      </w:r>
      <w:r w:rsidRPr="0041504C">
        <w:rPr>
          <w:rFonts w:ascii="Arial" w:hAnsi="Arial" w:cs="Arial"/>
          <w:bCs/>
          <w:color w:val="000000"/>
          <w:sz w:val="24"/>
          <w:szCs w:val="24"/>
        </w:rPr>
        <w:t xml:space="preserve">de </w:t>
      </w:r>
      <w:r>
        <w:rPr>
          <w:rFonts w:ascii="Arial" w:hAnsi="Arial" w:cs="Arial"/>
          <w:bCs/>
          <w:color w:val="000000"/>
          <w:sz w:val="24"/>
          <w:szCs w:val="24"/>
        </w:rPr>
        <w:t>1</w:t>
      </w:r>
      <w:r w:rsidR="006C4D63">
        <w:rPr>
          <w:rFonts w:ascii="Arial" w:hAnsi="Arial" w:cs="Arial"/>
          <w:bCs/>
          <w:color w:val="000000"/>
          <w:sz w:val="24"/>
          <w:szCs w:val="24"/>
        </w:rPr>
        <w:t>5 quince de diciembre</w:t>
      </w:r>
      <w:r>
        <w:rPr>
          <w:rFonts w:ascii="Arial" w:hAnsi="Arial" w:cs="Arial"/>
          <w:bCs/>
          <w:color w:val="000000"/>
          <w:sz w:val="24"/>
          <w:szCs w:val="24"/>
        </w:rPr>
        <w:t xml:space="preserve"> del 2017</w:t>
      </w:r>
      <w:r w:rsidR="006C4D63">
        <w:rPr>
          <w:rFonts w:ascii="Arial" w:hAnsi="Arial" w:cs="Arial"/>
          <w:bCs/>
          <w:color w:val="000000"/>
          <w:sz w:val="24"/>
          <w:szCs w:val="24"/>
        </w:rPr>
        <w:t xml:space="preserve"> </w:t>
      </w:r>
      <w:r>
        <w:rPr>
          <w:rFonts w:ascii="Arial" w:hAnsi="Arial" w:cs="Arial"/>
          <w:bCs/>
          <w:color w:val="000000"/>
          <w:sz w:val="24"/>
          <w:szCs w:val="24"/>
        </w:rPr>
        <w:t>dos mil diecisiete</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Pr="0041504C">
        <w:rPr>
          <w:rFonts w:ascii="Arial" w:hAnsi="Arial" w:cs="Arial"/>
          <w:bCs/>
          <w:color w:val="000000"/>
          <w:sz w:val="24"/>
          <w:szCs w:val="24"/>
        </w:rPr>
        <w:t xml:space="preserve">de que el </w:t>
      </w:r>
      <w:r>
        <w:rPr>
          <w:rFonts w:ascii="Arial" w:hAnsi="Arial" w:cs="Arial"/>
          <w:bCs/>
          <w:color w:val="000000"/>
          <w:sz w:val="24"/>
          <w:szCs w:val="24"/>
        </w:rPr>
        <w:t xml:space="preserve">DIRECTOR GENERAL DE LA OFICINA </w:t>
      </w:r>
      <w:r w:rsidRPr="0041504C">
        <w:rPr>
          <w:rFonts w:ascii="Arial" w:hAnsi="Arial" w:cs="Arial"/>
          <w:bCs/>
          <w:color w:val="000000"/>
          <w:sz w:val="24"/>
          <w:szCs w:val="24"/>
        </w:rPr>
        <w:t xml:space="preserve">DE PENSIONES DEL GOBIERNO DEL ESTADO DE OAXACA, dicte otra, en la que otorgue a la accionante la pensión por jubilación con las mismas prestaciones que percibe un trabajador de base, en términos del artículo 54 de la </w:t>
      </w:r>
      <w:r>
        <w:rPr>
          <w:rFonts w:ascii="Arial" w:hAnsi="Arial" w:cs="Arial"/>
          <w:bCs/>
          <w:color w:val="000000"/>
          <w:sz w:val="24"/>
          <w:szCs w:val="24"/>
        </w:rPr>
        <w:t>Ley de Pensiones para los 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w:t>
      </w:r>
      <w:r>
        <w:rPr>
          <w:rFonts w:ascii="Arial" w:hAnsi="Arial" w:cs="Arial"/>
          <w:bCs/>
          <w:color w:val="000000"/>
          <w:sz w:val="24"/>
          <w:szCs w:val="24"/>
        </w:rPr>
        <w:t xml:space="preserve"> </w:t>
      </w:r>
      <w:r w:rsidRPr="0041504C">
        <w:rPr>
          <w:rFonts w:ascii="Arial" w:hAnsi="Arial" w:cs="Arial"/>
          <w:bCs/>
          <w:color w:val="000000"/>
          <w:sz w:val="24"/>
          <w:szCs w:val="24"/>
        </w:rPr>
        <w:t>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w:t>
      </w:r>
      <w:r>
        <w:rPr>
          <w:rFonts w:ascii="Arial" w:hAnsi="Arial" w:cs="Arial"/>
          <w:bCs/>
          <w:color w:val="000000"/>
          <w:sz w:val="24"/>
          <w:szCs w:val="24"/>
        </w:rPr>
        <w:t>inistrativo obliga la fracción V</w:t>
      </w:r>
      <w:r w:rsidRPr="0041504C">
        <w:rPr>
          <w:rFonts w:ascii="Arial" w:hAnsi="Arial" w:cs="Arial"/>
          <w:bCs/>
          <w:color w:val="000000"/>
          <w:sz w:val="24"/>
          <w:szCs w:val="24"/>
        </w:rPr>
        <w:t xml:space="preserve">, del artículo 7 de la </w:t>
      </w:r>
      <w:r>
        <w:rPr>
          <w:rFonts w:ascii="Arial" w:hAnsi="Arial" w:cs="Arial"/>
          <w:bCs/>
          <w:color w:val="000000"/>
          <w:sz w:val="24"/>
          <w:szCs w:val="24"/>
        </w:rPr>
        <w:t>L</w:t>
      </w:r>
      <w:r w:rsidRPr="0041504C">
        <w:rPr>
          <w:rFonts w:ascii="Arial" w:hAnsi="Arial" w:cs="Arial"/>
          <w:bCs/>
          <w:color w:val="000000"/>
          <w:sz w:val="24"/>
          <w:szCs w:val="24"/>
        </w:rPr>
        <w:t xml:space="preserve">ey de </w:t>
      </w:r>
      <w:r>
        <w:rPr>
          <w:rFonts w:ascii="Arial" w:hAnsi="Arial" w:cs="Arial"/>
          <w:bCs/>
          <w:color w:val="000000"/>
          <w:sz w:val="24"/>
          <w:szCs w:val="24"/>
        </w:rPr>
        <w:t>J</w:t>
      </w:r>
      <w:r w:rsidRPr="0041504C">
        <w:rPr>
          <w:rFonts w:ascii="Arial" w:hAnsi="Arial" w:cs="Arial"/>
          <w:bCs/>
          <w:color w:val="000000"/>
          <w:sz w:val="24"/>
          <w:szCs w:val="24"/>
        </w:rPr>
        <w:t xml:space="preserve">usticia </w:t>
      </w:r>
      <w:r>
        <w:rPr>
          <w:rFonts w:ascii="Arial" w:hAnsi="Arial" w:cs="Arial"/>
          <w:bCs/>
          <w:color w:val="000000"/>
          <w:sz w:val="24"/>
          <w:szCs w:val="24"/>
        </w:rPr>
        <w:t>A</w:t>
      </w:r>
      <w:r w:rsidRPr="0041504C">
        <w:rPr>
          <w:rFonts w:ascii="Arial" w:hAnsi="Arial" w:cs="Arial"/>
          <w:bCs/>
          <w:color w:val="000000"/>
          <w:sz w:val="24"/>
          <w:szCs w:val="24"/>
        </w:rPr>
        <w:t>d</w:t>
      </w:r>
      <w:r>
        <w:rPr>
          <w:rFonts w:ascii="Arial" w:hAnsi="Arial" w:cs="Arial"/>
          <w:bCs/>
          <w:color w:val="000000"/>
          <w:sz w:val="24"/>
          <w:szCs w:val="24"/>
        </w:rPr>
        <w:t xml:space="preserve">ministrativa para el Estado de Oaxaca; </w:t>
      </w:r>
      <w:r w:rsidRPr="00334BFB">
        <w:rPr>
          <w:rFonts w:ascii="Arial" w:hAnsi="Arial" w:cs="Arial"/>
          <w:bCs/>
          <w:color w:val="000000"/>
          <w:sz w:val="24"/>
          <w:szCs w:val="24"/>
          <w:u w:val="single"/>
        </w:rPr>
        <w:t xml:space="preserve">así mismo, se </w:t>
      </w:r>
      <w:r w:rsidR="005927C8">
        <w:rPr>
          <w:rFonts w:ascii="Arial" w:hAnsi="Arial" w:cs="Arial"/>
          <w:bCs/>
          <w:color w:val="000000"/>
          <w:sz w:val="24"/>
          <w:szCs w:val="24"/>
          <w:u w:val="single"/>
        </w:rPr>
        <w:t xml:space="preserve">realice </w:t>
      </w:r>
      <w:r w:rsidR="00396BFB">
        <w:rPr>
          <w:rFonts w:ascii="Arial" w:hAnsi="Arial" w:cs="Arial"/>
          <w:bCs/>
          <w:color w:val="000000"/>
          <w:sz w:val="24"/>
          <w:szCs w:val="24"/>
          <w:u w:val="single"/>
        </w:rPr>
        <w:t xml:space="preserve">al actor, </w:t>
      </w:r>
      <w:r w:rsidR="005927C8">
        <w:rPr>
          <w:rFonts w:ascii="Arial" w:hAnsi="Arial" w:cs="Arial"/>
          <w:bCs/>
          <w:color w:val="000000"/>
          <w:sz w:val="24"/>
          <w:szCs w:val="24"/>
          <w:u w:val="single"/>
        </w:rPr>
        <w:t>el</w:t>
      </w:r>
      <w:r w:rsidRPr="00334BFB">
        <w:rPr>
          <w:rFonts w:ascii="Arial" w:hAnsi="Arial" w:cs="Arial"/>
          <w:bCs/>
          <w:color w:val="000000"/>
          <w:sz w:val="24"/>
          <w:szCs w:val="24"/>
          <w:u w:val="single"/>
        </w:rPr>
        <w:t xml:space="preserve"> pago </w:t>
      </w:r>
      <w:r w:rsidR="00396BFB">
        <w:rPr>
          <w:rFonts w:ascii="Arial" w:hAnsi="Arial" w:cs="Arial"/>
          <w:bCs/>
          <w:color w:val="000000"/>
          <w:sz w:val="24"/>
          <w:szCs w:val="24"/>
          <w:u w:val="single"/>
        </w:rPr>
        <w:t xml:space="preserve">de manera retroactiva </w:t>
      </w:r>
      <w:r w:rsidRPr="00334BFB">
        <w:rPr>
          <w:rFonts w:ascii="Arial" w:hAnsi="Arial" w:cs="Arial"/>
          <w:bCs/>
          <w:color w:val="000000"/>
          <w:sz w:val="24"/>
          <w:szCs w:val="24"/>
          <w:u w:val="single"/>
        </w:rPr>
        <w:t>de las prestaciones antes referidas</w:t>
      </w:r>
      <w:r w:rsidR="005927C8">
        <w:rPr>
          <w:rFonts w:ascii="Arial" w:hAnsi="Arial" w:cs="Arial"/>
          <w:bCs/>
          <w:color w:val="000000"/>
          <w:sz w:val="24"/>
          <w:szCs w:val="24"/>
          <w:u w:val="single"/>
        </w:rPr>
        <w:t>,</w:t>
      </w:r>
      <w:r w:rsidRPr="00334BFB">
        <w:rPr>
          <w:rFonts w:ascii="Arial" w:hAnsi="Arial" w:cs="Arial"/>
          <w:bCs/>
          <w:color w:val="000000"/>
          <w:sz w:val="24"/>
          <w:szCs w:val="24"/>
          <w:u w:val="single"/>
        </w:rPr>
        <w:t xml:space="preserve"> </w:t>
      </w:r>
      <w:r w:rsidR="00396BFB">
        <w:rPr>
          <w:rFonts w:ascii="Arial" w:hAnsi="Arial" w:cs="Arial"/>
          <w:bCs/>
          <w:color w:val="000000"/>
          <w:sz w:val="24"/>
          <w:szCs w:val="24"/>
          <w:u w:val="single"/>
        </w:rPr>
        <w:t>que dejó de percibir desde</w:t>
      </w:r>
      <w:r w:rsidR="005927C8">
        <w:rPr>
          <w:rFonts w:ascii="Arial" w:hAnsi="Arial" w:cs="Arial"/>
          <w:bCs/>
          <w:color w:val="000000"/>
          <w:sz w:val="24"/>
          <w:szCs w:val="24"/>
          <w:u w:val="single"/>
        </w:rPr>
        <w:t xml:space="preserve"> la fecha en que se  autorizó el dictamen de pensión por jubilación</w:t>
      </w:r>
      <w:r w:rsidR="00396BFB">
        <w:rPr>
          <w:rFonts w:ascii="Arial" w:hAnsi="Arial" w:cs="Arial"/>
          <w:bCs/>
          <w:color w:val="000000"/>
          <w:sz w:val="24"/>
          <w:szCs w:val="24"/>
          <w:u w:val="single"/>
        </w:rPr>
        <w:t>; así como</w:t>
      </w:r>
      <w:r w:rsidRPr="00334BFB">
        <w:rPr>
          <w:rFonts w:ascii="Arial" w:hAnsi="Arial" w:cs="Arial"/>
          <w:bCs/>
          <w:color w:val="000000"/>
          <w:sz w:val="24"/>
          <w:szCs w:val="24"/>
          <w:u w:val="single"/>
        </w:rPr>
        <w:t xml:space="preserve"> la devolución de los descuentos realizados por concepto de cuota al fondo de pensiones del 9% mensual</w:t>
      </w:r>
      <w:r w:rsidR="00396BFB">
        <w:rPr>
          <w:rFonts w:ascii="Arial" w:hAnsi="Arial" w:cs="Arial"/>
          <w:bCs/>
          <w:color w:val="000000"/>
          <w:sz w:val="24"/>
          <w:szCs w:val="24"/>
          <w:u w:val="single"/>
        </w:rPr>
        <w:t xml:space="preserve"> desde esa fecha</w:t>
      </w:r>
      <w:r w:rsidRPr="00334BFB">
        <w:rPr>
          <w:rFonts w:ascii="Arial" w:hAnsi="Arial" w:cs="Arial"/>
          <w:bCs/>
          <w:color w:val="000000"/>
          <w:sz w:val="24"/>
          <w:szCs w:val="24"/>
          <w:u w:val="single"/>
        </w:rPr>
        <w:t>.</w:t>
      </w:r>
      <w:r>
        <w:rPr>
          <w:rFonts w:ascii="Arial" w:hAnsi="Arial" w:cs="Arial"/>
          <w:bCs/>
          <w:color w:val="000000"/>
          <w:sz w:val="24"/>
          <w:szCs w:val="24"/>
        </w:rPr>
        <w:t xml:space="preserve"> </w:t>
      </w:r>
    </w:p>
    <w:p w:rsidR="00815DEF" w:rsidRPr="002F7F2D" w:rsidRDefault="00815DEF" w:rsidP="00815DEF">
      <w:pPr>
        <w:spacing w:line="360" w:lineRule="auto"/>
        <w:ind w:right="-518" w:firstLine="567"/>
        <w:jc w:val="both"/>
        <w:rPr>
          <w:rFonts w:ascii="Arial" w:hAnsi="Arial" w:cs="Arial"/>
          <w:b/>
          <w:bCs/>
          <w:color w:val="000000"/>
          <w:sz w:val="24"/>
          <w:szCs w:val="24"/>
        </w:rPr>
      </w:pPr>
    </w:p>
    <w:p w:rsidR="00815DEF" w:rsidRDefault="00815DEF" w:rsidP="00815DEF">
      <w:pPr>
        <w:spacing w:line="360" w:lineRule="auto"/>
        <w:ind w:right="-518" w:firstLine="567"/>
        <w:jc w:val="both"/>
        <w:rPr>
          <w:rFonts w:ascii="Arial" w:hAnsi="Arial" w:cs="Arial"/>
          <w:bCs/>
          <w:color w:val="000000"/>
          <w:sz w:val="24"/>
          <w:szCs w:val="24"/>
        </w:rPr>
      </w:pPr>
      <w:r w:rsidRPr="009032A1">
        <w:rPr>
          <w:rFonts w:ascii="Arial" w:hAnsi="Arial" w:cs="Arial"/>
          <w:bCs/>
          <w:color w:val="000000"/>
          <w:sz w:val="24"/>
          <w:szCs w:val="24"/>
        </w:rPr>
        <w:t xml:space="preserve">Por lo anteriormente expuesto, </w:t>
      </w:r>
      <w:r>
        <w:rPr>
          <w:rFonts w:ascii="Arial" w:hAnsi="Arial" w:cs="Arial"/>
          <w:bCs/>
          <w:color w:val="000000"/>
          <w:sz w:val="24"/>
          <w:szCs w:val="24"/>
        </w:rPr>
        <w:t>y con</w:t>
      </w:r>
      <w:r w:rsidR="00396BFB">
        <w:rPr>
          <w:rFonts w:ascii="Arial" w:hAnsi="Arial" w:cs="Arial"/>
          <w:bCs/>
          <w:color w:val="000000"/>
          <w:sz w:val="24"/>
          <w:szCs w:val="24"/>
        </w:rPr>
        <w:t xml:space="preserve"> fundamento en los artículos 20</w:t>
      </w:r>
      <w:r>
        <w:rPr>
          <w:rFonts w:ascii="Arial" w:hAnsi="Arial" w:cs="Arial"/>
          <w:bCs/>
          <w:color w:val="000000"/>
          <w:sz w:val="24"/>
          <w:szCs w:val="24"/>
        </w:rPr>
        <w:t>7</w:t>
      </w:r>
      <w:r w:rsidR="00396BFB">
        <w:rPr>
          <w:rFonts w:ascii="Arial" w:hAnsi="Arial" w:cs="Arial"/>
          <w:bCs/>
          <w:color w:val="000000"/>
          <w:sz w:val="24"/>
          <w:szCs w:val="24"/>
        </w:rPr>
        <w:t>, 20</w:t>
      </w:r>
      <w:r>
        <w:rPr>
          <w:rFonts w:ascii="Arial" w:hAnsi="Arial" w:cs="Arial"/>
          <w:bCs/>
          <w:color w:val="000000"/>
          <w:sz w:val="24"/>
          <w:szCs w:val="24"/>
        </w:rPr>
        <w:t>8 fracci</w:t>
      </w:r>
      <w:r w:rsidR="00396BFB">
        <w:rPr>
          <w:rFonts w:ascii="Arial" w:hAnsi="Arial" w:cs="Arial"/>
          <w:bCs/>
          <w:color w:val="000000"/>
          <w:sz w:val="24"/>
          <w:szCs w:val="24"/>
        </w:rPr>
        <w:t>ón VI y 20</w:t>
      </w:r>
      <w:r>
        <w:rPr>
          <w:rFonts w:ascii="Arial" w:hAnsi="Arial" w:cs="Arial"/>
          <w:bCs/>
          <w:color w:val="000000"/>
          <w:sz w:val="24"/>
          <w:szCs w:val="24"/>
        </w:rPr>
        <w:t>9, de la Ley de</w:t>
      </w:r>
      <w:r w:rsidR="00396BFB">
        <w:rPr>
          <w:rFonts w:ascii="Arial" w:hAnsi="Arial" w:cs="Arial"/>
          <w:bCs/>
          <w:color w:val="000000"/>
          <w:sz w:val="24"/>
          <w:szCs w:val="24"/>
        </w:rPr>
        <w:t xml:space="preserve"> Procedimiento y</w:t>
      </w:r>
      <w:r>
        <w:rPr>
          <w:rFonts w:ascii="Arial" w:hAnsi="Arial" w:cs="Arial"/>
          <w:bCs/>
          <w:color w:val="000000"/>
          <w:sz w:val="24"/>
          <w:szCs w:val="24"/>
        </w:rPr>
        <w:t xml:space="preserve"> Justicia Administrativa para el Estado, se</w:t>
      </w:r>
    </w:p>
    <w:p w:rsidR="00815DEF" w:rsidRDefault="00815DEF" w:rsidP="00815DEF">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815DEF" w:rsidRDefault="00815DEF" w:rsidP="00815DEF">
      <w:pPr>
        <w:spacing w:line="360" w:lineRule="auto"/>
        <w:ind w:right="-518" w:firstLine="708"/>
        <w:jc w:val="center"/>
        <w:rPr>
          <w:rFonts w:ascii="Arial" w:hAnsi="Arial" w:cs="Arial"/>
          <w:bCs/>
          <w:color w:val="000000"/>
          <w:sz w:val="24"/>
          <w:szCs w:val="24"/>
        </w:rPr>
      </w:pPr>
    </w:p>
    <w:p w:rsidR="00815DEF" w:rsidRPr="00F149F1" w:rsidRDefault="00815DEF" w:rsidP="00815DEF">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396BFB">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396BFB">
        <w:rPr>
          <w:rFonts w:ascii="Arial" w:hAnsi="Arial" w:cs="Arial"/>
          <w:bCs/>
          <w:color w:val="000000"/>
          <w:sz w:val="24"/>
          <w:szCs w:val="24"/>
        </w:rPr>
        <w:t>- - - - - - - - - - - - - - - - - - - - - - - - - - - - -</w:t>
      </w:r>
    </w:p>
    <w:p w:rsidR="00815DEF" w:rsidRPr="00F149F1" w:rsidRDefault="00815DEF" w:rsidP="00815DEF">
      <w:pPr>
        <w:spacing w:line="360" w:lineRule="auto"/>
        <w:ind w:right="-1134"/>
        <w:jc w:val="both"/>
        <w:rPr>
          <w:rFonts w:ascii="Arial" w:hAnsi="Arial" w:cs="Arial"/>
          <w:bCs/>
          <w:color w:val="000000"/>
          <w:sz w:val="24"/>
          <w:szCs w:val="24"/>
        </w:rPr>
      </w:pPr>
    </w:p>
    <w:p w:rsidR="00815DEF" w:rsidRPr="00F149F1" w:rsidRDefault="00815DEF" w:rsidP="00815DEF">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815DEF" w:rsidRPr="00F149F1" w:rsidRDefault="00815DEF" w:rsidP="00815DEF">
      <w:pPr>
        <w:spacing w:line="360" w:lineRule="auto"/>
        <w:ind w:right="-539"/>
        <w:jc w:val="both"/>
        <w:rPr>
          <w:rFonts w:ascii="Arial" w:hAnsi="Arial" w:cs="Arial"/>
          <w:bCs/>
          <w:color w:val="000000"/>
          <w:sz w:val="24"/>
          <w:szCs w:val="24"/>
        </w:rPr>
      </w:pPr>
    </w:p>
    <w:p w:rsidR="00396BFB" w:rsidRPr="0041504C" w:rsidRDefault="00815DEF" w:rsidP="00396BFB">
      <w:pPr>
        <w:spacing w:line="360" w:lineRule="auto"/>
        <w:ind w:right="-518" w:firstLine="567"/>
        <w:jc w:val="both"/>
        <w:rPr>
          <w:rFonts w:ascii="Arial" w:hAnsi="Arial" w:cs="Arial"/>
          <w:bCs/>
          <w:color w:val="000000"/>
          <w:sz w:val="24"/>
          <w:szCs w:val="24"/>
        </w:rPr>
      </w:pPr>
      <w:r w:rsidRPr="00907C3A">
        <w:rPr>
          <w:rFonts w:ascii="Arial" w:hAnsi="Arial" w:cs="Arial"/>
          <w:b/>
          <w:bCs/>
          <w:color w:val="000000"/>
          <w:sz w:val="24"/>
          <w:szCs w:val="24"/>
        </w:rPr>
        <w:lastRenderedPageBreak/>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 Se declara </w:t>
      </w:r>
      <w:r w:rsidR="00396BFB">
        <w:rPr>
          <w:rFonts w:ascii="Arial" w:hAnsi="Arial" w:cs="Arial"/>
          <w:b/>
          <w:bCs/>
          <w:color w:val="000000"/>
          <w:sz w:val="24"/>
          <w:szCs w:val="24"/>
        </w:rPr>
        <w:t xml:space="preserve">LA NULIDAD </w:t>
      </w:r>
      <w:r w:rsidR="00396BFB" w:rsidRPr="0041504C">
        <w:rPr>
          <w:rFonts w:ascii="Arial" w:hAnsi="Arial" w:cs="Arial"/>
          <w:bCs/>
          <w:color w:val="000000"/>
          <w:sz w:val="24"/>
          <w:szCs w:val="24"/>
        </w:rPr>
        <w:t xml:space="preserve">de la resolución contenida en el oficio </w:t>
      </w:r>
      <w:r w:rsidR="003D4C40">
        <w:rPr>
          <w:rFonts w:cs="Arial"/>
          <w:b/>
          <w:i/>
          <w:sz w:val="22"/>
          <w:szCs w:val="22"/>
        </w:rPr>
        <w:t xml:space="preserve">********** </w:t>
      </w:r>
      <w:r w:rsidR="00396BFB" w:rsidRPr="0041504C">
        <w:rPr>
          <w:rFonts w:ascii="Arial" w:hAnsi="Arial" w:cs="Arial"/>
          <w:bCs/>
          <w:color w:val="000000"/>
          <w:sz w:val="24"/>
          <w:szCs w:val="24"/>
        </w:rPr>
        <w:t xml:space="preserve">de </w:t>
      </w:r>
      <w:r w:rsidR="00396BFB">
        <w:rPr>
          <w:rFonts w:ascii="Arial" w:hAnsi="Arial" w:cs="Arial"/>
          <w:bCs/>
          <w:color w:val="000000"/>
          <w:sz w:val="24"/>
          <w:szCs w:val="24"/>
        </w:rPr>
        <w:t>15 quince de diciembre del 2017 dos mil diecisiete</w:t>
      </w:r>
      <w:r w:rsidR="00396BFB" w:rsidRPr="0041504C">
        <w:rPr>
          <w:rFonts w:ascii="Arial" w:hAnsi="Arial" w:cs="Arial"/>
          <w:bCs/>
          <w:color w:val="000000"/>
          <w:sz w:val="24"/>
          <w:szCs w:val="24"/>
        </w:rPr>
        <w:t xml:space="preserve">, </w:t>
      </w:r>
      <w:r w:rsidR="00396BFB">
        <w:rPr>
          <w:rFonts w:ascii="Arial" w:hAnsi="Arial" w:cs="Arial"/>
          <w:b/>
          <w:bCs/>
          <w:color w:val="000000"/>
          <w:sz w:val="24"/>
          <w:szCs w:val="24"/>
        </w:rPr>
        <w:t xml:space="preserve">PARA EFECTO </w:t>
      </w:r>
      <w:r w:rsidR="00441AAF" w:rsidRPr="00441AAF">
        <w:rPr>
          <w:rFonts w:ascii="Arial" w:hAnsi="Arial" w:cs="Arial"/>
          <w:bCs/>
          <w:color w:val="000000"/>
          <w:sz w:val="24"/>
          <w:szCs w:val="24"/>
        </w:rPr>
        <w:t>precisados en el último considerando</w:t>
      </w:r>
      <w:r w:rsidR="00441AAF">
        <w:rPr>
          <w:rFonts w:ascii="Arial" w:hAnsi="Arial" w:cs="Arial"/>
          <w:b/>
          <w:bCs/>
          <w:color w:val="000000"/>
          <w:sz w:val="24"/>
          <w:szCs w:val="24"/>
        </w:rPr>
        <w:t>. - - - - - - - - - - - - - - - - - - - - - - - - - - -</w:t>
      </w:r>
    </w:p>
    <w:p w:rsidR="00815DEF" w:rsidRPr="0041504C" w:rsidRDefault="00815DEF" w:rsidP="00815DEF">
      <w:pPr>
        <w:spacing w:line="360" w:lineRule="auto"/>
        <w:ind w:right="-518" w:firstLine="567"/>
        <w:jc w:val="both"/>
        <w:rPr>
          <w:rFonts w:ascii="Arial" w:hAnsi="Arial" w:cs="Arial"/>
          <w:bCs/>
          <w:color w:val="000000"/>
          <w:sz w:val="24"/>
          <w:szCs w:val="24"/>
        </w:rPr>
      </w:pPr>
    </w:p>
    <w:p w:rsidR="00815DEF" w:rsidRPr="00E515F7" w:rsidRDefault="00815DEF" w:rsidP="00815DEF">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00441AAF">
        <w:rPr>
          <w:rFonts w:ascii="Arial" w:hAnsi="Arial" w:cs="Arial"/>
          <w:bCs/>
          <w:color w:val="000000"/>
          <w:sz w:val="24"/>
          <w:szCs w:val="24"/>
        </w:rPr>
        <w:t xml:space="preserve"> 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441AA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441AA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r>
        <w:rPr>
          <w:rFonts w:ascii="Arial" w:hAnsi="Arial" w:cs="Arial"/>
          <w:b/>
          <w:bCs/>
          <w:color w:val="000000"/>
          <w:sz w:val="24"/>
          <w:szCs w:val="24"/>
        </w:rPr>
        <w:t xml:space="preserve">- - - </w:t>
      </w:r>
    </w:p>
    <w:p w:rsidR="00815DEF" w:rsidRDefault="00EB0367" w:rsidP="00815DEF">
      <w:pPr>
        <w:spacing w:line="360" w:lineRule="auto"/>
        <w:ind w:right="-518"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6562101F" wp14:editId="7E11582A">
                <wp:simplePos x="0" y="0"/>
                <wp:positionH relativeFrom="column">
                  <wp:posOffset>-836930</wp:posOffset>
                </wp:positionH>
                <wp:positionV relativeFrom="paragraph">
                  <wp:posOffset>5316855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B0367" w:rsidRDefault="00EB0367" w:rsidP="00EB0367">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5.9pt;margin-top:418.65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5sKg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">
                <v:textbox>
                  <w:txbxContent>
                    <w:p w:rsidR="00EB0367" w:rsidRDefault="00EB0367" w:rsidP="00EB0367">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p>
    <w:p w:rsidR="00815DEF" w:rsidRPr="007B6083" w:rsidRDefault="00815DEF" w:rsidP="00815DEF">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41AAF">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 xml:space="preserve">Tercera Sala Unitaria de Primera Instancia del Tribunal de </w:t>
      </w:r>
      <w:r w:rsidR="00441AAF">
        <w:rPr>
          <w:rFonts w:ascii="Arial" w:hAnsi="Arial" w:cs="Arial"/>
          <w:bCs/>
          <w:color w:val="000000"/>
          <w:sz w:val="24"/>
          <w:szCs w:val="24"/>
        </w:rPr>
        <w:t>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w:t>
      </w:r>
    </w:p>
    <w:p w:rsidR="00815DEF" w:rsidRDefault="00815DEF" w:rsidP="00815DEF">
      <w:pPr>
        <w:spacing w:line="360" w:lineRule="auto"/>
        <w:ind w:right="-518"/>
        <w:jc w:val="both"/>
        <w:rPr>
          <w:rFonts w:ascii="Arial" w:hAnsi="Arial" w:cs="Arial"/>
          <w:bCs/>
          <w:color w:val="000000"/>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Default="00815DEF" w:rsidP="00815DEF">
      <w:pPr>
        <w:rPr>
          <w:rFonts w:ascii="Arial" w:hAnsi="Arial" w:cs="Arial"/>
          <w:sz w:val="16"/>
          <w:szCs w:val="16"/>
        </w:rPr>
      </w:pPr>
    </w:p>
    <w:p w:rsidR="00082F0F" w:rsidRPr="00927E72" w:rsidRDefault="00815DEF" w:rsidP="00815DEF">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A73" w:rsidRDefault="00604A73" w:rsidP="00DD5D31">
      <w:r>
        <w:separator/>
      </w:r>
    </w:p>
  </w:endnote>
  <w:endnote w:type="continuationSeparator" w:id="0">
    <w:p w:rsidR="00604A73" w:rsidRDefault="00604A7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A73" w:rsidRDefault="00604A73" w:rsidP="00DD5D31">
      <w:r>
        <w:separator/>
      </w:r>
    </w:p>
  </w:footnote>
  <w:footnote w:type="continuationSeparator" w:id="0">
    <w:p w:rsidR="00604A73" w:rsidRDefault="00604A7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B0367" w:rsidRPr="00EB0367">
          <w:rPr>
            <w:rFonts w:ascii="Arial" w:hAnsi="Arial" w:cs="Arial"/>
            <w:noProof/>
            <w:lang w:val="es-ES"/>
          </w:rPr>
          <w:t>11</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D106E6">
          <w:rPr>
            <w:rFonts w:ascii="Arial" w:hAnsi="Arial" w:cs="Arial"/>
            <w:sz w:val="18"/>
            <w:szCs w:val="18"/>
          </w:rPr>
          <w:t>31/2018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547E8"/>
    <w:rsid w:val="00055444"/>
    <w:rsid w:val="0005661F"/>
    <w:rsid w:val="00063839"/>
    <w:rsid w:val="00073199"/>
    <w:rsid w:val="00077383"/>
    <w:rsid w:val="00082F0F"/>
    <w:rsid w:val="0009281E"/>
    <w:rsid w:val="000949F9"/>
    <w:rsid w:val="000A171E"/>
    <w:rsid w:val="000A3588"/>
    <w:rsid w:val="000A3760"/>
    <w:rsid w:val="000A78E9"/>
    <w:rsid w:val="000C1378"/>
    <w:rsid w:val="000D5CEE"/>
    <w:rsid w:val="000E334F"/>
    <w:rsid w:val="000E55BC"/>
    <w:rsid w:val="000F14A5"/>
    <w:rsid w:val="000F2A2C"/>
    <w:rsid w:val="00103661"/>
    <w:rsid w:val="00107B71"/>
    <w:rsid w:val="00116804"/>
    <w:rsid w:val="00117FCD"/>
    <w:rsid w:val="00125AB1"/>
    <w:rsid w:val="001269F6"/>
    <w:rsid w:val="00136097"/>
    <w:rsid w:val="00147F00"/>
    <w:rsid w:val="001512FD"/>
    <w:rsid w:val="00151F09"/>
    <w:rsid w:val="00155AF4"/>
    <w:rsid w:val="001561E7"/>
    <w:rsid w:val="0016020F"/>
    <w:rsid w:val="001649CB"/>
    <w:rsid w:val="00165B9C"/>
    <w:rsid w:val="001666B7"/>
    <w:rsid w:val="00170147"/>
    <w:rsid w:val="001740CC"/>
    <w:rsid w:val="00174261"/>
    <w:rsid w:val="001802BF"/>
    <w:rsid w:val="00183D73"/>
    <w:rsid w:val="00190CBF"/>
    <w:rsid w:val="001A1D42"/>
    <w:rsid w:val="001A33B6"/>
    <w:rsid w:val="001A5309"/>
    <w:rsid w:val="001A6DAF"/>
    <w:rsid w:val="001B2205"/>
    <w:rsid w:val="001B5080"/>
    <w:rsid w:val="001B604B"/>
    <w:rsid w:val="001B65A4"/>
    <w:rsid w:val="001C0AB4"/>
    <w:rsid w:val="001C6624"/>
    <w:rsid w:val="001C70D5"/>
    <w:rsid w:val="001E01FB"/>
    <w:rsid w:val="001E0451"/>
    <w:rsid w:val="001E3948"/>
    <w:rsid w:val="001E3F38"/>
    <w:rsid w:val="001F651D"/>
    <w:rsid w:val="00205932"/>
    <w:rsid w:val="002121E8"/>
    <w:rsid w:val="00212F75"/>
    <w:rsid w:val="002159A2"/>
    <w:rsid w:val="00223F13"/>
    <w:rsid w:val="00231F2F"/>
    <w:rsid w:val="00232004"/>
    <w:rsid w:val="002324D8"/>
    <w:rsid w:val="00241B63"/>
    <w:rsid w:val="002431E5"/>
    <w:rsid w:val="00244374"/>
    <w:rsid w:val="00245837"/>
    <w:rsid w:val="00247FA7"/>
    <w:rsid w:val="002605D9"/>
    <w:rsid w:val="00266BE5"/>
    <w:rsid w:val="00270E1B"/>
    <w:rsid w:val="002905F2"/>
    <w:rsid w:val="002906E2"/>
    <w:rsid w:val="00295BAD"/>
    <w:rsid w:val="002A3764"/>
    <w:rsid w:val="002A66CC"/>
    <w:rsid w:val="002B37D9"/>
    <w:rsid w:val="002B671C"/>
    <w:rsid w:val="002B6B8E"/>
    <w:rsid w:val="002B7F87"/>
    <w:rsid w:val="002C362B"/>
    <w:rsid w:val="002C3A7D"/>
    <w:rsid w:val="002D6C48"/>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84EBA"/>
    <w:rsid w:val="003906B7"/>
    <w:rsid w:val="00395E8C"/>
    <w:rsid w:val="00395ECA"/>
    <w:rsid w:val="00396BFB"/>
    <w:rsid w:val="003970CD"/>
    <w:rsid w:val="003974C8"/>
    <w:rsid w:val="003A1CE4"/>
    <w:rsid w:val="003C1726"/>
    <w:rsid w:val="003C226E"/>
    <w:rsid w:val="003C685F"/>
    <w:rsid w:val="003C73CD"/>
    <w:rsid w:val="003D1260"/>
    <w:rsid w:val="003D49C2"/>
    <w:rsid w:val="003D4A10"/>
    <w:rsid w:val="003D4AAA"/>
    <w:rsid w:val="003D4C40"/>
    <w:rsid w:val="003E09F6"/>
    <w:rsid w:val="003E2AEA"/>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930CC"/>
    <w:rsid w:val="004A20EC"/>
    <w:rsid w:val="004A399A"/>
    <w:rsid w:val="004A41DB"/>
    <w:rsid w:val="004A6942"/>
    <w:rsid w:val="004A69E8"/>
    <w:rsid w:val="004A7DA9"/>
    <w:rsid w:val="004B1A7A"/>
    <w:rsid w:val="004B469F"/>
    <w:rsid w:val="004C04A0"/>
    <w:rsid w:val="004C31C9"/>
    <w:rsid w:val="004C43F6"/>
    <w:rsid w:val="004C7979"/>
    <w:rsid w:val="004D021C"/>
    <w:rsid w:val="004D09E1"/>
    <w:rsid w:val="004D20D8"/>
    <w:rsid w:val="004D2CFB"/>
    <w:rsid w:val="004E4F17"/>
    <w:rsid w:val="004F4F43"/>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475DE"/>
    <w:rsid w:val="00550318"/>
    <w:rsid w:val="005522D4"/>
    <w:rsid w:val="00553D8C"/>
    <w:rsid w:val="005608B3"/>
    <w:rsid w:val="00567EC3"/>
    <w:rsid w:val="00573F0D"/>
    <w:rsid w:val="00575CE7"/>
    <w:rsid w:val="0058101D"/>
    <w:rsid w:val="0058633E"/>
    <w:rsid w:val="00591BAB"/>
    <w:rsid w:val="0059218B"/>
    <w:rsid w:val="005927C8"/>
    <w:rsid w:val="00593D97"/>
    <w:rsid w:val="005948AE"/>
    <w:rsid w:val="00596CB0"/>
    <w:rsid w:val="00597D76"/>
    <w:rsid w:val="005B0186"/>
    <w:rsid w:val="005B11F9"/>
    <w:rsid w:val="005B1731"/>
    <w:rsid w:val="005B3140"/>
    <w:rsid w:val="005B37E7"/>
    <w:rsid w:val="005C07B2"/>
    <w:rsid w:val="005C0976"/>
    <w:rsid w:val="005C6ABD"/>
    <w:rsid w:val="005D34AE"/>
    <w:rsid w:val="005D380E"/>
    <w:rsid w:val="005D706A"/>
    <w:rsid w:val="005D7B7D"/>
    <w:rsid w:val="005E2BA2"/>
    <w:rsid w:val="005E5524"/>
    <w:rsid w:val="005F0D67"/>
    <w:rsid w:val="00600A73"/>
    <w:rsid w:val="00603C5E"/>
    <w:rsid w:val="00604A73"/>
    <w:rsid w:val="0061179C"/>
    <w:rsid w:val="00611E12"/>
    <w:rsid w:val="00611EB7"/>
    <w:rsid w:val="00614F21"/>
    <w:rsid w:val="0062007F"/>
    <w:rsid w:val="00620734"/>
    <w:rsid w:val="00627597"/>
    <w:rsid w:val="00630C7A"/>
    <w:rsid w:val="0064087C"/>
    <w:rsid w:val="0064537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4D63"/>
    <w:rsid w:val="006C73A2"/>
    <w:rsid w:val="006D1078"/>
    <w:rsid w:val="006D12EE"/>
    <w:rsid w:val="006D7247"/>
    <w:rsid w:val="006E27AC"/>
    <w:rsid w:val="006E70D9"/>
    <w:rsid w:val="006F10DE"/>
    <w:rsid w:val="006F1AA2"/>
    <w:rsid w:val="006F20E5"/>
    <w:rsid w:val="006F2B12"/>
    <w:rsid w:val="006F63D2"/>
    <w:rsid w:val="006F6DEB"/>
    <w:rsid w:val="007049C9"/>
    <w:rsid w:val="007059C8"/>
    <w:rsid w:val="00713B4B"/>
    <w:rsid w:val="007212B7"/>
    <w:rsid w:val="00724FF7"/>
    <w:rsid w:val="00726A20"/>
    <w:rsid w:val="0073143D"/>
    <w:rsid w:val="00732D7D"/>
    <w:rsid w:val="007367FD"/>
    <w:rsid w:val="00741F4F"/>
    <w:rsid w:val="00746A11"/>
    <w:rsid w:val="00752255"/>
    <w:rsid w:val="007546DF"/>
    <w:rsid w:val="007624FD"/>
    <w:rsid w:val="00770405"/>
    <w:rsid w:val="00782790"/>
    <w:rsid w:val="00785661"/>
    <w:rsid w:val="007908F0"/>
    <w:rsid w:val="007943F4"/>
    <w:rsid w:val="00795B16"/>
    <w:rsid w:val="007A69B6"/>
    <w:rsid w:val="007A7904"/>
    <w:rsid w:val="007B1978"/>
    <w:rsid w:val="007B5215"/>
    <w:rsid w:val="007B6CB3"/>
    <w:rsid w:val="007B71FB"/>
    <w:rsid w:val="007B77F8"/>
    <w:rsid w:val="007C2A50"/>
    <w:rsid w:val="007C5CE9"/>
    <w:rsid w:val="007C6318"/>
    <w:rsid w:val="007C70F7"/>
    <w:rsid w:val="007D385A"/>
    <w:rsid w:val="007E09EE"/>
    <w:rsid w:val="007E41A3"/>
    <w:rsid w:val="007E7637"/>
    <w:rsid w:val="007F3316"/>
    <w:rsid w:val="007F3DF6"/>
    <w:rsid w:val="00805B55"/>
    <w:rsid w:val="00805BCC"/>
    <w:rsid w:val="00805C9E"/>
    <w:rsid w:val="00813B0D"/>
    <w:rsid w:val="0081463D"/>
    <w:rsid w:val="00815DEF"/>
    <w:rsid w:val="00816487"/>
    <w:rsid w:val="00823229"/>
    <w:rsid w:val="008253C8"/>
    <w:rsid w:val="00825CAD"/>
    <w:rsid w:val="00826139"/>
    <w:rsid w:val="00832594"/>
    <w:rsid w:val="00832A5C"/>
    <w:rsid w:val="00834A24"/>
    <w:rsid w:val="0084693B"/>
    <w:rsid w:val="00850C45"/>
    <w:rsid w:val="008633E5"/>
    <w:rsid w:val="0086385F"/>
    <w:rsid w:val="00863C57"/>
    <w:rsid w:val="00864D87"/>
    <w:rsid w:val="008733E3"/>
    <w:rsid w:val="00873F2B"/>
    <w:rsid w:val="00873FDA"/>
    <w:rsid w:val="00874A3B"/>
    <w:rsid w:val="00880A48"/>
    <w:rsid w:val="00884649"/>
    <w:rsid w:val="00887608"/>
    <w:rsid w:val="00890913"/>
    <w:rsid w:val="00890BC0"/>
    <w:rsid w:val="00896343"/>
    <w:rsid w:val="008A5490"/>
    <w:rsid w:val="008A6309"/>
    <w:rsid w:val="008B10D3"/>
    <w:rsid w:val="008B20C0"/>
    <w:rsid w:val="008B5C80"/>
    <w:rsid w:val="008B71C9"/>
    <w:rsid w:val="008C2AE4"/>
    <w:rsid w:val="008C2C7A"/>
    <w:rsid w:val="008C65EA"/>
    <w:rsid w:val="008D7D5B"/>
    <w:rsid w:val="008D7FD3"/>
    <w:rsid w:val="008E7278"/>
    <w:rsid w:val="008E7371"/>
    <w:rsid w:val="00903A6D"/>
    <w:rsid w:val="00927E72"/>
    <w:rsid w:val="00930A36"/>
    <w:rsid w:val="00932AE5"/>
    <w:rsid w:val="0093314E"/>
    <w:rsid w:val="009341E2"/>
    <w:rsid w:val="00934345"/>
    <w:rsid w:val="009344F2"/>
    <w:rsid w:val="00941348"/>
    <w:rsid w:val="0094235D"/>
    <w:rsid w:val="009507DF"/>
    <w:rsid w:val="00953FB7"/>
    <w:rsid w:val="00961E6B"/>
    <w:rsid w:val="00962025"/>
    <w:rsid w:val="00964805"/>
    <w:rsid w:val="00964BC2"/>
    <w:rsid w:val="009724E0"/>
    <w:rsid w:val="00976DBD"/>
    <w:rsid w:val="00977D5E"/>
    <w:rsid w:val="009805D1"/>
    <w:rsid w:val="00984B42"/>
    <w:rsid w:val="00986636"/>
    <w:rsid w:val="009A20BC"/>
    <w:rsid w:val="009A3627"/>
    <w:rsid w:val="009B05A3"/>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60C23"/>
    <w:rsid w:val="00A633AC"/>
    <w:rsid w:val="00A77C7D"/>
    <w:rsid w:val="00A85C72"/>
    <w:rsid w:val="00A95AC4"/>
    <w:rsid w:val="00A96A90"/>
    <w:rsid w:val="00AA0A4E"/>
    <w:rsid w:val="00AA445B"/>
    <w:rsid w:val="00AA508A"/>
    <w:rsid w:val="00AB1839"/>
    <w:rsid w:val="00AC7827"/>
    <w:rsid w:val="00AD002E"/>
    <w:rsid w:val="00AD168D"/>
    <w:rsid w:val="00AD3569"/>
    <w:rsid w:val="00AD69BB"/>
    <w:rsid w:val="00AE010A"/>
    <w:rsid w:val="00AE3BEB"/>
    <w:rsid w:val="00AE4415"/>
    <w:rsid w:val="00AE5C86"/>
    <w:rsid w:val="00AE61B2"/>
    <w:rsid w:val="00AE6C60"/>
    <w:rsid w:val="00AF2D5A"/>
    <w:rsid w:val="00AF7FC9"/>
    <w:rsid w:val="00B0610E"/>
    <w:rsid w:val="00B0645B"/>
    <w:rsid w:val="00B06528"/>
    <w:rsid w:val="00B1233C"/>
    <w:rsid w:val="00B124F8"/>
    <w:rsid w:val="00B136E6"/>
    <w:rsid w:val="00B13DAA"/>
    <w:rsid w:val="00B17F30"/>
    <w:rsid w:val="00B237AA"/>
    <w:rsid w:val="00B26520"/>
    <w:rsid w:val="00B44AC7"/>
    <w:rsid w:val="00B461D1"/>
    <w:rsid w:val="00B563D7"/>
    <w:rsid w:val="00B6595F"/>
    <w:rsid w:val="00B737C6"/>
    <w:rsid w:val="00B73C43"/>
    <w:rsid w:val="00B8086C"/>
    <w:rsid w:val="00B81216"/>
    <w:rsid w:val="00B84FA5"/>
    <w:rsid w:val="00B879F7"/>
    <w:rsid w:val="00B911F7"/>
    <w:rsid w:val="00B9449B"/>
    <w:rsid w:val="00B964FF"/>
    <w:rsid w:val="00BA6915"/>
    <w:rsid w:val="00BC04F1"/>
    <w:rsid w:val="00BD0923"/>
    <w:rsid w:val="00BE448E"/>
    <w:rsid w:val="00BE522C"/>
    <w:rsid w:val="00BE7CC3"/>
    <w:rsid w:val="00BF03C8"/>
    <w:rsid w:val="00BF0ACD"/>
    <w:rsid w:val="00BF456B"/>
    <w:rsid w:val="00BF4F3D"/>
    <w:rsid w:val="00C00F42"/>
    <w:rsid w:val="00C07F38"/>
    <w:rsid w:val="00C108C5"/>
    <w:rsid w:val="00C1103F"/>
    <w:rsid w:val="00C25700"/>
    <w:rsid w:val="00C3280C"/>
    <w:rsid w:val="00C36DEF"/>
    <w:rsid w:val="00C4293B"/>
    <w:rsid w:val="00C60804"/>
    <w:rsid w:val="00C62E9D"/>
    <w:rsid w:val="00C720AF"/>
    <w:rsid w:val="00C810F7"/>
    <w:rsid w:val="00C86460"/>
    <w:rsid w:val="00C86E35"/>
    <w:rsid w:val="00C86EEB"/>
    <w:rsid w:val="00CA2E71"/>
    <w:rsid w:val="00CA35A1"/>
    <w:rsid w:val="00CB453C"/>
    <w:rsid w:val="00CB56DE"/>
    <w:rsid w:val="00CB7978"/>
    <w:rsid w:val="00CC1192"/>
    <w:rsid w:val="00CD5A4D"/>
    <w:rsid w:val="00CE5157"/>
    <w:rsid w:val="00CE67CA"/>
    <w:rsid w:val="00CF5F47"/>
    <w:rsid w:val="00CF63C5"/>
    <w:rsid w:val="00D00017"/>
    <w:rsid w:val="00D021BC"/>
    <w:rsid w:val="00D02372"/>
    <w:rsid w:val="00D0772C"/>
    <w:rsid w:val="00D106E6"/>
    <w:rsid w:val="00D12076"/>
    <w:rsid w:val="00D150C6"/>
    <w:rsid w:val="00D1711E"/>
    <w:rsid w:val="00D2157E"/>
    <w:rsid w:val="00D308B2"/>
    <w:rsid w:val="00D32288"/>
    <w:rsid w:val="00D32461"/>
    <w:rsid w:val="00D340EA"/>
    <w:rsid w:val="00D360D6"/>
    <w:rsid w:val="00D36783"/>
    <w:rsid w:val="00D42982"/>
    <w:rsid w:val="00D441DB"/>
    <w:rsid w:val="00D45332"/>
    <w:rsid w:val="00D55B75"/>
    <w:rsid w:val="00D56A4D"/>
    <w:rsid w:val="00D604FC"/>
    <w:rsid w:val="00D61832"/>
    <w:rsid w:val="00D62FD0"/>
    <w:rsid w:val="00D70C31"/>
    <w:rsid w:val="00D72554"/>
    <w:rsid w:val="00D75347"/>
    <w:rsid w:val="00D774DE"/>
    <w:rsid w:val="00D821E2"/>
    <w:rsid w:val="00D84DB7"/>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F3640"/>
    <w:rsid w:val="00DF63E6"/>
    <w:rsid w:val="00E01353"/>
    <w:rsid w:val="00E0795E"/>
    <w:rsid w:val="00E1140D"/>
    <w:rsid w:val="00E14DAD"/>
    <w:rsid w:val="00E163C7"/>
    <w:rsid w:val="00E171EE"/>
    <w:rsid w:val="00E22C5F"/>
    <w:rsid w:val="00E37117"/>
    <w:rsid w:val="00E43BF6"/>
    <w:rsid w:val="00E515F7"/>
    <w:rsid w:val="00E55533"/>
    <w:rsid w:val="00E6060B"/>
    <w:rsid w:val="00E609F1"/>
    <w:rsid w:val="00E637A4"/>
    <w:rsid w:val="00E76F83"/>
    <w:rsid w:val="00E77E04"/>
    <w:rsid w:val="00E8739C"/>
    <w:rsid w:val="00E922FC"/>
    <w:rsid w:val="00E92AD7"/>
    <w:rsid w:val="00E93682"/>
    <w:rsid w:val="00E95FE0"/>
    <w:rsid w:val="00E9765E"/>
    <w:rsid w:val="00EA36AA"/>
    <w:rsid w:val="00EA6E3B"/>
    <w:rsid w:val="00EA7F0E"/>
    <w:rsid w:val="00EB0367"/>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2833"/>
    <w:rsid w:val="00F1744E"/>
    <w:rsid w:val="00F17C1D"/>
    <w:rsid w:val="00F22267"/>
    <w:rsid w:val="00F22B33"/>
    <w:rsid w:val="00F22B56"/>
    <w:rsid w:val="00F25AC8"/>
    <w:rsid w:val="00F25B9B"/>
    <w:rsid w:val="00F2626C"/>
    <w:rsid w:val="00F32E1C"/>
    <w:rsid w:val="00F35ADA"/>
    <w:rsid w:val="00F36C37"/>
    <w:rsid w:val="00F36DA8"/>
    <w:rsid w:val="00F376FE"/>
    <w:rsid w:val="00F52DF6"/>
    <w:rsid w:val="00F578B2"/>
    <w:rsid w:val="00F602E4"/>
    <w:rsid w:val="00F6047C"/>
    <w:rsid w:val="00F61AD0"/>
    <w:rsid w:val="00F66607"/>
    <w:rsid w:val="00F67F5B"/>
    <w:rsid w:val="00F70B36"/>
    <w:rsid w:val="00F73B65"/>
    <w:rsid w:val="00F73BD1"/>
    <w:rsid w:val="00F826B5"/>
    <w:rsid w:val="00F83A45"/>
    <w:rsid w:val="00F92456"/>
    <w:rsid w:val="00F92D37"/>
    <w:rsid w:val="00FA1612"/>
    <w:rsid w:val="00FA27E2"/>
    <w:rsid w:val="00FA3FF4"/>
    <w:rsid w:val="00FA7D7C"/>
    <w:rsid w:val="00FB1F62"/>
    <w:rsid w:val="00FB63BF"/>
    <w:rsid w:val="00FC1BB4"/>
    <w:rsid w:val="00FC2BD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2C9B1-5922-4201-BEC1-95BDD1EA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11</Pages>
  <Words>4616</Words>
  <Characters>25393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2018-05-31T20:54:00Z</cp:lastPrinted>
  <dcterms:created xsi:type="dcterms:W3CDTF">2018-05-30T19:05:00Z</dcterms:created>
  <dcterms:modified xsi:type="dcterms:W3CDTF">2018-12-11T18:15:00Z</dcterms:modified>
</cp:coreProperties>
</file>