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41068D" w:rsidRPr="00B36E98" w:rsidTr="000849A2">
        <w:tc>
          <w:tcPr>
            <w:tcW w:w="2356" w:type="dxa"/>
          </w:tcPr>
          <w:p w:rsidR="0041068D" w:rsidRPr="00B36E98" w:rsidRDefault="0041068D" w:rsidP="000849A2">
            <w:pPr>
              <w:spacing w:after="0" w:line="240" w:lineRule="auto"/>
              <w:rPr>
                <w:rFonts w:ascii="Arial" w:hAnsi="Arial" w:cs="Arial"/>
                <w:b/>
                <w:sz w:val="26"/>
                <w:szCs w:val="26"/>
              </w:rPr>
            </w:pPr>
            <w:r w:rsidRPr="00B36E98">
              <w:rPr>
                <w:rFonts w:ascii="Arial" w:hAnsi="Arial" w:cs="Arial"/>
                <w:b/>
                <w:sz w:val="26"/>
                <w:szCs w:val="26"/>
              </w:rPr>
              <w:t xml:space="preserve">      </w:t>
            </w:r>
          </w:p>
        </w:tc>
        <w:tc>
          <w:tcPr>
            <w:tcW w:w="7426" w:type="dxa"/>
          </w:tcPr>
          <w:p w:rsidR="0041068D" w:rsidRPr="00B36E98" w:rsidRDefault="0041068D" w:rsidP="000849A2">
            <w:pPr>
              <w:tabs>
                <w:tab w:val="left" w:pos="3103"/>
              </w:tabs>
              <w:spacing w:after="0" w:line="240" w:lineRule="auto"/>
              <w:ind w:left="2394"/>
              <w:jc w:val="both"/>
              <w:rPr>
                <w:rFonts w:ascii="Arial" w:hAnsi="Arial" w:cs="Arial"/>
                <w:b/>
                <w:i/>
                <w:iCs/>
                <w:caps/>
                <w:sz w:val="26"/>
                <w:szCs w:val="26"/>
              </w:rPr>
            </w:pPr>
            <w:r w:rsidRPr="00B36E98">
              <w:rPr>
                <w:rFonts w:ascii="Arial" w:hAnsi="Arial" w:cs="Arial"/>
                <w:b/>
                <w:i/>
                <w:iCs/>
                <w:caps/>
                <w:sz w:val="26"/>
                <w:szCs w:val="26"/>
              </w:rPr>
              <w:t xml:space="preserve">                       </w:t>
            </w:r>
          </w:p>
          <w:p w:rsidR="0041068D" w:rsidRPr="00B36E98" w:rsidRDefault="0041068D" w:rsidP="000849A2">
            <w:pPr>
              <w:tabs>
                <w:tab w:val="left" w:pos="3103"/>
              </w:tabs>
              <w:spacing w:after="0" w:line="240" w:lineRule="auto"/>
              <w:ind w:left="1686" w:right="781"/>
              <w:jc w:val="both"/>
              <w:rPr>
                <w:rFonts w:ascii="Arial" w:hAnsi="Arial" w:cs="Arial"/>
                <w:b/>
                <w:iCs/>
                <w:caps/>
                <w:sz w:val="26"/>
                <w:szCs w:val="26"/>
              </w:rPr>
            </w:pPr>
            <w:r w:rsidRPr="00B36E98">
              <w:rPr>
                <w:rFonts w:ascii="Arial" w:hAnsi="Arial" w:cs="Arial"/>
                <w:b/>
                <w:iCs/>
                <w:caps/>
                <w:sz w:val="26"/>
                <w:szCs w:val="26"/>
              </w:rPr>
              <w:t>SALA SUPERIOR DEL TRIBUNAL DE JUSTICIA ADMINISTRATIVA DEL ESTADO DE OAXACA.</w:t>
            </w:r>
          </w:p>
          <w:p w:rsidR="0041068D" w:rsidRPr="00B36E98" w:rsidRDefault="0041068D" w:rsidP="000849A2">
            <w:pPr>
              <w:pStyle w:val="Encabezado"/>
              <w:tabs>
                <w:tab w:val="clear" w:pos="4252"/>
              </w:tabs>
              <w:ind w:left="1686" w:right="781"/>
              <w:jc w:val="both"/>
              <w:rPr>
                <w:rFonts w:ascii="Arial" w:hAnsi="Arial" w:cs="Arial"/>
                <w:b/>
                <w:iCs/>
                <w:caps/>
                <w:sz w:val="26"/>
                <w:szCs w:val="26"/>
                <w:lang w:val="es-PE"/>
              </w:rPr>
            </w:pPr>
            <w:r w:rsidRPr="00B36E98">
              <w:rPr>
                <w:rFonts w:ascii="Arial" w:hAnsi="Arial" w:cs="Arial"/>
                <w:b/>
                <w:iCs/>
                <w:caps/>
                <w:sz w:val="26"/>
                <w:szCs w:val="26"/>
                <w:lang w:val="es-PE"/>
              </w:rPr>
              <w:t xml:space="preserve">               </w:t>
            </w:r>
          </w:p>
          <w:p w:rsidR="0041068D" w:rsidRPr="00B36E98" w:rsidRDefault="0041068D" w:rsidP="000849A2">
            <w:pPr>
              <w:pStyle w:val="Encabezado"/>
              <w:tabs>
                <w:tab w:val="clear" w:pos="4252"/>
              </w:tabs>
              <w:ind w:left="1686" w:right="781"/>
              <w:jc w:val="both"/>
              <w:rPr>
                <w:rFonts w:ascii="Arial" w:hAnsi="Arial" w:cs="Arial"/>
                <w:b/>
                <w:iCs/>
                <w:caps/>
                <w:sz w:val="26"/>
                <w:szCs w:val="26"/>
                <w:lang w:val="es-PE"/>
              </w:rPr>
            </w:pPr>
            <w:r w:rsidRPr="00B36E98">
              <w:rPr>
                <w:rFonts w:ascii="Arial" w:hAnsi="Arial" w:cs="Arial"/>
                <w:b/>
                <w:iCs/>
                <w:caps/>
                <w:sz w:val="26"/>
                <w:szCs w:val="26"/>
                <w:lang w:val="es-PE"/>
              </w:rPr>
              <w:t xml:space="preserve">RECURSO DE REVISIÓN:   0313/2018 </w:t>
            </w:r>
          </w:p>
          <w:p w:rsidR="0041068D" w:rsidRPr="00B36E98" w:rsidRDefault="0041068D" w:rsidP="000849A2">
            <w:pPr>
              <w:pStyle w:val="Encabezado"/>
              <w:tabs>
                <w:tab w:val="clear" w:pos="4252"/>
              </w:tabs>
              <w:ind w:left="1686" w:right="781"/>
              <w:jc w:val="both"/>
              <w:rPr>
                <w:rFonts w:ascii="Arial" w:hAnsi="Arial" w:cs="Arial"/>
                <w:b/>
                <w:iCs/>
                <w:caps/>
                <w:sz w:val="26"/>
                <w:szCs w:val="26"/>
                <w:lang w:val="es-PE"/>
              </w:rPr>
            </w:pPr>
          </w:p>
          <w:p w:rsidR="0041068D" w:rsidRPr="00B36E98" w:rsidRDefault="0041068D" w:rsidP="000849A2">
            <w:pPr>
              <w:pStyle w:val="Encabezado"/>
              <w:tabs>
                <w:tab w:val="clear" w:pos="4252"/>
              </w:tabs>
              <w:ind w:left="1686" w:right="781"/>
              <w:jc w:val="both"/>
              <w:rPr>
                <w:rFonts w:ascii="Arial" w:hAnsi="Arial" w:cs="Arial"/>
                <w:b/>
                <w:iCs/>
                <w:caps/>
                <w:sz w:val="26"/>
                <w:szCs w:val="26"/>
                <w:lang w:val="es-PE"/>
              </w:rPr>
            </w:pPr>
            <w:r w:rsidRPr="00B36E98">
              <w:rPr>
                <w:rFonts w:ascii="Arial" w:hAnsi="Arial" w:cs="Arial"/>
                <w:b/>
                <w:iCs/>
                <w:caps/>
                <w:sz w:val="26"/>
                <w:szCs w:val="26"/>
                <w:lang w:val="es-PE"/>
              </w:rPr>
              <w:t>EXPEDIENTE: 065/2017 DE LA SEGUNDA SALA UNITARIA DE PRIMERA INSTANCIA</w:t>
            </w:r>
          </w:p>
          <w:p w:rsidR="0041068D" w:rsidRPr="00B36E98" w:rsidRDefault="0041068D" w:rsidP="000849A2">
            <w:pPr>
              <w:pStyle w:val="Encabezado"/>
              <w:tabs>
                <w:tab w:val="clear" w:pos="4252"/>
              </w:tabs>
              <w:ind w:left="1686" w:right="781"/>
              <w:jc w:val="both"/>
              <w:rPr>
                <w:rFonts w:ascii="Arial" w:hAnsi="Arial" w:cs="Arial"/>
                <w:b/>
                <w:iCs/>
                <w:caps/>
                <w:sz w:val="26"/>
                <w:szCs w:val="26"/>
                <w:lang w:val="es-PE"/>
              </w:rPr>
            </w:pPr>
            <w:r w:rsidRPr="00B36E98">
              <w:rPr>
                <w:rFonts w:ascii="Arial" w:hAnsi="Arial" w:cs="Arial"/>
                <w:b/>
                <w:iCs/>
                <w:caps/>
                <w:sz w:val="26"/>
                <w:szCs w:val="26"/>
                <w:lang w:val="es-PE"/>
              </w:rPr>
              <w:t xml:space="preserve">       </w:t>
            </w:r>
          </w:p>
          <w:p w:rsidR="0041068D" w:rsidRPr="00B36E98" w:rsidRDefault="0041068D" w:rsidP="000849A2">
            <w:pPr>
              <w:pStyle w:val="Encabezado"/>
              <w:tabs>
                <w:tab w:val="clear" w:pos="4252"/>
              </w:tabs>
              <w:ind w:left="1686" w:right="781"/>
              <w:jc w:val="both"/>
              <w:rPr>
                <w:rFonts w:ascii="Arial" w:hAnsi="Arial" w:cs="Arial"/>
                <w:b/>
                <w:iCs/>
                <w:caps/>
                <w:sz w:val="26"/>
                <w:szCs w:val="26"/>
                <w:lang w:val="es-PE"/>
              </w:rPr>
            </w:pPr>
            <w:r w:rsidRPr="00B36E98">
              <w:rPr>
                <w:rFonts w:ascii="Arial" w:hAnsi="Arial" w:cs="Arial"/>
                <w:b/>
                <w:iCs/>
                <w:caps/>
                <w:sz w:val="26"/>
                <w:szCs w:val="26"/>
                <w:lang w:val="es-PE"/>
              </w:rPr>
              <w:t>ponente:</w:t>
            </w:r>
            <w:r w:rsidR="00B36E98" w:rsidRPr="00B36E98">
              <w:rPr>
                <w:rFonts w:ascii="Arial" w:hAnsi="Arial" w:cs="Arial"/>
                <w:b/>
                <w:iCs/>
                <w:caps/>
                <w:sz w:val="26"/>
                <w:szCs w:val="26"/>
                <w:lang w:val="es-PE"/>
              </w:rPr>
              <w:t xml:space="preserve"> magistrado</w:t>
            </w:r>
            <w:r w:rsidRPr="00B36E98">
              <w:rPr>
                <w:rFonts w:ascii="Arial" w:hAnsi="Arial" w:cs="Arial"/>
                <w:b/>
                <w:iCs/>
                <w:caps/>
                <w:sz w:val="26"/>
                <w:szCs w:val="26"/>
                <w:lang w:val="es-PE"/>
              </w:rPr>
              <w:t xml:space="preserve"> HUGO VILLEGAS AQUINO</w:t>
            </w:r>
          </w:p>
        </w:tc>
      </w:tr>
      <w:tr w:rsidR="0041068D" w:rsidRPr="00B36E98" w:rsidTr="000849A2">
        <w:tc>
          <w:tcPr>
            <w:tcW w:w="2356" w:type="dxa"/>
          </w:tcPr>
          <w:p w:rsidR="0041068D" w:rsidRPr="00B36E98" w:rsidRDefault="0041068D" w:rsidP="000849A2">
            <w:pPr>
              <w:spacing w:after="0" w:line="240" w:lineRule="auto"/>
              <w:rPr>
                <w:rFonts w:ascii="Arial" w:hAnsi="Arial" w:cs="Arial"/>
                <w:b/>
                <w:sz w:val="26"/>
                <w:szCs w:val="26"/>
              </w:rPr>
            </w:pPr>
          </w:p>
        </w:tc>
        <w:tc>
          <w:tcPr>
            <w:tcW w:w="7426" w:type="dxa"/>
          </w:tcPr>
          <w:p w:rsidR="0041068D" w:rsidRPr="00B36E98" w:rsidRDefault="0041068D" w:rsidP="000849A2">
            <w:pPr>
              <w:tabs>
                <w:tab w:val="left" w:pos="3103"/>
              </w:tabs>
              <w:spacing w:after="0" w:line="240" w:lineRule="auto"/>
              <w:ind w:left="2678" w:hanging="2961"/>
              <w:jc w:val="both"/>
              <w:rPr>
                <w:rFonts w:ascii="Arial" w:hAnsi="Arial" w:cs="Arial"/>
                <w:b/>
                <w:iCs/>
                <w:caps/>
                <w:sz w:val="26"/>
                <w:szCs w:val="26"/>
              </w:rPr>
            </w:pPr>
            <w:r w:rsidRPr="00B36E98">
              <w:rPr>
                <w:rFonts w:ascii="Arial" w:hAnsi="Arial" w:cs="Arial"/>
                <w:b/>
                <w:i/>
                <w:iCs/>
                <w:caps/>
                <w:sz w:val="26"/>
                <w:szCs w:val="26"/>
              </w:rPr>
              <w:t xml:space="preserve">                                          </w:t>
            </w:r>
          </w:p>
        </w:tc>
      </w:tr>
      <w:tr w:rsidR="0041068D" w:rsidRPr="00B36E98" w:rsidTr="000849A2">
        <w:tc>
          <w:tcPr>
            <w:tcW w:w="2356" w:type="dxa"/>
          </w:tcPr>
          <w:p w:rsidR="0041068D" w:rsidRPr="00B36E98" w:rsidRDefault="0041068D" w:rsidP="000849A2">
            <w:pPr>
              <w:spacing w:after="0" w:line="240" w:lineRule="auto"/>
              <w:rPr>
                <w:rFonts w:ascii="Arial" w:hAnsi="Arial" w:cs="Arial"/>
                <w:b/>
                <w:sz w:val="26"/>
                <w:szCs w:val="26"/>
              </w:rPr>
            </w:pPr>
          </w:p>
        </w:tc>
        <w:tc>
          <w:tcPr>
            <w:tcW w:w="7426" w:type="dxa"/>
          </w:tcPr>
          <w:p w:rsidR="0041068D" w:rsidRPr="00B36E98" w:rsidRDefault="0041068D" w:rsidP="000849A2">
            <w:pPr>
              <w:tabs>
                <w:tab w:val="left" w:pos="3103"/>
              </w:tabs>
              <w:spacing w:after="0" w:line="240" w:lineRule="auto"/>
              <w:ind w:left="2961" w:hanging="2961"/>
              <w:jc w:val="both"/>
              <w:rPr>
                <w:rFonts w:ascii="Arial" w:hAnsi="Arial" w:cs="Arial"/>
                <w:b/>
                <w:i/>
                <w:iCs/>
                <w:caps/>
                <w:sz w:val="26"/>
                <w:szCs w:val="26"/>
              </w:rPr>
            </w:pPr>
          </w:p>
        </w:tc>
      </w:tr>
    </w:tbl>
    <w:p w:rsidR="0041068D" w:rsidRPr="00B36E98" w:rsidRDefault="00B36E98" w:rsidP="0041068D">
      <w:pPr>
        <w:spacing w:after="0" w:line="360" w:lineRule="auto"/>
        <w:jc w:val="both"/>
        <w:rPr>
          <w:rFonts w:ascii="Arial" w:hAnsi="Arial" w:cs="Arial"/>
          <w:b/>
          <w:sz w:val="26"/>
          <w:szCs w:val="26"/>
        </w:rPr>
      </w:pPr>
      <w:r w:rsidRPr="00B36E98">
        <w:rPr>
          <w:rFonts w:ascii="Arial" w:hAnsi="Arial" w:cs="Arial"/>
          <w:b/>
          <w:sz w:val="26"/>
          <w:szCs w:val="26"/>
        </w:rPr>
        <w:t>OAXACA DE JUÁREZ, OAXACA,</w:t>
      </w:r>
      <w:r w:rsidR="0041068D" w:rsidRPr="00B36E98">
        <w:rPr>
          <w:rFonts w:ascii="Arial" w:hAnsi="Arial" w:cs="Arial"/>
          <w:b/>
          <w:sz w:val="26"/>
          <w:szCs w:val="26"/>
        </w:rPr>
        <w:t xml:space="preserve"> </w:t>
      </w:r>
      <w:r w:rsidRPr="00B36E98">
        <w:rPr>
          <w:rFonts w:ascii="Arial" w:hAnsi="Arial" w:cs="Arial"/>
          <w:b/>
          <w:sz w:val="26"/>
          <w:szCs w:val="26"/>
        </w:rPr>
        <w:t>NUEVE DE MAYO DE</w:t>
      </w:r>
      <w:r w:rsidR="0041068D" w:rsidRPr="00B36E98">
        <w:rPr>
          <w:rFonts w:ascii="Arial" w:hAnsi="Arial" w:cs="Arial"/>
          <w:b/>
          <w:sz w:val="26"/>
          <w:szCs w:val="26"/>
        </w:rPr>
        <w:t xml:space="preserve"> DOS MIL DIECINUEVE.  </w:t>
      </w:r>
    </w:p>
    <w:p w:rsidR="0041068D" w:rsidRPr="00B36E98" w:rsidRDefault="0041068D" w:rsidP="0041068D">
      <w:pPr>
        <w:spacing w:after="0" w:line="360" w:lineRule="auto"/>
        <w:ind w:firstLine="708"/>
        <w:jc w:val="both"/>
        <w:rPr>
          <w:rFonts w:ascii="Arial" w:hAnsi="Arial" w:cs="Arial"/>
          <w:sz w:val="26"/>
          <w:szCs w:val="26"/>
        </w:rPr>
      </w:pPr>
      <w:r w:rsidRPr="00B36E98">
        <w:rPr>
          <w:rFonts w:ascii="Arial" w:hAnsi="Arial" w:cs="Arial"/>
          <w:sz w:val="26"/>
          <w:szCs w:val="26"/>
        </w:rPr>
        <w:t xml:space="preserve">Por recibido el Cuaderno de Revisión </w:t>
      </w:r>
      <w:r w:rsidRPr="00B36E98">
        <w:rPr>
          <w:rFonts w:ascii="Arial" w:hAnsi="Arial" w:cs="Arial"/>
          <w:b/>
          <w:sz w:val="26"/>
          <w:szCs w:val="26"/>
        </w:rPr>
        <w:t>0313/2018</w:t>
      </w:r>
      <w:r w:rsidRPr="00B36E98">
        <w:rPr>
          <w:rFonts w:ascii="Arial" w:hAnsi="Arial" w:cs="Arial"/>
          <w:sz w:val="26"/>
          <w:szCs w:val="26"/>
        </w:rPr>
        <w:t xml:space="preserve">, que remite la Secretaría General de Acuerdos, con motivo del recurso de revisión interpuesto por </w:t>
      </w:r>
      <w:r w:rsidR="00B5788A">
        <w:rPr>
          <w:rFonts w:ascii="Arial" w:hAnsi="Arial" w:cs="Arial"/>
          <w:b/>
          <w:sz w:val="26"/>
          <w:szCs w:val="26"/>
        </w:rPr>
        <w:t>**********</w:t>
      </w:r>
      <w:r w:rsidRPr="00B36E98">
        <w:rPr>
          <w:rFonts w:ascii="Arial" w:hAnsi="Arial" w:cs="Arial"/>
          <w:sz w:val="26"/>
          <w:szCs w:val="26"/>
        </w:rPr>
        <w:t>parte actora en el juicio natural, en contra de la sentencia de 29 veintinueve de junio de 20</w:t>
      </w:r>
      <w:r w:rsidR="007E30EF">
        <w:rPr>
          <w:rFonts w:ascii="Arial" w:hAnsi="Arial" w:cs="Arial"/>
          <w:sz w:val="26"/>
          <w:szCs w:val="26"/>
        </w:rPr>
        <w:t xml:space="preserve">18 dos mil dieciocho, </w:t>
      </w:r>
      <w:r w:rsidRPr="00B36E98">
        <w:rPr>
          <w:rFonts w:ascii="Arial" w:hAnsi="Arial" w:cs="Arial"/>
          <w:sz w:val="26"/>
          <w:szCs w:val="26"/>
        </w:rPr>
        <w:t>dictada por la Segunda Sala Unitaria de Primera Instancia del Tribunal de Justicia Administrativa del Estado de Oaxaca</w:t>
      </w:r>
      <w:r w:rsidR="007E30EF">
        <w:rPr>
          <w:rFonts w:ascii="Arial" w:hAnsi="Arial" w:cs="Arial"/>
          <w:sz w:val="26"/>
          <w:szCs w:val="26"/>
        </w:rPr>
        <w:t>,</w:t>
      </w:r>
      <w:r w:rsidRPr="00B36E98">
        <w:rPr>
          <w:rFonts w:ascii="Arial" w:hAnsi="Arial" w:cs="Arial"/>
          <w:sz w:val="26"/>
          <w:szCs w:val="26"/>
        </w:rPr>
        <w:t xml:space="preserve"> en el juicio</w:t>
      </w:r>
      <w:r w:rsidRPr="00B36E98">
        <w:rPr>
          <w:rFonts w:ascii="Arial" w:hAnsi="Arial" w:cs="Arial"/>
          <w:b/>
          <w:sz w:val="26"/>
          <w:szCs w:val="26"/>
        </w:rPr>
        <w:t xml:space="preserve"> 065/2017 </w:t>
      </w:r>
      <w:r w:rsidRPr="00B36E98">
        <w:rPr>
          <w:rFonts w:ascii="Arial" w:hAnsi="Arial" w:cs="Arial"/>
          <w:sz w:val="26"/>
          <w:szCs w:val="26"/>
        </w:rPr>
        <w:t xml:space="preserve">de su índice, relativo al juicio de nulidad promovido por la </w:t>
      </w:r>
      <w:r w:rsidRPr="00B36E98">
        <w:rPr>
          <w:rFonts w:ascii="Arial" w:hAnsi="Arial" w:cs="Arial"/>
          <w:b/>
          <w:sz w:val="26"/>
          <w:szCs w:val="26"/>
        </w:rPr>
        <w:t xml:space="preserve">RECURRENTE </w:t>
      </w:r>
      <w:r w:rsidRPr="00B36E98">
        <w:rPr>
          <w:rFonts w:ascii="Arial" w:hAnsi="Arial" w:cs="Arial"/>
          <w:sz w:val="26"/>
          <w:szCs w:val="26"/>
        </w:rPr>
        <w:t>en contra del</w:t>
      </w:r>
      <w:r w:rsidRPr="00B36E98">
        <w:rPr>
          <w:rFonts w:ascii="Arial" w:hAnsi="Arial" w:cs="Arial"/>
          <w:b/>
          <w:sz w:val="26"/>
          <w:szCs w:val="26"/>
        </w:rPr>
        <w:t xml:space="preserve"> POLICÍA VIAL DE LA COMISARÍA DE SEGURIDAD PÚBLICA Y VIAIDAD DEL MUNICIPIO DE OAXACA DE JUÁREZ, OAXACA CON NÚMERO ESTADÍSTICO PV-133; </w:t>
      </w:r>
      <w:r w:rsidRPr="00B36E98">
        <w:rPr>
          <w:rFonts w:ascii="Arial" w:hAnsi="Arial" w:cs="Arial"/>
          <w:sz w:val="26"/>
          <w:szCs w:val="26"/>
        </w:rPr>
        <w:t>por lo que con fundamento en los artículos 207 y 208 de la Ley de Justicia Administrativa para el Estado de Oaxaca,</w:t>
      </w:r>
      <w:r w:rsidR="007E30EF">
        <w:rPr>
          <w:rFonts w:ascii="Arial" w:hAnsi="Arial" w:cs="Arial"/>
          <w:sz w:val="26"/>
          <w:szCs w:val="26"/>
        </w:rPr>
        <w:t xml:space="preserve"> vigente hasta el veinte de octubre de dos mil diecisiete,</w:t>
      </w:r>
      <w:r w:rsidRPr="00B36E98">
        <w:rPr>
          <w:rFonts w:ascii="Arial" w:hAnsi="Arial" w:cs="Arial"/>
          <w:sz w:val="26"/>
          <w:szCs w:val="26"/>
        </w:rPr>
        <w:t xml:space="preserve"> se admite.  En consecuencia, se procede a dictar resolución en los siguientes términos:</w:t>
      </w:r>
    </w:p>
    <w:p w:rsidR="0041068D" w:rsidRPr="00B36E98" w:rsidRDefault="0041068D" w:rsidP="0041068D">
      <w:pPr>
        <w:spacing w:after="0" w:line="360" w:lineRule="auto"/>
        <w:jc w:val="center"/>
        <w:rPr>
          <w:rFonts w:ascii="Arial" w:hAnsi="Arial" w:cs="Arial"/>
          <w:b/>
          <w:bCs/>
          <w:sz w:val="26"/>
          <w:szCs w:val="26"/>
        </w:rPr>
      </w:pPr>
    </w:p>
    <w:p w:rsidR="0041068D" w:rsidRPr="00B36E98" w:rsidRDefault="0041068D" w:rsidP="0041068D">
      <w:pPr>
        <w:spacing w:after="0" w:line="360" w:lineRule="auto"/>
        <w:jc w:val="center"/>
        <w:rPr>
          <w:rFonts w:ascii="Arial" w:hAnsi="Arial" w:cs="Arial"/>
          <w:b/>
          <w:bCs/>
          <w:sz w:val="26"/>
          <w:szCs w:val="26"/>
        </w:rPr>
      </w:pPr>
      <w:r w:rsidRPr="00B36E98">
        <w:rPr>
          <w:rFonts w:ascii="Arial" w:hAnsi="Arial" w:cs="Arial"/>
          <w:b/>
          <w:bCs/>
          <w:sz w:val="26"/>
          <w:szCs w:val="26"/>
        </w:rPr>
        <w:t>R E S U L T A N D O</w:t>
      </w:r>
    </w:p>
    <w:p w:rsidR="0041068D" w:rsidRPr="00B36E98" w:rsidRDefault="0041068D" w:rsidP="0041068D">
      <w:pPr>
        <w:spacing w:after="0" w:line="360" w:lineRule="auto"/>
        <w:ind w:firstLine="709"/>
        <w:jc w:val="both"/>
        <w:rPr>
          <w:rFonts w:ascii="Arial" w:hAnsi="Arial" w:cs="Arial"/>
          <w:sz w:val="26"/>
          <w:szCs w:val="26"/>
        </w:rPr>
      </w:pPr>
      <w:r w:rsidRPr="00B36E98">
        <w:rPr>
          <w:rFonts w:ascii="Arial" w:hAnsi="Arial" w:cs="Arial"/>
          <w:b/>
          <w:bCs/>
          <w:sz w:val="26"/>
          <w:szCs w:val="26"/>
        </w:rPr>
        <w:t xml:space="preserve">PRIMERO. </w:t>
      </w:r>
      <w:r w:rsidRPr="00B36E98">
        <w:rPr>
          <w:rFonts w:ascii="Arial" w:hAnsi="Arial" w:cs="Arial"/>
          <w:sz w:val="26"/>
          <w:szCs w:val="26"/>
        </w:rPr>
        <w:t xml:space="preserve">Inconforme con la sentencia de 29 veintinueve de junio de 2018 dos mil dieciocho dictada por la Segunda Sala Unitaria de Primera Instancia del Tribunal de Justicia Administrativa del Estado de Oaxaca, </w:t>
      </w:r>
      <w:r w:rsidR="00B5788A">
        <w:rPr>
          <w:rFonts w:ascii="Arial" w:hAnsi="Arial" w:cs="Arial"/>
          <w:b/>
          <w:sz w:val="26"/>
          <w:szCs w:val="26"/>
        </w:rPr>
        <w:t>**********</w:t>
      </w:r>
      <w:r w:rsidRPr="00B36E98">
        <w:rPr>
          <w:rFonts w:ascii="Arial" w:hAnsi="Arial" w:cs="Arial"/>
          <w:sz w:val="26"/>
          <w:szCs w:val="26"/>
        </w:rPr>
        <w:t xml:space="preserve">parte actora del juicio natural, interpone en su contra recurso de revisión. </w:t>
      </w:r>
    </w:p>
    <w:p w:rsidR="0041068D" w:rsidRPr="00B36E98" w:rsidRDefault="0041068D" w:rsidP="0041068D">
      <w:pPr>
        <w:spacing w:after="0" w:line="360" w:lineRule="auto"/>
        <w:ind w:firstLine="709"/>
        <w:jc w:val="both"/>
        <w:rPr>
          <w:rFonts w:ascii="Arial" w:hAnsi="Arial" w:cs="Arial"/>
          <w:sz w:val="26"/>
          <w:szCs w:val="26"/>
        </w:rPr>
      </w:pPr>
    </w:p>
    <w:p w:rsidR="0041068D" w:rsidRPr="00B36E98" w:rsidRDefault="0041068D" w:rsidP="0041068D">
      <w:pPr>
        <w:spacing w:after="0" w:line="360" w:lineRule="auto"/>
        <w:jc w:val="both"/>
        <w:rPr>
          <w:rFonts w:ascii="Arial" w:eastAsia="Calibri" w:hAnsi="Arial" w:cs="Arial"/>
          <w:sz w:val="26"/>
          <w:szCs w:val="26"/>
        </w:rPr>
      </w:pPr>
      <w:r w:rsidRPr="00B36E98">
        <w:rPr>
          <w:rFonts w:ascii="Arial" w:hAnsi="Arial" w:cs="Arial"/>
          <w:b/>
          <w:bCs/>
          <w:sz w:val="26"/>
          <w:szCs w:val="26"/>
        </w:rPr>
        <w:tab/>
        <w:t xml:space="preserve">SEGUNDO.- </w:t>
      </w:r>
      <w:r w:rsidRPr="00B36E98">
        <w:rPr>
          <w:rFonts w:ascii="Arial" w:hAnsi="Arial" w:cs="Arial"/>
          <w:bCs/>
          <w:sz w:val="26"/>
          <w:szCs w:val="26"/>
        </w:rPr>
        <w:t>Los puntos resolutivos de la sentencia sujeta a revisión son como siguen:</w:t>
      </w:r>
    </w:p>
    <w:p w:rsidR="0041068D" w:rsidRPr="00A066BA" w:rsidRDefault="0041068D" w:rsidP="0041068D">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41068D" w:rsidRDefault="0041068D" w:rsidP="0041068D">
      <w:pPr>
        <w:spacing w:after="0" w:line="360" w:lineRule="auto"/>
        <w:ind w:left="851" w:right="1062"/>
        <w:jc w:val="both"/>
        <w:rPr>
          <w:rFonts w:ascii="Arial" w:eastAsia="Calibri" w:hAnsi="Arial" w:cs="Arial"/>
          <w:i/>
          <w:sz w:val="24"/>
          <w:szCs w:val="24"/>
        </w:rPr>
      </w:pPr>
      <w:r w:rsidRPr="00A066BA">
        <w:rPr>
          <w:rFonts w:ascii="Arial" w:eastAsia="Calibri" w:hAnsi="Arial" w:cs="Arial"/>
          <w:b/>
          <w:i/>
          <w:sz w:val="24"/>
          <w:szCs w:val="24"/>
        </w:rPr>
        <w:lastRenderedPageBreak/>
        <w:t>PRIMERO.-</w:t>
      </w:r>
      <w:r>
        <w:rPr>
          <w:rFonts w:ascii="Arial" w:eastAsia="Calibri" w:hAnsi="Arial" w:cs="Arial"/>
          <w:b/>
          <w:i/>
          <w:sz w:val="24"/>
          <w:szCs w:val="24"/>
        </w:rPr>
        <w:t xml:space="preserve"> </w:t>
      </w:r>
      <w:r>
        <w:rPr>
          <w:rFonts w:ascii="Arial" w:eastAsia="Calibri" w:hAnsi="Arial" w:cs="Arial"/>
          <w:i/>
          <w:sz w:val="24"/>
          <w:szCs w:val="24"/>
        </w:rPr>
        <w:t xml:space="preserve">Esta Sala Unitaria de Primera Instancia, es  competente para conocer y resolver de la presente causa, por las razones dadas en el considerando primero de este fallo. </w:t>
      </w:r>
    </w:p>
    <w:p w:rsidR="0041068D" w:rsidRDefault="0041068D" w:rsidP="0041068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SEGUNDO.</w:t>
      </w:r>
      <w:r>
        <w:rPr>
          <w:rFonts w:ascii="Arial" w:eastAsia="Calibri" w:hAnsi="Arial" w:cs="Arial"/>
          <w:i/>
          <w:sz w:val="24"/>
          <w:szCs w:val="24"/>
        </w:rPr>
        <w:t xml:space="preserve">- La personalidad de las partes quedó acreditada en autos. </w:t>
      </w:r>
    </w:p>
    <w:p w:rsidR="0041068D" w:rsidRDefault="0041068D" w:rsidP="0041068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TERCERO.</w:t>
      </w:r>
      <w:r>
        <w:rPr>
          <w:rFonts w:ascii="Arial" w:eastAsia="Calibri" w:hAnsi="Arial" w:cs="Arial"/>
          <w:i/>
          <w:sz w:val="24"/>
          <w:szCs w:val="24"/>
        </w:rPr>
        <w:t xml:space="preserve">- Se reconoce la </w:t>
      </w:r>
      <w:r>
        <w:rPr>
          <w:rFonts w:ascii="Arial" w:eastAsia="Calibri" w:hAnsi="Arial" w:cs="Arial"/>
          <w:b/>
          <w:i/>
          <w:sz w:val="24"/>
          <w:szCs w:val="24"/>
        </w:rPr>
        <w:t xml:space="preserve">LEGALIDAD Y VALIDEZ </w:t>
      </w:r>
      <w:r>
        <w:rPr>
          <w:rFonts w:ascii="Arial" w:eastAsia="Calibri" w:hAnsi="Arial" w:cs="Arial"/>
          <w:i/>
          <w:sz w:val="24"/>
          <w:szCs w:val="24"/>
        </w:rPr>
        <w:t xml:space="preserve">del acta de infracción de folio 15011, de veintinueve de mayo de dos mil diecisiete, elaborada por el Policía Vial </w:t>
      </w:r>
      <w:r>
        <w:rPr>
          <w:rFonts w:ascii="Arial" w:eastAsia="Calibri" w:hAnsi="Arial" w:cs="Arial"/>
          <w:b/>
          <w:i/>
          <w:sz w:val="24"/>
          <w:szCs w:val="24"/>
        </w:rPr>
        <w:t>MOISÉS</w:t>
      </w:r>
      <w:r>
        <w:rPr>
          <w:rFonts w:ascii="Arial" w:eastAsia="Calibri" w:hAnsi="Arial" w:cs="Arial"/>
          <w:i/>
          <w:sz w:val="24"/>
          <w:szCs w:val="24"/>
        </w:rPr>
        <w:t xml:space="preserve"> </w:t>
      </w:r>
      <w:r>
        <w:rPr>
          <w:rFonts w:ascii="Arial" w:eastAsia="Calibri" w:hAnsi="Arial" w:cs="Arial"/>
          <w:b/>
          <w:i/>
          <w:sz w:val="24"/>
          <w:szCs w:val="24"/>
        </w:rPr>
        <w:t xml:space="preserve">JORGE GONZÁLEZ CASTILLO, </w:t>
      </w:r>
      <w:r>
        <w:rPr>
          <w:rFonts w:ascii="Arial" w:eastAsia="Calibri" w:hAnsi="Arial" w:cs="Arial"/>
          <w:i/>
          <w:sz w:val="24"/>
          <w:szCs w:val="24"/>
        </w:rPr>
        <w:t>con número estadístico PV-133 de la Comisaría de Vialidad del Municipio de Oaxaca de Juárez, Oaxaca; en consecuencia , no ha lugar a la devolución de la licencia de conducir ni la cancelación del acta de infracción.</w:t>
      </w:r>
    </w:p>
    <w:p w:rsidR="0041068D" w:rsidRDefault="0041068D" w:rsidP="0041068D">
      <w:pPr>
        <w:spacing w:after="0" w:line="360" w:lineRule="auto"/>
        <w:ind w:left="851" w:right="1062"/>
        <w:jc w:val="both"/>
        <w:rPr>
          <w:rFonts w:ascii="Arial" w:eastAsia="Calibri" w:hAnsi="Arial" w:cs="Arial"/>
          <w:b/>
          <w:i/>
          <w:sz w:val="24"/>
          <w:szCs w:val="24"/>
        </w:rPr>
      </w:pPr>
      <w:r>
        <w:rPr>
          <w:rFonts w:ascii="Arial" w:eastAsia="Calibri" w:hAnsi="Arial" w:cs="Arial"/>
          <w:b/>
          <w:i/>
          <w:sz w:val="24"/>
          <w:szCs w:val="24"/>
        </w:rPr>
        <w:t>CUARTO.</w:t>
      </w:r>
      <w:r>
        <w:rPr>
          <w:rFonts w:ascii="Arial" w:eastAsia="Calibri" w:hAnsi="Arial" w:cs="Arial"/>
          <w:i/>
          <w:sz w:val="24"/>
          <w:szCs w:val="24"/>
        </w:rPr>
        <w:t xml:space="preserve">- </w:t>
      </w:r>
      <w:r>
        <w:rPr>
          <w:rFonts w:ascii="Arial" w:eastAsia="Calibri" w:hAnsi="Arial" w:cs="Arial"/>
          <w:b/>
          <w:i/>
          <w:sz w:val="24"/>
          <w:szCs w:val="24"/>
        </w:rPr>
        <w:t xml:space="preserve">NOTIFÍQUESE </w:t>
      </w:r>
      <w:r w:rsidRPr="00E53D14">
        <w:rPr>
          <w:rFonts w:ascii="Arial" w:eastAsia="Calibri" w:hAnsi="Arial" w:cs="Arial"/>
          <w:i/>
          <w:sz w:val="24"/>
          <w:szCs w:val="24"/>
        </w:rPr>
        <w:t>personalmente al actor y por oficio a la</w:t>
      </w:r>
      <w:r>
        <w:rPr>
          <w:rFonts w:ascii="Arial" w:eastAsia="Calibri" w:hAnsi="Arial" w:cs="Arial"/>
          <w:i/>
          <w:sz w:val="24"/>
          <w:szCs w:val="24"/>
        </w:rPr>
        <w:t>s</w:t>
      </w:r>
      <w:r w:rsidRPr="00E53D14">
        <w:rPr>
          <w:rFonts w:ascii="Arial" w:eastAsia="Calibri" w:hAnsi="Arial" w:cs="Arial"/>
          <w:i/>
          <w:sz w:val="24"/>
          <w:szCs w:val="24"/>
        </w:rPr>
        <w:t xml:space="preserve"> autoridad</w:t>
      </w:r>
      <w:r>
        <w:rPr>
          <w:rFonts w:ascii="Arial" w:eastAsia="Calibri" w:hAnsi="Arial" w:cs="Arial"/>
          <w:i/>
          <w:sz w:val="24"/>
          <w:szCs w:val="24"/>
        </w:rPr>
        <w:t>es</w:t>
      </w:r>
      <w:r w:rsidRPr="00E53D14">
        <w:rPr>
          <w:rFonts w:ascii="Arial" w:eastAsia="Calibri" w:hAnsi="Arial" w:cs="Arial"/>
          <w:i/>
          <w:sz w:val="24"/>
          <w:szCs w:val="24"/>
        </w:rPr>
        <w:t xml:space="preserve"> demandada</w:t>
      </w:r>
      <w:r>
        <w:rPr>
          <w:rFonts w:ascii="Arial" w:eastAsia="Calibri" w:hAnsi="Arial" w:cs="Arial"/>
          <w:i/>
          <w:sz w:val="24"/>
          <w:szCs w:val="24"/>
        </w:rPr>
        <w:t xml:space="preserve">s </w:t>
      </w:r>
      <w:r>
        <w:rPr>
          <w:rFonts w:ascii="Arial" w:eastAsia="Calibri" w:hAnsi="Arial" w:cs="Arial"/>
          <w:b/>
          <w:i/>
          <w:sz w:val="24"/>
          <w:szCs w:val="24"/>
        </w:rPr>
        <w:t>CÚMPLASE.</w:t>
      </w:r>
    </w:p>
    <w:p w:rsidR="0041068D" w:rsidRPr="00A066BA" w:rsidRDefault="0041068D" w:rsidP="0041068D">
      <w:pPr>
        <w:spacing w:after="0" w:line="360" w:lineRule="auto"/>
        <w:ind w:left="851" w:right="1062"/>
        <w:jc w:val="both"/>
        <w:rPr>
          <w:rFonts w:ascii="Arial" w:hAnsi="Arial" w:cs="Arial"/>
          <w:bCs/>
          <w:sz w:val="24"/>
          <w:szCs w:val="24"/>
        </w:rPr>
      </w:pPr>
      <w:r>
        <w:rPr>
          <w:rFonts w:ascii="Arial" w:eastAsia="Calibri" w:hAnsi="Arial" w:cs="Arial"/>
          <w:b/>
          <w:i/>
          <w:sz w:val="24"/>
          <w:szCs w:val="24"/>
        </w:rPr>
        <w:t>…”</w:t>
      </w:r>
    </w:p>
    <w:p w:rsidR="0041068D" w:rsidRPr="00A066BA" w:rsidRDefault="0041068D" w:rsidP="0041068D">
      <w:pPr>
        <w:spacing w:after="0" w:line="360" w:lineRule="auto"/>
        <w:jc w:val="center"/>
        <w:rPr>
          <w:rFonts w:ascii="Arial" w:hAnsi="Arial" w:cs="Arial"/>
          <w:b/>
          <w:bCs/>
          <w:sz w:val="24"/>
          <w:szCs w:val="24"/>
        </w:rPr>
      </w:pPr>
    </w:p>
    <w:p w:rsidR="0041068D" w:rsidRPr="00B36E98" w:rsidRDefault="0041068D" w:rsidP="0041068D">
      <w:pPr>
        <w:spacing w:after="0" w:line="360" w:lineRule="auto"/>
        <w:jc w:val="center"/>
        <w:rPr>
          <w:rFonts w:ascii="Arial" w:hAnsi="Arial" w:cs="Arial"/>
          <w:b/>
          <w:bCs/>
          <w:sz w:val="26"/>
          <w:szCs w:val="26"/>
        </w:rPr>
      </w:pPr>
      <w:r w:rsidRPr="00B36E98">
        <w:rPr>
          <w:rFonts w:ascii="Arial" w:hAnsi="Arial" w:cs="Arial"/>
          <w:b/>
          <w:bCs/>
          <w:sz w:val="26"/>
          <w:szCs w:val="26"/>
        </w:rPr>
        <w:t>C O N S I D E R A N D O</w:t>
      </w:r>
    </w:p>
    <w:p w:rsidR="0041068D" w:rsidRPr="00B36E98" w:rsidRDefault="0041068D" w:rsidP="0041068D">
      <w:pPr>
        <w:spacing w:after="0" w:line="360" w:lineRule="auto"/>
        <w:jc w:val="center"/>
        <w:rPr>
          <w:rFonts w:ascii="Arial" w:hAnsi="Arial" w:cs="Arial"/>
          <w:b/>
          <w:bCs/>
          <w:sz w:val="26"/>
          <w:szCs w:val="26"/>
        </w:rPr>
      </w:pPr>
    </w:p>
    <w:p w:rsidR="0041068D" w:rsidRPr="00B36E98" w:rsidRDefault="0041068D" w:rsidP="0041068D">
      <w:pPr>
        <w:widowControl w:val="0"/>
        <w:tabs>
          <w:tab w:val="left" w:pos="7938"/>
        </w:tabs>
        <w:spacing w:after="0" w:line="360" w:lineRule="auto"/>
        <w:ind w:right="18" w:firstLine="709"/>
        <w:jc w:val="both"/>
        <w:rPr>
          <w:rFonts w:ascii="Arial" w:hAnsi="Arial" w:cs="Arial"/>
          <w:bCs/>
          <w:iCs/>
          <w:sz w:val="26"/>
          <w:szCs w:val="26"/>
          <w:lang w:eastAsia="es-ES"/>
        </w:rPr>
      </w:pPr>
      <w:r w:rsidRPr="00B36E98">
        <w:rPr>
          <w:rFonts w:ascii="Arial" w:hAnsi="Arial" w:cs="Arial"/>
          <w:b/>
          <w:bCs/>
          <w:iCs/>
          <w:sz w:val="26"/>
          <w:szCs w:val="26"/>
        </w:rPr>
        <w:t xml:space="preserve">PRIMERO. </w:t>
      </w:r>
      <w:r w:rsidRPr="00B36E98">
        <w:rPr>
          <w:rFonts w:ascii="Arial" w:hAnsi="Arial" w:cs="Arial"/>
          <w:bCs/>
          <w:iCs/>
          <w:sz w:val="26"/>
          <w:szCs w:val="26"/>
        </w:rPr>
        <w:t xml:space="preserve">Esta Sala Superior es competente para conocer del presente asunto, </w:t>
      </w:r>
      <w:r w:rsidRPr="00B36E98">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w:t>
      </w:r>
      <w:r w:rsidR="00812BA3">
        <w:rPr>
          <w:rFonts w:ascii="Arial" w:hAnsi="Arial" w:cs="Arial"/>
          <w:bCs/>
          <w:iCs/>
          <w:sz w:val="26"/>
          <w:szCs w:val="26"/>
          <w:lang w:eastAsia="es-ES"/>
        </w:rPr>
        <w:t xml:space="preserve">vigente al inicio del juicio natural, </w:t>
      </w:r>
      <w:r w:rsidRPr="00B36E98">
        <w:rPr>
          <w:rFonts w:ascii="Arial" w:hAnsi="Arial" w:cs="Arial"/>
          <w:bCs/>
          <w:iCs/>
          <w:sz w:val="26"/>
          <w:szCs w:val="26"/>
          <w:lang w:eastAsia="es-ES"/>
        </w:rPr>
        <w:t>dado que se trata de una sentencia de 29 veintinueve de junio de 2018 dos mil dieciocho</w:t>
      </w:r>
      <w:r w:rsidR="000C66AD">
        <w:rPr>
          <w:rFonts w:ascii="Arial" w:hAnsi="Arial" w:cs="Arial"/>
          <w:bCs/>
          <w:iCs/>
          <w:sz w:val="26"/>
          <w:szCs w:val="26"/>
          <w:lang w:eastAsia="es-ES"/>
        </w:rPr>
        <w:t>,</w:t>
      </w:r>
      <w:r w:rsidRPr="00B36E98">
        <w:rPr>
          <w:rFonts w:ascii="Arial" w:hAnsi="Arial" w:cs="Arial"/>
          <w:bCs/>
          <w:iCs/>
          <w:sz w:val="26"/>
          <w:szCs w:val="26"/>
          <w:lang w:eastAsia="es-ES"/>
        </w:rPr>
        <w:t xml:space="preserve"> dictada por la Segunda Sala de Primera Instancia dentro del juicio </w:t>
      </w:r>
      <w:r w:rsidRPr="00B36E98">
        <w:rPr>
          <w:rFonts w:ascii="Arial" w:hAnsi="Arial" w:cs="Arial"/>
          <w:b/>
          <w:bCs/>
          <w:iCs/>
          <w:sz w:val="26"/>
          <w:szCs w:val="26"/>
          <w:lang w:eastAsia="es-ES"/>
        </w:rPr>
        <w:t xml:space="preserve">0065/2017 </w:t>
      </w:r>
      <w:r w:rsidRPr="00B36E98">
        <w:rPr>
          <w:rFonts w:ascii="Arial" w:hAnsi="Arial" w:cs="Arial"/>
          <w:bCs/>
          <w:iCs/>
          <w:sz w:val="26"/>
          <w:szCs w:val="26"/>
          <w:lang w:eastAsia="es-ES"/>
        </w:rPr>
        <w:t xml:space="preserve">de su índice. </w:t>
      </w:r>
    </w:p>
    <w:p w:rsidR="0041068D" w:rsidRPr="00B36E98" w:rsidRDefault="0041068D" w:rsidP="0041068D">
      <w:pPr>
        <w:widowControl w:val="0"/>
        <w:tabs>
          <w:tab w:val="left" w:pos="7938"/>
        </w:tabs>
        <w:spacing w:after="0" w:line="360" w:lineRule="auto"/>
        <w:ind w:right="18" w:firstLine="709"/>
        <w:jc w:val="both"/>
        <w:rPr>
          <w:rFonts w:ascii="Arial" w:hAnsi="Arial" w:cs="Arial"/>
          <w:sz w:val="26"/>
          <w:szCs w:val="26"/>
          <w:lang w:eastAsia="es-ES"/>
        </w:rPr>
      </w:pPr>
    </w:p>
    <w:p w:rsidR="0041068D" w:rsidRPr="00B36E98" w:rsidRDefault="0041068D" w:rsidP="0041068D">
      <w:pPr>
        <w:widowControl w:val="0"/>
        <w:tabs>
          <w:tab w:val="left" w:pos="7938"/>
        </w:tabs>
        <w:spacing w:after="0" w:line="360" w:lineRule="auto"/>
        <w:ind w:right="18" w:firstLine="709"/>
        <w:jc w:val="both"/>
        <w:rPr>
          <w:rFonts w:ascii="Arial" w:hAnsi="Arial" w:cs="Arial"/>
          <w:sz w:val="26"/>
          <w:szCs w:val="26"/>
        </w:rPr>
      </w:pPr>
      <w:r w:rsidRPr="00B36E98">
        <w:rPr>
          <w:rFonts w:ascii="Arial" w:hAnsi="Arial" w:cs="Arial"/>
          <w:b/>
          <w:bCs/>
          <w:sz w:val="26"/>
          <w:szCs w:val="26"/>
        </w:rPr>
        <w:t>SEGUNDO.</w:t>
      </w:r>
      <w:r w:rsidRPr="00B36E98">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B36E98">
        <w:rPr>
          <w:rFonts w:ascii="Arial" w:hAnsi="Arial" w:cs="Arial"/>
          <w:sz w:val="26"/>
          <w:szCs w:val="26"/>
        </w:rPr>
        <w:t>.</w:t>
      </w:r>
    </w:p>
    <w:p w:rsidR="0041068D" w:rsidRPr="00B36E98" w:rsidRDefault="0041068D" w:rsidP="0041068D">
      <w:pPr>
        <w:widowControl w:val="0"/>
        <w:tabs>
          <w:tab w:val="left" w:pos="7938"/>
        </w:tabs>
        <w:spacing w:after="0" w:line="360" w:lineRule="auto"/>
        <w:ind w:right="18" w:firstLine="709"/>
        <w:jc w:val="both"/>
        <w:rPr>
          <w:rFonts w:ascii="Arial" w:hAnsi="Arial" w:cs="Arial"/>
          <w:bCs/>
          <w:sz w:val="26"/>
          <w:szCs w:val="26"/>
        </w:rPr>
      </w:pPr>
    </w:p>
    <w:p w:rsidR="0041068D" w:rsidRPr="00B36E98" w:rsidRDefault="0041068D" w:rsidP="0041068D">
      <w:pPr>
        <w:spacing w:after="0" w:line="360" w:lineRule="auto"/>
        <w:ind w:firstLine="709"/>
        <w:jc w:val="both"/>
        <w:rPr>
          <w:rFonts w:ascii="Arial" w:hAnsi="Arial" w:cs="Arial"/>
          <w:bCs/>
          <w:sz w:val="26"/>
          <w:szCs w:val="26"/>
        </w:rPr>
      </w:pPr>
      <w:r w:rsidRPr="00B36E98">
        <w:rPr>
          <w:rFonts w:ascii="Arial" w:hAnsi="Arial" w:cs="Arial"/>
          <w:b/>
          <w:bCs/>
          <w:sz w:val="26"/>
          <w:szCs w:val="26"/>
        </w:rPr>
        <w:lastRenderedPageBreak/>
        <w:t xml:space="preserve">TERCERO. </w:t>
      </w:r>
      <w:r w:rsidRPr="00B36E98">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41068D" w:rsidRPr="00B36E98" w:rsidRDefault="0041068D" w:rsidP="0041068D">
      <w:pPr>
        <w:spacing w:after="0" w:line="360" w:lineRule="auto"/>
        <w:ind w:firstLine="709"/>
        <w:jc w:val="both"/>
        <w:rPr>
          <w:rFonts w:ascii="Arial" w:hAnsi="Arial" w:cs="Arial"/>
          <w:bCs/>
          <w:sz w:val="26"/>
          <w:szCs w:val="26"/>
        </w:rPr>
      </w:pPr>
    </w:p>
    <w:p w:rsidR="0041068D" w:rsidRPr="00B36E98" w:rsidRDefault="0041068D" w:rsidP="0041068D">
      <w:pPr>
        <w:spacing w:after="0" w:line="360" w:lineRule="auto"/>
        <w:ind w:firstLine="709"/>
        <w:jc w:val="both"/>
        <w:rPr>
          <w:rFonts w:ascii="Arial" w:hAnsi="Arial" w:cs="Arial"/>
          <w:bCs/>
          <w:sz w:val="26"/>
          <w:szCs w:val="26"/>
        </w:rPr>
      </w:pPr>
      <w:r w:rsidRPr="00B36E98">
        <w:rPr>
          <w:rFonts w:ascii="Arial" w:hAnsi="Arial" w:cs="Arial"/>
          <w:b/>
          <w:bCs/>
          <w:sz w:val="26"/>
          <w:szCs w:val="26"/>
        </w:rPr>
        <w:t xml:space="preserve">CUARTO. </w:t>
      </w:r>
      <w:r w:rsidRPr="00B36E98">
        <w:rPr>
          <w:rFonts w:ascii="Arial" w:hAnsi="Arial" w:cs="Arial"/>
          <w:bCs/>
          <w:sz w:val="26"/>
          <w:szCs w:val="26"/>
        </w:rPr>
        <w:t xml:space="preserve">A pesar que los argumentos esbozados por la recurrente constituyen la repetición de los conceptos de impugnación expresados en su demanda, a fin de cumplir con la máxima obligación constitucional de garantizar a los administrados el ejercicio de un recurso efectivo como lo prevé el artículo 17 de la Constitución Federal, se procede a contrastar el  contenido de la sentencia con los conceptos de impugnación expuestos en el escrito inicial de demanda. </w:t>
      </w:r>
    </w:p>
    <w:p w:rsidR="0041068D" w:rsidRPr="00B36E98" w:rsidRDefault="0041068D" w:rsidP="0041068D">
      <w:pPr>
        <w:spacing w:after="0" w:line="360" w:lineRule="auto"/>
        <w:ind w:firstLine="709"/>
        <w:jc w:val="both"/>
        <w:rPr>
          <w:rFonts w:ascii="Arial" w:hAnsi="Arial" w:cs="Arial"/>
          <w:bCs/>
          <w:sz w:val="26"/>
          <w:szCs w:val="26"/>
        </w:rPr>
      </w:pPr>
    </w:p>
    <w:p w:rsidR="0041068D" w:rsidRPr="00B36E98" w:rsidRDefault="0041068D" w:rsidP="0041068D">
      <w:pPr>
        <w:spacing w:after="0" w:line="360" w:lineRule="auto"/>
        <w:ind w:firstLine="709"/>
        <w:jc w:val="both"/>
        <w:rPr>
          <w:rFonts w:ascii="Arial" w:hAnsi="Arial" w:cs="Arial"/>
          <w:bCs/>
          <w:sz w:val="26"/>
          <w:szCs w:val="26"/>
        </w:rPr>
      </w:pPr>
      <w:r w:rsidRPr="00B36E98">
        <w:rPr>
          <w:rFonts w:ascii="Arial" w:hAnsi="Arial" w:cs="Arial"/>
          <w:bCs/>
          <w:sz w:val="26"/>
          <w:szCs w:val="26"/>
        </w:rPr>
        <w:t xml:space="preserve">Así, con base en las constancias remitidas para la solución del presente asunto que tienen pleno valor probatorio en términos del artículo 173 fracción I de la </w:t>
      </w:r>
      <w:r w:rsidR="001A6649">
        <w:rPr>
          <w:rFonts w:ascii="Arial" w:hAnsi="Arial" w:cs="Arial"/>
          <w:bCs/>
          <w:sz w:val="26"/>
          <w:szCs w:val="26"/>
        </w:rPr>
        <w:t xml:space="preserve">reformada </w:t>
      </w:r>
      <w:r w:rsidRPr="00B36E98">
        <w:rPr>
          <w:rFonts w:ascii="Arial" w:hAnsi="Arial" w:cs="Arial"/>
          <w:bCs/>
          <w:sz w:val="26"/>
          <w:szCs w:val="26"/>
        </w:rPr>
        <w:t>Ley de Justicia Administrativa para el Estado de Oaxaca por tratarse de actuaciones judiciales, se tiene lo siguiente:</w:t>
      </w:r>
    </w:p>
    <w:p w:rsidR="0041068D" w:rsidRDefault="0041068D" w:rsidP="0041068D">
      <w:pPr>
        <w:spacing w:after="0" w:line="360" w:lineRule="auto"/>
        <w:ind w:firstLine="709"/>
        <w:jc w:val="both"/>
        <w:rPr>
          <w:rFonts w:ascii="Arial" w:hAnsi="Arial" w:cs="Arial"/>
          <w:bCs/>
          <w:sz w:val="24"/>
          <w:szCs w:val="24"/>
        </w:rPr>
      </w:pPr>
    </w:p>
    <w:p w:rsidR="0041068D" w:rsidRPr="00142C82" w:rsidRDefault="0041068D" w:rsidP="0041068D">
      <w:pPr>
        <w:pStyle w:val="Prrafodelista"/>
        <w:numPr>
          <w:ilvl w:val="0"/>
          <w:numId w:val="5"/>
        </w:numPr>
        <w:spacing w:after="0" w:line="360" w:lineRule="auto"/>
        <w:jc w:val="both"/>
        <w:rPr>
          <w:rFonts w:ascii="Arial" w:hAnsi="Arial" w:cs="Arial"/>
          <w:b/>
          <w:bCs/>
          <w:sz w:val="24"/>
          <w:szCs w:val="24"/>
        </w:rPr>
      </w:pPr>
      <w:r>
        <w:rPr>
          <w:rFonts w:ascii="Arial" w:hAnsi="Arial" w:cs="Arial"/>
          <w:bCs/>
          <w:sz w:val="24"/>
          <w:szCs w:val="24"/>
        </w:rPr>
        <w:t xml:space="preserve">En el escrito de demanda a la altura del primer concepto de impugnación se tiene la siguiente expresión: </w:t>
      </w:r>
      <w:r>
        <w:rPr>
          <w:rFonts w:ascii="Arial" w:hAnsi="Arial" w:cs="Arial"/>
          <w:bCs/>
          <w:i/>
          <w:sz w:val="24"/>
          <w:szCs w:val="24"/>
        </w:rPr>
        <w:t xml:space="preserve">“Del contenido del acta de infracción impugnada, se desprende que en la misma no se precisó con exactitud lo siguiente: el domicilio o ubicación en que supuestamente cometí la infracción, el artículo, fracción, inciso o subinciso supuestamente infringidos, así como la Ley o Reglamento aplicables que encuadren mi supuesta conducta infractora; es decir, el levantamiento del acta de infracción no cumple con los requisitos a que se refiere el artículo 129 del Reglamento de Vialidad para el Municipio de Oaxaca de Juárez, Oaxaca; asimismo, es de señalarse que e los actos impugnados se omite el elemento esencial de fundamentación y motivación; como </w:t>
      </w:r>
      <w:r>
        <w:rPr>
          <w:rFonts w:ascii="Arial" w:hAnsi="Arial" w:cs="Arial"/>
          <w:bCs/>
          <w:i/>
          <w:sz w:val="24"/>
          <w:szCs w:val="24"/>
        </w:rPr>
        <w:lastRenderedPageBreak/>
        <w:t xml:space="preserve">consecuencia no se logra acreditar la infracción imputada; es decir, la demandad fue omisa en precisar en forma clara las circunstancias en que ocurrieron los hechos.- Se dice lo anterior, toda vez que la autoridad demandada señaló como falta administrativa que supuestamente cometí para proceder a levantar el acta de infracción que ahora impugno: POR PSARSE LA LUZ ROJA O AMBAR DEL SEMÁFORO ARTÍCULO 59 FRACCIÓN I; es decir, existe una inadecuada fundamentación y motivación del acto impugnado, como consecuencia no se logra acreditar la infracción imputada, pues como lo precisé en el capítulo de hechos, niego lisa y llanamente haber cometido la misma, es decir, la demandada fue omisa en precisar en forma clara las circunstancias en que ocurrieron los hechos; razón por la cual, no basta que la demanda pretenda motivar el acto combatido sin especificar la infracción cometida, el lugar en el que se cometió la supuesta infracción de tránsito y demás elementos que motivaron a la demandada a levantar la infracción impugnada, lo que me ocasiona que se me deje en un total estado de indefensión, ya que hasta el día de hoy desconozco los motivos por los cuales se me infraccionó..” </w:t>
      </w:r>
      <w:r>
        <w:rPr>
          <w:rFonts w:ascii="Arial" w:hAnsi="Arial" w:cs="Arial"/>
          <w:bCs/>
          <w:sz w:val="24"/>
          <w:szCs w:val="24"/>
        </w:rPr>
        <w:t xml:space="preserve">(folio 3 del sumario natural) </w:t>
      </w:r>
      <w:r>
        <w:rPr>
          <w:rFonts w:ascii="Arial" w:hAnsi="Arial" w:cs="Arial"/>
          <w:b/>
          <w:bCs/>
          <w:sz w:val="24"/>
          <w:szCs w:val="24"/>
        </w:rPr>
        <w:t>y,</w:t>
      </w:r>
    </w:p>
    <w:p w:rsidR="0041068D" w:rsidRPr="004F5E59" w:rsidRDefault="0041068D" w:rsidP="0041068D">
      <w:pPr>
        <w:pStyle w:val="Prrafodelista"/>
        <w:numPr>
          <w:ilvl w:val="0"/>
          <w:numId w:val="5"/>
        </w:numPr>
        <w:spacing w:after="0" w:line="360" w:lineRule="auto"/>
        <w:jc w:val="both"/>
        <w:rPr>
          <w:rFonts w:ascii="Arial" w:hAnsi="Arial" w:cs="Arial"/>
          <w:b/>
          <w:bCs/>
          <w:sz w:val="24"/>
          <w:szCs w:val="24"/>
        </w:rPr>
      </w:pPr>
      <w:r>
        <w:rPr>
          <w:rFonts w:ascii="Arial" w:hAnsi="Arial" w:cs="Arial"/>
          <w:bCs/>
          <w:sz w:val="24"/>
          <w:szCs w:val="24"/>
        </w:rPr>
        <w:t xml:space="preserve">Mientras tanto, de la sentencia alzada se tiene lo siguiente: </w:t>
      </w:r>
      <w:r>
        <w:rPr>
          <w:rFonts w:ascii="Arial" w:hAnsi="Arial" w:cs="Arial"/>
          <w:bCs/>
          <w:i/>
          <w:sz w:val="24"/>
          <w:szCs w:val="24"/>
        </w:rPr>
        <w:t xml:space="preserve">“…Del contenido de acta de infracción se advierte que el Policía Vial invocó </w:t>
      </w:r>
      <w:r>
        <w:rPr>
          <w:rFonts w:ascii="Arial" w:hAnsi="Arial" w:cs="Arial"/>
          <w:b/>
          <w:bCs/>
          <w:i/>
          <w:sz w:val="24"/>
          <w:szCs w:val="24"/>
        </w:rPr>
        <w:t>como fundamentación</w:t>
      </w:r>
      <w:r>
        <w:rPr>
          <w:rFonts w:ascii="Arial" w:hAnsi="Arial" w:cs="Arial"/>
          <w:bCs/>
          <w:i/>
          <w:sz w:val="24"/>
          <w:szCs w:val="24"/>
        </w:rPr>
        <w:t xml:space="preserve"> los artículos 59, fracción I, inciso d y 137 del Reglamento de Vialidad para el Municipio de Oaxaca de Juárez, Oaxaca; y </w:t>
      </w:r>
      <w:r>
        <w:rPr>
          <w:rFonts w:ascii="Arial" w:hAnsi="Arial" w:cs="Arial"/>
          <w:b/>
          <w:bCs/>
          <w:i/>
          <w:sz w:val="24"/>
          <w:szCs w:val="24"/>
        </w:rPr>
        <w:t>como motivación</w:t>
      </w:r>
      <w:r>
        <w:rPr>
          <w:rFonts w:ascii="Arial" w:hAnsi="Arial" w:cs="Arial"/>
          <w:bCs/>
          <w:i/>
          <w:sz w:val="24"/>
          <w:szCs w:val="24"/>
        </w:rPr>
        <w:t xml:space="preserve"> plasmó </w:t>
      </w:r>
      <w:r>
        <w:rPr>
          <w:rFonts w:ascii="Arial" w:hAnsi="Arial" w:cs="Arial"/>
          <w:b/>
          <w:bCs/>
          <w:i/>
          <w:sz w:val="24"/>
          <w:szCs w:val="24"/>
        </w:rPr>
        <w:t xml:space="preserve">pasarse la luz roja del semáforo, </w:t>
      </w:r>
      <w:r>
        <w:rPr>
          <w:rFonts w:ascii="Arial" w:hAnsi="Arial" w:cs="Arial"/>
          <w:bCs/>
          <w:i/>
          <w:sz w:val="24"/>
          <w:szCs w:val="24"/>
        </w:rPr>
        <w:t xml:space="preserve">actualizándose como falta la obligación como conductor de detener la marcha de la unidad de motor antes de la raya de alto total y respetar el señalamiento del paso peatonal; al no hacerlo así motu proprio se ubicó en la hipótesis normativa…Del contenido de dichos numerales se advierte que se encuentra prohibido pasarse la luz roja de un semáforo y a quien lo haga se le infraccionará, y para garantizar el pago se le puede retener licencia, tarjeta y placas de circulación, incluso el automotor.- Es por ello que en el caso concreto, no se aprecia que la fundamentación y motivación sea incorrecta o indebida como lo expresa la parte actora, sino que sí corresponde a la infracción cometida…” </w:t>
      </w:r>
      <w:r>
        <w:rPr>
          <w:rFonts w:ascii="Arial" w:hAnsi="Arial" w:cs="Arial"/>
          <w:bCs/>
          <w:sz w:val="24"/>
          <w:szCs w:val="24"/>
        </w:rPr>
        <w:t xml:space="preserve">(folios 40 vuelta y 41) </w:t>
      </w:r>
    </w:p>
    <w:p w:rsidR="0041068D" w:rsidRDefault="0041068D" w:rsidP="0041068D">
      <w:pPr>
        <w:spacing w:after="0" w:line="360" w:lineRule="auto"/>
        <w:ind w:firstLine="709"/>
        <w:jc w:val="both"/>
        <w:rPr>
          <w:rFonts w:ascii="Arial" w:hAnsi="Arial" w:cs="Arial"/>
          <w:b/>
          <w:bCs/>
          <w:sz w:val="24"/>
          <w:szCs w:val="24"/>
        </w:rPr>
      </w:pPr>
    </w:p>
    <w:p w:rsidR="0041068D" w:rsidRPr="00B36E98" w:rsidRDefault="0041068D" w:rsidP="0041068D">
      <w:pPr>
        <w:spacing w:after="0" w:line="360" w:lineRule="auto"/>
        <w:ind w:firstLine="709"/>
        <w:jc w:val="both"/>
        <w:rPr>
          <w:rFonts w:ascii="Arial" w:hAnsi="Arial" w:cs="Arial"/>
          <w:bCs/>
          <w:sz w:val="26"/>
          <w:szCs w:val="26"/>
        </w:rPr>
      </w:pPr>
      <w:r w:rsidRPr="00B36E98">
        <w:rPr>
          <w:rFonts w:ascii="Arial" w:hAnsi="Arial" w:cs="Arial"/>
          <w:b/>
          <w:bCs/>
          <w:sz w:val="26"/>
          <w:szCs w:val="26"/>
        </w:rPr>
        <w:t xml:space="preserve">De estas </w:t>
      </w:r>
      <w:r w:rsidRPr="00B36E98">
        <w:rPr>
          <w:rFonts w:ascii="Arial" w:hAnsi="Arial" w:cs="Arial"/>
          <w:bCs/>
          <w:sz w:val="26"/>
          <w:szCs w:val="26"/>
        </w:rPr>
        <w:t xml:space="preserve">transcripciones se obtiene que son meramente fundados los agravios expuestos, en atención a la invocación que hace la recurrente de la jurisprudencia de rubro: “EXHAUSTIVIDAD. SU </w:t>
      </w:r>
      <w:r w:rsidRPr="00B36E98">
        <w:rPr>
          <w:rFonts w:ascii="Arial" w:hAnsi="Arial" w:cs="Arial"/>
          <w:bCs/>
          <w:sz w:val="26"/>
          <w:szCs w:val="26"/>
        </w:rPr>
        <w:lastRenderedPageBreak/>
        <w:t>EXIGENCIA IMPLICA LA MAYOR CALIDAD POSIBLE DE LAS SENTENCIAS PARA CUMPLIR CON LA PLENITUD EXIGIDA POR EL ARTÍCULO 17 CONSTITUCIONAL”, debido a que la sala de conocimiento no se pronunció sobre los puntos propuestos por la aquí disconforme en cuanto a que consideró que el acta de infracción impugnada no contenía el detalle de modo, tiempo y lugar en que ocurrieron los hechos que le dieron origen y que en consecuencia, dicho acto no se hallaba debidamente fundado y motivado. En ese sentido, procede reasumir jurisdicción como sigue.</w:t>
      </w:r>
    </w:p>
    <w:p w:rsidR="0041068D" w:rsidRPr="00B36E98" w:rsidRDefault="0041068D" w:rsidP="0041068D">
      <w:pPr>
        <w:spacing w:after="0" w:line="360" w:lineRule="auto"/>
        <w:ind w:firstLine="709"/>
        <w:jc w:val="both"/>
        <w:rPr>
          <w:rFonts w:ascii="Arial" w:hAnsi="Arial" w:cs="Arial"/>
          <w:bCs/>
          <w:sz w:val="26"/>
          <w:szCs w:val="26"/>
        </w:rPr>
      </w:pPr>
    </w:p>
    <w:p w:rsidR="0041068D" w:rsidRPr="00B36E98" w:rsidRDefault="0041068D" w:rsidP="00510E52">
      <w:pPr>
        <w:spacing w:after="0" w:line="360" w:lineRule="auto"/>
        <w:ind w:firstLine="709"/>
        <w:jc w:val="both"/>
        <w:rPr>
          <w:rFonts w:ascii="Arial" w:hAnsi="Arial" w:cs="Arial"/>
          <w:bCs/>
          <w:sz w:val="26"/>
          <w:szCs w:val="26"/>
        </w:rPr>
      </w:pPr>
      <w:r w:rsidRPr="00B36E98">
        <w:rPr>
          <w:rFonts w:ascii="Arial" w:hAnsi="Arial" w:cs="Arial"/>
          <w:bCs/>
          <w:sz w:val="26"/>
          <w:szCs w:val="26"/>
        </w:rPr>
        <w:t xml:space="preserve">Del análisis que se hace al acta de infracción 15011 de 29 veintinueve de mayo de 2017 dos mil diecisiete agregada a folio 7 (siete) del sumario, se tiene que en el apartado MOTIVACIÓN su emisor indicó: “PASARSE LA LUZ ROJA DEL SEMÁFORO”; y en el apartado FUNDAMENTACIÓN señaló: “ARTÍCULO 59 FRACCIÓN I, INSISO (sic) D) ARTÍCULO 137”; </w:t>
      </w:r>
      <w:r w:rsidRPr="00B36E98">
        <w:rPr>
          <w:rFonts w:ascii="Arial" w:hAnsi="Arial" w:cs="Arial"/>
          <w:b/>
          <w:bCs/>
          <w:sz w:val="26"/>
          <w:szCs w:val="26"/>
        </w:rPr>
        <w:t xml:space="preserve">sin embargo, </w:t>
      </w:r>
      <w:r w:rsidRPr="00B36E98">
        <w:rPr>
          <w:rFonts w:ascii="Arial" w:hAnsi="Arial" w:cs="Arial"/>
          <w:bCs/>
          <w:sz w:val="26"/>
          <w:szCs w:val="26"/>
        </w:rPr>
        <w:t xml:space="preserve">fue omiso en explicar a detalle cómo es que se percató que la actora del juicio se </w:t>
      </w:r>
      <w:r w:rsidRPr="00B36E98">
        <w:rPr>
          <w:rFonts w:ascii="Arial" w:hAnsi="Arial" w:cs="Arial"/>
          <w:bCs/>
          <w:i/>
          <w:sz w:val="26"/>
          <w:szCs w:val="26"/>
        </w:rPr>
        <w:t xml:space="preserve">pasó la luz roja del semáforo </w:t>
      </w:r>
      <w:r w:rsidRPr="00B36E98">
        <w:rPr>
          <w:rFonts w:ascii="Arial" w:hAnsi="Arial" w:cs="Arial"/>
          <w:bCs/>
          <w:sz w:val="26"/>
          <w:szCs w:val="26"/>
        </w:rPr>
        <w:t xml:space="preserve"> y menos aún explicó porque, en todo caso,  dicha acción (pasarse la luz roja del semáforo) constituye una infracción al Reglamento de Vialidad del Municipio de Oaxaca de Juárez y tampoco detalló cómo tal conducta se adecúa a los artículos que invocó. Es por ello que el acta de infracción de tránsito folio 15011 de 29 veintinueve de mayo de 2017 dos mil diecisiete, incumple con lo estatuido por el artículo 7 fracción V de la Ley de Justicia Administrativa para el Estado de Oaxaca, porque es insuficiente que manera superficial indique que se pasó la luz roja del semáforo, para cumplir con una debida fundamentación y motivación debía, además, explicar las razones especiales, circunstancias específicas o causas particulares que llevaron a la enjuiciada a determinar tal conducta y además adecuar tales argumentos a los preceptos legales que citó para así cumplir con los requisitos previstos en el artículo recién invocado. </w:t>
      </w:r>
    </w:p>
    <w:p w:rsidR="0041068D" w:rsidRPr="00B36E98" w:rsidRDefault="0041068D" w:rsidP="00510E52">
      <w:pPr>
        <w:spacing w:after="0" w:line="360" w:lineRule="auto"/>
        <w:ind w:firstLine="709"/>
        <w:jc w:val="both"/>
        <w:rPr>
          <w:rFonts w:ascii="Arial" w:hAnsi="Arial" w:cs="Arial"/>
          <w:sz w:val="26"/>
          <w:szCs w:val="26"/>
        </w:rPr>
      </w:pPr>
      <w:r w:rsidRPr="00B36E98">
        <w:rPr>
          <w:rFonts w:ascii="Arial" w:hAnsi="Arial" w:cs="Arial"/>
          <w:bCs/>
          <w:sz w:val="26"/>
          <w:szCs w:val="26"/>
        </w:rPr>
        <w:t xml:space="preserve">Tiene aplicación la jurisprudencia </w:t>
      </w:r>
      <w:r w:rsidRPr="00B36E98">
        <w:rPr>
          <w:rFonts w:ascii="Arial" w:hAnsi="Arial" w:cs="Arial"/>
          <w:sz w:val="26"/>
          <w:szCs w:val="26"/>
        </w:rPr>
        <w:t>V.2o. J/32 del Segundo Tribunal Colegiado del Quinto Circuito, dictada en la octava época, la cual se encuentra publicada en la Gaceta del Semanario Judicial de la Federación número 54 de junio de 1992, y que está visible a página 49 con el rubro y texto siguientes:</w:t>
      </w:r>
    </w:p>
    <w:p w:rsidR="0041068D" w:rsidRPr="00475A7E" w:rsidRDefault="0041068D" w:rsidP="00B36E98">
      <w:pPr>
        <w:spacing w:after="0"/>
        <w:ind w:left="851" w:right="616"/>
        <w:jc w:val="both"/>
        <w:rPr>
          <w:rFonts w:ascii="Arial" w:hAnsi="Arial" w:cs="Arial"/>
          <w:i/>
        </w:rPr>
      </w:pPr>
      <w:r>
        <w:rPr>
          <w:rFonts w:ascii="Arial" w:hAnsi="Arial" w:cs="Arial"/>
          <w:b/>
          <w:i/>
        </w:rPr>
        <w:t>“</w:t>
      </w:r>
      <w:r w:rsidRPr="00475A7E">
        <w:rPr>
          <w:rFonts w:ascii="Arial" w:hAnsi="Arial" w:cs="Arial"/>
          <w:b/>
          <w:i/>
        </w:rPr>
        <w:t>FUNDAMENTACION Y MOTIVACION</w:t>
      </w:r>
      <w:r w:rsidRPr="00475A7E">
        <w:rPr>
          <w:rFonts w:ascii="Arial" w:hAnsi="Arial" w:cs="Arial"/>
          <w:i/>
        </w:rPr>
        <w:t xml:space="preserve">. De acuerdo con el artículo 16 de la Constitución Federal, todo acto de autoridad debe estar adecuada y suficientemente fundado y motivado, entendiéndose por </w:t>
      </w:r>
      <w:r w:rsidRPr="00475A7E">
        <w:rPr>
          <w:rFonts w:ascii="Arial" w:hAnsi="Arial" w:cs="Arial"/>
          <w:i/>
        </w:rPr>
        <w:lastRenderedPageBreak/>
        <w:t>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p>
    <w:p w:rsidR="0041068D" w:rsidRDefault="0041068D" w:rsidP="0041068D">
      <w:pPr>
        <w:spacing w:after="0" w:line="360" w:lineRule="auto"/>
        <w:ind w:firstLine="709"/>
        <w:jc w:val="both"/>
        <w:rPr>
          <w:rFonts w:ascii="Arial" w:hAnsi="Arial" w:cs="Arial"/>
          <w:bCs/>
          <w:sz w:val="24"/>
          <w:szCs w:val="24"/>
        </w:rPr>
      </w:pPr>
    </w:p>
    <w:p w:rsidR="0041068D" w:rsidRPr="00475A7E" w:rsidRDefault="0041068D" w:rsidP="00B36E98">
      <w:pPr>
        <w:spacing w:after="0" w:line="360" w:lineRule="auto"/>
        <w:ind w:firstLine="709"/>
        <w:jc w:val="both"/>
        <w:rPr>
          <w:rFonts w:ascii="Arial" w:hAnsi="Arial" w:cs="Arial"/>
          <w:sz w:val="24"/>
          <w:szCs w:val="24"/>
        </w:rPr>
      </w:pPr>
      <w:r w:rsidRPr="00475A7E">
        <w:rPr>
          <w:rFonts w:ascii="Arial" w:hAnsi="Arial" w:cs="Arial"/>
          <w:bCs/>
          <w:sz w:val="24"/>
          <w:szCs w:val="24"/>
        </w:rPr>
        <w:t xml:space="preserve">Así como la jurisprudencia </w:t>
      </w:r>
      <w:r w:rsidRPr="00475A7E">
        <w:rPr>
          <w:rFonts w:ascii="Arial" w:hAnsi="Arial" w:cs="Arial"/>
          <w:sz w:val="24"/>
          <w:szCs w:val="24"/>
        </w:rPr>
        <w:t>I.6o.C. J/52 emitida por el Sexto Tribunal Colegiado en materia civil del Primer Circuito en la novena época, y que está publicada en la página 2127 del Semanario Judicial de la Federación y su Gaceta a Tomo XXV de enero de 2007, con el rubro y texto siguientes:</w:t>
      </w:r>
    </w:p>
    <w:p w:rsidR="0041068D" w:rsidRPr="00475A7E" w:rsidRDefault="0041068D" w:rsidP="0041068D">
      <w:pPr>
        <w:spacing w:after="0" w:line="480" w:lineRule="auto"/>
        <w:jc w:val="both"/>
        <w:rPr>
          <w:rFonts w:ascii="Arial" w:hAnsi="Arial" w:cs="Arial"/>
        </w:rPr>
      </w:pPr>
    </w:p>
    <w:p w:rsidR="0041068D" w:rsidRPr="00475A7E" w:rsidRDefault="0041068D" w:rsidP="00B36E98">
      <w:pPr>
        <w:spacing w:after="0"/>
        <w:ind w:left="851" w:right="616"/>
        <w:jc w:val="both"/>
        <w:rPr>
          <w:rFonts w:ascii="Arial" w:hAnsi="Arial" w:cs="Arial"/>
          <w:i/>
        </w:rPr>
      </w:pPr>
      <w:r w:rsidRPr="00475A7E">
        <w:rPr>
          <w:rFonts w:ascii="Arial" w:hAnsi="Arial" w:cs="Arial"/>
          <w:b/>
          <w:i/>
        </w:rPr>
        <w:t>“FUNDAMENTACIÓN Y MOTIVACIÓN. SU DISTINCIÓN ENTRE SU FALTA Y CUANDO ES INDEBIDA</w:t>
      </w:r>
      <w:r w:rsidRPr="00475A7E">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41068D" w:rsidRPr="000E4EDC" w:rsidRDefault="0041068D" w:rsidP="00B36E98">
      <w:pPr>
        <w:spacing w:after="0"/>
        <w:ind w:firstLine="709"/>
        <w:jc w:val="both"/>
        <w:rPr>
          <w:rFonts w:ascii="Arial" w:hAnsi="Arial" w:cs="Arial"/>
          <w:bCs/>
          <w:sz w:val="24"/>
          <w:szCs w:val="24"/>
        </w:rPr>
      </w:pPr>
    </w:p>
    <w:p w:rsidR="0041068D" w:rsidRDefault="0041068D" w:rsidP="0041068D">
      <w:pPr>
        <w:spacing w:after="0" w:line="360" w:lineRule="auto"/>
        <w:ind w:firstLine="709"/>
        <w:jc w:val="both"/>
        <w:rPr>
          <w:rFonts w:ascii="Arial" w:hAnsi="Arial" w:cs="Arial"/>
          <w:bCs/>
          <w:sz w:val="24"/>
          <w:szCs w:val="24"/>
        </w:rPr>
      </w:pPr>
    </w:p>
    <w:p w:rsidR="0041068D" w:rsidRPr="00B36E98" w:rsidRDefault="0041068D" w:rsidP="0041068D">
      <w:pPr>
        <w:spacing w:after="0" w:line="360" w:lineRule="auto"/>
        <w:ind w:firstLine="709"/>
        <w:jc w:val="both"/>
        <w:rPr>
          <w:rFonts w:ascii="Arial" w:hAnsi="Arial" w:cs="Arial"/>
          <w:bCs/>
          <w:sz w:val="26"/>
          <w:szCs w:val="26"/>
        </w:rPr>
      </w:pPr>
      <w:r w:rsidRPr="00B36E98">
        <w:rPr>
          <w:rFonts w:ascii="Arial" w:hAnsi="Arial" w:cs="Arial"/>
          <w:bCs/>
          <w:sz w:val="26"/>
          <w:szCs w:val="26"/>
        </w:rPr>
        <w:t xml:space="preserve">Por estas razones, se declara la NULIDAD LISA Y LLANA del acta de infracción de tránsito folio 15011 de 29 veintinueve de mayo de 2017 dos mil diecisiete y se declaran nulos los actos posteriores que se hayan realizado como consecuencia de la misma, por tanto, se ordena al POLICÍA VIAL con número estadístico 133 que proceda a la devolución de la </w:t>
      </w:r>
      <w:r w:rsidR="001A6649">
        <w:rPr>
          <w:rFonts w:ascii="Arial" w:hAnsi="Arial" w:cs="Arial"/>
          <w:bCs/>
          <w:sz w:val="26"/>
          <w:szCs w:val="26"/>
        </w:rPr>
        <w:t>licencia de conducir retenida a</w:t>
      </w:r>
      <w:r w:rsidRPr="00B36E98">
        <w:rPr>
          <w:rFonts w:ascii="Arial" w:hAnsi="Arial" w:cs="Arial"/>
          <w:bCs/>
          <w:sz w:val="26"/>
          <w:szCs w:val="26"/>
        </w:rPr>
        <w:t xml:space="preserve"> </w:t>
      </w:r>
      <w:r w:rsidR="00B5788A">
        <w:rPr>
          <w:rFonts w:ascii="Arial" w:hAnsi="Arial" w:cs="Arial"/>
          <w:bCs/>
          <w:sz w:val="26"/>
          <w:szCs w:val="26"/>
        </w:rPr>
        <w:t>**********</w:t>
      </w:r>
      <w:r w:rsidRPr="00B36E98">
        <w:rPr>
          <w:rFonts w:ascii="Arial" w:hAnsi="Arial" w:cs="Arial"/>
          <w:bCs/>
          <w:sz w:val="26"/>
          <w:szCs w:val="26"/>
        </w:rPr>
        <w:t xml:space="preserve">, así como que cancele la citada acta de infracción. </w:t>
      </w:r>
    </w:p>
    <w:p w:rsidR="0041068D" w:rsidRPr="00B36E98" w:rsidRDefault="0041068D" w:rsidP="0041068D">
      <w:pPr>
        <w:spacing w:after="0" w:line="360" w:lineRule="auto"/>
        <w:ind w:firstLine="709"/>
        <w:jc w:val="both"/>
        <w:rPr>
          <w:rFonts w:ascii="Arial" w:hAnsi="Arial" w:cs="Arial"/>
          <w:bCs/>
          <w:sz w:val="26"/>
          <w:szCs w:val="26"/>
        </w:rPr>
      </w:pPr>
    </w:p>
    <w:p w:rsidR="0041068D" w:rsidRPr="00510E52" w:rsidRDefault="0041068D" w:rsidP="00510E52">
      <w:pPr>
        <w:spacing w:after="0" w:line="360" w:lineRule="auto"/>
        <w:ind w:firstLine="709"/>
        <w:jc w:val="both"/>
        <w:rPr>
          <w:sz w:val="26"/>
          <w:szCs w:val="26"/>
        </w:rPr>
      </w:pPr>
      <w:r w:rsidRPr="00B36E98">
        <w:rPr>
          <w:rFonts w:ascii="Arial" w:hAnsi="Arial" w:cs="Arial"/>
          <w:bCs/>
          <w:sz w:val="26"/>
          <w:szCs w:val="26"/>
        </w:rPr>
        <w:t>Tiene aplicación la jurisprudencia de la novena época dictad por el Séptimo Tribunal Colegiado en Materia Administrativa del Primer Circuito que aparece en la página 2212 del Semanario Judicial de la Federación y su Gaceta a Tomo XXII de octubre de 2005, bajo el rubro y texto siguientes:</w:t>
      </w:r>
    </w:p>
    <w:p w:rsidR="0041068D" w:rsidRPr="00475A7E" w:rsidRDefault="0041068D" w:rsidP="00510E52">
      <w:pPr>
        <w:spacing w:after="0"/>
        <w:ind w:left="851" w:right="618"/>
        <w:jc w:val="both"/>
        <w:rPr>
          <w:rFonts w:ascii="Arial" w:hAnsi="Arial" w:cs="Arial"/>
          <w:b/>
          <w:bCs/>
          <w:sz w:val="24"/>
          <w:szCs w:val="24"/>
        </w:rPr>
      </w:pPr>
      <w:r>
        <w:rPr>
          <w:rFonts w:ascii="Arial" w:hAnsi="Arial" w:cs="Arial"/>
          <w:b/>
          <w:i/>
        </w:rPr>
        <w:t>“</w:t>
      </w:r>
      <w:r w:rsidRPr="00475A7E">
        <w:rPr>
          <w:rFonts w:ascii="Arial" w:hAnsi="Arial" w:cs="Arial"/>
          <w:b/>
          <w:i/>
        </w:rPr>
        <w:t>NULIDAD. REGLAS PARA SU DETERMINACIÓN EN EL JUICIO CONTENCIOSO ADMINISTRATIVO EN EL DISTRITO FEDERAL</w:t>
      </w:r>
      <w:r w:rsidRPr="00475A7E">
        <w:rPr>
          <w:rFonts w:ascii="Arial" w:hAnsi="Arial" w:cs="Arial"/>
          <w:i/>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w:t>
      </w:r>
      <w:r w:rsidRPr="00475A7E">
        <w:rPr>
          <w:rFonts w:ascii="Arial" w:hAnsi="Arial" w:cs="Arial"/>
          <w:i/>
        </w:rPr>
        <w:lastRenderedPageBreak/>
        <w:t>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Pr>
          <w:rFonts w:ascii="Arial" w:hAnsi="Arial" w:cs="Arial"/>
          <w:i/>
        </w:rPr>
        <w:t>”</w:t>
      </w:r>
    </w:p>
    <w:p w:rsidR="0041068D" w:rsidRDefault="0041068D" w:rsidP="0041068D">
      <w:pPr>
        <w:spacing w:after="0" w:line="360" w:lineRule="auto"/>
        <w:ind w:firstLine="709"/>
        <w:jc w:val="both"/>
        <w:rPr>
          <w:rFonts w:ascii="Arial" w:hAnsi="Arial" w:cs="Arial"/>
          <w:i/>
        </w:rPr>
      </w:pPr>
    </w:p>
    <w:p w:rsidR="0041068D" w:rsidRPr="00510E52" w:rsidRDefault="0041068D" w:rsidP="0041068D">
      <w:pPr>
        <w:spacing w:after="0" w:line="360" w:lineRule="auto"/>
        <w:ind w:right="49" w:firstLine="708"/>
        <w:jc w:val="both"/>
        <w:rPr>
          <w:rFonts w:ascii="Arial" w:eastAsia="Calibri" w:hAnsi="Arial" w:cs="Arial"/>
          <w:sz w:val="26"/>
          <w:szCs w:val="26"/>
        </w:rPr>
      </w:pPr>
      <w:r w:rsidRPr="00510E52">
        <w:rPr>
          <w:rFonts w:ascii="Arial" w:hAnsi="Arial" w:cs="Arial"/>
          <w:sz w:val="26"/>
          <w:szCs w:val="26"/>
        </w:rPr>
        <w:t xml:space="preserve">Por las anotadas consideraciones se </w:t>
      </w:r>
      <w:r w:rsidRPr="00510E52">
        <w:rPr>
          <w:rFonts w:ascii="Arial" w:hAnsi="Arial" w:cs="Arial"/>
          <w:b/>
          <w:sz w:val="26"/>
          <w:szCs w:val="26"/>
        </w:rPr>
        <w:t xml:space="preserve">REVOCA </w:t>
      </w:r>
      <w:r w:rsidRPr="00510E52">
        <w:rPr>
          <w:rFonts w:ascii="Arial" w:hAnsi="Arial" w:cs="Arial"/>
          <w:sz w:val="26"/>
          <w:szCs w:val="26"/>
        </w:rPr>
        <w:t>la sentencia sujeta a revisión y, con fundamento</w:t>
      </w:r>
      <w:r w:rsidRPr="00510E52">
        <w:rPr>
          <w:rFonts w:ascii="Arial" w:eastAsia="Calibri" w:hAnsi="Arial" w:cs="Arial"/>
          <w:sz w:val="26"/>
          <w:szCs w:val="26"/>
        </w:rPr>
        <w:t xml:space="preserve"> en los artículos 207 y 208 de la Ley de Justicia Administrativa para el Estado, </w:t>
      </w:r>
      <w:r w:rsidR="00510E52" w:rsidRPr="00510E52">
        <w:rPr>
          <w:rFonts w:ascii="Arial" w:eastAsia="Calibri" w:hAnsi="Arial" w:cs="Arial"/>
          <w:sz w:val="26"/>
          <w:szCs w:val="26"/>
        </w:rPr>
        <w:t xml:space="preserve"> vigente hasta el veinte de octubre de dos mil diecisiete, </w:t>
      </w:r>
      <w:r w:rsidRPr="00510E52">
        <w:rPr>
          <w:rFonts w:ascii="Arial" w:eastAsia="Calibri" w:hAnsi="Arial" w:cs="Arial"/>
          <w:sz w:val="26"/>
          <w:szCs w:val="26"/>
        </w:rPr>
        <w:t>se:</w:t>
      </w:r>
    </w:p>
    <w:p w:rsidR="00510E52" w:rsidRPr="00510E52" w:rsidRDefault="00510E52" w:rsidP="0041068D">
      <w:pPr>
        <w:spacing w:after="0" w:line="360" w:lineRule="auto"/>
        <w:ind w:right="49" w:firstLine="708"/>
        <w:jc w:val="both"/>
        <w:rPr>
          <w:sz w:val="26"/>
          <w:szCs w:val="26"/>
        </w:rPr>
      </w:pPr>
    </w:p>
    <w:p w:rsidR="0041068D" w:rsidRPr="00510E52" w:rsidRDefault="0041068D" w:rsidP="0041068D">
      <w:pPr>
        <w:tabs>
          <w:tab w:val="left" w:pos="1134"/>
        </w:tabs>
        <w:spacing w:after="0" w:line="360" w:lineRule="auto"/>
        <w:jc w:val="center"/>
        <w:rPr>
          <w:rFonts w:ascii="Arial" w:eastAsia="Calibri" w:hAnsi="Arial" w:cs="Arial"/>
          <w:b/>
          <w:sz w:val="26"/>
          <w:szCs w:val="26"/>
        </w:rPr>
      </w:pPr>
      <w:r w:rsidRPr="00510E52">
        <w:rPr>
          <w:rFonts w:ascii="Arial" w:eastAsia="Calibri" w:hAnsi="Arial" w:cs="Arial"/>
          <w:b/>
          <w:sz w:val="26"/>
          <w:szCs w:val="26"/>
        </w:rPr>
        <w:t>R E S U E L V E</w:t>
      </w:r>
    </w:p>
    <w:p w:rsidR="0041068D" w:rsidRPr="00510E52" w:rsidRDefault="0041068D" w:rsidP="0041068D">
      <w:pPr>
        <w:tabs>
          <w:tab w:val="left" w:pos="1134"/>
        </w:tabs>
        <w:spacing w:after="0" w:line="360" w:lineRule="auto"/>
        <w:jc w:val="center"/>
        <w:rPr>
          <w:rFonts w:ascii="Arial" w:eastAsia="Calibri" w:hAnsi="Arial" w:cs="Arial"/>
          <w:b/>
          <w:sz w:val="26"/>
          <w:szCs w:val="26"/>
        </w:rPr>
      </w:pPr>
    </w:p>
    <w:p w:rsidR="0041068D" w:rsidRPr="00510E52" w:rsidRDefault="0041068D" w:rsidP="0041068D">
      <w:pPr>
        <w:spacing w:after="0" w:line="360" w:lineRule="auto"/>
        <w:ind w:firstLine="708"/>
        <w:jc w:val="both"/>
        <w:rPr>
          <w:rFonts w:ascii="Arial" w:eastAsia="Calibri" w:hAnsi="Arial" w:cs="Arial"/>
          <w:sz w:val="26"/>
          <w:szCs w:val="26"/>
        </w:rPr>
      </w:pPr>
      <w:r w:rsidRPr="00510E52">
        <w:rPr>
          <w:rFonts w:ascii="Arial" w:eastAsia="Calibri" w:hAnsi="Arial" w:cs="Arial"/>
          <w:b/>
          <w:sz w:val="26"/>
          <w:szCs w:val="26"/>
        </w:rPr>
        <w:t>PRIMERO</w:t>
      </w:r>
      <w:r w:rsidRPr="00510E52">
        <w:rPr>
          <w:rFonts w:ascii="Arial" w:eastAsia="Calibri" w:hAnsi="Arial" w:cs="Arial"/>
          <w:sz w:val="26"/>
          <w:szCs w:val="26"/>
        </w:rPr>
        <w:t xml:space="preserve">. Se </w:t>
      </w:r>
      <w:r w:rsidRPr="00510E52">
        <w:rPr>
          <w:rFonts w:ascii="Arial" w:eastAsia="Calibri" w:hAnsi="Arial" w:cs="Arial"/>
          <w:b/>
          <w:sz w:val="26"/>
          <w:szCs w:val="26"/>
        </w:rPr>
        <w:t xml:space="preserve">REVOCA </w:t>
      </w:r>
      <w:r w:rsidRPr="00510E52">
        <w:rPr>
          <w:rFonts w:ascii="Arial" w:eastAsia="Calibri" w:hAnsi="Arial" w:cs="Arial"/>
          <w:sz w:val="26"/>
          <w:szCs w:val="26"/>
        </w:rPr>
        <w:t xml:space="preserve">la sentencia alzada, como se apuntó en el </w:t>
      </w:r>
      <w:r w:rsidRPr="00510E52">
        <w:rPr>
          <w:rFonts w:ascii="Arial" w:eastAsia="Calibri" w:hAnsi="Arial" w:cs="Arial"/>
          <w:sz w:val="26"/>
          <w:szCs w:val="26"/>
          <w:lang w:eastAsia="es-ES"/>
        </w:rPr>
        <w:t>considerando que antecede</w:t>
      </w:r>
      <w:r w:rsidRPr="00510E52">
        <w:rPr>
          <w:rFonts w:ascii="Arial" w:eastAsia="Calibri" w:hAnsi="Arial" w:cs="Arial"/>
          <w:sz w:val="26"/>
          <w:szCs w:val="26"/>
        </w:rPr>
        <w:t xml:space="preserve">. </w:t>
      </w:r>
    </w:p>
    <w:p w:rsidR="0041068D" w:rsidRPr="00510E52" w:rsidRDefault="0041068D" w:rsidP="0041068D">
      <w:pPr>
        <w:spacing w:after="0" w:line="360" w:lineRule="auto"/>
        <w:ind w:firstLine="708"/>
        <w:jc w:val="both"/>
        <w:rPr>
          <w:rFonts w:ascii="Arial" w:eastAsia="Calibri" w:hAnsi="Arial" w:cs="Arial"/>
          <w:sz w:val="26"/>
          <w:szCs w:val="26"/>
        </w:rPr>
      </w:pPr>
    </w:p>
    <w:p w:rsidR="0041068D" w:rsidRPr="00510E52" w:rsidRDefault="0041068D" w:rsidP="0041068D">
      <w:pPr>
        <w:spacing w:after="0" w:line="360" w:lineRule="auto"/>
        <w:ind w:firstLine="708"/>
        <w:jc w:val="both"/>
        <w:rPr>
          <w:rFonts w:ascii="Arial" w:eastAsia="Calibri" w:hAnsi="Arial" w:cs="Arial"/>
          <w:sz w:val="26"/>
          <w:szCs w:val="26"/>
        </w:rPr>
      </w:pPr>
      <w:r w:rsidRPr="00510E52">
        <w:rPr>
          <w:rFonts w:ascii="Arial" w:hAnsi="Arial" w:cs="Arial"/>
          <w:b/>
          <w:sz w:val="26"/>
          <w:szCs w:val="26"/>
        </w:rPr>
        <w:t xml:space="preserve">SEGUNDO. NOTIFÍQUESE </w:t>
      </w:r>
      <w:r w:rsidRPr="00510E52">
        <w:rPr>
          <w:rFonts w:ascii="Arial" w:hAnsi="Arial" w:cs="Arial"/>
          <w:sz w:val="26"/>
          <w:szCs w:val="26"/>
        </w:rPr>
        <w:t>en los términos precisados en el considerando TERCERO de la presente resolución</w:t>
      </w:r>
      <w:r w:rsidRPr="00510E52">
        <w:rPr>
          <w:rFonts w:ascii="Arial" w:hAnsi="Arial" w:cs="Arial"/>
          <w:b/>
          <w:sz w:val="26"/>
          <w:szCs w:val="26"/>
        </w:rPr>
        <w:t xml:space="preserve"> Y CÚMPLASE,</w:t>
      </w:r>
      <w:r w:rsidRPr="00510E52">
        <w:rPr>
          <w:rFonts w:ascii="Arial" w:hAnsi="Arial" w:cs="Arial"/>
          <w:sz w:val="26"/>
          <w:szCs w:val="26"/>
        </w:rPr>
        <w:t xml:space="preserve"> con copia certificada de la presente resolución, vuelvan las constancias remitidas a la Segunda Sala Unitaria de Primera Instancia, </w:t>
      </w:r>
      <w:r w:rsidRPr="00510E52">
        <w:rPr>
          <w:rFonts w:ascii="Arial" w:eastAsia="Calibri" w:hAnsi="Arial" w:cs="Arial"/>
          <w:sz w:val="26"/>
          <w:szCs w:val="26"/>
        </w:rPr>
        <w:t>y en su oportunidad archívese el cuaderno de revisión como concluido.</w:t>
      </w:r>
    </w:p>
    <w:p w:rsidR="00515FA5" w:rsidRPr="00953731" w:rsidRDefault="00515FA5" w:rsidP="0041068D">
      <w:pPr>
        <w:spacing w:after="0" w:line="360" w:lineRule="auto"/>
        <w:jc w:val="both"/>
        <w:rPr>
          <w:rFonts w:ascii="Arial" w:eastAsia="Calibri" w:hAnsi="Arial" w:cs="Arial"/>
          <w:sz w:val="24"/>
          <w:szCs w:val="24"/>
        </w:rPr>
      </w:pP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para el Estado de Oaxaca, quienes actúan con la Secretaria General de Acuerdos de este Tribunal, que autoriza y da fe.</w:t>
      </w:r>
    </w:p>
    <w:p w:rsidR="0044125F" w:rsidRDefault="0044125F" w:rsidP="00E456F0">
      <w:pPr>
        <w:rPr>
          <w:rFonts w:ascii="Arial" w:hAnsi="Arial" w:cs="Arial"/>
          <w:sz w:val="26"/>
          <w:szCs w:val="26"/>
        </w:rPr>
      </w:pPr>
    </w:p>
    <w:p w:rsidR="0044125F" w:rsidRDefault="0044125F" w:rsidP="00EE34C7">
      <w:pPr>
        <w:rPr>
          <w:rFonts w:ascii="Arial" w:eastAsia="Calibri" w:hAnsi="Arial" w:cs="Arial"/>
          <w:sz w:val="26"/>
          <w:szCs w:val="26"/>
        </w:rPr>
      </w:pPr>
    </w:p>
    <w:p w:rsidR="00510E52" w:rsidRDefault="00510E52"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C945A9" w:rsidRDefault="00C945A9" w:rsidP="009B6852">
      <w:pPr>
        <w:rPr>
          <w:rFonts w:ascii="Arial" w:hAnsi="Arial" w:cs="Arial"/>
          <w:sz w:val="26"/>
          <w:szCs w:val="26"/>
        </w:rPr>
      </w:pPr>
    </w:p>
    <w:p w:rsidR="00C945A9" w:rsidRPr="009B6852" w:rsidRDefault="00C945A9" w:rsidP="009B6852">
      <w:pPr>
        <w:rPr>
          <w:rFonts w:ascii="Arial" w:hAnsi="Arial" w:cs="Arial"/>
          <w:sz w:val="26"/>
          <w:szCs w:val="26"/>
        </w:rPr>
      </w:pPr>
    </w:p>
    <w:p w:rsidR="009B6852" w:rsidRDefault="009B6852" w:rsidP="009B6852">
      <w:pPr>
        <w:spacing w:after="0"/>
        <w:jc w:val="center"/>
        <w:rPr>
          <w:rFonts w:ascii="Arial" w:hAnsi="Arial" w:cs="Arial"/>
          <w:sz w:val="26"/>
          <w:szCs w:val="26"/>
        </w:rPr>
      </w:pPr>
    </w:p>
    <w:p w:rsidR="00C945A9" w:rsidRPr="009B6852" w:rsidRDefault="00C945A9"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Default="009B6852"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C945A9" w:rsidRDefault="00C945A9" w:rsidP="009B6852">
      <w:pPr>
        <w:jc w:val="center"/>
        <w:rPr>
          <w:rFonts w:ascii="Arial" w:hAnsi="Arial" w:cs="Arial"/>
          <w:sz w:val="26"/>
          <w:szCs w:val="26"/>
        </w:rPr>
      </w:pPr>
    </w:p>
    <w:p w:rsidR="00C945A9" w:rsidRPr="009B6852" w:rsidRDefault="00C945A9"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44125F" w:rsidRDefault="0044125F"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E456F0">
      <w:pPr>
        <w:spacing w:line="360" w:lineRule="auto"/>
        <w:rPr>
          <w:rFonts w:ascii="Arial" w:hAnsi="Arial" w:cs="Arial"/>
          <w:sz w:val="26"/>
          <w:szCs w:val="26"/>
        </w:rPr>
      </w:pPr>
    </w:p>
    <w:p w:rsidR="00C945A9" w:rsidRDefault="00C945A9" w:rsidP="00E456F0">
      <w:pPr>
        <w:spacing w:line="360" w:lineRule="auto"/>
        <w:rPr>
          <w:rFonts w:ascii="Arial" w:hAnsi="Arial" w:cs="Arial"/>
          <w:sz w:val="26"/>
          <w:szCs w:val="26"/>
        </w:rPr>
      </w:pPr>
    </w:p>
    <w:p w:rsidR="00E456F0" w:rsidRDefault="00E456F0" w:rsidP="00E456F0">
      <w:pPr>
        <w:spacing w:line="360" w:lineRule="auto"/>
        <w:rPr>
          <w:rFonts w:ascii="Arial" w:hAnsi="Arial" w:cs="Arial"/>
          <w:sz w:val="26"/>
          <w:szCs w:val="26"/>
        </w:rPr>
      </w:pPr>
    </w:p>
    <w:p w:rsidR="009B6852" w:rsidRDefault="009B6852" w:rsidP="00E456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jc w:val="center"/>
        <w:rPr>
          <w:rFonts w:ascii="Arial" w:eastAsia="Times New Roman" w:hAnsi="Arial" w:cs="Arial"/>
          <w:sz w:val="26"/>
          <w:szCs w:val="26"/>
        </w:rPr>
      </w:pPr>
    </w:p>
    <w:p w:rsidR="00C945A9" w:rsidRDefault="00C945A9"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E456F0">
      <w:pPr>
        <w:spacing w:after="0" w:line="360" w:lineRule="auto"/>
        <w:jc w:val="both"/>
      </w:pPr>
    </w:p>
    <w:sectPr w:rsidR="008238CF" w:rsidRPr="007A248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642" w:rsidRDefault="00F00642">
      <w:pPr>
        <w:spacing w:after="0" w:line="240" w:lineRule="auto"/>
      </w:pPr>
      <w:r>
        <w:separator/>
      </w:r>
    </w:p>
  </w:endnote>
  <w:endnote w:type="continuationSeparator" w:id="0">
    <w:p w:rsidR="00F00642" w:rsidRDefault="00F00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252" w:rsidRDefault="0042125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252" w:rsidRDefault="00421252">
    <w:pPr>
      <w:pStyle w:val="Piedepgina"/>
    </w:pPr>
    <w:r>
      <w:rPr>
        <w:noProof/>
      </w:rPr>
      <w:drawing>
        <wp:anchor distT="0" distB="0" distL="114300" distR="114300" simplePos="0" relativeHeight="251663360" behindDoc="0" locked="0" layoutInCell="1" allowOverlap="1" wp14:anchorId="11F2EA70" wp14:editId="2F18856F">
          <wp:simplePos x="0" y="0"/>
          <wp:positionH relativeFrom="column">
            <wp:posOffset>-1423706</wp:posOffset>
          </wp:positionH>
          <wp:positionV relativeFrom="paragraph">
            <wp:posOffset>-5510829</wp:posOffset>
          </wp:positionV>
          <wp:extent cx="1398494" cy="1121958"/>
          <wp:effectExtent l="0" t="0" r="0" b="254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595" cy="1134073"/>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252" w:rsidRDefault="0042125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642" w:rsidRDefault="00F00642">
      <w:pPr>
        <w:spacing w:after="0" w:line="240" w:lineRule="auto"/>
      </w:pPr>
      <w:r>
        <w:separator/>
      </w:r>
    </w:p>
  </w:footnote>
  <w:footnote w:type="continuationSeparator" w:id="0">
    <w:p w:rsidR="00F00642" w:rsidRDefault="00F00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421252">
          <w:rPr>
            <w:noProof/>
          </w:rPr>
          <w:t>2</w:t>
        </w:r>
        <w:r>
          <w:fldChar w:fldCharType="end"/>
        </w:r>
      </w:p>
    </w:sdtContent>
  </w:sdt>
  <w:p w:rsidR="00126798" w:rsidRDefault="00421252">
    <w:pPr>
      <w:pStyle w:val="Encabezado"/>
    </w:pPr>
    <w:bookmarkStart w:id="0" w:name="_GoBack"/>
    <w:r>
      <w:rPr>
        <w:noProof/>
      </w:rPr>
      <w:drawing>
        <wp:anchor distT="0" distB="0" distL="114300" distR="114300" simplePos="0" relativeHeight="251672576" behindDoc="0" locked="0" layoutInCell="1" allowOverlap="1" wp14:anchorId="1CE6052E" wp14:editId="3F61873C">
          <wp:simplePos x="0" y="0"/>
          <wp:positionH relativeFrom="column">
            <wp:posOffset>5492451</wp:posOffset>
          </wp:positionH>
          <wp:positionV relativeFrom="paragraph">
            <wp:posOffset>4403725</wp:posOffset>
          </wp:positionV>
          <wp:extent cx="1236868" cy="1121846"/>
          <wp:effectExtent l="0" t="0" r="1905" b="254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403" cy="1131402"/>
                  </a:xfrm>
                  <a:prstGeom prst="rect">
                    <a:avLst/>
                  </a:prstGeom>
                  <a:noFill/>
                </pic:spPr>
              </pic:pic>
            </a:graphicData>
          </a:graphic>
          <wp14:sizeRelH relativeFrom="margin">
            <wp14:pctWidth>0</wp14:pctWidth>
          </wp14:sizeRelH>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421252">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14B26CBD" wp14:editId="1C02419D">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072" behindDoc="1" locked="0" layoutInCell="1" allowOverlap="1" wp14:anchorId="1D9BEB4B" wp14:editId="019E6C20">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252" w:rsidRDefault="0042125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66AD"/>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A6649"/>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472F8"/>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E36AE"/>
    <w:rsid w:val="0040218E"/>
    <w:rsid w:val="0041068D"/>
    <w:rsid w:val="004138F4"/>
    <w:rsid w:val="004200B9"/>
    <w:rsid w:val="00421252"/>
    <w:rsid w:val="0044125F"/>
    <w:rsid w:val="00444F2C"/>
    <w:rsid w:val="004546F1"/>
    <w:rsid w:val="00454891"/>
    <w:rsid w:val="0047251D"/>
    <w:rsid w:val="004A5C5B"/>
    <w:rsid w:val="004A764F"/>
    <w:rsid w:val="004C03AB"/>
    <w:rsid w:val="004C7B31"/>
    <w:rsid w:val="004D3FD5"/>
    <w:rsid w:val="004F032D"/>
    <w:rsid w:val="00501D58"/>
    <w:rsid w:val="00510E52"/>
    <w:rsid w:val="00511C35"/>
    <w:rsid w:val="005153E1"/>
    <w:rsid w:val="00515FA5"/>
    <w:rsid w:val="005170DC"/>
    <w:rsid w:val="005245DE"/>
    <w:rsid w:val="0053444C"/>
    <w:rsid w:val="005426AE"/>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30EF"/>
    <w:rsid w:val="007E5B25"/>
    <w:rsid w:val="007F0D2C"/>
    <w:rsid w:val="007F4F00"/>
    <w:rsid w:val="00812BA3"/>
    <w:rsid w:val="00814B86"/>
    <w:rsid w:val="008238CF"/>
    <w:rsid w:val="00826EEB"/>
    <w:rsid w:val="00830A05"/>
    <w:rsid w:val="008448D6"/>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36E98"/>
    <w:rsid w:val="00B40427"/>
    <w:rsid w:val="00B456BE"/>
    <w:rsid w:val="00B504C4"/>
    <w:rsid w:val="00B539AC"/>
    <w:rsid w:val="00B53BB2"/>
    <w:rsid w:val="00B55539"/>
    <w:rsid w:val="00B5788A"/>
    <w:rsid w:val="00B61B46"/>
    <w:rsid w:val="00B62BAF"/>
    <w:rsid w:val="00B64581"/>
    <w:rsid w:val="00B856B0"/>
    <w:rsid w:val="00B86AE4"/>
    <w:rsid w:val="00B9529C"/>
    <w:rsid w:val="00BA12A5"/>
    <w:rsid w:val="00BB4206"/>
    <w:rsid w:val="00BC6777"/>
    <w:rsid w:val="00BD34D9"/>
    <w:rsid w:val="00BF0763"/>
    <w:rsid w:val="00BF15F6"/>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45A9"/>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E755B"/>
    <w:rsid w:val="00EF0F45"/>
    <w:rsid w:val="00F000FF"/>
    <w:rsid w:val="00F00642"/>
    <w:rsid w:val="00F03067"/>
    <w:rsid w:val="00F11A03"/>
    <w:rsid w:val="00F14329"/>
    <w:rsid w:val="00F17CC3"/>
    <w:rsid w:val="00F23422"/>
    <w:rsid w:val="00F25C95"/>
    <w:rsid w:val="00F30552"/>
    <w:rsid w:val="00F32E69"/>
    <w:rsid w:val="00F645B8"/>
    <w:rsid w:val="00F76F0F"/>
    <w:rsid w:val="00F77707"/>
    <w:rsid w:val="00F80F11"/>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660936-C100-4B50-905C-17259E4D3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861C4-BBC9-47DD-B8AE-832CA834D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8</Pages>
  <Words>2539</Words>
  <Characters>13968</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26</cp:revision>
  <cp:lastPrinted>2019-04-05T19:19:00Z</cp:lastPrinted>
  <dcterms:created xsi:type="dcterms:W3CDTF">2019-04-12T01:57:00Z</dcterms:created>
  <dcterms:modified xsi:type="dcterms:W3CDTF">2019-07-01T18:14:00Z</dcterms:modified>
</cp:coreProperties>
</file>