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EE7" w:rsidRDefault="00A25EE7" w:rsidP="00A25EE7">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A25EE7" w:rsidRDefault="00A25EE7" w:rsidP="00A25EE7">
      <w:pPr>
        <w:ind w:left="2124"/>
        <w:jc w:val="both"/>
        <w:rPr>
          <w:rFonts w:ascii="Arial" w:hAnsi="Arial" w:cs="Arial"/>
          <w:b/>
          <w:sz w:val="26"/>
          <w:szCs w:val="26"/>
        </w:rPr>
      </w:pPr>
    </w:p>
    <w:p w:rsidR="00A25EE7" w:rsidRDefault="00A25EE7" w:rsidP="00A25EE7">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0315/2018</w:t>
      </w:r>
    </w:p>
    <w:p w:rsidR="00A25EE7" w:rsidRDefault="00A25EE7" w:rsidP="00A25EE7">
      <w:pPr>
        <w:ind w:left="2124"/>
        <w:jc w:val="both"/>
        <w:rPr>
          <w:rFonts w:ascii="Arial" w:hAnsi="Arial" w:cs="Arial"/>
          <w:b/>
          <w:sz w:val="26"/>
          <w:szCs w:val="26"/>
        </w:rPr>
      </w:pPr>
    </w:p>
    <w:p w:rsidR="00A25EE7" w:rsidRDefault="00A25EE7" w:rsidP="00A25EE7">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069/2017 SEGUNDA SALA UNITARIA DE PRIMERA INSTANCIA</w:t>
      </w:r>
    </w:p>
    <w:p w:rsidR="00A25EE7" w:rsidRDefault="00A25EE7" w:rsidP="00A25EE7">
      <w:pPr>
        <w:ind w:left="2124"/>
        <w:jc w:val="both"/>
        <w:rPr>
          <w:rFonts w:ascii="Arial" w:hAnsi="Arial" w:cs="Arial"/>
          <w:b/>
          <w:sz w:val="26"/>
          <w:szCs w:val="26"/>
        </w:rPr>
      </w:pPr>
    </w:p>
    <w:p w:rsidR="00A25EE7" w:rsidRDefault="00A25EE7" w:rsidP="00A25EE7">
      <w:pPr>
        <w:ind w:left="2124"/>
        <w:jc w:val="both"/>
        <w:rPr>
          <w:rFonts w:ascii="Arial" w:hAnsi="Arial" w:cs="Arial"/>
          <w:b/>
          <w:sz w:val="26"/>
          <w:szCs w:val="26"/>
        </w:rPr>
      </w:pPr>
      <w:r>
        <w:rPr>
          <w:rFonts w:ascii="Arial" w:hAnsi="Arial" w:cs="Arial"/>
          <w:b/>
          <w:sz w:val="26"/>
          <w:szCs w:val="26"/>
        </w:rPr>
        <w:t>PONENTE: MAGISTRADO ENRIQUE PACHECO MARTÍNEZ.</w:t>
      </w:r>
    </w:p>
    <w:p w:rsidR="00A25EE7" w:rsidRDefault="00A25EE7" w:rsidP="00A25EE7">
      <w:pPr>
        <w:ind w:left="2124"/>
        <w:jc w:val="both"/>
        <w:rPr>
          <w:rFonts w:ascii="Arial" w:hAnsi="Arial" w:cs="Arial"/>
          <w:b/>
          <w:sz w:val="26"/>
          <w:szCs w:val="26"/>
        </w:rPr>
      </w:pPr>
    </w:p>
    <w:p w:rsidR="00A25EE7" w:rsidRDefault="00A25EE7" w:rsidP="00A25EE7">
      <w:pPr>
        <w:spacing w:before="240" w:line="360" w:lineRule="auto"/>
        <w:jc w:val="both"/>
        <w:rPr>
          <w:rFonts w:ascii="Arial" w:hAnsi="Arial" w:cs="Arial"/>
          <w:b/>
          <w:sz w:val="26"/>
          <w:szCs w:val="26"/>
        </w:rPr>
      </w:pPr>
      <w:r>
        <w:rPr>
          <w:rFonts w:ascii="Arial" w:hAnsi="Arial" w:cs="Arial"/>
          <w:b/>
          <w:sz w:val="26"/>
          <w:szCs w:val="26"/>
        </w:rPr>
        <w:t>OAXACA DE JUÁREZ, OAXACA, NUEVE DE MAYO DE DOS MIL DIECINUEVE.</w:t>
      </w:r>
    </w:p>
    <w:p w:rsidR="00A25EE7" w:rsidRDefault="00A25EE7" w:rsidP="00A25EE7">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0315/2018</w:t>
      </w:r>
      <w:r>
        <w:rPr>
          <w:rFonts w:ascii="Arial" w:hAnsi="Arial" w:cs="Arial"/>
          <w:sz w:val="26"/>
          <w:szCs w:val="26"/>
        </w:rPr>
        <w:t xml:space="preserve">, que remite la Secretaría General de Acuerdos, con motivo del recurso de revisión interpuesto por </w:t>
      </w:r>
      <w:r w:rsidR="00621F36">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29 veintinueve de junio de 2018 dos mil dieciocho, </w:t>
      </w:r>
      <w:r>
        <w:rPr>
          <w:rFonts w:ascii="Arial" w:hAnsi="Arial" w:cs="Arial"/>
          <w:sz w:val="26"/>
          <w:szCs w:val="26"/>
        </w:rPr>
        <w:t xml:space="preserve">dictada en el expediente </w:t>
      </w:r>
      <w:r>
        <w:rPr>
          <w:rFonts w:ascii="Arial" w:hAnsi="Arial" w:cs="Arial"/>
          <w:b/>
          <w:sz w:val="26"/>
          <w:szCs w:val="26"/>
        </w:rPr>
        <w:t>069/2017,</w:t>
      </w:r>
      <w:r>
        <w:rPr>
          <w:rFonts w:ascii="Arial" w:hAnsi="Arial" w:cs="Arial"/>
          <w:sz w:val="26"/>
          <w:szCs w:val="26"/>
        </w:rPr>
        <w:t xml:space="preserve"> de la Segunda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la </w:t>
      </w:r>
      <w:r w:rsidRPr="00CB345A">
        <w:rPr>
          <w:rFonts w:ascii="Arial" w:hAnsi="Arial" w:cs="Arial"/>
          <w:b/>
          <w:sz w:val="26"/>
          <w:szCs w:val="26"/>
        </w:rPr>
        <w:t>RECURRENTE</w:t>
      </w:r>
      <w:r>
        <w:rPr>
          <w:rFonts w:ascii="Arial" w:eastAsia="Calibri" w:hAnsi="Arial" w:cs="Arial"/>
          <w:b/>
          <w:sz w:val="26"/>
          <w:szCs w:val="26"/>
        </w:rPr>
        <w:t xml:space="preserve">, </w:t>
      </w:r>
      <w:r>
        <w:rPr>
          <w:rFonts w:ascii="Arial" w:eastAsia="Calibri" w:hAnsi="Arial" w:cs="Arial"/>
          <w:sz w:val="26"/>
          <w:szCs w:val="26"/>
        </w:rPr>
        <w:t xml:space="preserve">en contra del </w:t>
      </w:r>
      <w:r>
        <w:rPr>
          <w:rFonts w:ascii="Arial" w:eastAsia="Calibri" w:hAnsi="Arial" w:cs="Arial"/>
          <w:b/>
          <w:sz w:val="26"/>
          <w:szCs w:val="26"/>
        </w:rPr>
        <w:t>POLICÍA VIAL PV-129 DE LA COMISARÍA DE VIALIDAD MUNICIPAL, DEL MUNICIPIO DE OAXACA DE JUÁREZ, OAXACA</w:t>
      </w:r>
      <w:r w:rsidRPr="00CA3845">
        <w:rPr>
          <w:rFonts w:ascii="Arial" w:eastAsia="Calibri" w:hAnsi="Arial" w:cs="Arial"/>
          <w:sz w:val="26"/>
          <w:szCs w:val="26"/>
        </w:rPr>
        <w:t xml:space="preserve">, </w:t>
      </w:r>
      <w:r>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 En consecuencia, se procede a dictar resolución en los siguientes términos:</w:t>
      </w:r>
    </w:p>
    <w:p w:rsidR="00A25EE7" w:rsidRDefault="00A25EE7" w:rsidP="00A25EE7">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A25EE7" w:rsidRDefault="00A25EE7" w:rsidP="00A25EE7">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Pr>
          <w:rFonts w:ascii="Arial" w:eastAsia="Calibri" w:hAnsi="Arial" w:cs="Arial"/>
          <w:sz w:val="26"/>
          <w:szCs w:val="26"/>
        </w:rPr>
        <w:t>29 veintinueve de junio de 2018 dos mil dieciocho</w:t>
      </w:r>
      <w:r>
        <w:rPr>
          <w:rFonts w:ascii="Arial" w:hAnsi="Arial" w:cs="Arial"/>
          <w:sz w:val="26"/>
          <w:szCs w:val="26"/>
        </w:rPr>
        <w:t xml:space="preserve">, dictado por la Segunda Sala Unitaria de Primera Instancia </w:t>
      </w:r>
      <w:r w:rsidR="00621F36">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A25EE7" w:rsidRDefault="00A25EE7" w:rsidP="00A25EE7">
      <w:pPr>
        <w:spacing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A25EE7" w:rsidRDefault="00A25EE7" w:rsidP="00A25EE7">
      <w:pPr>
        <w:pStyle w:val="Textoindependiente21"/>
        <w:tabs>
          <w:tab w:val="left" w:pos="7938"/>
        </w:tabs>
        <w:spacing w:before="240" w:line="360" w:lineRule="auto"/>
        <w:ind w:left="1134" w:right="616" w:firstLine="0"/>
        <w:rPr>
          <w:rFonts w:ascii="Arial" w:hAnsi="Arial" w:cs="Arial"/>
          <w:bCs/>
          <w:i/>
          <w:iCs/>
          <w:szCs w:val="24"/>
        </w:rPr>
      </w:pPr>
      <w:r w:rsidRPr="00F158CB">
        <w:rPr>
          <w:rFonts w:ascii="Arial" w:hAnsi="Arial" w:cs="Arial"/>
          <w:bCs/>
          <w:iCs/>
          <w:szCs w:val="24"/>
        </w:rPr>
        <w:t>“</w:t>
      </w:r>
      <w:r>
        <w:rPr>
          <w:rFonts w:ascii="Arial" w:hAnsi="Arial" w:cs="Arial"/>
          <w:b/>
          <w:bCs/>
          <w:i/>
          <w:iCs/>
          <w:szCs w:val="24"/>
        </w:rPr>
        <w:t xml:space="preserve">PRIMERO.- </w:t>
      </w:r>
      <w:r>
        <w:rPr>
          <w:rFonts w:ascii="Arial" w:hAnsi="Arial" w:cs="Arial"/>
          <w:bCs/>
          <w:i/>
          <w:iCs/>
          <w:szCs w:val="24"/>
        </w:rPr>
        <w:t>Esta Sala Unitaria de Primera Instancia es competente para conocer y resolver de la presente causa, por las razones dadas en el considerando primero de este fallo.</w:t>
      </w:r>
    </w:p>
    <w:p w:rsidR="00A25EE7" w:rsidRDefault="00A25EE7" w:rsidP="00A25EE7">
      <w:pPr>
        <w:pStyle w:val="Textoindependiente21"/>
        <w:tabs>
          <w:tab w:val="left" w:pos="7938"/>
        </w:tabs>
        <w:spacing w:before="240" w:line="360" w:lineRule="auto"/>
        <w:ind w:left="1134" w:right="616" w:firstLine="0"/>
        <w:rPr>
          <w:rFonts w:ascii="Arial" w:hAnsi="Arial" w:cs="Arial"/>
          <w:bCs/>
          <w:i/>
          <w:iCs/>
          <w:szCs w:val="24"/>
        </w:rPr>
      </w:pPr>
      <w:r>
        <w:rPr>
          <w:rFonts w:ascii="Arial" w:hAnsi="Arial" w:cs="Arial"/>
          <w:b/>
          <w:bCs/>
          <w:i/>
          <w:iCs/>
          <w:szCs w:val="24"/>
        </w:rPr>
        <w:t xml:space="preserve">SEGUNDO.- </w:t>
      </w:r>
      <w:r>
        <w:rPr>
          <w:rFonts w:ascii="Arial" w:hAnsi="Arial" w:cs="Arial"/>
          <w:bCs/>
          <w:i/>
          <w:iCs/>
          <w:szCs w:val="24"/>
        </w:rPr>
        <w:t>La personalidad de las partes quedó acreditada en autos.</w:t>
      </w:r>
      <w:r w:rsidRPr="00CB345A">
        <w:rPr>
          <w:rFonts w:ascii="Arial" w:hAnsi="Arial" w:cs="Arial"/>
          <w:bCs/>
          <w:i/>
          <w:iCs/>
          <w:color w:val="FFFFFF" w:themeColor="background1"/>
          <w:szCs w:val="24"/>
        </w:rPr>
        <w:t xml:space="preserve">- - - - - - - - - - - - - - - - - - - - - - - - - - - - - - - - - - - - - </w:t>
      </w:r>
      <w:r>
        <w:rPr>
          <w:rFonts w:ascii="Arial" w:hAnsi="Arial" w:cs="Arial"/>
          <w:b/>
          <w:bCs/>
          <w:i/>
          <w:iCs/>
          <w:szCs w:val="24"/>
        </w:rPr>
        <w:t xml:space="preserve">TERCERO.- </w:t>
      </w:r>
      <w:r>
        <w:rPr>
          <w:rFonts w:ascii="Arial" w:hAnsi="Arial" w:cs="Arial"/>
          <w:bCs/>
          <w:i/>
          <w:iCs/>
          <w:szCs w:val="24"/>
        </w:rPr>
        <w:t xml:space="preserve">Se reconoce la </w:t>
      </w:r>
      <w:r>
        <w:rPr>
          <w:rFonts w:ascii="Arial" w:hAnsi="Arial" w:cs="Arial"/>
          <w:b/>
          <w:bCs/>
          <w:i/>
          <w:iCs/>
          <w:szCs w:val="24"/>
        </w:rPr>
        <w:t xml:space="preserve">LEGALIDAD y VALIDEZ </w:t>
      </w:r>
      <w:r>
        <w:rPr>
          <w:rFonts w:ascii="Arial" w:hAnsi="Arial" w:cs="Arial"/>
          <w:bCs/>
          <w:i/>
          <w:iCs/>
          <w:szCs w:val="24"/>
        </w:rPr>
        <w:t xml:space="preserve">del acta de infracción de folio 7313, de siete de junio de dos mil diecisiete, formulada por la Policía Vial Suheyt Rubí </w:t>
      </w:r>
      <w:r>
        <w:rPr>
          <w:rFonts w:ascii="Arial" w:hAnsi="Arial" w:cs="Arial"/>
          <w:bCs/>
          <w:i/>
          <w:iCs/>
          <w:szCs w:val="24"/>
        </w:rPr>
        <w:lastRenderedPageBreak/>
        <w:t>Cisneros Serrano, con número estadístico PV-129, de la Comisaría de Vialidad del Municipio de Oaxaca de Juárez, Oaxaca.</w:t>
      </w:r>
    </w:p>
    <w:p w:rsidR="00A25EE7" w:rsidRDefault="00A25EE7" w:rsidP="00A25EE7">
      <w:pPr>
        <w:pStyle w:val="Textoindependiente21"/>
        <w:tabs>
          <w:tab w:val="left" w:pos="7938"/>
        </w:tabs>
        <w:spacing w:before="240" w:line="360" w:lineRule="auto"/>
        <w:ind w:left="1134" w:right="616" w:firstLine="0"/>
        <w:rPr>
          <w:rFonts w:ascii="Arial" w:hAnsi="Arial" w:cs="Arial"/>
          <w:b/>
          <w:bCs/>
          <w:iCs/>
          <w:szCs w:val="24"/>
        </w:rPr>
      </w:pPr>
      <w:r>
        <w:rPr>
          <w:rFonts w:ascii="Arial" w:hAnsi="Arial" w:cs="Arial"/>
          <w:b/>
          <w:bCs/>
          <w:i/>
          <w:iCs/>
          <w:szCs w:val="24"/>
        </w:rPr>
        <w:t>CUARTO.- NOTIFÍQUESE PERSONALMENTE A LA ACTORA Y POR OFICIO A LA AUTORIDAD DEMANDADA. CÚMPLASE</w:t>
      </w:r>
      <w:r>
        <w:rPr>
          <w:rFonts w:ascii="Arial" w:hAnsi="Arial" w:cs="Arial"/>
          <w:bCs/>
          <w:i/>
          <w:iCs/>
          <w:szCs w:val="24"/>
        </w:rPr>
        <w:t>.</w:t>
      </w:r>
      <w:r w:rsidRPr="00AE3C7A">
        <w:rPr>
          <w:rFonts w:ascii="Arial" w:hAnsi="Arial" w:cs="Arial"/>
          <w:bCs/>
          <w:iCs/>
          <w:szCs w:val="24"/>
        </w:rPr>
        <w:t>”</w:t>
      </w:r>
    </w:p>
    <w:p w:rsidR="00A25EE7" w:rsidRDefault="00A25EE7" w:rsidP="00A25EE7">
      <w:pPr>
        <w:widowControl w:val="0"/>
        <w:tabs>
          <w:tab w:val="left" w:pos="2835"/>
          <w:tab w:val="left" w:pos="7938"/>
        </w:tabs>
        <w:spacing w:before="24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A25EE7" w:rsidRPr="00CB6405" w:rsidRDefault="00A25EE7" w:rsidP="00A25EE7">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estaba vigente al inicio de juicio principal,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Pr>
          <w:rFonts w:ascii="Arial" w:eastAsia="Calibri" w:hAnsi="Arial" w:cs="Arial"/>
          <w:sz w:val="26"/>
          <w:szCs w:val="26"/>
        </w:rPr>
        <w:t>29 veintinueve de junio de 2018 dos mil dieciocho</w:t>
      </w:r>
      <w:r>
        <w:rPr>
          <w:rFonts w:ascii="Arial" w:hAnsi="Arial" w:cs="Arial"/>
          <w:bCs/>
          <w:iCs/>
          <w:sz w:val="26"/>
          <w:szCs w:val="26"/>
        </w:rPr>
        <w:t xml:space="preserve">, dictada </w:t>
      </w:r>
      <w:r w:rsidRPr="00CB6405">
        <w:rPr>
          <w:rFonts w:ascii="Arial" w:hAnsi="Arial" w:cs="Arial"/>
          <w:bCs/>
          <w:iCs/>
          <w:sz w:val="26"/>
          <w:szCs w:val="26"/>
        </w:rPr>
        <w:t xml:space="preserve">por la </w:t>
      </w:r>
      <w:r>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069/2017</w:t>
      </w:r>
      <w:r w:rsidRPr="00CB6405">
        <w:rPr>
          <w:rFonts w:ascii="Arial" w:hAnsi="Arial" w:cs="Arial"/>
          <w:sz w:val="26"/>
          <w:szCs w:val="26"/>
        </w:rPr>
        <w:t>.</w:t>
      </w:r>
    </w:p>
    <w:p w:rsidR="00A25EE7" w:rsidRPr="00CB6405" w:rsidRDefault="00A25EE7" w:rsidP="00A25EE7">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A25EE7" w:rsidRDefault="00A25EE7" w:rsidP="00A25EE7">
      <w:pPr>
        <w:spacing w:line="360" w:lineRule="auto"/>
        <w:ind w:firstLine="709"/>
        <w:jc w:val="both"/>
        <w:rPr>
          <w:rFonts w:ascii="Arial"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De la lectura integral a los agravios planteados por la recurrente, se hace patente que estos son en esencia una reproducción de los conceptos de impugnación que formuló en su escrito inicial de demanda; sin embargo, a fin de cumplir con la máxima obligación constitucional de garantizar a los administrados </w:t>
      </w:r>
      <w:r w:rsidRPr="000C3FAA">
        <w:rPr>
          <w:rFonts w:ascii="Arial" w:hAnsi="Arial" w:cs="Arial"/>
          <w:bCs/>
          <w:sz w:val="26"/>
          <w:szCs w:val="26"/>
        </w:rPr>
        <w:t xml:space="preserve">el ejercicio de un recurso efectivo como lo prevé el artículo 17 de la Constitución </w:t>
      </w:r>
      <w:r>
        <w:rPr>
          <w:rFonts w:ascii="Arial" w:hAnsi="Arial" w:cs="Arial"/>
          <w:bCs/>
          <w:sz w:val="26"/>
          <w:szCs w:val="26"/>
        </w:rPr>
        <w:t>Política de los Estados Unidos Mexicanos, se procede a contrastar el</w:t>
      </w:r>
      <w:r w:rsidRPr="000C3FAA">
        <w:rPr>
          <w:rFonts w:ascii="Arial" w:hAnsi="Arial" w:cs="Arial"/>
          <w:bCs/>
          <w:sz w:val="26"/>
          <w:szCs w:val="26"/>
        </w:rPr>
        <w:t xml:space="preserve"> contenido de la sentencia con los </w:t>
      </w:r>
      <w:r>
        <w:rPr>
          <w:rFonts w:ascii="Arial" w:hAnsi="Arial" w:cs="Arial"/>
          <w:bCs/>
          <w:sz w:val="26"/>
          <w:szCs w:val="26"/>
        </w:rPr>
        <w:t>referidos conceptos de impugnación.</w:t>
      </w:r>
    </w:p>
    <w:p w:rsidR="00A25EE7" w:rsidRDefault="00A25EE7" w:rsidP="00A25EE7">
      <w:pPr>
        <w:spacing w:line="360" w:lineRule="auto"/>
        <w:ind w:firstLine="709"/>
        <w:jc w:val="both"/>
        <w:rPr>
          <w:rFonts w:ascii="Arial" w:hAnsi="Arial" w:cs="Arial"/>
          <w:bCs/>
          <w:sz w:val="26"/>
          <w:szCs w:val="26"/>
        </w:rPr>
      </w:pPr>
      <w:r>
        <w:rPr>
          <w:rFonts w:ascii="Arial" w:eastAsia="Calibri" w:hAnsi="Arial" w:cs="Arial"/>
          <w:bCs/>
          <w:sz w:val="26"/>
          <w:szCs w:val="26"/>
        </w:rPr>
        <w:t>De las constancias que integran el expediente natural, a las que por tratarse de actuaciones judiciales, se les concede pleno valor probato</w:t>
      </w:r>
      <w:r w:rsidRPr="001A33DC">
        <w:rPr>
          <w:rFonts w:ascii="Arial" w:eastAsia="Calibri" w:hAnsi="Arial" w:cs="Arial"/>
          <w:bCs/>
          <w:sz w:val="26"/>
          <w:szCs w:val="26"/>
        </w:rPr>
        <w:t xml:space="preserve">rio conforme lo dispuesto por el </w:t>
      </w:r>
      <w:r w:rsidRPr="001A33DC">
        <w:rPr>
          <w:rFonts w:ascii="Arial" w:hAnsi="Arial" w:cs="Arial"/>
          <w:bCs/>
          <w:sz w:val="26"/>
          <w:szCs w:val="26"/>
        </w:rPr>
        <w:t xml:space="preserve">artículo 173 fracción I de la </w:t>
      </w:r>
      <w:r>
        <w:rPr>
          <w:rFonts w:ascii="Arial" w:hAnsi="Arial" w:cs="Arial"/>
          <w:bCs/>
          <w:sz w:val="26"/>
          <w:szCs w:val="26"/>
        </w:rPr>
        <w:t xml:space="preserve">reformada </w:t>
      </w:r>
      <w:r w:rsidRPr="001A33DC">
        <w:rPr>
          <w:rFonts w:ascii="Arial" w:hAnsi="Arial" w:cs="Arial"/>
          <w:bCs/>
          <w:sz w:val="26"/>
          <w:szCs w:val="26"/>
        </w:rPr>
        <w:t xml:space="preserve">Ley de Justicia Administrativa para el Estado de Oaxaca, se </w:t>
      </w:r>
      <w:r>
        <w:rPr>
          <w:rFonts w:ascii="Arial" w:hAnsi="Arial" w:cs="Arial"/>
          <w:bCs/>
          <w:sz w:val="26"/>
          <w:szCs w:val="26"/>
        </w:rPr>
        <w:t>destaca</w:t>
      </w:r>
      <w:r w:rsidRPr="001A33DC">
        <w:rPr>
          <w:rFonts w:ascii="Arial" w:hAnsi="Arial" w:cs="Arial"/>
          <w:bCs/>
          <w:sz w:val="26"/>
          <w:szCs w:val="26"/>
        </w:rPr>
        <w:t>:</w:t>
      </w:r>
    </w:p>
    <w:p w:rsidR="00A25EE7" w:rsidRPr="001A33DC" w:rsidRDefault="00A25EE7" w:rsidP="00A25EE7">
      <w:pPr>
        <w:spacing w:line="360" w:lineRule="auto"/>
        <w:ind w:firstLine="709"/>
        <w:jc w:val="both"/>
        <w:rPr>
          <w:rFonts w:ascii="Arial" w:hAnsi="Arial" w:cs="Arial"/>
          <w:bCs/>
          <w:sz w:val="26"/>
          <w:szCs w:val="26"/>
        </w:rPr>
      </w:pPr>
    </w:p>
    <w:p w:rsidR="00A25EE7" w:rsidRDefault="00A25EE7" w:rsidP="00A25EE7">
      <w:pPr>
        <w:spacing w:line="360" w:lineRule="auto"/>
        <w:ind w:firstLine="708"/>
        <w:jc w:val="both"/>
        <w:rPr>
          <w:rFonts w:ascii="Arial" w:hAnsi="Arial" w:cs="Arial"/>
          <w:bCs/>
          <w:sz w:val="26"/>
          <w:szCs w:val="26"/>
        </w:rPr>
      </w:pPr>
      <w:r w:rsidRPr="001A33DC">
        <w:rPr>
          <w:rFonts w:ascii="Arial" w:hAnsi="Arial" w:cs="Arial"/>
          <w:b/>
          <w:bCs/>
          <w:sz w:val="26"/>
          <w:szCs w:val="26"/>
        </w:rPr>
        <w:lastRenderedPageBreak/>
        <w:t xml:space="preserve">1 </w:t>
      </w:r>
      <w:r w:rsidRPr="001A33DC">
        <w:rPr>
          <w:rFonts w:ascii="Arial" w:hAnsi="Arial" w:cs="Arial"/>
          <w:bCs/>
          <w:sz w:val="26"/>
          <w:szCs w:val="26"/>
        </w:rPr>
        <w:t xml:space="preserve">Que en el escrito de demanda, en el primer concepto de impugnación segundo párrafo </w:t>
      </w:r>
      <w:r>
        <w:rPr>
          <w:rFonts w:ascii="Arial" w:hAnsi="Arial" w:cs="Arial"/>
          <w:bCs/>
          <w:sz w:val="26"/>
          <w:szCs w:val="26"/>
        </w:rPr>
        <w:t xml:space="preserve">la actora </w:t>
      </w:r>
      <w:r w:rsidRPr="001A33DC">
        <w:rPr>
          <w:rFonts w:ascii="Arial" w:hAnsi="Arial" w:cs="Arial"/>
          <w:bCs/>
          <w:sz w:val="26"/>
          <w:szCs w:val="26"/>
        </w:rPr>
        <w:t>expresó:</w:t>
      </w:r>
    </w:p>
    <w:p w:rsidR="00A25EE7" w:rsidRDefault="00A25EE7" w:rsidP="00A25EE7">
      <w:pPr>
        <w:spacing w:line="360" w:lineRule="auto"/>
        <w:ind w:firstLine="708"/>
        <w:jc w:val="both"/>
        <w:rPr>
          <w:rFonts w:ascii="Arial" w:hAnsi="Arial" w:cs="Arial"/>
          <w:bCs/>
          <w:sz w:val="26"/>
          <w:szCs w:val="26"/>
        </w:rPr>
      </w:pPr>
    </w:p>
    <w:p w:rsidR="00A25EE7" w:rsidRDefault="00A25EE7" w:rsidP="00A25EE7">
      <w:pPr>
        <w:tabs>
          <w:tab w:val="left" w:pos="7938"/>
        </w:tabs>
        <w:spacing w:line="360" w:lineRule="auto"/>
        <w:ind w:left="1134" w:right="474"/>
        <w:jc w:val="both"/>
        <w:rPr>
          <w:rFonts w:ascii="Arial" w:hAnsi="Arial" w:cs="Arial"/>
          <w:bCs/>
          <w:i/>
          <w:sz w:val="24"/>
          <w:szCs w:val="24"/>
        </w:rPr>
      </w:pPr>
      <w:r w:rsidRPr="001A33DC">
        <w:rPr>
          <w:rFonts w:ascii="Arial" w:hAnsi="Arial" w:cs="Arial"/>
          <w:bCs/>
          <w:sz w:val="26"/>
          <w:szCs w:val="26"/>
        </w:rPr>
        <w:t>“</w:t>
      </w:r>
      <w:r w:rsidRPr="001A33DC">
        <w:rPr>
          <w:rFonts w:ascii="Arial" w:hAnsi="Arial" w:cs="Arial"/>
          <w:bCs/>
          <w:i/>
          <w:sz w:val="24"/>
          <w:szCs w:val="24"/>
        </w:rPr>
        <w:t>Del contenido del acta de infracción impugnada, se desprende que en la misma no se precisó con exactitud lo siguiente: el domicilio o ubicación en que supuestamente cometí la infracción, el artículo, fracción, inciso o subinciso supuestamente infringidos, así como la Ley o Reglamento aplicables que encuadren mi supuesta conducta infractora; es decir, el levantamiento del acta de infracción no cumple con los requisitos a que se refiere el artículo 129 del Reglamento de Vialidad para el Municipio de Oaxaca de Juárez, Oaxaca; asimismo, es de señalarse que e</w:t>
      </w:r>
      <w:r>
        <w:rPr>
          <w:rFonts w:ascii="Arial" w:hAnsi="Arial" w:cs="Arial"/>
          <w:bCs/>
          <w:i/>
          <w:sz w:val="24"/>
          <w:szCs w:val="24"/>
        </w:rPr>
        <w:t>n</w:t>
      </w:r>
      <w:r w:rsidRPr="001A33DC">
        <w:rPr>
          <w:rFonts w:ascii="Arial" w:hAnsi="Arial" w:cs="Arial"/>
          <w:bCs/>
          <w:i/>
          <w:sz w:val="24"/>
          <w:szCs w:val="24"/>
        </w:rPr>
        <w:t xml:space="preserve"> los actos impugnados se omite el elemento esencial de fundamentación y motivación; como consecuencia no se logra acreditar la infracción imputada; es decir, la demandad</w:t>
      </w:r>
      <w:r>
        <w:rPr>
          <w:rFonts w:ascii="Arial" w:hAnsi="Arial" w:cs="Arial"/>
          <w:bCs/>
          <w:i/>
          <w:sz w:val="24"/>
          <w:szCs w:val="24"/>
        </w:rPr>
        <w:t>a</w:t>
      </w:r>
      <w:r w:rsidRPr="001A33DC">
        <w:rPr>
          <w:rFonts w:ascii="Arial" w:hAnsi="Arial" w:cs="Arial"/>
          <w:bCs/>
          <w:i/>
          <w:sz w:val="24"/>
          <w:szCs w:val="24"/>
        </w:rPr>
        <w:t xml:space="preserve"> fue omisa en precisar en forma clara las circunstancias en que ocurrieron los hechos.</w:t>
      </w:r>
    </w:p>
    <w:p w:rsidR="00A25EE7" w:rsidRDefault="00A25EE7" w:rsidP="00A25EE7">
      <w:pPr>
        <w:tabs>
          <w:tab w:val="left" w:pos="7938"/>
        </w:tabs>
        <w:spacing w:line="360" w:lineRule="auto"/>
        <w:ind w:left="1134" w:right="474"/>
        <w:jc w:val="both"/>
        <w:rPr>
          <w:rFonts w:ascii="Arial" w:hAnsi="Arial" w:cs="Arial"/>
          <w:bCs/>
          <w:sz w:val="24"/>
          <w:szCs w:val="24"/>
        </w:rPr>
      </w:pPr>
      <w:r w:rsidRPr="001A33DC">
        <w:rPr>
          <w:rFonts w:ascii="Arial" w:hAnsi="Arial" w:cs="Arial"/>
          <w:bCs/>
          <w:i/>
          <w:sz w:val="24"/>
          <w:szCs w:val="24"/>
        </w:rPr>
        <w:t xml:space="preserve">Se dice lo anterior, toda vez que </w:t>
      </w:r>
      <w:r>
        <w:rPr>
          <w:rFonts w:ascii="Arial" w:hAnsi="Arial" w:cs="Arial"/>
          <w:bCs/>
          <w:i/>
          <w:sz w:val="24"/>
          <w:szCs w:val="24"/>
        </w:rPr>
        <w:t xml:space="preserve">del apartado de ´FALTAS ADMINISTRATIVAS´, del acta de infracción impugnada, se advierte que el Policía Vial señaló como supuesta falta por pasarse la luz roja del semáforo y en el apartado OTRO únicamente señaló por estacionar el vehículo sobre aceras, como falta administrativa o infracción que cometí, para proceder a levantar las mismas y retenerme como supuesta garantía la </w:t>
      </w:r>
      <w:r>
        <w:rPr>
          <w:rFonts w:ascii="Arial" w:hAnsi="Arial" w:cs="Arial"/>
          <w:b/>
          <w:bCs/>
          <w:i/>
          <w:sz w:val="24"/>
          <w:szCs w:val="24"/>
        </w:rPr>
        <w:t xml:space="preserve">licencia de conducir; </w:t>
      </w:r>
      <w:r>
        <w:rPr>
          <w:rFonts w:ascii="Arial" w:hAnsi="Arial" w:cs="Arial"/>
          <w:bCs/>
          <w:i/>
          <w:sz w:val="24"/>
          <w:szCs w:val="24"/>
        </w:rPr>
        <w:t xml:space="preserve">asimismo, no específico las circunstancias en que ocurrieron los hechos, pues no se razonó la forma por medio de la cual se cercioraron de que se había cometido las irregularidades y las demás circunstancias en que supuestamente se dieron las violaciones al Reglamento de Vialidad para el Municipio de Oaxaca de Juárez, en estudio, sin embargo en el apartado de MOTIVIACIÓN: señaló por pasarse la luz roja del semáforo y en el apartado de FUNDAMENTACIÓN: Artículo 59 fracción I del reglamento de Vialidad para el Municipio de Oaxaca de Juárez, y en observaciones: no señaló nada, sin embargo, en ningún momento con lo anterior se puede tener por debidamente motivado el acto impugnado, a efecto de poder determinar cuál es la supuesta infracción cometida y demás supuestos que debió indicar la demandada, como son circunstancias de modo y lugar a efecto de tener por </w:t>
      </w:r>
      <w:r>
        <w:rPr>
          <w:rFonts w:ascii="Arial" w:hAnsi="Arial" w:cs="Arial"/>
          <w:bCs/>
          <w:i/>
          <w:sz w:val="24"/>
          <w:szCs w:val="24"/>
        </w:rPr>
        <w:lastRenderedPageBreak/>
        <w:t>debidamente fundado y motivo (sic) el acto de autoridad;</w:t>
      </w:r>
      <w:r w:rsidRPr="00B86DB9">
        <w:rPr>
          <w:rFonts w:ascii="Arial" w:hAnsi="Arial" w:cs="Arial"/>
          <w:bCs/>
          <w:sz w:val="26"/>
          <w:szCs w:val="26"/>
        </w:rPr>
        <w:t>”</w:t>
      </w:r>
      <w:r w:rsidRPr="001A33DC">
        <w:rPr>
          <w:rFonts w:ascii="Arial" w:hAnsi="Arial" w:cs="Arial"/>
          <w:bCs/>
          <w:i/>
          <w:sz w:val="24"/>
          <w:szCs w:val="24"/>
        </w:rPr>
        <w:t xml:space="preserve"> </w:t>
      </w:r>
      <w:r w:rsidRPr="001A33DC">
        <w:rPr>
          <w:rFonts w:ascii="Arial" w:hAnsi="Arial" w:cs="Arial"/>
          <w:bCs/>
          <w:sz w:val="24"/>
          <w:szCs w:val="24"/>
        </w:rPr>
        <w:t>(folio</w:t>
      </w:r>
      <w:r>
        <w:rPr>
          <w:rFonts w:ascii="Arial" w:hAnsi="Arial" w:cs="Arial"/>
          <w:bCs/>
          <w:sz w:val="24"/>
          <w:szCs w:val="24"/>
        </w:rPr>
        <w:t>s</w:t>
      </w:r>
      <w:r w:rsidRPr="001A33DC">
        <w:rPr>
          <w:rFonts w:ascii="Arial" w:hAnsi="Arial" w:cs="Arial"/>
          <w:bCs/>
          <w:sz w:val="24"/>
          <w:szCs w:val="24"/>
        </w:rPr>
        <w:t xml:space="preserve"> </w:t>
      </w:r>
      <w:r>
        <w:rPr>
          <w:rFonts w:ascii="Arial" w:hAnsi="Arial" w:cs="Arial"/>
          <w:bCs/>
          <w:sz w:val="24"/>
          <w:szCs w:val="24"/>
        </w:rPr>
        <w:t xml:space="preserve">2 y </w:t>
      </w:r>
      <w:r w:rsidRPr="001A33DC">
        <w:rPr>
          <w:rFonts w:ascii="Arial" w:hAnsi="Arial" w:cs="Arial"/>
          <w:bCs/>
          <w:sz w:val="24"/>
          <w:szCs w:val="24"/>
        </w:rPr>
        <w:t>3)</w:t>
      </w:r>
      <w:r>
        <w:rPr>
          <w:rFonts w:ascii="Arial" w:hAnsi="Arial" w:cs="Arial"/>
          <w:bCs/>
          <w:sz w:val="24"/>
          <w:szCs w:val="24"/>
        </w:rPr>
        <w:t>.</w:t>
      </w:r>
    </w:p>
    <w:p w:rsidR="00A25EE7" w:rsidRPr="00BC6EA3" w:rsidRDefault="00A25EE7" w:rsidP="00A25EE7">
      <w:pPr>
        <w:tabs>
          <w:tab w:val="left" w:pos="7938"/>
        </w:tabs>
        <w:spacing w:line="360" w:lineRule="auto"/>
        <w:ind w:left="1134" w:right="474"/>
        <w:jc w:val="both"/>
        <w:rPr>
          <w:rFonts w:ascii="Arial" w:hAnsi="Arial" w:cs="Arial"/>
          <w:bCs/>
          <w:sz w:val="26"/>
          <w:szCs w:val="26"/>
        </w:rPr>
      </w:pPr>
    </w:p>
    <w:p w:rsidR="00A25EE7" w:rsidRDefault="00A25EE7" w:rsidP="00A25EE7">
      <w:pPr>
        <w:spacing w:line="360" w:lineRule="auto"/>
        <w:ind w:firstLine="708"/>
        <w:jc w:val="both"/>
        <w:rPr>
          <w:rFonts w:ascii="Arial" w:hAnsi="Arial" w:cs="Arial"/>
          <w:bCs/>
          <w:sz w:val="26"/>
          <w:szCs w:val="26"/>
        </w:rPr>
      </w:pPr>
      <w:r w:rsidRPr="00BC6EA3">
        <w:rPr>
          <w:rFonts w:ascii="Arial" w:hAnsi="Arial" w:cs="Arial"/>
          <w:bCs/>
          <w:sz w:val="26"/>
          <w:szCs w:val="26"/>
        </w:rPr>
        <w:t>2. Y, que en la sentencia materia del presente recurso de revisión la Primera Instancia determinó:</w:t>
      </w:r>
    </w:p>
    <w:p w:rsidR="00A25EE7" w:rsidRDefault="00A25EE7" w:rsidP="00A25EE7">
      <w:pPr>
        <w:spacing w:line="360" w:lineRule="auto"/>
        <w:ind w:firstLine="708"/>
        <w:jc w:val="both"/>
        <w:rPr>
          <w:rFonts w:ascii="Arial" w:hAnsi="Arial" w:cs="Arial"/>
          <w:bCs/>
          <w:sz w:val="26"/>
          <w:szCs w:val="26"/>
        </w:rPr>
      </w:pPr>
    </w:p>
    <w:p w:rsidR="00A25EE7" w:rsidRDefault="00A25EE7" w:rsidP="00A25EE7">
      <w:pPr>
        <w:spacing w:line="360" w:lineRule="auto"/>
        <w:ind w:left="1134" w:right="333"/>
        <w:jc w:val="both"/>
        <w:rPr>
          <w:rFonts w:ascii="Arial" w:hAnsi="Arial" w:cs="Arial"/>
          <w:bCs/>
          <w:i/>
          <w:sz w:val="24"/>
          <w:szCs w:val="24"/>
        </w:rPr>
      </w:pPr>
      <w:r w:rsidRPr="00BC6EA3">
        <w:rPr>
          <w:rFonts w:ascii="Arial" w:hAnsi="Arial" w:cs="Arial"/>
          <w:bCs/>
          <w:sz w:val="26"/>
          <w:szCs w:val="26"/>
        </w:rPr>
        <w:t>“</w:t>
      </w:r>
      <w:r>
        <w:rPr>
          <w:rFonts w:ascii="Arial" w:hAnsi="Arial" w:cs="Arial"/>
          <w:bCs/>
          <w:i/>
          <w:sz w:val="24"/>
          <w:szCs w:val="24"/>
        </w:rPr>
        <w:t xml:space="preserve">Ahora, del </w:t>
      </w:r>
      <w:r w:rsidRPr="00BC6EA3">
        <w:rPr>
          <w:rFonts w:ascii="Arial" w:hAnsi="Arial" w:cs="Arial"/>
          <w:bCs/>
          <w:i/>
          <w:sz w:val="24"/>
          <w:szCs w:val="24"/>
        </w:rPr>
        <w:t>contenido de acta de infracción se advierte que l</w:t>
      </w:r>
      <w:r>
        <w:rPr>
          <w:rFonts w:ascii="Arial" w:hAnsi="Arial" w:cs="Arial"/>
          <w:bCs/>
          <w:i/>
          <w:sz w:val="24"/>
          <w:szCs w:val="24"/>
        </w:rPr>
        <w:t>a</w:t>
      </w:r>
      <w:r w:rsidRPr="00BC6EA3">
        <w:rPr>
          <w:rFonts w:ascii="Arial" w:hAnsi="Arial" w:cs="Arial"/>
          <w:bCs/>
          <w:i/>
          <w:sz w:val="24"/>
          <w:szCs w:val="24"/>
        </w:rPr>
        <w:t xml:space="preserve"> Policía Vial invocó </w:t>
      </w:r>
      <w:r w:rsidRPr="00BC6EA3">
        <w:rPr>
          <w:rFonts w:ascii="Arial" w:hAnsi="Arial" w:cs="Arial"/>
          <w:b/>
          <w:bCs/>
          <w:i/>
          <w:sz w:val="24"/>
          <w:szCs w:val="24"/>
        </w:rPr>
        <w:t>como fundamentación</w:t>
      </w:r>
      <w:r>
        <w:rPr>
          <w:rFonts w:ascii="Arial" w:hAnsi="Arial" w:cs="Arial"/>
          <w:bCs/>
          <w:i/>
          <w:sz w:val="24"/>
          <w:szCs w:val="24"/>
        </w:rPr>
        <w:t xml:space="preserve"> el </w:t>
      </w:r>
      <w:r w:rsidRPr="00BC6EA3">
        <w:rPr>
          <w:rFonts w:ascii="Arial" w:hAnsi="Arial" w:cs="Arial"/>
          <w:bCs/>
          <w:i/>
          <w:sz w:val="24"/>
          <w:szCs w:val="24"/>
        </w:rPr>
        <w:t>artículo 59</w:t>
      </w:r>
      <w:r>
        <w:rPr>
          <w:rFonts w:ascii="Arial" w:hAnsi="Arial" w:cs="Arial"/>
          <w:bCs/>
          <w:i/>
          <w:sz w:val="24"/>
          <w:szCs w:val="24"/>
        </w:rPr>
        <w:t xml:space="preserve"> fracción I,</w:t>
      </w:r>
      <w:r w:rsidRPr="00BC6EA3">
        <w:rPr>
          <w:rFonts w:ascii="Arial" w:hAnsi="Arial" w:cs="Arial"/>
          <w:bCs/>
          <w:i/>
          <w:sz w:val="24"/>
          <w:szCs w:val="24"/>
        </w:rPr>
        <w:t xml:space="preserve"> del Reglamento de Vialidad para el Municipio de Oaxaca de Juárez, Oaxaca</w:t>
      </w:r>
      <w:r>
        <w:rPr>
          <w:rFonts w:ascii="Arial" w:hAnsi="Arial" w:cs="Arial"/>
          <w:bCs/>
          <w:i/>
          <w:sz w:val="24"/>
          <w:szCs w:val="24"/>
        </w:rPr>
        <w:t xml:space="preserve">, en relación con el Código de cobro V-073, de la Ley de Ingresos del Municipio de Oaxaca de Juárez, y </w:t>
      </w:r>
      <w:r>
        <w:rPr>
          <w:rFonts w:ascii="Arial" w:hAnsi="Arial" w:cs="Arial"/>
          <w:b/>
          <w:bCs/>
          <w:i/>
          <w:sz w:val="24"/>
          <w:szCs w:val="24"/>
        </w:rPr>
        <w:t xml:space="preserve">como </w:t>
      </w:r>
      <w:r w:rsidRPr="00BC6EA3">
        <w:rPr>
          <w:rFonts w:ascii="Arial" w:hAnsi="Arial" w:cs="Arial"/>
          <w:b/>
          <w:bCs/>
          <w:i/>
          <w:sz w:val="24"/>
          <w:szCs w:val="24"/>
        </w:rPr>
        <w:t>motivación</w:t>
      </w:r>
      <w:r w:rsidRPr="00BC6EA3">
        <w:rPr>
          <w:rFonts w:ascii="Arial" w:hAnsi="Arial" w:cs="Arial"/>
          <w:bCs/>
          <w:i/>
          <w:sz w:val="24"/>
          <w:szCs w:val="24"/>
        </w:rPr>
        <w:t xml:space="preserve"> plasmó </w:t>
      </w:r>
      <w:r>
        <w:rPr>
          <w:rFonts w:ascii="Arial" w:hAnsi="Arial" w:cs="Arial"/>
          <w:bCs/>
          <w:i/>
          <w:sz w:val="24"/>
          <w:szCs w:val="24"/>
        </w:rPr>
        <w:t xml:space="preserve">que </w:t>
      </w:r>
      <w:r>
        <w:rPr>
          <w:rFonts w:ascii="Arial" w:hAnsi="Arial" w:cs="Arial"/>
          <w:b/>
          <w:bCs/>
          <w:i/>
          <w:sz w:val="24"/>
          <w:szCs w:val="24"/>
        </w:rPr>
        <w:t xml:space="preserve">el infractor se pasó la </w:t>
      </w:r>
      <w:r w:rsidRPr="00BC6EA3">
        <w:rPr>
          <w:rFonts w:ascii="Arial" w:hAnsi="Arial" w:cs="Arial"/>
          <w:b/>
          <w:bCs/>
          <w:i/>
          <w:sz w:val="24"/>
          <w:szCs w:val="24"/>
        </w:rPr>
        <w:t xml:space="preserve">luz roja del semáforo, </w:t>
      </w:r>
      <w:r w:rsidRPr="00BC6EA3">
        <w:rPr>
          <w:rFonts w:ascii="Arial" w:hAnsi="Arial" w:cs="Arial"/>
          <w:bCs/>
          <w:i/>
          <w:sz w:val="24"/>
          <w:szCs w:val="24"/>
        </w:rPr>
        <w:t>actualizándose como falta la obligación como conductor</w:t>
      </w:r>
      <w:r>
        <w:rPr>
          <w:rFonts w:ascii="Arial" w:hAnsi="Arial" w:cs="Arial"/>
          <w:bCs/>
          <w:i/>
          <w:sz w:val="24"/>
          <w:szCs w:val="24"/>
        </w:rPr>
        <w:t>a</w:t>
      </w:r>
      <w:r w:rsidRPr="00BC6EA3">
        <w:rPr>
          <w:rFonts w:ascii="Arial" w:hAnsi="Arial" w:cs="Arial"/>
          <w:bCs/>
          <w:i/>
          <w:sz w:val="24"/>
          <w:szCs w:val="24"/>
        </w:rPr>
        <w:t xml:space="preserve"> de detener la marcha de la unidad de motor antes de la raya de alto total y respetar el señalamiento del paso peatonal; al no hacerlo así motu proprio se ubicó en la hipótesis normativa</w:t>
      </w:r>
      <w:r>
        <w:rPr>
          <w:rFonts w:ascii="Arial" w:hAnsi="Arial" w:cs="Arial"/>
          <w:bCs/>
          <w:i/>
          <w:sz w:val="24"/>
          <w:szCs w:val="24"/>
        </w:rPr>
        <w:t>.</w:t>
      </w:r>
    </w:p>
    <w:p w:rsidR="00A25EE7" w:rsidRDefault="00A25EE7" w:rsidP="00A25EE7">
      <w:pPr>
        <w:spacing w:line="360" w:lineRule="auto"/>
        <w:ind w:left="1134" w:right="333"/>
        <w:jc w:val="both"/>
        <w:rPr>
          <w:rFonts w:ascii="Arial" w:hAnsi="Arial" w:cs="Arial"/>
          <w:bCs/>
          <w:i/>
          <w:sz w:val="24"/>
          <w:szCs w:val="24"/>
        </w:rPr>
      </w:pPr>
      <w:r>
        <w:rPr>
          <w:rFonts w:ascii="Arial" w:hAnsi="Arial" w:cs="Arial"/>
          <w:bCs/>
          <w:i/>
          <w:sz w:val="24"/>
          <w:szCs w:val="24"/>
        </w:rPr>
        <w:t>…</w:t>
      </w:r>
    </w:p>
    <w:p w:rsidR="00A25EE7" w:rsidRDefault="00A25EE7" w:rsidP="00A25EE7">
      <w:pPr>
        <w:spacing w:line="360" w:lineRule="auto"/>
        <w:ind w:left="1134" w:right="333"/>
        <w:jc w:val="both"/>
        <w:rPr>
          <w:rFonts w:ascii="Arial" w:hAnsi="Arial" w:cs="Arial"/>
          <w:bCs/>
          <w:i/>
          <w:sz w:val="24"/>
          <w:szCs w:val="24"/>
        </w:rPr>
      </w:pPr>
      <w:r w:rsidRPr="00BC6EA3">
        <w:rPr>
          <w:rFonts w:ascii="Arial" w:hAnsi="Arial" w:cs="Arial"/>
          <w:bCs/>
          <w:i/>
          <w:sz w:val="24"/>
          <w:szCs w:val="24"/>
        </w:rPr>
        <w:t xml:space="preserve">Del contenido de dichos numerales se advierte </w:t>
      </w:r>
      <w:r>
        <w:rPr>
          <w:rFonts w:ascii="Arial" w:hAnsi="Arial" w:cs="Arial"/>
          <w:bCs/>
          <w:i/>
          <w:sz w:val="24"/>
          <w:szCs w:val="24"/>
        </w:rPr>
        <w:t xml:space="preserve">que los conductores deben obedecer las indicaciones de los semáforos, deteniendo su marcha en la línea de alto total; sin embargo, en el caso particular no fue así, pues como se indica, la actora al conducir su vehículo de motor se pasó </w:t>
      </w:r>
      <w:r w:rsidRPr="00BC6EA3">
        <w:rPr>
          <w:rFonts w:ascii="Arial" w:hAnsi="Arial" w:cs="Arial"/>
          <w:bCs/>
          <w:i/>
          <w:sz w:val="24"/>
          <w:szCs w:val="24"/>
        </w:rPr>
        <w:t>la luz roja de</w:t>
      </w:r>
      <w:r>
        <w:rPr>
          <w:rFonts w:ascii="Arial" w:hAnsi="Arial" w:cs="Arial"/>
          <w:bCs/>
          <w:i/>
          <w:sz w:val="24"/>
          <w:szCs w:val="24"/>
        </w:rPr>
        <w:t>l semáforo; motivo por el cual la Policía Vial PV-129, al observar la conducta, fundamentó su actuar y formuló el acta de infracción que ahora se combate.</w:t>
      </w:r>
    </w:p>
    <w:p w:rsidR="00A25EE7" w:rsidRPr="00BC6EA3" w:rsidRDefault="00A25EE7" w:rsidP="00A25EE7">
      <w:pPr>
        <w:spacing w:line="360" w:lineRule="auto"/>
        <w:ind w:left="1134" w:right="333"/>
        <w:jc w:val="both"/>
        <w:rPr>
          <w:rFonts w:ascii="Arial" w:hAnsi="Arial" w:cs="Arial"/>
          <w:b/>
          <w:bCs/>
          <w:sz w:val="24"/>
          <w:szCs w:val="24"/>
        </w:rPr>
      </w:pPr>
      <w:r w:rsidRPr="00BC6EA3">
        <w:rPr>
          <w:rFonts w:ascii="Arial" w:hAnsi="Arial" w:cs="Arial"/>
          <w:bCs/>
          <w:i/>
          <w:sz w:val="24"/>
          <w:szCs w:val="24"/>
        </w:rPr>
        <w:t>Es por ello que en el caso concreto, no se aprecia que la fundamentación y motivación sea incorrecta o indebida como lo expresa la parte actora, sino que sí corresponde a la infracción cometida</w:t>
      </w:r>
      <w:r>
        <w:rPr>
          <w:rFonts w:ascii="Arial" w:hAnsi="Arial" w:cs="Arial"/>
          <w:bCs/>
          <w:i/>
          <w:sz w:val="24"/>
          <w:szCs w:val="24"/>
        </w:rPr>
        <w:t>.</w:t>
      </w:r>
      <w:r w:rsidRPr="00EA31A7">
        <w:rPr>
          <w:rFonts w:ascii="Arial" w:hAnsi="Arial" w:cs="Arial"/>
          <w:bCs/>
          <w:sz w:val="26"/>
          <w:szCs w:val="26"/>
        </w:rPr>
        <w:t>”</w:t>
      </w:r>
      <w:r w:rsidRPr="00BC6EA3">
        <w:rPr>
          <w:rFonts w:ascii="Arial" w:hAnsi="Arial" w:cs="Arial"/>
          <w:bCs/>
          <w:i/>
          <w:sz w:val="24"/>
          <w:szCs w:val="24"/>
        </w:rPr>
        <w:t xml:space="preserve"> </w:t>
      </w:r>
      <w:r w:rsidRPr="00BC6EA3">
        <w:rPr>
          <w:rFonts w:ascii="Arial" w:hAnsi="Arial" w:cs="Arial"/>
          <w:bCs/>
          <w:sz w:val="24"/>
          <w:szCs w:val="24"/>
        </w:rPr>
        <w:t>(folios 4</w:t>
      </w:r>
      <w:r>
        <w:rPr>
          <w:rFonts w:ascii="Arial" w:hAnsi="Arial" w:cs="Arial"/>
          <w:bCs/>
          <w:sz w:val="24"/>
          <w:szCs w:val="24"/>
        </w:rPr>
        <w:t>1 vuelta y 42).</w:t>
      </w:r>
    </w:p>
    <w:p w:rsidR="00A25EE7" w:rsidRPr="00EA31A7" w:rsidRDefault="00A25EE7" w:rsidP="00A25EE7">
      <w:pPr>
        <w:spacing w:before="240" w:line="360" w:lineRule="auto"/>
        <w:ind w:firstLine="709"/>
        <w:jc w:val="both"/>
        <w:rPr>
          <w:rFonts w:ascii="Arial" w:hAnsi="Arial" w:cs="Arial"/>
          <w:bCs/>
          <w:sz w:val="26"/>
          <w:szCs w:val="26"/>
        </w:rPr>
      </w:pPr>
      <w:r w:rsidRPr="00EA31A7">
        <w:rPr>
          <w:rFonts w:ascii="Arial" w:hAnsi="Arial" w:cs="Arial"/>
          <w:bCs/>
          <w:sz w:val="26"/>
          <w:szCs w:val="26"/>
        </w:rPr>
        <w:t xml:space="preserve">Lo anterior, hace manifiesto que los agravios vertidos son meramente </w:t>
      </w:r>
      <w:r w:rsidRPr="00681AB9">
        <w:rPr>
          <w:rFonts w:ascii="Arial" w:hAnsi="Arial" w:cs="Arial"/>
          <w:b/>
          <w:bCs/>
          <w:sz w:val="26"/>
          <w:szCs w:val="26"/>
        </w:rPr>
        <w:t>fundados</w:t>
      </w:r>
      <w:r w:rsidRPr="00EA31A7">
        <w:rPr>
          <w:rFonts w:ascii="Arial" w:hAnsi="Arial" w:cs="Arial"/>
          <w:bCs/>
          <w:sz w:val="26"/>
          <w:szCs w:val="26"/>
        </w:rPr>
        <w:t>, esto en atención a la invocación que hace la recurrente de la jurisprudencia de rubro:</w:t>
      </w:r>
      <w:r>
        <w:rPr>
          <w:rFonts w:ascii="Arial" w:hAnsi="Arial" w:cs="Arial"/>
          <w:bCs/>
          <w:sz w:val="24"/>
          <w:szCs w:val="24"/>
        </w:rPr>
        <w:t xml:space="preserve"> </w:t>
      </w:r>
      <w:r w:rsidRPr="00EA31A7">
        <w:rPr>
          <w:rFonts w:ascii="Arial" w:hAnsi="Arial" w:cs="Arial"/>
          <w:bCs/>
          <w:sz w:val="26"/>
          <w:szCs w:val="26"/>
        </w:rPr>
        <w:t>“</w:t>
      </w:r>
      <w:r w:rsidRPr="00EA31A7">
        <w:rPr>
          <w:rFonts w:ascii="Arial" w:hAnsi="Arial" w:cs="Arial"/>
          <w:bCs/>
          <w:i/>
        </w:rPr>
        <w:t>EXHAUSTIVIDAD. SU EXIGENCIA IMPLICA LA MAYOR CALIDAD POSIBLE DE LAS SENTENCIAS PARA CUMPLIR CON LA PLENITUD EXIGIDA POR EL ARTÍCULO 17 CONSTITUCIONAL</w:t>
      </w:r>
      <w:r w:rsidRPr="00EA31A7">
        <w:rPr>
          <w:rFonts w:ascii="Arial" w:hAnsi="Arial" w:cs="Arial"/>
          <w:bCs/>
          <w:sz w:val="26"/>
          <w:szCs w:val="26"/>
        </w:rPr>
        <w:t>”</w:t>
      </w:r>
      <w:r>
        <w:rPr>
          <w:rFonts w:ascii="Arial" w:hAnsi="Arial" w:cs="Arial"/>
          <w:bCs/>
          <w:sz w:val="24"/>
          <w:szCs w:val="24"/>
        </w:rPr>
        <w:t xml:space="preserve">, </w:t>
      </w:r>
      <w:r w:rsidRPr="00EA31A7">
        <w:rPr>
          <w:rFonts w:ascii="Arial" w:hAnsi="Arial" w:cs="Arial"/>
          <w:bCs/>
          <w:sz w:val="26"/>
          <w:szCs w:val="26"/>
        </w:rPr>
        <w:t xml:space="preserve">debido a que la Sala de Primera Instancia no se pronunció sobre los puntos propuestos por la aquí recurrente en cuanto a que consideró que el acta de infracción impugnada no contenía el detalle de modo, tiempo y lugar en que ocurrieron los hechos que le dieron origen y que </w:t>
      </w:r>
      <w:r w:rsidRPr="00EA31A7">
        <w:rPr>
          <w:rFonts w:ascii="Arial" w:hAnsi="Arial" w:cs="Arial"/>
          <w:bCs/>
          <w:sz w:val="26"/>
          <w:szCs w:val="26"/>
        </w:rPr>
        <w:lastRenderedPageBreak/>
        <w:t xml:space="preserve">en consecuencia, dicho acto no se encontraba debidamente fundado y motivado. En ese sentido, procede </w:t>
      </w:r>
      <w:r w:rsidRPr="00EA31A7">
        <w:rPr>
          <w:rFonts w:ascii="Arial" w:hAnsi="Arial" w:cs="Arial"/>
          <w:b/>
          <w:bCs/>
          <w:sz w:val="26"/>
          <w:szCs w:val="26"/>
        </w:rPr>
        <w:t>reasumir jurisdicción</w:t>
      </w:r>
      <w:r w:rsidRPr="00EA31A7">
        <w:rPr>
          <w:rFonts w:ascii="Arial" w:hAnsi="Arial" w:cs="Arial"/>
          <w:bCs/>
          <w:sz w:val="26"/>
          <w:szCs w:val="26"/>
        </w:rPr>
        <w:t xml:space="preserve"> como sigue.</w:t>
      </w:r>
    </w:p>
    <w:p w:rsidR="00A25EE7" w:rsidRDefault="00A25EE7" w:rsidP="00A25EE7">
      <w:pPr>
        <w:spacing w:before="240" w:line="360" w:lineRule="auto"/>
        <w:ind w:firstLine="709"/>
        <w:jc w:val="both"/>
        <w:rPr>
          <w:rFonts w:ascii="Arial" w:hAnsi="Arial" w:cs="Arial"/>
          <w:bCs/>
          <w:sz w:val="26"/>
          <w:szCs w:val="26"/>
        </w:rPr>
      </w:pPr>
      <w:r w:rsidRPr="00EA31A7">
        <w:rPr>
          <w:rFonts w:ascii="Arial" w:hAnsi="Arial" w:cs="Arial"/>
          <w:bCs/>
          <w:sz w:val="26"/>
          <w:szCs w:val="26"/>
        </w:rPr>
        <w:t xml:space="preserve">Del análisis al acta de infracción 7313 de 7 siete de junio de 2017 dos mil diecisiete, agregada a (folio 6) se lee que en el apartado </w:t>
      </w:r>
      <w:r>
        <w:rPr>
          <w:rFonts w:ascii="Arial" w:hAnsi="Arial" w:cs="Arial"/>
          <w:bCs/>
          <w:sz w:val="26"/>
          <w:szCs w:val="26"/>
        </w:rPr>
        <w:t>“</w:t>
      </w:r>
      <w:r w:rsidRPr="00EA31A7">
        <w:rPr>
          <w:rFonts w:ascii="Arial" w:hAnsi="Arial" w:cs="Arial"/>
          <w:bCs/>
          <w:i/>
        </w:rPr>
        <w:t>MOTIVACIÓN</w:t>
      </w:r>
      <w:r>
        <w:rPr>
          <w:rFonts w:ascii="Arial" w:hAnsi="Arial" w:cs="Arial"/>
          <w:bCs/>
          <w:i/>
          <w:sz w:val="26"/>
          <w:szCs w:val="26"/>
        </w:rPr>
        <w:t xml:space="preserve">” </w:t>
      </w:r>
      <w:r w:rsidRPr="00EA31A7">
        <w:rPr>
          <w:rFonts w:ascii="Arial" w:hAnsi="Arial" w:cs="Arial"/>
          <w:bCs/>
          <w:sz w:val="26"/>
          <w:szCs w:val="26"/>
        </w:rPr>
        <w:t>se indicó:</w:t>
      </w:r>
      <w:r>
        <w:rPr>
          <w:rFonts w:ascii="Arial" w:hAnsi="Arial" w:cs="Arial"/>
          <w:bCs/>
          <w:sz w:val="24"/>
          <w:szCs w:val="24"/>
        </w:rPr>
        <w:t xml:space="preserve"> “</w:t>
      </w:r>
      <w:r>
        <w:rPr>
          <w:rFonts w:ascii="Arial" w:hAnsi="Arial" w:cs="Arial"/>
          <w:bCs/>
          <w:i/>
          <w:sz w:val="24"/>
          <w:szCs w:val="24"/>
        </w:rPr>
        <w:t>por pasarse la luz roja del semá</w:t>
      </w:r>
      <w:r w:rsidRPr="00EA31A7">
        <w:rPr>
          <w:rFonts w:ascii="Arial" w:hAnsi="Arial" w:cs="Arial"/>
          <w:bCs/>
          <w:i/>
          <w:sz w:val="24"/>
          <w:szCs w:val="24"/>
        </w:rPr>
        <w:t>foro</w:t>
      </w:r>
      <w:r>
        <w:rPr>
          <w:rFonts w:ascii="Arial" w:hAnsi="Arial" w:cs="Arial"/>
          <w:bCs/>
          <w:sz w:val="24"/>
          <w:szCs w:val="24"/>
        </w:rPr>
        <w:t xml:space="preserve">”; </w:t>
      </w:r>
      <w:r w:rsidRPr="00EA31A7">
        <w:rPr>
          <w:rFonts w:ascii="Arial" w:hAnsi="Arial" w:cs="Arial"/>
          <w:bCs/>
          <w:sz w:val="26"/>
          <w:szCs w:val="26"/>
        </w:rPr>
        <w:t>y en el apartado “</w:t>
      </w:r>
      <w:r w:rsidRPr="00EA31A7">
        <w:rPr>
          <w:rFonts w:ascii="Arial" w:hAnsi="Arial" w:cs="Arial"/>
          <w:bCs/>
          <w:i/>
        </w:rPr>
        <w:t>FUNDAMENTACIÓN</w:t>
      </w:r>
      <w:r>
        <w:rPr>
          <w:rFonts w:ascii="Arial" w:hAnsi="Arial" w:cs="Arial"/>
          <w:bCs/>
          <w:sz w:val="24"/>
          <w:szCs w:val="24"/>
        </w:rPr>
        <w:t xml:space="preserve">” </w:t>
      </w:r>
      <w:r w:rsidRPr="00EA31A7">
        <w:rPr>
          <w:rFonts w:ascii="Arial" w:hAnsi="Arial" w:cs="Arial"/>
          <w:bCs/>
          <w:sz w:val="26"/>
          <w:szCs w:val="26"/>
        </w:rPr>
        <w:t>se señaló:</w:t>
      </w:r>
      <w:r>
        <w:rPr>
          <w:rFonts w:ascii="Arial" w:hAnsi="Arial" w:cs="Arial"/>
          <w:bCs/>
          <w:sz w:val="24"/>
          <w:szCs w:val="24"/>
        </w:rPr>
        <w:t xml:space="preserve"> “</w:t>
      </w:r>
      <w:r w:rsidRPr="00EA31A7">
        <w:rPr>
          <w:rFonts w:ascii="Arial" w:hAnsi="Arial" w:cs="Arial"/>
          <w:bCs/>
          <w:i/>
          <w:sz w:val="24"/>
          <w:szCs w:val="24"/>
        </w:rPr>
        <w:t>Artículo 59 fracción I</w:t>
      </w:r>
      <w:r>
        <w:rPr>
          <w:rFonts w:ascii="Arial" w:hAnsi="Arial" w:cs="Arial"/>
          <w:bCs/>
          <w:sz w:val="24"/>
          <w:szCs w:val="24"/>
        </w:rPr>
        <w:t xml:space="preserve">”; </w:t>
      </w:r>
      <w:r w:rsidRPr="00EA31A7">
        <w:rPr>
          <w:rFonts w:ascii="Arial" w:hAnsi="Arial" w:cs="Arial"/>
          <w:b/>
          <w:bCs/>
          <w:sz w:val="26"/>
          <w:szCs w:val="26"/>
        </w:rPr>
        <w:t>sin embargo</w:t>
      </w:r>
      <w:r w:rsidRPr="00EA31A7">
        <w:rPr>
          <w:rFonts w:ascii="Arial" w:hAnsi="Arial" w:cs="Arial"/>
          <w:bCs/>
          <w:sz w:val="26"/>
          <w:szCs w:val="26"/>
        </w:rPr>
        <w:t>, el emisor del acto</w:t>
      </w:r>
      <w:r>
        <w:rPr>
          <w:rFonts w:ascii="Arial" w:hAnsi="Arial" w:cs="Arial"/>
          <w:bCs/>
          <w:sz w:val="26"/>
          <w:szCs w:val="26"/>
        </w:rPr>
        <w:t>,</w:t>
      </w:r>
      <w:r w:rsidRPr="00EA31A7">
        <w:rPr>
          <w:rFonts w:ascii="Arial" w:hAnsi="Arial" w:cs="Arial"/>
          <w:bCs/>
          <w:sz w:val="26"/>
          <w:szCs w:val="26"/>
        </w:rPr>
        <w:t xml:space="preserve"> fue omiso en explicar a detalle cómo es que se percató que la </w:t>
      </w:r>
      <w:r>
        <w:rPr>
          <w:rFonts w:ascii="Arial" w:hAnsi="Arial" w:cs="Arial"/>
          <w:bCs/>
          <w:sz w:val="26"/>
          <w:szCs w:val="26"/>
        </w:rPr>
        <w:t xml:space="preserve">aquí </w:t>
      </w:r>
      <w:r w:rsidRPr="00EA31A7">
        <w:rPr>
          <w:rFonts w:ascii="Arial" w:hAnsi="Arial" w:cs="Arial"/>
          <w:bCs/>
          <w:sz w:val="26"/>
          <w:szCs w:val="26"/>
        </w:rPr>
        <w:t>actora se pasó la luz roja del semáforo y menos aún</w:t>
      </w:r>
      <w:r>
        <w:rPr>
          <w:rFonts w:ascii="Arial" w:hAnsi="Arial" w:cs="Arial"/>
          <w:bCs/>
          <w:sz w:val="26"/>
          <w:szCs w:val="26"/>
        </w:rPr>
        <w:t xml:space="preserve"> explicó, en todo caso, porqué </w:t>
      </w:r>
      <w:r w:rsidRPr="00EA31A7">
        <w:rPr>
          <w:rFonts w:ascii="Arial" w:hAnsi="Arial" w:cs="Arial"/>
          <w:bCs/>
          <w:sz w:val="26"/>
          <w:szCs w:val="26"/>
        </w:rPr>
        <w:t>dicha acción constituye una infracción al Reglamento de Vialidad del Municipio de Oaxaca de Juárez y tampoco detalló</w:t>
      </w:r>
      <w:r>
        <w:rPr>
          <w:rFonts w:ascii="Arial" w:hAnsi="Arial" w:cs="Arial"/>
          <w:bCs/>
          <w:sz w:val="26"/>
          <w:szCs w:val="26"/>
        </w:rPr>
        <w:t xml:space="preserve"> cómo tal conducta se adecúa a</w:t>
      </w:r>
      <w:r w:rsidRPr="00EA31A7">
        <w:rPr>
          <w:rFonts w:ascii="Arial" w:hAnsi="Arial" w:cs="Arial"/>
          <w:bCs/>
          <w:sz w:val="26"/>
          <w:szCs w:val="26"/>
        </w:rPr>
        <w:t>l</w:t>
      </w:r>
      <w:r>
        <w:rPr>
          <w:rFonts w:ascii="Arial" w:hAnsi="Arial" w:cs="Arial"/>
          <w:bCs/>
          <w:sz w:val="26"/>
          <w:szCs w:val="26"/>
        </w:rPr>
        <w:t xml:space="preserve"> artículo </w:t>
      </w:r>
      <w:r w:rsidRPr="00EA31A7">
        <w:rPr>
          <w:rFonts w:ascii="Arial" w:hAnsi="Arial" w:cs="Arial"/>
          <w:bCs/>
          <w:sz w:val="26"/>
          <w:szCs w:val="26"/>
        </w:rPr>
        <w:t>que invocó.</w:t>
      </w:r>
    </w:p>
    <w:p w:rsidR="00A25EE7" w:rsidRPr="00EA31A7" w:rsidRDefault="00A25EE7" w:rsidP="00A25EE7">
      <w:pPr>
        <w:spacing w:before="240" w:line="360" w:lineRule="auto"/>
        <w:ind w:firstLine="709"/>
        <w:jc w:val="both"/>
        <w:rPr>
          <w:rFonts w:ascii="Arial" w:hAnsi="Arial" w:cs="Arial"/>
          <w:bCs/>
          <w:sz w:val="26"/>
          <w:szCs w:val="26"/>
        </w:rPr>
      </w:pPr>
      <w:r w:rsidRPr="00EA31A7">
        <w:rPr>
          <w:rFonts w:ascii="Arial" w:hAnsi="Arial" w:cs="Arial"/>
          <w:bCs/>
          <w:sz w:val="26"/>
          <w:szCs w:val="26"/>
        </w:rPr>
        <w:t xml:space="preserve">Es por ello que el acta de infracción de tránsito folio </w:t>
      </w:r>
      <w:r>
        <w:rPr>
          <w:rFonts w:ascii="Arial" w:hAnsi="Arial" w:cs="Arial"/>
          <w:bCs/>
          <w:sz w:val="26"/>
          <w:szCs w:val="26"/>
        </w:rPr>
        <w:t>7313</w:t>
      </w:r>
      <w:r w:rsidRPr="00EA31A7">
        <w:rPr>
          <w:rFonts w:ascii="Arial" w:hAnsi="Arial" w:cs="Arial"/>
          <w:bCs/>
          <w:sz w:val="26"/>
          <w:szCs w:val="26"/>
        </w:rPr>
        <w:t xml:space="preserve"> de </w:t>
      </w:r>
      <w:r>
        <w:rPr>
          <w:rFonts w:ascii="Arial" w:hAnsi="Arial" w:cs="Arial"/>
          <w:bCs/>
          <w:sz w:val="26"/>
          <w:szCs w:val="26"/>
        </w:rPr>
        <w:t xml:space="preserve">7 siete de junio </w:t>
      </w:r>
      <w:r w:rsidRPr="00EA31A7">
        <w:rPr>
          <w:rFonts w:ascii="Arial" w:hAnsi="Arial" w:cs="Arial"/>
          <w:bCs/>
          <w:sz w:val="26"/>
          <w:szCs w:val="26"/>
        </w:rPr>
        <w:t xml:space="preserve">de 2017 dos mil diecisiete, incumple con lo estatuido por el artículo 7 fracción V de la Ley de Justicia Administrativa para el Estado de Oaxaca,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indique que se pasó la luz roja del semáforo,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 xml:space="preserve">adecuar tales argumentos a los preceptos legales que citó para así cumplir con los requisitos previstos en el artículo recién invocado. </w:t>
      </w:r>
    </w:p>
    <w:p w:rsidR="00A25EE7" w:rsidRPr="00287FEE" w:rsidRDefault="00A25EE7" w:rsidP="00A25EE7">
      <w:pPr>
        <w:spacing w:before="24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A25EE7" w:rsidRPr="00287FEE" w:rsidRDefault="00A25EE7" w:rsidP="00A25EE7">
      <w:pPr>
        <w:spacing w:before="240" w:line="276" w:lineRule="auto"/>
        <w:ind w:left="851" w:right="616"/>
        <w:jc w:val="both"/>
        <w:rPr>
          <w:rFonts w:ascii="Arial" w:hAnsi="Arial" w:cs="Arial"/>
          <w:i/>
          <w:sz w:val="24"/>
          <w:szCs w:val="24"/>
        </w:rPr>
      </w:pPr>
      <w:r w:rsidRPr="00287FEE">
        <w:rPr>
          <w:rFonts w:ascii="Arial" w:hAnsi="Arial" w:cs="Arial"/>
          <w:i/>
          <w:sz w:val="26"/>
          <w:szCs w:val="26"/>
        </w:rPr>
        <w:t>“</w:t>
      </w:r>
      <w:r w:rsidRPr="00287FEE">
        <w:rPr>
          <w:rFonts w:ascii="Arial" w:hAnsi="Arial" w:cs="Arial"/>
          <w:b/>
          <w:i/>
          <w:sz w:val="24"/>
          <w:szCs w:val="24"/>
        </w:rPr>
        <w:t>FUNDAMENTACION Y MOTIVACION</w:t>
      </w:r>
      <w:r w:rsidRPr="00287FEE">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w:t>
      </w:r>
      <w:r w:rsidRPr="00287FEE">
        <w:rPr>
          <w:rFonts w:ascii="Arial" w:hAnsi="Arial" w:cs="Arial"/>
          <w:i/>
          <w:sz w:val="24"/>
          <w:szCs w:val="24"/>
        </w:rPr>
        <w:lastRenderedPageBreak/>
        <w:t>aducidos y las normas aplicables, es decir, que en el caso concreto se configuren las hipótesis normativas.”</w:t>
      </w:r>
    </w:p>
    <w:p w:rsidR="00A25EE7" w:rsidRPr="00475A7E" w:rsidRDefault="00A25EE7" w:rsidP="00A25EE7">
      <w:pPr>
        <w:spacing w:before="240" w:line="276"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A25EE7" w:rsidRDefault="00A25EE7" w:rsidP="00A25EE7">
      <w:pPr>
        <w:spacing w:before="240" w:line="360" w:lineRule="auto"/>
        <w:ind w:firstLine="709"/>
        <w:jc w:val="both"/>
        <w:rPr>
          <w:rFonts w:ascii="Arial" w:hAnsi="Arial" w:cs="Arial"/>
          <w:bCs/>
          <w:sz w:val="24"/>
          <w:szCs w:val="24"/>
        </w:rPr>
      </w:pPr>
      <w:r>
        <w:rPr>
          <w:rFonts w:ascii="Arial" w:hAnsi="Arial" w:cs="Arial"/>
          <w:bCs/>
          <w:sz w:val="24"/>
          <w:szCs w:val="24"/>
        </w:rPr>
        <w:t xml:space="preserve">Por estas razones, se declara la NULIDAD LISA Y LLANA del acta de infracción de tránsito folio 7313 de 7 siete de junio de 2017 dos mil diecisiete y se declaran nulos los actos posteriores que se hayan realizado como consecuencia de la misma; por tanto, se ordena al POLICÍA VIAL con número estadístico PV-129 que proceda a la devolución de la licencia de conducir retenida a </w:t>
      </w:r>
      <w:r w:rsidR="00621F36">
        <w:rPr>
          <w:rFonts w:ascii="Arial" w:hAnsi="Arial" w:cs="Arial"/>
          <w:bCs/>
          <w:sz w:val="24"/>
          <w:szCs w:val="24"/>
        </w:rPr>
        <w:t>**********</w:t>
      </w:r>
      <w:r>
        <w:rPr>
          <w:rFonts w:ascii="Arial" w:hAnsi="Arial" w:cs="Arial"/>
          <w:bCs/>
          <w:sz w:val="24"/>
          <w:szCs w:val="24"/>
        </w:rPr>
        <w:t xml:space="preserve">, así como que cancele la citada acta de infracción. </w:t>
      </w:r>
    </w:p>
    <w:p w:rsidR="00A25EE7" w:rsidRDefault="00A25EE7" w:rsidP="00A25EE7">
      <w:pPr>
        <w:spacing w:before="240" w:line="360" w:lineRule="auto"/>
        <w:ind w:firstLine="709"/>
        <w:jc w:val="both"/>
      </w:pPr>
      <w:r>
        <w:rPr>
          <w:rFonts w:ascii="Arial" w:hAnsi="Arial" w:cs="Arial"/>
          <w:bCs/>
          <w:sz w:val="24"/>
          <w:szCs w:val="24"/>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A25EE7" w:rsidRPr="00475A7E" w:rsidRDefault="00A25EE7" w:rsidP="00A25EE7">
      <w:pPr>
        <w:spacing w:before="240" w:line="276"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w:t>
      </w:r>
      <w:r w:rsidRPr="00287FEE">
        <w:rPr>
          <w:rFonts w:ascii="Arial" w:hAnsi="Arial" w:cs="Arial"/>
          <w:i/>
          <w:sz w:val="24"/>
          <w:szCs w:val="24"/>
        </w:rPr>
        <w:lastRenderedPageBreak/>
        <w:t>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rsidR="00A25EE7" w:rsidRDefault="00A25EE7" w:rsidP="00A25EE7">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A25EE7" w:rsidRDefault="00A25EE7" w:rsidP="00A25EE7">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A25EE7" w:rsidRDefault="00A25EE7" w:rsidP="00A25EE7">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REVOCA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A25EE7" w:rsidRDefault="00A25EE7" w:rsidP="00A25EE7">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A25EE7" w:rsidRPr="00A25EE7" w:rsidRDefault="00A25EE7" w:rsidP="00A25EE7">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EA0C06" w:rsidRPr="000B42FF" w:rsidRDefault="00EA0C06" w:rsidP="000B42FF">
      <w:pPr>
        <w:spacing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0B42FF" w:rsidRDefault="000B42FF" w:rsidP="000B42FF">
      <w:pPr>
        <w:spacing w:line="360" w:lineRule="auto"/>
        <w:jc w:val="center"/>
        <w:rPr>
          <w:rFonts w:ascii="Arial" w:hAnsi="Arial" w:cs="Arial"/>
          <w:sz w:val="26"/>
          <w:szCs w:val="26"/>
        </w:rPr>
      </w:pPr>
    </w:p>
    <w:p w:rsidR="00EA0C06" w:rsidRDefault="00EA0C06" w:rsidP="00EA0C06">
      <w:pPr>
        <w:rPr>
          <w:rFonts w:ascii="Arial" w:eastAsia="Calibri" w:hAnsi="Arial" w:cs="Arial"/>
          <w:sz w:val="26"/>
          <w:szCs w:val="26"/>
        </w:rPr>
      </w:pPr>
    </w:p>
    <w:p w:rsidR="00EA0C06" w:rsidRDefault="00EA0C06" w:rsidP="00EA0C06">
      <w:pPr>
        <w:rPr>
          <w:rFonts w:ascii="Arial" w:eastAsia="Calibri" w:hAnsi="Arial" w:cs="Arial"/>
          <w:sz w:val="26"/>
          <w:szCs w:val="26"/>
        </w:rPr>
      </w:pPr>
    </w:p>
    <w:p w:rsidR="007E0EC6" w:rsidRDefault="007E0EC6"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EA0C06" w:rsidRPr="009B6852" w:rsidRDefault="00EA0C06" w:rsidP="00EA0C06">
      <w:pPr>
        <w:jc w:val="center"/>
        <w:rPr>
          <w:rFonts w:ascii="Arial" w:hAnsi="Arial" w:cs="Arial"/>
          <w:sz w:val="26"/>
          <w:szCs w:val="26"/>
        </w:rPr>
      </w:pPr>
      <w:r w:rsidRPr="009B6852">
        <w:rPr>
          <w:rFonts w:ascii="Arial" w:hAnsi="Arial" w:cs="Arial"/>
          <w:sz w:val="26"/>
          <w:szCs w:val="26"/>
        </w:rPr>
        <w:t>MAGISTRADO ADRIÁN QUIROGA AVENDAÑO.</w:t>
      </w:r>
    </w:p>
    <w:p w:rsidR="00EA0C06" w:rsidRPr="009B6852" w:rsidRDefault="00EA0C06" w:rsidP="00EA0C06">
      <w:pPr>
        <w:jc w:val="center"/>
        <w:rPr>
          <w:rFonts w:ascii="Arial" w:hAnsi="Arial" w:cs="Arial"/>
          <w:sz w:val="26"/>
          <w:szCs w:val="26"/>
        </w:rPr>
      </w:pPr>
      <w:r w:rsidRPr="009B6852">
        <w:rPr>
          <w:rFonts w:ascii="Arial" w:hAnsi="Arial" w:cs="Arial"/>
          <w:sz w:val="26"/>
          <w:szCs w:val="26"/>
        </w:rPr>
        <w:t>PRESIDENTE</w:t>
      </w:r>
    </w:p>
    <w:p w:rsidR="00EA0C06" w:rsidRDefault="00EA0C06" w:rsidP="00EA0C06">
      <w:pPr>
        <w:rPr>
          <w:rFonts w:ascii="Arial" w:hAnsi="Arial" w:cs="Arial"/>
          <w:sz w:val="26"/>
          <w:szCs w:val="26"/>
        </w:rPr>
      </w:pPr>
    </w:p>
    <w:p w:rsidR="00EA0C06" w:rsidRDefault="00EA0C06" w:rsidP="00EA0C06">
      <w:pPr>
        <w:rPr>
          <w:rFonts w:ascii="Arial" w:hAnsi="Arial" w:cs="Arial"/>
          <w:sz w:val="26"/>
          <w:szCs w:val="26"/>
        </w:rPr>
      </w:pPr>
    </w:p>
    <w:p w:rsidR="00FA30E1" w:rsidRDefault="00FA30E1" w:rsidP="00EA0C06">
      <w:pPr>
        <w:rPr>
          <w:rFonts w:ascii="Arial" w:hAnsi="Arial" w:cs="Arial"/>
          <w:sz w:val="26"/>
          <w:szCs w:val="26"/>
        </w:rPr>
      </w:pPr>
    </w:p>
    <w:p w:rsidR="00EA0C06" w:rsidRDefault="00EA0C06" w:rsidP="00EA0C06">
      <w:pPr>
        <w:rPr>
          <w:rFonts w:ascii="Arial" w:hAnsi="Arial" w:cs="Arial"/>
          <w:sz w:val="26"/>
          <w:szCs w:val="26"/>
        </w:rPr>
      </w:pPr>
    </w:p>
    <w:p w:rsidR="007E0EC6" w:rsidRPr="009B6852" w:rsidRDefault="007E0EC6" w:rsidP="00EA0C06">
      <w:pPr>
        <w:rPr>
          <w:rFonts w:ascii="Arial" w:hAnsi="Arial" w:cs="Arial"/>
          <w:sz w:val="26"/>
          <w:szCs w:val="26"/>
        </w:rPr>
      </w:pPr>
    </w:p>
    <w:p w:rsidR="00EA0C06" w:rsidRPr="009B6852" w:rsidRDefault="00EA0C06" w:rsidP="00024B16">
      <w:pPr>
        <w:rPr>
          <w:rFonts w:ascii="Arial" w:hAnsi="Arial" w:cs="Arial"/>
          <w:sz w:val="26"/>
          <w:szCs w:val="26"/>
        </w:rPr>
      </w:pPr>
    </w:p>
    <w:p w:rsidR="00EA0C06" w:rsidRDefault="00EA0C06" w:rsidP="00EA0C06">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024B16" w:rsidRDefault="00024B16"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024B16" w:rsidRDefault="00024B16" w:rsidP="00EA0C06">
      <w:pPr>
        <w:jc w:val="center"/>
        <w:rPr>
          <w:rFonts w:ascii="Arial" w:hAnsi="Arial" w:cs="Arial"/>
          <w:sz w:val="26"/>
          <w:szCs w:val="26"/>
        </w:rPr>
      </w:pPr>
    </w:p>
    <w:p w:rsidR="00024B16" w:rsidRPr="009B6852" w:rsidRDefault="00024B16" w:rsidP="00EA0C06">
      <w:pPr>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EA0C06" w:rsidRDefault="00EA0C06" w:rsidP="000B42FF">
      <w:pPr>
        <w:spacing w:line="360" w:lineRule="auto"/>
        <w:rPr>
          <w:rFonts w:ascii="Arial" w:hAnsi="Arial" w:cs="Arial"/>
          <w:sz w:val="26"/>
          <w:szCs w:val="26"/>
        </w:rPr>
      </w:pPr>
    </w:p>
    <w:p w:rsidR="000B42FF" w:rsidRDefault="000B42FF" w:rsidP="000B42FF">
      <w:pPr>
        <w:spacing w:line="360" w:lineRule="auto"/>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024B16" w:rsidRDefault="00024B1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Pr>
          <w:rFonts w:ascii="Arial" w:hAnsi="Arial" w:cs="Arial"/>
          <w:sz w:val="26"/>
          <w:szCs w:val="26"/>
        </w:rPr>
        <w:t>MAGISTRADA MARÍA ELENA VILLA DE JARQUÍN</w:t>
      </w: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0B42FF" w:rsidRDefault="000B42FF" w:rsidP="00EA0C06">
      <w:pPr>
        <w:jc w:val="center"/>
        <w:rPr>
          <w:rFonts w:ascii="Arial" w:eastAsia="Times New Roman" w:hAnsi="Arial" w:cs="Arial"/>
          <w:sz w:val="26"/>
          <w:szCs w:val="26"/>
        </w:rPr>
      </w:pPr>
    </w:p>
    <w:p w:rsidR="00024B16" w:rsidRDefault="00024B1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hAnsi="Arial" w:cs="Arial"/>
          <w:sz w:val="26"/>
          <w:szCs w:val="26"/>
        </w:rPr>
      </w:pPr>
      <w:r>
        <w:rPr>
          <w:rFonts w:ascii="Arial" w:hAnsi="Arial" w:cs="Arial"/>
          <w:sz w:val="26"/>
          <w:szCs w:val="26"/>
        </w:rPr>
        <w:t>LICENCIADA LETICIA GARCIA SOTO.</w:t>
      </w:r>
    </w:p>
    <w:p w:rsidR="00EA0C06" w:rsidRPr="00514BDC" w:rsidRDefault="00EA0C06" w:rsidP="00EA0C06">
      <w:pPr>
        <w:jc w:val="center"/>
        <w:rPr>
          <w:rFonts w:ascii="Arial" w:hAnsi="Arial" w:cs="Arial"/>
          <w:sz w:val="26"/>
          <w:szCs w:val="26"/>
        </w:rPr>
      </w:pPr>
      <w:r>
        <w:rPr>
          <w:rFonts w:ascii="Arial" w:hAnsi="Arial" w:cs="Arial"/>
          <w:sz w:val="26"/>
          <w:szCs w:val="26"/>
        </w:rPr>
        <w:t xml:space="preserve">  SECRETARIA GENERAL DE ACUERDOS.</w:t>
      </w:r>
    </w:p>
    <w:p w:rsidR="004D0EEB" w:rsidRPr="00EB233B" w:rsidRDefault="004D0EEB" w:rsidP="00EA0C06">
      <w:pPr>
        <w:pStyle w:val="Sinespaciado"/>
        <w:spacing w:line="360" w:lineRule="auto"/>
        <w:ind w:right="49"/>
        <w:jc w:val="both"/>
        <w:rPr>
          <w:sz w:val="26"/>
          <w:szCs w:val="26"/>
        </w:rPr>
      </w:pPr>
    </w:p>
    <w:sectPr w:rsidR="004D0EEB" w:rsidRPr="00EB233B" w:rsidSect="00C5007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772" w:rsidRDefault="000B4772">
      <w:r>
        <w:separator/>
      </w:r>
    </w:p>
  </w:endnote>
  <w:endnote w:type="continuationSeparator" w:id="0">
    <w:p w:rsidR="000B4772" w:rsidRDefault="000B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DC3" w:rsidRDefault="00CD1DC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DC3" w:rsidRDefault="00CD1DC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DC3" w:rsidRDefault="00CD1D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772" w:rsidRDefault="000B4772">
      <w:r>
        <w:separator/>
      </w:r>
    </w:p>
  </w:footnote>
  <w:footnote w:type="continuationSeparator" w:id="0">
    <w:p w:rsidR="000B4772" w:rsidRDefault="000B4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CD1DC3">
          <w:rPr>
            <w:noProof/>
          </w:rPr>
          <w:t>2</w:t>
        </w:r>
        <w:r>
          <w:fldChar w:fldCharType="end"/>
        </w:r>
      </w:p>
    </w:sdtContent>
  </w:sdt>
  <w:p w:rsidR="00F8331C" w:rsidRDefault="00CD1DC3">
    <w:pPr>
      <w:pStyle w:val="Encabezado"/>
    </w:pPr>
    <w:bookmarkStart w:id="0" w:name="_GoBack"/>
    <w:r>
      <w:rPr>
        <w:noProof/>
        <w:lang w:eastAsia="es-MX"/>
      </w:rPr>
      <w:drawing>
        <wp:anchor distT="0" distB="0" distL="114300" distR="114300" simplePos="0" relativeHeight="251675648" behindDoc="0" locked="0" layoutInCell="1" allowOverlap="1" wp14:anchorId="604DDFF8" wp14:editId="269604B0">
          <wp:simplePos x="0" y="0"/>
          <wp:positionH relativeFrom="column">
            <wp:posOffset>5249918</wp:posOffset>
          </wp:positionH>
          <wp:positionV relativeFrom="paragraph">
            <wp:posOffset>5210549</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CD1DC3">
          <w:rPr>
            <w:noProof/>
          </w:rPr>
          <w:t>1</w:t>
        </w:r>
        <w:r>
          <w:rPr>
            <w:noProof/>
          </w:rPr>
          <w:fldChar w:fldCharType="end"/>
        </w:r>
      </w:p>
    </w:sdtContent>
  </w:sdt>
  <w:p w:rsidR="00F8331C" w:rsidRDefault="00CD1DC3" w:rsidP="00F8331C">
    <w:pPr>
      <w:pStyle w:val="Encabezado"/>
      <w:jc w:val="center"/>
    </w:pPr>
    <w:r>
      <w:rPr>
        <w:noProof/>
        <w:lang w:eastAsia="es-MX"/>
      </w:rPr>
      <w:drawing>
        <wp:anchor distT="0" distB="0" distL="114300" distR="114300" simplePos="0" relativeHeight="251665408" behindDoc="0" locked="0" layoutInCell="1" allowOverlap="1" wp14:anchorId="51BB5251" wp14:editId="1A51C924">
          <wp:simplePos x="0" y="0"/>
          <wp:positionH relativeFrom="column">
            <wp:posOffset>-1182034</wp:posOffset>
          </wp:positionH>
          <wp:positionV relativeFrom="paragraph">
            <wp:posOffset>5829113</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F8331C">
      <w:rPr>
        <w:noProof/>
        <w:lang w:val="es-MX" w:eastAsia="es-MX"/>
      </w:rPr>
      <w:drawing>
        <wp:anchor distT="0" distB="0" distL="114300" distR="114300" simplePos="0" relativeHeight="251659264" behindDoc="1" locked="0" layoutInCell="1" allowOverlap="1" wp14:anchorId="4E9E2A24" wp14:editId="24C38C88">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F8331C" w:rsidRPr="003E6AD7">
      <w:rPr>
        <w:noProof/>
        <w:lang w:val="es-MX" w:eastAsia="es-MX"/>
      </w:rPr>
      <w:drawing>
        <wp:anchor distT="0" distB="0" distL="114300" distR="114300" simplePos="0" relativeHeight="251649024" behindDoc="0" locked="0" layoutInCell="1" allowOverlap="1" wp14:anchorId="7CF314FE" wp14:editId="14796171">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DC3" w:rsidRDefault="00CD1DC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5271"/>
    <w:rsid w:val="00024B16"/>
    <w:rsid w:val="00026EB9"/>
    <w:rsid w:val="00030CA4"/>
    <w:rsid w:val="00037069"/>
    <w:rsid w:val="00043210"/>
    <w:rsid w:val="000447E8"/>
    <w:rsid w:val="00046DB2"/>
    <w:rsid w:val="00051E1B"/>
    <w:rsid w:val="00052012"/>
    <w:rsid w:val="00092DAC"/>
    <w:rsid w:val="000B2991"/>
    <w:rsid w:val="000B42FF"/>
    <w:rsid w:val="000B4772"/>
    <w:rsid w:val="000C2E86"/>
    <w:rsid w:val="00100CD5"/>
    <w:rsid w:val="001460C3"/>
    <w:rsid w:val="001649BB"/>
    <w:rsid w:val="001A42DD"/>
    <w:rsid w:val="001A6C3E"/>
    <w:rsid w:val="001B4582"/>
    <w:rsid w:val="001C5DD6"/>
    <w:rsid w:val="001E135A"/>
    <w:rsid w:val="001E5F2C"/>
    <w:rsid w:val="001F05D6"/>
    <w:rsid w:val="001F6CA3"/>
    <w:rsid w:val="002E0410"/>
    <w:rsid w:val="002E162B"/>
    <w:rsid w:val="00305E71"/>
    <w:rsid w:val="00357DFB"/>
    <w:rsid w:val="00377D62"/>
    <w:rsid w:val="00392A5B"/>
    <w:rsid w:val="00394391"/>
    <w:rsid w:val="003C62C9"/>
    <w:rsid w:val="003E143A"/>
    <w:rsid w:val="003F5EAD"/>
    <w:rsid w:val="00460197"/>
    <w:rsid w:val="004642E9"/>
    <w:rsid w:val="0049252D"/>
    <w:rsid w:val="004D0EEB"/>
    <w:rsid w:val="004D5D36"/>
    <w:rsid w:val="004E0E04"/>
    <w:rsid w:val="00523841"/>
    <w:rsid w:val="00526007"/>
    <w:rsid w:val="00530B56"/>
    <w:rsid w:val="00544A09"/>
    <w:rsid w:val="00554CA0"/>
    <w:rsid w:val="00593DCC"/>
    <w:rsid w:val="0059699E"/>
    <w:rsid w:val="00621F36"/>
    <w:rsid w:val="006500B3"/>
    <w:rsid w:val="0068420B"/>
    <w:rsid w:val="006F2460"/>
    <w:rsid w:val="006F2A31"/>
    <w:rsid w:val="007020A0"/>
    <w:rsid w:val="0072550C"/>
    <w:rsid w:val="00726039"/>
    <w:rsid w:val="00734AB8"/>
    <w:rsid w:val="007662B4"/>
    <w:rsid w:val="007A36C5"/>
    <w:rsid w:val="007C1294"/>
    <w:rsid w:val="007E0EC6"/>
    <w:rsid w:val="00863B53"/>
    <w:rsid w:val="008766E2"/>
    <w:rsid w:val="008834EE"/>
    <w:rsid w:val="008E322E"/>
    <w:rsid w:val="0090315F"/>
    <w:rsid w:val="0092612B"/>
    <w:rsid w:val="00932A50"/>
    <w:rsid w:val="00936B59"/>
    <w:rsid w:val="009612B0"/>
    <w:rsid w:val="00961D13"/>
    <w:rsid w:val="00976313"/>
    <w:rsid w:val="009821B0"/>
    <w:rsid w:val="009D216E"/>
    <w:rsid w:val="009D77D0"/>
    <w:rsid w:val="00A166A2"/>
    <w:rsid w:val="00A25EE7"/>
    <w:rsid w:val="00AA25E5"/>
    <w:rsid w:val="00AA4BB8"/>
    <w:rsid w:val="00AC78DA"/>
    <w:rsid w:val="00B7485D"/>
    <w:rsid w:val="00B972B2"/>
    <w:rsid w:val="00BE0066"/>
    <w:rsid w:val="00BE301E"/>
    <w:rsid w:val="00BE40D1"/>
    <w:rsid w:val="00C35C4A"/>
    <w:rsid w:val="00C4290B"/>
    <w:rsid w:val="00C5007F"/>
    <w:rsid w:val="00C63AEF"/>
    <w:rsid w:val="00C66996"/>
    <w:rsid w:val="00C848A0"/>
    <w:rsid w:val="00CC2FF8"/>
    <w:rsid w:val="00CC4976"/>
    <w:rsid w:val="00CD1DC3"/>
    <w:rsid w:val="00D00CDE"/>
    <w:rsid w:val="00D058D0"/>
    <w:rsid w:val="00D40152"/>
    <w:rsid w:val="00D41DB3"/>
    <w:rsid w:val="00D44245"/>
    <w:rsid w:val="00D7163E"/>
    <w:rsid w:val="00D73FE5"/>
    <w:rsid w:val="00DB558F"/>
    <w:rsid w:val="00DD2F6A"/>
    <w:rsid w:val="00DE0FA7"/>
    <w:rsid w:val="00DE2037"/>
    <w:rsid w:val="00DF1458"/>
    <w:rsid w:val="00E01AE6"/>
    <w:rsid w:val="00E2475A"/>
    <w:rsid w:val="00E92155"/>
    <w:rsid w:val="00EA0C06"/>
    <w:rsid w:val="00EB233B"/>
    <w:rsid w:val="00EE2440"/>
    <w:rsid w:val="00F8331C"/>
    <w:rsid w:val="00FA30E1"/>
    <w:rsid w:val="00FA3B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DF38A-9E3D-4EC7-A9F4-9EE59864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 w:type="paragraph" w:styleId="NormalWeb">
    <w:name w:val="Normal (Web)"/>
    <w:basedOn w:val="Normal"/>
    <w:uiPriority w:val="99"/>
    <w:unhideWhenUsed/>
    <w:rsid w:val="00C5007F"/>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Textoindependiente21">
    <w:name w:val="Texto independiente 21"/>
    <w:basedOn w:val="Normal"/>
    <w:rsid w:val="00C5007F"/>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88625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6633F-A568-4797-B087-DB813A10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8</Pages>
  <Words>2504</Words>
  <Characters>13778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27</cp:revision>
  <cp:lastPrinted>2019-04-29T14:20:00Z</cp:lastPrinted>
  <dcterms:created xsi:type="dcterms:W3CDTF">2019-04-24T19:33:00Z</dcterms:created>
  <dcterms:modified xsi:type="dcterms:W3CDTF">2019-07-01T18:12:00Z</dcterms:modified>
</cp:coreProperties>
</file>