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EF9D09E"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5261EF">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3ACF7299"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5064AC">
        <w:rPr>
          <w:rFonts w:ascii="Arial" w:eastAsia="Times New Roman" w:hAnsi="Arial" w:cs="Arial"/>
          <w:b/>
          <w:sz w:val="24"/>
          <w:szCs w:val="27"/>
          <w:lang w:val="es-ES_tradnl" w:eastAsia="es-ES"/>
        </w:rPr>
        <w:t xml:space="preserve"> </w:t>
      </w:r>
      <w:r w:rsidR="00861F73">
        <w:rPr>
          <w:rFonts w:ascii="Arial" w:eastAsia="Times New Roman" w:hAnsi="Arial" w:cs="Arial"/>
          <w:bCs/>
          <w:sz w:val="24"/>
          <w:szCs w:val="27"/>
          <w:lang w:val="es-ES_tradnl" w:eastAsia="es-ES"/>
        </w:rPr>
        <w:t>32</w:t>
      </w:r>
      <w:r w:rsidR="006D5592">
        <w:rPr>
          <w:rFonts w:ascii="Arial" w:eastAsia="Times New Roman" w:hAnsi="Arial" w:cs="Arial"/>
          <w:bCs/>
          <w:sz w:val="24"/>
          <w:szCs w:val="27"/>
          <w:lang w:val="es-ES_tradnl" w:eastAsia="es-ES"/>
        </w:rPr>
        <w:t>/202</w:t>
      </w:r>
      <w:r w:rsidR="00861F73">
        <w:rPr>
          <w:rFonts w:ascii="Arial" w:eastAsia="Times New Roman" w:hAnsi="Arial" w:cs="Arial"/>
          <w:bCs/>
          <w:sz w:val="24"/>
          <w:szCs w:val="27"/>
          <w:lang w:val="es-ES_tradnl" w:eastAsia="es-ES"/>
        </w:rPr>
        <w:t>2</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75CA9DBE"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5064AC">
        <w:rPr>
          <w:rFonts w:ascii="Arial" w:eastAsia="Times New Roman" w:hAnsi="Arial" w:cs="Arial"/>
          <w:b/>
          <w:sz w:val="24"/>
          <w:szCs w:val="27"/>
          <w:lang w:val="es-ES_tradnl" w:eastAsia="es-ES"/>
        </w:rPr>
        <w:t xml:space="preserve"> </w:t>
      </w:r>
      <w:r w:rsidR="004A5433">
        <w:rPr>
          <w:rFonts w:ascii="Arial" w:eastAsia="Times New Roman" w:hAnsi="Arial" w:cs="Arial"/>
          <w:sz w:val="24"/>
          <w:szCs w:val="27"/>
          <w:lang w:val="es-ES_tradnl" w:eastAsia="es-ES"/>
        </w:rPr>
        <w:t>***** ***** *****</w:t>
      </w:r>
      <w:r w:rsidR="00963E41">
        <w:rPr>
          <w:rFonts w:ascii="Arial" w:eastAsia="Times New Roman" w:hAnsi="Arial" w:cs="Arial"/>
          <w:sz w:val="24"/>
          <w:szCs w:val="27"/>
          <w:lang w:val="es-ES_tradnl" w:eastAsia="es-ES"/>
        </w:rPr>
        <w:t>.</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35F07E5A" w:rsidR="00C96EE7" w:rsidRDefault="00C07F53" w:rsidP="0001413A">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r w:rsidR="00EB5EE2">
        <w:rPr>
          <w:rFonts w:ascii="Arial" w:eastAsia="Times New Roman" w:hAnsi="Arial" w:cs="Arial"/>
          <w:sz w:val="24"/>
          <w:szCs w:val="27"/>
          <w:lang w:val="es-ES_tradnl" w:eastAsia="es-ES"/>
        </w:rPr>
        <w:t xml:space="preserve"> </w:t>
      </w:r>
      <w:bookmarkStart w:id="0" w:name="_Hlk125551487"/>
      <w:r w:rsidR="0001413A">
        <w:rPr>
          <w:rFonts w:ascii="Arial" w:eastAsia="Times New Roman" w:hAnsi="Arial" w:cs="Arial"/>
          <w:sz w:val="24"/>
          <w:szCs w:val="27"/>
          <w:lang w:val="es-ES_tradnl" w:eastAsia="es-ES"/>
        </w:rPr>
        <w:t>CONSEJO DIRECTIVO DE PENSIONES DEL ESTADO, A TRAVÉS DE SU REPRESENTANTE</w:t>
      </w:r>
      <w:r w:rsidR="00D66F1A">
        <w:rPr>
          <w:rFonts w:ascii="Arial" w:eastAsia="Times New Roman" w:hAnsi="Arial" w:cs="Arial"/>
          <w:sz w:val="24"/>
          <w:szCs w:val="27"/>
          <w:lang w:val="es-ES_tradnl" w:eastAsia="es-ES"/>
        </w:rPr>
        <w:t xml:space="preserve"> </w:t>
      </w:r>
      <w:r w:rsidR="0001413A">
        <w:rPr>
          <w:rFonts w:ascii="Arial" w:eastAsia="Times New Roman" w:hAnsi="Arial" w:cs="Arial"/>
          <w:sz w:val="24"/>
          <w:szCs w:val="27"/>
          <w:lang w:val="es-ES_tradnl" w:eastAsia="es-ES"/>
        </w:rPr>
        <w:t xml:space="preserve">EL </w:t>
      </w:r>
      <w:r w:rsidR="0001413A" w:rsidRPr="00A730CB">
        <w:rPr>
          <w:rFonts w:ascii="Arial" w:eastAsia="Times New Roman" w:hAnsi="Arial" w:cs="Arial"/>
          <w:sz w:val="24"/>
          <w:szCs w:val="27"/>
          <w:lang w:val="es-ES_tradnl" w:eastAsia="es-ES"/>
        </w:rPr>
        <w:t>DIRECTOR GENERAL DE LA OFICINA DE PENSIONES DEL ESTADO DE OAXACA</w:t>
      </w:r>
      <w:bookmarkEnd w:id="0"/>
      <w:r w:rsidR="0001413A" w:rsidRPr="00B32722">
        <w:rPr>
          <w:rFonts w:ascii="Arial" w:eastAsia="Times New Roman" w:hAnsi="Arial" w:cs="Arial"/>
          <w:sz w:val="24"/>
          <w:szCs w:val="27"/>
          <w:lang w:val="es-ES_tradnl" w:eastAsia="es-ES"/>
        </w:rPr>
        <w:t>.</w:t>
      </w:r>
      <w:r w:rsidR="0001413A">
        <w:rPr>
          <w:rFonts w:ascii="Arial" w:eastAsia="Times New Roman" w:hAnsi="Arial" w:cs="Arial"/>
          <w:sz w:val="24"/>
          <w:szCs w:val="27"/>
          <w:lang w:val="es-ES_tradnl" w:eastAsia="es-ES"/>
        </w:rPr>
        <w:t xml:space="preserve"> </w:t>
      </w:r>
    </w:p>
    <w:p w14:paraId="03FFC2E6" w14:textId="2784630A" w:rsidR="003569E3" w:rsidRDefault="00DE03B3" w:rsidP="007D03EB">
      <w:pPr>
        <w:tabs>
          <w:tab w:val="right" w:pos="8786"/>
        </w:tabs>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r w:rsidR="007D03EB">
        <w:rPr>
          <w:rFonts w:ascii="Arial" w:eastAsia="Times New Roman" w:hAnsi="Arial" w:cs="Arial"/>
          <w:sz w:val="24"/>
          <w:szCs w:val="27"/>
          <w:lang w:val="es-ES_tradnl" w:eastAsia="es-ES"/>
        </w:rPr>
        <w:tab/>
      </w:r>
    </w:p>
    <w:p w14:paraId="0E5182EB" w14:textId="3054718B" w:rsidR="007D03EB" w:rsidRPr="009C0C09" w:rsidRDefault="007D03EB" w:rsidP="007D03EB">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Pr>
          <w:rFonts w:ascii="Arial" w:eastAsia="Times New Roman" w:hAnsi="Arial" w:cs="Arial"/>
          <w:b/>
          <w:sz w:val="24"/>
          <w:szCs w:val="27"/>
          <w:lang w:val="es-ES" w:eastAsia="es-ES"/>
        </w:rPr>
        <w:t xml:space="preserve"> A</w:t>
      </w:r>
      <w:r w:rsidR="009B3EC4">
        <w:rPr>
          <w:rFonts w:ascii="Arial" w:eastAsia="Times New Roman" w:hAnsi="Arial" w:cs="Arial"/>
          <w:b/>
          <w:sz w:val="24"/>
          <w:szCs w:val="27"/>
          <w:lang w:val="es-ES" w:eastAsia="es-ES"/>
        </w:rPr>
        <w:t xml:space="preserve"> SIETE</w:t>
      </w:r>
      <w:r>
        <w:rPr>
          <w:rFonts w:ascii="Arial" w:eastAsia="Times New Roman" w:hAnsi="Arial" w:cs="Arial"/>
          <w:b/>
          <w:sz w:val="24"/>
          <w:szCs w:val="27"/>
          <w:lang w:val="es-ES" w:eastAsia="es-ES"/>
        </w:rPr>
        <w:t xml:space="preserve"> DE</w:t>
      </w:r>
      <w:r w:rsidR="00DA1A09">
        <w:rPr>
          <w:rFonts w:ascii="Arial" w:eastAsia="Times New Roman" w:hAnsi="Arial" w:cs="Arial"/>
          <w:b/>
          <w:sz w:val="24"/>
          <w:szCs w:val="27"/>
          <w:lang w:val="es-ES" w:eastAsia="es-ES"/>
        </w:rPr>
        <w:t xml:space="preserve"> MARZO</w:t>
      </w:r>
      <w:r w:rsidRPr="009C0C09">
        <w:rPr>
          <w:rFonts w:ascii="Arial" w:eastAsia="Times New Roman" w:hAnsi="Arial" w:cs="Arial"/>
          <w:b/>
          <w:sz w:val="24"/>
          <w:szCs w:val="27"/>
          <w:lang w:val="es-ES" w:eastAsia="es-ES"/>
        </w:rPr>
        <w:t xml:space="preserve"> DE DOS MIL </w:t>
      </w:r>
      <w:r>
        <w:rPr>
          <w:rFonts w:ascii="Arial" w:eastAsia="Times New Roman" w:hAnsi="Arial" w:cs="Arial"/>
          <w:b/>
          <w:sz w:val="24"/>
          <w:szCs w:val="27"/>
          <w:lang w:val="es-ES" w:eastAsia="es-ES"/>
        </w:rPr>
        <w:t>VEINTI</w:t>
      </w:r>
      <w:r w:rsidR="00167B31">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Pr="009C0C09">
        <w:rPr>
          <w:sz w:val="24"/>
          <w:szCs w:val="27"/>
        </w:rPr>
        <w:t xml:space="preserve"> </w:t>
      </w:r>
    </w:p>
    <w:p w14:paraId="6818297E" w14:textId="3A70398E" w:rsidR="007D03EB" w:rsidRPr="009C0C09" w:rsidRDefault="007D03EB" w:rsidP="007D03EB">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los autos del juicio de nulidad número</w:t>
      </w:r>
      <w:r w:rsidR="001851E0">
        <w:rPr>
          <w:rFonts w:ascii="Arial" w:eastAsia="Times New Roman" w:hAnsi="Arial" w:cs="Arial"/>
          <w:sz w:val="24"/>
          <w:szCs w:val="27"/>
          <w:lang w:val="es-ES_tradnl" w:eastAsia="es-ES"/>
        </w:rPr>
        <w:t xml:space="preserve"> </w:t>
      </w:r>
      <w:r w:rsidR="001851E0" w:rsidRPr="001851E0">
        <w:rPr>
          <w:rFonts w:ascii="Arial" w:eastAsia="Times New Roman" w:hAnsi="Arial" w:cs="Arial"/>
          <w:b/>
          <w:bCs/>
          <w:sz w:val="24"/>
          <w:szCs w:val="27"/>
          <w:lang w:val="es-ES_tradnl" w:eastAsia="es-ES"/>
        </w:rPr>
        <w:t>32</w:t>
      </w:r>
      <w:r w:rsidRPr="001851E0">
        <w:rPr>
          <w:rFonts w:ascii="Arial" w:eastAsia="Times New Roman" w:hAnsi="Arial" w:cs="Arial"/>
          <w:b/>
          <w:bCs/>
          <w:sz w:val="24"/>
          <w:szCs w:val="27"/>
          <w:lang w:val="es-ES_tradnl" w:eastAsia="es-ES"/>
        </w:rPr>
        <w:t>/</w:t>
      </w:r>
      <w:r>
        <w:rPr>
          <w:rFonts w:ascii="Arial" w:eastAsia="Times New Roman" w:hAnsi="Arial" w:cs="Arial"/>
          <w:b/>
          <w:bCs/>
          <w:sz w:val="24"/>
          <w:szCs w:val="27"/>
          <w:lang w:val="es-ES_tradnl" w:eastAsia="es-ES"/>
        </w:rPr>
        <w:t>202</w:t>
      </w:r>
      <w:r w:rsidR="001851E0">
        <w:rPr>
          <w:rFonts w:ascii="Arial" w:eastAsia="Times New Roman" w:hAnsi="Arial" w:cs="Arial"/>
          <w:b/>
          <w:bCs/>
          <w:sz w:val="24"/>
          <w:szCs w:val="27"/>
          <w:lang w:val="es-ES_tradnl" w:eastAsia="es-ES"/>
        </w:rPr>
        <w:t>2</w:t>
      </w:r>
      <w:r w:rsidRPr="009C0C09">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promovido</w:t>
      </w:r>
      <w:r w:rsidRPr="009C0C09">
        <w:rPr>
          <w:rFonts w:ascii="Arial" w:eastAsia="Times New Roman" w:hAnsi="Arial" w:cs="Arial"/>
          <w:sz w:val="24"/>
          <w:szCs w:val="27"/>
          <w:lang w:val="es-ES_tradnl" w:eastAsia="es-ES"/>
        </w:rPr>
        <w:t xml:space="preserve"> por</w:t>
      </w:r>
      <w:r w:rsidR="001851E0">
        <w:rPr>
          <w:rFonts w:ascii="Arial" w:eastAsia="Times New Roman" w:hAnsi="Arial" w:cs="Arial"/>
          <w:sz w:val="24"/>
          <w:szCs w:val="27"/>
          <w:lang w:val="es-ES_tradnl" w:eastAsia="es-ES"/>
        </w:rPr>
        <w:t xml:space="preserve"> </w:t>
      </w:r>
      <w:r w:rsidR="004A5433" w:rsidRPr="004A5433">
        <w:rPr>
          <w:rFonts w:ascii="Arial" w:eastAsia="Times New Roman" w:hAnsi="Arial" w:cs="Arial"/>
          <w:b/>
          <w:bCs/>
          <w:sz w:val="24"/>
          <w:szCs w:val="27"/>
          <w:lang w:val="es-ES_tradnl" w:eastAsia="es-ES"/>
        </w:rPr>
        <w:t>***** ***** *****</w:t>
      </w:r>
      <w:r w:rsidRPr="004A5433">
        <w:rPr>
          <w:rFonts w:ascii="Arial" w:eastAsia="Times New Roman" w:hAnsi="Arial" w:cs="Arial"/>
          <w:b/>
          <w:bCs/>
          <w:sz w:val="24"/>
          <w:szCs w:val="27"/>
          <w:lang w:val="es-ES_tradnl" w:eastAsia="es-ES"/>
        </w:rPr>
        <w:t>,</w:t>
      </w:r>
      <w:r w:rsidRPr="009C0C09">
        <w:rPr>
          <w:rFonts w:ascii="Arial" w:eastAsia="Times New Roman" w:hAnsi="Arial" w:cs="Arial"/>
          <w:sz w:val="24"/>
          <w:szCs w:val="27"/>
          <w:lang w:val="es-ES_tradnl" w:eastAsia="es-ES"/>
        </w:rPr>
        <w:t xml:space="preserve"> en contra de</w:t>
      </w:r>
      <w:r>
        <w:rPr>
          <w:rFonts w:ascii="Arial" w:eastAsia="Times New Roman" w:hAnsi="Arial" w:cs="Arial"/>
          <w:sz w:val="24"/>
          <w:szCs w:val="27"/>
          <w:lang w:val="es-ES_tradnl" w:eastAsia="es-ES"/>
        </w:rPr>
        <w:t>l</w:t>
      </w:r>
      <w:r w:rsidR="0001413A">
        <w:rPr>
          <w:rFonts w:ascii="Arial" w:eastAsia="Times New Roman" w:hAnsi="Arial" w:cs="Arial"/>
          <w:b/>
          <w:sz w:val="24"/>
          <w:szCs w:val="27"/>
          <w:lang w:val="es-ES_tradnl" w:eastAsia="es-ES"/>
        </w:rPr>
        <w:t xml:space="preserve"> </w:t>
      </w:r>
      <w:r w:rsidR="0001413A" w:rsidRPr="0001413A">
        <w:rPr>
          <w:rFonts w:ascii="Arial" w:eastAsia="Times New Roman" w:hAnsi="Arial" w:cs="Arial"/>
          <w:b/>
          <w:bCs/>
          <w:sz w:val="24"/>
          <w:szCs w:val="27"/>
          <w:lang w:val="es-ES_tradnl" w:eastAsia="es-ES"/>
        </w:rPr>
        <w:t>CONSEJO DIRECTIVO DE PENSIONES DEL ESTADO, A TRAVÉS DE SU REPRESENTANTE EL DIRECTOR GENERAL DE LA OFICINA DE PENSIONES DEL ESTADO DE OAXACA</w:t>
      </w:r>
      <w:r w:rsidR="0001413A">
        <w:rPr>
          <w:rFonts w:ascii="Arial" w:eastAsia="Times New Roman" w:hAnsi="Arial" w:cs="Arial"/>
          <w:b/>
          <w:sz w:val="24"/>
          <w:szCs w:val="27"/>
          <w:lang w:val="es-ES_tradnl" w:eastAsia="es-ES"/>
        </w:rPr>
        <w:t>,</w:t>
      </w:r>
      <w:r w:rsidRPr="009C0C09">
        <w:rPr>
          <w:rFonts w:ascii="Arial" w:eastAsia="Times New Roman" w:hAnsi="Arial" w:cs="Arial"/>
          <w:sz w:val="24"/>
          <w:szCs w:val="27"/>
          <w:lang w:val="es-ES_tradnl" w:eastAsia="es-ES"/>
        </w:rPr>
        <w:t xml:space="preserve"> y;</w:t>
      </w:r>
    </w:p>
    <w:p w14:paraId="01FCA27D" w14:textId="77777777" w:rsidR="007D03EB" w:rsidRPr="009C0C09" w:rsidRDefault="007D03EB" w:rsidP="007D03EB">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3F25579" w14:textId="1DBFEF4B" w:rsidR="007D03EB" w:rsidRDefault="007D03EB" w:rsidP="007D03EB">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Pr="00DB4C41">
        <w:rPr>
          <w:rFonts w:ascii="Arial" w:hAnsi="Arial" w:cs="Arial"/>
          <w:bCs/>
          <w:spacing w:val="-3"/>
          <w:sz w:val="24"/>
          <w:szCs w:val="27"/>
          <w:lang w:val="es-ES_tradnl"/>
        </w:rPr>
        <w:t>Con fecha</w:t>
      </w:r>
      <w:r w:rsidR="00536815">
        <w:rPr>
          <w:rFonts w:ascii="Arial" w:hAnsi="Arial" w:cs="Arial"/>
          <w:bCs/>
          <w:spacing w:val="-3"/>
          <w:sz w:val="24"/>
          <w:szCs w:val="27"/>
          <w:lang w:val="es-ES_tradnl"/>
        </w:rPr>
        <w:t xml:space="preserve"> veintidós </w:t>
      </w:r>
      <w:r>
        <w:rPr>
          <w:rFonts w:ascii="Arial" w:hAnsi="Arial" w:cs="Arial"/>
          <w:bCs/>
          <w:spacing w:val="-3"/>
          <w:sz w:val="24"/>
          <w:szCs w:val="27"/>
          <w:lang w:val="es-ES_tradnl"/>
        </w:rPr>
        <w:t>de</w:t>
      </w:r>
      <w:r w:rsidR="00536815">
        <w:rPr>
          <w:rFonts w:ascii="Arial" w:hAnsi="Arial" w:cs="Arial"/>
          <w:bCs/>
          <w:spacing w:val="-3"/>
          <w:sz w:val="24"/>
          <w:szCs w:val="27"/>
          <w:lang w:val="es-ES_tradnl"/>
        </w:rPr>
        <w:t xml:space="preserve"> abril</w:t>
      </w:r>
      <w:r>
        <w:rPr>
          <w:rFonts w:ascii="Arial" w:hAnsi="Arial" w:cs="Arial"/>
          <w:bCs/>
          <w:spacing w:val="-3"/>
          <w:sz w:val="24"/>
          <w:szCs w:val="27"/>
          <w:lang w:val="es-ES_tradnl"/>
        </w:rPr>
        <w:t xml:space="preserve"> de dos mil veinti</w:t>
      </w:r>
      <w:r w:rsidR="00536815">
        <w:rPr>
          <w:rFonts w:ascii="Arial" w:hAnsi="Arial" w:cs="Arial"/>
          <w:bCs/>
          <w:spacing w:val="-3"/>
          <w:sz w:val="24"/>
          <w:szCs w:val="27"/>
          <w:lang w:val="es-ES_tradnl"/>
        </w:rPr>
        <w:t>dós</w:t>
      </w:r>
      <w:r>
        <w:rPr>
          <w:rFonts w:ascii="Arial" w:hAnsi="Arial" w:cs="Arial"/>
          <w:bCs/>
          <w:spacing w:val="-3"/>
          <w:sz w:val="24"/>
          <w:szCs w:val="27"/>
          <w:lang w:val="es-ES_tradnl"/>
        </w:rPr>
        <w:t>,</w:t>
      </w:r>
      <w:r w:rsidR="00536815">
        <w:rPr>
          <w:rFonts w:ascii="Arial" w:hAnsi="Arial" w:cs="Arial"/>
          <w:bCs/>
          <w:spacing w:val="-3"/>
          <w:sz w:val="24"/>
          <w:szCs w:val="27"/>
          <w:lang w:val="es-ES_tradnl"/>
        </w:rPr>
        <w:t xml:space="preserve"> </w:t>
      </w:r>
      <w:r w:rsidR="00015B5E">
        <w:rPr>
          <w:rFonts w:ascii="Arial" w:hAnsi="Arial" w:cs="Arial"/>
          <w:bCs/>
          <w:spacing w:val="-3"/>
          <w:sz w:val="24"/>
          <w:szCs w:val="27"/>
          <w:lang w:val="es-ES_tradnl"/>
        </w:rPr>
        <w:t>*****</w:t>
      </w:r>
      <w:r w:rsidR="00536815">
        <w:rPr>
          <w:rFonts w:ascii="Arial" w:hAnsi="Arial" w:cs="Arial"/>
          <w:bCs/>
          <w:spacing w:val="-3"/>
          <w:sz w:val="24"/>
          <w:szCs w:val="27"/>
          <w:lang w:val="es-ES_tradnl"/>
        </w:rPr>
        <w:t xml:space="preserve"> </w:t>
      </w:r>
      <w:r w:rsidR="00015B5E">
        <w:rPr>
          <w:rFonts w:ascii="Arial" w:hAnsi="Arial" w:cs="Arial"/>
          <w:bCs/>
          <w:spacing w:val="-3"/>
          <w:sz w:val="24"/>
          <w:szCs w:val="27"/>
          <w:lang w:val="es-ES_tradnl"/>
        </w:rPr>
        <w:t>*****</w:t>
      </w:r>
      <w:r w:rsidR="00536815">
        <w:rPr>
          <w:rFonts w:ascii="Arial" w:hAnsi="Arial" w:cs="Arial"/>
          <w:bCs/>
          <w:spacing w:val="-3"/>
          <w:sz w:val="24"/>
          <w:szCs w:val="27"/>
          <w:lang w:val="es-ES_tradnl"/>
        </w:rPr>
        <w:t xml:space="preserve"> </w:t>
      </w:r>
      <w:r w:rsidR="00015B5E">
        <w:rPr>
          <w:rFonts w:ascii="Arial" w:hAnsi="Arial" w:cs="Arial"/>
          <w:bCs/>
          <w:spacing w:val="-3"/>
          <w:sz w:val="24"/>
          <w:szCs w:val="27"/>
          <w:lang w:val="es-ES_tradnl"/>
        </w:rPr>
        <w:t>*****</w:t>
      </w:r>
      <w:r>
        <w:rPr>
          <w:rFonts w:ascii="Arial" w:hAnsi="Arial" w:cs="Arial"/>
          <w:bCs/>
          <w:spacing w:val="-3"/>
          <w:sz w:val="24"/>
          <w:szCs w:val="27"/>
          <w:lang w:val="es-ES_tradnl"/>
        </w:rPr>
        <w:t>, presentó en la Oficialía de Partes común de este Tribunal, la demanda</w:t>
      </w:r>
      <w:r w:rsidRPr="00DB4C41">
        <w:rPr>
          <w:rFonts w:ascii="Arial" w:hAnsi="Arial" w:cs="Arial"/>
          <w:bCs/>
          <w:spacing w:val="-3"/>
          <w:sz w:val="24"/>
          <w:szCs w:val="27"/>
          <w:lang w:val="es-ES_tradnl"/>
        </w:rPr>
        <w:t xml:space="preserve"> quien por su propio derecho</w:t>
      </w:r>
      <w:r>
        <w:rPr>
          <w:rFonts w:ascii="Arial" w:hAnsi="Arial" w:cs="Arial"/>
          <w:bCs/>
          <w:spacing w:val="-3"/>
          <w:sz w:val="24"/>
          <w:szCs w:val="27"/>
          <w:lang w:val="es-ES_tradnl"/>
        </w:rPr>
        <w:t>,</w:t>
      </w:r>
      <w:r w:rsidRPr="00DB4C41">
        <w:rPr>
          <w:rFonts w:ascii="Arial" w:hAnsi="Arial" w:cs="Arial"/>
          <w:bCs/>
          <w:spacing w:val="-3"/>
          <w:sz w:val="24"/>
          <w:szCs w:val="27"/>
          <w:lang w:val="es-ES_tradnl"/>
        </w:rPr>
        <w:t xml:space="preserve"> demandó la nuli</w:t>
      </w:r>
      <w:r>
        <w:rPr>
          <w:rFonts w:ascii="Arial" w:hAnsi="Arial" w:cs="Arial"/>
          <w:bCs/>
          <w:spacing w:val="-3"/>
          <w:sz w:val="24"/>
          <w:szCs w:val="27"/>
          <w:lang w:val="es-ES_tradnl"/>
        </w:rPr>
        <w:t xml:space="preserve">dad de los oficios número </w:t>
      </w:r>
      <w:r w:rsidR="004A5433">
        <w:rPr>
          <w:rFonts w:ascii="Arial" w:eastAsia="Times New Roman" w:hAnsi="Arial" w:cs="Arial"/>
          <w:sz w:val="24"/>
          <w:szCs w:val="27"/>
          <w:lang w:val="es-ES_tradnl" w:eastAsia="es-ES"/>
        </w:rPr>
        <w:t>*****</w:t>
      </w:r>
      <w:r>
        <w:rPr>
          <w:rFonts w:ascii="Arial" w:hAnsi="Arial" w:cs="Arial"/>
          <w:bCs/>
          <w:spacing w:val="-3"/>
          <w:sz w:val="24"/>
          <w:szCs w:val="27"/>
          <w:lang w:val="es-ES_tradnl"/>
        </w:rPr>
        <w:t>, de fecha</w:t>
      </w:r>
      <w:r w:rsidR="006D6C0C">
        <w:rPr>
          <w:rFonts w:ascii="Arial" w:hAnsi="Arial" w:cs="Arial"/>
          <w:bCs/>
          <w:spacing w:val="-3"/>
          <w:sz w:val="24"/>
          <w:szCs w:val="27"/>
          <w:lang w:val="es-ES_tradnl"/>
        </w:rPr>
        <w:t xml:space="preserve"> </w:t>
      </w:r>
      <w:r w:rsidR="004A5433">
        <w:rPr>
          <w:rFonts w:ascii="Arial" w:eastAsia="Times New Roman" w:hAnsi="Arial" w:cs="Arial"/>
          <w:sz w:val="24"/>
          <w:szCs w:val="27"/>
          <w:lang w:val="es-ES_tradnl" w:eastAsia="es-ES"/>
        </w:rPr>
        <w:t xml:space="preserve">***** de ***** de ***** </w:t>
      </w:r>
      <w:r>
        <w:rPr>
          <w:rFonts w:ascii="Arial" w:hAnsi="Arial" w:cs="Arial"/>
          <w:bCs/>
          <w:spacing w:val="-3"/>
          <w:sz w:val="24"/>
          <w:szCs w:val="27"/>
          <w:lang w:val="es-ES_tradnl"/>
        </w:rPr>
        <w:t xml:space="preserve">y el oficio número </w:t>
      </w:r>
      <w:r w:rsidR="004A5433">
        <w:rPr>
          <w:rFonts w:ascii="Arial" w:eastAsia="Times New Roman" w:hAnsi="Arial" w:cs="Arial"/>
          <w:sz w:val="24"/>
          <w:szCs w:val="27"/>
          <w:lang w:val="es-ES_tradnl" w:eastAsia="es-ES"/>
        </w:rPr>
        <w:t>*****,</w:t>
      </w:r>
      <w:r>
        <w:rPr>
          <w:rFonts w:ascii="Arial" w:hAnsi="Arial" w:cs="Arial"/>
          <w:bCs/>
          <w:spacing w:val="-3"/>
          <w:sz w:val="24"/>
          <w:szCs w:val="27"/>
          <w:lang w:val="es-ES_tradnl"/>
        </w:rPr>
        <w:t xml:space="preserve"> de fecha</w:t>
      </w:r>
      <w:r w:rsidR="00CE07AE">
        <w:rPr>
          <w:rFonts w:ascii="Arial" w:hAnsi="Arial" w:cs="Arial"/>
          <w:bCs/>
          <w:spacing w:val="-3"/>
          <w:sz w:val="24"/>
          <w:szCs w:val="27"/>
          <w:lang w:val="es-ES_tradnl"/>
        </w:rPr>
        <w:t xml:space="preserve"> </w:t>
      </w:r>
      <w:r w:rsidR="004A5433">
        <w:rPr>
          <w:rFonts w:ascii="Arial" w:eastAsia="Times New Roman" w:hAnsi="Arial" w:cs="Arial"/>
          <w:sz w:val="24"/>
          <w:szCs w:val="27"/>
          <w:lang w:val="es-ES_tradnl" w:eastAsia="es-ES"/>
        </w:rPr>
        <w:t>***** de ***** de *****</w:t>
      </w:r>
      <w:r w:rsidRPr="00DB4C41">
        <w:rPr>
          <w:rFonts w:ascii="Arial" w:hAnsi="Arial" w:cs="Arial"/>
          <w:bCs/>
          <w:spacing w:val="-3"/>
          <w:sz w:val="24"/>
          <w:szCs w:val="27"/>
          <w:lang w:val="es-ES_tradnl"/>
        </w:rPr>
        <w:t xml:space="preserve">, </w:t>
      </w:r>
      <w:r w:rsidR="00A604CE">
        <w:rPr>
          <w:rFonts w:ascii="Arial" w:hAnsi="Arial" w:cs="Arial"/>
          <w:bCs/>
          <w:spacing w:val="-3"/>
          <w:sz w:val="24"/>
          <w:szCs w:val="27"/>
          <w:lang w:val="es-ES_tradnl"/>
        </w:rPr>
        <w:t xml:space="preserve">ambos </w:t>
      </w:r>
      <w:r w:rsidRPr="00DB4C41">
        <w:rPr>
          <w:rFonts w:ascii="Arial" w:hAnsi="Arial" w:cs="Arial"/>
          <w:bCs/>
          <w:spacing w:val="-3"/>
          <w:sz w:val="24"/>
          <w:szCs w:val="27"/>
          <w:lang w:val="es-ES_tradnl"/>
        </w:rPr>
        <w:t>emitido</w:t>
      </w:r>
      <w:r>
        <w:rPr>
          <w:rFonts w:ascii="Arial" w:hAnsi="Arial" w:cs="Arial"/>
          <w:bCs/>
          <w:spacing w:val="-3"/>
          <w:sz w:val="24"/>
          <w:szCs w:val="27"/>
          <w:lang w:val="es-ES_tradnl"/>
        </w:rPr>
        <w:t>s</w:t>
      </w:r>
      <w:r w:rsidRPr="00DB4C41">
        <w:rPr>
          <w:rFonts w:ascii="Arial" w:hAnsi="Arial" w:cs="Arial"/>
          <w:bCs/>
          <w:spacing w:val="-3"/>
          <w:sz w:val="24"/>
          <w:szCs w:val="27"/>
          <w:lang w:val="es-ES_tradnl"/>
        </w:rPr>
        <w:t xml:space="preserve"> por el Director General de la Oficina de Pensiones del Estado de Oaxaca</w:t>
      </w:r>
      <w:r>
        <w:rPr>
          <w:rFonts w:ascii="Arial" w:hAnsi="Arial" w:cs="Arial"/>
          <w:bCs/>
          <w:spacing w:val="-3"/>
          <w:sz w:val="24"/>
          <w:szCs w:val="27"/>
          <w:lang w:val="es-ES_tradnl"/>
        </w:rPr>
        <w:t>;</w:t>
      </w:r>
      <w:r w:rsidRPr="00DB4C41">
        <w:rPr>
          <w:rFonts w:ascii="Arial" w:hAnsi="Arial" w:cs="Arial"/>
          <w:bCs/>
          <w:spacing w:val="-3"/>
          <w:sz w:val="24"/>
          <w:szCs w:val="27"/>
          <w:lang w:val="es-ES_tradnl"/>
        </w:rPr>
        <w:t xml:space="preserve"> por lo que mediante acuerdo de fecha</w:t>
      </w:r>
      <w:r w:rsidR="009B183A">
        <w:rPr>
          <w:rFonts w:ascii="Arial" w:hAnsi="Arial" w:cs="Arial"/>
          <w:bCs/>
          <w:spacing w:val="-3"/>
          <w:sz w:val="24"/>
          <w:szCs w:val="27"/>
          <w:lang w:val="es-ES_tradnl"/>
        </w:rPr>
        <w:t xml:space="preserve"> veintiocho </w:t>
      </w:r>
      <w:r>
        <w:rPr>
          <w:rFonts w:ascii="Arial" w:hAnsi="Arial" w:cs="Arial"/>
          <w:bCs/>
          <w:spacing w:val="-3"/>
          <w:sz w:val="24"/>
          <w:szCs w:val="27"/>
          <w:lang w:val="es-ES_tradnl"/>
        </w:rPr>
        <w:t>de</w:t>
      </w:r>
      <w:r w:rsidR="009B183A">
        <w:rPr>
          <w:rFonts w:ascii="Arial" w:hAnsi="Arial" w:cs="Arial"/>
          <w:bCs/>
          <w:spacing w:val="-3"/>
          <w:sz w:val="24"/>
          <w:szCs w:val="27"/>
          <w:lang w:val="es-ES_tradnl"/>
        </w:rPr>
        <w:t xml:space="preserve"> abril</w:t>
      </w:r>
      <w:r>
        <w:rPr>
          <w:rFonts w:ascii="Arial" w:hAnsi="Arial" w:cs="Arial"/>
          <w:bCs/>
          <w:spacing w:val="-3"/>
          <w:sz w:val="24"/>
          <w:szCs w:val="27"/>
          <w:lang w:val="es-ES_tradnl"/>
        </w:rPr>
        <w:t xml:space="preserve"> de dos mil veinti</w:t>
      </w:r>
      <w:r w:rsidR="009B183A">
        <w:rPr>
          <w:rFonts w:ascii="Arial" w:hAnsi="Arial" w:cs="Arial"/>
          <w:bCs/>
          <w:spacing w:val="-3"/>
          <w:sz w:val="24"/>
          <w:szCs w:val="27"/>
          <w:lang w:val="es-ES_tradnl"/>
        </w:rPr>
        <w:t>dós</w:t>
      </w:r>
      <w:r>
        <w:rPr>
          <w:rFonts w:ascii="Arial" w:hAnsi="Arial" w:cs="Arial"/>
          <w:bCs/>
          <w:spacing w:val="-3"/>
          <w:sz w:val="24"/>
          <w:szCs w:val="27"/>
          <w:lang w:val="es-ES_tradnl"/>
        </w:rPr>
        <w:t>,</w:t>
      </w:r>
      <w:r w:rsidRPr="00DB4C41">
        <w:rPr>
          <w:rFonts w:ascii="Arial" w:hAnsi="Arial" w:cs="Arial"/>
          <w:bCs/>
          <w:spacing w:val="-3"/>
          <w:sz w:val="24"/>
          <w:szCs w:val="27"/>
          <w:lang w:val="es-ES_tradnl"/>
        </w:rPr>
        <w:t xml:space="preserve"> </w:t>
      </w:r>
      <w:r>
        <w:rPr>
          <w:rFonts w:ascii="Arial" w:hAnsi="Arial" w:cs="Arial"/>
          <w:bCs/>
          <w:spacing w:val="-3"/>
          <w:sz w:val="24"/>
          <w:szCs w:val="27"/>
          <w:lang w:val="es-ES_tradnl"/>
        </w:rPr>
        <w:t>se admitió a trámite la demanda interpuesta,</w:t>
      </w:r>
      <w:r w:rsidR="00E0095F">
        <w:rPr>
          <w:rFonts w:ascii="Arial" w:hAnsi="Arial" w:cs="Arial"/>
          <w:bCs/>
          <w:spacing w:val="-3"/>
          <w:sz w:val="24"/>
          <w:szCs w:val="27"/>
          <w:lang w:val="es-ES_tradnl"/>
        </w:rPr>
        <w:t xml:space="preserve"> ordenándose</w:t>
      </w:r>
      <w:r>
        <w:rPr>
          <w:rFonts w:ascii="Arial" w:hAnsi="Arial" w:cs="Arial"/>
          <w:bCs/>
          <w:spacing w:val="-3"/>
          <w:sz w:val="24"/>
          <w:szCs w:val="27"/>
          <w:lang w:val="es-ES_tradnl"/>
        </w:rPr>
        <w:t xml:space="preserve"> notificar, emplazar y correr traslado a la autoridad demandada para que realizara la contestación a la misma. </w:t>
      </w:r>
    </w:p>
    <w:p w14:paraId="12C5E86A" w14:textId="0FA119D4" w:rsidR="007D03EB" w:rsidRDefault="007D03EB" w:rsidP="007D03EB">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w:t>
      </w:r>
      <w:r w:rsidR="0055228F">
        <w:rPr>
          <w:rFonts w:ascii="Arial" w:hAnsi="Arial" w:cs="Arial"/>
          <w:bCs/>
          <w:spacing w:val="-3"/>
          <w:sz w:val="24"/>
          <w:szCs w:val="27"/>
          <w:lang w:val="es-ES_tradnl"/>
        </w:rPr>
        <w:t xml:space="preserve"> veintinueve </w:t>
      </w:r>
      <w:r>
        <w:rPr>
          <w:rFonts w:ascii="Arial" w:hAnsi="Arial" w:cs="Arial"/>
          <w:bCs/>
          <w:spacing w:val="-3"/>
          <w:sz w:val="24"/>
          <w:szCs w:val="27"/>
          <w:lang w:val="es-ES_tradnl"/>
        </w:rPr>
        <w:t>de</w:t>
      </w:r>
      <w:r w:rsidR="0055228F">
        <w:rPr>
          <w:rFonts w:ascii="Arial" w:hAnsi="Arial" w:cs="Arial"/>
          <w:bCs/>
          <w:spacing w:val="-3"/>
          <w:sz w:val="24"/>
          <w:szCs w:val="27"/>
          <w:lang w:val="es-ES_tradnl"/>
        </w:rPr>
        <w:t xml:space="preserve"> agosto</w:t>
      </w:r>
      <w:r>
        <w:rPr>
          <w:rFonts w:ascii="Arial" w:hAnsi="Arial" w:cs="Arial"/>
          <w:bCs/>
          <w:spacing w:val="-3"/>
          <w:sz w:val="24"/>
          <w:szCs w:val="27"/>
          <w:lang w:val="es-ES_tradnl"/>
        </w:rPr>
        <w:t xml:space="preserve"> de dos mil veintidós,</w:t>
      </w:r>
      <w:r w:rsidR="00B44B6A">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la autoridad demandada Jesús Parada Parada, </w:t>
      </w:r>
      <w:r w:rsidR="00A52C9E">
        <w:rPr>
          <w:rFonts w:ascii="Arial" w:hAnsi="Arial" w:cs="Arial"/>
          <w:bCs/>
          <w:spacing w:val="-3"/>
          <w:sz w:val="24"/>
          <w:szCs w:val="27"/>
          <w:lang w:val="es-ES_tradnl"/>
        </w:rPr>
        <w:t>a</w:t>
      </w:r>
      <w:r>
        <w:rPr>
          <w:rFonts w:ascii="Arial" w:hAnsi="Arial" w:cs="Arial"/>
          <w:bCs/>
          <w:spacing w:val="-3"/>
          <w:sz w:val="24"/>
          <w:szCs w:val="27"/>
          <w:lang w:val="es-ES_tradnl"/>
        </w:rPr>
        <w:t xml:space="preserve">poderado </w:t>
      </w:r>
      <w:r w:rsidR="00A52C9E">
        <w:rPr>
          <w:rFonts w:ascii="Arial" w:hAnsi="Arial" w:cs="Arial"/>
          <w:bCs/>
          <w:spacing w:val="-3"/>
          <w:sz w:val="24"/>
          <w:szCs w:val="27"/>
          <w:lang w:val="es-ES_tradnl"/>
        </w:rPr>
        <w:t>l</w:t>
      </w:r>
      <w:r>
        <w:rPr>
          <w:rFonts w:ascii="Arial" w:hAnsi="Arial" w:cs="Arial"/>
          <w:bCs/>
          <w:spacing w:val="-3"/>
          <w:sz w:val="24"/>
          <w:szCs w:val="27"/>
          <w:lang w:val="es-ES_tradnl"/>
        </w:rPr>
        <w:t xml:space="preserve">egal del Consejo Directivo de la Oficina de Pensiones del Estado, </w:t>
      </w:r>
      <w:r w:rsidR="0092479D">
        <w:rPr>
          <w:rFonts w:ascii="Arial" w:hAnsi="Arial" w:cs="Arial"/>
          <w:bCs/>
          <w:spacing w:val="-3"/>
          <w:sz w:val="24"/>
          <w:szCs w:val="27"/>
          <w:lang w:val="es-ES_tradnl"/>
        </w:rPr>
        <w:t>se le tuvo</w:t>
      </w:r>
      <w:r w:rsidR="001121F9">
        <w:rPr>
          <w:rFonts w:ascii="Arial" w:hAnsi="Arial" w:cs="Arial"/>
          <w:bCs/>
          <w:spacing w:val="-3"/>
          <w:sz w:val="24"/>
          <w:szCs w:val="27"/>
          <w:lang w:val="es-ES_tradnl"/>
        </w:rPr>
        <w:t xml:space="preserve"> </w:t>
      </w:r>
      <w:r w:rsidR="006A75F6">
        <w:rPr>
          <w:rFonts w:ascii="Arial" w:hAnsi="Arial" w:cs="Arial"/>
          <w:bCs/>
          <w:spacing w:val="-3"/>
          <w:sz w:val="24"/>
          <w:szCs w:val="27"/>
          <w:lang w:val="es-ES_tradnl"/>
        </w:rPr>
        <w:t>objetando</w:t>
      </w:r>
      <w:r>
        <w:rPr>
          <w:rFonts w:ascii="Arial" w:hAnsi="Arial" w:cs="Arial"/>
          <w:bCs/>
          <w:spacing w:val="-3"/>
          <w:sz w:val="24"/>
          <w:szCs w:val="27"/>
          <w:lang w:val="es-ES_tradnl"/>
        </w:rPr>
        <w:t xml:space="preserve"> la prueba</w:t>
      </w:r>
      <w:r w:rsidR="008A7320">
        <w:rPr>
          <w:rFonts w:ascii="Arial" w:hAnsi="Arial" w:cs="Arial"/>
          <w:bCs/>
          <w:spacing w:val="-3"/>
          <w:sz w:val="24"/>
          <w:szCs w:val="27"/>
          <w:lang w:val="es-ES_tradnl"/>
        </w:rPr>
        <w:t xml:space="preserve"> documental</w:t>
      </w:r>
      <w:r>
        <w:rPr>
          <w:rFonts w:ascii="Arial" w:hAnsi="Arial" w:cs="Arial"/>
          <w:bCs/>
          <w:spacing w:val="-3"/>
          <w:sz w:val="24"/>
          <w:szCs w:val="27"/>
          <w:lang w:val="es-ES_tradnl"/>
        </w:rPr>
        <w:t xml:space="preserve"> ofrecida por el actor, marcada con el número </w:t>
      </w:r>
      <w:r w:rsidR="00015B5E">
        <w:rPr>
          <w:rFonts w:ascii="Arial" w:hAnsi="Arial" w:cs="Arial"/>
          <w:bCs/>
          <w:spacing w:val="-3"/>
          <w:sz w:val="24"/>
          <w:szCs w:val="27"/>
          <w:lang w:val="es-ES_tradnl"/>
        </w:rPr>
        <w:t>*****</w:t>
      </w:r>
      <w:r>
        <w:rPr>
          <w:rFonts w:ascii="Arial" w:hAnsi="Arial" w:cs="Arial"/>
          <w:bCs/>
          <w:spacing w:val="-3"/>
          <w:sz w:val="24"/>
          <w:szCs w:val="27"/>
          <w:lang w:val="es-ES_tradnl"/>
        </w:rPr>
        <w:t>, de su escrito de demanda.</w:t>
      </w:r>
    </w:p>
    <w:p w14:paraId="4D71F2BD" w14:textId="776BC697" w:rsidR="007D03EB" w:rsidRDefault="002F3B0D" w:rsidP="007D03E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De igual forma</w:t>
      </w:r>
      <w:r w:rsidR="007D03EB">
        <w:rPr>
          <w:rFonts w:ascii="Arial" w:hAnsi="Arial" w:cs="Arial"/>
          <w:bCs/>
          <w:spacing w:val="-3"/>
          <w:sz w:val="24"/>
          <w:szCs w:val="27"/>
          <w:lang w:val="es-ES_tradnl"/>
        </w:rPr>
        <w:t>, se tuvo a</w:t>
      </w:r>
      <w:r w:rsidR="00B44B6A">
        <w:rPr>
          <w:rFonts w:ascii="Arial" w:hAnsi="Arial" w:cs="Arial"/>
          <w:bCs/>
          <w:spacing w:val="-3"/>
          <w:sz w:val="24"/>
          <w:szCs w:val="27"/>
          <w:lang w:val="es-ES_tradnl"/>
        </w:rPr>
        <w:t xml:space="preserve"> esa misma autoridad demandada</w:t>
      </w:r>
      <w:r w:rsidR="007D03EB" w:rsidRPr="00295A03">
        <w:rPr>
          <w:rFonts w:ascii="Arial" w:hAnsi="Arial" w:cs="Arial"/>
          <w:bCs/>
          <w:spacing w:val="-3"/>
          <w:sz w:val="24"/>
          <w:szCs w:val="27"/>
          <w:lang w:val="es-ES_tradnl"/>
        </w:rPr>
        <w:t>, contestando en tiempo y forma la demanda</w:t>
      </w:r>
      <w:r w:rsidR="001850C6">
        <w:rPr>
          <w:rFonts w:ascii="Arial" w:hAnsi="Arial" w:cs="Arial"/>
          <w:bCs/>
          <w:spacing w:val="-3"/>
          <w:sz w:val="24"/>
          <w:szCs w:val="27"/>
          <w:lang w:val="es-ES_tradnl"/>
        </w:rPr>
        <w:t>,</w:t>
      </w:r>
      <w:r w:rsidR="007D03EB" w:rsidRPr="00295A03">
        <w:rPr>
          <w:rFonts w:ascii="Arial" w:hAnsi="Arial" w:cs="Arial"/>
          <w:bCs/>
          <w:spacing w:val="-3"/>
          <w:sz w:val="24"/>
          <w:szCs w:val="27"/>
          <w:lang w:val="es-ES_tradnl"/>
        </w:rPr>
        <w:t xml:space="preserve"> y por admitidas las pruebas ofrecidas</w:t>
      </w:r>
      <w:r w:rsidR="007D03EB">
        <w:rPr>
          <w:rFonts w:ascii="Arial" w:hAnsi="Arial" w:cs="Arial"/>
          <w:bCs/>
          <w:spacing w:val="-3"/>
          <w:sz w:val="24"/>
          <w:szCs w:val="27"/>
          <w:lang w:val="es-ES_tradnl"/>
        </w:rPr>
        <w:t>, ordenándose correr traslado a la parte actora para los efectos legales correspondientes.</w:t>
      </w:r>
    </w:p>
    <w:p w14:paraId="04AA1305" w14:textId="77777777" w:rsidR="00001F75" w:rsidRDefault="005443AA" w:rsidP="007D03E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Por otra parte</w:t>
      </w:r>
      <w:r w:rsidR="007D03EB">
        <w:rPr>
          <w:rFonts w:ascii="Arial" w:hAnsi="Arial" w:cs="Arial"/>
          <w:bCs/>
          <w:spacing w:val="-3"/>
          <w:sz w:val="24"/>
          <w:szCs w:val="27"/>
          <w:lang w:val="es-ES_tradnl"/>
        </w:rPr>
        <w:t xml:space="preserve">, se requirió al promovente para </w:t>
      </w:r>
      <w:r w:rsidR="00C45011">
        <w:rPr>
          <w:rFonts w:ascii="Arial" w:hAnsi="Arial" w:cs="Arial"/>
          <w:bCs/>
          <w:spacing w:val="-3"/>
          <w:sz w:val="24"/>
          <w:szCs w:val="27"/>
          <w:lang w:val="es-ES_tradnl"/>
        </w:rPr>
        <w:t>que,</w:t>
      </w:r>
      <w:r w:rsidR="007D03EB">
        <w:rPr>
          <w:rFonts w:ascii="Arial" w:hAnsi="Arial" w:cs="Arial"/>
          <w:bCs/>
          <w:spacing w:val="-3"/>
          <w:sz w:val="24"/>
          <w:szCs w:val="27"/>
          <w:lang w:val="es-ES_tradnl"/>
        </w:rPr>
        <w:t xml:space="preserve"> en el plazo ahí señalado, mediante diligencia formal manifestara su nombre correcto.</w:t>
      </w:r>
    </w:p>
    <w:p w14:paraId="277A1A66" w14:textId="19C0F11F" w:rsidR="007D03EB" w:rsidRPr="00001F75" w:rsidRDefault="00001F75" w:rsidP="007D03EB">
      <w:pPr>
        <w:spacing w:line="360" w:lineRule="auto"/>
        <w:ind w:firstLine="567"/>
        <w:jc w:val="both"/>
        <w:rPr>
          <w:rFonts w:ascii="Arial" w:hAnsi="Arial" w:cs="Arial"/>
          <w:b/>
          <w:spacing w:val="-3"/>
          <w:sz w:val="24"/>
          <w:szCs w:val="27"/>
          <w:lang w:val="es-ES_tradnl"/>
        </w:rPr>
      </w:pPr>
      <w:r w:rsidRPr="00001F75">
        <w:rPr>
          <w:rFonts w:ascii="Arial" w:hAnsi="Arial" w:cs="Arial"/>
          <w:b/>
          <w:spacing w:val="-3"/>
          <w:sz w:val="24"/>
          <w:szCs w:val="27"/>
          <w:lang w:val="es-ES_tradnl"/>
        </w:rPr>
        <w:t>TERCERO.</w:t>
      </w:r>
      <w:r>
        <w:rPr>
          <w:rFonts w:ascii="Arial" w:hAnsi="Arial" w:cs="Arial"/>
          <w:b/>
          <w:spacing w:val="-3"/>
          <w:sz w:val="24"/>
          <w:szCs w:val="27"/>
          <w:lang w:val="es-ES_tradnl"/>
        </w:rPr>
        <w:t xml:space="preserve"> </w:t>
      </w:r>
      <w:r>
        <w:rPr>
          <w:rFonts w:ascii="Arial" w:hAnsi="Arial" w:cs="Arial"/>
          <w:bCs/>
          <w:spacing w:val="-3"/>
          <w:sz w:val="24"/>
          <w:szCs w:val="27"/>
          <w:lang w:val="es-ES_tradnl"/>
        </w:rPr>
        <w:t xml:space="preserve">Mediante proveído de fecha diecisiete de octubre de dos mil veintidós, se tuvo al accionante cumpliendo con el requerimiento </w:t>
      </w:r>
      <w:r w:rsidR="0082091F">
        <w:rPr>
          <w:rFonts w:ascii="Arial" w:hAnsi="Arial" w:cs="Arial"/>
          <w:bCs/>
          <w:spacing w:val="-3"/>
          <w:sz w:val="24"/>
          <w:szCs w:val="27"/>
          <w:lang w:val="es-ES_tradnl"/>
        </w:rPr>
        <w:t>efectuado por acuerdo de fecha veintinueve de agosto de dos mil veintidós.</w:t>
      </w:r>
      <w:r>
        <w:rPr>
          <w:rFonts w:ascii="Arial" w:hAnsi="Arial" w:cs="Arial"/>
          <w:bCs/>
          <w:spacing w:val="-3"/>
          <w:sz w:val="24"/>
          <w:szCs w:val="27"/>
          <w:lang w:val="es-ES_tradnl"/>
        </w:rPr>
        <w:t xml:space="preserve"> </w:t>
      </w:r>
      <w:r w:rsidR="007D03EB" w:rsidRPr="00001F75">
        <w:rPr>
          <w:rFonts w:ascii="Arial" w:hAnsi="Arial" w:cs="Arial"/>
          <w:b/>
          <w:spacing w:val="-3"/>
          <w:sz w:val="24"/>
          <w:szCs w:val="27"/>
          <w:lang w:val="es-ES_tradnl"/>
        </w:rPr>
        <w:t xml:space="preserve">  </w:t>
      </w:r>
    </w:p>
    <w:p w14:paraId="12537773" w14:textId="77777777" w:rsidR="007D03EB" w:rsidRDefault="007D03EB" w:rsidP="007D03E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271A39B1" w14:textId="76D07B31" w:rsidR="007D03EB" w:rsidRDefault="007F170E" w:rsidP="007D03EB">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7D03EB" w:rsidRPr="003172C1">
        <w:rPr>
          <w:rFonts w:ascii="Arial" w:hAnsi="Arial" w:cs="Arial"/>
          <w:b/>
          <w:bCs/>
          <w:spacing w:val="-3"/>
          <w:sz w:val="24"/>
          <w:szCs w:val="27"/>
          <w:lang w:val="es-ES_tradnl"/>
        </w:rPr>
        <w:t>.</w:t>
      </w:r>
      <w:r w:rsidR="007D03EB">
        <w:rPr>
          <w:rFonts w:ascii="Arial" w:hAnsi="Arial" w:cs="Arial"/>
          <w:bCs/>
          <w:spacing w:val="-3"/>
          <w:sz w:val="24"/>
          <w:szCs w:val="27"/>
          <w:lang w:val="es-ES_tradnl"/>
        </w:rPr>
        <w:t xml:space="preserve"> El </w:t>
      </w:r>
      <w:r w:rsidR="00BB51E1">
        <w:rPr>
          <w:rFonts w:ascii="Arial" w:hAnsi="Arial" w:cs="Arial"/>
          <w:bCs/>
          <w:spacing w:val="-3"/>
          <w:sz w:val="24"/>
          <w:szCs w:val="27"/>
          <w:lang w:val="es-ES_tradnl"/>
        </w:rPr>
        <w:t>catorce de diciembre de dos mil veintidós</w:t>
      </w:r>
      <w:r w:rsidR="007D03EB">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asentándose que el </w:t>
      </w:r>
      <w:r w:rsidR="007D03EB" w:rsidRPr="004C35E2">
        <w:rPr>
          <w:rFonts w:ascii="Arial" w:hAnsi="Arial" w:cs="Arial"/>
          <w:bCs/>
          <w:spacing w:val="-3"/>
          <w:sz w:val="24"/>
          <w:szCs w:val="27"/>
          <w:lang w:val="es-ES_tradnl"/>
        </w:rPr>
        <w:t>actor formuló alegatos</w:t>
      </w:r>
      <w:r w:rsidR="007D03EB">
        <w:rPr>
          <w:rFonts w:ascii="Arial" w:hAnsi="Arial" w:cs="Arial"/>
          <w:bCs/>
          <w:spacing w:val="-3"/>
          <w:sz w:val="24"/>
          <w:szCs w:val="27"/>
          <w:lang w:val="es-ES_tradnl"/>
        </w:rPr>
        <w:t>, por lo que se citó a las mismas para oír sentencia dentro del término de ley, y;</w:t>
      </w:r>
    </w:p>
    <w:p w14:paraId="3423F6A5" w14:textId="77777777" w:rsidR="007D03EB" w:rsidRPr="009C0C09" w:rsidRDefault="007D03EB" w:rsidP="007D03EB">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62B9EC62" w14:textId="6BA95888" w:rsidR="007D03EB" w:rsidRPr="009C0C09" w:rsidRDefault="007D03EB" w:rsidP="007D03EB">
      <w:pPr>
        <w:spacing w:line="360" w:lineRule="auto"/>
        <w:ind w:firstLine="567"/>
        <w:jc w:val="both"/>
        <w:rPr>
          <w:rFonts w:ascii="Arial" w:hAnsi="Arial" w:cs="Arial"/>
          <w:sz w:val="24"/>
          <w:szCs w:val="27"/>
        </w:rPr>
      </w:pPr>
      <w:r w:rsidRPr="009C0C09">
        <w:rPr>
          <w:rFonts w:ascii="Arial" w:hAnsi="Arial" w:cs="Arial"/>
          <w:b/>
          <w:sz w:val="24"/>
          <w:szCs w:val="27"/>
        </w:rPr>
        <w:t>PRIMERO.</w:t>
      </w:r>
      <w:r w:rsidR="001E445E">
        <w:rPr>
          <w:rFonts w:ascii="Arial" w:hAnsi="Arial" w:cs="Arial"/>
          <w:b/>
          <w:sz w:val="24"/>
          <w:szCs w:val="27"/>
        </w:rPr>
        <w:t xml:space="preserve"> COMPETENCIA LEGAL.</w:t>
      </w:r>
      <w:r w:rsidRPr="009C0C09">
        <w:rPr>
          <w:rFonts w:ascii="Arial" w:hAnsi="Arial" w:cs="Arial"/>
          <w:b/>
          <w:sz w:val="24"/>
          <w:szCs w:val="27"/>
        </w:rPr>
        <w:t xml:space="preserve"> </w:t>
      </w:r>
      <w:r w:rsidRPr="004901A3">
        <w:rPr>
          <w:rFonts w:ascii="Arial" w:hAnsi="Arial" w:cs="Arial"/>
          <w:sz w:val="24"/>
          <w:szCs w:val="24"/>
        </w:rPr>
        <w:t>Esta Segunda Sala Unitaria</w:t>
      </w:r>
      <w:r>
        <w:rPr>
          <w:rFonts w:ascii="Arial" w:hAnsi="Arial" w:cs="Arial"/>
          <w:sz w:val="24"/>
          <w:szCs w:val="24"/>
        </w:rPr>
        <w:t xml:space="preserve"> </w:t>
      </w:r>
      <w:r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Pr>
          <w:rFonts w:ascii="Arial" w:hAnsi="Arial" w:cs="Arial"/>
          <w:sz w:val="24"/>
          <w:szCs w:val="24"/>
        </w:rPr>
        <w:t xml:space="preserve"> </w:t>
      </w:r>
      <w:r w:rsidRPr="004901A3">
        <w:rPr>
          <w:rFonts w:ascii="Arial" w:hAnsi="Arial" w:cs="Arial"/>
          <w:sz w:val="24"/>
          <w:szCs w:val="24"/>
        </w:rPr>
        <w:t>133</w:t>
      </w:r>
      <w:r>
        <w:rPr>
          <w:rFonts w:ascii="Arial" w:hAnsi="Arial" w:cs="Arial"/>
          <w:sz w:val="24"/>
          <w:szCs w:val="24"/>
        </w:rPr>
        <w:t xml:space="preserve"> fracción I</w:t>
      </w:r>
      <w:r w:rsidRPr="004901A3">
        <w:rPr>
          <w:rFonts w:ascii="Arial" w:hAnsi="Arial" w:cs="Arial"/>
          <w:sz w:val="24"/>
          <w:szCs w:val="24"/>
        </w:rPr>
        <w:t>, 146 y 147 de la Ley de Procedimiento y Justicia Administrativa para el Estado de Oaxaca</w:t>
      </w:r>
      <w:r w:rsidR="001E445E">
        <w:rPr>
          <w:rFonts w:ascii="Arial" w:hAnsi="Arial" w:cs="Arial"/>
          <w:sz w:val="24"/>
          <w:szCs w:val="27"/>
        </w:rPr>
        <w:t>,</w:t>
      </w:r>
      <w:r w:rsidRPr="009C0C09">
        <w:rPr>
          <w:rFonts w:ascii="Arial" w:hAnsi="Arial" w:cs="Arial"/>
          <w:sz w:val="24"/>
          <w:szCs w:val="27"/>
        </w:rPr>
        <w:t xml:space="preserve"> </w:t>
      </w:r>
      <w:r w:rsidR="001E445E" w:rsidRPr="003F5678">
        <w:rPr>
          <w:rFonts w:ascii="Arial" w:hAnsi="Arial" w:cs="Arial"/>
          <w:sz w:val="24"/>
          <w:szCs w:val="24"/>
        </w:rPr>
        <w:t>por tratarse de determinaciones atribuidas a una autoridad cuya competencia corresponde al ámbito territorial y material en que este Tribunal ejerce su jurisdicción.</w:t>
      </w:r>
    </w:p>
    <w:p w14:paraId="11AE60A5" w14:textId="7F2A6697" w:rsidR="007D03EB" w:rsidRDefault="007D03EB" w:rsidP="008615AC">
      <w:pPr>
        <w:pStyle w:val="Textonotapie"/>
        <w:spacing w:line="360" w:lineRule="auto"/>
        <w:ind w:firstLine="567"/>
        <w:jc w:val="both"/>
        <w:rPr>
          <w:rFonts w:ascii="Arial" w:hAnsi="Arial" w:cs="Arial"/>
          <w:sz w:val="24"/>
          <w:szCs w:val="24"/>
        </w:rPr>
      </w:pPr>
      <w:r w:rsidRPr="009C0C09">
        <w:rPr>
          <w:rFonts w:ascii="Arial" w:hAnsi="Arial" w:cs="Arial"/>
          <w:b/>
          <w:snapToGrid w:val="0"/>
          <w:sz w:val="24"/>
          <w:szCs w:val="27"/>
        </w:rPr>
        <w:t>SEGUNDO.</w:t>
      </w:r>
      <w:r w:rsidR="001E445E">
        <w:rPr>
          <w:rFonts w:ascii="Arial" w:hAnsi="Arial" w:cs="Arial"/>
          <w:b/>
          <w:snapToGrid w:val="0"/>
          <w:sz w:val="24"/>
          <w:szCs w:val="27"/>
        </w:rPr>
        <w:t xml:space="preserve"> PERSONALIDAD.</w:t>
      </w:r>
      <w:r w:rsidR="0040298F">
        <w:rPr>
          <w:rFonts w:ascii="Arial" w:hAnsi="Arial" w:cs="Arial"/>
          <w:b/>
          <w:snapToGrid w:val="0"/>
          <w:sz w:val="24"/>
          <w:szCs w:val="27"/>
        </w:rPr>
        <w:t xml:space="preserve"> </w:t>
      </w:r>
      <w:r w:rsidRPr="002779CB">
        <w:rPr>
          <w:rFonts w:ascii="Arial" w:hAnsi="Arial" w:cs="Arial"/>
          <w:bCs/>
          <w:snapToGrid w:val="0"/>
          <w:sz w:val="24"/>
          <w:szCs w:val="24"/>
        </w:rPr>
        <w:t xml:space="preserve">La personalidad </w:t>
      </w:r>
      <w:r>
        <w:rPr>
          <w:rFonts w:ascii="Arial" w:hAnsi="Arial" w:cs="Arial"/>
          <w:bCs/>
          <w:snapToGrid w:val="0"/>
          <w:sz w:val="24"/>
          <w:szCs w:val="24"/>
        </w:rPr>
        <w:t>de las partes quedó acreditada en autos, en términos de</w:t>
      </w:r>
      <w:r w:rsidRPr="00F30404">
        <w:rPr>
          <w:rFonts w:ascii="Arial" w:hAnsi="Arial" w:cs="Arial"/>
          <w:bCs/>
          <w:snapToGrid w:val="0"/>
          <w:sz w:val="24"/>
          <w:szCs w:val="24"/>
        </w:rPr>
        <w:t xml:space="preserve"> los artículos 1</w:t>
      </w:r>
      <w:r>
        <w:rPr>
          <w:rFonts w:ascii="Arial" w:hAnsi="Arial" w:cs="Arial"/>
          <w:bCs/>
          <w:snapToGrid w:val="0"/>
          <w:sz w:val="24"/>
          <w:szCs w:val="24"/>
        </w:rPr>
        <w:t>48 y 151</w:t>
      </w:r>
      <w:r w:rsidRPr="00F30404">
        <w:rPr>
          <w:rFonts w:ascii="Arial" w:hAnsi="Arial" w:cs="Arial"/>
          <w:bCs/>
          <w:snapToGrid w:val="0"/>
          <w:sz w:val="24"/>
          <w:szCs w:val="24"/>
        </w:rPr>
        <w:t xml:space="preserve"> de la Ley de </w:t>
      </w:r>
      <w:r>
        <w:rPr>
          <w:rFonts w:ascii="Arial" w:hAnsi="Arial" w:cs="Arial"/>
          <w:bCs/>
          <w:snapToGrid w:val="0"/>
          <w:sz w:val="24"/>
          <w:szCs w:val="24"/>
        </w:rPr>
        <w:t xml:space="preserve">Procedimiento y </w:t>
      </w:r>
      <w:r w:rsidRPr="00F30404">
        <w:rPr>
          <w:rFonts w:ascii="Arial" w:hAnsi="Arial" w:cs="Arial"/>
          <w:bCs/>
          <w:snapToGrid w:val="0"/>
          <w:sz w:val="24"/>
          <w:szCs w:val="24"/>
        </w:rPr>
        <w:t>Justicia Administrativa para el Estado de Oaxaca</w:t>
      </w:r>
      <w:r w:rsidR="0040298F">
        <w:rPr>
          <w:rFonts w:ascii="Arial" w:hAnsi="Arial" w:cs="Arial"/>
          <w:bCs/>
          <w:snapToGrid w:val="0"/>
          <w:sz w:val="24"/>
          <w:szCs w:val="24"/>
        </w:rPr>
        <w:t xml:space="preserve">, </w:t>
      </w:r>
      <w:r w:rsidR="0040298F" w:rsidRPr="003F5678">
        <w:rPr>
          <w:rFonts w:ascii="Arial" w:hAnsi="Arial" w:cs="Arial"/>
          <w:sz w:val="24"/>
          <w:szCs w:val="24"/>
        </w:rPr>
        <w:t>dado que la parte actora compareció por su propio derecho, en tanto que la autoridad demandada compareció por conducto de su apoderado legal.</w:t>
      </w:r>
    </w:p>
    <w:p w14:paraId="18AEB97A" w14:textId="77777777" w:rsidR="0040298F" w:rsidRPr="0040298F" w:rsidRDefault="0040298F" w:rsidP="0040298F">
      <w:pPr>
        <w:pStyle w:val="Textonotapie"/>
        <w:spacing w:line="360" w:lineRule="auto"/>
        <w:ind w:firstLine="708"/>
        <w:jc w:val="both"/>
        <w:rPr>
          <w:rFonts w:ascii="Arial" w:hAnsi="Arial" w:cs="Arial"/>
          <w:sz w:val="24"/>
          <w:szCs w:val="24"/>
        </w:rPr>
      </w:pPr>
    </w:p>
    <w:p w14:paraId="34F222C8" w14:textId="193BC2BB" w:rsidR="00DC0992" w:rsidRDefault="007D03EB" w:rsidP="00DC0992">
      <w:pPr>
        <w:spacing w:line="360" w:lineRule="auto"/>
        <w:ind w:firstLine="567"/>
        <w:jc w:val="both"/>
        <w:rPr>
          <w:rFonts w:ascii="Arial" w:hAnsi="Arial" w:cs="Arial"/>
          <w:bCs/>
          <w:sz w:val="24"/>
          <w:szCs w:val="24"/>
        </w:rPr>
      </w:pPr>
      <w:r>
        <w:rPr>
          <w:rFonts w:ascii="Arial" w:hAnsi="Arial" w:cs="Arial"/>
          <w:b/>
          <w:snapToGrid w:val="0"/>
          <w:sz w:val="24"/>
          <w:szCs w:val="27"/>
        </w:rPr>
        <w:t>TERCERO</w:t>
      </w:r>
      <w:r>
        <w:rPr>
          <w:rFonts w:ascii="Arial" w:hAnsi="Arial" w:cs="Arial"/>
          <w:b/>
          <w:sz w:val="24"/>
          <w:szCs w:val="24"/>
        </w:rPr>
        <w:t>.</w:t>
      </w:r>
      <w:r w:rsidRPr="00A9241D">
        <w:rPr>
          <w:rFonts w:ascii="Arial" w:hAnsi="Arial" w:cs="Arial"/>
          <w:b/>
          <w:sz w:val="24"/>
          <w:szCs w:val="24"/>
        </w:rPr>
        <w:t xml:space="preserve"> </w:t>
      </w:r>
      <w:r w:rsidR="00DC0992" w:rsidRPr="007B3E39">
        <w:rPr>
          <w:rFonts w:ascii="Arial" w:hAnsi="Arial" w:cs="Arial"/>
          <w:b/>
          <w:sz w:val="24"/>
          <w:szCs w:val="24"/>
        </w:rPr>
        <w:t>CAUSA</w:t>
      </w:r>
      <w:r w:rsidR="00DC0992">
        <w:rPr>
          <w:rFonts w:ascii="Arial" w:hAnsi="Arial" w:cs="Arial"/>
          <w:b/>
          <w:sz w:val="24"/>
          <w:szCs w:val="24"/>
        </w:rPr>
        <w:t>LES</w:t>
      </w:r>
      <w:r w:rsidR="00DC0992" w:rsidRPr="007B3E39">
        <w:rPr>
          <w:rFonts w:ascii="Arial" w:hAnsi="Arial" w:cs="Arial"/>
          <w:b/>
          <w:sz w:val="24"/>
          <w:szCs w:val="24"/>
        </w:rPr>
        <w:t xml:space="preserve"> DE IMPROCEDENCIA. </w:t>
      </w:r>
      <w:r w:rsidR="00DC0992" w:rsidRPr="007B3E39">
        <w:rPr>
          <w:rFonts w:ascii="Arial" w:hAnsi="Arial" w:cs="Arial"/>
          <w:bCs/>
          <w:sz w:val="24"/>
          <w:szCs w:val="24"/>
        </w:rPr>
        <w:t>La autoridad demandada en su contestación de demanda (fojas</w:t>
      </w:r>
      <w:r w:rsidR="00DC0992">
        <w:rPr>
          <w:rFonts w:ascii="Arial" w:hAnsi="Arial" w:cs="Arial"/>
          <w:bCs/>
          <w:sz w:val="24"/>
          <w:szCs w:val="24"/>
        </w:rPr>
        <w:t xml:space="preserve"> </w:t>
      </w:r>
      <w:r w:rsidR="00ED17D0">
        <w:rPr>
          <w:rFonts w:ascii="Arial" w:hAnsi="Arial" w:cs="Arial"/>
          <w:bCs/>
          <w:sz w:val="24"/>
          <w:szCs w:val="24"/>
        </w:rPr>
        <w:t>36 a 45</w:t>
      </w:r>
      <w:r w:rsidR="00DC0992" w:rsidRPr="007B3E39">
        <w:rPr>
          <w:rFonts w:ascii="Arial" w:hAnsi="Arial" w:cs="Arial"/>
          <w:bCs/>
          <w:sz w:val="24"/>
          <w:szCs w:val="24"/>
        </w:rPr>
        <w:t xml:space="preserve">), en </w:t>
      </w:r>
      <w:r w:rsidR="00DC0992">
        <w:rPr>
          <w:rFonts w:ascii="Arial" w:hAnsi="Arial" w:cs="Arial"/>
          <w:bCs/>
          <w:sz w:val="24"/>
          <w:szCs w:val="24"/>
        </w:rPr>
        <w:t>el apartado</w:t>
      </w:r>
      <w:r w:rsidR="00DC0992" w:rsidRPr="007B3E39">
        <w:rPr>
          <w:rFonts w:ascii="Arial" w:hAnsi="Arial" w:cs="Arial"/>
          <w:bCs/>
          <w:sz w:val="24"/>
          <w:szCs w:val="24"/>
        </w:rPr>
        <w:t xml:space="preserve"> denominado EXCEPCIONES Y DEFENSAS, a</w:t>
      </w:r>
      <w:r w:rsidR="00DC0992">
        <w:rPr>
          <w:rFonts w:ascii="Arial" w:hAnsi="Arial" w:cs="Arial"/>
          <w:bCs/>
          <w:sz w:val="24"/>
          <w:szCs w:val="24"/>
        </w:rPr>
        <w:t xml:space="preserve">lega las </w:t>
      </w:r>
      <w:r w:rsidR="00DC0992" w:rsidRPr="007B3E39">
        <w:rPr>
          <w:rFonts w:ascii="Arial" w:hAnsi="Arial" w:cs="Arial"/>
          <w:bCs/>
          <w:sz w:val="24"/>
          <w:szCs w:val="24"/>
        </w:rPr>
        <w:t>siguientes: a). La falta de acción y derecho; y, b). La de falsedad de los hechos en que funda</w:t>
      </w:r>
      <w:r w:rsidR="00DC0992">
        <w:rPr>
          <w:rFonts w:ascii="Arial" w:hAnsi="Arial" w:cs="Arial"/>
          <w:bCs/>
          <w:sz w:val="24"/>
          <w:szCs w:val="24"/>
        </w:rPr>
        <w:t xml:space="preserve"> su demanda la parte actora</w:t>
      </w:r>
      <w:r w:rsidR="004A64AF">
        <w:rPr>
          <w:rFonts w:ascii="Arial" w:hAnsi="Arial" w:cs="Arial"/>
          <w:bCs/>
          <w:sz w:val="24"/>
          <w:szCs w:val="24"/>
        </w:rPr>
        <w:t>;</w:t>
      </w:r>
      <w:r w:rsidR="004A43CC">
        <w:rPr>
          <w:rFonts w:ascii="Arial" w:hAnsi="Arial" w:cs="Arial"/>
          <w:bCs/>
          <w:sz w:val="24"/>
          <w:szCs w:val="24"/>
        </w:rPr>
        <w:t xml:space="preserve"> y,</w:t>
      </w:r>
      <w:r w:rsidR="00DC0992">
        <w:rPr>
          <w:rFonts w:ascii="Arial" w:hAnsi="Arial" w:cs="Arial"/>
          <w:bCs/>
          <w:sz w:val="24"/>
          <w:szCs w:val="24"/>
        </w:rPr>
        <w:t xml:space="preserve"> c). Prescripción de la acción.</w:t>
      </w:r>
    </w:p>
    <w:p w14:paraId="482D2899" w14:textId="5204FB07" w:rsidR="00DC0992" w:rsidRDefault="00DC0992" w:rsidP="00DC0992">
      <w:pPr>
        <w:spacing w:line="360" w:lineRule="auto"/>
        <w:ind w:firstLine="567"/>
        <w:jc w:val="both"/>
        <w:rPr>
          <w:rFonts w:ascii="Arial" w:hAnsi="Arial" w:cs="Arial"/>
          <w:bCs/>
          <w:sz w:val="24"/>
          <w:szCs w:val="24"/>
        </w:rPr>
      </w:pPr>
      <w:r>
        <w:rPr>
          <w:rFonts w:ascii="Arial" w:hAnsi="Arial" w:cs="Arial"/>
          <w:bCs/>
          <w:sz w:val="24"/>
          <w:szCs w:val="24"/>
        </w:rPr>
        <w:t>A es</w:t>
      </w:r>
      <w:r w:rsidR="00CE704D">
        <w:rPr>
          <w:rFonts w:ascii="Arial" w:hAnsi="Arial" w:cs="Arial"/>
          <w:bCs/>
          <w:sz w:val="24"/>
          <w:szCs w:val="24"/>
        </w:rPr>
        <w:t>t</w:t>
      </w:r>
      <w:r>
        <w:rPr>
          <w:rFonts w:ascii="Arial" w:hAnsi="Arial" w:cs="Arial"/>
          <w:bCs/>
          <w:sz w:val="24"/>
          <w:szCs w:val="24"/>
        </w:rPr>
        <w:t>e respecto, de la lectura hecha a las excepciones y defensas marcadas con los incisos a) y b) se advierte que las mismas</w:t>
      </w:r>
      <w:r w:rsidR="00114836">
        <w:rPr>
          <w:rFonts w:ascii="Arial" w:hAnsi="Arial" w:cs="Arial"/>
          <w:bCs/>
          <w:sz w:val="24"/>
          <w:szCs w:val="24"/>
        </w:rPr>
        <w:t xml:space="preserve"> están vinculadas</w:t>
      </w:r>
      <w:r>
        <w:rPr>
          <w:rFonts w:ascii="Arial" w:hAnsi="Arial" w:cs="Arial"/>
          <w:bCs/>
          <w:sz w:val="24"/>
          <w:szCs w:val="24"/>
        </w:rPr>
        <w:t xml:space="preserve"> al estudio de</w:t>
      </w:r>
      <w:r w:rsidR="00114836">
        <w:rPr>
          <w:rFonts w:ascii="Arial" w:hAnsi="Arial" w:cs="Arial"/>
          <w:bCs/>
          <w:sz w:val="24"/>
          <w:szCs w:val="24"/>
        </w:rPr>
        <w:t>l</w:t>
      </w:r>
      <w:r>
        <w:rPr>
          <w:rFonts w:ascii="Arial" w:hAnsi="Arial" w:cs="Arial"/>
          <w:bCs/>
          <w:sz w:val="24"/>
          <w:szCs w:val="24"/>
        </w:rPr>
        <w:t xml:space="preserve"> fondo del acto impugnado, por lo que esta Sala Unitaria analizará dichas excepciones y defensas al momento de realizar el estudio de fondo, dado que de la </w:t>
      </w:r>
      <w:r>
        <w:rPr>
          <w:rFonts w:ascii="Arial" w:hAnsi="Arial" w:cs="Arial"/>
          <w:bCs/>
          <w:sz w:val="24"/>
          <w:szCs w:val="24"/>
        </w:rPr>
        <w:lastRenderedPageBreak/>
        <w:t>legalidad o ilegalidad del acto impugnado que en su caso se estudie, se analizará si son fundadas o infundadas las excepciones y defensas hechas</w:t>
      </w:r>
      <w:r w:rsidR="002E7024">
        <w:rPr>
          <w:rFonts w:ascii="Arial" w:hAnsi="Arial" w:cs="Arial"/>
          <w:bCs/>
          <w:sz w:val="24"/>
          <w:szCs w:val="24"/>
        </w:rPr>
        <w:t xml:space="preserve"> valer</w:t>
      </w:r>
      <w:r>
        <w:rPr>
          <w:rFonts w:ascii="Arial" w:hAnsi="Arial" w:cs="Arial"/>
          <w:bCs/>
          <w:sz w:val="24"/>
          <w:szCs w:val="24"/>
        </w:rPr>
        <w:t xml:space="preserve"> por la autoridad demandada.</w:t>
      </w:r>
    </w:p>
    <w:p w14:paraId="7184F7D7" w14:textId="6711CF4E" w:rsidR="009375E8" w:rsidRDefault="009375E8"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Ahora, por lo que hace al acto impugnado consistente </w:t>
      </w:r>
      <w:r w:rsidR="005B70C8">
        <w:rPr>
          <w:rFonts w:ascii="Arial" w:hAnsi="Arial" w:cs="Arial"/>
          <w:bCs/>
          <w:spacing w:val="-3"/>
          <w:sz w:val="24"/>
          <w:szCs w:val="27"/>
          <w:lang w:val="es-ES_tradnl"/>
        </w:rPr>
        <w:t xml:space="preserve">en el oficio número </w:t>
      </w:r>
      <w:r w:rsidR="004A5433">
        <w:rPr>
          <w:rFonts w:ascii="Arial" w:eastAsia="Times New Roman" w:hAnsi="Arial" w:cs="Arial"/>
          <w:sz w:val="24"/>
          <w:szCs w:val="27"/>
          <w:lang w:val="es-ES_tradnl" w:eastAsia="es-ES"/>
        </w:rPr>
        <w:t>*****</w:t>
      </w:r>
      <w:r w:rsidR="005B70C8">
        <w:rPr>
          <w:rFonts w:ascii="Arial" w:hAnsi="Arial" w:cs="Arial"/>
          <w:bCs/>
          <w:spacing w:val="-3"/>
          <w:sz w:val="24"/>
          <w:szCs w:val="27"/>
          <w:lang w:val="es-ES_tradnl"/>
        </w:rPr>
        <w:t>, de fecha</w:t>
      </w:r>
      <w:r w:rsidR="0084276E">
        <w:rPr>
          <w:rFonts w:ascii="Arial" w:hAnsi="Arial" w:cs="Arial"/>
          <w:bCs/>
          <w:spacing w:val="-3"/>
          <w:sz w:val="24"/>
          <w:szCs w:val="27"/>
          <w:lang w:val="es-ES_tradnl"/>
        </w:rPr>
        <w:t xml:space="preserve"> </w:t>
      </w:r>
      <w:r w:rsidR="004A5433">
        <w:rPr>
          <w:rFonts w:ascii="Arial" w:eastAsia="Times New Roman" w:hAnsi="Arial" w:cs="Arial"/>
          <w:sz w:val="24"/>
          <w:szCs w:val="27"/>
          <w:lang w:val="es-ES_tradnl" w:eastAsia="es-ES"/>
        </w:rPr>
        <w:t>***** de ***** de *****</w:t>
      </w:r>
      <w:r w:rsidR="005B70C8" w:rsidRPr="00DB4C41">
        <w:rPr>
          <w:rFonts w:ascii="Arial" w:hAnsi="Arial" w:cs="Arial"/>
          <w:bCs/>
          <w:spacing w:val="-3"/>
          <w:sz w:val="24"/>
          <w:szCs w:val="27"/>
          <w:lang w:val="es-ES_tradnl"/>
        </w:rPr>
        <w:t>, emitido por el Director General de la Oficina de Pensiones del Estado de Oaxaca</w:t>
      </w:r>
      <w:r w:rsidR="005B70C8">
        <w:rPr>
          <w:rFonts w:ascii="Arial" w:hAnsi="Arial" w:cs="Arial"/>
          <w:bCs/>
          <w:spacing w:val="-3"/>
          <w:sz w:val="24"/>
          <w:szCs w:val="27"/>
          <w:lang w:val="es-ES_tradnl"/>
        </w:rPr>
        <w:t>, la autoridad demandada manifiesta que se actualiza la excepción de prescripción, toda vez que dicho acto impugnado fue notificado al actor el día</w:t>
      </w:r>
      <w:r w:rsidR="004C2025">
        <w:rPr>
          <w:rFonts w:ascii="Arial" w:hAnsi="Arial" w:cs="Arial"/>
          <w:bCs/>
          <w:spacing w:val="-3"/>
          <w:sz w:val="24"/>
          <w:szCs w:val="27"/>
          <w:lang w:val="es-ES_tradnl"/>
        </w:rPr>
        <w:t xml:space="preserve"> </w:t>
      </w:r>
      <w:r w:rsidR="00015B5E">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w:t>
      </w:r>
      <w:r w:rsidR="004C2025">
        <w:rPr>
          <w:rFonts w:ascii="Arial" w:hAnsi="Arial" w:cs="Arial"/>
          <w:bCs/>
          <w:spacing w:val="-3"/>
          <w:sz w:val="24"/>
          <w:szCs w:val="27"/>
          <w:lang w:val="es-ES_tradnl"/>
        </w:rPr>
        <w:t xml:space="preserve"> </w:t>
      </w:r>
      <w:r w:rsidR="00015B5E">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 dos mil</w:t>
      </w:r>
      <w:r w:rsidR="004C2025">
        <w:rPr>
          <w:rFonts w:ascii="Arial" w:hAnsi="Arial" w:cs="Arial"/>
          <w:bCs/>
          <w:spacing w:val="-3"/>
          <w:sz w:val="24"/>
          <w:szCs w:val="27"/>
          <w:lang w:val="es-ES_tradnl"/>
        </w:rPr>
        <w:t xml:space="preserve"> </w:t>
      </w:r>
      <w:r w:rsidR="00015B5E">
        <w:rPr>
          <w:rFonts w:ascii="Arial" w:hAnsi="Arial" w:cs="Arial"/>
          <w:bCs/>
          <w:spacing w:val="-3"/>
          <w:sz w:val="24"/>
          <w:szCs w:val="27"/>
          <w:lang w:val="es-ES_tradnl"/>
        </w:rPr>
        <w:t>*****</w:t>
      </w:r>
      <w:r w:rsidR="005B70C8">
        <w:rPr>
          <w:rFonts w:ascii="Arial" w:hAnsi="Arial" w:cs="Arial"/>
          <w:bCs/>
          <w:spacing w:val="-3"/>
          <w:sz w:val="24"/>
          <w:szCs w:val="27"/>
          <w:lang w:val="es-ES_tradnl"/>
        </w:rPr>
        <w:t>, por lo que a consideración de la demandada, el plazo que dispone el artículo 166 de la Ley de Procedimiento y Justicia Administrativa para el Estado de Oaxaca</w:t>
      </w:r>
      <w:r w:rsidR="00174E88">
        <w:rPr>
          <w:rFonts w:ascii="Arial" w:hAnsi="Arial" w:cs="Arial"/>
          <w:bCs/>
          <w:spacing w:val="-3"/>
          <w:sz w:val="24"/>
          <w:szCs w:val="27"/>
          <w:lang w:val="es-ES_tradnl"/>
        </w:rPr>
        <w:t>,</w:t>
      </w:r>
      <w:r w:rsidR="000E74DB">
        <w:rPr>
          <w:rFonts w:ascii="Arial" w:hAnsi="Arial" w:cs="Arial"/>
          <w:bCs/>
          <w:spacing w:val="-3"/>
          <w:sz w:val="24"/>
          <w:szCs w:val="27"/>
          <w:lang w:val="es-ES_tradnl"/>
        </w:rPr>
        <w:t xml:space="preserve"> ha transcurrido en exceso</w:t>
      </w:r>
      <w:r w:rsidR="00E93CF0">
        <w:rPr>
          <w:rFonts w:ascii="Arial" w:hAnsi="Arial" w:cs="Arial"/>
          <w:bCs/>
          <w:spacing w:val="-3"/>
          <w:sz w:val="24"/>
          <w:szCs w:val="27"/>
          <w:lang w:val="es-ES_tradnl"/>
        </w:rPr>
        <w:t>.</w:t>
      </w:r>
    </w:p>
    <w:p w14:paraId="48AF9BD5" w14:textId="56D10A8D" w:rsidR="00E93CF0" w:rsidRDefault="00E93CF0"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 ese respecto, bajo una interpretación literal del texto del artículo 166 de la Ley de Procedimiento y Justicia Administrativa para el Estado de Oaxaca, establece textualmente el plazo de treinta días hábiles posteriores al día en que surta efectos la notificación del acto impugnado para interponer el juicio de nulidad ante el Tribunal de Justicia Administrativa del Estado de Oaxaca, por lo </w:t>
      </w:r>
      <w:r w:rsidR="001121F9">
        <w:rPr>
          <w:rFonts w:ascii="Arial" w:hAnsi="Arial" w:cs="Arial"/>
          <w:bCs/>
          <w:spacing w:val="-3"/>
          <w:sz w:val="24"/>
          <w:szCs w:val="27"/>
          <w:lang w:val="es-ES_tradnl"/>
        </w:rPr>
        <w:t>que,</w:t>
      </w:r>
      <w:r>
        <w:rPr>
          <w:rFonts w:ascii="Arial" w:hAnsi="Arial" w:cs="Arial"/>
          <w:bCs/>
          <w:spacing w:val="-3"/>
          <w:sz w:val="24"/>
          <w:szCs w:val="27"/>
          <w:lang w:val="es-ES_tradnl"/>
        </w:rPr>
        <w:t xml:space="preserve"> en un primer momento, la aseveración de la autoridad demandada resultaría ser cierta y procedente.</w:t>
      </w:r>
    </w:p>
    <w:p w14:paraId="078A1D86" w14:textId="15456352" w:rsidR="00E93CF0" w:rsidRDefault="00E93CF0" w:rsidP="00DC0992">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Sin embargo, en un segundo momento, atendiendo a la naturaleza del acto impugnado que es el dictamen de pensión por jubilación y la pretensión perseguida por el actor, consistente en que se le cuantifique correctamente su pensión de jubilación, añadiéndole los conceptos estipulados en el artículo 54 fracción I de la </w:t>
      </w:r>
      <w:r w:rsidRPr="00857786">
        <w:rPr>
          <w:rFonts w:ascii="Arial" w:hAnsi="Arial" w:cs="Arial"/>
          <w:sz w:val="24"/>
          <w:szCs w:val="24"/>
        </w:rPr>
        <w:t>Ley de Pensiones para los trabajadores del Gobierno del Estado de Oaxaca</w:t>
      </w:r>
      <w:r w:rsidR="008B27E2">
        <w:rPr>
          <w:rFonts w:ascii="Arial" w:hAnsi="Arial" w:cs="Arial"/>
          <w:sz w:val="24"/>
          <w:szCs w:val="24"/>
        </w:rPr>
        <w:t xml:space="preserve">, conforme al criterio sustentado por la Suprema Corte de Justicia de la Nación, dicha cuantificación resulta </w:t>
      </w:r>
      <w:r w:rsidR="008B27E2" w:rsidRPr="008B27E2">
        <w:rPr>
          <w:rFonts w:ascii="Arial" w:hAnsi="Arial" w:cs="Arial"/>
          <w:b/>
          <w:bCs/>
          <w:sz w:val="24"/>
          <w:szCs w:val="24"/>
        </w:rPr>
        <w:t>imprescriptible</w:t>
      </w:r>
      <w:r w:rsidR="008B27E2">
        <w:rPr>
          <w:rFonts w:ascii="Arial" w:hAnsi="Arial" w:cs="Arial"/>
          <w:sz w:val="24"/>
          <w:szCs w:val="24"/>
        </w:rPr>
        <w:t>.</w:t>
      </w:r>
    </w:p>
    <w:p w14:paraId="220008A6" w14:textId="77F9E86B" w:rsidR="008B27E2" w:rsidRDefault="008B27E2" w:rsidP="00DC0992">
      <w:pPr>
        <w:spacing w:line="360" w:lineRule="auto"/>
        <w:ind w:firstLine="567"/>
        <w:jc w:val="both"/>
        <w:rPr>
          <w:rFonts w:ascii="Arial" w:hAnsi="Arial" w:cs="Arial"/>
          <w:sz w:val="24"/>
          <w:szCs w:val="24"/>
        </w:rPr>
      </w:pPr>
      <w:r>
        <w:rPr>
          <w:rFonts w:ascii="Arial" w:hAnsi="Arial" w:cs="Arial"/>
          <w:sz w:val="24"/>
          <w:szCs w:val="24"/>
        </w:rPr>
        <w:t>Sirve de sustento la jurisprudencia</w:t>
      </w:r>
      <w:r w:rsidR="007C385A">
        <w:rPr>
          <w:rStyle w:val="Refdenotaalpie"/>
          <w:rFonts w:ascii="Arial" w:hAnsi="Arial" w:cs="Arial"/>
          <w:sz w:val="24"/>
          <w:szCs w:val="24"/>
        </w:rPr>
        <w:footnoteReference w:id="1"/>
      </w:r>
      <w:r>
        <w:rPr>
          <w:rFonts w:ascii="Arial" w:hAnsi="Arial" w:cs="Arial"/>
          <w:sz w:val="24"/>
          <w:szCs w:val="24"/>
        </w:rPr>
        <w:t xml:space="preserve"> de rubro y texto siguiente:</w:t>
      </w:r>
    </w:p>
    <w:p w14:paraId="22A76A8A" w14:textId="05BB7B94" w:rsidR="008B27E2" w:rsidRPr="007C385A" w:rsidRDefault="007C385A" w:rsidP="007C385A">
      <w:pPr>
        <w:ind w:left="567"/>
        <w:jc w:val="both"/>
        <w:rPr>
          <w:rFonts w:ascii="Arial" w:hAnsi="Arial" w:cs="Arial"/>
          <w:i/>
          <w:iCs/>
          <w:sz w:val="24"/>
          <w:szCs w:val="24"/>
        </w:rPr>
      </w:pPr>
      <w:r w:rsidRPr="007C385A">
        <w:rPr>
          <w:rFonts w:ascii="Arial" w:hAnsi="Arial" w:cs="Arial"/>
          <w:i/>
          <w:iCs/>
          <w:sz w:val="24"/>
          <w:szCs w:val="24"/>
        </w:rPr>
        <w:t>“</w:t>
      </w:r>
      <w:r w:rsidRPr="007C385A">
        <w:rPr>
          <w:rFonts w:ascii="Arial" w:hAnsi="Arial" w:cs="Arial"/>
          <w:b/>
          <w:bCs/>
          <w:i/>
          <w:iCs/>
          <w:sz w:val="24"/>
          <w:szCs w:val="24"/>
        </w:rPr>
        <w:t>JUBILACION, MONTO DE LA. EL DERECHO A QUE SE CUANTIFIQUE CORRECTAMENTE, ES IMPRESCRIPTIBLE.</w:t>
      </w:r>
      <w:r w:rsidRPr="007C385A">
        <w:rPr>
          <w:rFonts w:ascii="Arial" w:hAnsi="Arial" w:cs="Arial"/>
          <w:i/>
          <w:iCs/>
          <w:sz w:val="24"/>
          <w:szCs w:val="24"/>
        </w:rPr>
        <w:t xml:space="preserve"> La jubilación constituye la obligación derivada de lo estipulado en un contrato colectivo de trabajo, por la que los patrones deben otorgar una pensión a los trabajadores que les han servido durante los lapsos y con las condiciones que se estipulan en dicho contrato. Esta prestación debe entenderse como una compensación por el desgaste orgánico sufrido a través de los años por los trabajadores; así como la disminución de facultades que a los mismos les ha producido el transcurso del tiempo. Satisfechas las condiciones establecidas en el contrato, el trabajador adquiere el derecho de que se le pague las pensiones relativas precisamente conforme a lo pactado, pasando a formar parte de su patrimonio el derecho a percibirlas. A su vez, los patrones tienen la obligación de cubrírselas o, en otras palabras, como ya lo ha sostenido en numerosas ejecutorias esta Cuarta Sala, la pensión se equipara a la renta vitalicia; de ahí </w:t>
      </w:r>
      <w:r w:rsidRPr="007C385A">
        <w:rPr>
          <w:rFonts w:ascii="Arial" w:hAnsi="Arial" w:cs="Arial"/>
          <w:i/>
          <w:iCs/>
          <w:sz w:val="24"/>
          <w:szCs w:val="24"/>
        </w:rPr>
        <w:lastRenderedPageBreak/>
        <w:t>que, cuando los patrones cuantifiquen la pensión en cantidad inferior a la que se estableció contractualmente, y los trabajadores la acepten en esa forma, no quiere decir eso que los trabajadores carezcan de acción para exigir en cualquier tiempo la modificación de la cuantía, ya que tales pensiones son de tracto sucesivo debido a su vencimiento periódico. En tal virtud, no serán procedentes las acciones para exigir diferencias que no se hicieron valer dentro del término de un año, por operar la prescripción, pero sí lo son aquéllas comprendidas dentro de este período; y, además las subsiguientes que aún no se hubiesen vencido, por lo que pueden ser motivo de acción por parte del trabajador.”</w:t>
      </w:r>
    </w:p>
    <w:p w14:paraId="523BA85D" w14:textId="2317FD99" w:rsidR="008B27E2" w:rsidRDefault="008B27E2" w:rsidP="00DC0992">
      <w:pPr>
        <w:spacing w:line="360" w:lineRule="auto"/>
        <w:ind w:firstLine="567"/>
        <w:jc w:val="both"/>
        <w:rPr>
          <w:rFonts w:ascii="Arial" w:hAnsi="Arial" w:cs="Arial"/>
          <w:sz w:val="24"/>
          <w:szCs w:val="24"/>
        </w:rPr>
      </w:pPr>
      <w:r>
        <w:rPr>
          <w:rFonts w:ascii="Arial" w:hAnsi="Arial" w:cs="Arial"/>
          <w:sz w:val="24"/>
          <w:szCs w:val="24"/>
        </w:rPr>
        <w:t>De igual forma, sirve de sustento</w:t>
      </w:r>
      <w:r w:rsidR="007C385A">
        <w:rPr>
          <w:rFonts w:ascii="Arial" w:hAnsi="Arial" w:cs="Arial"/>
          <w:sz w:val="24"/>
          <w:szCs w:val="24"/>
        </w:rPr>
        <w:t xml:space="preserve"> por analogía</w:t>
      </w:r>
      <w:r>
        <w:rPr>
          <w:rFonts w:ascii="Arial" w:hAnsi="Arial" w:cs="Arial"/>
          <w:sz w:val="24"/>
          <w:szCs w:val="24"/>
        </w:rPr>
        <w:t xml:space="preserve"> la jurisprudencia</w:t>
      </w:r>
      <w:r w:rsidR="00A22153">
        <w:rPr>
          <w:rStyle w:val="Refdenotaalpie"/>
          <w:rFonts w:ascii="Arial" w:hAnsi="Arial" w:cs="Arial"/>
          <w:sz w:val="24"/>
          <w:szCs w:val="24"/>
        </w:rPr>
        <w:footnoteReference w:id="2"/>
      </w:r>
      <w:r>
        <w:rPr>
          <w:rFonts w:ascii="Arial" w:hAnsi="Arial" w:cs="Arial"/>
          <w:sz w:val="24"/>
          <w:szCs w:val="24"/>
        </w:rPr>
        <w:t xml:space="preserve"> de rubro y texto siguiente:</w:t>
      </w:r>
    </w:p>
    <w:p w14:paraId="7D512136" w14:textId="55A759BA" w:rsidR="008B27E2" w:rsidRPr="007C385A" w:rsidRDefault="007C385A" w:rsidP="007C385A">
      <w:pPr>
        <w:ind w:left="567"/>
        <w:jc w:val="both"/>
        <w:rPr>
          <w:rFonts w:ascii="Arial" w:hAnsi="Arial" w:cs="Arial"/>
          <w:i/>
          <w:iCs/>
          <w:sz w:val="24"/>
          <w:szCs w:val="24"/>
        </w:rPr>
      </w:pPr>
      <w:r w:rsidRPr="007C385A">
        <w:rPr>
          <w:rFonts w:ascii="Arial" w:hAnsi="Arial" w:cs="Arial"/>
          <w:i/>
          <w:iCs/>
          <w:sz w:val="24"/>
          <w:szCs w:val="24"/>
        </w:rPr>
        <w:t>“</w:t>
      </w:r>
      <w:r w:rsidRPr="007C385A">
        <w:rPr>
          <w:rFonts w:ascii="Arial" w:hAnsi="Arial" w:cs="Arial"/>
          <w:b/>
          <w:bCs/>
          <w:i/>
          <w:iCs/>
          <w:sz w:val="24"/>
          <w:szCs w:val="24"/>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r w:rsidRPr="007C385A">
        <w:rPr>
          <w:rFonts w:ascii="Arial" w:hAnsi="Arial" w:cs="Arial"/>
          <w:i/>
          <w:iCs/>
          <w:sz w:val="24"/>
          <w:szCs w:val="24"/>
        </w:rPr>
        <w:t xml:space="preserve"> Conforme al artículo 186 de la Ley del Instituto de Seguridad y Servicios Sociales de los Trabajadores del Estado vigente hasta el 31 de marzo de 2007, el derecho a la jubilación y a la pensión es imprescriptible, por lo que en atención al principio elemental de la ciencia jurídica, consistente en que las acciones duran el mismo tiempo que los derechos de donde dimanan, se considera que es también imprescriptible la acción por medio de la cual se tutela el estricto cumplimiento de ese derecho, motivo por el que podrá promoverse en cualquier tiempo la demanda en la cual se impugne la resolución definitiva en la que se afirme que se fijó incorrectamente la pensión jubilatoria o la cuota diaria para calcularla, y no en el plazo de 45 días previsto en el artículo 207 del Código Fiscal de la Federación vigente hasta el 31 de diciembre de 2005, porque la norma contenida en el indicado numeral 186 es especial y por ello debe prevalecer sobre la regla general instituida en el precepto citado.”</w:t>
      </w:r>
    </w:p>
    <w:p w14:paraId="793BF178" w14:textId="1EAE740D" w:rsidR="008B27E2" w:rsidRDefault="008B27E2" w:rsidP="00DC0992">
      <w:pPr>
        <w:spacing w:line="360" w:lineRule="auto"/>
        <w:ind w:firstLine="567"/>
        <w:jc w:val="both"/>
        <w:rPr>
          <w:rFonts w:ascii="Arial" w:hAnsi="Arial" w:cs="Arial"/>
          <w:sz w:val="24"/>
          <w:szCs w:val="24"/>
        </w:rPr>
      </w:pPr>
      <w:r>
        <w:rPr>
          <w:rFonts w:ascii="Arial" w:hAnsi="Arial" w:cs="Arial"/>
          <w:sz w:val="24"/>
          <w:szCs w:val="24"/>
        </w:rPr>
        <w:t>Por ello, en atención a los criterios antes citados, si bien es cierto que el acto impugnado fue presentando fuera del plazo de treinta días que establece el numeral 166 de la Ley de Procedimiento y Justicia Administrativa para el Estado de Oaxaca,</w:t>
      </w:r>
      <w:r w:rsidR="00174E88">
        <w:rPr>
          <w:rFonts w:ascii="Arial" w:hAnsi="Arial" w:cs="Arial"/>
          <w:sz w:val="24"/>
          <w:szCs w:val="24"/>
        </w:rPr>
        <w:t xml:space="preserve"> </w:t>
      </w:r>
      <w:r>
        <w:rPr>
          <w:rFonts w:ascii="Arial" w:hAnsi="Arial" w:cs="Arial"/>
          <w:sz w:val="24"/>
          <w:szCs w:val="24"/>
        </w:rPr>
        <w:t>el acto por su naturaleza y en atención a lo pretendido por el actor resulta I</w:t>
      </w:r>
      <w:r w:rsidRPr="00D97378">
        <w:rPr>
          <w:rFonts w:ascii="Arial" w:hAnsi="Arial" w:cs="Arial"/>
          <w:b/>
          <w:bCs/>
          <w:sz w:val="24"/>
          <w:szCs w:val="24"/>
        </w:rPr>
        <w:t>MPRESCRIPTIBLE</w:t>
      </w:r>
      <w:r w:rsidR="00174E88">
        <w:rPr>
          <w:rFonts w:ascii="Arial" w:hAnsi="Arial" w:cs="Arial"/>
          <w:sz w:val="24"/>
          <w:szCs w:val="24"/>
        </w:rPr>
        <w:t>;</w:t>
      </w:r>
      <w:r>
        <w:rPr>
          <w:rFonts w:ascii="Arial" w:hAnsi="Arial" w:cs="Arial"/>
          <w:sz w:val="24"/>
          <w:szCs w:val="24"/>
        </w:rPr>
        <w:t xml:space="preserve"> de modo que el actor puede interponer el juicio de nulidad en cualquier momento, sin estar sujeto a un plazo de prescripción.</w:t>
      </w:r>
    </w:p>
    <w:p w14:paraId="1CD83C52" w14:textId="1729C576" w:rsidR="007D03EB" w:rsidRPr="007D03EB" w:rsidRDefault="008B27E2" w:rsidP="007D03EB">
      <w:pPr>
        <w:spacing w:line="360" w:lineRule="auto"/>
        <w:ind w:firstLine="567"/>
        <w:jc w:val="both"/>
        <w:rPr>
          <w:rFonts w:ascii="Arial" w:hAnsi="Arial" w:cs="Arial"/>
          <w:sz w:val="24"/>
          <w:szCs w:val="24"/>
        </w:rPr>
      </w:pPr>
      <w:r>
        <w:rPr>
          <w:rFonts w:ascii="Arial" w:hAnsi="Arial" w:cs="Arial"/>
          <w:sz w:val="24"/>
          <w:szCs w:val="24"/>
        </w:rPr>
        <w:t>En</w:t>
      </w:r>
      <w:r w:rsidR="00174E88">
        <w:rPr>
          <w:rFonts w:ascii="Arial" w:hAnsi="Arial" w:cs="Arial"/>
          <w:sz w:val="24"/>
          <w:szCs w:val="24"/>
        </w:rPr>
        <w:t xml:space="preserve"> ese sentido</w:t>
      </w:r>
      <w:r>
        <w:rPr>
          <w:rFonts w:ascii="Arial" w:hAnsi="Arial" w:cs="Arial"/>
          <w:sz w:val="24"/>
          <w:szCs w:val="24"/>
        </w:rPr>
        <w:t xml:space="preserve">, la excepción de </w:t>
      </w:r>
      <w:r w:rsidR="00AB4171">
        <w:rPr>
          <w:rFonts w:ascii="Arial" w:hAnsi="Arial" w:cs="Arial"/>
          <w:sz w:val="24"/>
          <w:szCs w:val="24"/>
        </w:rPr>
        <w:t xml:space="preserve">prescripción de la acción </w:t>
      </w:r>
      <w:r>
        <w:rPr>
          <w:rFonts w:ascii="Arial" w:hAnsi="Arial" w:cs="Arial"/>
          <w:sz w:val="24"/>
          <w:szCs w:val="24"/>
        </w:rPr>
        <w:t xml:space="preserve">hecha valer por la autoridad demandada resulta </w:t>
      </w:r>
      <w:r w:rsidRPr="00D97378">
        <w:rPr>
          <w:rFonts w:ascii="Arial" w:hAnsi="Arial" w:cs="Arial"/>
          <w:b/>
          <w:bCs/>
          <w:sz w:val="24"/>
          <w:szCs w:val="24"/>
        </w:rPr>
        <w:t>INFUNDADA;</w:t>
      </w:r>
      <w:r>
        <w:rPr>
          <w:rFonts w:ascii="Arial" w:hAnsi="Arial" w:cs="Arial"/>
          <w:sz w:val="24"/>
          <w:szCs w:val="24"/>
        </w:rPr>
        <w:t xml:space="preserve"> en consecuencia, esta Sala Unitaria advierte que respecto del acto impugnado </w:t>
      </w:r>
      <w:r w:rsidR="004A5433">
        <w:rPr>
          <w:rFonts w:ascii="Arial" w:eastAsia="Times New Roman" w:hAnsi="Arial" w:cs="Arial"/>
          <w:sz w:val="24"/>
          <w:szCs w:val="27"/>
          <w:lang w:val="es-ES_tradnl" w:eastAsia="es-ES"/>
        </w:rPr>
        <w:t>*****</w:t>
      </w:r>
      <w:r>
        <w:rPr>
          <w:rFonts w:ascii="Arial" w:hAnsi="Arial" w:cs="Arial"/>
          <w:bCs/>
          <w:spacing w:val="-3"/>
          <w:sz w:val="24"/>
          <w:szCs w:val="27"/>
          <w:lang w:val="es-ES_tradnl"/>
        </w:rPr>
        <w:t>, de fecha</w:t>
      </w:r>
      <w:r w:rsidR="004A5433">
        <w:rPr>
          <w:rFonts w:ascii="Arial" w:hAnsi="Arial" w:cs="Arial"/>
          <w:bCs/>
          <w:spacing w:val="-3"/>
          <w:sz w:val="24"/>
          <w:szCs w:val="27"/>
          <w:lang w:val="es-ES_tradnl"/>
        </w:rPr>
        <w:t xml:space="preserve"> </w:t>
      </w:r>
      <w:r w:rsidR="004A5433">
        <w:rPr>
          <w:rFonts w:ascii="Arial" w:eastAsia="Times New Roman" w:hAnsi="Arial" w:cs="Arial"/>
          <w:sz w:val="24"/>
          <w:szCs w:val="27"/>
          <w:lang w:val="es-ES_tradnl" w:eastAsia="es-ES"/>
        </w:rPr>
        <w:t>***** de ***** de *****</w:t>
      </w:r>
      <w:r w:rsidRPr="00DB4C41">
        <w:rPr>
          <w:rFonts w:ascii="Arial" w:hAnsi="Arial" w:cs="Arial"/>
          <w:bCs/>
          <w:spacing w:val="-3"/>
          <w:sz w:val="24"/>
          <w:szCs w:val="27"/>
          <w:lang w:val="es-ES_tradnl"/>
        </w:rPr>
        <w:t>, emitido por el Director General de la Oficina de Pensiones del Estado de Oaxaca</w:t>
      </w:r>
      <w:r w:rsidR="007E3E64">
        <w:rPr>
          <w:rFonts w:ascii="Arial" w:hAnsi="Arial" w:cs="Arial"/>
          <w:bCs/>
          <w:spacing w:val="-3"/>
          <w:sz w:val="24"/>
          <w:szCs w:val="27"/>
          <w:lang w:val="es-ES_tradnl"/>
        </w:rPr>
        <w:t>,</w:t>
      </w:r>
      <w:r w:rsidR="007D03EB" w:rsidRPr="008D693D">
        <w:rPr>
          <w:rFonts w:ascii="Arial" w:hAnsi="Arial" w:cs="Arial"/>
          <w:bCs/>
          <w:sz w:val="24"/>
          <w:szCs w:val="24"/>
        </w:rPr>
        <w:t xml:space="preserve"> no </w:t>
      </w:r>
      <w:r w:rsidR="007D03EB" w:rsidRPr="008D693D">
        <w:rPr>
          <w:rFonts w:ascii="Arial" w:hAnsi="Arial" w:cs="Arial"/>
          <w:bCs/>
          <w:sz w:val="24"/>
          <w:szCs w:val="24"/>
        </w:rPr>
        <w:lastRenderedPageBreak/>
        <w:t>se configura alguna causal de improcedencia o sobreseimiento</w:t>
      </w:r>
      <w:r>
        <w:rPr>
          <w:rFonts w:ascii="Arial" w:hAnsi="Arial" w:cs="Arial"/>
          <w:bCs/>
          <w:sz w:val="24"/>
          <w:szCs w:val="24"/>
        </w:rPr>
        <w:t>,</w:t>
      </w:r>
      <w:r w:rsidR="007D03EB">
        <w:rPr>
          <w:rFonts w:ascii="Arial" w:hAnsi="Arial" w:cs="Arial"/>
          <w:bCs/>
          <w:sz w:val="24"/>
          <w:szCs w:val="24"/>
        </w:rPr>
        <w:t xml:space="preserve"> </w:t>
      </w:r>
      <w:r w:rsidR="007D03EB" w:rsidRPr="008D693D">
        <w:rPr>
          <w:rFonts w:ascii="Arial" w:hAnsi="Arial" w:cs="Arial"/>
          <w:bCs/>
          <w:sz w:val="24"/>
          <w:szCs w:val="24"/>
        </w:rPr>
        <w:t>por</w:t>
      </w:r>
      <w:r w:rsidR="007D03EB">
        <w:rPr>
          <w:rFonts w:ascii="Arial" w:hAnsi="Arial" w:cs="Arial"/>
          <w:bCs/>
          <w:sz w:val="24"/>
          <w:szCs w:val="24"/>
        </w:rPr>
        <w:t xml:space="preserve"> </w:t>
      </w:r>
      <w:r w:rsidR="007D03EB" w:rsidRPr="008D693D">
        <w:rPr>
          <w:rFonts w:ascii="Arial" w:hAnsi="Arial" w:cs="Arial"/>
          <w:bCs/>
          <w:sz w:val="24"/>
          <w:szCs w:val="24"/>
        </w:rPr>
        <w:t xml:space="preserve">tanto, </w:t>
      </w:r>
      <w:r w:rsidR="007D03EB" w:rsidRPr="008D693D">
        <w:rPr>
          <w:rFonts w:ascii="Arial" w:hAnsi="Arial" w:cs="Arial"/>
          <w:b/>
          <w:bCs/>
          <w:sz w:val="24"/>
          <w:szCs w:val="24"/>
        </w:rPr>
        <w:t>NO SE SOBRESEE EL PRESENTE JUICIO</w:t>
      </w:r>
      <w:r w:rsidR="007D03EB" w:rsidRPr="00F46B9B">
        <w:rPr>
          <w:rFonts w:ascii="Arial" w:hAnsi="Arial" w:cs="Arial"/>
          <w:sz w:val="24"/>
          <w:szCs w:val="24"/>
        </w:rPr>
        <w:t>.</w:t>
      </w:r>
    </w:p>
    <w:p w14:paraId="1C1CEE37" w14:textId="6CAD0A07" w:rsidR="001E445E" w:rsidRPr="003F5678" w:rsidRDefault="00D41CD7" w:rsidP="001E445E">
      <w:pPr>
        <w:pStyle w:val="Textonotapie"/>
        <w:spacing w:after="240" w:line="360" w:lineRule="auto"/>
        <w:ind w:firstLine="567"/>
        <w:jc w:val="both"/>
        <w:rPr>
          <w:rFonts w:ascii="Arial" w:hAnsi="Arial" w:cs="Arial"/>
          <w:sz w:val="24"/>
          <w:szCs w:val="24"/>
        </w:rPr>
      </w:pPr>
      <w:r w:rsidRPr="004B7BEB">
        <w:rPr>
          <w:rFonts w:ascii="Arial" w:hAnsi="Arial" w:cs="Arial"/>
          <w:b/>
          <w:sz w:val="24"/>
          <w:szCs w:val="24"/>
        </w:rPr>
        <w:t>CUARTO.</w:t>
      </w:r>
      <w:r w:rsidR="001E445E" w:rsidRPr="001E445E">
        <w:rPr>
          <w:rFonts w:ascii="Arial" w:hAnsi="Arial" w:cs="Arial"/>
          <w:b/>
          <w:sz w:val="24"/>
          <w:szCs w:val="24"/>
        </w:rPr>
        <w:t xml:space="preserve"> </w:t>
      </w:r>
      <w:r w:rsidR="001E445E" w:rsidRPr="003F5678">
        <w:rPr>
          <w:rFonts w:ascii="Arial" w:hAnsi="Arial" w:cs="Arial"/>
          <w:b/>
          <w:sz w:val="24"/>
          <w:szCs w:val="24"/>
        </w:rPr>
        <w:t>OBJECIÓN DE PRUEBAS.</w:t>
      </w:r>
      <w:r w:rsidR="001E445E" w:rsidRPr="003F5678">
        <w:rPr>
          <w:rFonts w:ascii="Arial" w:hAnsi="Arial" w:cs="Arial"/>
          <w:sz w:val="24"/>
          <w:szCs w:val="24"/>
        </w:rPr>
        <w:t xml:space="preserve"> La autoridad demandada objetó en cuanto a su alcance y valor probatorio l</w:t>
      </w:r>
      <w:r w:rsidR="00465340">
        <w:rPr>
          <w:rFonts w:ascii="Arial" w:hAnsi="Arial" w:cs="Arial"/>
          <w:sz w:val="24"/>
          <w:szCs w:val="24"/>
        </w:rPr>
        <w:t xml:space="preserve">os </w:t>
      </w:r>
      <w:r w:rsidR="001E445E" w:rsidRPr="003F5678">
        <w:rPr>
          <w:rFonts w:ascii="Arial" w:hAnsi="Arial" w:cs="Arial"/>
          <w:sz w:val="24"/>
          <w:szCs w:val="24"/>
        </w:rPr>
        <w:t>comprobante</w:t>
      </w:r>
      <w:r w:rsidR="00465340">
        <w:rPr>
          <w:rFonts w:ascii="Arial" w:hAnsi="Arial" w:cs="Arial"/>
          <w:sz w:val="24"/>
          <w:szCs w:val="24"/>
        </w:rPr>
        <w:t>s</w:t>
      </w:r>
      <w:r w:rsidR="001E445E" w:rsidRPr="003F5678">
        <w:rPr>
          <w:rFonts w:ascii="Arial" w:hAnsi="Arial" w:cs="Arial"/>
          <w:sz w:val="24"/>
          <w:szCs w:val="24"/>
        </w:rPr>
        <w:t xml:space="preserve"> de pago</w:t>
      </w:r>
      <w:r w:rsidR="00780194">
        <w:rPr>
          <w:rFonts w:ascii="Arial" w:hAnsi="Arial" w:cs="Arial"/>
          <w:sz w:val="24"/>
          <w:szCs w:val="24"/>
        </w:rPr>
        <w:t>,</w:t>
      </w:r>
      <w:r w:rsidR="001E445E" w:rsidRPr="003F5678">
        <w:rPr>
          <w:rFonts w:ascii="Arial" w:hAnsi="Arial" w:cs="Arial"/>
          <w:sz w:val="24"/>
          <w:szCs w:val="24"/>
        </w:rPr>
        <w:t xml:space="preserve"> correspondientes</w:t>
      </w:r>
      <w:r w:rsidR="004D2BC5">
        <w:rPr>
          <w:rFonts w:ascii="Arial" w:hAnsi="Arial" w:cs="Arial"/>
          <w:sz w:val="24"/>
          <w:szCs w:val="24"/>
        </w:rPr>
        <w:t xml:space="preserve"> a la </w:t>
      </w:r>
      <w:r w:rsidR="004A5433">
        <w:rPr>
          <w:rFonts w:ascii="Arial" w:eastAsia="Times New Roman" w:hAnsi="Arial" w:cs="Arial"/>
          <w:sz w:val="24"/>
          <w:szCs w:val="27"/>
          <w:lang w:val="es-ES_tradnl" w:eastAsia="es-ES"/>
        </w:rPr>
        <w:t>*****</w:t>
      </w:r>
      <w:r w:rsidR="004D2BC5">
        <w:rPr>
          <w:rFonts w:ascii="Arial" w:hAnsi="Arial" w:cs="Arial"/>
          <w:sz w:val="24"/>
          <w:szCs w:val="24"/>
        </w:rPr>
        <w:t xml:space="preserve"> y </w:t>
      </w:r>
      <w:r w:rsidR="004A5433">
        <w:rPr>
          <w:rFonts w:ascii="Arial" w:eastAsia="Times New Roman" w:hAnsi="Arial" w:cs="Arial"/>
          <w:sz w:val="24"/>
          <w:szCs w:val="27"/>
          <w:lang w:val="es-ES_tradnl" w:eastAsia="es-ES"/>
        </w:rPr>
        <w:t>***** *****</w:t>
      </w:r>
      <w:r w:rsidR="001E445E" w:rsidRPr="003F5678">
        <w:rPr>
          <w:rFonts w:ascii="Arial" w:hAnsi="Arial" w:cs="Arial"/>
          <w:sz w:val="24"/>
          <w:szCs w:val="24"/>
        </w:rPr>
        <w:t xml:space="preserve"> del mes de</w:t>
      </w:r>
      <w:r w:rsidR="004D2BC5">
        <w:rPr>
          <w:rFonts w:ascii="Arial" w:hAnsi="Arial" w:cs="Arial"/>
          <w:sz w:val="24"/>
          <w:szCs w:val="24"/>
        </w:rPr>
        <w:t xml:space="preserve"> </w:t>
      </w:r>
      <w:r w:rsidR="004A5433">
        <w:rPr>
          <w:rFonts w:ascii="Arial" w:eastAsia="Times New Roman" w:hAnsi="Arial" w:cs="Arial"/>
          <w:sz w:val="24"/>
          <w:szCs w:val="27"/>
          <w:lang w:val="es-ES_tradnl" w:eastAsia="es-ES"/>
        </w:rPr>
        <w:t>***** de *****</w:t>
      </w:r>
      <w:r w:rsidR="001E445E" w:rsidRPr="003F5678">
        <w:rPr>
          <w:rFonts w:ascii="Arial" w:hAnsi="Arial" w:cs="Arial"/>
          <w:sz w:val="24"/>
          <w:szCs w:val="24"/>
        </w:rPr>
        <w:t xml:space="preserve">, </w:t>
      </w:r>
      <w:r w:rsidR="006C6115">
        <w:rPr>
          <w:rFonts w:ascii="Arial" w:hAnsi="Arial" w:cs="Arial"/>
          <w:sz w:val="24"/>
          <w:szCs w:val="24"/>
        </w:rPr>
        <w:t xml:space="preserve">documental pública </w:t>
      </w:r>
      <w:r w:rsidR="001E445E" w:rsidRPr="003F5678">
        <w:rPr>
          <w:rFonts w:ascii="Arial" w:hAnsi="Arial" w:cs="Arial"/>
          <w:sz w:val="24"/>
          <w:szCs w:val="24"/>
        </w:rPr>
        <w:t>ofrecida por la parte actora en su escrito de demanda, contenid</w:t>
      </w:r>
      <w:r w:rsidR="00B23207">
        <w:rPr>
          <w:rFonts w:ascii="Arial" w:hAnsi="Arial" w:cs="Arial"/>
          <w:sz w:val="24"/>
          <w:szCs w:val="24"/>
        </w:rPr>
        <w:t>a</w:t>
      </w:r>
      <w:r w:rsidR="001E445E" w:rsidRPr="003F5678">
        <w:rPr>
          <w:rFonts w:ascii="Arial" w:hAnsi="Arial" w:cs="Arial"/>
          <w:sz w:val="24"/>
          <w:szCs w:val="24"/>
        </w:rPr>
        <w:t xml:space="preserve"> en el apartado de pruebas, numeral </w:t>
      </w:r>
      <w:r w:rsidR="00015B5E">
        <w:rPr>
          <w:rFonts w:ascii="Arial" w:hAnsi="Arial" w:cs="Arial"/>
          <w:sz w:val="24"/>
          <w:szCs w:val="24"/>
        </w:rPr>
        <w:t>****</w:t>
      </w:r>
      <w:r w:rsidR="001E445E" w:rsidRPr="003F5678">
        <w:rPr>
          <w:rFonts w:ascii="Arial" w:hAnsi="Arial" w:cs="Arial"/>
          <w:sz w:val="24"/>
          <w:szCs w:val="24"/>
        </w:rPr>
        <w:t xml:space="preserve"> (foja </w:t>
      </w:r>
      <w:r w:rsidR="004D2BC5">
        <w:rPr>
          <w:rFonts w:ascii="Arial" w:hAnsi="Arial" w:cs="Arial"/>
          <w:sz w:val="24"/>
          <w:szCs w:val="24"/>
        </w:rPr>
        <w:t>21</w:t>
      </w:r>
      <w:r w:rsidR="001E445E" w:rsidRPr="003F5678">
        <w:rPr>
          <w:rFonts w:ascii="Arial" w:hAnsi="Arial" w:cs="Arial"/>
          <w:sz w:val="24"/>
          <w:szCs w:val="24"/>
        </w:rPr>
        <w:t>).</w:t>
      </w:r>
    </w:p>
    <w:p w14:paraId="1CEB69A2" w14:textId="3ABBE82D"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Previo a la calificación de la procedencia de la objeción de pruebas, es menester citar los artículos 193 y 194 de la Ley de Procedimiento y Justicia Administrativa para el Estado de Oaxaca, que dicen:</w:t>
      </w:r>
    </w:p>
    <w:p w14:paraId="0E40216E"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i/>
          <w:iCs/>
          <w:sz w:val="24"/>
          <w:szCs w:val="24"/>
        </w:rPr>
        <w:t>“</w:t>
      </w:r>
      <w:r w:rsidRPr="003F5678">
        <w:rPr>
          <w:rFonts w:ascii="Arial" w:hAnsi="Arial" w:cs="Arial"/>
          <w:b/>
          <w:i/>
          <w:iCs/>
          <w:sz w:val="24"/>
          <w:szCs w:val="24"/>
        </w:rPr>
        <w:t>ARTÍCULO 193.-</w:t>
      </w:r>
      <w:r w:rsidRPr="003F5678">
        <w:rPr>
          <w:rFonts w:ascii="Arial" w:hAnsi="Arial" w:cs="Arial"/>
          <w:i/>
          <w:iCs/>
          <w:sz w:val="24"/>
          <w:szCs w:val="24"/>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4D4F2791" w14:textId="77777777" w:rsidR="001E445E"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ARTÍCULO 194.-</w:t>
      </w:r>
      <w:r w:rsidRPr="003F5678">
        <w:rPr>
          <w:rFonts w:ascii="Arial" w:hAnsi="Arial" w:cs="Arial"/>
          <w:i/>
          <w:iCs/>
          <w:sz w:val="24"/>
          <w:szCs w:val="24"/>
        </w:rPr>
        <w:t xml:space="preserve"> La objeción de la autenticidad de un documento, se resolverá en la sentencia definitiva.”</w:t>
      </w:r>
    </w:p>
    <w:p w14:paraId="70ADBEC3" w14:textId="51A17E30"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En este sentido, la objeción sobre la autenticación de un documento durante el juicio de nulidad ante este Tribunal, trae como consecuencia generar duda sobre la validez o identidad de un documento, es decir, impugnar su inexactitud o falsedad, 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él causan las pruebas ofrecidas por las partes. </w:t>
      </w:r>
    </w:p>
    <w:p w14:paraId="547C3DEB" w14:textId="77777777"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Por otra parte, el artículo 203 de la Ley de Procedimiento y Justicia Administrativa para el Estado, menciona:</w:t>
      </w:r>
    </w:p>
    <w:p w14:paraId="3D603C9C"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“ARTÍCULO 203.-</w:t>
      </w:r>
      <w:r w:rsidRPr="003F5678">
        <w:rPr>
          <w:rFonts w:ascii="Arial" w:hAnsi="Arial" w:cs="Arial"/>
          <w:i/>
          <w:iCs/>
          <w:sz w:val="24"/>
          <w:szCs w:val="24"/>
        </w:rPr>
        <w:t xml:space="preserve"> La valoración de las pruebas se hará de acuerdo con las siguientes reglas:</w:t>
      </w:r>
    </w:p>
    <w:p w14:paraId="3001F727"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I.</w:t>
      </w:r>
      <w:r w:rsidRPr="003F5678">
        <w:rPr>
          <w:rFonts w:ascii="Arial" w:hAnsi="Arial" w:cs="Arial"/>
          <w:i/>
          <w:iCs/>
          <w:sz w:val="24"/>
          <w:szCs w:val="24"/>
        </w:rPr>
        <w:t xml:space="preserve"> Harán prueba plena la confesión expresa de las partes y los actos contenidos en documentos públicos, si en éstos últimos se contienen declaraciones de verdad o manifestaciones de hechos de particulares; y</w:t>
      </w:r>
    </w:p>
    <w:p w14:paraId="56735BC6"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II.</w:t>
      </w:r>
      <w:r w:rsidRPr="003F5678">
        <w:rPr>
          <w:rFonts w:ascii="Arial" w:hAnsi="Arial" w:cs="Arial"/>
          <w:i/>
          <w:iCs/>
          <w:sz w:val="24"/>
          <w:szCs w:val="24"/>
        </w:rPr>
        <w:t xml:space="preserve"> El valor de la pericial y testimonial, así como el de las demás pruebas, quedará a la prudente y razonada apreciación del Tribunal.”</w:t>
      </w:r>
    </w:p>
    <w:p w14:paraId="22949525" w14:textId="77777777"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El artículo anteriormente transcrito contempla el sistema de valoración probatorio que rige en este Tribunal, siendo un sistema de valoración mixto, en razón de que la fracción primera contempla una valoración tasada en donde es la </w:t>
      </w:r>
      <w:r w:rsidRPr="003F5678">
        <w:rPr>
          <w:rFonts w:ascii="Arial" w:hAnsi="Arial" w:cs="Arial"/>
          <w:sz w:val="24"/>
          <w:szCs w:val="24"/>
        </w:rPr>
        <w:lastRenderedPageBreak/>
        <w:t>propia ley la que le asigna un grado de convicción a determinados tipos de pruebas; por su parte la fracción II, contempla un sistema de libre valoración, en donde la ley confiere al Juzgador, la facultad de asignarle valor probatorio que considere pertinente a cierto tipo de pruebas, teniendo como parámetro las reglas de la lógica, los conocimientos científicos afianzados y las máximas de la experiencia; por lo que, esta Sala Unitaria procederá a asignarles el valor probatorio correspondiente, a las pruebas ofrecidas por las partes al momento de realizar el estudio de fondo respectivo.</w:t>
      </w:r>
    </w:p>
    <w:p w14:paraId="392A7A98" w14:textId="77777777" w:rsidR="001E445E" w:rsidRPr="00AB082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Por tanto, y siendo que las manifestaciones de la autoridad demandada, no van encaminadas a controvertir la autenticidad de la documental ofrecida por la parte actora, tan es así que no ofrece medio probatorio alguno por medio del cual se acredite la falsedad o inexactitud del documento, pues solo se limitó a indicar las razones por las cuales se le debería de restar valor probatorio, lo cual será materia de análisis de esta Sala Unitaria al momento de realizar el estudio de fondo, por tanto, se declaran </w:t>
      </w:r>
      <w:r w:rsidRPr="003F5678">
        <w:rPr>
          <w:rFonts w:ascii="Arial" w:hAnsi="Arial" w:cs="Arial"/>
          <w:b/>
          <w:sz w:val="24"/>
          <w:szCs w:val="24"/>
        </w:rPr>
        <w:t xml:space="preserve">IMPROCEDENTES </w:t>
      </w:r>
      <w:r w:rsidRPr="003F5678">
        <w:rPr>
          <w:rFonts w:ascii="Arial" w:hAnsi="Arial" w:cs="Arial"/>
          <w:sz w:val="24"/>
          <w:szCs w:val="24"/>
        </w:rPr>
        <w:t xml:space="preserve">las objeciones realizadas por la autoridad demandada. </w:t>
      </w:r>
    </w:p>
    <w:p w14:paraId="3757E9B1" w14:textId="781400F2" w:rsidR="008E4ADE" w:rsidRDefault="001E445E" w:rsidP="002848F2">
      <w:pPr>
        <w:spacing w:line="360" w:lineRule="auto"/>
        <w:ind w:right="51" w:firstLine="567"/>
        <w:jc w:val="both"/>
        <w:rPr>
          <w:rFonts w:ascii="Arial" w:hAnsi="Arial" w:cs="Arial"/>
          <w:sz w:val="24"/>
          <w:szCs w:val="24"/>
        </w:rPr>
      </w:pPr>
      <w:r w:rsidRPr="00C101F9">
        <w:rPr>
          <w:rFonts w:ascii="Arial" w:hAnsi="Arial" w:cs="Arial"/>
          <w:b/>
          <w:bCs/>
          <w:sz w:val="24"/>
          <w:szCs w:val="24"/>
        </w:rPr>
        <w:t xml:space="preserve">QUINTO. ESTUDIO </w:t>
      </w:r>
      <w:r>
        <w:rPr>
          <w:rFonts w:ascii="Arial" w:hAnsi="Arial" w:cs="Arial"/>
          <w:b/>
          <w:bCs/>
          <w:sz w:val="24"/>
          <w:szCs w:val="24"/>
        </w:rPr>
        <w:t>DE FONDO</w:t>
      </w:r>
      <w:r w:rsidRPr="00C101F9">
        <w:rPr>
          <w:rFonts w:ascii="Arial" w:hAnsi="Arial" w:cs="Arial"/>
          <w:b/>
          <w:bCs/>
          <w:sz w:val="24"/>
          <w:szCs w:val="24"/>
        </w:rPr>
        <w:t>.</w:t>
      </w:r>
      <w:r w:rsidR="00AB4171">
        <w:rPr>
          <w:rFonts w:ascii="Arial" w:hAnsi="Arial" w:cs="Arial"/>
          <w:b/>
          <w:bCs/>
          <w:sz w:val="24"/>
          <w:szCs w:val="24"/>
        </w:rPr>
        <w:t xml:space="preserve"> </w:t>
      </w:r>
      <w:r w:rsidR="00AB4171">
        <w:rPr>
          <w:rFonts w:ascii="Arial" w:hAnsi="Arial" w:cs="Arial"/>
          <w:sz w:val="24"/>
          <w:szCs w:val="24"/>
        </w:rPr>
        <w:t>L</w:t>
      </w:r>
      <w:r w:rsidR="00495E2C">
        <w:rPr>
          <w:rFonts w:ascii="Arial" w:hAnsi="Arial" w:cs="Arial"/>
          <w:sz w:val="24"/>
          <w:szCs w:val="24"/>
        </w:rPr>
        <w:t xml:space="preserve">a accionante impugna el oficio </w:t>
      </w:r>
      <w:r w:rsidR="004A5433">
        <w:rPr>
          <w:rFonts w:ascii="Arial" w:eastAsia="Times New Roman" w:hAnsi="Arial" w:cs="Arial"/>
          <w:sz w:val="24"/>
          <w:szCs w:val="27"/>
          <w:lang w:val="es-ES_tradnl" w:eastAsia="es-ES"/>
        </w:rPr>
        <w:t>*****</w:t>
      </w:r>
      <w:r w:rsidR="00495E2C">
        <w:rPr>
          <w:rFonts w:ascii="Arial" w:hAnsi="Arial" w:cs="Arial"/>
          <w:sz w:val="24"/>
          <w:szCs w:val="24"/>
        </w:rPr>
        <w:t>, de fecha</w:t>
      </w:r>
      <w:r w:rsidR="004A5433">
        <w:rPr>
          <w:rFonts w:ascii="Arial" w:hAnsi="Arial" w:cs="Arial"/>
          <w:sz w:val="24"/>
          <w:szCs w:val="24"/>
        </w:rPr>
        <w:t xml:space="preserve"> </w:t>
      </w:r>
      <w:r w:rsidR="004A5433">
        <w:rPr>
          <w:rFonts w:ascii="Arial" w:eastAsia="Times New Roman" w:hAnsi="Arial" w:cs="Arial"/>
          <w:sz w:val="24"/>
          <w:szCs w:val="27"/>
          <w:lang w:val="es-ES_tradnl" w:eastAsia="es-ES"/>
        </w:rPr>
        <w:t>***** de ***** de *****</w:t>
      </w:r>
      <w:r w:rsidR="00970FD4">
        <w:rPr>
          <w:rFonts w:ascii="Arial" w:hAnsi="Arial" w:cs="Arial"/>
          <w:sz w:val="24"/>
          <w:szCs w:val="24"/>
        </w:rPr>
        <w:t>, suscrito por el Director General de la Oficina de Pensiones del Estado de Oaxaca</w:t>
      </w:r>
      <w:r w:rsidR="008E4ADE">
        <w:rPr>
          <w:rFonts w:ascii="Arial" w:hAnsi="Arial" w:cs="Arial"/>
          <w:sz w:val="24"/>
          <w:szCs w:val="24"/>
        </w:rPr>
        <w:t>, y que conforme a su concepto de impugnación PRIMERO, en términos del artículo 206 de la Ley de Procedimiento y Justicia Administrativa para el Estado de Oaxaca, manifiesta que dicho acto deviene de ilegal, dado que no le da respuesta</w:t>
      </w:r>
      <w:r w:rsidR="005A7D65">
        <w:rPr>
          <w:rFonts w:ascii="Arial" w:hAnsi="Arial" w:cs="Arial"/>
          <w:sz w:val="24"/>
          <w:szCs w:val="24"/>
        </w:rPr>
        <w:t xml:space="preserve"> exhaustiva a su escrito de petición, además que no cita el fundamento legal con el cual esa autoridad demandada tuvo a bien otorgar la pensión por la cantidad señalada en su escrito de petición.</w:t>
      </w:r>
    </w:p>
    <w:p w14:paraId="7C05D1DE" w14:textId="608CA2D0" w:rsidR="005A7D65" w:rsidRDefault="005A7D65" w:rsidP="002848F2">
      <w:pPr>
        <w:spacing w:line="360" w:lineRule="auto"/>
        <w:ind w:right="51" w:firstLine="567"/>
        <w:jc w:val="both"/>
        <w:rPr>
          <w:rFonts w:ascii="Arial" w:hAnsi="Arial" w:cs="Arial"/>
          <w:sz w:val="24"/>
          <w:szCs w:val="24"/>
        </w:rPr>
      </w:pPr>
      <w:r>
        <w:rPr>
          <w:rFonts w:ascii="Arial" w:hAnsi="Arial" w:cs="Arial"/>
          <w:sz w:val="24"/>
          <w:szCs w:val="24"/>
        </w:rPr>
        <w:t xml:space="preserve">A ese respecto, se advierte que la autoridad demandada en el oficio </w:t>
      </w:r>
      <w:r w:rsidR="004A5433">
        <w:rPr>
          <w:rFonts w:ascii="Arial" w:eastAsia="Times New Roman" w:hAnsi="Arial" w:cs="Arial"/>
          <w:sz w:val="24"/>
          <w:szCs w:val="27"/>
          <w:lang w:val="es-ES_tradnl" w:eastAsia="es-ES"/>
        </w:rPr>
        <w:t>*****</w:t>
      </w:r>
      <w:r>
        <w:rPr>
          <w:rFonts w:ascii="Arial" w:hAnsi="Arial" w:cs="Arial"/>
          <w:sz w:val="24"/>
          <w:szCs w:val="24"/>
        </w:rPr>
        <w:t xml:space="preserve">, de fecha </w:t>
      </w:r>
      <w:r w:rsidR="004A5433">
        <w:rPr>
          <w:rFonts w:ascii="Arial" w:eastAsia="Times New Roman" w:hAnsi="Arial" w:cs="Arial"/>
          <w:sz w:val="24"/>
          <w:szCs w:val="27"/>
          <w:lang w:val="es-ES_tradnl" w:eastAsia="es-ES"/>
        </w:rPr>
        <w:t>***** de ***** de *****</w:t>
      </w:r>
      <w:r>
        <w:rPr>
          <w:rFonts w:ascii="Arial" w:hAnsi="Arial" w:cs="Arial"/>
          <w:sz w:val="24"/>
          <w:szCs w:val="24"/>
        </w:rPr>
        <w:t xml:space="preserve"> (foja 17), documental que adquiere valor probatorio pleno en términos del artículo 203 fracción I de la Ley de Procedimiento y Justicia Administrativa para el Estado de Oaxaca, en la parte que interesa, expuso lo siguiente:</w:t>
      </w:r>
    </w:p>
    <w:p w14:paraId="280EEC58" w14:textId="01DFA21B" w:rsidR="005A7D65" w:rsidRDefault="00D650CD" w:rsidP="00395B67">
      <w:pPr>
        <w:spacing w:line="360" w:lineRule="auto"/>
        <w:ind w:left="567" w:right="51" w:firstLine="567"/>
        <w:jc w:val="both"/>
        <w:rPr>
          <w:rFonts w:ascii="Arial" w:hAnsi="Arial" w:cs="Arial"/>
          <w:sz w:val="24"/>
          <w:szCs w:val="24"/>
        </w:rPr>
      </w:pPr>
      <w:r w:rsidRPr="00395B67">
        <w:rPr>
          <w:rFonts w:ascii="Arial" w:hAnsi="Arial" w:cs="Arial"/>
          <w:i/>
          <w:iCs/>
          <w:sz w:val="24"/>
          <w:szCs w:val="24"/>
        </w:rPr>
        <w:t xml:space="preserve">“Como es de su conocimiento, el Consejo Directivo de la Oficina de Pensiones del Estado de Oaxaca, con sustento en el artículo 88 fracción IV de la Ley de Pensiones para los Trabajadores de Gobierno del Estado de Oaxaca, le concedió su pensión por jubilación con fecha </w:t>
      </w:r>
      <w:r w:rsidR="00015B5E">
        <w:rPr>
          <w:rFonts w:ascii="Arial" w:hAnsi="Arial" w:cs="Arial"/>
          <w:b/>
          <w:bCs/>
          <w:i/>
          <w:iCs/>
          <w:sz w:val="24"/>
          <w:szCs w:val="24"/>
        </w:rPr>
        <w:t>******</w:t>
      </w:r>
      <w:r w:rsidRPr="00BE0041">
        <w:rPr>
          <w:rFonts w:ascii="Arial" w:hAnsi="Arial" w:cs="Arial"/>
          <w:b/>
          <w:bCs/>
          <w:i/>
          <w:iCs/>
          <w:sz w:val="24"/>
          <w:szCs w:val="24"/>
        </w:rPr>
        <w:t xml:space="preserve"> de </w:t>
      </w:r>
      <w:r w:rsidR="00015B5E">
        <w:rPr>
          <w:rFonts w:ascii="Arial" w:hAnsi="Arial" w:cs="Arial"/>
          <w:b/>
          <w:bCs/>
          <w:i/>
          <w:iCs/>
          <w:sz w:val="24"/>
          <w:szCs w:val="24"/>
        </w:rPr>
        <w:t>*****</w:t>
      </w:r>
      <w:r w:rsidRPr="00BE0041">
        <w:rPr>
          <w:rFonts w:ascii="Arial" w:hAnsi="Arial" w:cs="Arial"/>
          <w:b/>
          <w:bCs/>
          <w:i/>
          <w:iCs/>
          <w:sz w:val="24"/>
          <w:szCs w:val="24"/>
        </w:rPr>
        <w:t xml:space="preserve"> de dos mil </w:t>
      </w:r>
      <w:r w:rsidR="00015B5E">
        <w:rPr>
          <w:rFonts w:ascii="Arial" w:hAnsi="Arial" w:cs="Arial"/>
          <w:b/>
          <w:bCs/>
          <w:i/>
          <w:iCs/>
          <w:sz w:val="24"/>
          <w:szCs w:val="24"/>
        </w:rPr>
        <w:t>*****</w:t>
      </w:r>
      <w:r w:rsidRPr="00395B67">
        <w:rPr>
          <w:rFonts w:ascii="Arial" w:hAnsi="Arial" w:cs="Arial"/>
          <w:i/>
          <w:iCs/>
          <w:sz w:val="24"/>
          <w:szCs w:val="24"/>
        </w:rPr>
        <w:t xml:space="preserve">; y conforme a las facultades </w:t>
      </w:r>
      <w:r w:rsidR="007E2295" w:rsidRPr="00395B67">
        <w:rPr>
          <w:rFonts w:ascii="Arial" w:hAnsi="Arial" w:cs="Arial"/>
          <w:i/>
          <w:iCs/>
          <w:sz w:val="24"/>
          <w:szCs w:val="24"/>
        </w:rPr>
        <w:t xml:space="preserve">y obligaciones señaladas en el artículo 89 fracción </w:t>
      </w:r>
      <w:r w:rsidR="00F80F75" w:rsidRPr="00395B67">
        <w:rPr>
          <w:rFonts w:ascii="Arial" w:hAnsi="Arial" w:cs="Arial"/>
          <w:i/>
          <w:iCs/>
          <w:sz w:val="24"/>
          <w:szCs w:val="24"/>
        </w:rPr>
        <w:t xml:space="preserve">I y VII de la Ley de Pensiones para los Trabajadores de Gobierno del Estado de Oaxaca, el Director General de esta oficina de Pensiones, ejecuta los acuerdos del Consejo Directivo, así mismo despacha con su firma </w:t>
      </w:r>
      <w:r w:rsidR="00F80F75" w:rsidRPr="00395B67">
        <w:rPr>
          <w:rFonts w:ascii="Arial" w:hAnsi="Arial" w:cs="Arial"/>
          <w:i/>
          <w:iCs/>
          <w:sz w:val="24"/>
          <w:szCs w:val="24"/>
        </w:rPr>
        <w:lastRenderedPageBreak/>
        <w:t xml:space="preserve">los acuerdos y la correspondencia de dicho Consejo; por lo cual mi Autoridad se encuentra imposibilitada </w:t>
      </w:r>
      <w:r w:rsidR="00395B67" w:rsidRPr="00395B67">
        <w:rPr>
          <w:rFonts w:ascii="Arial" w:hAnsi="Arial" w:cs="Arial"/>
          <w:i/>
          <w:iCs/>
          <w:sz w:val="24"/>
          <w:szCs w:val="24"/>
        </w:rPr>
        <w:t>para atender su solicitud en los términos planteados ya que no es mi competencia el otorgar las pensiones ni prestaciones que señala la Ley y que son facultad exclusiva del Órgano de gobierno antes mencionado</w:t>
      </w:r>
      <w:r w:rsidR="00395B67">
        <w:rPr>
          <w:rFonts w:ascii="Arial" w:hAnsi="Arial" w:cs="Arial"/>
          <w:sz w:val="24"/>
          <w:szCs w:val="24"/>
        </w:rPr>
        <w:t>”</w:t>
      </w:r>
      <w:r w:rsidR="00BB5C53">
        <w:rPr>
          <w:rFonts w:ascii="Arial" w:hAnsi="Arial" w:cs="Arial"/>
          <w:sz w:val="24"/>
          <w:szCs w:val="24"/>
        </w:rPr>
        <w:t>.</w:t>
      </w:r>
    </w:p>
    <w:p w14:paraId="38EBA22F" w14:textId="6FB53EA2" w:rsidR="005A7D65" w:rsidRDefault="005A7D65" w:rsidP="002848F2">
      <w:pPr>
        <w:spacing w:line="360" w:lineRule="auto"/>
        <w:ind w:right="51" w:firstLine="567"/>
        <w:jc w:val="both"/>
        <w:rPr>
          <w:rFonts w:ascii="Arial" w:hAnsi="Arial" w:cs="Arial"/>
          <w:sz w:val="24"/>
          <w:szCs w:val="24"/>
        </w:rPr>
      </w:pPr>
      <w:r>
        <w:rPr>
          <w:rFonts w:ascii="Arial" w:hAnsi="Arial" w:cs="Arial"/>
          <w:sz w:val="24"/>
          <w:szCs w:val="24"/>
        </w:rPr>
        <w:t>De la lectura hecha al texto anterior, se advierte que la autoridad demandada, expone genéricamente el fundamento por el cual se expiden los dictámenes de jubilación, sin embargo, manifiesta no poder brindar la información relativa a la cuantificación de la pensión dado que afirma carecer de facultades, siendo el órgano denominado Consejo Directivo de la Oficina de Pensiones del Estado de Oaxaca, el órgano colegiado idóne</w:t>
      </w:r>
      <w:r w:rsidR="001540CF">
        <w:rPr>
          <w:rFonts w:ascii="Arial" w:hAnsi="Arial" w:cs="Arial"/>
          <w:sz w:val="24"/>
          <w:szCs w:val="24"/>
        </w:rPr>
        <w:t>o para determinar y calcular los montos de las pensiones que se lleguen a otorgar.</w:t>
      </w:r>
    </w:p>
    <w:p w14:paraId="1730D081" w14:textId="5EF8167D" w:rsidR="001540CF" w:rsidRDefault="001540CF" w:rsidP="002848F2">
      <w:pPr>
        <w:spacing w:line="360" w:lineRule="auto"/>
        <w:ind w:right="51" w:firstLine="567"/>
        <w:jc w:val="both"/>
        <w:rPr>
          <w:rFonts w:ascii="Arial" w:hAnsi="Arial" w:cs="Arial"/>
          <w:sz w:val="24"/>
          <w:szCs w:val="24"/>
        </w:rPr>
      </w:pPr>
      <w:r>
        <w:rPr>
          <w:rFonts w:ascii="Arial" w:hAnsi="Arial" w:cs="Arial"/>
          <w:sz w:val="24"/>
          <w:szCs w:val="24"/>
        </w:rPr>
        <w:t xml:space="preserve">No </w:t>
      </w:r>
      <w:r w:rsidR="00FD0415">
        <w:rPr>
          <w:rFonts w:ascii="Arial" w:hAnsi="Arial" w:cs="Arial"/>
          <w:sz w:val="24"/>
          <w:szCs w:val="24"/>
        </w:rPr>
        <w:t>obstante</w:t>
      </w:r>
      <w:r>
        <w:rPr>
          <w:rFonts w:ascii="Arial" w:hAnsi="Arial" w:cs="Arial"/>
          <w:sz w:val="24"/>
          <w:szCs w:val="24"/>
        </w:rPr>
        <w:t xml:space="preserve"> lo anterior, el Director General de la Oficina de Pensiones, conforme a la L</w:t>
      </w:r>
      <w:r w:rsidRPr="0044789D">
        <w:rPr>
          <w:rFonts w:ascii="Arial" w:hAnsi="Arial" w:cs="Arial"/>
          <w:sz w:val="24"/>
          <w:szCs w:val="24"/>
        </w:rPr>
        <w:t xml:space="preserve">ey de Pensiones para los </w:t>
      </w:r>
      <w:r>
        <w:rPr>
          <w:rFonts w:ascii="Arial" w:hAnsi="Arial" w:cs="Arial"/>
          <w:sz w:val="24"/>
          <w:szCs w:val="24"/>
        </w:rPr>
        <w:t>T</w:t>
      </w:r>
      <w:r w:rsidRPr="0044789D">
        <w:rPr>
          <w:rFonts w:ascii="Arial" w:hAnsi="Arial" w:cs="Arial"/>
          <w:sz w:val="24"/>
          <w:szCs w:val="24"/>
        </w:rPr>
        <w:t>rabajadores del Gobierno del Estado de Oaxaca</w:t>
      </w:r>
      <w:r>
        <w:rPr>
          <w:rFonts w:ascii="Arial" w:hAnsi="Arial" w:cs="Arial"/>
          <w:sz w:val="24"/>
          <w:szCs w:val="24"/>
        </w:rPr>
        <w:t xml:space="preserve"> vigente, en su artículo 89 fracción I dispone lo siguiente:</w:t>
      </w:r>
    </w:p>
    <w:p w14:paraId="16140752" w14:textId="249A2A18" w:rsidR="001540CF" w:rsidRPr="001540CF" w:rsidRDefault="001540CF" w:rsidP="001540CF">
      <w:pPr>
        <w:spacing w:line="360" w:lineRule="auto"/>
        <w:ind w:left="567" w:right="51"/>
        <w:jc w:val="both"/>
        <w:rPr>
          <w:rFonts w:ascii="Arial" w:hAnsi="Arial" w:cs="Arial"/>
          <w:i/>
          <w:iCs/>
          <w:sz w:val="24"/>
          <w:szCs w:val="24"/>
        </w:rPr>
      </w:pPr>
      <w:r>
        <w:rPr>
          <w:rFonts w:ascii="Arial" w:hAnsi="Arial" w:cs="Arial"/>
          <w:i/>
          <w:iCs/>
          <w:sz w:val="24"/>
          <w:szCs w:val="24"/>
        </w:rPr>
        <w:t>“</w:t>
      </w:r>
      <w:r w:rsidRPr="001540CF">
        <w:rPr>
          <w:rFonts w:ascii="Arial" w:hAnsi="Arial" w:cs="Arial"/>
          <w:b/>
          <w:bCs/>
          <w:i/>
          <w:iCs/>
          <w:sz w:val="24"/>
          <w:szCs w:val="24"/>
        </w:rPr>
        <w:t>ARTÍCULO 89.-</w:t>
      </w:r>
      <w:r w:rsidRPr="001540CF">
        <w:rPr>
          <w:rFonts w:ascii="Arial" w:hAnsi="Arial" w:cs="Arial"/>
          <w:i/>
          <w:iCs/>
          <w:sz w:val="24"/>
          <w:szCs w:val="24"/>
        </w:rPr>
        <w:t xml:space="preserve"> El Director General de la Oficina de Pensiones tendrá las facultades y obligaciones siguientes:</w:t>
      </w:r>
    </w:p>
    <w:p w14:paraId="19698B44" w14:textId="7F14A9FD" w:rsidR="001540CF" w:rsidRPr="001540CF" w:rsidRDefault="001540CF" w:rsidP="001540CF">
      <w:pPr>
        <w:spacing w:line="360" w:lineRule="auto"/>
        <w:ind w:left="567" w:right="51"/>
        <w:jc w:val="both"/>
        <w:rPr>
          <w:rFonts w:ascii="Arial" w:hAnsi="Arial" w:cs="Arial"/>
          <w:i/>
          <w:iCs/>
          <w:sz w:val="24"/>
          <w:szCs w:val="24"/>
        </w:rPr>
      </w:pPr>
      <w:r w:rsidRPr="001540CF">
        <w:rPr>
          <w:rFonts w:ascii="Arial" w:hAnsi="Arial" w:cs="Arial"/>
          <w:b/>
          <w:bCs/>
          <w:i/>
          <w:iCs/>
          <w:sz w:val="24"/>
          <w:szCs w:val="24"/>
        </w:rPr>
        <w:t>I.</w:t>
      </w:r>
      <w:r w:rsidRPr="001540CF">
        <w:rPr>
          <w:rFonts w:ascii="Arial" w:hAnsi="Arial" w:cs="Arial"/>
          <w:i/>
          <w:iCs/>
          <w:sz w:val="24"/>
          <w:szCs w:val="24"/>
        </w:rPr>
        <w:t xml:space="preserve"> Ejecutar los acuerdos del Consejo Directivo; y</w:t>
      </w:r>
      <w:r>
        <w:rPr>
          <w:rFonts w:ascii="Arial" w:hAnsi="Arial" w:cs="Arial"/>
          <w:i/>
          <w:iCs/>
          <w:sz w:val="24"/>
          <w:szCs w:val="24"/>
        </w:rPr>
        <w:t>”</w:t>
      </w:r>
    </w:p>
    <w:p w14:paraId="0159EAC2" w14:textId="0BD34E58" w:rsidR="002850A9" w:rsidRDefault="001540CF" w:rsidP="002850A9">
      <w:pPr>
        <w:spacing w:line="360" w:lineRule="auto"/>
        <w:ind w:right="51" w:firstLine="567"/>
        <w:jc w:val="both"/>
        <w:rPr>
          <w:rFonts w:ascii="Arial" w:hAnsi="Arial" w:cs="Arial"/>
          <w:sz w:val="24"/>
          <w:szCs w:val="24"/>
        </w:rPr>
      </w:pPr>
      <w:r>
        <w:rPr>
          <w:rFonts w:ascii="Arial" w:hAnsi="Arial" w:cs="Arial"/>
          <w:sz w:val="24"/>
          <w:szCs w:val="24"/>
        </w:rPr>
        <w:t xml:space="preserve">Como se expuso en la transcripción anterior, </w:t>
      </w:r>
      <w:r w:rsidR="002850A9">
        <w:rPr>
          <w:rFonts w:ascii="Arial" w:hAnsi="Arial" w:cs="Arial"/>
          <w:sz w:val="24"/>
          <w:szCs w:val="24"/>
        </w:rPr>
        <w:t>el Director General tiene la obligación de ejecutar los acuerdos del Consejo Directivo, por lo que resulta jurídicamente válido que sea éste quien comunica las determinaciones</w:t>
      </w:r>
      <w:r w:rsidR="00263D7D">
        <w:rPr>
          <w:rFonts w:ascii="Arial" w:hAnsi="Arial" w:cs="Arial"/>
          <w:sz w:val="24"/>
          <w:szCs w:val="24"/>
        </w:rPr>
        <w:t xml:space="preserve"> adop</w:t>
      </w:r>
      <w:r w:rsidR="002850A9">
        <w:rPr>
          <w:rFonts w:ascii="Arial" w:hAnsi="Arial" w:cs="Arial"/>
          <w:sz w:val="24"/>
          <w:szCs w:val="24"/>
        </w:rPr>
        <w:t>tadas por el Consejo Directivo, como lo pueden ser, el otorgamiento de una pensión, de modo que el Director Jurídico tiene conocimiento de los motivos y fundamentos legales por los que el Consejo Directivo determina otorgar una pensión por una determinada cantidad, de modo que al ejecutarse y hacer el dictamen de pensión relativo, previamente conoce las razones de hecho y de derecho por las que se otorgó la pensión.</w:t>
      </w:r>
    </w:p>
    <w:p w14:paraId="546576A9" w14:textId="475377BA" w:rsidR="001437E3" w:rsidRDefault="00240354" w:rsidP="001437E3">
      <w:pPr>
        <w:spacing w:line="360" w:lineRule="auto"/>
        <w:ind w:right="51" w:firstLine="567"/>
        <w:jc w:val="both"/>
        <w:rPr>
          <w:rFonts w:ascii="Arial" w:hAnsi="Arial" w:cs="Arial"/>
          <w:sz w:val="24"/>
          <w:szCs w:val="24"/>
        </w:rPr>
      </w:pPr>
      <w:r>
        <w:rPr>
          <w:rFonts w:ascii="Arial" w:hAnsi="Arial" w:cs="Arial"/>
          <w:sz w:val="24"/>
          <w:szCs w:val="24"/>
        </w:rPr>
        <w:t>Derivado de lo anterior, resulta jurídicamente incorrecto, que el Director General manifieste que no puede brindar la información solicitada por el actor basándose en el argumento de que no es el funcionario público competente para calcular el monto de una pensión, dado que como se expuso, en el presente caso, no se está solicitando el cálculo de una pensión, sino que se le informe únicamente los motivos por los que su pensión fue otorgada por la cantidad que ampara su dictamen de jubilación, de ahí que lo solicitado sea que se le brind</w:t>
      </w:r>
      <w:r w:rsidR="00D35E22">
        <w:rPr>
          <w:rFonts w:ascii="Arial" w:hAnsi="Arial" w:cs="Arial"/>
          <w:sz w:val="24"/>
          <w:szCs w:val="24"/>
        </w:rPr>
        <w:t xml:space="preserve">e </w:t>
      </w:r>
      <w:r>
        <w:rPr>
          <w:rFonts w:ascii="Arial" w:hAnsi="Arial" w:cs="Arial"/>
          <w:sz w:val="24"/>
          <w:szCs w:val="24"/>
        </w:rPr>
        <w:t>una información, no el cálculo de una pensión</w:t>
      </w:r>
      <w:r w:rsidR="00F06204">
        <w:rPr>
          <w:rFonts w:ascii="Arial" w:hAnsi="Arial" w:cs="Arial"/>
          <w:sz w:val="24"/>
          <w:szCs w:val="24"/>
        </w:rPr>
        <w:t>;</w:t>
      </w:r>
      <w:r>
        <w:rPr>
          <w:rFonts w:ascii="Arial" w:hAnsi="Arial" w:cs="Arial"/>
          <w:sz w:val="24"/>
          <w:szCs w:val="24"/>
        </w:rPr>
        <w:t xml:space="preserve"> de ahí que la respuesta brindada por la autoridad demandada, sea contraria a las disposiciones legales, máxime que no especifica el fundamento legal en el que por mandato de Ley</w:t>
      </w:r>
      <w:r w:rsidR="00F06204">
        <w:rPr>
          <w:rFonts w:ascii="Arial" w:hAnsi="Arial" w:cs="Arial"/>
          <w:sz w:val="24"/>
          <w:szCs w:val="24"/>
        </w:rPr>
        <w:t>,</w:t>
      </w:r>
      <w:r>
        <w:rPr>
          <w:rFonts w:ascii="Arial" w:hAnsi="Arial" w:cs="Arial"/>
          <w:sz w:val="24"/>
          <w:szCs w:val="24"/>
        </w:rPr>
        <w:t xml:space="preserve"> el Directo</w:t>
      </w:r>
      <w:r w:rsidR="00F06204">
        <w:rPr>
          <w:rFonts w:ascii="Arial" w:hAnsi="Arial" w:cs="Arial"/>
          <w:sz w:val="24"/>
          <w:szCs w:val="24"/>
        </w:rPr>
        <w:t>r</w:t>
      </w:r>
      <w:r>
        <w:rPr>
          <w:rFonts w:ascii="Arial" w:hAnsi="Arial" w:cs="Arial"/>
          <w:sz w:val="24"/>
          <w:szCs w:val="24"/>
        </w:rPr>
        <w:t xml:space="preserve"> General </w:t>
      </w:r>
      <w:r>
        <w:rPr>
          <w:rFonts w:ascii="Arial" w:hAnsi="Arial" w:cs="Arial"/>
          <w:sz w:val="24"/>
          <w:szCs w:val="24"/>
        </w:rPr>
        <w:lastRenderedPageBreak/>
        <w:t>no pueda brindar dicha información</w:t>
      </w:r>
      <w:r w:rsidR="001437E3">
        <w:rPr>
          <w:rFonts w:ascii="Arial" w:hAnsi="Arial" w:cs="Arial"/>
          <w:sz w:val="24"/>
          <w:szCs w:val="24"/>
        </w:rPr>
        <w:t>; de ahí que deviene ilegal la contestación realizada, toda vez que conforme lo estipula el artículo 17 fracción V de la Ley de Procedimiento y Justicia Administrativa del Estado, es obligación de toda autoridad administrativa fundar y motivar todo acto que emane, situación que en el presente caso no aconteció.</w:t>
      </w:r>
    </w:p>
    <w:p w14:paraId="538605B0" w14:textId="13BBE5D6" w:rsidR="001437E3" w:rsidRDefault="001437E3" w:rsidP="001437E3">
      <w:pPr>
        <w:spacing w:line="360" w:lineRule="auto"/>
        <w:ind w:firstLine="567"/>
        <w:jc w:val="both"/>
        <w:rPr>
          <w:rFonts w:ascii="Arial" w:hAnsi="Arial" w:cs="Arial"/>
          <w:sz w:val="24"/>
          <w:szCs w:val="24"/>
        </w:rPr>
      </w:pPr>
      <w:r>
        <w:rPr>
          <w:rFonts w:ascii="Arial" w:hAnsi="Arial" w:cs="Arial"/>
          <w:sz w:val="24"/>
          <w:szCs w:val="24"/>
        </w:rPr>
        <w:t>Esto es así, porque la autoridad demandada no hace referencia a sus facultades específicas para no proporcionar la información correspondiente, así como tampoco cita el fundamento legal con los que sustente su dicho, sin cumplir con la obligación de fundar y motivar, misma que es obligación ineludible de toda autoridad administrativa de fundar y motivar cualquier acto que éstas emanen.</w:t>
      </w:r>
    </w:p>
    <w:p w14:paraId="5795180A" w14:textId="111D4E6B" w:rsidR="001437E3" w:rsidRDefault="001437E3" w:rsidP="001437E3">
      <w:pPr>
        <w:spacing w:line="360" w:lineRule="auto"/>
        <w:ind w:firstLine="567"/>
        <w:jc w:val="both"/>
        <w:rPr>
          <w:rFonts w:ascii="Arial" w:hAnsi="Arial" w:cs="Arial"/>
          <w:bCs/>
          <w:snapToGrid w:val="0"/>
          <w:sz w:val="24"/>
          <w:szCs w:val="27"/>
        </w:rPr>
      </w:pPr>
      <w:r>
        <w:rPr>
          <w:rFonts w:ascii="Arial" w:hAnsi="Arial" w:cs="Arial"/>
          <w:sz w:val="24"/>
          <w:szCs w:val="24"/>
        </w:rPr>
        <w:t xml:space="preserve">De modo que, para que el acto reclamado tengan validez jurídica plena, debió primeramente citar como </w:t>
      </w:r>
      <w:r>
        <w:rPr>
          <w:rFonts w:ascii="Arial" w:hAnsi="Arial" w:cs="Arial"/>
          <w:bCs/>
          <w:snapToGrid w:val="0"/>
          <w:sz w:val="24"/>
          <w:szCs w:val="27"/>
        </w:rPr>
        <w:t>motivación todos aquellos argumentos lógico-jurídicos y las circunstancias de modo, tiempo y lugar, aplicables que generan certidumbre en el actor, respecto del dicho de la autoridad demandada, y además, a manera de fundamentación, debi</w:t>
      </w:r>
      <w:r w:rsidR="00D2219D">
        <w:rPr>
          <w:rFonts w:ascii="Arial" w:hAnsi="Arial" w:cs="Arial"/>
          <w:bCs/>
          <w:snapToGrid w:val="0"/>
          <w:sz w:val="24"/>
          <w:szCs w:val="27"/>
        </w:rPr>
        <w:t>ó</w:t>
      </w:r>
      <w:r>
        <w:rPr>
          <w:rFonts w:ascii="Arial" w:hAnsi="Arial" w:cs="Arial"/>
          <w:bCs/>
          <w:snapToGrid w:val="0"/>
          <w:sz w:val="24"/>
          <w:szCs w:val="27"/>
        </w:rPr>
        <w:t xml:space="preserve"> haber citado todos aquellos preceptos legales con los cuales la autoridad sustentara su determinación, sin que pase desapercibido que en la motivación, deber</w:t>
      </w:r>
      <w:r w:rsidR="00D2219D">
        <w:rPr>
          <w:rFonts w:ascii="Arial" w:hAnsi="Arial" w:cs="Arial"/>
          <w:bCs/>
          <w:snapToGrid w:val="0"/>
          <w:sz w:val="24"/>
          <w:szCs w:val="27"/>
        </w:rPr>
        <w:t>á</w:t>
      </w:r>
      <w:r>
        <w:rPr>
          <w:rFonts w:ascii="Arial" w:hAnsi="Arial" w:cs="Arial"/>
          <w:bCs/>
          <w:snapToGrid w:val="0"/>
          <w:sz w:val="24"/>
          <w:szCs w:val="27"/>
        </w:rPr>
        <w:t xml:space="preserve"> anexar todo documento con el que pruebe su dicho, dado que no basta con exponer los motivos, sino que</w:t>
      </w:r>
      <w:r w:rsidR="00D2219D">
        <w:rPr>
          <w:rFonts w:ascii="Arial" w:hAnsi="Arial" w:cs="Arial"/>
          <w:bCs/>
          <w:snapToGrid w:val="0"/>
          <w:sz w:val="24"/>
          <w:szCs w:val="27"/>
        </w:rPr>
        <w:t xml:space="preserve"> también</w:t>
      </w:r>
      <w:r>
        <w:rPr>
          <w:rFonts w:ascii="Arial" w:hAnsi="Arial" w:cs="Arial"/>
          <w:bCs/>
          <w:snapToGrid w:val="0"/>
          <w:sz w:val="24"/>
          <w:szCs w:val="27"/>
        </w:rPr>
        <w:t xml:space="preserve"> debe</w:t>
      </w:r>
      <w:r w:rsidR="00D2219D">
        <w:rPr>
          <w:rFonts w:ascii="Arial" w:hAnsi="Arial" w:cs="Arial"/>
          <w:bCs/>
          <w:snapToGrid w:val="0"/>
          <w:sz w:val="24"/>
          <w:szCs w:val="27"/>
        </w:rPr>
        <w:t xml:space="preserve"> </w:t>
      </w:r>
      <w:r>
        <w:rPr>
          <w:rFonts w:ascii="Arial" w:hAnsi="Arial" w:cs="Arial"/>
          <w:bCs/>
          <w:snapToGrid w:val="0"/>
          <w:sz w:val="24"/>
          <w:szCs w:val="27"/>
        </w:rPr>
        <w:t xml:space="preserve">probarlos. </w:t>
      </w:r>
    </w:p>
    <w:p w14:paraId="0DC80F14" w14:textId="77777777" w:rsidR="001437E3" w:rsidRDefault="001437E3" w:rsidP="001437E3">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Sirve de apoyo por analogía sustancial, la tesis</w:t>
      </w:r>
      <w:r>
        <w:rPr>
          <w:rStyle w:val="Refdenotaalpie"/>
          <w:rFonts w:ascii="Arial" w:hAnsi="Arial" w:cs="Arial"/>
          <w:bCs/>
          <w:snapToGrid w:val="0"/>
          <w:sz w:val="24"/>
          <w:szCs w:val="27"/>
        </w:rPr>
        <w:footnoteReference w:id="3"/>
      </w:r>
      <w:r>
        <w:rPr>
          <w:rFonts w:ascii="Arial" w:hAnsi="Arial" w:cs="Arial"/>
          <w:bCs/>
          <w:snapToGrid w:val="0"/>
          <w:sz w:val="24"/>
          <w:szCs w:val="27"/>
        </w:rPr>
        <w:t>, de rubo y texto siguiente</w:t>
      </w:r>
    </w:p>
    <w:p w14:paraId="4EF724C4" w14:textId="77777777" w:rsidR="001437E3" w:rsidRPr="009077DC" w:rsidRDefault="001437E3" w:rsidP="001437E3">
      <w:pPr>
        <w:ind w:left="567" w:right="48"/>
        <w:jc w:val="both"/>
        <w:rPr>
          <w:rFonts w:ascii="Arial" w:hAnsi="Arial" w:cs="Arial"/>
          <w:bCs/>
          <w:i/>
          <w:snapToGrid w:val="0"/>
          <w:sz w:val="24"/>
          <w:szCs w:val="27"/>
        </w:rPr>
      </w:pPr>
      <w:r>
        <w:rPr>
          <w:rFonts w:ascii="Arial" w:hAnsi="Arial" w:cs="Arial"/>
          <w:b/>
          <w:bCs/>
          <w:i/>
          <w:snapToGrid w:val="0"/>
          <w:sz w:val="24"/>
          <w:szCs w:val="27"/>
        </w:rPr>
        <w:t>“</w:t>
      </w:r>
      <w:r w:rsidRPr="009077DC">
        <w:rPr>
          <w:rFonts w:ascii="Arial" w:hAnsi="Arial" w:cs="Arial"/>
          <w:b/>
          <w:bCs/>
          <w:i/>
          <w:snapToGrid w:val="0"/>
          <w:sz w:val="24"/>
          <w:szCs w:val="27"/>
        </w:rPr>
        <w:t>FUNDAMENTACION Y MOTIVACION, CONCEPTO DE.</w:t>
      </w:r>
      <w:r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A4A5D60" w14:textId="77777777" w:rsidR="001437E3" w:rsidRDefault="001437E3" w:rsidP="001437E3">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4"/>
      </w:r>
      <w:r>
        <w:rPr>
          <w:rFonts w:ascii="Arial" w:hAnsi="Arial" w:cs="Arial"/>
          <w:bCs/>
          <w:snapToGrid w:val="0"/>
          <w:sz w:val="24"/>
          <w:szCs w:val="27"/>
        </w:rPr>
        <w:t xml:space="preserve"> de rubro y texto siguiente:</w:t>
      </w:r>
    </w:p>
    <w:p w14:paraId="11ED147A" w14:textId="77777777" w:rsidR="001437E3" w:rsidRPr="002B3DC2" w:rsidRDefault="001437E3" w:rsidP="001437E3">
      <w:pPr>
        <w:ind w:left="567" w:right="51"/>
        <w:jc w:val="both"/>
        <w:rPr>
          <w:rFonts w:ascii="Arial" w:hAnsi="Arial" w:cs="Arial"/>
          <w:bCs/>
          <w:i/>
          <w:iCs/>
          <w:snapToGrid w:val="0"/>
          <w:sz w:val="24"/>
          <w:szCs w:val="27"/>
        </w:rPr>
      </w:pPr>
      <w:r>
        <w:rPr>
          <w:rFonts w:ascii="Arial" w:hAnsi="Arial" w:cs="Arial"/>
          <w:b/>
          <w:i/>
          <w:iCs/>
          <w:snapToGrid w:val="0"/>
          <w:sz w:val="24"/>
          <w:szCs w:val="27"/>
        </w:rPr>
        <w:t>“</w:t>
      </w:r>
      <w:r w:rsidRPr="002B3DC2">
        <w:rPr>
          <w:rFonts w:ascii="Arial" w:hAnsi="Arial" w:cs="Arial"/>
          <w:b/>
          <w:i/>
          <w:iCs/>
          <w:snapToGrid w:val="0"/>
          <w:sz w:val="24"/>
          <w:szCs w:val="27"/>
        </w:rPr>
        <w:t>FUNDAMENTACION Y MOTIVACION DE LOS ACTOS ADMINISTRATIVOS.</w:t>
      </w:r>
      <w:r w:rsidRPr="002B3DC2">
        <w:rPr>
          <w:rFonts w:ascii="Arial" w:hAnsi="Arial" w:cs="Arial"/>
          <w:bCs/>
          <w:i/>
          <w:iCs/>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w:t>
      </w:r>
      <w:r w:rsidRPr="002B3DC2">
        <w:rPr>
          <w:rFonts w:ascii="Arial" w:hAnsi="Arial" w:cs="Arial"/>
          <w:bCs/>
          <w:i/>
          <w:iCs/>
          <w:snapToGrid w:val="0"/>
          <w:sz w:val="24"/>
          <w:szCs w:val="27"/>
        </w:rPr>
        <w:lastRenderedPageBreak/>
        <w:t>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iCs/>
          <w:snapToGrid w:val="0"/>
          <w:sz w:val="24"/>
          <w:szCs w:val="27"/>
        </w:rPr>
        <w:t>”</w:t>
      </w:r>
    </w:p>
    <w:p w14:paraId="4F3755AD" w14:textId="2FF5F743" w:rsidR="001437E3" w:rsidRDefault="001437E3" w:rsidP="001437E3">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ende, al no contener una correcta motivación y fundamentación, </w:t>
      </w:r>
      <w:r w:rsidR="00D27299">
        <w:rPr>
          <w:rFonts w:ascii="Arial" w:hAnsi="Arial" w:cs="Arial"/>
          <w:sz w:val="24"/>
          <w:szCs w:val="24"/>
        </w:rPr>
        <w:t xml:space="preserve">el oficio </w:t>
      </w:r>
      <w:r w:rsidR="004A5433">
        <w:rPr>
          <w:rFonts w:ascii="Arial" w:eastAsia="Times New Roman" w:hAnsi="Arial" w:cs="Arial"/>
          <w:sz w:val="24"/>
          <w:szCs w:val="27"/>
          <w:lang w:val="es-ES_tradnl" w:eastAsia="es-ES"/>
        </w:rPr>
        <w:t>*****</w:t>
      </w:r>
      <w:r w:rsidR="00D27299">
        <w:rPr>
          <w:rFonts w:ascii="Arial" w:hAnsi="Arial" w:cs="Arial"/>
          <w:sz w:val="24"/>
          <w:szCs w:val="24"/>
        </w:rPr>
        <w:t xml:space="preserve">, de fecha </w:t>
      </w:r>
      <w:r w:rsidR="004A5433">
        <w:rPr>
          <w:rFonts w:ascii="Arial" w:eastAsia="Times New Roman" w:hAnsi="Arial" w:cs="Arial"/>
          <w:sz w:val="24"/>
          <w:szCs w:val="27"/>
          <w:lang w:val="es-ES_tradnl" w:eastAsia="es-ES"/>
        </w:rPr>
        <w:t>***** de ***** de *****</w:t>
      </w:r>
      <w:r w:rsidR="00D27299">
        <w:rPr>
          <w:rFonts w:ascii="Arial" w:hAnsi="Arial" w:cs="Arial"/>
          <w:sz w:val="24"/>
          <w:szCs w:val="24"/>
        </w:rPr>
        <w:t>, suscrito por el Director General de la Oficina de Pensiones del Estado de Oaxaca</w:t>
      </w:r>
      <w:r>
        <w:rPr>
          <w:rFonts w:ascii="Arial" w:hAnsi="Arial" w:cs="Arial"/>
          <w:bCs/>
          <w:snapToGrid w:val="0"/>
          <w:sz w:val="24"/>
          <w:szCs w:val="27"/>
        </w:rPr>
        <w:t xml:space="preserve">, resulta ilegal porque contraviene a los requisitos fundamentales de todo acto administrativo, previstos en el artículo 17 fracción V de la Ley de Procedimiento y Justicia Administrativa para el Estado de Oaxaca; por lo que se estima que los argumentos vertidos por la autoridad demandada tendientes a desvirtuar la demanda en su contra, resultan ineficaces y </w:t>
      </w:r>
      <w:r w:rsidR="00D27299">
        <w:rPr>
          <w:rFonts w:ascii="Arial" w:hAnsi="Arial" w:cs="Arial"/>
          <w:bCs/>
          <w:snapToGrid w:val="0"/>
          <w:sz w:val="24"/>
          <w:szCs w:val="27"/>
        </w:rPr>
        <w:t>el</w:t>
      </w:r>
      <w:r>
        <w:rPr>
          <w:rFonts w:ascii="Arial" w:hAnsi="Arial" w:cs="Arial"/>
          <w:bCs/>
          <w:snapToGrid w:val="0"/>
          <w:sz w:val="24"/>
          <w:szCs w:val="27"/>
        </w:rPr>
        <w:t xml:space="preserve"> acto impugnado resulta estar elaborado sin cumplir con los requisitos de validez y eficacia dictados por la Ley de Procedimiento y Justicia Administrativa del Estado.</w:t>
      </w:r>
    </w:p>
    <w:p w14:paraId="07B0F345" w14:textId="6BE10F34" w:rsidR="006167CB" w:rsidRDefault="006167CB" w:rsidP="006167CB">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relatadas consideraciones, la respuesta contenida en el </w:t>
      </w:r>
      <w:r>
        <w:rPr>
          <w:rFonts w:ascii="Arial" w:hAnsi="Arial" w:cs="Arial"/>
          <w:sz w:val="24"/>
          <w:szCs w:val="24"/>
        </w:rPr>
        <w:t xml:space="preserve">oficio en estudio, se encuentra </w:t>
      </w:r>
      <w:r>
        <w:rPr>
          <w:rFonts w:ascii="Arial" w:hAnsi="Arial" w:cs="Arial"/>
          <w:bCs/>
          <w:snapToGrid w:val="0"/>
          <w:sz w:val="24"/>
          <w:szCs w:val="27"/>
        </w:rPr>
        <w:t xml:space="preserve">elaborado sin tener una adecuada motivación y fundamentación, por ello, el concepto de impugnación </w:t>
      </w:r>
      <w:r w:rsidRPr="006E4D12">
        <w:rPr>
          <w:rFonts w:ascii="Arial" w:hAnsi="Arial" w:cs="Arial"/>
          <w:b/>
          <w:snapToGrid w:val="0"/>
          <w:sz w:val="24"/>
          <w:szCs w:val="27"/>
        </w:rPr>
        <w:t>PRIMERO</w:t>
      </w:r>
      <w:r>
        <w:rPr>
          <w:rFonts w:ascii="Arial" w:hAnsi="Arial" w:cs="Arial"/>
          <w:bCs/>
          <w:snapToGrid w:val="0"/>
          <w:sz w:val="24"/>
          <w:szCs w:val="27"/>
        </w:rPr>
        <w:t xml:space="preserve"> hecho valer por el actor resulta </w:t>
      </w:r>
      <w:r w:rsidRPr="006D4455">
        <w:rPr>
          <w:rFonts w:ascii="Arial" w:hAnsi="Arial" w:cs="Arial"/>
          <w:b/>
          <w:snapToGrid w:val="0"/>
          <w:sz w:val="24"/>
          <w:szCs w:val="27"/>
        </w:rPr>
        <w:t>FUNDADO</w:t>
      </w:r>
      <w:r>
        <w:rPr>
          <w:rFonts w:ascii="Arial" w:hAnsi="Arial" w:cs="Arial"/>
          <w:bCs/>
          <w:snapToGrid w:val="0"/>
          <w:sz w:val="24"/>
          <w:szCs w:val="27"/>
        </w:rPr>
        <w:t xml:space="preserve">; por tanto,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w:t>
      </w:r>
      <w:r>
        <w:rPr>
          <w:rFonts w:ascii="Arial" w:hAnsi="Arial" w:cs="Arial"/>
          <w:bCs/>
          <w:snapToGrid w:val="0"/>
          <w:sz w:val="24"/>
          <w:szCs w:val="27"/>
        </w:rPr>
        <w:t>l</w:t>
      </w:r>
      <w:r w:rsidRPr="00A40006">
        <w:rPr>
          <w:rFonts w:ascii="Arial" w:hAnsi="Arial" w:cs="Arial"/>
          <w:bCs/>
          <w:snapToGrid w:val="0"/>
          <w:sz w:val="24"/>
          <w:szCs w:val="27"/>
        </w:rPr>
        <w:t xml:space="preserve"> </w:t>
      </w:r>
      <w:r>
        <w:rPr>
          <w:rFonts w:ascii="Arial" w:hAnsi="Arial" w:cs="Arial"/>
          <w:sz w:val="24"/>
          <w:szCs w:val="24"/>
        </w:rPr>
        <w:t xml:space="preserve">oficio </w:t>
      </w:r>
      <w:r w:rsidR="004A5433">
        <w:rPr>
          <w:rFonts w:ascii="Arial" w:eastAsia="Times New Roman" w:hAnsi="Arial" w:cs="Arial"/>
          <w:sz w:val="24"/>
          <w:szCs w:val="27"/>
          <w:lang w:val="es-ES_tradnl" w:eastAsia="es-ES"/>
        </w:rPr>
        <w:t>*****, de fecha ***** de ***** de *****</w:t>
      </w:r>
      <w:r>
        <w:rPr>
          <w:rFonts w:ascii="Arial" w:hAnsi="Arial" w:cs="Arial"/>
          <w:sz w:val="24"/>
          <w:szCs w:val="24"/>
        </w:rPr>
        <w:t>, suscrito por el Director General de la Oficina de Pensiones del Estado de Oaxaca</w:t>
      </w:r>
      <w:r>
        <w:rPr>
          <w:rFonts w:ascii="Arial" w:hAnsi="Arial" w:cs="Arial"/>
          <w:bCs/>
          <w:snapToGrid w:val="0"/>
          <w:sz w:val="24"/>
          <w:szCs w:val="27"/>
        </w:rPr>
        <w:t>;</w:t>
      </w:r>
      <w:r w:rsidRPr="00A40006">
        <w:rPr>
          <w:rFonts w:ascii="Arial" w:hAnsi="Arial" w:cs="Arial"/>
          <w:bCs/>
          <w:snapToGrid w:val="0"/>
          <w:sz w:val="24"/>
          <w:szCs w:val="27"/>
        </w:rPr>
        <w:t xml:space="preserve"> </w:t>
      </w:r>
      <w:r w:rsidRPr="006F0524">
        <w:rPr>
          <w:rFonts w:ascii="Arial" w:hAnsi="Arial" w:cs="Arial"/>
          <w:bCs/>
          <w:snapToGrid w:val="0"/>
          <w:sz w:val="24"/>
          <w:szCs w:val="27"/>
        </w:rPr>
        <w:t xml:space="preserve">en consecuencia, </w:t>
      </w:r>
      <w:r w:rsidRPr="004530CE">
        <w:rPr>
          <w:rFonts w:ascii="Arial" w:hAnsi="Arial" w:cs="Arial"/>
          <w:bCs/>
          <w:snapToGrid w:val="0"/>
          <w:sz w:val="24"/>
          <w:szCs w:val="27"/>
          <w:u w:val="single"/>
        </w:rPr>
        <w:t>se ordena a esa</w:t>
      </w:r>
      <w:r w:rsidR="00C2583B">
        <w:rPr>
          <w:rFonts w:ascii="Arial" w:hAnsi="Arial" w:cs="Arial"/>
          <w:bCs/>
          <w:snapToGrid w:val="0"/>
          <w:sz w:val="24"/>
          <w:szCs w:val="27"/>
          <w:u w:val="single"/>
        </w:rPr>
        <w:t xml:space="preserve"> </w:t>
      </w:r>
      <w:r w:rsidRPr="004530CE">
        <w:rPr>
          <w:rFonts w:ascii="Arial" w:hAnsi="Arial" w:cs="Arial"/>
          <w:bCs/>
          <w:snapToGrid w:val="0"/>
          <w:sz w:val="24"/>
          <w:szCs w:val="27"/>
          <w:u w:val="single"/>
        </w:rPr>
        <w:t>autoridad demandada para que a través de sí misma o de quien sea legalmente competente, realice la baja de</w:t>
      </w:r>
      <w:r>
        <w:rPr>
          <w:rFonts w:ascii="Arial" w:hAnsi="Arial" w:cs="Arial"/>
          <w:bCs/>
          <w:snapToGrid w:val="0"/>
          <w:sz w:val="24"/>
          <w:szCs w:val="27"/>
          <w:u w:val="single"/>
        </w:rPr>
        <w:t>l</w:t>
      </w:r>
      <w:r w:rsidRPr="004530CE">
        <w:rPr>
          <w:rFonts w:ascii="Arial" w:hAnsi="Arial" w:cs="Arial"/>
          <w:bCs/>
          <w:snapToGrid w:val="0"/>
          <w:sz w:val="24"/>
          <w:szCs w:val="27"/>
          <w:u w:val="single"/>
        </w:rPr>
        <w:t xml:space="preserve"> </w:t>
      </w:r>
      <w:r>
        <w:rPr>
          <w:rFonts w:ascii="Arial" w:hAnsi="Arial" w:cs="Arial"/>
          <w:bCs/>
          <w:snapToGrid w:val="0"/>
          <w:sz w:val="24"/>
          <w:szCs w:val="27"/>
          <w:u w:val="single"/>
        </w:rPr>
        <w:t>citado oficio</w:t>
      </w:r>
      <w:r w:rsidRPr="004530CE">
        <w:rPr>
          <w:rFonts w:ascii="Arial" w:hAnsi="Arial" w:cs="Arial"/>
          <w:bCs/>
          <w:snapToGrid w:val="0"/>
          <w:sz w:val="24"/>
          <w:szCs w:val="27"/>
          <w:u w:val="single"/>
        </w:rPr>
        <w:t xml:space="preserve"> del sistema electrónico y/o documental que para</w:t>
      </w:r>
      <w:r>
        <w:rPr>
          <w:rFonts w:ascii="Arial" w:hAnsi="Arial" w:cs="Arial"/>
          <w:bCs/>
          <w:snapToGrid w:val="0"/>
          <w:sz w:val="24"/>
          <w:szCs w:val="27"/>
          <w:u w:val="single"/>
        </w:rPr>
        <w:t xml:space="preserve"> tal efecto lleve esa autoridad.</w:t>
      </w:r>
    </w:p>
    <w:p w14:paraId="2A715DC2" w14:textId="77777777" w:rsidR="006167CB" w:rsidRPr="004A6487" w:rsidRDefault="006167CB" w:rsidP="006167CB">
      <w:pPr>
        <w:spacing w:line="360" w:lineRule="auto"/>
        <w:ind w:firstLine="567"/>
        <w:jc w:val="both"/>
        <w:rPr>
          <w:rFonts w:ascii="Arial" w:hAnsi="Arial" w:cs="Arial"/>
          <w:bCs/>
          <w:snapToGrid w:val="0"/>
          <w:sz w:val="24"/>
          <w:szCs w:val="27"/>
        </w:rPr>
      </w:pPr>
      <w:r>
        <w:rPr>
          <w:rFonts w:ascii="Arial" w:hAnsi="Arial" w:cs="Arial"/>
          <w:bCs/>
          <w:snapToGrid w:val="0"/>
          <w:sz w:val="24"/>
          <w:szCs w:val="27"/>
        </w:rPr>
        <w:t>A</w:t>
      </w:r>
      <w:r w:rsidRPr="004A6487">
        <w:rPr>
          <w:rFonts w:ascii="Arial" w:hAnsi="Arial" w:cs="Arial"/>
          <w:bCs/>
          <w:snapToGrid w:val="0"/>
          <w:sz w:val="24"/>
          <w:szCs w:val="27"/>
        </w:rPr>
        <w:t xml:space="preserve"> todo lo antes expuesto, sirve de apoyo por analogía jurídica sustancial la tesis</w:t>
      </w:r>
      <w:r>
        <w:rPr>
          <w:rStyle w:val="Refdenotaalpie"/>
          <w:rFonts w:ascii="Arial" w:hAnsi="Arial" w:cs="Arial"/>
          <w:bCs/>
          <w:snapToGrid w:val="0"/>
          <w:sz w:val="24"/>
          <w:szCs w:val="27"/>
        </w:rPr>
        <w:footnoteReference w:id="5"/>
      </w:r>
      <w:r w:rsidRPr="004A6487">
        <w:rPr>
          <w:rFonts w:ascii="Arial" w:hAnsi="Arial" w:cs="Arial"/>
          <w:bCs/>
          <w:snapToGrid w:val="0"/>
          <w:sz w:val="24"/>
          <w:szCs w:val="27"/>
        </w:rPr>
        <w:t xml:space="preserve"> </w:t>
      </w:r>
      <w:r>
        <w:rPr>
          <w:rFonts w:ascii="Arial" w:hAnsi="Arial" w:cs="Arial"/>
          <w:bCs/>
          <w:snapToGrid w:val="0"/>
          <w:sz w:val="24"/>
          <w:szCs w:val="27"/>
        </w:rPr>
        <w:t>con el siguiente rubro y texto:</w:t>
      </w:r>
    </w:p>
    <w:p w14:paraId="5A269E16" w14:textId="77777777" w:rsidR="006167CB" w:rsidRPr="0093409F" w:rsidRDefault="006167CB" w:rsidP="006167CB">
      <w:pPr>
        <w:ind w:left="567" w:right="48"/>
        <w:jc w:val="both"/>
        <w:rPr>
          <w:rFonts w:ascii="Arial" w:hAnsi="Arial" w:cs="Arial"/>
          <w:bCs/>
          <w:i/>
          <w:snapToGrid w:val="0"/>
          <w:sz w:val="24"/>
          <w:szCs w:val="27"/>
        </w:rPr>
      </w:pPr>
      <w:r w:rsidRPr="0093409F">
        <w:rPr>
          <w:rFonts w:ascii="Arial" w:hAnsi="Arial" w:cs="Arial"/>
          <w:b/>
          <w:bCs/>
          <w:i/>
          <w:snapToGrid w:val="0"/>
          <w:sz w:val="24"/>
          <w:szCs w:val="27"/>
        </w:rPr>
        <w:t>“FUNDAMENTACIÓN Y MOTIVACIÓN, FALTA O INDEBIDA. EN CUANTO SON DISTINTAS, UNAS GENERAN NULIDAD LISA Y LLANA Y OTRAS PARA EFECTOS.</w:t>
      </w:r>
      <w:r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w:t>
      </w:r>
      <w:r w:rsidRPr="0093409F">
        <w:rPr>
          <w:rFonts w:ascii="Arial" w:hAnsi="Arial" w:cs="Arial"/>
          <w:bCs/>
          <w:i/>
          <w:snapToGrid w:val="0"/>
          <w:sz w:val="24"/>
          <w:szCs w:val="27"/>
        </w:rPr>
        <w:lastRenderedPageBreak/>
        <w:t>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4CE84F16" w14:textId="7802F56F" w:rsidR="00426EF5" w:rsidRDefault="0090021F" w:rsidP="001E445E">
      <w:pPr>
        <w:spacing w:line="360" w:lineRule="auto"/>
        <w:ind w:firstLine="567"/>
        <w:jc w:val="both"/>
        <w:rPr>
          <w:rFonts w:ascii="Arial" w:hAnsi="Arial" w:cs="Arial"/>
          <w:sz w:val="24"/>
          <w:szCs w:val="24"/>
        </w:rPr>
      </w:pPr>
      <w:r w:rsidRPr="0090021F">
        <w:rPr>
          <w:rFonts w:ascii="Arial" w:hAnsi="Arial" w:cs="Arial"/>
          <w:b/>
          <w:bCs/>
          <w:sz w:val="24"/>
          <w:szCs w:val="24"/>
        </w:rPr>
        <w:t>SEXTO.</w:t>
      </w:r>
      <w:r>
        <w:rPr>
          <w:rFonts w:ascii="Arial" w:hAnsi="Arial" w:cs="Arial"/>
          <w:sz w:val="24"/>
          <w:szCs w:val="24"/>
        </w:rPr>
        <w:t xml:space="preserve"> </w:t>
      </w:r>
      <w:r w:rsidR="00426EF5">
        <w:rPr>
          <w:rFonts w:ascii="Arial" w:hAnsi="Arial" w:cs="Arial"/>
          <w:sz w:val="24"/>
          <w:szCs w:val="24"/>
        </w:rPr>
        <w:t xml:space="preserve">Por otra parte, el actor también impugna el </w:t>
      </w:r>
      <w:r w:rsidR="00426EF5" w:rsidRPr="00BD4FC7">
        <w:rPr>
          <w:rFonts w:ascii="Arial" w:hAnsi="Arial" w:cs="Arial"/>
          <w:sz w:val="24"/>
          <w:szCs w:val="24"/>
        </w:rPr>
        <w:t xml:space="preserve">oficio número </w:t>
      </w:r>
      <w:r w:rsidR="004A5433">
        <w:rPr>
          <w:rFonts w:ascii="Arial" w:eastAsia="Times New Roman" w:hAnsi="Arial" w:cs="Arial"/>
          <w:sz w:val="24"/>
          <w:szCs w:val="27"/>
          <w:lang w:val="es-ES_tradnl" w:eastAsia="es-ES"/>
        </w:rPr>
        <w:t>*****, de fecha ***** de ***** de *****</w:t>
      </w:r>
      <w:r w:rsidR="00426EF5" w:rsidRPr="00BD4FC7">
        <w:rPr>
          <w:rFonts w:ascii="Arial" w:hAnsi="Arial" w:cs="Arial"/>
          <w:sz w:val="24"/>
          <w:szCs w:val="24"/>
        </w:rPr>
        <w:t>, emitido por</w:t>
      </w:r>
      <w:r w:rsidR="00426EF5">
        <w:rPr>
          <w:rFonts w:ascii="Arial" w:hAnsi="Arial" w:cs="Arial"/>
          <w:sz w:val="24"/>
          <w:szCs w:val="24"/>
        </w:rPr>
        <w:t xml:space="preserve"> el</w:t>
      </w:r>
      <w:r w:rsidR="00426EF5" w:rsidRPr="00BD4FC7">
        <w:rPr>
          <w:rFonts w:ascii="Arial" w:hAnsi="Arial" w:cs="Arial"/>
          <w:sz w:val="24"/>
          <w:szCs w:val="24"/>
        </w:rPr>
        <w:t xml:space="preserve"> Director General de la Oficina de Pensiones del Estado </w:t>
      </w:r>
      <w:r w:rsidR="00426EF5">
        <w:rPr>
          <w:rFonts w:ascii="Arial" w:hAnsi="Arial" w:cs="Arial"/>
          <w:sz w:val="24"/>
          <w:szCs w:val="24"/>
        </w:rPr>
        <w:t xml:space="preserve">de Oaxaca, y que conforme a lo expuesto en su concepto de impugnación </w:t>
      </w:r>
      <w:r w:rsidR="00426EF5" w:rsidRPr="00FA23CA">
        <w:rPr>
          <w:rFonts w:ascii="Arial" w:hAnsi="Arial" w:cs="Arial"/>
          <w:b/>
          <w:bCs/>
          <w:sz w:val="24"/>
          <w:szCs w:val="24"/>
        </w:rPr>
        <w:t>PRIMERO</w:t>
      </w:r>
      <w:r w:rsidR="00426EF5">
        <w:rPr>
          <w:rFonts w:ascii="Arial" w:hAnsi="Arial" w:cs="Arial"/>
          <w:sz w:val="24"/>
          <w:szCs w:val="24"/>
        </w:rPr>
        <w:t xml:space="preserve"> de su escrito de demanda, argumenta que dicho oficio que tiene el dictamen de pensión resulta ilegal, dado que la cantidad otorgada es incorrecta al no habérsele integrado los conceptos que contempla el artículo 54 de la </w:t>
      </w:r>
      <w:r w:rsidR="00426EF5" w:rsidRPr="0044789D">
        <w:rPr>
          <w:rFonts w:ascii="Arial" w:hAnsi="Arial" w:cs="Arial"/>
          <w:sz w:val="24"/>
          <w:szCs w:val="24"/>
        </w:rPr>
        <w:t xml:space="preserve">Ley de Pensiones para los </w:t>
      </w:r>
      <w:r w:rsidR="00426EF5">
        <w:rPr>
          <w:rFonts w:ascii="Arial" w:hAnsi="Arial" w:cs="Arial"/>
          <w:sz w:val="24"/>
          <w:szCs w:val="24"/>
        </w:rPr>
        <w:t>T</w:t>
      </w:r>
      <w:r w:rsidR="00426EF5" w:rsidRPr="0044789D">
        <w:rPr>
          <w:rFonts w:ascii="Arial" w:hAnsi="Arial" w:cs="Arial"/>
          <w:sz w:val="24"/>
          <w:szCs w:val="24"/>
        </w:rPr>
        <w:t>rabajadores del Gobierno del Estado de Oaxaca</w:t>
      </w:r>
      <w:r w:rsidR="00426EF5">
        <w:rPr>
          <w:rFonts w:ascii="Arial" w:hAnsi="Arial" w:cs="Arial"/>
          <w:sz w:val="24"/>
          <w:szCs w:val="24"/>
        </w:rPr>
        <w:t xml:space="preserve"> vigente</w:t>
      </w:r>
    </w:p>
    <w:p w14:paraId="2DADDE01" w14:textId="29E2C466" w:rsidR="001E445E" w:rsidRDefault="00146BC9" w:rsidP="001E445E">
      <w:pPr>
        <w:spacing w:line="360" w:lineRule="auto"/>
        <w:ind w:firstLine="567"/>
        <w:jc w:val="both"/>
        <w:rPr>
          <w:rFonts w:ascii="Arial" w:hAnsi="Arial" w:cs="Arial"/>
          <w:sz w:val="24"/>
          <w:szCs w:val="24"/>
        </w:rPr>
      </w:pPr>
      <w:r>
        <w:rPr>
          <w:rFonts w:ascii="Arial" w:hAnsi="Arial" w:cs="Arial"/>
          <w:sz w:val="24"/>
          <w:szCs w:val="24"/>
        </w:rPr>
        <w:t>Ahora, esta</w:t>
      </w:r>
      <w:r w:rsidR="001E445E" w:rsidRPr="00BD4FC7">
        <w:rPr>
          <w:rFonts w:ascii="Arial" w:hAnsi="Arial" w:cs="Arial"/>
          <w:sz w:val="24"/>
          <w:szCs w:val="24"/>
        </w:rPr>
        <w:t xml:space="preserve"> Sala </w:t>
      </w:r>
      <w:r w:rsidR="001E445E">
        <w:rPr>
          <w:rFonts w:ascii="Arial" w:hAnsi="Arial" w:cs="Arial"/>
          <w:sz w:val="24"/>
          <w:szCs w:val="24"/>
        </w:rPr>
        <w:t>Unitaria al</w:t>
      </w:r>
      <w:r w:rsidR="001E445E" w:rsidRPr="00BD4FC7">
        <w:rPr>
          <w:rFonts w:ascii="Arial" w:hAnsi="Arial" w:cs="Arial"/>
          <w:sz w:val="24"/>
          <w:szCs w:val="24"/>
        </w:rPr>
        <w:t xml:space="preserve"> realiza</w:t>
      </w:r>
      <w:r w:rsidR="002F47FD">
        <w:rPr>
          <w:rFonts w:ascii="Arial" w:hAnsi="Arial" w:cs="Arial"/>
          <w:sz w:val="24"/>
          <w:szCs w:val="24"/>
        </w:rPr>
        <w:t>r</w:t>
      </w:r>
      <w:r w:rsidR="001E445E" w:rsidRPr="00BD4FC7">
        <w:rPr>
          <w:rFonts w:ascii="Arial" w:hAnsi="Arial" w:cs="Arial"/>
          <w:sz w:val="24"/>
          <w:szCs w:val="24"/>
        </w:rPr>
        <w:t xml:space="preserve"> un estudio minucioso y pormenorizado del oficio número </w:t>
      </w:r>
      <w:bookmarkStart w:id="1" w:name="_Hlk124431091"/>
      <w:r w:rsidR="004A5433">
        <w:rPr>
          <w:rFonts w:ascii="Arial" w:eastAsia="Times New Roman" w:hAnsi="Arial" w:cs="Arial"/>
          <w:sz w:val="24"/>
          <w:szCs w:val="27"/>
          <w:lang w:val="es-ES_tradnl" w:eastAsia="es-ES"/>
        </w:rPr>
        <w:t>*****, de fecha ***** de ***** de *****</w:t>
      </w:r>
      <w:bookmarkEnd w:id="1"/>
      <w:r w:rsidR="001E445E" w:rsidRPr="00BD4FC7">
        <w:rPr>
          <w:rFonts w:ascii="Arial" w:hAnsi="Arial" w:cs="Arial"/>
          <w:sz w:val="24"/>
          <w:szCs w:val="24"/>
        </w:rPr>
        <w:t>, emitido por</w:t>
      </w:r>
      <w:r w:rsidR="00872189">
        <w:rPr>
          <w:rFonts w:ascii="Arial" w:hAnsi="Arial" w:cs="Arial"/>
          <w:sz w:val="24"/>
          <w:szCs w:val="24"/>
        </w:rPr>
        <w:t xml:space="preserve"> </w:t>
      </w:r>
      <w:r w:rsidR="001835B5">
        <w:rPr>
          <w:rFonts w:ascii="Arial" w:hAnsi="Arial" w:cs="Arial"/>
          <w:sz w:val="24"/>
          <w:szCs w:val="24"/>
        </w:rPr>
        <w:t>el</w:t>
      </w:r>
      <w:r w:rsidR="001E445E" w:rsidRPr="00BD4FC7">
        <w:rPr>
          <w:rFonts w:ascii="Arial" w:hAnsi="Arial" w:cs="Arial"/>
          <w:sz w:val="24"/>
          <w:szCs w:val="24"/>
        </w:rPr>
        <w:t xml:space="preserve"> Director General de la Oficina de Pensiones del Estado </w:t>
      </w:r>
      <w:r w:rsidR="001E445E">
        <w:rPr>
          <w:rFonts w:ascii="Arial" w:hAnsi="Arial" w:cs="Arial"/>
          <w:sz w:val="24"/>
          <w:szCs w:val="24"/>
        </w:rPr>
        <w:t>de Oaxaca (foja 1</w:t>
      </w:r>
      <w:r w:rsidR="006253CF">
        <w:rPr>
          <w:rFonts w:ascii="Arial" w:hAnsi="Arial" w:cs="Arial"/>
          <w:sz w:val="24"/>
          <w:szCs w:val="24"/>
        </w:rPr>
        <w:t>9</w:t>
      </w:r>
      <w:r w:rsidR="001E445E">
        <w:rPr>
          <w:rFonts w:ascii="Arial" w:hAnsi="Arial" w:cs="Arial"/>
          <w:sz w:val="24"/>
          <w:szCs w:val="24"/>
        </w:rPr>
        <w:t>), en términos del artículo 20</w:t>
      </w:r>
      <w:r w:rsidR="001E445E" w:rsidRPr="00BD4FC7">
        <w:rPr>
          <w:rFonts w:ascii="Arial" w:hAnsi="Arial" w:cs="Arial"/>
          <w:sz w:val="24"/>
          <w:szCs w:val="24"/>
        </w:rPr>
        <w:t xml:space="preserve">3 fracción I de la Ley de </w:t>
      </w:r>
      <w:r w:rsidR="001E445E">
        <w:rPr>
          <w:rFonts w:ascii="Arial" w:hAnsi="Arial" w:cs="Arial"/>
          <w:sz w:val="24"/>
          <w:szCs w:val="24"/>
        </w:rPr>
        <w:t xml:space="preserve">Procedimiento y </w:t>
      </w:r>
      <w:r w:rsidR="001E445E" w:rsidRPr="00BD4FC7">
        <w:rPr>
          <w:rFonts w:ascii="Arial" w:hAnsi="Arial" w:cs="Arial"/>
          <w:sz w:val="24"/>
          <w:szCs w:val="24"/>
        </w:rPr>
        <w:t>Justicia Administrativa para el Estado de Oaxaca,</w:t>
      </w:r>
      <w:r w:rsidR="001E445E">
        <w:rPr>
          <w:rFonts w:ascii="Arial" w:hAnsi="Arial" w:cs="Arial"/>
          <w:sz w:val="24"/>
          <w:szCs w:val="24"/>
        </w:rPr>
        <w:t xml:space="preserve"> se le otorga</w:t>
      </w:r>
      <w:r w:rsidR="001E445E" w:rsidRPr="00BD4FC7">
        <w:rPr>
          <w:rFonts w:ascii="Arial" w:hAnsi="Arial" w:cs="Arial"/>
          <w:sz w:val="24"/>
          <w:szCs w:val="24"/>
        </w:rPr>
        <w:t xml:space="preserve"> valor probatorio pleno al</w:t>
      </w:r>
      <w:r w:rsidR="001E445E">
        <w:rPr>
          <w:rFonts w:ascii="Arial" w:hAnsi="Arial" w:cs="Arial"/>
          <w:sz w:val="24"/>
          <w:szCs w:val="24"/>
        </w:rPr>
        <w:t xml:space="preserve"> tratarse de un </w:t>
      </w:r>
      <w:r w:rsidR="001E445E" w:rsidRPr="00BD4FC7">
        <w:rPr>
          <w:rFonts w:ascii="Arial" w:hAnsi="Arial" w:cs="Arial"/>
          <w:sz w:val="24"/>
          <w:szCs w:val="24"/>
        </w:rPr>
        <w:t>documento público,</w:t>
      </w:r>
      <w:r w:rsidR="001E445E">
        <w:rPr>
          <w:rFonts w:ascii="Arial" w:hAnsi="Arial" w:cs="Arial"/>
          <w:sz w:val="24"/>
          <w:szCs w:val="24"/>
        </w:rPr>
        <w:t xml:space="preserve"> </w:t>
      </w:r>
      <w:r w:rsidR="001E445E" w:rsidRPr="00BD4FC7">
        <w:rPr>
          <w:rFonts w:ascii="Arial" w:hAnsi="Arial" w:cs="Arial"/>
          <w:sz w:val="24"/>
          <w:szCs w:val="24"/>
        </w:rPr>
        <w:t>expedido por funcionario público en ejercici</w:t>
      </w:r>
      <w:r w:rsidR="001E445E">
        <w:rPr>
          <w:rFonts w:ascii="Arial" w:hAnsi="Arial" w:cs="Arial"/>
          <w:sz w:val="24"/>
          <w:szCs w:val="24"/>
        </w:rPr>
        <w:t xml:space="preserve">o de sus funciones </w:t>
      </w:r>
      <w:r w:rsidR="001E445E" w:rsidRPr="00695463">
        <w:rPr>
          <w:rFonts w:ascii="Arial" w:hAnsi="Arial" w:cs="Arial"/>
          <w:sz w:val="24"/>
          <w:szCs w:val="24"/>
        </w:rPr>
        <w:t xml:space="preserve">y </w:t>
      </w:r>
      <w:r w:rsidR="001E445E" w:rsidRPr="00AC5A1B">
        <w:rPr>
          <w:rFonts w:ascii="Arial" w:hAnsi="Arial" w:cs="Arial"/>
          <w:sz w:val="24"/>
          <w:szCs w:val="24"/>
        </w:rPr>
        <w:t xml:space="preserve">consta en </w:t>
      </w:r>
      <w:r w:rsidR="009656DC">
        <w:rPr>
          <w:rFonts w:ascii="Arial" w:hAnsi="Arial" w:cs="Arial"/>
          <w:sz w:val="24"/>
          <w:szCs w:val="24"/>
        </w:rPr>
        <w:t>original</w:t>
      </w:r>
      <w:r w:rsidR="001E445E" w:rsidRPr="00AC5A1B">
        <w:rPr>
          <w:rFonts w:ascii="Arial" w:hAnsi="Arial" w:cs="Arial"/>
          <w:sz w:val="24"/>
          <w:szCs w:val="24"/>
        </w:rPr>
        <w:t>, el cual fue reconocido como auténtico por las partes dentro del presente juicio.</w:t>
      </w:r>
      <w:r w:rsidR="001E445E" w:rsidRPr="00BD4FC7">
        <w:rPr>
          <w:rFonts w:ascii="Arial" w:hAnsi="Arial" w:cs="Arial"/>
          <w:sz w:val="24"/>
          <w:szCs w:val="24"/>
        </w:rPr>
        <w:t xml:space="preserve"> </w:t>
      </w:r>
    </w:p>
    <w:p w14:paraId="46061D92" w14:textId="2B917726" w:rsidR="001E445E" w:rsidRDefault="00904421" w:rsidP="001E445E">
      <w:pPr>
        <w:spacing w:line="360" w:lineRule="auto"/>
        <w:ind w:firstLine="567"/>
        <w:jc w:val="both"/>
        <w:rPr>
          <w:rFonts w:ascii="Arial" w:hAnsi="Arial" w:cs="Arial"/>
          <w:sz w:val="24"/>
          <w:szCs w:val="24"/>
        </w:rPr>
      </w:pPr>
      <w:r>
        <w:rPr>
          <w:rFonts w:ascii="Arial" w:hAnsi="Arial" w:cs="Arial"/>
          <w:bCs/>
          <w:spacing w:val="-3"/>
          <w:sz w:val="24"/>
          <w:szCs w:val="27"/>
          <w:lang w:val="es-ES_tradnl"/>
        </w:rPr>
        <w:lastRenderedPageBreak/>
        <w:t>D</w:t>
      </w:r>
      <w:r w:rsidR="001E445E">
        <w:rPr>
          <w:rFonts w:ascii="Arial" w:hAnsi="Arial" w:cs="Arial"/>
          <w:bCs/>
          <w:spacing w:val="-3"/>
          <w:sz w:val="24"/>
          <w:szCs w:val="27"/>
          <w:lang w:val="es-ES_tradnl"/>
        </w:rPr>
        <w:t>el análisis hecho al oficio impugnado, se advierte que la autoridad demandada autorizó la pensión por jubilación al actor, por</w:t>
      </w:r>
      <w:r w:rsidR="001E445E">
        <w:rPr>
          <w:rFonts w:ascii="Arial" w:hAnsi="Arial" w:cs="Arial"/>
          <w:sz w:val="24"/>
          <w:szCs w:val="24"/>
        </w:rPr>
        <w:t xml:space="preserve"> </w:t>
      </w:r>
      <w:r w:rsidR="001E445E" w:rsidRPr="00BD4FC7">
        <w:rPr>
          <w:rFonts w:ascii="Arial" w:hAnsi="Arial" w:cs="Arial"/>
          <w:sz w:val="24"/>
          <w:szCs w:val="24"/>
        </w:rPr>
        <w:t>el 100% de</w:t>
      </w:r>
      <w:r w:rsidR="001E445E">
        <w:rPr>
          <w:rFonts w:ascii="Arial" w:hAnsi="Arial" w:cs="Arial"/>
          <w:sz w:val="24"/>
          <w:szCs w:val="24"/>
        </w:rPr>
        <w:t xml:space="preserve"> su </w:t>
      </w:r>
      <w:r w:rsidR="001E445E" w:rsidRPr="00BD4FC7">
        <w:rPr>
          <w:rFonts w:ascii="Arial" w:hAnsi="Arial" w:cs="Arial"/>
          <w:sz w:val="24"/>
          <w:szCs w:val="24"/>
        </w:rPr>
        <w:t>sueldo base que percibía</w:t>
      </w:r>
      <w:r w:rsidR="001E445E">
        <w:rPr>
          <w:rFonts w:ascii="Arial" w:hAnsi="Arial" w:cs="Arial"/>
          <w:sz w:val="24"/>
          <w:szCs w:val="24"/>
        </w:rPr>
        <w:t xml:space="preserve"> como</w:t>
      </w:r>
      <w:r w:rsidR="004A5433">
        <w:rPr>
          <w:rFonts w:ascii="Arial" w:hAnsi="Arial" w:cs="Arial"/>
          <w:sz w:val="24"/>
          <w:szCs w:val="24"/>
        </w:rPr>
        <w:t xml:space="preserve"> </w:t>
      </w:r>
      <w:r w:rsidR="004A5433">
        <w:rPr>
          <w:rFonts w:ascii="Arial" w:eastAsia="Times New Roman" w:hAnsi="Arial" w:cs="Arial"/>
          <w:sz w:val="24"/>
          <w:szCs w:val="27"/>
          <w:lang w:val="es-ES_tradnl" w:eastAsia="es-ES"/>
        </w:rPr>
        <w:t>*****</w:t>
      </w:r>
      <w:r w:rsidR="001E445E">
        <w:rPr>
          <w:rFonts w:ascii="Arial" w:hAnsi="Arial" w:cs="Arial"/>
          <w:sz w:val="24"/>
          <w:szCs w:val="24"/>
        </w:rPr>
        <w:t xml:space="preserve">, por la </w:t>
      </w:r>
      <w:r w:rsidR="001E445E" w:rsidRPr="00BD4FC7">
        <w:rPr>
          <w:rFonts w:ascii="Arial" w:hAnsi="Arial" w:cs="Arial"/>
          <w:sz w:val="24"/>
          <w:szCs w:val="24"/>
        </w:rPr>
        <w:t xml:space="preserve">cantidad de </w:t>
      </w:r>
      <w:r w:rsidR="001E445E">
        <w:rPr>
          <w:rFonts w:ascii="Arial" w:hAnsi="Arial" w:cs="Arial"/>
          <w:sz w:val="24"/>
          <w:szCs w:val="24"/>
        </w:rPr>
        <w:t>$</w:t>
      </w:r>
      <w:r w:rsidR="004A5433">
        <w:rPr>
          <w:rFonts w:ascii="Arial" w:eastAsia="Times New Roman" w:hAnsi="Arial" w:cs="Arial"/>
          <w:sz w:val="24"/>
          <w:szCs w:val="27"/>
          <w:lang w:val="es-ES_tradnl" w:eastAsia="es-ES"/>
        </w:rPr>
        <w:t>***** *****</w:t>
      </w:r>
      <w:r w:rsidR="001E445E">
        <w:rPr>
          <w:rFonts w:ascii="Arial" w:hAnsi="Arial" w:cs="Arial"/>
          <w:sz w:val="24"/>
          <w:szCs w:val="24"/>
        </w:rPr>
        <w:t xml:space="preserve"> (</w:t>
      </w:r>
      <w:r w:rsidR="004A5433">
        <w:rPr>
          <w:rFonts w:ascii="Arial" w:eastAsia="Times New Roman" w:hAnsi="Arial" w:cs="Arial"/>
          <w:sz w:val="24"/>
          <w:szCs w:val="27"/>
          <w:lang w:val="es-ES_tradnl" w:eastAsia="es-ES"/>
        </w:rPr>
        <w:t>***** ***** ***** ***** *****</w:t>
      </w:r>
      <w:r w:rsidR="001E445E">
        <w:rPr>
          <w:rFonts w:ascii="Arial" w:hAnsi="Arial" w:cs="Arial"/>
          <w:sz w:val="24"/>
          <w:szCs w:val="24"/>
        </w:rPr>
        <w:t>, 00/100, Moneda Nacional)</w:t>
      </w:r>
      <w:r w:rsidR="001E445E">
        <w:rPr>
          <w:rStyle w:val="Refdenotaalpie"/>
          <w:rFonts w:ascii="Arial" w:hAnsi="Arial" w:cs="Arial"/>
          <w:sz w:val="24"/>
          <w:szCs w:val="24"/>
        </w:rPr>
        <w:footnoteReference w:id="6"/>
      </w:r>
      <w:r w:rsidR="001E445E">
        <w:rPr>
          <w:rFonts w:ascii="Arial" w:hAnsi="Arial" w:cs="Arial"/>
          <w:sz w:val="24"/>
          <w:szCs w:val="24"/>
        </w:rPr>
        <w:t>.</w:t>
      </w:r>
    </w:p>
    <w:p w14:paraId="73A931D1" w14:textId="0E766396" w:rsidR="001E445E" w:rsidRPr="00BD4FC7"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A este respecto, es oportuno mencionar que el acto impugnado </w:t>
      </w:r>
      <w:r w:rsidRPr="00BD4FC7">
        <w:rPr>
          <w:rFonts w:ascii="Arial" w:hAnsi="Arial" w:cs="Arial"/>
          <w:sz w:val="24"/>
          <w:szCs w:val="24"/>
        </w:rPr>
        <w:t xml:space="preserve">no cumple con el requisito de validez del acto administrativo previsto </w:t>
      </w:r>
      <w:r>
        <w:rPr>
          <w:rFonts w:ascii="Arial" w:hAnsi="Arial" w:cs="Arial"/>
          <w:sz w:val="24"/>
          <w:szCs w:val="24"/>
        </w:rPr>
        <w:t xml:space="preserve">en la fracción </w:t>
      </w:r>
      <w:r w:rsidRPr="00BD4FC7">
        <w:rPr>
          <w:rFonts w:ascii="Arial" w:hAnsi="Arial" w:cs="Arial"/>
          <w:sz w:val="24"/>
          <w:szCs w:val="24"/>
        </w:rPr>
        <w:t>V del artículo 17, en relación con el artículo 208 fracciones II y VI de la Ley de Procedimiento y Justicia Administrativa para el Estado de Oaxaca, vulnerándose</w:t>
      </w:r>
      <w:r>
        <w:rPr>
          <w:rFonts w:ascii="Arial" w:hAnsi="Arial" w:cs="Arial"/>
          <w:sz w:val="24"/>
          <w:szCs w:val="24"/>
        </w:rPr>
        <w:t xml:space="preserve"> </w:t>
      </w:r>
      <w:r w:rsidRPr="00BD4FC7">
        <w:rPr>
          <w:rFonts w:ascii="Arial" w:hAnsi="Arial" w:cs="Arial"/>
          <w:sz w:val="24"/>
          <w:szCs w:val="24"/>
        </w:rPr>
        <w:t>el derecho a la igualdad de</w:t>
      </w:r>
      <w:r>
        <w:rPr>
          <w:rFonts w:ascii="Arial" w:hAnsi="Arial" w:cs="Arial"/>
          <w:sz w:val="24"/>
          <w:szCs w:val="24"/>
        </w:rPr>
        <w:t>l</w:t>
      </w:r>
      <w:r w:rsidRPr="00BD4FC7">
        <w:rPr>
          <w:rFonts w:ascii="Arial" w:hAnsi="Arial" w:cs="Arial"/>
          <w:sz w:val="24"/>
          <w:szCs w:val="24"/>
        </w:rPr>
        <w:t xml:space="preserve"> actor, así como sus derechos adquiridos,</w:t>
      </w:r>
      <w:r>
        <w:rPr>
          <w:rFonts w:ascii="Arial" w:hAnsi="Arial" w:cs="Arial"/>
          <w:sz w:val="24"/>
          <w:szCs w:val="24"/>
        </w:rPr>
        <w:t xml:space="preserve"> dado </w:t>
      </w:r>
      <w:r w:rsidRPr="00BD4FC7">
        <w:rPr>
          <w:rFonts w:ascii="Arial" w:hAnsi="Arial" w:cs="Arial"/>
          <w:sz w:val="24"/>
          <w:szCs w:val="24"/>
        </w:rPr>
        <w:t>que la autoridad demandada</w:t>
      </w:r>
      <w:r w:rsidR="00910927">
        <w:rPr>
          <w:rFonts w:ascii="Arial" w:hAnsi="Arial" w:cs="Arial"/>
          <w:sz w:val="24"/>
          <w:szCs w:val="24"/>
        </w:rPr>
        <w:t xml:space="preserve"> menciona</w:t>
      </w:r>
      <w:r w:rsidRPr="00BD4FC7">
        <w:rPr>
          <w:rFonts w:ascii="Arial" w:hAnsi="Arial" w:cs="Arial"/>
          <w:sz w:val="24"/>
          <w:szCs w:val="24"/>
        </w:rPr>
        <w:t xml:space="preserve"> en su escrito de c</w:t>
      </w:r>
      <w:r>
        <w:rPr>
          <w:rFonts w:ascii="Arial" w:hAnsi="Arial" w:cs="Arial"/>
          <w:sz w:val="24"/>
          <w:szCs w:val="24"/>
        </w:rPr>
        <w:t xml:space="preserve">ontestación de demanda </w:t>
      </w:r>
      <w:r w:rsidRPr="0044789D">
        <w:rPr>
          <w:rFonts w:ascii="Arial" w:hAnsi="Arial" w:cs="Arial"/>
          <w:sz w:val="24"/>
          <w:szCs w:val="24"/>
        </w:rPr>
        <w:t xml:space="preserve">que, por tratarse de </w:t>
      </w:r>
      <w:r w:rsidRPr="00C92D12">
        <w:rPr>
          <w:rFonts w:ascii="Arial" w:hAnsi="Arial" w:cs="Arial"/>
          <w:sz w:val="24"/>
          <w:szCs w:val="24"/>
        </w:rPr>
        <w:t>un trabajador de confianza y no de base,</w:t>
      </w:r>
      <w:r w:rsidRPr="0044789D">
        <w:rPr>
          <w:rFonts w:ascii="Arial" w:hAnsi="Arial" w:cs="Arial"/>
          <w:sz w:val="24"/>
          <w:szCs w:val="24"/>
        </w:rPr>
        <w:t xml:space="preserve"> no se ubica en el supuesto que contempla el artículo 54 fracción I de la </w:t>
      </w:r>
      <w:bookmarkStart w:id="2" w:name="_Hlk121134684"/>
      <w:r w:rsidRPr="0044789D">
        <w:rPr>
          <w:rFonts w:ascii="Arial" w:hAnsi="Arial" w:cs="Arial"/>
          <w:sz w:val="24"/>
          <w:szCs w:val="24"/>
        </w:rPr>
        <w:t>Ley de Pensiones para los trabajadores del Gobierno del Estado de Oaxaca</w:t>
      </w:r>
      <w:bookmarkEnd w:id="2"/>
      <w:r>
        <w:rPr>
          <w:rFonts w:ascii="Arial" w:hAnsi="Arial" w:cs="Arial"/>
          <w:sz w:val="24"/>
          <w:szCs w:val="24"/>
        </w:rPr>
        <w:t xml:space="preserve"> vigente</w:t>
      </w:r>
      <w:r w:rsidRPr="0044789D">
        <w:rPr>
          <w:rFonts w:ascii="Arial" w:hAnsi="Arial" w:cs="Arial"/>
          <w:sz w:val="24"/>
          <w:szCs w:val="24"/>
        </w:rPr>
        <w:t>, el cual se transcribe para su mayor compresión:</w:t>
      </w:r>
    </w:p>
    <w:p w14:paraId="3CE91F94" w14:textId="77777777" w:rsidR="001E445E" w:rsidRPr="00D435FD" w:rsidRDefault="001E445E" w:rsidP="001E445E">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66D45F5" w14:textId="77777777" w:rsidR="001E445E" w:rsidRPr="00D435FD" w:rsidRDefault="001E445E" w:rsidP="001E445E">
      <w:pPr>
        <w:ind w:left="567"/>
        <w:jc w:val="both"/>
        <w:rPr>
          <w:rFonts w:ascii="Arial" w:hAnsi="Arial" w:cs="Arial"/>
          <w:i/>
          <w:sz w:val="24"/>
          <w:szCs w:val="24"/>
        </w:rPr>
      </w:pPr>
      <w:r w:rsidRPr="00D435FD">
        <w:rPr>
          <w:rFonts w:ascii="Arial" w:hAnsi="Arial" w:cs="Arial"/>
          <w:i/>
          <w:sz w:val="24"/>
          <w:szCs w:val="24"/>
        </w:rPr>
        <w:t>I. Jubilados: tratándose solo</w:t>
      </w:r>
      <w:r>
        <w:rPr>
          <w:rFonts w:ascii="Arial" w:hAnsi="Arial" w:cs="Arial"/>
          <w:i/>
          <w:sz w:val="24"/>
          <w:szCs w:val="24"/>
        </w:rPr>
        <w:t xml:space="preserve"> de</w:t>
      </w:r>
      <w:r w:rsidRPr="00D435FD">
        <w:rPr>
          <w:rFonts w:ascii="Arial" w:hAnsi="Arial" w:cs="Arial"/>
          <w:i/>
          <w:sz w:val="24"/>
          <w:szCs w:val="24"/>
        </w:rPr>
        <w:t xml:space="preserve"> aquellos que fueron trabajadores de base</w:t>
      </w:r>
      <w:r>
        <w:rPr>
          <w:rFonts w:ascii="Arial" w:hAnsi="Arial" w:cs="Arial"/>
          <w:i/>
          <w:sz w:val="24"/>
          <w:szCs w:val="24"/>
        </w:rPr>
        <w:t xml:space="preserve"> o confianza</w:t>
      </w:r>
      <w:r w:rsidRPr="00D435FD">
        <w:rPr>
          <w:rFonts w:ascii="Arial" w:hAnsi="Arial" w:cs="Arial"/>
          <w:i/>
          <w:sz w:val="24"/>
          <w:szCs w:val="24"/>
        </w:rPr>
        <w:t xml:space="preserve"> se integrarán la previsión social múltiple, despensa, vida cara, quinquenios, aguinaldo, estímulo</w:t>
      </w:r>
      <w:r>
        <w:rPr>
          <w:rFonts w:ascii="Arial" w:hAnsi="Arial" w:cs="Arial"/>
          <w:i/>
          <w:sz w:val="24"/>
          <w:szCs w:val="24"/>
        </w:rPr>
        <w:t xml:space="preserve"> del día</w:t>
      </w:r>
      <w:r w:rsidRPr="00D435FD">
        <w:rPr>
          <w:rFonts w:ascii="Arial" w:hAnsi="Arial" w:cs="Arial"/>
          <w:i/>
          <w:sz w:val="24"/>
          <w:szCs w:val="24"/>
        </w:rPr>
        <w:t xml:space="preserve"> del jubilado, día de las madres y canasta navideña.</w:t>
      </w:r>
      <w:r>
        <w:rPr>
          <w:rFonts w:ascii="Arial" w:hAnsi="Arial" w:cs="Arial"/>
          <w:i/>
          <w:sz w:val="24"/>
          <w:szCs w:val="24"/>
        </w:rPr>
        <w:t>”</w:t>
      </w:r>
    </w:p>
    <w:p w14:paraId="3921B600" w14:textId="27AF0F9C" w:rsidR="001E445E" w:rsidRPr="00BD4FC7" w:rsidRDefault="004366EC" w:rsidP="001E445E">
      <w:pPr>
        <w:spacing w:line="360" w:lineRule="auto"/>
        <w:ind w:firstLine="567"/>
        <w:jc w:val="both"/>
        <w:rPr>
          <w:rFonts w:ascii="Arial" w:hAnsi="Arial" w:cs="Arial"/>
          <w:sz w:val="24"/>
          <w:szCs w:val="24"/>
        </w:rPr>
      </w:pPr>
      <w:r>
        <w:rPr>
          <w:rFonts w:ascii="Arial" w:hAnsi="Arial" w:cs="Arial"/>
          <w:sz w:val="24"/>
          <w:szCs w:val="24"/>
        </w:rPr>
        <w:t>D</w:t>
      </w:r>
      <w:r w:rsidR="001E445E" w:rsidRPr="00AA6F98">
        <w:rPr>
          <w:rFonts w:ascii="Arial" w:hAnsi="Arial" w:cs="Arial"/>
          <w:sz w:val="24"/>
          <w:szCs w:val="24"/>
        </w:rPr>
        <w:t xml:space="preserve">el citado artículo se advierte que los jubilados de base y de confianza gozarán de la previsión social múltiple, así como de los demás conceptos que menciona dicha fracción; </w:t>
      </w:r>
      <w:r w:rsidR="001E445E" w:rsidRPr="00857786">
        <w:rPr>
          <w:rFonts w:ascii="Arial" w:hAnsi="Arial" w:cs="Arial"/>
          <w:sz w:val="24"/>
          <w:szCs w:val="24"/>
        </w:rPr>
        <w:t>también es verdad, que antes de la reforma de fecha veinti</w:t>
      </w:r>
      <w:r w:rsidR="001E445E">
        <w:rPr>
          <w:rFonts w:ascii="Arial" w:hAnsi="Arial" w:cs="Arial"/>
          <w:sz w:val="24"/>
          <w:szCs w:val="24"/>
        </w:rPr>
        <w:t>dós</w:t>
      </w:r>
      <w:r w:rsidR="001E445E" w:rsidRPr="00857786">
        <w:rPr>
          <w:rFonts w:ascii="Arial" w:hAnsi="Arial" w:cs="Arial"/>
          <w:sz w:val="24"/>
          <w:szCs w:val="24"/>
        </w:rPr>
        <w:t xml:space="preserve"> de septiembre de dos mil veintiuno, realizada a la Ley de Pensiones para los trabajadores del Gobierno del Estado de Oaxaca</w:t>
      </w:r>
      <w:r w:rsidR="001E445E" w:rsidRPr="00857786">
        <w:rPr>
          <w:rStyle w:val="Refdenotaalpie"/>
          <w:rFonts w:ascii="Arial" w:hAnsi="Arial" w:cs="Arial"/>
          <w:sz w:val="24"/>
          <w:szCs w:val="24"/>
        </w:rPr>
        <w:footnoteReference w:id="7"/>
      </w:r>
      <w:r w:rsidR="001E445E" w:rsidRPr="00857786">
        <w:rPr>
          <w:rFonts w:ascii="Arial" w:hAnsi="Arial" w:cs="Arial"/>
          <w:sz w:val="24"/>
          <w:szCs w:val="24"/>
        </w:rPr>
        <w:t>, que dio origen al actual texto, dicho precepto antes de la referida reforma, únicamente contemplaba a los trabajadores de base, y que le fue aplicado al momento de la emisión de su dictamen de jubilación, por lo que dicho precepto transgredía a lo dispuesto por los artículos 1° y 123, apartado B, fracción</w:t>
      </w:r>
      <w:r w:rsidR="001E445E" w:rsidRPr="00BD4FC7">
        <w:rPr>
          <w:rFonts w:ascii="Arial" w:hAnsi="Arial" w:cs="Arial"/>
          <w:sz w:val="24"/>
          <w:szCs w:val="24"/>
        </w:rPr>
        <w:t xml:space="preserve"> XIV</w:t>
      </w:r>
      <w:r w:rsidR="001E445E">
        <w:rPr>
          <w:rFonts w:ascii="Arial" w:hAnsi="Arial" w:cs="Arial"/>
          <w:sz w:val="24"/>
          <w:szCs w:val="24"/>
        </w:rPr>
        <w:t>,</w:t>
      </w:r>
      <w:r w:rsidR="001E445E" w:rsidRPr="00BD4FC7">
        <w:rPr>
          <w:rFonts w:ascii="Arial" w:hAnsi="Arial" w:cs="Arial"/>
          <w:sz w:val="24"/>
          <w:szCs w:val="24"/>
        </w:rPr>
        <w:t xml:space="preserve"> en relación con la fracción XI de la Constitución Política de los Estado Unidos Mexicanos, toda vez que el artículo 1</w:t>
      </w:r>
      <w:r w:rsidR="001E445E">
        <w:rPr>
          <w:rFonts w:ascii="Arial" w:hAnsi="Arial" w:cs="Arial"/>
          <w:sz w:val="24"/>
          <w:szCs w:val="24"/>
        </w:rPr>
        <w:t xml:space="preserve">° constitucional </w:t>
      </w:r>
      <w:r w:rsidR="001E445E" w:rsidRPr="00BD4FC7">
        <w:rPr>
          <w:rFonts w:ascii="Arial" w:hAnsi="Arial" w:cs="Arial"/>
          <w:sz w:val="24"/>
          <w:szCs w:val="24"/>
        </w:rPr>
        <w:t xml:space="preserve">dispone la no distinción motivada por razones de género, edad, condición social, religión u otra razón análoga que atente contra la dignidad humana y tenga por objeto anular o menoscabar los derechos y libertades de las personas. En cuanto al segundo numeral, </w:t>
      </w:r>
      <w:r w:rsidR="001E445E">
        <w:rPr>
          <w:rFonts w:ascii="Arial" w:hAnsi="Arial" w:cs="Arial"/>
          <w:sz w:val="24"/>
          <w:szCs w:val="24"/>
        </w:rPr>
        <w:t>é</w:t>
      </w:r>
      <w:r w:rsidR="001E445E" w:rsidRPr="00BD4FC7">
        <w:rPr>
          <w:rFonts w:ascii="Arial" w:hAnsi="Arial" w:cs="Arial"/>
          <w:sz w:val="24"/>
          <w:szCs w:val="24"/>
        </w:rPr>
        <w:t>ste establece las base</w:t>
      </w:r>
      <w:r w:rsidR="001E445E">
        <w:rPr>
          <w:rFonts w:ascii="Arial" w:hAnsi="Arial" w:cs="Arial"/>
          <w:sz w:val="24"/>
          <w:szCs w:val="24"/>
        </w:rPr>
        <w:t xml:space="preserve">s </w:t>
      </w:r>
      <w:r w:rsidR="001E445E" w:rsidRPr="00BD4FC7">
        <w:rPr>
          <w:rFonts w:ascii="Arial" w:hAnsi="Arial" w:cs="Arial"/>
          <w:sz w:val="24"/>
          <w:szCs w:val="24"/>
        </w:rPr>
        <w:t xml:space="preserve">mínimas de seguridad social para los </w:t>
      </w:r>
      <w:r w:rsidR="001E445E" w:rsidRPr="00BD4FC7">
        <w:rPr>
          <w:rFonts w:ascii="Arial" w:hAnsi="Arial" w:cs="Arial"/>
          <w:sz w:val="24"/>
          <w:szCs w:val="24"/>
        </w:rPr>
        <w:lastRenderedPageBreak/>
        <w:t>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1E445E">
        <w:rPr>
          <w:rFonts w:ascii="Arial" w:hAnsi="Arial" w:cs="Arial"/>
          <w:sz w:val="24"/>
          <w:szCs w:val="24"/>
        </w:rPr>
        <w:t xml:space="preserve">al que </w:t>
      </w:r>
      <w:r w:rsidR="001E445E" w:rsidRPr="00BD4FC7">
        <w:rPr>
          <w:rFonts w:ascii="Arial" w:hAnsi="Arial" w:cs="Arial"/>
          <w:sz w:val="24"/>
          <w:szCs w:val="24"/>
        </w:rPr>
        <w:t xml:space="preserve">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w:t>
      </w:r>
      <w:r w:rsidR="001E445E" w:rsidRPr="00857786">
        <w:rPr>
          <w:rFonts w:ascii="Arial" w:hAnsi="Arial" w:cs="Arial"/>
          <w:sz w:val="24"/>
          <w:szCs w:val="24"/>
        </w:rPr>
        <w:t>prestaciones que venía generando y el cual le permita vivir de manera decorosa la</w:t>
      </w:r>
      <w:r w:rsidR="001E445E" w:rsidRPr="00BD4FC7">
        <w:rPr>
          <w:rFonts w:ascii="Arial" w:hAnsi="Arial" w:cs="Arial"/>
          <w:sz w:val="24"/>
          <w:szCs w:val="24"/>
        </w:rPr>
        <w:t xml:space="preserve"> etapa para la cual está encaminada la percepción de una pensión, garantía que tiene rango constitucional y que podrá amp</w:t>
      </w:r>
      <w:r w:rsidR="001E445E">
        <w:rPr>
          <w:rFonts w:ascii="Arial" w:hAnsi="Arial" w:cs="Arial"/>
          <w:sz w:val="24"/>
          <w:szCs w:val="24"/>
        </w:rPr>
        <w:t>liarse más nunca restringirse.</w:t>
      </w:r>
    </w:p>
    <w:p w14:paraId="5D4FEA5A" w14:textId="6C4D5314" w:rsidR="001E445E"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En ese tenor,</w:t>
      </w:r>
      <w:r>
        <w:rPr>
          <w:rFonts w:ascii="Arial" w:hAnsi="Arial" w:cs="Arial"/>
          <w:sz w:val="24"/>
          <w:szCs w:val="24"/>
        </w:rPr>
        <w:t xml:space="preserve"> es dable afirmar </w:t>
      </w:r>
      <w:r w:rsidRPr="00BD4FC7">
        <w:rPr>
          <w:rFonts w:ascii="Arial" w:hAnsi="Arial" w:cs="Arial"/>
          <w:sz w:val="24"/>
          <w:szCs w:val="24"/>
        </w:rPr>
        <w:t xml:space="preserve">que la protección al </w:t>
      </w:r>
      <w:r w:rsidR="00D84364" w:rsidRPr="00BD4FC7">
        <w:rPr>
          <w:rFonts w:ascii="Arial" w:hAnsi="Arial" w:cs="Arial"/>
          <w:sz w:val="24"/>
          <w:szCs w:val="24"/>
        </w:rPr>
        <w:t>salario</w:t>
      </w:r>
      <w:r w:rsidRPr="00BD4FC7">
        <w:rPr>
          <w:rFonts w:ascii="Arial" w:hAnsi="Arial" w:cs="Arial"/>
          <w:sz w:val="24"/>
          <w:szCs w:val="24"/>
        </w:rPr>
        <w:t xml:space="preserve"> se encuentra dirigida a todos y cada uno de los trabajadores al servicio del Estado sin exclusión alguna, </w:t>
      </w:r>
      <w:r>
        <w:rPr>
          <w:rFonts w:ascii="Arial" w:hAnsi="Arial" w:cs="Arial"/>
          <w:sz w:val="24"/>
          <w:szCs w:val="24"/>
        </w:rPr>
        <w:t>dado</w:t>
      </w:r>
      <w:r w:rsidRPr="00BD4FC7">
        <w:rPr>
          <w:rFonts w:ascii="Arial" w:hAnsi="Arial" w:cs="Arial"/>
          <w:sz w:val="24"/>
          <w:szCs w:val="24"/>
        </w:rPr>
        <w:t xml:space="preserve"> que no solamente abarca a los trabajadores de base, sino que contempla</w:t>
      </w:r>
      <w:r>
        <w:rPr>
          <w:rFonts w:ascii="Arial" w:hAnsi="Arial" w:cs="Arial"/>
          <w:sz w:val="24"/>
          <w:szCs w:val="24"/>
        </w:rPr>
        <w:t xml:space="preserve"> también </w:t>
      </w:r>
      <w:r w:rsidRPr="00BD4FC7">
        <w:rPr>
          <w:rFonts w:ascii="Arial" w:hAnsi="Arial" w:cs="Arial"/>
          <w:sz w:val="24"/>
          <w:szCs w:val="24"/>
        </w:rPr>
        <w:t>a los de confianza</w:t>
      </w:r>
      <w:r>
        <w:rPr>
          <w:rFonts w:ascii="Arial" w:hAnsi="Arial" w:cs="Arial"/>
          <w:sz w:val="24"/>
          <w:szCs w:val="24"/>
        </w:rPr>
        <w:t xml:space="preserve">. </w:t>
      </w:r>
    </w:p>
    <w:p w14:paraId="5DDE5C0E" w14:textId="77777777" w:rsidR="001E445E" w:rsidRPr="00BD4FC7" w:rsidRDefault="001E445E" w:rsidP="001E445E">
      <w:pPr>
        <w:spacing w:line="360" w:lineRule="auto"/>
        <w:ind w:firstLine="567"/>
        <w:jc w:val="both"/>
        <w:rPr>
          <w:rFonts w:ascii="Arial" w:hAnsi="Arial" w:cs="Arial"/>
          <w:sz w:val="24"/>
          <w:szCs w:val="24"/>
        </w:rPr>
      </w:pPr>
      <w:r>
        <w:rPr>
          <w:rFonts w:ascii="Arial" w:hAnsi="Arial" w:cs="Arial"/>
          <w:sz w:val="24"/>
          <w:szCs w:val="24"/>
        </w:rPr>
        <w:t>S</w:t>
      </w:r>
      <w:r w:rsidRPr="00BD4FC7">
        <w:rPr>
          <w:rFonts w:ascii="Arial" w:hAnsi="Arial" w:cs="Arial"/>
          <w:sz w:val="24"/>
          <w:szCs w:val="24"/>
        </w:rPr>
        <w:t>irve de sustento la jurisprudencia</w:t>
      </w:r>
      <w:r>
        <w:rPr>
          <w:rStyle w:val="Refdenotaalpie"/>
          <w:rFonts w:ascii="Arial" w:hAnsi="Arial" w:cs="Arial"/>
          <w:sz w:val="24"/>
          <w:szCs w:val="24"/>
        </w:rPr>
        <w:footnoteReference w:id="8"/>
      </w:r>
      <w:r w:rsidRPr="00BD4FC7">
        <w:rPr>
          <w:rFonts w:ascii="Arial" w:hAnsi="Arial" w:cs="Arial"/>
          <w:sz w:val="24"/>
          <w:szCs w:val="24"/>
        </w:rPr>
        <w:t xml:space="preserve"> ba</w:t>
      </w:r>
      <w:r>
        <w:rPr>
          <w:rFonts w:ascii="Arial" w:hAnsi="Arial" w:cs="Arial"/>
          <w:sz w:val="24"/>
          <w:szCs w:val="24"/>
        </w:rPr>
        <w:t>jo el rubro y texto siguiente:</w:t>
      </w:r>
    </w:p>
    <w:p w14:paraId="367E6B5D" w14:textId="77777777" w:rsidR="001E445E" w:rsidRPr="007F5AFB" w:rsidRDefault="001E445E" w:rsidP="001E445E">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w:t>
      </w:r>
      <w:r w:rsidRPr="007F5AFB">
        <w:rPr>
          <w:rFonts w:ascii="Arial" w:hAnsi="Arial" w:cs="Arial"/>
          <w:i/>
          <w:sz w:val="24"/>
          <w:szCs w:val="24"/>
        </w:rPr>
        <w:lastRenderedPageBreak/>
        <w:t>maternidad, de riesgos de trabajo, de jubilación, de retiro, por invalidez, servicios de rehabilitación, préstamos para adquisición de casa, entre otros.</w:t>
      </w:r>
      <w:r>
        <w:rPr>
          <w:rFonts w:ascii="Arial" w:hAnsi="Arial" w:cs="Arial"/>
          <w:i/>
          <w:sz w:val="24"/>
          <w:szCs w:val="24"/>
        </w:rPr>
        <w:t>”</w:t>
      </w:r>
    </w:p>
    <w:p w14:paraId="2AE9A64E" w14:textId="483EF277" w:rsidR="001E445E" w:rsidRPr="00BD4FC7" w:rsidRDefault="001E445E" w:rsidP="001E445E">
      <w:pPr>
        <w:spacing w:line="360" w:lineRule="auto"/>
        <w:ind w:firstLine="567"/>
        <w:jc w:val="both"/>
        <w:rPr>
          <w:rFonts w:ascii="Arial" w:hAnsi="Arial" w:cs="Arial"/>
          <w:sz w:val="24"/>
          <w:szCs w:val="24"/>
        </w:rPr>
      </w:pPr>
      <w:r w:rsidRPr="002A0B11">
        <w:rPr>
          <w:rFonts w:ascii="Arial" w:hAnsi="Arial" w:cs="Arial"/>
          <w:sz w:val="24"/>
          <w:szCs w:val="24"/>
        </w:rPr>
        <w:t>Derivado de lo anterior, resulta que lo correcto es que a los trabajadores de confianza como a los de base les otorguen los conceptos que integran el salario integrado, como lo son los comprendidos en los artículos 50 fracción I, 52, 53 y 54</w:t>
      </w:r>
      <w:r>
        <w:rPr>
          <w:rFonts w:ascii="Arial" w:hAnsi="Arial" w:cs="Arial"/>
          <w:sz w:val="24"/>
          <w:szCs w:val="24"/>
        </w:rPr>
        <w:t xml:space="preserve"> fracción I de la Ley de</w:t>
      </w:r>
      <w:r w:rsidRPr="00BD4FC7">
        <w:rPr>
          <w:rFonts w:ascii="Arial" w:hAnsi="Arial" w:cs="Arial"/>
          <w:sz w:val="24"/>
          <w:szCs w:val="24"/>
        </w:rPr>
        <w:t xml:space="preserve"> Pensiones para los Trabajadores del Gobierno del Estado de Oaxaca</w:t>
      </w:r>
      <w:r>
        <w:rPr>
          <w:rFonts w:ascii="Arial" w:hAnsi="Arial" w:cs="Arial"/>
          <w:sz w:val="24"/>
          <w:szCs w:val="24"/>
        </w:rPr>
        <w:t>,</w:t>
      </w:r>
      <w:r w:rsidRPr="00BD4FC7">
        <w:rPr>
          <w:rFonts w:ascii="Arial" w:hAnsi="Arial" w:cs="Arial"/>
          <w:sz w:val="24"/>
          <w:szCs w:val="24"/>
        </w:rPr>
        <w:t xml:space="preserve"> esto es así</w:t>
      </w:r>
      <w:r>
        <w:rPr>
          <w:rFonts w:ascii="Arial" w:hAnsi="Arial" w:cs="Arial"/>
          <w:sz w:val="24"/>
          <w:szCs w:val="24"/>
        </w:rPr>
        <w:t>,</w:t>
      </w:r>
      <w:r w:rsidRPr="00BD4FC7">
        <w:rPr>
          <w:rFonts w:ascii="Arial" w:hAnsi="Arial" w:cs="Arial"/>
          <w:sz w:val="24"/>
          <w:szCs w:val="24"/>
        </w:rPr>
        <w:t xml:space="preserve"> en virtud</w:t>
      </w:r>
      <w:r>
        <w:rPr>
          <w:rFonts w:ascii="Arial" w:hAnsi="Arial" w:cs="Arial"/>
          <w:sz w:val="24"/>
          <w:szCs w:val="24"/>
        </w:rPr>
        <w:t xml:space="preserve"> </w:t>
      </w:r>
      <w:r w:rsidRPr="00BD4FC7">
        <w:rPr>
          <w:rFonts w:ascii="Arial" w:hAnsi="Arial" w:cs="Arial"/>
          <w:sz w:val="24"/>
          <w:szCs w:val="24"/>
        </w:rPr>
        <w:t>que de su comprobante de pago</w:t>
      </w:r>
      <w:r w:rsidR="00C15517">
        <w:rPr>
          <w:rFonts w:ascii="Arial" w:hAnsi="Arial" w:cs="Arial"/>
          <w:sz w:val="24"/>
          <w:szCs w:val="24"/>
        </w:rPr>
        <w:t xml:space="preserve"> más reciente</w:t>
      </w:r>
      <w:r w:rsidRPr="00BD4FC7">
        <w:rPr>
          <w:rFonts w:ascii="Arial" w:hAnsi="Arial" w:cs="Arial"/>
          <w:sz w:val="24"/>
          <w:szCs w:val="24"/>
        </w:rPr>
        <w:t xml:space="preserve"> </w:t>
      </w:r>
      <w:r>
        <w:rPr>
          <w:rFonts w:ascii="Arial" w:hAnsi="Arial" w:cs="Arial"/>
          <w:sz w:val="24"/>
          <w:szCs w:val="24"/>
        </w:rPr>
        <w:t xml:space="preserve">(foja </w:t>
      </w:r>
      <w:r w:rsidR="00B87248">
        <w:rPr>
          <w:rFonts w:ascii="Arial" w:hAnsi="Arial" w:cs="Arial"/>
          <w:sz w:val="24"/>
          <w:szCs w:val="24"/>
        </w:rPr>
        <w:t>21</w:t>
      </w:r>
      <w:r>
        <w:rPr>
          <w:rFonts w:ascii="Arial" w:hAnsi="Arial" w:cs="Arial"/>
          <w:sz w:val="24"/>
          <w:szCs w:val="24"/>
        </w:rPr>
        <w:t>)</w:t>
      </w:r>
      <w:r w:rsidRPr="00BD4FC7">
        <w:rPr>
          <w:rFonts w:ascii="Arial" w:hAnsi="Arial" w:cs="Arial"/>
          <w:sz w:val="24"/>
          <w:szCs w:val="24"/>
        </w:rPr>
        <w:t xml:space="preserve">, documental que adquiere valor probatorio pleno en términos del artículo </w:t>
      </w:r>
      <w:r w:rsidRPr="00C17F71">
        <w:rPr>
          <w:rFonts w:ascii="Arial" w:hAnsi="Arial" w:cs="Arial"/>
          <w:sz w:val="24"/>
          <w:szCs w:val="24"/>
        </w:rPr>
        <w:t>203 fracción I</w:t>
      </w:r>
      <w:r>
        <w:rPr>
          <w:rFonts w:ascii="Arial" w:hAnsi="Arial" w:cs="Arial"/>
          <w:sz w:val="24"/>
          <w:szCs w:val="24"/>
        </w:rPr>
        <w:t xml:space="preserve"> </w:t>
      </w:r>
      <w:r w:rsidRPr="00BD4FC7">
        <w:rPr>
          <w:rFonts w:ascii="Arial" w:hAnsi="Arial" w:cs="Arial"/>
          <w:sz w:val="24"/>
          <w:szCs w:val="24"/>
        </w:rPr>
        <w:t xml:space="preserve">de la Ley de Procedimiento y Justicia Administrativa para el Estado de Oaxaca, por </w:t>
      </w:r>
      <w:r>
        <w:rPr>
          <w:rFonts w:ascii="Arial" w:hAnsi="Arial" w:cs="Arial"/>
          <w:sz w:val="24"/>
          <w:szCs w:val="24"/>
        </w:rPr>
        <w:t>obrar en</w:t>
      </w:r>
      <w:r w:rsidR="00B87248">
        <w:rPr>
          <w:rFonts w:ascii="Arial" w:hAnsi="Arial" w:cs="Arial"/>
          <w:sz w:val="24"/>
          <w:szCs w:val="24"/>
        </w:rPr>
        <w:t xml:space="preserve"> original</w:t>
      </w:r>
      <w:r w:rsidRPr="00BD4FC7">
        <w:rPr>
          <w:rFonts w:ascii="Arial" w:hAnsi="Arial" w:cs="Arial"/>
          <w:sz w:val="24"/>
          <w:szCs w:val="24"/>
        </w:rPr>
        <w:t>, se advierte que</w:t>
      </w:r>
      <w:r>
        <w:rPr>
          <w:rFonts w:ascii="Arial" w:hAnsi="Arial" w:cs="Arial"/>
          <w:sz w:val="24"/>
          <w:szCs w:val="24"/>
        </w:rPr>
        <w:t xml:space="preserve"> la parte actora cuando era trabajador en activo,</w:t>
      </w:r>
      <w:r w:rsidRPr="00BD4FC7">
        <w:rPr>
          <w:rFonts w:ascii="Arial" w:hAnsi="Arial" w:cs="Arial"/>
          <w:sz w:val="24"/>
          <w:szCs w:val="24"/>
        </w:rPr>
        <w:t xml:space="preserve"> también percibía</w:t>
      </w:r>
      <w:r>
        <w:rPr>
          <w:rFonts w:ascii="Arial" w:hAnsi="Arial" w:cs="Arial"/>
          <w:sz w:val="24"/>
          <w:szCs w:val="24"/>
        </w:rPr>
        <w:t xml:space="preserve"> los </w:t>
      </w:r>
      <w:r w:rsidRPr="00BD4FC7">
        <w:rPr>
          <w:rFonts w:ascii="Arial" w:hAnsi="Arial" w:cs="Arial"/>
          <w:sz w:val="24"/>
          <w:szCs w:val="24"/>
        </w:rPr>
        <w:t>conceptos</w:t>
      </w:r>
      <w:r>
        <w:rPr>
          <w:rFonts w:ascii="Arial" w:hAnsi="Arial" w:cs="Arial"/>
          <w:sz w:val="24"/>
          <w:szCs w:val="24"/>
        </w:rPr>
        <w:t xml:space="preserve"> de</w:t>
      </w:r>
      <w:r w:rsidRPr="00BD4FC7">
        <w:rPr>
          <w:rFonts w:ascii="Arial" w:hAnsi="Arial" w:cs="Arial"/>
          <w:sz w:val="24"/>
          <w:szCs w:val="24"/>
        </w:rPr>
        <w:t>:</w:t>
      </w:r>
      <w:r>
        <w:rPr>
          <w:rFonts w:ascii="Arial" w:hAnsi="Arial" w:cs="Arial"/>
          <w:sz w:val="24"/>
          <w:szCs w:val="24"/>
        </w:rPr>
        <w:t xml:space="preserve"> </w:t>
      </w:r>
      <w:r w:rsidRPr="00BD4FC7">
        <w:rPr>
          <w:rFonts w:ascii="Arial" w:hAnsi="Arial" w:cs="Arial"/>
          <w:sz w:val="24"/>
          <w:szCs w:val="24"/>
        </w:rPr>
        <w:t>Canasta Básica (clave 42), Previsión Social</w:t>
      </w:r>
      <w:r>
        <w:rPr>
          <w:rFonts w:ascii="Arial" w:hAnsi="Arial" w:cs="Arial"/>
          <w:sz w:val="24"/>
          <w:szCs w:val="24"/>
        </w:rPr>
        <w:t xml:space="preserve"> Múltiple (P.S.M.) (clave 43), </w:t>
      </w:r>
      <w:r w:rsidRPr="00BD4FC7">
        <w:rPr>
          <w:rFonts w:ascii="Arial" w:hAnsi="Arial" w:cs="Arial"/>
          <w:sz w:val="24"/>
          <w:szCs w:val="24"/>
        </w:rPr>
        <w:t>Estí</w:t>
      </w:r>
      <w:r>
        <w:rPr>
          <w:rFonts w:ascii="Arial" w:hAnsi="Arial" w:cs="Arial"/>
          <w:sz w:val="24"/>
          <w:szCs w:val="24"/>
        </w:rPr>
        <w:t>mulo (clave 45), Quinquenios (</w:t>
      </w:r>
      <w:r w:rsidR="00FE0D68">
        <w:rPr>
          <w:rFonts w:ascii="Arial" w:hAnsi="Arial" w:cs="Arial"/>
          <w:sz w:val="24"/>
          <w:szCs w:val="24"/>
        </w:rPr>
        <w:t>6</w:t>
      </w:r>
      <w:r w:rsidRPr="00BD4FC7">
        <w:rPr>
          <w:rFonts w:ascii="Arial" w:hAnsi="Arial" w:cs="Arial"/>
          <w:sz w:val="24"/>
          <w:szCs w:val="24"/>
        </w:rPr>
        <w:t>) (clave 46)</w:t>
      </w:r>
      <w:r w:rsidR="001C5C93">
        <w:rPr>
          <w:rFonts w:ascii="Arial" w:hAnsi="Arial" w:cs="Arial"/>
          <w:sz w:val="24"/>
          <w:szCs w:val="24"/>
        </w:rPr>
        <w:t xml:space="preserve">; </w:t>
      </w:r>
      <w:bookmarkStart w:id="3" w:name="_Hlk128145002"/>
      <w:r w:rsidR="001C5C93">
        <w:rPr>
          <w:rFonts w:ascii="Arial" w:hAnsi="Arial" w:cs="Arial"/>
          <w:sz w:val="24"/>
          <w:szCs w:val="24"/>
        </w:rPr>
        <w:t>sin contemplar</w:t>
      </w:r>
      <w:r w:rsidR="00934E50">
        <w:rPr>
          <w:rFonts w:ascii="Arial" w:hAnsi="Arial" w:cs="Arial"/>
          <w:sz w:val="24"/>
          <w:szCs w:val="24"/>
        </w:rPr>
        <w:t xml:space="preserve"> el concepto A.S.R.S.P.J. (clave 50</w:t>
      </w:r>
      <w:bookmarkEnd w:id="3"/>
      <w:r w:rsidR="00934E50">
        <w:rPr>
          <w:rFonts w:ascii="Arial" w:hAnsi="Arial" w:cs="Arial"/>
          <w:sz w:val="24"/>
          <w:szCs w:val="24"/>
        </w:rPr>
        <w:t>)</w:t>
      </w:r>
      <w:bookmarkStart w:id="4" w:name="_Hlk125555769"/>
      <w:r w:rsidR="001C5C93">
        <w:rPr>
          <w:rFonts w:ascii="Arial" w:hAnsi="Arial" w:cs="Arial"/>
          <w:sz w:val="24"/>
          <w:szCs w:val="24"/>
        </w:rPr>
        <w:t>, por no estar contemplado en el artículo 54 fracción I de la Ley de</w:t>
      </w:r>
      <w:r w:rsidR="001C5C93" w:rsidRPr="00BD4FC7">
        <w:rPr>
          <w:rFonts w:ascii="Arial" w:hAnsi="Arial" w:cs="Arial"/>
          <w:sz w:val="24"/>
          <w:szCs w:val="24"/>
        </w:rPr>
        <w:t xml:space="preserve"> Pensiones para los Trabajadores del Gobierno del Estado de Oaxaca</w:t>
      </w:r>
      <w:r w:rsidR="001C5C93">
        <w:rPr>
          <w:rFonts w:ascii="Arial" w:hAnsi="Arial" w:cs="Arial"/>
          <w:sz w:val="24"/>
          <w:szCs w:val="24"/>
        </w:rPr>
        <w:t>,</w:t>
      </w:r>
      <w:r>
        <w:rPr>
          <w:rFonts w:ascii="Arial" w:hAnsi="Arial" w:cs="Arial"/>
          <w:sz w:val="24"/>
          <w:szCs w:val="24"/>
        </w:rPr>
        <w:t xml:space="preserve"> </w:t>
      </w:r>
      <w:bookmarkEnd w:id="4"/>
      <w:r>
        <w:rPr>
          <w:rFonts w:ascii="Arial" w:hAnsi="Arial" w:cs="Arial"/>
          <w:sz w:val="24"/>
          <w:szCs w:val="24"/>
        </w:rPr>
        <w:t xml:space="preserve">por lo que sumando los conceptos antes referidos </w:t>
      </w:r>
      <w:r w:rsidRPr="00BD4FC7">
        <w:rPr>
          <w:rFonts w:ascii="Arial" w:hAnsi="Arial" w:cs="Arial"/>
          <w:sz w:val="24"/>
          <w:szCs w:val="24"/>
        </w:rPr>
        <w:t>con el salario</w:t>
      </w:r>
      <w:r>
        <w:rPr>
          <w:rFonts w:ascii="Arial" w:hAnsi="Arial" w:cs="Arial"/>
          <w:sz w:val="24"/>
          <w:szCs w:val="24"/>
        </w:rPr>
        <w:t xml:space="preserve"> base, daban su salario</w:t>
      </w:r>
      <w:r w:rsidRPr="00BD4FC7">
        <w:rPr>
          <w:rFonts w:ascii="Arial" w:hAnsi="Arial" w:cs="Arial"/>
          <w:sz w:val="24"/>
          <w:szCs w:val="24"/>
        </w:rPr>
        <w:t xml:space="preserve"> que recibía </w:t>
      </w:r>
      <w:r>
        <w:rPr>
          <w:rFonts w:ascii="Arial" w:hAnsi="Arial" w:cs="Arial"/>
          <w:sz w:val="24"/>
          <w:szCs w:val="24"/>
        </w:rPr>
        <w:t>quincenalmente</w:t>
      </w:r>
      <w:r w:rsidRPr="00BD4FC7">
        <w:rPr>
          <w:rFonts w:ascii="Arial" w:hAnsi="Arial" w:cs="Arial"/>
          <w:sz w:val="24"/>
          <w:szCs w:val="24"/>
        </w:rPr>
        <w:t xml:space="preserve"> (con excepción de las prestaciones que se otorgan de manera anual</w:t>
      </w:r>
      <w:r>
        <w:rPr>
          <w:rFonts w:ascii="Arial" w:hAnsi="Arial" w:cs="Arial"/>
          <w:sz w:val="24"/>
          <w:szCs w:val="24"/>
        </w:rPr>
        <w:t xml:space="preserve"> y previo descuentos que se configuraran</w:t>
      </w:r>
      <w:r w:rsidRPr="00BD4FC7">
        <w:rPr>
          <w:rFonts w:ascii="Arial" w:hAnsi="Arial" w:cs="Arial"/>
          <w:sz w:val="24"/>
          <w:szCs w:val="24"/>
        </w:rPr>
        <w:t xml:space="preserve">) hasta el día que prestó sus servicios </w:t>
      </w:r>
      <w:r>
        <w:rPr>
          <w:rFonts w:ascii="Arial" w:hAnsi="Arial" w:cs="Arial"/>
          <w:sz w:val="24"/>
          <w:szCs w:val="24"/>
        </w:rPr>
        <w:t>en activo,</w:t>
      </w:r>
      <w:r w:rsidRPr="00BD4FC7">
        <w:rPr>
          <w:rFonts w:ascii="Arial" w:hAnsi="Arial" w:cs="Arial"/>
          <w:sz w:val="24"/>
          <w:szCs w:val="24"/>
        </w:rPr>
        <w:t xml:space="preserve"> percepciones recibidas de manera periódica con motivo de su trabajo, configurándose con ello el concepto de salario integrado al que hace referencia el artículo 84 de la Ley Federal de</w:t>
      </w:r>
      <w:r>
        <w:rPr>
          <w:rFonts w:ascii="Arial" w:hAnsi="Arial" w:cs="Arial"/>
          <w:sz w:val="24"/>
          <w:szCs w:val="24"/>
        </w:rPr>
        <w:t xml:space="preserve">l Trabajo, que a la letra dice: </w:t>
      </w:r>
    </w:p>
    <w:p w14:paraId="609DB7CE" w14:textId="77777777" w:rsidR="001E445E" w:rsidRPr="00A422B8" w:rsidRDefault="001E445E" w:rsidP="001E445E">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1DA13FE4"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Pr>
          <w:rStyle w:val="Refdenotaalpie"/>
          <w:rFonts w:ascii="Arial" w:hAnsi="Arial" w:cs="Arial"/>
          <w:sz w:val="24"/>
          <w:szCs w:val="24"/>
        </w:rPr>
        <w:footnoteReference w:id="9"/>
      </w:r>
      <w:r w:rsidRPr="00BD4FC7">
        <w:rPr>
          <w:rFonts w:ascii="Arial" w:hAnsi="Arial" w:cs="Arial"/>
          <w:sz w:val="24"/>
          <w:szCs w:val="24"/>
        </w:rPr>
        <w:t xml:space="preserve"> b</w:t>
      </w:r>
      <w:r>
        <w:rPr>
          <w:rFonts w:ascii="Arial" w:hAnsi="Arial" w:cs="Arial"/>
          <w:sz w:val="24"/>
          <w:szCs w:val="24"/>
        </w:rPr>
        <w:t>ajo el rubro y texto siguiente:</w:t>
      </w:r>
    </w:p>
    <w:p w14:paraId="4E1CD070" w14:textId="77777777" w:rsidR="001E445E" w:rsidRPr="00662EB6" w:rsidRDefault="001E445E" w:rsidP="001E445E">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w:t>
      </w:r>
      <w:r w:rsidRPr="00662EB6">
        <w:rPr>
          <w:rFonts w:ascii="Arial" w:hAnsi="Arial" w:cs="Arial"/>
          <w:i/>
          <w:sz w:val="24"/>
          <w:szCs w:val="24"/>
        </w:rPr>
        <w:lastRenderedPageBreak/>
        <w:t>gratificaciones. En esta tesitura, de no cumplirse las características anteriores no puede considerarse a la percepción como parte integrante del salario.</w:t>
      </w:r>
      <w:r>
        <w:rPr>
          <w:rFonts w:ascii="Arial" w:hAnsi="Arial" w:cs="Arial"/>
          <w:i/>
          <w:sz w:val="24"/>
          <w:szCs w:val="24"/>
        </w:rPr>
        <w:t>”</w:t>
      </w:r>
    </w:p>
    <w:p w14:paraId="427544E2"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Pr>
          <w:rFonts w:ascii="Arial" w:hAnsi="Arial" w:cs="Arial"/>
          <w:sz w:val="24"/>
          <w:szCs w:val="24"/>
        </w:rPr>
        <w:t xml:space="preserve"> sirve de apoyo</w:t>
      </w:r>
      <w:r w:rsidRPr="00BD4FC7">
        <w:rPr>
          <w:rFonts w:ascii="Arial" w:hAnsi="Arial" w:cs="Arial"/>
          <w:sz w:val="24"/>
          <w:szCs w:val="24"/>
        </w:rPr>
        <w:t xml:space="preserve"> la tesi</w:t>
      </w:r>
      <w:r>
        <w:rPr>
          <w:rFonts w:ascii="Arial" w:hAnsi="Arial" w:cs="Arial"/>
          <w:sz w:val="24"/>
          <w:szCs w:val="24"/>
        </w:rPr>
        <w:t>s</w:t>
      </w:r>
      <w:r>
        <w:rPr>
          <w:rStyle w:val="Refdenotaalpie"/>
          <w:rFonts w:ascii="Arial" w:hAnsi="Arial" w:cs="Arial"/>
          <w:sz w:val="24"/>
          <w:szCs w:val="24"/>
        </w:rPr>
        <w:footnoteReference w:id="10"/>
      </w:r>
      <w:r w:rsidRPr="00BD4FC7">
        <w:rPr>
          <w:rFonts w:ascii="Arial" w:hAnsi="Arial" w:cs="Arial"/>
          <w:sz w:val="24"/>
          <w:szCs w:val="24"/>
        </w:rPr>
        <w:t xml:space="preserve"> ba</w:t>
      </w:r>
      <w:r>
        <w:rPr>
          <w:rFonts w:ascii="Arial" w:hAnsi="Arial" w:cs="Arial"/>
          <w:sz w:val="24"/>
          <w:szCs w:val="24"/>
        </w:rPr>
        <w:t>jo el rubro y texto siguiente:</w:t>
      </w:r>
    </w:p>
    <w:p w14:paraId="27E07708" w14:textId="77777777" w:rsidR="001E445E" w:rsidRPr="00E40096" w:rsidRDefault="001E445E" w:rsidP="001E445E">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69433B15" w14:textId="77777777"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Por tanto, </w:t>
      </w:r>
      <w:r w:rsidRPr="00BD4FC7">
        <w:rPr>
          <w:rFonts w:ascii="Arial" w:hAnsi="Arial" w:cs="Arial"/>
          <w:sz w:val="24"/>
          <w:szCs w:val="24"/>
        </w:rPr>
        <w:t>protegiendo la progresividad de los derechos humanos</w:t>
      </w:r>
      <w:r>
        <w:rPr>
          <w:rFonts w:ascii="Arial" w:hAnsi="Arial" w:cs="Arial"/>
          <w:sz w:val="24"/>
          <w:szCs w:val="24"/>
        </w:rPr>
        <w:t>,</w:t>
      </w:r>
      <w:r w:rsidRPr="00BD4FC7">
        <w:rPr>
          <w:rFonts w:ascii="Arial" w:hAnsi="Arial" w:cs="Arial"/>
          <w:sz w:val="24"/>
          <w:szCs w:val="24"/>
        </w:rPr>
        <w:t xml:space="preserve"> específicamente el derecho humano de igualdad consagrado en el artículo 1° de la Constitución Política de los Estados Unidos Mexicanos</w:t>
      </w:r>
      <w:r>
        <w:rPr>
          <w:rFonts w:ascii="Arial" w:hAnsi="Arial" w:cs="Arial"/>
          <w:sz w:val="24"/>
          <w:szCs w:val="24"/>
        </w:rPr>
        <w:t xml:space="preserve">, </w:t>
      </w:r>
      <w:r w:rsidRPr="00BD4FC7">
        <w:rPr>
          <w:rFonts w:ascii="Arial" w:hAnsi="Arial" w:cs="Arial"/>
          <w:sz w:val="24"/>
          <w:szCs w:val="24"/>
        </w:rPr>
        <w:t>así como el derecho humano a percibir un salario digno producto de un trabajo realizado contenido en los artículos 5</w:t>
      </w:r>
      <w:r>
        <w:rPr>
          <w:rFonts w:ascii="Arial" w:hAnsi="Arial" w:cs="Arial"/>
          <w:sz w:val="24"/>
          <w:szCs w:val="24"/>
        </w:rPr>
        <w:t>°</w:t>
      </w:r>
      <w:r w:rsidRPr="00BD4FC7">
        <w:rPr>
          <w:rFonts w:ascii="Arial" w:hAnsi="Arial" w:cs="Arial"/>
          <w:sz w:val="24"/>
          <w:szCs w:val="24"/>
        </w:rPr>
        <w:t xml:space="preserve"> primer y tercer párrafo, 123 apartado B y 127, de la Constitución Política de los Estados Unidos Mexicanos</w:t>
      </w:r>
      <w:r>
        <w:rPr>
          <w:rFonts w:ascii="Arial" w:hAnsi="Arial" w:cs="Arial"/>
          <w:sz w:val="24"/>
          <w:szCs w:val="24"/>
        </w:rPr>
        <w:t xml:space="preserve"> </w:t>
      </w:r>
      <w:r w:rsidRPr="00BD4FC7">
        <w:rPr>
          <w:rFonts w:ascii="Arial" w:hAnsi="Arial" w:cs="Arial"/>
          <w:sz w:val="24"/>
          <w:szCs w:val="24"/>
        </w:rPr>
        <w:t>y en el Convenio 102 de la Organización Internacional del Trabajo, relativo a la Norma Mínima de la Seguridad Social, es</w:t>
      </w:r>
      <w:r>
        <w:rPr>
          <w:rFonts w:ascii="Arial" w:hAnsi="Arial" w:cs="Arial"/>
          <w:sz w:val="24"/>
          <w:szCs w:val="24"/>
        </w:rPr>
        <w:t xml:space="preserve"> dable</w:t>
      </w:r>
      <w:r w:rsidRPr="00BD4FC7">
        <w:rPr>
          <w:rFonts w:ascii="Arial" w:hAnsi="Arial" w:cs="Arial"/>
          <w:sz w:val="24"/>
          <w:szCs w:val="24"/>
        </w:rPr>
        <w:t xml:space="preserve"> concluir que</w:t>
      </w:r>
      <w:r>
        <w:rPr>
          <w:rFonts w:ascii="Arial" w:hAnsi="Arial" w:cs="Arial"/>
          <w:sz w:val="24"/>
          <w:szCs w:val="24"/>
        </w:rPr>
        <w:t xml:space="preserve"> la </w:t>
      </w:r>
      <w:r w:rsidRPr="00BD4FC7">
        <w:rPr>
          <w:rFonts w:ascii="Arial" w:hAnsi="Arial" w:cs="Arial"/>
          <w:sz w:val="24"/>
          <w:szCs w:val="24"/>
        </w:rPr>
        <w:t>única diferencia</w:t>
      </w:r>
      <w:r>
        <w:rPr>
          <w:rFonts w:ascii="Arial" w:hAnsi="Arial" w:cs="Arial"/>
          <w:sz w:val="24"/>
          <w:szCs w:val="24"/>
        </w:rPr>
        <w:t xml:space="preserve"> que </w:t>
      </w:r>
      <w:r w:rsidRPr="00BD4FC7">
        <w:rPr>
          <w:rFonts w:ascii="Arial" w:hAnsi="Arial" w:cs="Arial"/>
          <w:sz w:val="24"/>
          <w:szCs w:val="24"/>
        </w:rPr>
        <w:t xml:space="preserve">existe entre los trabajadores de confianza y de base, es la estabilidad laboral y probablemente la percepción de otras remuneraciones dentro de su salario integrado, pero que en el ámbito material de </w:t>
      </w:r>
      <w:r w:rsidRPr="00BD4FC7">
        <w:rPr>
          <w:rFonts w:ascii="Arial" w:hAnsi="Arial" w:cs="Arial"/>
          <w:sz w:val="24"/>
          <w:szCs w:val="24"/>
        </w:rPr>
        <w:lastRenderedPageBreak/>
        <w:t>desempeño de labores, son idénticas, siendo aplicable el aforismo jurídico</w:t>
      </w:r>
      <w:r>
        <w:rPr>
          <w:rFonts w:ascii="Arial" w:hAnsi="Arial" w:cs="Arial"/>
          <w:sz w:val="24"/>
          <w:szCs w:val="24"/>
        </w:rPr>
        <w:t xml:space="preserve"> que reza</w:t>
      </w:r>
      <w:r w:rsidRPr="00BD4FC7">
        <w:rPr>
          <w:rFonts w:ascii="Arial" w:hAnsi="Arial" w:cs="Arial"/>
          <w:sz w:val="24"/>
          <w:szCs w:val="24"/>
        </w:rPr>
        <w:t xml:space="preserve">: </w:t>
      </w:r>
      <w:r w:rsidRPr="00065160">
        <w:rPr>
          <w:rFonts w:ascii="Arial" w:hAnsi="Arial" w:cs="Arial"/>
          <w:i/>
          <w:sz w:val="24"/>
          <w:szCs w:val="24"/>
        </w:rPr>
        <w:t>“a trabajo igual, salario igual”</w:t>
      </w:r>
      <w:r w:rsidRPr="00BD4FC7">
        <w:rPr>
          <w:rFonts w:ascii="Arial" w:hAnsi="Arial" w:cs="Arial"/>
          <w:sz w:val="24"/>
          <w:szCs w:val="24"/>
        </w:rPr>
        <w:t xml:space="preserve">. </w:t>
      </w:r>
    </w:p>
    <w:p w14:paraId="533E71EA"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Pr>
          <w:rStyle w:val="Refdenotaalpie"/>
          <w:rFonts w:ascii="Arial" w:hAnsi="Arial" w:cs="Arial"/>
          <w:sz w:val="24"/>
          <w:szCs w:val="24"/>
        </w:rPr>
        <w:footnoteReference w:id="11"/>
      </w:r>
      <w:r w:rsidRPr="00BD4FC7">
        <w:rPr>
          <w:rFonts w:ascii="Arial" w:hAnsi="Arial" w:cs="Arial"/>
          <w:sz w:val="24"/>
          <w:szCs w:val="24"/>
        </w:rPr>
        <w:t xml:space="preserve"> ba</w:t>
      </w:r>
      <w:r>
        <w:rPr>
          <w:rFonts w:ascii="Arial" w:hAnsi="Arial" w:cs="Arial"/>
          <w:sz w:val="24"/>
          <w:szCs w:val="24"/>
        </w:rPr>
        <w:t>jo el rubro y texto siguiente:</w:t>
      </w:r>
    </w:p>
    <w:p w14:paraId="1DA4FD52" w14:textId="77777777" w:rsidR="001E445E" w:rsidRPr="00065160" w:rsidRDefault="001E445E" w:rsidP="001E445E">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w:t>
      </w:r>
      <w:r w:rsidRPr="00065160">
        <w:rPr>
          <w:rFonts w:ascii="Arial" w:hAnsi="Arial" w:cs="Arial"/>
          <w:i/>
          <w:sz w:val="24"/>
          <w:szCs w:val="24"/>
        </w:rPr>
        <w:lastRenderedPageBreak/>
        <w:t>los derechos fundamentales de igualdad y no discriminación en relación con el derecho al trabajo.</w:t>
      </w:r>
      <w:r>
        <w:rPr>
          <w:rFonts w:ascii="Arial" w:hAnsi="Arial" w:cs="Arial"/>
          <w:i/>
          <w:sz w:val="24"/>
          <w:szCs w:val="24"/>
        </w:rPr>
        <w:t>”</w:t>
      </w:r>
    </w:p>
    <w:p w14:paraId="5D96E810"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Por ello, al momento de jubilarse, el monto que recibirá la persona jubilada no será un salario, sino una cantidad pecuniaria producto de los años de servicio prestados a un patrón y que cotizó determinada cantidad según la Ley de Pensiones previamente establecida,</w:t>
      </w:r>
      <w:r>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“iubilare”</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“iubilatio”</w:t>
      </w:r>
      <w:r w:rsidRPr="00BD4FC7">
        <w:rPr>
          <w:rFonts w:ascii="Arial" w:hAnsi="Arial" w:cs="Arial"/>
          <w:sz w:val="24"/>
          <w:szCs w:val="24"/>
        </w:rPr>
        <w:t xml:space="preserve"> que significa </w:t>
      </w:r>
      <w:r w:rsidRPr="00B51159">
        <w:rPr>
          <w:rFonts w:ascii="Arial" w:hAnsi="Arial" w:cs="Arial"/>
          <w:i/>
          <w:sz w:val="24"/>
          <w:szCs w:val="24"/>
        </w:rPr>
        <w:t>“júbilo”</w:t>
      </w:r>
      <w:r>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01518D46" w14:textId="0D44551E" w:rsidR="001E445E"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w:t>
      </w:r>
      <w:r>
        <w:rPr>
          <w:rFonts w:ascii="Arial" w:hAnsi="Arial" w:cs="Arial"/>
          <w:sz w:val="24"/>
          <w:szCs w:val="24"/>
        </w:rPr>
        <w:t xml:space="preserve"> Unitaria</w:t>
      </w:r>
      <w:r w:rsidRPr="00BD4FC7">
        <w:rPr>
          <w:rFonts w:ascii="Arial" w:hAnsi="Arial" w:cs="Arial"/>
          <w:sz w:val="24"/>
          <w:szCs w:val="24"/>
        </w:rPr>
        <w:t xml:space="preserve"> concluye que</w:t>
      </w:r>
      <w:r>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integrado percibido por la parte actora</w:t>
      </w:r>
      <w:r w:rsidR="00934E50">
        <w:rPr>
          <w:rFonts w:ascii="Arial" w:hAnsi="Arial" w:cs="Arial"/>
          <w:sz w:val="24"/>
          <w:szCs w:val="24"/>
        </w:rPr>
        <w:t xml:space="preserve"> </w:t>
      </w:r>
      <w:r w:rsidR="001C35D8">
        <w:rPr>
          <w:rFonts w:ascii="Arial" w:hAnsi="Arial" w:cs="Arial"/>
          <w:sz w:val="24"/>
          <w:szCs w:val="24"/>
        </w:rPr>
        <w:t>*****</w:t>
      </w:r>
      <w:r w:rsidR="00934E50">
        <w:rPr>
          <w:rFonts w:ascii="Arial" w:hAnsi="Arial" w:cs="Arial"/>
          <w:sz w:val="24"/>
          <w:szCs w:val="24"/>
        </w:rPr>
        <w:t xml:space="preserve"> </w:t>
      </w:r>
      <w:r w:rsidR="001C35D8">
        <w:rPr>
          <w:rFonts w:ascii="Arial" w:hAnsi="Arial" w:cs="Arial"/>
          <w:sz w:val="24"/>
          <w:szCs w:val="24"/>
        </w:rPr>
        <w:t>*****</w:t>
      </w:r>
      <w:r w:rsidR="00934E50">
        <w:rPr>
          <w:rFonts w:ascii="Arial" w:hAnsi="Arial" w:cs="Arial"/>
          <w:sz w:val="24"/>
          <w:szCs w:val="24"/>
        </w:rPr>
        <w:t xml:space="preserve"> </w:t>
      </w:r>
      <w:r w:rsidR="001C35D8">
        <w:rPr>
          <w:rFonts w:ascii="Arial" w:hAnsi="Arial" w:cs="Arial"/>
          <w:sz w:val="24"/>
          <w:szCs w:val="24"/>
        </w:rPr>
        <w:t>*****</w:t>
      </w:r>
      <w:r>
        <w:rPr>
          <w:rFonts w:ascii="Arial" w:hAnsi="Arial" w:cs="Arial"/>
          <w:sz w:val="24"/>
          <w:szCs w:val="24"/>
        </w:rPr>
        <w:t xml:space="preserve">, además de su salario base, también percibía otros conceptos consistentes en </w:t>
      </w:r>
      <w:r w:rsidRPr="00BD4FC7">
        <w:rPr>
          <w:rFonts w:ascii="Arial" w:hAnsi="Arial" w:cs="Arial"/>
          <w:sz w:val="24"/>
          <w:szCs w:val="24"/>
        </w:rPr>
        <w:t>Canasta Básica (clave 42), Previsión Social</w:t>
      </w:r>
      <w:r>
        <w:rPr>
          <w:rFonts w:ascii="Arial" w:hAnsi="Arial" w:cs="Arial"/>
          <w:sz w:val="24"/>
          <w:szCs w:val="24"/>
        </w:rPr>
        <w:t xml:space="preserve"> Múltiple (P.S.M.) (clave 43), </w:t>
      </w:r>
      <w:r w:rsidRPr="00BD4FC7">
        <w:rPr>
          <w:rFonts w:ascii="Arial" w:hAnsi="Arial" w:cs="Arial"/>
          <w:sz w:val="24"/>
          <w:szCs w:val="24"/>
        </w:rPr>
        <w:t>Estí</w:t>
      </w:r>
      <w:r>
        <w:rPr>
          <w:rFonts w:ascii="Arial" w:hAnsi="Arial" w:cs="Arial"/>
          <w:sz w:val="24"/>
          <w:szCs w:val="24"/>
        </w:rPr>
        <w:t>mulo (clave 45), Quinquenios (</w:t>
      </w:r>
      <w:r w:rsidR="006116A2">
        <w:rPr>
          <w:rFonts w:ascii="Arial" w:hAnsi="Arial" w:cs="Arial"/>
          <w:sz w:val="24"/>
          <w:szCs w:val="24"/>
        </w:rPr>
        <w:t>6</w:t>
      </w:r>
      <w:r w:rsidRPr="00BD4FC7">
        <w:rPr>
          <w:rFonts w:ascii="Arial" w:hAnsi="Arial" w:cs="Arial"/>
          <w:sz w:val="24"/>
          <w:szCs w:val="24"/>
        </w:rPr>
        <w:t>) (clave 46)</w:t>
      </w:r>
      <w:r w:rsidR="00710538">
        <w:rPr>
          <w:rFonts w:ascii="Arial" w:hAnsi="Arial" w:cs="Arial"/>
          <w:sz w:val="24"/>
          <w:szCs w:val="24"/>
        </w:rPr>
        <w:t>,</w:t>
      </w:r>
      <w:bookmarkStart w:id="5" w:name="_Hlk125557135"/>
      <w:r w:rsidR="00021182">
        <w:rPr>
          <w:rFonts w:ascii="Arial" w:hAnsi="Arial" w:cs="Arial"/>
          <w:sz w:val="24"/>
          <w:szCs w:val="24"/>
        </w:rPr>
        <w:t xml:space="preserve"> </w:t>
      </w:r>
      <w:r w:rsidR="00F710CF">
        <w:rPr>
          <w:rFonts w:ascii="Arial" w:hAnsi="Arial" w:cs="Arial"/>
          <w:sz w:val="24"/>
          <w:szCs w:val="24"/>
        </w:rPr>
        <w:t>sin contemplar el concepto A.S.R.S.P.J. (clave 50)</w:t>
      </w:r>
      <w:r w:rsidR="00254324">
        <w:rPr>
          <w:rFonts w:ascii="Arial" w:hAnsi="Arial" w:cs="Arial"/>
          <w:sz w:val="24"/>
          <w:szCs w:val="24"/>
        </w:rPr>
        <w:t>, por no estar contemplado en el artículo 54 fracción I de la Ley de</w:t>
      </w:r>
      <w:r w:rsidR="00254324" w:rsidRPr="00BD4FC7">
        <w:rPr>
          <w:rFonts w:ascii="Arial" w:hAnsi="Arial" w:cs="Arial"/>
          <w:sz w:val="24"/>
          <w:szCs w:val="24"/>
        </w:rPr>
        <w:t xml:space="preserve"> Pensiones para los Trabajadores del Gobierno del Estado de Oaxaca</w:t>
      </w:r>
      <w:r>
        <w:rPr>
          <w:rFonts w:ascii="Arial" w:hAnsi="Arial" w:cs="Arial"/>
          <w:sz w:val="24"/>
          <w:szCs w:val="24"/>
        </w:rPr>
        <w:t xml:space="preserve">; </w:t>
      </w:r>
      <w:bookmarkEnd w:id="5"/>
      <w:r>
        <w:rPr>
          <w:rFonts w:ascii="Arial" w:hAnsi="Arial" w:cs="Arial"/>
          <w:sz w:val="24"/>
          <w:szCs w:val="24"/>
        </w:rPr>
        <w:t>por lo queda corroborado que su sueldo integrado lo constituyen otros conceptos adicionales a su sueldo base y que deberán ser considerados para el pago de su pensión.</w:t>
      </w:r>
    </w:p>
    <w:p w14:paraId="30A579A4" w14:textId="2E23AB62"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No pasa desapercibido que en los talones de pago exhibidos por el actor, se  advierte que se estipula un sueldo </w:t>
      </w:r>
      <w:r w:rsidRPr="00DC20FA">
        <w:rPr>
          <w:rFonts w:ascii="Arial" w:hAnsi="Arial" w:cs="Arial"/>
          <w:sz w:val="24"/>
          <w:szCs w:val="24"/>
        </w:rPr>
        <w:t>base</w:t>
      </w:r>
      <w:r>
        <w:rPr>
          <w:rFonts w:ascii="Arial" w:hAnsi="Arial" w:cs="Arial"/>
          <w:sz w:val="24"/>
          <w:szCs w:val="24"/>
        </w:rPr>
        <w:t xml:space="preserve"> quincenal de $</w:t>
      </w:r>
      <w:r w:rsidR="004773D5">
        <w:rPr>
          <w:rFonts w:ascii="Arial" w:eastAsia="Times New Roman" w:hAnsi="Arial" w:cs="Arial"/>
          <w:sz w:val="24"/>
          <w:szCs w:val="27"/>
          <w:lang w:val="es-ES_tradnl" w:eastAsia="es-ES"/>
        </w:rPr>
        <w:t xml:space="preserve">***** ***** </w:t>
      </w:r>
      <w:r>
        <w:rPr>
          <w:rFonts w:ascii="Arial" w:hAnsi="Arial" w:cs="Arial"/>
          <w:sz w:val="24"/>
          <w:szCs w:val="24"/>
        </w:rPr>
        <w:t>(</w:t>
      </w:r>
      <w:r w:rsidR="004773D5">
        <w:rPr>
          <w:rFonts w:ascii="Arial" w:eastAsia="Times New Roman" w:hAnsi="Arial" w:cs="Arial"/>
          <w:sz w:val="24"/>
          <w:szCs w:val="27"/>
          <w:lang w:val="es-ES_tradnl" w:eastAsia="es-ES"/>
        </w:rPr>
        <w:t>***** ***** ***** ***** *****</w:t>
      </w:r>
      <w:r w:rsidR="00780194">
        <w:rPr>
          <w:rFonts w:ascii="Arial" w:hAnsi="Arial" w:cs="Arial"/>
          <w:sz w:val="24"/>
          <w:szCs w:val="24"/>
        </w:rPr>
        <w:t>,</w:t>
      </w:r>
      <w:r>
        <w:rPr>
          <w:rFonts w:ascii="Arial" w:hAnsi="Arial" w:cs="Arial"/>
          <w:sz w:val="24"/>
          <w:szCs w:val="24"/>
        </w:rPr>
        <w:t xml:space="preserve"> </w:t>
      </w:r>
      <w:r w:rsidR="00D87466">
        <w:rPr>
          <w:rFonts w:ascii="Arial" w:hAnsi="Arial" w:cs="Arial"/>
          <w:sz w:val="24"/>
          <w:szCs w:val="24"/>
        </w:rPr>
        <w:t>50</w:t>
      </w:r>
      <w:r>
        <w:rPr>
          <w:rFonts w:ascii="Arial" w:hAnsi="Arial" w:cs="Arial"/>
          <w:sz w:val="24"/>
          <w:szCs w:val="24"/>
        </w:rPr>
        <w:t xml:space="preserve">/100 Moneda Nacional), mientras que, en el dictamen de jubilación controvertido, hace referencia a un sueldo base mensual de </w:t>
      </w:r>
      <w:bookmarkStart w:id="6" w:name="_Hlk125556885"/>
      <w:r>
        <w:rPr>
          <w:rFonts w:ascii="Arial" w:hAnsi="Arial" w:cs="Arial"/>
          <w:sz w:val="24"/>
          <w:szCs w:val="24"/>
        </w:rPr>
        <w:t>$</w:t>
      </w:r>
      <w:r w:rsidR="004773D5">
        <w:rPr>
          <w:rFonts w:ascii="Arial" w:eastAsia="Times New Roman" w:hAnsi="Arial" w:cs="Arial"/>
          <w:sz w:val="24"/>
          <w:szCs w:val="27"/>
          <w:lang w:val="es-ES_tradnl" w:eastAsia="es-ES"/>
        </w:rPr>
        <w:t xml:space="preserve">***** ***** </w:t>
      </w:r>
      <w:r>
        <w:rPr>
          <w:rFonts w:ascii="Arial" w:hAnsi="Arial" w:cs="Arial"/>
          <w:sz w:val="24"/>
          <w:szCs w:val="24"/>
        </w:rPr>
        <w:t>(</w:t>
      </w:r>
      <w:r w:rsidR="004773D5">
        <w:rPr>
          <w:rFonts w:ascii="Arial" w:eastAsia="Times New Roman" w:hAnsi="Arial" w:cs="Arial"/>
          <w:sz w:val="24"/>
          <w:szCs w:val="27"/>
          <w:lang w:val="es-ES_tradnl" w:eastAsia="es-ES"/>
        </w:rPr>
        <w:t>***** ***** ***** ***** *****</w:t>
      </w:r>
      <w:r w:rsidR="00780194">
        <w:rPr>
          <w:rFonts w:ascii="Arial" w:hAnsi="Arial" w:cs="Arial"/>
          <w:sz w:val="24"/>
          <w:szCs w:val="24"/>
        </w:rPr>
        <w:t>,</w:t>
      </w:r>
      <w:r>
        <w:rPr>
          <w:rFonts w:ascii="Arial" w:hAnsi="Arial" w:cs="Arial"/>
          <w:sz w:val="24"/>
          <w:szCs w:val="24"/>
        </w:rPr>
        <w:t xml:space="preserve"> 00/100 Moneda Nacional), </w:t>
      </w:r>
      <w:bookmarkEnd w:id="6"/>
      <w:r>
        <w:rPr>
          <w:rFonts w:ascii="Arial" w:hAnsi="Arial" w:cs="Arial"/>
          <w:sz w:val="24"/>
          <w:szCs w:val="24"/>
        </w:rPr>
        <w:t>mismo que viene inserto y reconocido en el</w:t>
      </w:r>
      <w:r w:rsidRPr="00A66736">
        <w:rPr>
          <w:rFonts w:ascii="Arial" w:hAnsi="Arial" w:cs="Arial"/>
          <w:sz w:val="24"/>
          <w:szCs w:val="24"/>
        </w:rPr>
        <w:t xml:space="preserve"> dictamen de jubilación, y que a su vez hace referencia que dicha cantidad fue autorizada en el nombramiento de confianza para efectos de jubilación</w:t>
      </w:r>
      <w:r>
        <w:rPr>
          <w:rFonts w:ascii="Arial" w:hAnsi="Arial" w:cs="Arial"/>
          <w:sz w:val="24"/>
          <w:szCs w:val="24"/>
        </w:rPr>
        <w:t xml:space="preserve"> número</w:t>
      </w:r>
      <w:r w:rsidR="00D87466">
        <w:rPr>
          <w:rFonts w:ascii="Arial" w:hAnsi="Arial" w:cs="Arial"/>
          <w:sz w:val="24"/>
          <w:szCs w:val="24"/>
        </w:rPr>
        <w:t xml:space="preserve"> </w:t>
      </w:r>
      <w:r w:rsidR="00C05D22">
        <w:rPr>
          <w:rFonts w:ascii="Arial" w:hAnsi="Arial" w:cs="Arial"/>
          <w:sz w:val="24"/>
          <w:szCs w:val="24"/>
        </w:rPr>
        <w:t>*****</w:t>
      </w:r>
      <w:r w:rsidRPr="00A66736">
        <w:rPr>
          <w:rFonts w:ascii="Arial" w:hAnsi="Arial" w:cs="Arial"/>
          <w:sz w:val="24"/>
          <w:szCs w:val="24"/>
        </w:rPr>
        <w:t>, de fecha</w:t>
      </w:r>
      <w:r w:rsidR="007D3C08">
        <w:rPr>
          <w:rFonts w:ascii="Arial" w:hAnsi="Arial" w:cs="Arial"/>
          <w:sz w:val="24"/>
          <w:szCs w:val="24"/>
        </w:rPr>
        <w:t xml:space="preserve"> </w:t>
      </w:r>
      <w:r w:rsidR="00C05D22">
        <w:rPr>
          <w:rFonts w:ascii="Arial" w:hAnsi="Arial" w:cs="Arial"/>
          <w:sz w:val="24"/>
          <w:szCs w:val="24"/>
        </w:rPr>
        <w:t>*****</w:t>
      </w:r>
      <w:r>
        <w:rPr>
          <w:rFonts w:ascii="Arial" w:hAnsi="Arial" w:cs="Arial"/>
          <w:sz w:val="24"/>
          <w:szCs w:val="24"/>
        </w:rPr>
        <w:t xml:space="preserve"> de</w:t>
      </w:r>
      <w:r w:rsidR="00C05D22">
        <w:rPr>
          <w:rFonts w:ascii="Arial" w:hAnsi="Arial" w:cs="Arial"/>
          <w:sz w:val="24"/>
          <w:szCs w:val="24"/>
        </w:rPr>
        <w:t xml:space="preserve"> *****</w:t>
      </w:r>
      <w:r>
        <w:rPr>
          <w:rFonts w:ascii="Arial" w:hAnsi="Arial" w:cs="Arial"/>
          <w:sz w:val="24"/>
          <w:szCs w:val="24"/>
        </w:rPr>
        <w:t xml:space="preserve"> de dos mil</w:t>
      </w:r>
      <w:r w:rsidR="007D3C08">
        <w:rPr>
          <w:rFonts w:ascii="Arial" w:hAnsi="Arial" w:cs="Arial"/>
          <w:sz w:val="24"/>
          <w:szCs w:val="24"/>
        </w:rPr>
        <w:t xml:space="preserve"> </w:t>
      </w:r>
      <w:r w:rsidR="00C05D22">
        <w:rPr>
          <w:rFonts w:ascii="Arial" w:hAnsi="Arial" w:cs="Arial"/>
          <w:sz w:val="24"/>
          <w:szCs w:val="24"/>
        </w:rPr>
        <w:t>*****</w:t>
      </w:r>
      <w:r>
        <w:rPr>
          <w:rFonts w:ascii="Arial" w:hAnsi="Arial" w:cs="Arial"/>
          <w:sz w:val="24"/>
          <w:szCs w:val="24"/>
        </w:rPr>
        <w:t xml:space="preserve">, mismo que fue exhibido por la autoridad demandada (foja </w:t>
      </w:r>
      <w:r w:rsidR="00986E8B">
        <w:rPr>
          <w:rFonts w:ascii="Arial" w:hAnsi="Arial" w:cs="Arial"/>
          <w:sz w:val="24"/>
          <w:szCs w:val="24"/>
        </w:rPr>
        <w:t>4</w:t>
      </w:r>
      <w:r w:rsidR="001A24F8">
        <w:rPr>
          <w:rFonts w:ascii="Arial" w:hAnsi="Arial" w:cs="Arial"/>
          <w:sz w:val="24"/>
          <w:szCs w:val="24"/>
        </w:rPr>
        <w:t>7</w:t>
      </w:r>
      <w:r>
        <w:rPr>
          <w:rFonts w:ascii="Arial" w:hAnsi="Arial" w:cs="Arial"/>
          <w:sz w:val="24"/>
          <w:szCs w:val="24"/>
        </w:rPr>
        <w:t>), documental que adquiere valor probatorio pleno en términos del artículo 203 fracción I de la Ley de Procedimiento y Justicia Administrativa para el Estado de Oaxaca, por lo que existe una variación de los sueldos base, sin embargo, atendiendo a que este último sueldo base</w:t>
      </w:r>
      <w:r w:rsidR="00986E8B" w:rsidRPr="00986E8B">
        <w:rPr>
          <w:rFonts w:ascii="Arial" w:hAnsi="Arial" w:cs="Arial"/>
          <w:sz w:val="24"/>
          <w:szCs w:val="24"/>
        </w:rPr>
        <w:t xml:space="preserve"> </w:t>
      </w:r>
      <w:r w:rsidR="00986E8B">
        <w:rPr>
          <w:rFonts w:ascii="Arial" w:hAnsi="Arial" w:cs="Arial"/>
          <w:sz w:val="24"/>
          <w:szCs w:val="24"/>
        </w:rPr>
        <w:t xml:space="preserve">(el contenido en el nombramiento para efectos jubilación y en el dictamen impugnado) </w:t>
      </w:r>
      <w:r>
        <w:rPr>
          <w:rFonts w:ascii="Arial" w:hAnsi="Arial" w:cs="Arial"/>
          <w:sz w:val="24"/>
          <w:szCs w:val="24"/>
        </w:rPr>
        <w:t xml:space="preserve"> no fue controvertido, será este último sueldo base el que se tomará en cuenta en la presente sentencia para efecto de hacer la correcta cuantificación de la pensión otorgada al accionante.</w:t>
      </w:r>
      <w:r w:rsidR="00614446">
        <w:rPr>
          <w:rFonts w:ascii="Arial" w:hAnsi="Arial" w:cs="Arial"/>
          <w:sz w:val="24"/>
          <w:szCs w:val="24"/>
        </w:rPr>
        <w:t xml:space="preserve"> </w:t>
      </w:r>
    </w:p>
    <w:p w14:paraId="57385FCB" w14:textId="32C783A4"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lastRenderedPageBreak/>
        <w:t>Luego, concatenando lo dicho en párrafos anteriores, además de su sueldo base para efectos de jubilación por la cantidad de</w:t>
      </w:r>
      <w:r w:rsidR="001378D8">
        <w:rPr>
          <w:rFonts w:ascii="Arial" w:hAnsi="Arial" w:cs="Arial"/>
          <w:sz w:val="24"/>
          <w:szCs w:val="24"/>
        </w:rPr>
        <w:t xml:space="preserve"> $</w:t>
      </w:r>
      <w:r w:rsidR="005379FD">
        <w:rPr>
          <w:rFonts w:ascii="Arial" w:eastAsia="Times New Roman" w:hAnsi="Arial" w:cs="Arial"/>
          <w:sz w:val="24"/>
          <w:szCs w:val="27"/>
          <w:lang w:val="es-ES_tradnl" w:eastAsia="es-ES"/>
        </w:rPr>
        <w:t xml:space="preserve">***** ***** </w:t>
      </w:r>
      <w:r w:rsidR="001378D8">
        <w:rPr>
          <w:rFonts w:ascii="Arial" w:hAnsi="Arial" w:cs="Arial"/>
          <w:sz w:val="24"/>
          <w:szCs w:val="24"/>
        </w:rPr>
        <w:t>(</w:t>
      </w:r>
      <w:r w:rsidR="005379FD">
        <w:rPr>
          <w:rFonts w:ascii="Arial" w:eastAsia="Times New Roman" w:hAnsi="Arial" w:cs="Arial"/>
          <w:sz w:val="24"/>
          <w:szCs w:val="27"/>
          <w:lang w:val="es-ES_tradnl" w:eastAsia="es-ES"/>
        </w:rPr>
        <w:t>***** ***** ***** ***** *****</w:t>
      </w:r>
      <w:r w:rsidR="00F3637C">
        <w:rPr>
          <w:rFonts w:ascii="Arial" w:hAnsi="Arial" w:cs="Arial"/>
          <w:sz w:val="24"/>
          <w:szCs w:val="24"/>
        </w:rPr>
        <w:t>,</w:t>
      </w:r>
      <w:r w:rsidR="001378D8">
        <w:rPr>
          <w:rFonts w:ascii="Arial" w:hAnsi="Arial" w:cs="Arial"/>
          <w:sz w:val="24"/>
          <w:szCs w:val="24"/>
        </w:rPr>
        <w:t xml:space="preserve"> 00/100 Moneda Nacional), </w:t>
      </w:r>
      <w:r>
        <w:rPr>
          <w:rFonts w:ascii="Arial" w:hAnsi="Arial" w:cs="Arial"/>
          <w:sz w:val="24"/>
          <w:szCs w:val="24"/>
        </w:rPr>
        <w:t>se deberán integrar los conceptos del artículo 54 fracción I de la Ley de</w:t>
      </w:r>
      <w:r w:rsidRPr="00BD4FC7">
        <w:rPr>
          <w:rFonts w:ascii="Arial" w:hAnsi="Arial" w:cs="Arial"/>
          <w:sz w:val="24"/>
          <w:szCs w:val="24"/>
        </w:rPr>
        <w:t xml:space="preserve"> Pensiones para los Trabajadores del Gobierno del Estado de Oaxaca</w:t>
      </w:r>
      <w:r>
        <w:rPr>
          <w:rFonts w:ascii="Arial" w:hAnsi="Arial" w:cs="Arial"/>
          <w:sz w:val="24"/>
          <w:szCs w:val="24"/>
        </w:rPr>
        <w:t>, por haber corroborado que cuando se encontraba en vida laboral activa, percibía esos conceptos además de su sueldo base.</w:t>
      </w:r>
    </w:p>
    <w:p w14:paraId="28BFE493" w14:textId="77777777"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t>S</w:t>
      </w:r>
      <w:r w:rsidRPr="00BD4FC7">
        <w:rPr>
          <w:rFonts w:ascii="Arial" w:hAnsi="Arial" w:cs="Arial"/>
          <w:sz w:val="24"/>
          <w:szCs w:val="24"/>
        </w:rPr>
        <w:t xml:space="preserve">in embargo, como lo indica el artículo 14 primer párrafo </w:t>
      </w:r>
      <w:r>
        <w:rPr>
          <w:rFonts w:ascii="Arial" w:hAnsi="Arial" w:cs="Arial"/>
          <w:sz w:val="24"/>
          <w:szCs w:val="24"/>
        </w:rPr>
        <w:t>de la Constitución Política de los Estados Unidos Mexicanos</w:t>
      </w:r>
      <w:r w:rsidRPr="00BD4FC7">
        <w:rPr>
          <w:rFonts w:ascii="Arial" w:hAnsi="Arial" w:cs="Arial"/>
          <w:sz w:val="24"/>
          <w:szCs w:val="24"/>
        </w:rPr>
        <w:t>, respecto del principio de la irretroactividad de la ley</w:t>
      </w:r>
      <w:r>
        <w:rPr>
          <w:rFonts w:ascii="Arial" w:hAnsi="Arial" w:cs="Arial"/>
          <w:sz w:val="24"/>
          <w:szCs w:val="24"/>
        </w:rPr>
        <w:t>, establece que</w:t>
      </w:r>
      <w:r w:rsidRPr="00BD4FC7">
        <w:rPr>
          <w:rFonts w:ascii="Arial" w:hAnsi="Arial" w:cs="Arial"/>
          <w:sz w:val="24"/>
          <w:szCs w:val="24"/>
        </w:rPr>
        <w:t xml:space="preserve"> ninguna disposición legal </w:t>
      </w:r>
      <w:r>
        <w:rPr>
          <w:rFonts w:ascii="Arial" w:hAnsi="Arial" w:cs="Arial"/>
          <w:sz w:val="24"/>
          <w:szCs w:val="24"/>
        </w:rPr>
        <w:t>puede ser aplicada</w:t>
      </w:r>
      <w:r w:rsidRPr="00BD4FC7">
        <w:rPr>
          <w:rFonts w:ascii="Arial" w:hAnsi="Arial" w:cs="Arial"/>
          <w:sz w:val="24"/>
          <w:szCs w:val="24"/>
        </w:rPr>
        <w:t xml:space="preserve"> de forma retroactiva en perjuicio de un gobernado, pero que, mediante un control difuso de constitucionalidad de derechos humanos, una disposición legal puede ser aplicada retroactivamente en beneficio de un gobernado</w:t>
      </w:r>
      <w:r>
        <w:rPr>
          <w:rFonts w:ascii="Arial" w:hAnsi="Arial" w:cs="Arial"/>
          <w:sz w:val="24"/>
          <w:szCs w:val="24"/>
        </w:rPr>
        <w:t>.</w:t>
      </w:r>
      <w:r w:rsidRPr="00BD4FC7">
        <w:rPr>
          <w:rFonts w:ascii="Arial" w:hAnsi="Arial" w:cs="Arial"/>
          <w:sz w:val="24"/>
          <w:szCs w:val="24"/>
        </w:rPr>
        <w:t xml:space="preserve"> </w:t>
      </w:r>
    </w:p>
    <w:p w14:paraId="64B093E5" w14:textId="6EA09E60" w:rsidR="001E445E" w:rsidRPr="00BD4FC7"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En las relatadas consideraciones, </w:t>
      </w:r>
      <w:r w:rsidRPr="00BD4FC7">
        <w:rPr>
          <w:rFonts w:ascii="Arial" w:hAnsi="Arial" w:cs="Arial"/>
          <w:sz w:val="24"/>
          <w:szCs w:val="24"/>
        </w:rPr>
        <w:t xml:space="preserve">la Oficina de Pensiones del </w:t>
      </w:r>
      <w:r>
        <w:rPr>
          <w:rFonts w:ascii="Arial" w:hAnsi="Arial" w:cs="Arial"/>
          <w:sz w:val="24"/>
          <w:szCs w:val="24"/>
        </w:rPr>
        <w:t xml:space="preserve">Gobierno del </w:t>
      </w:r>
      <w:r w:rsidRPr="00BD4FC7">
        <w:rPr>
          <w:rFonts w:ascii="Arial" w:hAnsi="Arial" w:cs="Arial"/>
          <w:sz w:val="24"/>
          <w:szCs w:val="24"/>
        </w:rPr>
        <w:t>Estado de Oaxaca, debe otorgar el mayor beneficio</w:t>
      </w:r>
      <w:r>
        <w:rPr>
          <w:rFonts w:ascii="Arial" w:hAnsi="Arial" w:cs="Arial"/>
          <w:sz w:val="24"/>
          <w:szCs w:val="24"/>
        </w:rPr>
        <w:t xml:space="preserve">, y por ende, </w:t>
      </w:r>
      <w:r w:rsidRPr="00BD4FC7">
        <w:rPr>
          <w:rFonts w:ascii="Arial" w:hAnsi="Arial" w:cs="Arial"/>
          <w:sz w:val="24"/>
          <w:szCs w:val="24"/>
        </w:rPr>
        <w:t>considera</w:t>
      </w:r>
      <w:r>
        <w:rPr>
          <w:rFonts w:ascii="Arial" w:hAnsi="Arial" w:cs="Arial"/>
          <w:sz w:val="24"/>
          <w:szCs w:val="24"/>
        </w:rPr>
        <w:t>r</w:t>
      </w:r>
      <w:r w:rsidRPr="00BD4FC7">
        <w:rPr>
          <w:rFonts w:ascii="Arial" w:hAnsi="Arial" w:cs="Arial"/>
          <w:sz w:val="24"/>
          <w:szCs w:val="24"/>
        </w:rPr>
        <w:t xml:space="preserve"> el salario integrado </w:t>
      </w:r>
      <w:r>
        <w:rPr>
          <w:rFonts w:ascii="Arial" w:hAnsi="Arial" w:cs="Arial"/>
          <w:sz w:val="24"/>
          <w:szCs w:val="24"/>
        </w:rPr>
        <w:t xml:space="preserve">para la cuantificación correcta de la pensión a otorgar, misma </w:t>
      </w:r>
      <w:r w:rsidRPr="00BD4FC7">
        <w:rPr>
          <w:rFonts w:ascii="Arial" w:hAnsi="Arial" w:cs="Arial"/>
          <w:sz w:val="24"/>
          <w:szCs w:val="24"/>
        </w:rPr>
        <w:t xml:space="preserve">que abarca todas y cada una de las prestaciones </w:t>
      </w:r>
      <w:r>
        <w:rPr>
          <w:rFonts w:ascii="Arial" w:hAnsi="Arial" w:cs="Arial"/>
          <w:sz w:val="24"/>
          <w:szCs w:val="24"/>
        </w:rPr>
        <w:t>que contempla el artículo 54 fracción I de la Ley de Pensiones para los Trabajadores del Gobierno del Estado de Oaxaca, a favor de</w:t>
      </w:r>
      <w:r w:rsidR="008C6332">
        <w:rPr>
          <w:rFonts w:ascii="Arial" w:hAnsi="Arial" w:cs="Arial"/>
          <w:sz w:val="24"/>
          <w:szCs w:val="24"/>
        </w:rPr>
        <w:t xml:space="preserve"> </w:t>
      </w:r>
      <w:r w:rsidR="007E3D64">
        <w:rPr>
          <w:rFonts w:ascii="Arial" w:hAnsi="Arial" w:cs="Arial"/>
          <w:sz w:val="24"/>
          <w:szCs w:val="24"/>
        </w:rPr>
        <w:t>*****</w:t>
      </w:r>
      <w:r w:rsidR="008C6332">
        <w:rPr>
          <w:rFonts w:ascii="Arial" w:hAnsi="Arial" w:cs="Arial"/>
          <w:sz w:val="24"/>
          <w:szCs w:val="24"/>
        </w:rPr>
        <w:t xml:space="preserve"> </w:t>
      </w:r>
      <w:r w:rsidR="007E3D64">
        <w:rPr>
          <w:rFonts w:ascii="Arial" w:hAnsi="Arial" w:cs="Arial"/>
          <w:sz w:val="24"/>
          <w:szCs w:val="24"/>
        </w:rPr>
        <w:t>*****</w:t>
      </w:r>
      <w:r w:rsidR="008C6332">
        <w:rPr>
          <w:rFonts w:ascii="Arial" w:hAnsi="Arial" w:cs="Arial"/>
          <w:sz w:val="24"/>
          <w:szCs w:val="24"/>
        </w:rPr>
        <w:t xml:space="preserve"> </w:t>
      </w:r>
      <w:r w:rsidR="007E3D64">
        <w:rPr>
          <w:rFonts w:ascii="Arial" w:hAnsi="Arial" w:cs="Arial"/>
          <w:sz w:val="24"/>
          <w:szCs w:val="24"/>
        </w:rPr>
        <w:t>*****</w:t>
      </w:r>
      <w:r w:rsidRPr="00BD4FC7">
        <w:rPr>
          <w:rFonts w:ascii="Arial" w:hAnsi="Arial" w:cs="Arial"/>
          <w:sz w:val="24"/>
          <w:szCs w:val="24"/>
        </w:rPr>
        <w:t xml:space="preserve">, </w:t>
      </w:r>
      <w:r>
        <w:rPr>
          <w:rFonts w:ascii="Arial" w:hAnsi="Arial" w:cs="Arial"/>
          <w:sz w:val="24"/>
          <w:szCs w:val="24"/>
        </w:rPr>
        <w:t xml:space="preserve">por ello, </w:t>
      </w:r>
      <w:r w:rsidRPr="00F444D8">
        <w:rPr>
          <w:rFonts w:ascii="Arial" w:hAnsi="Arial" w:cs="Arial"/>
          <w:sz w:val="24"/>
          <w:szCs w:val="24"/>
        </w:rPr>
        <w:t>lo correcto es calcular la pensión con base al salario integrado mencionado anteriormente</w:t>
      </w:r>
      <w:r w:rsidRPr="00BD4FC7">
        <w:rPr>
          <w:rFonts w:ascii="Arial" w:hAnsi="Arial" w:cs="Arial"/>
          <w:sz w:val="24"/>
          <w:szCs w:val="24"/>
        </w:rPr>
        <w:t xml:space="preserve"> y </w:t>
      </w:r>
      <w:r>
        <w:rPr>
          <w:rFonts w:ascii="Arial" w:hAnsi="Arial" w:cs="Arial"/>
          <w:sz w:val="24"/>
          <w:szCs w:val="24"/>
        </w:rPr>
        <w:t>no únicamente con el</w:t>
      </w:r>
      <w:r w:rsidRPr="00BD4FC7">
        <w:rPr>
          <w:rFonts w:ascii="Arial" w:hAnsi="Arial" w:cs="Arial"/>
          <w:sz w:val="24"/>
          <w:szCs w:val="24"/>
        </w:rPr>
        <w:t xml:space="preserve"> salario base</w:t>
      </w:r>
      <w:r>
        <w:rPr>
          <w:rFonts w:ascii="Arial" w:hAnsi="Arial" w:cs="Arial"/>
          <w:sz w:val="24"/>
          <w:szCs w:val="24"/>
        </w:rPr>
        <w:t>,</w:t>
      </w:r>
      <w:r w:rsidRPr="00BD4FC7">
        <w:rPr>
          <w:rFonts w:ascii="Arial" w:hAnsi="Arial" w:cs="Arial"/>
          <w:sz w:val="24"/>
          <w:szCs w:val="24"/>
        </w:rPr>
        <w:t xml:space="preserve"> como erróneamente lo consideró la autoridad demandada</w:t>
      </w:r>
      <w:r>
        <w:rPr>
          <w:rFonts w:ascii="Arial" w:hAnsi="Arial" w:cs="Arial"/>
          <w:sz w:val="24"/>
          <w:szCs w:val="24"/>
        </w:rPr>
        <w:t>.</w:t>
      </w:r>
      <w:r w:rsidRPr="00BD4FC7">
        <w:rPr>
          <w:rFonts w:ascii="Arial" w:hAnsi="Arial" w:cs="Arial"/>
          <w:sz w:val="24"/>
          <w:szCs w:val="24"/>
        </w:rPr>
        <w:t xml:space="preserve"> </w:t>
      </w:r>
    </w:p>
    <w:p w14:paraId="6526B6BE" w14:textId="77777777" w:rsidR="001E445E"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Pr>
          <w:rFonts w:ascii="Arial" w:hAnsi="Arial" w:cs="Arial"/>
          <w:sz w:val="24"/>
          <w:szCs w:val="24"/>
        </w:rPr>
        <w:t xml:space="preserve">en la fracción </w:t>
      </w:r>
      <w:r w:rsidRPr="00BD4FC7">
        <w:rPr>
          <w:rFonts w:ascii="Arial" w:hAnsi="Arial" w:cs="Arial"/>
          <w:sz w:val="24"/>
          <w:szCs w:val="24"/>
        </w:rPr>
        <w:t>V del artículo 17</w:t>
      </w:r>
      <w:r>
        <w:rPr>
          <w:rFonts w:ascii="Arial" w:hAnsi="Arial" w:cs="Arial"/>
          <w:sz w:val="24"/>
          <w:szCs w:val="24"/>
        </w:rPr>
        <w:t>,</w:t>
      </w:r>
      <w:r w:rsidRPr="00BD4FC7">
        <w:rPr>
          <w:rFonts w:ascii="Arial" w:hAnsi="Arial" w:cs="Arial"/>
          <w:sz w:val="24"/>
          <w:szCs w:val="24"/>
        </w:rPr>
        <w:t xml:space="preserve"> en relación con el artículo 208 fracciones II y VI de la Ley de Procedimiento y Justicia Administrativa para el Estado de Oaxaca, vulnerando con ello el derecho de igualdad del administrad</w:t>
      </w:r>
      <w:r>
        <w:rPr>
          <w:rFonts w:ascii="Arial" w:hAnsi="Arial" w:cs="Arial"/>
          <w:sz w:val="24"/>
          <w:szCs w:val="24"/>
        </w:rPr>
        <w:t>o</w:t>
      </w:r>
      <w:r w:rsidRPr="00BD4FC7">
        <w:rPr>
          <w:rFonts w:ascii="Arial" w:hAnsi="Arial" w:cs="Arial"/>
          <w:sz w:val="24"/>
          <w:szCs w:val="24"/>
        </w:rPr>
        <w:t xml:space="preserve">, </w:t>
      </w:r>
      <w:r>
        <w:rPr>
          <w:rFonts w:ascii="Arial" w:hAnsi="Arial" w:cs="Arial"/>
          <w:sz w:val="24"/>
          <w:szCs w:val="24"/>
        </w:rPr>
        <w:t xml:space="preserve">dado </w:t>
      </w:r>
      <w:r w:rsidRPr="00BD4FC7">
        <w:rPr>
          <w:rFonts w:ascii="Arial" w:hAnsi="Arial" w:cs="Arial"/>
          <w:sz w:val="24"/>
          <w:szCs w:val="24"/>
        </w:rPr>
        <w:t>que no se pronunció respecto de las demás prestaciones a la que tenía derecho</w:t>
      </w:r>
      <w:r>
        <w:rPr>
          <w:rFonts w:ascii="Arial" w:hAnsi="Arial" w:cs="Arial"/>
          <w:sz w:val="24"/>
          <w:szCs w:val="24"/>
        </w:rPr>
        <w:t xml:space="preserve">. </w:t>
      </w:r>
    </w:p>
    <w:p w14:paraId="193D8F36" w14:textId="0680C880" w:rsidR="001E445E" w:rsidRPr="00BD4FC7" w:rsidRDefault="001E445E" w:rsidP="001E445E">
      <w:pPr>
        <w:spacing w:line="360" w:lineRule="auto"/>
        <w:ind w:firstLine="567"/>
        <w:jc w:val="both"/>
        <w:rPr>
          <w:rFonts w:ascii="Arial" w:hAnsi="Arial" w:cs="Arial"/>
          <w:sz w:val="24"/>
          <w:szCs w:val="24"/>
        </w:rPr>
      </w:pPr>
      <w:r w:rsidRPr="007C42BF">
        <w:rPr>
          <w:rFonts w:ascii="Arial" w:hAnsi="Arial" w:cs="Arial"/>
          <w:sz w:val="24"/>
          <w:szCs w:val="24"/>
        </w:rPr>
        <w:t xml:space="preserve">En congruencia con lo anterior, el acto controvertido se encuentra indebidamente fundado y motivado, por lo que </w:t>
      </w:r>
      <w:r w:rsidR="00A83F20">
        <w:rPr>
          <w:rFonts w:ascii="Arial" w:hAnsi="Arial" w:cs="Arial"/>
          <w:sz w:val="24"/>
          <w:szCs w:val="24"/>
        </w:rPr>
        <w:t xml:space="preserve">resulta fundado el concepto de impugnación </w:t>
      </w:r>
      <w:r w:rsidR="00A83F20" w:rsidRPr="00A83F20">
        <w:rPr>
          <w:rFonts w:ascii="Arial" w:hAnsi="Arial" w:cs="Arial"/>
          <w:b/>
          <w:bCs/>
          <w:sz w:val="24"/>
          <w:szCs w:val="24"/>
        </w:rPr>
        <w:t>PRIMERO</w:t>
      </w:r>
      <w:r w:rsidR="00A83F20">
        <w:rPr>
          <w:rFonts w:ascii="Arial" w:hAnsi="Arial" w:cs="Arial"/>
          <w:sz w:val="24"/>
          <w:szCs w:val="24"/>
        </w:rPr>
        <w:t xml:space="preserve"> hecho valer por el actor, por ello, </w:t>
      </w:r>
      <w:r w:rsidRPr="007C42BF">
        <w:rPr>
          <w:rFonts w:ascii="Arial" w:hAnsi="Arial" w:cs="Arial"/>
          <w:sz w:val="24"/>
          <w:szCs w:val="24"/>
        </w:rPr>
        <w:t xml:space="preserve">lo procedente es declarar la </w:t>
      </w:r>
      <w:r w:rsidRPr="007C42BF">
        <w:rPr>
          <w:rFonts w:ascii="Arial" w:hAnsi="Arial" w:cs="Arial"/>
          <w:b/>
          <w:sz w:val="24"/>
          <w:szCs w:val="24"/>
        </w:rPr>
        <w:t>NULIDAD</w:t>
      </w:r>
      <w:r w:rsidRPr="007C42BF">
        <w:rPr>
          <w:rFonts w:ascii="Arial" w:hAnsi="Arial" w:cs="Arial"/>
          <w:sz w:val="24"/>
          <w:szCs w:val="24"/>
        </w:rPr>
        <w:t xml:space="preserve"> del oficio número</w:t>
      </w:r>
      <w:r w:rsidRPr="00F9364D">
        <w:rPr>
          <w:rFonts w:ascii="Arial" w:hAnsi="Arial" w:cs="Arial"/>
          <w:bCs/>
          <w:spacing w:val="-3"/>
          <w:sz w:val="24"/>
          <w:szCs w:val="27"/>
          <w:lang w:val="es-ES_tradnl"/>
        </w:rPr>
        <w:t xml:space="preserve"> </w:t>
      </w:r>
      <w:r w:rsidR="005379FD">
        <w:rPr>
          <w:rFonts w:ascii="Arial" w:eastAsia="Times New Roman" w:hAnsi="Arial" w:cs="Arial"/>
          <w:sz w:val="24"/>
          <w:szCs w:val="27"/>
          <w:lang w:val="es-ES_tradnl" w:eastAsia="es-ES"/>
        </w:rPr>
        <w:t>*****</w:t>
      </w:r>
      <w:r>
        <w:rPr>
          <w:rFonts w:ascii="Arial" w:hAnsi="Arial" w:cs="Arial"/>
          <w:bCs/>
          <w:spacing w:val="-3"/>
          <w:sz w:val="24"/>
          <w:szCs w:val="27"/>
          <w:lang w:val="es-ES_tradnl"/>
        </w:rPr>
        <w:t>, de fecha</w:t>
      </w:r>
      <w:r w:rsidR="008F4C5F">
        <w:rPr>
          <w:rFonts w:ascii="Arial" w:hAnsi="Arial" w:cs="Arial"/>
          <w:bCs/>
          <w:spacing w:val="-3"/>
          <w:sz w:val="24"/>
          <w:szCs w:val="27"/>
          <w:lang w:val="es-ES_tradnl"/>
        </w:rPr>
        <w:t xml:space="preserve"> </w:t>
      </w:r>
      <w:r w:rsidR="005379FD">
        <w:rPr>
          <w:rFonts w:ascii="Arial" w:eastAsia="Times New Roman" w:hAnsi="Arial" w:cs="Arial"/>
          <w:sz w:val="24"/>
          <w:szCs w:val="27"/>
          <w:lang w:val="es-ES_tradnl" w:eastAsia="es-ES"/>
        </w:rPr>
        <w:t>***** de ***** de *****</w:t>
      </w:r>
      <w:r w:rsidR="008F4C5F">
        <w:rPr>
          <w:rFonts w:ascii="Arial" w:hAnsi="Arial" w:cs="Arial"/>
          <w:bCs/>
          <w:spacing w:val="-3"/>
          <w:sz w:val="24"/>
          <w:szCs w:val="27"/>
          <w:lang w:val="es-ES_tradnl"/>
        </w:rPr>
        <w:t>,</w:t>
      </w:r>
      <w:r w:rsidRPr="007C42BF">
        <w:rPr>
          <w:rFonts w:ascii="Arial" w:hAnsi="Arial" w:cs="Arial"/>
          <w:sz w:val="24"/>
          <w:szCs w:val="24"/>
        </w:rPr>
        <w:t xml:space="preserve"> emitido por el Director General de la Oficina de Pensiones del Estado de Oaxaca, </w:t>
      </w:r>
      <w:r w:rsidRPr="007C42BF">
        <w:rPr>
          <w:rFonts w:ascii="Arial" w:hAnsi="Arial" w:cs="Arial"/>
          <w:b/>
          <w:sz w:val="24"/>
          <w:szCs w:val="24"/>
        </w:rPr>
        <w:t>PARA EL EFECTO</w:t>
      </w:r>
      <w:r w:rsidRPr="007C42BF">
        <w:rPr>
          <w:rFonts w:ascii="Arial" w:hAnsi="Arial" w:cs="Arial"/>
          <w:sz w:val="24"/>
          <w:szCs w:val="24"/>
        </w:rPr>
        <w:t xml:space="preserve"> de que </w:t>
      </w:r>
      <w:bookmarkStart w:id="7" w:name="_Hlk107517012"/>
      <w:r w:rsidRPr="007C42BF">
        <w:rPr>
          <w:rFonts w:ascii="Arial" w:hAnsi="Arial" w:cs="Arial"/>
          <w:sz w:val="24"/>
          <w:szCs w:val="24"/>
        </w:rPr>
        <w:t>la autoridad demandada deje sin efectos el oficio controvertido y en uno nuevo funde y motive su determinación, pronunciándose en los términos de la presente resolución, donde se haga el reajuste de pensión considerando el salario integrado para el efecto de que la pensión reclamada se integre por los conceptos de: Canasta Básica (clave 42), Previsión Social Múltiple (P.S.M.) (clave 43), Estímulo (clave 45), Quinquenios (</w:t>
      </w:r>
      <w:r w:rsidR="004F67B9">
        <w:rPr>
          <w:rFonts w:ascii="Arial" w:hAnsi="Arial" w:cs="Arial"/>
          <w:sz w:val="24"/>
          <w:szCs w:val="24"/>
        </w:rPr>
        <w:t>6</w:t>
      </w:r>
      <w:r w:rsidRPr="007C42BF">
        <w:rPr>
          <w:rFonts w:ascii="Arial" w:hAnsi="Arial" w:cs="Arial"/>
          <w:sz w:val="24"/>
          <w:szCs w:val="24"/>
        </w:rPr>
        <w:t>) (clave 46</w:t>
      </w:r>
      <w:r w:rsidR="00D27B06">
        <w:rPr>
          <w:rFonts w:ascii="Arial" w:hAnsi="Arial" w:cs="Arial"/>
          <w:sz w:val="24"/>
          <w:szCs w:val="24"/>
        </w:rPr>
        <w:t xml:space="preserve">), sin contemplar el concepto </w:t>
      </w:r>
      <w:r w:rsidR="00D27B06">
        <w:rPr>
          <w:rFonts w:ascii="Arial" w:hAnsi="Arial" w:cs="Arial"/>
          <w:sz w:val="24"/>
          <w:szCs w:val="24"/>
        </w:rPr>
        <w:lastRenderedPageBreak/>
        <w:t>A.S.R.S.P.J. (clave 50)</w:t>
      </w:r>
      <w:r w:rsidR="00F00E3E">
        <w:rPr>
          <w:rFonts w:ascii="Arial" w:hAnsi="Arial" w:cs="Arial"/>
          <w:sz w:val="24"/>
          <w:szCs w:val="24"/>
        </w:rPr>
        <w:t>, por no estar contemplado en el artículo 54 fracción I de la Ley de</w:t>
      </w:r>
      <w:r w:rsidR="00F00E3E" w:rsidRPr="00BD4FC7">
        <w:rPr>
          <w:rFonts w:ascii="Arial" w:hAnsi="Arial" w:cs="Arial"/>
          <w:sz w:val="24"/>
          <w:szCs w:val="24"/>
        </w:rPr>
        <w:t xml:space="preserve"> Pensiones para los Trabajadores del Gobierno del Estado de Oaxaca</w:t>
      </w:r>
      <w:r w:rsidRPr="007C42BF">
        <w:rPr>
          <w:rFonts w:ascii="Arial" w:hAnsi="Arial" w:cs="Arial"/>
          <w:sz w:val="24"/>
          <w:szCs w:val="24"/>
        </w:rPr>
        <w:t>; más el salario base señalado en el nombramiento de confianza para efectos de jubilación</w:t>
      </w:r>
      <w:r>
        <w:rPr>
          <w:rFonts w:ascii="Arial" w:hAnsi="Arial" w:cs="Arial"/>
          <w:sz w:val="24"/>
          <w:szCs w:val="24"/>
        </w:rPr>
        <w:t xml:space="preserve"> número</w:t>
      </w:r>
      <w:r w:rsidR="00BE07AF">
        <w:rPr>
          <w:rFonts w:ascii="Arial" w:hAnsi="Arial" w:cs="Arial"/>
          <w:sz w:val="24"/>
          <w:szCs w:val="24"/>
        </w:rPr>
        <w:t xml:space="preserve"> *****</w:t>
      </w:r>
      <w:r w:rsidRPr="007C42BF">
        <w:rPr>
          <w:rFonts w:ascii="Arial" w:hAnsi="Arial" w:cs="Arial"/>
          <w:sz w:val="24"/>
          <w:szCs w:val="24"/>
        </w:rPr>
        <w:t>, de fecha</w:t>
      </w:r>
      <w:r w:rsidR="003604CC">
        <w:rPr>
          <w:rFonts w:ascii="Arial" w:hAnsi="Arial" w:cs="Arial"/>
          <w:sz w:val="24"/>
          <w:szCs w:val="24"/>
        </w:rPr>
        <w:t xml:space="preserve"> </w:t>
      </w:r>
      <w:r w:rsidR="00BE07AF">
        <w:rPr>
          <w:rFonts w:ascii="Arial" w:hAnsi="Arial" w:cs="Arial"/>
          <w:sz w:val="24"/>
          <w:szCs w:val="24"/>
        </w:rPr>
        <w:t>*****</w:t>
      </w:r>
      <w:r w:rsidRPr="007C42BF">
        <w:rPr>
          <w:rFonts w:ascii="Arial" w:hAnsi="Arial" w:cs="Arial"/>
          <w:sz w:val="24"/>
          <w:szCs w:val="24"/>
        </w:rPr>
        <w:t xml:space="preserve"> de</w:t>
      </w:r>
      <w:r w:rsidR="003604CC">
        <w:rPr>
          <w:rFonts w:ascii="Arial" w:hAnsi="Arial" w:cs="Arial"/>
          <w:sz w:val="24"/>
          <w:szCs w:val="24"/>
        </w:rPr>
        <w:t xml:space="preserve"> </w:t>
      </w:r>
      <w:r w:rsidR="00BE07AF">
        <w:rPr>
          <w:rFonts w:ascii="Arial" w:hAnsi="Arial" w:cs="Arial"/>
          <w:sz w:val="24"/>
          <w:szCs w:val="24"/>
        </w:rPr>
        <w:t>*****</w:t>
      </w:r>
      <w:r w:rsidRPr="007C42BF">
        <w:rPr>
          <w:rFonts w:ascii="Arial" w:hAnsi="Arial" w:cs="Arial"/>
          <w:sz w:val="24"/>
          <w:szCs w:val="24"/>
        </w:rPr>
        <w:t xml:space="preserve"> de dos mil</w:t>
      </w:r>
      <w:r w:rsidR="003604CC">
        <w:rPr>
          <w:rFonts w:ascii="Arial" w:hAnsi="Arial" w:cs="Arial"/>
          <w:sz w:val="24"/>
          <w:szCs w:val="24"/>
        </w:rPr>
        <w:t xml:space="preserve"> </w:t>
      </w:r>
      <w:r w:rsidR="00BE07AF">
        <w:rPr>
          <w:rFonts w:ascii="Arial" w:hAnsi="Arial" w:cs="Arial"/>
          <w:sz w:val="24"/>
          <w:szCs w:val="24"/>
        </w:rPr>
        <w:t>*****</w:t>
      </w:r>
      <w:r w:rsidRPr="007C42BF">
        <w:rPr>
          <w:rFonts w:ascii="Arial" w:hAnsi="Arial" w:cs="Arial"/>
          <w:sz w:val="24"/>
          <w:szCs w:val="24"/>
        </w:rPr>
        <w:t xml:space="preserve"> (con </w:t>
      </w:r>
      <w:r w:rsidRPr="00DF347E">
        <w:rPr>
          <w:rFonts w:ascii="Arial" w:hAnsi="Arial" w:cs="Arial"/>
          <w:sz w:val="24"/>
          <w:szCs w:val="24"/>
        </w:rPr>
        <w:t>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 por ello, el dictamen deberá estar debidamente fundado y motivado cumpliendo los requisitos y elementos de validez del acto administrativo a los que hace referencia el artículo 17 de la Ley de Procedimiento y Justicia Administrativa para el Estado de Oaxaca</w:t>
      </w:r>
      <w:bookmarkEnd w:id="7"/>
      <w:r w:rsidRPr="00DF347E">
        <w:rPr>
          <w:rFonts w:ascii="Arial" w:hAnsi="Arial" w:cs="Arial"/>
          <w:sz w:val="24"/>
          <w:szCs w:val="24"/>
        </w:rPr>
        <w:t>.</w:t>
      </w:r>
    </w:p>
    <w:p w14:paraId="69ABCB94"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Sirve de apoyo</w:t>
      </w:r>
      <w:r>
        <w:rPr>
          <w:rFonts w:ascii="Arial" w:hAnsi="Arial" w:cs="Arial"/>
          <w:sz w:val="24"/>
          <w:szCs w:val="24"/>
        </w:rPr>
        <w:t xml:space="preserve"> a lo anterior la tesis</w:t>
      </w:r>
      <w:r>
        <w:rPr>
          <w:rStyle w:val="Refdenotaalpie"/>
          <w:rFonts w:ascii="Arial" w:hAnsi="Arial" w:cs="Arial"/>
          <w:sz w:val="24"/>
          <w:szCs w:val="24"/>
        </w:rPr>
        <w:footnoteReference w:id="12"/>
      </w:r>
      <w:r w:rsidRPr="00BD4FC7">
        <w:rPr>
          <w:rFonts w:ascii="Arial" w:hAnsi="Arial" w:cs="Arial"/>
          <w:sz w:val="24"/>
          <w:szCs w:val="24"/>
        </w:rPr>
        <w:t xml:space="preserve"> ba</w:t>
      </w:r>
      <w:r>
        <w:rPr>
          <w:rFonts w:ascii="Arial" w:hAnsi="Arial" w:cs="Arial"/>
          <w:sz w:val="24"/>
          <w:szCs w:val="24"/>
        </w:rPr>
        <w:t>jo el texto y rubro siguiente:</w:t>
      </w:r>
    </w:p>
    <w:p w14:paraId="7EADD91C" w14:textId="77777777" w:rsidR="001E445E" w:rsidRPr="00371D3E" w:rsidRDefault="001E445E" w:rsidP="001E445E">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w:t>
      </w:r>
      <w:r w:rsidRPr="00371D3E">
        <w:rPr>
          <w:rFonts w:ascii="Arial" w:hAnsi="Arial" w:cs="Arial"/>
          <w:i/>
          <w:sz w:val="24"/>
          <w:szCs w:val="24"/>
        </w:rPr>
        <w:lastRenderedPageBreak/>
        <w:t>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7ECD92D5" w14:textId="77777777" w:rsidR="001E445E" w:rsidRDefault="001E445E" w:rsidP="001E445E">
      <w:pPr>
        <w:spacing w:line="360" w:lineRule="auto"/>
        <w:ind w:right="51"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Pr>
          <w:rFonts w:ascii="Arial" w:hAnsi="Arial" w:cs="Arial"/>
          <w:bCs/>
          <w:snapToGrid w:val="0"/>
          <w:sz w:val="24"/>
          <w:szCs w:val="27"/>
        </w:rPr>
        <w:t>;</w:t>
      </w:r>
    </w:p>
    <w:p w14:paraId="13FB9182" w14:textId="17D5C404" w:rsidR="001E445E" w:rsidRPr="009C0C09" w:rsidRDefault="001E445E" w:rsidP="001E445E">
      <w:pPr>
        <w:spacing w:line="360" w:lineRule="auto"/>
        <w:ind w:right="51" w:firstLine="567"/>
        <w:jc w:val="center"/>
        <w:rPr>
          <w:rFonts w:ascii="Arial" w:hAnsi="Arial" w:cs="Arial"/>
          <w:b/>
          <w:sz w:val="24"/>
          <w:szCs w:val="27"/>
        </w:rPr>
      </w:pPr>
      <w:r w:rsidRPr="001E445E">
        <w:rPr>
          <w:rFonts w:ascii="Arial" w:hAnsi="Arial" w:cs="Arial"/>
          <w:b/>
          <w:sz w:val="24"/>
          <w:szCs w:val="27"/>
        </w:rPr>
        <w:t xml:space="preserve"> </w:t>
      </w:r>
      <w:r w:rsidRPr="009C0C09">
        <w:rPr>
          <w:rFonts w:ascii="Arial" w:hAnsi="Arial" w:cs="Arial"/>
          <w:b/>
          <w:sz w:val="24"/>
          <w:szCs w:val="27"/>
        </w:rPr>
        <w:t>R E S U E L V E:</w:t>
      </w:r>
    </w:p>
    <w:p w14:paraId="3509E718" w14:textId="77777777" w:rsidR="001E445E" w:rsidRPr="009C0C09" w:rsidRDefault="001E445E" w:rsidP="001E445E">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57F34667" w14:textId="77777777" w:rsidR="001E445E" w:rsidRPr="009C0C09" w:rsidRDefault="001E445E" w:rsidP="001E445E">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Pr>
          <w:rFonts w:cs="Arial"/>
          <w:b w:val="0"/>
          <w:bCs/>
          <w:i w:val="0"/>
          <w:szCs w:val="27"/>
        </w:rPr>
        <w:t>acreditada</w:t>
      </w:r>
      <w:r w:rsidRPr="009C0C09">
        <w:rPr>
          <w:rFonts w:cs="Arial"/>
          <w:b w:val="0"/>
          <w:bCs/>
          <w:i w:val="0"/>
          <w:szCs w:val="27"/>
        </w:rPr>
        <w:t xml:space="preserve"> en autos</w:t>
      </w:r>
      <w:r>
        <w:rPr>
          <w:rFonts w:cs="Arial"/>
          <w:b w:val="0"/>
          <w:bCs/>
          <w:i w:val="0"/>
          <w:szCs w:val="27"/>
        </w:rPr>
        <w:t>.</w:t>
      </w:r>
      <w:r w:rsidRPr="009C0C09">
        <w:rPr>
          <w:sz w:val="22"/>
        </w:rPr>
        <w:t xml:space="preserve"> </w:t>
      </w:r>
    </w:p>
    <w:p w14:paraId="2BBE3FA9" w14:textId="0092947F" w:rsidR="00642378" w:rsidRDefault="001E445E" w:rsidP="001E445E">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3237D1">
        <w:rPr>
          <w:rFonts w:cs="Arial"/>
          <w:b w:val="0"/>
          <w:bCs/>
          <w:i w:val="0"/>
          <w:szCs w:val="27"/>
        </w:rPr>
        <w:t xml:space="preserve"> </w:t>
      </w:r>
      <w:r w:rsidR="003237D1" w:rsidRPr="003237D1">
        <w:rPr>
          <w:rFonts w:cs="Arial"/>
          <w:b w:val="0"/>
          <w:bCs/>
          <w:i w:val="0"/>
          <w:szCs w:val="27"/>
        </w:rPr>
        <w:t xml:space="preserve">Este Sala Unitaria advierte que, en el presente juicio no se configura alguna causal de improcedencia o sobreseimiento expuesta en el considerando TERCERO, por tanto, </w:t>
      </w:r>
      <w:r w:rsidR="003237D1" w:rsidRPr="003237D1">
        <w:rPr>
          <w:rFonts w:cs="Arial"/>
          <w:i w:val="0"/>
          <w:szCs w:val="27"/>
        </w:rPr>
        <w:t>NO SE SOBRESEE.</w:t>
      </w:r>
    </w:p>
    <w:p w14:paraId="4051D9C7" w14:textId="362097B2" w:rsidR="001E445E" w:rsidRPr="004F67B9" w:rsidRDefault="001E445E" w:rsidP="004F67B9">
      <w:pPr>
        <w:pStyle w:val="Sangra2detindependiente1"/>
        <w:spacing w:after="200" w:line="360" w:lineRule="auto"/>
        <w:ind w:right="51" w:firstLine="567"/>
        <w:rPr>
          <w:rFonts w:cs="Arial"/>
          <w:b w:val="0"/>
          <w:bCs/>
          <w:i w:val="0"/>
          <w:szCs w:val="27"/>
        </w:rPr>
      </w:pPr>
      <w:r w:rsidRPr="009C0C09">
        <w:rPr>
          <w:rFonts w:cs="Arial"/>
          <w:i w:val="0"/>
          <w:szCs w:val="27"/>
        </w:rPr>
        <w:t>CUARTO.</w:t>
      </w:r>
      <w:r w:rsidR="00F3538E">
        <w:rPr>
          <w:rFonts w:cs="Arial"/>
          <w:i w:val="0"/>
          <w:szCs w:val="27"/>
        </w:rPr>
        <w:t xml:space="preserve"> </w:t>
      </w:r>
      <w:r w:rsidR="00F3538E" w:rsidRPr="00F3538E">
        <w:rPr>
          <w:rFonts w:cs="Arial"/>
          <w:b w:val="0"/>
          <w:i w:val="0"/>
          <w:iCs/>
          <w:szCs w:val="28"/>
        </w:rPr>
        <w:t xml:space="preserve">Se declara la </w:t>
      </w:r>
      <w:r w:rsidR="00F3538E" w:rsidRPr="00F3538E">
        <w:rPr>
          <w:rFonts w:cs="Arial"/>
          <w:bCs/>
          <w:i w:val="0"/>
          <w:iCs/>
          <w:snapToGrid w:val="0"/>
          <w:szCs w:val="27"/>
        </w:rPr>
        <w:t xml:space="preserve">NULIDAD LISA Y LLANA </w:t>
      </w:r>
      <w:r w:rsidR="00F3538E" w:rsidRPr="00F3538E">
        <w:rPr>
          <w:rFonts w:cs="Arial"/>
          <w:b w:val="0"/>
          <w:i w:val="0"/>
          <w:iCs/>
          <w:snapToGrid w:val="0"/>
          <w:szCs w:val="27"/>
        </w:rPr>
        <w:t xml:space="preserve">de </w:t>
      </w:r>
      <w:r w:rsidR="00DC029F">
        <w:rPr>
          <w:rFonts w:cs="Arial"/>
          <w:b w:val="0"/>
          <w:i w:val="0"/>
          <w:iCs/>
          <w:snapToGrid w:val="0"/>
          <w:szCs w:val="27"/>
        </w:rPr>
        <w:t>d</w:t>
      </w:r>
      <w:r w:rsidR="00F3538E" w:rsidRPr="00F3538E">
        <w:rPr>
          <w:rFonts w:cs="Arial"/>
          <w:b w:val="0"/>
          <w:i w:val="0"/>
          <w:iCs/>
          <w:szCs w:val="24"/>
        </w:rPr>
        <w:t>el oficio número</w:t>
      </w:r>
      <w:r w:rsidR="00EB0B89">
        <w:rPr>
          <w:rFonts w:cs="Arial"/>
          <w:b w:val="0"/>
          <w:i w:val="0"/>
          <w:iCs/>
          <w:szCs w:val="24"/>
        </w:rPr>
        <w:t xml:space="preserve"> </w:t>
      </w:r>
      <w:r w:rsidR="005379FD" w:rsidRPr="005379FD">
        <w:rPr>
          <w:rFonts w:cs="Arial"/>
          <w:b w:val="0"/>
          <w:bCs/>
          <w:i w:val="0"/>
          <w:iCs/>
          <w:szCs w:val="27"/>
          <w:lang w:eastAsia="es-ES"/>
        </w:rPr>
        <w:t xml:space="preserve">*****, </w:t>
      </w:r>
      <w:r w:rsidR="005379FD">
        <w:rPr>
          <w:rFonts w:cs="Arial"/>
          <w:b w:val="0"/>
          <w:bCs/>
          <w:i w:val="0"/>
          <w:iCs/>
          <w:szCs w:val="27"/>
          <w:lang w:eastAsia="es-ES"/>
        </w:rPr>
        <w:t xml:space="preserve">de fecha </w:t>
      </w:r>
      <w:r w:rsidR="005379FD" w:rsidRPr="005379FD">
        <w:rPr>
          <w:rFonts w:cs="Arial"/>
          <w:b w:val="0"/>
          <w:bCs/>
          <w:i w:val="0"/>
          <w:iCs/>
          <w:szCs w:val="27"/>
          <w:lang w:eastAsia="es-ES"/>
        </w:rPr>
        <w:t>*****</w:t>
      </w:r>
      <w:r w:rsidR="005379FD">
        <w:rPr>
          <w:rFonts w:cs="Arial"/>
          <w:b w:val="0"/>
          <w:bCs/>
          <w:i w:val="0"/>
          <w:iCs/>
          <w:szCs w:val="27"/>
          <w:lang w:eastAsia="es-ES"/>
        </w:rPr>
        <w:t xml:space="preserve"> de </w:t>
      </w:r>
      <w:r w:rsidR="005379FD" w:rsidRPr="005379FD">
        <w:rPr>
          <w:rFonts w:cs="Arial"/>
          <w:b w:val="0"/>
          <w:bCs/>
          <w:i w:val="0"/>
          <w:iCs/>
          <w:szCs w:val="27"/>
          <w:lang w:eastAsia="es-ES"/>
        </w:rPr>
        <w:t>*****</w:t>
      </w:r>
      <w:r w:rsidR="005379FD">
        <w:rPr>
          <w:rFonts w:cs="Arial"/>
          <w:b w:val="0"/>
          <w:bCs/>
          <w:i w:val="0"/>
          <w:iCs/>
          <w:szCs w:val="27"/>
          <w:lang w:eastAsia="es-ES"/>
        </w:rPr>
        <w:t xml:space="preserve"> de </w:t>
      </w:r>
      <w:r w:rsidR="005379FD" w:rsidRPr="005379FD">
        <w:rPr>
          <w:rFonts w:cs="Arial"/>
          <w:b w:val="0"/>
          <w:bCs/>
          <w:i w:val="0"/>
          <w:iCs/>
          <w:szCs w:val="27"/>
          <w:lang w:eastAsia="es-ES"/>
        </w:rPr>
        <w:t>*****</w:t>
      </w:r>
      <w:r w:rsidR="00F3538E" w:rsidRPr="00F3538E">
        <w:rPr>
          <w:rFonts w:cs="Arial"/>
          <w:b w:val="0"/>
          <w:i w:val="0"/>
          <w:iCs/>
          <w:szCs w:val="24"/>
        </w:rPr>
        <w:t>, signado por</w:t>
      </w:r>
      <w:r w:rsidR="004258AD">
        <w:rPr>
          <w:rFonts w:cs="Arial"/>
          <w:b w:val="0"/>
          <w:i w:val="0"/>
          <w:iCs/>
          <w:szCs w:val="24"/>
        </w:rPr>
        <w:t xml:space="preserve"> </w:t>
      </w:r>
      <w:r w:rsidR="00DC029F">
        <w:rPr>
          <w:rFonts w:cs="Arial"/>
          <w:b w:val="0"/>
          <w:i w:val="0"/>
          <w:iCs/>
          <w:szCs w:val="24"/>
        </w:rPr>
        <w:t>el</w:t>
      </w:r>
      <w:r w:rsidR="00F3538E" w:rsidRPr="00F3538E">
        <w:rPr>
          <w:rFonts w:cs="Arial"/>
          <w:b w:val="0"/>
          <w:i w:val="0"/>
          <w:iCs/>
          <w:szCs w:val="24"/>
        </w:rPr>
        <w:t xml:space="preserve"> Director</w:t>
      </w:r>
      <w:r w:rsidR="004258AD">
        <w:rPr>
          <w:rFonts w:cs="Arial"/>
          <w:b w:val="0"/>
          <w:i w:val="0"/>
          <w:iCs/>
          <w:szCs w:val="24"/>
        </w:rPr>
        <w:t xml:space="preserve"> General</w:t>
      </w:r>
      <w:r w:rsidR="00F3538E" w:rsidRPr="00F3538E">
        <w:rPr>
          <w:rFonts w:cs="Arial"/>
          <w:b w:val="0"/>
          <w:i w:val="0"/>
          <w:iCs/>
          <w:szCs w:val="24"/>
        </w:rPr>
        <w:t xml:space="preserve"> de</w:t>
      </w:r>
      <w:r w:rsidR="00B40B5C">
        <w:rPr>
          <w:rFonts w:cs="Arial"/>
          <w:b w:val="0"/>
          <w:i w:val="0"/>
          <w:iCs/>
          <w:szCs w:val="24"/>
        </w:rPr>
        <w:t xml:space="preserve"> la Oficina de Pensiones </w:t>
      </w:r>
      <w:r w:rsidR="00F3538E" w:rsidRPr="00F3538E">
        <w:rPr>
          <w:rFonts w:cs="Arial"/>
          <w:b w:val="0"/>
          <w:i w:val="0"/>
          <w:iCs/>
          <w:szCs w:val="24"/>
        </w:rPr>
        <w:t>del Estado de Oaxaca</w:t>
      </w:r>
      <w:r w:rsidR="00C244C3">
        <w:rPr>
          <w:rFonts w:cs="Arial"/>
          <w:b w:val="0"/>
          <w:i w:val="0"/>
          <w:iCs/>
          <w:snapToGrid w:val="0"/>
          <w:szCs w:val="27"/>
        </w:rPr>
        <w:t>;</w:t>
      </w:r>
      <w:r w:rsidR="00F3538E" w:rsidRPr="00F3538E">
        <w:rPr>
          <w:rFonts w:cs="Arial"/>
          <w:b w:val="0"/>
          <w:i w:val="0"/>
          <w:iCs/>
          <w:snapToGrid w:val="0"/>
          <w:szCs w:val="27"/>
        </w:rPr>
        <w:t xml:space="preserve"> en consecuencia, </w:t>
      </w:r>
      <w:r w:rsidR="00F3538E" w:rsidRPr="00F3538E">
        <w:rPr>
          <w:rFonts w:cs="Arial"/>
          <w:b w:val="0"/>
          <w:i w:val="0"/>
          <w:iCs/>
          <w:snapToGrid w:val="0"/>
          <w:szCs w:val="27"/>
          <w:u w:val="single"/>
        </w:rPr>
        <w:t>se ordena a esa autoridad demandada para que a través de sí misma o de quien sea legalmente competente, realice la baja del citado oficio del sistema electrónico y/o documental que para tal efecto lleve esa autoridad</w:t>
      </w:r>
      <w:r w:rsidR="00F3538E" w:rsidRPr="00F3538E">
        <w:rPr>
          <w:rFonts w:cs="Arial"/>
          <w:b w:val="0"/>
          <w:i w:val="0"/>
          <w:iCs/>
          <w:szCs w:val="28"/>
        </w:rPr>
        <w:t>, por las razones expuestas en el considerando</w:t>
      </w:r>
      <w:r w:rsidR="00F3538E">
        <w:rPr>
          <w:rFonts w:cs="Arial"/>
          <w:b w:val="0"/>
          <w:i w:val="0"/>
          <w:iCs/>
          <w:szCs w:val="28"/>
        </w:rPr>
        <w:t xml:space="preserve"> QUINTO</w:t>
      </w:r>
      <w:r w:rsidR="00F3538E" w:rsidRPr="00F3538E">
        <w:rPr>
          <w:rFonts w:cs="Arial"/>
          <w:b w:val="0"/>
          <w:i w:val="0"/>
          <w:iCs/>
          <w:szCs w:val="28"/>
        </w:rPr>
        <w:t xml:space="preserve"> de la presente sentencia</w:t>
      </w:r>
      <w:r w:rsidR="00F3538E">
        <w:rPr>
          <w:rFonts w:cs="Arial"/>
          <w:b w:val="0"/>
          <w:bCs/>
          <w:i w:val="0"/>
          <w:szCs w:val="27"/>
        </w:rPr>
        <w:t>.</w:t>
      </w:r>
    </w:p>
    <w:p w14:paraId="2C5D7C83" w14:textId="079C2397" w:rsidR="00D73586" w:rsidRPr="004F67B9" w:rsidRDefault="00D41CD7" w:rsidP="00D73586">
      <w:pPr>
        <w:pStyle w:val="Sangra2detindependiente1"/>
        <w:spacing w:after="200" w:line="360" w:lineRule="auto"/>
        <w:ind w:right="51" w:firstLine="567"/>
        <w:rPr>
          <w:rFonts w:cs="Arial"/>
          <w:b w:val="0"/>
          <w:bCs/>
          <w:i w:val="0"/>
          <w:szCs w:val="27"/>
        </w:rPr>
      </w:pPr>
      <w:r w:rsidRPr="00D73586">
        <w:rPr>
          <w:rFonts w:cs="Arial"/>
          <w:i w:val="0"/>
          <w:iCs/>
          <w:szCs w:val="28"/>
        </w:rPr>
        <w:t>QUINTO.</w:t>
      </w:r>
      <w:r w:rsidRPr="00223969">
        <w:rPr>
          <w:rFonts w:cs="Arial"/>
          <w:szCs w:val="28"/>
        </w:rPr>
        <w:t xml:space="preserve"> </w:t>
      </w:r>
      <w:r w:rsidR="00D73586">
        <w:rPr>
          <w:rFonts w:cs="Arial"/>
          <w:b w:val="0"/>
          <w:bCs/>
          <w:i w:val="0"/>
          <w:szCs w:val="27"/>
        </w:rPr>
        <w:t xml:space="preserve">Se declara </w:t>
      </w:r>
      <w:r w:rsidR="00D73586" w:rsidRPr="00B43ACA">
        <w:rPr>
          <w:rFonts w:cs="Arial"/>
          <w:b w:val="0"/>
          <w:bCs/>
          <w:i w:val="0"/>
          <w:szCs w:val="27"/>
        </w:rPr>
        <w:t xml:space="preserve">la </w:t>
      </w:r>
      <w:r w:rsidR="00D73586" w:rsidRPr="00B43ACA">
        <w:rPr>
          <w:rFonts w:cs="Arial"/>
          <w:bCs/>
          <w:i w:val="0"/>
          <w:szCs w:val="27"/>
        </w:rPr>
        <w:t>NULIDAD</w:t>
      </w:r>
      <w:r w:rsidR="00D73586" w:rsidRPr="00B43ACA">
        <w:rPr>
          <w:rFonts w:cs="Arial"/>
          <w:b w:val="0"/>
          <w:bCs/>
          <w:i w:val="0"/>
          <w:szCs w:val="27"/>
        </w:rPr>
        <w:t xml:space="preserve"> del oficio número</w:t>
      </w:r>
      <w:r w:rsidR="00D73586" w:rsidRPr="00BB4E2C">
        <w:rPr>
          <w:rFonts w:eastAsiaTheme="minorHAnsi" w:cs="Arial"/>
          <w:b w:val="0"/>
          <w:bCs/>
          <w:i w:val="0"/>
          <w:spacing w:val="-3"/>
          <w:szCs w:val="27"/>
          <w:lang w:eastAsia="en-US"/>
        </w:rPr>
        <w:t xml:space="preserve"> </w:t>
      </w:r>
      <w:r w:rsidR="009E20E8" w:rsidRPr="005379FD">
        <w:rPr>
          <w:rFonts w:cs="Arial"/>
          <w:b w:val="0"/>
          <w:bCs/>
          <w:i w:val="0"/>
          <w:iCs/>
          <w:szCs w:val="27"/>
          <w:lang w:eastAsia="es-ES"/>
        </w:rPr>
        <w:t>*****</w:t>
      </w:r>
      <w:r w:rsidR="00D73586" w:rsidRPr="00BB4E2C">
        <w:rPr>
          <w:rFonts w:cs="Arial"/>
          <w:b w:val="0"/>
          <w:bCs/>
          <w:i w:val="0"/>
          <w:szCs w:val="27"/>
          <w:lang w:val="es-MX"/>
        </w:rPr>
        <w:t>, de fecha</w:t>
      </w:r>
      <w:r w:rsidR="00D73586">
        <w:rPr>
          <w:rFonts w:cs="Arial"/>
          <w:b w:val="0"/>
          <w:bCs/>
          <w:i w:val="0"/>
          <w:szCs w:val="27"/>
          <w:lang w:val="es-MX"/>
        </w:rPr>
        <w:t xml:space="preserve"> </w:t>
      </w:r>
      <w:r w:rsidR="009E20E8" w:rsidRPr="005379FD">
        <w:rPr>
          <w:rFonts w:cs="Arial"/>
          <w:b w:val="0"/>
          <w:bCs/>
          <w:i w:val="0"/>
          <w:iCs/>
          <w:szCs w:val="27"/>
          <w:lang w:eastAsia="es-ES"/>
        </w:rPr>
        <w:t>*****</w:t>
      </w:r>
      <w:r w:rsidR="009E20E8">
        <w:rPr>
          <w:rFonts w:cs="Arial"/>
          <w:b w:val="0"/>
          <w:bCs/>
          <w:i w:val="0"/>
          <w:iCs/>
          <w:szCs w:val="27"/>
          <w:lang w:eastAsia="es-ES"/>
        </w:rPr>
        <w:t xml:space="preserve"> de </w:t>
      </w:r>
      <w:r w:rsidR="009E20E8" w:rsidRPr="005379FD">
        <w:rPr>
          <w:rFonts w:cs="Arial"/>
          <w:b w:val="0"/>
          <w:bCs/>
          <w:i w:val="0"/>
          <w:iCs/>
          <w:szCs w:val="27"/>
          <w:lang w:eastAsia="es-ES"/>
        </w:rPr>
        <w:t>*****</w:t>
      </w:r>
      <w:r w:rsidR="009E20E8">
        <w:rPr>
          <w:rFonts w:cs="Arial"/>
          <w:b w:val="0"/>
          <w:bCs/>
          <w:i w:val="0"/>
          <w:iCs/>
          <w:szCs w:val="27"/>
          <w:lang w:eastAsia="es-ES"/>
        </w:rPr>
        <w:t xml:space="preserve"> de </w:t>
      </w:r>
      <w:r w:rsidR="009E20E8" w:rsidRPr="005379FD">
        <w:rPr>
          <w:rFonts w:cs="Arial"/>
          <w:b w:val="0"/>
          <w:bCs/>
          <w:i w:val="0"/>
          <w:iCs/>
          <w:szCs w:val="27"/>
          <w:lang w:eastAsia="es-ES"/>
        </w:rPr>
        <w:t>*****</w:t>
      </w:r>
      <w:r w:rsidR="00D73586" w:rsidRPr="00DB3567">
        <w:rPr>
          <w:rFonts w:cs="Arial"/>
          <w:b w:val="0"/>
          <w:bCs/>
          <w:i w:val="0"/>
          <w:szCs w:val="27"/>
        </w:rPr>
        <w:t>, emitido por el Director General de la Oficina de Pensiones del Estado de Oaxaca</w:t>
      </w:r>
      <w:r w:rsidR="00D73586" w:rsidRPr="00EB0644">
        <w:rPr>
          <w:rFonts w:cs="Arial"/>
          <w:b w:val="0"/>
          <w:bCs/>
          <w:i w:val="0"/>
          <w:szCs w:val="27"/>
        </w:rPr>
        <w:t xml:space="preserve">, </w:t>
      </w:r>
      <w:r w:rsidR="00D73586" w:rsidRPr="00EB0644">
        <w:rPr>
          <w:rFonts w:cs="Arial"/>
          <w:bCs/>
          <w:i w:val="0"/>
          <w:szCs w:val="27"/>
        </w:rPr>
        <w:t>PARA EL EFECTO</w:t>
      </w:r>
      <w:r w:rsidR="00D73586" w:rsidRPr="00EB0644">
        <w:rPr>
          <w:rFonts w:cs="Arial"/>
          <w:b w:val="0"/>
          <w:bCs/>
          <w:i w:val="0"/>
          <w:szCs w:val="27"/>
        </w:rPr>
        <w:t xml:space="preserve"> de que </w:t>
      </w:r>
      <w:r w:rsidR="00D73586" w:rsidRPr="00DB3567">
        <w:rPr>
          <w:rFonts w:cs="Arial"/>
          <w:b w:val="0"/>
          <w:bCs/>
          <w:i w:val="0"/>
          <w:szCs w:val="27"/>
        </w:rPr>
        <w:t>la autoridad demandada deje sin efectos el oficio controvertido y</w:t>
      </w:r>
      <w:r w:rsidR="00D73586">
        <w:rPr>
          <w:rFonts w:cs="Arial"/>
          <w:b w:val="0"/>
          <w:bCs/>
          <w:i w:val="0"/>
          <w:szCs w:val="27"/>
        </w:rPr>
        <w:t xml:space="preserve"> en uno nuevo</w:t>
      </w:r>
      <w:r w:rsidR="00D73586" w:rsidRPr="00DB3567">
        <w:rPr>
          <w:rFonts w:cs="Arial"/>
          <w:b w:val="0"/>
          <w:bCs/>
          <w:i w:val="0"/>
          <w:szCs w:val="27"/>
        </w:rPr>
        <w:t xml:space="preserve"> funde y motive</w:t>
      </w:r>
      <w:r w:rsidR="00D73586">
        <w:rPr>
          <w:rFonts w:cs="Arial"/>
          <w:b w:val="0"/>
          <w:bCs/>
          <w:i w:val="0"/>
          <w:szCs w:val="27"/>
        </w:rPr>
        <w:t xml:space="preserve"> su determinación, pronunciándose en</w:t>
      </w:r>
      <w:r w:rsidR="00D73586" w:rsidRPr="00DB3567">
        <w:rPr>
          <w:rFonts w:cs="Arial"/>
          <w:b w:val="0"/>
          <w:bCs/>
          <w:i w:val="0"/>
          <w:szCs w:val="27"/>
        </w:rPr>
        <w:t xml:space="preserve"> los términos de la presente resolución,</w:t>
      </w:r>
      <w:r w:rsidR="00D73586">
        <w:rPr>
          <w:rFonts w:cs="Arial"/>
          <w:b w:val="0"/>
          <w:bCs/>
          <w:i w:val="0"/>
          <w:szCs w:val="27"/>
        </w:rPr>
        <w:t xml:space="preserve"> integrando </w:t>
      </w:r>
      <w:r w:rsidR="00D73586" w:rsidRPr="00DB3567">
        <w:rPr>
          <w:rFonts w:cs="Arial"/>
          <w:b w:val="0"/>
          <w:bCs/>
          <w:i w:val="0"/>
          <w:szCs w:val="27"/>
        </w:rPr>
        <w:t>los conceptos</w:t>
      </w:r>
      <w:r w:rsidR="00D73586">
        <w:rPr>
          <w:rFonts w:cs="Arial"/>
          <w:b w:val="0"/>
          <w:bCs/>
          <w:i w:val="0"/>
          <w:szCs w:val="27"/>
        </w:rPr>
        <w:t xml:space="preserve"> de: </w:t>
      </w:r>
      <w:r w:rsidR="00D73586" w:rsidRPr="00F66423">
        <w:rPr>
          <w:rFonts w:cs="Arial"/>
          <w:b w:val="0"/>
          <w:bCs/>
          <w:i w:val="0"/>
          <w:szCs w:val="27"/>
        </w:rPr>
        <w:t>Canasta Básica (clave 42), Previsión Social Múltiple (P.S.M.) (clave 43), Estímulo (clave 45), Quinquenios (</w:t>
      </w:r>
      <w:r w:rsidR="00D73586">
        <w:rPr>
          <w:rFonts w:cs="Arial"/>
          <w:b w:val="0"/>
          <w:bCs/>
          <w:i w:val="0"/>
          <w:szCs w:val="27"/>
        </w:rPr>
        <w:t>6</w:t>
      </w:r>
      <w:r w:rsidR="00D73586" w:rsidRPr="00F66423">
        <w:rPr>
          <w:rFonts w:cs="Arial"/>
          <w:b w:val="0"/>
          <w:bCs/>
          <w:i w:val="0"/>
          <w:szCs w:val="27"/>
        </w:rPr>
        <w:t>) (clave 46</w:t>
      </w:r>
      <w:r w:rsidR="00D73586">
        <w:rPr>
          <w:rFonts w:cs="Arial"/>
          <w:b w:val="0"/>
          <w:bCs/>
          <w:i w:val="0"/>
          <w:szCs w:val="27"/>
        </w:rPr>
        <w:t>),</w:t>
      </w:r>
      <w:r w:rsidR="00D73586" w:rsidRPr="0080421E">
        <w:t xml:space="preserve"> </w:t>
      </w:r>
      <w:r w:rsidR="00D73586" w:rsidRPr="0080421E">
        <w:rPr>
          <w:rFonts w:cs="Arial"/>
          <w:b w:val="0"/>
          <w:bCs/>
          <w:i w:val="0"/>
          <w:szCs w:val="27"/>
        </w:rPr>
        <w:t>sin contemplar</w:t>
      </w:r>
      <w:r w:rsidR="00D73586">
        <w:rPr>
          <w:rFonts w:cs="Arial"/>
          <w:b w:val="0"/>
          <w:bCs/>
          <w:i w:val="0"/>
          <w:szCs w:val="27"/>
        </w:rPr>
        <w:t xml:space="preserve"> </w:t>
      </w:r>
      <w:r w:rsidR="00D73586" w:rsidRPr="00DE3457">
        <w:rPr>
          <w:rFonts w:cs="Arial"/>
          <w:b w:val="0"/>
          <w:bCs/>
          <w:i w:val="0"/>
          <w:szCs w:val="27"/>
          <w:lang w:val="es-MX"/>
        </w:rPr>
        <w:t>el concepto A.S.R.S.P.J. (clave</w:t>
      </w:r>
      <w:r w:rsidR="00D73586">
        <w:rPr>
          <w:rFonts w:cs="Arial"/>
          <w:b w:val="0"/>
          <w:bCs/>
          <w:i w:val="0"/>
          <w:szCs w:val="27"/>
          <w:lang w:val="es-MX"/>
        </w:rPr>
        <w:t xml:space="preserve"> </w:t>
      </w:r>
      <w:r w:rsidR="00D73586" w:rsidRPr="00DE3457">
        <w:rPr>
          <w:rFonts w:cs="Arial"/>
          <w:b w:val="0"/>
          <w:bCs/>
          <w:i w:val="0"/>
          <w:szCs w:val="27"/>
          <w:lang w:val="es-MX"/>
        </w:rPr>
        <w:t>50</w:t>
      </w:r>
      <w:r w:rsidR="00D73586">
        <w:rPr>
          <w:rFonts w:cs="Arial"/>
          <w:b w:val="0"/>
          <w:bCs/>
          <w:i w:val="0"/>
          <w:szCs w:val="27"/>
          <w:lang w:val="es-MX"/>
        </w:rPr>
        <w:t>)</w:t>
      </w:r>
      <w:r w:rsidR="00D73586" w:rsidRPr="0080421E">
        <w:rPr>
          <w:rFonts w:cs="Arial"/>
          <w:b w:val="0"/>
          <w:bCs/>
          <w:i w:val="0"/>
          <w:szCs w:val="27"/>
        </w:rPr>
        <w:t>, por no estar contemplado en el artículo 54 fracción I de la Ley de Pensiones para los Trabajadores del Gobierno del Estado de Oaxaca</w:t>
      </w:r>
      <w:r w:rsidR="00D73586">
        <w:rPr>
          <w:rFonts w:cs="Arial"/>
          <w:b w:val="0"/>
          <w:bCs/>
          <w:i w:val="0"/>
          <w:szCs w:val="27"/>
        </w:rPr>
        <w:t>,</w:t>
      </w:r>
      <w:r w:rsidR="00D73586" w:rsidRPr="00F66423">
        <w:rPr>
          <w:rFonts w:cs="Arial"/>
          <w:b w:val="0"/>
          <w:bCs/>
          <w:i w:val="0"/>
          <w:szCs w:val="27"/>
        </w:rPr>
        <w:t xml:space="preserve"> más el salario base señalado en el nombramiento de confianza para efectos de jubilación</w:t>
      </w:r>
      <w:r w:rsidR="00D73586">
        <w:rPr>
          <w:rFonts w:cs="Arial"/>
          <w:b w:val="0"/>
          <w:bCs/>
          <w:i w:val="0"/>
          <w:szCs w:val="27"/>
        </w:rPr>
        <w:t xml:space="preserve"> número </w:t>
      </w:r>
      <w:r w:rsidR="00C62385">
        <w:rPr>
          <w:rFonts w:cs="Arial"/>
          <w:b w:val="0"/>
          <w:bCs/>
          <w:i w:val="0"/>
          <w:szCs w:val="27"/>
        </w:rPr>
        <w:t>*****</w:t>
      </w:r>
      <w:r w:rsidR="00D73586" w:rsidRPr="00F66423">
        <w:rPr>
          <w:rFonts w:cs="Arial"/>
          <w:b w:val="0"/>
          <w:bCs/>
          <w:i w:val="0"/>
          <w:szCs w:val="27"/>
        </w:rPr>
        <w:t>, de fecha</w:t>
      </w:r>
      <w:r w:rsidR="00D73586">
        <w:rPr>
          <w:rFonts w:cs="Arial"/>
          <w:b w:val="0"/>
          <w:bCs/>
          <w:i w:val="0"/>
          <w:szCs w:val="27"/>
        </w:rPr>
        <w:t xml:space="preserve"> </w:t>
      </w:r>
      <w:r w:rsidR="00C62385">
        <w:rPr>
          <w:rFonts w:cs="Arial"/>
          <w:b w:val="0"/>
          <w:bCs/>
          <w:i w:val="0"/>
          <w:szCs w:val="27"/>
        </w:rPr>
        <w:t>*****</w:t>
      </w:r>
      <w:r w:rsidR="00D73586">
        <w:rPr>
          <w:rFonts w:cs="Arial"/>
          <w:b w:val="0"/>
          <w:bCs/>
          <w:i w:val="0"/>
          <w:szCs w:val="27"/>
        </w:rPr>
        <w:t xml:space="preserve"> </w:t>
      </w:r>
      <w:r w:rsidR="00D73586" w:rsidRPr="00F66423">
        <w:rPr>
          <w:rFonts w:cs="Arial"/>
          <w:b w:val="0"/>
          <w:bCs/>
          <w:i w:val="0"/>
          <w:szCs w:val="27"/>
        </w:rPr>
        <w:t>de</w:t>
      </w:r>
      <w:r w:rsidR="00D73586">
        <w:rPr>
          <w:rFonts w:cs="Arial"/>
          <w:b w:val="0"/>
          <w:bCs/>
          <w:i w:val="0"/>
          <w:szCs w:val="27"/>
        </w:rPr>
        <w:t xml:space="preserve"> </w:t>
      </w:r>
      <w:r w:rsidR="00C62385">
        <w:rPr>
          <w:rFonts w:cs="Arial"/>
          <w:b w:val="0"/>
          <w:bCs/>
          <w:i w:val="0"/>
          <w:szCs w:val="27"/>
        </w:rPr>
        <w:t>*****</w:t>
      </w:r>
      <w:r w:rsidR="00D73586" w:rsidRPr="00F66423">
        <w:rPr>
          <w:rFonts w:cs="Arial"/>
          <w:b w:val="0"/>
          <w:bCs/>
          <w:i w:val="0"/>
          <w:szCs w:val="27"/>
        </w:rPr>
        <w:t xml:space="preserve"> de </w:t>
      </w:r>
      <w:r w:rsidR="00D73586">
        <w:rPr>
          <w:rFonts w:cs="Arial"/>
          <w:b w:val="0"/>
          <w:bCs/>
          <w:i w:val="0"/>
          <w:szCs w:val="27"/>
        </w:rPr>
        <w:t xml:space="preserve">dos mil </w:t>
      </w:r>
      <w:r w:rsidR="00C62385">
        <w:rPr>
          <w:rFonts w:cs="Arial"/>
          <w:b w:val="0"/>
          <w:bCs/>
          <w:i w:val="0"/>
          <w:szCs w:val="27"/>
        </w:rPr>
        <w:t>*****</w:t>
      </w:r>
      <w:r w:rsidR="00D73586">
        <w:rPr>
          <w:rFonts w:cs="Arial"/>
          <w:b w:val="0"/>
          <w:bCs/>
          <w:i w:val="0"/>
          <w:szCs w:val="27"/>
        </w:rPr>
        <w:t xml:space="preserve"> </w:t>
      </w:r>
      <w:r w:rsidR="00D73586" w:rsidRPr="00F66423">
        <w:rPr>
          <w:rFonts w:cs="Arial"/>
          <w:b w:val="0"/>
          <w:bCs/>
          <w:i w:val="0"/>
          <w:szCs w:val="27"/>
        </w:rPr>
        <w:t xml:space="preserve">(con 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w:t>
      </w:r>
      <w:r w:rsidR="00D73586" w:rsidRPr="00F66423">
        <w:rPr>
          <w:rFonts w:cs="Arial"/>
          <w:b w:val="0"/>
          <w:bCs/>
          <w:i w:val="0"/>
          <w:szCs w:val="27"/>
        </w:rPr>
        <w:lastRenderedPageBreak/>
        <w:t>a pagar la pensión mencionada;</w:t>
      </w:r>
      <w:r w:rsidR="00D73586">
        <w:rPr>
          <w:rFonts w:cs="Arial"/>
          <w:b w:val="0"/>
          <w:bCs/>
          <w:i w:val="0"/>
          <w:szCs w:val="27"/>
        </w:rPr>
        <w:t xml:space="preserve"> </w:t>
      </w:r>
      <w:r w:rsidR="00D73586" w:rsidRPr="00F66423">
        <w:rPr>
          <w:rFonts w:cs="Arial"/>
          <w:b w:val="0"/>
          <w:bCs/>
          <w:i w:val="0"/>
          <w:szCs w:val="27"/>
        </w:rPr>
        <w:t>por ello, el dictamen deberá estar debidamente fundado y motivado cumpliendo los requisitos y elementos de validez del acto administrativo a los que hace referencia el artículo 17 de la Ley de Procedimiento y Justicia Administrativa para el Estado de Oaxaca</w:t>
      </w:r>
      <w:r w:rsidR="00D73586">
        <w:rPr>
          <w:rFonts w:cs="Arial"/>
          <w:b w:val="0"/>
          <w:bCs/>
          <w:i w:val="0"/>
          <w:szCs w:val="27"/>
        </w:rPr>
        <w:t>,</w:t>
      </w:r>
      <w:r w:rsidR="00D73586" w:rsidRPr="006F0975">
        <w:rPr>
          <w:rFonts w:cs="Arial"/>
          <w:b w:val="0"/>
          <w:bCs/>
          <w:i w:val="0"/>
          <w:szCs w:val="27"/>
        </w:rPr>
        <w:t xml:space="preserve"> por las razones </w:t>
      </w:r>
      <w:r w:rsidR="00D73586">
        <w:rPr>
          <w:rFonts w:cs="Arial"/>
          <w:b w:val="0"/>
          <w:bCs/>
          <w:i w:val="0"/>
          <w:szCs w:val="27"/>
        </w:rPr>
        <w:t>expuestas en el</w:t>
      </w:r>
      <w:r w:rsidR="00D73586" w:rsidRPr="006F0975">
        <w:rPr>
          <w:rFonts w:cs="Arial"/>
          <w:b w:val="0"/>
          <w:bCs/>
          <w:i w:val="0"/>
          <w:szCs w:val="27"/>
        </w:rPr>
        <w:t xml:space="preserve"> considerando </w:t>
      </w:r>
      <w:r w:rsidR="008508B4">
        <w:rPr>
          <w:rFonts w:cs="Arial"/>
          <w:b w:val="0"/>
          <w:bCs/>
          <w:i w:val="0"/>
          <w:szCs w:val="27"/>
        </w:rPr>
        <w:t>SEX</w:t>
      </w:r>
      <w:r w:rsidR="00D73586" w:rsidRPr="006F0975">
        <w:rPr>
          <w:rFonts w:cs="Arial"/>
          <w:b w:val="0"/>
          <w:bCs/>
          <w:i w:val="0"/>
          <w:szCs w:val="27"/>
        </w:rPr>
        <w:t xml:space="preserve">TO de la presente sentencia. </w:t>
      </w:r>
    </w:p>
    <w:p w14:paraId="139031D6" w14:textId="6ED99607" w:rsidR="00223969" w:rsidRPr="00223969" w:rsidRDefault="00D73586" w:rsidP="00223969">
      <w:pPr>
        <w:spacing w:line="360" w:lineRule="auto"/>
        <w:ind w:firstLine="567"/>
        <w:jc w:val="both"/>
        <w:rPr>
          <w:rFonts w:ascii="Arial" w:hAnsi="Arial" w:cs="Arial"/>
          <w:b/>
          <w:sz w:val="32"/>
          <w:szCs w:val="32"/>
        </w:rPr>
      </w:pPr>
      <w:r>
        <w:rPr>
          <w:rFonts w:ascii="Arial" w:hAnsi="Arial" w:cs="Arial"/>
          <w:b/>
          <w:sz w:val="24"/>
          <w:szCs w:val="28"/>
        </w:rPr>
        <w:t xml:space="preserve">SEXTO. </w:t>
      </w:r>
      <w:r w:rsidR="00D41CD7" w:rsidRPr="00223969">
        <w:rPr>
          <w:rFonts w:ascii="Arial" w:hAnsi="Arial" w:cs="Arial"/>
          <w:b/>
          <w:sz w:val="24"/>
          <w:szCs w:val="28"/>
        </w:rPr>
        <w:t>NOTIFÍQUESE y CÚMPLASE.</w:t>
      </w:r>
    </w:p>
    <w:p w14:paraId="6BDA4216" w14:textId="77777777" w:rsidR="001F2CF6" w:rsidRDefault="00D41CD7" w:rsidP="001F2CF6">
      <w:pPr>
        <w:spacing w:line="360" w:lineRule="auto"/>
        <w:ind w:firstLine="567"/>
        <w:jc w:val="both"/>
        <w:rPr>
          <w:rFonts w:ascii="Arial" w:hAnsi="Arial" w:cs="Arial"/>
          <w:sz w:val="28"/>
          <w:szCs w:val="28"/>
        </w:rPr>
      </w:pPr>
      <w:r w:rsidRPr="00475463">
        <w:rPr>
          <w:rFonts w:ascii="Arial" w:hAnsi="Arial" w:cs="Arial"/>
          <w:sz w:val="24"/>
          <w:szCs w:val="24"/>
          <w:lang w:eastAsia="es-ES"/>
        </w:rPr>
        <w:t>Así lo resolvió y firma el Magistrado Titular de la Segunda Sala Unitaria del Tribunal de Justicia Administrativa del Estado de Oaxaca, quien actúa con el Secretario de Acuerdos, que autoriza y da fe.</w:t>
      </w:r>
    </w:p>
    <w:p w14:paraId="672F62A3" w14:textId="77777777" w:rsidR="001F2CF6" w:rsidRDefault="001F2CF6" w:rsidP="001F2CF6">
      <w:pPr>
        <w:spacing w:line="360" w:lineRule="auto"/>
        <w:jc w:val="both"/>
        <w:rPr>
          <w:rFonts w:ascii="Arial" w:hAnsi="Arial" w:cs="Arial"/>
          <w:sz w:val="28"/>
          <w:szCs w:val="28"/>
        </w:rPr>
      </w:pPr>
    </w:p>
    <w:p w14:paraId="2E86E42F" w14:textId="2F2630EB" w:rsidR="00D41CD7" w:rsidRPr="001F2CF6" w:rsidRDefault="00D41CD7" w:rsidP="00616D07">
      <w:pPr>
        <w:spacing w:line="360" w:lineRule="auto"/>
        <w:jc w:val="center"/>
        <w:rPr>
          <w:rFonts w:ascii="Arial" w:hAnsi="Arial" w:cs="Arial"/>
          <w:sz w:val="28"/>
          <w:szCs w:val="28"/>
        </w:rPr>
      </w:pPr>
      <w:r w:rsidRPr="00475463">
        <w:rPr>
          <w:rFonts w:ascii="Arial" w:hAnsi="Arial" w:cs="Arial"/>
          <w:b/>
          <w:sz w:val="24"/>
          <w:szCs w:val="24"/>
          <w:lang w:eastAsia="es-ES"/>
        </w:rPr>
        <w:t>MAGISTRADO TITULAR DE LA SEGUNDA SALA UNITARIA</w:t>
      </w:r>
    </w:p>
    <w:p w14:paraId="21971AE2" w14:textId="486EC2E5" w:rsidR="001F2CF6" w:rsidRDefault="00616D07" w:rsidP="00616D07">
      <w:pPr>
        <w:widowControl w:val="0"/>
        <w:tabs>
          <w:tab w:val="left" w:pos="4536"/>
          <w:tab w:val="left" w:pos="5145"/>
        </w:tabs>
        <w:spacing w:line="360" w:lineRule="auto"/>
        <w:ind w:right="567"/>
        <w:rPr>
          <w:rFonts w:ascii="Arial" w:hAnsi="Arial" w:cs="Arial"/>
          <w:b/>
          <w:sz w:val="24"/>
          <w:szCs w:val="24"/>
          <w:lang w:eastAsia="es-ES"/>
        </w:rPr>
      </w:pPr>
      <w:r>
        <w:rPr>
          <w:rFonts w:ascii="Arial" w:hAnsi="Arial" w:cs="Arial"/>
          <w:b/>
          <w:sz w:val="24"/>
          <w:szCs w:val="24"/>
          <w:lang w:eastAsia="es-ES"/>
        </w:rPr>
        <w:tab/>
      </w:r>
      <w:r>
        <w:rPr>
          <w:rFonts w:ascii="Arial" w:hAnsi="Arial" w:cs="Arial"/>
          <w:b/>
          <w:sz w:val="24"/>
          <w:szCs w:val="24"/>
          <w:lang w:eastAsia="es-ES"/>
        </w:rPr>
        <w:tab/>
      </w:r>
    </w:p>
    <w:p w14:paraId="3C82473C" w14:textId="77777777" w:rsidR="001F2CF6" w:rsidRDefault="001F2CF6" w:rsidP="00616D07">
      <w:pPr>
        <w:widowControl w:val="0"/>
        <w:tabs>
          <w:tab w:val="left" w:pos="4536"/>
          <w:tab w:val="left" w:pos="9072"/>
        </w:tabs>
        <w:spacing w:line="360" w:lineRule="auto"/>
        <w:ind w:right="567"/>
        <w:jc w:val="center"/>
        <w:rPr>
          <w:rFonts w:ascii="Arial" w:hAnsi="Arial" w:cs="Arial"/>
          <w:b/>
          <w:sz w:val="24"/>
          <w:szCs w:val="24"/>
          <w:lang w:eastAsia="es-ES"/>
        </w:rPr>
      </w:pPr>
    </w:p>
    <w:p w14:paraId="46C194CA" w14:textId="3CEF1EED"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r w:rsidRPr="00475463">
        <w:rPr>
          <w:rFonts w:ascii="Arial" w:hAnsi="Arial" w:cs="Arial"/>
          <w:b/>
          <w:sz w:val="24"/>
          <w:szCs w:val="24"/>
          <w:lang w:eastAsia="es-ES"/>
        </w:rPr>
        <w:t>LIC. JAVIER MARTIN VILLANUEVA HERNÁNDEZ</w:t>
      </w:r>
    </w:p>
    <w:p w14:paraId="4746F499" w14:textId="77777777"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p>
    <w:p w14:paraId="08227B9C" w14:textId="77777777"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p>
    <w:p w14:paraId="2DECC3F9" w14:textId="77777777"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r w:rsidRPr="00475463">
        <w:rPr>
          <w:rFonts w:ascii="Arial" w:hAnsi="Arial" w:cs="Arial"/>
          <w:b/>
          <w:sz w:val="24"/>
          <w:szCs w:val="24"/>
          <w:lang w:eastAsia="es-ES"/>
        </w:rPr>
        <w:t>SECRETARIO DE ACUERDOS</w:t>
      </w:r>
    </w:p>
    <w:p w14:paraId="6F26F90D" w14:textId="77777777"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p>
    <w:p w14:paraId="452D6082" w14:textId="77777777"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p>
    <w:p w14:paraId="78DC2D92" w14:textId="77777777" w:rsidR="00D41CD7" w:rsidRPr="00475463" w:rsidRDefault="00D41CD7" w:rsidP="00616D07">
      <w:pPr>
        <w:widowControl w:val="0"/>
        <w:tabs>
          <w:tab w:val="left" w:pos="4536"/>
          <w:tab w:val="left" w:pos="9072"/>
        </w:tabs>
        <w:spacing w:line="360" w:lineRule="auto"/>
        <w:ind w:right="567"/>
        <w:jc w:val="center"/>
        <w:rPr>
          <w:rFonts w:ascii="Arial" w:hAnsi="Arial" w:cs="Arial"/>
          <w:b/>
          <w:sz w:val="24"/>
          <w:szCs w:val="24"/>
          <w:lang w:eastAsia="es-ES"/>
        </w:rPr>
      </w:pPr>
      <w:r w:rsidRPr="00475463">
        <w:rPr>
          <w:rFonts w:ascii="Arial" w:hAnsi="Arial" w:cs="Arial"/>
          <w:b/>
          <w:sz w:val="24"/>
          <w:szCs w:val="24"/>
          <w:lang w:eastAsia="es-ES"/>
        </w:rPr>
        <w:t>LIC. ALAN DAVID VÁSQUEZ PULIDO</w:t>
      </w:r>
    </w:p>
    <w:p w14:paraId="7C4A7907" w14:textId="3536D057" w:rsidR="00102315" w:rsidRDefault="00102315" w:rsidP="006B2626">
      <w:pPr>
        <w:widowControl w:val="0"/>
        <w:spacing w:after="0" w:line="360" w:lineRule="auto"/>
        <w:ind w:right="51"/>
        <w:jc w:val="center"/>
        <w:rPr>
          <w:rFonts w:ascii="Arial" w:eastAsia="Times New Roman" w:hAnsi="Arial" w:cs="Arial"/>
          <w:b/>
          <w:sz w:val="24"/>
          <w:szCs w:val="24"/>
          <w:lang w:val="es-ES" w:eastAsia="es-ES"/>
        </w:rPr>
      </w:pPr>
    </w:p>
    <w:p w14:paraId="36A949E3" w14:textId="77777777" w:rsidR="00ED3850" w:rsidRPr="000E2FD3" w:rsidRDefault="00ED3850" w:rsidP="00C3470B">
      <w:pPr>
        <w:widowControl w:val="0"/>
        <w:spacing w:after="0" w:line="360" w:lineRule="auto"/>
        <w:ind w:right="51"/>
        <w:rPr>
          <w:rFonts w:ascii="Arial" w:eastAsia="Times New Roman" w:hAnsi="Arial" w:cs="Arial"/>
          <w:b/>
          <w:sz w:val="24"/>
          <w:szCs w:val="24"/>
          <w:lang w:val="es-ES" w:eastAsia="es-ES"/>
        </w:rPr>
      </w:pPr>
    </w:p>
    <w:sectPr w:rsidR="00ED3850" w:rsidRPr="000E2FD3" w:rsidSect="001649A0">
      <w:headerReference w:type="even" r:id="rId8"/>
      <w:headerReference w:type="default" r:id="rId9"/>
      <w:footerReference w:type="default" r:id="rId10"/>
      <w:headerReference w:type="first" r:id="rId11"/>
      <w:pgSz w:w="12240" w:h="20160" w:code="5"/>
      <w:pgMar w:top="1423"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6C497" w14:textId="77777777" w:rsidR="00E210E0" w:rsidRDefault="00E210E0" w:rsidP="00604752">
      <w:pPr>
        <w:spacing w:after="0" w:line="240" w:lineRule="auto"/>
      </w:pPr>
      <w:r>
        <w:separator/>
      </w:r>
    </w:p>
  </w:endnote>
  <w:endnote w:type="continuationSeparator" w:id="0">
    <w:p w14:paraId="3DB23A15" w14:textId="77777777" w:rsidR="00E210E0" w:rsidRDefault="00E210E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22B11B8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C6341" w:rsidRPr="005C6341">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490DD" w14:textId="77777777" w:rsidR="00E210E0" w:rsidRDefault="00E210E0" w:rsidP="00604752">
      <w:pPr>
        <w:spacing w:after="0" w:line="240" w:lineRule="auto"/>
      </w:pPr>
      <w:r>
        <w:separator/>
      </w:r>
    </w:p>
  </w:footnote>
  <w:footnote w:type="continuationSeparator" w:id="0">
    <w:p w14:paraId="4A15DE04" w14:textId="77777777" w:rsidR="00E210E0" w:rsidRDefault="00E210E0" w:rsidP="00604752">
      <w:pPr>
        <w:spacing w:after="0" w:line="240" w:lineRule="auto"/>
      </w:pPr>
      <w:r>
        <w:continuationSeparator/>
      </w:r>
    </w:p>
  </w:footnote>
  <w:footnote w:id="1">
    <w:p w14:paraId="49563A25" w14:textId="2FC0D927" w:rsidR="007C385A" w:rsidRPr="007C385A" w:rsidRDefault="007C385A" w:rsidP="007C385A">
      <w:pPr>
        <w:pStyle w:val="Textonotapie"/>
        <w:jc w:val="both"/>
        <w:rPr>
          <w:rFonts w:ascii="Arial" w:hAnsi="Arial" w:cs="Arial"/>
        </w:rPr>
      </w:pPr>
      <w:r w:rsidRPr="007C385A">
        <w:rPr>
          <w:rStyle w:val="Refdenotaalpie"/>
          <w:rFonts w:ascii="Arial" w:hAnsi="Arial" w:cs="Arial"/>
          <w:sz w:val="18"/>
          <w:szCs w:val="18"/>
        </w:rPr>
        <w:footnoteRef/>
      </w:r>
      <w:r w:rsidRPr="007C385A">
        <w:rPr>
          <w:rFonts w:ascii="Arial" w:hAnsi="Arial" w:cs="Arial"/>
          <w:sz w:val="18"/>
          <w:szCs w:val="18"/>
        </w:rPr>
        <w:t xml:space="preserve"> Jurisprudencia con número de registro 243007, por la Cuarta Sala de la Suprema Corte de Justicia de la Nación, publicada en el Semanario Judicial de la Federación, Volumen 151-156, Quinta Parte, página 146, Séptima Época, Materia: Laboral.</w:t>
      </w:r>
    </w:p>
  </w:footnote>
  <w:footnote w:id="2">
    <w:p w14:paraId="751928F2" w14:textId="77777777" w:rsidR="00B95C51" w:rsidRDefault="00B95C51" w:rsidP="00A22153">
      <w:pPr>
        <w:pStyle w:val="Textonotapie"/>
        <w:jc w:val="both"/>
        <w:rPr>
          <w:rFonts w:ascii="Arial" w:hAnsi="Arial" w:cs="Arial"/>
          <w:sz w:val="18"/>
          <w:szCs w:val="18"/>
        </w:rPr>
      </w:pPr>
    </w:p>
    <w:p w14:paraId="6A68A09C" w14:textId="5A2268BE" w:rsidR="00A22153" w:rsidRPr="00B95C51" w:rsidRDefault="00A22153" w:rsidP="00A22153">
      <w:pPr>
        <w:pStyle w:val="Textonotapie"/>
        <w:jc w:val="both"/>
        <w:rPr>
          <w:rFonts w:ascii="Arial" w:hAnsi="Arial" w:cs="Arial"/>
        </w:rPr>
      </w:pPr>
      <w:r w:rsidRPr="00B95C51">
        <w:rPr>
          <w:rStyle w:val="Refdenotaalpie"/>
          <w:rFonts w:ascii="Arial" w:hAnsi="Arial" w:cs="Arial"/>
          <w:sz w:val="18"/>
          <w:szCs w:val="18"/>
        </w:rPr>
        <w:footnoteRef/>
      </w:r>
      <w:r w:rsidRPr="00B95C51">
        <w:rPr>
          <w:rFonts w:ascii="Arial" w:hAnsi="Arial" w:cs="Arial"/>
          <w:sz w:val="18"/>
          <w:szCs w:val="18"/>
        </w:rPr>
        <w:t xml:space="preserve"> Jurisprudencia número 2a./J. 115/2007, con número de registro 171969, por la Segunda Sala de la Suprema Corte de Justicia de la Nación, publicada en el Semanario Judicial de la Federación y su Gaceta, Tomo XXVI, Julio de 2007, página 343, Novena Época, Materia: Administrativa.</w:t>
      </w:r>
    </w:p>
  </w:footnote>
  <w:footnote w:id="3">
    <w:p w14:paraId="18DEA105" w14:textId="77777777" w:rsidR="001437E3" w:rsidRPr="00C34C81" w:rsidRDefault="001437E3" w:rsidP="001437E3">
      <w:pPr>
        <w:pStyle w:val="Textonotapie"/>
        <w:jc w:val="both"/>
        <w:rPr>
          <w:rFonts w:ascii="Arial" w:hAnsi="Arial" w:cs="Arial"/>
        </w:rPr>
      </w:pPr>
      <w:r w:rsidRPr="00C34C81">
        <w:rPr>
          <w:rStyle w:val="Refdenotaalpie"/>
          <w:rFonts w:ascii="Arial" w:hAnsi="Arial" w:cs="Arial"/>
          <w:sz w:val="18"/>
          <w:szCs w:val="18"/>
        </w:rPr>
        <w:footnoteRef/>
      </w:r>
      <w:r w:rsidRPr="00C34C81">
        <w:rPr>
          <w:rFonts w:ascii="Arial" w:hAnsi="Arial" w:cs="Arial"/>
          <w:sz w:val="18"/>
          <w:szCs w:val="18"/>
        </w:rPr>
        <w:t xml:space="preserve"> </w:t>
      </w:r>
      <w:r>
        <w:rPr>
          <w:rFonts w:ascii="Arial" w:hAnsi="Arial" w:cs="Arial"/>
          <w:sz w:val="18"/>
          <w:szCs w:val="18"/>
        </w:rPr>
        <w:t>T</w:t>
      </w:r>
      <w:r w:rsidRPr="00C34C81">
        <w:rPr>
          <w:rFonts w:ascii="Arial" w:hAnsi="Arial" w:cs="Arial"/>
          <w:sz w:val="18"/>
          <w:szCs w:val="18"/>
        </w:rPr>
        <w:t>esis número I. 4o. P. 56 P</w:t>
      </w:r>
      <w:r>
        <w:rPr>
          <w:rFonts w:ascii="Arial" w:hAnsi="Arial" w:cs="Arial"/>
          <w:sz w:val="18"/>
          <w:szCs w:val="18"/>
        </w:rPr>
        <w:t>,</w:t>
      </w:r>
      <w:r w:rsidRPr="00C34C81">
        <w:rPr>
          <w:rFonts w:ascii="Arial" w:hAnsi="Arial" w:cs="Arial"/>
          <w:sz w:val="18"/>
          <w:szCs w:val="18"/>
        </w:rPr>
        <w:t xml:space="preserve"> con número de registro 209986, por los Tribunales Colegiados de Circuito en el Semanario Judicial de la Federación Tomo XIV, Noviembre de 1994, página 450, de la Octava Época, </w:t>
      </w:r>
      <w:r>
        <w:rPr>
          <w:rFonts w:ascii="Arial" w:hAnsi="Arial" w:cs="Arial"/>
          <w:sz w:val="18"/>
          <w:szCs w:val="18"/>
        </w:rPr>
        <w:t>M</w:t>
      </w:r>
      <w:r w:rsidRPr="00C34C81">
        <w:rPr>
          <w:rFonts w:ascii="Arial" w:hAnsi="Arial" w:cs="Arial"/>
          <w:sz w:val="18"/>
          <w:szCs w:val="18"/>
        </w:rPr>
        <w:t xml:space="preserve">ateria </w:t>
      </w:r>
      <w:r>
        <w:rPr>
          <w:rFonts w:ascii="Arial" w:hAnsi="Arial" w:cs="Arial"/>
          <w:sz w:val="18"/>
          <w:szCs w:val="18"/>
        </w:rPr>
        <w:t>P</w:t>
      </w:r>
      <w:r w:rsidRPr="00C34C81">
        <w:rPr>
          <w:rFonts w:ascii="Arial" w:hAnsi="Arial" w:cs="Arial"/>
          <w:sz w:val="18"/>
          <w:szCs w:val="18"/>
        </w:rPr>
        <w:t>enal.</w:t>
      </w:r>
    </w:p>
  </w:footnote>
  <w:footnote w:id="4">
    <w:p w14:paraId="2FD4081F" w14:textId="77777777" w:rsidR="001437E3" w:rsidRDefault="001437E3" w:rsidP="001437E3">
      <w:pPr>
        <w:pStyle w:val="Textonotapie"/>
        <w:jc w:val="both"/>
        <w:rPr>
          <w:rFonts w:ascii="Arial" w:hAnsi="Arial" w:cs="Arial"/>
          <w:sz w:val="18"/>
          <w:szCs w:val="18"/>
        </w:rPr>
      </w:pPr>
    </w:p>
    <w:p w14:paraId="744855CA" w14:textId="77777777" w:rsidR="001437E3" w:rsidRPr="002B3DC2" w:rsidRDefault="001437E3" w:rsidP="001437E3">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 publicada en la Gaceta del Semanario Judicial de la Federación, Número 64, Abril de 1993, página 43, Octava Época, Materia Administrativa.</w:t>
      </w:r>
    </w:p>
  </w:footnote>
  <w:footnote w:id="5">
    <w:p w14:paraId="168B9E31" w14:textId="77777777" w:rsidR="006167CB" w:rsidRPr="00DA2596" w:rsidRDefault="006167CB" w:rsidP="006167CB">
      <w:pPr>
        <w:pStyle w:val="Textonotapie"/>
        <w:jc w:val="both"/>
        <w:rPr>
          <w:rFonts w:ascii="Arial" w:hAnsi="Arial" w:cs="Arial"/>
          <w:sz w:val="18"/>
          <w:szCs w:val="18"/>
        </w:rPr>
      </w:pPr>
      <w:r w:rsidRPr="00DA2596">
        <w:rPr>
          <w:rStyle w:val="Refdenotaalpie"/>
          <w:rFonts w:ascii="Arial" w:hAnsi="Arial" w:cs="Arial"/>
          <w:sz w:val="18"/>
          <w:szCs w:val="18"/>
        </w:rPr>
        <w:footnoteRef/>
      </w:r>
      <w:r w:rsidRPr="00DA2596">
        <w:rPr>
          <w:rFonts w:ascii="Arial" w:hAnsi="Arial" w:cs="Arial"/>
          <w:sz w:val="18"/>
          <w:szCs w:val="18"/>
        </w:rPr>
        <w:t xml:space="preserve"> Tesis número I.6o.A.33 A, con número de registro 187531, por los Tribunales Colegiados de Circuito, publicada en el Semanario Judicial de la Federación y su Gaceta, Marzo de 2002, página 1350, Novena Época.</w:t>
      </w:r>
    </w:p>
  </w:footnote>
  <w:footnote w:id="6">
    <w:p w14:paraId="372076A8" w14:textId="1DCAA1D1" w:rsidR="001E445E" w:rsidRDefault="001E445E" w:rsidP="001E445E">
      <w:pPr>
        <w:pStyle w:val="Textonotapie"/>
        <w:jc w:val="both"/>
        <w:rPr>
          <w:rFonts w:ascii="Arial" w:hAnsi="Arial" w:cs="Arial"/>
          <w:sz w:val="18"/>
          <w:szCs w:val="18"/>
        </w:rPr>
      </w:pPr>
      <w:r w:rsidRPr="00826202">
        <w:rPr>
          <w:rStyle w:val="Refdenotaalpie"/>
          <w:rFonts w:ascii="Arial" w:hAnsi="Arial" w:cs="Arial"/>
          <w:sz w:val="18"/>
          <w:szCs w:val="18"/>
        </w:rPr>
        <w:footnoteRef/>
      </w:r>
      <w:r w:rsidRPr="00826202">
        <w:rPr>
          <w:rFonts w:ascii="Arial" w:hAnsi="Arial" w:cs="Arial"/>
          <w:sz w:val="18"/>
          <w:szCs w:val="18"/>
        </w:rPr>
        <w:t xml:space="preserve"> Cantidad que se advierte del dictamen de jubilación, y que a su vez hace referencia que dicha cantidad fue autorizada en el nombramiento de confianza para efectos de jubilación</w:t>
      </w:r>
      <w:r>
        <w:rPr>
          <w:rFonts w:ascii="Arial" w:hAnsi="Arial" w:cs="Arial"/>
          <w:sz w:val="18"/>
          <w:szCs w:val="18"/>
        </w:rPr>
        <w:t xml:space="preserve"> número</w:t>
      </w:r>
      <w:r w:rsidR="004514E0">
        <w:rPr>
          <w:rFonts w:ascii="Arial" w:hAnsi="Arial" w:cs="Arial"/>
          <w:sz w:val="18"/>
          <w:szCs w:val="18"/>
        </w:rPr>
        <w:t xml:space="preserve"> </w:t>
      </w:r>
      <w:r w:rsidR="005A7D8B">
        <w:rPr>
          <w:rFonts w:ascii="Arial" w:hAnsi="Arial" w:cs="Arial"/>
          <w:sz w:val="18"/>
          <w:szCs w:val="18"/>
        </w:rPr>
        <w:t>*****</w:t>
      </w:r>
      <w:r w:rsidRPr="00826202">
        <w:rPr>
          <w:rFonts w:ascii="Arial" w:hAnsi="Arial" w:cs="Arial"/>
          <w:sz w:val="18"/>
          <w:szCs w:val="18"/>
        </w:rPr>
        <w:t>, de fecha</w:t>
      </w:r>
      <w:r w:rsidR="004514E0">
        <w:rPr>
          <w:rFonts w:ascii="Arial" w:hAnsi="Arial" w:cs="Arial"/>
          <w:sz w:val="18"/>
          <w:szCs w:val="18"/>
        </w:rPr>
        <w:t xml:space="preserve"> </w:t>
      </w:r>
      <w:r w:rsidR="005A7D8B">
        <w:rPr>
          <w:rFonts w:ascii="Arial" w:hAnsi="Arial" w:cs="Arial"/>
          <w:sz w:val="18"/>
          <w:szCs w:val="18"/>
        </w:rPr>
        <w:t>*****</w:t>
      </w:r>
      <w:r w:rsidRPr="00826202">
        <w:rPr>
          <w:rFonts w:ascii="Arial" w:hAnsi="Arial" w:cs="Arial"/>
          <w:sz w:val="18"/>
          <w:szCs w:val="18"/>
        </w:rPr>
        <w:t xml:space="preserve"> de</w:t>
      </w:r>
      <w:r w:rsidR="004514E0">
        <w:rPr>
          <w:rFonts w:ascii="Arial" w:hAnsi="Arial" w:cs="Arial"/>
          <w:sz w:val="18"/>
          <w:szCs w:val="18"/>
        </w:rPr>
        <w:t xml:space="preserve"> </w:t>
      </w:r>
      <w:r w:rsidR="005A7D8B">
        <w:rPr>
          <w:rFonts w:ascii="Arial" w:hAnsi="Arial" w:cs="Arial"/>
          <w:sz w:val="18"/>
          <w:szCs w:val="18"/>
        </w:rPr>
        <w:t>****</w:t>
      </w:r>
      <w:r w:rsidRPr="00826202">
        <w:rPr>
          <w:rFonts w:ascii="Arial" w:hAnsi="Arial" w:cs="Arial"/>
          <w:sz w:val="18"/>
          <w:szCs w:val="18"/>
        </w:rPr>
        <w:t xml:space="preserve"> de </w:t>
      </w:r>
      <w:r w:rsidR="005A7D8B">
        <w:rPr>
          <w:rFonts w:ascii="Arial" w:hAnsi="Arial" w:cs="Arial"/>
          <w:sz w:val="18"/>
          <w:szCs w:val="18"/>
        </w:rPr>
        <w:t>*****</w:t>
      </w:r>
      <w:r w:rsidRPr="00826202">
        <w:rPr>
          <w:rFonts w:ascii="Arial" w:hAnsi="Arial" w:cs="Arial"/>
          <w:sz w:val="18"/>
          <w:szCs w:val="18"/>
        </w:rPr>
        <w:t>.</w:t>
      </w:r>
    </w:p>
    <w:p w14:paraId="685648C6" w14:textId="77777777" w:rsidR="0036311C" w:rsidRPr="00826202" w:rsidRDefault="0036311C" w:rsidP="001E445E">
      <w:pPr>
        <w:pStyle w:val="Textonotapie"/>
        <w:jc w:val="both"/>
        <w:rPr>
          <w:rFonts w:ascii="Arial" w:hAnsi="Arial" w:cs="Arial"/>
        </w:rPr>
      </w:pPr>
    </w:p>
  </w:footnote>
  <w:footnote w:id="7">
    <w:p w14:paraId="7374E624" w14:textId="77777777" w:rsidR="001E445E" w:rsidRPr="007D357D" w:rsidRDefault="001E445E" w:rsidP="001E445E">
      <w:pPr>
        <w:pStyle w:val="Textonotapie"/>
        <w:jc w:val="both"/>
        <w:rPr>
          <w:rFonts w:ascii="Arial" w:hAnsi="Arial" w:cs="Arial"/>
        </w:rPr>
      </w:pPr>
      <w:r w:rsidRPr="00857786">
        <w:rPr>
          <w:rStyle w:val="Refdenotaalpie"/>
          <w:rFonts w:ascii="Arial" w:hAnsi="Arial" w:cs="Arial"/>
          <w:sz w:val="18"/>
          <w:szCs w:val="18"/>
        </w:rPr>
        <w:footnoteRef/>
      </w:r>
      <w:r w:rsidRPr="00857786">
        <w:rPr>
          <w:rFonts w:ascii="Arial" w:hAnsi="Arial" w:cs="Arial"/>
          <w:sz w:val="18"/>
          <w:szCs w:val="18"/>
        </w:rPr>
        <w:t xml:space="preserve"> Artículo reformado mediante decreto número 2770, el veintidós de septiembre de dos mil veintiuno, publicada en el Periódico Oficial del Gobierno del Estado de Oaxaca el veintitrés de octubre de dos mil veintiuno. Consultable</w:t>
      </w:r>
      <w:r>
        <w:rPr>
          <w:rFonts w:ascii="Arial" w:hAnsi="Arial" w:cs="Arial"/>
          <w:sz w:val="18"/>
          <w:szCs w:val="18"/>
        </w:rPr>
        <w:t xml:space="preserve"> </w:t>
      </w:r>
      <w:r w:rsidRPr="00857786">
        <w:rPr>
          <w:rFonts w:ascii="Arial" w:hAnsi="Arial" w:cs="Arial"/>
          <w:sz w:val="18"/>
          <w:szCs w:val="18"/>
        </w:rPr>
        <w:t>en la página</w:t>
      </w:r>
      <w:r>
        <w:rPr>
          <w:rFonts w:ascii="Arial" w:hAnsi="Arial" w:cs="Arial"/>
          <w:sz w:val="18"/>
          <w:szCs w:val="18"/>
        </w:rPr>
        <w:t xml:space="preserve"> </w:t>
      </w:r>
      <w:r w:rsidRPr="00857786">
        <w:rPr>
          <w:rFonts w:ascii="Arial" w:hAnsi="Arial" w:cs="Arial"/>
          <w:sz w:val="18"/>
          <w:szCs w:val="18"/>
        </w:rPr>
        <w:t xml:space="preserve">siguiente: </w:t>
      </w:r>
      <w:hyperlink r:id="rId1" w:history="1">
        <w:r w:rsidRPr="00857786">
          <w:rPr>
            <w:rStyle w:val="Hipervnculo"/>
            <w:rFonts w:ascii="Arial" w:hAnsi="Arial" w:cs="Arial"/>
            <w:sz w:val="18"/>
            <w:szCs w:val="18"/>
          </w:rPr>
          <w:t>https://docs64.congresooaxaca.gob.mx/documents/decrets/DLXIV_2770.pdf</w:t>
        </w:r>
      </w:hyperlink>
      <w:r>
        <w:rPr>
          <w:rFonts w:ascii="Arial" w:hAnsi="Arial" w:cs="Arial"/>
          <w:sz w:val="18"/>
          <w:szCs w:val="18"/>
        </w:rPr>
        <w:t xml:space="preserve">. </w:t>
      </w:r>
    </w:p>
  </w:footnote>
  <w:footnote w:id="8">
    <w:p w14:paraId="39A2EB2E" w14:textId="77777777" w:rsidR="001E445E" w:rsidRPr="000E0AE6" w:rsidRDefault="001E445E" w:rsidP="001E445E">
      <w:pPr>
        <w:pStyle w:val="temp"/>
        <w:shd w:val="clear" w:color="auto" w:fill="FFFFFF"/>
        <w:spacing w:before="0" w:beforeAutospacing="0" w:after="0" w:afterAutospacing="0"/>
        <w:jc w:val="both"/>
        <w:rPr>
          <w:rFonts w:ascii="Arial" w:hAnsi="Arial" w:cs="Arial"/>
          <w:color w:val="212529"/>
          <w:sz w:val="18"/>
          <w:szCs w:val="18"/>
        </w:rPr>
      </w:pPr>
      <w:r w:rsidRPr="00C945E6">
        <w:rPr>
          <w:rStyle w:val="Refdenotaalpie"/>
          <w:rFonts w:ascii="Arial" w:hAnsi="Arial" w:cs="Arial"/>
          <w:sz w:val="18"/>
          <w:szCs w:val="18"/>
        </w:rPr>
        <w:footnoteRef/>
      </w:r>
      <w:r w:rsidRPr="00C945E6">
        <w:rPr>
          <w:rFonts w:ascii="Arial" w:hAnsi="Arial" w:cs="Arial"/>
          <w:sz w:val="18"/>
          <w:szCs w:val="18"/>
        </w:rPr>
        <w:t xml:space="preserve"> </w:t>
      </w:r>
      <w:r w:rsidRPr="000E0AE6">
        <w:rPr>
          <w:rFonts w:ascii="Arial" w:hAnsi="Arial" w:cs="Arial"/>
          <w:sz w:val="18"/>
          <w:szCs w:val="18"/>
        </w:rPr>
        <w:t>Jurisprudencia número 2a.</w:t>
      </w:r>
      <w:r w:rsidRPr="000E0AE6">
        <w:rPr>
          <w:rFonts w:ascii="Arial" w:hAnsi="Arial" w:cs="Arial"/>
          <w:color w:val="212529"/>
          <w:sz w:val="18"/>
          <w:szCs w:val="18"/>
        </w:rPr>
        <w:t xml:space="preserve">/J. 204/2007, con número de registro </w:t>
      </w:r>
      <w:r w:rsidRPr="000E0AE6">
        <w:rPr>
          <w:rFonts w:ascii="Arial" w:hAnsi="Arial" w:cs="Arial"/>
          <w:color w:val="212529"/>
          <w:sz w:val="18"/>
          <w:szCs w:val="18"/>
          <w:shd w:val="clear" w:color="auto" w:fill="FFFFFF"/>
        </w:rPr>
        <w:t>170892</w:t>
      </w:r>
      <w:r>
        <w:rPr>
          <w:rFonts w:ascii="Arial" w:hAnsi="Arial" w:cs="Arial"/>
          <w:color w:val="212529"/>
          <w:sz w:val="18"/>
          <w:szCs w:val="18"/>
          <w:shd w:val="clear" w:color="auto" w:fill="FFFFFF"/>
        </w:rPr>
        <w:t>,</w:t>
      </w:r>
      <w:r w:rsidRPr="000E0AE6">
        <w:rPr>
          <w:rFonts w:ascii="Arial" w:hAnsi="Arial" w:cs="Arial"/>
          <w:color w:val="212529"/>
          <w:sz w:val="18"/>
          <w:szCs w:val="18"/>
          <w:shd w:val="clear" w:color="auto" w:fill="FFFFFF"/>
        </w:rPr>
        <w:t xml:space="preserve"> publicada en el Semanario Judicial de la Federación y su Gaceta.</w:t>
      </w:r>
      <w:r w:rsidRPr="000E0AE6">
        <w:rPr>
          <w:rFonts w:ascii="Arial" w:hAnsi="Arial" w:cs="Arial"/>
          <w:color w:val="212529"/>
          <w:sz w:val="18"/>
          <w:szCs w:val="18"/>
        </w:rPr>
        <w:t xml:space="preserve"> </w:t>
      </w:r>
      <w:r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9">
    <w:p w14:paraId="3A251F46" w14:textId="77777777" w:rsidR="001E445E" w:rsidRPr="00A862AC" w:rsidRDefault="001E445E" w:rsidP="001E445E">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Circuito</w:t>
      </w:r>
      <w:r>
        <w:rPr>
          <w:rFonts w:ascii="Arial" w:hAnsi="Arial" w:cs="Arial"/>
          <w:sz w:val="18"/>
          <w:szCs w:val="18"/>
        </w:rPr>
        <w:t xml:space="preserve"> </w:t>
      </w:r>
      <w:r w:rsidRPr="00A862AC">
        <w:rPr>
          <w:rFonts w:ascii="Arial" w:hAnsi="Arial" w:cs="Arial"/>
          <w:sz w:val="18"/>
          <w:szCs w:val="18"/>
        </w:rPr>
        <w:t>en el Semanario Judicial de la Federación y su Gaceta, Tomo XXV, Página 1889, Novena Época, Febrero de 2007.</w:t>
      </w:r>
    </w:p>
  </w:footnote>
  <w:footnote w:id="10">
    <w:p w14:paraId="703D7BAC" w14:textId="77777777" w:rsidR="009A6E26" w:rsidRDefault="009A6E26" w:rsidP="001E445E">
      <w:pPr>
        <w:pStyle w:val="Textonotapie"/>
        <w:jc w:val="both"/>
        <w:rPr>
          <w:rFonts w:ascii="Arial" w:hAnsi="Arial" w:cs="Arial"/>
          <w:sz w:val="18"/>
          <w:szCs w:val="18"/>
        </w:rPr>
      </w:pPr>
    </w:p>
    <w:p w14:paraId="3D2D98EC" w14:textId="6FFDA205" w:rsidR="001E445E" w:rsidRPr="00543372" w:rsidRDefault="001E445E" w:rsidP="001E445E">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Pr>
          <w:rFonts w:ascii="Arial" w:hAnsi="Arial" w:cs="Arial"/>
          <w:sz w:val="18"/>
          <w:szCs w:val="18"/>
        </w:rPr>
        <w:t>.</w:t>
      </w:r>
    </w:p>
  </w:footnote>
  <w:footnote w:id="11">
    <w:p w14:paraId="19505D12" w14:textId="77777777" w:rsidR="001E445E" w:rsidRPr="00521AFD" w:rsidRDefault="001E445E" w:rsidP="001E445E">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en el Semanario Judicial de la Federación, Libro 47, Octubre de 2017, Tomo IV, página 2418, Décima Época</w:t>
      </w:r>
      <w:r>
        <w:rPr>
          <w:rFonts w:ascii="Arial" w:hAnsi="Arial" w:cs="Arial"/>
          <w:sz w:val="18"/>
          <w:szCs w:val="18"/>
        </w:rPr>
        <w:t>.</w:t>
      </w:r>
    </w:p>
  </w:footnote>
  <w:footnote w:id="12">
    <w:p w14:paraId="3B0F2C05" w14:textId="77777777" w:rsidR="001E445E" w:rsidRPr="00303F0F" w:rsidRDefault="001E445E" w:rsidP="001E445E">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Gaceta</w:t>
      </w:r>
      <w:r>
        <w:rPr>
          <w:rFonts w:ascii="Arial" w:hAnsi="Arial" w:cs="Arial"/>
          <w:sz w:val="18"/>
          <w:szCs w:val="18"/>
        </w:rPr>
        <w:t>. Tomo XV, marzo de 2002,</w:t>
      </w:r>
      <w:r w:rsidRPr="00303F0F">
        <w:rPr>
          <w:rFonts w:ascii="Arial" w:hAnsi="Arial" w:cs="Arial"/>
          <w:sz w:val="18"/>
          <w:szCs w:val="18"/>
        </w:rPr>
        <w:t xml:space="preserve"> página 1350</w:t>
      </w:r>
      <w:r>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BA649" w14:textId="74221CDA" w:rsidR="001649A0" w:rsidRDefault="001649A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0144964" wp14:editId="67C8EF06">
              <wp:simplePos x="0" y="0"/>
              <wp:positionH relativeFrom="rightMargin">
                <wp:align>left</wp:align>
              </wp:positionH>
              <wp:positionV relativeFrom="paragraph">
                <wp:posOffset>4893310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5504E0F" w14:textId="77777777" w:rsidR="001649A0" w:rsidRDefault="001649A0" w:rsidP="001649A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144964" id="_x0000_t202" coordsize="21600,21600" o:spt="202" path="m,l,21600r21600,l21600,xe">
              <v:stroke joinstyle="miter"/>
              <v:path gradientshapeok="t" o:connecttype="rect"/>
            </v:shapetype>
            <v:shape id="Cuadro de texto 1" o:spid="_x0000_s1026" type="#_x0000_t202" style="position:absolute;margin-left:0;margin-top:385.3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">
              <v:textbox>
                <w:txbxContent>
                  <w:p w14:paraId="15504E0F" w14:textId="77777777" w:rsidR="001649A0" w:rsidRDefault="001649A0" w:rsidP="001649A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D042A71" w:rsidR="0076338B" w:rsidRDefault="001649A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7A9E423" wp14:editId="3C26970B">
              <wp:simplePos x="0" y="0"/>
              <wp:positionH relativeFrom="leftMargin">
                <wp:align>right</wp:align>
              </wp:positionH>
              <wp:positionV relativeFrom="paragraph">
                <wp:posOffset>4893310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BA2129E" w14:textId="77777777" w:rsidR="001649A0" w:rsidRDefault="001649A0" w:rsidP="001649A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A9E423" id="_x0000_t202" coordsize="21600,21600" o:spt="202" path="m,l,21600r21600,l21600,xe">
              <v:stroke joinstyle="miter"/>
              <v:path gradientshapeok="t" o:connecttype="rect"/>
            </v:shapetype>
            <v:shape id="Cuadro de texto 2" o:spid="_x0000_s1027" type="#_x0000_t202" style="position:absolute;margin-left:41.8pt;margin-top:385.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">
              <v:textbox>
                <w:txbxContent>
                  <w:p w14:paraId="4BA2129E" w14:textId="77777777" w:rsidR="001649A0" w:rsidRDefault="001649A0" w:rsidP="001649A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44FAACB8"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63CC6"/>
    <w:multiLevelType w:val="hybridMultilevel"/>
    <w:tmpl w:val="3AD463F2"/>
    <w:lvl w:ilvl="0" w:tplc="3D2C41C2">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3EE17A0"/>
    <w:multiLevelType w:val="hybridMultilevel"/>
    <w:tmpl w:val="4DA2AEAA"/>
    <w:lvl w:ilvl="0" w:tplc="7DE2CAC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22542610">
    <w:abstractNumId w:val="4"/>
  </w:num>
  <w:num w:numId="2" w16cid:durableId="598493512">
    <w:abstractNumId w:val="5"/>
  </w:num>
  <w:num w:numId="3" w16cid:durableId="696856659">
    <w:abstractNumId w:val="8"/>
  </w:num>
  <w:num w:numId="4" w16cid:durableId="999192353">
    <w:abstractNumId w:val="2"/>
  </w:num>
  <w:num w:numId="5" w16cid:durableId="982852174">
    <w:abstractNumId w:val="6"/>
  </w:num>
  <w:num w:numId="6" w16cid:durableId="1718116839">
    <w:abstractNumId w:val="3"/>
  </w:num>
  <w:num w:numId="7" w16cid:durableId="365375173">
    <w:abstractNumId w:val="7"/>
  </w:num>
  <w:num w:numId="8" w16cid:durableId="2080668854">
    <w:abstractNumId w:val="1"/>
  </w:num>
  <w:num w:numId="9" w16cid:durableId="565998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1F75"/>
    <w:rsid w:val="000023C0"/>
    <w:rsid w:val="00003214"/>
    <w:rsid w:val="0000564B"/>
    <w:rsid w:val="0001122D"/>
    <w:rsid w:val="00011258"/>
    <w:rsid w:val="00012B16"/>
    <w:rsid w:val="00012F54"/>
    <w:rsid w:val="00013BAD"/>
    <w:rsid w:val="0001413A"/>
    <w:rsid w:val="00015B5E"/>
    <w:rsid w:val="000203B2"/>
    <w:rsid w:val="00021165"/>
    <w:rsid w:val="00021182"/>
    <w:rsid w:val="000212A8"/>
    <w:rsid w:val="00023E0F"/>
    <w:rsid w:val="000248F2"/>
    <w:rsid w:val="00024B83"/>
    <w:rsid w:val="0002521A"/>
    <w:rsid w:val="00025459"/>
    <w:rsid w:val="00026BB2"/>
    <w:rsid w:val="00030491"/>
    <w:rsid w:val="0003281E"/>
    <w:rsid w:val="00032827"/>
    <w:rsid w:val="000337D1"/>
    <w:rsid w:val="00033F72"/>
    <w:rsid w:val="00035C7B"/>
    <w:rsid w:val="00035E01"/>
    <w:rsid w:val="000363E1"/>
    <w:rsid w:val="000368F7"/>
    <w:rsid w:val="00036A0C"/>
    <w:rsid w:val="00036DC9"/>
    <w:rsid w:val="0003743F"/>
    <w:rsid w:val="00043748"/>
    <w:rsid w:val="00045E11"/>
    <w:rsid w:val="00051177"/>
    <w:rsid w:val="000513D9"/>
    <w:rsid w:val="000530A9"/>
    <w:rsid w:val="0005415A"/>
    <w:rsid w:val="00054863"/>
    <w:rsid w:val="00063E4D"/>
    <w:rsid w:val="00064B6B"/>
    <w:rsid w:val="00065160"/>
    <w:rsid w:val="000662B7"/>
    <w:rsid w:val="00067648"/>
    <w:rsid w:val="000708E8"/>
    <w:rsid w:val="000720BA"/>
    <w:rsid w:val="000807AA"/>
    <w:rsid w:val="00081134"/>
    <w:rsid w:val="00084DF1"/>
    <w:rsid w:val="000861BC"/>
    <w:rsid w:val="0008643C"/>
    <w:rsid w:val="00090CB5"/>
    <w:rsid w:val="00092E1F"/>
    <w:rsid w:val="00094E83"/>
    <w:rsid w:val="00094F89"/>
    <w:rsid w:val="000951F5"/>
    <w:rsid w:val="000968FD"/>
    <w:rsid w:val="000A0C4C"/>
    <w:rsid w:val="000A21C1"/>
    <w:rsid w:val="000A25F3"/>
    <w:rsid w:val="000A2814"/>
    <w:rsid w:val="000A2A86"/>
    <w:rsid w:val="000A3369"/>
    <w:rsid w:val="000A4C89"/>
    <w:rsid w:val="000A5644"/>
    <w:rsid w:val="000A5C47"/>
    <w:rsid w:val="000B1C0B"/>
    <w:rsid w:val="000B32AF"/>
    <w:rsid w:val="000B426C"/>
    <w:rsid w:val="000B48CB"/>
    <w:rsid w:val="000C1184"/>
    <w:rsid w:val="000C35D8"/>
    <w:rsid w:val="000C361C"/>
    <w:rsid w:val="000C43A6"/>
    <w:rsid w:val="000C4E6B"/>
    <w:rsid w:val="000C599F"/>
    <w:rsid w:val="000C5C42"/>
    <w:rsid w:val="000C6172"/>
    <w:rsid w:val="000C6FAD"/>
    <w:rsid w:val="000C7260"/>
    <w:rsid w:val="000D118E"/>
    <w:rsid w:val="000D1512"/>
    <w:rsid w:val="000D1DC9"/>
    <w:rsid w:val="000D23FD"/>
    <w:rsid w:val="000D5ADC"/>
    <w:rsid w:val="000D6058"/>
    <w:rsid w:val="000E1601"/>
    <w:rsid w:val="000E2FD3"/>
    <w:rsid w:val="000E4A2F"/>
    <w:rsid w:val="000E53FC"/>
    <w:rsid w:val="000E5FA6"/>
    <w:rsid w:val="000E728E"/>
    <w:rsid w:val="000E74DB"/>
    <w:rsid w:val="000F3A4E"/>
    <w:rsid w:val="000F4967"/>
    <w:rsid w:val="000F7053"/>
    <w:rsid w:val="000F77BF"/>
    <w:rsid w:val="001009AB"/>
    <w:rsid w:val="00102315"/>
    <w:rsid w:val="0010375C"/>
    <w:rsid w:val="00106084"/>
    <w:rsid w:val="00106088"/>
    <w:rsid w:val="0010765A"/>
    <w:rsid w:val="001121F9"/>
    <w:rsid w:val="00114836"/>
    <w:rsid w:val="00115274"/>
    <w:rsid w:val="00120467"/>
    <w:rsid w:val="001206B0"/>
    <w:rsid w:val="00121D94"/>
    <w:rsid w:val="00125DC6"/>
    <w:rsid w:val="00127344"/>
    <w:rsid w:val="001275B8"/>
    <w:rsid w:val="00127F63"/>
    <w:rsid w:val="00130B07"/>
    <w:rsid w:val="001318F4"/>
    <w:rsid w:val="00131EDE"/>
    <w:rsid w:val="00132658"/>
    <w:rsid w:val="001350AA"/>
    <w:rsid w:val="001352D8"/>
    <w:rsid w:val="0013532F"/>
    <w:rsid w:val="001378D8"/>
    <w:rsid w:val="00140805"/>
    <w:rsid w:val="001437E3"/>
    <w:rsid w:val="00144196"/>
    <w:rsid w:val="00144A11"/>
    <w:rsid w:val="00146BC9"/>
    <w:rsid w:val="001473AC"/>
    <w:rsid w:val="00150C5F"/>
    <w:rsid w:val="00151127"/>
    <w:rsid w:val="001514E4"/>
    <w:rsid w:val="00152D38"/>
    <w:rsid w:val="001540CF"/>
    <w:rsid w:val="00155CE5"/>
    <w:rsid w:val="001567BD"/>
    <w:rsid w:val="00156BE5"/>
    <w:rsid w:val="0015763C"/>
    <w:rsid w:val="00161C0B"/>
    <w:rsid w:val="001628B3"/>
    <w:rsid w:val="001649A0"/>
    <w:rsid w:val="00164D01"/>
    <w:rsid w:val="001658D6"/>
    <w:rsid w:val="0016783D"/>
    <w:rsid w:val="00167B31"/>
    <w:rsid w:val="00174085"/>
    <w:rsid w:val="00174E88"/>
    <w:rsid w:val="00180130"/>
    <w:rsid w:val="001806DD"/>
    <w:rsid w:val="00180B18"/>
    <w:rsid w:val="00180D8D"/>
    <w:rsid w:val="00181533"/>
    <w:rsid w:val="00181BAB"/>
    <w:rsid w:val="001835B5"/>
    <w:rsid w:val="00184646"/>
    <w:rsid w:val="00185070"/>
    <w:rsid w:val="001850C6"/>
    <w:rsid w:val="001851E0"/>
    <w:rsid w:val="00193422"/>
    <w:rsid w:val="0019467E"/>
    <w:rsid w:val="001951EE"/>
    <w:rsid w:val="00196279"/>
    <w:rsid w:val="001A1FE9"/>
    <w:rsid w:val="001A24F8"/>
    <w:rsid w:val="001A2788"/>
    <w:rsid w:val="001A2D1D"/>
    <w:rsid w:val="001A6E66"/>
    <w:rsid w:val="001A73BA"/>
    <w:rsid w:val="001B0663"/>
    <w:rsid w:val="001B421D"/>
    <w:rsid w:val="001B5CF6"/>
    <w:rsid w:val="001B5DC7"/>
    <w:rsid w:val="001B6278"/>
    <w:rsid w:val="001B66DD"/>
    <w:rsid w:val="001B6A00"/>
    <w:rsid w:val="001B77BA"/>
    <w:rsid w:val="001C0F76"/>
    <w:rsid w:val="001C35D8"/>
    <w:rsid w:val="001C5C93"/>
    <w:rsid w:val="001C6514"/>
    <w:rsid w:val="001C69AB"/>
    <w:rsid w:val="001D267C"/>
    <w:rsid w:val="001D5414"/>
    <w:rsid w:val="001E1A1B"/>
    <w:rsid w:val="001E3C59"/>
    <w:rsid w:val="001E445E"/>
    <w:rsid w:val="001E49C1"/>
    <w:rsid w:val="001E4A0B"/>
    <w:rsid w:val="001E79B3"/>
    <w:rsid w:val="001F2CF6"/>
    <w:rsid w:val="001F2FF9"/>
    <w:rsid w:val="001F5B58"/>
    <w:rsid w:val="00202CD9"/>
    <w:rsid w:val="0020358E"/>
    <w:rsid w:val="00203B91"/>
    <w:rsid w:val="00204FE3"/>
    <w:rsid w:val="00205FF5"/>
    <w:rsid w:val="00212E1F"/>
    <w:rsid w:val="00215CF6"/>
    <w:rsid w:val="00220D6F"/>
    <w:rsid w:val="0022156A"/>
    <w:rsid w:val="00223969"/>
    <w:rsid w:val="00224120"/>
    <w:rsid w:val="002257D3"/>
    <w:rsid w:val="00226128"/>
    <w:rsid w:val="00230E4C"/>
    <w:rsid w:val="0023189F"/>
    <w:rsid w:val="002318D5"/>
    <w:rsid w:val="0023226F"/>
    <w:rsid w:val="00232B4E"/>
    <w:rsid w:val="00234271"/>
    <w:rsid w:val="00236BEC"/>
    <w:rsid w:val="00240354"/>
    <w:rsid w:val="002419CF"/>
    <w:rsid w:val="00244A8E"/>
    <w:rsid w:val="00245075"/>
    <w:rsid w:val="002473EC"/>
    <w:rsid w:val="00247CFB"/>
    <w:rsid w:val="00251577"/>
    <w:rsid w:val="002524BD"/>
    <w:rsid w:val="00252E0F"/>
    <w:rsid w:val="00254324"/>
    <w:rsid w:val="002549C3"/>
    <w:rsid w:val="0025714F"/>
    <w:rsid w:val="00260EE4"/>
    <w:rsid w:val="00263D7D"/>
    <w:rsid w:val="00263E2D"/>
    <w:rsid w:val="002649F6"/>
    <w:rsid w:val="002649F9"/>
    <w:rsid w:val="002653F1"/>
    <w:rsid w:val="00265704"/>
    <w:rsid w:val="00266306"/>
    <w:rsid w:val="00266F67"/>
    <w:rsid w:val="00267C69"/>
    <w:rsid w:val="00267D41"/>
    <w:rsid w:val="0027164D"/>
    <w:rsid w:val="0027249E"/>
    <w:rsid w:val="00274498"/>
    <w:rsid w:val="002747AF"/>
    <w:rsid w:val="0027572E"/>
    <w:rsid w:val="002764F4"/>
    <w:rsid w:val="0027767F"/>
    <w:rsid w:val="002779CB"/>
    <w:rsid w:val="0028475A"/>
    <w:rsid w:val="002848F2"/>
    <w:rsid w:val="002850A9"/>
    <w:rsid w:val="00287DE5"/>
    <w:rsid w:val="00290C16"/>
    <w:rsid w:val="002914F2"/>
    <w:rsid w:val="00292144"/>
    <w:rsid w:val="0029479C"/>
    <w:rsid w:val="00294EAD"/>
    <w:rsid w:val="00295133"/>
    <w:rsid w:val="00295A03"/>
    <w:rsid w:val="002964C8"/>
    <w:rsid w:val="00296D02"/>
    <w:rsid w:val="002A566E"/>
    <w:rsid w:val="002A6281"/>
    <w:rsid w:val="002A7FE6"/>
    <w:rsid w:val="002B198B"/>
    <w:rsid w:val="002B245A"/>
    <w:rsid w:val="002B2C0E"/>
    <w:rsid w:val="002B36D5"/>
    <w:rsid w:val="002B4619"/>
    <w:rsid w:val="002B52BC"/>
    <w:rsid w:val="002B6DB8"/>
    <w:rsid w:val="002C0FD7"/>
    <w:rsid w:val="002C3091"/>
    <w:rsid w:val="002C7465"/>
    <w:rsid w:val="002D21E8"/>
    <w:rsid w:val="002D696F"/>
    <w:rsid w:val="002E0F64"/>
    <w:rsid w:val="002E2C42"/>
    <w:rsid w:val="002E7024"/>
    <w:rsid w:val="002E7581"/>
    <w:rsid w:val="002F08AA"/>
    <w:rsid w:val="002F2F88"/>
    <w:rsid w:val="002F3B0D"/>
    <w:rsid w:val="002F47FD"/>
    <w:rsid w:val="002F48ED"/>
    <w:rsid w:val="002F5633"/>
    <w:rsid w:val="002F71C8"/>
    <w:rsid w:val="00301470"/>
    <w:rsid w:val="003039BE"/>
    <w:rsid w:val="00304F2A"/>
    <w:rsid w:val="003057ED"/>
    <w:rsid w:val="00305AF3"/>
    <w:rsid w:val="003063A5"/>
    <w:rsid w:val="0030747D"/>
    <w:rsid w:val="003119B9"/>
    <w:rsid w:val="00312A11"/>
    <w:rsid w:val="003144B7"/>
    <w:rsid w:val="00314C35"/>
    <w:rsid w:val="003172C1"/>
    <w:rsid w:val="003173F3"/>
    <w:rsid w:val="003176C4"/>
    <w:rsid w:val="00320CB4"/>
    <w:rsid w:val="003213D8"/>
    <w:rsid w:val="0032286E"/>
    <w:rsid w:val="003237D1"/>
    <w:rsid w:val="00327322"/>
    <w:rsid w:val="003277D7"/>
    <w:rsid w:val="00327ABE"/>
    <w:rsid w:val="00330516"/>
    <w:rsid w:val="00331255"/>
    <w:rsid w:val="00333268"/>
    <w:rsid w:val="003337E5"/>
    <w:rsid w:val="003355C2"/>
    <w:rsid w:val="003418BF"/>
    <w:rsid w:val="00342781"/>
    <w:rsid w:val="00344216"/>
    <w:rsid w:val="00345A4E"/>
    <w:rsid w:val="00346EA0"/>
    <w:rsid w:val="00350413"/>
    <w:rsid w:val="00351A21"/>
    <w:rsid w:val="00351DE2"/>
    <w:rsid w:val="00351DE3"/>
    <w:rsid w:val="00351EF2"/>
    <w:rsid w:val="00352A96"/>
    <w:rsid w:val="0035374B"/>
    <w:rsid w:val="00354B88"/>
    <w:rsid w:val="00356667"/>
    <w:rsid w:val="003569E3"/>
    <w:rsid w:val="003572E2"/>
    <w:rsid w:val="003604CC"/>
    <w:rsid w:val="003620C9"/>
    <w:rsid w:val="0036311C"/>
    <w:rsid w:val="00363EFF"/>
    <w:rsid w:val="00364572"/>
    <w:rsid w:val="003667A1"/>
    <w:rsid w:val="00370E42"/>
    <w:rsid w:val="00371394"/>
    <w:rsid w:val="00371D3E"/>
    <w:rsid w:val="003747A9"/>
    <w:rsid w:val="0037579C"/>
    <w:rsid w:val="00375C9A"/>
    <w:rsid w:val="003811FF"/>
    <w:rsid w:val="00382EAF"/>
    <w:rsid w:val="00383693"/>
    <w:rsid w:val="003838AD"/>
    <w:rsid w:val="00385C23"/>
    <w:rsid w:val="00386AED"/>
    <w:rsid w:val="00387165"/>
    <w:rsid w:val="00387930"/>
    <w:rsid w:val="00387B37"/>
    <w:rsid w:val="00387B42"/>
    <w:rsid w:val="003905EF"/>
    <w:rsid w:val="00393DC3"/>
    <w:rsid w:val="00395734"/>
    <w:rsid w:val="00395B67"/>
    <w:rsid w:val="003A1D03"/>
    <w:rsid w:val="003A375F"/>
    <w:rsid w:val="003A3FF0"/>
    <w:rsid w:val="003A4ED3"/>
    <w:rsid w:val="003A5C6A"/>
    <w:rsid w:val="003B31C7"/>
    <w:rsid w:val="003B695D"/>
    <w:rsid w:val="003C1032"/>
    <w:rsid w:val="003C1A76"/>
    <w:rsid w:val="003C37D1"/>
    <w:rsid w:val="003C3CAD"/>
    <w:rsid w:val="003C4ABB"/>
    <w:rsid w:val="003C76AF"/>
    <w:rsid w:val="003C7C99"/>
    <w:rsid w:val="003D12E3"/>
    <w:rsid w:val="003D21A2"/>
    <w:rsid w:val="003D2EAC"/>
    <w:rsid w:val="003D6843"/>
    <w:rsid w:val="003D6C41"/>
    <w:rsid w:val="003E040F"/>
    <w:rsid w:val="003E0CBC"/>
    <w:rsid w:val="003E3AB9"/>
    <w:rsid w:val="003E3CFA"/>
    <w:rsid w:val="003E604C"/>
    <w:rsid w:val="003E65D9"/>
    <w:rsid w:val="003E727C"/>
    <w:rsid w:val="003F2E0D"/>
    <w:rsid w:val="003F6BD0"/>
    <w:rsid w:val="004018A4"/>
    <w:rsid w:val="00402772"/>
    <w:rsid w:val="0040298F"/>
    <w:rsid w:val="00402FFF"/>
    <w:rsid w:val="00403E20"/>
    <w:rsid w:val="004107AC"/>
    <w:rsid w:val="00410B01"/>
    <w:rsid w:val="0041104C"/>
    <w:rsid w:val="0041271E"/>
    <w:rsid w:val="00413551"/>
    <w:rsid w:val="00413780"/>
    <w:rsid w:val="00415B13"/>
    <w:rsid w:val="00416DE0"/>
    <w:rsid w:val="00417ED6"/>
    <w:rsid w:val="00421E9B"/>
    <w:rsid w:val="00423C8C"/>
    <w:rsid w:val="00425036"/>
    <w:rsid w:val="004258AD"/>
    <w:rsid w:val="004259F2"/>
    <w:rsid w:val="00426EF5"/>
    <w:rsid w:val="00427278"/>
    <w:rsid w:val="004303F2"/>
    <w:rsid w:val="00430B1C"/>
    <w:rsid w:val="0043159F"/>
    <w:rsid w:val="00432832"/>
    <w:rsid w:val="00434BDC"/>
    <w:rsid w:val="00434D7D"/>
    <w:rsid w:val="00435BA2"/>
    <w:rsid w:val="004366EC"/>
    <w:rsid w:val="00440813"/>
    <w:rsid w:val="00443701"/>
    <w:rsid w:val="00444572"/>
    <w:rsid w:val="004466E9"/>
    <w:rsid w:val="00446F3E"/>
    <w:rsid w:val="004471F8"/>
    <w:rsid w:val="00447534"/>
    <w:rsid w:val="00447F15"/>
    <w:rsid w:val="00450E23"/>
    <w:rsid w:val="004514E0"/>
    <w:rsid w:val="00451CD2"/>
    <w:rsid w:val="00451D96"/>
    <w:rsid w:val="00453F70"/>
    <w:rsid w:val="00455FD5"/>
    <w:rsid w:val="00456EB9"/>
    <w:rsid w:val="00457B13"/>
    <w:rsid w:val="00460CAD"/>
    <w:rsid w:val="00464066"/>
    <w:rsid w:val="00465340"/>
    <w:rsid w:val="004660BC"/>
    <w:rsid w:val="00471718"/>
    <w:rsid w:val="00471CEB"/>
    <w:rsid w:val="004723BF"/>
    <w:rsid w:val="004773D5"/>
    <w:rsid w:val="00477558"/>
    <w:rsid w:val="004775C4"/>
    <w:rsid w:val="00481380"/>
    <w:rsid w:val="00482919"/>
    <w:rsid w:val="0048308A"/>
    <w:rsid w:val="00483EF9"/>
    <w:rsid w:val="00485878"/>
    <w:rsid w:val="00485AE4"/>
    <w:rsid w:val="00485E2A"/>
    <w:rsid w:val="00492C2F"/>
    <w:rsid w:val="004950C2"/>
    <w:rsid w:val="00495BB8"/>
    <w:rsid w:val="00495E2C"/>
    <w:rsid w:val="00496CB5"/>
    <w:rsid w:val="004A0097"/>
    <w:rsid w:val="004A0EDA"/>
    <w:rsid w:val="004A23FF"/>
    <w:rsid w:val="004A2D8B"/>
    <w:rsid w:val="004A2F62"/>
    <w:rsid w:val="004A3478"/>
    <w:rsid w:val="004A3D3D"/>
    <w:rsid w:val="004A43CC"/>
    <w:rsid w:val="004A5433"/>
    <w:rsid w:val="004A5965"/>
    <w:rsid w:val="004A64AF"/>
    <w:rsid w:val="004A718A"/>
    <w:rsid w:val="004B030F"/>
    <w:rsid w:val="004B0D7E"/>
    <w:rsid w:val="004B22DE"/>
    <w:rsid w:val="004B295F"/>
    <w:rsid w:val="004B4F62"/>
    <w:rsid w:val="004B7523"/>
    <w:rsid w:val="004C0019"/>
    <w:rsid w:val="004C1DE4"/>
    <w:rsid w:val="004C2025"/>
    <w:rsid w:val="004C356D"/>
    <w:rsid w:val="004C35E2"/>
    <w:rsid w:val="004C414A"/>
    <w:rsid w:val="004C582E"/>
    <w:rsid w:val="004C7F4B"/>
    <w:rsid w:val="004D10D8"/>
    <w:rsid w:val="004D2B6D"/>
    <w:rsid w:val="004D2BC5"/>
    <w:rsid w:val="004D3D70"/>
    <w:rsid w:val="004D40B5"/>
    <w:rsid w:val="004D4D80"/>
    <w:rsid w:val="004D57BA"/>
    <w:rsid w:val="004E02E9"/>
    <w:rsid w:val="004E4AAE"/>
    <w:rsid w:val="004E6267"/>
    <w:rsid w:val="004E6EA5"/>
    <w:rsid w:val="004F202C"/>
    <w:rsid w:val="004F3383"/>
    <w:rsid w:val="004F47A1"/>
    <w:rsid w:val="004F5582"/>
    <w:rsid w:val="004F5EA4"/>
    <w:rsid w:val="004F67B9"/>
    <w:rsid w:val="004F71AA"/>
    <w:rsid w:val="00501D71"/>
    <w:rsid w:val="005031A3"/>
    <w:rsid w:val="005046B7"/>
    <w:rsid w:val="00504B18"/>
    <w:rsid w:val="00504C8D"/>
    <w:rsid w:val="00504CD6"/>
    <w:rsid w:val="005064AC"/>
    <w:rsid w:val="005102D0"/>
    <w:rsid w:val="005117EA"/>
    <w:rsid w:val="00511877"/>
    <w:rsid w:val="00514201"/>
    <w:rsid w:val="00522225"/>
    <w:rsid w:val="005231EC"/>
    <w:rsid w:val="00524C59"/>
    <w:rsid w:val="00525F86"/>
    <w:rsid w:val="005261EF"/>
    <w:rsid w:val="005277D3"/>
    <w:rsid w:val="00527D33"/>
    <w:rsid w:val="00533365"/>
    <w:rsid w:val="0053425C"/>
    <w:rsid w:val="005357AE"/>
    <w:rsid w:val="005357CD"/>
    <w:rsid w:val="005359BA"/>
    <w:rsid w:val="00536815"/>
    <w:rsid w:val="005379FD"/>
    <w:rsid w:val="00540DC8"/>
    <w:rsid w:val="005428ED"/>
    <w:rsid w:val="00542DAE"/>
    <w:rsid w:val="005443AA"/>
    <w:rsid w:val="00545F87"/>
    <w:rsid w:val="00550601"/>
    <w:rsid w:val="00551613"/>
    <w:rsid w:val="00551C92"/>
    <w:rsid w:val="0055228F"/>
    <w:rsid w:val="00554D73"/>
    <w:rsid w:val="00555D1C"/>
    <w:rsid w:val="0055660F"/>
    <w:rsid w:val="005579FF"/>
    <w:rsid w:val="00560A7D"/>
    <w:rsid w:val="00560E40"/>
    <w:rsid w:val="005610E3"/>
    <w:rsid w:val="00561E11"/>
    <w:rsid w:val="00564CE2"/>
    <w:rsid w:val="00566787"/>
    <w:rsid w:val="0057069D"/>
    <w:rsid w:val="00571F14"/>
    <w:rsid w:val="00571FEB"/>
    <w:rsid w:val="00573D74"/>
    <w:rsid w:val="00575696"/>
    <w:rsid w:val="00575B7F"/>
    <w:rsid w:val="00575D04"/>
    <w:rsid w:val="00575DDE"/>
    <w:rsid w:val="00580748"/>
    <w:rsid w:val="00580814"/>
    <w:rsid w:val="005814E3"/>
    <w:rsid w:val="00581667"/>
    <w:rsid w:val="00581FBE"/>
    <w:rsid w:val="00583B55"/>
    <w:rsid w:val="00583E3A"/>
    <w:rsid w:val="00584524"/>
    <w:rsid w:val="005851EF"/>
    <w:rsid w:val="00586E29"/>
    <w:rsid w:val="00591480"/>
    <w:rsid w:val="00591D82"/>
    <w:rsid w:val="005945AD"/>
    <w:rsid w:val="00594BEC"/>
    <w:rsid w:val="005953CC"/>
    <w:rsid w:val="005955CF"/>
    <w:rsid w:val="00597332"/>
    <w:rsid w:val="00597E67"/>
    <w:rsid w:val="005A03AE"/>
    <w:rsid w:val="005A3680"/>
    <w:rsid w:val="005A3AE0"/>
    <w:rsid w:val="005A4A79"/>
    <w:rsid w:val="005A7D65"/>
    <w:rsid w:val="005A7D8B"/>
    <w:rsid w:val="005B18A3"/>
    <w:rsid w:val="005B2116"/>
    <w:rsid w:val="005B4290"/>
    <w:rsid w:val="005B5933"/>
    <w:rsid w:val="005B5E0B"/>
    <w:rsid w:val="005B650F"/>
    <w:rsid w:val="005B6952"/>
    <w:rsid w:val="005B70C8"/>
    <w:rsid w:val="005C2325"/>
    <w:rsid w:val="005C3216"/>
    <w:rsid w:val="005C329C"/>
    <w:rsid w:val="005C3D00"/>
    <w:rsid w:val="005C3D34"/>
    <w:rsid w:val="005C444C"/>
    <w:rsid w:val="005C6341"/>
    <w:rsid w:val="005C7D67"/>
    <w:rsid w:val="005D12B2"/>
    <w:rsid w:val="005D1F10"/>
    <w:rsid w:val="005D28D8"/>
    <w:rsid w:val="005D3B58"/>
    <w:rsid w:val="005D48FC"/>
    <w:rsid w:val="005D495B"/>
    <w:rsid w:val="005E1CEF"/>
    <w:rsid w:val="005E4182"/>
    <w:rsid w:val="005E4343"/>
    <w:rsid w:val="005E6506"/>
    <w:rsid w:val="005E786C"/>
    <w:rsid w:val="005F239D"/>
    <w:rsid w:val="005F5334"/>
    <w:rsid w:val="005F6468"/>
    <w:rsid w:val="005F6C33"/>
    <w:rsid w:val="006016B9"/>
    <w:rsid w:val="00603E8E"/>
    <w:rsid w:val="00604752"/>
    <w:rsid w:val="006073E9"/>
    <w:rsid w:val="00607B99"/>
    <w:rsid w:val="006116A2"/>
    <w:rsid w:val="00613F31"/>
    <w:rsid w:val="0061439A"/>
    <w:rsid w:val="00614446"/>
    <w:rsid w:val="006167CB"/>
    <w:rsid w:val="00616BA8"/>
    <w:rsid w:val="00616D07"/>
    <w:rsid w:val="006170B7"/>
    <w:rsid w:val="00620928"/>
    <w:rsid w:val="00620938"/>
    <w:rsid w:val="0062129B"/>
    <w:rsid w:val="00621531"/>
    <w:rsid w:val="00621850"/>
    <w:rsid w:val="00623F3E"/>
    <w:rsid w:val="006253CF"/>
    <w:rsid w:val="00625D3A"/>
    <w:rsid w:val="00625ECE"/>
    <w:rsid w:val="00630DBB"/>
    <w:rsid w:val="00633E37"/>
    <w:rsid w:val="00636AD5"/>
    <w:rsid w:val="0063728C"/>
    <w:rsid w:val="006408AE"/>
    <w:rsid w:val="00641215"/>
    <w:rsid w:val="00641CD0"/>
    <w:rsid w:val="0064220F"/>
    <w:rsid w:val="00642378"/>
    <w:rsid w:val="00642D22"/>
    <w:rsid w:val="00642DF7"/>
    <w:rsid w:val="00643516"/>
    <w:rsid w:val="006445C9"/>
    <w:rsid w:val="00645246"/>
    <w:rsid w:val="00652091"/>
    <w:rsid w:val="00653CF6"/>
    <w:rsid w:val="00655705"/>
    <w:rsid w:val="006572DD"/>
    <w:rsid w:val="0066005E"/>
    <w:rsid w:val="00661409"/>
    <w:rsid w:val="00662EB6"/>
    <w:rsid w:val="00666DF0"/>
    <w:rsid w:val="006701F2"/>
    <w:rsid w:val="00670A60"/>
    <w:rsid w:val="006724FF"/>
    <w:rsid w:val="00674274"/>
    <w:rsid w:val="0067528E"/>
    <w:rsid w:val="0068214B"/>
    <w:rsid w:val="00682168"/>
    <w:rsid w:val="0068271F"/>
    <w:rsid w:val="00685823"/>
    <w:rsid w:val="00687A9E"/>
    <w:rsid w:val="0069002D"/>
    <w:rsid w:val="006908BC"/>
    <w:rsid w:val="00694F98"/>
    <w:rsid w:val="00695463"/>
    <w:rsid w:val="00696743"/>
    <w:rsid w:val="006A001E"/>
    <w:rsid w:val="006A05A5"/>
    <w:rsid w:val="006A4F0F"/>
    <w:rsid w:val="006A5209"/>
    <w:rsid w:val="006A54B9"/>
    <w:rsid w:val="006A75F6"/>
    <w:rsid w:val="006B091C"/>
    <w:rsid w:val="006B2272"/>
    <w:rsid w:val="006B2626"/>
    <w:rsid w:val="006B2C6C"/>
    <w:rsid w:val="006B6EE7"/>
    <w:rsid w:val="006B7160"/>
    <w:rsid w:val="006B7E96"/>
    <w:rsid w:val="006C0743"/>
    <w:rsid w:val="006C0978"/>
    <w:rsid w:val="006C308F"/>
    <w:rsid w:val="006C6115"/>
    <w:rsid w:val="006C63F7"/>
    <w:rsid w:val="006C66B7"/>
    <w:rsid w:val="006D026D"/>
    <w:rsid w:val="006D1164"/>
    <w:rsid w:val="006D29F5"/>
    <w:rsid w:val="006D5469"/>
    <w:rsid w:val="006D5592"/>
    <w:rsid w:val="006D6581"/>
    <w:rsid w:val="006D6C0C"/>
    <w:rsid w:val="006D70AE"/>
    <w:rsid w:val="006D78D5"/>
    <w:rsid w:val="006E5EE1"/>
    <w:rsid w:val="006E71B3"/>
    <w:rsid w:val="006F0975"/>
    <w:rsid w:val="006F3B8D"/>
    <w:rsid w:val="006F3FD9"/>
    <w:rsid w:val="006F4908"/>
    <w:rsid w:val="006F6144"/>
    <w:rsid w:val="00700A6E"/>
    <w:rsid w:val="00701933"/>
    <w:rsid w:val="00705168"/>
    <w:rsid w:val="00707CBD"/>
    <w:rsid w:val="00707CDB"/>
    <w:rsid w:val="00710538"/>
    <w:rsid w:val="00711DCC"/>
    <w:rsid w:val="00712201"/>
    <w:rsid w:val="0071478E"/>
    <w:rsid w:val="0071481E"/>
    <w:rsid w:val="00714C95"/>
    <w:rsid w:val="00714DB4"/>
    <w:rsid w:val="007150B1"/>
    <w:rsid w:val="0071655A"/>
    <w:rsid w:val="00720051"/>
    <w:rsid w:val="0072112F"/>
    <w:rsid w:val="007212E3"/>
    <w:rsid w:val="0072624D"/>
    <w:rsid w:val="0073025A"/>
    <w:rsid w:val="00730B7F"/>
    <w:rsid w:val="00731A17"/>
    <w:rsid w:val="00732F50"/>
    <w:rsid w:val="00734A25"/>
    <w:rsid w:val="00735F12"/>
    <w:rsid w:val="00736BE9"/>
    <w:rsid w:val="0073787E"/>
    <w:rsid w:val="00742B73"/>
    <w:rsid w:val="00742C49"/>
    <w:rsid w:val="007457DC"/>
    <w:rsid w:val="00745FB0"/>
    <w:rsid w:val="00747EB3"/>
    <w:rsid w:val="00750212"/>
    <w:rsid w:val="00750B8A"/>
    <w:rsid w:val="0075198C"/>
    <w:rsid w:val="00752DFF"/>
    <w:rsid w:val="007543BC"/>
    <w:rsid w:val="00754B12"/>
    <w:rsid w:val="0076004E"/>
    <w:rsid w:val="0076119B"/>
    <w:rsid w:val="0076338B"/>
    <w:rsid w:val="00765C49"/>
    <w:rsid w:val="00772F1B"/>
    <w:rsid w:val="007746D0"/>
    <w:rsid w:val="00775088"/>
    <w:rsid w:val="00775EA3"/>
    <w:rsid w:val="00776924"/>
    <w:rsid w:val="00777359"/>
    <w:rsid w:val="00780194"/>
    <w:rsid w:val="00781B05"/>
    <w:rsid w:val="00783959"/>
    <w:rsid w:val="007840CE"/>
    <w:rsid w:val="007846EF"/>
    <w:rsid w:val="00785B67"/>
    <w:rsid w:val="007866EA"/>
    <w:rsid w:val="00787341"/>
    <w:rsid w:val="00787B79"/>
    <w:rsid w:val="007917DD"/>
    <w:rsid w:val="00793DA7"/>
    <w:rsid w:val="007960F5"/>
    <w:rsid w:val="00797EFA"/>
    <w:rsid w:val="007A14F2"/>
    <w:rsid w:val="007B2C4C"/>
    <w:rsid w:val="007B432D"/>
    <w:rsid w:val="007B5995"/>
    <w:rsid w:val="007B68FD"/>
    <w:rsid w:val="007B784C"/>
    <w:rsid w:val="007C0630"/>
    <w:rsid w:val="007C0ED9"/>
    <w:rsid w:val="007C1A55"/>
    <w:rsid w:val="007C385A"/>
    <w:rsid w:val="007C4592"/>
    <w:rsid w:val="007C4EBB"/>
    <w:rsid w:val="007C7071"/>
    <w:rsid w:val="007C7931"/>
    <w:rsid w:val="007D03EB"/>
    <w:rsid w:val="007D0F26"/>
    <w:rsid w:val="007D33DA"/>
    <w:rsid w:val="007D3C08"/>
    <w:rsid w:val="007D5323"/>
    <w:rsid w:val="007D5781"/>
    <w:rsid w:val="007D64EC"/>
    <w:rsid w:val="007D64ED"/>
    <w:rsid w:val="007D6F6C"/>
    <w:rsid w:val="007E112A"/>
    <w:rsid w:val="007E2295"/>
    <w:rsid w:val="007E3BD0"/>
    <w:rsid w:val="007E3D64"/>
    <w:rsid w:val="007E3E64"/>
    <w:rsid w:val="007E60F1"/>
    <w:rsid w:val="007F03CD"/>
    <w:rsid w:val="007F170E"/>
    <w:rsid w:val="007F54D9"/>
    <w:rsid w:val="007F5AFB"/>
    <w:rsid w:val="007F61FF"/>
    <w:rsid w:val="00800322"/>
    <w:rsid w:val="00800582"/>
    <w:rsid w:val="00800787"/>
    <w:rsid w:val="0080079E"/>
    <w:rsid w:val="00801C91"/>
    <w:rsid w:val="0080421E"/>
    <w:rsid w:val="00804B71"/>
    <w:rsid w:val="00805997"/>
    <w:rsid w:val="008067B1"/>
    <w:rsid w:val="00806EAC"/>
    <w:rsid w:val="008072E7"/>
    <w:rsid w:val="00807E34"/>
    <w:rsid w:val="0081484A"/>
    <w:rsid w:val="00817A5C"/>
    <w:rsid w:val="0082091F"/>
    <w:rsid w:val="00820DC4"/>
    <w:rsid w:val="0082290F"/>
    <w:rsid w:val="00826681"/>
    <w:rsid w:val="00830200"/>
    <w:rsid w:val="0083186B"/>
    <w:rsid w:val="00831F26"/>
    <w:rsid w:val="00832B4F"/>
    <w:rsid w:val="00834D2F"/>
    <w:rsid w:val="00835131"/>
    <w:rsid w:val="0083641E"/>
    <w:rsid w:val="0084276E"/>
    <w:rsid w:val="00843742"/>
    <w:rsid w:val="008450FE"/>
    <w:rsid w:val="008508B4"/>
    <w:rsid w:val="00855326"/>
    <w:rsid w:val="00856627"/>
    <w:rsid w:val="00856D6D"/>
    <w:rsid w:val="008604F9"/>
    <w:rsid w:val="00860A7F"/>
    <w:rsid w:val="008615AC"/>
    <w:rsid w:val="00861F73"/>
    <w:rsid w:val="00864317"/>
    <w:rsid w:val="00872189"/>
    <w:rsid w:val="00875B7C"/>
    <w:rsid w:val="00877292"/>
    <w:rsid w:val="0088558F"/>
    <w:rsid w:val="00885E7B"/>
    <w:rsid w:val="00891558"/>
    <w:rsid w:val="00892D87"/>
    <w:rsid w:val="00893348"/>
    <w:rsid w:val="00894885"/>
    <w:rsid w:val="00895758"/>
    <w:rsid w:val="008A2064"/>
    <w:rsid w:val="008A2FD4"/>
    <w:rsid w:val="008A3073"/>
    <w:rsid w:val="008A3A19"/>
    <w:rsid w:val="008A4435"/>
    <w:rsid w:val="008A6975"/>
    <w:rsid w:val="008A7320"/>
    <w:rsid w:val="008B0405"/>
    <w:rsid w:val="008B0DBF"/>
    <w:rsid w:val="008B1503"/>
    <w:rsid w:val="008B2723"/>
    <w:rsid w:val="008B27E2"/>
    <w:rsid w:val="008B4D57"/>
    <w:rsid w:val="008B505B"/>
    <w:rsid w:val="008B54EA"/>
    <w:rsid w:val="008B7C4F"/>
    <w:rsid w:val="008C0D59"/>
    <w:rsid w:val="008C0EF0"/>
    <w:rsid w:val="008C1725"/>
    <w:rsid w:val="008C1AC1"/>
    <w:rsid w:val="008C25FD"/>
    <w:rsid w:val="008C625B"/>
    <w:rsid w:val="008C6332"/>
    <w:rsid w:val="008C6A3C"/>
    <w:rsid w:val="008C764E"/>
    <w:rsid w:val="008D013A"/>
    <w:rsid w:val="008D1A6D"/>
    <w:rsid w:val="008D2ED8"/>
    <w:rsid w:val="008D4B0C"/>
    <w:rsid w:val="008D693D"/>
    <w:rsid w:val="008D71C0"/>
    <w:rsid w:val="008D748B"/>
    <w:rsid w:val="008D7502"/>
    <w:rsid w:val="008E0C57"/>
    <w:rsid w:val="008E2D64"/>
    <w:rsid w:val="008E453F"/>
    <w:rsid w:val="008E45D0"/>
    <w:rsid w:val="008E4ADE"/>
    <w:rsid w:val="008E6954"/>
    <w:rsid w:val="008E7EB0"/>
    <w:rsid w:val="008F0098"/>
    <w:rsid w:val="008F0BE4"/>
    <w:rsid w:val="008F29AE"/>
    <w:rsid w:val="008F2E3D"/>
    <w:rsid w:val="008F4073"/>
    <w:rsid w:val="008F4C5F"/>
    <w:rsid w:val="008F5029"/>
    <w:rsid w:val="008F531B"/>
    <w:rsid w:val="0090021F"/>
    <w:rsid w:val="00900713"/>
    <w:rsid w:val="00903B51"/>
    <w:rsid w:val="00904421"/>
    <w:rsid w:val="00910927"/>
    <w:rsid w:val="00910E7B"/>
    <w:rsid w:val="0091257C"/>
    <w:rsid w:val="00914A28"/>
    <w:rsid w:val="00920C87"/>
    <w:rsid w:val="009210BB"/>
    <w:rsid w:val="0092257E"/>
    <w:rsid w:val="0092479D"/>
    <w:rsid w:val="00925DEF"/>
    <w:rsid w:val="0093055C"/>
    <w:rsid w:val="00931BBE"/>
    <w:rsid w:val="00932ACC"/>
    <w:rsid w:val="00933A70"/>
    <w:rsid w:val="0093419B"/>
    <w:rsid w:val="00934E50"/>
    <w:rsid w:val="00935A88"/>
    <w:rsid w:val="009375E8"/>
    <w:rsid w:val="00942F68"/>
    <w:rsid w:val="009441FE"/>
    <w:rsid w:val="00944977"/>
    <w:rsid w:val="00945BBA"/>
    <w:rsid w:val="00945DEA"/>
    <w:rsid w:val="0094787F"/>
    <w:rsid w:val="00947D05"/>
    <w:rsid w:val="009518EB"/>
    <w:rsid w:val="00953FA6"/>
    <w:rsid w:val="009544F4"/>
    <w:rsid w:val="00954F8F"/>
    <w:rsid w:val="00956054"/>
    <w:rsid w:val="00960A43"/>
    <w:rsid w:val="00963E41"/>
    <w:rsid w:val="00964471"/>
    <w:rsid w:val="00964CA6"/>
    <w:rsid w:val="00964CD0"/>
    <w:rsid w:val="009656DC"/>
    <w:rsid w:val="0096662B"/>
    <w:rsid w:val="00966F53"/>
    <w:rsid w:val="009677AF"/>
    <w:rsid w:val="00970BEB"/>
    <w:rsid w:val="00970FD4"/>
    <w:rsid w:val="00971CAE"/>
    <w:rsid w:val="00975BD3"/>
    <w:rsid w:val="00975C4C"/>
    <w:rsid w:val="009814FC"/>
    <w:rsid w:val="00982481"/>
    <w:rsid w:val="00986E8B"/>
    <w:rsid w:val="009930D8"/>
    <w:rsid w:val="009A190A"/>
    <w:rsid w:val="009A26A3"/>
    <w:rsid w:val="009A2945"/>
    <w:rsid w:val="009A3A46"/>
    <w:rsid w:val="009A4EB1"/>
    <w:rsid w:val="009A5429"/>
    <w:rsid w:val="009A6E26"/>
    <w:rsid w:val="009A7918"/>
    <w:rsid w:val="009B183A"/>
    <w:rsid w:val="009B34F0"/>
    <w:rsid w:val="009B3EC4"/>
    <w:rsid w:val="009B4A88"/>
    <w:rsid w:val="009B575C"/>
    <w:rsid w:val="009B70EA"/>
    <w:rsid w:val="009B727A"/>
    <w:rsid w:val="009C0C09"/>
    <w:rsid w:val="009C3AB3"/>
    <w:rsid w:val="009C68FE"/>
    <w:rsid w:val="009D21F4"/>
    <w:rsid w:val="009D3083"/>
    <w:rsid w:val="009D3AE7"/>
    <w:rsid w:val="009E05DA"/>
    <w:rsid w:val="009E20E8"/>
    <w:rsid w:val="009E3666"/>
    <w:rsid w:val="009E5B18"/>
    <w:rsid w:val="009E6F49"/>
    <w:rsid w:val="009F2F77"/>
    <w:rsid w:val="009F3E45"/>
    <w:rsid w:val="00A00256"/>
    <w:rsid w:val="00A02773"/>
    <w:rsid w:val="00A02B13"/>
    <w:rsid w:val="00A04B22"/>
    <w:rsid w:val="00A061F4"/>
    <w:rsid w:val="00A0793F"/>
    <w:rsid w:val="00A11795"/>
    <w:rsid w:val="00A118E3"/>
    <w:rsid w:val="00A11FD1"/>
    <w:rsid w:val="00A127E8"/>
    <w:rsid w:val="00A12CD4"/>
    <w:rsid w:val="00A14FB8"/>
    <w:rsid w:val="00A1542A"/>
    <w:rsid w:val="00A155F9"/>
    <w:rsid w:val="00A15FC0"/>
    <w:rsid w:val="00A17D80"/>
    <w:rsid w:val="00A2171C"/>
    <w:rsid w:val="00A22153"/>
    <w:rsid w:val="00A25FB6"/>
    <w:rsid w:val="00A270B0"/>
    <w:rsid w:val="00A30C0B"/>
    <w:rsid w:val="00A368C9"/>
    <w:rsid w:val="00A40006"/>
    <w:rsid w:val="00A4179A"/>
    <w:rsid w:val="00A422B8"/>
    <w:rsid w:val="00A42C57"/>
    <w:rsid w:val="00A43413"/>
    <w:rsid w:val="00A44688"/>
    <w:rsid w:val="00A45C61"/>
    <w:rsid w:val="00A51CC9"/>
    <w:rsid w:val="00A52C9E"/>
    <w:rsid w:val="00A537F1"/>
    <w:rsid w:val="00A54A5A"/>
    <w:rsid w:val="00A56DBD"/>
    <w:rsid w:val="00A572BB"/>
    <w:rsid w:val="00A57D9E"/>
    <w:rsid w:val="00A604CE"/>
    <w:rsid w:val="00A62AED"/>
    <w:rsid w:val="00A637D0"/>
    <w:rsid w:val="00A644DE"/>
    <w:rsid w:val="00A646F1"/>
    <w:rsid w:val="00A66CB3"/>
    <w:rsid w:val="00A71D30"/>
    <w:rsid w:val="00A730CB"/>
    <w:rsid w:val="00A742DE"/>
    <w:rsid w:val="00A74764"/>
    <w:rsid w:val="00A74BD5"/>
    <w:rsid w:val="00A75BA6"/>
    <w:rsid w:val="00A764A1"/>
    <w:rsid w:val="00A76F90"/>
    <w:rsid w:val="00A771C2"/>
    <w:rsid w:val="00A775C0"/>
    <w:rsid w:val="00A77769"/>
    <w:rsid w:val="00A8083D"/>
    <w:rsid w:val="00A828ED"/>
    <w:rsid w:val="00A82E30"/>
    <w:rsid w:val="00A834E0"/>
    <w:rsid w:val="00A83F20"/>
    <w:rsid w:val="00A853A8"/>
    <w:rsid w:val="00A86463"/>
    <w:rsid w:val="00A86917"/>
    <w:rsid w:val="00A87F32"/>
    <w:rsid w:val="00A9124C"/>
    <w:rsid w:val="00A92864"/>
    <w:rsid w:val="00A92EC1"/>
    <w:rsid w:val="00A937C4"/>
    <w:rsid w:val="00A94B98"/>
    <w:rsid w:val="00A9514B"/>
    <w:rsid w:val="00A95C95"/>
    <w:rsid w:val="00AA2A59"/>
    <w:rsid w:val="00AA2CA4"/>
    <w:rsid w:val="00AA4760"/>
    <w:rsid w:val="00AA5876"/>
    <w:rsid w:val="00AA5CAE"/>
    <w:rsid w:val="00AA5F3A"/>
    <w:rsid w:val="00AA61C0"/>
    <w:rsid w:val="00AA68B4"/>
    <w:rsid w:val="00AB0327"/>
    <w:rsid w:val="00AB34AE"/>
    <w:rsid w:val="00AB4171"/>
    <w:rsid w:val="00AC1EB0"/>
    <w:rsid w:val="00AC3190"/>
    <w:rsid w:val="00AC33D7"/>
    <w:rsid w:val="00AC3C34"/>
    <w:rsid w:val="00AC3E64"/>
    <w:rsid w:val="00AC5A1B"/>
    <w:rsid w:val="00AC6385"/>
    <w:rsid w:val="00AC6BE0"/>
    <w:rsid w:val="00AC7A12"/>
    <w:rsid w:val="00AD0102"/>
    <w:rsid w:val="00AD24F9"/>
    <w:rsid w:val="00AD2DBD"/>
    <w:rsid w:val="00AD32B1"/>
    <w:rsid w:val="00AD4F5A"/>
    <w:rsid w:val="00AE1A6F"/>
    <w:rsid w:val="00AE24F4"/>
    <w:rsid w:val="00AE35B4"/>
    <w:rsid w:val="00AE51B3"/>
    <w:rsid w:val="00AE6A02"/>
    <w:rsid w:val="00AF3231"/>
    <w:rsid w:val="00AF418B"/>
    <w:rsid w:val="00AF4A41"/>
    <w:rsid w:val="00AF4B3A"/>
    <w:rsid w:val="00AF5241"/>
    <w:rsid w:val="00AF69FC"/>
    <w:rsid w:val="00B025B6"/>
    <w:rsid w:val="00B02718"/>
    <w:rsid w:val="00B027D1"/>
    <w:rsid w:val="00B058FC"/>
    <w:rsid w:val="00B10C7A"/>
    <w:rsid w:val="00B10D08"/>
    <w:rsid w:val="00B114EE"/>
    <w:rsid w:val="00B12B90"/>
    <w:rsid w:val="00B1512A"/>
    <w:rsid w:val="00B15B86"/>
    <w:rsid w:val="00B17526"/>
    <w:rsid w:val="00B200AD"/>
    <w:rsid w:val="00B20292"/>
    <w:rsid w:val="00B20491"/>
    <w:rsid w:val="00B23207"/>
    <w:rsid w:val="00B24018"/>
    <w:rsid w:val="00B24F16"/>
    <w:rsid w:val="00B26E5F"/>
    <w:rsid w:val="00B321FA"/>
    <w:rsid w:val="00B32722"/>
    <w:rsid w:val="00B3309D"/>
    <w:rsid w:val="00B36BAC"/>
    <w:rsid w:val="00B37957"/>
    <w:rsid w:val="00B40B5C"/>
    <w:rsid w:val="00B416AA"/>
    <w:rsid w:val="00B41B7D"/>
    <w:rsid w:val="00B41EDC"/>
    <w:rsid w:val="00B43ACA"/>
    <w:rsid w:val="00B443A5"/>
    <w:rsid w:val="00B44B6A"/>
    <w:rsid w:val="00B47B29"/>
    <w:rsid w:val="00B47B63"/>
    <w:rsid w:val="00B51159"/>
    <w:rsid w:val="00B54D39"/>
    <w:rsid w:val="00B5518F"/>
    <w:rsid w:val="00B557AA"/>
    <w:rsid w:val="00B55A5E"/>
    <w:rsid w:val="00B605A5"/>
    <w:rsid w:val="00B607C2"/>
    <w:rsid w:val="00B6175C"/>
    <w:rsid w:val="00B626A8"/>
    <w:rsid w:val="00B66F8B"/>
    <w:rsid w:val="00B671AD"/>
    <w:rsid w:val="00B6737F"/>
    <w:rsid w:val="00B679E6"/>
    <w:rsid w:val="00B709D4"/>
    <w:rsid w:val="00B711AC"/>
    <w:rsid w:val="00B71AE2"/>
    <w:rsid w:val="00B7211E"/>
    <w:rsid w:val="00B741EF"/>
    <w:rsid w:val="00B7672E"/>
    <w:rsid w:val="00B8023E"/>
    <w:rsid w:val="00B82C06"/>
    <w:rsid w:val="00B84660"/>
    <w:rsid w:val="00B8697C"/>
    <w:rsid w:val="00B87248"/>
    <w:rsid w:val="00B90587"/>
    <w:rsid w:val="00B90821"/>
    <w:rsid w:val="00B920A1"/>
    <w:rsid w:val="00B95C51"/>
    <w:rsid w:val="00B96063"/>
    <w:rsid w:val="00B96496"/>
    <w:rsid w:val="00B97E92"/>
    <w:rsid w:val="00BA097E"/>
    <w:rsid w:val="00BA126C"/>
    <w:rsid w:val="00BA244C"/>
    <w:rsid w:val="00BA3772"/>
    <w:rsid w:val="00BA466B"/>
    <w:rsid w:val="00BA64C1"/>
    <w:rsid w:val="00BA6B2D"/>
    <w:rsid w:val="00BA763A"/>
    <w:rsid w:val="00BB08C2"/>
    <w:rsid w:val="00BB3CC3"/>
    <w:rsid w:val="00BB485D"/>
    <w:rsid w:val="00BB51E1"/>
    <w:rsid w:val="00BB5C53"/>
    <w:rsid w:val="00BB5FCE"/>
    <w:rsid w:val="00BC29FD"/>
    <w:rsid w:val="00BD0277"/>
    <w:rsid w:val="00BD4FC7"/>
    <w:rsid w:val="00BD5D6A"/>
    <w:rsid w:val="00BD5F16"/>
    <w:rsid w:val="00BD70D1"/>
    <w:rsid w:val="00BD71E4"/>
    <w:rsid w:val="00BD7643"/>
    <w:rsid w:val="00BE0041"/>
    <w:rsid w:val="00BE07AF"/>
    <w:rsid w:val="00BE5002"/>
    <w:rsid w:val="00BE57ED"/>
    <w:rsid w:val="00BE5B63"/>
    <w:rsid w:val="00BE617D"/>
    <w:rsid w:val="00BE7D09"/>
    <w:rsid w:val="00BF034F"/>
    <w:rsid w:val="00BF14A4"/>
    <w:rsid w:val="00BF1CFC"/>
    <w:rsid w:val="00BF1D3E"/>
    <w:rsid w:val="00BF2DEB"/>
    <w:rsid w:val="00BF56B1"/>
    <w:rsid w:val="00BF686B"/>
    <w:rsid w:val="00C033AE"/>
    <w:rsid w:val="00C03766"/>
    <w:rsid w:val="00C047E1"/>
    <w:rsid w:val="00C05D22"/>
    <w:rsid w:val="00C061E4"/>
    <w:rsid w:val="00C075FF"/>
    <w:rsid w:val="00C07985"/>
    <w:rsid w:val="00C07DAF"/>
    <w:rsid w:val="00C07F53"/>
    <w:rsid w:val="00C10B93"/>
    <w:rsid w:val="00C13BE9"/>
    <w:rsid w:val="00C15517"/>
    <w:rsid w:val="00C21B1E"/>
    <w:rsid w:val="00C2235D"/>
    <w:rsid w:val="00C22A6D"/>
    <w:rsid w:val="00C22BD2"/>
    <w:rsid w:val="00C244C3"/>
    <w:rsid w:val="00C25713"/>
    <w:rsid w:val="00C2583B"/>
    <w:rsid w:val="00C26A2D"/>
    <w:rsid w:val="00C2730B"/>
    <w:rsid w:val="00C3147A"/>
    <w:rsid w:val="00C33E0E"/>
    <w:rsid w:val="00C3470B"/>
    <w:rsid w:val="00C35AD9"/>
    <w:rsid w:val="00C3660B"/>
    <w:rsid w:val="00C36E94"/>
    <w:rsid w:val="00C372A6"/>
    <w:rsid w:val="00C372AB"/>
    <w:rsid w:val="00C40A6E"/>
    <w:rsid w:val="00C40F67"/>
    <w:rsid w:val="00C44636"/>
    <w:rsid w:val="00C45011"/>
    <w:rsid w:val="00C51CBE"/>
    <w:rsid w:val="00C53AEE"/>
    <w:rsid w:val="00C562F5"/>
    <w:rsid w:val="00C572E0"/>
    <w:rsid w:val="00C57303"/>
    <w:rsid w:val="00C57648"/>
    <w:rsid w:val="00C61D30"/>
    <w:rsid w:val="00C62385"/>
    <w:rsid w:val="00C63285"/>
    <w:rsid w:val="00C6331F"/>
    <w:rsid w:val="00C64702"/>
    <w:rsid w:val="00C64CF2"/>
    <w:rsid w:val="00C656B1"/>
    <w:rsid w:val="00C659D1"/>
    <w:rsid w:val="00C65EF6"/>
    <w:rsid w:val="00C712D9"/>
    <w:rsid w:val="00C72E38"/>
    <w:rsid w:val="00C7360C"/>
    <w:rsid w:val="00C74048"/>
    <w:rsid w:val="00C760CB"/>
    <w:rsid w:val="00C77ABB"/>
    <w:rsid w:val="00C86257"/>
    <w:rsid w:val="00C87952"/>
    <w:rsid w:val="00C879BE"/>
    <w:rsid w:val="00C908F5"/>
    <w:rsid w:val="00C934CE"/>
    <w:rsid w:val="00C93707"/>
    <w:rsid w:val="00C945E6"/>
    <w:rsid w:val="00C9497C"/>
    <w:rsid w:val="00C94C7B"/>
    <w:rsid w:val="00C9565B"/>
    <w:rsid w:val="00C9589B"/>
    <w:rsid w:val="00C96EE7"/>
    <w:rsid w:val="00CA0FC8"/>
    <w:rsid w:val="00CA18A3"/>
    <w:rsid w:val="00CA236E"/>
    <w:rsid w:val="00CA4A02"/>
    <w:rsid w:val="00CA4AFA"/>
    <w:rsid w:val="00CB2342"/>
    <w:rsid w:val="00CB43BB"/>
    <w:rsid w:val="00CB512D"/>
    <w:rsid w:val="00CB5F39"/>
    <w:rsid w:val="00CB5F66"/>
    <w:rsid w:val="00CC01DB"/>
    <w:rsid w:val="00CC10B7"/>
    <w:rsid w:val="00CC2844"/>
    <w:rsid w:val="00CC2AB5"/>
    <w:rsid w:val="00CC360A"/>
    <w:rsid w:val="00CC3A04"/>
    <w:rsid w:val="00CD00DE"/>
    <w:rsid w:val="00CD5BC4"/>
    <w:rsid w:val="00CD643E"/>
    <w:rsid w:val="00CD6AA0"/>
    <w:rsid w:val="00CE05B3"/>
    <w:rsid w:val="00CE07AE"/>
    <w:rsid w:val="00CE19F5"/>
    <w:rsid w:val="00CE259C"/>
    <w:rsid w:val="00CE2657"/>
    <w:rsid w:val="00CE43E4"/>
    <w:rsid w:val="00CE61E2"/>
    <w:rsid w:val="00CE704D"/>
    <w:rsid w:val="00CE7AA9"/>
    <w:rsid w:val="00CF102A"/>
    <w:rsid w:val="00CF31A1"/>
    <w:rsid w:val="00CF466A"/>
    <w:rsid w:val="00D00133"/>
    <w:rsid w:val="00D00506"/>
    <w:rsid w:val="00D03C91"/>
    <w:rsid w:val="00D05C45"/>
    <w:rsid w:val="00D06B45"/>
    <w:rsid w:val="00D07184"/>
    <w:rsid w:val="00D07EB1"/>
    <w:rsid w:val="00D11693"/>
    <w:rsid w:val="00D11AE8"/>
    <w:rsid w:val="00D1302F"/>
    <w:rsid w:val="00D147AE"/>
    <w:rsid w:val="00D20C3A"/>
    <w:rsid w:val="00D21828"/>
    <w:rsid w:val="00D2219D"/>
    <w:rsid w:val="00D2224B"/>
    <w:rsid w:val="00D27299"/>
    <w:rsid w:val="00D27B06"/>
    <w:rsid w:val="00D3372B"/>
    <w:rsid w:val="00D34C2C"/>
    <w:rsid w:val="00D352E5"/>
    <w:rsid w:val="00D35E22"/>
    <w:rsid w:val="00D361A0"/>
    <w:rsid w:val="00D3679B"/>
    <w:rsid w:val="00D36828"/>
    <w:rsid w:val="00D40CCA"/>
    <w:rsid w:val="00D419D5"/>
    <w:rsid w:val="00D41CD7"/>
    <w:rsid w:val="00D435A6"/>
    <w:rsid w:val="00D435FD"/>
    <w:rsid w:val="00D4373E"/>
    <w:rsid w:val="00D4585C"/>
    <w:rsid w:val="00D45AE2"/>
    <w:rsid w:val="00D46647"/>
    <w:rsid w:val="00D46C7D"/>
    <w:rsid w:val="00D51838"/>
    <w:rsid w:val="00D52F55"/>
    <w:rsid w:val="00D5568A"/>
    <w:rsid w:val="00D568A9"/>
    <w:rsid w:val="00D604D6"/>
    <w:rsid w:val="00D61BE9"/>
    <w:rsid w:val="00D61CFF"/>
    <w:rsid w:val="00D63CB2"/>
    <w:rsid w:val="00D64F6A"/>
    <w:rsid w:val="00D650CD"/>
    <w:rsid w:val="00D66F1A"/>
    <w:rsid w:val="00D70BA7"/>
    <w:rsid w:val="00D72301"/>
    <w:rsid w:val="00D7332F"/>
    <w:rsid w:val="00D73586"/>
    <w:rsid w:val="00D75218"/>
    <w:rsid w:val="00D7533E"/>
    <w:rsid w:val="00D75A2B"/>
    <w:rsid w:val="00D75BF4"/>
    <w:rsid w:val="00D75C8E"/>
    <w:rsid w:val="00D80AB3"/>
    <w:rsid w:val="00D81DB4"/>
    <w:rsid w:val="00D829B2"/>
    <w:rsid w:val="00D83D36"/>
    <w:rsid w:val="00D84364"/>
    <w:rsid w:val="00D87004"/>
    <w:rsid w:val="00D870CD"/>
    <w:rsid w:val="00D87466"/>
    <w:rsid w:val="00D90903"/>
    <w:rsid w:val="00D912EF"/>
    <w:rsid w:val="00D93CA4"/>
    <w:rsid w:val="00D96D29"/>
    <w:rsid w:val="00D96FCD"/>
    <w:rsid w:val="00D97378"/>
    <w:rsid w:val="00DA1A09"/>
    <w:rsid w:val="00DA2F37"/>
    <w:rsid w:val="00DA364E"/>
    <w:rsid w:val="00DA6A9E"/>
    <w:rsid w:val="00DA6B88"/>
    <w:rsid w:val="00DA7969"/>
    <w:rsid w:val="00DB0414"/>
    <w:rsid w:val="00DB04E0"/>
    <w:rsid w:val="00DB1601"/>
    <w:rsid w:val="00DB2E20"/>
    <w:rsid w:val="00DB3BD6"/>
    <w:rsid w:val="00DB3CA1"/>
    <w:rsid w:val="00DB4C41"/>
    <w:rsid w:val="00DB4CE8"/>
    <w:rsid w:val="00DB7D73"/>
    <w:rsid w:val="00DC029F"/>
    <w:rsid w:val="00DC0992"/>
    <w:rsid w:val="00DC2B07"/>
    <w:rsid w:val="00DC47AE"/>
    <w:rsid w:val="00DC5F0E"/>
    <w:rsid w:val="00DC7145"/>
    <w:rsid w:val="00DD16CC"/>
    <w:rsid w:val="00DD2EA6"/>
    <w:rsid w:val="00DD3C0D"/>
    <w:rsid w:val="00DD3FBD"/>
    <w:rsid w:val="00DD6510"/>
    <w:rsid w:val="00DD658D"/>
    <w:rsid w:val="00DD6947"/>
    <w:rsid w:val="00DE03B3"/>
    <w:rsid w:val="00DE09CC"/>
    <w:rsid w:val="00DE106D"/>
    <w:rsid w:val="00DE219C"/>
    <w:rsid w:val="00DE2449"/>
    <w:rsid w:val="00DE3457"/>
    <w:rsid w:val="00DE37D8"/>
    <w:rsid w:val="00DE59D1"/>
    <w:rsid w:val="00DF13FF"/>
    <w:rsid w:val="00DF1F3C"/>
    <w:rsid w:val="00DF473B"/>
    <w:rsid w:val="00DF63A3"/>
    <w:rsid w:val="00E0095F"/>
    <w:rsid w:val="00E01D43"/>
    <w:rsid w:val="00E0267B"/>
    <w:rsid w:val="00E03B6E"/>
    <w:rsid w:val="00E04F4C"/>
    <w:rsid w:val="00E065F4"/>
    <w:rsid w:val="00E06C2E"/>
    <w:rsid w:val="00E12343"/>
    <w:rsid w:val="00E12823"/>
    <w:rsid w:val="00E1283B"/>
    <w:rsid w:val="00E156A5"/>
    <w:rsid w:val="00E210E0"/>
    <w:rsid w:val="00E243D7"/>
    <w:rsid w:val="00E24A0B"/>
    <w:rsid w:val="00E25135"/>
    <w:rsid w:val="00E255D6"/>
    <w:rsid w:val="00E25915"/>
    <w:rsid w:val="00E25C7F"/>
    <w:rsid w:val="00E309E5"/>
    <w:rsid w:val="00E30A39"/>
    <w:rsid w:val="00E32BB5"/>
    <w:rsid w:val="00E37AC0"/>
    <w:rsid w:val="00E37BF8"/>
    <w:rsid w:val="00E40096"/>
    <w:rsid w:val="00E4118C"/>
    <w:rsid w:val="00E4191B"/>
    <w:rsid w:val="00E423E9"/>
    <w:rsid w:val="00E4400C"/>
    <w:rsid w:val="00E44E01"/>
    <w:rsid w:val="00E44E70"/>
    <w:rsid w:val="00E4538B"/>
    <w:rsid w:val="00E45AD1"/>
    <w:rsid w:val="00E46293"/>
    <w:rsid w:val="00E46C13"/>
    <w:rsid w:val="00E46E9B"/>
    <w:rsid w:val="00E47755"/>
    <w:rsid w:val="00E518DF"/>
    <w:rsid w:val="00E573B4"/>
    <w:rsid w:val="00E60448"/>
    <w:rsid w:val="00E61138"/>
    <w:rsid w:val="00E61252"/>
    <w:rsid w:val="00E67773"/>
    <w:rsid w:val="00E70102"/>
    <w:rsid w:val="00E706D3"/>
    <w:rsid w:val="00E70832"/>
    <w:rsid w:val="00E70E1C"/>
    <w:rsid w:val="00E71076"/>
    <w:rsid w:val="00E7242C"/>
    <w:rsid w:val="00E7377C"/>
    <w:rsid w:val="00E75B34"/>
    <w:rsid w:val="00E75B62"/>
    <w:rsid w:val="00E767EB"/>
    <w:rsid w:val="00E81231"/>
    <w:rsid w:val="00E81450"/>
    <w:rsid w:val="00E823FD"/>
    <w:rsid w:val="00E83C19"/>
    <w:rsid w:val="00E878B5"/>
    <w:rsid w:val="00E9031A"/>
    <w:rsid w:val="00E93845"/>
    <w:rsid w:val="00E93CF0"/>
    <w:rsid w:val="00E93CFD"/>
    <w:rsid w:val="00E94133"/>
    <w:rsid w:val="00E94CC6"/>
    <w:rsid w:val="00E97C7A"/>
    <w:rsid w:val="00EA018F"/>
    <w:rsid w:val="00EA166D"/>
    <w:rsid w:val="00EA6EDA"/>
    <w:rsid w:val="00EB0644"/>
    <w:rsid w:val="00EB0B89"/>
    <w:rsid w:val="00EB0CEB"/>
    <w:rsid w:val="00EB2DF0"/>
    <w:rsid w:val="00EB3972"/>
    <w:rsid w:val="00EB5EE2"/>
    <w:rsid w:val="00EB758B"/>
    <w:rsid w:val="00EB7BBB"/>
    <w:rsid w:val="00EC0581"/>
    <w:rsid w:val="00EC1F3D"/>
    <w:rsid w:val="00EC3012"/>
    <w:rsid w:val="00EC365D"/>
    <w:rsid w:val="00EC4690"/>
    <w:rsid w:val="00EC5863"/>
    <w:rsid w:val="00ED17D0"/>
    <w:rsid w:val="00ED3850"/>
    <w:rsid w:val="00ED4497"/>
    <w:rsid w:val="00EE044B"/>
    <w:rsid w:val="00EE3E15"/>
    <w:rsid w:val="00EF689F"/>
    <w:rsid w:val="00EF697D"/>
    <w:rsid w:val="00F00523"/>
    <w:rsid w:val="00F00E3E"/>
    <w:rsid w:val="00F02EDF"/>
    <w:rsid w:val="00F06204"/>
    <w:rsid w:val="00F071E3"/>
    <w:rsid w:val="00F07DE4"/>
    <w:rsid w:val="00F111D7"/>
    <w:rsid w:val="00F11637"/>
    <w:rsid w:val="00F12439"/>
    <w:rsid w:val="00F13EE3"/>
    <w:rsid w:val="00F1445A"/>
    <w:rsid w:val="00F14F93"/>
    <w:rsid w:val="00F16C8B"/>
    <w:rsid w:val="00F2067E"/>
    <w:rsid w:val="00F23495"/>
    <w:rsid w:val="00F255DA"/>
    <w:rsid w:val="00F27766"/>
    <w:rsid w:val="00F30404"/>
    <w:rsid w:val="00F30CB0"/>
    <w:rsid w:val="00F30D2F"/>
    <w:rsid w:val="00F3538E"/>
    <w:rsid w:val="00F3604C"/>
    <w:rsid w:val="00F3637C"/>
    <w:rsid w:val="00F3684C"/>
    <w:rsid w:val="00F40571"/>
    <w:rsid w:val="00F41707"/>
    <w:rsid w:val="00F41782"/>
    <w:rsid w:val="00F426CB"/>
    <w:rsid w:val="00F43533"/>
    <w:rsid w:val="00F43AB9"/>
    <w:rsid w:val="00F4400B"/>
    <w:rsid w:val="00F444B9"/>
    <w:rsid w:val="00F446A8"/>
    <w:rsid w:val="00F45547"/>
    <w:rsid w:val="00F4604B"/>
    <w:rsid w:val="00F46B9B"/>
    <w:rsid w:val="00F47011"/>
    <w:rsid w:val="00F50014"/>
    <w:rsid w:val="00F5034A"/>
    <w:rsid w:val="00F54006"/>
    <w:rsid w:val="00F55045"/>
    <w:rsid w:val="00F551A1"/>
    <w:rsid w:val="00F5528D"/>
    <w:rsid w:val="00F5589F"/>
    <w:rsid w:val="00F56497"/>
    <w:rsid w:val="00F571F9"/>
    <w:rsid w:val="00F57757"/>
    <w:rsid w:val="00F60CB0"/>
    <w:rsid w:val="00F63D64"/>
    <w:rsid w:val="00F669B5"/>
    <w:rsid w:val="00F67A75"/>
    <w:rsid w:val="00F710CF"/>
    <w:rsid w:val="00F71B76"/>
    <w:rsid w:val="00F72C7E"/>
    <w:rsid w:val="00F72E01"/>
    <w:rsid w:val="00F75388"/>
    <w:rsid w:val="00F77A06"/>
    <w:rsid w:val="00F80253"/>
    <w:rsid w:val="00F80F75"/>
    <w:rsid w:val="00F82D58"/>
    <w:rsid w:val="00F834A8"/>
    <w:rsid w:val="00F84CDB"/>
    <w:rsid w:val="00F86678"/>
    <w:rsid w:val="00F91877"/>
    <w:rsid w:val="00F92915"/>
    <w:rsid w:val="00F937EA"/>
    <w:rsid w:val="00F93828"/>
    <w:rsid w:val="00F953B6"/>
    <w:rsid w:val="00F959D4"/>
    <w:rsid w:val="00F97BD9"/>
    <w:rsid w:val="00FA23CA"/>
    <w:rsid w:val="00FA3926"/>
    <w:rsid w:val="00FA3E8A"/>
    <w:rsid w:val="00FA4336"/>
    <w:rsid w:val="00FA46E9"/>
    <w:rsid w:val="00FA6A5C"/>
    <w:rsid w:val="00FB1D3A"/>
    <w:rsid w:val="00FB2281"/>
    <w:rsid w:val="00FB3950"/>
    <w:rsid w:val="00FB3D11"/>
    <w:rsid w:val="00FB6589"/>
    <w:rsid w:val="00FC0DD3"/>
    <w:rsid w:val="00FC14CA"/>
    <w:rsid w:val="00FC2772"/>
    <w:rsid w:val="00FC3B2A"/>
    <w:rsid w:val="00FC6A47"/>
    <w:rsid w:val="00FC7155"/>
    <w:rsid w:val="00FD0415"/>
    <w:rsid w:val="00FD0735"/>
    <w:rsid w:val="00FD15BB"/>
    <w:rsid w:val="00FD51E9"/>
    <w:rsid w:val="00FD59E5"/>
    <w:rsid w:val="00FD5EDF"/>
    <w:rsid w:val="00FD6FE7"/>
    <w:rsid w:val="00FD79DF"/>
    <w:rsid w:val="00FE0D68"/>
    <w:rsid w:val="00FE234F"/>
    <w:rsid w:val="00FE3F7D"/>
    <w:rsid w:val="00FE4E4F"/>
    <w:rsid w:val="00FE4EB6"/>
    <w:rsid w:val="00FE5F7B"/>
    <w:rsid w:val="00FE71F7"/>
    <w:rsid w:val="00FE7F99"/>
    <w:rsid w:val="00FF159C"/>
    <w:rsid w:val="00FF2226"/>
    <w:rsid w:val="00FF4189"/>
    <w:rsid w:val="00FF4708"/>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table" w:styleId="Tablaconcuadrcula">
    <w:name w:val="Table Grid"/>
    <w:basedOn w:val="Tablanormal"/>
    <w:uiPriority w:val="59"/>
    <w:rsid w:val="00DC0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
    <w:name w:val="temp"/>
    <w:basedOn w:val="Normal"/>
    <w:rsid w:val="001E445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1E4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426390432">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176000622">
      <w:bodyDiv w:val="1"/>
      <w:marLeft w:val="0"/>
      <w:marRight w:val="0"/>
      <w:marTop w:val="0"/>
      <w:marBottom w:val="0"/>
      <w:divBdr>
        <w:top w:val="none" w:sz="0" w:space="0" w:color="auto"/>
        <w:left w:val="none" w:sz="0" w:space="0" w:color="auto"/>
        <w:bottom w:val="none" w:sz="0" w:space="0" w:color="auto"/>
        <w:right w:val="none" w:sz="0" w:space="0" w:color="auto"/>
      </w:divBdr>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s64.congresooaxaca.gob.mx/documents/decrets/DLXIV_277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9627B-D1A1-4241-8D59-30986A19B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20</Pages>
  <Words>8307</Words>
  <Characters>45692</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559</cp:revision>
  <cp:lastPrinted>2023-03-08T16:34:00Z</cp:lastPrinted>
  <dcterms:created xsi:type="dcterms:W3CDTF">2022-05-12T21:06:00Z</dcterms:created>
  <dcterms:modified xsi:type="dcterms:W3CDTF">2023-04-18T18:52:00Z</dcterms:modified>
</cp:coreProperties>
</file>