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89321" w14:textId="62BB4640" w:rsidR="00834974" w:rsidRPr="00B01BB4" w:rsidRDefault="00834974" w:rsidP="00834974">
      <w:pPr>
        <w:pStyle w:val="corte3centro"/>
        <w:ind w:right="-518"/>
        <w:jc w:val="both"/>
        <w:rPr>
          <w:rFonts w:cs="Arial"/>
          <w:b w:val="0"/>
          <w:bCs/>
          <w:sz w:val="24"/>
          <w:szCs w:val="24"/>
        </w:rPr>
      </w:pPr>
      <w:r w:rsidRPr="00B01BB4">
        <w:rPr>
          <w:rFonts w:cs="Arial"/>
          <w:sz w:val="24"/>
          <w:szCs w:val="24"/>
        </w:rPr>
        <w:t>OAXACA DE JUÁREZ, OAXACA</w:t>
      </w:r>
      <w:r>
        <w:rPr>
          <w:rFonts w:cs="Arial"/>
          <w:sz w:val="24"/>
          <w:szCs w:val="24"/>
        </w:rPr>
        <w:t xml:space="preserve">, A </w:t>
      </w:r>
      <w:r w:rsidR="00B27904">
        <w:rPr>
          <w:rFonts w:cs="Arial"/>
          <w:sz w:val="24"/>
          <w:szCs w:val="24"/>
        </w:rPr>
        <w:t>VEINTICUATRO</w:t>
      </w:r>
      <w:r>
        <w:rPr>
          <w:rFonts w:cs="Arial"/>
          <w:sz w:val="24"/>
          <w:szCs w:val="24"/>
        </w:rPr>
        <w:t xml:space="preserve"> DE ENERO</w:t>
      </w:r>
      <w:r w:rsidRPr="00B14A92">
        <w:rPr>
          <w:rFonts w:cs="Arial"/>
          <w:sz w:val="24"/>
          <w:szCs w:val="24"/>
        </w:rPr>
        <w:t xml:space="preserve"> </w:t>
      </w:r>
      <w:r>
        <w:rPr>
          <w:rFonts w:cs="Arial"/>
          <w:sz w:val="24"/>
          <w:szCs w:val="24"/>
        </w:rPr>
        <w:t>DE DOS MIL VEINTITRÉS</w:t>
      </w:r>
      <w:r w:rsidRPr="00B01BB4">
        <w:rPr>
          <w:rFonts w:cs="Arial"/>
          <w:sz w:val="24"/>
          <w:szCs w:val="24"/>
        </w:rPr>
        <w:t xml:space="preserve">. </w:t>
      </w:r>
      <w:r>
        <w:rPr>
          <w:rFonts w:cs="Arial"/>
          <w:sz w:val="24"/>
          <w:szCs w:val="24"/>
        </w:rPr>
        <w:t>- - - - - - - - - - - - - - - - - - - - - - - - - - - - - - - - - - - - - - - - - - - - - - - - - - - - - -</w:t>
      </w:r>
    </w:p>
    <w:p w14:paraId="17C08169" w14:textId="62A2B11E" w:rsidR="00834974" w:rsidRPr="00E8059D" w:rsidRDefault="00834974" w:rsidP="00834974">
      <w:pPr>
        <w:spacing w:line="360" w:lineRule="auto"/>
        <w:ind w:right="-518" w:firstLine="708"/>
        <w:jc w:val="both"/>
        <w:rPr>
          <w:rFonts w:ascii="Arial" w:hAnsi="Arial" w:cs="Arial"/>
        </w:rPr>
      </w:pPr>
      <w:r w:rsidRPr="00B01BB4">
        <w:rPr>
          <w:rFonts w:ascii="Arial" w:hAnsi="Arial" w:cs="Arial"/>
          <w:b/>
          <w:bCs/>
        </w:rPr>
        <w:t>VISTOS,</w:t>
      </w:r>
      <w:r w:rsidRPr="00B01BB4">
        <w:rPr>
          <w:rFonts w:ascii="Arial" w:hAnsi="Arial" w:cs="Arial"/>
        </w:rPr>
        <w:t xml:space="preserve"> para resolver los autos del juicio de nulidad número </w:t>
      </w:r>
      <w:r>
        <w:rPr>
          <w:rFonts w:ascii="Arial" w:hAnsi="Arial" w:cs="Arial"/>
          <w:b/>
          <w:bCs/>
        </w:rPr>
        <w:t>3</w:t>
      </w:r>
      <w:r w:rsidR="00B27904">
        <w:rPr>
          <w:rFonts w:ascii="Arial" w:hAnsi="Arial" w:cs="Arial"/>
          <w:b/>
          <w:bCs/>
        </w:rPr>
        <w:t>2</w:t>
      </w:r>
      <w:r w:rsidRPr="00861E31">
        <w:rPr>
          <w:rFonts w:ascii="Arial" w:hAnsi="Arial" w:cs="Arial"/>
          <w:b/>
          <w:bCs/>
        </w:rPr>
        <w:t>/202</w:t>
      </w:r>
      <w:r>
        <w:rPr>
          <w:rFonts w:ascii="Arial" w:hAnsi="Arial" w:cs="Arial"/>
          <w:b/>
          <w:bCs/>
        </w:rPr>
        <w:t>2</w:t>
      </w:r>
      <w:r w:rsidRPr="00B01BB4">
        <w:rPr>
          <w:rFonts w:ascii="Arial" w:hAnsi="Arial" w:cs="Arial"/>
        </w:rPr>
        <w:t xml:space="preserve">, promovido por </w:t>
      </w:r>
      <w:r w:rsidR="007B452B">
        <w:rPr>
          <w:rFonts w:ascii="Arial" w:hAnsi="Arial" w:cs="Arial"/>
          <w:b/>
        </w:rPr>
        <w:t>********</w:t>
      </w:r>
      <w:r>
        <w:rPr>
          <w:rFonts w:ascii="Arial" w:hAnsi="Arial" w:cs="Arial"/>
        </w:rPr>
        <w:t>,</w:t>
      </w:r>
      <w:r>
        <w:rPr>
          <w:rFonts w:ascii="Arial" w:hAnsi="Arial" w:cs="Arial"/>
          <w:b/>
          <w:bCs/>
        </w:rPr>
        <w:t xml:space="preserve"> </w:t>
      </w:r>
      <w:r>
        <w:rPr>
          <w:rFonts w:ascii="Arial" w:hAnsi="Arial" w:cs="Arial"/>
        </w:rPr>
        <w:t xml:space="preserve">en contra de la </w:t>
      </w:r>
      <w:bookmarkStart w:id="0" w:name="_Hlk125364597"/>
      <w:r w:rsidR="00303171" w:rsidRPr="00303171">
        <w:rPr>
          <w:rFonts w:ascii="Arial" w:hAnsi="Arial" w:cs="Arial"/>
        </w:rPr>
        <w:t>Comisión de Honor y Justicia de la Secretaría de Seguridad Publica del Poder Ejecutivo del Estado de Oaxaca</w:t>
      </w:r>
      <w:r w:rsidR="000F1687">
        <w:rPr>
          <w:rFonts w:ascii="Arial" w:hAnsi="Arial" w:cs="Arial"/>
        </w:rPr>
        <w:t xml:space="preserve"> ahora Secretaría de Seguridad Pública y Protección Ciudadana</w:t>
      </w:r>
      <w:bookmarkEnd w:id="0"/>
      <w:r w:rsidRPr="00A16420">
        <w:rPr>
          <w:rFonts w:ascii="Arial" w:hAnsi="Arial" w:cs="Arial"/>
        </w:rPr>
        <w:t xml:space="preserve">: </w:t>
      </w:r>
    </w:p>
    <w:p w14:paraId="4F3152FD" w14:textId="329AC6FC" w:rsidR="00834974" w:rsidRDefault="00834974" w:rsidP="00834974">
      <w:pPr>
        <w:spacing w:line="360" w:lineRule="auto"/>
        <w:ind w:right="-518" w:firstLine="708"/>
        <w:jc w:val="both"/>
        <w:rPr>
          <w:rFonts w:ascii="Arial" w:hAnsi="Arial" w:cs="Arial"/>
          <w:b/>
          <w:bCs/>
          <w:lang w:val="es-ES"/>
        </w:rPr>
      </w:pPr>
    </w:p>
    <w:p w14:paraId="32499671" w14:textId="7A2510AA" w:rsidR="00834974" w:rsidRPr="00B01BB4" w:rsidRDefault="00834974" w:rsidP="00834974">
      <w:pPr>
        <w:spacing w:line="360" w:lineRule="auto"/>
        <w:ind w:right="-518"/>
        <w:jc w:val="center"/>
        <w:rPr>
          <w:rFonts w:ascii="Arial" w:hAnsi="Arial" w:cs="Arial"/>
          <w:b/>
        </w:rPr>
      </w:pPr>
      <w:r w:rsidRPr="00B01BB4">
        <w:rPr>
          <w:rFonts w:ascii="Arial" w:hAnsi="Arial" w:cs="Arial"/>
          <w:b/>
          <w:bCs/>
          <w:lang w:val="es-ES"/>
        </w:rPr>
        <w:t>R E S U L T A N D O</w:t>
      </w:r>
    </w:p>
    <w:p w14:paraId="4C1D416B" w14:textId="735000FE" w:rsidR="00834974" w:rsidRPr="0069455B" w:rsidRDefault="00834974" w:rsidP="00834974">
      <w:pPr>
        <w:spacing w:line="360" w:lineRule="auto"/>
        <w:jc w:val="both"/>
        <w:rPr>
          <w:rFonts w:ascii="Arial" w:hAnsi="Arial" w:cs="Arial"/>
          <w:b/>
        </w:rPr>
      </w:pPr>
    </w:p>
    <w:p w14:paraId="196393F2" w14:textId="5F431485" w:rsidR="00834974" w:rsidRPr="00CA4E97" w:rsidRDefault="007B452B" w:rsidP="00834974">
      <w:pPr>
        <w:spacing w:line="360" w:lineRule="auto"/>
        <w:ind w:right="-567" w:firstLine="708"/>
        <w:jc w:val="both"/>
        <w:rPr>
          <w:rFonts w:ascii="Arial" w:hAnsi="Arial" w:cs="Arial"/>
          <w:bCs/>
        </w:rPr>
      </w:pPr>
      <w:r>
        <w:rPr>
          <w:rFonts w:ascii="Times New Roman" w:hAnsi="Times New Roman" w:cs="Times New Roman"/>
          <w:noProof/>
          <w:lang w:eastAsia="es-MX"/>
        </w:rPr>
        <mc:AlternateContent>
          <mc:Choice Requires="wps">
            <w:drawing>
              <wp:anchor distT="0" distB="0" distL="114300" distR="114300" simplePos="0" relativeHeight="251661312" behindDoc="0" locked="0" layoutInCell="1" allowOverlap="1" wp14:anchorId="53E2AC4D" wp14:editId="2B772316">
                <wp:simplePos x="0" y="0"/>
                <wp:positionH relativeFrom="leftMargin">
                  <wp:align>right</wp:align>
                </wp:positionH>
                <wp:positionV relativeFrom="paragraph">
                  <wp:posOffset>518160</wp:posOffset>
                </wp:positionV>
                <wp:extent cx="1076325" cy="762000"/>
                <wp:effectExtent l="0" t="0" r="28575"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762000"/>
                        </a:xfrm>
                        <a:prstGeom prst="rect">
                          <a:avLst/>
                        </a:prstGeom>
                        <a:solidFill>
                          <a:srgbClr val="FFFFFF"/>
                        </a:solidFill>
                        <a:ln w="9525">
                          <a:solidFill>
                            <a:srgbClr val="000000"/>
                          </a:solidFill>
                          <a:miter lim="800000"/>
                          <a:headEnd/>
                          <a:tailEnd/>
                        </a:ln>
                      </wps:spPr>
                      <wps:txbx>
                        <w:txbxContent>
                          <w:p w14:paraId="39F8F41E" w14:textId="77777777" w:rsidR="007B452B" w:rsidRDefault="007B452B" w:rsidP="007B452B">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E2AC4D" id="_x0000_t202" coordsize="21600,21600" o:spt="202" path="m,l,21600r21600,l21600,xe">
                <v:stroke joinstyle="miter"/>
                <v:path gradientshapeok="t" o:connecttype="rect"/>
              </v:shapetype>
              <v:shape id="Cuadro de texto 2" o:spid="_x0000_s1026" type="#_x0000_t202" style="position:absolute;left:0;text-align:left;margin-left:33.55pt;margin-top:40.8pt;width:84.75pt;height:60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">
                <v:textbox>
                  <w:txbxContent>
                    <w:p w14:paraId="39F8F41E" w14:textId="77777777" w:rsidR="007B452B" w:rsidRDefault="007B452B" w:rsidP="007B452B">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834974" w:rsidRPr="0069455B">
        <w:rPr>
          <w:rFonts w:ascii="Arial" w:hAnsi="Arial" w:cs="Arial"/>
          <w:b/>
          <w:bCs/>
          <w:color w:val="000000"/>
          <w:lang w:val="es-ES"/>
        </w:rPr>
        <w:t xml:space="preserve">PRIMERO. </w:t>
      </w:r>
      <w:r w:rsidR="00834974">
        <w:rPr>
          <w:rFonts w:ascii="Arial" w:hAnsi="Arial" w:cs="Arial"/>
          <w:bCs/>
        </w:rPr>
        <w:t xml:space="preserve">Por </w:t>
      </w:r>
      <w:r w:rsidR="00834974" w:rsidRPr="00766880">
        <w:rPr>
          <w:rFonts w:ascii="Arial" w:hAnsi="Arial" w:cs="Arial"/>
          <w:bCs/>
        </w:rPr>
        <w:t xml:space="preserve">auto de </w:t>
      </w:r>
      <w:r w:rsidR="00303171">
        <w:rPr>
          <w:rFonts w:ascii="Arial" w:hAnsi="Arial" w:cs="Arial"/>
          <w:bCs/>
        </w:rPr>
        <w:t>cinco</w:t>
      </w:r>
      <w:r w:rsidR="00834974" w:rsidRPr="00766880">
        <w:rPr>
          <w:rFonts w:ascii="Arial" w:hAnsi="Arial" w:cs="Arial"/>
          <w:bCs/>
        </w:rPr>
        <w:t xml:space="preserve"> de </w:t>
      </w:r>
      <w:r w:rsidR="00303171">
        <w:rPr>
          <w:rFonts w:ascii="Arial" w:hAnsi="Arial" w:cs="Arial"/>
          <w:bCs/>
        </w:rPr>
        <w:t>noviembre</w:t>
      </w:r>
      <w:r w:rsidR="00834974" w:rsidRPr="00766880">
        <w:rPr>
          <w:rFonts w:ascii="Arial" w:hAnsi="Arial" w:cs="Arial"/>
          <w:bCs/>
        </w:rPr>
        <w:t xml:space="preserve"> de dos mil </w:t>
      </w:r>
      <w:r w:rsidR="00303171">
        <w:rPr>
          <w:rFonts w:ascii="Arial" w:hAnsi="Arial" w:cs="Arial"/>
          <w:bCs/>
        </w:rPr>
        <w:t>veintiuno</w:t>
      </w:r>
      <w:r w:rsidR="00834974" w:rsidRPr="00766880">
        <w:rPr>
          <w:rFonts w:ascii="Arial" w:hAnsi="Arial" w:cs="Arial"/>
          <w:bCs/>
        </w:rPr>
        <w:t xml:space="preserve">, se </w:t>
      </w:r>
      <w:r w:rsidR="00834974" w:rsidRPr="00766880">
        <w:rPr>
          <w:rFonts w:ascii="Arial" w:hAnsi="Arial" w:cs="Arial"/>
          <w:b/>
        </w:rPr>
        <w:t>admitió a trámite</w:t>
      </w:r>
      <w:r w:rsidR="00834974" w:rsidRPr="00766880">
        <w:rPr>
          <w:rFonts w:ascii="Arial" w:hAnsi="Arial" w:cs="Arial"/>
          <w:bCs/>
        </w:rPr>
        <w:t xml:space="preserve"> la demanda (foja </w:t>
      </w:r>
      <w:r w:rsidR="00303171">
        <w:rPr>
          <w:rFonts w:ascii="Arial" w:hAnsi="Arial" w:cs="Arial"/>
          <w:bCs/>
        </w:rPr>
        <w:t>42</w:t>
      </w:r>
      <w:r w:rsidR="00834974" w:rsidRPr="00766880">
        <w:rPr>
          <w:rFonts w:ascii="Arial" w:hAnsi="Arial" w:cs="Arial"/>
          <w:bCs/>
        </w:rPr>
        <w:t xml:space="preserve"> – </w:t>
      </w:r>
      <w:r w:rsidR="00303171">
        <w:rPr>
          <w:rFonts w:ascii="Arial" w:hAnsi="Arial" w:cs="Arial"/>
          <w:bCs/>
        </w:rPr>
        <w:t>43</w:t>
      </w:r>
      <w:r w:rsidR="00834974" w:rsidRPr="00766880">
        <w:rPr>
          <w:rFonts w:ascii="Arial" w:hAnsi="Arial" w:cs="Arial"/>
          <w:bCs/>
        </w:rPr>
        <w:t xml:space="preserve"> del juicio de nulidad)</w:t>
      </w:r>
      <w:r w:rsidR="00303171">
        <w:rPr>
          <w:rFonts w:ascii="Arial" w:hAnsi="Arial" w:cs="Arial"/>
          <w:bCs/>
        </w:rPr>
        <w:t xml:space="preserve"> por parte de la Sexta Sala Unitaria </w:t>
      </w:r>
      <w:r w:rsidR="004659B8">
        <w:rPr>
          <w:rFonts w:ascii="Arial" w:hAnsi="Arial" w:cs="Arial"/>
          <w:bCs/>
        </w:rPr>
        <w:t>de Primera Instancia de este Tribunal</w:t>
      </w:r>
      <w:r w:rsidR="00834974" w:rsidRPr="00766880">
        <w:rPr>
          <w:rFonts w:ascii="Arial" w:hAnsi="Arial" w:cs="Arial"/>
          <w:bCs/>
        </w:rPr>
        <w:t xml:space="preserve">, en contra de la resolución de </w:t>
      </w:r>
      <w:r w:rsidR="00303171">
        <w:rPr>
          <w:rFonts w:ascii="Arial" w:hAnsi="Arial" w:cs="Arial"/>
          <w:bCs/>
        </w:rPr>
        <w:t>siete</w:t>
      </w:r>
      <w:r w:rsidR="00834974">
        <w:rPr>
          <w:rFonts w:ascii="Arial" w:hAnsi="Arial" w:cs="Arial"/>
          <w:bCs/>
        </w:rPr>
        <w:t xml:space="preserve"> de </w:t>
      </w:r>
      <w:r w:rsidR="00303171">
        <w:rPr>
          <w:rFonts w:ascii="Arial" w:hAnsi="Arial" w:cs="Arial"/>
          <w:bCs/>
        </w:rPr>
        <w:t>junio</w:t>
      </w:r>
      <w:r w:rsidR="00834974">
        <w:rPr>
          <w:rFonts w:ascii="Arial" w:hAnsi="Arial" w:cs="Arial"/>
          <w:bCs/>
        </w:rPr>
        <w:t xml:space="preserve"> </w:t>
      </w:r>
      <w:r w:rsidR="00834974" w:rsidRPr="00766880">
        <w:rPr>
          <w:rFonts w:ascii="Arial" w:hAnsi="Arial" w:cs="Arial"/>
          <w:bCs/>
        </w:rPr>
        <w:t xml:space="preserve">de dos mil veintiuno, dictada en el </w:t>
      </w:r>
      <w:bookmarkStart w:id="1" w:name="_Hlk125121439"/>
      <w:r w:rsidR="00834974">
        <w:rPr>
          <w:rFonts w:ascii="Arial" w:hAnsi="Arial" w:cs="Arial"/>
          <w:bCs/>
        </w:rPr>
        <w:t xml:space="preserve">expediente </w:t>
      </w:r>
      <w:r w:rsidR="00303171">
        <w:rPr>
          <w:rFonts w:ascii="Arial" w:hAnsi="Arial" w:cs="Arial"/>
          <w:bCs/>
        </w:rPr>
        <w:t>SSP/CHJ/E.A/002/202</w:t>
      </w:r>
      <w:bookmarkEnd w:id="1"/>
      <w:r w:rsidR="00834974" w:rsidRPr="00766880">
        <w:rPr>
          <w:rFonts w:ascii="Arial" w:hAnsi="Arial" w:cs="Arial"/>
          <w:bCs/>
        </w:rPr>
        <w:t>,</w:t>
      </w:r>
      <w:r w:rsidR="00834974">
        <w:rPr>
          <w:rFonts w:ascii="Arial" w:hAnsi="Arial" w:cs="Arial"/>
          <w:bCs/>
        </w:rPr>
        <w:t xml:space="preserve"> y </w:t>
      </w:r>
      <w:r w:rsidR="00834974" w:rsidRPr="00E354FC">
        <w:rPr>
          <w:rFonts w:ascii="Arial" w:hAnsi="Arial" w:cs="Arial"/>
          <w:b/>
        </w:rPr>
        <w:t>demandó la nulidad de la resoluci</w:t>
      </w:r>
      <w:r w:rsidR="00834974">
        <w:rPr>
          <w:rFonts w:ascii="Arial" w:hAnsi="Arial" w:cs="Arial"/>
          <w:b/>
        </w:rPr>
        <w:t>ón</w:t>
      </w:r>
      <w:r w:rsidR="00834974" w:rsidRPr="00E354FC">
        <w:rPr>
          <w:rFonts w:ascii="Arial" w:hAnsi="Arial" w:cs="Arial"/>
          <w:b/>
        </w:rPr>
        <w:t xml:space="preserve"> que antece</w:t>
      </w:r>
      <w:r w:rsidR="00834974" w:rsidRPr="004A1EF0">
        <w:rPr>
          <w:rFonts w:ascii="Arial" w:hAnsi="Arial" w:cs="Arial"/>
          <w:b/>
        </w:rPr>
        <w:t>de</w:t>
      </w:r>
      <w:r w:rsidR="00834974">
        <w:rPr>
          <w:rFonts w:ascii="Arial" w:hAnsi="Arial" w:cs="Arial"/>
          <w:bCs/>
        </w:rPr>
        <w:t>, con copia de la demanda</w:t>
      </w:r>
      <w:r w:rsidR="00834974" w:rsidRPr="000B5802">
        <w:rPr>
          <w:rFonts w:ascii="Arial" w:hAnsi="Arial" w:cs="Arial"/>
          <w:bCs/>
        </w:rPr>
        <w:t xml:space="preserve"> y anexos correspondientes, se ordenó</w:t>
      </w:r>
      <w:r w:rsidR="00834974">
        <w:rPr>
          <w:rFonts w:ascii="Arial" w:hAnsi="Arial" w:cs="Arial"/>
          <w:bCs/>
        </w:rPr>
        <w:t xml:space="preserve"> notificar,</w:t>
      </w:r>
      <w:r w:rsidR="00834974" w:rsidRPr="000B5802">
        <w:rPr>
          <w:rFonts w:ascii="Arial" w:hAnsi="Arial" w:cs="Arial"/>
          <w:bCs/>
        </w:rPr>
        <w:t xml:space="preserve"> correr traslado y</w:t>
      </w:r>
      <w:r w:rsidR="00834974">
        <w:rPr>
          <w:rFonts w:ascii="Arial" w:hAnsi="Arial" w:cs="Arial"/>
          <w:bCs/>
        </w:rPr>
        <w:t xml:space="preserve"> </w:t>
      </w:r>
      <w:r w:rsidR="00834974" w:rsidRPr="000B5802">
        <w:rPr>
          <w:rFonts w:ascii="Arial" w:hAnsi="Arial" w:cs="Arial"/>
          <w:bCs/>
        </w:rPr>
        <w:t>emplazar a</w:t>
      </w:r>
      <w:r w:rsidR="00834974">
        <w:rPr>
          <w:rFonts w:ascii="Arial" w:hAnsi="Arial" w:cs="Arial"/>
          <w:bCs/>
        </w:rPr>
        <w:t xml:space="preserve"> la autoridad demandada, </w:t>
      </w:r>
      <w:r w:rsidR="00834974" w:rsidRPr="000B5802">
        <w:rPr>
          <w:rFonts w:ascii="Arial" w:hAnsi="Arial" w:cs="Arial"/>
          <w:bCs/>
        </w:rPr>
        <w:t>para que</w:t>
      </w:r>
      <w:r w:rsidR="00834974">
        <w:rPr>
          <w:rFonts w:ascii="Arial" w:hAnsi="Arial" w:cs="Arial"/>
          <w:bCs/>
        </w:rPr>
        <w:t>,</w:t>
      </w:r>
      <w:r w:rsidR="00834974" w:rsidRPr="000B5802">
        <w:rPr>
          <w:rFonts w:ascii="Arial" w:hAnsi="Arial" w:cs="Arial"/>
          <w:bCs/>
        </w:rPr>
        <w:t xml:space="preserve"> dentro del plazo de nueve días, compareciera </w:t>
      </w:r>
      <w:r w:rsidR="00834974" w:rsidRPr="00E84C61">
        <w:rPr>
          <w:rFonts w:ascii="Arial" w:hAnsi="Arial" w:cs="Arial"/>
          <w:bCs/>
        </w:rPr>
        <w:t xml:space="preserve">ante esta autoridad por escrito a dar contestación a la demanda, </w:t>
      </w:r>
      <w:r w:rsidR="00834974" w:rsidRPr="00E84C61">
        <w:rPr>
          <w:rFonts w:ascii="Arial" w:hAnsi="Arial" w:cs="Arial"/>
        </w:rPr>
        <w:t>apercibida que de no hacerlo, se declararía precluido su derecho y se le</w:t>
      </w:r>
      <w:r w:rsidR="00834974">
        <w:rPr>
          <w:rFonts w:ascii="Arial" w:hAnsi="Arial" w:cs="Arial"/>
        </w:rPr>
        <w:t>s</w:t>
      </w:r>
      <w:r w:rsidR="00834974" w:rsidRPr="00E84C61">
        <w:rPr>
          <w:rFonts w:ascii="Arial" w:hAnsi="Arial" w:cs="Arial"/>
        </w:rPr>
        <w:t xml:space="preserve"> tendría por contestada la demanda en sentido afirmativo, salvo </w:t>
      </w:r>
      <w:r w:rsidR="00834974" w:rsidRPr="000B5802">
        <w:rPr>
          <w:rFonts w:ascii="Arial" w:hAnsi="Arial" w:cs="Arial"/>
          <w:color w:val="000000"/>
        </w:rPr>
        <w:t>prueba en contrario.</w:t>
      </w:r>
      <w:r w:rsidR="00834974" w:rsidRPr="00E66D9E">
        <w:rPr>
          <w:rFonts w:ascii="Arial" w:hAnsi="Arial" w:cs="Arial"/>
          <w:color w:val="000000"/>
        </w:rPr>
        <w:t xml:space="preserve"> </w:t>
      </w:r>
      <w:r w:rsidR="00834974">
        <w:rPr>
          <w:rFonts w:ascii="Arial" w:hAnsi="Arial" w:cs="Arial"/>
          <w:color w:val="000000"/>
        </w:rPr>
        <w:t xml:space="preserve">Se admitieron las pruebas ofrecidas. - - - - - - - - - - </w:t>
      </w:r>
      <w:r w:rsidR="00D82424">
        <w:rPr>
          <w:rFonts w:ascii="Arial" w:hAnsi="Arial" w:cs="Arial"/>
          <w:color w:val="000000"/>
        </w:rPr>
        <w:t xml:space="preserve">- - - - - - - - - - - - - - - - - - - - - - - - - - - - - - </w:t>
      </w:r>
    </w:p>
    <w:p w14:paraId="1C2F57E0" w14:textId="77777777" w:rsidR="00834974" w:rsidRDefault="00834974" w:rsidP="00834974">
      <w:pPr>
        <w:spacing w:line="360" w:lineRule="auto"/>
        <w:ind w:right="-567" w:firstLine="708"/>
        <w:jc w:val="both"/>
        <w:rPr>
          <w:rFonts w:ascii="Arial" w:hAnsi="Arial" w:cs="Arial"/>
          <w:b/>
          <w:color w:val="000000"/>
        </w:rPr>
      </w:pPr>
    </w:p>
    <w:p w14:paraId="5F4ADF40" w14:textId="0C1993A7" w:rsidR="00834974" w:rsidRDefault="00834974" w:rsidP="00834974">
      <w:pPr>
        <w:spacing w:line="360" w:lineRule="auto"/>
        <w:ind w:right="-567" w:firstLine="708"/>
        <w:jc w:val="both"/>
        <w:rPr>
          <w:rFonts w:ascii="Arial" w:hAnsi="Arial" w:cs="Arial"/>
          <w:color w:val="000000"/>
        </w:rPr>
      </w:pPr>
      <w:r w:rsidRPr="0045430B">
        <w:rPr>
          <w:rFonts w:ascii="Arial" w:hAnsi="Arial" w:cs="Arial"/>
          <w:b/>
          <w:color w:val="000000"/>
        </w:rPr>
        <w:t>SEGUND</w:t>
      </w:r>
      <w:r>
        <w:rPr>
          <w:rFonts w:ascii="Arial" w:hAnsi="Arial" w:cs="Arial"/>
          <w:b/>
          <w:color w:val="000000"/>
        </w:rPr>
        <w:t xml:space="preserve">O. </w:t>
      </w:r>
      <w:r>
        <w:rPr>
          <w:rFonts w:ascii="Arial" w:hAnsi="Arial" w:cs="Arial"/>
          <w:color w:val="000000"/>
        </w:rPr>
        <w:t xml:space="preserve">Por acuerdo de </w:t>
      </w:r>
      <w:r w:rsidR="00417A9E">
        <w:rPr>
          <w:rFonts w:ascii="Arial" w:hAnsi="Arial" w:cs="Arial"/>
          <w:color w:val="000000"/>
        </w:rPr>
        <w:t>catorce</w:t>
      </w:r>
      <w:r>
        <w:rPr>
          <w:rFonts w:ascii="Arial" w:hAnsi="Arial" w:cs="Arial"/>
          <w:color w:val="000000"/>
        </w:rPr>
        <w:t xml:space="preserve"> de </w:t>
      </w:r>
      <w:r w:rsidR="00417A9E">
        <w:rPr>
          <w:rFonts w:ascii="Arial" w:hAnsi="Arial" w:cs="Arial"/>
          <w:color w:val="000000"/>
        </w:rPr>
        <w:t>diciembre</w:t>
      </w:r>
      <w:r>
        <w:rPr>
          <w:rFonts w:ascii="Arial" w:hAnsi="Arial" w:cs="Arial"/>
          <w:color w:val="000000"/>
        </w:rPr>
        <w:t xml:space="preserve"> de dos mil veinti</w:t>
      </w:r>
      <w:r w:rsidR="00417A9E">
        <w:rPr>
          <w:rFonts w:ascii="Arial" w:hAnsi="Arial" w:cs="Arial"/>
          <w:color w:val="000000"/>
        </w:rPr>
        <w:t>uno</w:t>
      </w:r>
      <w:r>
        <w:rPr>
          <w:rFonts w:ascii="Arial" w:hAnsi="Arial" w:cs="Arial"/>
          <w:color w:val="000000"/>
        </w:rPr>
        <w:t xml:space="preserve"> (foja </w:t>
      </w:r>
      <w:r w:rsidR="00417A9E">
        <w:rPr>
          <w:rFonts w:ascii="Arial" w:hAnsi="Arial" w:cs="Arial"/>
          <w:color w:val="000000"/>
        </w:rPr>
        <w:t>60</w:t>
      </w:r>
      <w:r>
        <w:rPr>
          <w:rFonts w:ascii="Arial" w:hAnsi="Arial" w:cs="Arial"/>
          <w:color w:val="000000"/>
        </w:rPr>
        <w:t xml:space="preserve"> – </w:t>
      </w:r>
      <w:r w:rsidR="00417A9E">
        <w:rPr>
          <w:rFonts w:ascii="Arial" w:hAnsi="Arial" w:cs="Arial"/>
          <w:color w:val="000000"/>
        </w:rPr>
        <w:t>61</w:t>
      </w:r>
      <w:r>
        <w:rPr>
          <w:rFonts w:ascii="Arial" w:hAnsi="Arial" w:cs="Arial"/>
          <w:color w:val="000000"/>
        </w:rPr>
        <w:t>, del juicio de nulidad), se tuvo a</w:t>
      </w:r>
      <w:r w:rsidR="00417A9E">
        <w:rPr>
          <w:rFonts w:ascii="Arial" w:hAnsi="Arial" w:cs="Arial"/>
          <w:color w:val="000000"/>
        </w:rPr>
        <w:t xml:space="preserve"> la</w:t>
      </w:r>
      <w:r>
        <w:rPr>
          <w:rFonts w:ascii="Arial" w:hAnsi="Arial" w:cs="Arial"/>
          <w:color w:val="000000"/>
        </w:rPr>
        <w:t xml:space="preserve"> </w:t>
      </w:r>
      <w:r w:rsidR="00417A9E">
        <w:rPr>
          <w:rFonts w:ascii="Arial" w:hAnsi="Arial" w:cs="Arial"/>
          <w:color w:val="000000"/>
        </w:rPr>
        <w:t xml:space="preserve">secretaria de acuerdos de la </w:t>
      </w:r>
      <w:r w:rsidR="00417A9E" w:rsidRPr="00417A9E">
        <w:rPr>
          <w:rFonts w:ascii="Arial" w:hAnsi="Arial" w:cs="Arial"/>
          <w:color w:val="000000"/>
        </w:rPr>
        <w:t>Comisión de Honor y Justicia de la Secretaría de Seguridad Publica del Poder Ejecutivo del Estado de Oaxaca</w:t>
      </w:r>
      <w:r w:rsidR="000F1687">
        <w:rPr>
          <w:rFonts w:ascii="Arial" w:hAnsi="Arial" w:cs="Arial"/>
          <w:color w:val="000000"/>
        </w:rPr>
        <w:t xml:space="preserve"> </w:t>
      </w:r>
      <w:bookmarkStart w:id="2" w:name="_Hlk125364582"/>
      <w:r w:rsidR="000F1687">
        <w:rPr>
          <w:rFonts w:ascii="Arial" w:hAnsi="Arial" w:cs="Arial"/>
          <w:color w:val="000000"/>
        </w:rPr>
        <w:t xml:space="preserve">ahora </w:t>
      </w:r>
      <w:r w:rsidR="000F1687">
        <w:rPr>
          <w:rFonts w:ascii="Arial" w:hAnsi="Arial" w:cs="Arial"/>
        </w:rPr>
        <w:t>Secretaría de Seguridad Pública y Protección Ciudadana</w:t>
      </w:r>
      <w:bookmarkEnd w:id="2"/>
      <w:r>
        <w:rPr>
          <w:rFonts w:ascii="Arial" w:hAnsi="Arial" w:cs="Arial"/>
          <w:color w:val="000000"/>
        </w:rPr>
        <w:t xml:space="preserve">, </w:t>
      </w:r>
      <w:r w:rsidRPr="00E354FC">
        <w:rPr>
          <w:rFonts w:ascii="Arial" w:hAnsi="Arial" w:cs="Arial"/>
          <w:b/>
          <w:bCs/>
          <w:color w:val="000000"/>
        </w:rPr>
        <w:t>contestando la demanda</w:t>
      </w:r>
      <w:r>
        <w:rPr>
          <w:rFonts w:ascii="Arial" w:hAnsi="Arial" w:cs="Arial"/>
          <w:b/>
          <w:bCs/>
          <w:color w:val="000000"/>
        </w:rPr>
        <w:t xml:space="preserve"> </w:t>
      </w:r>
      <w:r>
        <w:rPr>
          <w:rFonts w:ascii="Arial" w:hAnsi="Arial" w:cs="Arial"/>
          <w:color w:val="000000"/>
        </w:rPr>
        <w:t xml:space="preserve">en representación de la autoridad demandada, haciendo valer sus argumentos y defensas, así también acreditando su personalidad y ofreciendo pruebas.  Por último, se señaló fecha y hora para la audiencia final. - - - - - - - - - - - - - - - - - - - - - - </w:t>
      </w:r>
      <w:r w:rsidR="00D82424">
        <w:rPr>
          <w:rFonts w:ascii="Arial" w:hAnsi="Arial" w:cs="Arial"/>
          <w:color w:val="000000"/>
        </w:rPr>
        <w:t>- - - - - - - - -</w:t>
      </w:r>
    </w:p>
    <w:p w14:paraId="566380E7" w14:textId="77777777" w:rsidR="00834974" w:rsidRDefault="00834974" w:rsidP="00834974">
      <w:pPr>
        <w:spacing w:line="360" w:lineRule="auto"/>
        <w:ind w:right="-567" w:firstLine="708"/>
        <w:jc w:val="both"/>
        <w:rPr>
          <w:rFonts w:ascii="Arial" w:hAnsi="Arial" w:cs="Arial"/>
          <w:b/>
        </w:rPr>
      </w:pPr>
    </w:p>
    <w:p w14:paraId="4254F1EA" w14:textId="12885803" w:rsidR="00834974" w:rsidRDefault="00834974" w:rsidP="00834974">
      <w:pPr>
        <w:spacing w:line="360" w:lineRule="auto"/>
        <w:ind w:right="-567" w:firstLine="708"/>
        <w:jc w:val="both"/>
        <w:rPr>
          <w:rFonts w:ascii="Arial" w:hAnsi="Arial" w:cs="Arial"/>
          <w:bCs/>
        </w:rPr>
      </w:pPr>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rPr>
        <w:t xml:space="preserve">. </w:t>
      </w:r>
      <w:r w:rsidRPr="00E354FC">
        <w:rPr>
          <w:rFonts w:ascii="Arial" w:hAnsi="Arial" w:cs="Arial"/>
          <w:b/>
          <w:bCs/>
        </w:rPr>
        <w:t>La audiencia final</w:t>
      </w:r>
      <w:r w:rsidRPr="00B01BB4">
        <w:rPr>
          <w:rFonts w:ascii="Arial" w:hAnsi="Arial" w:cs="Arial"/>
        </w:rPr>
        <w:t xml:space="preserve"> se celebró </w:t>
      </w:r>
      <w:r>
        <w:rPr>
          <w:rFonts w:ascii="Arial" w:hAnsi="Arial" w:cs="Arial"/>
        </w:rPr>
        <w:t xml:space="preserve">el </w:t>
      </w:r>
      <w:r w:rsidR="00417A9E">
        <w:rPr>
          <w:rFonts w:ascii="Arial" w:hAnsi="Arial" w:cs="Arial"/>
        </w:rPr>
        <w:t>cinco</w:t>
      </w:r>
      <w:r>
        <w:rPr>
          <w:rFonts w:ascii="Arial" w:hAnsi="Arial" w:cs="Arial"/>
        </w:rPr>
        <w:t xml:space="preserve"> de </w:t>
      </w:r>
      <w:r w:rsidR="00417A9E">
        <w:rPr>
          <w:rFonts w:ascii="Arial" w:hAnsi="Arial" w:cs="Arial"/>
        </w:rPr>
        <w:t>julio</w:t>
      </w:r>
      <w:r>
        <w:rPr>
          <w:rFonts w:ascii="Arial" w:hAnsi="Arial" w:cs="Arial"/>
        </w:rPr>
        <w:t xml:space="preserve"> de dos mil veintidós (foja </w:t>
      </w:r>
      <w:r w:rsidR="00417A9E">
        <w:rPr>
          <w:rFonts w:ascii="Arial" w:hAnsi="Arial" w:cs="Arial"/>
        </w:rPr>
        <w:t>77</w:t>
      </w:r>
      <w:r>
        <w:rPr>
          <w:rFonts w:ascii="Arial" w:hAnsi="Arial" w:cs="Arial"/>
        </w:rPr>
        <w:t xml:space="preserve"> del juicio de nulidad)</w:t>
      </w:r>
      <w:r w:rsidRPr="00B01BB4">
        <w:rPr>
          <w:rFonts w:ascii="Arial" w:hAnsi="Arial" w:cs="Arial"/>
        </w:rPr>
        <w:t xml:space="preserve">, </w:t>
      </w:r>
      <w:r>
        <w:rPr>
          <w:rFonts w:ascii="Arial" w:hAnsi="Arial" w:cs="Arial"/>
        </w:rPr>
        <w:t xml:space="preserve">sin la asistencia de las partes, ni persona alguna que legalmente las representara, </w:t>
      </w:r>
      <w:r w:rsidRPr="00B01BB4">
        <w:rPr>
          <w:rFonts w:ascii="Arial" w:hAnsi="Arial" w:cs="Arial"/>
          <w:bCs/>
          <w:lang w:val="es-ES"/>
        </w:rPr>
        <w:t>desahogándose las pruebas ofrecidas y admitidas en el juicio; se abrió el periodo de alegatos y el secretario de acuerdos dio cuenta,</w:t>
      </w:r>
      <w:r>
        <w:rPr>
          <w:rFonts w:ascii="Arial" w:hAnsi="Arial" w:cs="Arial"/>
          <w:bCs/>
          <w:lang w:val="es-ES"/>
        </w:rPr>
        <w:t xml:space="preserve"> </w:t>
      </w:r>
      <w:r>
        <w:rPr>
          <w:rFonts w:ascii="Arial" w:hAnsi="Arial" w:cs="Arial"/>
          <w:bCs/>
        </w:rPr>
        <w:t xml:space="preserve">con </w:t>
      </w:r>
      <w:r w:rsidR="00417A9E">
        <w:rPr>
          <w:rFonts w:ascii="Arial" w:hAnsi="Arial" w:cs="Arial"/>
          <w:bCs/>
        </w:rPr>
        <w:t xml:space="preserve">el escrito de la </w:t>
      </w:r>
      <w:r w:rsidR="00417A9E" w:rsidRPr="00417A9E">
        <w:rPr>
          <w:rFonts w:ascii="Arial" w:hAnsi="Arial" w:cs="Arial"/>
          <w:bCs/>
        </w:rPr>
        <w:t>secretaria de acuerdos de la Comisión de Honor y Justicia de la Secretaría de Seguridad Publica del Poder Ejecutivo del Estado de Oaxaca</w:t>
      </w:r>
      <w:r w:rsidR="000F1687">
        <w:rPr>
          <w:rFonts w:ascii="Arial" w:hAnsi="Arial" w:cs="Arial"/>
          <w:bCs/>
        </w:rPr>
        <w:t xml:space="preserve"> </w:t>
      </w:r>
      <w:r w:rsidR="000F1687">
        <w:rPr>
          <w:rFonts w:ascii="Arial" w:hAnsi="Arial" w:cs="Arial"/>
          <w:color w:val="000000"/>
        </w:rPr>
        <w:t xml:space="preserve">ahora </w:t>
      </w:r>
      <w:r w:rsidR="000F1687">
        <w:rPr>
          <w:rFonts w:ascii="Arial" w:hAnsi="Arial" w:cs="Arial"/>
        </w:rPr>
        <w:t xml:space="preserve">Secretaría de </w:t>
      </w:r>
      <w:r w:rsidR="000F1687">
        <w:rPr>
          <w:rFonts w:ascii="Arial" w:hAnsi="Arial" w:cs="Arial"/>
        </w:rPr>
        <w:lastRenderedPageBreak/>
        <w:t>Seguridad Pública y Protección Ciudadana</w:t>
      </w:r>
      <w:r w:rsidR="00417A9E">
        <w:rPr>
          <w:rFonts w:ascii="Arial" w:hAnsi="Arial" w:cs="Arial"/>
          <w:bCs/>
        </w:rPr>
        <w:t xml:space="preserve">, </w:t>
      </w:r>
      <w:r>
        <w:rPr>
          <w:rFonts w:ascii="Arial" w:hAnsi="Arial" w:cs="Arial"/>
          <w:bCs/>
        </w:rPr>
        <w:t>por el cual formul</w:t>
      </w:r>
      <w:r w:rsidR="00417A9E">
        <w:rPr>
          <w:rFonts w:ascii="Arial" w:hAnsi="Arial" w:cs="Arial"/>
          <w:bCs/>
        </w:rPr>
        <w:t>ó</w:t>
      </w:r>
      <w:r>
        <w:rPr>
          <w:rFonts w:ascii="Arial" w:hAnsi="Arial" w:cs="Arial"/>
          <w:bCs/>
        </w:rPr>
        <w:t xml:space="preserve"> alegatos, mismos que fueron agregados a autos</w:t>
      </w:r>
      <w:r w:rsidRPr="00B01BB4">
        <w:rPr>
          <w:rFonts w:ascii="Arial" w:hAnsi="Arial" w:cs="Arial"/>
          <w:bCs/>
        </w:rPr>
        <w:t>,</w:t>
      </w:r>
      <w:r w:rsidRPr="00DE198A">
        <w:rPr>
          <w:rFonts w:ascii="Arial" w:hAnsi="Arial" w:cs="Arial"/>
          <w:bCs/>
        </w:rPr>
        <w:t xml:space="preserve"> y esta Sala citó a las partes para oír sentencia</w:t>
      </w:r>
      <w:r>
        <w:rPr>
          <w:rFonts w:ascii="Arial" w:hAnsi="Arial" w:cs="Arial"/>
          <w:bCs/>
        </w:rPr>
        <w:t xml:space="preserve">. - - - - - </w:t>
      </w:r>
      <w:r w:rsidR="00D82424">
        <w:rPr>
          <w:rFonts w:ascii="Arial" w:hAnsi="Arial" w:cs="Arial"/>
          <w:bCs/>
        </w:rPr>
        <w:t xml:space="preserve">- - - - - </w:t>
      </w:r>
    </w:p>
    <w:p w14:paraId="791491B6" w14:textId="77777777" w:rsidR="002415E0" w:rsidRDefault="002415E0" w:rsidP="00834974">
      <w:pPr>
        <w:spacing w:line="360" w:lineRule="auto"/>
        <w:ind w:right="-567" w:firstLine="708"/>
        <w:jc w:val="both"/>
        <w:rPr>
          <w:rFonts w:ascii="Arial" w:hAnsi="Arial" w:cs="Arial"/>
          <w:b/>
        </w:rPr>
      </w:pPr>
    </w:p>
    <w:p w14:paraId="62AB7E8A" w14:textId="596F4828" w:rsidR="00417A9E" w:rsidRDefault="002415E0" w:rsidP="00834974">
      <w:pPr>
        <w:spacing w:line="360" w:lineRule="auto"/>
        <w:ind w:right="-567" w:firstLine="708"/>
        <w:jc w:val="both"/>
        <w:rPr>
          <w:rFonts w:ascii="Arial" w:hAnsi="Arial" w:cs="Arial"/>
          <w:bCs/>
        </w:rPr>
      </w:pPr>
      <w:r w:rsidRPr="002415E0">
        <w:rPr>
          <w:rFonts w:ascii="Arial" w:hAnsi="Arial" w:cs="Arial"/>
          <w:b/>
        </w:rPr>
        <w:t>CUARTO.</w:t>
      </w:r>
      <w:r>
        <w:rPr>
          <w:rFonts w:ascii="Arial" w:hAnsi="Arial" w:cs="Arial"/>
          <w:bCs/>
        </w:rPr>
        <w:t xml:space="preserve"> Por acuerdo de veintinueve de noviembre de dos mil veintidós, se aceptó la competencia declinada a esta Sala Especializada (fojas 110 – 111). </w:t>
      </w:r>
      <w:r w:rsidR="00D82424">
        <w:rPr>
          <w:rFonts w:ascii="Arial" w:hAnsi="Arial" w:cs="Arial"/>
          <w:bCs/>
        </w:rPr>
        <w:t xml:space="preserve">- - - - - - - - </w:t>
      </w:r>
    </w:p>
    <w:p w14:paraId="62264466" w14:textId="77777777" w:rsidR="002415E0" w:rsidRDefault="002415E0" w:rsidP="00834974">
      <w:pPr>
        <w:spacing w:line="360" w:lineRule="auto"/>
        <w:ind w:right="-567" w:firstLine="708"/>
        <w:jc w:val="both"/>
        <w:rPr>
          <w:rFonts w:ascii="Arial" w:hAnsi="Arial" w:cs="Arial"/>
          <w:b/>
        </w:rPr>
      </w:pPr>
    </w:p>
    <w:p w14:paraId="5E3774FA" w14:textId="4B57F34E" w:rsidR="002415E0" w:rsidRDefault="002415E0" w:rsidP="00834974">
      <w:pPr>
        <w:spacing w:line="360" w:lineRule="auto"/>
        <w:ind w:right="-567" w:firstLine="708"/>
        <w:jc w:val="both"/>
        <w:rPr>
          <w:rFonts w:ascii="Arial" w:hAnsi="Arial" w:cs="Arial"/>
          <w:bCs/>
        </w:rPr>
      </w:pPr>
      <w:r w:rsidRPr="002415E0">
        <w:rPr>
          <w:rFonts w:ascii="Arial" w:hAnsi="Arial" w:cs="Arial"/>
          <w:b/>
        </w:rPr>
        <w:t>QUINTO.</w:t>
      </w:r>
      <w:r>
        <w:rPr>
          <w:rFonts w:ascii="Arial" w:hAnsi="Arial" w:cs="Arial"/>
          <w:bCs/>
        </w:rPr>
        <w:t xml:space="preserve"> Por acuerdo de doce de diciembre de dos mil veintidós, al no existir impedimento legal alguno para conocer y resolver el presente juicio, se turnó </w:t>
      </w:r>
      <w:r w:rsidR="00D82424">
        <w:rPr>
          <w:rFonts w:ascii="Arial" w:hAnsi="Arial" w:cs="Arial"/>
          <w:bCs/>
        </w:rPr>
        <w:t>para</w:t>
      </w:r>
      <w:r>
        <w:rPr>
          <w:rFonts w:ascii="Arial" w:hAnsi="Arial" w:cs="Arial"/>
          <w:bCs/>
        </w:rPr>
        <w:t xml:space="preserve"> dictado de sentencia, mismo que ahora se </w:t>
      </w:r>
      <w:r w:rsidR="00D82424">
        <w:rPr>
          <w:rFonts w:ascii="Arial" w:hAnsi="Arial" w:cs="Arial"/>
          <w:bCs/>
        </w:rPr>
        <w:t>pronuncia</w:t>
      </w:r>
      <w:r>
        <w:rPr>
          <w:rFonts w:ascii="Arial" w:hAnsi="Arial" w:cs="Arial"/>
          <w:bCs/>
        </w:rPr>
        <w:t xml:space="preserve"> (foja116). </w:t>
      </w:r>
      <w:r w:rsidR="00D82424">
        <w:rPr>
          <w:rFonts w:ascii="Arial" w:hAnsi="Arial" w:cs="Arial"/>
          <w:bCs/>
        </w:rPr>
        <w:t xml:space="preserve">- - - - - - - - - - - - - - - - - - - - - - - - </w:t>
      </w:r>
    </w:p>
    <w:p w14:paraId="2C1E0AE5" w14:textId="77777777" w:rsidR="00D82424" w:rsidRPr="00E66D9E" w:rsidRDefault="00D82424" w:rsidP="00834974">
      <w:pPr>
        <w:spacing w:line="360" w:lineRule="auto"/>
        <w:ind w:right="-567" w:firstLine="708"/>
        <w:jc w:val="both"/>
        <w:rPr>
          <w:rFonts w:ascii="Arial" w:hAnsi="Arial" w:cs="Arial"/>
          <w:bCs/>
        </w:rPr>
      </w:pPr>
    </w:p>
    <w:p w14:paraId="4FD1693C" w14:textId="77777777" w:rsidR="00834974" w:rsidRDefault="00834974" w:rsidP="00834974">
      <w:pPr>
        <w:spacing w:line="360" w:lineRule="auto"/>
        <w:ind w:right="-567" w:firstLine="708"/>
        <w:jc w:val="center"/>
        <w:rPr>
          <w:rFonts w:ascii="Arial" w:hAnsi="Arial" w:cs="Arial"/>
          <w:b/>
          <w:bCs/>
        </w:rPr>
      </w:pPr>
      <w:r w:rsidRPr="00B01BB4">
        <w:rPr>
          <w:rFonts w:ascii="Arial" w:hAnsi="Arial" w:cs="Arial"/>
          <w:b/>
          <w:bCs/>
        </w:rPr>
        <w:t>C O N S I D E R A N D O</w:t>
      </w:r>
    </w:p>
    <w:p w14:paraId="2FBF0AB9" w14:textId="77777777" w:rsidR="00834974" w:rsidRDefault="00834974" w:rsidP="00834974">
      <w:pPr>
        <w:spacing w:line="360" w:lineRule="auto"/>
        <w:ind w:right="-567" w:firstLine="708"/>
        <w:jc w:val="both"/>
        <w:rPr>
          <w:rFonts w:ascii="Arial" w:hAnsi="Arial" w:cs="Arial"/>
          <w:b/>
          <w:bCs/>
          <w:color w:val="000000"/>
        </w:rPr>
      </w:pPr>
    </w:p>
    <w:p w14:paraId="4F0B3293" w14:textId="77777777" w:rsidR="00834974" w:rsidRPr="00DE198A" w:rsidRDefault="00834974" w:rsidP="00834974">
      <w:pPr>
        <w:spacing w:line="360" w:lineRule="auto"/>
        <w:ind w:right="-567" w:firstLine="708"/>
        <w:jc w:val="both"/>
        <w:rPr>
          <w:rFonts w:ascii="Arial" w:hAnsi="Arial" w:cs="Arial"/>
          <w:b/>
          <w:bCs/>
        </w:rPr>
      </w:pPr>
      <w:r w:rsidRPr="00DE198A">
        <w:rPr>
          <w:rFonts w:ascii="Arial" w:hAnsi="Arial" w:cs="Arial"/>
          <w:b/>
          <w:bCs/>
          <w:color w:val="000000"/>
        </w:rPr>
        <w:t xml:space="preserve">PRIMERO. </w:t>
      </w:r>
      <w:r w:rsidRPr="00DE198A">
        <w:rPr>
          <w:rFonts w:ascii="Arial" w:hAnsi="Arial" w:cs="Arial"/>
          <w:color w:val="000000"/>
        </w:rPr>
        <w:t xml:space="preserve">Esta Sala Especializada en Materia de Responsabilidades Administrativas y Combate a la Corrupción del Tribunal de Justicia Administrativa del Estado de Oaxaca, </w:t>
      </w:r>
      <w:r w:rsidRPr="00DE198A">
        <w:rPr>
          <w:rFonts w:ascii="Arial" w:hAnsi="Arial" w:cs="Arial"/>
          <w:b/>
          <w:bCs/>
          <w:color w:val="000000"/>
        </w:rPr>
        <w:t>es legalmente competente para conocer y resolver este juicio de nulidad,</w:t>
      </w:r>
      <w:r w:rsidRPr="00DE198A">
        <w:rPr>
          <w:rFonts w:ascii="Arial" w:hAnsi="Arial" w:cs="Arial"/>
          <w:color w:val="000000"/>
        </w:rPr>
        <w:t xml:space="preserve"> en términos de l</w:t>
      </w:r>
      <w:r w:rsidRPr="00DE198A">
        <w:rPr>
          <w:rFonts w:ascii="Arial" w:hAnsi="Arial" w:cs="Arial"/>
          <w:color w:val="000000"/>
          <w:lang w:val="es-ES_tradnl"/>
        </w:rPr>
        <w:t xml:space="preserve">os artículos 109 párrafo primero de la fracción V, de la Constitución Política de los Estados Unidos Mexicanos, 114 QUÁTER, párrafo primero, inciso B) fracción VI, de la Constitución Política del Estado Libre y Soberano del Estado de Oaxaca, </w:t>
      </w:r>
      <w:bookmarkStart w:id="3" w:name="_Hlk89243835"/>
      <w:r w:rsidRPr="00DE198A">
        <w:rPr>
          <w:rFonts w:ascii="Arial" w:hAnsi="Arial" w:cs="Arial"/>
          <w:color w:val="FF0000"/>
          <w:lang w:val="es-ES_tradnl"/>
        </w:rPr>
        <w:t xml:space="preserve">35 fracciones I, II </w:t>
      </w:r>
      <w:bookmarkEnd w:id="3"/>
      <w:r w:rsidRPr="00DE198A">
        <w:rPr>
          <w:rFonts w:ascii="Arial" w:hAnsi="Arial" w:cs="Arial"/>
          <w:color w:val="000000"/>
          <w:lang w:val="es-ES_tradnl"/>
        </w:rPr>
        <w:t>de la Ley Orgánica del Tribunal de Justicia Administrativa del Estado de Oaxaca, 132 fracción I, II, 206, de la Ley de Procedimiento y Justicia Administrativa para el Estado de Oaxaca, artículo segundo, párrafo segundo, inciso b), del Acuerdo General AG/TJAO/13/2020, dictado por el Pleno del Tribunal de Justicia Administrativa del Estado de Oaxaca, publicado en el Boletín Jurisdiccional de este Tribunal, el doce de agosto de dos mil veinte</w:t>
      </w:r>
      <w:r w:rsidRPr="00DE198A">
        <w:rPr>
          <w:rFonts w:ascii="Arial" w:hAnsi="Arial" w:cs="Arial"/>
        </w:rPr>
        <w:t xml:space="preserve">. - - - - - - - - - - - - - - - - - - - - - - - - - - - - - - - </w:t>
      </w:r>
    </w:p>
    <w:p w14:paraId="7BA0034C" w14:textId="77777777" w:rsidR="00834974" w:rsidRDefault="00834974" w:rsidP="00834974">
      <w:pPr>
        <w:spacing w:line="360" w:lineRule="auto"/>
        <w:ind w:right="-567" w:firstLine="708"/>
        <w:jc w:val="both"/>
        <w:rPr>
          <w:rFonts w:ascii="Arial" w:hAnsi="Arial" w:cs="Arial"/>
          <w:b/>
          <w:bCs/>
        </w:rPr>
      </w:pPr>
    </w:p>
    <w:p w14:paraId="44AB68E7" w14:textId="231ADC60" w:rsidR="00834974" w:rsidRPr="00236CED" w:rsidRDefault="00834974" w:rsidP="00834974">
      <w:pPr>
        <w:spacing w:line="360" w:lineRule="auto"/>
        <w:ind w:right="-567" w:firstLine="708"/>
        <w:jc w:val="both"/>
        <w:rPr>
          <w:rFonts w:ascii="Arial" w:hAnsi="Arial" w:cs="Arial"/>
          <w:bCs/>
          <w:lang w:val="es-ES"/>
        </w:rPr>
      </w:pPr>
      <w:r w:rsidRPr="00B01BB4">
        <w:rPr>
          <w:rFonts w:ascii="Arial" w:hAnsi="Arial" w:cs="Arial"/>
          <w:b/>
          <w:bCs/>
        </w:rPr>
        <w:t>SEGUNDO.</w:t>
      </w:r>
      <w:r>
        <w:rPr>
          <w:rFonts w:ascii="Arial" w:hAnsi="Arial" w:cs="Arial"/>
          <w:b/>
          <w:bCs/>
        </w:rPr>
        <w:t xml:space="preserve"> Personalidad.</w:t>
      </w:r>
      <w:r w:rsidRPr="00B01BB4">
        <w:rPr>
          <w:rFonts w:ascii="Arial" w:hAnsi="Arial" w:cs="Arial"/>
          <w:bCs/>
        </w:rPr>
        <w:t xml:space="preserve"> </w:t>
      </w:r>
      <w:r w:rsidRPr="00CD763E">
        <w:rPr>
          <w:rFonts w:ascii="Arial" w:hAnsi="Arial" w:cs="Arial"/>
        </w:rPr>
        <w:t xml:space="preserve">La personalidad de las partes, </w:t>
      </w:r>
      <w:r w:rsidRPr="00E354FC">
        <w:rPr>
          <w:rFonts w:ascii="Arial" w:hAnsi="Arial" w:cs="Arial"/>
          <w:b/>
          <w:bCs/>
        </w:rPr>
        <w:t>quedó acreditada</w:t>
      </w:r>
      <w:r w:rsidRPr="00CD763E">
        <w:rPr>
          <w:rFonts w:ascii="Arial" w:hAnsi="Arial" w:cs="Arial"/>
        </w:rPr>
        <w:t xml:space="preserve"> en términos del artículo 148 </w:t>
      </w:r>
      <w:r>
        <w:rPr>
          <w:rFonts w:ascii="Arial" w:hAnsi="Arial" w:cs="Arial"/>
        </w:rPr>
        <w:t xml:space="preserve">párrafo primero y segundo </w:t>
      </w:r>
      <w:r w:rsidRPr="00CD763E">
        <w:rPr>
          <w:rFonts w:ascii="Arial" w:hAnsi="Arial" w:cs="Arial"/>
        </w:rPr>
        <w:t>y 151 de la Ley de Procedimiento de Justicia Administrativa para el Estado</w:t>
      </w:r>
      <w:r>
        <w:rPr>
          <w:rFonts w:ascii="Arial" w:hAnsi="Arial" w:cs="Arial"/>
        </w:rPr>
        <w:t xml:space="preserve"> de Oaxaca</w:t>
      </w:r>
      <w:r w:rsidRPr="00CD763E">
        <w:rPr>
          <w:rFonts w:ascii="Arial" w:hAnsi="Arial" w:cs="Arial"/>
        </w:rPr>
        <w:t xml:space="preserve">, </w:t>
      </w:r>
      <w:r w:rsidRPr="00CD763E">
        <w:rPr>
          <w:rFonts w:ascii="Arial" w:hAnsi="Arial" w:cs="Arial"/>
          <w:bCs/>
          <w:color w:val="000000"/>
        </w:rPr>
        <w:t xml:space="preserve">ya que </w:t>
      </w:r>
      <w:r>
        <w:rPr>
          <w:rFonts w:ascii="Arial" w:hAnsi="Arial" w:cs="Arial"/>
          <w:bCs/>
          <w:color w:val="000000"/>
        </w:rPr>
        <w:t>el</w:t>
      </w:r>
      <w:r w:rsidRPr="00CD763E">
        <w:rPr>
          <w:rFonts w:ascii="Arial" w:hAnsi="Arial" w:cs="Arial"/>
          <w:bCs/>
          <w:color w:val="000000"/>
        </w:rPr>
        <w:t xml:space="preserve"> actor</w:t>
      </w:r>
      <w:r>
        <w:rPr>
          <w:rFonts w:ascii="Arial" w:hAnsi="Arial" w:cs="Arial"/>
          <w:bCs/>
          <w:color w:val="000000"/>
        </w:rPr>
        <w:t xml:space="preserve"> </w:t>
      </w:r>
      <w:r w:rsidR="007B452B">
        <w:rPr>
          <w:rFonts w:ascii="Arial" w:hAnsi="Arial" w:cs="Arial"/>
          <w:b/>
          <w:bCs/>
        </w:rPr>
        <w:t>********</w:t>
      </w:r>
      <w:r>
        <w:rPr>
          <w:rFonts w:ascii="Arial" w:hAnsi="Arial" w:cs="Arial"/>
        </w:rPr>
        <w:t>, promueve por su propio derecho</w:t>
      </w:r>
      <w:r w:rsidRPr="00C8530E">
        <w:rPr>
          <w:rFonts w:ascii="Arial" w:hAnsi="Arial" w:cs="Arial"/>
          <w:bCs/>
        </w:rPr>
        <w:t xml:space="preserve"> y</w:t>
      </w:r>
      <w:r>
        <w:rPr>
          <w:rFonts w:ascii="Arial" w:hAnsi="Arial" w:cs="Arial"/>
          <w:bCs/>
        </w:rPr>
        <w:t xml:space="preserve"> </w:t>
      </w:r>
      <w:r w:rsidR="000F1687">
        <w:rPr>
          <w:rFonts w:ascii="Arial" w:hAnsi="Arial" w:cs="Arial"/>
          <w:bCs/>
        </w:rPr>
        <w:t>la</w:t>
      </w:r>
      <w:r>
        <w:rPr>
          <w:rFonts w:ascii="Arial" w:hAnsi="Arial" w:cs="Arial"/>
          <w:bCs/>
        </w:rPr>
        <w:t xml:space="preserve"> </w:t>
      </w:r>
      <w:r w:rsidR="000F1687" w:rsidRPr="000F1687">
        <w:rPr>
          <w:rFonts w:ascii="Arial" w:hAnsi="Arial" w:cs="Arial"/>
          <w:bCs/>
        </w:rPr>
        <w:t>secretaria de acuerdos de la Comisión de Honor y Justicia de la Secretaría de Seguridad Publica del Poder Ejecutivo del Estado de Oaxaca ahora Secretaría de Seguridad Pública y Protección Ciudadana</w:t>
      </w:r>
      <w:r>
        <w:rPr>
          <w:rFonts w:ascii="Arial" w:hAnsi="Arial" w:cs="Arial"/>
          <w:bCs/>
        </w:rPr>
        <w:t xml:space="preserve">, </w:t>
      </w:r>
      <w:r w:rsidRPr="00236CED">
        <w:rPr>
          <w:rFonts w:ascii="Arial" w:hAnsi="Arial" w:cs="Arial"/>
          <w:bCs/>
          <w:lang w:val="es-ES"/>
        </w:rPr>
        <w:t xml:space="preserve">compareció en </w:t>
      </w:r>
      <w:r w:rsidRPr="00236CED">
        <w:rPr>
          <w:rFonts w:ascii="Arial" w:hAnsi="Arial" w:cs="Arial"/>
          <w:b/>
          <w:bCs/>
          <w:lang w:val="es-ES"/>
        </w:rPr>
        <w:t>representación legal</w:t>
      </w:r>
      <w:r w:rsidRPr="00236CED">
        <w:rPr>
          <w:rFonts w:ascii="Arial" w:hAnsi="Arial" w:cs="Arial"/>
          <w:bCs/>
          <w:lang w:val="es-ES"/>
        </w:rPr>
        <w:t xml:space="preserve"> de la autoridad demandada. - - - - </w:t>
      </w:r>
      <w:r w:rsidR="00BC0D42">
        <w:rPr>
          <w:rFonts w:ascii="Arial" w:hAnsi="Arial" w:cs="Arial"/>
          <w:bCs/>
          <w:lang w:val="es-ES"/>
        </w:rPr>
        <w:t xml:space="preserve">- - - - - - - - - - - - - - - - - - - - - - - </w:t>
      </w:r>
    </w:p>
    <w:p w14:paraId="7EE44E24" w14:textId="77777777" w:rsidR="00834974" w:rsidRDefault="00834974" w:rsidP="00834974">
      <w:pPr>
        <w:spacing w:line="360" w:lineRule="auto"/>
        <w:ind w:right="-567" w:firstLine="708"/>
        <w:jc w:val="both"/>
        <w:rPr>
          <w:rFonts w:ascii="Arial" w:hAnsi="Arial" w:cs="Arial"/>
          <w:b/>
          <w:bCs/>
          <w:color w:val="000000"/>
          <w:lang w:val="es-ES"/>
        </w:rPr>
      </w:pPr>
    </w:p>
    <w:p w14:paraId="1796AE52" w14:textId="6D55A157" w:rsidR="00834974" w:rsidRDefault="00834974" w:rsidP="00834974">
      <w:pPr>
        <w:spacing w:line="360" w:lineRule="auto"/>
        <w:ind w:left="142" w:right="-660" w:firstLine="708"/>
        <w:jc w:val="both"/>
        <w:rPr>
          <w:rFonts w:ascii="Arial" w:hAnsi="Arial" w:cs="Arial"/>
          <w:color w:val="000000"/>
        </w:rPr>
      </w:pPr>
      <w:r>
        <w:rPr>
          <w:rFonts w:ascii="Arial" w:hAnsi="Arial" w:cs="Arial"/>
          <w:b/>
          <w:bCs/>
          <w:color w:val="000000"/>
          <w:lang w:val="es-ES"/>
        </w:rPr>
        <w:t xml:space="preserve">TERCERO. Oportunidad para la presentación de la demanda. </w:t>
      </w:r>
      <w:r w:rsidRPr="00827D21">
        <w:rPr>
          <w:rFonts w:ascii="Arial" w:hAnsi="Arial" w:cs="Arial"/>
          <w:color w:val="000000"/>
        </w:rPr>
        <w:t xml:space="preserve">Señala </w:t>
      </w:r>
      <w:r>
        <w:rPr>
          <w:rFonts w:ascii="Arial" w:hAnsi="Arial" w:cs="Arial"/>
          <w:color w:val="000000"/>
        </w:rPr>
        <w:t>el</w:t>
      </w:r>
      <w:r w:rsidRPr="00827D21">
        <w:rPr>
          <w:rFonts w:ascii="Arial" w:hAnsi="Arial" w:cs="Arial"/>
          <w:color w:val="000000"/>
        </w:rPr>
        <w:t xml:space="preserve"> </w:t>
      </w:r>
      <w:r>
        <w:rPr>
          <w:rFonts w:ascii="Arial" w:hAnsi="Arial" w:cs="Arial"/>
          <w:color w:val="000000"/>
        </w:rPr>
        <w:t>actor</w:t>
      </w:r>
      <w:r w:rsidRPr="00827D21">
        <w:rPr>
          <w:rFonts w:ascii="Arial" w:hAnsi="Arial" w:cs="Arial"/>
          <w:color w:val="000000"/>
        </w:rPr>
        <w:t>,</w:t>
      </w:r>
      <w:r>
        <w:rPr>
          <w:rFonts w:ascii="Arial" w:hAnsi="Arial" w:cs="Arial"/>
          <w:color w:val="000000"/>
        </w:rPr>
        <w:t xml:space="preserve"> en su escrito de demanda</w:t>
      </w:r>
      <w:r w:rsidRPr="00827D21">
        <w:rPr>
          <w:rFonts w:ascii="Arial" w:hAnsi="Arial" w:cs="Arial"/>
          <w:color w:val="000000"/>
        </w:rPr>
        <w:t xml:space="preserve"> que </w:t>
      </w:r>
      <w:r w:rsidRPr="009F2178">
        <w:rPr>
          <w:rFonts w:ascii="Arial" w:hAnsi="Arial" w:cs="Arial"/>
          <w:i/>
          <w:iCs/>
          <w:color w:val="000000"/>
        </w:rPr>
        <w:t>tuvo conocimiento</w:t>
      </w:r>
      <w:r w:rsidRPr="00827D21">
        <w:rPr>
          <w:rFonts w:ascii="Arial" w:hAnsi="Arial" w:cs="Arial"/>
          <w:color w:val="000000"/>
        </w:rPr>
        <w:t xml:space="preserve"> de la resolución</w:t>
      </w:r>
      <w:r>
        <w:rPr>
          <w:rFonts w:ascii="Arial" w:hAnsi="Arial" w:cs="Arial"/>
          <w:color w:val="000000"/>
        </w:rPr>
        <w:t xml:space="preserve"> </w:t>
      </w:r>
      <w:r w:rsidRPr="00827D21">
        <w:rPr>
          <w:rFonts w:ascii="Arial" w:hAnsi="Arial" w:cs="Arial"/>
          <w:color w:val="000000"/>
        </w:rPr>
        <w:t>impugnada</w:t>
      </w:r>
      <w:r>
        <w:rPr>
          <w:rFonts w:ascii="Arial" w:hAnsi="Arial" w:cs="Arial"/>
          <w:color w:val="000000"/>
        </w:rPr>
        <w:t xml:space="preserve">, </w:t>
      </w:r>
      <w:r w:rsidRPr="00E66D9E">
        <w:rPr>
          <w:rFonts w:ascii="Arial" w:hAnsi="Arial" w:cs="Arial"/>
          <w:i/>
          <w:iCs/>
          <w:color w:val="000000"/>
          <w:lang w:val="es-ES"/>
        </w:rPr>
        <w:t xml:space="preserve">el </w:t>
      </w:r>
      <w:r w:rsidR="001E159D">
        <w:rPr>
          <w:rFonts w:ascii="Arial" w:hAnsi="Arial" w:cs="Arial"/>
          <w:i/>
          <w:iCs/>
          <w:color w:val="000000"/>
          <w:lang w:val="es-ES"/>
        </w:rPr>
        <w:t>seis</w:t>
      </w:r>
      <w:r w:rsidRPr="00E66D9E">
        <w:rPr>
          <w:rFonts w:ascii="Arial" w:hAnsi="Arial" w:cs="Arial"/>
          <w:i/>
          <w:iCs/>
          <w:color w:val="000000"/>
          <w:lang w:val="es-ES"/>
        </w:rPr>
        <w:t xml:space="preserve"> de </w:t>
      </w:r>
      <w:r w:rsidR="001E159D">
        <w:rPr>
          <w:rFonts w:ascii="Arial" w:hAnsi="Arial" w:cs="Arial"/>
          <w:i/>
          <w:iCs/>
          <w:color w:val="000000"/>
          <w:lang w:val="es-ES"/>
        </w:rPr>
        <w:t>octubre</w:t>
      </w:r>
      <w:r w:rsidRPr="00E66D9E">
        <w:rPr>
          <w:rFonts w:ascii="Arial" w:hAnsi="Arial" w:cs="Arial"/>
          <w:i/>
          <w:iCs/>
          <w:color w:val="000000"/>
          <w:lang w:val="es-ES"/>
        </w:rPr>
        <w:t xml:space="preserve"> de dos mil veint</w:t>
      </w:r>
      <w:r>
        <w:rPr>
          <w:rFonts w:ascii="Arial" w:hAnsi="Arial" w:cs="Arial"/>
          <w:i/>
          <w:iCs/>
          <w:color w:val="000000"/>
          <w:lang w:val="es-ES"/>
        </w:rPr>
        <w:t>iuno</w:t>
      </w:r>
      <w:r>
        <w:rPr>
          <w:rFonts w:ascii="Arial" w:hAnsi="Arial" w:cs="Arial"/>
          <w:color w:val="000000"/>
        </w:rPr>
        <w:t xml:space="preserve">; en el </w:t>
      </w:r>
      <w:r w:rsidR="001E159D">
        <w:rPr>
          <w:rFonts w:ascii="Arial" w:hAnsi="Arial" w:cs="Arial"/>
          <w:bCs/>
        </w:rPr>
        <w:t>expediente SSP/CHJ/E.A/002/202</w:t>
      </w:r>
      <w:r>
        <w:rPr>
          <w:rFonts w:ascii="Arial" w:hAnsi="Arial" w:cs="Arial"/>
          <w:lang w:val="es-ES"/>
        </w:rPr>
        <w:t>, igualmente</w:t>
      </w:r>
      <w:r w:rsidRPr="00DE198A">
        <w:rPr>
          <w:rFonts w:ascii="Arial" w:hAnsi="Arial" w:cs="Arial"/>
          <w:lang w:val="es-ES"/>
        </w:rPr>
        <w:t xml:space="preserve"> anex</w:t>
      </w:r>
      <w:r>
        <w:rPr>
          <w:rFonts w:ascii="Arial" w:hAnsi="Arial" w:cs="Arial"/>
          <w:lang w:val="es-ES"/>
        </w:rPr>
        <w:t>a,</w:t>
      </w:r>
      <w:r>
        <w:rPr>
          <w:rFonts w:ascii="Arial" w:hAnsi="Arial" w:cs="Arial"/>
          <w:color w:val="000000"/>
        </w:rPr>
        <w:t xml:space="preserve"> </w:t>
      </w:r>
      <w:r w:rsidRPr="008F776D">
        <w:rPr>
          <w:rFonts w:ascii="Arial" w:hAnsi="Arial" w:cs="Arial"/>
        </w:rPr>
        <w:t xml:space="preserve">la </w:t>
      </w:r>
      <w:r>
        <w:rPr>
          <w:rFonts w:ascii="Arial" w:hAnsi="Arial" w:cs="Arial"/>
          <w:color w:val="000000"/>
        </w:rPr>
        <w:t xml:space="preserve">cédula de notificación realizada al hoy actor, el </w:t>
      </w:r>
      <w:r w:rsidR="001E159D">
        <w:rPr>
          <w:rFonts w:ascii="Arial" w:hAnsi="Arial" w:cs="Arial"/>
          <w:color w:val="000000"/>
        </w:rPr>
        <w:t>seis</w:t>
      </w:r>
      <w:r w:rsidRPr="006F2E45">
        <w:rPr>
          <w:rFonts w:ascii="Arial" w:hAnsi="Arial" w:cs="Arial"/>
          <w:color w:val="000000"/>
        </w:rPr>
        <w:t xml:space="preserve"> de </w:t>
      </w:r>
      <w:r w:rsidR="001E159D">
        <w:rPr>
          <w:rFonts w:ascii="Arial" w:hAnsi="Arial" w:cs="Arial"/>
          <w:color w:val="000000"/>
        </w:rPr>
        <w:t>otubre</w:t>
      </w:r>
      <w:r w:rsidRPr="006F2E45">
        <w:rPr>
          <w:rFonts w:ascii="Arial" w:hAnsi="Arial" w:cs="Arial"/>
          <w:color w:val="000000"/>
        </w:rPr>
        <w:t xml:space="preserve"> de dos mil veint</w:t>
      </w:r>
      <w:r>
        <w:rPr>
          <w:rFonts w:ascii="Arial" w:hAnsi="Arial" w:cs="Arial"/>
          <w:color w:val="000000"/>
        </w:rPr>
        <w:t xml:space="preserve">iuno (foja </w:t>
      </w:r>
      <w:r>
        <w:rPr>
          <w:rFonts w:ascii="Arial" w:hAnsi="Arial" w:cs="Arial"/>
          <w:lang w:val="es-ES"/>
        </w:rPr>
        <w:t>2</w:t>
      </w:r>
      <w:r w:rsidR="001E159D">
        <w:rPr>
          <w:rFonts w:ascii="Arial" w:hAnsi="Arial" w:cs="Arial"/>
          <w:lang w:val="es-ES"/>
        </w:rPr>
        <w:t>0</w:t>
      </w:r>
      <w:r w:rsidRPr="00DE198A">
        <w:rPr>
          <w:rFonts w:ascii="Arial" w:hAnsi="Arial" w:cs="Arial"/>
          <w:lang w:val="es-ES"/>
        </w:rPr>
        <w:t xml:space="preserve"> </w:t>
      </w:r>
      <w:r>
        <w:rPr>
          <w:rFonts w:ascii="Arial" w:hAnsi="Arial" w:cs="Arial"/>
          <w:lang w:val="es-ES"/>
        </w:rPr>
        <w:t>del juicio de nulidad</w:t>
      </w:r>
      <w:r>
        <w:rPr>
          <w:rFonts w:ascii="Arial" w:hAnsi="Arial" w:cs="Arial"/>
          <w:color w:val="000000"/>
        </w:rPr>
        <w:t>), de la resolución impugnada; documentos hacen prueba plena en términos del artículo 203 fracción I de la Ley de Procedimientos y Justicia Administrativa para el Estado de Oaxaca. - - - - - - - - - - - - - - - - - - - - - - - - - - - - - - - - - -</w:t>
      </w:r>
    </w:p>
    <w:p w14:paraId="0AAA415B" w14:textId="77777777" w:rsidR="00834974" w:rsidRDefault="00834974" w:rsidP="00834974">
      <w:pPr>
        <w:spacing w:line="360" w:lineRule="auto"/>
        <w:ind w:right="-567"/>
        <w:jc w:val="both"/>
        <w:rPr>
          <w:rFonts w:ascii="Arial" w:hAnsi="Arial" w:cs="Arial"/>
          <w:b/>
          <w:bCs/>
          <w:color w:val="000000"/>
          <w:lang w:val="es-ES"/>
        </w:rPr>
      </w:pPr>
    </w:p>
    <w:p w14:paraId="4099F110" w14:textId="1E86B334" w:rsidR="00834974" w:rsidRDefault="00834974" w:rsidP="00834974">
      <w:pPr>
        <w:spacing w:line="360" w:lineRule="auto"/>
        <w:ind w:right="-567" w:firstLine="708"/>
        <w:jc w:val="both"/>
        <w:rPr>
          <w:rFonts w:ascii="Arial" w:hAnsi="Arial" w:cs="Arial"/>
          <w:lang w:val="es-ES"/>
        </w:rPr>
      </w:pPr>
      <w:r w:rsidRPr="00DE198A">
        <w:rPr>
          <w:rFonts w:ascii="Arial" w:hAnsi="Arial" w:cs="Arial"/>
          <w:lang w:val="es-ES"/>
        </w:rPr>
        <w:lastRenderedPageBreak/>
        <w:t xml:space="preserve">Como ha quedado precisado en el párrafo que antecede, que la parte actora se notificó el </w:t>
      </w:r>
      <w:r w:rsidR="001E159D">
        <w:rPr>
          <w:rFonts w:ascii="Arial" w:hAnsi="Arial" w:cs="Arial"/>
          <w:lang w:val="es-ES"/>
        </w:rPr>
        <w:t>seis</w:t>
      </w:r>
      <w:r w:rsidRPr="00DE198A">
        <w:rPr>
          <w:rFonts w:ascii="Arial" w:hAnsi="Arial" w:cs="Arial"/>
          <w:lang w:val="es-ES"/>
        </w:rPr>
        <w:t xml:space="preserve"> de </w:t>
      </w:r>
      <w:r w:rsidR="001E159D">
        <w:rPr>
          <w:rFonts w:ascii="Arial" w:hAnsi="Arial" w:cs="Arial"/>
          <w:lang w:val="es-ES"/>
        </w:rPr>
        <w:t>octubre</w:t>
      </w:r>
      <w:r w:rsidRPr="00DE198A">
        <w:rPr>
          <w:rFonts w:ascii="Arial" w:hAnsi="Arial" w:cs="Arial"/>
          <w:lang w:val="es-ES"/>
        </w:rPr>
        <w:t xml:space="preserve"> de dos mil </w:t>
      </w:r>
      <w:r w:rsidR="001E159D">
        <w:rPr>
          <w:rFonts w:ascii="Arial" w:hAnsi="Arial" w:cs="Arial"/>
          <w:lang w:val="es-ES"/>
        </w:rPr>
        <w:t>veintiuno</w:t>
      </w:r>
      <w:r w:rsidRPr="00DE198A">
        <w:rPr>
          <w:rFonts w:ascii="Arial" w:hAnsi="Arial" w:cs="Arial"/>
          <w:lang w:val="es-ES"/>
        </w:rPr>
        <w:t xml:space="preserve">, por lo que, para efecto de determinar la </w:t>
      </w:r>
      <w:r w:rsidRPr="00DE198A">
        <w:rPr>
          <w:rFonts w:ascii="Arial" w:hAnsi="Arial" w:cs="Arial"/>
          <w:i/>
          <w:iCs/>
          <w:u w:val="single"/>
          <w:lang w:val="es-ES"/>
        </w:rPr>
        <w:t>oportunidad de la presentación de la demanda,</w:t>
      </w:r>
      <w:r w:rsidRPr="00DE198A">
        <w:rPr>
          <w:rFonts w:ascii="Arial" w:hAnsi="Arial" w:cs="Arial"/>
          <w:lang w:val="es-ES"/>
        </w:rPr>
        <w:t xml:space="preserve"> </w:t>
      </w:r>
      <w:r w:rsidRPr="00DE198A">
        <w:rPr>
          <w:rFonts w:ascii="Arial" w:hAnsi="Arial" w:cs="Arial"/>
          <w:b/>
          <w:bCs/>
          <w:lang w:val="es-ES"/>
        </w:rPr>
        <w:t>se tiene por hecha la notificación</w:t>
      </w:r>
      <w:r w:rsidRPr="00DE198A">
        <w:rPr>
          <w:rFonts w:ascii="Arial" w:hAnsi="Arial" w:cs="Arial"/>
          <w:lang w:val="es-ES"/>
        </w:rPr>
        <w:t xml:space="preserve"> para esta Sala, </w:t>
      </w:r>
      <w:r w:rsidRPr="00DE198A">
        <w:rPr>
          <w:rFonts w:ascii="Arial" w:hAnsi="Arial" w:cs="Arial"/>
          <w:i/>
          <w:iCs/>
          <w:lang w:val="es-ES"/>
        </w:rPr>
        <w:t xml:space="preserve">el </w:t>
      </w:r>
      <w:r w:rsidR="001E159D">
        <w:rPr>
          <w:rFonts w:ascii="Arial" w:hAnsi="Arial" w:cs="Arial"/>
          <w:i/>
          <w:iCs/>
          <w:lang w:val="es-ES"/>
        </w:rPr>
        <w:t>seis</w:t>
      </w:r>
      <w:r w:rsidRPr="00DE198A">
        <w:rPr>
          <w:rFonts w:ascii="Arial" w:hAnsi="Arial" w:cs="Arial"/>
          <w:i/>
          <w:iCs/>
          <w:lang w:val="es-ES"/>
        </w:rPr>
        <w:t xml:space="preserve"> de </w:t>
      </w:r>
      <w:r w:rsidR="001E159D">
        <w:rPr>
          <w:rFonts w:ascii="Arial" w:hAnsi="Arial" w:cs="Arial"/>
          <w:i/>
          <w:iCs/>
          <w:lang w:val="es-ES"/>
        </w:rPr>
        <w:t>octubre</w:t>
      </w:r>
      <w:r w:rsidRPr="00DE198A">
        <w:rPr>
          <w:rFonts w:ascii="Arial" w:hAnsi="Arial" w:cs="Arial"/>
          <w:i/>
          <w:iCs/>
          <w:lang w:val="es-ES"/>
        </w:rPr>
        <w:t xml:space="preserve"> de dos mil veintiuno,</w:t>
      </w:r>
      <w:r w:rsidRPr="00DE198A">
        <w:rPr>
          <w:rFonts w:ascii="Arial" w:hAnsi="Arial" w:cs="Arial"/>
          <w:lang w:val="es-ES"/>
        </w:rPr>
        <w:t xml:space="preserve"> día hábil para este órgano jurisdiccional, </w:t>
      </w:r>
      <w:r>
        <w:rPr>
          <w:rFonts w:ascii="Arial" w:hAnsi="Arial" w:cs="Arial"/>
          <w:lang w:val="es-ES"/>
        </w:rPr>
        <w:t>y</w:t>
      </w:r>
      <w:r w:rsidRPr="00DE198A">
        <w:rPr>
          <w:rFonts w:ascii="Arial" w:hAnsi="Arial" w:cs="Arial"/>
          <w:lang w:val="es-ES"/>
        </w:rPr>
        <w:t xml:space="preserve"> </w:t>
      </w:r>
      <w:r w:rsidRPr="00DE198A">
        <w:rPr>
          <w:rFonts w:ascii="Arial" w:hAnsi="Arial" w:cs="Arial"/>
          <w:b/>
          <w:bCs/>
          <w:lang w:val="es-ES"/>
        </w:rPr>
        <w:t>surte efectos la notificación</w:t>
      </w:r>
      <w:r w:rsidRPr="00DE198A">
        <w:rPr>
          <w:rFonts w:ascii="Arial" w:hAnsi="Arial" w:cs="Arial"/>
          <w:lang w:val="es-ES"/>
        </w:rPr>
        <w:t xml:space="preserve"> el </w:t>
      </w:r>
      <w:r w:rsidR="001E159D">
        <w:rPr>
          <w:rFonts w:ascii="Arial" w:hAnsi="Arial" w:cs="Arial"/>
          <w:lang w:val="es-ES"/>
        </w:rPr>
        <w:t>siete</w:t>
      </w:r>
      <w:r w:rsidRPr="00DE198A">
        <w:rPr>
          <w:rFonts w:ascii="Arial" w:hAnsi="Arial" w:cs="Arial"/>
          <w:lang w:val="es-ES"/>
        </w:rPr>
        <w:t xml:space="preserve"> de </w:t>
      </w:r>
      <w:r w:rsidR="001E159D">
        <w:rPr>
          <w:rFonts w:ascii="Arial" w:hAnsi="Arial" w:cs="Arial"/>
          <w:lang w:val="es-ES"/>
        </w:rPr>
        <w:t>octubre</w:t>
      </w:r>
      <w:r w:rsidRPr="00DE198A">
        <w:rPr>
          <w:rFonts w:ascii="Arial" w:hAnsi="Arial" w:cs="Arial"/>
          <w:lang w:val="es-ES"/>
        </w:rPr>
        <w:t xml:space="preserve"> de dos mil veintiuno</w:t>
      </w:r>
      <w:r>
        <w:rPr>
          <w:rFonts w:ascii="Arial" w:hAnsi="Arial" w:cs="Arial"/>
          <w:lang w:val="es-ES"/>
        </w:rPr>
        <w:t xml:space="preserve">. - - - - - - - - - - - - </w:t>
      </w:r>
    </w:p>
    <w:p w14:paraId="3095A044" w14:textId="77777777" w:rsidR="00BC0D42" w:rsidRDefault="00BC0D42" w:rsidP="00834974">
      <w:pPr>
        <w:spacing w:line="360" w:lineRule="auto"/>
        <w:ind w:right="-567" w:firstLine="708"/>
        <w:jc w:val="both"/>
        <w:rPr>
          <w:rFonts w:ascii="Arial" w:hAnsi="Arial" w:cs="Arial"/>
          <w:lang w:val="es-ES"/>
        </w:rPr>
      </w:pPr>
    </w:p>
    <w:p w14:paraId="2CC2CF6E" w14:textId="1F0D165F" w:rsidR="00142ABA" w:rsidRDefault="00142ABA" w:rsidP="00834974">
      <w:pPr>
        <w:spacing w:line="360" w:lineRule="auto"/>
        <w:ind w:right="-567" w:firstLine="708"/>
        <w:jc w:val="both"/>
        <w:rPr>
          <w:rFonts w:ascii="Arial" w:hAnsi="Arial" w:cs="Arial"/>
          <w:lang w:val="es-ES"/>
        </w:rPr>
      </w:pPr>
      <w:r>
        <w:rPr>
          <w:rFonts w:ascii="Arial" w:hAnsi="Arial" w:cs="Arial"/>
          <w:lang w:val="es-ES"/>
        </w:rPr>
        <w:t>Excluyéndose los días, doce, veintiuno de octubre, uno, dos y quince de diciembre de dos mil veintiuno, al haberse declarado inhábiles conforme al acuerdo general AG/TJA/02/2021, publicado el cuatro de enero de dos mil veintiuno, en el boletín oficial de este tribunal. - - - - - - -</w:t>
      </w:r>
      <w:r w:rsidR="00BC0D42">
        <w:rPr>
          <w:rFonts w:ascii="Arial" w:hAnsi="Arial" w:cs="Arial"/>
          <w:lang w:val="es-ES"/>
        </w:rPr>
        <w:t xml:space="preserve"> - - - - - - - - - - - - - - - - - - - - - - - - - - - - - - - - - - - - - - - - - - - - - </w:t>
      </w:r>
    </w:p>
    <w:p w14:paraId="1886AE96" w14:textId="194F44B2" w:rsidR="00834974" w:rsidRDefault="00834974" w:rsidP="00834974">
      <w:pPr>
        <w:spacing w:line="360" w:lineRule="auto"/>
        <w:ind w:right="-567"/>
        <w:jc w:val="both"/>
        <w:rPr>
          <w:rFonts w:ascii="Arial" w:hAnsi="Arial" w:cs="Arial"/>
          <w:lang w:val="es-ES"/>
        </w:rPr>
      </w:pPr>
    </w:p>
    <w:p w14:paraId="01E47D5F" w14:textId="110B2B85" w:rsidR="00834974" w:rsidRPr="00DE198A" w:rsidRDefault="00611D20" w:rsidP="00834974">
      <w:pPr>
        <w:spacing w:line="360" w:lineRule="auto"/>
        <w:ind w:right="-567" w:firstLine="708"/>
        <w:jc w:val="both"/>
        <w:rPr>
          <w:rFonts w:ascii="Arial" w:hAnsi="Arial" w:cs="Arial"/>
          <w:lang w:val="es-ES"/>
        </w:rPr>
      </w:pPr>
      <w:r>
        <w:rPr>
          <w:noProof/>
          <w:lang w:eastAsia="es-MX"/>
        </w:rPr>
        <mc:AlternateContent>
          <mc:Choice Requires="wps">
            <w:drawing>
              <wp:anchor distT="0" distB="0" distL="114300" distR="114300" simplePos="0" relativeHeight="251663360" behindDoc="0" locked="0" layoutInCell="1" allowOverlap="1" wp14:anchorId="2293DDCE" wp14:editId="41C5D5FA">
                <wp:simplePos x="0" y="0"/>
                <wp:positionH relativeFrom="leftMargin">
                  <wp:posOffset>182880</wp:posOffset>
                </wp:positionH>
                <wp:positionV relativeFrom="paragraph">
                  <wp:posOffset>1897139</wp:posOffset>
                </wp:positionV>
                <wp:extent cx="1126490" cy="1009650"/>
                <wp:effectExtent l="0" t="0" r="1651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1DB0FD7B" w14:textId="77777777" w:rsidR="007B452B" w:rsidRDefault="007B452B" w:rsidP="007B452B">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3DDCE" id="Cuadro de texto 3" o:spid="_x0000_s1027" type="#_x0000_t202" style="position:absolute;left:0;text-align:left;margin-left:14.4pt;margin-top:149.4pt;width:88.7pt;height:79.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">
                <v:textbox>
                  <w:txbxContent>
                    <w:p w14:paraId="1DB0FD7B" w14:textId="77777777" w:rsidR="007B452B" w:rsidRDefault="007B452B" w:rsidP="007B452B">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834974" w:rsidRPr="00DE198A">
        <w:rPr>
          <w:rFonts w:ascii="Arial" w:hAnsi="Arial" w:cs="Arial"/>
          <w:lang w:val="es-ES"/>
        </w:rPr>
        <w:t xml:space="preserve"> </w:t>
      </w:r>
      <w:r w:rsidR="00834974">
        <w:rPr>
          <w:rFonts w:ascii="Arial" w:hAnsi="Arial" w:cs="Arial"/>
          <w:lang w:val="es-ES"/>
        </w:rPr>
        <w:t>Por lo que,</w:t>
      </w:r>
      <w:r w:rsidR="00834974" w:rsidRPr="00DE198A">
        <w:rPr>
          <w:rFonts w:ascii="Arial" w:hAnsi="Arial" w:cs="Arial"/>
          <w:lang w:val="es-ES"/>
        </w:rPr>
        <w:t xml:space="preserve"> el plazo de los de </w:t>
      </w:r>
      <w:r w:rsidR="00834974" w:rsidRPr="00DE198A">
        <w:rPr>
          <w:rFonts w:ascii="Arial" w:hAnsi="Arial" w:cs="Arial"/>
          <w:b/>
          <w:bCs/>
          <w:lang w:val="es-ES"/>
        </w:rPr>
        <w:t>treinta días hábiles</w:t>
      </w:r>
      <w:r w:rsidR="00834974" w:rsidRPr="00DE198A">
        <w:rPr>
          <w:rFonts w:ascii="Arial" w:hAnsi="Arial" w:cs="Arial"/>
          <w:b/>
          <w:bCs/>
          <w:vertAlign w:val="superscript"/>
          <w:lang w:val="es-ES"/>
        </w:rPr>
        <w:footnoteReference w:id="1"/>
      </w:r>
      <w:r w:rsidR="00834974">
        <w:rPr>
          <w:rFonts w:ascii="Arial" w:hAnsi="Arial" w:cs="Arial"/>
          <w:b/>
          <w:bCs/>
          <w:lang w:val="es-ES"/>
        </w:rPr>
        <w:t xml:space="preserve"> </w:t>
      </w:r>
      <w:r w:rsidR="00834974" w:rsidRPr="0047493B">
        <w:rPr>
          <w:rFonts w:ascii="Arial" w:hAnsi="Arial" w:cs="Arial"/>
          <w:color w:val="000000"/>
        </w:rPr>
        <w:t xml:space="preserve">que señala el artículo 166 de la </w:t>
      </w:r>
      <w:r w:rsidR="00834974">
        <w:rPr>
          <w:rFonts w:ascii="Arial" w:hAnsi="Arial" w:cs="Arial"/>
          <w:color w:val="000000"/>
        </w:rPr>
        <w:t>l</w:t>
      </w:r>
      <w:r w:rsidR="00834974" w:rsidRPr="0047493B">
        <w:rPr>
          <w:rFonts w:ascii="Arial" w:hAnsi="Arial" w:cs="Arial"/>
          <w:color w:val="000000"/>
        </w:rPr>
        <w:t xml:space="preserve">ey de </w:t>
      </w:r>
      <w:r w:rsidR="00834974">
        <w:rPr>
          <w:rFonts w:ascii="Arial" w:hAnsi="Arial" w:cs="Arial"/>
          <w:color w:val="000000"/>
        </w:rPr>
        <w:t>p</w:t>
      </w:r>
      <w:r w:rsidR="00834974" w:rsidRPr="0047493B">
        <w:rPr>
          <w:rFonts w:ascii="Arial" w:hAnsi="Arial" w:cs="Arial"/>
          <w:color w:val="000000"/>
        </w:rPr>
        <w:t xml:space="preserve">rocedimiento y </w:t>
      </w:r>
      <w:r w:rsidR="00834974">
        <w:rPr>
          <w:rFonts w:ascii="Arial" w:hAnsi="Arial" w:cs="Arial"/>
          <w:color w:val="000000"/>
        </w:rPr>
        <w:t>j</w:t>
      </w:r>
      <w:r w:rsidR="00834974" w:rsidRPr="0047493B">
        <w:rPr>
          <w:rFonts w:ascii="Arial" w:hAnsi="Arial" w:cs="Arial"/>
          <w:color w:val="000000"/>
        </w:rPr>
        <w:t xml:space="preserve">usticia </w:t>
      </w:r>
      <w:r w:rsidR="00834974" w:rsidRPr="009F2178">
        <w:rPr>
          <w:rFonts w:ascii="Arial" w:hAnsi="Arial" w:cs="Arial"/>
          <w:color w:val="000000"/>
        </w:rPr>
        <w:t>citada</w:t>
      </w:r>
      <w:r w:rsidR="00834974" w:rsidRPr="00DE198A">
        <w:rPr>
          <w:rFonts w:ascii="Arial" w:hAnsi="Arial" w:cs="Arial"/>
          <w:b/>
          <w:bCs/>
          <w:lang w:val="es-ES"/>
        </w:rPr>
        <w:t>,</w:t>
      </w:r>
      <w:r w:rsidR="00834974">
        <w:rPr>
          <w:rFonts w:ascii="Arial" w:hAnsi="Arial" w:cs="Arial"/>
          <w:b/>
          <w:bCs/>
          <w:lang w:val="es-ES"/>
        </w:rPr>
        <w:t xml:space="preserve"> </w:t>
      </w:r>
      <w:r w:rsidR="00834974" w:rsidRPr="00890169">
        <w:rPr>
          <w:rFonts w:ascii="Arial" w:hAnsi="Arial" w:cs="Arial"/>
          <w:lang w:val="es-ES"/>
        </w:rPr>
        <w:t>transcurrió del</w:t>
      </w:r>
      <w:r w:rsidR="00834974">
        <w:rPr>
          <w:rFonts w:ascii="Arial" w:hAnsi="Arial" w:cs="Arial"/>
          <w:b/>
          <w:bCs/>
          <w:lang w:val="es-ES"/>
        </w:rPr>
        <w:t xml:space="preserve"> </w:t>
      </w:r>
      <w:r w:rsidR="00142ABA">
        <w:rPr>
          <w:rFonts w:ascii="Arial" w:hAnsi="Arial" w:cs="Arial"/>
          <w:b/>
          <w:bCs/>
          <w:u w:val="single"/>
          <w:lang w:val="es-ES"/>
        </w:rPr>
        <w:t>ocho</w:t>
      </w:r>
      <w:r w:rsidR="00834974" w:rsidRPr="00DE198A">
        <w:rPr>
          <w:rFonts w:ascii="Arial" w:hAnsi="Arial" w:cs="Arial"/>
          <w:b/>
          <w:bCs/>
          <w:u w:val="single"/>
          <w:lang w:val="es-ES"/>
        </w:rPr>
        <w:t xml:space="preserve"> de </w:t>
      </w:r>
      <w:r w:rsidR="00142ABA">
        <w:rPr>
          <w:rFonts w:ascii="Arial" w:hAnsi="Arial" w:cs="Arial"/>
          <w:b/>
          <w:bCs/>
          <w:u w:val="single"/>
          <w:lang w:val="es-ES"/>
        </w:rPr>
        <w:t>octubre</w:t>
      </w:r>
      <w:r w:rsidR="00834974">
        <w:rPr>
          <w:rFonts w:ascii="Arial" w:hAnsi="Arial" w:cs="Arial"/>
          <w:b/>
          <w:bCs/>
          <w:u w:val="single"/>
          <w:lang w:val="es-ES"/>
        </w:rPr>
        <w:t xml:space="preserve"> de dos mil veintiuno</w:t>
      </w:r>
      <w:r w:rsidR="00834974" w:rsidRPr="00DE198A">
        <w:rPr>
          <w:rFonts w:ascii="Arial" w:hAnsi="Arial" w:cs="Arial"/>
          <w:b/>
          <w:bCs/>
          <w:u w:val="single"/>
          <w:lang w:val="es-ES"/>
        </w:rPr>
        <w:t xml:space="preserve"> al </w:t>
      </w:r>
      <w:r w:rsidR="00142ABA">
        <w:rPr>
          <w:rFonts w:ascii="Arial" w:hAnsi="Arial" w:cs="Arial"/>
          <w:b/>
          <w:bCs/>
          <w:u w:val="single"/>
          <w:lang w:val="es-ES"/>
        </w:rPr>
        <w:t>veintitrés</w:t>
      </w:r>
      <w:r w:rsidR="00834974" w:rsidRPr="00DE198A">
        <w:rPr>
          <w:rFonts w:ascii="Arial" w:hAnsi="Arial" w:cs="Arial"/>
          <w:b/>
          <w:bCs/>
          <w:u w:val="single"/>
          <w:lang w:val="es-ES"/>
        </w:rPr>
        <w:t xml:space="preserve"> de </w:t>
      </w:r>
      <w:r w:rsidR="00142ABA">
        <w:rPr>
          <w:rFonts w:ascii="Arial" w:hAnsi="Arial" w:cs="Arial"/>
          <w:b/>
          <w:bCs/>
          <w:u w:val="single"/>
          <w:lang w:val="es-ES"/>
        </w:rPr>
        <w:t>noviembre</w:t>
      </w:r>
      <w:r w:rsidR="00834974" w:rsidRPr="00DE198A">
        <w:rPr>
          <w:rFonts w:ascii="Arial" w:hAnsi="Arial" w:cs="Arial"/>
          <w:b/>
          <w:bCs/>
          <w:u w:val="single"/>
          <w:lang w:val="es-ES"/>
        </w:rPr>
        <w:t xml:space="preserve"> del dos mil </w:t>
      </w:r>
      <w:r w:rsidR="00142ABA">
        <w:rPr>
          <w:rFonts w:ascii="Arial" w:hAnsi="Arial" w:cs="Arial"/>
          <w:b/>
          <w:bCs/>
          <w:u w:val="single"/>
          <w:lang w:val="es-ES"/>
        </w:rPr>
        <w:t>veintiuno</w:t>
      </w:r>
      <w:r w:rsidR="00834974" w:rsidRPr="00DE198A">
        <w:rPr>
          <w:rFonts w:ascii="Arial" w:hAnsi="Arial" w:cs="Arial"/>
          <w:lang w:val="es-ES"/>
        </w:rPr>
        <w:t xml:space="preserve">; </w:t>
      </w:r>
      <w:r w:rsidR="00834974" w:rsidRPr="00DE198A">
        <w:rPr>
          <w:rFonts w:ascii="Arial" w:hAnsi="Arial" w:cs="Arial"/>
          <w:b/>
          <w:bCs/>
          <w:lang w:val="es-ES"/>
        </w:rPr>
        <w:t>excluyéndose</w:t>
      </w:r>
      <w:r w:rsidR="00834974" w:rsidRPr="00DE198A">
        <w:rPr>
          <w:rFonts w:ascii="Arial" w:hAnsi="Arial" w:cs="Arial"/>
          <w:lang w:val="es-ES"/>
        </w:rPr>
        <w:t xml:space="preserve">: </w:t>
      </w:r>
      <w:r w:rsidR="00142ABA">
        <w:rPr>
          <w:rFonts w:ascii="Arial" w:hAnsi="Arial" w:cs="Arial"/>
          <w:lang w:val="es-ES"/>
        </w:rPr>
        <w:t>nueve</w:t>
      </w:r>
      <w:r w:rsidR="00834974">
        <w:rPr>
          <w:rFonts w:ascii="Arial" w:hAnsi="Arial" w:cs="Arial"/>
          <w:lang w:val="es-ES"/>
        </w:rPr>
        <w:t xml:space="preserve">, </w:t>
      </w:r>
      <w:r w:rsidR="00142ABA">
        <w:rPr>
          <w:rFonts w:ascii="Arial" w:hAnsi="Arial" w:cs="Arial"/>
          <w:lang w:val="es-ES"/>
        </w:rPr>
        <w:t>diez</w:t>
      </w:r>
      <w:r w:rsidR="00834974">
        <w:rPr>
          <w:rFonts w:ascii="Arial" w:hAnsi="Arial" w:cs="Arial"/>
          <w:lang w:val="es-ES"/>
        </w:rPr>
        <w:t xml:space="preserve">, </w:t>
      </w:r>
      <w:r w:rsidR="00142ABA">
        <w:rPr>
          <w:rFonts w:ascii="Arial" w:hAnsi="Arial" w:cs="Arial"/>
          <w:lang w:val="es-ES"/>
        </w:rPr>
        <w:t>dieciséis, diecisiete, veintitrés, veinticuatro, treinta, treinta y uno de octubre, seis, siete, trece, catorce, veinte y veintiuno de noviembre de dos mil veintiuno</w:t>
      </w:r>
      <w:r w:rsidR="00834974">
        <w:rPr>
          <w:rFonts w:ascii="Arial" w:hAnsi="Arial" w:cs="Arial"/>
          <w:lang w:val="es-ES"/>
        </w:rPr>
        <w:t xml:space="preserve">, </w:t>
      </w:r>
      <w:r w:rsidR="00834974" w:rsidRPr="00DE198A">
        <w:rPr>
          <w:rFonts w:ascii="Arial" w:hAnsi="Arial" w:cs="Arial"/>
          <w:lang w:val="es-ES"/>
        </w:rPr>
        <w:t xml:space="preserve">al haber sido días inhábiles para este Tribunal por corresponder a sábados y domingos, en </w:t>
      </w:r>
      <w:r w:rsidR="00834974" w:rsidRPr="00DE198A">
        <w:rPr>
          <w:rFonts w:ascii="Arial" w:hAnsi="Arial" w:cs="Arial"/>
        </w:rPr>
        <w:t xml:space="preserve">términos del artículo 165 de la Ley de Procedimiento y Justicia Administrativa para el Estado de Oaxaca. </w:t>
      </w:r>
      <w:r w:rsidR="00834974" w:rsidRPr="00DE198A">
        <w:rPr>
          <w:rFonts w:ascii="Arial" w:hAnsi="Arial" w:cs="Arial"/>
          <w:lang w:val="es-ES"/>
        </w:rPr>
        <w:t xml:space="preserve">- - - - - </w:t>
      </w:r>
      <w:r w:rsidR="00834974">
        <w:rPr>
          <w:rFonts w:ascii="Arial" w:hAnsi="Arial" w:cs="Arial"/>
          <w:lang w:val="es-ES"/>
        </w:rPr>
        <w:t xml:space="preserve">- - - - - - - - - - - </w:t>
      </w:r>
      <w:r w:rsidR="00BC0D42">
        <w:rPr>
          <w:rFonts w:ascii="Arial" w:hAnsi="Arial" w:cs="Arial"/>
          <w:lang w:val="es-ES"/>
        </w:rPr>
        <w:t xml:space="preserve">- - - - - - - - - - - - - - - - - - - - - - - - - - - - - - - - - - - - - - - - - - </w:t>
      </w:r>
    </w:p>
    <w:p w14:paraId="35AA66ED" w14:textId="2E17E36F" w:rsidR="00834974" w:rsidRDefault="00834974" w:rsidP="00834974">
      <w:pPr>
        <w:spacing w:line="360" w:lineRule="auto"/>
        <w:ind w:right="-567" w:firstLine="708"/>
        <w:jc w:val="both"/>
        <w:rPr>
          <w:rFonts w:ascii="Arial" w:hAnsi="Arial" w:cs="Arial"/>
          <w:color w:val="000000"/>
          <w:lang w:val="es-ES"/>
        </w:rPr>
      </w:pPr>
    </w:p>
    <w:p w14:paraId="653B5B87" w14:textId="2500391B" w:rsidR="00834974" w:rsidRPr="00890169" w:rsidRDefault="00834974" w:rsidP="00834974">
      <w:pPr>
        <w:spacing w:line="360" w:lineRule="auto"/>
        <w:ind w:right="-567" w:firstLine="708"/>
        <w:jc w:val="both"/>
        <w:rPr>
          <w:rFonts w:ascii="Arial" w:hAnsi="Arial" w:cs="Arial"/>
          <w:color w:val="000000"/>
          <w:lang w:val="es-ES"/>
        </w:rPr>
      </w:pPr>
      <w:r w:rsidRPr="00890169">
        <w:rPr>
          <w:rFonts w:ascii="Arial" w:hAnsi="Arial" w:cs="Arial"/>
          <w:color w:val="000000"/>
          <w:lang w:val="es-ES"/>
        </w:rPr>
        <w:t xml:space="preserve">Por otra parte, se advierte del sello y razón del personal de la </w:t>
      </w:r>
      <w:r w:rsidRPr="00890169">
        <w:rPr>
          <w:rFonts w:ascii="Arial" w:hAnsi="Arial" w:cs="Arial"/>
          <w:bCs/>
          <w:color w:val="000000"/>
          <w:lang w:val="es-ES"/>
        </w:rPr>
        <w:t xml:space="preserve">Oficialía de Partes Común de este Tribunal, que se recibió la </w:t>
      </w:r>
      <w:r w:rsidRPr="00890169">
        <w:rPr>
          <w:rFonts w:ascii="Arial" w:hAnsi="Arial" w:cs="Arial"/>
          <w:b/>
          <w:color w:val="000000"/>
          <w:lang w:val="es-ES"/>
        </w:rPr>
        <w:t>demanda de nulidad</w:t>
      </w:r>
      <w:r w:rsidRPr="00890169">
        <w:rPr>
          <w:rFonts w:ascii="Arial" w:hAnsi="Arial" w:cs="Arial"/>
          <w:bCs/>
          <w:color w:val="000000"/>
          <w:lang w:val="es-ES"/>
        </w:rPr>
        <w:t xml:space="preserve"> el </w:t>
      </w:r>
      <w:r w:rsidR="00142ABA">
        <w:rPr>
          <w:rFonts w:ascii="Arial" w:hAnsi="Arial" w:cs="Arial"/>
          <w:bCs/>
          <w:color w:val="000000"/>
          <w:lang w:val="es-ES"/>
        </w:rPr>
        <w:t>cinco</w:t>
      </w:r>
      <w:r w:rsidRPr="00890169">
        <w:rPr>
          <w:rFonts w:ascii="Arial" w:hAnsi="Arial" w:cs="Arial"/>
          <w:bCs/>
          <w:color w:val="000000"/>
          <w:lang w:val="es-ES"/>
        </w:rPr>
        <w:t xml:space="preserve"> de </w:t>
      </w:r>
      <w:r w:rsidR="00142ABA">
        <w:rPr>
          <w:rFonts w:ascii="Arial" w:hAnsi="Arial" w:cs="Arial"/>
          <w:bCs/>
          <w:color w:val="000000"/>
          <w:lang w:val="es-ES"/>
        </w:rPr>
        <w:t>noviembre</w:t>
      </w:r>
      <w:r w:rsidRPr="00890169">
        <w:rPr>
          <w:rFonts w:ascii="Arial" w:hAnsi="Arial" w:cs="Arial"/>
          <w:bCs/>
          <w:color w:val="000000"/>
          <w:lang w:val="es-ES"/>
        </w:rPr>
        <w:t xml:space="preserve"> de dos mil </w:t>
      </w:r>
      <w:r>
        <w:rPr>
          <w:rFonts w:ascii="Arial" w:hAnsi="Arial" w:cs="Arial"/>
          <w:bCs/>
          <w:color w:val="000000"/>
          <w:lang w:val="es-ES"/>
        </w:rPr>
        <w:t>veintiuno</w:t>
      </w:r>
      <w:r w:rsidRPr="00890169">
        <w:rPr>
          <w:rFonts w:ascii="Arial" w:hAnsi="Arial" w:cs="Arial"/>
          <w:bCs/>
          <w:color w:val="000000"/>
          <w:lang w:val="es-ES"/>
        </w:rPr>
        <w:t xml:space="preserve">, por tal motivo fue </w:t>
      </w:r>
      <w:r w:rsidRPr="00890169">
        <w:rPr>
          <w:rFonts w:ascii="Arial" w:hAnsi="Arial" w:cs="Arial"/>
          <w:b/>
          <w:color w:val="000000"/>
          <w:lang w:val="es-ES"/>
        </w:rPr>
        <w:t>presentada</w:t>
      </w:r>
      <w:r w:rsidRPr="00890169">
        <w:rPr>
          <w:rFonts w:ascii="Arial" w:hAnsi="Arial" w:cs="Arial"/>
          <w:bCs/>
          <w:color w:val="000000"/>
          <w:lang w:val="es-ES"/>
        </w:rPr>
        <w:t xml:space="preserve"> </w:t>
      </w:r>
      <w:r w:rsidRPr="00890169">
        <w:rPr>
          <w:rFonts w:ascii="Arial" w:hAnsi="Arial" w:cs="Arial"/>
          <w:b/>
          <w:color w:val="000000"/>
          <w:lang w:val="es-ES"/>
        </w:rPr>
        <w:t>dentro</w:t>
      </w:r>
      <w:r w:rsidRPr="00890169">
        <w:rPr>
          <w:rFonts w:ascii="Arial" w:hAnsi="Arial" w:cs="Arial"/>
          <w:bCs/>
          <w:color w:val="000000"/>
          <w:lang w:val="es-ES"/>
        </w:rPr>
        <w:t xml:space="preserve"> del término de los treinta días hábiles, tal como lo prevé el artículo 166 párrafo segundo de la Ley de Procedimiento y Justicia Administrativa para el Estado de Oaxaca</w:t>
      </w:r>
      <w:r w:rsidRPr="00890169">
        <w:rPr>
          <w:rFonts w:ascii="Arial" w:hAnsi="Arial" w:cs="Arial"/>
          <w:color w:val="000000"/>
          <w:lang w:val="es-ES"/>
        </w:rPr>
        <w:t xml:space="preserve">. - - - - - </w:t>
      </w:r>
      <w:r>
        <w:rPr>
          <w:rFonts w:ascii="Arial" w:hAnsi="Arial" w:cs="Arial"/>
          <w:color w:val="000000"/>
          <w:lang w:val="es-ES"/>
        </w:rPr>
        <w:t xml:space="preserve">- - - - - - - - - - - - - - - - - -  - - - - </w:t>
      </w:r>
    </w:p>
    <w:p w14:paraId="31333B30" w14:textId="77777777" w:rsidR="00834974" w:rsidRDefault="00834974" w:rsidP="00834974">
      <w:pPr>
        <w:spacing w:line="360" w:lineRule="auto"/>
        <w:ind w:right="-567"/>
        <w:jc w:val="both"/>
        <w:rPr>
          <w:rFonts w:ascii="Arial" w:hAnsi="Arial" w:cs="Arial"/>
          <w:b/>
          <w:color w:val="000000"/>
        </w:rPr>
      </w:pPr>
    </w:p>
    <w:p w14:paraId="15725E8E" w14:textId="77777777" w:rsidR="00834974" w:rsidRPr="00DE198A" w:rsidRDefault="00834974" w:rsidP="00834974">
      <w:pPr>
        <w:spacing w:line="360" w:lineRule="auto"/>
        <w:ind w:right="-567" w:firstLine="708"/>
        <w:jc w:val="both"/>
        <w:rPr>
          <w:rFonts w:ascii="Arial" w:hAnsi="Arial" w:cs="Arial"/>
          <w:color w:val="FF0000"/>
        </w:rPr>
      </w:pPr>
      <w:r>
        <w:rPr>
          <w:rFonts w:ascii="Arial" w:hAnsi="Arial" w:cs="Arial"/>
          <w:b/>
          <w:color w:val="000000"/>
        </w:rPr>
        <w:t>CUARTO</w:t>
      </w:r>
      <w:r w:rsidRPr="00092F22">
        <w:rPr>
          <w:rFonts w:ascii="Arial" w:hAnsi="Arial" w:cs="Arial"/>
          <w:b/>
          <w:color w:val="000000"/>
        </w:rPr>
        <w:t xml:space="preserve">. Causales de Improcedencia. </w:t>
      </w:r>
      <w:r w:rsidRPr="00DE198A">
        <w:rPr>
          <w:rFonts w:ascii="Arial" w:hAnsi="Arial" w:cs="Arial"/>
          <w:color w:val="000000"/>
        </w:rPr>
        <w:t xml:space="preserve">Previo al estudio de fondo del asunto, esta sala procede analizar, si se actualiza alguna causal de improcedencia del juicio de nulidad, </w:t>
      </w:r>
      <w:r w:rsidRPr="00DE198A">
        <w:rPr>
          <w:rFonts w:ascii="Arial" w:hAnsi="Arial" w:cs="Arial"/>
        </w:rPr>
        <w:t xml:space="preserve">que haya sido invocado por las partes o que esta autoridad de oficio advierta una causal de sobreseimiento </w:t>
      </w:r>
      <w:r w:rsidRPr="00DE198A">
        <w:rPr>
          <w:rFonts w:ascii="Arial" w:hAnsi="Arial" w:cs="Arial"/>
          <w:color w:val="000000"/>
        </w:rPr>
        <w:t xml:space="preserve">que impida la resolución del fondo del asunto </w:t>
      </w:r>
      <w:r w:rsidRPr="00DE198A">
        <w:rPr>
          <w:rFonts w:ascii="Arial" w:hAnsi="Arial" w:cs="Arial"/>
        </w:rPr>
        <w:t xml:space="preserve">y deba decretarse su sobreseimiento en </w:t>
      </w:r>
      <w:r w:rsidRPr="00DE198A">
        <w:rPr>
          <w:rFonts w:ascii="Arial" w:hAnsi="Arial" w:cs="Arial"/>
          <w:color w:val="000000"/>
        </w:rPr>
        <w:t xml:space="preserve">términos de los artículos 161 y 162 de la Ley Procedimiento y Justicia Administrativa para el Estado de Oaxaca. - - - - - </w:t>
      </w:r>
      <w:r>
        <w:rPr>
          <w:rFonts w:ascii="Arial" w:hAnsi="Arial" w:cs="Arial"/>
          <w:color w:val="000000"/>
        </w:rPr>
        <w:t xml:space="preserve">- - - - - - - - - - - - - - - - - - - - - - - </w:t>
      </w:r>
    </w:p>
    <w:p w14:paraId="5FA23750" w14:textId="77777777" w:rsidR="00834974" w:rsidRPr="00DE198A" w:rsidRDefault="00834974" w:rsidP="00834974">
      <w:pPr>
        <w:spacing w:line="360" w:lineRule="auto"/>
        <w:ind w:right="-567"/>
        <w:jc w:val="both"/>
        <w:rPr>
          <w:rFonts w:ascii="Arial" w:hAnsi="Arial" w:cs="Arial"/>
          <w:color w:val="000000"/>
        </w:rPr>
      </w:pPr>
      <w:r w:rsidRPr="00DE198A">
        <w:rPr>
          <w:rFonts w:ascii="Arial" w:hAnsi="Arial" w:cs="Arial"/>
          <w:color w:val="000000"/>
        </w:rPr>
        <w:t xml:space="preserve">        </w:t>
      </w:r>
    </w:p>
    <w:p w14:paraId="6D30EE12" w14:textId="561B76AF" w:rsidR="00834974" w:rsidRPr="00F265FB" w:rsidRDefault="00834974" w:rsidP="00834974">
      <w:pPr>
        <w:spacing w:line="360" w:lineRule="auto"/>
        <w:ind w:right="-567"/>
        <w:jc w:val="both"/>
        <w:rPr>
          <w:rFonts w:ascii="Arial" w:hAnsi="Arial" w:cs="Arial"/>
          <w:bCs/>
          <w:color w:val="000000"/>
        </w:rPr>
      </w:pPr>
      <w:r w:rsidRPr="00DE198A">
        <w:rPr>
          <w:rFonts w:ascii="Arial" w:hAnsi="Arial" w:cs="Arial"/>
          <w:color w:val="000000"/>
        </w:rPr>
        <w:t xml:space="preserve"> </w:t>
      </w:r>
      <w:r w:rsidRPr="00DE198A">
        <w:rPr>
          <w:rFonts w:ascii="Arial" w:hAnsi="Arial" w:cs="Arial"/>
          <w:color w:val="000000"/>
        </w:rPr>
        <w:tab/>
        <w:t>En el caso, la autoridad demandad</w:t>
      </w:r>
      <w:r w:rsidR="00FA2499">
        <w:rPr>
          <w:rFonts w:ascii="Arial" w:hAnsi="Arial" w:cs="Arial"/>
          <w:color w:val="000000"/>
        </w:rPr>
        <w:t>a</w:t>
      </w:r>
      <w:r w:rsidRPr="00DE198A">
        <w:rPr>
          <w:rFonts w:ascii="Arial" w:hAnsi="Arial" w:cs="Arial"/>
          <w:color w:val="000000"/>
        </w:rPr>
        <w:t xml:space="preserve">, </w:t>
      </w:r>
      <w:r w:rsidR="00016007" w:rsidRPr="00016007">
        <w:rPr>
          <w:rFonts w:ascii="Arial" w:hAnsi="Arial" w:cs="Arial"/>
        </w:rPr>
        <w:t>Comisión de Honor y Justicia de la Secretaría de Seguridad Publica del Poder Ejecutivo del Estado de Oaxaca ahora Secretaría de Seguridad Pública y Protección Ciudadana</w:t>
      </w:r>
      <w:r w:rsidR="00FA2499">
        <w:rPr>
          <w:rFonts w:ascii="Arial" w:hAnsi="Arial" w:cs="Arial"/>
        </w:rPr>
        <w:t xml:space="preserve">, </w:t>
      </w:r>
      <w:r w:rsidRPr="00DE198A">
        <w:rPr>
          <w:rFonts w:ascii="Arial" w:hAnsi="Arial" w:cs="Arial"/>
          <w:color w:val="000000"/>
        </w:rPr>
        <w:t xml:space="preserve">no hicieron valer causal de improcedencia alguna; asimismo, de oficio este Juzgador estima que en el asunto, no se actualiza alguna de las hipótesis previstas en el artículo 161 de la Ley que rige este Tribunal, por lo tanto </w:t>
      </w:r>
      <w:r w:rsidRPr="00DE198A">
        <w:rPr>
          <w:rFonts w:ascii="Arial" w:hAnsi="Arial" w:cs="Arial"/>
          <w:b/>
          <w:color w:val="000000"/>
        </w:rPr>
        <w:t>NO SE SOBRESEE EL JUICIO</w:t>
      </w:r>
      <w:r w:rsidRPr="00DE198A">
        <w:rPr>
          <w:rFonts w:ascii="Arial" w:hAnsi="Arial" w:cs="Arial"/>
          <w:bCs/>
          <w:color w:val="000000"/>
        </w:rPr>
        <w:t xml:space="preserve">.- - - - - </w:t>
      </w:r>
      <w:r w:rsidR="00BC0D42">
        <w:rPr>
          <w:rFonts w:ascii="Arial" w:hAnsi="Arial" w:cs="Arial"/>
          <w:bCs/>
          <w:color w:val="000000"/>
        </w:rPr>
        <w:t>- - - - - - - - - - - - - - - - - - - - - - - - - - - - - - - - - - - -</w:t>
      </w:r>
    </w:p>
    <w:p w14:paraId="092A2BF8" w14:textId="77777777" w:rsidR="00834974" w:rsidRDefault="00834974" w:rsidP="00834974">
      <w:pPr>
        <w:spacing w:line="360" w:lineRule="auto"/>
        <w:ind w:right="-567"/>
        <w:jc w:val="both"/>
        <w:rPr>
          <w:rFonts w:ascii="Arial" w:hAnsi="Arial" w:cs="Arial"/>
          <w:b/>
        </w:rPr>
      </w:pPr>
    </w:p>
    <w:p w14:paraId="31E56D49" w14:textId="77777777" w:rsidR="00834974" w:rsidRPr="0022055E" w:rsidRDefault="00834974" w:rsidP="00834974">
      <w:pPr>
        <w:spacing w:line="360" w:lineRule="auto"/>
        <w:ind w:right="-567" w:firstLine="708"/>
        <w:jc w:val="both"/>
        <w:rPr>
          <w:rFonts w:ascii="Arial" w:hAnsi="Arial" w:cs="Arial"/>
          <w:lang w:val="es-ES"/>
        </w:rPr>
      </w:pPr>
      <w:r>
        <w:rPr>
          <w:rFonts w:ascii="Arial" w:hAnsi="Arial" w:cs="Arial"/>
          <w:b/>
        </w:rPr>
        <w:lastRenderedPageBreak/>
        <w:t>QUINTO</w:t>
      </w:r>
      <w:r w:rsidRPr="00ED501E">
        <w:rPr>
          <w:rFonts w:ascii="Arial" w:hAnsi="Arial" w:cs="Arial"/>
          <w:b/>
        </w:rPr>
        <w:t>.</w:t>
      </w:r>
      <w:r>
        <w:rPr>
          <w:rFonts w:ascii="Arial" w:hAnsi="Arial" w:cs="Arial"/>
        </w:rPr>
        <w:t xml:space="preserve"> </w:t>
      </w:r>
      <w:r w:rsidRPr="0022055E">
        <w:rPr>
          <w:rFonts w:ascii="Arial" w:hAnsi="Arial" w:cs="Arial"/>
          <w:b/>
          <w:bCs/>
          <w:lang w:val="es-ES"/>
        </w:rPr>
        <w:t>No se transcriben los conceptos de impugnación,</w:t>
      </w:r>
      <w:r w:rsidRPr="0022055E">
        <w:rPr>
          <w:rFonts w:ascii="Arial" w:hAnsi="Arial" w:cs="Arial"/>
          <w:lang w:val="es-ES"/>
        </w:rPr>
        <w:t xml:space="preserve"> en virtud de que esto no implica una transgresión a derecho alguno, ni tampoco existe disposición expresa que obligue a hacerlo a esta Sala, de acuerdo con el criterio de rubro: “CONCEPTOS DE VIOLACIÓN O AGRAVIOS. PARA CUMPLIR CON LOS PRINCIPIOS DE CONGRUENCIA Y EXHAUSTIVIDAD EN LAS SENTENCIAS DE AMPARO ES INNECESARIA SU TRANSCRIPCIÓN”</w:t>
      </w:r>
      <w:r w:rsidRPr="0022055E">
        <w:rPr>
          <w:rFonts w:ascii="Arial" w:hAnsi="Arial" w:cs="Arial"/>
          <w:vertAlign w:val="superscript"/>
          <w:lang w:val="es-ES"/>
        </w:rPr>
        <w:footnoteReference w:id="2"/>
      </w:r>
      <w:r w:rsidRPr="0022055E">
        <w:rPr>
          <w:rFonts w:ascii="Arial" w:hAnsi="Arial" w:cs="Arial"/>
          <w:lang w:val="es-ES"/>
        </w:rPr>
        <w:t xml:space="preserve">: - - - - - - </w:t>
      </w:r>
      <w:r>
        <w:rPr>
          <w:rFonts w:ascii="Arial" w:hAnsi="Arial" w:cs="Arial"/>
          <w:lang w:val="es-ES"/>
        </w:rPr>
        <w:t xml:space="preserve">- - - - - - - - - - - - - - - - - - - - - - - - - - - - </w:t>
      </w:r>
    </w:p>
    <w:p w14:paraId="499E5918" w14:textId="77777777" w:rsidR="00834974" w:rsidRDefault="00834974" w:rsidP="00834974">
      <w:pPr>
        <w:spacing w:line="360" w:lineRule="auto"/>
        <w:ind w:right="-567" w:firstLine="708"/>
        <w:jc w:val="both"/>
        <w:rPr>
          <w:rFonts w:ascii="Arial" w:hAnsi="Arial" w:cs="Arial"/>
        </w:rPr>
      </w:pPr>
    </w:p>
    <w:p w14:paraId="7C80D115" w14:textId="29842606" w:rsidR="00834974" w:rsidRDefault="00834974" w:rsidP="006C6D21">
      <w:pPr>
        <w:spacing w:line="360" w:lineRule="auto"/>
        <w:ind w:right="-660" w:firstLine="708"/>
        <w:jc w:val="both"/>
        <w:rPr>
          <w:rFonts w:ascii="Arial" w:hAnsi="Arial" w:cs="Arial"/>
        </w:rPr>
      </w:pPr>
      <w:r w:rsidRPr="0022055E">
        <w:rPr>
          <w:rFonts w:ascii="Arial" w:hAnsi="Arial" w:cs="Arial"/>
          <w:b/>
          <w:lang w:val="es-ES"/>
        </w:rPr>
        <w:t xml:space="preserve">SEXTO. </w:t>
      </w:r>
      <w:r w:rsidRPr="0022055E">
        <w:rPr>
          <w:rFonts w:ascii="Arial" w:hAnsi="Arial" w:cs="Arial"/>
          <w:lang w:val="es-ES"/>
        </w:rPr>
        <w:t xml:space="preserve">Esta sala, hace el estudio preferente de los conceptos de impugnación que más le favorece a la parte actora, esto en atención al principio de </w:t>
      </w:r>
      <w:r w:rsidRPr="0022055E">
        <w:rPr>
          <w:rFonts w:ascii="Arial" w:hAnsi="Arial" w:cs="Arial"/>
          <w:b/>
          <w:bCs/>
          <w:lang w:val="es-ES"/>
        </w:rPr>
        <w:t>mayor beneficio</w:t>
      </w:r>
      <w:r w:rsidRPr="0022055E">
        <w:rPr>
          <w:rFonts w:ascii="Arial" w:hAnsi="Arial" w:cs="Arial"/>
          <w:vertAlign w:val="superscript"/>
          <w:lang w:val="es-ES"/>
        </w:rPr>
        <w:footnoteReference w:id="3"/>
      </w:r>
      <w:r w:rsidRPr="0022055E">
        <w:rPr>
          <w:rFonts w:ascii="Arial" w:hAnsi="Arial" w:cs="Arial"/>
          <w:lang w:val="es-ES"/>
        </w:rPr>
        <w:t xml:space="preserve">, </w:t>
      </w:r>
      <w:r>
        <w:rPr>
          <w:rFonts w:ascii="Arial" w:hAnsi="Arial" w:cs="Arial"/>
          <w:lang w:val="es-ES"/>
        </w:rPr>
        <w:t>por lo que este Juzgador, procede al estudio de</w:t>
      </w:r>
      <w:r w:rsidR="006C6D21">
        <w:rPr>
          <w:rFonts w:ascii="Arial" w:hAnsi="Arial" w:cs="Arial"/>
          <w:lang w:val="es-ES"/>
        </w:rPr>
        <w:t>l</w:t>
      </w:r>
      <w:r>
        <w:rPr>
          <w:rFonts w:ascii="Arial" w:hAnsi="Arial" w:cs="Arial"/>
          <w:lang w:val="es-ES"/>
        </w:rPr>
        <w:t xml:space="preserve"> concepto referente a la </w:t>
      </w:r>
      <w:r w:rsidR="006C6D21">
        <w:rPr>
          <w:rFonts w:ascii="Arial" w:hAnsi="Arial" w:cs="Arial"/>
          <w:lang w:val="es-ES"/>
        </w:rPr>
        <w:t>tipicidad</w:t>
      </w:r>
      <w:r>
        <w:rPr>
          <w:rFonts w:ascii="Arial" w:hAnsi="Arial" w:cs="Arial"/>
          <w:lang w:val="es-ES"/>
        </w:rPr>
        <w:t xml:space="preserve">, </w:t>
      </w:r>
      <w:r w:rsidR="000A4449">
        <w:rPr>
          <w:rFonts w:ascii="Arial" w:hAnsi="Arial" w:cs="Arial"/>
          <w:lang w:val="es-ES"/>
        </w:rPr>
        <w:t xml:space="preserve">que resulta ser una cuestión constitucional, que de actualizarse resultaría en una violación directa a los derechos del administrador, al haber sido sometido a un procedimiento sancionador, que tiene como finalidad restringir sus derechos, si resulta responsable. </w:t>
      </w:r>
      <w:r w:rsidR="00BC0D42">
        <w:rPr>
          <w:rFonts w:ascii="Arial" w:hAnsi="Arial" w:cs="Arial"/>
          <w:lang w:val="es-ES"/>
        </w:rPr>
        <w:t>- - - - - - - - - - - -</w:t>
      </w:r>
    </w:p>
    <w:p w14:paraId="56DD5E03" w14:textId="0373E734" w:rsidR="006C6D21" w:rsidRDefault="006C6D21" w:rsidP="006C6D21">
      <w:pPr>
        <w:spacing w:line="360" w:lineRule="auto"/>
        <w:ind w:right="-660" w:firstLine="708"/>
        <w:jc w:val="both"/>
        <w:rPr>
          <w:rFonts w:ascii="Arial" w:hAnsi="Arial" w:cs="Arial"/>
        </w:rPr>
      </w:pPr>
    </w:p>
    <w:p w14:paraId="10797894" w14:textId="4DB389F9" w:rsidR="000A4449" w:rsidRDefault="000A4449" w:rsidP="006C6D21">
      <w:pPr>
        <w:spacing w:line="360" w:lineRule="auto"/>
        <w:ind w:right="-660" w:firstLine="708"/>
        <w:jc w:val="both"/>
        <w:rPr>
          <w:rFonts w:ascii="Arial" w:hAnsi="Arial" w:cs="Arial"/>
        </w:rPr>
      </w:pPr>
      <w:r>
        <w:rPr>
          <w:rFonts w:ascii="Arial" w:hAnsi="Arial" w:cs="Arial"/>
        </w:rPr>
        <w:t xml:space="preserve">En el caso en particular, el actor </w:t>
      </w:r>
      <w:r w:rsidR="00BF2A21">
        <w:rPr>
          <w:rFonts w:ascii="Arial" w:hAnsi="Arial" w:cs="Arial"/>
        </w:rPr>
        <w:t xml:space="preserve">dentro de su segundo concepto de impugnación, manifestó que: </w:t>
      </w:r>
    </w:p>
    <w:p w14:paraId="7BC0EE78" w14:textId="77777777" w:rsidR="00BC0D42" w:rsidRDefault="00BC0D42" w:rsidP="006C6D21">
      <w:pPr>
        <w:spacing w:line="360" w:lineRule="auto"/>
        <w:ind w:right="-660" w:firstLine="708"/>
        <w:jc w:val="both"/>
        <w:rPr>
          <w:rFonts w:ascii="Arial" w:hAnsi="Arial" w:cs="Arial"/>
        </w:rPr>
      </w:pPr>
    </w:p>
    <w:p w14:paraId="322EB134" w14:textId="67847845" w:rsidR="00BF2A21" w:rsidRPr="00BC0D42" w:rsidRDefault="00BF2A21" w:rsidP="006C6D21">
      <w:pPr>
        <w:spacing w:line="360" w:lineRule="auto"/>
        <w:ind w:right="-660" w:firstLine="708"/>
        <w:jc w:val="both"/>
        <w:rPr>
          <w:rFonts w:ascii="Arial" w:hAnsi="Arial" w:cs="Arial"/>
          <w:i/>
          <w:iCs/>
        </w:rPr>
      </w:pPr>
      <w:r w:rsidRPr="00BC0D42">
        <w:rPr>
          <w:rFonts w:ascii="Arial" w:hAnsi="Arial" w:cs="Arial"/>
          <w:i/>
          <w:iCs/>
        </w:rPr>
        <w:t>El acto impugnado contraviene los artículos 17 fracción V, de la Ley de Procedimiento y Justicia Administrativa para el Estado de Oaxaca y 14 segundo párrafo y 16 de la Constitución Política de los Estados Unidos Mexicanos</w:t>
      </w:r>
      <w:r w:rsidR="00D14042" w:rsidRPr="00BC0D42">
        <w:rPr>
          <w:rFonts w:ascii="Arial" w:hAnsi="Arial" w:cs="Arial"/>
          <w:i/>
          <w:iCs/>
        </w:rPr>
        <w:t xml:space="preserve">, toda vez que la imputación por la cual fui sancionado no se encuentra delimitada, careciendo la misma de una adecuada fundamentación y motivación y trajo como consecuencia que se me privara de una adecuada defensa. </w:t>
      </w:r>
    </w:p>
    <w:p w14:paraId="2F9E2250" w14:textId="6006CEE6" w:rsidR="006C6D21" w:rsidRDefault="006C6D21" w:rsidP="006C6D21">
      <w:pPr>
        <w:spacing w:line="360" w:lineRule="auto"/>
        <w:ind w:right="-660" w:firstLine="708"/>
        <w:jc w:val="both"/>
        <w:rPr>
          <w:rFonts w:ascii="Arial" w:hAnsi="Arial" w:cs="Arial"/>
          <w:lang w:val="es-ES"/>
        </w:rPr>
      </w:pPr>
    </w:p>
    <w:p w14:paraId="0255785C" w14:textId="782D0727" w:rsidR="00D14042" w:rsidRDefault="00D14042" w:rsidP="006C6D21">
      <w:pPr>
        <w:spacing w:line="360" w:lineRule="auto"/>
        <w:ind w:right="-660" w:firstLine="708"/>
        <w:jc w:val="both"/>
        <w:rPr>
          <w:rFonts w:ascii="Arial" w:hAnsi="Arial" w:cs="Arial"/>
          <w:lang w:val="es-ES"/>
        </w:rPr>
      </w:pPr>
      <w:r>
        <w:rPr>
          <w:rFonts w:ascii="Arial" w:hAnsi="Arial" w:cs="Arial"/>
          <w:lang w:val="es-ES"/>
        </w:rPr>
        <w:t>Bajo el argumento de que el procedimiento se instauró en contra de</w:t>
      </w:r>
      <w:r w:rsidR="0058358F">
        <w:rPr>
          <w:rFonts w:ascii="Arial" w:hAnsi="Arial" w:cs="Arial"/>
          <w:lang w:val="es-ES"/>
        </w:rPr>
        <w:t xml:space="preserve">l actor y el </w:t>
      </w:r>
      <w:r w:rsidR="00EA0F8C">
        <w:rPr>
          <w:rFonts w:ascii="Arial" w:hAnsi="Arial" w:cs="Arial"/>
          <w:lang w:val="es-ES"/>
        </w:rPr>
        <w:t>policía</w:t>
      </w:r>
      <w:r w:rsidR="0058358F">
        <w:rPr>
          <w:rFonts w:ascii="Arial" w:hAnsi="Arial" w:cs="Arial"/>
          <w:lang w:val="es-ES"/>
        </w:rPr>
        <w:t xml:space="preserve"> segundo</w:t>
      </w:r>
      <w:r w:rsidR="007B452B">
        <w:rPr>
          <w:rFonts w:ascii="Arial" w:hAnsi="Arial" w:cs="Arial"/>
          <w:lang w:val="es-ES"/>
        </w:rPr>
        <w:t xml:space="preserve"> </w:t>
      </w:r>
      <w:r w:rsidR="007B452B">
        <w:rPr>
          <w:rFonts w:ascii="Arial" w:hAnsi="Arial" w:cs="Arial"/>
          <w:bCs/>
          <w:sz w:val="22"/>
          <w:szCs w:val="22"/>
        </w:rPr>
        <w:t>*******</w:t>
      </w:r>
      <w:proofErr w:type="gramStart"/>
      <w:r w:rsidR="007B452B">
        <w:rPr>
          <w:rFonts w:ascii="Arial" w:hAnsi="Arial" w:cs="Arial"/>
          <w:bCs/>
          <w:sz w:val="22"/>
          <w:szCs w:val="22"/>
        </w:rPr>
        <w:t>*</w:t>
      </w:r>
      <w:r w:rsidR="0058358F">
        <w:rPr>
          <w:rFonts w:ascii="Arial" w:hAnsi="Arial" w:cs="Arial"/>
          <w:lang w:val="es-ES"/>
        </w:rPr>
        <w:t xml:space="preserve"> </w:t>
      </w:r>
      <w:r w:rsidR="00EE4EE3">
        <w:rPr>
          <w:rFonts w:ascii="Arial" w:hAnsi="Arial" w:cs="Arial"/>
          <w:lang w:val="es-ES"/>
        </w:rPr>
        <w:t>,</w:t>
      </w:r>
      <w:proofErr w:type="gramEnd"/>
      <w:r w:rsidR="00EE4EE3">
        <w:rPr>
          <w:rFonts w:ascii="Arial" w:hAnsi="Arial" w:cs="Arial"/>
          <w:lang w:val="es-ES"/>
        </w:rPr>
        <w:t xml:space="preserve"> y les atribuyeron haber incumplido lo dispuesto por los artículos</w:t>
      </w:r>
      <w:r w:rsidR="00EE4EE3" w:rsidRPr="00EE4EE3">
        <w:t xml:space="preserve"> </w:t>
      </w:r>
      <w:r w:rsidR="00EE4EE3" w:rsidRPr="00EE4EE3">
        <w:rPr>
          <w:rFonts w:ascii="Arial" w:hAnsi="Arial" w:cs="Arial"/>
          <w:lang w:val="es-ES"/>
        </w:rPr>
        <w:t>57 fracciones VIII, XVIII Y 119 fracciones XII Y XXVII de la Ley del Sistema Estatal de Seguridad Pública de Oaxaca</w:t>
      </w:r>
      <w:r w:rsidR="00EE4EE3">
        <w:rPr>
          <w:rFonts w:ascii="Arial" w:hAnsi="Arial" w:cs="Arial"/>
          <w:lang w:val="es-ES"/>
        </w:rPr>
        <w:t xml:space="preserve">, sin especificar </w:t>
      </w:r>
      <w:proofErr w:type="spellStart"/>
      <w:r w:rsidR="00EE4EE3">
        <w:rPr>
          <w:rFonts w:ascii="Arial" w:hAnsi="Arial" w:cs="Arial"/>
          <w:lang w:val="es-ES"/>
        </w:rPr>
        <w:t>cuales</w:t>
      </w:r>
      <w:proofErr w:type="spellEnd"/>
      <w:r w:rsidR="00EE4EE3">
        <w:rPr>
          <w:rFonts w:ascii="Arial" w:hAnsi="Arial" w:cs="Arial"/>
          <w:lang w:val="es-ES"/>
        </w:rPr>
        <w:t xml:space="preserve"> fueron las acciones u omisiones desplegadas, es decir la conducta, ni la </w:t>
      </w:r>
      <w:proofErr w:type="spellStart"/>
      <w:r w:rsidR="00EE4EE3">
        <w:rPr>
          <w:rFonts w:ascii="Arial" w:hAnsi="Arial" w:cs="Arial"/>
          <w:lang w:val="es-ES"/>
        </w:rPr>
        <w:t>hipótesis</w:t>
      </w:r>
      <w:proofErr w:type="spellEnd"/>
      <w:r w:rsidR="00EE4EE3">
        <w:rPr>
          <w:rFonts w:ascii="Arial" w:hAnsi="Arial" w:cs="Arial"/>
          <w:lang w:val="es-ES"/>
        </w:rPr>
        <w:t xml:space="preserve"> normativa específica, y señala que los artículos en mención establecen diversos supuestos</w:t>
      </w:r>
      <w:r w:rsidR="002651C1">
        <w:rPr>
          <w:rFonts w:ascii="Arial" w:hAnsi="Arial" w:cs="Arial"/>
          <w:lang w:val="es-ES"/>
        </w:rPr>
        <w:t xml:space="preserve">: </w:t>
      </w:r>
    </w:p>
    <w:p w14:paraId="2D88CA26" w14:textId="2477192F" w:rsidR="002651C1" w:rsidRDefault="002651C1" w:rsidP="006C6D21">
      <w:pPr>
        <w:spacing w:line="360" w:lineRule="auto"/>
        <w:ind w:right="-660" w:firstLine="708"/>
        <w:jc w:val="both"/>
        <w:rPr>
          <w:rFonts w:ascii="Arial" w:hAnsi="Arial" w:cs="Arial"/>
          <w:lang w:val="es-ES"/>
        </w:rPr>
      </w:pPr>
    </w:p>
    <w:p w14:paraId="05C59825" w14:textId="72543254" w:rsidR="002651C1" w:rsidRPr="002651C1" w:rsidRDefault="002651C1" w:rsidP="002651C1">
      <w:pPr>
        <w:pStyle w:val="Prrafodelista"/>
        <w:numPr>
          <w:ilvl w:val="0"/>
          <w:numId w:val="2"/>
        </w:numPr>
        <w:spacing w:line="360" w:lineRule="auto"/>
        <w:ind w:right="-660"/>
        <w:jc w:val="both"/>
        <w:rPr>
          <w:rFonts w:ascii="Arial" w:hAnsi="Arial" w:cs="Arial"/>
          <w:lang w:val="es-ES"/>
        </w:rPr>
      </w:pPr>
      <w:r w:rsidRPr="002651C1">
        <w:rPr>
          <w:rFonts w:ascii="Tahoma" w:hAnsi="Tahoma" w:cs="Tahoma"/>
          <w:lang w:val="es-ES"/>
        </w:rPr>
        <w:t>﻿﻿</w:t>
      </w:r>
      <w:r w:rsidRPr="002651C1">
        <w:rPr>
          <w:rFonts w:ascii="Arial" w:hAnsi="Arial" w:cs="Arial"/>
          <w:lang w:val="es-ES"/>
        </w:rPr>
        <w:t>Abstenerse de ordenar la detención de persona alguna sin cumplimiento con los requisitos previstos en los ordenamientos constitucionales y legales aplicables.</w:t>
      </w:r>
    </w:p>
    <w:p w14:paraId="086A780B" w14:textId="1CB3FF80" w:rsidR="002651C1" w:rsidRPr="002651C1" w:rsidRDefault="002651C1" w:rsidP="002651C1">
      <w:pPr>
        <w:pStyle w:val="Prrafodelista"/>
        <w:numPr>
          <w:ilvl w:val="0"/>
          <w:numId w:val="2"/>
        </w:numPr>
        <w:spacing w:line="360" w:lineRule="auto"/>
        <w:ind w:right="-660"/>
        <w:jc w:val="both"/>
        <w:rPr>
          <w:rFonts w:ascii="Arial" w:hAnsi="Arial" w:cs="Arial"/>
          <w:lang w:val="es-ES"/>
        </w:rPr>
      </w:pPr>
      <w:r w:rsidRPr="002651C1">
        <w:rPr>
          <w:rFonts w:ascii="Tahoma" w:hAnsi="Tahoma" w:cs="Tahoma"/>
          <w:lang w:val="es-ES"/>
        </w:rPr>
        <w:t>﻿﻿</w:t>
      </w:r>
      <w:r w:rsidRPr="002651C1">
        <w:rPr>
          <w:rFonts w:ascii="Arial" w:hAnsi="Arial" w:cs="Arial"/>
          <w:lang w:val="es-ES"/>
        </w:rPr>
        <w:t>Abstenerse de realizar la detención de persona alguna sin cumplimiento con los requisitos previstos en los ordenamientos constitucionales y legales aplicables.</w:t>
      </w:r>
    </w:p>
    <w:p w14:paraId="778C051A" w14:textId="54F4772A" w:rsidR="002651C1" w:rsidRPr="002651C1" w:rsidRDefault="002651C1" w:rsidP="002651C1">
      <w:pPr>
        <w:pStyle w:val="Prrafodelista"/>
        <w:numPr>
          <w:ilvl w:val="0"/>
          <w:numId w:val="2"/>
        </w:numPr>
        <w:spacing w:line="360" w:lineRule="auto"/>
        <w:ind w:right="-660"/>
        <w:jc w:val="both"/>
        <w:rPr>
          <w:rFonts w:ascii="Arial" w:hAnsi="Arial" w:cs="Arial"/>
          <w:lang w:val="es-ES"/>
        </w:rPr>
      </w:pPr>
      <w:r w:rsidRPr="002651C1">
        <w:rPr>
          <w:rFonts w:ascii="Tahoma" w:hAnsi="Tahoma" w:cs="Tahoma"/>
          <w:lang w:val="es-ES"/>
        </w:rPr>
        <w:lastRenderedPageBreak/>
        <w:t>﻿﻿</w:t>
      </w:r>
      <w:r w:rsidRPr="002651C1">
        <w:rPr>
          <w:rFonts w:ascii="Arial" w:hAnsi="Arial" w:cs="Arial"/>
          <w:lang w:val="es-ES"/>
        </w:rPr>
        <w:t>Fomentar la disciplina.</w:t>
      </w:r>
    </w:p>
    <w:p w14:paraId="51AC9EBF" w14:textId="18665336" w:rsidR="002651C1" w:rsidRPr="002651C1" w:rsidRDefault="002651C1" w:rsidP="002651C1">
      <w:pPr>
        <w:pStyle w:val="Prrafodelista"/>
        <w:numPr>
          <w:ilvl w:val="0"/>
          <w:numId w:val="2"/>
        </w:numPr>
        <w:spacing w:line="360" w:lineRule="auto"/>
        <w:ind w:right="-660"/>
        <w:jc w:val="both"/>
        <w:rPr>
          <w:rFonts w:ascii="Arial" w:hAnsi="Arial" w:cs="Arial"/>
          <w:lang w:val="es-ES"/>
        </w:rPr>
      </w:pPr>
      <w:r w:rsidRPr="002651C1">
        <w:rPr>
          <w:rFonts w:ascii="Tahoma" w:hAnsi="Tahoma" w:cs="Tahoma"/>
          <w:lang w:val="es-ES"/>
        </w:rPr>
        <w:t>﻿﻿</w:t>
      </w:r>
      <w:r w:rsidRPr="002651C1">
        <w:rPr>
          <w:rFonts w:ascii="Arial" w:hAnsi="Arial" w:cs="Arial"/>
          <w:lang w:val="es-ES"/>
        </w:rPr>
        <w:t>Fomentar la responsabilidad.</w:t>
      </w:r>
    </w:p>
    <w:p w14:paraId="6652D93B" w14:textId="7E9B9D80" w:rsidR="002651C1" w:rsidRPr="002651C1" w:rsidRDefault="002651C1" w:rsidP="002651C1">
      <w:pPr>
        <w:pStyle w:val="Prrafodelista"/>
        <w:numPr>
          <w:ilvl w:val="0"/>
          <w:numId w:val="2"/>
        </w:numPr>
        <w:spacing w:line="360" w:lineRule="auto"/>
        <w:ind w:right="-660"/>
        <w:jc w:val="both"/>
        <w:rPr>
          <w:rFonts w:ascii="Arial" w:hAnsi="Arial" w:cs="Arial"/>
          <w:lang w:val="es-ES"/>
        </w:rPr>
      </w:pPr>
      <w:r w:rsidRPr="002651C1">
        <w:rPr>
          <w:rFonts w:ascii="Tahoma" w:hAnsi="Tahoma" w:cs="Tahoma"/>
          <w:lang w:val="es-ES"/>
        </w:rPr>
        <w:t>﻿﻿</w:t>
      </w:r>
      <w:r w:rsidRPr="002651C1">
        <w:rPr>
          <w:rFonts w:ascii="Arial" w:hAnsi="Arial" w:cs="Arial"/>
          <w:lang w:val="es-ES"/>
        </w:rPr>
        <w:t>Fomentar la decisión.</w:t>
      </w:r>
    </w:p>
    <w:p w14:paraId="13649017" w14:textId="72492D5C" w:rsidR="002651C1" w:rsidRPr="002651C1" w:rsidRDefault="002651C1" w:rsidP="002651C1">
      <w:pPr>
        <w:pStyle w:val="Prrafodelista"/>
        <w:numPr>
          <w:ilvl w:val="0"/>
          <w:numId w:val="2"/>
        </w:numPr>
        <w:spacing w:line="360" w:lineRule="auto"/>
        <w:ind w:right="-660"/>
        <w:jc w:val="both"/>
        <w:rPr>
          <w:rFonts w:ascii="Arial" w:hAnsi="Arial" w:cs="Arial"/>
          <w:lang w:val="es-ES"/>
        </w:rPr>
      </w:pPr>
      <w:r w:rsidRPr="002651C1">
        <w:rPr>
          <w:rFonts w:ascii="Tahoma" w:hAnsi="Tahoma" w:cs="Tahoma"/>
          <w:lang w:val="es-ES"/>
        </w:rPr>
        <w:t>﻿﻿</w:t>
      </w:r>
      <w:r w:rsidRPr="002651C1">
        <w:rPr>
          <w:rFonts w:ascii="Arial" w:hAnsi="Arial" w:cs="Arial"/>
          <w:lang w:val="es-ES"/>
        </w:rPr>
        <w:t>Fomentar la integridad.</w:t>
      </w:r>
    </w:p>
    <w:p w14:paraId="13F88C2A" w14:textId="026E8EB1" w:rsidR="002651C1" w:rsidRPr="002651C1" w:rsidRDefault="002651C1" w:rsidP="002651C1">
      <w:pPr>
        <w:pStyle w:val="Prrafodelista"/>
        <w:numPr>
          <w:ilvl w:val="0"/>
          <w:numId w:val="2"/>
        </w:numPr>
        <w:spacing w:line="360" w:lineRule="auto"/>
        <w:ind w:right="-660"/>
        <w:jc w:val="both"/>
        <w:rPr>
          <w:rFonts w:ascii="Arial" w:hAnsi="Arial" w:cs="Arial"/>
          <w:lang w:val="es-ES"/>
        </w:rPr>
      </w:pPr>
      <w:r w:rsidRPr="002651C1">
        <w:rPr>
          <w:rFonts w:ascii="Tahoma" w:hAnsi="Tahoma" w:cs="Tahoma"/>
          <w:lang w:val="es-ES"/>
        </w:rPr>
        <w:t>﻿﻿</w:t>
      </w:r>
      <w:r w:rsidRPr="002651C1">
        <w:rPr>
          <w:rFonts w:ascii="Arial" w:hAnsi="Arial" w:cs="Arial"/>
          <w:lang w:val="es-ES"/>
        </w:rPr>
        <w:t>Fomentar el espíritu de cuerpo.</w:t>
      </w:r>
    </w:p>
    <w:p w14:paraId="211E91E1" w14:textId="5EEC9165" w:rsidR="002651C1" w:rsidRPr="002651C1" w:rsidRDefault="002651C1" w:rsidP="002651C1">
      <w:pPr>
        <w:pStyle w:val="Prrafodelista"/>
        <w:numPr>
          <w:ilvl w:val="0"/>
          <w:numId w:val="2"/>
        </w:numPr>
        <w:spacing w:line="360" w:lineRule="auto"/>
        <w:ind w:right="-660"/>
        <w:jc w:val="both"/>
        <w:rPr>
          <w:rFonts w:ascii="Arial" w:hAnsi="Arial" w:cs="Arial"/>
          <w:lang w:val="es-ES"/>
        </w:rPr>
      </w:pPr>
      <w:r w:rsidRPr="002651C1">
        <w:rPr>
          <w:rFonts w:ascii="Tahoma" w:hAnsi="Tahoma" w:cs="Tahoma"/>
          <w:lang w:val="es-ES"/>
        </w:rPr>
        <w:t>﻿﻿</w:t>
      </w:r>
      <w:r w:rsidRPr="002651C1">
        <w:rPr>
          <w:rFonts w:ascii="Arial" w:hAnsi="Arial" w:cs="Arial"/>
          <w:lang w:val="es-ES"/>
        </w:rPr>
        <w:t>Fomentar el profesionalismo en sí mismo y en el personal bajo su mando</w:t>
      </w:r>
    </w:p>
    <w:p w14:paraId="51DE7BBC" w14:textId="77777777" w:rsidR="002651C1" w:rsidRDefault="002651C1" w:rsidP="00834974">
      <w:pPr>
        <w:spacing w:line="360" w:lineRule="auto"/>
        <w:ind w:right="-567" w:firstLine="708"/>
        <w:jc w:val="both"/>
        <w:rPr>
          <w:rFonts w:ascii="Arial" w:hAnsi="Arial" w:cs="Arial"/>
          <w:lang w:val="es-ES"/>
        </w:rPr>
      </w:pPr>
    </w:p>
    <w:p w14:paraId="5F5A7A5D" w14:textId="00660D26" w:rsidR="002651C1" w:rsidRDefault="002651C1" w:rsidP="00834974">
      <w:pPr>
        <w:spacing w:line="360" w:lineRule="auto"/>
        <w:ind w:right="-567" w:firstLine="708"/>
        <w:jc w:val="both"/>
        <w:rPr>
          <w:rFonts w:ascii="Arial" w:hAnsi="Arial" w:cs="Arial"/>
          <w:lang w:val="es-ES"/>
        </w:rPr>
      </w:pPr>
      <w:r>
        <w:rPr>
          <w:rFonts w:ascii="Arial" w:hAnsi="Arial" w:cs="Arial"/>
          <w:lang w:val="es-ES"/>
        </w:rPr>
        <w:t xml:space="preserve">Respecto de lo anterior, el razonamiento resulta </w:t>
      </w:r>
      <w:r w:rsidRPr="00BC0D42">
        <w:rPr>
          <w:rFonts w:ascii="Arial" w:hAnsi="Arial" w:cs="Arial"/>
          <w:b/>
          <w:bCs/>
          <w:lang w:val="es-ES"/>
        </w:rPr>
        <w:t>fundado</w:t>
      </w:r>
      <w:r>
        <w:rPr>
          <w:rFonts w:ascii="Arial" w:hAnsi="Arial" w:cs="Arial"/>
          <w:lang w:val="es-ES"/>
        </w:rPr>
        <w:t xml:space="preserve">, toda vez que si bien, en la resolución que se combate, se mencionó los artículos que incumplió el actor, lo cierto es, que en ningún momento se realizó una subsunción entre los hechos y la hipótesis normativa, que en realidad tampoco se individualizó, es decir, </w:t>
      </w:r>
      <w:r w:rsidR="00DC1B9C">
        <w:rPr>
          <w:rFonts w:ascii="Arial" w:hAnsi="Arial" w:cs="Arial"/>
          <w:lang w:val="es-ES"/>
        </w:rPr>
        <w:t xml:space="preserve">un ningún momento se dijo cuál de todas las hipótesis que contienen los artículos mencionados le correspondía al caso en concreto. </w:t>
      </w:r>
      <w:r w:rsidR="00BC0D42">
        <w:rPr>
          <w:rFonts w:ascii="Arial" w:hAnsi="Arial" w:cs="Arial"/>
          <w:lang w:val="es-ES"/>
        </w:rPr>
        <w:t>- - - - - - - - - - - - - - - - - - - - - - - - - - - - - - - - - - - - - - - - - - - - - - - - - - -</w:t>
      </w:r>
    </w:p>
    <w:p w14:paraId="3BF8AC16" w14:textId="77777777" w:rsidR="00DC1B9C" w:rsidRDefault="00DC1B9C" w:rsidP="00834974">
      <w:pPr>
        <w:spacing w:line="360" w:lineRule="auto"/>
        <w:ind w:right="-567" w:firstLine="708"/>
        <w:jc w:val="both"/>
        <w:rPr>
          <w:rFonts w:ascii="Arial" w:hAnsi="Arial" w:cs="Arial"/>
          <w:lang w:val="es-ES"/>
        </w:rPr>
      </w:pPr>
    </w:p>
    <w:p w14:paraId="219067D7" w14:textId="481E5221" w:rsidR="00DC1B9C" w:rsidRDefault="00DC1B9C" w:rsidP="00834974">
      <w:pPr>
        <w:spacing w:line="360" w:lineRule="auto"/>
        <w:ind w:right="-567" w:firstLine="708"/>
        <w:jc w:val="both"/>
        <w:rPr>
          <w:rFonts w:ascii="Arial" w:hAnsi="Arial" w:cs="Arial"/>
          <w:lang w:val="es-ES"/>
        </w:rPr>
      </w:pPr>
      <w:r w:rsidRPr="00DC1B9C">
        <w:rPr>
          <w:rFonts w:ascii="Arial" w:hAnsi="Arial" w:cs="Arial"/>
          <w:lang w:val="es-ES"/>
        </w:rPr>
        <w:t>Lo anterior, con la finalidad de no dejar a</w:t>
      </w:r>
      <w:r>
        <w:rPr>
          <w:rFonts w:ascii="Arial" w:hAnsi="Arial" w:cs="Arial"/>
          <w:lang w:val="es-ES"/>
        </w:rPr>
        <w:t>l</w:t>
      </w:r>
      <w:r w:rsidRPr="00DC1B9C">
        <w:rPr>
          <w:rFonts w:ascii="Arial" w:hAnsi="Arial" w:cs="Arial"/>
          <w:lang w:val="es-ES"/>
        </w:rPr>
        <w:t xml:space="preserve"> </w:t>
      </w:r>
      <w:r>
        <w:rPr>
          <w:rFonts w:ascii="Arial" w:hAnsi="Arial" w:cs="Arial"/>
          <w:lang w:val="es-ES"/>
        </w:rPr>
        <w:t>administrado</w:t>
      </w:r>
      <w:r w:rsidRPr="00DC1B9C">
        <w:rPr>
          <w:rFonts w:ascii="Arial" w:hAnsi="Arial" w:cs="Arial"/>
          <w:lang w:val="es-ES"/>
        </w:rPr>
        <w:t xml:space="preserve"> en estado de indefensión al confundirlo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w:t>
      </w:r>
      <w:r w:rsidR="00BC0D42">
        <w:rPr>
          <w:rFonts w:ascii="Arial" w:hAnsi="Arial" w:cs="Arial"/>
          <w:lang w:val="es-ES"/>
        </w:rPr>
        <w:t xml:space="preserve">- - - - - - - - - - - - - - - - - - - - - - - - - - - - - - - - - </w:t>
      </w:r>
    </w:p>
    <w:p w14:paraId="79686E42" w14:textId="40B5AEBF" w:rsidR="00DC1B9C" w:rsidRDefault="007B452B" w:rsidP="00834974">
      <w:pPr>
        <w:spacing w:line="360" w:lineRule="auto"/>
        <w:ind w:right="-567" w:firstLine="708"/>
        <w:jc w:val="both"/>
        <w:rPr>
          <w:rFonts w:ascii="Arial" w:hAnsi="Arial" w:cs="Arial"/>
          <w:lang w:val="es-ES"/>
        </w:rPr>
      </w:pPr>
      <w:r>
        <w:rPr>
          <w:noProof/>
          <w:lang w:eastAsia="es-MX"/>
        </w:rPr>
        <mc:AlternateContent>
          <mc:Choice Requires="wps">
            <w:drawing>
              <wp:anchor distT="0" distB="0" distL="114300" distR="114300" simplePos="0" relativeHeight="251665408" behindDoc="0" locked="0" layoutInCell="1" allowOverlap="1" wp14:anchorId="14FDBC1E" wp14:editId="738F423F">
                <wp:simplePos x="0" y="0"/>
                <wp:positionH relativeFrom="leftMargin">
                  <wp:posOffset>240030</wp:posOffset>
                </wp:positionH>
                <wp:positionV relativeFrom="paragraph">
                  <wp:posOffset>114300</wp:posOffset>
                </wp:positionV>
                <wp:extent cx="1126490" cy="1009650"/>
                <wp:effectExtent l="0" t="0" r="1651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74FD9E7A" w14:textId="77777777" w:rsidR="007B452B" w:rsidRDefault="007B452B" w:rsidP="007B452B">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DBC1E" id="Cuadro de texto 4" o:spid="_x0000_s1028" type="#_x0000_t202" style="position:absolute;left:0;text-align:left;margin-left:18.9pt;margin-top:9pt;width:88.7pt;height:79.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JEHKwIAAFM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">
                <v:textbox>
                  <w:txbxContent>
                    <w:p w14:paraId="74FD9E7A" w14:textId="77777777" w:rsidR="007B452B" w:rsidRDefault="007B452B" w:rsidP="007B452B">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p>
    <w:p w14:paraId="22CDE161" w14:textId="187C0FBF" w:rsidR="002651C1" w:rsidRDefault="00DC1B9C" w:rsidP="00834974">
      <w:pPr>
        <w:spacing w:line="360" w:lineRule="auto"/>
        <w:ind w:right="-567" w:firstLine="708"/>
        <w:jc w:val="both"/>
        <w:rPr>
          <w:rFonts w:ascii="Arial" w:hAnsi="Arial" w:cs="Arial"/>
          <w:lang w:val="es-ES"/>
        </w:rPr>
      </w:pPr>
      <w:r w:rsidRPr="00DC1B9C">
        <w:rPr>
          <w:rFonts w:ascii="Arial" w:hAnsi="Arial" w:cs="Arial"/>
          <w:lang w:val="es-ES"/>
        </w:rPr>
        <w:t xml:space="preserve">De la misma forma, es imperante que la </w:t>
      </w:r>
      <w:r w:rsidR="00BC0D42" w:rsidRPr="00DC1B9C">
        <w:rPr>
          <w:rFonts w:ascii="Arial" w:hAnsi="Arial" w:cs="Arial"/>
          <w:lang w:val="es-ES"/>
        </w:rPr>
        <w:t>autoridad,</w:t>
      </w:r>
      <w:r w:rsidRPr="00DC1B9C">
        <w:rPr>
          <w:rFonts w:ascii="Arial" w:hAnsi="Arial" w:cs="Arial"/>
          <w:lang w:val="es-ES"/>
        </w:rPr>
        <w:t xml:space="preserve"> deje perfectamente clara cuál es la hipótesis normativa que le corresponde a esos hechos en particular</w:t>
      </w:r>
      <w:r>
        <w:rPr>
          <w:rFonts w:ascii="Arial" w:hAnsi="Arial" w:cs="Arial"/>
          <w:lang w:val="es-ES"/>
        </w:rPr>
        <w:t>,</w:t>
      </w:r>
      <w:r w:rsidRPr="00DC1B9C">
        <w:rPr>
          <w:rFonts w:ascii="Arial" w:hAnsi="Arial" w:cs="Arial"/>
          <w:lang w:val="es-ES"/>
        </w:rPr>
        <w:t xml:space="preserve"> conforme a lo dispuesto por el siguiente criterio: PROCEDIMIENTO ADMINISTRATIVO DE REMOCIÓN DE POLICÍAS MUNICIPALES. EL ACUERDO DE INICIO DEBE CONTENER LAS CIRCUNSTANCIAS DE MODO, TIEMPO Y LUGAR EN QUE TUVO LUGAR LA CONDUCTA REPROCHADA, DE MANERA QUE ENCUADRE EXACTAMENTE EN LA HIPÓTESIS TIPIFICADA COMO FALTA GRAVE</w:t>
      </w:r>
      <w:r>
        <w:rPr>
          <w:rStyle w:val="Refdenotaalpie"/>
          <w:rFonts w:ascii="Arial" w:hAnsi="Arial" w:cs="Arial"/>
          <w:bCs/>
          <w:color w:val="000000"/>
        </w:rPr>
        <w:footnoteReference w:id="4"/>
      </w:r>
      <w:r w:rsidRPr="00DC1B9C">
        <w:rPr>
          <w:rFonts w:ascii="Arial" w:hAnsi="Arial" w:cs="Arial"/>
          <w:lang w:val="es-ES"/>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w:t>
      </w:r>
      <w:r>
        <w:rPr>
          <w:rFonts w:ascii="Arial" w:hAnsi="Arial" w:cs="Arial"/>
          <w:lang w:val="es-ES"/>
        </w:rPr>
        <w:t xml:space="preserve">, </w:t>
      </w:r>
      <w:r w:rsidRPr="00DC1B9C">
        <w:rPr>
          <w:rFonts w:ascii="Arial" w:hAnsi="Arial" w:cs="Arial"/>
          <w:lang w:val="es-ES"/>
        </w:rPr>
        <w:t xml:space="preserve">sin que pueda hacerse referencia solamente de manera genérica, o englobarla conjuntamente con la de otro u otros presuntos infractores, ya que siempre se debe individualizar y encuadrar exactamente en la hipótesis normativa, sobre todo en los casos en los que una misma conducta e infracción le es imputada a más de un servidor público. - - - - - - - </w:t>
      </w:r>
      <w:r w:rsidR="00BC0D42">
        <w:rPr>
          <w:rFonts w:ascii="Arial" w:hAnsi="Arial" w:cs="Arial"/>
          <w:lang w:val="es-ES"/>
        </w:rPr>
        <w:t xml:space="preserve">- - - - - - - - - - - - - - - - - - - - - - - - - - - - - - - - - - - - - - - - - - - - - - - - - - - </w:t>
      </w:r>
    </w:p>
    <w:p w14:paraId="3266DFC1" w14:textId="5636A402" w:rsidR="002651C1" w:rsidRDefault="002651C1" w:rsidP="00834974">
      <w:pPr>
        <w:spacing w:line="360" w:lineRule="auto"/>
        <w:ind w:right="-567" w:firstLine="708"/>
        <w:jc w:val="both"/>
        <w:rPr>
          <w:rFonts w:ascii="Arial" w:hAnsi="Arial" w:cs="Arial"/>
          <w:lang w:val="es-ES"/>
        </w:rPr>
      </w:pPr>
    </w:p>
    <w:p w14:paraId="39E16EEE" w14:textId="139104B1" w:rsidR="00834974" w:rsidRDefault="00DC1B9C" w:rsidP="00E41A7C">
      <w:pPr>
        <w:spacing w:line="360" w:lineRule="auto"/>
        <w:ind w:right="-567" w:firstLine="708"/>
        <w:jc w:val="both"/>
        <w:rPr>
          <w:rFonts w:ascii="Arial" w:hAnsi="Arial" w:cs="Arial"/>
        </w:rPr>
      </w:pPr>
      <w:r>
        <w:rPr>
          <w:rFonts w:ascii="Arial" w:hAnsi="Arial" w:cs="Arial"/>
          <w:lang w:val="es-ES"/>
        </w:rPr>
        <w:t xml:space="preserve">De lo anterior, es evidente que la autoridad demanda no realizó una correcta tipificación </w:t>
      </w:r>
      <w:r w:rsidR="00321224">
        <w:rPr>
          <w:rFonts w:ascii="Arial" w:hAnsi="Arial" w:cs="Arial"/>
          <w:lang w:val="es-ES"/>
        </w:rPr>
        <w:t xml:space="preserve">de los hechos por los que acusó, </w:t>
      </w:r>
      <w:r w:rsidR="00E41A7C">
        <w:rPr>
          <w:rFonts w:ascii="Arial" w:hAnsi="Arial" w:cs="Arial"/>
          <w:lang w:val="es-ES"/>
        </w:rPr>
        <w:t>y</w:t>
      </w:r>
      <w:r w:rsidR="0084797B">
        <w:rPr>
          <w:rFonts w:ascii="Arial" w:hAnsi="Arial" w:cs="Arial"/>
          <w:lang w:val="es-ES"/>
        </w:rPr>
        <w:t xml:space="preserve"> gener</w:t>
      </w:r>
      <w:r w:rsidR="00E41A7C">
        <w:rPr>
          <w:rFonts w:ascii="Arial" w:hAnsi="Arial" w:cs="Arial"/>
          <w:lang w:val="es-ES"/>
        </w:rPr>
        <w:t>ó</w:t>
      </w:r>
      <w:r w:rsidR="0084797B">
        <w:rPr>
          <w:rFonts w:ascii="Arial" w:hAnsi="Arial" w:cs="Arial"/>
          <w:lang w:val="es-ES"/>
        </w:rPr>
        <w:t xml:space="preserve"> una </w:t>
      </w:r>
      <w:r w:rsidR="00834974">
        <w:rPr>
          <w:rFonts w:ascii="Arial" w:hAnsi="Arial" w:cs="Arial"/>
        </w:rPr>
        <w:t xml:space="preserve">situación que resulta </w:t>
      </w:r>
      <w:r w:rsidR="0084797B">
        <w:rPr>
          <w:rFonts w:ascii="Arial" w:hAnsi="Arial" w:cs="Arial"/>
        </w:rPr>
        <w:t xml:space="preserve">confusa </w:t>
      </w:r>
      <w:r w:rsidR="0084797B">
        <w:rPr>
          <w:rFonts w:ascii="Arial" w:hAnsi="Arial" w:cs="Arial"/>
        </w:rPr>
        <w:lastRenderedPageBreak/>
        <w:t xml:space="preserve">para él, en atención a que </w:t>
      </w:r>
      <w:r w:rsidR="00E41A7C">
        <w:rPr>
          <w:rFonts w:ascii="Arial" w:hAnsi="Arial" w:cs="Arial"/>
        </w:rPr>
        <w:t xml:space="preserve">al no individualizar los hechos ni la hipótesis normativa resultó ser </w:t>
      </w:r>
      <w:r w:rsidR="00834974">
        <w:rPr>
          <w:rFonts w:ascii="Arial" w:hAnsi="Arial" w:cs="Arial"/>
        </w:rPr>
        <w:t>violatori</w:t>
      </w:r>
      <w:r w:rsidR="00E41A7C">
        <w:rPr>
          <w:rFonts w:ascii="Arial" w:hAnsi="Arial" w:cs="Arial"/>
        </w:rPr>
        <w:t>o</w:t>
      </w:r>
      <w:r w:rsidR="00834974">
        <w:rPr>
          <w:rFonts w:ascii="Arial" w:hAnsi="Arial" w:cs="Arial"/>
        </w:rPr>
        <w:t xml:space="preserve"> del principio de legalidad y tipicidad, pues la tipicidad integra las condiciones de previsión y certeza de la disposición normativa</w:t>
      </w:r>
      <w:r w:rsidR="00834974">
        <w:rPr>
          <w:rStyle w:val="Refdenotaalpie"/>
          <w:rFonts w:ascii="Arial" w:hAnsi="Arial" w:cs="Arial"/>
        </w:rPr>
        <w:footnoteReference w:id="5"/>
      </w:r>
      <w:r w:rsidR="00834974">
        <w:rPr>
          <w:rFonts w:ascii="Arial" w:hAnsi="Arial" w:cs="Arial"/>
        </w:rPr>
        <w:t xml:space="preserve">, y la autoridad </w:t>
      </w:r>
      <w:r w:rsidR="00E41A7C">
        <w:rPr>
          <w:rFonts w:ascii="Arial" w:hAnsi="Arial" w:cs="Arial"/>
        </w:rPr>
        <w:t>no realizó lo anterior</w:t>
      </w:r>
      <w:r w:rsidR="00834974">
        <w:rPr>
          <w:rFonts w:ascii="Arial" w:hAnsi="Arial" w:cs="Arial"/>
        </w:rPr>
        <w:t xml:space="preserve"> y dejó en completo estado de indefensión al administrado al no tener la certeza jurídica de cuáles son los elementos normativos que debe combatir para la conducta desplegada.  </w:t>
      </w:r>
      <w:r w:rsidR="00834974" w:rsidRPr="00E86D8E">
        <w:rPr>
          <w:rFonts w:ascii="Arial" w:hAnsi="Arial" w:cs="Arial"/>
        </w:rPr>
        <w:t>En este contexto, la administración colabora en la precisión del tipo a través de la tarea de subsunción en el primer proceso de aplicación de la norma, mediante el denominado silogismo de determinación de la consecuencia jurídica, que conlleva la constatación de los hechos, la interpretación del supuesto de hecho del texto normativo, la subsunción de los hechos en el supuesto fáctico y la determinación de la consecuencia jurídica</w:t>
      </w:r>
      <w:r w:rsidR="00834974">
        <w:rPr>
          <w:rStyle w:val="Refdenotaalpie"/>
          <w:rFonts w:ascii="Arial" w:hAnsi="Arial" w:cs="Arial"/>
        </w:rPr>
        <w:footnoteReference w:id="6"/>
      </w:r>
      <w:r w:rsidR="00834974" w:rsidRPr="00E86D8E">
        <w:rPr>
          <w:rFonts w:ascii="Arial" w:hAnsi="Arial" w:cs="Arial"/>
        </w:rPr>
        <w:t>.</w:t>
      </w:r>
      <w:r w:rsidR="00834974">
        <w:rPr>
          <w:rFonts w:ascii="Arial" w:hAnsi="Arial" w:cs="Arial"/>
        </w:rPr>
        <w:t xml:space="preserve"> - - - - - </w:t>
      </w:r>
    </w:p>
    <w:p w14:paraId="6744D427" w14:textId="77777777" w:rsidR="00E41A7C" w:rsidRPr="00E41A7C" w:rsidRDefault="00E41A7C" w:rsidP="00E41A7C">
      <w:pPr>
        <w:spacing w:line="360" w:lineRule="auto"/>
        <w:ind w:right="-567" w:firstLine="708"/>
        <w:jc w:val="both"/>
        <w:rPr>
          <w:rFonts w:ascii="Arial" w:hAnsi="Arial" w:cs="Arial"/>
        </w:rPr>
      </w:pPr>
    </w:p>
    <w:p w14:paraId="18696EEA" w14:textId="3CE776D6" w:rsidR="00834974" w:rsidRDefault="00834974" w:rsidP="001447AA">
      <w:pPr>
        <w:spacing w:line="360" w:lineRule="auto"/>
        <w:ind w:right="-660" w:firstLine="708"/>
        <w:jc w:val="both"/>
        <w:rPr>
          <w:rFonts w:ascii="Arial" w:hAnsi="Arial" w:cs="Arial"/>
        </w:rPr>
      </w:pPr>
      <w:r>
        <w:rPr>
          <w:rFonts w:ascii="Arial" w:hAnsi="Arial" w:cs="Arial"/>
        </w:rPr>
        <w:t xml:space="preserve">Así, poniendo como ejemplo la materia penal, cuando se tiene una conducta, para poder sancionar la misma, está debe poder tipificarse de forma exacta en la norma expedida con anterioridad al hecho, en consecuencia, es obligación de toda autoridad el determinar de forma clara desde un inicio cuáles son los hechos que constituyen la conducta a sancionar, y cuál es la normatividad que la contiene. En el caso de un hecho que la ley señala como delito, se tiene una conducta que despliega el sujeto activo, que actualiza una hipótesis normativa existente al momento de los hechos, para poder considerarse típica, y por consiguiente poder ser sancionada; ahora bien, dependiendo del tipo de hecho, es posible utilizar normatividad complementaria para entender y acreditar ciertos elementos del tipo administrativo, sin embargo, </w:t>
      </w:r>
      <w:r w:rsidR="00E41A7C">
        <w:rPr>
          <w:rFonts w:ascii="Arial" w:hAnsi="Arial" w:cs="Arial"/>
        </w:rPr>
        <w:t xml:space="preserve">no individualizar </w:t>
      </w:r>
      <w:r w:rsidR="001447AA">
        <w:rPr>
          <w:rFonts w:ascii="Arial" w:hAnsi="Arial" w:cs="Arial"/>
        </w:rPr>
        <w:t xml:space="preserve">los mismos ni determinar la hipótesis normativa </w:t>
      </w:r>
      <w:r>
        <w:rPr>
          <w:rFonts w:ascii="Arial" w:hAnsi="Arial" w:cs="Arial"/>
        </w:rPr>
        <w:t>es completamente violatorio de los principios de legalidad y tipicidad</w:t>
      </w:r>
      <w:r w:rsidR="001447AA">
        <w:rPr>
          <w:rFonts w:ascii="Arial" w:hAnsi="Arial" w:cs="Arial"/>
        </w:rPr>
        <w:t>, situación que quedó plasmada es el siguiente criterio:</w:t>
      </w:r>
      <w:r>
        <w:rPr>
          <w:rFonts w:ascii="Arial" w:hAnsi="Arial" w:cs="Arial"/>
        </w:rPr>
        <w:t xml:space="preserve"> </w:t>
      </w:r>
    </w:p>
    <w:p w14:paraId="352D5356" w14:textId="26E2DF96" w:rsidR="000A56D7" w:rsidRDefault="000A56D7" w:rsidP="001447AA">
      <w:pPr>
        <w:spacing w:line="360" w:lineRule="auto"/>
        <w:ind w:right="-660"/>
        <w:jc w:val="both"/>
        <w:rPr>
          <w:rFonts w:ascii="Arial" w:hAnsi="Arial" w:cs="Arial"/>
        </w:rPr>
      </w:pPr>
    </w:p>
    <w:p w14:paraId="1DDE38AB" w14:textId="028453E7" w:rsidR="000A56D7" w:rsidRPr="00BC0D42" w:rsidRDefault="000A56D7" w:rsidP="000A56D7">
      <w:pPr>
        <w:spacing w:line="360" w:lineRule="auto"/>
        <w:ind w:right="-660" w:firstLine="708"/>
        <w:jc w:val="both"/>
        <w:rPr>
          <w:rFonts w:ascii="Arial" w:hAnsi="Arial" w:cs="Arial"/>
          <w:i/>
          <w:iCs/>
          <w:sz w:val="22"/>
          <w:szCs w:val="22"/>
        </w:rPr>
      </w:pPr>
      <w:r w:rsidRPr="00BC0D42">
        <w:rPr>
          <w:rFonts w:ascii="Arial" w:hAnsi="Arial" w:cs="Arial"/>
          <w:i/>
          <w:iCs/>
          <w:sz w:val="22"/>
          <w:szCs w:val="22"/>
        </w:rPr>
        <w:t>Suprema Corte de Justicia de la Nación Registro digital: 2016087 Instancia: Tribunales Colegiados de Circuito Décima Época Materias(s): Constitucional, Administrativa Tesis: I.1o.A.E.221 A (10a.) Fuente: Gaceta del Semanario Judicial de la Federación. Libro 50, Enero de 2018, Tomo IV, página 2112 Tipo: Aislada</w:t>
      </w:r>
    </w:p>
    <w:p w14:paraId="7130BC4E" w14:textId="77777777" w:rsidR="000A56D7" w:rsidRPr="00BC0D42" w:rsidRDefault="000A56D7" w:rsidP="000A56D7">
      <w:pPr>
        <w:spacing w:line="360" w:lineRule="auto"/>
        <w:ind w:right="-660" w:firstLine="708"/>
        <w:jc w:val="both"/>
        <w:rPr>
          <w:rFonts w:ascii="Arial" w:hAnsi="Arial" w:cs="Arial"/>
          <w:i/>
          <w:iCs/>
          <w:sz w:val="22"/>
          <w:szCs w:val="22"/>
        </w:rPr>
      </w:pPr>
    </w:p>
    <w:p w14:paraId="75B4E169" w14:textId="77777777" w:rsidR="000A56D7" w:rsidRPr="00BC0D42" w:rsidRDefault="000A56D7" w:rsidP="000A56D7">
      <w:pPr>
        <w:spacing w:line="360" w:lineRule="auto"/>
        <w:ind w:right="-660" w:firstLine="708"/>
        <w:jc w:val="both"/>
        <w:rPr>
          <w:rFonts w:ascii="Arial" w:hAnsi="Arial" w:cs="Arial"/>
          <w:i/>
          <w:iCs/>
          <w:sz w:val="22"/>
          <w:szCs w:val="22"/>
        </w:rPr>
      </w:pPr>
      <w:r w:rsidRPr="00BC0D42">
        <w:rPr>
          <w:rFonts w:ascii="Arial" w:hAnsi="Arial" w:cs="Arial"/>
          <w:i/>
          <w:iCs/>
          <w:sz w:val="22"/>
          <w:szCs w:val="22"/>
        </w:rPr>
        <w:t>DISPOSICIONES ADMINISTRATIVAS SANCIONADORAS. CONDICIONES PARA LA VALIDEZ CONSTITUCIONAL DE SU APLICACIÓN, EN RELACIÓN CON EL PRINCIPIO DE TIPICIDAD.</w:t>
      </w:r>
    </w:p>
    <w:p w14:paraId="37387AB2" w14:textId="77777777" w:rsidR="000A56D7" w:rsidRPr="00BC0D42" w:rsidRDefault="000A56D7" w:rsidP="000A56D7">
      <w:pPr>
        <w:spacing w:line="360" w:lineRule="auto"/>
        <w:ind w:right="-660" w:firstLine="708"/>
        <w:jc w:val="both"/>
        <w:rPr>
          <w:rFonts w:ascii="Arial" w:hAnsi="Arial" w:cs="Arial"/>
          <w:i/>
          <w:iCs/>
          <w:sz w:val="22"/>
          <w:szCs w:val="22"/>
        </w:rPr>
      </w:pPr>
    </w:p>
    <w:p w14:paraId="0CC7DAC1" w14:textId="77777777" w:rsidR="000A56D7" w:rsidRPr="00BC0D42" w:rsidRDefault="000A56D7" w:rsidP="000A56D7">
      <w:pPr>
        <w:spacing w:line="360" w:lineRule="auto"/>
        <w:ind w:right="-660" w:firstLine="708"/>
        <w:jc w:val="both"/>
        <w:rPr>
          <w:rFonts w:ascii="Arial" w:hAnsi="Arial" w:cs="Arial"/>
          <w:i/>
          <w:iCs/>
        </w:rPr>
      </w:pPr>
      <w:r w:rsidRPr="00BC0D42">
        <w:rPr>
          <w:rFonts w:ascii="Arial" w:hAnsi="Arial" w:cs="Arial"/>
          <w:i/>
          <w:iCs/>
          <w:sz w:val="22"/>
          <w:szCs w:val="22"/>
        </w:rPr>
        <w:t xml:space="preserve">El mandato de tipificación es una fórmula técnica que integra las condiciones de previsión y certeza de la disposición normativa. Así, las infracciones y las sanciones no sólo tienen que estar previstas con anterioridad a que se produzca la conducta enjuiciable (lex previa), sino que deben tener un grado de precisión tal (lex </w:t>
      </w:r>
      <w:proofErr w:type="spellStart"/>
      <w:r w:rsidRPr="00BC0D42">
        <w:rPr>
          <w:rFonts w:ascii="Arial" w:hAnsi="Arial" w:cs="Arial"/>
          <w:i/>
          <w:iCs/>
          <w:sz w:val="22"/>
          <w:szCs w:val="22"/>
        </w:rPr>
        <w:t>certa</w:t>
      </w:r>
      <w:proofErr w:type="spellEnd"/>
      <w:r w:rsidRPr="00BC0D42">
        <w:rPr>
          <w:rFonts w:ascii="Arial" w:hAnsi="Arial" w:cs="Arial"/>
          <w:i/>
          <w:iCs/>
          <w:sz w:val="22"/>
          <w:szCs w:val="22"/>
        </w:rPr>
        <w:t xml:space="preserve">), que hagan innecesaria la actividad del operador jurídico, tendente a determinar los elementos del tipo, ya sea con ánimo creativo, de complementación, en una interpretación basada en la analogía, o en un desvío del texto legal. No obstante, en el derecho administrativo sancionador la tipificación normativa no llega a ser inexcusablemente precisa y </w:t>
      </w:r>
      <w:r w:rsidRPr="00BC0D42">
        <w:rPr>
          <w:rFonts w:ascii="Arial" w:hAnsi="Arial" w:cs="Arial"/>
          <w:i/>
          <w:iCs/>
          <w:sz w:val="22"/>
          <w:szCs w:val="22"/>
        </w:rPr>
        <w:lastRenderedPageBreak/>
        <w:t>directa, sino que es habitual que se practique indirectamente o por remisión, cuando la conducta de reproche puede desprenderse de las disposiciones legales o reglamentarias que complementen las técnicas normativas utilizadas por el legislador, como pudieran ser los conceptos jurídicos indeterminados y, en general, los conceptos cuya delimitación permite un margen de apreciación. Además, si bien es cierto que en la vertiente sancionatoria del modelo del Estado regulador, el principio de reserva de ley adquiere una expresión mínima, también lo es que subsiste el de tipicidad, como la exigencia de que la conducta, que es condición de la sanción, se contenga en una predeterminación inteligible, sin importar la fuente jurídica de la que derive la obligación, la cual debe ser individualizable de forma precisa, para permitir a las personas la previsibilidad de las conductas infractoras y evitar la arbitrariedad de la autoridad. En este contexto, la administración colabora en la precisión del tipo a través de la tarea de subsunción en el primer proceso de aplicación de la norma, mediante el denominado silogismo de determinación de la consecuencia jurídica, que conlleva la constatación de los hechos, la interpretación del supuesto de hecho del texto normativo, la subsunción de los hechos en el supuesto fáctico y la determinación de la consecuencia jurídica. Por tanto, la validez constitucional de la aplicación de las disposiciones administrativas sancionadoras dependerá del respeto a la literalidad del enunciado normativo y a su previsibilidad, en la medida en que eviten la emisión de resoluciones que impidan a los gobernados programar sus comportamientos sin temor a posibles condenas por actos no tipificados previamente.</w:t>
      </w:r>
    </w:p>
    <w:p w14:paraId="2BF02849" w14:textId="2BB9D40D" w:rsidR="00834974" w:rsidRDefault="00834974" w:rsidP="00834974">
      <w:pPr>
        <w:spacing w:line="360" w:lineRule="auto"/>
        <w:ind w:right="-660" w:firstLine="708"/>
        <w:jc w:val="both"/>
        <w:rPr>
          <w:rFonts w:ascii="Arial" w:hAnsi="Arial" w:cs="Arial"/>
        </w:rPr>
      </w:pPr>
    </w:p>
    <w:p w14:paraId="75DA287A" w14:textId="1308C733" w:rsidR="00834974" w:rsidRPr="005C07E6" w:rsidRDefault="007E6625" w:rsidP="00834974">
      <w:pPr>
        <w:spacing w:line="360" w:lineRule="auto"/>
        <w:ind w:right="-660" w:firstLine="708"/>
        <w:jc w:val="both"/>
        <w:rPr>
          <w:rFonts w:ascii="Arial" w:hAnsi="Arial" w:cs="Arial"/>
          <w:sz w:val="20"/>
          <w:szCs w:val="20"/>
        </w:rPr>
      </w:pPr>
      <w:r>
        <w:rPr>
          <w:noProof/>
          <w:lang w:eastAsia="es-MX"/>
        </w:rPr>
        <mc:AlternateContent>
          <mc:Choice Requires="wps">
            <w:drawing>
              <wp:anchor distT="0" distB="0" distL="114300" distR="114300" simplePos="0" relativeHeight="251667456" behindDoc="0" locked="0" layoutInCell="1" allowOverlap="1" wp14:anchorId="0B0A66AB" wp14:editId="0BF1E937">
                <wp:simplePos x="0" y="0"/>
                <wp:positionH relativeFrom="leftMargin">
                  <wp:posOffset>244549</wp:posOffset>
                </wp:positionH>
                <wp:positionV relativeFrom="paragraph">
                  <wp:posOffset>236545</wp:posOffset>
                </wp:positionV>
                <wp:extent cx="1095153" cy="1009650"/>
                <wp:effectExtent l="0" t="0" r="1016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153" cy="1009650"/>
                        </a:xfrm>
                        <a:prstGeom prst="rect">
                          <a:avLst/>
                        </a:prstGeom>
                        <a:solidFill>
                          <a:srgbClr val="FFFFFF"/>
                        </a:solidFill>
                        <a:ln w="9525">
                          <a:solidFill>
                            <a:srgbClr val="000000"/>
                          </a:solidFill>
                          <a:miter lim="800000"/>
                          <a:headEnd/>
                          <a:tailEnd/>
                        </a:ln>
                      </wps:spPr>
                      <wps:txbx>
                        <w:txbxContent>
                          <w:p w14:paraId="291165F2" w14:textId="77777777" w:rsidR="007B452B" w:rsidRDefault="007B452B" w:rsidP="007B452B">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A66AB" id="Cuadro de texto 5" o:spid="_x0000_s1029" type="#_x0000_t202" style="position:absolute;left:0;text-align:left;margin-left:19.25pt;margin-top:18.65pt;width:86.25pt;height:79.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">
                <v:textbox>
                  <w:txbxContent>
                    <w:p w14:paraId="291165F2" w14:textId="77777777" w:rsidR="007B452B" w:rsidRDefault="007B452B" w:rsidP="007B452B">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p>
    <w:p w14:paraId="4D4FD9AA" w14:textId="7FCA7AEE" w:rsidR="00834974" w:rsidRDefault="001447AA" w:rsidP="00834974">
      <w:pPr>
        <w:spacing w:line="360" w:lineRule="auto"/>
        <w:ind w:right="-660" w:firstLine="708"/>
        <w:jc w:val="both"/>
        <w:rPr>
          <w:rFonts w:ascii="Arial" w:hAnsi="Arial" w:cs="Arial"/>
        </w:rPr>
      </w:pPr>
      <w:r>
        <w:rPr>
          <w:rFonts w:ascii="Arial" w:hAnsi="Arial" w:cs="Arial"/>
        </w:rPr>
        <w:t>D</w:t>
      </w:r>
      <w:r w:rsidR="00834974">
        <w:rPr>
          <w:rFonts w:ascii="Arial" w:hAnsi="Arial" w:cs="Arial"/>
        </w:rPr>
        <w:t xml:space="preserve">esde el inicio de un procedimiento administrativo, es obligación de la autoridad realizar mención de las causas </w:t>
      </w:r>
      <w:r w:rsidR="00834974" w:rsidRPr="00CD55FA">
        <w:rPr>
          <w:rFonts w:ascii="Arial" w:hAnsi="Arial" w:cs="Arial"/>
        </w:rPr>
        <w:t>o motivos imputados para iniciarlo, así como las disposiciones normativas infringidas; exigencia que, interpretada de manera acorde con los principios de legalidad, tipicidad y exacta aplicación de la ley, previstos para la materia penal en el artículo 14 d</w:t>
      </w:r>
      <w:bookmarkStart w:id="4" w:name="_GoBack"/>
      <w:bookmarkEnd w:id="4"/>
      <w:r w:rsidR="00834974" w:rsidRPr="00CD55FA">
        <w:rPr>
          <w:rFonts w:ascii="Arial" w:hAnsi="Arial" w:cs="Arial"/>
        </w:rPr>
        <w:t>e la Constitución Política de los Estados Unidos Mexicanos y aplicables al derecho administrativo sancionador, conlleva la obligación de precisar las circunstancias de modo, tiempo y lugar de la conducta realizada por el presunto infractor y encuadrarla exactamente en la hipótesis normativa previamente establecida como infracción o falta grave que se le atribuye. Sin que sea jurídicamente aceptable que sólo se haga referencia a esa conducta reprochable de manera genérica, o englobarla conjuntamente con la de otro u otros presuntos infractores, ya que siempre se debe individualizar y encuadrar exactamente en la hipótesis normativa, sobre todo en los casos en los que una misma conducta e infracción le es imputada a más de un servidor público</w:t>
      </w:r>
      <w:r w:rsidR="00834974">
        <w:rPr>
          <w:rStyle w:val="Refdenotaalpie"/>
          <w:rFonts w:ascii="Arial" w:hAnsi="Arial" w:cs="Arial"/>
        </w:rPr>
        <w:footnoteReference w:id="7"/>
      </w:r>
      <w:r w:rsidR="00834974" w:rsidRPr="00CD55FA">
        <w:rPr>
          <w:rFonts w:ascii="Arial" w:hAnsi="Arial" w:cs="Arial"/>
        </w:rPr>
        <w:t>.</w:t>
      </w:r>
      <w:r w:rsidR="00834974">
        <w:rPr>
          <w:rFonts w:ascii="Arial" w:hAnsi="Arial" w:cs="Arial"/>
        </w:rPr>
        <w:t xml:space="preserve"> </w:t>
      </w:r>
    </w:p>
    <w:p w14:paraId="0B5E26A7" w14:textId="77777777" w:rsidR="00834974" w:rsidRDefault="00834974" w:rsidP="00834974">
      <w:pPr>
        <w:spacing w:line="360" w:lineRule="auto"/>
        <w:ind w:right="-660"/>
        <w:jc w:val="both"/>
        <w:rPr>
          <w:rFonts w:ascii="Arial" w:hAnsi="Arial" w:cs="Arial"/>
        </w:rPr>
      </w:pPr>
    </w:p>
    <w:p w14:paraId="35FD8A9E" w14:textId="4956B6EA" w:rsidR="00834974" w:rsidRDefault="00834974" w:rsidP="00834974">
      <w:pPr>
        <w:spacing w:line="360" w:lineRule="auto"/>
        <w:ind w:right="-660" w:firstLine="708"/>
        <w:jc w:val="both"/>
        <w:rPr>
          <w:rFonts w:ascii="Arial" w:hAnsi="Arial" w:cs="Arial"/>
        </w:rPr>
      </w:pPr>
      <w:r w:rsidRPr="006A1C11">
        <w:rPr>
          <w:rFonts w:ascii="Arial" w:hAnsi="Arial" w:cs="Arial"/>
        </w:rPr>
        <w:t xml:space="preserve">Ahora bien, en el caso en particular, es evidente que la autoridad demandada dejó de lado los principios de legalidad y tipicidad de lado, al momento de establecer cuál era </w:t>
      </w:r>
      <w:r w:rsidR="001447AA">
        <w:rPr>
          <w:rFonts w:ascii="Arial" w:hAnsi="Arial" w:cs="Arial"/>
        </w:rPr>
        <w:t xml:space="preserve">la conducta que correspondía a cada imputado y su </w:t>
      </w:r>
      <w:r w:rsidR="004E768A">
        <w:rPr>
          <w:rFonts w:ascii="Arial" w:hAnsi="Arial" w:cs="Arial"/>
        </w:rPr>
        <w:t xml:space="preserve">hipótesis correspondiente </w:t>
      </w:r>
      <w:r w:rsidRPr="006A1C11">
        <w:rPr>
          <w:rFonts w:ascii="Arial" w:hAnsi="Arial" w:cs="Arial"/>
        </w:rPr>
        <w:t xml:space="preserve">aplicable a los hechos en concreto, en atención que al calificar la conducta no dio certeza al administrado respecto de cuál era </w:t>
      </w:r>
      <w:r w:rsidR="004E768A">
        <w:rPr>
          <w:rFonts w:ascii="Arial" w:hAnsi="Arial" w:cs="Arial"/>
        </w:rPr>
        <w:t>esta</w:t>
      </w:r>
      <w:r w:rsidRPr="006A1C11">
        <w:rPr>
          <w:rFonts w:ascii="Arial" w:hAnsi="Arial" w:cs="Arial"/>
        </w:rPr>
        <w:t xml:space="preserve">, </w:t>
      </w:r>
      <w:r w:rsidR="004E768A">
        <w:rPr>
          <w:rFonts w:ascii="Arial" w:hAnsi="Arial" w:cs="Arial"/>
        </w:rPr>
        <w:t>que contiene</w:t>
      </w:r>
      <w:r w:rsidRPr="006A1C11">
        <w:rPr>
          <w:rFonts w:ascii="Arial" w:hAnsi="Arial" w:cs="Arial"/>
        </w:rPr>
        <w:t xml:space="preserve"> el tipo administrativo, que indique </w:t>
      </w:r>
      <w:r w:rsidRPr="006A1C11">
        <w:rPr>
          <w:rFonts w:ascii="Arial" w:hAnsi="Arial" w:cs="Arial"/>
        </w:rPr>
        <w:lastRenderedPageBreak/>
        <w:t>los elementos del tipo administrativo a acreditar por parte de la autoridad, y que permita al imputado preparar una defensa adecuada.</w:t>
      </w:r>
      <w:r>
        <w:rPr>
          <w:rFonts w:ascii="Arial" w:hAnsi="Arial" w:cs="Arial"/>
        </w:rPr>
        <w:t xml:space="preserve"> </w:t>
      </w:r>
      <w:r w:rsidR="004E768A">
        <w:rPr>
          <w:rFonts w:ascii="Arial" w:hAnsi="Arial" w:cs="Arial"/>
        </w:rPr>
        <w:t>- - - - -</w:t>
      </w:r>
      <w:r w:rsidR="00BC0D42">
        <w:rPr>
          <w:rFonts w:ascii="Arial" w:hAnsi="Arial" w:cs="Arial"/>
        </w:rPr>
        <w:t xml:space="preserve"> - - - - - - - - - - - - - - - - - - - - - - - - - - - </w:t>
      </w:r>
    </w:p>
    <w:p w14:paraId="5ABBA0D8" w14:textId="77777777" w:rsidR="00834974" w:rsidRDefault="00834974" w:rsidP="00834974">
      <w:pPr>
        <w:spacing w:line="360" w:lineRule="auto"/>
        <w:ind w:right="-660" w:firstLine="708"/>
        <w:jc w:val="both"/>
        <w:rPr>
          <w:rFonts w:ascii="Arial" w:hAnsi="Arial" w:cs="Arial"/>
        </w:rPr>
      </w:pPr>
    </w:p>
    <w:p w14:paraId="1C81F500" w14:textId="29866B11" w:rsidR="00834974" w:rsidRDefault="00834974" w:rsidP="00834974">
      <w:pPr>
        <w:spacing w:line="360" w:lineRule="auto"/>
        <w:ind w:left="142" w:right="-658" w:firstLine="709"/>
        <w:jc w:val="both"/>
        <w:rPr>
          <w:rFonts w:ascii="Arial" w:hAnsi="Arial" w:cs="Arial"/>
        </w:rPr>
      </w:pPr>
      <w:r>
        <w:rPr>
          <w:rFonts w:ascii="Arial" w:hAnsi="Arial" w:cs="Arial"/>
        </w:rPr>
        <w:t xml:space="preserve">Con motivo de las anteladas razones, y con fundamento en el artículo 208 fracción IV de la Ley de Procedimiento y Justicia Administrativa para el Estado de Oaxaca, se </w:t>
      </w:r>
      <w:r w:rsidR="004E768A">
        <w:rPr>
          <w:rFonts w:ascii="Arial" w:hAnsi="Arial" w:cs="Arial"/>
        </w:rPr>
        <w:t>encontró</w:t>
      </w:r>
      <w:r>
        <w:rPr>
          <w:rFonts w:ascii="Arial" w:hAnsi="Arial" w:cs="Arial"/>
        </w:rPr>
        <w:t xml:space="preserve"> que, </w:t>
      </w:r>
      <w:r w:rsidR="004E768A">
        <w:rPr>
          <w:rFonts w:ascii="Arial" w:hAnsi="Arial" w:cs="Arial"/>
        </w:rPr>
        <w:t>la autoridad violentó el principio de tipicidad y seguridad jurídica</w:t>
      </w:r>
      <w:r>
        <w:rPr>
          <w:rFonts w:ascii="Arial" w:hAnsi="Arial" w:cs="Arial"/>
        </w:rPr>
        <w:t xml:space="preserve">, en consecuencia se declara  la </w:t>
      </w:r>
      <w:r w:rsidRPr="00347ED7">
        <w:rPr>
          <w:rFonts w:ascii="Arial" w:hAnsi="Arial" w:cs="Arial"/>
          <w:b/>
          <w:bCs/>
        </w:rPr>
        <w:t>NULIDAD LISA Y LLANA</w:t>
      </w:r>
      <w:r>
        <w:rPr>
          <w:rFonts w:ascii="Arial" w:hAnsi="Arial" w:cs="Arial"/>
          <w:bCs/>
        </w:rPr>
        <w:t xml:space="preserve"> de</w:t>
      </w:r>
      <w:r w:rsidRPr="00840496">
        <w:rPr>
          <w:rFonts w:ascii="Arial" w:hAnsi="Arial" w:cs="Arial"/>
          <w:bCs/>
        </w:rPr>
        <w:t xml:space="preserve"> </w:t>
      </w:r>
      <w:r>
        <w:rPr>
          <w:rFonts w:ascii="Arial" w:hAnsi="Arial" w:cs="Arial"/>
          <w:bCs/>
        </w:rPr>
        <w:t xml:space="preserve">la resolución de </w:t>
      </w:r>
      <w:r w:rsidR="00D82424">
        <w:rPr>
          <w:rFonts w:ascii="Arial" w:hAnsi="Arial" w:cs="Arial"/>
          <w:bCs/>
        </w:rPr>
        <w:t>siete</w:t>
      </w:r>
      <w:r w:rsidRPr="00E46B57">
        <w:rPr>
          <w:rFonts w:ascii="Arial" w:hAnsi="Arial" w:cs="Arial"/>
          <w:bCs/>
        </w:rPr>
        <w:t xml:space="preserve"> de </w:t>
      </w:r>
      <w:r w:rsidR="00D82424">
        <w:rPr>
          <w:rFonts w:ascii="Arial" w:hAnsi="Arial" w:cs="Arial"/>
          <w:bCs/>
        </w:rPr>
        <w:t>junio</w:t>
      </w:r>
      <w:r w:rsidRPr="00E46B57">
        <w:rPr>
          <w:rFonts w:ascii="Arial" w:hAnsi="Arial" w:cs="Arial"/>
          <w:bCs/>
        </w:rPr>
        <w:t xml:space="preserve"> de dos mil veintiuno, dictada en autos del expediente </w:t>
      </w:r>
      <w:r w:rsidR="00D82424" w:rsidRPr="00D82424">
        <w:rPr>
          <w:rFonts w:ascii="Arial" w:hAnsi="Arial" w:cs="Arial"/>
          <w:bCs/>
        </w:rPr>
        <w:t>SSP/CHJ/E.A/002/202</w:t>
      </w:r>
      <w:r w:rsidRPr="00C74C87">
        <w:rPr>
          <w:rFonts w:ascii="Arial" w:hAnsi="Arial" w:cs="Arial"/>
          <w:bCs/>
        </w:rPr>
        <w:t xml:space="preserve">, </w:t>
      </w:r>
      <w:r w:rsidRPr="00C74C87">
        <w:rPr>
          <w:rFonts w:ascii="Arial" w:hAnsi="Arial" w:cs="Arial"/>
        </w:rPr>
        <w:t xml:space="preserve">emitida por </w:t>
      </w:r>
      <w:r>
        <w:rPr>
          <w:rFonts w:ascii="Arial" w:hAnsi="Arial" w:cs="Arial"/>
        </w:rPr>
        <w:t xml:space="preserve">la </w:t>
      </w:r>
      <w:r w:rsidR="00D82424" w:rsidRPr="00D82424">
        <w:rPr>
          <w:rFonts w:ascii="Arial" w:hAnsi="Arial" w:cs="Arial"/>
        </w:rPr>
        <w:t>Comisión de Honor y Justicia de la Secretaría de Seguridad Publica del Poder Ejecutivo del Estado de Oaxaca ahora Secretaría de Seguridad Pública y Protección Ciudadana</w:t>
      </w:r>
      <w:r w:rsidR="00D82424">
        <w:rPr>
          <w:rFonts w:ascii="Arial" w:hAnsi="Arial" w:cs="Arial"/>
        </w:rPr>
        <w:t xml:space="preserve"> </w:t>
      </w:r>
      <w:r>
        <w:rPr>
          <w:rFonts w:ascii="Arial" w:hAnsi="Arial" w:cs="Arial"/>
        </w:rPr>
        <w:t>en la que se sanciona a</w:t>
      </w:r>
      <w:r w:rsidR="00D82424">
        <w:rPr>
          <w:rFonts w:ascii="Arial" w:hAnsi="Arial" w:cs="Arial"/>
        </w:rPr>
        <w:t xml:space="preserve"> </w:t>
      </w:r>
      <w:r w:rsidR="007B452B">
        <w:rPr>
          <w:rFonts w:ascii="Arial" w:hAnsi="Arial" w:cs="Arial"/>
        </w:rPr>
        <w:t>********</w:t>
      </w:r>
      <w:r>
        <w:rPr>
          <w:rFonts w:ascii="Arial" w:hAnsi="Arial" w:cs="Arial"/>
        </w:rPr>
        <w:t xml:space="preserve">. - - - - - - - - - - - - - - - - - - - - - </w:t>
      </w:r>
    </w:p>
    <w:p w14:paraId="40A0BEF7" w14:textId="77777777" w:rsidR="00834974" w:rsidRDefault="00834974" w:rsidP="00834974">
      <w:pPr>
        <w:spacing w:line="360" w:lineRule="auto"/>
        <w:ind w:right="-660" w:firstLine="708"/>
        <w:jc w:val="both"/>
        <w:rPr>
          <w:rFonts w:ascii="Arial" w:hAnsi="Arial" w:cs="Arial"/>
        </w:rPr>
      </w:pPr>
    </w:p>
    <w:p w14:paraId="71CAEBE2" w14:textId="77777777" w:rsidR="00834974" w:rsidRPr="009A7F89" w:rsidRDefault="00834974" w:rsidP="00834974">
      <w:pPr>
        <w:spacing w:line="360" w:lineRule="auto"/>
        <w:ind w:right="-518" w:firstLine="567"/>
        <w:jc w:val="both"/>
        <w:rPr>
          <w:rFonts w:ascii="Arial" w:hAnsi="Arial" w:cs="Arial"/>
          <w:lang w:val="es-ES"/>
        </w:rPr>
      </w:pPr>
      <w:r>
        <w:rPr>
          <w:rFonts w:ascii="Arial" w:hAnsi="Arial" w:cs="Arial"/>
          <w:lang w:val="es-ES"/>
        </w:rPr>
        <w:t xml:space="preserve">Por lo antes expuesto y con fundamento en los artículos 207 y 208 fracción IV de la Ley de Procedimiento y Justicia Administrativa para el Estado de Oaxaca, se: - - - - - - </w:t>
      </w:r>
    </w:p>
    <w:p w14:paraId="10C83B5C" w14:textId="77777777" w:rsidR="00834974" w:rsidRDefault="00834974" w:rsidP="00834974">
      <w:pPr>
        <w:spacing w:line="360" w:lineRule="auto"/>
        <w:ind w:firstLine="360"/>
        <w:jc w:val="both"/>
        <w:rPr>
          <w:rFonts w:ascii="Arial" w:hAnsi="Arial" w:cs="Arial"/>
          <w:b/>
        </w:rPr>
      </w:pPr>
    </w:p>
    <w:p w14:paraId="6C99EE71" w14:textId="77777777" w:rsidR="00834974" w:rsidRDefault="00834974" w:rsidP="00834974">
      <w:pPr>
        <w:spacing w:line="360" w:lineRule="auto"/>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685D63D4" w14:textId="77777777" w:rsidR="00834974" w:rsidRPr="00560966" w:rsidRDefault="00834974" w:rsidP="00834974">
      <w:pPr>
        <w:spacing w:line="360" w:lineRule="auto"/>
        <w:ind w:firstLine="360"/>
        <w:jc w:val="both"/>
        <w:rPr>
          <w:rFonts w:ascii="Arial" w:hAnsi="Arial" w:cs="Arial"/>
          <w:b/>
        </w:rPr>
      </w:pPr>
    </w:p>
    <w:p w14:paraId="61CBA2BE" w14:textId="77777777" w:rsidR="00834974" w:rsidRDefault="00834974" w:rsidP="00834974">
      <w:pPr>
        <w:spacing w:line="360" w:lineRule="auto"/>
        <w:ind w:right="-518" w:firstLine="708"/>
        <w:jc w:val="both"/>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w:t>
      </w:r>
      <w:r>
        <w:rPr>
          <w:rFonts w:ascii="Arial" w:hAnsi="Arial" w:cs="Arial"/>
          <w:bCs/>
          <w:color w:val="000000"/>
        </w:rPr>
        <w:t>-</w:t>
      </w:r>
      <w:r w:rsidRPr="00B01BB4">
        <w:rPr>
          <w:rFonts w:ascii="Arial" w:hAnsi="Arial" w:cs="Arial"/>
          <w:bCs/>
          <w:color w:val="000000"/>
        </w:rPr>
        <w:t xml:space="preserve"> - - -  </w:t>
      </w:r>
    </w:p>
    <w:p w14:paraId="5C2F2DFC" w14:textId="77777777" w:rsidR="00834974" w:rsidRDefault="00834974" w:rsidP="00834974">
      <w:pPr>
        <w:spacing w:line="360" w:lineRule="auto"/>
        <w:ind w:right="-518" w:firstLine="708"/>
        <w:jc w:val="both"/>
        <w:rPr>
          <w:rFonts w:ascii="Arial" w:hAnsi="Arial" w:cs="Arial"/>
          <w:b/>
          <w:bCs/>
          <w:color w:val="000000"/>
        </w:rPr>
      </w:pPr>
    </w:p>
    <w:p w14:paraId="19040A05" w14:textId="77777777" w:rsidR="00834974" w:rsidRPr="00C23146" w:rsidRDefault="00834974" w:rsidP="00834974">
      <w:pPr>
        <w:spacing w:line="360" w:lineRule="auto"/>
        <w:ind w:right="-518" w:firstLine="708"/>
        <w:jc w:val="both"/>
        <w:rPr>
          <w:rFonts w:ascii="Arial" w:hAnsi="Arial" w:cs="Arial"/>
          <w:bCs/>
          <w:color w:val="000000"/>
        </w:rPr>
      </w:pPr>
      <w:r w:rsidRPr="00B01BB4">
        <w:rPr>
          <w:rFonts w:ascii="Arial" w:hAnsi="Arial" w:cs="Arial"/>
          <w:b/>
          <w:bCs/>
          <w:color w:val="000000"/>
        </w:rPr>
        <w:t>SEGUNDO.</w:t>
      </w:r>
      <w:r w:rsidRPr="00B01BB4">
        <w:rPr>
          <w:rFonts w:ascii="Arial" w:hAnsi="Arial" w:cs="Arial"/>
          <w:bCs/>
          <w:color w:val="000000"/>
        </w:rPr>
        <w:t xml:space="preserve"> La personalidad de las partes quedó a</w:t>
      </w:r>
      <w:r>
        <w:rPr>
          <w:rFonts w:ascii="Arial" w:hAnsi="Arial" w:cs="Arial"/>
          <w:bCs/>
          <w:color w:val="000000"/>
        </w:rPr>
        <w:t>creditada en autos. - - - - - - - -</w:t>
      </w:r>
    </w:p>
    <w:p w14:paraId="4B0123C1" w14:textId="77777777" w:rsidR="00834974" w:rsidRDefault="00834974" w:rsidP="00834974">
      <w:pPr>
        <w:spacing w:line="360" w:lineRule="auto"/>
        <w:ind w:right="-660" w:firstLine="708"/>
        <w:jc w:val="both"/>
        <w:rPr>
          <w:rFonts w:ascii="Arial" w:hAnsi="Arial" w:cs="Arial"/>
          <w:b/>
          <w:bCs/>
        </w:rPr>
      </w:pPr>
    </w:p>
    <w:p w14:paraId="05C576F6" w14:textId="77777777" w:rsidR="00834974" w:rsidRDefault="00834974" w:rsidP="00834974">
      <w:pPr>
        <w:spacing w:line="360" w:lineRule="auto"/>
        <w:ind w:right="-660" w:firstLine="708"/>
        <w:jc w:val="both"/>
        <w:rPr>
          <w:rFonts w:ascii="Arial" w:hAnsi="Arial" w:cs="Arial"/>
        </w:rPr>
      </w:pPr>
      <w:r>
        <w:rPr>
          <w:rFonts w:ascii="Arial" w:hAnsi="Arial" w:cs="Arial"/>
          <w:b/>
          <w:bCs/>
        </w:rPr>
        <w:t>TERCERO</w:t>
      </w:r>
      <w:r w:rsidRPr="003C2D45">
        <w:rPr>
          <w:rFonts w:ascii="Arial" w:hAnsi="Arial" w:cs="Arial"/>
          <w:b/>
          <w:bCs/>
        </w:rPr>
        <w:t>.</w:t>
      </w:r>
      <w:r>
        <w:rPr>
          <w:rFonts w:ascii="Arial" w:hAnsi="Arial" w:cs="Arial"/>
        </w:rPr>
        <w:t xml:space="preserve"> No se actualizó ninguna causal de improcedencia, por lo que </w:t>
      </w:r>
      <w:r w:rsidRPr="001C553E">
        <w:rPr>
          <w:rFonts w:ascii="Arial" w:hAnsi="Arial" w:cs="Arial"/>
          <w:b/>
          <w:bCs/>
        </w:rPr>
        <w:t>NO SE SOBRESEE EL JUICIO.</w:t>
      </w:r>
      <w:r>
        <w:rPr>
          <w:rFonts w:ascii="Arial" w:hAnsi="Arial" w:cs="Arial"/>
        </w:rPr>
        <w:t xml:space="preserve"> - - - - - - - - - - - - - - - - - - - - - - - - - - - - - - - - - - - - - - - - - - - - - - </w:t>
      </w:r>
    </w:p>
    <w:p w14:paraId="037178AA" w14:textId="77777777" w:rsidR="00834974" w:rsidRDefault="00834974" w:rsidP="00834974">
      <w:pPr>
        <w:spacing w:line="360" w:lineRule="auto"/>
        <w:ind w:right="-660" w:firstLine="708"/>
        <w:jc w:val="both"/>
        <w:rPr>
          <w:rFonts w:ascii="Arial" w:hAnsi="Arial" w:cs="Arial"/>
          <w:b/>
          <w:bCs/>
        </w:rPr>
      </w:pPr>
    </w:p>
    <w:p w14:paraId="332EB533" w14:textId="7A3BDCB2" w:rsidR="00834974" w:rsidRPr="00D218BD" w:rsidRDefault="00834974" w:rsidP="00834974">
      <w:pPr>
        <w:spacing w:line="360" w:lineRule="auto"/>
        <w:ind w:right="-660" w:firstLine="708"/>
        <w:jc w:val="both"/>
        <w:rPr>
          <w:rFonts w:ascii="Arial" w:hAnsi="Arial" w:cs="Arial"/>
          <w:bCs/>
          <w:lang w:val="es-ES"/>
        </w:rPr>
      </w:pPr>
      <w:r w:rsidRPr="002B6D93">
        <w:rPr>
          <w:rFonts w:ascii="Arial" w:hAnsi="Arial" w:cs="Arial"/>
          <w:b/>
          <w:bCs/>
        </w:rPr>
        <w:t>CUARTO</w:t>
      </w:r>
      <w:r>
        <w:rPr>
          <w:rFonts w:ascii="Arial" w:hAnsi="Arial" w:cs="Arial"/>
        </w:rPr>
        <w:t xml:space="preserve">. </w:t>
      </w:r>
      <w:r w:rsidRPr="00D218BD">
        <w:rPr>
          <w:rFonts w:ascii="Arial" w:hAnsi="Arial" w:cs="Arial"/>
          <w:lang w:val="es-ES"/>
        </w:rPr>
        <w:t>Se declara la</w:t>
      </w:r>
      <w:r w:rsidRPr="00D218BD">
        <w:rPr>
          <w:rFonts w:ascii="Arial" w:hAnsi="Arial" w:cs="Arial"/>
          <w:b/>
          <w:bCs/>
          <w:lang w:val="es-ES"/>
        </w:rPr>
        <w:t xml:space="preserve"> NULIDAD LISA Y LLANA</w:t>
      </w:r>
      <w:r w:rsidRPr="00D218BD">
        <w:rPr>
          <w:rFonts w:ascii="Arial" w:hAnsi="Arial" w:cs="Arial"/>
          <w:lang w:val="es-ES"/>
        </w:rPr>
        <w:t xml:space="preserve"> de </w:t>
      </w:r>
      <w:r w:rsidRPr="00D218BD">
        <w:rPr>
          <w:rFonts w:ascii="Arial" w:hAnsi="Arial" w:cs="Arial"/>
          <w:bCs/>
          <w:lang w:val="es-ES"/>
        </w:rPr>
        <w:t>la resoluci</w:t>
      </w:r>
      <w:r>
        <w:rPr>
          <w:rFonts w:ascii="Arial" w:hAnsi="Arial" w:cs="Arial"/>
          <w:bCs/>
          <w:lang w:val="es-ES"/>
        </w:rPr>
        <w:t>ón</w:t>
      </w:r>
      <w:r w:rsidRPr="00D218BD">
        <w:rPr>
          <w:rFonts w:ascii="Arial" w:hAnsi="Arial" w:cs="Arial"/>
          <w:bCs/>
          <w:lang w:val="es-ES"/>
        </w:rPr>
        <w:t xml:space="preserve"> impugnada en el presente juicio, en términos de</w:t>
      </w:r>
      <w:r>
        <w:rPr>
          <w:rFonts w:ascii="Arial" w:hAnsi="Arial" w:cs="Arial"/>
          <w:bCs/>
          <w:lang w:val="es-ES"/>
        </w:rPr>
        <w:t xml:space="preserve">l </w:t>
      </w:r>
      <w:r w:rsidRPr="00D218BD">
        <w:rPr>
          <w:rFonts w:ascii="Arial" w:hAnsi="Arial" w:cs="Arial"/>
          <w:bCs/>
          <w:lang w:val="es-ES"/>
        </w:rPr>
        <w:t xml:space="preserve">considerando sexto de la presente sentencia. </w:t>
      </w:r>
      <w:r>
        <w:rPr>
          <w:rFonts w:ascii="Arial" w:hAnsi="Arial" w:cs="Arial"/>
          <w:bCs/>
          <w:lang w:val="es-ES"/>
        </w:rPr>
        <w:t>- - - - - - -</w:t>
      </w:r>
      <w:r w:rsidR="00D82424">
        <w:rPr>
          <w:rFonts w:ascii="Arial" w:hAnsi="Arial" w:cs="Arial"/>
          <w:bCs/>
          <w:lang w:val="es-ES"/>
        </w:rPr>
        <w:t xml:space="preserve"> </w:t>
      </w:r>
    </w:p>
    <w:p w14:paraId="21EA3C26" w14:textId="77777777" w:rsidR="00834974" w:rsidRDefault="00834974" w:rsidP="00834974">
      <w:pPr>
        <w:spacing w:line="360" w:lineRule="auto"/>
        <w:ind w:right="-660"/>
        <w:jc w:val="both"/>
        <w:rPr>
          <w:rFonts w:ascii="Arial" w:hAnsi="Arial" w:cs="Arial"/>
          <w:b/>
        </w:rPr>
      </w:pPr>
    </w:p>
    <w:p w14:paraId="32123062" w14:textId="77777777" w:rsidR="00834974" w:rsidRPr="003D7921" w:rsidRDefault="00834974" w:rsidP="00834974">
      <w:pPr>
        <w:tabs>
          <w:tab w:val="left" w:pos="4678"/>
        </w:tabs>
        <w:spacing w:line="360" w:lineRule="auto"/>
        <w:ind w:right="-660" w:firstLine="708"/>
        <w:jc w:val="both"/>
        <w:rPr>
          <w:rFonts w:ascii="Arial" w:hAnsi="Arial" w:cs="Arial"/>
        </w:rPr>
      </w:pPr>
      <w:r>
        <w:rPr>
          <w:rFonts w:ascii="Arial" w:hAnsi="Arial" w:cs="Arial"/>
          <w:b/>
        </w:rPr>
        <w:t>QUINTO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17</w:t>
      </w:r>
      <w:r w:rsidRPr="00514151">
        <w:rPr>
          <w:rFonts w:ascii="Arial" w:hAnsi="Arial" w:cs="Arial"/>
          <w:bCs/>
          <w:color w:val="000000"/>
        </w:rPr>
        <w:t>2</w:t>
      </w:r>
      <w:r>
        <w:rPr>
          <w:rFonts w:ascii="Arial" w:hAnsi="Arial" w:cs="Arial"/>
          <w:bCs/>
          <w:color w:val="000000"/>
        </w:rPr>
        <w:t>,</w:t>
      </w:r>
      <w:r w:rsidRPr="00514151">
        <w:rPr>
          <w:rFonts w:ascii="Arial" w:hAnsi="Arial" w:cs="Arial"/>
          <w:bCs/>
          <w:color w:val="000000"/>
        </w:rPr>
        <w:t xml:space="preserve"> fracción I y 1</w:t>
      </w:r>
      <w:r>
        <w:rPr>
          <w:rFonts w:ascii="Arial" w:hAnsi="Arial" w:cs="Arial"/>
          <w:bCs/>
          <w:color w:val="000000"/>
        </w:rPr>
        <w:t>7</w:t>
      </w:r>
      <w:r w:rsidRPr="00514151">
        <w:rPr>
          <w:rFonts w:ascii="Arial" w:hAnsi="Arial" w:cs="Arial"/>
          <w:bCs/>
          <w:color w:val="000000"/>
        </w:rPr>
        <w:t>3</w:t>
      </w:r>
      <w:r>
        <w:rPr>
          <w:rFonts w:ascii="Arial" w:hAnsi="Arial" w:cs="Arial"/>
          <w:bCs/>
          <w:color w:val="000000"/>
        </w:rPr>
        <w:t xml:space="preserve">, fracciones I y II, </w:t>
      </w:r>
      <w:r w:rsidRPr="00514151">
        <w:rPr>
          <w:rFonts w:ascii="Arial" w:hAnsi="Arial" w:cs="Arial"/>
          <w:bCs/>
          <w:color w:val="000000"/>
        </w:rPr>
        <w:t xml:space="preserve">de la Ley de </w:t>
      </w:r>
      <w:r>
        <w:rPr>
          <w:rFonts w:ascii="Arial" w:hAnsi="Arial" w:cs="Arial"/>
          <w:bCs/>
          <w:color w:val="000000"/>
        </w:rPr>
        <w:t xml:space="preserve">Procedimiento y </w:t>
      </w:r>
      <w:r w:rsidRPr="00514151">
        <w:rPr>
          <w:rFonts w:ascii="Arial" w:hAnsi="Arial" w:cs="Arial"/>
          <w:bCs/>
          <w:color w:val="000000"/>
        </w:rPr>
        <w:t>Justicia Administrativa para el Estado</w:t>
      </w:r>
      <w:r>
        <w:rPr>
          <w:rFonts w:ascii="Arial" w:hAnsi="Arial" w:cs="Arial"/>
          <w:bCs/>
          <w:color w:val="000000"/>
        </w:rPr>
        <w:t xml:space="preserve"> de Oaxaca</w:t>
      </w:r>
      <w:r w:rsidRPr="00514151">
        <w:rPr>
          <w:rFonts w:ascii="Arial" w:hAnsi="Arial" w:cs="Arial"/>
          <w:bCs/>
          <w:color w:val="000000"/>
        </w:rPr>
        <w:t xml:space="preserve">, </w:t>
      </w:r>
      <w:r>
        <w:rPr>
          <w:rFonts w:ascii="Arial" w:hAnsi="Arial" w:cs="Arial"/>
          <w:b/>
          <w:bCs/>
          <w:color w:val="000000"/>
        </w:rPr>
        <w:t xml:space="preserve">NOTIFÍQUESE PERSONALMENTE A LA PARTE ACTORA Y POR OFICIO A LA </w:t>
      </w:r>
      <w:r w:rsidRPr="001A33B6">
        <w:rPr>
          <w:rFonts w:ascii="Arial" w:hAnsi="Arial" w:cs="Arial"/>
          <w:b/>
          <w:bCs/>
          <w:color w:val="000000"/>
        </w:rPr>
        <w:t>AUTORIDAD DEMANDADA</w:t>
      </w:r>
      <w:r>
        <w:rPr>
          <w:rFonts w:ascii="Arial" w:hAnsi="Arial" w:cs="Arial"/>
          <w:b/>
          <w:bCs/>
          <w:color w:val="000000"/>
        </w:rPr>
        <w:t xml:space="preserve"> a través de su representante legal</w:t>
      </w:r>
      <w:r w:rsidRPr="001A33B6">
        <w:rPr>
          <w:rFonts w:ascii="Arial" w:hAnsi="Arial" w:cs="Arial"/>
          <w:b/>
          <w:bCs/>
          <w:color w:val="000000"/>
        </w:rPr>
        <w:t>.</w:t>
      </w:r>
      <w:r>
        <w:rPr>
          <w:rFonts w:ascii="Arial" w:hAnsi="Arial" w:cs="Arial"/>
          <w:bCs/>
          <w:color w:val="000000"/>
        </w:rPr>
        <w:t xml:space="preserve"> </w:t>
      </w:r>
      <w:r>
        <w:rPr>
          <w:rFonts w:ascii="Arial" w:hAnsi="Arial" w:cs="Arial"/>
          <w:b/>
          <w:bCs/>
          <w:color w:val="000000"/>
        </w:rPr>
        <w:t>CÚ</w:t>
      </w:r>
      <w:r w:rsidRPr="003422DF">
        <w:rPr>
          <w:rFonts w:ascii="Arial" w:hAnsi="Arial" w:cs="Arial"/>
          <w:b/>
          <w:bCs/>
          <w:color w:val="000000"/>
        </w:rPr>
        <w:t xml:space="preserve">MPLASE. - - - - - - </w:t>
      </w:r>
    </w:p>
    <w:p w14:paraId="7ED6EA60" w14:textId="77777777" w:rsidR="00834974" w:rsidRPr="00560966" w:rsidRDefault="00834974" w:rsidP="00834974">
      <w:pPr>
        <w:spacing w:line="360" w:lineRule="auto"/>
        <w:ind w:right="-539" w:firstLine="567"/>
        <w:jc w:val="both"/>
        <w:rPr>
          <w:rFonts w:ascii="Arial" w:eastAsia="Batang" w:hAnsi="Arial" w:cs="Arial"/>
        </w:rPr>
      </w:pPr>
      <w:r>
        <w:rPr>
          <w:rFonts w:ascii="Arial" w:eastAsia="Batang" w:hAnsi="Arial" w:cs="Arial"/>
        </w:rPr>
        <w:t xml:space="preserve">   </w:t>
      </w:r>
    </w:p>
    <w:p w14:paraId="15EA6FB8" w14:textId="77777777" w:rsidR="00834974" w:rsidRPr="00DB2712" w:rsidRDefault="00834974" w:rsidP="00834974">
      <w:pPr>
        <w:spacing w:line="360" w:lineRule="auto"/>
        <w:ind w:right="-801"/>
        <w:jc w:val="both"/>
        <w:rPr>
          <w:rFonts w:ascii="Arial" w:eastAsia="Batang" w:hAnsi="Arial" w:cs="Arial"/>
          <w:lang w:val="es-ES"/>
        </w:rPr>
      </w:pPr>
      <w:r w:rsidRPr="00BD3FEB">
        <w:rPr>
          <w:rFonts w:ascii="Arial" w:eastAsia="Batang" w:hAnsi="Arial" w:cs="Arial"/>
          <w:lang w:val="es-ES_tradnl"/>
        </w:rPr>
        <w:t xml:space="preserve">         </w:t>
      </w:r>
      <w:r w:rsidRPr="001C553E">
        <w:rPr>
          <w:rFonts w:ascii="Arial" w:eastAsia="Batang" w:hAnsi="Arial" w:cs="Arial"/>
          <w:lang w:val="es-ES"/>
        </w:rPr>
        <w:t xml:space="preserve">Así lo resolvió y firma el licenciado Eduardo Calvo </w:t>
      </w:r>
      <w:proofErr w:type="spellStart"/>
      <w:r w:rsidRPr="001C553E">
        <w:rPr>
          <w:rFonts w:ascii="Arial" w:eastAsia="Batang" w:hAnsi="Arial" w:cs="Arial"/>
          <w:lang w:val="es-ES"/>
        </w:rPr>
        <w:t>Ziga</w:t>
      </w:r>
      <w:proofErr w:type="spellEnd"/>
      <w:r w:rsidRPr="001C553E">
        <w:rPr>
          <w:rFonts w:ascii="Arial" w:eastAsia="Batang" w:hAnsi="Arial" w:cs="Arial"/>
          <w:lang w:val="es-ES"/>
        </w:rPr>
        <w:t xml:space="preserve">, Magistrado de la Sala Especializada en Materia de Responsabilidades Administrativas y Combate a la Corrupción, del Tribunal de Justicia Administrativa del Estado de Oaxaca, quien actúa con el secretario de acuerdos de sala licenciado Juan Carlos Rivera Huerta, que autoriza y da </w:t>
      </w:r>
      <w:proofErr w:type="gramStart"/>
      <w:r w:rsidRPr="001C553E">
        <w:rPr>
          <w:rFonts w:ascii="Arial" w:eastAsia="Batang" w:hAnsi="Arial" w:cs="Arial"/>
          <w:lang w:val="es-ES"/>
        </w:rPr>
        <w:t>fe.-</w:t>
      </w:r>
      <w:proofErr w:type="gramEnd"/>
      <w:r w:rsidRPr="001C553E">
        <w:rPr>
          <w:rFonts w:ascii="Arial" w:eastAsia="Batang" w:hAnsi="Arial" w:cs="Arial"/>
          <w:lang w:val="es-ES"/>
        </w:rPr>
        <w:t xml:space="preserve"> </w:t>
      </w:r>
      <w:r>
        <w:rPr>
          <w:rFonts w:ascii="Arial" w:eastAsia="Batang" w:hAnsi="Arial" w:cs="Arial"/>
          <w:lang w:val="es-ES"/>
        </w:rPr>
        <w:t xml:space="preserve">- - - - - - - </w:t>
      </w:r>
    </w:p>
    <w:p w14:paraId="5DCCAFA6" w14:textId="77777777" w:rsidR="00834974" w:rsidRDefault="00834974" w:rsidP="00834974">
      <w:pPr>
        <w:spacing w:line="360" w:lineRule="auto"/>
        <w:ind w:right="-660" w:firstLine="708"/>
        <w:jc w:val="both"/>
      </w:pPr>
    </w:p>
    <w:p w14:paraId="107B49ED" w14:textId="77777777" w:rsidR="00834974" w:rsidRDefault="00834974" w:rsidP="00834974">
      <w:pPr>
        <w:jc w:val="both"/>
      </w:pPr>
    </w:p>
    <w:p w14:paraId="64CFBBAC" w14:textId="77777777" w:rsidR="00834974" w:rsidRDefault="00834974" w:rsidP="00834974"/>
    <w:p w14:paraId="105FA6A1" w14:textId="77777777" w:rsidR="00834974" w:rsidRDefault="00834974" w:rsidP="00834974"/>
    <w:p w14:paraId="3F8B316D" w14:textId="77777777" w:rsidR="00E03768" w:rsidRDefault="00E03768"/>
    <w:sectPr w:rsidR="00E03768" w:rsidSect="00D82424">
      <w:headerReference w:type="even" r:id="rId7"/>
      <w:headerReference w:type="default" r:id="rId8"/>
      <w:footerReference w:type="even" r:id="rId9"/>
      <w:footerReference w:type="default" r:id="rId10"/>
      <w:headerReference w:type="first" r:id="rId11"/>
      <w:pgSz w:w="12240" w:h="20160" w:code="5"/>
      <w:pgMar w:top="1134" w:right="1134" w:bottom="1134"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CDA48" w14:textId="77777777" w:rsidR="00810574" w:rsidRDefault="00810574" w:rsidP="00834974">
      <w:r>
        <w:separator/>
      </w:r>
    </w:p>
  </w:endnote>
  <w:endnote w:type="continuationSeparator" w:id="0">
    <w:p w14:paraId="13C51133" w14:textId="77777777" w:rsidR="00810574" w:rsidRDefault="00810574" w:rsidP="00834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D1B29" w14:textId="77777777" w:rsidR="00985F2C" w:rsidRDefault="00810574">
    <w:pPr>
      <w:pStyle w:val="Piedepgina"/>
      <w:jc w:val="center"/>
    </w:pPr>
  </w:p>
  <w:p w14:paraId="4497E809" w14:textId="77777777" w:rsidR="00985F2C" w:rsidRDefault="008105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712660"/>
      <w:docPartObj>
        <w:docPartGallery w:val="Page Numbers (Bottom of Page)"/>
        <w:docPartUnique/>
      </w:docPartObj>
    </w:sdtPr>
    <w:sdtEndPr/>
    <w:sdtContent>
      <w:p w14:paraId="21B8111C" w14:textId="77777777" w:rsidR="00985F2C" w:rsidRDefault="00E34793">
        <w:pPr>
          <w:pStyle w:val="Piedepgina"/>
          <w:jc w:val="center"/>
        </w:pPr>
        <w:r>
          <w:fldChar w:fldCharType="begin"/>
        </w:r>
        <w:r>
          <w:instrText>PAGE   \* MERGEFORMAT</w:instrText>
        </w:r>
        <w:r>
          <w:fldChar w:fldCharType="separate"/>
        </w:r>
        <w:r>
          <w:rPr>
            <w:noProof/>
          </w:rPr>
          <w:t>7</w:t>
        </w:r>
        <w:r>
          <w:fldChar w:fldCharType="end"/>
        </w:r>
      </w:p>
    </w:sdtContent>
  </w:sdt>
  <w:p w14:paraId="2D751772" w14:textId="77777777" w:rsidR="00985F2C" w:rsidRDefault="008105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0B93F" w14:textId="77777777" w:rsidR="00810574" w:rsidRDefault="00810574" w:rsidP="00834974">
      <w:r>
        <w:separator/>
      </w:r>
    </w:p>
  </w:footnote>
  <w:footnote w:type="continuationSeparator" w:id="0">
    <w:p w14:paraId="5C866792" w14:textId="77777777" w:rsidR="00810574" w:rsidRDefault="00810574" w:rsidP="00834974">
      <w:r>
        <w:continuationSeparator/>
      </w:r>
    </w:p>
  </w:footnote>
  <w:footnote w:id="1">
    <w:p w14:paraId="09EFE764" w14:textId="77777777" w:rsidR="00834974" w:rsidRPr="003F08B7" w:rsidRDefault="00834974" w:rsidP="00834974">
      <w:pPr>
        <w:pStyle w:val="Textonotapie"/>
        <w:ind w:right="-541"/>
        <w:jc w:val="both"/>
        <w:rPr>
          <w:rFonts w:ascii="Arial" w:hAnsi="Arial" w:cs="Arial"/>
          <w:sz w:val="16"/>
          <w:szCs w:val="16"/>
          <w:lang w:val="es-ES"/>
        </w:rPr>
      </w:pPr>
      <w:r w:rsidRPr="003F08B7">
        <w:rPr>
          <w:rStyle w:val="Refdenotaalpie"/>
          <w:rFonts w:ascii="Arial" w:hAnsi="Arial" w:cs="Arial"/>
          <w:sz w:val="16"/>
          <w:szCs w:val="16"/>
        </w:rPr>
        <w:footnoteRef/>
      </w:r>
      <w:r w:rsidRPr="003F08B7">
        <w:rPr>
          <w:rFonts w:ascii="Arial" w:hAnsi="Arial" w:cs="Arial"/>
          <w:sz w:val="16"/>
          <w:szCs w:val="16"/>
        </w:rPr>
        <w:t xml:space="preserve"> </w:t>
      </w:r>
      <w:r w:rsidRPr="003F08B7">
        <w:rPr>
          <w:rFonts w:ascii="Arial" w:hAnsi="Arial" w:cs="Arial"/>
          <w:sz w:val="16"/>
          <w:szCs w:val="16"/>
          <w:lang w:val="es-ES"/>
        </w:rPr>
        <w:t>Artículo 166 párrafo primero de la Ley de Procedimiento y Justicia Administrativa para el Estado de Oaxaca</w:t>
      </w:r>
    </w:p>
  </w:footnote>
  <w:footnote w:id="2">
    <w:p w14:paraId="538C9F4C" w14:textId="77777777" w:rsidR="00834974" w:rsidRPr="00631A69" w:rsidRDefault="00834974" w:rsidP="00834974">
      <w:pPr>
        <w:pStyle w:val="Textonotapie"/>
        <w:ind w:right="-660"/>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Registro digital: 164618, Instancia: Segunda Sala, Novena Época, Materia(s): Común, Tesis: 2a./J. 58/2010, Fuente: Semanario Judicial de la Federación y su Gaceta. Tomo XXXI, Mayo de 2010, página 830. Consultada el quince de julio de dos mil veintiuno de: </w:t>
      </w:r>
      <w:hyperlink r:id="rId1" w:history="1">
        <w:r w:rsidRPr="00631A69">
          <w:rPr>
            <w:rStyle w:val="Hipervnculo"/>
            <w:rFonts w:ascii="Arial" w:hAnsi="Arial" w:cs="Arial"/>
            <w:sz w:val="16"/>
            <w:szCs w:val="16"/>
          </w:rPr>
          <w:t>https://sjf2.scjn.gob.mx/detalle/tesis/164618</w:t>
        </w:r>
      </w:hyperlink>
      <w:r w:rsidRPr="00631A69">
        <w:rPr>
          <w:rFonts w:ascii="Arial" w:hAnsi="Arial" w:cs="Arial"/>
          <w:sz w:val="16"/>
          <w:szCs w:val="16"/>
        </w:rPr>
        <w:t xml:space="preserve"> </w:t>
      </w:r>
    </w:p>
  </w:footnote>
  <w:footnote w:id="3">
    <w:p w14:paraId="54C81ABF" w14:textId="77777777" w:rsidR="00834974" w:rsidRPr="00C7365D" w:rsidRDefault="00834974" w:rsidP="00834974">
      <w:pPr>
        <w:pStyle w:val="Textonotapie"/>
        <w:ind w:right="-660"/>
        <w:jc w:val="both"/>
      </w:pPr>
      <w:r w:rsidRPr="00631A69">
        <w:rPr>
          <w:rStyle w:val="Refdenotaalpie"/>
          <w:rFonts w:ascii="Arial" w:hAnsi="Arial" w:cs="Arial"/>
          <w:sz w:val="16"/>
          <w:szCs w:val="16"/>
        </w:rPr>
        <w:footnoteRef/>
      </w:r>
      <w:r w:rsidRPr="00631A69">
        <w:rPr>
          <w:rFonts w:ascii="Arial" w:hAnsi="Arial" w:cs="Arial"/>
          <w:sz w:val="16"/>
          <w:szCs w:val="16"/>
        </w:rPr>
        <w:t xml:space="preserve"> Pleno de la Suprema Corte de Justicia de la Nación, registro digital: 179367, materia común, tesis: P./J.3/2005, novena época, Semanario Judicial de la Federación y su gaceta. Tomo XXI, febrero de 2005, página 5. “CONCEPTOS DE VIOLACIÓN EN AMPARO DIRECTO. EL ESTUDIO DE LOS QUE DETERMINEN SU CONCESIÓN DEBE ATENDER AL PRINCIPIO DE MAYOR BENEFICIO, PUDÍENDOSE OMITIR EL DE AQUELLOS QUE AUNQUE FUNDADOS, NO MEJORES LO YA ALCANZADO POR EL QUEJOSO, INCLUSIVE LOS QUE SE REFIEREN A CONSTITUCIONALIDAD DE LEYES. Consultado de: </w:t>
      </w:r>
      <w:hyperlink r:id="rId2" w:history="1">
        <w:r w:rsidRPr="00631A69">
          <w:rPr>
            <w:rStyle w:val="Hipervnculo"/>
            <w:rFonts w:ascii="Arial" w:hAnsi="Arial" w:cs="Arial"/>
            <w:sz w:val="16"/>
            <w:szCs w:val="16"/>
          </w:rPr>
          <w:t>https://sjf2.scjn.gob.mx/detalle/tesis/179367</w:t>
        </w:r>
      </w:hyperlink>
      <w:r>
        <w:t xml:space="preserve"> </w:t>
      </w:r>
    </w:p>
  </w:footnote>
  <w:footnote w:id="4">
    <w:p w14:paraId="1CF79A41" w14:textId="77777777" w:rsidR="00DC1B9C" w:rsidRPr="00B50618" w:rsidRDefault="00DC1B9C" w:rsidP="00DC1B9C">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PC.XV. J/2 A (11a.), Fuente: Gaceta del Semanario Judicial de la Federación. Libro 3, Julio de 2021, Tomo II, página 2088, Tipo: Jurisprudencia, visible en: </w:t>
      </w:r>
      <w:hyperlink r:id="rId3"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61E57572" w14:textId="77777777" w:rsidR="00DC1B9C" w:rsidRDefault="00DC1B9C" w:rsidP="00DC1B9C">
      <w:pPr>
        <w:pStyle w:val="Textonotapie"/>
      </w:pPr>
    </w:p>
  </w:footnote>
  <w:footnote w:id="5">
    <w:p w14:paraId="00388FA2" w14:textId="77777777" w:rsidR="00834974" w:rsidRPr="00E86D8E" w:rsidRDefault="00834974" w:rsidP="00834974">
      <w:pPr>
        <w:pStyle w:val="Textonotapie"/>
        <w:jc w:val="both"/>
        <w:rPr>
          <w:rFonts w:ascii="Arial" w:hAnsi="Arial" w:cs="Arial"/>
          <w:sz w:val="16"/>
          <w:szCs w:val="16"/>
        </w:rPr>
      </w:pPr>
      <w:r w:rsidRPr="00E86D8E">
        <w:rPr>
          <w:rStyle w:val="Refdenotaalpie"/>
          <w:rFonts w:ascii="Arial" w:hAnsi="Arial" w:cs="Arial"/>
          <w:sz w:val="16"/>
          <w:szCs w:val="16"/>
        </w:rPr>
        <w:footnoteRef/>
      </w:r>
      <w:r w:rsidRPr="00E86D8E">
        <w:rPr>
          <w:rFonts w:ascii="Arial" w:hAnsi="Arial" w:cs="Arial"/>
          <w:sz w:val="16"/>
          <w:szCs w:val="16"/>
        </w:rPr>
        <w:t xml:space="preserve"> DISPOSICIONES ADMINISTRATIVAS SANCIONADORAS. CONDICIONES PARA LA VALIDEZ CONSTITUCIONAL DE SU APLICACIÓN, EN RELACIÓN CON EL PRINCIPIO DE TIPICIDAD. Registro digital: 2016087 Instancia: Tribunales Colegiados de Circuito Décima Época Materia(s): Constitucional, Administrativa Tesis I.1o.A.E.221 A (10a.) Fuente: Gaceta del Semanario Judicial de la Federación. Libro 50, Enero de 2018, Tomo IV, página 2112 Tipo: Aislada</w:t>
      </w:r>
    </w:p>
  </w:footnote>
  <w:footnote w:id="6">
    <w:p w14:paraId="14EAF9C5" w14:textId="77777777" w:rsidR="00834974" w:rsidRPr="00E86D8E" w:rsidRDefault="00834974" w:rsidP="00834974">
      <w:pPr>
        <w:pStyle w:val="Textonotapie"/>
        <w:rPr>
          <w:rFonts w:ascii="Arial" w:hAnsi="Arial" w:cs="Arial"/>
          <w:sz w:val="16"/>
          <w:szCs w:val="16"/>
        </w:rPr>
      </w:pPr>
      <w:r w:rsidRPr="00E86D8E">
        <w:rPr>
          <w:rStyle w:val="Refdenotaalpie"/>
          <w:rFonts w:ascii="Arial" w:hAnsi="Arial" w:cs="Arial"/>
          <w:sz w:val="16"/>
          <w:szCs w:val="16"/>
        </w:rPr>
        <w:footnoteRef/>
      </w:r>
      <w:r w:rsidRPr="00E86D8E">
        <w:rPr>
          <w:rFonts w:ascii="Arial" w:hAnsi="Arial" w:cs="Arial"/>
          <w:sz w:val="16"/>
          <w:szCs w:val="16"/>
        </w:rPr>
        <w:t xml:space="preserve"> ídem</w:t>
      </w:r>
    </w:p>
  </w:footnote>
  <w:footnote w:id="7">
    <w:p w14:paraId="157CABB9" w14:textId="77777777" w:rsidR="00834974" w:rsidRPr="00CD55FA" w:rsidRDefault="00834974" w:rsidP="00834974">
      <w:pPr>
        <w:pStyle w:val="Textonotapie"/>
        <w:rPr>
          <w:rFonts w:ascii="Arial" w:hAnsi="Arial" w:cs="Arial"/>
          <w:sz w:val="16"/>
          <w:szCs w:val="16"/>
        </w:rPr>
      </w:pPr>
      <w:r w:rsidRPr="00CD55FA">
        <w:rPr>
          <w:rStyle w:val="Refdenotaalpie"/>
          <w:rFonts w:ascii="Arial" w:hAnsi="Arial" w:cs="Arial"/>
          <w:sz w:val="16"/>
          <w:szCs w:val="16"/>
        </w:rPr>
        <w:footnoteRef/>
      </w:r>
      <w:r w:rsidRPr="00CD55FA">
        <w:rPr>
          <w:rFonts w:ascii="Arial" w:hAnsi="Arial" w:cs="Arial"/>
          <w:sz w:val="16"/>
          <w:szCs w:val="16"/>
        </w:rPr>
        <w:t xml:space="preserve"> PROCEDIMIENTO ADMINISTRATIVO DE REMOCIÓN DE POLICÍAS MUNICIPALES. EL ACUERDO DE INICIO DEBE CONTENER LAS CIRCUNSTANCIAS DE MODO, TIEMPO Y LUGAR EN QUE TUVO LUGAR LA CONDUCTA REPROCHADA, DE MANERA QUE ENCUADRE EXACTAMENTE EN LA HIPÓTESIS TIPIFICADA COMO FALTA GRAVE. Registro digital: 2023374 Instancia: Plenos de Circuito Undécima Época Materia(s): Administrativa Tesis: PC.XV. J/2 A (11a.) Fuente: Gaceta del Semanario Judicial de la Federación. Libro 3, Julio de 2021, Tomo II, página 2088 Tipo: Jurisprudencia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36FEC" w14:textId="77777777" w:rsidR="00985F2C" w:rsidRDefault="00810574">
    <w:pPr>
      <w:pStyle w:val="Encabezado"/>
      <w:tabs>
        <w:tab w:val="clear" w:pos="4252"/>
        <w:tab w:val="clear" w:pos="8504"/>
        <w:tab w:val="left" w:pos="4140"/>
        <w:tab w:val="left" w:pos="7025"/>
      </w:tabs>
      <w:jc w:val="both"/>
      <w:rPr>
        <w:sz w:val="18"/>
        <w:szCs w:val="18"/>
        <w:lang w:val="es-ES_tradnl"/>
      </w:rPr>
    </w:pPr>
  </w:p>
  <w:p w14:paraId="42299F7B" w14:textId="77777777" w:rsidR="00985F2C" w:rsidRDefault="00810574">
    <w:pPr>
      <w:pStyle w:val="Encabezado"/>
      <w:tabs>
        <w:tab w:val="clear" w:pos="4252"/>
        <w:tab w:val="clear" w:pos="8504"/>
        <w:tab w:val="left" w:pos="4140"/>
        <w:tab w:val="left" w:pos="7025"/>
      </w:tabs>
      <w:jc w:val="both"/>
      <w:rPr>
        <w:sz w:val="18"/>
        <w:szCs w:val="18"/>
        <w:lang w:val="es-ES_tradnl"/>
      </w:rPr>
    </w:pPr>
  </w:p>
  <w:p w14:paraId="51D7F724" w14:textId="77777777" w:rsidR="00985F2C" w:rsidRDefault="00810574">
    <w:pPr>
      <w:pStyle w:val="Encabezado"/>
      <w:tabs>
        <w:tab w:val="clear" w:pos="4252"/>
        <w:tab w:val="clear" w:pos="8504"/>
        <w:tab w:val="left" w:pos="4140"/>
        <w:tab w:val="left" w:pos="7025"/>
      </w:tabs>
      <w:jc w:val="both"/>
      <w:rPr>
        <w:sz w:val="18"/>
        <w:szCs w:val="18"/>
        <w:lang w:val="es-ES_tradnl"/>
      </w:rPr>
    </w:pPr>
  </w:p>
  <w:p w14:paraId="65310887" w14:textId="77777777" w:rsidR="00985F2C" w:rsidRDefault="00810574">
    <w:pPr>
      <w:pStyle w:val="Encabezado"/>
      <w:tabs>
        <w:tab w:val="clear" w:pos="4252"/>
        <w:tab w:val="clear" w:pos="8504"/>
        <w:tab w:val="left" w:pos="4140"/>
        <w:tab w:val="left" w:pos="7025"/>
      </w:tabs>
      <w:jc w:val="both"/>
      <w:rPr>
        <w:sz w:val="18"/>
        <w:szCs w:val="18"/>
        <w:lang w:val="es-ES_tradnl"/>
      </w:rPr>
    </w:pPr>
  </w:p>
  <w:p w14:paraId="252104D4" w14:textId="77777777" w:rsidR="00985F2C" w:rsidRPr="009F7F62" w:rsidRDefault="00810574">
    <w:pPr>
      <w:pStyle w:val="Encabezado"/>
      <w:tabs>
        <w:tab w:val="clear" w:pos="4252"/>
        <w:tab w:val="clear" w:pos="8504"/>
        <w:tab w:val="left" w:pos="4140"/>
        <w:tab w:val="left" w:pos="7025"/>
      </w:tabs>
      <w:jc w:val="both"/>
      <w:rPr>
        <w:sz w:val="18"/>
        <w:szCs w:val="18"/>
        <w:lang w:val="es-ES_tradnl"/>
      </w:rPr>
    </w:pPr>
  </w:p>
  <w:p w14:paraId="7EC2EE10" w14:textId="77777777" w:rsidR="00985F2C" w:rsidRPr="00860C07" w:rsidRDefault="00810574">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1F195" w14:textId="68150588" w:rsidR="00985F2C" w:rsidRPr="00F3486D" w:rsidRDefault="00E34793">
    <w:pPr>
      <w:pStyle w:val="Encabezado"/>
      <w:tabs>
        <w:tab w:val="clear" w:pos="4252"/>
        <w:tab w:val="clear" w:pos="8504"/>
        <w:tab w:val="left" w:pos="2895"/>
      </w:tabs>
      <w:jc w:val="right"/>
      <w:rPr>
        <w:sz w:val="20"/>
        <w:szCs w:val="20"/>
      </w:rPr>
    </w:pPr>
    <w:r w:rsidRPr="00F3486D">
      <w:rPr>
        <w:sz w:val="20"/>
        <w:szCs w:val="20"/>
      </w:rPr>
      <w:t xml:space="preserve">JUICIO DE NULIDAD </w:t>
    </w:r>
    <w:r>
      <w:rPr>
        <w:sz w:val="20"/>
        <w:szCs w:val="20"/>
      </w:rPr>
      <w:t>3</w:t>
    </w:r>
    <w:r w:rsidR="00417A9E">
      <w:rPr>
        <w:sz w:val="20"/>
        <w:szCs w:val="20"/>
      </w:rPr>
      <w:t>2</w:t>
    </w:r>
    <w:r w:rsidRPr="00F3486D">
      <w:rPr>
        <w:sz w:val="20"/>
        <w:szCs w:val="20"/>
      </w:rPr>
      <w:t>/202</w:t>
    </w:r>
    <w:r>
      <w:rPr>
        <w:sz w:val="20"/>
        <w:szCs w:val="20"/>
      </w:rPr>
      <w:t>2</w:t>
    </w:r>
  </w:p>
  <w:p w14:paraId="31DDBE31" w14:textId="77777777" w:rsidR="00985F2C" w:rsidRDefault="00810574">
    <w:pPr>
      <w:pStyle w:val="Encabezado"/>
      <w:tabs>
        <w:tab w:val="clear" w:pos="4252"/>
        <w:tab w:val="clear" w:pos="8504"/>
        <w:tab w:val="left" w:pos="6234"/>
      </w:tabs>
      <w:jc w:val="both"/>
    </w:pPr>
  </w:p>
  <w:p w14:paraId="22D62835" w14:textId="77777777" w:rsidR="00985F2C" w:rsidRPr="007C34EC" w:rsidRDefault="00810574">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93837" w14:textId="56E1B4A0" w:rsidR="00985F2C" w:rsidRDefault="00F330B1">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2BDB326C" wp14:editId="160D9BCA">
              <wp:simplePos x="0" y="0"/>
              <wp:positionH relativeFrom="column">
                <wp:posOffset>2705100</wp:posOffset>
              </wp:positionH>
              <wp:positionV relativeFrom="paragraph">
                <wp:posOffset>-2540</wp:posOffset>
              </wp:positionV>
              <wp:extent cx="3159125" cy="2095500"/>
              <wp:effectExtent l="0" t="0" r="317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2095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13BDCF" w14:textId="77777777" w:rsidR="00F330B1" w:rsidRPr="00B93BB0" w:rsidRDefault="00F330B1" w:rsidP="00F330B1">
                          <w:pPr>
                            <w:jc w:val="both"/>
                            <w:rPr>
                              <w:rFonts w:ascii="Arial" w:hAnsi="Arial" w:cs="Arial"/>
                              <w:sz w:val="17"/>
                              <w:szCs w:val="17"/>
                            </w:rPr>
                          </w:pPr>
                          <w:r w:rsidRPr="00B93BB0">
                            <w:rPr>
                              <w:rFonts w:ascii="Arial" w:hAnsi="Arial" w:cs="Arial"/>
                              <w:b/>
                              <w:sz w:val="17"/>
                              <w:szCs w:val="17"/>
                            </w:rPr>
                            <w:t>SALA ESPECIALIZADA</w:t>
                          </w:r>
                          <w:r w:rsidRPr="00B93BB0">
                            <w:rPr>
                              <w:rFonts w:ascii="Arial" w:hAnsi="Arial" w:cs="Arial"/>
                              <w:sz w:val="17"/>
                              <w:szCs w:val="17"/>
                            </w:rPr>
                            <w:t xml:space="preserve"> EN MATERIA DE RESPONSABILIDADES ADMINISTRATIVAS Y COMBATE A LA CORRUPCIÓN DEL TRIBUNAL DE JUSTICIA ADMINISTRATIVA DEL ESTADO DE OAXACA</w:t>
                          </w:r>
                        </w:p>
                        <w:p w14:paraId="0165632D" w14:textId="77777777" w:rsidR="00F330B1" w:rsidRPr="00B93BB0" w:rsidRDefault="00F330B1" w:rsidP="00F330B1">
                          <w:pPr>
                            <w:jc w:val="both"/>
                            <w:rPr>
                              <w:rFonts w:ascii="Arial" w:hAnsi="Arial" w:cs="Arial"/>
                              <w:b/>
                              <w:sz w:val="17"/>
                              <w:szCs w:val="17"/>
                            </w:rPr>
                          </w:pPr>
                          <w:r w:rsidRPr="00B93BB0">
                            <w:rPr>
                              <w:rFonts w:ascii="Arial" w:hAnsi="Arial" w:cs="Arial"/>
                              <w:b/>
                              <w:sz w:val="17"/>
                              <w:szCs w:val="17"/>
                            </w:rPr>
                            <w:t xml:space="preserve">EXPEDIENTE: </w:t>
                          </w:r>
                          <w:r>
                            <w:rPr>
                              <w:rFonts w:ascii="Arial" w:hAnsi="Arial" w:cs="Arial"/>
                              <w:b/>
                              <w:sz w:val="17"/>
                              <w:szCs w:val="17"/>
                            </w:rPr>
                            <w:t>32</w:t>
                          </w:r>
                          <w:r w:rsidRPr="00B93BB0">
                            <w:rPr>
                              <w:rFonts w:ascii="Arial" w:hAnsi="Arial" w:cs="Arial"/>
                              <w:b/>
                              <w:sz w:val="17"/>
                              <w:szCs w:val="17"/>
                            </w:rPr>
                            <w:t>/2022</w:t>
                          </w:r>
                          <w:r w:rsidRPr="00B93BB0">
                            <w:rPr>
                              <w:rFonts w:ascii="Arial" w:hAnsi="Arial" w:cs="Arial"/>
                              <w:sz w:val="17"/>
                              <w:szCs w:val="17"/>
                            </w:rPr>
                            <w:t xml:space="preserve"> (JUICIO DE NULIDAD)</w:t>
                          </w:r>
                        </w:p>
                        <w:p w14:paraId="299A78EF" w14:textId="7FD1428D" w:rsidR="00F330B1" w:rsidRPr="00B93BB0" w:rsidRDefault="00F330B1" w:rsidP="00F330B1">
                          <w:pPr>
                            <w:jc w:val="both"/>
                            <w:rPr>
                              <w:rFonts w:ascii="Arial" w:hAnsi="Arial" w:cs="Arial"/>
                              <w:bCs/>
                              <w:sz w:val="17"/>
                              <w:szCs w:val="17"/>
                            </w:rPr>
                          </w:pPr>
                          <w:r w:rsidRPr="00B93BB0">
                            <w:rPr>
                              <w:rFonts w:ascii="Arial" w:hAnsi="Arial" w:cs="Arial"/>
                              <w:b/>
                              <w:sz w:val="17"/>
                              <w:szCs w:val="17"/>
                            </w:rPr>
                            <w:t xml:space="preserve">ACTOR: </w:t>
                          </w:r>
                          <w:r w:rsidR="007B452B">
                            <w:rPr>
                              <w:rFonts w:ascii="Arial" w:hAnsi="Arial" w:cs="Arial"/>
                              <w:bCs/>
                              <w:sz w:val="17"/>
                              <w:szCs w:val="17"/>
                            </w:rPr>
                            <w:t>***********</w:t>
                          </w:r>
                          <w:r>
                            <w:rPr>
                              <w:rFonts w:ascii="Arial" w:hAnsi="Arial" w:cs="Arial"/>
                              <w:bCs/>
                              <w:sz w:val="17"/>
                              <w:szCs w:val="17"/>
                            </w:rPr>
                            <w:t>.</w:t>
                          </w:r>
                        </w:p>
                        <w:p w14:paraId="261E3C86" w14:textId="77777777" w:rsidR="00F330B1" w:rsidRDefault="00F330B1" w:rsidP="00F330B1">
                          <w:pPr>
                            <w:jc w:val="both"/>
                            <w:rPr>
                              <w:rFonts w:ascii="Arial" w:hAnsi="Arial" w:cs="Arial"/>
                              <w:bCs/>
                              <w:sz w:val="17"/>
                              <w:szCs w:val="17"/>
                            </w:rPr>
                          </w:pPr>
                          <w:r w:rsidRPr="00B93BB0">
                            <w:rPr>
                              <w:rFonts w:ascii="Arial" w:hAnsi="Arial" w:cs="Arial"/>
                              <w:b/>
                              <w:bCs/>
                              <w:sz w:val="17"/>
                              <w:szCs w:val="17"/>
                            </w:rPr>
                            <w:t>AUTORIDAD DEMANDADA</w:t>
                          </w:r>
                          <w:r w:rsidRPr="00B93BB0">
                            <w:rPr>
                              <w:rFonts w:ascii="Arial" w:hAnsi="Arial" w:cs="Arial"/>
                              <w:bCs/>
                              <w:sz w:val="17"/>
                              <w:szCs w:val="17"/>
                            </w:rPr>
                            <w:t xml:space="preserve">; </w:t>
                          </w:r>
                          <w:r>
                            <w:rPr>
                              <w:rFonts w:ascii="Arial" w:hAnsi="Arial" w:cs="Arial"/>
                              <w:bCs/>
                              <w:sz w:val="17"/>
                              <w:szCs w:val="17"/>
                            </w:rPr>
                            <w:t>COMISIÓN DE HONOR Y JUSTICIA DE LA SECRETARÍA DE SEGURIDAD PUBLICA DEL ESTADO DE OAXACA.</w:t>
                          </w:r>
                        </w:p>
                        <w:p w14:paraId="71049B88" w14:textId="77777777" w:rsidR="00F330B1" w:rsidRPr="00B93BB0" w:rsidRDefault="00F330B1" w:rsidP="00F330B1">
                          <w:pPr>
                            <w:jc w:val="both"/>
                            <w:rPr>
                              <w:rFonts w:ascii="Arial" w:hAnsi="Arial" w:cs="Arial"/>
                              <w:sz w:val="17"/>
                              <w:szCs w:val="17"/>
                            </w:rPr>
                          </w:pPr>
                          <w:r w:rsidRPr="00B93BB0">
                            <w:rPr>
                              <w:rFonts w:ascii="Arial" w:hAnsi="Arial" w:cs="Arial"/>
                              <w:b/>
                              <w:sz w:val="17"/>
                              <w:szCs w:val="17"/>
                            </w:rPr>
                            <w:t>RESOLUCIÓN IMPUGNADA:</w:t>
                          </w:r>
                          <w:r w:rsidRPr="00B93BB0">
                            <w:rPr>
                              <w:rFonts w:ascii="Arial" w:hAnsi="Arial" w:cs="Arial"/>
                              <w:sz w:val="17"/>
                              <w:szCs w:val="17"/>
                            </w:rPr>
                            <w:t xml:space="preserve"> DE</w:t>
                          </w:r>
                          <w:r>
                            <w:rPr>
                              <w:rFonts w:ascii="Arial" w:hAnsi="Arial" w:cs="Arial"/>
                              <w:sz w:val="17"/>
                              <w:szCs w:val="17"/>
                            </w:rPr>
                            <w:t xml:space="preserve"> SIETE DE JUNIO DE DOS MIL VEINTIUNO, DICTADA EN EL EXPEDIENTE SSP/CHJ/</w:t>
                          </w:r>
                          <w:proofErr w:type="gramStart"/>
                          <w:r>
                            <w:rPr>
                              <w:rFonts w:ascii="Arial" w:hAnsi="Arial" w:cs="Arial"/>
                              <w:sz w:val="17"/>
                              <w:szCs w:val="17"/>
                            </w:rPr>
                            <w:t>E.A</w:t>
                          </w:r>
                          <w:proofErr w:type="gramEnd"/>
                          <w:r>
                            <w:rPr>
                              <w:rFonts w:ascii="Arial" w:hAnsi="Arial" w:cs="Arial"/>
                              <w:sz w:val="17"/>
                              <w:szCs w:val="17"/>
                            </w:rPr>
                            <w:t>/002/2020, DEL ÍNDICE DE LA COMISIÓN CITADA.</w:t>
                          </w:r>
                        </w:p>
                        <w:p w14:paraId="58CFB777" w14:textId="77777777" w:rsidR="00F330B1" w:rsidRPr="00B93BB0" w:rsidRDefault="00F330B1" w:rsidP="00F330B1">
                          <w:pPr>
                            <w:jc w:val="both"/>
                            <w:rPr>
                              <w:rFonts w:ascii="Arial" w:hAnsi="Arial" w:cs="Arial"/>
                              <w:sz w:val="17"/>
                              <w:szCs w:val="17"/>
                            </w:rPr>
                          </w:pPr>
                          <w:r w:rsidRPr="00573936">
                            <w:rPr>
                              <w:rFonts w:ascii="Arial" w:hAnsi="Arial" w:cs="Arial"/>
                              <w:sz w:val="16"/>
                              <w:szCs w:val="16"/>
                            </w:rPr>
                            <w:t>CORREO ELECTRÓNICO</w:t>
                          </w:r>
                          <w:r w:rsidRPr="00B93BB0">
                            <w:rPr>
                              <w:rFonts w:ascii="Arial" w:hAnsi="Arial" w:cs="Arial"/>
                              <w:sz w:val="17"/>
                              <w:szCs w:val="17"/>
                            </w:rPr>
                            <w:t xml:space="preserve">: </w:t>
                          </w:r>
                        </w:p>
                        <w:p w14:paraId="33BE26A0" w14:textId="77777777" w:rsidR="00F330B1" w:rsidRPr="00B93BB0" w:rsidRDefault="00810574" w:rsidP="00F330B1">
                          <w:pPr>
                            <w:jc w:val="both"/>
                            <w:rPr>
                              <w:rFonts w:ascii="Arial" w:hAnsi="Arial" w:cs="Arial"/>
                              <w:sz w:val="17"/>
                              <w:szCs w:val="17"/>
                            </w:rPr>
                          </w:pPr>
                          <w:hyperlink r:id="rId1" w:history="1">
                            <w:r w:rsidR="00F330B1" w:rsidRPr="00B93BB0">
                              <w:rPr>
                                <w:rStyle w:val="Hipervnculo"/>
                                <w:rFonts w:ascii="Arial" w:hAnsi="Arial" w:cs="Arial"/>
                                <w:sz w:val="17"/>
                                <w:szCs w:val="17"/>
                              </w:rPr>
                              <w:t>salaespecializadaanticorrupcion@tjaoaxaca.gob.mx</w:t>
                            </w:r>
                          </w:hyperlink>
                        </w:p>
                        <w:p w14:paraId="20DC8C2A" w14:textId="77777777" w:rsidR="00F330B1" w:rsidRPr="00B93BB0" w:rsidRDefault="00F330B1" w:rsidP="00F330B1">
                          <w:pPr>
                            <w:jc w:val="both"/>
                            <w:rPr>
                              <w:rFonts w:ascii="Arial" w:hAnsi="Arial" w:cs="Arial"/>
                              <w:sz w:val="17"/>
                              <w:szCs w:val="17"/>
                            </w:rPr>
                          </w:pPr>
                          <w:r w:rsidRPr="00B93BB0">
                            <w:rPr>
                              <w:rFonts w:ascii="Arial" w:hAnsi="Arial" w:cs="Arial"/>
                              <w:sz w:val="17"/>
                              <w:szCs w:val="17"/>
                            </w:rPr>
                            <w:t>TELÉFONOS 9514383270, 9515025936 EXTENSIÓN 220.</w:t>
                          </w:r>
                        </w:p>
                        <w:p w14:paraId="47F9D809" w14:textId="77777777" w:rsidR="00F330B1" w:rsidRPr="00B93BB0" w:rsidRDefault="00F330B1" w:rsidP="00F330B1">
                          <w:pPr>
                            <w:jc w:val="both"/>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DB326C" id="_x0000_t202" coordsize="21600,21600" o:spt="202" path="m,l,21600r21600,l21600,xe">
              <v:stroke joinstyle="miter"/>
              <v:path gradientshapeok="t" o:connecttype="rect"/>
            </v:shapetype>
            <v:shape id="_x0000_s1030" type="#_x0000_t202" style="position:absolute;margin-left:213pt;margin-top:-.2pt;width:248.75pt;height: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" stroked="f">
              <v:textbox>
                <w:txbxContent>
                  <w:p w14:paraId="2513BDCF" w14:textId="77777777" w:rsidR="00F330B1" w:rsidRPr="00B93BB0" w:rsidRDefault="00F330B1" w:rsidP="00F330B1">
                    <w:pPr>
                      <w:jc w:val="both"/>
                      <w:rPr>
                        <w:rFonts w:ascii="Arial" w:hAnsi="Arial" w:cs="Arial"/>
                        <w:sz w:val="17"/>
                        <w:szCs w:val="17"/>
                      </w:rPr>
                    </w:pPr>
                    <w:r w:rsidRPr="00B93BB0">
                      <w:rPr>
                        <w:rFonts w:ascii="Arial" w:hAnsi="Arial" w:cs="Arial"/>
                        <w:b/>
                        <w:sz w:val="17"/>
                        <w:szCs w:val="17"/>
                      </w:rPr>
                      <w:t>SALA ESPECIALIZADA</w:t>
                    </w:r>
                    <w:r w:rsidRPr="00B93BB0">
                      <w:rPr>
                        <w:rFonts w:ascii="Arial" w:hAnsi="Arial" w:cs="Arial"/>
                        <w:sz w:val="17"/>
                        <w:szCs w:val="17"/>
                      </w:rPr>
                      <w:t xml:space="preserve"> EN MATERIA DE RESPONSABILIDADES ADMINISTRATIVAS Y COMBATE A LA CORRUPCIÓN DEL TRIBUNAL DE JUSTICIA ADMINISTRATIVA DEL ESTADO DE OAXACA</w:t>
                    </w:r>
                  </w:p>
                  <w:p w14:paraId="0165632D" w14:textId="77777777" w:rsidR="00F330B1" w:rsidRPr="00B93BB0" w:rsidRDefault="00F330B1" w:rsidP="00F330B1">
                    <w:pPr>
                      <w:jc w:val="both"/>
                      <w:rPr>
                        <w:rFonts w:ascii="Arial" w:hAnsi="Arial" w:cs="Arial"/>
                        <w:b/>
                        <w:sz w:val="17"/>
                        <w:szCs w:val="17"/>
                      </w:rPr>
                    </w:pPr>
                    <w:r w:rsidRPr="00B93BB0">
                      <w:rPr>
                        <w:rFonts w:ascii="Arial" w:hAnsi="Arial" w:cs="Arial"/>
                        <w:b/>
                        <w:sz w:val="17"/>
                        <w:szCs w:val="17"/>
                      </w:rPr>
                      <w:t xml:space="preserve">EXPEDIENTE: </w:t>
                    </w:r>
                    <w:r>
                      <w:rPr>
                        <w:rFonts w:ascii="Arial" w:hAnsi="Arial" w:cs="Arial"/>
                        <w:b/>
                        <w:sz w:val="17"/>
                        <w:szCs w:val="17"/>
                      </w:rPr>
                      <w:t>32</w:t>
                    </w:r>
                    <w:r w:rsidRPr="00B93BB0">
                      <w:rPr>
                        <w:rFonts w:ascii="Arial" w:hAnsi="Arial" w:cs="Arial"/>
                        <w:b/>
                        <w:sz w:val="17"/>
                        <w:szCs w:val="17"/>
                      </w:rPr>
                      <w:t>/2022</w:t>
                    </w:r>
                    <w:r w:rsidRPr="00B93BB0">
                      <w:rPr>
                        <w:rFonts w:ascii="Arial" w:hAnsi="Arial" w:cs="Arial"/>
                        <w:sz w:val="17"/>
                        <w:szCs w:val="17"/>
                      </w:rPr>
                      <w:t xml:space="preserve"> (JUICIO DE NULIDAD)</w:t>
                    </w:r>
                  </w:p>
                  <w:p w14:paraId="299A78EF" w14:textId="7FD1428D" w:rsidR="00F330B1" w:rsidRPr="00B93BB0" w:rsidRDefault="00F330B1" w:rsidP="00F330B1">
                    <w:pPr>
                      <w:jc w:val="both"/>
                      <w:rPr>
                        <w:rFonts w:ascii="Arial" w:hAnsi="Arial" w:cs="Arial"/>
                        <w:bCs/>
                        <w:sz w:val="17"/>
                        <w:szCs w:val="17"/>
                      </w:rPr>
                    </w:pPr>
                    <w:r w:rsidRPr="00B93BB0">
                      <w:rPr>
                        <w:rFonts w:ascii="Arial" w:hAnsi="Arial" w:cs="Arial"/>
                        <w:b/>
                        <w:sz w:val="17"/>
                        <w:szCs w:val="17"/>
                      </w:rPr>
                      <w:t xml:space="preserve">ACTOR: </w:t>
                    </w:r>
                    <w:r w:rsidR="007B452B">
                      <w:rPr>
                        <w:rFonts w:ascii="Arial" w:hAnsi="Arial" w:cs="Arial"/>
                        <w:bCs/>
                        <w:sz w:val="17"/>
                        <w:szCs w:val="17"/>
                      </w:rPr>
                      <w:t>***********</w:t>
                    </w:r>
                    <w:r>
                      <w:rPr>
                        <w:rFonts w:ascii="Arial" w:hAnsi="Arial" w:cs="Arial"/>
                        <w:bCs/>
                        <w:sz w:val="17"/>
                        <w:szCs w:val="17"/>
                      </w:rPr>
                      <w:t>.</w:t>
                    </w:r>
                  </w:p>
                  <w:p w14:paraId="261E3C86" w14:textId="77777777" w:rsidR="00F330B1" w:rsidRDefault="00F330B1" w:rsidP="00F330B1">
                    <w:pPr>
                      <w:jc w:val="both"/>
                      <w:rPr>
                        <w:rFonts w:ascii="Arial" w:hAnsi="Arial" w:cs="Arial"/>
                        <w:bCs/>
                        <w:sz w:val="17"/>
                        <w:szCs w:val="17"/>
                      </w:rPr>
                    </w:pPr>
                    <w:r w:rsidRPr="00B93BB0">
                      <w:rPr>
                        <w:rFonts w:ascii="Arial" w:hAnsi="Arial" w:cs="Arial"/>
                        <w:b/>
                        <w:bCs/>
                        <w:sz w:val="17"/>
                        <w:szCs w:val="17"/>
                      </w:rPr>
                      <w:t>AUTORIDAD DEMANDADA</w:t>
                    </w:r>
                    <w:r w:rsidRPr="00B93BB0">
                      <w:rPr>
                        <w:rFonts w:ascii="Arial" w:hAnsi="Arial" w:cs="Arial"/>
                        <w:bCs/>
                        <w:sz w:val="17"/>
                        <w:szCs w:val="17"/>
                      </w:rPr>
                      <w:t xml:space="preserve">; </w:t>
                    </w:r>
                    <w:r>
                      <w:rPr>
                        <w:rFonts w:ascii="Arial" w:hAnsi="Arial" w:cs="Arial"/>
                        <w:bCs/>
                        <w:sz w:val="17"/>
                        <w:szCs w:val="17"/>
                      </w:rPr>
                      <w:t>COMISIÓN DE HONOR Y JUSTICIA DE LA SECRETARÍA DE SEGURIDAD PUBLICA DEL ESTADO DE OAXACA.</w:t>
                    </w:r>
                  </w:p>
                  <w:p w14:paraId="71049B88" w14:textId="77777777" w:rsidR="00F330B1" w:rsidRPr="00B93BB0" w:rsidRDefault="00F330B1" w:rsidP="00F330B1">
                    <w:pPr>
                      <w:jc w:val="both"/>
                      <w:rPr>
                        <w:rFonts w:ascii="Arial" w:hAnsi="Arial" w:cs="Arial"/>
                        <w:sz w:val="17"/>
                        <w:szCs w:val="17"/>
                      </w:rPr>
                    </w:pPr>
                    <w:r w:rsidRPr="00B93BB0">
                      <w:rPr>
                        <w:rFonts w:ascii="Arial" w:hAnsi="Arial" w:cs="Arial"/>
                        <w:b/>
                        <w:sz w:val="17"/>
                        <w:szCs w:val="17"/>
                      </w:rPr>
                      <w:t>RESOLUCIÓN IMPUGNADA:</w:t>
                    </w:r>
                    <w:r w:rsidRPr="00B93BB0">
                      <w:rPr>
                        <w:rFonts w:ascii="Arial" w:hAnsi="Arial" w:cs="Arial"/>
                        <w:sz w:val="17"/>
                        <w:szCs w:val="17"/>
                      </w:rPr>
                      <w:t xml:space="preserve"> DE</w:t>
                    </w:r>
                    <w:r>
                      <w:rPr>
                        <w:rFonts w:ascii="Arial" w:hAnsi="Arial" w:cs="Arial"/>
                        <w:sz w:val="17"/>
                        <w:szCs w:val="17"/>
                      </w:rPr>
                      <w:t xml:space="preserve"> SIETE DE JUNIO DE DOS MIL VEINTIUNO, DICTADA EN EL EXPEDIENTE SSP/CHJ/</w:t>
                    </w:r>
                    <w:proofErr w:type="gramStart"/>
                    <w:r>
                      <w:rPr>
                        <w:rFonts w:ascii="Arial" w:hAnsi="Arial" w:cs="Arial"/>
                        <w:sz w:val="17"/>
                        <w:szCs w:val="17"/>
                      </w:rPr>
                      <w:t>E.A</w:t>
                    </w:r>
                    <w:proofErr w:type="gramEnd"/>
                    <w:r>
                      <w:rPr>
                        <w:rFonts w:ascii="Arial" w:hAnsi="Arial" w:cs="Arial"/>
                        <w:sz w:val="17"/>
                        <w:szCs w:val="17"/>
                      </w:rPr>
                      <w:t>/002/2020, DEL ÍNDICE DE LA COMISIÓN CITADA.</w:t>
                    </w:r>
                  </w:p>
                  <w:p w14:paraId="58CFB777" w14:textId="77777777" w:rsidR="00F330B1" w:rsidRPr="00B93BB0" w:rsidRDefault="00F330B1" w:rsidP="00F330B1">
                    <w:pPr>
                      <w:jc w:val="both"/>
                      <w:rPr>
                        <w:rFonts w:ascii="Arial" w:hAnsi="Arial" w:cs="Arial"/>
                        <w:sz w:val="17"/>
                        <w:szCs w:val="17"/>
                      </w:rPr>
                    </w:pPr>
                    <w:r w:rsidRPr="00573936">
                      <w:rPr>
                        <w:rFonts w:ascii="Arial" w:hAnsi="Arial" w:cs="Arial"/>
                        <w:sz w:val="16"/>
                        <w:szCs w:val="16"/>
                      </w:rPr>
                      <w:t>CORREO ELECTRÓNICO</w:t>
                    </w:r>
                    <w:r w:rsidRPr="00B93BB0">
                      <w:rPr>
                        <w:rFonts w:ascii="Arial" w:hAnsi="Arial" w:cs="Arial"/>
                        <w:sz w:val="17"/>
                        <w:szCs w:val="17"/>
                      </w:rPr>
                      <w:t xml:space="preserve">: </w:t>
                    </w:r>
                  </w:p>
                  <w:p w14:paraId="33BE26A0" w14:textId="77777777" w:rsidR="00F330B1" w:rsidRPr="00B93BB0" w:rsidRDefault="00810574" w:rsidP="00F330B1">
                    <w:pPr>
                      <w:jc w:val="both"/>
                      <w:rPr>
                        <w:rFonts w:ascii="Arial" w:hAnsi="Arial" w:cs="Arial"/>
                        <w:sz w:val="17"/>
                        <w:szCs w:val="17"/>
                      </w:rPr>
                    </w:pPr>
                    <w:hyperlink r:id="rId2" w:history="1">
                      <w:r w:rsidR="00F330B1" w:rsidRPr="00B93BB0">
                        <w:rPr>
                          <w:rStyle w:val="Hipervnculo"/>
                          <w:rFonts w:ascii="Arial" w:hAnsi="Arial" w:cs="Arial"/>
                          <w:sz w:val="17"/>
                          <w:szCs w:val="17"/>
                        </w:rPr>
                        <w:t>salaespecializadaanticorrupcion@tjaoaxaca.gob.mx</w:t>
                      </w:r>
                    </w:hyperlink>
                  </w:p>
                  <w:p w14:paraId="20DC8C2A" w14:textId="77777777" w:rsidR="00F330B1" w:rsidRPr="00B93BB0" w:rsidRDefault="00F330B1" w:rsidP="00F330B1">
                    <w:pPr>
                      <w:jc w:val="both"/>
                      <w:rPr>
                        <w:rFonts w:ascii="Arial" w:hAnsi="Arial" w:cs="Arial"/>
                        <w:sz w:val="17"/>
                        <w:szCs w:val="17"/>
                      </w:rPr>
                    </w:pPr>
                    <w:r w:rsidRPr="00B93BB0">
                      <w:rPr>
                        <w:rFonts w:ascii="Arial" w:hAnsi="Arial" w:cs="Arial"/>
                        <w:sz w:val="17"/>
                        <w:szCs w:val="17"/>
                      </w:rPr>
                      <w:t>TELÉFONOS 9514383270, 9515025936 EXTENSIÓN 220.</w:t>
                    </w:r>
                  </w:p>
                  <w:p w14:paraId="47F9D809" w14:textId="77777777" w:rsidR="00F330B1" w:rsidRPr="00B93BB0" w:rsidRDefault="00F330B1" w:rsidP="00F330B1">
                    <w:pPr>
                      <w:jc w:val="both"/>
                      <w:rPr>
                        <w:rFonts w:ascii="Arial" w:hAnsi="Arial" w:cs="Arial"/>
                        <w:sz w:val="17"/>
                        <w:szCs w:val="17"/>
                      </w:rPr>
                    </w:pPr>
                  </w:p>
                </w:txbxContent>
              </v:textbox>
              <w10:wrap type="square"/>
            </v:shape>
          </w:pict>
        </mc:Fallback>
      </mc:AlternateContent>
    </w:r>
  </w:p>
  <w:p w14:paraId="29EE55D3" w14:textId="77777777" w:rsidR="00985F2C" w:rsidRDefault="00810574">
    <w:pPr>
      <w:pStyle w:val="Encabezado"/>
    </w:pPr>
  </w:p>
  <w:p w14:paraId="375F377A" w14:textId="77777777" w:rsidR="00985F2C" w:rsidRDefault="00810574">
    <w:pPr>
      <w:pStyle w:val="Encabezado"/>
    </w:pPr>
  </w:p>
  <w:p w14:paraId="5AE00328" w14:textId="77777777" w:rsidR="00985F2C" w:rsidRDefault="00810574">
    <w:pPr>
      <w:pStyle w:val="Encabezado"/>
    </w:pPr>
  </w:p>
  <w:p w14:paraId="5EE60C71" w14:textId="77777777" w:rsidR="00985F2C" w:rsidRDefault="00810574">
    <w:pPr>
      <w:pStyle w:val="Encabezado"/>
    </w:pPr>
  </w:p>
  <w:p w14:paraId="3A782F01" w14:textId="77777777" w:rsidR="00985F2C" w:rsidRDefault="00810574">
    <w:pPr>
      <w:pStyle w:val="Encabezado"/>
    </w:pPr>
  </w:p>
  <w:p w14:paraId="2FB01F0B" w14:textId="77777777" w:rsidR="00985F2C" w:rsidRDefault="00810574">
    <w:pPr>
      <w:pStyle w:val="Encabezado"/>
    </w:pPr>
  </w:p>
  <w:p w14:paraId="12A3AF22" w14:textId="77777777" w:rsidR="00985F2C" w:rsidRDefault="00810574">
    <w:pPr>
      <w:pStyle w:val="Encabezado"/>
    </w:pPr>
  </w:p>
  <w:p w14:paraId="2C825F6E" w14:textId="77777777" w:rsidR="00985F2C" w:rsidRDefault="00810574">
    <w:pPr>
      <w:pStyle w:val="Encabezado"/>
    </w:pPr>
  </w:p>
  <w:p w14:paraId="2093BBA8" w14:textId="77777777" w:rsidR="00985F2C" w:rsidRDefault="00810574">
    <w:pPr>
      <w:pStyle w:val="Encabezado"/>
    </w:pPr>
  </w:p>
  <w:p w14:paraId="5E92D473" w14:textId="77777777" w:rsidR="00985F2C" w:rsidRDefault="00810574">
    <w:pPr>
      <w:pStyle w:val="Encabezado"/>
    </w:pPr>
  </w:p>
  <w:p w14:paraId="41ED375D" w14:textId="77777777" w:rsidR="00985F2C" w:rsidRDefault="00810574">
    <w:pPr>
      <w:pStyle w:val="Encabezado"/>
    </w:pPr>
  </w:p>
  <w:p w14:paraId="4471C0BA" w14:textId="77777777" w:rsidR="00985F2C" w:rsidRDefault="00810574">
    <w:pPr>
      <w:pStyle w:val="Encabezado"/>
    </w:pPr>
  </w:p>
  <w:p w14:paraId="5AFB8685" w14:textId="77777777" w:rsidR="00985F2C" w:rsidRDefault="008105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91364"/>
    <w:multiLevelType w:val="hybridMultilevel"/>
    <w:tmpl w:val="DE76FC52"/>
    <w:lvl w:ilvl="0" w:tplc="16FE83DA">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AAE0153"/>
    <w:multiLevelType w:val="hybridMultilevel"/>
    <w:tmpl w:val="F83EFDD0"/>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47DB67E5"/>
    <w:multiLevelType w:val="multilevel"/>
    <w:tmpl w:val="2E026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74"/>
    <w:rsid w:val="00016007"/>
    <w:rsid w:val="00016FC6"/>
    <w:rsid w:val="000A4449"/>
    <w:rsid w:val="000A56D7"/>
    <w:rsid w:val="000C5A44"/>
    <w:rsid w:val="000F1687"/>
    <w:rsid w:val="00142ABA"/>
    <w:rsid w:val="001447AA"/>
    <w:rsid w:val="001E159D"/>
    <w:rsid w:val="002415E0"/>
    <w:rsid w:val="002651C1"/>
    <w:rsid w:val="002800C0"/>
    <w:rsid w:val="00303171"/>
    <w:rsid w:val="00321224"/>
    <w:rsid w:val="003C6D03"/>
    <w:rsid w:val="00417A9E"/>
    <w:rsid w:val="004659B8"/>
    <w:rsid w:val="004E768A"/>
    <w:rsid w:val="0058358F"/>
    <w:rsid w:val="00611D20"/>
    <w:rsid w:val="0062643D"/>
    <w:rsid w:val="006C6D21"/>
    <w:rsid w:val="0070791B"/>
    <w:rsid w:val="00711BC3"/>
    <w:rsid w:val="007638AE"/>
    <w:rsid w:val="007B452B"/>
    <w:rsid w:val="007E6625"/>
    <w:rsid w:val="00810574"/>
    <w:rsid w:val="00834974"/>
    <w:rsid w:val="0084797B"/>
    <w:rsid w:val="00A228F5"/>
    <w:rsid w:val="00B15C5E"/>
    <w:rsid w:val="00B27904"/>
    <w:rsid w:val="00BC0D42"/>
    <w:rsid w:val="00BF2A21"/>
    <w:rsid w:val="00D14042"/>
    <w:rsid w:val="00D44F2B"/>
    <w:rsid w:val="00D82424"/>
    <w:rsid w:val="00DC1B9C"/>
    <w:rsid w:val="00E03768"/>
    <w:rsid w:val="00E34793"/>
    <w:rsid w:val="00E41A7C"/>
    <w:rsid w:val="00EA0F8C"/>
    <w:rsid w:val="00EE4EE3"/>
    <w:rsid w:val="00F31C98"/>
    <w:rsid w:val="00F330B1"/>
    <w:rsid w:val="00FA24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287B9"/>
  <w15:chartTrackingRefBased/>
  <w15:docId w15:val="{FFFDDE1A-41BC-4661-BBC3-14731A4D5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974"/>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834974"/>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834974"/>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834974"/>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834974"/>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834974"/>
    <w:rPr>
      <w:color w:val="0563C1" w:themeColor="hyperlink"/>
      <w:u w:val="single"/>
    </w:rPr>
  </w:style>
  <w:style w:type="paragraph" w:customStyle="1" w:styleId="corte3centro">
    <w:name w:val="corte3 centro"/>
    <w:basedOn w:val="Normal"/>
    <w:link w:val="corte3centroCar"/>
    <w:rsid w:val="00834974"/>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834974"/>
    <w:rPr>
      <w:rFonts w:ascii="Arial" w:eastAsia="Times New Roman" w:hAnsi="Arial" w:cs="Times New Roman"/>
      <w:b/>
      <w:sz w:val="30"/>
      <w:szCs w:val="20"/>
      <w:lang w:val="es-ES_tradnl" w:eastAsia="es-ES"/>
    </w:rPr>
  </w:style>
  <w:style w:type="paragraph" w:styleId="Textonotapie">
    <w:name w:val="footnote text"/>
    <w:basedOn w:val="Normal"/>
    <w:link w:val="TextonotapieCar"/>
    <w:uiPriority w:val="99"/>
    <w:unhideWhenUsed/>
    <w:rsid w:val="00834974"/>
    <w:rPr>
      <w:sz w:val="20"/>
      <w:szCs w:val="20"/>
    </w:rPr>
  </w:style>
  <w:style w:type="character" w:customStyle="1" w:styleId="TextonotapieCar">
    <w:name w:val="Texto nota pie Car"/>
    <w:basedOn w:val="Fuentedeprrafopredeter"/>
    <w:link w:val="Textonotapie"/>
    <w:uiPriority w:val="99"/>
    <w:rsid w:val="00834974"/>
    <w:rPr>
      <w:sz w:val="20"/>
      <w:szCs w:val="20"/>
    </w:rPr>
  </w:style>
  <w:style w:type="character" w:styleId="Refdenotaalpie">
    <w:name w:val="footnote reference"/>
    <w:basedOn w:val="Fuentedeprrafopredeter"/>
    <w:uiPriority w:val="99"/>
    <w:semiHidden/>
    <w:unhideWhenUsed/>
    <w:rsid w:val="00834974"/>
    <w:rPr>
      <w:vertAlign w:val="superscript"/>
    </w:rPr>
  </w:style>
  <w:style w:type="table" w:styleId="Tabladecuadrcula4">
    <w:name w:val="Grid Table 4"/>
    <w:basedOn w:val="Tablanormal"/>
    <w:uiPriority w:val="49"/>
    <w:rsid w:val="008349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rrafodelista">
    <w:name w:val="List Paragraph"/>
    <w:basedOn w:val="Normal"/>
    <w:uiPriority w:val="34"/>
    <w:qFormat/>
    <w:rsid w:val="002651C1"/>
    <w:pPr>
      <w:ind w:left="720"/>
      <w:contextualSpacing/>
    </w:pPr>
  </w:style>
  <w:style w:type="character" w:styleId="Hipervnculovisitado">
    <w:name w:val="FollowedHyperlink"/>
    <w:basedOn w:val="Fuentedeprrafopredeter"/>
    <w:uiPriority w:val="99"/>
    <w:semiHidden/>
    <w:unhideWhenUsed/>
    <w:rsid w:val="00DC1B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174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jf2.scjn.gob.mx/detalle/tesis/2023374" TargetMode="External"/><Relationship Id="rId2" Type="http://schemas.openxmlformats.org/officeDocument/2006/relationships/hyperlink" Target="https://sjf2.scjn.gob.mx/detalle/tesis/179367" TargetMode="External"/><Relationship Id="rId1" Type="http://schemas.openxmlformats.org/officeDocument/2006/relationships/hyperlink" Target="https://sjf2.scjn.gob.mx/detalle/tesis/164618"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mailto:salaespecializadaanticorrupcion@tjaoaxaca.gob.mx" TargetMode="External"/><Relationship Id="rId1" Type="http://schemas.openxmlformats.org/officeDocument/2006/relationships/hyperlink" Target="mailto:salaespecializadaanticorrupcion@tjaoaxaca.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3439</Words>
  <Characters>18920</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6</cp:revision>
  <cp:lastPrinted>2023-01-25T18:22:00Z</cp:lastPrinted>
  <dcterms:created xsi:type="dcterms:W3CDTF">2023-10-24T16:27:00Z</dcterms:created>
  <dcterms:modified xsi:type="dcterms:W3CDTF">2023-10-24T18:42:00Z</dcterms:modified>
</cp:coreProperties>
</file>