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254CA4" w14:textId="77777777" w:rsidR="006D64AD" w:rsidRDefault="006D64AD" w:rsidP="006D64AD">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7BF9FF73" w14:textId="77777777" w:rsidR="006D64AD" w:rsidRDefault="00305FA6" w:rsidP="006D64A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331</w:t>
      </w:r>
      <w:r w:rsidR="006D64AD">
        <w:rPr>
          <w:rFonts w:ascii="Arial" w:hAnsi="Arial" w:cs="Arial"/>
          <w:b/>
          <w:sz w:val="26"/>
          <w:szCs w:val="26"/>
        </w:rPr>
        <w:t>/2019</w:t>
      </w:r>
    </w:p>
    <w:p w14:paraId="40C9D0BE" w14:textId="77777777" w:rsidR="006D64AD" w:rsidRDefault="00305FA6" w:rsidP="006D64AD">
      <w:pPr>
        <w:spacing w:line="240" w:lineRule="auto"/>
        <w:ind w:left="2124"/>
        <w:jc w:val="both"/>
        <w:rPr>
          <w:rFonts w:ascii="Arial" w:hAnsi="Arial" w:cs="Arial"/>
          <w:b/>
          <w:sz w:val="26"/>
          <w:szCs w:val="26"/>
        </w:rPr>
      </w:pPr>
      <w:r>
        <w:rPr>
          <w:rFonts w:ascii="Arial" w:hAnsi="Arial" w:cs="Arial"/>
          <w:b/>
          <w:sz w:val="26"/>
          <w:szCs w:val="26"/>
        </w:rPr>
        <w:t>EXPEDIENTE: 435/2016 DE LA TERCERA</w:t>
      </w:r>
      <w:r w:rsidR="006D64AD">
        <w:rPr>
          <w:rFonts w:ascii="Arial" w:hAnsi="Arial" w:cs="Arial"/>
          <w:b/>
          <w:sz w:val="26"/>
          <w:szCs w:val="26"/>
        </w:rPr>
        <w:t xml:space="preserve"> SALA UNITARIA DE PRIMERA INSTANCIA</w:t>
      </w:r>
    </w:p>
    <w:p w14:paraId="1959ED81" w14:textId="77777777" w:rsidR="006D64AD" w:rsidRDefault="006D64AD" w:rsidP="006D64AD">
      <w:pPr>
        <w:spacing w:line="240" w:lineRule="auto"/>
        <w:ind w:left="2124"/>
        <w:jc w:val="both"/>
        <w:rPr>
          <w:rFonts w:ascii="Arial" w:hAnsi="Arial" w:cs="Arial"/>
          <w:b/>
          <w:sz w:val="26"/>
          <w:szCs w:val="26"/>
        </w:rPr>
      </w:pPr>
      <w:r>
        <w:rPr>
          <w:rFonts w:ascii="Arial" w:hAnsi="Arial" w:cs="Arial"/>
          <w:b/>
          <w:sz w:val="26"/>
          <w:szCs w:val="26"/>
        </w:rPr>
        <w:t xml:space="preserve">PONENTE: MAGISTRADO </w:t>
      </w:r>
      <w:r w:rsidR="00F563E6">
        <w:rPr>
          <w:rFonts w:ascii="Arial" w:hAnsi="Arial" w:cs="Arial"/>
          <w:b/>
          <w:sz w:val="26"/>
          <w:szCs w:val="26"/>
        </w:rPr>
        <w:t>ABRAHAM SANTIAGO SORIANO.</w:t>
      </w:r>
    </w:p>
    <w:p w14:paraId="29F93798" w14:textId="77777777" w:rsidR="00F937AB" w:rsidRDefault="00F937AB" w:rsidP="006D64AD">
      <w:pPr>
        <w:spacing w:line="240" w:lineRule="auto"/>
        <w:ind w:left="2124"/>
        <w:jc w:val="both"/>
        <w:rPr>
          <w:rFonts w:ascii="Arial" w:hAnsi="Arial" w:cs="Arial"/>
          <w:b/>
          <w:sz w:val="26"/>
          <w:szCs w:val="26"/>
        </w:rPr>
      </w:pPr>
    </w:p>
    <w:p w14:paraId="58D691DE" w14:textId="3DB20706" w:rsidR="006D64AD" w:rsidRDefault="00F563E6" w:rsidP="006D64AD">
      <w:pPr>
        <w:spacing w:before="240" w:line="360" w:lineRule="auto"/>
        <w:jc w:val="both"/>
        <w:rPr>
          <w:rFonts w:ascii="Arial" w:hAnsi="Arial" w:cs="Arial"/>
          <w:b/>
          <w:sz w:val="26"/>
          <w:szCs w:val="26"/>
        </w:rPr>
      </w:pPr>
      <w:r>
        <w:rPr>
          <w:rFonts w:ascii="Arial" w:hAnsi="Arial" w:cs="Arial"/>
          <w:b/>
          <w:sz w:val="26"/>
          <w:szCs w:val="26"/>
        </w:rPr>
        <w:t>OAX</w:t>
      </w:r>
      <w:r w:rsidR="00690B45">
        <w:rPr>
          <w:rFonts w:ascii="Arial" w:hAnsi="Arial" w:cs="Arial"/>
          <w:b/>
          <w:sz w:val="26"/>
          <w:szCs w:val="26"/>
        </w:rPr>
        <w:t>AC</w:t>
      </w:r>
      <w:r w:rsidR="00305FA6">
        <w:rPr>
          <w:rFonts w:ascii="Arial" w:hAnsi="Arial" w:cs="Arial"/>
          <w:b/>
          <w:sz w:val="26"/>
          <w:szCs w:val="26"/>
        </w:rPr>
        <w:t xml:space="preserve">A DE JUÁREZ, OAXACA, </w:t>
      </w:r>
      <w:r w:rsidR="003E66BE">
        <w:rPr>
          <w:rFonts w:ascii="Arial" w:hAnsi="Arial" w:cs="Arial"/>
          <w:b/>
          <w:sz w:val="26"/>
          <w:szCs w:val="26"/>
        </w:rPr>
        <w:t xml:space="preserve">A UNO DE OCTUBRE DE </w:t>
      </w:r>
      <w:r>
        <w:rPr>
          <w:rFonts w:ascii="Arial" w:hAnsi="Arial" w:cs="Arial"/>
          <w:b/>
          <w:sz w:val="26"/>
          <w:szCs w:val="26"/>
        </w:rPr>
        <w:t>DOS MIL VEINTE</w:t>
      </w:r>
      <w:r w:rsidR="006D64AD">
        <w:rPr>
          <w:rFonts w:ascii="Arial" w:hAnsi="Arial" w:cs="Arial"/>
          <w:b/>
          <w:sz w:val="26"/>
          <w:szCs w:val="26"/>
        </w:rPr>
        <w:t>.</w:t>
      </w:r>
      <w:r w:rsidR="005F629F">
        <w:rPr>
          <w:rFonts w:ascii="Arial" w:hAnsi="Arial" w:cs="Arial"/>
          <w:b/>
          <w:sz w:val="26"/>
          <w:szCs w:val="26"/>
        </w:rPr>
        <w:t xml:space="preserve"> </w:t>
      </w:r>
      <w:r w:rsidR="003E66BE">
        <w:rPr>
          <w:rFonts w:ascii="Arial" w:hAnsi="Arial" w:cs="Arial"/>
          <w:b/>
          <w:sz w:val="26"/>
          <w:szCs w:val="26"/>
        </w:rPr>
        <w:t xml:space="preserve">- - - - - - - - - - - - - - - - - - - - - - - - - - - - - - - - - - - - - - - - - - - - - - </w:t>
      </w:r>
    </w:p>
    <w:p w14:paraId="3AA6CEB6" w14:textId="665AABC9" w:rsidR="006D64AD" w:rsidRDefault="006D64AD" w:rsidP="006D64AD">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00305FA6">
        <w:rPr>
          <w:rFonts w:ascii="Arial" w:hAnsi="Arial" w:cs="Arial"/>
          <w:b/>
          <w:sz w:val="26"/>
          <w:szCs w:val="26"/>
        </w:rPr>
        <w:t>331</w:t>
      </w:r>
      <w:r w:rsidRPr="00623318">
        <w:rPr>
          <w:rFonts w:ascii="Arial" w:hAnsi="Arial" w:cs="Arial"/>
          <w:b/>
          <w:sz w:val="26"/>
          <w:szCs w:val="26"/>
        </w:rPr>
        <w:t>/201</w:t>
      </w:r>
      <w:r>
        <w:rPr>
          <w:rFonts w:ascii="Arial" w:hAnsi="Arial" w:cs="Arial"/>
          <w:b/>
          <w:sz w:val="26"/>
          <w:szCs w:val="26"/>
        </w:rPr>
        <w:t>9</w:t>
      </w:r>
      <w:r w:rsidRPr="006E349D">
        <w:rPr>
          <w:rFonts w:ascii="Arial" w:hAnsi="Arial" w:cs="Arial"/>
          <w:sz w:val="26"/>
          <w:szCs w:val="26"/>
        </w:rPr>
        <w:t>, que remite la Secretaría General de Acuerdos, con motivo del recurso de revisión interpuesto por</w:t>
      </w:r>
      <w:r>
        <w:rPr>
          <w:rFonts w:ascii="Arial" w:hAnsi="Arial" w:cs="Arial"/>
          <w:sz w:val="26"/>
          <w:szCs w:val="26"/>
        </w:rPr>
        <w:t xml:space="preserve"> </w:t>
      </w:r>
      <w:r w:rsidR="00527EDB">
        <w:rPr>
          <w:rFonts w:ascii="Arial" w:hAnsi="Arial" w:cs="Arial"/>
          <w:color w:val="000000"/>
          <w:sz w:val="26"/>
          <w:szCs w:val="26"/>
        </w:rPr>
        <w:t>***********</w:t>
      </w:r>
      <w:r w:rsidRPr="005D4677">
        <w:rPr>
          <w:rFonts w:ascii="Arial" w:hAnsi="Arial" w:cs="Arial"/>
          <w:sz w:val="26"/>
          <w:szCs w:val="26"/>
        </w:rPr>
        <w:t>,</w:t>
      </w:r>
      <w:r w:rsidR="00FA381F">
        <w:rPr>
          <w:rFonts w:ascii="Arial" w:hAnsi="Arial" w:cs="Arial"/>
          <w:sz w:val="26"/>
          <w:szCs w:val="26"/>
        </w:rPr>
        <w:t xml:space="preserve"> </w:t>
      </w:r>
      <w:r w:rsidR="00F563E6">
        <w:rPr>
          <w:rFonts w:ascii="Arial" w:hAnsi="Arial" w:cs="Arial"/>
          <w:sz w:val="26"/>
          <w:szCs w:val="26"/>
        </w:rPr>
        <w:t>en con</w:t>
      </w:r>
      <w:r w:rsidR="00313EB0">
        <w:rPr>
          <w:rFonts w:ascii="Arial" w:hAnsi="Arial" w:cs="Arial"/>
          <w:sz w:val="26"/>
          <w:szCs w:val="26"/>
        </w:rPr>
        <w:t>tra de la parte relativa del</w:t>
      </w:r>
      <w:r w:rsidR="00823895">
        <w:rPr>
          <w:rFonts w:ascii="Arial" w:hAnsi="Arial" w:cs="Arial"/>
          <w:sz w:val="26"/>
          <w:szCs w:val="26"/>
        </w:rPr>
        <w:t xml:space="preserve"> acuerdo de 11 once</w:t>
      </w:r>
      <w:r w:rsidR="00690B45">
        <w:rPr>
          <w:rFonts w:ascii="Arial" w:hAnsi="Arial" w:cs="Arial"/>
          <w:sz w:val="26"/>
          <w:szCs w:val="26"/>
        </w:rPr>
        <w:t xml:space="preserve"> de septiembre</w:t>
      </w:r>
      <w:r w:rsidR="00F563E6">
        <w:rPr>
          <w:rFonts w:ascii="Arial" w:hAnsi="Arial" w:cs="Arial"/>
          <w:sz w:val="26"/>
          <w:szCs w:val="26"/>
        </w:rPr>
        <w:t xml:space="preserve"> de</w:t>
      </w:r>
      <w:r w:rsidR="0092583F">
        <w:rPr>
          <w:rFonts w:ascii="Arial" w:hAnsi="Arial" w:cs="Arial"/>
          <w:sz w:val="26"/>
          <w:szCs w:val="26"/>
        </w:rPr>
        <w:t xml:space="preserve"> </w:t>
      </w:r>
      <w:r w:rsidR="00823895">
        <w:rPr>
          <w:rFonts w:ascii="Arial" w:hAnsi="Arial" w:cs="Arial"/>
          <w:sz w:val="26"/>
          <w:szCs w:val="26"/>
        </w:rPr>
        <w:t xml:space="preserve">2019 </w:t>
      </w:r>
      <w:r w:rsidR="0092583F">
        <w:rPr>
          <w:rFonts w:ascii="Arial" w:hAnsi="Arial" w:cs="Arial"/>
          <w:sz w:val="26"/>
          <w:szCs w:val="26"/>
        </w:rPr>
        <w:t>dos mil diecinueve</w:t>
      </w:r>
      <w:r>
        <w:rPr>
          <w:rFonts w:ascii="Arial" w:hAnsi="Arial" w:cs="Arial"/>
          <w:sz w:val="26"/>
          <w:szCs w:val="26"/>
        </w:rPr>
        <w:t xml:space="preserve"> dictad</w:t>
      </w:r>
      <w:r w:rsidR="00F563E6">
        <w:rPr>
          <w:rFonts w:ascii="Arial" w:hAnsi="Arial" w:cs="Arial"/>
          <w:sz w:val="26"/>
          <w:szCs w:val="26"/>
        </w:rPr>
        <w:t>o</w:t>
      </w:r>
      <w:r>
        <w:rPr>
          <w:rFonts w:ascii="Arial" w:hAnsi="Arial" w:cs="Arial"/>
          <w:sz w:val="26"/>
          <w:szCs w:val="26"/>
        </w:rPr>
        <w:t xml:space="preserve"> en el expediente </w:t>
      </w:r>
      <w:r w:rsidR="00823895">
        <w:rPr>
          <w:rFonts w:ascii="Arial" w:hAnsi="Arial" w:cs="Arial"/>
          <w:b/>
          <w:sz w:val="26"/>
          <w:szCs w:val="26"/>
        </w:rPr>
        <w:t>435/2016</w:t>
      </w:r>
      <w:r>
        <w:rPr>
          <w:rFonts w:ascii="Arial" w:hAnsi="Arial" w:cs="Arial"/>
          <w:b/>
          <w:sz w:val="26"/>
          <w:szCs w:val="26"/>
        </w:rPr>
        <w:t xml:space="preserve"> </w:t>
      </w:r>
      <w:r w:rsidR="00F563E6">
        <w:rPr>
          <w:rFonts w:ascii="Arial" w:hAnsi="Arial" w:cs="Arial"/>
          <w:sz w:val="26"/>
          <w:szCs w:val="26"/>
        </w:rPr>
        <w:t>d</w:t>
      </w:r>
      <w:r w:rsidR="00823895">
        <w:rPr>
          <w:rFonts w:ascii="Arial" w:hAnsi="Arial" w:cs="Arial"/>
          <w:sz w:val="26"/>
          <w:szCs w:val="26"/>
        </w:rPr>
        <w:t>e la Tercera</w:t>
      </w:r>
      <w:r>
        <w:rPr>
          <w:rFonts w:ascii="Arial" w:hAnsi="Arial" w:cs="Arial"/>
          <w:sz w:val="26"/>
          <w:szCs w:val="26"/>
        </w:rPr>
        <w:t xml:space="preserve"> Sala Unitaria de Primera Instancia, relativo al</w:t>
      </w:r>
      <w:r w:rsidR="00F937AB">
        <w:rPr>
          <w:rFonts w:ascii="Arial" w:hAnsi="Arial" w:cs="Arial"/>
          <w:sz w:val="26"/>
          <w:szCs w:val="26"/>
        </w:rPr>
        <w:t xml:space="preserve"> juicio de nulidad promovido por</w:t>
      </w:r>
      <w:r w:rsidR="00823895">
        <w:rPr>
          <w:rFonts w:ascii="Arial" w:hAnsi="Arial" w:cs="Arial"/>
          <w:sz w:val="26"/>
          <w:szCs w:val="26"/>
        </w:rPr>
        <w:t xml:space="preserve"> </w:t>
      </w:r>
      <w:r w:rsidR="00823895" w:rsidRPr="00823895">
        <w:rPr>
          <w:rFonts w:ascii="Arial" w:hAnsi="Arial" w:cs="Arial"/>
          <w:b/>
          <w:sz w:val="26"/>
          <w:szCs w:val="26"/>
        </w:rPr>
        <w:t>EL</w:t>
      </w:r>
      <w:r w:rsidR="00690B45" w:rsidRPr="00823895">
        <w:rPr>
          <w:rFonts w:ascii="Arial" w:hAnsi="Arial" w:cs="Arial"/>
          <w:b/>
          <w:sz w:val="26"/>
          <w:szCs w:val="26"/>
        </w:rPr>
        <w:t xml:space="preserve"> </w:t>
      </w:r>
      <w:r w:rsidR="00690B45">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en contra d</w:t>
      </w:r>
      <w:r w:rsidRPr="00D32A39">
        <w:rPr>
          <w:rFonts w:ascii="Arial" w:hAnsi="Arial" w:cs="Arial"/>
          <w:sz w:val="26"/>
          <w:szCs w:val="26"/>
        </w:rPr>
        <w:t>e</w:t>
      </w:r>
      <w:r w:rsidR="00690B45">
        <w:rPr>
          <w:rFonts w:ascii="Arial" w:hAnsi="Arial" w:cs="Arial"/>
          <w:sz w:val="26"/>
          <w:szCs w:val="26"/>
        </w:rPr>
        <w:t xml:space="preserve">l </w:t>
      </w:r>
      <w:r w:rsidR="00823895">
        <w:rPr>
          <w:rFonts w:ascii="Arial" w:hAnsi="Arial" w:cs="Arial"/>
          <w:b/>
          <w:sz w:val="26"/>
          <w:szCs w:val="26"/>
        </w:rPr>
        <w:t>COMISARIO DE SEGURIDAD PÚBLICA Y VIALIDAD MUNICIPAL, JHAZIEL REYES, EN SU CARÁCTER DE POLICÍA VIAL Y, DEL SECRETARIO DE FINANZAS Y ADMINISTRACIÓN, TODAS LAS AUTORIDADES DEL MUNICIPIO DE OAXACA DE JUÁREZ,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por lo que con fundamento en los artículos 2</w:t>
      </w:r>
      <w:r w:rsidR="00823895">
        <w:rPr>
          <w:rFonts w:ascii="Arial" w:hAnsi="Arial" w:cs="Arial"/>
          <w:sz w:val="26"/>
          <w:szCs w:val="26"/>
        </w:rPr>
        <w:t>0</w:t>
      </w:r>
      <w:r w:rsidR="00690B45">
        <w:rPr>
          <w:rFonts w:ascii="Arial" w:hAnsi="Arial" w:cs="Arial"/>
          <w:sz w:val="26"/>
          <w:szCs w:val="26"/>
        </w:rPr>
        <w:t>7</w:t>
      </w:r>
      <w:r>
        <w:rPr>
          <w:rFonts w:ascii="Arial" w:hAnsi="Arial" w:cs="Arial"/>
          <w:sz w:val="26"/>
          <w:szCs w:val="26"/>
        </w:rPr>
        <w:t xml:space="preserve"> y 2</w:t>
      </w:r>
      <w:r w:rsidR="00823895">
        <w:rPr>
          <w:rFonts w:ascii="Arial" w:hAnsi="Arial" w:cs="Arial"/>
          <w:sz w:val="26"/>
          <w:szCs w:val="26"/>
        </w:rPr>
        <w:t>08 de la Ley de</w:t>
      </w:r>
      <w:r w:rsidR="00690B45">
        <w:rPr>
          <w:rFonts w:ascii="Arial" w:hAnsi="Arial" w:cs="Arial"/>
          <w:sz w:val="26"/>
          <w:szCs w:val="26"/>
        </w:rPr>
        <w:t xml:space="preserve"> </w:t>
      </w:r>
      <w:r>
        <w:rPr>
          <w:rFonts w:ascii="Arial" w:hAnsi="Arial" w:cs="Arial"/>
          <w:sz w:val="26"/>
          <w:szCs w:val="26"/>
        </w:rPr>
        <w:t>Justicia Administrativa para el Estado de Oaxaca</w:t>
      </w:r>
      <w:r w:rsidR="00690B45">
        <w:rPr>
          <w:rFonts w:ascii="Arial" w:hAnsi="Arial" w:cs="Arial"/>
          <w:sz w:val="26"/>
          <w:szCs w:val="26"/>
        </w:rPr>
        <w:t>,</w:t>
      </w:r>
      <w:r>
        <w:rPr>
          <w:rFonts w:ascii="Arial" w:hAnsi="Arial" w:cs="Arial"/>
          <w:sz w:val="26"/>
          <w:szCs w:val="26"/>
        </w:rPr>
        <w:t xml:space="preserve"> se admite. En consecuencia, se procede a dictar resolución en los siguientes términos:</w:t>
      </w:r>
    </w:p>
    <w:p w14:paraId="2C54E686" w14:textId="77777777" w:rsidR="006D64AD" w:rsidRDefault="006D64AD" w:rsidP="006D64AD">
      <w:pPr>
        <w:spacing w:line="360" w:lineRule="auto"/>
        <w:jc w:val="center"/>
        <w:rPr>
          <w:rFonts w:ascii="Arial" w:hAnsi="Arial" w:cs="Arial"/>
          <w:b/>
          <w:bCs/>
          <w:sz w:val="26"/>
          <w:szCs w:val="26"/>
        </w:rPr>
      </w:pPr>
      <w:r>
        <w:rPr>
          <w:rFonts w:ascii="Arial" w:hAnsi="Arial" w:cs="Arial"/>
          <w:b/>
          <w:bCs/>
          <w:sz w:val="26"/>
          <w:szCs w:val="26"/>
        </w:rPr>
        <w:t>R E S U L T A N D O</w:t>
      </w:r>
    </w:p>
    <w:p w14:paraId="501C6451" w14:textId="1C6AECF9" w:rsidR="006D64AD" w:rsidRDefault="006D64AD" w:rsidP="006D64AD">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FA381F">
        <w:rPr>
          <w:rFonts w:ascii="Arial" w:hAnsi="Arial" w:cs="Arial"/>
          <w:sz w:val="26"/>
          <w:szCs w:val="26"/>
        </w:rPr>
        <w:t>Inconforme</w:t>
      </w:r>
      <w:r w:rsidR="00313EB0">
        <w:rPr>
          <w:rFonts w:ascii="Arial" w:hAnsi="Arial" w:cs="Arial"/>
          <w:sz w:val="26"/>
          <w:szCs w:val="26"/>
        </w:rPr>
        <w:t xml:space="preserve"> con la parte relativa del</w:t>
      </w:r>
      <w:r w:rsidR="00823895">
        <w:rPr>
          <w:rFonts w:ascii="Arial" w:hAnsi="Arial" w:cs="Arial"/>
          <w:sz w:val="26"/>
          <w:szCs w:val="26"/>
        </w:rPr>
        <w:t xml:space="preserve"> acuerdo de 11 once</w:t>
      </w:r>
      <w:r w:rsidR="00690B45">
        <w:rPr>
          <w:rFonts w:ascii="Arial" w:hAnsi="Arial" w:cs="Arial"/>
          <w:sz w:val="26"/>
          <w:szCs w:val="26"/>
        </w:rPr>
        <w:t xml:space="preserve"> se septiembre</w:t>
      </w:r>
      <w:r w:rsidR="00FA381F">
        <w:rPr>
          <w:rFonts w:ascii="Arial" w:hAnsi="Arial" w:cs="Arial"/>
          <w:sz w:val="26"/>
          <w:szCs w:val="26"/>
        </w:rPr>
        <w:t xml:space="preserve"> de</w:t>
      </w:r>
      <w:r w:rsidR="0092583F">
        <w:rPr>
          <w:rFonts w:ascii="Arial" w:hAnsi="Arial" w:cs="Arial"/>
          <w:sz w:val="26"/>
          <w:szCs w:val="26"/>
        </w:rPr>
        <w:t xml:space="preserve"> </w:t>
      </w:r>
      <w:r w:rsidR="00823895">
        <w:rPr>
          <w:rFonts w:ascii="Arial" w:hAnsi="Arial" w:cs="Arial"/>
          <w:sz w:val="26"/>
          <w:szCs w:val="26"/>
        </w:rPr>
        <w:t>2019 dos mil diecinueve, dictado en la Tercera</w:t>
      </w:r>
      <w:r>
        <w:rPr>
          <w:rFonts w:ascii="Arial" w:hAnsi="Arial" w:cs="Arial"/>
          <w:sz w:val="26"/>
          <w:szCs w:val="26"/>
        </w:rPr>
        <w:t xml:space="preserve"> Sala Unitaria de Primera Instancia, </w:t>
      </w:r>
      <w:r w:rsidR="00527EDB">
        <w:rPr>
          <w:rFonts w:ascii="Arial" w:hAnsi="Arial" w:cs="Arial"/>
          <w:color w:val="000000"/>
          <w:sz w:val="26"/>
          <w:szCs w:val="26"/>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14:paraId="6C4155C2" w14:textId="77777777" w:rsidR="006D64AD" w:rsidRDefault="006D64AD" w:rsidP="006D64AD">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sidR="00313EB0" w:rsidRPr="00313EB0">
        <w:rPr>
          <w:rFonts w:ascii="Arial" w:hAnsi="Arial" w:cs="Arial"/>
          <w:bCs/>
          <w:sz w:val="26"/>
          <w:szCs w:val="26"/>
        </w:rPr>
        <w:t xml:space="preserve">Para una mejor comprensión de este asunto, se transcribe el acuerdo en </w:t>
      </w:r>
      <w:r w:rsidR="005F5823">
        <w:rPr>
          <w:rFonts w:ascii="Arial" w:hAnsi="Arial" w:cs="Arial"/>
          <w:bCs/>
          <w:sz w:val="26"/>
          <w:szCs w:val="26"/>
        </w:rPr>
        <w:t xml:space="preserve">su </w:t>
      </w:r>
      <w:r w:rsidR="00313EB0" w:rsidRPr="00313EB0">
        <w:rPr>
          <w:rFonts w:ascii="Arial" w:hAnsi="Arial" w:cs="Arial"/>
          <w:bCs/>
          <w:sz w:val="26"/>
          <w:szCs w:val="26"/>
        </w:rPr>
        <w:t>completitud</w:t>
      </w:r>
      <w:r w:rsidR="00313EB0">
        <w:rPr>
          <w:rFonts w:ascii="Arial" w:hAnsi="Arial" w:cs="Arial"/>
          <w:bCs/>
          <w:sz w:val="26"/>
          <w:szCs w:val="26"/>
        </w:rPr>
        <w:t>, que</w:t>
      </w:r>
      <w:r w:rsidR="00FA381F">
        <w:rPr>
          <w:rFonts w:ascii="Arial" w:hAnsi="Arial" w:cs="Arial"/>
          <w:bCs/>
          <w:sz w:val="26"/>
          <w:szCs w:val="26"/>
        </w:rPr>
        <w:t xml:space="preserve"> es del tenor literal siguiente</w:t>
      </w:r>
      <w:r>
        <w:rPr>
          <w:rFonts w:ascii="Arial" w:hAnsi="Arial" w:cs="Arial"/>
          <w:sz w:val="26"/>
          <w:szCs w:val="26"/>
        </w:rPr>
        <w:t>:</w:t>
      </w:r>
    </w:p>
    <w:p w14:paraId="2183E79E" w14:textId="77777777" w:rsidR="00313EB0" w:rsidRDefault="00313EB0" w:rsidP="006D64AD">
      <w:pPr>
        <w:spacing w:after="0" w:line="360" w:lineRule="auto"/>
        <w:ind w:firstLine="708"/>
        <w:jc w:val="both"/>
        <w:rPr>
          <w:rFonts w:ascii="Arial" w:hAnsi="Arial" w:cs="Arial"/>
          <w:sz w:val="26"/>
          <w:szCs w:val="26"/>
        </w:rPr>
      </w:pPr>
    </w:p>
    <w:p w14:paraId="5C5960DA" w14:textId="77777777" w:rsidR="00A612C0" w:rsidRPr="002124FF" w:rsidRDefault="000A2693" w:rsidP="00690B45">
      <w:pPr>
        <w:ind w:left="1276" w:right="616"/>
        <w:jc w:val="both"/>
        <w:rPr>
          <w:rFonts w:ascii="Arial" w:eastAsia="Calibri" w:hAnsi="Arial" w:cs="Arial"/>
          <w:b/>
          <w:bCs/>
          <w:color w:val="000000" w:themeColor="text1"/>
        </w:rPr>
      </w:pPr>
      <w:r>
        <w:rPr>
          <w:rFonts w:ascii="Arial" w:eastAsia="Calibri" w:hAnsi="Arial" w:cs="Arial"/>
          <w:bCs/>
          <w:color w:val="000000" w:themeColor="text1"/>
        </w:rPr>
        <w:t xml:space="preserve">   </w:t>
      </w:r>
      <w:r w:rsidR="00823895">
        <w:rPr>
          <w:rFonts w:ascii="Arial" w:eastAsia="Calibri" w:hAnsi="Arial" w:cs="Arial"/>
          <w:bCs/>
          <w:color w:val="000000" w:themeColor="text1"/>
        </w:rPr>
        <w:t xml:space="preserve">“(…) </w:t>
      </w:r>
      <w:r w:rsidR="00A612C0" w:rsidRPr="002124FF">
        <w:rPr>
          <w:rFonts w:ascii="Arial" w:eastAsia="Calibri" w:hAnsi="Arial" w:cs="Arial"/>
          <w:b/>
          <w:bCs/>
          <w:color w:val="000000" w:themeColor="text1"/>
        </w:rPr>
        <w:t>Oaxaca de Juárez, Oaxaca, a once de septiembre de dos mil diecinueve.</w:t>
      </w:r>
    </w:p>
    <w:p w14:paraId="6BE57DD5" w14:textId="77777777" w:rsidR="00823895" w:rsidRDefault="00A612C0" w:rsidP="00690B45">
      <w:pPr>
        <w:ind w:left="1276" w:right="616"/>
        <w:jc w:val="both"/>
        <w:rPr>
          <w:rFonts w:ascii="Arial" w:eastAsia="Calibri" w:hAnsi="Arial" w:cs="Arial"/>
          <w:bCs/>
          <w:color w:val="000000" w:themeColor="text1"/>
        </w:rPr>
      </w:pPr>
      <w:r>
        <w:rPr>
          <w:rFonts w:ascii="Arial" w:eastAsia="Calibri" w:hAnsi="Arial" w:cs="Arial"/>
          <w:bCs/>
          <w:color w:val="000000" w:themeColor="text1"/>
        </w:rPr>
        <w:t xml:space="preserve">      </w:t>
      </w:r>
      <w:r w:rsidR="00823895">
        <w:rPr>
          <w:rFonts w:ascii="Arial" w:eastAsia="Calibri" w:hAnsi="Arial" w:cs="Arial"/>
          <w:bCs/>
          <w:color w:val="000000" w:themeColor="text1"/>
        </w:rPr>
        <w:t xml:space="preserve">Fueron recibidos en la </w:t>
      </w:r>
      <w:r w:rsidR="005F5823">
        <w:rPr>
          <w:rFonts w:ascii="Arial" w:eastAsia="Calibri" w:hAnsi="Arial" w:cs="Arial"/>
          <w:bCs/>
          <w:color w:val="000000" w:themeColor="text1"/>
        </w:rPr>
        <w:t>Oficialía</w:t>
      </w:r>
      <w:r w:rsidR="00823895">
        <w:rPr>
          <w:rFonts w:ascii="Arial" w:eastAsia="Calibri" w:hAnsi="Arial" w:cs="Arial"/>
          <w:bCs/>
          <w:color w:val="000000" w:themeColor="text1"/>
        </w:rPr>
        <w:t xml:space="preserve"> de Partes Común de las Salas Unitarias de </w:t>
      </w:r>
      <w:r w:rsidR="005F5823">
        <w:rPr>
          <w:rFonts w:ascii="Arial" w:eastAsia="Calibri" w:hAnsi="Arial" w:cs="Arial"/>
          <w:bCs/>
          <w:color w:val="000000" w:themeColor="text1"/>
        </w:rPr>
        <w:t>Primera</w:t>
      </w:r>
      <w:r w:rsidR="00823895">
        <w:rPr>
          <w:rFonts w:ascii="Arial" w:eastAsia="Calibri" w:hAnsi="Arial" w:cs="Arial"/>
          <w:bCs/>
          <w:color w:val="000000" w:themeColor="text1"/>
        </w:rPr>
        <w:t xml:space="preserve"> Instancia de este Tribunal, el 14 </w:t>
      </w:r>
      <w:r w:rsidR="005F5823">
        <w:rPr>
          <w:rFonts w:ascii="Arial" w:eastAsia="Calibri" w:hAnsi="Arial" w:cs="Arial"/>
          <w:bCs/>
          <w:color w:val="000000" w:themeColor="text1"/>
        </w:rPr>
        <w:t>catorce y</w:t>
      </w:r>
      <w:r w:rsidR="00823895">
        <w:rPr>
          <w:rFonts w:ascii="Arial" w:eastAsia="Calibri" w:hAnsi="Arial" w:cs="Arial"/>
          <w:bCs/>
          <w:color w:val="000000" w:themeColor="text1"/>
        </w:rPr>
        <w:t xml:space="preserve"> 19 diecinueve de agosto del </w:t>
      </w:r>
      <w:r w:rsidR="005F5823">
        <w:rPr>
          <w:rFonts w:ascii="Arial" w:eastAsia="Calibri" w:hAnsi="Arial" w:cs="Arial"/>
          <w:bCs/>
          <w:color w:val="000000" w:themeColor="text1"/>
        </w:rPr>
        <w:t>presente</w:t>
      </w:r>
      <w:r w:rsidR="00823895">
        <w:rPr>
          <w:rFonts w:ascii="Arial" w:eastAsia="Calibri" w:hAnsi="Arial" w:cs="Arial"/>
          <w:bCs/>
          <w:color w:val="000000" w:themeColor="text1"/>
        </w:rPr>
        <w:t xml:space="preserve"> año, el escrito de la parte actora, </w:t>
      </w:r>
      <w:r w:rsidR="005F5823">
        <w:rPr>
          <w:rFonts w:ascii="Arial" w:eastAsia="Calibri" w:hAnsi="Arial" w:cs="Arial"/>
          <w:bCs/>
          <w:color w:val="000000" w:themeColor="text1"/>
        </w:rPr>
        <w:t>promociones</w:t>
      </w:r>
      <w:r w:rsidR="00823895">
        <w:rPr>
          <w:rFonts w:ascii="Arial" w:eastAsia="Calibri" w:hAnsi="Arial" w:cs="Arial"/>
          <w:bCs/>
          <w:color w:val="000000" w:themeColor="text1"/>
        </w:rPr>
        <w:t xml:space="preserve"> que se agregan a los autos para dictarse el siguiente acuerdo:</w:t>
      </w:r>
    </w:p>
    <w:p w14:paraId="5E195122" w14:textId="332552CC" w:rsidR="00823895" w:rsidRDefault="007A599B" w:rsidP="00690B45">
      <w:pPr>
        <w:ind w:left="1276" w:right="616"/>
        <w:jc w:val="both"/>
        <w:rPr>
          <w:rFonts w:ascii="Arial" w:eastAsia="Calibri" w:hAnsi="Arial" w:cs="Arial"/>
          <w:bCs/>
          <w:color w:val="000000" w:themeColor="text1"/>
        </w:rPr>
      </w:pPr>
      <w:r>
        <w:rPr>
          <w:rFonts w:ascii="Arial" w:eastAsia="Calibri" w:hAnsi="Arial" w:cs="Arial"/>
          <w:bCs/>
          <w:color w:val="000000" w:themeColor="text1"/>
        </w:rPr>
        <w:lastRenderedPageBreak/>
        <w:t xml:space="preserve">    </w:t>
      </w:r>
      <w:r w:rsidR="005F5823">
        <w:rPr>
          <w:rFonts w:ascii="Arial" w:eastAsia="Calibri" w:hAnsi="Arial" w:cs="Arial"/>
          <w:bCs/>
          <w:color w:val="000000" w:themeColor="text1"/>
        </w:rPr>
        <w:t>Se tiene al promovente pidiendo</w:t>
      </w:r>
      <w:r w:rsidR="00823895">
        <w:rPr>
          <w:rFonts w:ascii="Arial" w:eastAsia="Calibri" w:hAnsi="Arial" w:cs="Arial"/>
          <w:bCs/>
          <w:color w:val="000000" w:themeColor="text1"/>
        </w:rPr>
        <w:t xml:space="preserve"> la sustitución del cumplimiento de la sentencia dictada en el </w:t>
      </w:r>
      <w:r w:rsidR="005F5823">
        <w:rPr>
          <w:rFonts w:ascii="Arial" w:eastAsia="Calibri" w:hAnsi="Arial" w:cs="Arial"/>
          <w:bCs/>
          <w:color w:val="000000" w:themeColor="text1"/>
        </w:rPr>
        <w:t>presente</w:t>
      </w:r>
      <w:r w:rsidR="00823895">
        <w:rPr>
          <w:rFonts w:ascii="Arial" w:eastAsia="Calibri" w:hAnsi="Arial" w:cs="Arial"/>
          <w:bCs/>
          <w:color w:val="000000" w:themeColor="text1"/>
        </w:rPr>
        <w:t xml:space="preserve"> juicio, para </w:t>
      </w:r>
      <w:r w:rsidR="005F5823">
        <w:rPr>
          <w:rFonts w:ascii="Arial" w:eastAsia="Calibri" w:hAnsi="Arial" w:cs="Arial"/>
          <w:bCs/>
          <w:color w:val="000000" w:themeColor="text1"/>
        </w:rPr>
        <w:t>efecto</w:t>
      </w:r>
      <w:r w:rsidR="00823895">
        <w:rPr>
          <w:rFonts w:ascii="Arial" w:eastAsia="Calibri" w:hAnsi="Arial" w:cs="Arial"/>
          <w:bCs/>
          <w:color w:val="000000" w:themeColor="text1"/>
        </w:rPr>
        <w:t xml:space="preserve"> de que se le </w:t>
      </w:r>
      <w:r w:rsidR="005F5823">
        <w:rPr>
          <w:rFonts w:ascii="Arial" w:eastAsia="Calibri" w:hAnsi="Arial" w:cs="Arial"/>
          <w:bCs/>
          <w:color w:val="000000" w:themeColor="text1"/>
        </w:rPr>
        <w:t>haga</w:t>
      </w:r>
      <w:r w:rsidR="00823895">
        <w:rPr>
          <w:rFonts w:ascii="Arial" w:eastAsia="Calibri" w:hAnsi="Arial" w:cs="Arial"/>
          <w:bCs/>
          <w:color w:val="000000" w:themeColor="text1"/>
        </w:rPr>
        <w:t xml:space="preserve"> la devolución del dinero que pago (sic) por concepto del acta de </w:t>
      </w:r>
      <w:r w:rsidR="005F5823">
        <w:rPr>
          <w:rFonts w:ascii="Arial" w:eastAsia="Calibri" w:hAnsi="Arial" w:cs="Arial"/>
          <w:bCs/>
          <w:color w:val="000000" w:themeColor="text1"/>
        </w:rPr>
        <w:t>infracción</w:t>
      </w:r>
      <w:r w:rsidR="00823895">
        <w:rPr>
          <w:rFonts w:ascii="Arial" w:eastAsia="Calibri" w:hAnsi="Arial" w:cs="Arial"/>
          <w:bCs/>
          <w:color w:val="000000" w:themeColor="text1"/>
        </w:rPr>
        <w:t xml:space="preserve"> anulada, por la cantidad de </w:t>
      </w:r>
      <w:r w:rsidR="00527EDB">
        <w:rPr>
          <w:rFonts w:ascii="Arial" w:hAnsi="Arial" w:cs="Arial"/>
          <w:color w:val="000000"/>
          <w:sz w:val="26"/>
          <w:szCs w:val="26"/>
        </w:rPr>
        <w:t>***********</w:t>
      </w:r>
      <w:r w:rsidR="00823895">
        <w:rPr>
          <w:rFonts w:ascii="Arial" w:eastAsia="Calibri" w:hAnsi="Arial" w:cs="Arial"/>
          <w:bCs/>
          <w:color w:val="000000" w:themeColor="text1"/>
        </w:rPr>
        <w:t xml:space="preserve">, </w:t>
      </w:r>
      <w:r w:rsidR="005F5823" w:rsidRPr="007A599B">
        <w:rPr>
          <w:rFonts w:ascii="Arial" w:eastAsia="Calibri" w:hAnsi="Arial" w:cs="Arial"/>
          <w:b/>
          <w:bCs/>
          <w:color w:val="000000" w:themeColor="text1"/>
          <w:u w:val="single"/>
        </w:rPr>
        <w:t>petición</w:t>
      </w:r>
      <w:r w:rsidR="00823895" w:rsidRPr="007A599B">
        <w:rPr>
          <w:rFonts w:ascii="Arial" w:eastAsia="Calibri" w:hAnsi="Arial" w:cs="Arial"/>
          <w:b/>
          <w:bCs/>
          <w:color w:val="000000" w:themeColor="text1"/>
          <w:u w:val="single"/>
        </w:rPr>
        <w:t xml:space="preserve"> que no es procedente</w:t>
      </w:r>
      <w:r w:rsidR="00823895">
        <w:rPr>
          <w:rFonts w:ascii="Arial" w:eastAsia="Calibri" w:hAnsi="Arial" w:cs="Arial"/>
          <w:bCs/>
          <w:color w:val="000000" w:themeColor="text1"/>
        </w:rPr>
        <w:t xml:space="preserve">, en virtud de que en la </w:t>
      </w:r>
      <w:r w:rsidR="005F5823">
        <w:rPr>
          <w:rFonts w:ascii="Arial" w:eastAsia="Calibri" w:hAnsi="Arial" w:cs="Arial"/>
          <w:bCs/>
          <w:color w:val="000000" w:themeColor="text1"/>
        </w:rPr>
        <w:t>sentencia</w:t>
      </w:r>
      <w:r w:rsidR="00823895">
        <w:rPr>
          <w:rFonts w:ascii="Arial" w:eastAsia="Calibri" w:hAnsi="Arial" w:cs="Arial"/>
          <w:bCs/>
          <w:color w:val="000000" w:themeColor="text1"/>
        </w:rPr>
        <w:t xml:space="preserve"> dictada en el </w:t>
      </w:r>
      <w:r w:rsidR="005F5823">
        <w:rPr>
          <w:rFonts w:ascii="Arial" w:eastAsia="Calibri" w:hAnsi="Arial" w:cs="Arial"/>
          <w:bCs/>
          <w:color w:val="000000" w:themeColor="text1"/>
        </w:rPr>
        <w:t>presente</w:t>
      </w:r>
      <w:r w:rsidR="00823895">
        <w:rPr>
          <w:rFonts w:ascii="Arial" w:eastAsia="Calibri" w:hAnsi="Arial" w:cs="Arial"/>
          <w:bCs/>
          <w:color w:val="000000" w:themeColor="text1"/>
        </w:rPr>
        <w:t xml:space="preserve"> juicio, no se ordenó a la autoridad demandada </w:t>
      </w:r>
      <w:r w:rsidR="005F5823">
        <w:rPr>
          <w:rFonts w:ascii="Arial" w:eastAsia="Calibri" w:hAnsi="Arial" w:cs="Arial"/>
          <w:bCs/>
          <w:color w:val="000000" w:themeColor="text1"/>
        </w:rPr>
        <w:t>realizara</w:t>
      </w:r>
      <w:r w:rsidR="00823895">
        <w:rPr>
          <w:rFonts w:ascii="Arial" w:eastAsia="Calibri" w:hAnsi="Arial" w:cs="Arial"/>
          <w:bCs/>
          <w:color w:val="000000" w:themeColor="text1"/>
        </w:rPr>
        <w:t xml:space="preserve"> la entrega del dinero al que hace </w:t>
      </w:r>
      <w:r w:rsidR="005F5823">
        <w:rPr>
          <w:rFonts w:ascii="Arial" w:eastAsia="Calibri" w:hAnsi="Arial" w:cs="Arial"/>
          <w:bCs/>
          <w:color w:val="000000" w:themeColor="text1"/>
        </w:rPr>
        <w:t>mención</w:t>
      </w:r>
      <w:r w:rsidR="00823895">
        <w:rPr>
          <w:rFonts w:ascii="Arial" w:eastAsia="Calibri" w:hAnsi="Arial" w:cs="Arial"/>
          <w:bCs/>
          <w:color w:val="000000" w:themeColor="text1"/>
        </w:rPr>
        <w:t xml:space="preserve"> el promovente, aunado a lo anterior que no fue </w:t>
      </w:r>
      <w:r w:rsidR="005F5823">
        <w:rPr>
          <w:rFonts w:ascii="Arial" w:eastAsia="Calibri" w:hAnsi="Arial" w:cs="Arial"/>
          <w:bCs/>
          <w:color w:val="000000" w:themeColor="text1"/>
        </w:rPr>
        <w:t>pedido</w:t>
      </w:r>
      <w:r w:rsidR="00823895">
        <w:rPr>
          <w:rFonts w:ascii="Arial" w:eastAsia="Calibri" w:hAnsi="Arial" w:cs="Arial"/>
          <w:bCs/>
          <w:color w:val="000000" w:themeColor="text1"/>
        </w:rPr>
        <w:t xml:space="preserve"> en la demanda de nulidad </w:t>
      </w:r>
      <w:r w:rsidR="005F5823">
        <w:rPr>
          <w:rFonts w:ascii="Arial" w:eastAsia="Calibri" w:hAnsi="Arial" w:cs="Arial"/>
          <w:bCs/>
          <w:color w:val="000000" w:themeColor="text1"/>
        </w:rPr>
        <w:t>presentada</w:t>
      </w:r>
      <w:r w:rsidR="00823895">
        <w:rPr>
          <w:rFonts w:ascii="Arial" w:eastAsia="Calibri" w:hAnsi="Arial" w:cs="Arial"/>
          <w:bCs/>
          <w:color w:val="000000" w:themeColor="text1"/>
        </w:rPr>
        <w:t xml:space="preserve"> ante este Tribunal.</w:t>
      </w:r>
      <w:r>
        <w:rPr>
          <w:rFonts w:ascii="Arial" w:eastAsia="Calibri" w:hAnsi="Arial" w:cs="Arial"/>
          <w:bCs/>
          <w:color w:val="000000" w:themeColor="text1"/>
        </w:rPr>
        <w:t xml:space="preserve"> </w:t>
      </w:r>
      <w:r w:rsidRPr="007A599B">
        <w:rPr>
          <w:rFonts w:ascii="Arial" w:eastAsia="Calibri" w:hAnsi="Arial" w:cs="Arial"/>
          <w:b/>
          <w:bCs/>
          <w:color w:val="000000" w:themeColor="text1"/>
        </w:rPr>
        <w:t>(parte relativa recurrida)</w:t>
      </w:r>
    </w:p>
    <w:p w14:paraId="0C4A6FD4" w14:textId="77777777" w:rsidR="00313EB0" w:rsidRDefault="007A599B" w:rsidP="00690B45">
      <w:pPr>
        <w:ind w:left="1276" w:right="616"/>
        <w:jc w:val="both"/>
        <w:rPr>
          <w:rFonts w:ascii="Arial" w:eastAsia="Calibri" w:hAnsi="Arial" w:cs="Arial"/>
          <w:bCs/>
          <w:color w:val="000000" w:themeColor="text1"/>
        </w:rPr>
      </w:pPr>
      <w:r>
        <w:rPr>
          <w:rFonts w:ascii="Arial" w:eastAsia="Calibri" w:hAnsi="Arial" w:cs="Arial"/>
          <w:bCs/>
          <w:color w:val="000000" w:themeColor="text1"/>
        </w:rPr>
        <w:t xml:space="preserve">    </w:t>
      </w:r>
      <w:r w:rsidR="00823895">
        <w:rPr>
          <w:rFonts w:ascii="Arial" w:eastAsia="Calibri" w:hAnsi="Arial" w:cs="Arial"/>
          <w:bCs/>
          <w:color w:val="000000" w:themeColor="text1"/>
        </w:rPr>
        <w:t>Por otra parte</w:t>
      </w:r>
      <w:r w:rsidR="00313EB0">
        <w:rPr>
          <w:rFonts w:ascii="Arial" w:eastAsia="Calibri" w:hAnsi="Arial" w:cs="Arial"/>
          <w:bCs/>
          <w:color w:val="000000" w:themeColor="text1"/>
        </w:rPr>
        <w:t xml:space="preserve">, con el segundo escrito del actor se le tiene </w:t>
      </w:r>
      <w:r w:rsidR="005F5823">
        <w:rPr>
          <w:rFonts w:ascii="Arial" w:eastAsia="Calibri" w:hAnsi="Arial" w:cs="Arial"/>
          <w:bCs/>
          <w:color w:val="000000" w:themeColor="text1"/>
        </w:rPr>
        <w:t>interponiendo</w:t>
      </w:r>
      <w:r w:rsidR="00313EB0">
        <w:rPr>
          <w:rFonts w:ascii="Arial" w:eastAsia="Calibri" w:hAnsi="Arial" w:cs="Arial"/>
          <w:bCs/>
          <w:color w:val="000000" w:themeColor="text1"/>
        </w:rPr>
        <w:t xml:space="preserve"> recurso de revisión, en contra del acuerdo de quince de julio de mayo (sic) de 2019 dos mil diecinueve, por lo que con la promoción de cuenta fórmese el </w:t>
      </w:r>
      <w:r w:rsidR="005F5823">
        <w:rPr>
          <w:rFonts w:ascii="Arial" w:eastAsia="Calibri" w:hAnsi="Arial" w:cs="Arial"/>
          <w:bCs/>
          <w:color w:val="000000" w:themeColor="text1"/>
        </w:rPr>
        <w:t>cuaderno</w:t>
      </w:r>
      <w:r w:rsidR="00313EB0">
        <w:rPr>
          <w:rFonts w:ascii="Arial" w:eastAsia="Calibri" w:hAnsi="Arial" w:cs="Arial"/>
          <w:bCs/>
          <w:color w:val="000000" w:themeColor="text1"/>
        </w:rPr>
        <w:t xml:space="preserve"> por </w:t>
      </w:r>
      <w:r w:rsidR="005F5823">
        <w:rPr>
          <w:rFonts w:ascii="Arial" w:eastAsia="Calibri" w:hAnsi="Arial" w:cs="Arial"/>
          <w:bCs/>
          <w:color w:val="000000" w:themeColor="text1"/>
        </w:rPr>
        <w:t>separado</w:t>
      </w:r>
      <w:r w:rsidR="00313EB0">
        <w:rPr>
          <w:rFonts w:ascii="Arial" w:eastAsia="Calibri" w:hAnsi="Arial" w:cs="Arial"/>
          <w:bCs/>
          <w:color w:val="000000" w:themeColor="text1"/>
        </w:rPr>
        <w:t xml:space="preserve">, para su </w:t>
      </w:r>
      <w:r w:rsidR="005F5823">
        <w:rPr>
          <w:rFonts w:ascii="Arial" w:eastAsia="Calibri" w:hAnsi="Arial" w:cs="Arial"/>
          <w:bCs/>
          <w:color w:val="000000" w:themeColor="text1"/>
        </w:rPr>
        <w:t>trámite</w:t>
      </w:r>
      <w:r w:rsidR="00313EB0">
        <w:rPr>
          <w:rFonts w:ascii="Arial" w:eastAsia="Calibri" w:hAnsi="Arial" w:cs="Arial"/>
          <w:bCs/>
          <w:color w:val="000000" w:themeColor="text1"/>
        </w:rPr>
        <w:t xml:space="preserve"> en esta sala y una vez integrado dicho recurso </w:t>
      </w:r>
      <w:r w:rsidR="005F5823">
        <w:rPr>
          <w:rFonts w:ascii="Arial" w:eastAsia="Calibri" w:hAnsi="Arial" w:cs="Arial"/>
          <w:bCs/>
          <w:color w:val="000000" w:themeColor="text1"/>
        </w:rPr>
        <w:t>remítase</w:t>
      </w:r>
      <w:r w:rsidR="00313EB0">
        <w:rPr>
          <w:rFonts w:ascii="Arial" w:eastAsia="Calibri" w:hAnsi="Arial" w:cs="Arial"/>
          <w:bCs/>
          <w:color w:val="000000" w:themeColor="text1"/>
        </w:rPr>
        <w:t xml:space="preserve"> a la Sala </w:t>
      </w:r>
      <w:r w:rsidR="005F5823">
        <w:rPr>
          <w:rFonts w:ascii="Arial" w:eastAsia="Calibri" w:hAnsi="Arial" w:cs="Arial"/>
          <w:bCs/>
          <w:color w:val="000000" w:themeColor="text1"/>
        </w:rPr>
        <w:t>Superior</w:t>
      </w:r>
      <w:r w:rsidR="00313EB0">
        <w:rPr>
          <w:rFonts w:ascii="Arial" w:eastAsia="Calibri" w:hAnsi="Arial" w:cs="Arial"/>
          <w:bCs/>
          <w:color w:val="000000" w:themeColor="text1"/>
        </w:rPr>
        <w:t xml:space="preserve"> de este </w:t>
      </w:r>
      <w:r w:rsidR="005F5823">
        <w:rPr>
          <w:rFonts w:ascii="Arial" w:eastAsia="Calibri" w:hAnsi="Arial" w:cs="Arial"/>
          <w:bCs/>
          <w:color w:val="000000" w:themeColor="text1"/>
        </w:rPr>
        <w:t>Tribunal</w:t>
      </w:r>
      <w:r w:rsidR="00313EB0">
        <w:rPr>
          <w:rFonts w:ascii="Arial" w:eastAsia="Calibri" w:hAnsi="Arial" w:cs="Arial"/>
          <w:bCs/>
          <w:color w:val="000000" w:themeColor="text1"/>
        </w:rPr>
        <w:t xml:space="preserve"> para </w:t>
      </w:r>
      <w:r w:rsidR="005F5823">
        <w:rPr>
          <w:rFonts w:ascii="Arial" w:eastAsia="Calibri" w:hAnsi="Arial" w:cs="Arial"/>
          <w:bCs/>
          <w:color w:val="000000" w:themeColor="text1"/>
        </w:rPr>
        <w:t>efecto</w:t>
      </w:r>
      <w:r w:rsidR="00313EB0">
        <w:rPr>
          <w:rFonts w:ascii="Arial" w:eastAsia="Calibri" w:hAnsi="Arial" w:cs="Arial"/>
          <w:bCs/>
          <w:color w:val="000000" w:themeColor="text1"/>
        </w:rPr>
        <w:t xml:space="preserve"> de su resolución, lo anterior con fundamento en los </w:t>
      </w:r>
      <w:r w:rsidR="005F5823">
        <w:rPr>
          <w:rFonts w:ascii="Arial" w:eastAsia="Calibri" w:hAnsi="Arial" w:cs="Arial"/>
          <w:bCs/>
          <w:color w:val="000000" w:themeColor="text1"/>
        </w:rPr>
        <w:t>artículos</w:t>
      </w:r>
      <w:r w:rsidR="00313EB0">
        <w:rPr>
          <w:rFonts w:ascii="Arial" w:eastAsia="Calibri" w:hAnsi="Arial" w:cs="Arial"/>
          <w:bCs/>
          <w:color w:val="000000" w:themeColor="text1"/>
        </w:rPr>
        <w:t xml:space="preserve"> 206 </w:t>
      </w:r>
      <w:r w:rsidR="005F5823">
        <w:rPr>
          <w:rFonts w:ascii="Arial" w:eastAsia="Calibri" w:hAnsi="Arial" w:cs="Arial"/>
          <w:bCs/>
          <w:color w:val="000000" w:themeColor="text1"/>
        </w:rPr>
        <w:t>fracción</w:t>
      </w:r>
      <w:r w:rsidR="00313EB0">
        <w:rPr>
          <w:rFonts w:ascii="Arial" w:eastAsia="Calibri" w:hAnsi="Arial" w:cs="Arial"/>
          <w:bCs/>
          <w:color w:val="000000" w:themeColor="text1"/>
        </w:rPr>
        <w:t xml:space="preserve"> VIII y 207 párrafos primero y segundo de la Ley de </w:t>
      </w:r>
      <w:r w:rsidR="005F5823">
        <w:rPr>
          <w:rFonts w:ascii="Arial" w:eastAsia="Calibri" w:hAnsi="Arial" w:cs="Arial"/>
          <w:bCs/>
          <w:color w:val="000000" w:themeColor="text1"/>
        </w:rPr>
        <w:t>Justicia</w:t>
      </w:r>
      <w:r w:rsidR="00313EB0">
        <w:rPr>
          <w:rFonts w:ascii="Arial" w:eastAsia="Calibri" w:hAnsi="Arial" w:cs="Arial"/>
          <w:bCs/>
          <w:color w:val="000000" w:themeColor="text1"/>
        </w:rPr>
        <w:t xml:space="preserve"> Administrativa para el Estado de Oaxaca.</w:t>
      </w:r>
    </w:p>
    <w:p w14:paraId="1EB0CFC4" w14:textId="77777777" w:rsidR="00A612C0" w:rsidRDefault="00313EB0" w:rsidP="00690B45">
      <w:pPr>
        <w:ind w:left="1276" w:right="616"/>
        <w:jc w:val="both"/>
        <w:rPr>
          <w:rFonts w:ascii="Arial" w:eastAsia="Calibri" w:hAnsi="Arial" w:cs="Arial"/>
          <w:bCs/>
          <w:color w:val="000000" w:themeColor="text1"/>
        </w:rPr>
      </w:pPr>
      <w:r>
        <w:rPr>
          <w:rFonts w:ascii="Arial" w:eastAsia="Calibri" w:hAnsi="Arial" w:cs="Arial"/>
          <w:bCs/>
          <w:color w:val="000000" w:themeColor="text1"/>
        </w:rPr>
        <w:t xml:space="preserve">    </w:t>
      </w:r>
      <w:r w:rsidR="005F5823">
        <w:rPr>
          <w:rFonts w:ascii="Arial" w:eastAsia="Calibri" w:hAnsi="Arial" w:cs="Arial"/>
          <w:bCs/>
          <w:color w:val="000000" w:themeColor="text1"/>
        </w:rPr>
        <w:t>Notifíquese</w:t>
      </w:r>
      <w:r>
        <w:rPr>
          <w:rFonts w:ascii="Arial" w:eastAsia="Calibri" w:hAnsi="Arial" w:cs="Arial"/>
          <w:bCs/>
          <w:color w:val="000000" w:themeColor="text1"/>
        </w:rPr>
        <w:t xml:space="preserve"> </w:t>
      </w:r>
      <w:r w:rsidR="005F5823">
        <w:rPr>
          <w:rFonts w:ascii="Arial" w:eastAsia="Calibri" w:hAnsi="Arial" w:cs="Arial"/>
          <w:bCs/>
          <w:color w:val="000000" w:themeColor="text1"/>
        </w:rPr>
        <w:t>personalmente</w:t>
      </w:r>
      <w:r>
        <w:rPr>
          <w:rFonts w:ascii="Arial" w:eastAsia="Calibri" w:hAnsi="Arial" w:cs="Arial"/>
          <w:bCs/>
          <w:color w:val="000000" w:themeColor="text1"/>
        </w:rPr>
        <w:t xml:space="preserve"> a la parte </w:t>
      </w:r>
      <w:r w:rsidR="005F5823">
        <w:rPr>
          <w:rFonts w:ascii="Arial" w:eastAsia="Calibri" w:hAnsi="Arial" w:cs="Arial"/>
          <w:bCs/>
          <w:color w:val="000000" w:themeColor="text1"/>
        </w:rPr>
        <w:t>actora</w:t>
      </w:r>
      <w:r>
        <w:rPr>
          <w:rFonts w:ascii="Arial" w:eastAsia="Calibri" w:hAnsi="Arial" w:cs="Arial"/>
          <w:bCs/>
          <w:color w:val="000000" w:themeColor="text1"/>
        </w:rPr>
        <w:t xml:space="preserve"> y por lista de </w:t>
      </w:r>
      <w:r w:rsidR="005F5823">
        <w:rPr>
          <w:rFonts w:ascii="Arial" w:eastAsia="Calibri" w:hAnsi="Arial" w:cs="Arial"/>
          <w:bCs/>
          <w:color w:val="000000" w:themeColor="text1"/>
        </w:rPr>
        <w:t>notificación</w:t>
      </w:r>
      <w:r>
        <w:rPr>
          <w:rFonts w:ascii="Arial" w:eastAsia="Calibri" w:hAnsi="Arial" w:cs="Arial"/>
          <w:bCs/>
          <w:color w:val="000000" w:themeColor="text1"/>
        </w:rPr>
        <w:t xml:space="preserve"> a la autoridad demandada, en términos de los </w:t>
      </w:r>
      <w:r w:rsidR="005F5823">
        <w:rPr>
          <w:rFonts w:ascii="Arial" w:eastAsia="Calibri" w:hAnsi="Arial" w:cs="Arial"/>
          <w:bCs/>
          <w:color w:val="000000" w:themeColor="text1"/>
        </w:rPr>
        <w:t>artículos</w:t>
      </w:r>
      <w:r>
        <w:rPr>
          <w:rFonts w:ascii="Arial" w:eastAsia="Calibri" w:hAnsi="Arial" w:cs="Arial"/>
          <w:bCs/>
          <w:color w:val="000000" w:themeColor="text1"/>
        </w:rPr>
        <w:t xml:space="preserve"> 142 fracciones I, II y 143 </w:t>
      </w:r>
      <w:r w:rsidR="005F5823">
        <w:rPr>
          <w:rFonts w:ascii="Arial" w:eastAsia="Calibri" w:hAnsi="Arial" w:cs="Arial"/>
          <w:bCs/>
          <w:color w:val="000000" w:themeColor="text1"/>
        </w:rPr>
        <w:t>fracción</w:t>
      </w:r>
      <w:r>
        <w:rPr>
          <w:rFonts w:ascii="Arial" w:eastAsia="Calibri" w:hAnsi="Arial" w:cs="Arial"/>
          <w:bCs/>
          <w:color w:val="000000" w:themeColor="text1"/>
        </w:rPr>
        <w:t xml:space="preserve"> I, III de la ley de justicia citada.</w:t>
      </w:r>
    </w:p>
    <w:p w14:paraId="001F4B14" w14:textId="77777777" w:rsidR="006D64AD" w:rsidRPr="00690B45" w:rsidRDefault="00A612C0" w:rsidP="00690B45">
      <w:pPr>
        <w:ind w:left="1276" w:right="616"/>
        <w:jc w:val="both"/>
        <w:rPr>
          <w:rFonts w:ascii="Arial" w:eastAsia="Calibri" w:hAnsi="Arial" w:cs="Arial"/>
          <w:bCs/>
          <w:color w:val="000000" w:themeColor="text1"/>
        </w:rPr>
      </w:pPr>
      <w:r>
        <w:rPr>
          <w:rFonts w:ascii="Arial" w:eastAsia="Calibri" w:hAnsi="Arial" w:cs="Arial"/>
          <w:bCs/>
          <w:color w:val="000000" w:themeColor="text1"/>
        </w:rPr>
        <w:t xml:space="preserve">    Así lo acuerda y firma la doctora en derecho Ana María Soledad Cruz Vasconcelos, Magistrada de la Tercera Sala Unitaria de Primera Instancia del Tribunal de Justicia Administrativa del Estado de Oaxaca quien actúa con el secretario de acuerdos de sala Juan Carlos Rivera Huerta, que autoriza y da fe.</w:t>
      </w:r>
      <w:r w:rsidR="00313EB0">
        <w:rPr>
          <w:rFonts w:ascii="Arial" w:eastAsia="Calibri" w:hAnsi="Arial" w:cs="Arial"/>
          <w:bCs/>
          <w:color w:val="000000" w:themeColor="text1"/>
        </w:rPr>
        <w:t xml:space="preserve"> (…)</w:t>
      </w:r>
      <w:r w:rsidR="00B41440" w:rsidRPr="005F629F">
        <w:rPr>
          <w:rFonts w:ascii="Arial" w:hAnsi="Arial" w:cs="Arial"/>
          <w:i/>
        </w:rPr>
        <w:t>”</w:t>
      </w:r>
    </w:p>
    <w:p w14:paraId="4B8FEC92" w14:textId="77777777" w:rsidR="006D64AD" w:rsidRPr="00126E20" w:rsidRDefault="006D64AD" w:rsidP="006D64AD">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14:paraId="6B73809E" w14:textId="77777777" w:rsidR="006D64AD" w:rsidRPr="007A599B" w:rsidRDefault="006D64AD" w:rsidP="007A599B">
      <w:pPr>
        <w:widowControl w:val="0"/>
        <w:tabs>
          <w:tab w:val="left" w:pos="7938"/>
          <w:tab w:val="left" w:pos="8222"/>
        </w:tabs>
        <w:spacing w:line="360" w:lineRule="auto"/>
        <w:ind w:right="49"/>
        <w:jc w:val="both"/>
        <w:rPr>
          <w:rFonts w:ascii="Arial" w:hAnsi="Arial" w:cs="Arial"/>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7A599B" w:rsidRPr="00E95BF9">
        <w:rPr>
          <w:rFonts w:ascii="Arial" w:hAnsi="Arial" w:cs="Arial"/>
          <w:bCs/>
          <w:iCs/>
          <w:sz w:val="26"/>
          <w:szCs w:val="26"/>
          <w:lang w:eastAsia="es-ES"/>
        </w:rPr>
        <w:t>Esta Sala Superior es competente para conocer del presente asunto, de conformidad con lo dispuesto por los artículos</w:t>
      </w:r>
      <w:r w:rsidR="007A599B">
        <w:rPr>
          <w:rFonts w:ascii="Arial" w:hAnsi="Arial" w:cs="Arial"/>
          <w:bCs/>
          <w:iCs/>
          <w:sz w:val="26"/>
          <w:szCs w:val="26"/>
          <w:lang w:eastAsia="es-ES"/>
        </w:rPr>
        <w:t xml:space="preserve"> </w:t>
      </w:r>
      <w:r w:rsidR="007A599B" w:rsidRPr="00D65424">
        <w:rPr>
          <w:rFonts w:ascii="Arial" w:hAnsi="Arial" w:cs="Arial"/>
          <w:bCs/>
          <w:iCs/>
          <w:sz w:val="26"/>
          <w:szCs w:val="26"/>
        </w:rPr>
        <w:t>114 QUÁTER, de la Constitución Política del Estado Libre y Soberano de Oaxaca</w:t>
      </w:r>
      <w:r w:rsidR="007A599B">
        <w:rPr>
          <w:rFonts w:ascii="Arial" w:hAnsi="Arial" w:cs="Arial"/>
          <w:bCs/>
          <w:iCs/>
          <w:sz w:val="26"/>
          <w:szCs w:val="26"/>
        </w:rPr>
        <w:t>; 1 segundo párrafo, 2 primero y cuarto párrafo, 4, 23, 24, 25, 26 y 27 de la Ley Orgánica del Tribunal de Justicia Administrativa del Estado de Oaxaca</w:t>
      </w:r>
      <w:r w:rsidR="007A599B">
        <w:rPr>
          <w:rFonts w:ascii="Arial" w:hAnsi="Arial" w:cs="Arial"/>
          <w:bCs/>
          <w:iCs/>
          <w:sz w:val="26"/>
          <w:szCs w:val="26"/>
          <w:lang w:eastAsia="es-ES"/>
        </w:rPr>
        <w:t xml:space="preserve">, </w:t>
      </w:r>
      <w:r w:rsidR="007A599B">
        <w:rPr>
          <w:rFonts w:ascii="Arial" w:hAnsi="Arial" w:cs="Arial"/>
          <w:bCs/>
          <w:iCs/>
          <w:sz w:val="26"/>
          <w:szCs w:val="26"/>
        </w:rPr>
        <w:t>así como los diversos 86, 88, 92, 93, fracción I, 94, 201, 206 y 208 de la Ley de Justicia Administrativa para el Estado de Oaxaca, vigente hasta el 20 veinte de octubre de 2017 dos mil diecisiete,</w:t>
      </w:r>
      <w:r w:rsidR="007A599B" w:rsidRPr="006E349D">
        <w:rPr>
          <w:rFonts w:ascii="Arial" w:hAnsi="Arial" w:cs="Arial"/>
          <w:bCs/>
          <w:iCs/>
          <w:sz w:val="26"/>
          <w:szCs w:val="26"/>
        </w:rPr>
        <w:t xml:space="preserve"> </w:t>
      </w:r>
      <w:r w:rsidR="007A599B" w:rsidRPr="00CE05CC">
        <w:rPr>
          <w:rFonts w:ascii="Arial" w:hAnsi="Arial" w:cs="Arial"/>
          <w:bCs/>
          <w:iCs/>
          <w:sz w:val="26"/>
          <w:szCs w:val="26"/>
        </w:rPr>
        <w:t>dado que se trata de un Recurso de Re</w:t>
      </w:r>
      <w:r w:rsidR="007A599B">
        <w:rPr>
          <w:rFonts w:ascii="Arial" w:hAnsi="Arial" w:cs="Arial"/>
          <w:bCs/>
          <w:iCs/>
          <w:sz w:val="26"/>
          <w:szCs w:val="26"/>
        </w:rPr>
        <w:t>visión interpuesto en contra de la parte relativa del</w:t>
      </w:r>
      <w:r w:rsidR="007A599B" w:rsidRPr="00CE05CC">
        <w:rPr>
          <w:rFonts w:ascii="Arial" w:hAnsi="Arial" w:cs="Arial"/>
          <w:bCs/>
          <w:iCs/>
          <w:sz w:val="26"/>
          <w:szCs w:val="26"/>
        </w:rPr>
        <w:t xml:space="preserve"> acuerdo de </w:t>
      </w:r>
      <w:r w:rsidR="007A599B">
        <w:rPr>
          <w:rFonts w:ascii="Arial" w:hAnsi="Arial" w:cs="Arial"/>
          <w:bCs/>
          <w:iCs/>
          <w:sz w:val="26"/>
          <w:szCs w:val="26"/>
        </w:rPr>
        <w:t>11 once de septiembre de 2019 dos mil diecinueve</w:t>
      </w:r>
      <w:r w:rsidR="007A599B" w:rsidRPr="00CE05CC">
        <w:rPr>
          <w:rFonts w:ascii="Arial" w:hAnsi="Arial" w:cs="Arial"/>
          <w:bCs/>
          <w:iCs/>
          <w:sz w:val="26"/>
          <w:szCs w:val="26"/>
        </w:rPr>
        <w:t>, dictado por</w:t>
      </w:r>
      <w:r w:rsidR="007A599B">
        <w:rPr>
          <w:rFonts w:ascii="Arial" w:hAnsi="Arial" w:cs="Arial"/>
          <w:bCs/>
          <w:iCs/>
          <w:sz w:val="26"/>
          <w:szCs w:val="26"/>
        </w:rPr>
        <w:t xml:space="preserve"> la Magistrada de la Tercera </w:t>
      </w:r>
      <w:r w:rsidR="007A599B" w:rsidRPr="00CE05CC">
        <w:rPr>
          <w:rFonts w:ascii="Arial" w:hAnsi="Arial" w:cs="Arial"/>
          <w:bCs/>
          <w:iCs/>
          <w:sz w:val="26"/>
          <w:szCs w:val="26"/>
        </w:rPr>
        <w:t xml:space="preserve">Sala Unitaria de Primera Instancia, en el expediente </w:t>
      </w:r>
      <w:r w:rsidR="007A599B">
        <w:rPr>
          <w:rFonts w:ascii="Arial" w:hAnsi="Arial" w:cs="Arial"/>
          <w:b/>
          <w:bCs/>
          <w:iCs/>
          <w:sz w:val="26"/>
          <w:szCs w:val="26"/>
        </w:rPr>
        <w:t>435</w:t>
      </w:r>
      <w:r w:rsidR="007A599B" w:rsidRPr="00CE05CC">
        <w:rPr>
          <w:rFonts w:ascii="Arial" w:hAnsi="Arial" w:cs="Arial"/>
          <w:b/>
          <w:bCs/>
          <w:iCs/>
          <w:sz w:val="26"/>
          <w:szCs w:val="26"/>
        </w:rPr>
        <w:t>/201</w:t>
      </w:r>
      <w:r w:rsidR="007A599B">
        <w:rPr>
          <w:rFonts w:ascii="Arial" w:hAnsi="Arial" w:cs="Arial"/>
          <w:b/>
          <w:bCs/>
          <w:iCs/>
          <w:sz w:val="26"/>
          <w:szCs w:val="26"/>
        </w:rPr>
        <w:t>6</w:t>
      </w:r>
      <w:r w:rsidR="007A599B" w:rsidRPr="00CE05CC">
        <w:rPr>
          <w:rFonts w:ascii="Arial" w:hAnsi="Arial" w:cs="Arial"/>
          <w:bCs/>
          <w:iCs/>
          <w:sz w:val="26"/>
          <w:szCs w:val="26"/>
        </w:rPr>
        <w:t>.</w:t>
      </w:r>
    </w:p>
    <w:p w14:paraId="491A24FC" w14:textId="77777777" w:rsidR="00342EDA" w:rsidRPr="00342EDA" w:rsidRDefault="006D64AD" w:rsidP="00342EDA">
      <w:pPr>
        <w:pStyle w:val="Textoindependiente"/>
        <w:spacing w:before="240" w:after="0" w:line="360" w:lineRule="auto"/>
        <w:ind w:firstLine="708"/>
        <w:jc w:val="both"/>
        <w:rPr>
          <w:rFonts w:ascii="Arial" w:hAnsi="Arial" w:cs="Arial"/>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sidR="003938C0" w:rsidRPr="00FC7072">
        <w:rPr>
          <w:rFonts w:ascii="Arial" w:hAnsi="Arial" w:cs="Arial"/>
          <w:sz w:val="26"/>
          <w:szCs w:val="26"/>
        </w:rPr>
        <w:t xml:space="preserve">Los agravios hechos valer se encuentran expuestos en el escrito </w:t>
      </w:r>
      <w:r w:rsidR="003938C0">
        <w:rPr>
          <w:rFonts w:ascii="Arial" w:hAnsi="Arial" w:cs="Arial"/>
          <w:sz w:val="26"/>
          <w:szCs w:val="26"/>
        </w:rPr>
        <w:t xml:space="preserve">respectivo </w:t>
      </w:r>
      <w:r w:rsidR="003938C0" w:rsidRPr="00D12C54">
        <w:rPr>
          <w:rFonts w:ascii="Arial" w:hAnsi="Arial" w:cs="Arial"/>
          <w:color w:val="000000" w:themeColor="text1"/>
          <w:sz w:val="26"/>
          <w:szCs w:val="26"/>
        </w:rPr>
        <w:t>de</w:t>
      </w:r>
      <w:r w:rsidR="003938C0">
        <w:rPr>
          <w:rFonts w:ascii="Arial" w:hAnsi="Arial" w:cs="Arial"/>
          <w:color w:val="000000" w:themeColor="text1"/>
          <w:sz w:val="26"/>
          <w:szCs w:val="26"/>
        </w:rPr>
        <w:t xml:space="preserve"> </w:t>
      </w:r>
      <w:r w:rsidR="003938C0" w:rsidRPr="00D12C54">
        <w:rPr>
          <w:rFonts w:ascii="Arial" w:hAnsi="Arial" w:cs="Arial"/>
          <w:color w:val="000000" w:themeColor="text1"/>
          <w:sz w:val="26"/>
          <w:szCs w:val="26"/>
        </w:rPr>
        <w:t>l</w:t>
      </w:r>
      <w:r w:rsidR="003938C0">
        <w:rPr>
          <w:rFonts w:ascii="Arial" w:hAnsi="Arial" w:cs="Arial"/>
          <w:color w:val="000000" w:themeColor="text1"/>
          <w:sz w:val="26"/>
          <w:szCs w:val="26"/>
        </w:rPr>
        <w:t>a</w:t>
      </w:r>
      <w:r w:rsidR="003938C0" w:rsidRPr="00D12C54">
        <w:rPr>
          <w:rFonts w:ascii="Arial" w:hAnsi="Arial" w:cs="Arial"/>
          <w:color w:val="000000" w:themeColor="text1"/>
          <w:sz w:val="26"/>
          <w:szCs w:val="26"/>
        </w:rPr>
        <w:t xml:space="preserve"> recurrente</w:t>
      </w:r>
      <w:r w:rsidR="003938C0" w:rsidRPr="00FC7072">
        <w:rPr>
          <w:rFonts w:ascii="Arial" w:hAnsi="Arial" w:cs="Arial"/>
          <w:sz w:val="26"/>
          <w:szCs w:val="26"/>
        </w:rPr>
        <w:t xml:space="preserve">, por lo que no existe necesidad de transcribirlos, </w:t>
      </w:r>
      <w:r w:rsidR="003938C0">
        <w:rPr>
          <w:rFonts w:ascii="Arial" w:hAnsi="Arial" w:cs="Arial"/>
          <w:sz w:val="26"/>
          <w:szCs w:val="26"/>
        </w:rPr>
        <w:t>virtud a que ello no implica transgresión a</w:t>
      </w:r>
      <w:r w:rsidR="003938C0" w:rsidRPr="00FC7072">
        <w:rPr>
          <w:rFonts w:ascii="Arial" w:hAnsi="Arial" w:cs="Arial"/>
          <w:sz w:val="26"/>
          <w:szCs w:val="26"/>
        </w:rPr>
        <w:t xml:space="preserve"> derecho alguno</w:t>
      </w:r>
      <w:r w:rsidR="003938C0">
        <w:rPr>
          <w:rFonts w:ascii="Arial" w:hAnsi="Arial" w:cs="Arial"/>
          <w:sz w:val="26"/>
          <w:szCs w:val="26"/>
        </w:rPr>
        <w:t xml:space="preserve"> de la recurrente</w:t>
      </w:r>
      <w:r w:rsidR="003938C0" w:rsidRPr="00FC7072">
        <w:rPr>
          <w:rFonts w:ascii="Arial" w:hAnsi="Arial" w:cs="Arial"/>
          <w:sz w:val="26"/>
          <w:szCs w:val="26"/>
        </w:rPr>
        <w:t xml:space="preserve">, como tampoco se vulnera disposición expresa </w:t>
      </w:r>
      <w:r w:rsidR="003938C0">
        <w:rPr>
          <w:rFonts w:ascii="Arial" w:hAnsi="Arial" w:cs="Arial"/>
          <w:sz w:val="26"/>
          <w:szCs w:val="26"/>
        </w:rPr>
        <w:lastRenderedPageBreak/>
        <w:t>que imponga tal obligación.</w:t>
      </w:r>
      <w:r w:rsidR="00342EDA">
        <w:rPr>
          <w:rFonts w:ascii="Arial" w:hAnsi="Arial" w:cs="Arial"/>
          <w:sz w:val="26"/>
          <w:szCs w:val="26"/>
        </w:rPr>
        <w:t xml:space="preserve"> </w:t>
      </w:r>
      <w:r w:rsidR="00342EDA" w:rsidRPr="00FC5C60">
        <w:rPr>
          <w:rFonts w:ascii="Arial" w:eastAsia="Calibri" w:hAnsi="Arial" w:cs="Arial"/>
          <w:bCs/>
          <w:sz w:val="26"/>
          <w:szCs w:val="26"/>
          <w:lang w:eastAsia="es-MX"/>
        </w:rPr>
        <w:t>Se invoca en</w:t>
      </w:r>
      <w:r w:rsidR="00342EDA">
        <w:rPr>
          <w:rFonts w:ascii="Arial" w:eastAsia="Calibri" w:hAnsi="Arial" w:cs="Arial"/>
          <w:bCs/>
          <w:sz w:val="26"/>
          <w:szCs w:val="26"/>
          <w:lang w:eastAsia="es-MX"/>
        </w:rPr>
        <w:t xml:space="preserve"> apoyo, la Tesis</w:t>
      </w:r>
      <w:r w:rsidR="00342EDA" w:rsidRPr="00FC5C60">
        <w:rPr>
          <w:rFonts w:ascii="Arial" w:eastAsia="Calibri" w:hAnsi="Arial" w:cs="Arial"/>
          <w:bCs/>
          <w:sz w:val="26"/>
          <w:szCs w:val="26"/>
          <w:lang w:eastAsia="es-MX"/>
        </w:rPr>
        <w:t xml:space="preserve"> publicada en la Gaceta del Semanario Judicial de la Federación, Vo</w:t>
      </w:r>
      <w:r w:rsidR="00342EDA">
        <w:rPr>
          <w:rFonts w:ascii="Arial" w:eastAsia="Calibri" w:hAnsi="Arial" w:cs="Arial"/>
          <w:bCs/>
          <w:sz w:val="26"/>
          <w:szCs w:val="26"/>
          <w:lang w:eastAsia="es-MX"/>
        </w:rPr>
        <w:t xml:space="preserve">lumen 81, Sexta Parte, Séptima </w:t>
      </w:r>
      <w:r w:rsidR="00342EDA" w:rsidRPr="00FC5C60">
        <w:rPr>
          <w:rFonts w:ascii="Arial" w:eastAsia="Calibri" w:hAnsi="Arial" w:cs="Arial"/>
          <w:bCs/>
          <w:sz w:val="26"/>
          <w:szCs w:val="26"/>
          <w:lang w:eastAsia="es-MX"/>
        </w:rPr>
        <w:t>Época, pagina 23, bajo el rubro y texto siguiente</w:t>
      </w:r>
      <w:r w:rsidR="00342EDA" w:rsidRPr="00FC5C60">
        <w:rPr>
          <w:rFonts w:ascii="Arial" w:eastAsiaTheme="minorEastAsia" w:hAnsi="Arial" w:cs="Arial"/>
          <w:lang w:eastAsia="es-MX"/>
        </w:rPr>
        <w:t>:</w:t>
      </w:r>
    </w:p>
    <w:p w14:paraId="0B09AD7E" w14:textId="77777777" w:rsidR="00342EDA" w:rsidRDefault="00342EDA" w:rsidP="00342EDA">
      <w:pPr>
        <w:ind w:left="1134" w:right="900"/>
        <w:jc w:val="both"/>
        <w:rPr>
          <w:rFonts w:ascii="Arial" w:eastAsiaTheme="minorEastAsia" w:hAnsi="Arial" w:cs="Arial"/>
          <w:lang w:val="es-MX" w:eastAsia="es-MX"/>
        </w:rPr>
      </w:pPr>
    </w:p>
    <w:p w14:paraId="0D517B5D" w14:textId="77777777" w:rsidR="00342EDA" w:rsidRPr="00C427DB" w:rsidRDefault="00342EDA" w:rsidP="00342EDA">
      <w:pPr>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 xml:space="preserve"> “</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p>
    <w:p w14:paraId="09F6684B" w14:textId="77777777" w:rsidR="007A599B" w:rsidRDefault="003938C0" w:rsidP="003938C0">
      <w:pPr>
        <w:spacing w:before="240" w:line="360" w:lineRule="auto"/>
        <w:ind w:firstLine="708"/>
        <w:jc w:val="both"/>
        <w:rPr>
          <w:rFonts w:ascii="Arial" w:hAnsi="Arial" w:cs="Arial"/>
          <w:color w:val="000000"/>
          <w:sz w:val="26"/>
          <w:szCs w:val="26"/>
        </w:rPr>
      </w:pPr>
      <w:r w:rsidRPr="00FC7072">
        <w:rPr>
          <w:rFonts w:ascii="Arial" w:hAnsi="Arial" w:cs="Arial"/>
          <w:b/>
          <w:sz w:val="26"/>
          <w:szCs w:val="26"/>
        </w:rPr>
        <w:t>TERCERO</w:t>
      </w:r>
      <w:r w:rsidR="00316344">
        <w:rPr>
          <w:rFonts w:ascii="Arial" w:hAnsi="Arial" w:cs="Arial"/>
          <w:sz w:val="26"/>
          <w:szCs w:val="26"/>
        </w:rPr>
        <w:t>.</w:t>
      </w:r>
      <w:r w:rsidR="00F61EF4">
        <w:rPr>
          <w:rFonts w:ascii="Arial" w:hAnsi="Arial" w:cs="Arial"/>
          <w:sz w:val="26"/>
          <w:szCs w:val="26"/>
        </w:rPr>
        <w:t xml:space="preserve"> </w:t>
      </w:r>
      <w:r w:rsidR="00F61EF4">
        <w:rPr>
          <w:rFonts w:ascii="Arial" w:hAnsi="Arial" w:cs="Arial"/>
          <w:color w:val="000000"/>
          <w:sz w:val="26"/>
          <w:szCs w:val="26"/>
        </w:rPr>
        <w:t>De las constancias de autos que fueron remitidas para la substanciación del presente recurso de revis</w:t>
      </w:r>
      <w:r w:rsidR="00316344">
        <w:rPr>
          <w:rFonts w:ascii="Arial" w:hAnsi="Arial" w:cs="Arial"/>
          <w:color w:val="000000"/>
          <w:sz w:val="26"/>
          <w:szCs w:val="26"/>
        </w:rPr>
        <w:t>ión, con valor probatorio pleno conforme</w:t>
      </w:r>
      <w:r w:rsidR="00F61EF4">
        <w:rPr>
          <w:rFonts w:ascii="Arial" w:hAnsi="Arial" w:cs="Arial"/>
          <w:color w:val="000000"/>
          <w:sz w:val="26"/>
          <w:szCs w:val="26"/>
        </w:rPr>
        <w:t xml:space="preserve"> a </w:t>
      </w:r>
      <w:r w:rsidR="007A7647">
        <w:rPr>
          <w:rFonts w:ascii="Arial" w:hAnsi="Arial" w:cs="Arial"/>
          <w:color w:val="000000"/>
          <w:sz w:val="26"/>
          <w:szCs w:val="26"/>
        </w:rPr>
        <w:t>lo dispuesto por el artículo 203</w:t>
      </w:r>
      <w:r w:rsidR="00F61EF4">
        <w:rPr>
          <w:rFonts w:ascii="Arial" w:hAnsi="Arial" w:cs="Arial"/>
          <w:color w:val="000000"/>
          <w:sz w:val="26"/>
          <w:szCs w:val="26"/>
        </w:rPr>
        <w:t>, fracción I,</w:t>
      </w:r>
      <w:r w:rsidR="00342EDA">
        <w:rPr>
          <w:rFonts w:ascii="Arial" w:hAnsi="Arial" w:cs="Arial"/>
          <w:color w:val="000000"/>
          <w:sz w:val="26"/>
          <w:szCs w:val="26"/>
        </w:rPr>
        <w:t xml:space="preserve"> de la</w:t>
      </w:r>
      <w:r w:rsidR="00F61EF4">
        <w:rPr>
          <w:rFonts w:ascii="Arial" w:hAnsi="Arial" w:cs="Arial"/>
          <w:color w:val="000000"/>
          <w:sz w:val="26"/>
          <w:szCs w:val="26"/>
        </w:rPr>
        <w:t xml:space="preserve"> Ley de </w:t>
      </w:r>
      <w:r w:rsidR="007A7647">
        <w:rPr>
          <w:rFonts w:ascii="Arial" w:hAnsi="Arial" w:cs="Arial"/>
          <w:color w:val="000000"/>
          <w:sz w:val="26"/>
          <w:szCs w:val="26"/>
        </w:rPr>
        <w:t xml:space="preserve">Procedimiento y </w:t>
      </w:r>
      <w:r w:rsidR="00F61EF4">
        <w:rPr>
          <w:rFonts w:ascii="Arial" w:hAnsi="Arial" w:cs="Arial"/>
          <w:color w:val="000000"/>
          <w:sz w:val="26"/>
          <w:szCs w:val="26"/>
        </w:rPr>
        <w:t>Justicia Adminis</w:t>
      </w:r>
      <w:r w:rsidR="007A7647">
        <w:rPr>
          <w:rFonts w:ascii="Arial" w:hAnsi="Arial" w:cs="Arial"/>
          <w:color w:val="000000"/>
          <w:sz w:val="26"/>
          <w:szCs w:val="26"/>
        </w:rPr>
        <w:t>trativa para el Estado de Oaxaca</w:t>
      </w:r>
      <w:r w:rsidR="00F61EF4">
        <w:rPr>
          <w:rFonts w:ascii="Arial" w:hAnsi="Arial" w:cs="Arial"/>
          <w:color w:val="000000"/>
          <w:sz w:val="26"/>
          <w:szCs w:val="26"/>
        </w:rPr>
        <w:t>, por tratarse de actuaciones</w:t>
      </w:r>
      <w:r w:rsidR="00342EDA">
        <w:rPr>
          <w:rFonts w:ascii="Arial" w:hAnsi="Arial" w:cs="Arial"/>
          <w:color w:val="000000"/>
          <w:sz w:val="26"/>
          <w:szCs w:val="26"/>
        </w:rPr>
        <w:t xml:space="preserve"> c</w:t>
      </w:r>
      <w:r w:rsidR="00316344">
        <w:rPr>
          <w:rFonts w:ascii="Arial" w:hAnsi="Arial" w:cs="Arial"/>
          <w:color w:val="000000"/>
          <w:sz w:val="26"/>
          <w:szCs w:val="26"/>
        </w:rPr>
        <w:t>ontenidas en documentos público;</w:t>
      </w:r>
      <w:r w:rsidR="00F61EF4">
        <w:rPr>
          <w:rFonts w:ascii="Arial" w:hAnsi="Arial" w:cs="Arial"/>
          <w:color w:val="000000"/>
          <w:sz w:val="26"/>
          <w:szCs w:val="26"/>
        </w:rPr>
        <w:t xml:space="preserve"> previo</w:t>
      </w:r>
      <w:r>
        <w:rPr>
          <w:rFonts w:ascii="Arial" w:hAnsi="Arial" w:cs="Arial"/>
          <w:color w:val="000000"/>
          <w:sz w:val="26"/>
          <w:szCs w:val="26"/>
        </w:rPr>
        <w:t xml:space="preserve"> al análisis de los agravios expresados, e</w:t>
      </w:r>
      <w:r w:rsidR="00627C81">
        <w:rPr>
          <w:rFonts w:ascii="Arial" w:hAnsi="Arial" w:cs="Arial"/>
          <w:color w:val="000000"/>
          <w:sz w:val="26"/>
          <w:szCs w:val="26"/>
        </w:rPr>
        <w:t xml:space="preserve">sta </w:t>
      </w:r>
      <w:r w:rsidR="008376C4">
        <w:rPr>
          <w:rFonts w:ascii="Arial" w:hAnsi="Arial" w:cs="Arial"/>
          <w:color w:val="000000"/>
          <w:sz w:val="26"/>
          <w:szCs w:val="26"/>
        </w:rPr>
        <w:t>S</w:t>
      </w:r>
      <w:r w:rsidR="00627C81">
        <w:rPr>
          <w:rFonts w:ascii="Arial" w:hAnsi="Arial" w:cs="Arial"/>
          <w:color w:val="000000"/>
          <w:sz w:val="26"/>
          <w:szCs w:val="26"/>
        </w:rPr>
        <w:t xml:space="preserve">ala Superior advierte que </w:t>
      </w:r>
      <w:r w:rsidR="00342EDA">
        <w:rPr>
          <w:rFonts w:ascii="Arial" w:hAnsi="Arial" w:cs="Arial"/>
          <w:color w:val="000000"/>
          <w:sz w:val="26"/>
          <w:szCs w:val="26"/>
        </w:rPr>
        <w:t>la autoridad</w:t>
      </w:r>
      <w:r w:rsidR="00EC29E1">
        <w:rPr>
          <w:rFonts w:ascii="Arial" w:hAnsi="Arial" w:cs="Arial"/>
          <w:color w:val="000000"/>
          <w:sz w:val="26"/>
          <w:szCs w:val="26"/>
        </w:rPr>
        <w:t xml:space="preserve"> </w:t>
      </w:r>
      <w:r w:rsidR="006D64AD">
        <w:rPr>
          <w:rFonts w:ascii="Arial" w:hAnsi="Arial" w:cs="Arial"/>
          <w:color w:val="000000"/>
          <w:sz w:val="26"/>
          <w:szCs w:val="26"/>
        </w:rPr>
        <w:t xml:space="preserve">recurrente se inconforma </w:t>
      </w:r>
      <w:r w:rsidR="00EC29E1">
        <w:rPr>
          <w:rFonts w:ascii="Arial" w:hAnsi="Arial" w:cs="Arial"/>
          <w:color w:val="000000"/>
          <w:sz w:val="26"/>
          <w:szCs w:val="26"/>
        </w:rPr>
        <w:t xml:space="preserve">respecto </w:t>
      </w:r>
      <w:r w:rsidR="007A7647">
        <w:rPr>
          <w:rFonts w:ascii="Arial" w:hAnsi="Arial" w:cs="Arial"/>
          <w:color w:val="000000"/>
          <w:sz w:val="26"/>
          <w:szCs w:val="26"/>
        </w:rPr>
        <w:t>de la part</w:t>
      </w:r>
      <w:r w:rsidR="007A599B">
        <w:rPr>
          <w:rFonts w:ascii="Arial" w:hAnsi="Arial" w:cs="Arial"/>
          <w:color w:val="000000"/>
          <w:sz w:val="26"/>
          <w:szCs w:val="26"/>
        </w:rPr>
        <w:t>e relativa del acuerdo de 11 once</w:t>
      </w:r>
      <w:r w:rsidR="007A7647">
        <w:rPr>
          <w:rFonts w:ascii="Arial" w:hAnsi="Arial" w:cs="Arial"/>
          <w:color w:val="000000"/>
          <w:sz w:val="26"/>
          <w:szCs w:val="26"/>
        </w:rPr>
        <w:t xml:space="preserve"> de septiembre</w:t>
      </w:r>
      <w:r w:rsidR="00F937AB">
        <w:rPr>
          <w:rFonts w:ascii="Arial" w:hAnsi="Arial" w:cs="Arial"/>
          <w:color w:val="000000"/>
          <w:sz w:val="26"/>
          <w:szCs w:val="26"/>
        </w:rPr>
        <w:t xml:space="preserve"> de</w:t>
      </w:r>
      <w:r w:rsidR="007A7647">
        <w:rPr>
          <w:rFonts w:ascii="Arial" w:hAnsi="Arial" w:cs="Arial"/>
          <w:color w:val="000000"/>
          <w:sz w:val="26"/>
          <w:szCs w:val="26"/>
        </w:rPr>
        <w:t xml:space="preserve"> </w:t>
      </w:r>
      <w:r w:rsidR="007A599B">
        <w:rPr>
          <w:rFonts w:ascii="Arial" w:hAnsi="Arial" w:cs="Arial"/>
          <w:color w:val="000000"/>
          <w:sz w:val="26"/>
          <w:szCs w:val="26"/>
        </w:rPr>
        <w:t xml:space="preserve">2019 </w:t>
      </w:r>
      <w:r w:rsidR="007A7647">
        <w:rPr>
          <w:rFonts w:ascii="Arial" w:hAnsi="Arial" w:cs="Arial"/>
          <w:color w:val="000000"/>
          <w:sz w:val="26"/>
          <w:szCs w:val="26"/>
        </w:rPr>
        <w:t xml:space="preserve">dos mil diecinueve, </w:t>
      </w:r>
      <w:r w:rsidR="007A599B">
        <w:rPr>
          <w:rFonts w:ascii="Arial" w:hAnsi="Arial" w:cs="Arial"/>
          <w:color w:val="000000"/>
          <w:sz w:val="26"/>
          <w:szCs w:val="26"/>
        </w:rPr>
        <w:t>que dice:</w:t>
      </w:r>
    </w:p>
    <w:p w14:paraId="4D0BBFFD" w14:textId="4F4C292F" w:rsidR="007A599B" w:rsidRPr="007A599B" w:rsidRDefault="007A599B" w:rsidP="006B63F2">
      <w:pPr>
        <w:spacing w:before="240" w:line="360" w:lineRule="auto"/>
        <w:ind w:left="567" w:right="616"/>
        <w:jc w:val="both"/>
        <w:rPr>
          <w:rFonts w:ascii="Arial" w:hAnsi="Arial" w:cs="Arial"/>
          <w:i/>
          <w:color w:val="000000"/>
          <w:sz w:val="24"/>
          <w:szCs w:val="24"/>
        </w:rPr>
      </w:pPr>
      <w:r w:rsidRPr="007A599B">
        <w:rPr>
          <w:rFonts w:ascii="Arial" w:eastAsia="Calibri" w:hAnsi="Arial" w:cs="Arial"/>
          <w:bCs/>
          <w:i/>
          <w:color w:val="000000" w:themeColor="text1"/>
          <w:sz w:val="24"/>
          <w:szCs w:val="24"/>
        </w:rPr>
        <w:t xml:space="preserve">   “(…) Se tiene al promovente pidiendo la sustitución del cumplimiento de la sentencia dictada en el presente juicio, para efecto de que se le haga la devolución del dinero que pago (sic) por concepto del acta de infracción anulada, por la cantidad de </w:t>
      </w:r>
      <w:r w:rsidR="00527EDB">
        <w:rPr>
          <w:rFonts w:ascii="Arial" w:hAnsi="Arial" w:cs="Arial"/>
          <w:color w:val="000000"/>
          <w:sz w:val="26"/>
          <w:szCs w:val="26"/>
        </w:rPr>
        <w:t>***********</w:t>
      </w:r>
      <w:r w:rsidRPr="007A599B">
        <w:rPr>
          <w:rFonts w:ascii="Arial" w:eastAsia="Calibri" w:hAnsi="Arial" w:cs="Arial"/>
          <w:bCs/>
          <w:i/>
          <w:color w:val="000000" w:themeColor="text1"/>
          <w:sz w:val="24"/>
          <w:szCs w:val="24"/>
        </w:rPr>
        <w:t xml:space="preserve">, </w:t>
      </w:r>
      <w:r w:rsidRPr="007A599B">
        <w:rPr>
          <w:rFonts w:ascii="Arial" w:eastAsia="Calibri" w:hAnsi="Arial" w:cs="Arial"/>
          <w:b/>
          <w:bCs/>
          <w:i/>
          <w:color w:val="000000" w:themeColor="text1"/>
          <w:sz w:val="24"/>
          <w:szCs w:val="24"/>
          <w:u w:val="single"/>
        </w:rPr>
        <w:t>petición que no es procedente</w:t>
      </w:r>
      <w:r w:rsidRPr="007A599B">
        <w:rPr>
          <w:rFonts w:ascii="Arial" w:eastAsia="Calibri" w:hAnsi="Arial" w:cs="Arial"/>
          <w:bCs/>
          <w:i/>
          <w:color w:val="000000" w:themeColor="text1"/>
          <w:sz w:val="24"/>
          <w:szCs w:val="24"/>
        </w:rPr>
        <w:t>, en virtud de que en la sentencia dictada en el presente juicio, no se ordenó a la autoridad demandada realizara la entrega del dinero al que hace mención el promovente, aunado a lo anterior que no fue pedido en la demanda de nulidad presentada ante este Tribunal.(…)”</w:t>
      </w:r>
    </w:p>
    <w:p w14:paraId="56D13655" w14:textId="77777777" w:rsidR="006D64AD" w:rsidRDefault="007A599B" w:rsidP="007A599B">
      <w:pPr>
        <w:spacing w:before="240" w:line="360" w:lineRule="auto"/>
        <w:ind w:firstLine="708"/>
        <w:jc w:val="both"/>
        <w:rPr>
          <w:rFonts w:ascii="Arial" w:hAnsi="Arial" w:cs="Arial"/>
          <w:color w:val="000000"/>
          <w:sz w:val="26"/>
          <w:szCs w:val="26"/>
        </w:rPr>
      </w:pPr>
      <w:r>
        <w:rPr>
          <w:rFonts w:ascii="Arial" w:hAnsi="Arial" w:cs="Arial"/>
          <w:color w:val="000000"/>
          <w:sz w:val="26"/>
          <w:szCs w:val="26"/>
        </w:rPr>
        <w:t>Del cual se desprende que, acordó que la petición del actor no es procedente, al pretender que se sustituya el cumplimiento de la sentencia, para que se le haga la devolución del dinero que pagó para la devolución de la garantía que le fue retenida, lo cual no fue solicitado en su demanda y en consecuencia no fue determinado en sentencia.</w:t>
      </w:r>
    </w:p>
    <w:p w14:paraId="331E4A86" w14:textId="77777777" w:rsidR="006D64AD" w:rsidRDefault="00121DCB" w:rsidP="006D64AD">
      <w:pPr>
        <w:spacing w:before="240" w:line="360" w:lineRule="auto"/>
        <w:ind w:firstLine="708"/>
        <w:jc w:val="both"/>
        <w:rPr>
          <w:rFonts w:ascii="Arial" w:hAnsi="Arial" w:cs="Arial"/>
          <w:sz w:val="26"/>
          <w:szCs w:val="26"/>
        </w:rPr>
      </w:pPr>
      <w:r>
        <w:rPr>
          <w:rFonts w:ascii="Arial" w:hAnsi="Arial" w:cs="Arial"/>
          <w:color w:val="000000"/>
          <w:sz w:val="26"/>
          <w:szCs w:val="26"/>
        </w:rPr>
        <w:t xml:space="preserve">Por tal motivo, </w:t>
      </w:r>
      <w:r w:rsidR="004074A0">
        <w:rPr>
          <w:rFonts w:ascii="Arial" w:hAnsi="Arial" w:cs="Arial"/>
          <w:color w:val="000000"/>
          <w:sz w:val="26"/>
          <w:szCs w:val="26"/>
        </w:rPr>
        <w:t xml:space="preserve">se puntualiza </w:t>
      </w:r>
      <w:r>
        <w:rPr>
          <w:rFonts w:ascii="Arial" w:hAnsi="Arial" w:cs="Arial"/>
          <w:color w:val="000000"/>
          <w:sz w:val="26"/>
          <w:szCs w:val="26"/>
        </w:rPr>
        <w:t>que el</w:t>
      </w:r>
      <w:r w:rsidR="006D64AD">
        <w:rPr>
          <w:rFonts w:ascii="Arial" w:hAnsi="Arial" w:cs="Arial"/>
          <w:sz w:val="26"/>
          <w:szCs w:val="26"/>
        </w:rPr>
        <w:t xml:space="preserve"> artículo 2</w:t>
      </w:r>
      <w:r w:rsidR="00B95C5C">
        <w:rPr>
          <w:rFonts w:ascii="Arial" w:hAnsi="Arial" w:cs="Arial"/>
          <w:sz w:val="26"/>
          <w:szCs w:val="26"/>
        </w:rPr>
        <w:t>0</w:t>
      </w:r>
      <w:r w:rsidR="006D64AD">
        <w:rPr>
          <w:rFonts w:ascii="Arial" w:hAnsi="Arial" w:cs="Arial"/>
          <w:sz w:val="26"/>
          <w:szCs w:val="26"/>
        </w:rPr>
        <w:t>6</w:t>
      </w:r>
      <w:r w:rsidR="004074A0">
        <w:rPr>
          <w:rFonts w:ascii="Arial" w:hAnsi="Arial" w:cs="Arial"/>
          <w:sz w:val="26"/>
          <w:szCs w:val="26"/>
        </w:rPr>
        <w:t>,</w:t>
      </w:r>
      <w:r w:rsidR="006D64AD">
        <w:rPr>
          <w:rFonts w:ascii="Arial" w:hAnsi="Arial" w:cs="Arial"/>
          <w:sz w:val="26"/>
          <w:szCs w:val="26"/>
        </w:rPr>
        <w:t xml:space="preserve"> de la </w:t>
      </w:r>
      <w:r w:rsidR="008C6442">
        <w:rPr>
          <w:rFonts w:ascii="Arial" w:hAnsi="Arial" w:cs="Arial"/>
          <w:sz w:val="26"/>
          <w:szCs w:val="26"/>
        </w:rPr>
        <w:t xml:space="preserve">citada </w:t>
      </w:r>
      <w:r w:rsidR="00B95C5C">
        <w:rPr>
          <w:rFonts w:ascii="Arial" w:hAnsi="Arial" w:cs="Arial"/>
          <w:sz w:val="26"/>
          <w:szCs w:val="26"/>
        </w:rPr>
        <w:t>Ley de</w:t>
      </w:r>
      <w:r w:rsidR="002B0D64">
        <w:rPr>
          <w:rFonts w:ascii="Arial" w:hAnsi="Arial" w:cs="Arial"/>
          <w:sz w:val="26"/>
          <w:szCs w:val="26"/>
        </w:rPr>
        <w:t xml:space="preserve"> </w:t>
      </w:r>
      <w:r w:rsidR="006D64AD">
        <w:rPr>
          <w:rFonts w:ascii="Arial" w:hAnsi="Arial" w:cs="Arial"/>
          <w:sz w:val="26"/>
          <w:szCs w:val="26"/>
        </w:rPr>
        <w:t>Justicia Administrativa para el E</w:t>
      </w:r>
      <w:r w:rsidR="002B0D64">
        <w:rPr>
          <w:rFonts w:ascii="Arial" w:hAnsi="Arial" w:cs="Arial"/>
          <w:sz w:val="26"/>
          <w:szCs w:val="26"/>
        </w:rPr>
        <w:t>stado de Oaxaca</w:t>
      </w:r>
      <w:r w:rsidR="00E576D8">
        <w:rPr>
          <w:rFonts w:ascii="Arial" w:hAnsi="Arial" w:cs="Arial"/>
          <w:sz w:val="26"/>
          <w:szCs w:val="26"/>
        </w:rPr>
        <w:t xml:space="preserve">, </w:t>
      </w:r>
      <w:r w:rsidR="004074A0">
        <w:rPr>
          <w:rFonts w:ascii="Arial" w:hAnsi="Arial" w:cs="Arial"/>
          <w:sz w:val="26"/>
          <w:szCs w:val="26"/>
          <w:lang w:val="es-MX"/>
        </w:rPr>
        <w:t xml:space="preserve">hace referencia a las determinaciones que pueden ser impugnados por las partes, </w:t>
      </w:r>
      <w:r w:rsidR="004074A0">
        <w:rPr>
          <w:rFonts w:ascii="Arial" w:hAnsi="Arial" w:cs="Arial"/>
          <w:sz w:val="26"/>
          <w:szCs w:val="26"/>
          <w:lang w:val="es-MX"/>
        </w:rPr>
        <w:lastRenderedPageBreak/>
        <w:t xml:space="preserve">mediante recurso de revisión, </w:t>
      </w:r>
      <w:r w:rsidR="004074A0">
        <w:rPr>
          <w:rFonts w:ascii="Arial" w:hAnsi="Arial" w:cs="Arial"/>
          <w:sz w:val="26"/>
          <w:szCs w:val="26"/>
        </w:rPr>
        <w:t>e</w:t>
      </w:r>
      <w:r w:rsidR="006D64AD">
        <w:rPr>
          <w:rFonts w:ascii="Arial" w:hAnsi="Arial" w:cs="Arial"/>
          <w:sz w:val="26"/>
          <w:szCs w:val="26"/>
        </w:rPr>
        <w:t>stablec</w:t>
      </w:r>
      <w:r w:rsidR="004074A0">
        <w:rPr>
          <w:rFonts w:ascii="Arial" w:hAnsi="Arial" w:cs="Arial"/>
          <w:sz w:val="26"/>
          <w:szCs w:val="26"/>
        </w:rPr>
        <w:t xml:space="preserve">iéndolo </w:t>
      </w:r>
      <w:r w:rsidR="006D64AD">
        <w:rPr>
          <w:rFonts w:ascii="Arial" w:hAnsi="Arial" w:cs="Arial"/>
          <w:sz w:val="26"/>
          <w:szCs w:val="26"/>
        </w:rPr>
        <w:t>e</w:t>
      </w:r>
      <w:r w:rsidR="004074A0">
        <w:rPr>
          <w:rFonts w:ascii="Arial" w:hAnsi="Arial" w:cs="Arial"/>
          <w:sz w:val="26"/>
          <w:szCs w:val="26"/>
        </w:rPr>
        <w:t>n los términos siguientes</w:t>
      </w:r>
      <w:r w:rsidR="006D64AD">
        <w:rPr>
          <w:rFonts w:ascii="Arial" w:hAnsi="Arial" w:cs="Arial"/>
          <w:sz w:val="26"/>
          <w:szCs w:val="26"/>
        </w:rPr>
        <w:t>:</w:t>
      </w:r>
    </w:p>
    <w:p w14:paraId="2C1DC2E2" w14:textId="77777777" w:rsidR="006D64AD" w:rsidRPr="00B95C5C" w:rsidRDefault="006D64AD" w:rsidP="007A599B">
      <w:pPr>
        <w:spacing w:before="240" w:line="240" w:lineRule="auto"/>
        <w:ind w:left="851" w:right="778"/>
        <w:jc w:val="both"/>
        <w:rPr>
          <w:rFonts w:ascii="Arial" w:hAnsi="Arial" w:cs="Arial"/>
          <w:i/>
          <w:sz w:val="24"/>
          <w:szCs w:val="24"/>
        </w:rPr>
      </w:pPr>
      <w:r w:rsidRPr="00B95C5C">
        <w:rPr>
          <w:rFonts w:ascii="Arial" w:hAnsi="Arial" w:cs="Arial"/>
          <w:i/>
          <w:sz w:val="24"/>
          <w:szCs w:val="24"/>
        </w:rPr>
        <w:t>“</w:t>
      </w:r>
      <w:r w:rsidR="007A599B" w:rsidRPr="00B95C5C">
        <w:rPr>
          <w:rFonts w:ascii="Arial" w:hAnsi="Arial" w:cs="Arial"/>
          <w:b/>
          <w:i/>
          <w:sz w:val="24"/>
          <w:szCs w:val="24"/>
        </w:rPr>
        <w:t>Artículo 20</w:t>
      </w:r>
      <w:r w:rsidRPr="00B95C5C">
        <w:rPr>
          <w:rFonts w:ascii="Arial" w:hAnsi="Arial" w:cs="Arial"/>
          <w:b/>
          <w:i/>
          <w:sz w:val="24"/>
          <w:szCs w:val="24"/>
        </w:rPr>
        <w:t>6</w:t>
      </w:r>
      <w:r w:rsidRPr="00B95C5C">
        <w:rPr>
          <w:rFonts w:ascii="Arial" w:hAnsi="Arial" w:cs="Arial"/>
          <w:i/>
          <w:sz w:val="24"/>
          <w:szCs w:val="24"/>
        </w:rPr>
        <w:t xml:space="preserve">.- Contra los acuerdos y resoluciones dictados por las salas unitarias de primera instancia, procede el recurso de revisión, cuyo conocimiento y resolución corresponde a la Sala Superior. </w:t>
      </w:r>
    </w:p>
    <w:p w14:paraId="0CCA2787" w14:textId="77777777" w:rsidR="006D64AD" w:rsidRPr="00B95C5C" w:rsidRDefault="006D64AD" w:rsidP="00121DCB">
      <w:pPr>
        <w:spacing w:line="240" w:lineRule="auto"/>
        <w:ind w:left="851" w:right="778"/>
        <w:jc w:val="both"/>
        <w:rPr>
          <w:rFonts w:ascii="Arial" w:hAnsi="Arial" w:cs="Arial"/>
          <w:i/>
          <w:sz w:val="24"/>
          <w:szCs w:val="24"/>
        </w:rPr>
      </w:pPr>
      <w:r w:rsidRPr="00B95C5C">
        <w:rPr>
          <w:rFonts w:ascii="Arial" w:hAnsi="Arial" w:cs="Arial"/>
          <w:i/>
          <w:sz w:val="24"/>
          <w:szCs w:val="24"/>
        </w:rPr>
        <w:t>Podrán ser impugnados por las partes, mediante recurso de revisión:</w:t>
      </w:r>
    </w:p>
    <w:p w14:paraId="425B2E33" w14:textId="77777777" w:rsidR="006D64AD" w:rsidRPr="00B95C5C" w:rsidRDefault="006D64AD" w:rsidP="00121DCB">
      <w:pPr>
        <w:spacing w:line="240" w:lineRule="auto"/>
        <w:ind w:left="851" w:right="778"/>
        <w:jc w:val="both"/>
        <w:rPr>
          <w:rFonts w:ascii="Arial" w:hAnsi="Arial" w:cs="Arial"/>
          <w:i/>
          <w:sz w:val="24"/>
          <w:szCs w:val="24"/>
          <w:lang w:val="es-MX"/>
        </w:rPr>
      </w:pPr>
      <w:r w:rsidRPr="00B95C5C">
        <w:rPr>
          <w:rFonts w:ascii="Arial" w:hAnsi="Arial" w:cs="Arial"/>
          <w:i/>
          <w:sz w:val="24"/>
          <w:szCs w:val="24"/>
        </w:rPr>
        <w:t xml:space="preserve">I. </w:t>
      </w:r>
      <w:r w:rsidRPr="00B95C5C">
        <w:rPr>
          <w:rFonts w:ascii="Arial" w:hAnsi="Arial" w:cs="Arial"/>
          <w:i/>
          <w:sz w:val="24"/>
          <w:szCs w:val="24"/>
          <w:lang w:val="es-MX"/>
        </w:rPr>
        <w:t>Los acuerdos que admitan o desechen la demanda, su contestación o ampliación;</w:t>
      </w:r>
    </w:p>
    <w:p w14:paraId="3F08314B" w14:textId="77777777" w:rsidR="006D64AD" w:rsidRPr="00B95C5C" w:rsidRDefault="006D64AD" w:rsidP="00121DCB">
      <w:pPr>
        <w:spacing w:line="240" w:lineRule="auto"/>
        <w:ind w:left="851" w:right="778"/>
        <w:jc w:val="both"/>
        <w:rPr>
          <w:rFonts w:ascii="Arial" w:hAnsi="Arial" w:cs="Arial"/>
          <w:i/>
          <w:sz w:val="24"/>
          <w:szCs w:val="24"/>
          <w:lang w:val="es-MX"/>
        </w:rPr>
      </w:pPr>
      <w:r w:rsidRPr="00B95C5C">
        <w:rPr>
          <w:rFonts w:ascii="Arial" w:hAnsi="Arial" w:cs="Arial"/>
          <w:i/>
          <w:sz w:val="24"/>
          <w:szCs w:val="24"/>
          <w:lang w:val="es-MX"/>
        </w:rPr>
        <w:t>II. El acuerdo que deseche pruebas;</w:t>
      </w:r>
    </w:p>
    <w:p w14:paraId="3857F120" w14:textId="77777777" w:rsidR="006D64AD" w:rsidRPr="00B95C5C" w:rsidRDefault="006D64AD" w:rsidP="00121DCB">
      <w:pPr>
        <w:spacing w:line="240" w:lineRule="auto"/>
        <w:ind w:left="851" w:right="778"/>
        <w:jc w:val="both"/>
        <w:rPr>
          <w:rFonts w:ascii="Arial" w:hAnsi="Arial" w:cs="Arial"/>
          <w:i/>
          <w:sz w:val="24"/>
          <w:szCs w:val="24"/>
          <w:lang w:val="es-MX"/>
        </w:rPr>
      </w:pPr>
      <w:r w:rsidRPr="00B95C5C">
        <w:rPr>
          <w:rFonts w:ascii="Arial" w:hAnsi="Arial" w:cs="Arial"/>
          <w:i/>
          <w:sz w:val="24"/>
          <w:szCs w:val="24"/>
          <w:lang w:val="es-MX"/>
        </w:rPr>
        <w:t>III. El acuerdo que rechace la intervención del tercero;</w:t>
      </w:r>
    </w:p>
    <w:p w14:paraId="20CA1B2A" w14:textId="77777777" w:rsidR="006D64AD" w:rsidRPr="00B95C5C" w:rsidRDefault="006D64AD" w:rsidP="00121DCB">
      <w:pPr>
        <w:spacing w:line="240" w:lineRule="auto"/>
        <w:ind w:left="851" w:right="778"/>
        <w:jc w:val="both"/>
        <w:rPr>
          <w:rFonts w:ascii="Arial" w:hAnsi="Arial" w:cs="Arial"/>
          <w:i/>
          <w:sz w:val="24"/>
          <w:szCs w:val="24"/>
          <w:lang w:val="es-MX"/>
        </w:rPr>
      </w:pPr>
      <w:r w:rsidRPr="00B95C5C">
        <w:rPr>
          <w:rFonts w:ascii="Arial" w:hAnsi="Arial" w:cs="Arial"/>
          <w:i/>
          <w:sz w:val="24"/>
          <w:szCs w:val="24"/>
          <w:lang w:val="es-MX"/>
        </w:rPr>
        <w:t>IV. Los acuerdos que decreten, nieguen o revoquen la suspensión;</w:t>
      </w:r>
    </w:p>
    <w:p w14:paraId="0480D920" w14:textId="77777777" w:rsidR="006D64AD" w:rsidRPr="00B95C5C" w:rsidRDefault="006D64AD" w:rsidP="00121DCB">
      <w:pPr>
        <w:spacing w:line="240" w:lineRule="auto"/>
        <w:ind w:left="851" w:right="778"/>
        <w:jc w:val="both"/>
        <w:rPr>
          <w:rFonts w:ascii="Arial" w:hAnsi="Arial" w:cs="Arial"/>
          <w:i/>
          <w:sz w:val="24"/>
          <w:szCs w:val="24"/>
          <w:lang w:val="es-MX"/>
        </w:rPr>
      </w:pPr>
      <w:r w:rsidRPr="00B95C5C">
        <w:rPr>
          <w:rFonts w:ascii="Arial" w:hAnsi="Arial" w:cs="Arial"/>
          <w:i/>
          <w:sz w:val="24"/>
          <w:szCs w:val="24"/>
          <w:lang w:val="es-MX"/>
        </w:rPr>
        <w:t>V. Las resoluciones que dec</w:t>
      </w:r>
      <w:r w:rsidR="00342EDA" w:rsidRPr="00B95C5C">
        <w:rPr>
          <w:rFonts w:ascii="Arial" w:hAnsi="Arial" w:cs="Arial"/>
          <w:i/>
          <w:sz w:val="24"/>
          <w:szCs w:val="24"/>
          <w:lang w:val="es-MX"/>
        </w:rPr>
        <w:t>idan incidentes</w:t>
      </w:r>
      <w:r w:rsidRPr="00B95C5C">
        <w:rPr>
          <w:rFonts w:ascii="Arial" w:hAnsi="Arial" w:cs="Arial"/>
          <w:i/>
          <w:sz w:val="24"/>
          <w:szCs w:val="24"/>
          <w:lang w:val="es-MX"/>
        </w:rPr>
        <w:t>;</w:t>
      </w:r>
    </w:p>
    <w:p w14:paraId="5E16634F" w14:textId="77777777" w:rsidR="006D64AD" w:rsidRPr="00B95C5C" w:rsidRDefault="006D64AD" w:rsidP="00121DCB">
      <w:pPr>
        <w:spacing w:line="240" w:lineRule="auto"/>
        <w:ind w:left="851" w:right="778"/>
        <w:jc w:val="both"/>
        <w:rPr>
          <w:rFonts w:ascii="Arial" w:hAnsi="Arial" w:cs="Arial"/>
          <w:i/>
          <w:sz w:val="24"/>
          <w:szCs w:val="24"/>
          <w:lang w:val="es-MX"/>
        </w:rPr>
      </w:pPr>
      <w:r w:rsidRPr="00B95C5C">
        <w:rPr>
          <w:rFonts w:ascii="Arial" w:hAnsi="Arial" w:cs="Arial"/>
          <w:i/>
          <w:sz w:val="24"/>
          <w:szCs w:val="24"/>
          <w:lang w:val="es-MX"/>
        </w:rPr>
        <w:t>VI. Las resoluciones que decreten o nieguen el sobreseimiento;</w:t>
      </w:r>
    </w:p>
    <w:p w14:paraId="1BECC0DE" w14:textId="77777777" w:rsidR="006D64AD" w:rsidRPr="00B95C5C" w:rsidRDefault="006D64AD" w:rsidP="00342EDA">
      <w:pPr>
        <w:spacing w:line="240" w:lineRule="auto"/>
        <w:ind w:left="851" w:right="778"/>
        <w:jc w:val="both"/>
        <w:rPr>
          <w:rFonts w:ascii="Arial" w:hAnsi="Arial" w:cs="Arial"/>
          <w:i/>
          <w:sz w:val="24"/>
          <w:szCs w:val="24"/>
          <w:lang w:val="es-MX"/>
        </w:rPr>
      </w:pPr>
      <w:r w:rsidRPr="00B95C5C">
        <w:rPr>
          <w:rFonts w:ascii="Arial" w:hAnsi="Arial" w:cs="Arial"/>
          <w:i/>
          <w:sz w:val="24"/>
          <w:szCs w:val="24"/>
          <w:lang w:val="es-MX"/>
        </w:rPr>
        <w:t>VII. Las sentencias que decidan la cuestión planteada</w:t>
      </w:r>
      <w:r w:rsidR="00342EDA" w:rsidRPr="00B95C5C">
        <w:rPr>
          <w:rFonts w:ascii="Arial" w:hAnsi="Arial" w:cs="Arial"/>
          <w:i/>
          <w:sz w:val="24"/>
          <w:szCs w:val="24"/>
          <w:lang w:val="es-MX"/>
        </w:rPr>
        <w:t>.</w:t>
      </w:r>
      <w:r w:rsidRPr="00B95C5C">
        <w:rPr>
          <w:rFonts w:ascii="Arial" w:hAnsi="Arial" w:cs="Arial"/>
          <w:i/>
          <w:sz w:val="24"/>
          <w:szCs w:val="24"/>
          <w:lang w:val="es-MX"/>
        </w:rPr>
        <w:t xml:space="preserve"> Por violaciones cometidas durante el procedimiento del juicio, cuando hayan dejado sin defensa al recurrente y trasciendan al sentido de la sentencia; y</w:t>
      </w:r>
    </w:p>
    <w:p w14:paraId="64AFBF17" w14:textId="77777777" w:rsidR="006D64AD" w:rsidRDefault="00342EDA" w:rsidP="00121DCB">
      <w:pPr>
        <w:spacing w:line="240" w:lineRule="auto"/>
        <w:ind w:left="851" w:right="778"/>
        <w:jc w:val="both"/>
        <w:rPr>
          <w:rFonts w:ascii="Arial" w:hAnsi="Arial" w:cs="Arial"/>
          <w:i/>
          <w:sz w:val="24"/>
          <w:szCs w:val="24"/>
          <w:lang w:val="es-MX"/>
        </w:rPr>
      </w:pPr>
      <w:r w:rsidRPr="00B95C5C">
        <w:rPr>
          <w:rFonts w:ascii="Arial" w:hAnsi="Arial" w:cs="Arial"/>
          <w:i/>
          <w:sz w:val="24"/>
          <w:szCs w:val="24"/>
          <w:lang w:val="es-MX"/>
        </w:rPr>
        <w:t>VIII.</w:t>
      </w:r>
      <w:r w:rsidR="006D64AD" w:rsidRPr="00B95C5C">
        <w:rPr>
          <w:rFonts w:ascii="Arial" w:hAnsi="Arial" w:cs="Arial"/>
          <w:i/>
          <w:sz w:val="24"/>
          <w:szCs w:val="24"/>
          <w:lang w:val="es-MX"/>
        </w:rPr>
        <w:t xml:space="preserve"> Las resoluciones que pongan fin al procedimiento de ejecución de la sentencia.”</w:t>
      </w:r>
    </w:p>
    <w:p w14:paraId="4542C945" w14:textId="77777777" w:rsidR="00B95C5C" w:rsidRPr="00B95C5C" w:rsidRDefault="00B95C5C" w:rsidP="00121DCB">
      <w:pPr>
        <w:spacing w:line="240" w:lineRule="auto"/>
        <w:ind w:left="851" w:right="778"/>
        <w:jc w:val="both"/>
        <w:rPr>
          <w:rFonts w:ascii="Arial" w:hAnsi="Arial" w:cs="Arial"/>
          <w:i/>
          <w:sz w:val="24"/>
          <w:szCs w:val="24"/>
          <w:lang w:val="es-MX"/>
        </w:rPr>
      </w:pPr>
    </w:p>
    <w:p w14:paraId="2E3035D5" w14:textId="77777777" w:rsidR="006D64AD" w:rsidRDefault="00342EDA" w:rsidP="00342EDA">
      <w:pPr>
        <w:spacing w:before="240" w:line="360" w:lineRule="auto"/>
        <w:jc w:val="both"/>
        <w:rPr>
          <w:rFonts w:ascii="Arial" w:hAnsi="Arial" w:cs="Arial"/>
          <w:bCs/>
          <w:sz w:val="26"/>
          <w:szCs w:val="26"/>
        </w:rPr>
      </w:pPr>
      <w:r>
        <w:rPr>
          <w:rFonts w:ascii="Arial" w:hAnsi="Arial" w:cs="Arial"/>
          <w:bCs/>
          <w:sz w:val="26"/>
          <w:szCs w:val="26"/>
        </w:rPr>
        <w:t xml:space="preserve">   </w:t>
      </w:r>
      <w:r w:rsidR="00B95C5C">
        <w:rPr>
          <w:rFonts w:ascii="Arial" w:hAnsi="Arial" w:cs="Arial"/>
          <w:bCs/>
          <w:sz w:val="26"/>
          <w:szCs w:val="26"/>
        </w:rPr>
        <w:t xml:space="preserve">    </w:t>
      </w:r>
      <w:r>
        <w:rPr>
          <w:rFonts w:ascii="Arial" w:hAnsi="Arial" w:cs="Arial"/>
          <w:bCs/>
          <w:sz w:val="26"/>
          <w:szCs w:val="26"/>
        </w:rPr>
        <w:t xml:space="preserve">  </w:t>
      </w:r>
      <w:r w:rsidR="00121DCB">
        <w:rPr>
          <w:rFonts w:ascii="Arial" w:hAnsi="Arial" w:cs="Arial"/>
          <w:bCs/>
          <w:sz w:val="26"/>
          <w:szCs w:val="26"/>
        </w:rPr>
        <w:t xml:space="preserve">De lo anteriormente </w:t>
      </w:r>
      <w:r w:rsidR="006D64AD">
        <w:rPr>
          <w:rFonts w:ascii="Arial" w:hAnsi="Arial" w:cs="Arial"/>
          <w:bCs/>
          <w:sz w:val="26"/>
          <w:szCs w:val="26"/>
        </w:rPr>
        <w:t>transcri</w:t>
      </w:r>
      <w:r w:rsidR="00121DCB">
        <w:rPr>
          <w:rFonts w:ascii="Arial" w:hAnsi="Arial" w:cs="Arial"/>
          <w:bCs/>
          <w:sz w:val="26"/>
          <w:szCs w:val="26"/>
        </w:rPr>
        <w:t>to se advierte</w:t>
      </w:r>
      <w:r w:rsidR="006D64AD">
        <w:rPr>
          <w:rFonts w:ascii="Arial" w:hAnsi="Arial" w:cs="Arial"/>
          <w:bCs/>
          <w:sz w:val="26"/>
          <w:szCs w:val="26"/>
        </w:rPr>
        <w:t xml:space="preserve">, </w:t>
      </w:r>
      <w:r w:rsidR="00121DCB">
        <w:rPr>
          <w:rFonts w:ascii="Arial" w:hAnsi="Arial" w:cs="Arial"/>
          <w:bCs/>
          <w:sz w:val="26"/>
          <w:szCs w:val="26"/>
        </w:rPr>
        <w:t xml:space="preserve">que </w:t>
      </w:r>
      <w:r w:rsidR="004074A0">
        <w:rPr>
          <w:rFonts w:ascii="Arial" w:hAnsi="Arial" w:cs="Arial"/>
          <w:bCs/>
          <w:sz w:val="26"/>
          <w:szCs w:val="26"/>
        </w:rPr>
        <w:t xml:space="preserve">en el caso que se analiza no se actualiza ninguna de las hipótesis </w:t>
      </w:r>
      <w:r w:rsidR="002B0D64">
        <w:rPr>
          <w:rFonts w:ascii="Arial" w:hAnsi="Arial" w:cs="Arial"/>
          <w:bCs/>
          <w:sz w:val="26"/>
          <w:szCs w:val="26"/>
        </w:rPr>
        <w:t>previstas en el artículo 23</w:t>
      </w:r>
      <w:r w:rsidR="002F471F">
        <w:rPr>
          <w:rFonts w:ascii="Arial" w:hAnsi="Arial" w:cs="Arial"/>
          <w:bCs/>
          <w:sz w:val="26"/>
          <w:szCs w:val="26"/>
        </w:rPr>
        <w:t xml:space="preserve">6, de la Ley de la materia, bajo las cuales sería procedente </w:t>
      </w:r>
      <w:r w:rsidR="006D64AD">
        <w:rPr>
          <w:rFonts w:ascii="Arial" w:hAnsi="Arial" w:cs="Arial"/>
          <w:bCs/>
          <w:sz w:val="26"/>
          <w:szCs w:val="26"/>
        </w:rPr>
        <w:t>el presente medio de impugnación</w:t>
      </w:r>
      <w:r w:rsidR="00316344">
        <w:rPr>
          <w:rFonts w:ascii="Arial" w:hAnsi="Arial" w:cs="Arial"/>
          <w:bCs/>
          <w:sz w:val="26"/>
          <w:szCs w:val="26"/>
        </w:rPr>
        <w:t xml:space="preserve"> y,</w:t>
      </w:r>
      <w:r w:rsidR="002F471F">
        <w:rPr>
          <w:rFonts w:ascii="Arial" w:hAnsi="Arial" w:cs="Arial"/>
          <w:bCs/>
          <w:sz w:val="26"/>
          <w:szCs w:val="26"/>
        </w:rPr>
        <w:t xml:space="preserve"> que ante la falta de adecuación</w:t>
      </w:r>
      <w:r w:rsidR="00316344">
        <w:rPr>
          <w:rFonts w:ascii="Arial" w:hAnsi="Arial" w:cs="Arial"/>
          <w:bCs/>
          <w:sz w:val="26"/>
          <w:szCs w:val="26"/>
        </w:rPr>
        <w:t xml:space="preserve"> al caso concreto</w:t>
      </w:r>
      <w:r w:rsidR="006D64AD">
        <w:rPr>
          <w:rFonts w:ascii="Arial" w:hAnsi="Arial" w:cs="Arial"/>
          <w:bCs/>
          <w:sz w:val="26"/>
          <w:szCs w:val="26"/>
        </w:rPr>
        <w:t xml:space="preserve"> resulta </w:t>
      </w:r>
      <w:r w:rsidR="006D64AD" w:rsidRPr="004F3EBB">
        <w:rPr>
          <w:rFonts w:ascii="Arial" w:hAnsi="Arial" w:cs="Arial"/>
          <w:b/>
          <w:bCs/>
          <w:sz w:val="26"/>
          <w:szCs w:val="26"/>
        </w:rPr>
        <w:t>improcedente</w:t>
      </w:r>
      <w:r w:rsidR="002F471F">
        <w:rPr>
          <w:rFonts w:ascii="Arial" w:hAnsi="Arial" w:cs="Arial"/>
          <w:bCs/>
          <w:sz w:val="26"/>
          <w:szCs w:val="26"/>
        </w:rPr>
        <w:t xml:space="preserve"> el </w:t>
      </w:r>
      <w:r w:rsidR="00E576D8">
        <w:rPr>
          <w:rFonts w:ascii="Arial" w:hAnsi="Arial" w:cs="Arial"/>
          <w:bCs/>
          <w:sz w:val="26"/>
          <w:szCs w:val="26"/>
        </w:rPr>
        <w:t>recurso de revisión interpuesto.</w:t>
      </w:r>
    </w:p>
    <w:p w14:paraId="0A8DF716" w14:textId="617DEA58" w:rsidR="006D64AD" w:rsidRDefault="006D64AD" w:rsidP="004074A0">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sidR="00EB1CB8">
        <w:rPr>
          <w:rFonts w:ascii="Arial" w:hAnsi="Arial" w:cs="Arial"/>
          <w:color w:val="000000"/>
          <w:sz w:val="26"/>
          <w:szCs w:val="26"/>
        </w:rPr>
        <w:t>tanto</w:t>
      </w:r>
      <w:r>
        <w:rPr>
          <w:rFonts w:ascii="Arial" w:hAnsi="Arial" w:cs="Arial"/>
          <w:bCs/>
          <w:sz w:val="26"/>
          <w:szCs w:val="26"/>
        </w:rPr>
        <w:t xml:space="preserve">, en atención a lo expuesto, </w:t>
      </w:r>
      <w:r>
        <w:rPr>
          <w:rFonts w:ascii="Arial" w:hAnsi="Arial" w:cs="Arial"/>
          <w:sz w:val="26"/>
          <w:szCs w:val="26"/>
        </w:rPr>
        <w:t xml:space="preserve">con fundamento en </w:t>
      </w:r>
      <w:r w:rsidR="00E576D8">
        <w:rPr>
          <w:rFonts w:ascii="Arial" w:hAnsi="Arial" w:cs="Arial"/>
          <w:sz w:val="26"/>
          <w:szCs w:val="26"/>
        </w:rPr>
        <w:t>el</w:t>
      </w:r>
      <w:r w:rsidR="00301B15">
        <w:rPr>
          <w:rFonts w:ascii="Arial" w:hAnsi="Arial" w:cs="Arial"/>
          <w:sz w:val="26"/>
          <w:szCs w:val="26"/>
        </w:rPr>
        <w:t xml:space="preserve"> </w:t>
      </w:r>
      <w:r>
        <w:rPr>
          <w:rFonts w:ascii="Arial" w:hAnsi="Arial" w:cs="Arial"/>
          <w:sz w:val="26"/>
          <w:szCs w:val="26"/>
        </w:rPr>
        <w:t>artículo 2</w:t>
      </w:r>
      <w:r w:rsidR="00B95C5C">
        <w:rPr>
          <w:rFonts w:ascii="Arial" w:hAnsi="Arial" w:cs="Arial"/>
          <w:sz w:val="26"/>
          <w:szCs w:val="26"/>
        </w:rPr>
        <w:t>0</w:t>
      </w:r>
      <w:r w:rsidR="00E576D8">
        <w:rPr>
          <w:rFonts w:ascii="Arial" w:hAnsi="Arial" w:cs="Arial"/>
          <w:sz w:val="26"/>
          <w:szCs w:val="26"/>
        </w:rPr>
        <w:t>6</w:t>
      </w:r>
      <w:r>
        <w:rPr>
          <w:rFonts w:ascii="Arial" w:hAnsi="Arial" w:cs="Arial"/>
          <w:sz w:val="26"/>
          <w:szCs w:val="26"/>
        </w:rPr>
        <w:t xml:space="preserve"> de la Ley de </w:t>
      </w:r>
      <w:r w:rsidR="00301B15">
        <w:rPr>
          <w:rFonts w:ascii="Arial" w:hAnsi="Arial" w:cs="Arial"/>
          <w:sz w:val="26"/>
          <w:szCs w:val="26"/>
        </w:rPr>
        <w:t>Justicia Administrativa para el Estado de Oaxaca</w:t>
      </w:r>
      <w:r>
        <w:rPr>
          <w:rFonts w:ascii="Arial" w:hAnsi="Arial" w:cs="Arial"/>
          <w:sz w:val="26"/>
          <w:szCs w:val="26"/>
        </w:rPr>
        <w:t xml:space="preserve">,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527EDB">
        <w:rPr>
          <w:rFonts w:ascii="Arial" w:hAnsi="Arial" w:cs="Arial"/>
          <w:color w:val="000000"/>
          <w:sz w:val="26"/>
          <w:szCs w:val="26"/>
        </w:rPr>
        <w:t>***********</w:t>
      </w:r>
      <w:r>
        <w:rPr>
          <w:rFonts w:ascii="Arial" w:hAnsi="Arial" w:cs="Arial"/>
          <w:sz w:val="26"/>
          <w:szCs w:val="26"/>
        </w:rPr>
        <w:t xml:space="preserve">, </w:t>
      </w:r>
      <w:r w:rsidRPr="0070243B">
        <w:rPr>
          <w:rFonts w:ascii="Arial" w:hAnsi="Arial" w:cs="Arial"/>
          <w:sz w:val="26"/>
          <w:szCs w:val="26"/>
        </w:rPr>
        <w:t>en c</w:t>
      </w:r>
      <w:r w:rsidR="00F548F5">
        <w:rPr>
          <w:rFonts w:ascii="Arial" w:hAnsi="Arial" w:cs="Arial"/>
          <w:sz w:val="26"/>
          <w:szCs w:val="26"/>
        </w:rPr>
        <w:t>ontra de la part</w:t>
      </w:r>
      <w:r w:rsidR="00B95C5C">
        <w:rPr>
          <w:rFonts w:ascii="Arial" w:hAnsi="Arial" w:cs="Arial"/>
          <w:sz w:val="26"/>
          <w:szCs w:val="26"/>
        </w:rPr>
        <w:t>e relativa del acuerdo de 11 once</w:t>
      </w:r>
      <w:r w:rsidR="00F548F5">
        <w:rPr>
          <w:rFonts w:ascii="Arial" w:hAnsi="Arial" w:cs="Arial"/>
          <w:sz w:val="26"/>
          <w:szCs w:val="26"/>
        </w:rPr>
        <w:t xml:space="preserve"> de septiembre de</w:t>
      </w:r>
      <w:r w:rsidR="00582EEB">
        <w:rPr>
          <w:rFonts w:ascii="Arial" w:hAnsi="Arial" w:cs="Arial"/>
          <w:sz w:val="26"/>
          <w:szCs w:val="26"/>
        </w:rPr>
        <w:t xml:space="preserve"> </w:t>
      </w:r>
      <w:r w:rsidR="00B95C5C">
        <w:rPr>
          <w:rFonts w:ascii="Arial" w:hAnsi="Arial" w:cs="Arial"/>
          <w:sz w:val="26"/>
          <w:szCs w:val="26"/>
        </w:rPr>
        <w:t xml:space="preserve">2019 </w:t>
      </w:r>
      <w:r w:rsidR="00582EEB">
        <w:rPr>
          <w:rFonts w:ascii="Arial" w:hAnsi="Arial" w:cs="Arial"/>
          <w:sz w:val="26"/>
          <w:szCs w:val="26"/>
        </w:rPr>
        <w:t>dos mil diecinueve</w:t>
      </w:r>
      <w:r>
        <w:rPr>
          <w:rFonts w:ascii="Arial" w:hAnsi="Arial" w:cs="Arial"/>
          <w:sz w:val="26"/>
          <w:szCs w:val="26"/>
        </w:rPr>
        <w:t>.</w:t>
      </w:r>
    </w:p>
    <w:p w14:paraId="034CBE25" w14:textId="77777777" w:rsidR="006D64AD" w:rsidRDefault="006D64AD" w:rsidP="006D64AD">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w:t>
      </w:r>
      <w:r w:rsidR="00B95C5C">
        <w:rPr>
          <w:rFonts w:ascii="Arial" w:hAnsi="Arial" w:cs="Arial"/>
          <w:sz w:val="26"/>
          <w:szCs w:val="26"/>
        </w:rPr>
        <w:t>0</w:t>
      </w:r>
      <w:r>
        <w:rPr>
          <w:rFonts w:ascii="Arial" w:hAnsi="Arial" w:cs="Arial"/>
          <w:sz w:val="26"/>
          <w:szCs w:val="26"/>
        </w:rPr>
        <w:t>7 y 2</w:t>
      </w:r>
      <w:r w:rsidR="00B95C5C">
        <w:rPr>
          <w:rFonts w:ascii="Arial" w:hAnsi="Arial" w:cs="Arial"/>
          <w:sz w:val="26"/>
          <w:szCs w:val="26"/>
        </w:rPr>
        <w:t>08 de la Ley de</w:t>
      </w:r>
      <w:r w:rsidR="00F548F5">
        <w:rPr>
          <w:rFonts w:ascii="Arial" w:hAnsi="Arial" w:cs="Arial"/>
          <w:sz w:val="26"/>
          <w:szCs w:val="26"/>
        </w:rPr>
        <w:t xml:space="preserve"> </w:t>
      </w:r>
      <w:r>
        <w:rPr>
          <w:rFonts w:ascii="Arial" w:hAnsi="Arial" w:cs="Arial"/>
          <w:sz w:val="26"/>
          <w:szCs w:val="26"/>
        </w:rPr>
        <w:t>Justicia Administrativa para el Estado</w:t>
      </w:r>
      <w:r w:rsidR="00582EEB">
        <w:rPr>
          <w:rFonts w:ascii="Arial" w:hAnsi="Arial" w:cs="Arial"/>
          <w:sz w:val="26"/>
          <w:szCs w:val="26"/>
        </w:rPr>
        <w:t xml:space="preserve"> de Oaxaca</w:t>
      </w:r>
      <w:r>
        <w:rPr>
          <w:rFonts w:ascii="Arial" w:hAnsi="Arial" w:cs="Arial"/>
          <w:sz w:val="26"/>
          <w:szCs w:val="26"/>
        </w:rPr>
        <w:t>, se:</w:t>
      </w:r>
    </w:p>
    <w:p w14:paraId="322738EE" w14:textId="77777777" w:rsidR="006D64AD" w:rsidRDefault="006D64AD" w:rsidP="006D64AD">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14:paraId="25BFD1BD" w14:textId="30F66D29" w:rsidR="006D64AD" w:rsidRDefault="006D64AD" w:rsidP="006D64AD">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Pr="00EE4606">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 xml:space="preserve">IMPROCEDENTE </w:t>
      </w:r>
      <w:r>
        <w:rPr>
          <w:rFonts w:ascii="Arial" w:hAnsi="Arial" w:cs="Arial"/>
          <w:sz w:val="26"/>
          <w:szCs w:val="26"/>
        </w:rPr>
        <w:t>el recurso de revisión interpuesto</w:t>
      </w:r>
      <w:r w:rsidR="00582EEB">
        <w:rPr>
          <w:rFonts w:ascii="Arial" w:hAnsi="Arial" w:cs="Arial"/>
          <w:sz w:val="26"/>
          <w:szCs w:val="26"/>
        </w:rPr>
        <w:t xml:space="preserve"> por </w:t>
      </w:r>
      <w:r w:rsidR="00527EDB">
        <w:rPr>
          <w:rFonts w:ascii="Arial" w:hAnsi="Arial" w:cs="Arial"/>
          <w:color w:val="000000"/>
          <w:sz w:val="26"/>
          <w:szCs w:val="26"/>
        </w:rPr>
        <w:t>***********</w:t>
      </w:r>
      <w:r>
        <w:rPr>
          <w:rFonts w:ascii="Arial" w:hAnsi="Arial" w:cs="Arial"/>
          <w:sz w:val="26"/>
          <w:szCs w:val="26"/>
        </w:rPr>
        <w:t>, por las razones expuestas en el considerando que antecede.</w:t>
      </w:r>
    </w:p>
    <w:p w14:paraId="4ADE10E2" w14:textId="77777777" w:rsidR="005F629F" w:rsidRDefault="006D64AD" w:rsidP="005F629F">
      <w:pPr>
        <w:spacing w:before="240" w:line="360" w:lineRule="auto"/>
        <w:ind w:firstLine="708"/>
        <w:jc w:val="both"/>
        <w:rPr>
          <w:rFonts w:ascii="Arial" w:hAnsi="Arial" w:cs="Arial"/>
          <w:sz w:val="26"/>
          <w:szCs w:val="26"/>
        </w:rPr>
      </w:pPr>
      <w:r>
        <w:rPr>
          <w:rFonts w:ascii="Arial" w:hAnsi="Arial" w:cs="Arial"/>
          <w:b/>
          <w:sz w:val="26"/>
          <w:szCs w:val="26"/>
          <w:lang w:val="es-MX"/>
        </w:rPr>
        <w:lastRenderedPageBreak/>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con copia certificada de la presente resolución, vuelvan</w:t>
      </w:r>
      <w:r w:rsidR="00B95C5C">
        <w:rPr>
          <w:rFonts w:ascii="Arial" w:hAnsi="Arial" w:cs="Arial"/>
          <w:sz w:val="26"/>
          <w:szCs w:val="26"/>
        </w:rPr>
        <w:t xml:space="preserve"> las constancias remitidas a la Tercera</w:t>
      </w:r>
      <w:r>
        <w:rPr>
          <w:rFonts w:ascii="Arial" w:hAnsi="Arial" w:cs="Arial"/>
          <w:sz w:val="26"/>
          <w:szCs w:val="26"/>
        </w:rPr>
        <w:t xml:space="preserve"> Sala Unitaria de Primera Instancia, </w:t>
      </w:r>
      <w:r w:rsidRPr="00D81DA7">
        <w:rPr>
          <w:rFonts w:ascii="Arial" w:hAnsi="Arial" w:cs="Arial"/>
          <w:sz w:val="26"/>
          <w:szCs w:val="26"/>
        </w:rPr>
        <w:t>y en su oportunidad archívese el cuaderno de revisión como concluido.</w:t>
      </w:r>
    </w:p>
    <w:p w14:paraId="020734C8" w14:textId="630BF488" w:rsidR="00B01C9A" w:rsidRDefault="00B01C9A" w:rsidP="00B01C9A">
      <w:pPr>
        <w:spacing w:before="24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Manuel Velasco Alcántara, Abraham Santiago Soriano integrantes de la Sala Superior, con el Magistrado Enrique Pacheco Martínez, en atención a la excusa aprobada del Magistrado Raúl Palomares Palomino, para conocer, discutir y resolver en la presente resolución; quienes actúan con el Licenciado Juan Edy García Coronado, Secretario General de Acuerdos de este Tribunal, que autoriza y da fe.</w:t>
      </w:r>
    </w:p>
    <w:p w14:paraId="63012C0B" w14:textId="5CB0E77C" w:rsidR="00B01C9A" w:rsidRDefault="00B01C9A" w:rsidP="00B01C9A">
      <w:pPr>
        <w:spacing w:line="360" w:lineRule="auto"/>
        <w:rPr>
          <w:rFonts w:ascii="Arial" w:hAnsi="Arial" w:cs="Arial"/>
          <w:sz w:val="26"/>
          <w:szCs w:val="26"/>
        </w:rPr>
      </w:pPr>
    </w:p>
    <w:p w14:paraId="09AD7756" w14:textId="77777777" w:rsidR="00B01C9A" w:rsidRDefault="00B01C9A" w:rsidP="00B01C9A">
      <w:pPr>
        <w:spacing w:line="360" w:lineRule="auto"/>
        <w:rPr>
          <w:rFonts w:ascii="Arial" w:hAnsi="Arial" w:cs="Arial"/>
          <w:sz w:val="26"/>
          <w:szCs w:val="26"/>
        </w:rPr>
      </w:pPr>
    </w:p>
    <w:p w14:paraId="3F038461" w14:textId="77777777" w:rsidR="00B01C9A" w:rsidRDefault="00B01C9A" w:rsidP="00B01C9A">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MAGISTRADO MANUEL VELASCO ALCÁNTARA </w:t>
      </w:r>
    </w:p>
    <w:p w14:paraId="04FA43AD" w14:textId="77777777" w:rsidR="00B01C9A" w:rsidRDefault="00B01C9A" w:rsidP="00B01C9A">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PRESIDENTE</w:t>
      </w:r>
    </w:p>
    <w:p w14:paraId="1002ED70" w14:textId="77777777" w:rsidR="00B01C9A" w:rsidRDefault="00B01C9A" w:rsidP="00B01C9A">
      <w:pPr>
        <w:tabs>
          <w:tab w:val="center" w:pos="4135"/>
          <w:tab w:val="left" w:pos="7515"/>
        </w:tabs>
        <w:spacing w:line="360" w:lineRule="auto"/>
        <w:jc w:val="center"/>
        <w:rPr>
          <w:rFonts w:ascii="Arial" w:hAnsi="Arial" w:cs="Arial"/>
          <w:b/>
          <w:bCs/>
          <w:sz w:val="14"/>
          <w:szCs w:val="14"/>
        </w:rPr>
      </w:pPr>
    </w:p>
    <w:p w14:paraId="5B5B8DE5" w14:textId="77777777" w:rsidR="00B01C9A" w:rsidRDefault="00B01C9A" w:rsidP="00B01C9A">
      <w:pPr>
        <w:tabs>
          <w:tab w:val="center" w:pos="4135"/>
          <w:tab w:val="left" w:pos="7515"/>
        </w:tabs>
        <w:spacing w:line="360" w:lineRule="auto"/>
        <w:rPr>
          <w:rFonts w:ascii="Arial" w:hAnsi="Arial" w:cs="Arial"/>
          <w:sz w:val="26"/>
          <w:szCs w:val="26"/>
        </w:rPr>
      </w:pPr>
    </w:p>
    <w:p w14:paraId="01848D76" w14:textId="77777777" w:rsidR="00B01C9A" w:rsidRDefault="00B01C9A" w:rsidP="00B01C9A">
      <w:pPr>
        <w:tabs>
          <w:tab w:val="center" w:pos="4135"/>
          <w:tab w:val="left" w:pos="7515"/>
        </w:tabs>
        <w:spacing w:line="360" w:lineRule="auto"/>
        <w:jc w:val="center"/>
        <w:rPr>
          <w:rFonts w:ascii="Arial" w:hAnsi="Arial" w:cs="Arial"/>
          <w:sz w:val="26"/>
          <w:szCs w:val="26"/>
        </w:rPr>
      </w:pPr>
    </w:p>
    <w:p w14:paraId="553391C0" w14:textId="77777777" w:rsidR="00B01C9A" w:rsidRDefault="00B01C9A" w:rsidP="00B01C9A">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366B6132" w14:textId="77777777" w:rsidR="00B01C9A" w:rsidRDefault="00B01C9A" w:rsidP="00B01C9A">
      <w:pPr>
        <w:tabs>
          <w:tab w:val="center" w:pos="4135"/>
          <w:tab w:val="left" w:pos="7515"/>
        </w:tabs>
        <w:spacing w:line="360" w:lineRule="auto"/>
        <w:rPr>
          <w:rFonts w:ascii="Arial" w:hAnsi="Arial" w:cs="Arial"/>
          <w:sz w:val="26"/>
          <w:szCs w:val="26"/>
        </w:rPr>
      </w:pPr>
    </w:p>
    <w:p w14:paraId="56A3B694" w14:textId="5EC7D84F" w:rsidR="00B01C9A" w:rsidRDefault="00B01C9A" w:rsidP="00B01C9A">
      <w:pPr>
        <w:tabs>
          <w:tab w:val="center" w:pos="4135"/>
          <w:tab w:val="left" w:pos="7515"/>
        </w:tabs>
        <w:spacing w:line="360" w:lineRule="auto"/>
        <w:jc w:val="center"/>
        <w:rPr>
          <w:rFonts w:ascii="Arial" w:hAnsi="Arial" w:cs="Arial"/>
          <w:sz w:val="26"/>
          <w:szCs w:val="26"/>
        </w:rPr>
      </w:pPr>
    </w:p>
    <w:p w14:paraId="33C24623" w14:textId="77777777" w:rsidR="00B01C9A" w:rsidRDefault="00B01C9A" w:rsidP="00B01C9A">
      <w:pPr>
        <w:tabs>
          <w:tab w:val="center" w:pos="4135"/>
          <w:tab w:val="left" w:pos="7515"/>
        </w:tabs>
        <w:spacing w:line="360" w:lineRule="auto"/>
        <w:jc w:val="center"/>
        <w:rPr>
          <w:rFonts w:ascii="Arial" w:hAnsi="Arial" w:cs="Arial"/>
          <w:sz w:val="26"/>
          <w:szCs w:val="26"/>
        </w:rPr>
      </w:pPr>
    </w:p>
    <w:p w14:paraId="61A02394" w14:textId="77777777" w:rsidR="00B01C9A" w:rsidRDefault="00B01C9A" w:rsidP="00B01C9A">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MAGISTRADO ENRIQUE PACHECO MARTÍNEZ </w:t>
      </w:r>
    </w:p>
    <w:p w14:paraId="5781E079" w14:textId="77777777" w:rsidR="00B01C9A" w:rsidRDefault="00B01C9A" w:rsidP="00B01C9A">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INTEGRADO PARA CONOCER, DISCUTIR Y RESOLVER EL PRESENTE ASUNTO POR EXCUSA APROBADA </w:t>
      </w:r>
    </w:p>
    <w:p w14:paraId="2C8D5787" w14:textId="77777777" w:rsidR="00B01C9A" w:rsidRDefault="00B01C9A" w:rsidP="00B01C9A">
      <w:pPr>
        <w:tabs>
          <w:tab w:val="center" w:pos="4135"/>
          <w:tab w:val="left" w:pos="7515"/>
        </w:tabs>
        <w:spacing w:line="360" w:lineRule="auto"/>
        <w:rPr>
          <w:rFonts w:ascii="Arial" w:hAnsi="Arial" w:cs="Arial"/>
          <w:sz w:val="26"/>
          <w:szCs w:val="26"/>
        </w:rPr>
      </w:pPr>
    </w:p>
    <w:p w14:paraId="45639A27" w14:textId="77777777" w:rsidR="00B01C9A" w:rsidRDefault="00B01C9A" w:rsidP="00B01C9A">
      <w:pPr>
        <w:tabs>
          <w:tab w:val="center" w:pos="4135"/>
          <w:tab w:val="left" w:pos="7515"/>
        </w:tabs>
        <w:spacing w:line="360" w:lineRule="auto"/>
        <w:rPr>
          <w:rFonts w:ascii="Arial" w:hAnsi="Arial" w:cs="Arial"/>
          <w:sz w:val="26"/>
          <w:szCs w:val="26"/>
        </w:rPr>
      </w:pPr>
    </w:p>
    <w:p w14:paraId="191DA848" w14:textId="77777777" w:rsidR="00B01C9A" w:rsidRDefault="00B01C9A" w:rsidP="00B01C9A">
      <w:pPr>
        <w:tabs>
          <w:tab w:val="center" w:pos="4135"/>
          <w:tab w:val="left" w:pos="7515"/>
        </w:tabs>
        <w:spacing w:line="360" w:lineRule="auto"/>
        <w:rPr>
          <w:rFonts w:ascii="Arial" w:hAnsi="Arial" w:cs="Arial"/>
          <w:sz w:val="26"/>
          <w:szCs w:val="26"/>
        </w:rPr>
      </w:pPr>
    </w:p>
    <w:p w14:paraId="21CD8B07" w14:textId="77777777" w:rsidR="00B01C9A" w:rsidRDefault="00B01C9A" w:rsidP="00B01C9A">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13E880F3" w14:textId="3F0974B9" w:rsidR="006D64AD" w:rsidRPr="00B01C9A" w:rsidRDefault="00B01C9A" w:rsidP="00B01C9A">
      <w:pPr>
        <w:spacing w:after="0"/>
        <w:jc w:val="center"/>
        <w:rPr>
          <w:rFonts w:ascii="Calibri" w:hAnsi="Calibri" w:cs="Times New Roman"/>
          <w:sz w:val="26"/>
          <w:szCs w:val="26"/>
        </w:rPr>
      </w:pPr>
      <w:r>
        <w:rPr>
          <w:rFonts w:ascii="Arial" w:hAnsi="Arial" w:cs="Arial"/>
          <w:sz w:val="26"/>
          <w:szCs w:val="26"/>
        </w:rPr>
        <w:t>SECRETARIO GENERAL DE ACUERDOS</w:t>
      </w:r>
    </w:p>
    <w:sectPr w:rsidR="006D64AD" w:rsidRPr="00B01C9A" w:rsidSect="00DF718C">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209181" w14:textId="77777777" w:rsidR="001D57D7" w:rsidRDefault="001D57D7">
      <w:pPr>
        <w:spacing w:after="0" w:line="240" w:lineRule="auto"/>
      </w:pPr>
      <w:r>
        <w:separator/>
      </w:r>
    </w:p>
  </w:endnote>
  <w:endnote w:type="continuationSeparator" w:id="0">
    <w:p w14:paraId="67F5A079" w14:textId="77777777" w:rsidR="001D57D7" w:rsidRDefault="001D5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81276B" w14:textId="77777777" w:rsidR="00527EDB" w:rsidRDefault="00527ED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8949C" w14:textId="5916E2C0" w:rsidR="00527EDB" w:rsidRDefault="00527EDB">
    <w:pPr>
      <w:pStyle w:val="Piedepgina"/>
    </w:pPr>
    <w:r>
      <w:rPr>
        <w:noProof/>
      </w:rPr>
      <mc:AlternateContent>
        <mc:Choice Requires="wps">
          <w:drawing>
            <wp:anchor distT="45720" distB="45720" distL="114300" distR="114300" simplePos="0" relativeHeight="251661312" behindDoc="0" locked="0" layoutInCell="1" allowOverlap="1" wp14:anchorId="4CC319F7" wp14:editId="21689747">
              <wp:simplePos x="0" y="0"/>
              <wp:positionH relativeFrom="column">
                <wp:posOffset>-1546746</wp:posOffset>
              </wp:positionH>
              <wp:positionV relativeFrom="paragraph">
                <wp:posOffset>-5309500</wp:posOffset>
              </wp:positionV>
              <wp:extent cx="1275715" cy="647700"/>
              <wp:effectExtent l="0" t="0" r="1968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715" cy="647700"/>
                      </a:xfrm>
                      <a:prstGeom prst="rect">
                        <a:avLst/>
                      </a:prstGeom>
                      <a:solidFill>
                        <a:srgbClr val="FFFFFF"/>
                      </a:solidFill>
                      <a:ln w="9525">
                        <a:solidFill>
                          <a:srgbClr val="000000"/>
                        </a:solidFill>
                        <a:miter lim="800000"/>
                        <a:headEnd/>
                        <a:tailEnd/>
                      </a:ln>
                    </wps:spPr>
                    <wps:txbx>
                      <w:txbxContent>
                        <w:p w14:paraId="41703A01" w14:textId="7FEB8F2A" w:rsidR="00527EDB" w:rsidRPr="00527EDB" w:rsidRDefault="00527EDB">
                          <w:pPr>
                            <w:rPr>
                              <w:sz w:val="16"/>
                              <w:szCs w:val="16"/>
                            </w:rPr>
                          </w:pPr>
                          <w:r w:rsidRPr="00527EDB">
                            <w:rPr>
                              <w:sz w:val="16"/>
                              <w:szCs w:val="16"/>
                            </w:rPr>
                            <w:t xml:space="preserve">Los datos personales están protegidos por el art.116 de la LGTAIP y el art.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C319F7" id="_x0000_t202" coordsize="21600,21600" o:spt="202" path="m,l,21600r21600,l21600,xe">
              <v:stroke joinstyle="miter"/>
              <v:path gradientshapeok="t" o:connecttype="rect"/>
            </v:shapetype>
            <v:shape id="Cuadro de texto 2" o:spid="_x0000_s1026" type="#_x0000_t202" style="position:absolute;margin-left:-121.8pt;margin-top:-418.05pt;width:100.45pt;height:5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">
              <v:textbox>
                <w:txbxContent>
                  <w:p w14:paraId="41703A01" w14:textId="7FEB8F2A" w:rsidR="00527EDB" w:rsidRPr="00527EDB" w:rsidRDefault="00527EDB">
                    <w:pPr>
                      <w:rPr>
                        <w:sz w:val="16"/>
                        <w:szCs w:val="16"/>
                      </w:rPr>
                    </w:pPr>
                    <w:r w:rsidRPr="00527EDB">
                      <w:rPr>
                        <w:sz w:val="16"/>
                        <w:szCs w:val="16"/>
                      </w:rPr>
                      <w:t xml:space="preserve">Los datos personales están protegidos por el art.116 de la LGTAIP y el art. 56 de la LTAIPEO. </w:t>
                    </w:r>
                  </w:p>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4C948" w14:textId="77777777" w:rsidR="00527EDB" w:rsidRDefault="00527ED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7F1CC9" w14:textId="77777777" w:rsidR="001D57D7" w:rsidRDefault="001D57D7">
      <w:pPr>
        <w:spacing w:after="0" w:line="240" w:lineRule="auto"/>
      </w:pPr>
      <w:r>
        <w:separator/>
      </w:r>
    </w:p>
  </w:footnote>
  <w:footnote w:type="continuationSeparator" w:id="0">
    <w:p w14:paraId="722A3394" w14:textId="77777777" w:rsidR="001D57D7" w:rsidRDefault="001D57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6F58BB5D" w14:textId="77777777" w:rsidR="00D2291D" w:rsidRDefault="007270F3">
        <w:pPr>
          <w:pStyle w:val="Encabezado"/>
          <w:jc w:val="center"/>
        </w:pPr>
        <w:r>
          <w:fldChar w:fldCharType="begin"/>
        </w:r>
        <w:r>
          <w:instrText>PAGE   \* MERGEFORMAT</w:instrText>
        </w:r>
        <w:r>
          <w:fldChar w:fldCharType="separate"/>
        </w:r>
        <w:r w:rsidR="00527EDB">
          <w:rPr>
            <w:noProof/>
          </w:rPr>
          <w:t>4</w:t>
        </w:r>
        <w:r>
          <w:fldChar w:fldCharType="end"/>
        </w:r>
      </w:p>
    </w:sdtContent>
  </w:sdt>
  <w:p w14:paraId="3A18C7C3" w14:textId="77777777" w:rsidR="00D2291D" w:rsidRDefault="001D57D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4CDCA" w14:textId="38CA2529" w:rsidR="00527EDB" w:rsidRDefault="00527EDB" w:rsidP="00D2291D">
    <w:pPr>
      <w:pStyle w:val="Encabezado"/>
      <w:jc w:val="center"/>
    </w:pPr>
  </w:p>
  <w:sdt>
    <w:sdtPr>
      <w:id w:val="7828657"/>
      <w:docPartObj>
        <w:docPartGallery w:val="Page Numbers (Top of Page)"/>
        <w:docPartUnique/>
      </w:docPartObj>
    </w:sdtPr>
    <w:sdtEndPr/>
    <w:sdtContent>
      <w:p w14:paraId="167E1049" w14:textId="3EB823F9" w:rsidR="00D2291D" w:rsidRDefault="007270F3" w:rsidP="00D2291D">
        <w:pPr>
          <w:pStyle w:val="Encabezado"/>
          <w:jc w:val="center"/>
          <w:rPr>
            <w:noProof/>
          </w:rPr>
        </w:pPr>
        <w:r>
          <w:fldChar w:fldCharType="begin"/>
        </w:r>
        <w:r>
          <w:instrText xml:space="preserve"> PAGE   \* MERGEFORMAT </w:instrText>
        </w:r>
        <w:r>
          <w:fldChar w:fldCharType="separate"/>
        </w:r>
        <w:r w:rsidR="00527EDB">
          <w:rPr>
            <w:noProof/>
          </w:rPr>
          <w:t>1</w:t>
        </w:r>
        <w:r>
          <w:rPr>
            <w:noProof/>
          </w:rPr>
          <w:fldChar w:fldCharType="end"/>
        </w:r>
      </w:p>
      <w:p w14:paraId="7D438992" w14:textId="5410DE69" w:rsidR="00D2291D" w:rsidRDefault="001D57D7" w:rsidP="00D2291D">
        <w:pPr>
          <w:pStyle w:val="Encabezado"/>
          <w:jc w:val="center"/>
        </w:pPr>
      </w:p>
    </w:sdtContent>
  </w:sdt>
  <w:p w14:paraId="2301AA11" w14:textId="1193404F" w:rsidR="00D2291D" w:rsidRDefault="003E66BE" w:rsidP="00D2291D">
    <w:pPr>
      <w:pStyle w:val="Encabezado"/>
      <w:tabs>
        <w:tab w:val="left" w:pos="142"/>
      </w:tabs>
      <w:ind w:left="284"/>
    </w:pPr>
    <w:bookmarkStart w:id="0" w:name="_GoBack"/>
    <w:bookmarkEnd w:id="0"/>
    <w:r w:rsidRPr="007112DA">
      <w:rPr>
        <w:noProof/>
        <w:sz w:val="22"/>
        <w:szCs w:val="22"/>
        <w:lang w:val="es-MX" w:eastAsia="es-MX"/>
      </w:rPr>
      <mc:AlternateContent>
        <mc:Choice Requires="wpg">
          <w:drawing>
            <wp:anchor distT="0" distB="0" distL="114300" distR="114300" simplePos="0" relativeHeight="251659264" behindDoc="0" locked="0" layoutInCell="1" allowOverlap="1" wp14:anchorId="5F315960" wp14:editId="23A1506A">
              <wp:simplePos x="0" y="0"/>
              <wp:positionH relativeFrom="margin">
                <wp:posOffset>-1409700</wp:posOffset>
              </wp:positionH>
              <wp:positionV relativeFrom="page">
                <wp:posOffset>5320665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784D477" id="Grupo 3" o:spid="_x0000_s1026" style="position:absolute;margin-left:-111pt;margin-top:418.95pt;width:90pt;height:63.6pt;z-index:251659264;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6CE7FD" w14:textId="77777777" w:rsidR="00527EDB" w:rsidRDefault="00527ED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33"/>
    <w:rsid w:val="000143FF"/>
    <w:rsid w:val="000175F4"/>
    <w:rsid w:val="00031FD4"/>
    <w:rsid w:val="000337D0"/>
    <w:rsid w:val="00034E53"/>
    <w:rsid w:val="00037B9D"/>
    <w:rsid w:val="000465FF"/>
    <w:rsid w:val="0005764A"/>
    <w:rsid w:val="00073F89"/>
    <w:rsid w:val="00082E12"/>
    <w:rsid w:val="00085F3C"/>
    <w:rsid w:val="00086527"/>
    <w:rsid w:val="000951ED"/>
    <w:rsid w:val="00097282"/>
    <w:rsid w:val="000A00AD"/>
    <w:rsid w:val="000A021A"/>
    <w:rsid w:val="000A17B0"/>
    <w:rsid w:val="000A2693"/>
    <w:rsid w:val="000A3D3B"/>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566B"/>
    <w:rsid w:val="00121DCB"/>
    <w:rsid w:val="00122A96"/>
    <w:rsid w:val="00132E1D"/>
    <w:rsid w:val="001555E0"/>
    <w:rsid w:val="0015681D"/>
    <w:rsid w:val="0015791C"/>
    <w:rsid w:val="00162807"/>
    <w:rsid w:val="00163553"/>
    <w:rsid w:val="001654B1"/>
    <w:rsid w:val="00186F4F"/>
    <w:rsid w:val="00190A10"/>
    <w:rsid w:val="001B28D3"/>
    <w:rsid w:val="001B3376"/>
    <w:rsid w:val="001C1517"/>
    <w:rsid w:val="001C1F2F"/>
    <w:rsid w:val="001C4D0F"/>
    <w:rsid w:val="001C78EB"/>
    <w:rsid w:val="001D52F5"/>
    <w:rsid w:val="001D57D7"/>
    <w:rsid w:val="001E09E7"/>
    <w:rsid w:val="001E63FB"/>
    <w:rsid w:val="001F2493"/>
    <w:rsid w:val="00200074"/>
    <w:rsid w:val="00203905"/>
    <w:rsid w:val="00206B6C"/>
    <w:rsid w:val="002124FF"/>
    <w:rsid w:val="0021412A"/>
    <w:rsid w:val="0021676A"/>
    <w:rsid w:val="0022359F"/>
    <w:rsid w:val="00231B63"/>
    <w:rsid w:val="00240FBF"/>
    <w:rsid w:val="00260E7A"/>
    <w:rsid w:val="00263481"/>
    <w:rsid w:val="002746C6"/>
    <w:rsid w:val="00284E8E"/>
    <w:rsid w:val="002A4476"/>
    <w:rsid w:val="002A4B09"/>
    <w:rsid w:val="002A7AB8"/>
    <w:rsid w:val="002B0D64"/>
    <w:rsid w:val="002C084F"/>
    <w:rsid w:val="002D25D0"/>
    <w:rsid w:val="002D355E"/>
    <w:rsid w:val="002D5CD9"/>
    <w:rsid w:val="002E452C"/>
    <w:rsid w:val="002F2948"/>
    <w:rsid w:val="002F471F"/>
    <w:rsid w:val="002F6E99"/>
    <w:rsid w:val="003019A4"/>
    <w:rsid w:val="00301B15"/>
    <w:rsid w:val="0030543F"/>
    <w:rsid w:val="00305E26"/>
    <w:rsid w:val="00305FA6"/>
    <w:rsid w:val="00313EB0"/>
    <w:rsid w:val="00316344"/>
    <w:rsid w:val="0032387B"/>
    <w:rsid w:val="0032480D"/>
    <w:rsid w:val="00326A65"/>
    <w:rsid w:val="00331B75"/>
    <w:rsid w:val="00334286"/>
    <w:rsid w:val="00342EDA"/>
    <w:rsid w:val="00355B5F"/>
    <w:rsid w:val="00355FDA"/>
    <w:rsid w:val="00357437"/>
    <w:rsid w:val="00367667"/>
    <w:rsid w:val="00370758"/>
    <w:rsid w:val="00380440"/>
    <w:rsid w:val="00380BF8"/>
    <w:rsid w:val="00384F6F"/>
    <w:rsid w:val="00387C61"/>
    <w:rsid w:val="003938C0"/>
    <w:rsid w:val="00395B15"/>
    <w:rsid w:val="003B1B8F"/>
    <w:rsid w:val="003B6362"/>
    <w:rsid w:val="003E431D"/>
    <w:rsid w:val="003E66BE"/>
    <w:rsid w:val="0040143C"/>
    <w:rsid w:val="00402396"/>
    <w:rsid w:val="004074A0"/>
    <w:rsid w:val="004177B6"/>
    <w:rsid w:val="00422368"/>
    <w:rsid w:val="00434164"/>
    <w:rsid w:val="0043571B"/>
    <w:rsid w:val="0044686C"/>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27EDB"/>
    <w:rsid w:val="005354FC"/>
    <w:rsid w:val="00553703"/>
    <w:rsid w:val="005604E1"/>
    <w:rsid w:val="00562D5C"/>
    <w:rsid w:val="005653E8"/>
    <w:rsid w:val="00571758"/>
    <w:rsid w:val="00582EEB"/>
    <w:rsid w:val="005902DF"/>
    <w:rsid w:val="00591877"/>
    <w:rsid w:val="0059427A"/>
    <w:rsid w:val="005A371D"/>
    <w:rsid w:val="005A4CC2"/>
    <w:rsid w:val="005A5A11"/>
    <w:rsid w:val="005A7A1C"/>
    <w:rsid w:val="005B3514"/>
    <w:rsid w:val="005B4733"/>
    <w:rsid w:val="005C136D"/>
    <w:rsid w:val="005C5C2D"/>
    <w:rsid w:val="005C7BED"/>
    <w:rsid w:val="005D09B4"/>
    <w:rsid w:val="005D0BAA"/>
    <w:rsid w:val="005D4651"/>
    <w:rsid w:val="005D4CD4"/>
    <w:rsid w:val="005D541C"/>
    <w:rsid w:val="005F4AD5"/>
    <w:rsid w:val="005F5823"/>
    <w:rsid w:val="005F629F"/>
    <w:rsid w:val="00610270"/>
    <w:rsid w:val="006106CD"/>
    <w:rsid w:val="006134CE"/>
    <w:rsid w:val="006156C3"/>
    <w:rsid w:val="006166B0"/>
    <w:rsid w:val="00620615"/>
    <w:rsid w:val="00627433"/>
    <w:rsid w:val="00627C81"/>
    <w:rsid w:val="0063712E"/>
    <w:rsid w:val="00652D2C"/>
    <w:rsid w:val="00660756"/>
    <w:rsid w:val="00671A96"/>
    <w:rsid w:val="00672B07"/>
    <w:rsid w:val="00675D42"/>
    <w:rsid w:val="00677B3B"/>
    <w:rsid w:val="00677BC4"/>
    <w:rsid w:val="00684EAA"/>
    <w:rsid w:val="0068607D"/>
    <w:rsid w:val="00687AD5"/>
    <w:rsid w:val="00690B45"/>
    <w:rsid w:val="006A6CB2"/>
    <w:rsid w:val="006A796B"/>
    <w:rsid w:val="006B63F2"/>
    <w:rsid w:val="006B7273"/>
    <w:rsid w:val="006D64AD"/>
    <w:rsid w:val="006F003A"/>
    <w:rsid w:val="006F0D66"/>
    <w:rsid w:val="00700AF3"/>
    <w:rsid w:val="00700E2A"/>
    <w:rsid w:val="00701A8B"/>
    <w:rsid w:val="007022BE"/>
    <w:rsid w:val="00726EA0"/>
    <w:rsid w:val="007270F3"/>
    <w:rsid w:val="00731CF5"/>
    <w:rsid w:val="0073388A"/>
    <w:rsid w:val="00746CA8"/>
    <w:rsid w:val="00751C73"/>
    <w:rsid w:val="00761406"/>
    <w:rsid w:val="00764467"/>
    <w:rsid w:val="00770DBA"/>
    <w:rsid w:val="00772E96"/>
    <w:rsid w:val="007846CD"/>
    <w:rsid w:val="007909D0"/>
    <w:rsid w:val="00792A64"/>
    <w:rsid w:val="007938C0"/>
    <w:rsid w:val="007A31A1"/>
    <w:rsid w:val="007A5422"/>
    <w:rsid w:val="007A599B"/>
    <w:rsid w:val="007A7647"/>
    <w:rsid w:val="007B032E"/>
    <w:rsid w:val="007B0344"/>
    <w:rsid w:val="007B3178"/>
    <w:rsid w:val="007D1934"/>
    <w:rsid w:val="007D2252"/>
    <w:rsid w:val="007D22C5"/>
    <w:rsid w:val="007E4639"/>
    <w:rsid w:val="007E5D52"/>
    <w:rsid w:val="00801603"/>
    <w:rsid w:val="0080320C"/>
    <w:rsid w:val="008206CE"/>
    <w:rsid w:val="00823895"/>
    <w:rsid w:val="008261CB"/>
    <w:rsid w:val="00831E6D"/>
    <w:rsid w:val="00833DA7"/>
    <w:rsid w:val="00834211"/>
    <w:rsid w:val="008376C4"/>
    <w:rsid w:val="00861BCD"/>
    <w:rsid w:val="00866172"/>
    <w:rsid w:val="0087123D"/>
    <w:rsid w:val="00876086"/>
    <w:rsid w:val="00876FFC"/>
    <w:rsid w:val="00884E6A"/>
    <w:rsid w:val="0089169F"/>
    <w:rsid w:val="0089417C"/>
    <w:rsid w:val="00895DBE"/>
    <w:rsid w:val="00896839"/>
    <w:rsid w:val="008A5AE7"/>
    <w:rsid w:val="008B7521"/>
    <w:rsid w:val="008C3256"/>
    <w:rsid w:val="008C5CE8"/>
    <w:rsid w:val="008C6442"/>
    <w:rsid w:val="008D0A55"/>
    <w:rsid w:val="008D0DE7"/>
    <w:rsid w:val="008D2AF1"/>
    <w:rsid w:val="008E7BDC"/>
    <w:rsid w:val="008F04B4"/>
    <w:rsid w:val="008F20E2"/>
    <w:rsid w:val="0090201D"/>
    <w:rsid w:val="00910F93"/>
    <w:rsid w:val="00911549"/>
    <w:rsid w:val="0091421B"/>
    <w:rsid w:val="009158B7"/>
    <w:rsid w:val="0092583F"/>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612C0"/>
    <w:rsid w:val="00A7409F"/>
    <w:rsid w:val="00A83A3C"/>
    <w:rsid w:val="00A84ADD"/>
    <w:rsid w:val="00A8667C"/>
    <w:rsid w:val="00A9338D"/>
    <w:rsid w:val="00AA1925"/>
    <w:rsid w:val="00AB0D8C"/>
    <w:rsid w:val="00AB2711"/>
    <w:rsid w:val="00AD01F9"/>
    <w:rsid w:val="00AD17DD"/>
    <w:rsid w:val="00AE0A3D"/>
    <w:rsid w:val="00AE1013"/>
    <w:rsid w:val="00AE2B81"/>
    <w:rsid w:val="00AE70C7"/>
    <w:rsid w:val="00AE7A2C"/>
    <w:rsid w:val="00B01C9A"/>
    <w:rsid w:val="00B056BE"/>
    <w:rsid w:val="00B076E6"/>
    <w:rsid w:val="00B10A21"/>
    <w:rsid w:val="00B167D9"/>
    <w:rsid w:val="00B2060B"/>
    <w:rsid w:val="00B246EF"/>
    <w:rsid w:val="00B305B4"/>
    <w:rsid w:val="00B40970"/>
    <w:rsid w:val="00B41440"/>
    <w:rsid w:val="00B44F29"/>
    <w:rsid w:val="00B56295"/>
    <w:rsid w:val="00B60842"/>
    <w:rsid w:val="00B61848"/>
    <w:rsid w:val="00B70352"/>
    <w:rsid w:val="00B84433"/>
    <w:rsid w:val="00B848BA"/>
    <w:rsid w:val="00B90BB4"/>
    <w:rsid w:val="00B95C5C"/>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345BF"/>
    <w:rsid w:val="00C40BC8"/>
    <w:rsid w:val="00C41C1B"/>
    <w:rsid w:val="00C544D3"/>
    <w:rsid w:val="00C64FB6"/>
    <w:rsid w:val="00C65E13"/>
    <w:rsid w:val="00C76252"/>
    <w:rsid w:val="00C90930"/>
    <w:rsid w:val="00C945FA"/>
    <w:rsid w:val="00C97363"/>
    <w:rsid w:val="00CA3358"/>
    <w:rsid w:val="00CC4A11"/>
    <w:rsid w:val="00CC7CA5"/>
    <w:rsid w:val="00CE5D55"/>
    <w:rsid w:val="00CE5FBB"/>
    <w:rsid w:val="00CE69FF"/>
    <w:rsid w:val="00CF1754"/>
    <w:rsid w:val="00CF5683"/>
    <w:rsid w:val="00D00414"/>
    <w:rsid w:val="00D12075"/>
    <w:rsid w:val="00D22B57"/>
    <w:rsid w:val="00D26B4C"/>
    <w:rsid w:val="00D32A39"/>
    <w:rsid w:val="00D3618D"/>
    <w:rsid w:val="00D46E49"/>
    <w:rsid w:val="00D50DB8"/>
    <w:rsid w:val="00D63182"/>
    <w:rsid w:val="00D67C0B"/>
    <w:rsid w:val="00D71919"/>
    <w:rsid w:val="00D77592"/>
    <w:rsid w:val="00D83E22"/>
    <w:rsid w:val="00DA6B1C"/>
    <w:rsid w:val="00DA75AB"/>
    <w:rsid w:val="00DB6E83"/>
    <w:rsid w:val="00DC0D68"/>
    <w:rsid w:val="00DC2253"/>
    <w:rsid w:val="00DC4799"/>
    <w:rsid w:val="00DD4EAD"/>
    <w:rsid w:val="00DD5EF0"/>
    <w:rsid w:val="00DF718C"/>
    <w:rsid w:val="00E05B32"/>
    <w:rsid w:val="00E1260D"/>
    <w:rsid w:val="00E1778C"/>
    <w:rsid w:val="00E248D3"/>
    <w:rsid w:val="00E25A7B"/>
    <w:rsid w:val="00E30540"/>
    <w:rsid w:val="00E520B7"/>
    <w:rsid w:val="00E522B5"/>
    <w:rsid w:val="00E576D8"/>
    <w:rsid w:val="00E67A15"/>
    <w:rsid w:val="00E742F7"/>
    <w:rsid w:val="00E85E4F"/>
    <w:rsid w:val="00E95B21"/>
    <w:rsid w:val="00EA49B6"/>
    <w:rsid w:val="00EB1CB8"/>
    <w:rsid w:val="00EB6D01"/>
    <w:rsid w:val="00EC29E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548F5"/>
    <w:rsid w:val="00F563E6"/>
    <w:rsid w:val="00F61EF4"/>
    <w:rsid w:val="00F627A0"/>
    <w:rsid w:val="00F70003"/>
    <w:rsid w:val="00F74AD8"/>
    <w:rsid w:val="00F84278"/>
    <w:rsid w:val="00F937AB"/>
    <w:rsid w:val="00F93963"/>
    <w:rsid w:val="00FA381F"/>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CE2CD9"/>
  <w15:docId w15:val="{CDDDB86D-BC33-4EB8-B283-5D74B54D8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Textoindependiente">
    <w:name w:val="Body Text"/>
    <w:basedOn w:val="Normal"/>
    <w:link w:val="TextoindependienteCar"/>
    <w:uiPriority w:val="99"/>
    <w:unhideWhenUsed/>
    <w:rsid w:val="003938C0"/>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3938C0"/>
    <w:rPr>
      <w:lang w:val="es-MX"/>
    </w:rPr>
  </w:style>
  <w:style w:type="character" w:customStyle="1" w:styleId="corte4fondoCar">
    <w:name w:val="corte4 fondo Car"/>
    <w:basedOn w:val="Fuentedeprrafopredeter"/>
    <w:link w:val="corte4fondo"/>
    <w:locked/>
    <w:rsid w:val="005F629F"/>
    <w:rPr>
      <w:rFonts w:ascii="Arial" w:hAnsi="Arial" w:cs="Arial"/>
      <w:sz w:val="30"/>
      <w:lang w:val="es-ES_tradnl" w:eastAsia="es-ES"/>
    </w:rPr>
  </w:style>
  <w:style w:type="paragraph" w:customStyle="1" w:styleId="corte4fondo">
    <w:name w:val="corte4 fondo"/>
    <w:basedOn w:val="Normal"/>
    <w:link w:val="corte4fondoCar"/>
    <w:qFormat/>
    <w:rsid w:val="005F629F"/>
    <w:pPr>
      <w:spacing w:after="0" w:line="360" w:lineRule="auto"/>
      <w:ind w:firstLine="709"/>
      <w:jc w:val="both"/>
    </w:pPr>
    <w:rPr>
      <w:rFonts w:ascii="Arial"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673221">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1552</Words>
  <Characters>8537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JuanEdy</cp:lastModifiedBy>
  <cp:revision>12</cp:revision>
  <cp:lastPrinted>2020-10-08T00:33:00Z</cp:lastPrinted>
  <dcterms:created xsi:type="dcterms:W3CDTF">2020-05-23T06:04:00Z</dcterms:created>
  <dcterms:modified xsi:type="dcterms:W3CDTF">2021-01-21T17:47:00Z</dcterms:modified>
</cp:coreProperties>
</file>