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3C45" w:rsidRDefault="00882EC8">
      <w:pPr>
        <w:spacing w:before="0" w:after="0"/>
        <w:ind w:left="2835" w:right="51"/>
        <w:rPr>
          <w:rFonts w:ascii="Arial" w:eastAsia="Arial" w:hAnsi="Arial" w:cs="Arial"/>
          <w:b/>
          <w:sz w:val="20"/>
          <w:szCs w:val="20"/>
        </w:rPr>
      </w:pPr>
      <w:r>
        <w:rPr>
          <w:rFonts w:ascii="Arial" w:eastAsia="Arial" w:hAnsi="Arial" w:cs="Arial"/>
          <w:b/>
          <w:sz w:val="20"/>
          <w:szCs w:val="20"/>
        </w:rPr>
        <w:t>TRIBUNAL DE JUSTICIA ADMINISTRATIVA Y COMBATE A LA CORRUPCIÓN DEL ESTADO DE OAXACA.</w:t>
      </w:r>
    </w:p>
    <w:p w:rsidR="00733C45" w:rsidRDefault="00882EC8">
      <w:pPr>
        <w:spacing w:before="0" w:after="0"/>
        <w:ind w:left="2835" w:right="51"/>
        <w:rPr>
          <w:rFonts w:ascii="Arial" w:eastAsia="Arial" w:hAnsi="Arial" w:cs="Arial"/>
          <w:b/>
          <w:sz w:val="20"/>
          <w:szCs w:val="20"/>
        </w:rPr>
      </w:pPr>
      <w:r>
        <w:rPr>
          <w:rFonts w:ascii="Arial" w:eastAsia="Arial" w:hAnsi="Arial" w:cs="Arial"/>
          <w:b/>
          <w:sz w:val="20"/>
          <w:szCs w:val="20"/>
        </w:rPr>
        <w:t>PRIMERA SALA UNITARIA DE PRIMERA INSTANCIA Y ESPECIALIZADA EN CONTROVERSIAS ENTRE LOS MUNICIPIOS Y SUS AGENCIAS. (SECRETARÍA PAR.)</w:t>
      </w:r>
    </w:p>
    <w:p w:rsidR="00733C45" w:rsidRDefault="00882EC8">
      <w:pPr>
        <w:spacing w:before="0" w:after="0"/>
        <w:ind w:left="2835" w:right="51"/>
        <w:rPr>
          <w:rFonts w:ascii="Arial" w:eastAsia="Arial" w:hAnsi="Arial" w:cs="Arial"/>
          <w:sz w:val="20"/>
          <w:szCs w:val="20"/>
        </w:rPr>
      </w:pPr>
      <w:r>
        <w:rPr>
          <w:rFonts w:ascii="Arial" w:eastAsia="Arial" w:hAnsi="Arial" w:cs="Arial"/>
          <w:b/>
          <w:sz w:val="20"/>
          <w:szCs w:val="20"/>
        </w:rPr>
        <w:t xml:space="preserve">JUICIO DE NULIDAD: </w:t>
      </w:r>
      <w:r>
        <w:rPr>
          <w:rFonts w:ascii="Arial" w:eastAsia="Arial" w:hAnsi="Arial" w:cs="Arial"/>
          <w:sz w:val="20"/>
          <w:szCs w:val="20"/>
        </w:rPr>
        <w:t>0334/2023.</w:t>
      </w:r>
    </w:p>
    <w:p w:rsidR="00733C45" w:rsidRDefault="00882EC8">
      <w:pPr>
        <w:spacing w:before="0" w:after="0"/>
        <w:ind w:left="2835" w:right="51"/>
        <w:rPr>
          <w:rFonts w:ascii="Arial" w:eastAsia="Arial" w:hAnsi="Arial" w:cs="Arial"/>
          <w:i/>
          <w:sz w:val="20"/>
          <w:szCs w:val="20"/>
        </w:rPr>
      </w:pPr>
      <w:r>
        <w:rPr>
          <w:rFonts w:ascii="Arial" w:eastAsia="Arial" w:hAnsi="Arial" w:cs="Arial"/>
          <w:b/>
          <w:i/>
          <w:sz w:val="20"/>
          <w:szCs w:val="20"/>
        </w:rPr>
        <w:t xml:space="preserve">ANTES: </w:t>
      </w:r>
      <w:r>
        <w:rPr>
          <w:rFonts w:ascii="Arial" w:eastAsia="Arial" w:hAnsi="Arial" w:cs="Arial"/>
          <w:i/>
          <w:sz w:val="20"/>
          <w:szCs w:val="20"/>
        </w:rPr>
        <w:t>31/2022 DE LA ENTONCES QUINTA SALA UNITARIA DE PRIMERA INSTANCIA.</w:t>
      </w:r>
    </w:p>
    <w:p w:rsidR="00733C45" w:rsidRDefault="00882EC8">
      <w:pPr>
        <w:spacing w:before="0" w:after="0"/>
        <w:ind w:left="2835" w:right="51"/>
        <w:rPr>
          <w:rFonts w:ascii="Arial" w:eastAsia="Arial" w:hAnsi="Arial" w:cs="Arial"/>
          <w:sz w:val="20"/>
          <w:szCs w:val="20"/>
        </w:rPr>
      </w:pPr>
      <w:r>
        <w:rPr>
          <w:rFonts w:ascii="Arial" w:eastAsia="Arial" w:hAnsi="Arial" w:cs="Arial"/>
          <w:b/>
          <w:sz w:val="20"/>
          <w:szCs w:val="20"/>
        </w:rPr>
        <w:t>ACTOR:</w:t>
      </w:r>
      <w:r>
        <w:rPr>
          <w:rFonts w:ascii="Arial" w:eastAsia="Arial" w:hAnsi="Arial" w:cs="Arial"/>
          <w:sz w:val="20"/>
          <w:szCs w:val="20"/>
        </w:rPr>
        <w:t xml:space="preserve"> </w:t>
      </w:r>
      <w:r w:rsidR="00292436">
        <w:rPr>
          <w:rFonts w:ascii="Arial" w:eastAsia="Arial" w:hAnsi="Arial" w:cs="Arial"/>
          <w:sz w:val="20"/>
          <w:szCs w:val="20"/>
        </w:rPr>
        <w:t>**********</w:t>
      </w:r>
      <w:r>
        <w:rPr>
          <w:rFonts w:ascii="Arial" w:eastAsia="Arial" w:hAnsi="Arial" w:cs="Arial"/>
          <w:sz w:val="20"/>
          <w:szCs w:val="20"/>
        </w:rPr>
        <w:t>.</w:t>
      </w:r>
    </w:p>
    <w:p w:rsidR="00733C45" w:rsidRDefault="00882EC8">
      <w:pPr>
        <w:spacing w:before="0" w:after="0"/>
        <w:ind w:left="2835" w:right="51"/>
        <w:rPr>
          <w:rFonts w:ascii="Arial" w:eastAsia="Arial" w:hAnsi="Arial" w:cs="Arial"/>
          <w:sz w:val="20"/>
          <w:szCs w:val="20"/>
        </w:rPr>
      </w:pPr>
      <w:bookmarkStart w:id="0" w:name="_heading=h.gjdgxs" w:colFirst="0" w:colLast="0"/>
      <w:bookmarkEnd w:id="0"/>
      <w:r>
        <w:rPr>
          <w:rFonts w:ascii="Arial" w:eastAsia="Arial" w:hAnsi="Arial" w:cs="Arial"/>
          <w:b/>
          <w:sz w:val="20"/>
          <w:szCs w:val="20"/>
        </w:rPr>
        <w:t xml:space="preserve">AUTORIDAD DEMANDADA: </w:t>
      </w:r>
      <w:r>
        <w:rPr>
          <w:rFonts w:ascii="Arial" w:eastAsia="Arial" w:hAnsi="Arial" w:cs="Arial"/>
          <w:sz w:val="20"/>
          <w:szCs w:val="20"/>
        </w:rPr>
        <w:t xml:space="preserve">DIRECTOR DE OBRAS PÚBLICAS Y DESARROLLO URBANO DEL MUNICIPIO DE SAN JUAN BAUTISTA TUXTEPEC, </w:t>
      </w:r>
      <w:proofErr w:type="gramStart"/>
      <w:r>
        <w:rPr>
          <w:rFonts w:ascii="Arial" w:eastAsia="Arial" w:hAnsi="Arial" w:cs="Arial"/>
          <w:sz w:val="20"/>
          <w:szCs w:val="20"/>
        </w:rPr>
        <w:t>OAXACA .</w:t>
      </w:r>
      <w:proofErr w:type="gramEnd"/>
    </w:p>
    <w:p w:rsidR="00733C45" w:rsidRDefault="00882EC8">
      <w:pPr>
        <w:spacing w:before="0" w:after="0"/>
        <w:ind w:left="2835" w:right="51"/>
        <w:rPr>
          <w:rFonts w:ascii="Arial" w:eastAsia="Arial" w:hAnsi="Arial" w:cs="Arial"/>
          <w:sz w:val="20"/>
          <w:szCs w:val="20"/>
        </w:rPr>
      </w:pPr>
      <w:r>
        <w:rPr>
          <w:rFonts w:ascii="Arial" w:eastAsia="Arial" w:hAnsi="Arial" w:cs="Arial"/>
          <w:b/>
          <w:sz w:val="20"/>
          <w:szCs w:val="20"/>
        </w:rPr>
        <w:t>PONENTE:</w:t>
      </w:r>
      <w:r>
        <w:rPr>
          <w:rFonts w:ascii="Arial" w:eastAsia="Arial" w:hAnsi="Arial" w:cs="Arial"/>
          <w:sz w:val="20"/>
          <w:szCs w:val="20"/>
        </w:rPr>
        <w:t xml:space="preserve"> MAGISTRADA ANNELIESE DANAE </w:t>
      </w:r>
      <w:r>
        <w:rPr>
          <w:rFonts w:ascii="Arial" w:eastAsia="Arial" w:hAnsi="Arial" w:cs="Arial"/>
          <w:sz w:val="20"/>
          <w:szCs w:val="20"/>
        </w:rPr>
        <w:t>ECHEVERRÍA CLAVEL</w:t>
      </w:r>
    </w:p>
    <w:p w:rsidR="00733C45" w:rsidRDefault="00733C45">
      <w:pPr>
        <w:spacing w:before="0" w:after="0" w:line="240" w:lineRule="auto"/>
        <w:ind w:left="3686" w:right="51"/>
        <w:rPr>
          <w:rFonts w:ascii="Arial" w:eastAsia="Arial" w:hAnsi="Arial" w:cs="Arial"/>
          <w:sz w:val="24"/>
          <w:szCs w:val="24"/>
        </w:rPr>
      </w:pPr>
    </w:p>
    <w:p w:rsidR="00733C45" w:rsidRDefault="00882EC8">
      <w:pPr>
        <w:widowControl w:val="0"/>
        <w:spacing w:before="240" w:after="0"/>
        <w:ind w:right="51"/>
        <w:rPr>
          <w:rFonts w:ascii="Arial" w:eastAsia="Arial" w:hAnsi="Arial" w:cs="Arial"/>
          <w:b/>
          <w:sz w:val="24"/>
          <w:szCs w:val="24"/>
        </w:rPr>
      </w:pPr>
      <w:r>
        <w:rPr>
          <w:rFonts w:ascii="Arial" w:eastAsia="Arial" w:hAnsi="Arial" w:cs="Arial"/>
          <w:b/>
          <w:sz w:val="24"/>
          <w:szCs w:val="24"/>
        </w:rPr>
        <w:t>OAXACA DE JUÁREZ, OAXACA, A SEIS DE SEPTIEMBRE DE DOS MIL VEINTITRÉS.</w:t>
      </w:r>
    </w:p>
    <w:p w:rsidR="00733C45" w:rsidRDefault="00882EC8">
      <w:pPr>
        <w:tabs>
          <w:tab w:val="left" w:pos="284"/>
          <w:tab w:val="left" w:pos="426"/>
          <w:tab w:val="right" w:pos="9072"/>
        </w:tabs>
        <w:spacing w:before="0" w:after="0"/>
        <w:ind w:right="51" w:firstLine="709"/>
        <w:rPr>
          <w:rFonts w:ascii="Arial" w:eastAsia="Arial" w:hAnsi="Arial" w:cs="Arial"/>
          <w:sz w:val="24"/>
          <w:szCs w:val="24"/>
        </w:rPr>
      </w:pPr>
      <w:r>
        <w:rPr>
          <w:rFonts w:ascii="Arial" w:eastAsia="Arial" w:hAnsi="Arial" w:cs="Arial"/>
          <w:b/>
          <w:sz w:val="24"/>
          <w:szCs w:val="24"/>
        </w:rPr>
        <w:t xml:space="preserve">Vistos, </w:t>
      </w:r>
      <w:r>
        <w:rPr>
          <w:rFonts w:ascii="Arial" w:eastAsia="Arial" w:hAnsi="Arial" w:cs="Arial"/>
          <w:sz w:val="24"/>
          <w:szCs w:val="24"/>
        </w:rPr>
        <w:t xml:space="preserve">para resolver los autos que integran el expediente número </w:t>
      </w:r>
      <w:r>
        <w:rPr>
          <w:rFonts w:ascii="Arial" w:eastAsia="Arial" w:hAnsi="Arial" w:cs="Arial"/>
          <w:b/>
          <w:sz w:val="24"/>
          <w:szCs w:val="24"/>
        </w:rPr>
        <w:t>0334/2023,</w:t>
      </w:r>
      <w:r>
        <w:rPr>
          <w:rFonts w:ascii="Arial" w:eastAsia="Arial" w:hAnsi="Arial" w:cs="Arial"/>
          <w:sz w:val="24"/>
          <w:szCs w:val="24"/>
        </w:rPr>
        <w:t xml:space="preserve"> relativo al juicio de nulidad promovido </w:t>
      </w:r>
      <w:r w:rsidR="00292436">
        <w:rPr>
          <w:rFonts w:ascii="Arial" w:eastAsia="Arial" w:hAnsi="Arial" w:cs="Arial"/>
          <w:b/>
          <w:sz w:val="24"/>
          <w:szCs w:val="24"/>
        </w:rPr>
        <w:t>**********</w:t>
      </w:r>
      <w:r>
        <w:rPr>
          <w:rFonts w:ascii="Arial" w:eastAsia="Arial" w:hAnsi="Arial" w:cs="Arial"/>
          <w:sz w:val="24"/>
          <w:szCs w:val="24"/>
        </w:rPr>
        <w:t>, en contra de la resolució</w:t>
      </w:r>
      <w:r>
        <w:rPr>
          <w:rFonts w:ascii="Arial" w:eastAsia="Arial" w:hAnsi="Arial" w:cs="Arial"/>
          <w:sz w:val="24"/>
          <w:szCs w:val="24"/>
        </w:rPr>
        <w:t>n contenida en el oficio número SUBDU-XI-0016/2022 de trece de enero de dos mil veintidós, emitida por el Director de Obras Públicas y Desarrollo Urbano del Municipio de San Juan Bautista Tuxtepec, Oaxaca.</w:t>
      </w:r>
    </w:p>
    <w:p w:rsidR="00733C45" w:rsidRDefault="00733C45">
      <w:pPr>
        <w:tabs>
          <w:tab w:val="left" w:pos="284"/>
          <w:tab w:val="left" w:pos="426"/>
          <w:tab w:val="right" w:pos="9072"/>
        </w:tabs>
        <w:spacing w:before="0" w:after="0"/>
        <w:ind w:right="51" w:firstLine="709"/>
        <w:rPr>
          <w:rFonts w:ascii="Arial" w:eastAsia="Arial" w:hAnsi="Arial" w:cs="Arial"/>
          <w:sz w:val="24"/>
          <w:szCs w:val="24"/>
        </w:rPr>
      </w:pPr>
    </w:p>
    <w:tbl>
      <w:tblPr>
        <w:tblStyle w:val="a6"/>
        <w:tblW w:w="7088" w:type="dxa"/>
        <w:tblInd w:w="562" w:type="dxa"/>
        <w:tblBorders>
          <w:top w:val="single" w:sz="6" w:space="0" w:color="BFBFBF"/>
          <w:left w:val="single" w:sz="6" w:space="0" w:color="BFBFBF"/>
          <w:bottom w:val="single" w:sz="6" w:space="0" w:color="BFBFBF"/>
          <w:right w:val="single" w:sz="6" w:space="0" w:color="BFBFBF"/>
          <w:insideH w:val="single" w:sz="4" w:space="0" w:color="000000"/>
          <w:insideV w:val="single" w:sz="6" w:space="0" w:color="BFBFBF"/>
        </w:tblBorders>
        <w:tblLayout w:type="fixed"/>
        <w:tblLook w:val="0400" w:firstRow="0" w:lastRow="0" w:firstColumn="0" w:lastColumn="0" w:noHBand="0" w:noVBand="1"/>
      </w:tblPr>
      <w:tblGrid>
        <w:gridCol w:w="7088"/>
      </w:tblGrid>
      <w:tr w:rsidR="00733C45">
        <w:trPr>
          <w:trHeight w:val="445"/>
        </w:trPr>
        <w:tc>
          <w:tcPr>
            <w:tcW w:w="7088" w:type="dxa"/>
          </w:tcPr>
          <w:p w:rsidR="00733C45" w:rsidRDefault="00882EC8">
            <w:pPr>
              <w:tabs>
                <w:tab w:val="left" w:pos="284"/>
                <w:tab w:val="left" w:pos="426"/>
                <w:tab w:val="right" w:pos="9072"/>
              </w:tabs>
              <w:jc w:val="center"/>
              <w:rPr>
                <w:rFonts w:ascii="Arial" w:eastAsia="Arial" w:hAnsi="Arial" w:cs="Arial"/>
                <w:b/>
              </w:rPr>
            </w:pPr>
            <w:r>
              <w:rPr>
                <w:rFonts w:ascii="Arial" w:eastAsia="Arial" w:hAnsi="Arial" w:cs="Arial"/>
                <w:b/>
              </w:rPr>
              <w:t>GLOSARIO:</w:t>
            </w:r>
          </w:p>
        </w:tc>
      </w:tr>
      <w:tr w:rsidR="00733C45">
        <w:trPr>
          <w:trHeight w:val="542"/>
        </w:trPr>
        <w:tc>
          <w:tcPr>
            <w:tcW w:w="7088" w:type="dxa"/>
          </w:tcPr>
          <w:p w:rsidR="00733C45" w:rsidRDefault="00882EC8">
            <w:pPr>
              <w:numPr>
                <w:ilvl w:val="0"/>
                <w:numId w:val="1"/>
              </w:numPr>
              <w:pBdr>
                <w:top w:val="nil"/>
                <w:left w:val="nil"/>
                <w:bottom w:val="nil"/>
                <w:right w:val="nil"/>
                <w:between w:val="nil"/>
              </w:pBdr>
              <w:tabs>
                <w:tab w:val="left" w:pos="284"/>
                <w:tab w:val="left" w:pos="426"/>
                <w:tab w:val="right" w:pos="9072"/>
              </w:tabs>
              <w:spacing w:before="120"/>
              <w:ind w:left="461" w:hanging="284"/>
              <w:jc w:val="both"/>
              <w:rPr>
                <w:color w:val="000000"/>
              </w:rPr>
            </w:pPr>
            <w:r>
              <w:rPr>
                <w:rFonts w:ascii="Arial" w:eastAsia="Arial" w:hAnsi="Arial" w:cs="Arial"/>
                <w:b/>
                <w:i/>
                <w:color w:val="000000"/>
              </w:rPr>
              <w:t>Constitución Federal:</w:t>
            </w:r>
            <w:r>
              <w:rPr>
                <w:rFonts w:ascii="Arial" w:eastAsia="Arial" w:hAnsi="Arial" w:cs="Arial"/>
                <w:color w:val="000000"/>
              </w:rPr>
              <w:t xml:space="preserve"> Constitución Política de los Estados Unidos Mexicanos.</w:t>
            </w:r>
          </w:p>
        </w:tc>
      </w:tr>
      <w:tr w:rsidR="00733C45">
        <w:trPr>
          <w:trHeight w:val="437"/>
        </w:trPr>
        <w:tc>
          <w:tcPr>
            <w:tcW w:w="7088" w:type="dxa"/>
          </w:tcPr>
          <w:p w:rsidR="00733C45" w:rsidRDefault="00882EC8">
            <w:pPr>
              <w:numPr>
                <w:ilvl w:val="0"/>
                <w:numId w:val="1"/>
              </w:numPr>
              <w:pBdr>
                <w:top w:val="nil"/>
                <w:left w:val="nil"/>
                <w:bottom w:val="nil"/>
                <w:right w:val="nil"/>
                <w:between w:val="nil"/>
              </w:pBdr>
              <w:tabs>
                <w:tab w:val="left" w:pos="284"/>
                <w:tab w:val="left" w:pos="426"/>
                <w:tab w:val="right" w:pos="9072"/>
              </w:tabs>
              <w:ind w:left="461" w:hanging="284"/>
              <w:jc w:val="both"/>
              <w:rPr>
                <w:color w:val="000000"/>
              </w:rPr>
            </w:pPr>
            <w:r>
              <w:rPr>
                <w:rFonts w:ascii="Arial" w:eastAsia="Arial" w:hAnsi="Arial" w:cs="Arial"/>
                <w:b/>
                <w:i/>
                <w:color w:val="000000"/>
              </w:rPr>
              <w:t>Constitución Local:</w:t>
            </w:r>
            <w:r>
              <w:rPr>
                <w:rFonts w:ascii="Arial" w:eastAsia="Arial" w:hAnsi="Arial" w:cs="Arial"/>
                <w:color w:val="000000"/>
              </w:rPr>
              <w:t xml:space="preserve"> Constitución Política del Estado Libre y Soberano de Oaxaca.</w:t>
            </w:r>
          </w:p>
        </w:tc>
      </w:tr>
      <w:tr w:rsidR="00733C45">
        <w:trPr>
          <w:trHeight w:val="437"/>
        </w:trPr>
        <w:tc>
          <w:tcPr>
            <w:tcW w:w="7088" w:type="dxa"/>
          </w:tcPr>
          <w:p w:rsidR="00733C45" w:rsidRDefault="00882EC8">
            <w:pPr>
              <w:numPr>
                <w:ilvl w:val="0"/>
                <w:numId w:val="1"/>
              </w:numPr>
              <w:pBdr>
                <w:top w:val="nil"/>
                <w:left w:val="nil"/>
                <w:bottom w:val="nil"/>
                <w:right w:val="nil"/>
                <w:between w:val="nil"/>
              </w:pBdr>
              <w:tabs>
                <w:tab w:val="left" w:pos="284"/>
                <w:tab w:val="left" w:pos="426"/>
                <w:tab w:val="right" w:pos="9072"/>
              </w:tabs>
              <w:ind w:left="461" w:hanging="284"/>
              <w:jc w:val="both"/>
              <w:rPr>
                <w:color w:val="000000"/>
              </w:rPr>
            </w:pPr>
            <w:r>
              <w:rPr>
                <w:rFonts w:ascii="Arial" w:eastAsia="Arial" w:hAnsi="Arial" w:cs="Arial"/>
                <w:b/>
                <w:i/>
                <w:color w:val="000000"/>
              </w:rPr>
              <w:t>Ley de Procedimiento:</w:t>
            </w:r>
            <w:r>
              <w:rPr>
                <w:rFonts w:ascii="Arial" w:eastAsia="Arial" w:hAnsi="Arial" w:cs="Arial"/>
                <w:color w:val="000000"/>
              </w:rPr>
              <w:t xml:space="preserve"> Ley de Procedimiento y Justicia Administrativa para el Estado de Oaxaca.</w:t>
            </w:r>
          </w:p>
        </w:tc>
      </w:tr>
      <w:tr w:rsidR="00733C45">
        <w:trPr>
          <w:trHeight w:val="448"/>
        </w:trPr>
        <w:tc>
          <w:tcPr>
            <w:tcW w:w="7088" w:type="dxa"/>
          </w:tcPr>
          <w:p w:rsidR="00733C45" w:rsidRDefault="00882EC8">
            <w:pPr>
              <w:numPr>
                <w:ilvl w:val="0"/>
                <w:numId w:val="1"/>
              </w:numPr>
              <w:pBdr>
                <w:top w:val="nil"/>
                <w:left w:val="nil"/>
                <w:bottom w:val="nil"/>
                <w:right w:val="nil"/>
                <w:between w:val="nil"/>
              </w:pBdr>
              <w:tabs>
                <w:tab w:val="left" w:pos="284"/>
                <w:tab w:val="left" w:pos="426"/>
                <w:tab w:val="right" w:pos="9072"/>
              </w:tabs>
              <w:ind w:left="461" w:hanging="284"/>
              <w:jc w:val="both"/>
              <w:rPr>
                <w:rFonts w:ascii="Arial" w:eastAsia="Arial" w:hAnsi="Arial" w:cs="Arial"/>
                <w:b/>
                <w:i/>
                <w:color w:val="000000"/>
              </w:rPr>
            </w:pPr>
            <w:r>
              <w:rPr>
                <w:rFonts w:ascii="Arial" w:eastAsia="Arial" w:hAnsi="Arial" w:cs="Arial"/>
                <w:b/>
                <w:i/>
                <w:color w:val="000000"/>
              </w:rPr>
              <w:t xml:space="preserve">Reglamento Interior: </w:t>
            </w:r>
            <w:r>
              <w:rPr>
                <w:rFonts w:ascii="Arial" w:eastAsia="Arial" w:hAnsi="Arial" w:cs="Arial"/>
                <w:color w:val="000000"/>
              </w:rPr>
              <w:t>Reglamento Interior de la Administración Municipal de San Juan Bautista Tuxtepec, Oaxaca.</w:t>
            </w:r>
          </w:p>
        </w:tc>
      </w:tr>
      <w:tr w:rsidR="00733C45">
        <w:trPr>
          <w:trHeight w:val="437"/>
        </w:trPr>
        <w:tc>
          <w:tcPr>
            <w:tcW w:w="7088" w:type="dxa"/>
          </w:tcPr>
          <w:p w:rsidR="00733C45" w:rsidRDefault="00882EC8">
            <w:pPr>
              <w:numPr>
                <w:ilvl w:val="0"/>
                <w:numId w:val="1"/>
              </w:numPr>
              <w:pBdr>
                <w:top w:val="nil"/>
                <w:left w:val="nil"/>
                <w:bottom w:val="nil"/>
                <w:right w:val="nil"/>
                <w:between w:val="nil"/>
              </w:pBdr>
              <w:tabs>
                <w:tab w:val="left" w:pos="284"/>
                <w:tab w:val="left" w:pos="426"/>
                <w:tab w:val="right" w:pos="9072"/>
              </w:tabs>
              <w:ind w:left="461" w:hanging="284"/>
              <w:jc w:val="both"/>
              <w:rPr>
                <w:rFonts w:ascii="Arial" w:eastAsia="Arial" w:hAnsi="Arial" w:cs="Arial"/>
                <w:b/>
                <w:i/>
                <w:color w:val="000000"/>
              </w:rPr>
            </w:pPr>
            <w:r>
              <w:rPr>
                <w:rFonts w:ascii="Arial" w:eastAsia="Arial" w:hAnsi="Arial" w:cs="Arial"/>
                <w:b/>
                <w:i/>
                <w:color w:val="000000"/>
              </w:rPr>
              <w:t xml:space="preserve">Ley de Ordenamiento: </w:t>
            </w:r>
            <w:r>
              <w:rPr>
                <w:rFonts w:ascii="Arial" w:eastAsia="Arial" w:hAnsi="Arial" w:cs="Arial"/>
                <w:color w:val="000000"/>
              </w:rPr>
              <w:t>Ley de Ordenamiento Territorial y Desarrollo Urbano para el Estado de Oaxaca.</w:t>
            </w:r>
          </w:p>
        </w:tc>
      </w:tr>
      <w:tr w:rsidR="00733C45">
        <w:trPr>
          <w:trHeight w:val="437"/>
        </w:trPr>
        <w:tc>
          <w:tcPr>
            <w:tcW w:w="7088" w:type="dxa"/>
          </w:tcPr>
          <w:p w:rsidR="00733C45" w:rsidRDefault="00882EC8">
            <w:pPr>
              <w:numPr>
                <w:ilvl w:val="0"/>
                <w:numId w:val="1"/>
              </w:numPr>
              <w:pBdr>
                <w:top w:val="nil"/>
                <w:left w:val="nil"/>
                <w:bottom w:val="nil"/>
                <w:right w:val="nil"/>
                <w:between w:val="nil"/>
              </w:pBdr>
              <w:tabs>
                <w:tab w:val="left" w:pos="284"/>
                <w:tab w:val="left" w:pos="426"/>
                <w:tab w:val="right" w:pos="9072"/>
              </w:tabs>
              <w:ind w:left="461" w:hanging="284"/>
              <w:jc w:val="both"/>
              <w:rPr>
                <w:rFonts w:ascii="Arial" w:eastAsia="Arial" w:hAnsi="Arial" w:cs="Arial"/>
                <w:b/>
                <w:i/>
                <w:color w:val="000000"/>
              </w:rPr>
            </w:pPr>
            <w:r>
              <w:rPr>
                <w:rFonts w:ascii="Arial" w:eastAsia="Arial" w:hAnsi="Arial" w:cs="Arial"/>
                <w:b/>
                <w:i/>
                <w:color w:val="000000"/>
              </w:rPr>
              <w:t xml:space="preserve">Reglamento de Construcción: </w:t>
            </w:r>
            <w:r>
              <w:rPr>
                <w:rFonts w:ascii="Arial" w:eastAsia="Arial" w:hAnsi="Arial" w:cs="Arial"/>
                <w:color w:val="000000"/>
              </w:rPr>
              <w:t>Reglamento de Construcción y Seguridad Estructural para el Estado de Oaxaca.</w:t>
            </w:r>
          </w:p>
        </w:tc>
      </w:tr>
      <w:tr w:rsidR="00733C45">
        <w:trPr>
          <w:trHeight w:val="437"/>
        </w:trPr>
        <w:tc>
          <w:tcPr>
            <w:tcW w:w="7088" w:type="dxa"/>
          </w:tcPr>
          <w:p w:rsidR="00733C45" w:rsidRDefault="00882EC8">
            <w:pPr>
              <w:numPr>
                <w:ilvl w:val="0"/>
                <w:numId w:val="1"/>
              </w:numPr>
              <w:pBdr>
                <w:top w:val="nil"/>
                <w:left w:val="nil"/>
                <w:bottom w:val="nil"/>
                <w:right w:val="nil"/>
                <w:between w:val="nil"/>
              </w:pBdr>
              <w:tabs>
                <w:tab w:val="left" w:pos="284"/>
                <w:tab w:val="left" w:pos="426"/>
                <w:tab w:val="right" w:pos="9072"/>
              </w:tabs>
              <w:ind w:left="461" w:hanging="284"/>
              <w:jc w:val="both"/>
              <w:rPr>
                <w:rFonts w:ascii="Arial" w:eastAsia="Arial" w:hAnsi="Arial" w:cs="Arial"/>
                <w:b/>
                <w:i/>
                <w:color w:val="000000"/>
              </w:rPr>
            </w:pPr>
            <w:r>
              <w:rPr>
                <w:rFonts w:ascii="Arial" w:eastAsia="Arial" w:hAnsi="Arial" w:cs="Arial"/>
                <w:b/>
                <w:i/>
                <w:color w:val="000000"/>
              </w:rPr>
              <w:t>Director de Obras:</w:t>
            </w:r>
            <w:r>
              <w:rPr>
                <w:rFonts w:ascii="Arial" w:eastAsia="Arial" w:hAnsi="Arial" w:cs="Arial"/>
                <w:b/>
                <w:i/>
                <w:color w:val="000000"/>
                <w:sz w:val="24"/>
                <w:szCs w:val="24"/>
              </w:rPr>
              <w:t xml:space="preserve"> </w:t>
            </w:r>
            <w:r>
              <w:rPr>
                <w:rFonts w:ascii="Arial" w:eastAsia="Arial" w:hAnsi="Arial" w:cs="Arial"/>
                <w:color w:val="000000"/>
              </w:rPr>
              <w:t>Director de Obras Públicas y Desarrollo Urbano del Municipio de San Juan Bautista Tuxtepec, Oaxaca.</w:t>
            </w:r>
          </w:p>
        </w:tc>
      </w:tr>
      <w:tr w:rsidR="00733C45">
        <w:trPr>
          <w:trHeight w:val="437"/>
        </w:trPr>
        <w:tc>
          <w:tcPr>
            <w:tcW w:w="7088" w:type="dxa"/>
          </w:tcPr>
          <w:p w:rsidR="00733C45" w:rsidRDefault="00882EC8">
            <w:pPr>
              <w:numPr>
                <w:ilvl w:val="0"/>
                <w:numId w:val="1"/>
              </w:numPr>
              <w:pBdr>
                <w:top w:val="nil"/>
                <w:left w:val="nil"/>
                <w:bottom w:val="nil"/>
                <w:right w:val="nil"/>
                <w:between w:val="nil"/>
              </w:pBdr>
              <w:tabs>
                <w:tab w:val="left" w:pos="284"/>
                <w:tab w:val="left" w:pos="426"/>
                <w:tab w:val="right" w:pos="9072"/>
              </w:tabs>
              <w:ind w:left="461" w:hanging="284"/>
              <w:jc w:val="both"/>
              <w:rPr>
                <w:rFonts w:ascii="Arial" w:eastAsia="Arial" w:hAnsi="Arial" w:cs="Arial"/>
                <w:b/>
                <w:i/>
                <w:color w:val="000000"/>
              </w:rPr>
            </w:pPr>
            <w:r>
              <w:rPr>
                <w:rFonts w:ascii="Arial" w:eastAsia="Arial" w:hAnsi="Arial" w:cs="Arial"/>
                <w:b/>
                <w:i/>
                <w:color w:val="000000"/>
              </w:rPr>
              <w:t xml:space="preserve">Des. </w:t>
            </w:r>
            <w:proofErr w:type="spellStart"/>
            <w:r>
              <w:rPr>
                <w:rFonts w:ascii="Arial" w:eastAsia="Arial" w:hAnsi="Arial" w:cs="Arial"/>
                <w:b/>
                <w:i/>
                <w:color w:val="000000"/>
              </w:rPr>
              <w:t>Oblig</w:t>
            </w:r>
            <w:proofErr w:type="spellEnd"/>
            <w:r>
              <w:rPr>
                <w:rFonts w:ascii="Arial" w:eastAsia="Arial" w:hAnsi="Arial" w:cs="Arial"/>
                <w:b/>
                <w:i/>
                <w:color w:val="000000"/>
              </w:rPr>
              <w:t>.</w:t>
            </w:r>
            <w:r>
              <w:rPr>
                <w:rFonts w:ascii="Arial" w:eastAsia="Arial" w:hAnsi="Arial" w:cs="Arial"/>
                <w:i/>
                <w:color w:val="000000"/>
              </w:rPr>
              <w:t xml:space="preserve">: </w:t>
            </w:r>
            <w:r>
              <w:rPr>
                <w:rFonts w:ascii="Arial" w:eastAsia="Arial" w:hAnsi="Arial" w:cs="Arial"/>
                <w:color w:val="000000"/>
              </w:rPr>
              <w:t xml:space="preserve">Descanso Obligatorio, calendario oficial del </w:t>
            </w:r>
            <w:r>
              <w:rPr>
                <w:rFonts w:ascii="Arial" w:eastAsia="Arial" w:hAnsi="Arial" w:cs="Arial"/>
                <w:color w:val="000000"/>
              </w:rPr>
              <w:t>año 2022, publicado en el Acuerdo General AG/TJAO/12/2021.</w:t>
            </w:r>
          </w:p>
        </w:tc>
      </w:tr>
    </w:tbl>
    <w:p w:rsidR="00733C45" w:rsidRDefault="00733C45">
      <w:pPr>
        <w:tabs>
          <w:tab w:val="center" w:pos="4418"/>
          <w:tab w:val="left" w:pos="6330"/>
        </w:tabs>
        <w:spacing w:after="0"/>
        <w:jc w:val="center"/>
        <w:rPr>
          <w:rFonts w:ascii="Arial" w:eastAsia="Arial" w:hAnsi="Arial" w:cs="Arial"/>
          <w:b/>
          <w:sz w:val="24"/>
          <w:szCs w:val="24"/>
        </w:rPr>
      </w:pPr>
    </w:p>
    <w:p w:rsidR="00733C45" w:rsidRDefault="00882EC8">
      <w:pPr>
        <w:tabs>
          <w:tab w:val="center" w:pos="4418"/>
          <w:tab w:val="left" w:pos="6330"/>
        </w:tabs>
        <w:spacing w:after="0"/>
        <w:jc w:val="center"/>
        <w:rPr>
          <w:rFonts w:ascii="Arial" w:eastAsia="Arial" w:hAnsi="Arial" w:cs="Arial"/>
          <w:b/>
          <w:sz w:val="24"/>
          <w:szCs w:val="24"/>
        </w:rPr>
      </w:pPr>
      <w:r>
        <w:rPr>
          <w:rFonts w:ascii="Arial" w:eastAsia="Arial" w:hAnsi="Arial" w:cs="Arial"/>
          <w:b/>
          <w:sz w:val="24"/>
          <w:szCs w:val="24"/>
        </w:rPr>
        <w:t>I. R E S U L T A N D O</w:t>
      </w:r>
    </w:p>
    <w:p w:rsidR="00733C45" w:rsidRDefault="00882EC8">
      <w:pPr>
        <w:pBdr>
          <w:top w:val="nil"/>
          <w:left w:val="nil"/>
          <w:bottom w:val="nil"/>
          <w:right w:val="nil"/>
          <w:between w:val="nil"/>
        </w:pBdr>
        <w:spacing w:before="200" w:after="0"/>
        <w:ind w:left="567"/>
        <w:rPr>
          <w:rFonts w:ascii="Arial" w:eastAsia="Arial" w:hAnsi="Arial" w:cs="Arial"/>
          <w:color w:val="000000"/>
          <w:sz w:val="24"/>
          <w:szCs w:val="24"/>
        </w:rPr>
      </w:pPr>
      <w:r>
        <w:rPr>
          <w:rFonts w:ascii="Arial" w:eastAsia="Arial" w:hAnsi="Arial" w:cs="Arial"/>
          <w:b/>
          <w:color w:val="000000"/>
          <w:sz w:val="24"/>
          <w:szCs w:val="24"/>
        </w:rPr>
        <w:t>PRIMERO.</w:t>
      </w:r>
      <w:r>
        <w:rPr>
          <w:rFonts w:ascii="Arial" w:eastAsia="Arial" w:hAnsi="Arial" w:cs="Arial"/>
          <w:color w:val="000000"/>
          <w:sz w:val="24"/>
          <w:szCs w:val="24"/>
        </w:rPr>
        <w:t xml:space="preserve"> </w:t>
      </w:r>
      <w:r>
        <w:rPr>
          <w:rFonts w:ascii="Arial" w:eastAsia="Arial" w:hAnsi="Arial" w:cs="Arial"/>
          <w:b/>
          <w:color w:val="000000"/>
          <w:sz w:val="24"/>
          <w:szCs w:val="24"/>
        </w:rPr>
        <w:t>DEMANDA DE NULIDAD.</w:t>
      </w:r>
    </w:p>
    <w:p w:rsidR="00733C45" w:rsidRDefault="00882EC8">
      <w:pPr>
        <w:numPr>
          <w:ilvl w:val="0"/>
          <w:numId w:val="2"/>
        </w:numPr>
        <w:pBdr>
          <w:top w:val="nil"/>
          <w:left w:val="nil"/>
          <w:bottom w:val="nil"/>
          <w:right w:val="nil"/>
          <w:between w:val="nil"/>
        </w:pBdr>
        <w:spacing w:before="200" w:after="0"/>
        <w:ind w:left="0" w:firstLine="709"/>
        <w:rPr>
          <w:color w:val="000000"/>
          <w:sz w:val="24"/>
          <w:szCs w:val="24"/>
        </w:rPr>
      </w:pPr>
      <w:r>
        <w:rPr>
          <w:rFonts w:ascii="Arial" w:eastAsia="Arial" w:hAnsi="Arial" w:cs="Arial"/>
          <w:color w:val="000000"/>
          <w:sz w:val="24"/>
          <w:szCs w:val="24"/>
        </w:rPr>
        <w:lastRenderedPageBreak/>
        <w:t xml:space="preserve">Por escrito presentado el dieciocho de abril de dos mil veintidós, en la Oficialía de Partes Común del entonces Tribunal de Justicia Administrativa para el Estado de Oaxaca, </w:t>
      </w:r>
      <w:r w:rsidR="00292436">
        <w:rPr>
          <w:rFonts w:ascii="Arial" w:eastAsia="Arial" w:hAnsi="Arial" w:cs="Arial"/>
          <w:b/>
          <w:color w:val="000000"/>
          <w:sz w:val="24"/>
          <w:szCs w:val="24"/>
        </w:rPr>
        <w:t>**********</w:t>
      </w:r>
      <w:r>
        <w:rPr>
          <w:rFonts w:ascii="Arial" w:eastAsia="Arial" w:hAnsi="Arial" w:cs="Arial"/>
          <w:color w:val="000000"/>
          <w:sz w:val="24"/>
          <w:szCs w:val="24"/>
        </w:rPr>
        <w:t xml:space="preserve"> demandó la nulidad de la resolución de trece de enero de d</w:t>
      </w:r>
      <w:r>
        <w:rPr>
          <w:rFonts w:ascii="Arial" w:eastAsia="Arial" w:hAnsi="Arial" w:cs="Arial"/>
          <w:color w:val="000000"/>
          <w:sz w:val="24"/>
          <w:szCs w:val="24"/>
        </w:rPr>
        <w:t xml:space="preserve">os mil veintidós, contenida en el oficio SUBDU-XI/0016/2022, dictada por el </w:t>
      </w:r>
      <w:r>
        <w:rPr>
          <w:rFonts w:ascii="Arial" w:eastAsia="Arial" w:hAnsi="Arial" w:cs="Arial"/>
          <w:i/>
          <w:color w:val="000000"/>
          <w:sz w:val="24"/>
          <w:szCs w:val="24"/>
        </w:rPr>
        <w:t>Director de Obras</w:t>
      </w:r>
      <w:r>
        <w:rPr>
          <w:rFonts w:ascii="Arial" w:eastAsia="Arial" w:hAnsi="Arial" w:cs="Arial"/>
          <w:color w:val="000000"/>
          <w:sz w:val="24"/>
          <w:szCs w:val="24"/>
        </w:rPr>
        <w:t>.</w:t>
      </w:r>
    </w:p>
    <w:p w:rsidR="00733C45" w:rsidRDefault="00882EC8">
      <w:pPr>
        <w:pBdr>
          <w:top w:val="nil"/>
          <w:left w:val="nil"/>
          <w:bottom w:val="nil"/>
          <w:right w:val="nil"/>
          <w:between w:val="nil"/>
        </w:pBdr>
        <w:spacing w:before="200" w:after="0"/>
        <w:ind w:left="567"/>
        <w:rPr>
          <w:rFonts w:ascii="Arial" w:eastAsia="Arial" w:hAnsi="Arial" w:cs="Arial"/>
          <w:color w:val="000000"/>
          <w:sz w:val="24"/>
          <w:szCs w:val="24"/>
        </w:rPr>
      </w:pPr>
      <w:r>
        <w:rPr>
          <w:rFonts w:ascii="Arial" w:eastAsia="Arial" w:hAnsi="Arial" w:cs="Arial"/>
          <w:b/>
          <w:color w:val="000000"/>
          <w:sz w:val="24"/>
          <w:szCs w:val="24"/>
        </w:rPr>
        <w:t>SEGUNDO. ADMISIÓN DE LA DEMANDA Y SU CONTESTACIÓN.</w:t>
      </w:r>
      <w:r>
        <w:rPr>
          <w:rFonts w:ascii="Arial" w:eastAsia="Arial" w:hAnsi="Arial" w:cs="Arial"/>
          <w:color w:val="000000"/>
          <w:sz w:val="24"/>
          <w:szCs w:val="24"/>
        </w:rPr>
        <w:t xml:space="preserve"> </w:t>
      </w:r>
    </w:p>
    <w:p w:rsidR="00733C45" w:rsidRDefault="00882EC8">
      <w:pPr>
        <w:numPr>
          <w:ilvl w:val="0"/>
          <w:numId w:val="2"/>
        </w:numPr>
        <w:pBdr>
          <w:top w:val="nil"/>
          <w:left w:val="nil"/>
          <w:bottom w:val="nil"/>
          <w:right w:val="nil"/>
          <w:between w:val="nil"/>
        </w:pBdr>
        <w:spacing w:before="200" w:after="0"/>
        <w:ind w:left="0" w:firstLine="709"/>
        <w:rPr>
          <w:color w:val="000000"/>
          <w:sz w:val="24"/>
          <w:szCs w:val="24"/>
        </w:rPr>
      </w:pPr>
      <w:r>
        <w:rPr>
          <w:rFonts w:ascii="Arial" w:eastAsia="Arial" w:hAnsi="Arial" w:cs="Arial"/>
          <w:color w:val="000000"/>
          <w:sz w:val="24"/>
          <w:szCs w:val="24"/>
        </w:rPr>
        <w:t xml:space="preserve">Por auto de veintiuno de abril de dos mil veintidós, se admitió a trámite la demanda interpuesta por </w:t>
      </w:r>
      <w:r w:rsidR="00292436">
        <w:rPr>
          <w:rFonts w:ascii="Arial" w:eastAsia="Arial" w:hAnsi="Arial" w:cs="Arial"/>
          <w:b/>
          <w:color w:val="000000"/>
          <w:sz w:val="24"/>
          <w:szCs w:val="24"/>
        </w:rPr>
        <w:t>**********</w:t>
      </w:r>
      <w:r>
        <w:rPr>
          <w:rFonts w:ascii="Arial" w:eastAsia="Arial" w:hAnsi="Arial" w:cs="Arial"/>
          <w:color w:val="000000"/>
          <w:sz w:val="24"/>
          <w:szCs w:val="24"/>
        </w:rPr>
        <w:t xml:space="preserve">, ordenándose correr traslado, emplazar a juicio y apercibir al </w:t>
      </w:r>
      <w:r>
        <w:rPr>
          <w:rFonts w:ascii="Arial" w:eastAsia="Arial" w:hAnsi="Arial" w:cs="Arial"/>
          <w:i/>
          <w:color w:val="000000"/>
          <w:sz w:val="24"/>
          <w:szCs w:val="24"/>
        </w:rPr>
        <w:t>Director de Obras</w:t>
      </w:r>
      <w:r>
        <w:rPr>
          <w:rFonts w:ascii="Arial" w:eastAsia="Arial" w:hAnsi="Arial" w:cs="Arial"/>
          <w:color w:val="000000"/>
          <w:sz w:val="24"/>
          <w:szCs w:val="24"/>
        </w:rPr>
        <w:t>, para que diera contestación a la misma dentro del plazo de nueve días hábiles siguientes a su legal notificación; asimismo, se admitieron las pruebas ofrecida</w:t>
      </w:r>
      <w:r>
        <w:rPr>
          <w:rFonts w:ascii="Arial" w:eastAsia="Arial" w:hAnsi="Arial" w:cs="Arial"/>
          <w:color w:val="000000"/>
          <w:sz w:val="24"/>
          <w:szCs w:val="24"/>
        </w:rPr>
        <w:t>s por la parte actora</w:t>
      </w:r>
    </w:p>
    <w:p w:rsidR="00733C45" w:rsidRDefault="00882EC8">
      <w:pPr>
        <w:numPr>
          <w:ilvl w:val="0"/>
          <w:numId w:val="2"/>
        </w:numPr>
        <w:pBdr>
          <w:top w:val="nil"/>
          <w:left w:val="nil"/>
          <w:bottom w:val="nil"/>
          <w:right w:val="nil"/>
          <w:between w:val="nil"/>
        </w:pBdr>
        <w:spacing w:before="200" w:after="0"/>
        <w:ind w:left="0" w:firstLine="709"/>
        <w:rPr>
          <w:color w:val="000000"/>
          <w:sz w:val="24"/>
          <w:szCs w:val="24"/>
        </w:rPr>
      </w:pPr>
      <w:r>
        <w:rPr>
          <w:rFonts w:ascii="Arial" w:eastAsia="Arial" w:hAnsi="Arial" w:cs="Arial"/>
          <w:color w:val="000000"/>
          <w:sz w:val="24"/>
          <w:szCs w:val="24"/>
        </w:rPr>
        <w:t xml:space="preserve">Mediante acuerdo dos de junio de dos mil veintitrés, se tuvo al </w:t>
      </w:r>
      <w:r>
        <w:rPr>
          <w:rFonts w:ascii="Arial" w:eastAsia="Arial" w:hAnsi="Arial" w:cs="Arial"/>
          <w:i/>
          <w:color w:val="000000"/>
          <w:sz w:val="24"/>
          <w:szCs w:val="24"/>
        </w:rPr>
        <w:t xml:space="preserve">Director de Obras, </w:t>
      </w:r>
      <w:r>
        <w:rPr>
          <w:rFonts w:ascii="Arial" w:eastAsia="Arial" w:hAnsi="Arial" w:cs="Arial"/>
          <w:color w:val="000000"/>
          <w:sz w:val="24"/>
          <w:szCs w:val="24"/>
        </w:rPr>
        <w:t>contestando la demanda en sentido afirmativo, salvo prueba en contrario, al haberla presentado en forma extemporánea.</w:t>
      </w:r>
    </w:p>
    <w:p w:rsidR="00733C45" w:rsidRDefault="00882EC8">
      <w:pPr>
        <w:numPr>
          <w:ilvl w:val="0"/>
          <w:numId w:val="2"/>
        </w:numPr>
        <w:pBdr>
          <w:top w:val="nil"/>
          <w:left w:val="nil"/>
          <w:bottom w:val="nil"/>
          <w:right w:val="nil"/>
          <w:between w:val="nil"/>
        </w:pBdr>
        <w:spacing w:before="200" w:after="0"/>
        <w:ind w:left="0" w:firstLine="709"/>
        <w:rPr>
          <w:color w:val="000000"/>
          <w:sz w:val="24"/>
          <w:szCs w:val="24"/>
        </w:rPr>
      </w:pPr>
      <w:r>
        <w:rPr>
          <w:rFonts w:ascii="Arial" w:eastAsia="Arial" w:hAnsi="Arial" w:cs="Arial"/>
          <w:color w:val="000000"/>
          <w:sz w:val="24"/>
          <w:szCs w:val="24"/>
        </w:rPr>
        <w:t>Por auto dictado el catorce de fe</w:t>
      </w:r>
      <w:r>
        <w:rPr>
          <w:rFonts w:ascii="Arial" w:eastAsia="Arial" w:hAnsi="Arial" w:cs="Arial"/>
          <w:color w:val="000000"/>
          <w:sz w:val="24"/>
          <w:szCs w:val="24"/>
        </w:rPr>
        <w:t>brero de dos mil veintitrés, se señalaron las on</w:t>
      </w:r>
      <w:r>
        <w:rPr>
          <w:rFonts w:ascii="Arial" w:eastAsia="Arial" w:hAnsi="Arial" w:cs="Arial"/>
          <w:sz w:val="24"/>
          <w:szCs w:val="24"/>
        </w:rPr>
        <w:t>c</w:t>
      </w:r>
      <w:r>
        <w:rPr>
          <w:rFonts w:ascii="Arial" w:eastAsia="Arial" w:hAnsi="Arial" w:cs="Arial"/>
          <w:color w:val="000000"/>
          <w:sz w:val="24"/>
          <w:szCs w:val="24"/>
        </w:rPr>
        <w:t>e horas del día once de abril del mismo año, para la celebración de la audiencia final.</w:t>
      </w:r>
    </w:p>
    <w:p w:rsidR="00733C45" w:rsidRDefault="00882EC8">
      <w:pPr>
        <w:pBdr>
          <w:top w:val="nil"/>
          <w:left w:val="nil"/>
          <w:bottom w:val="nil"/>
          <w:right w:val="nil"/>
          <w:between w:val="nil"/>
        </w:pBdr>
        <w:spacing w:before="200" w:after="0"/>
        <w:ind w:left="567"/>
        <w:rPr>
          <w:rFonts w:ascii="Arial" w:eastAsia="Arial" w:hAnsi="Arial" w:cs="Arial"/>
          <w:b/>
          <w:color w:val="000000"/>
          <w:sz w:val="24"/>
          <w:szCs w:val="24"/>
        </w:rPr>
      </w:pPr>
      <w:r>
        <w:rPr>
          <w:rFonts w:ascii="Arial" w:eastAsia="Arial" w:hAnsi="Arial" w:cs="Arial"/>
          <w:b/>
          <w:color w:val="000000"/>
          <w:sz w:val="24"/>
          <w:szCs w:val="24"/>
        </w:rPr>
        <w:t>TERCERO. AUDIENCIA DE LEY.</w:t>
      </w:r>
    </w:p>
    <w:p w:rsidR="00733C45" w:rsidRDefault="00882EC8">
      <w:pPr>
        <w:numPr>
          <w:ilvl w:val="0"/>
          <w:numId w:val="2"/>
        </w:numPr>
        <w:pBdr>
          <w:top w:val="nil"/>
          <w:left w:val="nil"/>
          <w:bottom w:val="nil"/>
          <w:right w:val="nil"/>
          <w:between w:val="nil"/>
        </w:pBdr>
        <w:spacing w:before="200" w:after="0"/>
        <w:ind w:left="0" w:firstLine="709"/>
        <w:rPr>
          <w:color w:val="000000"/>
          <w:sz w:val="24"/>
          <w:szCs w:val="24"/>
        </w:rPr>
      </w:pPr>
      <w:r>
        <w:rPr>
          <w:rFonts w:ascii="Arial" w:eastAsia="Arial" w:hAnsi="Arial" w:cs="Arial"/>
          <w:color w:val="000000"/>
          <w:sz w:val="24"/>
          <w:szCs w:val="24"/>
        </w:rPr>
        <w:t>El once de abril de dos mil veintitrés, se llevó a cabo la audiencia final sin la asistencia</w:t>
      </w:r>
      <w:r>
        <w:rPr>
          <w:rFonts w:ascii="Arial" w:eastAsia="Arial" w:hAnsi="Arial" w:cs="Arial"/>
          <w:color w:val="000000"/>
          <w:sz w:val="24"/>
          <w:szCs w:val="24"/>
        </w:rPr>
        <w:t xml:space="preserve"> de las partes; se tuvieron por desahogadas por su propia y especial naturaleza las pruebas ofrecidas por el actor; en el periodo de alegatos, se hizo constar las partes no formularon sus alegatos, y se cerró dicho periodo, quedando el asunto integrado y p</w:t>
      </w:r>
      <w:r>
        <w:rPr>
          <w:rFonts w:ascii="Arial" w:eastAsia="Arial" w:hAnsi="Arial" w:cs="Arial"/>
          <w:color w:val="000000"/>
          <w:sz w:val="24"/>
          <w:szCs w:val="24"/>
        </w:rPr>
        <w:t>ara el dictado de sentencia.</w:t>
      </w:r>
    </w:p>
    <w:p w:rsidR="00733C45" w:rsidRDefault="00882EC8">
      <w:pPr>
        <w:pBdr>
          <w:top w:val="nil"/>
          <w:left w:val="nil"/>
          <w:bottom w:val="nil"/>
          <w:right w:val="nil"/>
          <w:between w:val="nil"/>
        </w:pBdr>
        <w:spacing w:before="200" w:after="0"/>
        <w:ind w:left="567"/>
        <w:jc w:val="center"/>
        <w:rPr>
          <w:rFonts w:ascii="Arial" w:eastAsia="Arial" w:hAnsi="Arial" w:cs="Arial"/>
          <w:b/>
          <w:color w:val="000000"/>
          <w:sz w:val="24"/>
          <w:szCs w:val="24"/>
        </w:rPr>
      </w:pPr>
      <w:r>
        <w:rPr>
          <w:rFonts w:ascii="Arial" w:eastAsia="Arial" w:hAnsi="Arial" w:cs="Arial"/>
          <w:b/>
          <w:color w:val="000000"/>
          <w:sz w:val="24"/>
          <w:szCs w:val="24"/>
        </w:rPr>
        <w:t>II. C O N S I D E R A N D O</w:t>
      </w:r>
    </w:p>
    <w:p w:rsidR="00733C45" w:rsidRDefault="00882EC8">
      <w:pPr>
        <w:pBdr>
          <w:top w:val="nil"/>
          <w:left w:val="nil"/>
          <w:bottom w:val="nil"/>
          <w:right w:val="nil"/>
          <w:between w:val="nil"/>
        </w:pBdr>
        <w:spacing w:before="200" w:after="0"/>
        <w:ind w:left="567"/>
        <w:rPr>
          <w:rFonts w:ascii="Arial" w:eastAsia="Arial" w:hAnsi="Arial" w:cs="Arial"/>
          <w:b/>
          <w:color w:val="000000"/>
          <w:sz w:val="24"/>
          <w:szCs w:val="24"/>
        </w:rPr>
      </w:pPr>
      <w:r>
        <w:rPr>
          <w:rFonts w:ascii="Arial" w:eastAsia="Arial" w:hAnsi="Arial" w:cs="Arial"/>
          <w:b/>
          <w:color w:val="000000"/>
          <w:sz w:val="24"/>
          <w:szCs w:val="24"/>
        </w:rPr>
        <w:t xml:space="preserve">PRIMERO. COMPETENCIA LEGAL. </w:t>
      </w:r>
    </w:p>
    <w:p w:rsidR="00733C45" w:rsidRDefault="00882EC8">
      <w:pPr>
        <w:numPr>
          <w:ilvl w:val="0"/>
          <w:numId w:val="2"/>
        </w:numPr>
        <w:pBdr>
          <w:top w:val="nil"/>
          <w:left w:val="nil"/>
          <w:bottom w:val="nil"/>
          <w:right w:val="nil"/>
          <w:between w:val="nil"/>
        </w:pBdr>
        <w:spacing w:before="200" w:after="0"/>
        <w:ind w:left="0" w:firstLine="709"/>
        <w:rPr>
          <w:color w:val="000000"/>
          <w:sz w:val="24"/>
          <w:szCs w:val="24"/>
        </w:rPr>
      </w:pPr>
      <w:r>
        <w:rPr>
          <w:rFonts w:ascii="Arial" w:eastAsia="Arial" w:hAnsi="Arial" w:cs="Arial"/>
          <w:color w:val="000000"/>
          <w:sz w:val="24"/>
          <w:szCs w:val="24"/>
        </w:rPr>
        <w:t>Esta Primera Sala Unitaria de Primera Instancia y Especializada en Controversias entre los Municipios y sus Agencias del Tribunal de Justicia Administrativa y Combate a la Corrupción del Estado de Oaxaca, es competente para conocer y resolver el presente j</w:t>
      </w:r>
      <w:r>
        <w:rPr>
          <w:rFonts w:ascii="Arial" w:eastAsia="Arial" w:hAnsi="Arial" w:cs="Arial"/>
          <w:color w:val="000000"/>
          <w:sz w:val="24"/>
          <w:szCs w:val="24"/>
        </w:rPr>
        <w:t xml:space="preserve">uicio, con fundamento en los artículos 116 fracción V de la </w:t>
      </w:r>
      <w:r>
        <w:rPr>
          <w:rFonts w:ascii="Arial" w:eastAsia="Arial" w:hAnsi="Arial" w:cs="Arial"/>
          <w:i/>
          <w:color w:val="000000"/>
          <w:sz w:val="24"/>
          <w:szCs w:val="24"/>
        </w:rPr>
        <w:t>Constitución Federal</w:t>
      </w:r>
      <w:r>
        <w:rPr>
          <w:rFonts w:ascii="Arial" w:eastAsia="Arial" w:hAnsi="Arial" w:cs="Arial"/>
          <w:color w:val="000000"/>
          <w:sz w:val="24"/>
          <w:szCs w:val="24"/>
        </w:rPr>
        <w:t xml:space="preserve">; 114 QUATER y 115 de la </w:t>
      </w:r>
      <w:r>
        <w:rPr>
          <w:rFonts w:ascii="Arial" w:eastAsia="Arial" w:hAnsi="Arial" w:cs="Arial"/>
          <w:i/>
          <w:color w:val="000000"/>
          <w:sz w:val="24"/>
          <w:szCs w:val="24"/>
        </w:rPr>
        <w:t xml:space="preserve">Constitución Local,  </w:t>
      </w:r>
      <w:r>
        <w:rPr>
          <w:rFonts w:ascii="Arial" w:eastAsia="Arial" w:hAnsi="Arial" w:cs="Arial"/>
          <w:color w:val="000000"/>
          <w:sz w:val="24"/>
          <w:szCs w:val="24"/>
        </w:rPr>
        <w:t xml:space="preserve"> vigente; 119, 120, fracciones I y IV, 123, 124, 132 fracciones I y II,133 fracción I, 146 y 147 de la </w:t>
      </w:r>
      <w:r>
        <w:rPr>
          <w:rFonts w:ascii="Arial" w:eastAsia="Arial" w:hAnsi="Arial" w:cs="Arial"/>
          <w:i/>
          <w:color w:val="000000"/>
          <w:sz w:val="24"/>
          <w:szCs w:val="24"/>
        </w:rPr>
        <w:t>Ley de Procedimiento</w:t>
      </w:r>
      <w:r>
        <w:rPr>
          <w:rFonts w:ascii="Arial" w:eastAsia="Arial" w:hAnsi="Arial" w:cs="Arial"/>
          <w:color w:val="000000"/>
          <w:sz w:val="24"/>
          <w:szCs w:val="24"/>
        </w:rPr>
        <w:t>, por t</w:t>
      </w:r>
      <w:r>
        <w:rPr>
          <w:rFonts w:ascii="Arial" w:eastAsia="Arial" w:hAnsi="Arial" w:cs="Arial"/>
          <w:color w:val="000000"/>
          <w:sz w:val="24"/>
          <w:szCs w:val="24"/>
        </w:rPr>
        <w:t>ratarse de determinaciones atribuidas a una autoridad cuya competencia corresponde al ámbito territorial y material en que este Tribunal ejerce su jurisdicción.</w:t>
      </w:r>
    </w:p>
    <w:p w:rsidR="00733C45" w:rsidRDefault="00882EC8">
      <w:pPr>
        <w:pBdr>
          <w:top w:val="nil"/>
          <w:left w:val="nil"/>
          <w:bottom w:val="nil"/>
          <w:right w:val="nil"/>
          <w:between w:val="nil"/>
        </w:pBdr>
        <w:spacing w:before="200" w:after="0"/>
        <w:ind w:left="567"/>
        <w:rPr>
          <w:rFonts w:ascii="Arial" w:eastAsia="Arial" w:hAnsi="Arial" w:cs="Arial"/>
          <w:b/>
          <w:color w:val="000000"/>
          <w:sz w:val="24"/>
          <w:szCs w:val="24"/>
        </w:rPr>
      </w:pPr>
      <w:r>
        <w:rPr>
          <w:rFonts w:ascii="Arial" w:eastAsia="Arial" w:hAnsi="Arial" w:cs="Arial"/>
          <w:b/>
          <w:color w:val="000000"/>
          <w:sz w:val="24"/>
          <w:szCs w:val="24"/>
        </w:rPr>
        <w:t>SEGUNDO. PROCEDENCIA.</w:t>
      </w:r>
    </w:p>
    <w:p w:rsidR="00733C45" w:rsidRDefault="00882EC8">
      <w:pPr>
        <w:numPr>
          <w:ilvl w:val="0"/>
          <w:numId w:val="2"/>
        </w:numPr>
        <w:pBdr>
          <w:top w:val="nil"/>
          <w:left w:val="nil"/>
          <w:bottom w:val="nil"/>
          <w:right w:val="nil"/>
          <w:between w:val="nil"/>
        </w:pBdr>
        <w:spacing w:before="200" w:after="0"/>
        <w:ind w:left="0" w:firstLine="709"/>
        <w:rPr>
          <w:color w:val="000000"/>
          <w:sz w:val="24"/>
          <w:szCs w:val="24"/>
        </w:rPr>
      </w:pPr>
      <w:r>
        <w:rPr>
          <w:rFonts w:ascii="Arial" w:eastAsia="Arial" w:hAnsi="Arial" w:cs="Arial"/>
          <w:color w:val="000000"/>
          <w:sz w:val="24"/>
          <w:szCs w:val="24"/>
        </w:rPr>
        <w:lastRenderedPageBreak/>
        <w:t xml:space="preserve">Es procedente el juicio de nulidad, dado que el acto administrativo impugnado constituye una controversia de carácter administrativo, </w:t>
      </w:r>
      <w:r>
        <w:rPr>
          <w:rFonts w:ascii="Arial" w:eastAsia="Arial" w:hAnsi="Arial" w:cs="Arial"/>
          <w:sz w:val="24"/>
          <w:szCs w:val="24"/>
        </w:rPr>
        <w:t xml:space="preserve">resolución contenida en el oficio número SUBDU-XI-0016/2022 de trece de enero de dos mil veintidós, emitida por el </w:t>
      </w:r>
      <w:r>
        <w:rPr>
          <w:rFonts w:ascii="Arial" w:eastAsia="Arial" w:hAnsi="Arial" w:cs="Arial"/>
          <w:i/>
          <w:sz w:val="24"/>
          <w:szCs w:val="24"/>
        </w:rPr>
        <w:t>Directo</w:t>
      </w:r>
      <w:r>
        <w:rPr>
          <w:rFonts w:ascii="Arial" w:eastAsia="Arial" w:hAnsi="Arial" w:cs="Arial"/>
          <w:i/>
          <w:sz w:val="24"/>
          <w:szCs w:val="24"/>
        </w:rPr>
        <w:t>r de Obras</w:t>
      </w:r>
      <w:r>
        <w:rPr>
          <w:rFonts w:ascii="Arial" w:eastAsia="Arial" w:hAnsi="Arial" w:cs="Arial"/>
          <w:color w:val="000000"/>
          <w:sz w:val="24"/>
          <w:szCs w:val="24"/>
        </w:rPr>
        <w:t>, de conformidad con lo estatuido en el artículo 133, fracción II</w:t>
      </w:r>
      <w:r>
        <w:rPr>
          <w:color w:val="000000"/>
          <w:vertAlign w:val="superscript"/>
        </w:rPr>
        <w:footnoteReference w:id="1"/>
      </w:r>
      <w:r>
        <w:rPr>
          <w:rFonts w:ascii="Arial" w:eastAsia="Arial" w:hAnsi="Arial" w:cs="Arial"/>
          <w:color w:val="000000"/>
          <w:sz w:val="24"/>
          <w:szCs w:val="24"/>
        </w:rPr>
        <w:t xml:space="preserve"> de la </w:t>
      </w:r>
      <w:r>
        <w:rPr>
          <w:rFonts w:ascii="Arial" w:eastAsia="Arial" w:hAnsi="Arial" w:cs="Arial"/>
          <w:i/>
          <w:color w:val="000000"/>
          <w:sz w:val="24"/>
          <w:szCs w:val="24"/>
        </w:rPr>
        <w:t>Ley de Procedimiento.</w:t>
      </w:r>
    </w:p>
    <w:p w:rsidR="00733C45" w:rsidRDefault="00882EC8">
      <w:pPr>
        <w:pBdr>
          <w:top w:val="nil"/>
          <w:left w:val="nil"/>
          <w:bottom w:val="nil"/>
          <w:right w:val="nil"/>
          <w:between w:val="nil"/>
        </w:pBdr>
        <w:spacing w:before="200" w:after="0"/>
        <w:ind w:left="567"/>
        <w:rPr>
          <w:rFonts w:ascii="Arial" w:eastAsia="Arial" w:hAnsi="Arial" w:cs="Arial"/>
          <w:b/>
          <w:color w:val="000000"/>
          <w:sz w:val="24"/>
          <w:szCs w:val="24"/>
        </w:rPr>
      </w:pPr>
      <w:r>
        <w:rPr>
          <w:rFonts w:ascii="Arial" w:eastAsia="Arial" w:hAnsi="Arial" w:cs="Arial"/>
          <w:b/>
          <w:color w:val="000000"/>
          <w:sz w:val="24"/>
          <w:szCs w:val="24"/>
        </w:rPr>
        <w:t>TERCERO. OPORTUNIDAD.</w:t>
      </w:r>
    </w:p>
    <w:p w:rsidR="00733C45" w:rsidRDefault="00882EC8">
      <w:pPr>
        <w:numPr>
          <w:ilvl w:val="0"/>
          <w:numId w:val="2"/>
        </w:numPr>
        <w:pBdr>
          <w:top w:val="nil"/>
          <w:left w:val="nil"/>
          <w:bottom w:val="nil"/>
          <w:right w:val="nil"/>
          <w:between w:val="nil"/>
        </w:pBdr>
        <w:spacing w:after="0"/>
        <w:ind w:left="0" w:firstLine="567"/>
        <w:rPr>
          <w:color w:val="000000"/>
          <w:sz w:val="24"/>
          <w:szCs w:val="24"/>
        </w:rPr>
      </w:pPr>
      <w:r>
        <w:rPr>
          <w:rFonts w:ascii="Arial" w:eastAsia="Arial" w:hAnsi="Arial" w:cs="Arial"/>
          <w:color w:val="000000"/>
          <w:sz w:val="24"/>
          <w:szCs w:val="24"/>
        </w:rPr>
        <w:t>La demanda de nulidad se presentó dentro del plazo legal de treinta días hábiles que prevé el 166, primer párrafo</w:t>
      </w:r>
      <w:r>
        <w:rPr>
          <w:color w:val="000000"/>
          <w:vertAlign w:val="superscript"/>
        </w:rPr>
        <w:footnoteReference w:id="2"/>
      </w:r>
      <w:r>
        <w:rPr>
          <w:rFonts w:ascii="Arial" w:eastAsia="Arial" w:hAnsi="Arial" w:cs="Arial"/>
          <w:color w:val="000000"/>
          <w:sz w:val="24"/>
          <w:szCs w:val="24"/>
        </w:rPr>
        <w:t xml:space="preserve"> de la </w:t>
      </w:r>
      <w:r>
        <w:rPr>
          <w:rFonts w:ascii="Arial" w:eastAsia="Arial" w:hAnsi="Arial" w:cs="Arial"/>
          <w:i/>
          <w:color w:val="000000"/>
          <w:sz w:val="24"/>
          <w:szCs w:val="24"/>
        </w:rPr>
        <w:t>Ley de P</w:t>
      </w:r>
      <w:r>
        <w:rPr>
          <w:rFonts w:ascii="Arial" w:eastAsia="Arial" w:hAnsi="Arial" w:cs="Arial"/>
          <w:i/>
          <w:color w:val="000000"/>
          <w:sz w:val="24"/>
          <w:szCs w:val="24"/>
        </w:rPr>
        <w:t>rocedimiento</w:t>
      </w:r>
      <w:r>
        <w:rPr>
          <w:rFonts w:ascii="Arial" w:eastAsia="Arial" w:hAnsi="Arial" w:cs="Arial"/>
          <w:color w:val="000000"/>
          <w:sz w:val="24"/>
          <w:szCs w:val="24"/>
        </w:rPr>
        <w:t xml:space="preserve">, como se podrá observar a continuación: </w:t>
      </w:r>
    </w:p>
    <w:tbl>
      <w:tblPr>
        <w:tblStyle w:val="a7"/>
        <w:tblW w:w="6379" w:type="dxa"/>
        <w:tblInd w:w="-123" w:type="dxa"/>
        <w:tblBorders>
          <w:top w:val="single" w:sz="6" w:space="0" w:color="BFBFBF"/>
          <w:left w:val="single" w:sz="6" w:space="0" w:color="BFBFBF"/>
          <w:bottom w:val="single" w:sz="6" w:space="0" w:color="BFBFBF"/>
          <w:right w:val="single" w:sz="6" w:space="0" w:color="BFBFBF"/>
          <w:insideH w:val="single" w:sz="4" w:space="0" w:color="000000"/>
          <w:insideV w:val="single" w:sz="6" w:space="0" w:color="BFBFBF"/>
        </w:tblBorders>
        <w:tblLayout w:type="fixed"/>
        <w:tblLook w:val="04A0" w:firstRow="1" w:lastRow="0" w:firstColumn="1" w:lastColumn="0" w:noHBand="0" w:noVBand="1"/>
      </w:tblPr>
      <w:tblGrid>
        <w:gridCol w:w="2561"/>
        <w:gridCol w:w="3818"/>
      </w:tblGrid>
      <w:tr w:rsidR="00733C45" w:rsidTr="00733C45">
        <w:trPr>
          <w:cnfStyle w:val="100000000000" w:firstRow="1" w:lastRow="0" w:firstColumn="0" w:lastColumn="0" w:oddVBand="0" w:evenVBand="0" w:oddHBand="0"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2561" w:type="dxa"/>
          </w:tcPr>
          <w:p w:rsidR="00733C45" w:rsidRDefault="00882EC8">
            <w:pPr>
              <w:pBdr>
                <w:top w:val="nil"/>
                <w:left w:val="nil"/>
                <w:bottom w:val="nil"/>
                <w:right w:val="nil"/>
                <w:between w:val="nil"/>
              </w:pBdr>
              <w:spacing w:before="0"/>
              <w:rPr>
                <w:rFonts w:ascii="Calibri" w:eastAsia="Calibri" w:hAnsi="Calibri" w:cs="Calibri"/>
                <w:color w:val="FFFFFF"/>
                <w:sz w:val="24"/>
                <w:szCs w:val="24"/>
              </w:rPr>
            </w:pPr>
            <w:r>
              <w:rPr>
                <w:rFonts w:ascii="Calibri" w:eastAsia="Calibri" w:hAnsi="Calibri" w:cs="Calibri"/>
                <w:b w:val="0"/>
                <w:color w:val="FFFFFF"/>
                <w:sz w:val="24"/>
                <w:szCs w:val="24"/>
              </w:rPr>
              <w:t>marzo</w:t>
            </w:r>
          </w:p>
        </w:tc>
        <w:tc>
          <w:tcPr>
            <w:tcW w:w="3818" w:type="dxa"/>
          </w:tcPr>
          <w:p w:rsidR="00733C45" w:rsidRDefault="00882EC8">
            <w:pP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2022</w:t>
            </w:r>
          </w:p>
        </w:tc>
      </w:tr>
    </w:tbl>
    <w:p w:rsidR="00733C45" w:rsidRDefault="00733C45">
      <w:pPr>
        <w:widowControl w:val="0"/>
        <w:pBdr>
          <w:top w:val="nil"/>
          <w:left w:val="nil"/>
          <w:bottom w:val="nil"/>
          <w:right w:val="nil"/>
          <w:between w:val="nil"/>
        </w:pBdr>
        <w:spacing w:before="0" w:after="0" w:line="276" w:lineRule="auto"/>
        <w:jc w:val="left"/>
        <w:rPr>
          <w:sz w:val="24"/>
          <w:szCs w:val="24"/>
        </w:rPr>
      </w:pPr>
    </w:p>
    <w:tbl>
      <w:tblPr>
        <w:tblStyle w:val="a8"/>
        <w:tblW w:w="6371" w:type="dxa"/>
        <w:tblInd w:w="-116" w:type="dxa"/>
        <w:tblBorders>
          <w:top w:val="single" w:sz="6" w:space="0" w:color="BFBFBF"/>
          <w:left w:val="single" w:sz="6" w:space="0" w:color="BFBFBF"/>
          <w:bottom w:val="single" w:sz="6" w:space="0" w:color="BFBFBF"/>
          <w:right w:val="single" w:sz="6" w:space="0" w:color="BFBFBF"/>
          <w:insideH w:val="single" w:sz="4" w:space="0" w:color="000000"/>
          <w:insideV w:val="single" w:sz="6" w:space="0" w:color="BFBFBF"/>
        </w:tblBorders>
        <w:tblLayout w:type="fixed"/>
        <w:tblLook w:val="0420" w:firstRow="1" w:lastRow="0" w:firstColumn="0" w:lastColumn="0" w:noHBand="0" w:noVBand="1"/>
      </w:tblPr>
      <w:tblGrid>
        <w:gridCol w:w="718"/>
        <w:gridCol w:w="834"/>
        <w:gridCol w:w="992"/>
        <w:gridCol w:w="850"/>
        <w:gridCol w:w="993"/>
        <w:gridCol w:w="850"/>
        <w:gridCol w:w="1134"/>
      </w:tblGrid>
      <w:tr w:rsidR="00733C45" w:rsidTr="00733C45">
        <w:trPr>
          <w:cnfStyle w:val="100000000000" w:firstRow="1" w:lastRow="0" w:firstColumn="0" w:lastColumn="0" w:oddVBand="0" w:evenVBand="0" w:oddHBand="0" w:evenHBand="0" w:firstRowFirstColumn="0" w:firstRowLastColumn="0" w:lastRowFirstColumn="0" w:lastRowLastColumn="0"/>
          <w:trHeight w:val="110"/>
        </w:trPr>
        <w:tc>
          <w:tcPr>
            <w:tcW w:w="718" w:type="dxa"/>
          </w:tcPr>
          <w:p w:rsidR="00733C45" w:rsidRDefault="00882EC8">
            <w:pPr>
              <w:pBdr>
                <w:top w:val="nil"/>
                <w:left w:val="nil"/>
                <w:bottom w:val="nil"/>
                <w:right w:val="nil"/>
                <w:between w:val="nil"/>
              </w:pBdr>
              <w:spacing w:after="40"/>
              <w:jc w:val="center"/>
              <w:rPr>
                <w:color w:val="595959"/>
                <w:sz w:val="22"/>
                <w:szCs w:val="22"/>
              </w:rPr>
            </w:pPr>
            <w:r>
              <w:rPr>
                <w:color w:val="595959"/>
                <w:sz w:val="22"/>
                <w:szCs w:val="22"/>
              </w:rPr>
              <w:t xml:space="preserve">Lunes </w:t>
            </w:r>
          </w:p>
        </w:tc>
        <w:tc>
          <w:tcPr>
            <w:tcW w:w="834" w:type="dxa"/>
          </w:tcPr>
          <w:p w:rsidR="00733C45" w:rsidRDefault="00882EC8">
            <w:pPr>
              <w:pBdr>
                <w:top w:val="nil"/>
                <w:left w:val="nil"/>
                <w:bottom w:val="nil"/>
                <w:right w:val="nil"/>
                <w:between w:val="nil"/>
              </w:pBdr>
              <w:spacing w:after="40"/>
              <w:jc w:val="center"/>
              <w:rPr>
                <w:color w:val="595959"/>
                <w:sz w:val="22"/>
                <w:szCs w:val="22"/>
              </w:rPr>
            </w:pPr>
            <w:r>
              <w:rPr>
                <w:color w:val="595959"/>
                <w:sz w:val="22"/>
                <w:szCs w:val="22"/>
              </w:rPr>
              <w:t>Martes</w:t>
            </w:r>
          </w:p>
        </w:tc>
        <w:tc>
          <w:tcPr>
            <w:tcW w:w="992" w:type="dxa"/>
          </w:tcPr>
          <w:p w:rsidR="00733C45" w:rsidRDefault="00882EC8">
            <w:pPr>
              <w:pBdr>
                <w:top w:val="nil"/>
                <w:left w:val="nil"/>
                <w:bottom w:val="nil"/>
                <w:right w:val="nil"/>
                <w:between w:val="nil"/>
              </w:pBdr>
              <w:spacing w:after="40"/>
              <w:jc w:val="center"/>
              <w:rPr>
                <w:color w:val="595959"/>
                <w:sz w:val="22"/>
                <w:szCs w:val="22"/>
              </w:rPr>
            </w:pPr>
            <w:r>
              <w:rPr>
                <w:color w:val="595959"/>
                <w:sz w:val="22"/>
                <w:szCs w:val="22"/>
              </w:rPr>
              <w:t>Miércoles</w:t>
            </w:r>
          </w:p>
        </w:tc>
        <w:tc>
          <w:tcPr>
            <w:tcW w:w="850" w:type="dxa"/>
          </w:tcPr>
          <w:p w:rsidR="00733C45" w:rsidRDefault="00882EC8">
            <w:pPr>
              <w:pBdr>
                <w:top w:val="nil"/>
                <w:left w:val="nil"/>
                <w:bottom w:val="nil"/>
                <w:right w:val="nil"/>
                <w:between w:val="nil"/>
              </w:pBdr>
              <w:spacing w:after="40"/>
              <w:jc w:val="center"/>
              <w:rPr>
                <w:color w:val="595959"/>
                <w:sz w:val="22"/>
                <w:szCs w:val="22"/>
              </w:rPr>
            </w:pPr>
            <w:r>
              <w:rPr>
                <w:color w:val="595959"/>
                <w:sz w:val="22"/>
                <w:szCs w:val="22"/>
              </w:rPr>
              <w:t>Jueves</w:t>
            </w:r>
          </w:p>
        </w:tc>
        <w:tc>
          <w:tcPr>
            <w:tcW w:w="993" w:type="dxa"/>
          </w:tcPr>
          <w:p w:rsidR="00733C45" w:rsidRDefault="00882EC8">
            <w:pPr>
              <w:pBdr>
                <w:top w:val="nil"/>
                <w:left w:val="nil"/>
                <w:bottom w:val="nil"/>
                <w:right w:val="nil"/>
                <w:between w:val="nil"/>
              </w:pBdr>
              <w:spacing w:after="40"/>
              <w:jc w:val="center"/>
              <w:rPr>
                <w:color w:val="595959"/>
                <w:sz w:val="22"/>
                <w:szCs w:val="22"/>
              </w:rPr>
            </w:pPr>
            <w:r>
              <w:rPr>
                <w:color w:val="595959"/>
                <w:sz w:val="22"/>
                <w:szCs w:val="22"/>
              </w:rPr>
              <w:t>Viernes</w:t>
            </w:r>
          </w:p>
        </w:tc>
        <w:tc>
          <w:tcPr>
            <w:tcW w:w="850" w:type="dxa"/>
          </w:tcPr>
          <w:p w:rsidR="00733C45" w:rsidRDefault="00882EC8">
            <w:pPr>
              <w:pBdr>
                <w:top w:val="nil"/>
                <w:left w:val="nil"/>
                <w:bottom w:val="nil"/>
                <w:right w:val="nil"/>
                <w:between w:val="nil"/>
              </w:pBdr>
              <w:spacing w:after="40"/>
              <w:jc w:val="center"/>
              <w:rPr>
                <w:color w:val="595959"/>
                <w:sz w:val="22"/>
                <w:szCs w:val="22"/>
              </w:rPr>
            </w:pPr>
            <w:r>
              <w:rPr>
                <w:color w:val="595959"/>
                <w:sz w:val="22"/>
                <w:szCs w:val="22"/>
              </w:rPr>
              <w:t>Sábado</w:t>
            </w:r>
          </w:p>
        </w:tc>
        <w:tc>
          <w:tcPr>
            <w:tcW w:w="1134" w:type="dxa"/>
          </w:tcPr>
          <w:p w:rsidR="00733C45" w:rsidRDefault="00882EC8">
            <w:pPr>
              <w:pBdr>
                <w:top w:val="nil"/>
                <w:left w:val="nil"/>
                <w:bottom w:val="nil"/>
                <w:right w:val="nil"/>
                <w:between w:val="nil"/>
              </w:pBdr>
              <w:spacing w:after="40"/>
              <w:jc w:val="center"/>
              <w:rPr>
                <w:color w:val="595959"/>
                <w:sz w:val="22"/>
                <w:szCs w:val="22"/>
              </w:rPr>
            </w:pPr>
            <w:r>
              <w:rPr>
                <w:color w:val="595959"/>
                <w:sz w:val="22"/>
                <w:szCs w:val="22"/>
              </w:rPr>
              <w:t>Domingo</w:t>
            </w:r>
          </w:p>
        </w:tc>
      </w:tr>
      <w:tr w:rsidR="00733C45" w:rsidTr="00733C45">
        <w:trPr>
          <w:trHeight w:val="74"/>
        </w:trPr>
        <w:tc>
          <w:tcPr>
            <w:tcW w:w="718" w:type="dxa"/>
            <w:tcBorders>
              <w:bottom w:val="nil"/>
            </w:tcBorders>
          </w:tcPr>
          <w:p w:rsidR="00733C45" w:rsidRDefault="00733C45">
            <w:pPr>
              <w:pBdr>
                <w:top w:val="nil"/>
                <w:left w:val="nil"/>
                <w:bottom w:val="nil"/>
                <w:right w:val="nil"/>
                <w:between w:val="nil"/>
              </w:pBdr>
              <w:spacing w:before="0"/>
              <w:jc w:val="right"/>
              <w:rPr>
                <w:color w:val="595959"/>
                <w:sz w:val="22"/>
                <w:szCs w:val="22"/>
              </w:rPr>
            </w:pPr>
          </w:p>
        </w:tc>
        <w:tc>
          <w:tcPr>
            <w:tcW w:w="834" w:type="dxa"/>
            <w:tcBorders>
              <w:bottom w:val="nil"/>
            </w:tcBorders>
          </w:tcPr>
          <w:p w:rsidR="00733C45" w:rsidRDefault="00882EC8">
            <w:pPr>
              <w:pBdr>
                <w:top w:val="nil"/>
                <w:left w:val="nil"/>
                <w:bottom w:val="nil"/>
                <w:right w:val="nil"/>
                <w:between w:val="nil"/>
              </w:pBdr>
              <w:spacing w:before="0"/>
              <w:jc w:val="right"/>
              <w:rPr>
                <w:color w:val="595959"/>
                <w:sz w:val="22"/>
                <w:szCs w:val="22"/>
              </w:rPr>
            </w:pPr>
            <w:r>
              <w:rPr>
                <w:color w:val="595959"/>
                <w:sz w:val="22"/>
                <w:szCs w:val="22"/>
              </w:rPr>
              <w:t>1</w:t>
            </w:r>
          </w:p>
        </w:tc>
        <w:tc>
          <w:tcPr>
            <w:tcW w:w="992" w:type="dxa"/>
            <w:tcBorders>
              <w:bottom w:val="nil"/>
            </w:tcBorders>
          </w:tcPr>
          <w:p w:rsidR="00733C45" w:rsidRDefault="00882EC8">
            <w:pPr>
              <w:pBdr>
                <w:top w:val="nil"/>
                <w:left w:val="nil"/>
                <w:bottom w:val="nil"/>
                <w:right w:val="nil"/>
                <w:between w:val="nil"/>
              </w:pBdr>
              <w:spacing w:before="0"/>
              <w:jc w:val="right"/>
              <w:rPr>
                <w:color w:val="595959"/>
                <w:sz w:val="22"/>
                <w:szCs w:val="22"/>
              </w:rPr>
            </w:pPr>
            <w:r>
              <w:rPr>
                <w:color w:val="595959"/>
                <w:sz w:val="22"/>
                <w:szCs w:val="22"/>
              </w:rPr>
              <w:t>2</w:t>
            </w:r>
          </w:p>
        </w:tc>
        <w:tc>
          <w:tcPr>
            <w:tcW w:w="850" w:type="dxa"/>
            <w:tcBorders>
              <w:bottom w:val="nil"/>
            </w:tcBorders>
          </w:tcPr>
          <w:p w:rsidR="00733C45" w:rsidRDefault="00882EC8">
            <w:pPr>
              <w:pBdr>
                <w:top w:val="nil"/>
                <w:left w:val="nil"/>
                <w:bottom w:val="nil"/>
                <w:right w:val="nil"/>
                <w:between w:val="nil"/>
              </w:pBdr>
              <w:spacing w:before="0"/>
              <w:jc w:val="right"/>
              <w:rPr>
                <w:color w:val="595959"/>
                <w:sz w:val="22"/>
                <w:szCs w:val="22"/>
              </w:rPr>
            </w:pPr>
            <w:r>
              <w:rPr>
                <w:color w:val="595959"/>
                <w:sz w:val="22"/>
                <w:szCs w:val="22"/>
              </w:rPr>
              <w:t>3</w:t>
            </w:r>
          </w:p>
        </w:tc>
        <w:tc>
          <w:tcPr>
            <w:tcW w:w="993" w:type="dxa"/>
            <w:tcBorders>
              <w:bottom w:val="nil"/>
            </w:tcBorders>
          </w:tcPr>
          <w:p w:rsidR="00733C45" w:rsidRDefault="00882EC8">
            <w:pPr>
              <w:pBdr>
                <w:top w:val="nil"/>
                <w:left w:val="nil"/>
                <w:bottom w:val="nil"/>
                <w:right w:val="nil"/>
                <w:between w:val="nil"/>
              </w:pBdr>
              <w:spacing w:before="0"/>
              <w:jc w:val="right"/>
              <w:rPr>
                <w:color w:val="595959"/>
                <w:sz w:val="22"/>
                <w:szCs w:val="22"/>
              </w:rPr>
            </w:pPr>
            <w:r>
              <w:rPr>
                <w:color w:val="595959"/>
                <w:sz w:val="22"/>
                <w:szCs w:val="22"/>
              </w:rPr>
              <w:t>4</w:t>
            </w:r>
          </w:p>
        </w:tc>
        <w:tc>
          <w:tcPr>
            <w:tcW w:w="850" w:type="dxa"/>
            <w:tcBorders>
              <w:bottom w:val="nil"/>
            </w:tcBorders>
          </w:tcPr>
          <w:p w:rsidR="00733C45" w:rsidRDefault="00882EC8">
            <w:pPr>
              <w:pBdr>
                <w:top w:val="nil"/>
                <w:left w:val="nil"/>
                <w:bottom w:val="nil"/>
                <w:right w:val="nil"/>
                <w:between w:val="nil"/>
              </w:pBdr>
              <w:spacing w:before="0"/>
              <w:jc w:val="right"/>
              <w:rPr>
                <w:color w:val="595959"/>
                <w:sz w:val="22"/>
                <w:szCs w:val="22"/>
              </w:rPr>
            </w:pPr>
            <w:r>
              <w:rPr>
                <w:color w:val="595959"/>
                <w:sz w:val="22"/>
                <w:szCs w:val="22"/>
              </w:rPr>
              <w:t>5</w:t>
            </w:r>
          </w:p>
        </w:tc>
        <w:tc>
          <w:tcPr>
            <w:tcW w:w="1134" w:type="dxa"/>
            <w:tcBorders>
              <w:bottom w:val="nil"/>
            </w:tcBorders>
          </w:tcPr>
          <w:p w:rsidR="00733C45" w:rsidRDefault="00882EC8">
            <w:pPr>
              <w:pBdr>
                <w:top w:val="nil"/>
                <w:left w:val="nil"/>
                <w:bottom w:val="nil"/>
                <w:right w:val="nil"/>
                <w:between w:val="nil"/>
              </w:pBdr>
              <w:spacing w:before="0"/>
              <w:jc w:val="right"/>
              <w:rPr>
                <w:color w:val="595959"/>
                <w:sz w:val="22"/>
                <w:szCs w:val="22"/>
              </w:rPr>
            </w:pPr>
            <w:r>
              <w:rPr>
                <w:color w:val="595959"/>
                <w:sz w:val="22"/>
                <w:szCs w:val="22"/>
              </w:rPr>
              <w:t>6</w:t>
            </w:r>
          </w:p>
        </w:tc>
      </w:tr>
      <w:tr w:rsidR="00733C45" w:rsidTr="00733C45">
        <w:trPr>
          <w:trHeight w:val="79"/>
        </w:trPr>
        <w:tc>
          <w:tcPr>
            <w:tcW w:w="718" w:type="dxa"/>
            <w:tcBorders>
              <w:top w:val="single" w:sz="6" w:space="0" w:color="BFBFBF"/>
              <w:bottom w:val="nil"/>
            </w:tcBorders>
          </w:tcPr>
          <w:p w:rsidR="00733C45" w:rsidRDefault="00882EC8">
            <w:pPr>
              <w:pBdr>
                <w:top w:val="nil"/>
                <w:left w:val="nil"/>
                <w:bottom w:val="nil"/>
                <w:right w:val="nil"/>
                <w:between w:val="nil"/>
              </w:pBdr>
              <w:spacing w:before="0"/>
              <w:jc w:val="right"/>
              <w:rPr>
                <w:color w:val="595959"/>
                <w:sz w:val="22"/>
                <w:szCs w:val="22"/>
              </w:rPr>
            </w:pPr>
            <w:r>
              <w:rPr>
                <w:color w:val="595959"/>
                <w:sz w:val="22"/>
                <w:szCs w:val="22"/>
              </w:rPr>
              <w:t>7</w:t>
            </w:r>
          </w:p>
        </w:tc>
        <w:tc>
          <w:tcPr>
            <w:tcW w:w="834" w:type="dxa"/>
            <w:tcBorders>
              <w:top w:val="single" w:sz="6" w:space="0" w:color="BFBFBF"/>
              <w:bottom w:val="nil"/>
            </w:tcBorders>
            <w:shd w:val="clear" w:color="auto" w:fill="F2DCDB"/>
          </w:tcPr>
          <w:p w:rsidR="00733C45" w:rsidRDefault="00882EC8">
            <w:pPr>
              <w:pBdr>
                <w:top w:val="nil"/>
                <w:left w:val="nil"/>
                <w:bottom w:val="nil"/>
                <w:right w:val="nil"/>
                <w:between w:val="nil"/>
              </w:pBdr>
              <w:spacing w:before="0"/>
              <w:jc w:val="right"/>
              <w:rPr>
                <w:color w:val="595959"/>
                <w:sz w:val="22"/>
                <w:szCs w:val="22"/>
              </w:rPr>
            </w:pPr>
            <w:r>
              <w:rPr>
                <w:color w:val="595959"/>
                <w:sz w:val="22"/>
                <w:szCs w:val="22"/>
              </w:rPr>
              <w:t>8</w:t>
            </w:r>
          </w:p>
        </w:tc>
        <w:tc>
          <w:tcPr>
            <w:tcW w:w="992" w:type="dxa"/>
            <w:tcBorders>
              <w:top w:val="single" w:sz="6" w:space="0" w:color="BFBFBF"/>
              <w:bottom w:val="nil"/>
            </w:tcBorders>
          </w:tcPr>
          <w:p w:rsidR="00733C45" w:rsidRDefault="00882EC8">
            <w:pPr>
              <w:pBdr>
                <w:top w:val="nil"/>
                <w:left w:val="nil"/>
                <w:bottom w:val="nil"/>
                <w:right w:val="nil"/>
                <w:between w:val="nil"/>
              </w:pBdr>
              <w:spacing w:before="0"/>
              <w:jc w:val="right"/>
              <w:rPr>
                <w:color w:val="595959"/>
                <w:sz w:val="22"/>
                <w:szCs w:val="22"/>
              </w:rPr>
            </w:pPr>
            <w:r>
              <w:rPr>
                <w:color w:val="595959"/>
                <w:sz w:val="22"/>
                <w:szCs w:val="22"/>
              </w:rPr>
              <w:t>9</w:t>
            </w:r>
          </w:p>
        </w:tc>
        <w:tc>
          <w:tcPr>
            <w:tcW w:w="850" w:type="dxa"/>
            <w:tcBorders>
              <w:top w:val="single" w:sz="6" w:space="0" w:color="BFBFBF"/>
              <w:bottom w:val="nil"/>
            </w:tcBorders>
          </w:tcPr>
          <w:p w:rsidR="00733C45" w:rsidRDefault="00882EC8">
            <w:pPr>
              <w:pBdr>
                <w:top w:val="nil"/>
                <w:left w:val="nil"/>
                <w:bottom w:val="nil"/>
                <w:right w:val="nil"/>
                <w:between w:val="nil"/>
              </w:pBdr>
              <w:spacing w:before="0"/>
              <w:jc w:val="right"/>
              <w:rPr>
                <w:color w:val="595959"/>
                <w:sz w:val="22"/>
                <w:szCs w:val="22"/>
              </w:rPr>
            </w:pPr>
            <w:r>
              <w:rPr>
                <w:color w:val="595959"/>
                <w:sz w:val="22"/>
                <w:szCs w:val="22"/>
              </w:rPr>
              <w:t>10</w:t>
            </w:r>
          </w:p>
        </w:tc>
        <w:tc>
          <w:tcPr>
            <w:tcW w:w="993" w:type="dxa"/>
            <w:tcBorders>
              <w:top w:val="single" w:sz="6" w:space="0" w:color="BFBFBF"/>
              <w:bottom w:val="nil"/>
            </w:tcBorders>
          </w:tcPr>
          <w:p w:rsidR="00733C45" w:rsidRDefault="00882EC8">
            <w:pPr>
              <w:pBdr>
                <w:top w:val="nil"/>
                <w:left w:val="nil"/>
                <w:bottom w:val="nil"/>
                <w:right w:val="nil"/>
                <w:between w:val="nil"/>
              </w:pBdr>
              <w:spacing w:before="0"/>
              <w:jc w:val="right"/>
              <w:rPr>
                <w:color w:val="595959"/>
                <w:sz w:val="22"/>
                <w:szCs w:val="22"/>
              </w:rPr>
            </w:pPr>
            <w:r>
              <w:rPr>
                <w:color w:val="595959"/>
                <w:sz w:val="22"/>
                <w:szCs w:val="22"/>
              </w:rPr>
              <w:t>11</w:t>
            </w:r>
          </w:p>
        </w:tc>
        <w:tc>
          <w:tcPr>
            <w:tcW w:w="850" w:type="dxa"/>
            <w:tcBorders>
              <w:top w:val="single" w:sz="6" w:space="0" w:color="BFBFBF"/>
              <w:bottom w:val="nil"/>
            </w:tcBorders>
          </w:tcPr>
          <w:p w:rsidR="00733C45" w:rsidRDefault="00882EC8">
            <w:pPr>
              <w:pBdr>
                <w:top w:val="nil"/>
                <w:left w:val="nil"/>
                <w:bottom w:val="nil"/>
                <w:right w:val="nil"/>
                <w:between w:val="nil"/>
              </w:pBdr>
              <w:spacing w:before="0"/>
              <w:jc w:val="right"/>
              <w:rPr>
                <w:color w:val="595959"/>
                <w:sz w:val="22"/>
                <w:szCs w:val="22"/>
              </w:rPr>
            </w:pPr>
            <w:r>
              <w:rPr>
                <w:color w:val="595959"/>
                <w:sz w:val="22"/>
                <w:szCs w:val="22"/>
              </w:rPr>
              <w:t>12</w:t>
            </w:r>
          </w:p>
        </w:tc>
        <w:tc>
          <w:tcPr>
            <w:tcW w:w="1134" w:type="dxa"/>
            <w:tcBorders>
              <w:top w:val="single" w:sz="6" w:space="0" w:color="BFBFBF"/>
              <w:bottom w:val="nil"/>
            </w:tcBorders>
          </w:tcPr>
          <w:p w:rsidR="00733C45" w:rsidRDefault="00882EC8">
            <w:pPr>
              <w:pBdr>
                <w:top w:val="nil"/>
                <w:left w:val="nil"/>
                <w:bottom w:val="nil"/>
                <w:right w:val="nil"/>
                <w:between w:val="nil"/>
              </w:pBdr>
              <w:spacing w:before="0"/>
              <w:jc w:val="right"/>
              <w:rPr>
                <w:color w:val="595959"/>
                <w:sz w:val="22"/>
                <w:szCs w:val="22"/>
              </w:rPr>
            </w:pPr>
            <w:r>
              <w:rPr>
                <w:color w:val="595959"/>
                <w:sz w:val="22"/>
                <w:szCs w:val="22"/>
              </w:rPr>
              <w:t>13</w:t>
            </w:r>
          </w:p>
        </w:tc>
      </w:tr>
      <w:tr w:rsidR="00733C45" w:rsidTr="00733C45">
        <w:trPr>
          <w:trHeight w:val="79"/>
        </w:trPr>
        <w:tc>
          <w:tcPr>
            <w:tcW w:w="718" w:type="dxa"/>
            <w:tcBorders>
              <w:top w:val="single" w:sz="6" w:space="0" w:color="BFBFBF"/>
              <w:bottom w:val="nil"/>
            </w:tcBorders>
          </w:tcPr>
          <w:p w:rsidR="00733C45" w:rsidRDefault="00882EC8">
            <w:pPr>
              <w:pBdr>
                <w:top w:val="nil"/>
                <w:left w:val="nil"/>
                <w:bottom w:val="nil"/>
                <w:right w:val="nil"/>
                <w:between w:val="nil"/>
              </w:pBdr>
              <w:spacing w:before="0"/>
              <w:jc w:val="right"/>
              <w:rPr>
                <w:color w:val="595959"/>
                <w:sz w:val="22"/>
                <w:szCs w:val="22"/>
              </w:rPr>
            </w:pPr>
            <w:r>
              <w:rPr>
                <w:color w:val="595959"/>
                <w:sz w:val="22"/>
                <w:szCs w:val="22"/>
              </w:rPr>
              <w:t>14</w:t>
            </w:r>
          </w:p>
        </w:tc>
        <w:tc>
          <w:tcPr>
            <w:tcW w:w="834" w:type="dxa"/>
            <w:tcBorders>
              <w:top w:val="single" w:sz="6" w:space="0" w:color="BFBFBF"/>
              <w:bottom w:val="nil"/>
            </w:tcBorders>
          </w:tcPr>
          <w:p w:rsidR="00733C45" w:rsidRDefault="00882EC8">
            <w:pPr>
              <w:pBdr>
                <w:top w:val="nil"/>
                <w:left w:val="nil"/>
                <w:bottom w:val="nil"/>
                <w:right w:val="nil"/>
                <w:between w:val="nil"/>
              </w:pBdr>
              <w:spacing w:before="0"/>
              <w:jc w:val="right"/>
              <w:rPr>
                <w:color w:val="595959"/>
                <w:sz w:val="22"/>
                <w:szCs w:val="22"/>
              </w:rPr>
            </w:pPr>
            <w:r>
              <w:rPr>
                <w:color w:val="595959"/>
                <w:sz w:val="22"/>
                <w:szCs w:val="22"/>
              </w:rPr>
              <w:t>15</w:t>
            </w:r>
          </w:p>
        </w:tc>
        <w:tc>
          <w:tcPr>
            <w:tcW w:w="992" w:type="dxa"/>
            <w:tcBorders>
              <w:top w:val="single" w:sz="6" w:space="0" w:color="BFBFBF"/>
              <w:bottom w:val="nil"/>
            </w:tcBorders>
          </w:tcPr>
          <w:p w:rsidR="00733C45" w:rsidRDefault="00882EC8">
            <w:pPr>
              <w:pBdr>
                <w:top w:val="nil"/>
                <w:left w:val="nil"/>
                <w:bottom w:val="nil"/>
                <w:right w:val="nil"/>
                <w:between w:val="nil"/>
              </w:pBdr>
              <w:spacing w:before="0"/>
              <w:jc w:val="right"/>
              <w:rPr>
                <w:color w:val="595959"/>
                <w:sz w:val="22"/>
                <w:szCs w:val="22"/>
              </w:rPr>
            </w:pPr>
            <w:r>
              <w:rPr>
                <w:color w:val="595959"/>
                <w:sz w:val="22"/>
                <w:szCs w:val="22"/>
              </w:rPr>
              <w:t>16</w:t>
            </w:r>
          </w:p>
        </w:tc>
        <w:tc>
          <w:tcPr>
            <w:tcW w:w="850" w:type="dxa"/>
            <w:tcBorders>
              <w:top w:val="single" w:sz="6" w:space="0" w:color="BFBFBF"/>
              <w:bottom w:val="nil"/>
            </w:tcBorders>
          </w:tcPr>
          <w:p w:rsidR="00733C45" w:rsidRDefault="00882EC8">
            <w:pPr>
              <w:pBdr>
                <w:top w:val="nil"/>
                <w:left w:val="nil"/>
                <w:bottom w:val="nil"/>
                <w:right w:val="nil"/>
                <w:between w:val="nil"/>
              </w:pBdr>
              <w:spacing w:before="0"/>
              <w:jc w:val="right"/>
              <w:rPr>
                <w:color w:val="595959"/>
                <w:sz w:val="22"/>
                <w:szCs w:val="22"/>
              </w:rPr>
            </w:pPr>
            <w:r>
              <w:rPr>
                <w:color w:val="595959"/>
                <w:sz w:val="22"/>
                <w:szCs w:val="22"/>
              </w:rPr>
              <w:t>17</w:t>
            </w:r>
          </w:p>
        </w:tc>
        <w:tc>
          <w:tcPr>
            <w:tcW w:w="993" w:type="dxa"/>
            <w:tcBorders>
              <w:top w:val="single" w:sz="6" w:space="0" w:color="BFBFBF"/>
              <w:bottom w:val="nil"/>
            </w:tcBorders>
          </w:tcPr>
          <w:p w:rsidR="00733C45" w:rsidRDefault="00882EC8">
            <w:pPr>
              <w:pBdr>
                <w:top w:val="nil"/>
                <w:left w:val="nil"/>
                <w:bottom w:val="nil"/>
                <w:right w:val="nil"/>
                <w:between w:val="nil"/>
              </w:pBdr>
              <w:spacing w:before="0"/>
              <w:jc w:val="right"/>
              <w:rPr>
                <w:color w:val="595959"/>
                <w:sz w:val="22"/>
                <w:szCs w:val="22"/>
              </w:rPr>
            </w:pPr>
            <w:r>
              <w:rPr>
                <w:color w:val="595959"/>
                <w:sz w:val="22"/>
                <w:szCs w:val="22"/>
              </w:rPr>
              <w:t>18</w:t>
            </w:r>
          </w:p>
        </w:tc>
        <w:tc>
          <w:tcPr>
            <w:tcW w:w="850" w:type="dxa"/>
            <w:tcBorders>
              <w:top w:val="single" w:sz="6" w:space="0" w:color="BFBFBF"/>
              <w:bottom w:val="nil"/>
            </w:tcBorders>
          </w:tcPr>
          <w:p w:rsidR="00733C45" w:rsidRDefault="00882EC8">
            <w:pPr>
              <w:pBdr>
                <w:top w:val="nil"/>
                <w:left w:val="nil"/>
                <w:bottom w:val="nil"/>
                <w:right w:val="nil"/>
                <w:between w:val="nil"/>
              </w:pBdr>
              <w:spacing w:before="0"/>
              <w:jc w:val="right"/>
              <w:rPr>
                <w:color w:val="595959"/>
                <w:sz w:val="22"/>
                <w:szCs w:val="22"/>
              </w:rPr>
            </w:pPr>
            <w:r>
              <w:rPr>
                <w:color w:val="595959"/>
                <w:sz w:val="22"/>
                <w:szCs w:val="22"/>
              </w:rPr>
              <w:t>19</w:t>
            </w:r>
          </w:p>
        </w:tc>
        <w:tc>
          <w:tcPr>
            <w:tcW w:w="1134" w:type="dxa"/>
            <w:tcBorders>
              <w:top w:val="single" w:sz="6" w:space="0" w:color="BFBFBF"/>
              <w:bottom w:val="nil"/>
            </w:tcBorders>
          </w:tcPr>
          <w:p w:rsidR="00733C45" w:rsidRDefault="00882EC8">
            <w:pPr>
              <w:pBdr>
                <w:top w:val="nil"/>
                <w:left w:val="nil"/>
                <w:bottom w:val="nil"/>
                <w:right w:val="nil"/>
                <w:between w:val="nil"/>
              </w:pBdr>
              <w:spacing w:before="0"/>
              <w:jc w:val="right"/>
              <w:rPr>
                <w:color w:val="595959"/>
                <w:sz w:val="22"/>
                <w:szCs w:val="22"/>
              </w:rPr>
            </w:pPr>
            <w:r>
              <w:rPr>
                <w:color w:val="595959"/>
                <w:sz w:val="22"/>
                <w:szCs w:val="22"/>
              </w:rPr>
              <w:t>20</w:t>
            </w:r>
          </w:p>
        </w:tc>
      </w:tr>
      <w:tr w:rsidR="00733C45" w:rsidTr="00733C45">
        <w:trPr>
          <w:trHeight w:val="74"/>
        </w:trPr>
        <w:tc>
          <w:tcPr>
            <w:tcW w:w="718" w:type="dxa"/>
            <w:tcBorders>
              <w:top w:val="single" w:sz="6" w:space="0" w:color="BFBFBF"/>
              <w:bottom w:val="nil"/>
            </w:tcBorders>
            <w:shd w:val="clear" w:color="auto" w:fill="92D050"/>
          </w:tcPr>
          <w:p w:rsidR="00733C45" w:rsidRDefault="00882EC8">
            <w:pPr>
              <w:pBdr>
                <w:top w:val="nil"/>
                <w:left w:val="nil"/>
                <w:bottom w:val="nil"/>
                <w:right w:val="nil"/>
                <w:between w:val="nil"/>
              </w:pBdr>
              <w:spacing w:before="0"/>
              <w:jc w:val="right"/>
              <w:rPr>
                <w:color w:val="595959"/>
                <w:sz w:val="22"/>
                <w:szCs w:val="22"/>
              </w:rPr>
            </w:pPr>
            <w:r>
              <w:rPr>
                <w:color w:val="595959"/>
                <w:sz w:val="22"/>
                <w:szCs w:val="22"/>
              </w:rPr>
              <w:t>21</w:t>
            </w:r>
          </w:p>
        </w:tc>
        <w:tc>
          <w:tcPr>
            <w:tcW w:w="834" w:type="dxa"/>
            <w:tcBorders>
              <w:top w:val="single" w:sz="6" w:space="0" w:color="BFBFBF"/>
              <w:bottom w:val="nil"/>
            </w:tcBorders>
          </w:tcPr>
          <w:p w:rsidR="00733C45" w:rsidRDefault="00882EC8">
            <w:pPr>
              <w:pBdr>
                <w:top w:val="nil"/>
                <w:left w:val="nil"/>
                <w:bottom w:val="nil"/>
                <w:right w:val="nil"/>
                <w:between w:val="nil"/>
              </w:pBdr>
              <w:spacing w:before="0"/>
              <w:jc w:val="right"/>
              <w:rPr>
                <w:color w:val="595959"/>
                <w:sz w:val="22"/>
                <w:szCs w:val="22"/>
              </w:rPr>
            </w:pPr>
            <w:r>
              <w:rPr>
                <w:color w:val="595959"/>
                <w:sz w:val="22"/>
                <w:szCs w:val="22"/>
              </w:rPr>
              <w:t>22</w:t>
            </w:r>
          </w:p>
        </w:tc>
        <w:tc>
          <w:tcPr>
            <w:tcW w:w="992" w:type="dxa"/>
            <w:tcBorders>
              <w:top w:val="single" w:sz="6" w:space="0" w:color="BFBFBF"/>
              <w:bottom w:val="nil"/>
            </w:tcBorders>
            <w:shd w:val="clear" w:color="auto" w:fill="8DB3E2"/>
          </w:tcPr>
          <w:p w:rsidR="00733C45" w:rsidRDefault="00882EC8">
            <w:pPr>
              <w:pBdr>
                <w:top w:val="nil"/>
                <w:left w:val="nil"/>
                <w:bottom w:val="nil"/>
                <w:right w:val="nil"/>
                <w:between w:val="nil"/>
              </w:pBdr>
              <w:spacing w:before="0"/>
              <w:jc w:val="right"/>
              <w:rPr>
                <w:b/>
                <w:color w:val="595959"/>
                <w:sz w:val="22"/>
                <w:szCs w:val="22"/>
              </w:rPr>
            </w:pPr>
            <w:r>
              <w:rPr>
                <w:b/>
                <w:color w:val="595959"/>
                <w:sz w:val="22"/>
                <w:szCs w:val="22"/>
              </w:rPr>
              <w:t>23 notifica acto</w:t>
            </w:r>
          </w:p>
        </w:tc>
        <w:tc>
          <w:tcPr>
            <w:tcW w:w="850" w:type="dxa"/>
            <w:tcBorders>
              <w:top w:val="single" w:sz="6" w:space="0" w:color="BFBFBF"/>
              <w:bottom w:val="nil"/>
            </w:tcBorders>
            <w:shd w:val="clear" w:color="auto" w:fill="DBE5F1"/>
          </w:tcPr>
          <w:p w:rsidR="00733C45" w:rsidRDefault="00882EC8">
            <w:pPr>
              <w:pBdr>
                <w:top w:val="nil"/>
                <w:left w:val="nil"/>
                <w:bottom w:val="nil"/>
                <w:right w:val="nil"/>
                <w:between w:val="nil"/>
              </w:pBdr>
              <w:spacing w:before="0"/>
              <w:jc w:val="right"/>
              <w:rPr>
                <w:b/>
                <w:color w:val="595959"/>
                <w:sz w:val="22"/>
                <w:szCs w:val="22"/>
              </w:rPr>
            </w:pPr>
            <w:r>
              <w:rPr>
                <w:b/>
                <w:color w:val="595959"/>
                <w:sz w:val="22"/>
                <w:szCs w:val="22"/>
              </w:rPr>
              <w:t>24 surte efectos</w:t>
            </w:r>
          </w:p>
        </w:tc>
        <w:tc>
          <w:tcPr>
            <w:tcW w:w="993" w:type="dxa"/>
            <w:tcBorders>
              <w:top w:val="single" w:sz="6" w:space="0" w:color="BFBFBF"/>
              <w:bottom w:val="nil"/>
            </w:tcBorders>
            <w:shd w:val="clear" w:color="auto" w:fill="DDD9C4"/>
          </w:tcPr>
          <w:p w:rsidR="00733C45" w:rsidRDefault="00882EC8">
            <w:pPr>
              <w:pBdr>
                <w:top w:val="nil"/>
                <w:left w:val="nil"/>
                <w:bottom w:val="nil"/>
                <w:right w:val="nil"/>
                <w:between w:val="nil"/>
              </w:pBdr>
              <w:spacing w:before="0"/>
              <w:jc w:val="right"/>
              <w:rPr>
                <w:b/>
                <w:color w:val="595959"/>
                <w:sz w:val="22"/>
                <w:szCs w:val="22"/>
              </w:rPr>
            </w:pPr>
            <w:r>
              <w:rPr>
                <w:b/>
                <w:color w:val="595959"/>
                <w:sz w:val="22"/>
                <w:szCs w:val="22"/>
                <w:shd w:val="clear" w:color="auto" w:fill="DDD9C4"/>
              </w:rPr>
              <w:t>2</w:t>
            </w:r>
            <w:r>
              <w:rPr>
                <w:b/>
                <w:color w:val="595959"/>
                <w:sz w:val="22"/>
                <w:szCs w:val="22"/>
              </w:rPr>
              <w:t xml:space="preserve">5   </w:t>
            </w:r>
          </w:p>
          <w:p w:rsidR="00733C45" w:rsidRDefault="00882EC8">
            <w:pPr>
              <w:pBdr>
                <w:top w:val="nil"/>
                <w:left w:val="nil"/>
                <w:bottom w:val="nil"/>
                <w:right w:val="nil"/>
                <w:between w:val="nil"/>
              </w:pBdr>
              <w:spacing w:before="0"/>
              <w:jc w:val="right"/>
              <w:rPr>
                <w:b/>
                <w:color w:val="595959"/>
                <w:sz w:val="22"/>
                <w:szCs w:val="22"/>
              </w:rPr>
            </w:pPr>
            <w:r>
              <w:rPr>
                <w:b/>
                <w:color w:val="595959"/>
                <w:sz w:val="22"/>
                <w:szCs w:val="22"/>
              </w:rPr>
              <w:t>día 1 del plazo</w:t>
            </w:r>
          </w:p>
        </w:tc>
        <w:tc>
          <w:tcPr>
            <w:tcW w:w="850" w:type="dxa"/>
            <w:tcBorders>
              <w:top w:val="single" w:sz="6" w:space="0" w:color="BFBFBF"/>
              <w:bottom w:val="nil"/>
            </w:tcBorders>
          </w:tcPr>
          <w:p w:rsidR="00733C45" w:rsidRDefault="00882EC8">
            <w:pPr>
              <w:pBdr>
                <w:top w:val="nil"/>
                <w:left w:val="nil"/>
                <w:bottom w:val="nil"/>
                <w:right w:val="nil"/>
                <w:between w:val="nil"/>
              </w:pBdr>
              <w:spacing w:before="0"/>
              <w:jc w:val="right"/>
              <w:rPr>
                <w:color w:val="595959"/>
                <w:sz w:val="22"/>
                <w:szCs w:val="22"/>
              </w:rPr>
            </w:pPr>
            <w:r>
              <w:rPr>
                <w:color w:val="595959"/>
                <w:sz w:val="22"/>
                <w:szCs w:val="22"/>
              </w:rPr>
              <w:t>26</w:t>
            </w:r>
          </w:p>
        </w:tc>
        <w:tc>
          <w:tcPr>
            <w:tcW w:w="1134" w:type="dxa"/>
            <w:tcBorders>
              <w:top w:val="single" w:sz="6" w:space="0" w:color="BFBFBF"/>
              <w:bottom w:val="nil"/>
            </w:tcBorders>
          </w:tcPr>
          <w:p w:rsidR="00733C45" w:rsidRDefault="00882EC8">
            <w:pPr>
              <w:pBdr>
                <w:top w:val="nil"/>
                <w:left w:val="nil"/>
                <w:bottom w:val="nil"/>
                <w:right w:val="nil"/>
                <w:between w:val="nil"/>
              </w:pBdr>
              <w:spacing w:before="0"/>
              <w:jc w:val="right"/>
              <w:rPr>
                <w:color w:val="595959"/>
                <w:sz w:val="22"/>
                <w:szCs w:val="22"/>
              </w:rPr>
            </w:pPr>
            <w:r>
              <w:rPr>
                <w:color w:val="595959"/>
                <w:sz w:val="22"/>
                <w:szCs w:val="22"/>
              </w:rPr>
              <w:t>27</w:t>
            </w:r>
          </w:p>
        </w:tc>
      </w:tr>
      <w:tr w:rsidR="00733C45" w:rsidTr="00733C45">
        <w:trPr>
          <w:trHeight w:val="79"/>
        </w:trPr>
        <w:tc>
          <w:tcPr>
            <w:tcW w:w="718" w:type="dxa"/>
            <w:tcBorders>
              <w:top w:val="single" w:sz="6" w:space="0" w:color="BFBFBF"/>
              <w:bottom w:val="nil"/>
            </w:tcBorders>
            <w:shd w:val="clear" w:color="auto" w:fill="DDD9C4"/>
          </w:tcPr>
          <w:p w:rsidR="00733C45" w:rsidRDefault="00882EC8">
            <w:pPr>
              <w:pBdr>
                <w:top w:val="nil"/>
                <w:left w:val="nil"/>
                <w:bottom w:val="nil"/>
                <w:right w:val="nil"/>
                <w:between w:val="nil"/>
              </w:pBdr>
              <w:spacing w:before="0"/>
              <w:jc w:val="right"/>
              <w:rPr>
                <w:color w:val="595959"/>
                <w:sz w:val="22"/>
                <w:szCs w:val="22"/>
              </w:rPr>
            </w:pPr>
            <w:r>
              <w:rPr>
                <w:color w:val="595959"/>
                <w:sz w:val="22"/>
                <w:szCs w:val="22"/>
              </w:rPr>
              <w:t>28</w:t>
            </w:r>
          </w:p>
        </w:tc>
        <w:tc>
          <w:tcPr>
            <w:tcW w:w="834" w:type="dxa"/>
            <w:tcBorders>
              <w:top w:val="single" w:sz="6" w:space="0" w:color="BFBFBF"/>
              <w:bottom w:val="nil"/>
            </w:tcBorders>
            <w:shd w:val="clear" w:color="auto" w:fill="DDD9C4"/>
          </w:tcPr>
          <w:p w:rsidR="00733C45" w:rsidRDefault="00882EC8">
            <w:pPr>
              <w:pBdr>
                <w:top w:val="nil"/>
                <w:left w:val="nil"/>
                <w:bottom w:val="nil"/>
                <w:right w:val="nil"/>
                <w:between w:val="nil"/>
              </w:pBdr>
              <w:spacing w:before="0"/>
              <w:jc w:val="right"/>
              <w:rPr>
                <w:color w:val="595959"/>
                <w:sz w:val="22"/>
                <w:szCs w:val="22"/>
              </w:rPr>
            </w:pPr>
            <w:r>
              <w:rPr>
                <w:color w:val="595959"/>
                <w:sz w:val="22"/>
                <w:szCs w:val="22"/>
              </w:rPr>
              <w:t>29</w:t>
            </w:r>
          </w:p>
        </w:tc>
        <w:tc>
          <w:tcPr>
            <w:tcW w:w="992" w:type="dxa"/>
            <w:tcBorders>
              <w:top w:val="single" w:sz="6" w:space="0" w:color="BFBFBF"/>
              <w:bottom w:val="nil"/>
            </w:tcBorders>
            <w:shd w:val="clear" w:color="auto" w:fill="DDD9C4"/>
          </w:tcPr>
          <w:p w:rsidR="00733C45" w:rsidRDefault="00882EC8">
            <w:pPr>
              <w:pBdr>
                <w:top w:val="nil"/>
                <w:left w:val="nil"/>
                <w:bottom w:val="nil"/>
                <w:right w:val="nil"/>
                <w:between w:val="nil"/>
              </w:pBdr>
              <w:spacing w:before="0"/>
              <w:jc w:val="right"/>
              <w:rPr>
                <w:color w:val="595959"/>
                <w:sz w:val="22"/>
                <w:szCs w:val="22"/>
              </w:rPr>
            </w:pPr>
            <w:r>
              <w:rPr>
                <w:color w:val="595959"/>
                <w:sz w:val="22"/>
                <w:szCs w:val="22"/>
              </w:rPr>
              <w:t>30</w:t>
            </w:r>
          </w:p>
        </w:tc>
        <w:tc>
          <w:tcPr>
            <w:tcW w:w="850" w:type="dxa"/>
            <w:tcBorders>
              <w:top w:val="single" w:sz="6" w:space="0" w:color="BFBFBF"/>
              <w:bottom w:val="nil"/>
            </w:tcBorders>
            <w:shd w:val="clear" w:color="auto" w:fill="DDD9C4"/>
          </w:tcPr>
          <w:p w:rsidR="00733C45" w:rsidRDefault="00882EC8">
            <w:pPr>
              <w:pBdr>
                <w:top w:val="nil"/>
                <w:left w:val="nil"/>
                <w:bottom w:val="nil"/>
                <w:right w:val="nil"/>
                <w:between w:val="nil"/>
              </w:pBdr>
              <w:spacing w:before="0"/>
              <w:jc w:val="right"/>
              <w:rPr>
                <w:color w:val="595959"/>
                <w:sz w:val="22"/>
                <w:szCs w:val="22"/>
              </w:rPr>
            </w:pPr>
            <w:r>
              <w:rPr>
                <w:color w:val="595959"/>
                <w:sz w:val="22"/>
                <w:szCs w:val="22"/>
              </w:rPr>
              <w:t>31</w:t>
            </w:r>
          </w:p>
        </w:tc>
        <w:tc>
          <w:tcPr>
            <w:tcW w:w="993" w:type="dxa"/>
            <w:tcBorders>
              <w:top w:val="single" w:sz="6" w:space="0" w:color="BFBFBF"/>
              <w:bottom w:val="nil"/>
            </w:tcBorders>
          </w:tcPr>
          <w:p w:rsidR="00733C45" w:rsidRDefault="00733C45">
            <w:pPr>
              <w:pBdr>
                <w:top w:val="nil"/>
                <w:left w:val="nil"/>
                <w:bottom w:val="nil"/>
                <w:right w:val="nil"/>
                <w:between w:val="nil"/>
              </w:pBdr>
              <w:spacing w:before="0"/>
              <w:jc w:val="right"/>
              <w:rPr>
                <w:color w:val="595959"/>
                <w:sz w:val="22"/>
                <w:szCs w:val="22"/>
              </w:rPr>
            </w:pPr>
          </w:p>
        </w:tc>
        <w:tc>
          <w:tcPr>
            <w:tcW w:w="850" w:type="dxa"/>
            <w:tcBorders>
              <w:top w:val="single" w:sz="6" w:space="0" w:color="BFBFBF"/>
              <w:bottom w:val="nil"/>
            </w:tcBorders>
          </w:tcPr>
          <w:p w:rsidR="00733C45" w:rsidRDefault="00733C45">
            <w:pPr>
              <w:pBdr>
                <w:top w:val="nil"/>
                <w:left w:val="nil"/>
                <w:bottom w:val="nil"/>
                <w:right w:val="nil"/>
                <w:between w:val="nil"/>
              </w:pBdr>
              <w:spacing w:before="0"/>
              <w:jc w:val="right"/>
              <w:rPr>
                <w:color w:val="595959"/>
                <w:sz w:val="22"/>
                <w:szCs w:val="22"/>
              </w:rPr>
            </w:pPr>
          </w:p>
        </w:tc>
        <w:tc>
          <w:tcPr>
            <w:tcW w:w="1134" w:type="dxa"/>
            <w:tcBorders>
              <w:top w:val="single" w:sz="6" w:space="0" w:color="BFBFBF"/>
              <w:bottom w:val="nil"/>
            </w:tcBorders>
          </w:tcPr>
          <w:p w:rsidR="00733C45" w:rsidRDefault="00733C45">
            <w:pPr>
              <w:pBdr>
                <w:top w:val="nil"/>
                <w:left w:val="nil"/>
                <w:bottom w:val="nil"/>
                <w:right w:val="nil"/>
                <w:between w:val="nil"/>
              </w:pBdr>
              <w:spacing w:before="0"/>
              <w:jc w:val="right"/>
              <w:rPr>
                <w:color w:val="595959"/>
                <w:sz w:val="22"/>
                <w:szCs w:val="22"/>
              </w:rPr>
            </w:pPr>
          </w:p>
        </w:tc>
      </w:tr>
    </w:tbl>
    <w:p w:rsidR="00733C45" w:rsidRDefault="00733C45">
      <w:pPr>
        <w:widowControl w:val="0"/>
        <w:pBdr>
          <w:top w:val="nil"/>
          <w:left w:val="nil"/>
          <w:bottom w:val="nil"/>
          <w:right w:val="nil"/>
          <w:between w:val="nil"/>
        </w:pBdr>
        <w:spacing w:before="0" w:after="0" w:line="240" w:lineRule="auto"/>
        <w:jc w:val="left"/>
        <w:rPr>
          <w:b/>
          <w:color w:val="323E4F"/>
          <w:sz w:val="32"/>
          <w:szCs w:val="32"/>
        </w:rPr>
      </w:pPr>
    </w:p>
    <w:tbl>
      <w:tblPr>
        <w:tblStyle w:val="a9"/>
        <w:tblW w:w="6515" w:type="dxa"/>
        <w:tblInd w:w="-123" w:type="dxa"/>
        <w:tblBorders>
          <w:top w:val="single" w:sz="6" w:space="0" w:color="BFBFBF"/>
          <w:left w:val="single" w:sz="6" w:space="0" w:color="BFBFBF"/>
          <w:bottom w:val="single" w:sz="6" w:space="0" w:color="BFBFBF"/>
          <w:right w:val="single" w:sz="6" w:space="0" w:color="BFBFBF"/>
          <w:insideH w:val="single" w:sz="4" w:space="0" w:color="000000"/>
          <w:insideV w:val="single" w:sz="6" w:space="0" w:color="BFBFBF"/>
        </w:tblBorders>
        <w:tblLayout w:type="fixed"/>
        <w:tblLook w:val="04A0" w:firstRow="1" w:lastRow="0" w:firstColumn="1" w:lastColumn="0" w:noHBand="0" w:noVBand="1"/>
      </w:tblPr>
      <w:tblGrid>
        <w:gridCol w:w="3257"/>
        <w:gridCol w:w="3258"/>
      </w:tblGrid>
      <w:tr w:rsidR="00733C45" w:rsidTr="00733C45">
        <w:trPr>
          <w:cnfStyle w:val="100000000000" w:firstRow="1" w:lastRow="0" w:firstColumn="0" w:lastColumn="0" w:oddVBand="0" w:evenVBand="0" w:oddHBand="0" w:evenHBand="0"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3257" w:type="dxa"/>
          </w:tcPr>
          <w:p w:rsidR="00733C45" w:rsidRDefault="00882EC8">
            <w:pPr>
              <w:pBdr>
                <w:top w:val="nil"/>
                <w:left w:val="nil"/>
                <w:bottom w:val="nil"/>
                <w:right w:val="nil"/>
                <w:between w:val="nil"/>
              </w:pBdr>
              <w:spacing w:before="0"/>
              <w:rPr>
                <w:rFonts w:ascii="Calibri" w:eastAsia="Calibri" w:hAnsi="Calibri" w:cs="Calibri"/>
                <w:color w:val="FFFFFF"/>
                <w:sz w:val="24"/>
                <w:szCs w:val="24"/>
              </w:rPr>
            </w:pPr>
            <w:r>
              <w:rPr>
                <w:rFonts w:ascii="Calibri" w:eastAsia="Calibri" w:hAnsi="Calibri" w:cs="Calibri"/>
                <w:b w:val="0"/>
                <w:color w:val="FFFFFF"/>
                <w:sz w:val="24"/>
                <w:szCs w:val="24"/>
              </w:rPr>
              <w:t>abril</w:t>
            </w:r>
          </w:p>
        </w:tc>
        <w:tc>
          <w:tcPr>
            <w:tcW w:w="3258" w:type="dxa"/>
          </w:tcPr>
          <w:p w:rsidR="00733C45" w:rsidRDefault="00882EC8">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24"/>
                <w:szCs w:val="24"/>
              </w:rPr>
            </w:pPr>
            <w:r>
              <w:rPr>
                <w:rFonts w:ascii="Calibri" w:eastAsia="Calibri" w:hAnsi="Calibri" w:cs="Calibri"/>
                <w:sz w:val="24"/>
                <w:szCs w:val="24"/>
              </w:rPr>
              <w:t>2022</w:t>
            </w:r>
          </w:p>
        </w:tc>
      </w:tr>
    </w:tbl>
    <w:p w:rsidR="00733C45" w:rsidRDefault="00733C45">
      <w:pPr>
        <w:widowControl w:val="0"/>
        <w:pBdr>
          <w:top w:val="nil"/>
          <w:left w:val="nil"/>
          <w:bottom w:val="nil"/>
          <w:right w:val="nil"/>
          <w:between w:val="nil"/>
        </w:pBdr>
        <w:spacing w:before="0" w:after="0" w:line="276" w:lineRule="auto"/>
        <w:jc w:val="left"/>
        <w:rPr>
          <w:sz w:val="24"/>
          <w:szCs w:val="24"/>
        </w:rPr>
      </w:pPr>
    </w:p>
    <w:tbl>
      <w:tblPr>
        <w:tblStyle w:val="aa"/>
        <w:tblW w:w="6513" w:type="dxa"/>
        <w:tblInd w:w="-116" w:type="dxa"/>
        <w:tblBorders>
          <w:top w:val="single" w:sz="6" w:space="0" w:color="BFBFBF"/>
          <w:left w:val="single" w:sz="6" w:space="0" w:color="BFBFBF"/>
          <w:bottom w:val="single" w:sz="6" w:space="0" w:color="BFBFBF"/>
          <w:right w:val="single" w:sz="6" w:space="0" w:color="BFBFBF"/>
          <w:insideH w:val="single" w:sz="4" w:space="0" w:color="000000"/>
          <w:insideV w:val="single" w:sz="6" w:space="0" w:color="BFBFBF"/>
        </w:tblBorders>
        <w:tblLayout w:type="fixed"/>
        <w:tblLook w:val="0420" w:firstRow="1" w:lastRow="0" w:firstColumn="0" w:lastColumn="0" w:noHBand="0" w:noVBand="1"/>
      </w:tblPr>
      <w:tblGrid>
        <w:gridCol w:w="1126"/>
        <w:gridCol w:w="851"/>
        <w:gridCol w:w="992"/>
        <w:gridCol w:w="851"/>
        <w:gridCol w:w="850"/>
        <w:gridCol w:w="797"/>
        <w:gridCol w:w="1046"/>
      </w:tblGrid>
      <w:tr w:rsidR="00733C45" w:rsidTr="00733C45">
        <w:trPr>
          <w:cnfStyle w:val="100000000000" w:firstRow="1" w:lastRow="0" w:firstColumn="0" w:lastColumn="0" w:oddVBand="0" w:evenVBand="0" w:oddHBand="0" w:evenHBand="0" w:firstRowFirstColumn="0" w:firstRowLastColumn="0" w:lastRowFirstColumn="0" w:lastRowLastColumn="0"/>
          <w:trHeight w:val="172"/>
        </w:trPr>
        <w:tc>
          <w:tcPr>
            <w:tcW w:w="1126" w:type="dxa"/>
          </w:tcPr>
          <w:p w:rsidR="00733C45" w:rsidRDefault="00882EC8">
            <w:pPr>
              <w:pBdr>
                <w:top w:val="nil"/>
                <w:left w:val="nil"/>
                <w:bottom w:val="nil"/>
                <w:right w:val="nil"/>
                <w:between w:val="nil"/>
              </w:pBdr>
              <w:spacing w:after="40"/>
              <w:jc w:val="center"/>
              <w:rPr>
                <w:color w:val="595959"/>
                <w:sz w:val="22"/>
                <w:szCs w:val="22"/>
              </w:rPr>
            </w:pPr>
            <w:r>
              <w:rPr>
                <w:color w:val="595959"/>
                <w:sz w:val="22"/>
                <w:szCs w:val="22"/>
              </w:rPr>
              <w:t xml:space="preserve">Lunes </w:t>
            </w:r>
          </w:p>
        </w:tc>
        <w:tc>
          <w:tcPr>
            <w:tcW w:w="851" w:type="dxa"/>
          </w:tcPr>
          <w:p w:rsidR="00733C45" w:rsidRDefault="00882EC8">
            <w:pPr>
              <w:pBdr>
                <w:top w:val="nil"/>
                <w:left w:val="nil"/>
                <w:bottom w:val="nil"/>
                <w:right w:val="nil"/>
                <w:between w:val="nil"/>
              </w:pBdr>
              <w:spacing w:after="40"/>
              <w:jc w:val="center"/>
              <w:rPr>
                <w:color w:val="595959"/>
                <w:sz w:val="22"/>
                <w:szCs w:val="22"/>
              </w:rPr>
            </w:pPr>
            <w:r>
              <w:rPr>
                <w:color w:val="595959"/>
                <w:sz w:val="22"/>
                <w:szCs w:val="22"/>
              </w:rPr>
              <w:t>Martes</w:t>
            </w:r>
          </w:p>
        </w:tc>
        <w:tc>
          <w:tcPr>
            <w:tcW w:w="992" w:type="dxa"/>
          </w:tcPr>
          <w:p w:rsidR="00733C45" w:rsidRDefault="00882EC8">
            <w:pPr>
              <w:pBdr>
                <w:top w:val="nil"/>
                <w:left w:val="nil"/>
                <w:bottom w:val="nil"/>
                <w:right w:val="nil"/>
                <w:between w:val="nil"/>
              </w:pBdr>
              <w:spacing w:after="40"/>
              <w:jc w:val="center"/>
              <w:rPr>
                <w:color w:val="595959"/>
                <w:sz w:val="22"/>
                <w:szCs w:val="22"/>
              </w:rPr>
            </w:pPr>
            <w:r>
              <w:rPr>
                <w:color w:val="595959"/>
                <w:sz w:val="22"/>
                <w:szCs w:val="22"/>
              </w:rPr>
              <w:t>Miércoles</w:t>
            </w:r>
          </w:p>
        </w:tc>
        <w:tc>
          <w:tcPr>
            <w:tcW w:w="851" w:type="dxa"/>
          </w:tcPr>
          <w:p w:rsidR="00733C45" w:rsidRDefault="00882EC8">
            <w:pPr>
              <w:pBdr>
                <w:top w:val="nil"/>
                <w:left w:val="nil"/>
                <w:bottom w:val="nil"/>
                <w:right w:val="nil"/>
                <w:between w:val="nil"/>
              </w:pBdr>
              <w:spacing w:after="40"/>
              <w:jc w:val="center"/>
              <w:rPr>
                <w:color w:val="595959"/>
                <w:sz w:val="22"/>
                <w:szCs w:val="22"/>
              </w:rPr>
            </w:pPr>
            <w:r>
              <w:rPr>
                <w:color w:val="595959"/>
                <w:sz w:val="22"/>
                <w:szCs w:val="22"/>
              </w:rPr>
              <w:t>Jueves</w:t>
            </w:r>
          </w:p>
        </w:tc>
        <w:tc>
          <w:tcPr>
            <w:tcW w:w="850" w:type="dxa"/>
          </w:tcPr>
          <w:p w:rsidR="00733C45" w:rsidRDefault="00882EC8">
            <w:pPr>
              <w:pBdr>
                <w:top w:val="nil"/>
                <w:left w:val="nil"/>
                <w:bottom w:val="nil"/>
                <w:right w:val="nil"/>
                <w:between w:val="nil"/>
              </w:pBdr>
              <w:spacing w:after="40"/>
              <w:jc w:val="center"/>
              <w:rPr>
                <w:color w:val="595959"/>
                <w:sz w:val="22"/>
                <w:szCs w:val="22"/>
              </w:rPr>
            </w:pPr>
            <w:r>
              <w:rPr>
                <w:color w:val="595959"/>
                <w:sz w:val="22"/>
                <w:szCs w:val="22"/>
              </w:rPr>
              <w:t>Viernes</w:t>
            </w:r>
          </w:p>
        </w:tc>
        <w:tc>
          <w:tcPr>
            <w:tcW w:w="797" w:type="dxa"/>
          </w:tcPr>
          <w:p w:rsidR="00733C45" w:rsidRDefault="00882EC8">
            <w:pPr>
              <w:pBdr>
                <w:top w:val="nil"/>
                <w:left w:val="nil"/>
                <w:bottom w:val="nil"/>
                <w:right w:val="nil"/>
                <w:between w:val="nil"/>
              </w:pBdr>
              <w:spacing w:after="40"/>
              <w:jc w:val="center"/>
              <w:rPr>
                <w:color w:val="595959"/>
                <w:sz w:val="22"/>
                <w:szCs w:val="22"/>
              </w:rPr>
            </w:pPr>
            <w:r>
              <w:rPr>
                <w:color w:val="595959"/>
                <w:sz w:val="22"/>
                <w:szCs w:val="22"/>
              </w:rPr>
              <w:t>Sábado</w:t>
            </w:r>
          </w:p>
        </w:tc>
        <w:tc>
          <w:tcPr>
            <w:tcW w:w="1046" w:type="dxa"/>
          </w:tcPr>
          <w:p w:rsidR="00733C45" w:rsidRDefault="00882EC8">
            <w:pPr>
              <w:pBdr>
                <w:top w:val="nil"/>
                <w:left w:val="nil"/>
                <w:bottom w:val="nil"/>
                <w:right w:val="nil"/>
                <w:between w:val="nil"/>
              </w:pBdr>
              <w:spacing w:after="40"/>
              <w:jc w:val="center"/>
              <w:rPr>
                <w:color w:val="595959"/>
                <w:sz w:val="22"/>
                <w:szCs w:val="22"/>
              </w:rPr>
            </w:pPr>
            <w:r>
              <w:rPr>
                <w:color w:val="595959"/>
                <w:sz w:val="22"/>
                <w:szCs w:val="22"/>
              </w:rPr>
              <w:t>Domingo</w:t>
            </w:r>
          </w:p>
        </w:tc>
      </w:tr>
      <w:tr w:rsidR="00733C45" w:rsidTr="00733C45">
        <w:trPr>
          <w:trHeight w:val="116"/>
        </w:trPr>
        <w:tc>
          <w:tcPr>
            <w:tcW w:w="1126" w:type="dxa"/>
            <w:tcBorders>
              <w:bottom w:val="nil"/>
            </w:tcBorders>
            <w:shd w:val="clear" w:color="auto" w:fill="DDD9C4"/>
          </w:tcPr>
          <w:p w:rsidR="00733C45" w:rsidRDefault="00733C45">
            <w:pPr>
              <w:pBdr>
                <w:top w:val="nil"/>
                <w:left w:val="nil"/>
                <w:bottom w:val="nil"/>
                <w:right w:val="nil"/>
                <w:between w:val="nil"/>
              </w:pBdr>
              <w:spacing w:before="0"/>
              <w:jc w:val="right"/>
              <w:rPr>
                <w:color w:val="595959"/>
                <w:sz w:val="22"/>
                <w:szCs w:val="22"/>
              </w:rPr>
            </w:pPr>
          </w:p>
        </w:tc>
        <w:tc>
          <w:tcPr>
            <w:tcW w:w="851" w:type="dxa"/>
            <w:tcBorders>
              <w:bottom w:val="nil"/>
            </w:tcBorders>
            <w:shd w:val="clear" w:color="auto" w:fill="DDD9C4"/>
          </w:tcPr>
          <w:p w:rsidR="00733C45" w:rsidRDefault="00733C45">
            <w:pPr>
              <w:pBdr>
                <w:top w:val="nil"/>
                <w:left w:val="nil"/>
                <w:bottom w:val="nil"/>
                <w:right w:val="nil"/>
                <w:between w:val="nil"/>
              </w:pBdr>
              <w:spacing w:before="0"/>
              <w:jc w:val="right"/>
              <w:rPr>
                <w:color w:val="595959"/>
                <w:sz w:val="22"/>
                <w:szCs w:val="22"/>
              </w:rPr>
            </w:pPr>
          </w:p>
        </w:tc>
        <w:tc>
          <w:tcPr>
            <w:tcW w:w="992" w:type="dxa"/>
            <w:tcBorders>
              <w:bottom w:val="nil"/>
            </w:tcBorders>
            <w:shd w:val="clear" w:color="auto" w:fill="DDD9C4"/>
          </w:tcPr>
          <w:p w:rsidR="00733C45" w:rsidRDefault="00733C45">
            <w:pPr>
              <w:pBdr>
                <w:top w:val="nil"/>
                <w:left w:val="nil"/>
                <w:bottom w:val="nil"/>
                <w:right w:val="nil"/>
                <w:between w:val="nil"/>
              </w:pBdr>
              <w:spacing w:before="0"/>
              <w:jc w:val="right"/>
              <w:rPr>
                <w:color w:val="595959"/>
                <w:sz w:val="22"/>
                <w:szCs w:val="22"/>
              </w:rPr>
            </w:pPr>
          </w:p>
        </w:tc>
        <w:tc>
          <w:tcPr>
            <w:tcW w:w="851" w:type="dxa"/>
            <w:tcBorders>
              <w:bottom w:val="nil"/>
            </w:tcBorders>
            <w:shd w:val="clear" w:color="auto" w:fill="DDD9C4"/>
          </w:tcPr>
          <w:p w:rsidR="00733C45" w:rsidRDefault="00733C45">
            <w:pPr>
              <w:pBdr>
                <w:top w:val="nil"/>
                <w:left w:val="nil"/>
                <w:bottom w:val="nil"/>
                <w:right w:val="nil"/>
                <w:between w:val="nil"/>
              </w:pBdr>
              <w:spacing w:before="0"/>
              <w:jc w:val="right"/>
              <w:rPr>
                <w:color w:val="595959"/>
                <w:sz w:val="22"/>
                <w:szCs w:val="22"/>
              </w:rPr>
            </w:pPr>
          </w:p>
        </w:tc>
        <w:tc>
          <w:tcPr>
            <w:tcW w:w="850" w:type="dxa"/>
            <w:tcBorders>
              <w:bottom w:val="nil"/>
            </w:tcBorders>
            <w:shd w:val="clear" w:color="auto" w:fill="DDD9C4"/>
          </w:tcPr>
          <w:p w:rsidR="00733C45" w:rsidRDefault="00882EC8">
            <w:pPr>
              <w:pBdr>
                <w:top w:val="nil"/>
                <w:left w:val="nil"/>
                <w:bottom w:val="nil"/>
                <w:right w:val="nil"/>
                <w:between w:val="nil"/>
              </w:pBdr>
              <w:spacing w:before="0"/>
              <w:jc w:val="right"/>
              <w:rPr>
                <w:color w:val="595959"/>
                <w:sz w:val="22"/>
                <w:szCs w:val="22"/>
              </w:rPr>
            </w:pPr>
            <w:r>
              <w:rPr>
                <w:color w:val="595959"/>
                <w:sz w:val="22"/>
                <w:szCs w:val="22"/>
              </w:rPr>
              <w:t>1</w:t>
            </w:r>
          </w:p>
        </w:tc>
        <w:tc>
          <w:tcPr>
            <w:tcW w:w="797" w:type="dxa"/>
            <w:tcBorders>
              <w:bottom w:val="nil"/>
            </w:tcBorders>
          </w:tcPr>
          <w:p w:rsidR="00733C45" w:rsidRDefault="00882EC8">
            <w:pPr>
              <w:pBdr>
                <w:top w:val="nil"/>
                <w:left w:val="nil"/>
                <w:bottom w:val="nil"/>
                <w:right w:val="nil"/>
                <w:between w:val="nil"/>
              </w:pBdr>
              <w:spacing w:before="0"/>
              <w:jc w:val="right"/>
              <w:rPr>
                <w:color w:val="595959"/>
                <w:sz w:val="22"/>
                <w:szCs w:val="22"/>
              </w:rPr>
            </w:pPr>
            <w:r>
              <w:rPr>
                <w:color w:val="595959"/>
                <w:sz w:val="22"/>
                <w:szCs w:val="22"/>
              </w:rPr>
              <w:t>2</w:t>
            </w:r>
          </w:p>
        </w:tc>
        <w:tc>
          <w:tcPr>
            <w:tcW w:w="1046" w:type="dxa"/>
            <w:tcBorders>
              <w:bottom w:val="nil"/>
            </w:tcBorders>
          </w:tcPr>
          <w:p w:rsidR="00733C45" w:rsidRDefault="00882EC8">
            <w:pPr>
              <w:pBdr>
                <w:top w:val="nil"/>
                <w:left w:val="nil"/>
                <w:bottom w:val="nil"/>
                <w:right w:val="nil"/>
                <w:between w:val="nil"/>
              </w:pBdr>
              <w:spacing w:before="0"/>
              <w:jc w:val="right"/>
              <w:rPr>
                <w:color w:val="595959"/>
                <w:sz w:val="22"/>
                <w:szCs w:val="22"/>
              </w:rPr>
            </w:pPr>
            <w:r>
              <w:rPr>
                <w:color w:val="595959"/>
                <w:sz w:val="22"/>
                <w:szCs w:val="22"/>
              </w:rPr>
              <w:t>3</w:t>
            </w:r>
          </w:p>
        </w:tc>
      </w:tr>
      <w:tr w:rsidR="00733C45" w:rsidTr="00733C45">
        <w:trPr>
          <w:trHeight w:val="123"/>
        </w:trPr>
        <w:tc>
          <w:tcPr>
            <w:tcW w:w="1126" w:type="dxa"/>
            <w:tcBorders>
              <w:top w:val="single" w:sz="6" w:space="0" w:color="BFBFBF"/>
              <w:bottom w:val="nil"/>
            </w:tcBorders>
            <w:shd w:val="clear" w:color="auto" w:fill="DDD9C4"/>
          </w:tcPr>
          <w:p w:rsidR="00733C45" w:rsidRDefault="00882EC8">
            <w:pPr>
              <w:pBdr>
                <w:top w:val="nil"/>
                <w:left w:val="nil"/>
                <w:bottom w:val="nil"/>
                <w:right w:val="nil"/>
                <w:between w:val="nil"/>
              </w:pBdr>
              <w:spacing w:before="0"/>
              <w:jc w:val="right"/>
              <w:rPr>
                <w:color w:val="595959"/>
                <w:sz w:val="22"/>
                <w:szCs w:val="22"/>
              </w:rPr>
            </w:pPr>
            <w:r>
              <w:rPr>
                <w:color w:val="595959"/>
                <w:sz w:val="22"/>
                <w:szCs w:val="22"/>
              </w:rPr>
              <w:t>4</w:t>
            </w:r>
          </w:p>
        </w:tc>
        <w:tc>
          <w:tcPr>
            <w:tcW w:w="851" w:type="dxa"/>
            <w:tcBorders>
              <w:top w:val="single" w:sz="6" w:space="0" w:color="BFBFBF"/>
              <w:bottom w:val="nil"/>
            </w:tcBorders>
            <w:shd w:val="clear" w:color="auto" w:fill="DDD9C4"/>
          </w:tcPr>
          <w:p w:rsidR="00733C45" w:rsidRDefault="00882EC8">
            <w:pPr>
              <w:pBdr>
                <w:top w:val="nil"/>
                <w:left w:val="nil"/>
                <w:bottom w:val="nil"/>
                <w:right w:val="nil"/>
                <w:between w:val="nil"/>
              </w:pBdr>
              <w:spacing w:before="0"/>
              <w:jc w:val="right"/>
              <w:rPr>
                <w:color w:val="595959"/>
                <w:sz w:val="22"/>
                <w:szCs w:val="22"/>
              </w:rPr>
            </w:pPr>
            <w:r>
              <w:rPr>
                <w:color w:val="595959"/>
                <w:sz w:val="22"/>
                <w:szCs w:val="22"/>
              </w:rPr>
              <w:t>5</w:t>
            </w:r>
          </w:p>
        </w:tc>
        <w:tc>
          <w:tcPr>
            <w:tcW w:w="992" w:type="dxa"/>
            <w:tcBorders>
              <w:top w:val="single" w:sz="6" w:space="0" w:color="BFBFBF"/>
              <w:bottom w:val="nil"/>
            </w:tcBorders>
            <w:shd w:val="clear" w:color="auto" w:fill="DDD9C4"/>
          </w:tcPr>
          <w:p w:rsidR="00733C45" w:rsidRDefault="00882EC8">
            <w:pPr>
              <w:pBdr>
                <w:top w:val="nil"/>
                <w:left w:val="nil"/>
                <w:bottom w:val="nil"/>
                <w:right w:val="nil"/>
                <w:between w:val="nil"/>
              </w:pBdr>
              <w:spacing w:before="0"/>
              <w:jc w:val="right"/>
              <w:rPr>
                <w:color w:val="595959"/>
                <w:sz w:val="22"/>
                <w:szCs w:val="22"/>
              </w:rPr>
            </w:pPr>
            <w:r>
              <w:rPr>
                <w:color w:val="595959"/>
                <w:sz w:val="22"/>
                <w:szCs w:val="22"/>
              </w:rPr>
              <w:t>6</w:t>
            </w:r>
          </w:p>
        </w:tc>
        <w:tc>
          <w:tcPr>
            <w:tcW w:w="851" w:type="dxa"/>
            <w:tcBorders>
              <w:top w:val="single" w:sz="6" w:space="0" w:color="BFBFBF"/>
              <w:bottom w:val="nil"/>
            </w:tcBorders>
            <w:shd w:val="clear" w:color="auto" w:fill="DDD9C4"/>
          </w:tcPr>
          <w:p w:rsidR="00733C45" w:rsidRDefault="00882EC8">
            <w:pPr>
              <w:pBdr>
                <w:top w:val="nil"/>
                <w:left w:val="nil"/>
                <w:bottom w:val="nil"/>
                <w:right w:val="nil"/>
                <w:between w:val="nil"/>
              </w:pBdr>
              <w:spacing w:before="0"/>
              <w:jc w:val="right"/>
              <w:rPr>
                <w:color w:val="595959"/>
                <w:sz w:val="22"/>
                <w:szCs w:val="22"/>
              </w:rPr>
            </w:pPr>
            <w:r>
              <w:rPr>
                <w:color w:val="595959"/>
                <w:sz w:val="22"/>
                <w:szCs w:val="22"/>
              </w:rPr>
              <w:t>7</w:t>
            </w:r>
          </w:p>
        </w:tc>
        <w:tc>
          <w:tcPr>
            <w:tcW w:w="850" w:type="dxa"/>
            <w:tcBorders>
              <w:top w:val="single" w:sz="6" w:space="0" w:color="BFBFBF"/>
              <w:bottom w:val="nil"/>
            </w:tcBorders>
            <w:shd w:val="clear" w:color="auto" w:fill="DDD9C4"/>
          </w:tcPr>
          <w:p w:rsidR="00733C45" w:rsidRDefault="00882EC8">
            <w:pPr>
              <w:pBdr>
                <w:top w:val="nil"/>
                <w:left w:val="nil"/>
                <w:bottom w:val="nil"/>
                <w:right w:val="nil"/>
                <w:between w:val="nil"/>
              </w:pBdr>
              <w:spacing w:before="0"/>
              <w:jc w:val="right"/>
              <w:rPr>
                <w:color w:val="595959"/>
                <w:sz w:val="22"/>
                <w:szCs w:val="22"/>
              </w:rPr>
            </w:pPr>
            <w:r>
              <w:rPr>
                <w:color w:val="595959"/>
                <w:sz w:val="22"/>
                <w:szCs w:val="22"/>
              </w:rPr>
              <w:t>8</w:t>
            </w:r>
          </w:p>
        </w:tc>
        <w:tc>
          <w:tcPr>
            <w:tcW w:w="797" w:type="dxa"/>
            <w:tcBorders>
              <w:top w:val="single" w:sz="6" w:space="0" w:color="BFBFBF"/>
              <w:bottom w:val="nil"/>
            </w:tcBorders>
          </w:tcPr>
          <w:p w:rsidR="00733C45" w:rsidRDefault="00882EC8">
            <w:pPr>
              <w:pBdr>
                <w:top w:val="nil"/>
                <w:left w:val="nil"/>
                <w:bottom w:val="nil"/>
                <w:right w:val="nil"/>
                <w:between w:val="nil"/>
              </w:pBdr>
              <w:spacing w:before="0"/>
              <w:jc w:val="right"/>
              <w:rPr>
                <w:color w:val="595959"/>
                <w:sz w:val="22"/>
                <w:szCs w:val="22"/>
              </w:rPr>
            </w:pPr>
            <w:r>
              <w:rPr>
                <w:color w:val="595959"/>
                <w:sz w:val="22"/>
                <w:szCs w:val="22"/>
              </w:rPr>
              <w:t>9</w:t>
            </w:r>
          </w:p>
        </w:tc>
        <w:tc>
          <w:tcPr>
            <w:tcW w:w="1046" w:type="dxa"/>
            <w:tcBorders>
              <w:top w:val="single" w:sz="6" w:space="0" w:color="BFBFBF"/>
              <w:bottom w:val="nil"/>
            </w:tcBorders>
          </w:tcPr>
          <w:p w:rsidR="00733C45" w:rsidRDefault="00882EC8">
            <w:pPr>
              <w:pBdr>
                <w:top w:val="nil"/>
                <w:left w:val="nil"/>
                <w:bottom w:val="nil"/>
                <w:right w:val="nil"/>
                <w:between w:val="nil"/>
              </w:pBdr>
              <w:spacing w:before="0"/>
              <w:jc w:val="right"/>
              <w:rPr>
                <w:color w:val="595959"/>
                <w:sz w:val="22"/>
                <w:szCs w:val="22"/>
              </w:rPr>
            </w:pPr>
            <w:r>
              <w:rPr>
                <w:color w:val="595959"/>
                <w:sz w:val="22"/>
                <w:szCs w:val="22"/>
              </w:rPr>
              <w:t>10</w:t>
            </w:r>
          </w:p>
        </w:tc>
      </w:tr>
      <w:tr w:rsidR="00733C45" w:rsidTr="00733C45">
        <w:trPr>
          <w:trHeight w:val="123"/>
        </w:trPr>
        <w:tc>
          <w:tcPr>
            <w:tcW w:w="1126" w:type="dxa"/>
            <w:tcBorders>
              <w:top w:val="single" w:sz="6" w:space="0" w:color="BFBFBF"/>
              <w:bottom w:val="nil"/>
            </w:tcBorders>
            <w:shd w:val="clear" w:color="auto" w:fill="D99594"/>
          </w:tcPr>
          <w:p w:rsidR="00733C45" w:rsidRDefault="00882EC8">
            <w:pPr>
              <w:pBdr>
                <w:top w:val="nil"/>
                <w:left w:val="nil"/>
                <w:bottom w:val="nil"/>
                <w:right w:val="nil"/>
                <w:between w:val="nil"/>
              </w:pBdr>
              <w:spacing w:before="0"/>
              <w:jc w:val="right"/>
              <w:rPr>
                <w:color w:val="595959"/>
                <w:sz w:val="22"/>
                <w:szCs w:val="22"/>
              </w:rPr>
            </w:pPr>
            <w:r>
              <w:rPr>
                <w:color w:val="595959"/>
                <w:sz w:val="22"/>
                <w:szCs w:val="22"/>
              </w:rPr>
              <w:t>11</w:t>
            </w:r>
          </w:p>
          <w:p w:rsidR="00733C45" w:rsidRDefault="00882EC8">
            <w:pPr>
              <w:pBdr>
                <w:top w:val="nil"/>
                <w:left w:val="nil"/>
                <w:bottom w:val="nil"/>
                <w:right w:val="nil"/>
                <w:between w:val="nil"/>
              </w:pBdr>
              <w:spacing w:before="0"/>
              <w:jc w:val="right"/>
              <w:rPr>
                <w:i/>
                <w:color w:val="595959"/>
                <w:sz w:val="22"/>
                <w:szCs w:val="22"/>
              </w:rPr>
            </w:pPr>
            <w:r>
              <w:rPr>
                <w:i/>
                <w:color w:val="595959"/>
                <w:sz w:val="22"/>
                <w:szCs w:val="22"/>
              </w:rPr>
              <w:t xml:space="preserve">Des. </w:t>
            </w:r>
            <w:proofErr w:type="spellStart"/>
            <w:r>
              <w:rPr>
                <w:i/>
                <w:color w:val="595959"/>
                <w:sz w:val="22"/>
                <w:szCs w:val="22"/>
              </w:rPr>
              <w:t>Oblig</w:t>
            </w:r>
            <w:proofErr w:type="spellEnd"/>
            <w:r>
              <w:rPr>
                <w:i/>
                <w:color w:val="595959"/>
                <w:sz w:val="22"/>
                <w:szCs w:val="22"/>
              </w:rPr>
              <w:t>.</w:t>
            </w:r>
          </w:p>
        </w:tc>
        <w:tc>
          <w:tcPr>
            <w:tcW w:w="851" w:type="dxa"/>
            <w:tcBorders>
              <w:top w:val="single" w:sz="6" w:space="0" w:color="BFBFBF"/>
              <w:bottom w:val="nil"/>
            </w:tcBorders>
            <w:shd w:val="clear" w:color="auto" w:fill="D99594"/>
          </w:tcPr>
          <w:p w:rsidR="00733C45" w:rsidRDefault="00882EC8">
            <w:pPr>
              <w:pBdr>
                <w:top w:val="nil"/>
                <w:left w:val="nil"/>
                <w:bottom w:val="nil"/>
                <w:right w:val="nil"/>
                <w:between w:val="nil"/>
              </w:pBdr>
              <w:spacing w:before="0"/>
              <w:jc w:val="right"/>
              <w:rPr>
                <w:color w:val="595959"/>
                <w:sz w:val="22"/>
                <w:szCs w:val="22"/>
              </w:rPr>
            </w:pPr>
            <w:r>
              <w:rPr>
                <w:color w:val="595959"/>
                <w:sz w:val="22"/>
                <w:szCs w:val="22"/>
              </w:rPr>
              <w:t xml:space="preserve">12   </w:t>
            </w:r>
            <w:r>
              <w:rPr>
                <w:i/>
                <w:color w:val="595959"/>
                <w:sz w:val="22"/>
                <w:szCs w:val="22"/>
              </w:rPr>
              <w:t xml:space="preserve"> Des. </w:t>
            </w:r>
            <w:proofErr w:type="spellStart"/>
            <w:r>
              <w:rPr>
                <w:i/>
                <w:color w:val="595959"/>
                <w:sz w:val="22"/>
                <w:szCs w:val="22"/>
              </w:rPr>
              <w:t>Oblig</w:t>
            </w:r>
            <w:proofErr w:type="spellEnd"/>
          </w:p>
        </w:tc>
        <w:tc>
          <w:tcPr>
            <w:tcW w:w="992" w:type="dxa"/>
            <w:tcBorders>
              <w:top w:val="single" w:sz="6" w:space="0" w:color="BFBFBF"/>
              <w:bottom w:val="nil"/>
            </w:tcBorders>
            <w:shd w:val="clear" w:color="auto" w:fill="D99594"/>
          </w:tcPr>
          <w:p w:rsidR="00733C45" w:rsidRDefault="00882EC8">
            <w:pPr>
              <w:pBdr>
                <w:top w:val="nil"/>
                <w:left w:val="nil"/>
                <w:bottom w:val="nil"/>
                <w:right w:val="nil"/>
                <w:between w:val="nil"/>
              </w:pBdr>
              <w:spacing w:before="0"/>
              <w:jc w:val="right"/>
              <w:rPr>
                <w:color w:val="595959"/>
                <w:sz w:val="22"/>
                <w:szCs w:val="22"/>
              </w:rPr>
            </w:pPr>
            <w:r>
              <w:rPr>
                <w:color w:val="595959"/>
                <w:sz w:val="22"/>
                <w:szCs w:val="22"/>
              </w:rPr>
              <w:t xml:space="preserve">13           </w:t>
            </w:r>
            <w:r>
              <w:rPr>
                <w:i/>
                <w:color w:val="595959"/>
                <w:sz w:val="22"/>
                <w:szCs w:val="22"/>
              </w:rPr>
              <w:t xml:space="preserve">Des. </w:t>
            </w:r>
            <w:proofErr w:type="spellStart"/>
            <w:r>
              <w:rPr>
                <w:i/>
                <w:color w:val="595959"/>
                <w:sz w:val="22"/>
                <w:szCs w:val="22"/>
              </w:rPr>
              <w:t>Oblig</w:t>
            </w:r>
            <w:proofErr w:type="spellEnd"/>
          </w:p>
        </w:tc>
        <w:tc>
          <w:tcPr>
            <w:tcW w:w="851" w:type="dxa"/>
            <w:tcBorders>
              <w:top w:val="single" w:sz="6" w:space="0" w:color="BFBFBF"/>
              <w:bottom w:val="nil"/>
            </w:tcBorders>
            <w:shd w:val="clear" w:color="auto" w:fill="D99594"/>
          </w:tcPr>
          <w:p w:rsidR="00733C45" w:rsidRDefault="00882EC8">
            <w:pPr>
              <w:pBdr>
                <w:top w:val="nil"/>
                <w:left w:val="nil"/>
                <w:bottom w:val="nil"/>
                <w:right w:val="nil"/>
                <w:between w:val="nil"/>
              </w:pBdr>
              <w:spacing w:before="0"/>
              <w:jc w:val="right"/>
              <w:rPr>
                <w:color w:val="595959"/>
                <w:sz w:val="22"/>
                <w:szCs w:val="22"/>
              </w:rPr>
            </w:pPr>
            <w:r>
              <w:rPr>
                <w:color w:val="595959"/>
                <w:sz w:val="22"/>
                <w:szCs w:val="22"/>
              </w:rPr>
              <w:t xml:space="preserve">      14</w:t>
            </w:r>
            <w:r>
              <w:rPr>
                <w:i/>
                <w:color w:val="595959"/>
                <w:sz w:val="22"/>
                <w:szCs w:val="22"/>
              </w:rPr>
              <w:t xml:space="preserve">  Des. </w:t>
            </w:r>
            <w:proofErr w:type="spellStart"/>
            <w:r>
              <w:rPr>
                <w:i/>
                <w:color w:val="595959"/>
                <w:sz w:val="22"/>
                <w:szCs w:val="22"/>
              </w:rPr>
              <w:t>Oblig</w:t>
            </w:r>
            <w:proofErr w:type="spellEnd"/>
          </w:p>
        </w:tc>
        <w:tc>
          <w:tcPr>
            <w:tcW w:w="850" w:type="dxa"/>
            <w:tcBorders>
              <w:top w:val="single" w:sz="6" w:space="0" w:color="BFBFBF"/>
              <w:bottom w:val="nil"/>
            </w:tcBorders>
            <w:shd w:val="clear" w:color="auto" w:fill="D99594"/>
          </w:tcPr>
          <w:p w:rsidR="00733C45" w:rsidRDefault="00882EC8">
            <w:pPr>
              <w:pBdr>
                <w:top w:val="nil"/>
                <w:left w:val="nil"/>
                <w:bottom w:val="nil"/>
                <w:right w:val="nil"/>
                <w:between w:val="nil"/>
              </w:pBdr>
              <w:spacing w:before="0"/>
              <w:jc w:val="right"/>
              <w:rPr>
                <w:color w:val="595959"/>
                <w:sz w:val="22"/>
                <w:szCs w:val="22"/>
              </w:rPr>
            </w:pPr>
            <w:r>
              <w:rPr>
                <w:color w:val="595959"/>
                <w:sz w:val="22"/>
                <w:szCs w:val="22"/>
              </w:rPr>
              <w:t xml:space="preserve">15  </w:t>
            </w:r>
          </w:p>
          <w:p w:rsidR="00733C45" w:rsidRDefault="00882EC8">
            <w:pPr>
              <w:pBdr>
                <w:top w:val="nil"/>
                <w:left w:val="nil"/>
                <w:bottom w:val="nil"/>
                <w:right w:val="nil"/>
                <w:between w:val="nil"/>
              </w:pBdr>
              <w:spacing w:before="0"/>
              <w:jc w:val="right"/>
              <w:rPr>
                <w:color w:val="595959"/>
                <w:sz w:val="22"/>
                <w:szCs w:val="22"/>
              </w:rPr>
            </w:pPr>
            <w:r>
              <w:rPr>
                <w:color w:val="595959"/>
                <w:sz w:val="22"/>
                <w:szCs w:val="22"/>
              </w:rPr>
              <w:t xml:space="preserve">  </w:t>
            </w:r>
            <w:r>
              <w:rPr>
                <w:i/>
                <w:color w:val="595959"/>
                <w:sz w:val="22"/>
                <w:szCs w:val="22"/>
              </w:rPr>
              <w:t xml:space="preserve">Des. </w:t>
            </w:r>
            <w:proofErr w:type="spellStart"/>
            <w:r>
              <w:rPr>
                <w:i/>
                <w:color w:val="595959"/>
                <w:sz w:val="22"/>
                <w:szCs w:val="22"/>
              </w:rPr>
              <w:t>Oblig</w:t>
            </w:r>
            <w:proofErr w:type="spellEnd"/>
          </w:p>
        </w:tc>
        <w:tc>
          <w:tcPr>
            <w:tcW w:w="797" w:type="dxa"/>
            <w:tcBorders>
              <w:top w:val="single" w:sz="6" w:space="0" w:color="BFBFBF"/>
              <w:bottom w:val="nil"/>
            </w:tcBorders>
          </w:tcPr>
          <w:p w:rsidR="00733C45" w:rsidRDefault="00882EC8">
            <w:pPr>
              <w:pBdr>
                <w:top w:val="nil"/>
                <w:left w:val="nil"/>
                <w:bottom w:val="nil"/>
                <w:right w:val="nil"/>
                <w:between w:val="nil"/>
              </w:pBdr>
              <w:spacing w:before="0"/>
              <w:jc w:val="right"/>
              <w:rPr>
                <w:color w:val="595959"/>
                <w:sz w:val="22"/>
                <w:szCs w:val="22"/>
              </w:rPr>
            </w:pPr>
            <w:r>
              <w:rPr>
                <w:color w:val="595959"/>
                <w:sz w:val="22"/>
                <w:szCs w:val="22"/>
              </w:rPr>
              <w:t>16</w:t>
            </w:r>
          </w:p>
        </w:tc>
        <w:tc>
          <w:tcPr>
            <w:tcW w:w="1046" w:type="dxa"/>
            <w:tcBorders>
              <w:top w:val="single" w:sz="6" w:space="0" w:color="BFBFBF"/>
              <w:bottom w:val="nil"/>
            </w:tcBorders>
          </w:tcPr>
          <w:p w:rsidR="00733C45" w:rsidRDefault="00882EC8">
            <w:pPr>
              <w:pBdr>
                <w:top w:val="nil"/>
                <w:left w:val="nil"/>
                <w:bottom w:val="nil"/>
                <w:right w:val="nil"/>
                <w:between w:val="nil"/>
              </w:pBdr>
              <w:spacing w:before="0"/>
              <w:jc w:val="right"/>
              <w:rPr>
                <w:color w:val="595959"/>
                <w:sz w:val="22"/>
                <w:szCs w:val="22"/>
              </w:rPr>
            </w:pPr>
            <w:r>
              <w:rPr>
                <w:color w:val="595959"/>
                <w:sz w:val="22"/>
                <w:szCs w:val="22"/>
              </w:rPr>
              <w:t>17</w:t>
            </w:r>
          </w:p>
        </w:tc>
      </w:tr>
      <w:tr w:rsidR="00733C45" w:rsidTr="00733C45">
        <w:trPr>
          <w:trHeight w:val="116"/>
        </w:trPr>
        <w:tc>
          <w:tcPr>
            <w:tcW w:w="1126" w:type="dxa"/>
            <w:tcBorders>
              <w:top w:val="single" w:sz="6" w:space="0" w:color="BFBFBF"/>
              <w:bottom w:val="nil"/>
            </w:tcBorders>
            <w:shd w:val="clear" w:color="auto" w:fill="8DB3E2"/>
          </w:tcPr>
          <w:p w:rsidR="00733C45" w:rsidRDefault="00882EC8">
            <w:pPr>
              <w:pBdr>
                <w:top w:val="nil"/>
                <w:left w:val="nil"/>
                <w:bottom w:val="nil"/>
                <w:right w:val="nil"/>
                <w:between w:val="nil"/>
              </w:pBdr>
              <w:spacing w:before="0"/>
              <w:jc w:val="right"/>
              <w:rPr>
                <w:b/>
                <w:color w:val="595959"/>
                <w:sz w:val="22"/>
                <w:szCs w:val="22"/>
              </w:rPr>
            </w:pPr>
            <w:r>
              <w:rPr>
                <w:b/>
                <w:color w:val="595959"/>
                <w:sz w:val="22"/>
                <w:szCs w:val="22"/>
              </w:rPr>
              <w:t>18</w:t>
            </w:r>
            <w:r>
              <w:rPr>
                <w:color w:val="595959"/>
                <w:sz w:val="22"/>
                <w:szCs w:val="22"/>
              </w:rPr>
              <w:t xml:space="preserve"> </w:t>
            </w:r>
            <w:r>
              <w:rPr>
                <w:b/>
                <w:color w:val="595959"/>
                <w:sz w:val="22"/>
                <w:szCs w:val="22"/>
              </w:rPr>
              <w:t>presenta demanda</w:t>
            </w:r>
          </w:p>
        </w:tc>
        <w:tc>
          <w:tcPr>
            <w:tcW w:w="851" w:type="dxa"/>
            <w:tcBorders>
              <w:top w:val="single" w:sz="6" w:space="0" w:color="BFBFBF"/>
              <w:bottom w:val="nil"/>
            </w:tcBorders>
            <w:shd w:val="clear" w:color="auto" w:fill="DDD9C4"/>
          </w:tcPr>
          <w:p w:rsidR="00733C45" w:rsidRDefault="00882EC8">
            <w:pPr>
              <w:pBdr>
                <w:top w:val="nil"/>
                <w:left w:val="nil"/>
                <w:bottom w:val="nil"/>
                <w:right w:val="nil"/>
                <w:between w:val="nil"/>
              </w:pBdr>
              <w:spacing w:before="0"/>
              <w:jc w:val="right"/>
              <w:rPr>
                <w:color w:val="595959"/>
                <w:sz w:val="22"/>
                <w:szCs w:val="22"/>
              </w:rPr>
            </w:pPr>
            <w:r>
              <w:rPr>
                <w:color w:val="595959"/>
                <w:sz w:val="22"/>
                <w:szCs w:val="22"/>
              </w:rPr>
              <w:t>19</w:t>
            </w:r>
          </w:p>
        </w:tc>
        <w:tc>
          <w:tcPr>
            <w:tcW w:w="992" w:type="dxa"/>
            <w:tcBorders>
              <w:top w:val="single" w:sz="6" w:space="0" w:color="BFBFBF"/>
              <w:bottom w:val="nil"/>
            </w:tcBorders>
            <w:shd w:val="clear" w:color="auto" w:fill="DDD9C4"/>
          </w:tcPr>
          <w:p w:rsidR="00733C45" w:rsidRDefault="00882EC8">
            <w:pPr>
              <w:pBdr>
                <w:top w:val="nil"/>
                <w:left w:val="nil"/>
                <w:bottom w:val="nil"/>
                <w:right w:val="nil"/>
                <w:between w:val="nil"/>
              </w:pBdr>
              <w:spacing w:before="0"/>
              <w:jc w:val="right"/>
              <w:rPr>
                <w:color w:val="595959"/>
                <w:sz w:val="22"/>
                <w:szCs w:val="22"/>
              </w:rPr>
            </w:pPr>
            <w:r>
              <w:rPr>
                <w:color w:val="595959"/>
                <w:sz w:val="22"/>
                <w:szCs w:val="22"/>
              </w:rPr>
              <w:t>20</w:t>
            </w:r>
          </w:p>
        </w:tc>
        <w:tc>
          <w:tcPr>
            <w:tcW w:w="851" w:type="dxa"/>
            <w:tcBorders>
              <w:top w:val="single" w:sz="6" w:space="0" w:color="BFBFBF"/>
              <w:bottom w:val="nil"/>
            </w:tcBorders>
            <w:shd w:val="clear" w:color="auto" w:fill="DDD9C4"/>
          </w:tcPr>
          <w:p w:rsidR="00733C45" w:rsidRDefault="00882EC8">
            <w:pPr>
              <w:pBdr>
                <w:top w:val="nil"/>
                <w:left w:val="nil"/>
                <w:bottom w:val="nil"/>
                <w:right w:val="nil"/>
                <w:between w:val="nil"/>
              </w:pBdr>
              <w:spacing w:before="0"/>
              <w:jc w:val="right"/>
              <w:rPr>
                <w:color w:val="595959"/>
                <w:sz w:val="22"/>
                <w:szCs w:val="22"/>
              </w:rPr>
            </w:pPr>
            <w:r>
              <w:rPr>
                <w:color w:val="595959"/>
                <w:sz w:val="22"/>
                <w:szCs w:val="22"/>
              </w:rPr>
              <w:t>21</w:t>
            </w:r>
          </w:p>
        </w:tc>
        <w:tc>
          <w:tcPr>
            <w:tcW w:w="850" w:type="dxa"/>
            <w:tcBorders>
              <w:top w:val="single" w:sz="6" w:space="0" w:color="BFBFBF"/>
              <w:bottom w:val="nil"/>
            </w:tcBorders>
            <w:shd w:val="clear" w:color="auto" w:fill="DDD9C4"/>
          </w:tcPr>
          <w:p w:rsidR="00733C45" w:rsidRDefault="00882EC8">
            <w:pPr>
              <w:pBdr>
                <w:top w:val="nil"/>
                <w:left w:val="nil"/>
                <w:bottom w:val="nil"/>
                <w:right w:val="nil"/>
                <w:between w:val="nil"/>
              </w:pBdr>
              <w:spacing w:before="0"/>
              <w:jc w:val="right"/>
              <w:rPr>
                <w:color w:val="595959"/>
                <w:sz w:val="22"/>
                <w:szCs w:val="22"/>
              </w:rPr>
            </w:pPr>
            <w:r>
              <w:rPr>
                <w:color w:val="595959"/>
                <w:sz w:val="22"/>
                <w:szCs w:val="22"/>
              </w:rPr>
              <w:t>22</w:t>
            </w:r>
          </w:p>
        </w:tc>
        <w:tc>
          <w:tcPr>
            <w:tcW w:w="797" w:type="dxa"/>
            <w:tcBorders>
              <w:top w:val="single" w:sz="6" w:space="0" w:color="BFBFBF"/>
              <w:bottom w:val="nil"/>
            </w:tcBorders>
          </w:tcPr>
          <w:p w:rsidR="00733C45" w:rsidRDefault="00882EC8">
            <w:pPr>
              <w:pBdr>
                <w:top w:val="nil"/>
                <w:left w:val="nil"/>
                <w:bottom w:val="nil"/>
                <w:right w:val="nil"/>
                <w:between w:val="nil"/>
              </w:pBdr>
              <w:spacing w:before="0"/>
              <w:jc w:val="right"/>
              <w:rPr>
                <w:color w:val="595959"/>
                <w:sz w:val="22"/>
                <w:szCs w:val="22"/>
              </w:rPr>
            </w:pPr>
            <w:r>
              <w:rPr>
                <w:color w:val="595959"/>
                <w:sz w:val="22"/>
                <w:szCs w:val="22"/>
              </w:rPr>
              <w:t>23</w:t>
            </w:r>
          </w:p>
        </w:tc>
        <w:tc>
          <w:tcPr>
            <w:tcW w:w="1046" w:type="dxa"/>
            <w:tcBorders>
              <w:top w:val="single" w:sz="6" w:space="0" w:color="BFBFBF"/>
              <w:bottom w:val="nil"/>
            </w:tcBorders>
          </w:tcPr>
          <w:p w:rsidR="00733C45" w:rsidRDefault="00882EC8">
            <w:pPr>
              <w:pBdr>
                <w:top w:val="nil"/>
                <w:left w:val="nil"/>
                <w:bottom w:val="nil"/>
                <w:right w:val="nil"/>
                <w:between w:val="nil"/>
              </w:pBdr>
              <w:spacing w:before="0"/>
              <w:jc w:val="right"/>
              <w:rPr>
                <w:color w:val="595959"/>
                <w:sz w:val="22"/>
                <w:szCs w:val="22"/>
              </w:rPr>
            </w:pPr>
            <w:r>
              <w:rPr>
                <w:color w:val="595959"/>
                <w:sz w:val="22"/>
                <w:szCs w:val="22"/>
              </w:rPr>
              <w:t>24</w:t>
            </w:r>
          </w:p>
        </w:tc>
      </w:tr>
      <w:tr w:rsidR="00733C45" w:rsidTr="00733C45">
        <w:trPr>
          <w:trHeight w:val="123"/>
        </w:trPr>
        <w:tc>
          <w:tcPr>
            <w:tcW w:w="1126" w:type="dxa"/>
            <w:tcBorders>
              <w:top w:val="single" w:sz="6" w:space="0" w:color="BFBFBF"/>
              <w:bottom w:val="nil"/>
            </w:tcBorders>
            <w:shd w:val="clear" w:color="auto" w:fill="DDD9C4"/>
          </w:tcPr>
          <w:p w:rsidR="00733C45" w:rsidRDefault="00882EC8">
            <w:pPr>
              <w:pBdr>
                <w:top w:val="nil"/>
                <w:left w:val="nil"/>
                <w:bottom w:val="nil"/>
                <w:right w:val="nil"/>
                <w:between w:val="nil"/>
              </w:pBdr>
              <w:spacing w:before="0"/>
              <w:jc w:val="right"/>
              <w:rPr>
                <w:color w:val="595959"/>
                <w:sz w:val="22"/>
                <w:szCs w:val="22"/>
              </w:rPr>
            </w:pPr>
            <w:r>
              <w:rPr>
                <w:color w:val="595959"/>
                <w:sz w:val="22"/>
                <w:szCs w:val="22"/>
              </w:rPr>
              <w:t>25</w:t>
            </w:r>
          </w:p>
        </w:tc>
        <w:tc>
          <w:tcPr>
            <w:tcW w:w="851" w:type="dxa"/>
            <w:tcBorders>
              <w:top w:val="single" w:sz="6" w:space="0" w:color="BFBFBF"/>
              <w:bottom w:val="nil"/>
            </w:tcBorders>
            <w:shd w:val="clear" w:color="auto" w:fill="DDD9C4"/>
          </w:tcPr>
          <w:p w:rsidR="00733C45" w:rsidRDefault="00882EC8">
            <w:pPr>
              <w:pBdr>
                <w:top w:val="nil"/>
                <w:left w:val="nil"/>
                <w:bottom w:val="nil"/>
                <w:right w:val="nil"/>
                <w:between w:val="nil"/>
              </w:pBdr>
              <w:spacing w:before="0"/>
              <w:jc w:val="right"/>
              <w:rPr>
                <w:color w:val="595959"/>
                <w:sz w:val="22"/>
                <w:szCs w:val="22"/>
              </w:rPr>
            </w:pPr>
            <w:r>
              <w:rPr>
                <w:color w:val="595959"/>
                <w:sz w:val="22"/>
                <w:szCs w:val="22"/>
              </w:rPr>
              <w:t>26</w:t>
            </w:r>
          </w:p>
        </w:tc>
        <w:tc>
          <w:tcPr>
            <w:tcW w:w="992" w:type="dxa"/>
            <w:tcBorders>
              <w:top w:val="single" w:sz="6" w:space="0" w:color="BFBFBF"/>
              <w:bottom w:val="nil"/>
            </w:tcBorders>
            <w:shd w:val="clear" w:color="auto" w:fill="DDD9C4"/>
          </w:tcPr>
          <w:p w:rsidR="00733C45" w:rsidRDefault="00882EC8">
            <w:pPr>
              <w:pBdr>
                <w:top w:val="nil"/>
                <w:left w:val="nil"/>
                <w:bottom w:val="nil"/>
                <w:right w:val="nil"/>
                <w:between w:val="nil"/>
              </w:pBdr>
              <w:spacing w:before="0"/>
              <w:jc w:val="right"/>
              <w:rPr>
                <w:color w:val="595959"/>
                <w:sz w:val="22"/>
                <w:szCs w:val="22"/>
              </w:rPr>
            </w:pPr>
            <w:r>
              <w:rPr>
                <w:color w:val="595959"/>
                <w:sz w:val="22"/>
                <w:szCs w:val="22"/>
              </w:rPr>
              <w:t>27</w:t>
            </w:r>
          </w:p>
        </w:tc>
        <w:tc>
          <w:tcPr>
            <w:tcW w:w="851" w:type="dxa"/>
            <w:tcBorders>
              <w:top w:val="single" w:sz="6" w:space="0" w:color="BFBFBF"/>
              <w:bottom w:val="nil"/>
            </w:tcBorders>
            <w:shd w:val="clear" w:color="auto" w:fill="DDD9C4"/>
          </w:tcPr>
          <w:p w:rsidR="00733C45" w:rsidRDefault="00882EC8">
            <w:pPr>
              <w:pBdr>
                <w:top w:val="nil"/>
                <w:left w:val="nil"/>
                <w:bottom w:val="nil"/>
                <w:right w:val="nil"/>
                <w:between w:val="nil"/>
              </w:pBdr>
              <w:spacing w:before="0"/>
              <w:jc w:val="right"/>
              <w:rPr>
                <w:color w:val="595959"/>
                <w:sz w:val="22"/>
                <w:szCs w:val="22"/>
              </w:rPr>
            </w:pPr>
            <w:r>
              <w:rPr>
                <w:color w:val="595959"/>
                <w:sz w:val="22"/>
                <w:szCs w:val="22"/>
              </w:rPr>
              <w:t>28</w:t>
            </w:r>
          </w:p>
        </w:tc>
        <w:tc>
          <w:tcPr>
            <w:tcW w:w="850" w:type="dxa"/>
            <w:tcBorders>
              <w:top w:val="single" w:sz="6" w:space="0" w:color="BFBFBF"/>
              <w:bottom w:val="nil"/>
            </w:tcBorders>
            <w:shd w:val="clear" w:color="auto" w:fill="DDD9C4"/>
          </w:tcPr>
          <w:p w:rsidR="00733C45" w:rsidRDefault="00882EC8">
            <w:pPr>
              <w:pBdr>
                <w:top w:val="nil"/>
                <w:left w:val="nil"/>
                <w:bottom w:val="nil"/>
                <w:right w:val="nil"/>
                <w:between w:val="nil"/>
              </w:pBdr>
              <w:spacing w:before="0"/>
              <w:jc w:val="right"/>
              <w:rPr>
                <w:color w:val="595959"/>
                <w:sz w:val="22"/>
                <w:szCs w:val="22"/>
              </w:rPr>
            </w:pPr>
            <w:r>
              <w:rPr>
                <w:color w:val="595959"/>
                <w:sz w:val="22"/>
                <w:szCs w:val="22"/>
              </w:rPr>
              <w:t>29</w:t>
            </w:r>
          </w:p>
        </w:tc>
        <w:tc>
          <w:tcPr>
            <w:tcW w:w="797" w:type="dxa"/>
            <w:tcBorders>
              <w:top w:val="single" w:sz="6" w:space="0" w:color="BFBFBF"/>
              <w:bottom w:val="nil"/>
            </w:tcBorders>
          </w:tcPr>
          <w:p w:rsidR="00733C45" w:rsidRDefault="00882EC8">
            <w:pPr>
              <w:pBdr>
                <w:top w:val="nil"/>
                <w:left w:val="nil"/>
                <w:bottom w:val="nil"/>
                <w:right w:val="nil"/>
                <w:between w:val="nil"/>
              </w:pBdr>
              <w:spacing w:before="0"/>
              <w:jc w:val="right"/>
              <w:rPr>
                <w:color w:val="595959"/>
                <w:sz w:val="22"/>
                <w:szCs w:val="22"/>
              </w:rPr>
            </w:pPr>
            <w:r>
              <w:rPr>
                <w:color w:val="595959"/>
                <w:sz w:val="22"/>
                <w:szCs w:val="22"/>
              </w:rPr>
              <w:t>30</w:t>
            </w:r>
          </w:p>
        </w:tc>
        <w:tc>
          <w:tcPr>
            <w:tcW w:w="1046" w:type="dxa"/>
            <w:tcBorders>
              <w:top w:val="single" w:sz="6" w:space="0" w:color="BFBFBF"/>
              <w:bottom w:val="nil"/>
            </w:tcBorders>
          </w:tcPr>
          <w:p w:rsidR="00733C45" w:rsidRDefault="00733C45">
            <w:pPr>
              <w:pBdr>
                <w:top w:val="nil"/>
                <w:left w:val="nil"/>
                <w:bottom w:val="nil"/>
                <w:right w:val="nil"/>
                <w:between w:val="nil"/>
              </w:pBdr>
              <w:spacing w:before="0"/>
              <w:jc w:val="right"/>
              <w:rPr>
                <w:color w:val="595959"/>
                <w:sz w:val="22"/>
                <w:szCs w:val="22"/>
              </w:rPr>
            </w:pPr>
          </w:p>
        </w:tc>
      </w:tr>
    </w:tbl>
    <w:p w:rsidR="00733C45" w:rsidRDefault="00733C45">
      <w:pPr>
        <w:widowControl w:val="0"/>
        <w:pBdr>
          <w:top w:val="nil"/>
          <w:left w:val="nil"/>
          <w:bottom w:val="nil"/>
          <w:right w:val="nil"/>
          <w:between w:val="nil"/>
        </w:pBdr>
        <w:spacing w:before="0" w:after="0" w:line="276" w:lineRule="auto"/>
        <w:jc w:val="left"/>
        <w:rPr>
          <w:color w:val="595959"/>
          <w:sz w:val="17"/>
          <w:szCs w:val="17"/>
        </w:rPr>
      </w:pPr>
    </w:p>
    <w:tbl>
      <w:tblPr>
        <w:tblStyle w:val="ab"/>
        <w:tblW w:w="6522" w:type="dxa"/>
        <w:tblInd w:w="-123" w:type="dxa"/>
        <w:tblBorders>
          <w:top w:val="single" w:sz="6" w:space="0" w:color="BFBFBF"/>
          <w:left w:val="single" w:sz="6" w:space="0" w:color="BFBFBF"/>
          <w:bottom w:val="single" w:sz="6" w:space="0" w:color="BFBFBF"/>
          <w:right w:val="single" w:sz="6" w:space="0" w:color="BFBFBF"/>
          <w:insideH w:val="single" w:sz="4" w:space="0" w:color="000000"/>
          <w:insideV w:val="single" w:sz="6" w:space="0" w:color="BFBFBF"/>
        </w:tblBorders>
        <w:tblLayout w:type="fixed"/>
        <w:tblLook w:val="04A0" w:firstRow="1" w:lastRow="0" w:firstColumn="1" w:lastColumn="0" w:noHBand="0" w:noVBand="1"/>
      </w:tblPr>
      <w:tblGrid>
        <w:gridCol w:w="3317"/>
        <w:gridCol w:w="3205"/>
      </w:tblGrid>
      <w:tr w:rsidR="00733C45" w:rsidTr="00733C45">
        <w:trPr>
          <w:cnfStyle w:val="100000000000" w:firstRow="1" w:lastRow="0" w:firstColumn="0" w:lastColumn="0" w:oddVBand="0" w:evenVBand="0" w:oddHBand="0" w:evenHBand="0" w:firstRowFirstColumn="0" w:firstRowLastColumn="0" w:lastRowFirstColumn="0" w:lastRowLastColumn="0"/>
          <w:trHeight w:val="352"/>
        </w:trPr>
        <w:tc>
          <w:tcPr>
            <w:cnfStyle w:val="001000000000" w:firstRow="0" w:lastRow="0" w:firstColumn="1" w:lastColumn="0" w:oddVBand="0" w:evenVBand="0" w:oddHBand="0" w:evenHBand="0" w:firstRowFirstColumn="0" w:firstRowLastColumn="0" w:lastRowFirstColumn="0" w:lastRowLastColumn="0"/>
            <w:tcW w:w="3317" w:type="dxa"/>
          </w:tcPr>
          <w:p w:rsidR="00733C45" w:rsidRDefault="00882EC8">
            <w:pPr>
              <w:pBdr>
                <w:top w:val="nil"/>
                <w:left w:val="nil"/>
                <w:bottom w:val="nil"/>
                <w:right w:val="nil"/>
                <w:between w:val="nil"/>
              </w:pBdr>
              <w:spacing w:before="0"/>
              <w:rPr>
                <w:rFonts w:ascii="Calibri" w:eastAsia="Calibri" w:hAnsi="Calibri" w:cs="Calibri"/>
                <w:color w:val="FFFFFF"/>
                <w:sz w:val="24"/>
                <w:szCs w:val="24"/>
              </w:rPr>
            </w:pPr>
            <w:r>
              <w:rPr>
                <w:rFonts w:ascii="Calibri" w:eastAsia="Calibri" w:hAnsi="Calibri" w:cs="Calibri"/>
                <w:b w:val="0"/>
                <w:color w:val="FFFFFF"/>
                <w:sz w:val="24"/>
                <w:szCs w:val="24"/>
              </w:rPr>
              <w:t>mayo</w:t>
            </w:r>
          </w:p>
        </w:tc>
        <w:tc>
          <w:tcPr>
            <w:tcW w:w="3205" w:type="dxa"/>
          </w:tcPr>
          <w:p w:rsidR="00733C45" w:rsidRDefault="00882EC8">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24"/>
                <w:szCs w:val="24"/>
              </w:rPr>
            </w:pPr>
            <w:r>
              <w:rPr>
                <w:rFonts w:ascii="Calibri" w:eastAsia="Calibri" w:hAnsi="Calibri" w:cs="Calibri"/>
                <w:sz w:val="24"/>
                <w:szCs w:val="24"/>
              </w:rPr>
              <w:t>2022</w:t>
            </w:r>
          </w:p>
        </w:tc>
      </w:tr>
    </w:tbl>
    <w:p w:rsidR="00733C45" w:rsidRDefault="00733C45">
      <w:pPr>
        <w:widowControl w:val="0"/>
        <w:pBdr>
          <w:top w:val="nil"/>
          <w:left w:val="nil"/>
          <w:bottom w:val="nil"/>
          <w:right w:val="nil"/>
          <w:between w:val="nil"/>
        </w:pBdr>
        <w:spacing w:before="0" w:after="0" w:line="276" w:lineRule="auto"/>
        <w:jc w:val="left"/>
        <w:rPr>
          <w:sz w:val="24"/>
          <w:szCs w:val="24"/>
        </w:rPr>
      </w:pPr>
    </w:p>
    <w:tbl>
      <w:tblPr>
        <w:tblStyle w:val="ac"/>
        <w:tblW w:w="6559" w:type="dxa"/>
        <w:tblInd w:w="-116" w:type="dxa"/>
        <w:tblBorders>
          <w:top w:val="single" w:sz="6" w:space="0" w:color="BFBFBF"/>
          <w:left w:val="single" w:sz="6" w:space="0" w:color="BFBFBF"/>
          <w:bottom w:val="single" w:sz="6" w:space="0" w:color="BFBFBF"/>
          <w:right w:val="single" w:sz="6" w:space="0" w:color="BFBFBF"/>
          <w:insideH w:val="single" w:sz="4" w:space="0" w:color="000000"/>
          <w:insideV w:val="single" w:sz="6" w:space="0" w:color="BFBFBF"/>
        </w:tblBorders>
        <w:tblLayout w:type="fixed"/>
        <w:tblLook w:val="0420" w:firstRow="1" w:lastRow="0" w:firstColumn="0" w:lastColumn="0" w:noHBand="0" w:noVBand="1"/>
      </w:tblPr>
      <w:tblGrid>
        <w:gridCol w:w="937"/>
        <w:gridCol w:w="898"/>
        <w:gridCol w:w="992"/>
        <w:gridCol w:w="921"/>
        <w:gridCol w:w="937"/>
        <w:gridCol w:w="937"/>
        <w:gridCol w:w="937"/>
      </w:tblGrid>
      <w:tr w:rsidR="00733C45" w:rsidTr="00733C45">
        <w:trPr>
          <w:cnfStyle w:val="100000000000" w:firstRow="1" w:lastRow="0" w:firstColumn="0" w:lastColumn="0" w:oddVBand="0" w:evenVBand="0" w:oddHBand="0" w:evenHBand="0" w:firstRowFirstColumn="0" w:firstRowLastColumn="0" w:lastRowFirstColumn="0" w:lastRowLastColumn="0"/>
          <w:trHeight w:val="357"/>
        </w:trPr>
        <w:tc>
          <w:tcPr>
            <w:tcW w:w="937" w:type="dxa"/>
          </w:tcPr>
          <w:p w:rsidR="00733C45" w:rsidRDefault="00882EC8">
            <w:pPr>
              <w:pBdr>
                <w:top w:val="nil"/>
                <w:left w:val="nil"/>
                <w:bottom w:val="nil"/>
                <w:right w:val="nil"/>
                <w:between w:val="nil"/>
              </w:pBdr>
              <w:spacing w:after="40"/>
              <w:jc w:val="center"/>
              <w:rPr>
                <w:color w:val="595959"/>
                <w:sz w:val="22"/>
                <w:szCs w:val="22"/>
              </w:rPr>
            </w:pPr>
            <w:r>
              <w:rPr>
                <w:color w:val="595959"/>
                <w:sz w:val="22"/>
                <w:szCs w:val="22"/>
              </w:rPr>
              <w:t xml:space="preserve">Lunes </w:t>
            </w:r>
          </w:p>
        </w:tc>
        <w:tc>
          <w:tcPr>
            <w:tcW w:w="898" w:type="dxa"/>
          </w:tcPr>
          <w:p w:rsidR="00733C45" w:rsidRDefault="00882EC8">
            <w:pPr>
              <w:pBdr>
                <w:top w:val="nil"/>
                <w:left w:val="nil"/>
                <w:bottom w:val="nil"/>
                <w:right w:val="nil"/>
                <w:between w:val="nil"/>
              </w:pBdr>
              <w:spacing w:after="40"/>
              <w:jc w:val="center"/>
              <w:rPr>
                <w:color w:val="595959"/>
                <w:sz w:val="22"/>
                <w:szCs w:val="22"/>
              </w:rPr>
            </w:pPr>
            <w:r>
              <w:rPr>
                <w:color w:val="595959"/>
                <w:sz w:val="22"/>
                <w:szCs w:val="22"/>
              </w:rPr>
              <w:t>Martes</w:t>
            </w:r>
          </w:p>
        </w:tc>
        <w:tc>
          <w:tcPr>
            <w:tcW w:w="992" w:type="dxa"/>
          </w:tcPr>
          <w:p w:rsidR="00733C45" w:rsidRDefault="00882EC8">
            <w:pPr>
              <w:pBdr>
                <w:top w:val="nil"/>
                <w:left w:val="nil"/>
                <w:bottom w:val="nil"/>
                <w:right w:val="nil"/>
                <w:between w:val="nil"/>
              </w:pBdr>
              <w:spacing w:after="40"/>
              <w:jc w:val="center"/>
              <w:rPr>
                <w:color w:val="595959"/>
                <w:sz w:val="22"/>
                <w:szCs w:val="22"/>
              </w:rPr>
            </w:pPr>
            <w:r>
              <w:rPr>
                <w:color w:val="595959"/>
                <w:sz w:val="22"/>
                <w:szCs w:val="22"/>
              </w:rPr>
              <w:t>Miércoles</w:t>
            </w:r>
          </w:p>
        </w:tc>
        <w:tc>
          <w:tcPr>
            <w:tcW w:w="921" w:type="dxa"/>
          </w:tcPr>
          <w:p w:rsidR="00733C45" w:rsidRDefault="00882EC8">
            <w:pPr>
              <w:pBdr>
                <w:top w:val="nil"/>
                <w:left w:val="nil"/>
                <w:bottom w:val="nil"/>
                <w:right w:val="nil"/>
                <w:between w:val="nil"/>
              </w:pBdr>
              <w:spacing w:after="40"/>
              <w:jc w:val="center"/>
              <w:rPr>
                <w:color w:val="595959"/>
                <w:sz w:val="22"/>
                <w:szCs w:val="22"/>
              </w:rPr>
            </w:pPr>
            <w:r>
              <w:rPr>
                <w:color w:val="595959"/>
                <w:sz w:val="22"/>
                <w:szCs w:val="22"/>
              </w:rPr>
              <w:t>Jueves</w:t>
            </w:r>
          </w:p>
        </w:tc>
        <w:tc>
          <w:tcPr>
            <w:tcW w:w="937" w:type="dxa"/>
          </w:tcPr>
          <w:p w:rsidR="00733C45" w:rsidRDefault="00882EC8">
            <w:pPr>
              <w:pBdr>
                <w:top w:val="nil"/>
                <w:left w:val="nil"/>
                <w:bottom w:val="nil"/>
                <w:right w:val="nil"/>
                <w:between w:val="nil"/>
              </w:pBdr>
              <w:spacing w:after="40"/>
              <w:jc w:val="center"/>
              <w:rPr>
                <w:color w:val="595959"/>
                <w:sz w:val="22"/>
                <w:szCs w:val="22"/>
              </w:rPr>
            </w:pPr>
            <w:r>
              <w:rPr>
                <w:color w:val="595959"/>
                <w:sz w:val="22"/>
                <w:szCs w:val="22"/>
              </w:rPr>
              <w:t>Viernes</w:t>
            </w:r>
          </w:p>
        </w:tc>
        <w:tc>
          <w:tcPr>
            <w:tcW w:w="937" w:type="dxa"/>
          </w:tcPr>
          <w:p w:rsidR="00733C45" w:rsidRDefault="00882EC8">
            <w:pPr>
              <w:pBdr>
                <w:top w:val="nil"/>
                <w:left w:val="nil"/>
                <w:bottom w:val="nil"/>
                <w:right w:val="nil"/>
                <w:between w:val="nil"/>
              </w:pBdr>
              <w:spacing w:after="40"/>
              <w:jc w:val="center"/>
              <w:rPr>
                <w:color w:val="595959"/>
                <w:sz w:val="22"/>
                <w:szCs w:val="22"/>
              </w:rPr>
            </w:pPr>
            <w:r>
              <w:rPr>
                <w:color w:val="595959"/>
                <w:sz w:val="22"/>
                <w:szCs w:val="22"/>
              </w:rPr>
              <w:t>Sábado</w:t>
            </w:r>
          </w:p>
        </w:tc>
        <w:tc>
          <w:tcPr>
            <w:tcW w:w="937" w:type="dxa"/>
          </w:tcPr>
          <w:p w:rsidR="00733C45" w:rsidRDefault="00882EC8">
            <w:pPr>
              <w:pBdr>
                <w:top w:val="nil"/>
                <w:left w:val="nil"/>
                <w:bottom w:val="nil"/>
                <w:right w:val="nil"/>
                <w:between w:val="nil"/>
              </w:pBdr>
              <w:spacing w:after="40"/>
              <w:jc w:val="center"/>
              <w:rPr>
                <w:color w:val="595959"/>
                <w:sz w:val="22"/>
                <w:szCs w:val="22"/>
              </w:rPr>
            </w:pPr>
            <w:r>
              <w:rPr>
                <w:color w:val="595959"/>
                <w:sz w:val="22"/>
                <w:szCs w:val="22"/>
              </w:rPr>
              <w:t>Domingo</w:t>
            </w:r>
          </w:p>
        </w:tc>
      </w:tr>
      <w:tr w:rsidR="00733C45" w:rsidTr="00733C45">
        <w:trPr>
          <w:trHeight w:val="242"/>
        </w:trPr>
        <w:tc>
          <w:tcPr>
            <w:tcW w:w="937" w:type="dxa"/>
            <w:tcBorders>
              <w:bottom w:val="nil"/>
            </w:tcBorders>
          </w:tcPr>
          <w:p w:rsidR="00733C45" w:rsidRDefault="00733C45">
            <w:pPr>
              <w:pBdr>
                <w:top w:val="nil"/>
                <w:left w:val="nil"/>
                <w:bottom w:val="nil"/>
                <w:right w:val="nil"/>
                <w:between w:val="nil"/>
              </w:pBdr>
              <w:spacing w:before="0"/>
              <w:jc w:val="right"/>
              <w:rPr>
                <w:color w:val="595959"/>
                <w:sz w:val="22"/>
                <w:szCs w:val="22"/>
              </w:rPr>
            </w:pPr>
          </w:p>
        </w:tc>
        <w:tc>
          <w:tcPr>
            <w:tcW w:w="898" w:type="dxa"/>
            <w:tcBorders>
              <w:bottom w:val="nil"/>
            </w:tcBorders>
          </w:tcPr>
          <w:p w:rsidR="00733C45" w:rsidRDefault="00733C45">
            <w:pPr>
              <w:pBdr>
                <w:top w:val="nil"/>
                <w:left w:val="nil"/>
                <w:bottom w:val="nil"/>
                <w:right w:val="nil"/>
                <w:between w:val="nil"/>
              </w:pBdr>
              <w:spacing w:before="0"/>
              <w:jc w:val="right"/>
              <w:rPr>
                <w:color w:val="595959"/>
                <w:sz w:val="22"/>
                <w:szCs w:val="22"/>
              </w:rPr>
            </w:pPr>
          </w:p>
        </w:tc>
        <w:tc>
          <w:tcPr>
            <w:tcW w:w="992" w:type="dxa"/>
            <w:tcBorders>
              <w:bottom w:val="nil"/>
            </w:tcBorders>
          </w:tcPr>
          <w:p w:rsidR="00733C45" w:rsidRDefault="00733C45">
            <w:pPr>
              <w:pBdr>
                <w:top w:val="nil"/>
                <w:left w:val="nil"/>
                <w:bottom w:val="nil"/>
                <w:right w:val="nil"/>
                <w:between w:val="nil"/>
              </w:pBdr>
              <w:spacing w:before="0"/>
              <w:jc w:val="right"/>
              <w:rPr>
                <w:color w:val="595959"/>
                <w:sz w:val="22"/>
                <w:szCs w:val="22"/>
              </w:rPr>
            </w:pPr>
          </w:p>
        </w:tc>
        <w:tc>
          <w:tcPr>
            <w:tcW w:w="921" w:type="dxa"/>
            <w:tcBorders>
              <w:bottom w:val="nil"/>
            </w:tcBorders>
          </w:tcPr>
          <w:p w:rsidR="00733C45" w:rsidRDefault="00733C45">
            <w:pPr>
              <w:pBdr>
                <w:top w:val="nil"/>
                <w:left w:val="nil"/>
                <w:bottom w:val="nil"/>
                <w:right w:val="nil"/>
                <w:between w:val="nil"/>
              </w:pBdr>
              <w:spacing w:before="0"/>
              <w:jc w:val="right"/>
              <w:rPr>
                <w:color w:val="595959"/>
                <w:sz w:val="22"/>
                <w:szCs w:val="22"/>
              </w:rPr>
            </w:pPr>
          </w:p>
        </w:tc>
        <w:tc>
          <w:tcPr>
            <w:tcW w:w="937" w:type="dxa"/>
            <w:tcBorders>
              <w:bottom w:val="nil"/>
            </w:tcBorders>
          </w:tcPr>
          <w:p w:rsidR="00733C45" w:rsidRDefault="00733C45">
            <w:pPr>
              <w:pBdr>
                <w:top w:val="nil"/>
                <w:left w:val="nil"/>
                <w:bottom w:val="nil"/>
                <w:right w:val="nil"/>
                <w:between w:val="nil"/>
              </w:pBdr>
              <w:spacing w:before="0"/>
              <w:jc w:val="right"/>
              <w:rPr>
                <w:color w:val="595959"/>
                <w:sz w:val="22"/>
                <w:szCs w:val="22"/>
              </w:rPr>
            </w:pPr>
          </w:p>
        </w:tc>
        <w:tc>
          <w:tcPr>
            <w:tcW w:w="937" w:type="dxa"/>
            <w:tcBorders>
              <w:bottom w:val="nil"/>
            </w:tcBorders>
          </w:tcPr>
          <w:p w:rsidR="00733C45" w:rsidRDefault="00733C45">
            <w:pPr>
              <w:pBdr>
                <w:top w:val="nil"/>
                <w:left w:val="nil"/>
                <w:bottom w:val="nil"/>
                <w:right w:val="nil"/>
                <w:between w:val="nil"/>
              </w:pBdr>
              <w:spacing w:before="0"/>
              <w:jc w:val="right"/>
              <w:rPr>
                <w:color w:val="595959"/>
                <w:sz w:val="22"/>
                <w:szCs w:val="22"/>
              </w:rPr>
            </w:pPr>
          </w:p>
        </w:tc>
        <w:tc>
          <w:tcPr>
            <w:tcW w:w="937" w:type="dxa"/>
            <w:tcBorders>
              <w:bottom w:val="nil"/>
            </w:tcBorders>
          </w:tcPr>
          <w:p w:rsidR="00733C45" w:rsidRDefault="00882EC8">
            <w:pPr>
              <w:pBdr>
                <w:top w:val="nil"/>
                <w:left w:val="nil"/>
                <w:bottom w:val="nil"/>
                <w:right w:val="nil"/>
                <w:between w:val="nil"/>
              </w:pBdr>
              <w:spacing w:before="0"/>
              <w:jc w:val="right"/>
              <w:rPr>
                <w:color w:val="595959"/>
                <w:sz w:val="22"/>
                <w:szCs w:val="22"/>
              </w:rPr>
            </w:pPr>
            <w:r>
              <w:rPr>
                <w:color w:val="595959"/>
                <w:sz w:val="22"/>
                <w:szCs w:val="22"/>
              </w:rPr>
              <w:t>1</w:t>
            </w:r>
          </w:p>
        </w:tc>
      </w:tr>
      <w:tr w:rsidR="00733C45" w:rsidTr="00733C45">
        <w:trPr>
          <w:trHeight w:val="256"/>
        </w:trPr>
        <w:tc>
          <w:tcPr>
            <w:tcW w:w="937" w:type="dxa"/>
            <w:tcBorders>
              <w:top w:val="single" w:sz="6" w:space="0" w:color="BFBFBF"/>
              <w:bottom w:val="nil"/>
            </w:tcBorders>
            <w:shd w:val="clear" w:color="auto" w:fill="DDD9C4"/>
          </w:tcPr>
          <w:p w:rsidR="00733C45" w:rsidRDefault="00882EC8">
            <w:pPr>
              <w:pBdr>
                <w:top w:val="nil"/>
                <w:left w:val="nil"/>
                <w:bottom w:val="nil"/>
                <w:right w:val="nil"/>
                <w:between w:val="nil"/>
              </w:pBdr>
              <w:spacing w:before="0"/>
              <w:jc w:val="right"/>
              <w:rPr>
                <w:color w:val="595959"/>
                <w:sz w:val="22"/>
                <w:szCs w:val="22"/>
              </w:rPr>
            </w:pPr>
            <w:r>
              <w:rPr>
                <w:color w:val="595959"/>
                <w:sz w:val="22"/>
                <w:szCs w:val="22"/>
              </w:rPr>
              <w:lastRenderedPageBreak/>
              <w:t>2</w:t>
            </w:r>
          </w:p>
        </w:tc>
        <w:tc>
          <w:tcPr>
            <w:tcW w:w="898" w:type="dxa"/>
            <w:tcBorders>
              <w:top w:val="single" w:sz="6" w:space="0" w:color="BFBFBF"/>
              <w:bottom w:val="nil"/>
            </w:tcBorders>
            <w:shd w:val="clear" w:color="auto" w:fill="DDD9C4"/>
          </w:tcPr>
          <w:p w:rsidR="00733C45" w:rsidRDefault="00882EC8">
            <w:pPr>
              <w:pBdr>
                <w:top w:val="nil"/>
                <w:left w:val="nil"/>
                <w:bottom w:val="nil"/>
                <w:right w:val="nil"/>
                <w:between w:val="nil"/>
              </w:pBdr>
              <w:spacing w:before="0"/>
              <w:jc w:val="right"/>
              <w:rPr>
                <w:color w:val="595959"/>
                <w:sz w:val="22"/>
                <w:szCs w:val="22"/>
              </w:rPr>
            </w:pPr>
            <w:r>
              <w:rPr>
                <w:color w:val="595959"/>
                <w:sz w:val="22"/>
                <w:szCs w:val="22"/>
              </w:rPr>
              <w:t>3</w:t>
            </w:r>
          </w:p>
        </w:tc>
        <w:tc>
          <w:tcPr>
            <w:tcW w:w="992" w:type="dxa"/>
            <w:tcBorders>
              <w:top w:val="single" w:sz="6" w:space="0" w:color="BFBFBF"/>
              <w:bottom w:val="nil"/>
            </w:tcBorders>
            <w:shd w:val="clear" w:color="auto" w:fill="DDD9C4"/>
          </w:tcPr>
          <w:p w:rsidR="00733C45" w:rsidRDefault="00882EC8">
            <w:pPr>
              <w:pBdr>
                <w:top w:val="nil"/>
                <w:left w:val="nil"/>
                <w:bottom w:val="nil"/>
                <w:right w:val="nil"/>
                <w:between w:val="nil"/>
              </w:pBdr>
              <w:spacing w:before="0"/>
              <w:jc w:val="right"/>
              <w:rPr>
                <w:color w:val="595959"/>
                <w:sz w:val="22"/>
                <w:szCs w:val="22"/>
              </w:rPr>
            </w:pPr>
            <w:r>
              <w:rPr>
                <w:color w:val="595959"/>
                <w:sz w:val="22"/>
                <w:szCs w:val="22"/>
              </w:rPr>
              <w:t>4</w:t>
            </w:r>
          </w:p>
        </w:tc>
        <w:tc>
          <w:tcPr>
            <w:tcW w:w="921" w:type="dxa"/>
            <w:tcBorders>
              <w:top w:val="single" w:sz="6" w:space="0" w:color="BFBFBF"/>
              <w:bottom w:val="nil"/>
            </w:tcBorders>
            <w:shd w:val="clear" w:color="auto" w:fill="D99594"/>
          </w:tcPr>
          <w:p w:rsidR="00733C45" w:rsidRDefault="00882EC8">
            <w:pPr>
              <w:pBdr>
                <w:top w:val="nil"/>
                <w:left w:val="nil"/>
                <w:bottom w:val="nil"/>
                <w:right w:val="nil"/>
                <w:between w:val="nil"/>
              </w:pBdr>
              <w:spacing w:before="0"/>
              <w:jc w:val="right"/>
              <w:rPr>
                <w:color w:val="595959"/>
                <w:sz w:val="22"/>
                <w:szCs w:val="22"/>
              </w:rPr>
            </w:pPr>
            <w:r>
              <w:rPr>
                <w:color w:val="595959"/>
                <w:sz w:val="22"/>
                <w:szCs w:val="22"/>
              </w:rPr>
              <w:t xml:space="preserve">  5       </w:t>
            </w:r>
            <w:r>
              <w:rPr>
                <w:i/>
                <w:color w:val="595959"/>
                <w:sz w:val="22"/>
                <w:szCs w:val="22"/>
              </w:rPr>
              <w:t xml:space="preserve">Des. </w:t>
            </w:r>
            <w:proofErr w:type="spellStart"/>
            <w:r>
              <w:rPr>
                <w:i/>
                <w:color w:val="595959"/>
                <w:sz w:val="22"/>
                <w:szCs w:val="22"/>
              </w:rPr>
              <w:t>Oblig</w:t>
            </w:r>
            <w:proofErr w:type="spellEnd"/>
          </w:p>
        </w:tc>
        <w:tc>
          <w:tcPr>
            <w:tcW w:w="937" w:type="dxa"/>
            <w:tcBorders>
              <w:top w:val="single" w:sz="6" w:space="0" w:color="BFBFBF"/>
              <w:bottom w:val="nil"/>
            </w:tcBorders>
            <w:shd w:val="clear" w:color="auto" w:fill="D99594"/>
          </w:tcPr>
          <w:p w:rsidR="00733C45" w:rsidRDefault="00882EC8">
            <w:pPr>
              <w:pBdr>
                <w:top w:val="nil"/>
                <w:left w:val="nil"/>
                <w:bottom w:val="nil"/>
                <w:right w:val="nil"/>
                <w:between w:val="nil"/>
              </w:pBdr>
              <w:spacing w:before="0"/>
              <w:jc w:val="right"/>
              <w:rPr>
                <w:color w:val="595959"/>
                <w:sz w:val="22"/>
                <w:szCs w:val="22"/>
              </w:rPr>
            </w:pPr>
            <w:r>
              <w:rPr>
                <w:color w:val="595959"/>
                <w:sz w:val="22"/>
                <w:szCs w:val="22"/>
              </w:rPr>
              <w:t xml:space="preserve">   6        </w:t>
            </w:r>
            <w:r>
              <w:rPr>
                <w:i/>
                <w:color w:val="595959"/>
                <w:sz w:val="22"/>
                <w:szCs w:val="22"/>
              </w:rPr>
              <w:t xml:space="preserve">Des. </w:t>
            </w:r>
            <w:proofErr w:type="spellStart"/>
            <w:r>
              <w:rPr>
                <w:i/>
                <w:color w:val="595959"/>
                <w:sz w:val="22"/>
                <w:szCs w:val="22"/>
              </w:rPr>
              <w:t>Oblig</w:t>
            </w:r>
            <w:proofErr w:type="spellEnd"/>
          </w:p>
        </w:tc>
        <w:tc>
          <w:tcPr>
            <w:tcW w:w="937" w:type="dxa"/>
            <w:tcBorders>
              <w:top w:val="single" w:sz="6" w:space="0" w:color="BFBFBF"/>
              <w:bottom w:val="nil"/>
            </w:tcBorders>
          </w:tcPr>
          <w:p w:rsidR="00733C45" w:rsidRDefault="00882EC8">
            <w:pPr>
              <w:pBdr>
                <w:top w:val="nil"/>
                <w:left w:val="nil"/>
                <w:bottom w:val="nil"/>
                <w:right w:val="nil"/>
                <w:between w:val="nil"/>
              </w:pBdr>
              <w:spacing w:before="0"/>
              <w:jc w:val="right"/>
              <w:rPr>
                <w:color w:val="595959"/>
                <w:sz w:val="22"/>
                <w:szCs w:val="22"/>
              </w:rPr>
            </w:pPr>
            <w:r>
              <w:rPr>
                <w:color w:val="595959"/>
                <w:sz w:val="22"/>
                <w:szCs w:val="22"/>
              </w:rPr>
              <w:t>7</w:t>
            </w:r>
          </w:p>
        </w:tc>
        <w:tc>
          <w:tcPr>
            <w:tcW w:w="937" w:type="dxa"/>
            <w:tcBorders>
              <w:top w:val="single" w:sz="6" w:space="0" w:color="BFBFBF"/>
              <w:bottom w:val="nil"/>
            </w:tcBorders>
          </w:tcPr>
          <w:p w:rsidR="00733C45" w:rsidRDefault="00882EC8">
            <w:pPr>
              <w:pBdr>
                <w:top w:val="nil"/>
                <w:left w:val="nil"/>
                <w:bottom w:val="nil"/>
                <w:right w:val="nil"/>
                <w:between w:val="nil"/>
              </w:pBdr>
              <w:spacing w:before="0"/>
              <w:jc w:val="right"/>
              <w:rPr>
                <w:color w:val="595959"/>
                <w:sz w:val="22"/>
                <w:szCs w:val="22"/>
              </w:rPr>
            </w:pPr>
            <w:r>
              <w:rPr>
                <w:color w:val="595959"/>
                <w:sz w:val="22"/>
                <w:szCs w:val="22"/>
              </w:rPr>
              <w:t>8</w:t>
            </w:r>
          </w:p>
        </w:tc>
      </w:tr>
      <w:tr w:rsidR="00733C45" w:rsidTr="00733C45">
        <w:trPr>
          <w:trHeight w:val="256"/>
        </w:trPr>
        <w:tc>
          <w:tcPr>
            <w:tcW w:w="937" w:type="dxa"/>
            <w:tcBorders>
              <w:top w:val="single" w:sz="6" w:space="0" w:color="BFBFBF"/>
              <w:bottom w:val="nil"/>
            </w:tcBorders>
            <w:shd w:val="clear" w:color="auto" w:fill="DDD9C4"/>
          </w:tcPr>
          <w:p w:rsidR="00733C45" w:rsidRDefault="00882EC8">
            <w:pPr>
              <w:pBdr>
                <w:top w:val="nil"/>
                <w:left w:val="nil"/>
                <w:bottom w:val="nil"/>
                <w:right w:val="nil"/>
                <w:between w:val="nil"/>
              </w:pBdr>
              <w:spacing w:before="0"/>
              <w:jc w:val="right"/>
              <w:rPr>
                <w:color w:val="595959"/>
                <w:sz w:val="22"/>
                <w:szCs w:val="22"/>
              </w:rPr>
            </w:pPr>
            <w:r>
              <w:rPr>
                <w:color w:val="595959"/>
                <w:sz w:val="22"/>
                <w:szCs w:val="22"/>
              </w:rPr>
              <w:t>9</w:t>
            </w:r>
          </w:p>
        </w:tc>
        <w:tc>
          <w:tcPr>
            <w:tcW w:w="898" w:type="dxa"/>
            <w:tcBorders>
              <w:top w:val="single" w:sz="6" w:space="0" w:color="BFBFBF"/>
              <w:bottom w:val="nil"/>
            </w:tcBorders>
            <w:shd w:val="clear" w:color="auto" w:fill="D99594"/>
          </w:tcPr>
          <w:p w:rsidR="00733C45" w:rsidRDefault="00882EC8">
            <w:pPr>
              <w:pBdr>
                <w:top w:val="nil"/>
                <w:left w:val="nil"/>
                <w:bottom w:val="nil"/>
                <w:right w:val="nil"/>
                <w:between w:val="nil"/>
              </w:pBdr>
              <w:spacing w:before="0"/>
              <w:jc w:val="right"/>
              <w:rPr>
                <w:color w:val="595959"/>
                <w:sz w:val="22"/>
                <w:szCs w:val="22"/>
              </w:rPr>
            </w:pPr>
            <w:r>
              <w:rPr>
                <w:color w:val="595959"/>
                <w:sz w:val="22"/>
                <w:szCs w:val="22"/>
              </w:rPr>
              <w:t xml:space="preserve"> 10       </w:t>
            </w:r>
            <w:r>
              <w:rPr>
                <w:i/>
                <w:color w:val="595959"/>
                <w:sz w:val="22"/>
                <w:szCs w:val="22"/>
              </w:rPr>
              <w:t xml:space="preserve">Des. </w:t>
            </w:r>
            <w:proofErr w:type="spellStart"/>
            <w:r>
              <w:rPr>
                <w:i/>
                <w:color w:val="595959"/>
                <w:sz w:val="22"/>
                <w:szCs w:val="22"/>
              </w:rPr>
              <w:t>Oblig</w:t>
            </w:r>
            <w:proofErr w:type="spellEnd"/>
          </w:p>
        </w:tc>
        <w:tc>
          <w:tcPr>
            <w:tcW w:w="992" w:type="dxa"/>
            <w:tcBorders>
              <w:top w:val="single" w:sz="6" w:space="0" w:color="BFBFBF"/>
              <w:bottom w:val="nil"/>
            </w:tcBorders>
            <w:shd w:val="clear" w:color="auto" w:fill="DDD9C4"/>
          </w:tcPr>
          <w:p w:rsidR="00733C45" w:rsidRDefault="00882EC8">
            <w:pPr>
              <w:pBdr>
                <w:top w:val="nil"/>
                <w:left w:val="nil"/>
                <w:bottom w:val="nil"/>
                <w:right w:val="nil"/>
                <w:between w:val="nil"/>
              </w:pBdr>
              <w:spacing w:before="0"/>
              <w:jc w:val="right"/>
              <w:rPr>
                <w:color w:val="595959"/>
                <w:sz w:val="22"/>
                <w:szCs w:val="22"/>
              </w:rPr>
            </w:pPr>
            <w:r>
              <w:rPr>
                <w:color w:val="595959"/>
                <w:sz w:val="22"/>
                <w:szCs w:val="22"/>
              </w:rPr>
              <w:t>11</w:t>
            </w:r>
          </w:p>
        </w:tc>
        <w:tc>
          <w:tcPr>
            <w:tcW w:w="921" w:type="dxa"/>
            <w:tcBorders>
              <w:top w:val="single" w:sz="6" w:space="0" w:color="BFBFBF"/>
              <w:bottom w:val="nil"/>
            </w:tcBorders>
            <w:shd w:val="clear" w:color="auto" w:fill="DDD9C4"/>
          </w:tcPr>
          <w:p w:rsidR="00733C45" w:rsidRDefault="00882EC8">
            <w:pPr>
              <w:pBdr>
                <w:top w:val="nil"/>
                <w:left w:val="nil"/>
                <w:bottom w:val="nil"/>
                <w:right w:val="nil"/>
                <w:between w:val="nil"/>
              </w:pBdr>
              <w:spacing w:before="0"/>
              <w:jc w:val="right"/>
              <w:rPr>
                <w:color w:val="595959"/>
                <w:sz w:val="22"/>
                <w:szCs w:val="22"/>
              </w:rPr>
            </w:pPr>
            <w:r>
              <w:rPr>
                <w:color w:val="595959"/>
                <w:sz w:val="22"/>
                <w:szCs w:val="22"/>
              </w:rPr>
              <w:t>12</w:t>
            </w:r>
          </w:p>
        </w:tc>
        <w:tc>
          <w:tcPr>
            <w:tcW w:w="937" w:type="dxa"/>
            <w:tcBorders>
              <w:top w:val="single" w:sz="6" w:space="0" w:color="BFBFBF"/>
              <w:bottom w:val="nil"/>
            </w:tcBorders>
            <w:shd w:val="clear" w:color="auto" w:fill="DDD9C4"/>
          </w:tcPr>
          <w:p w:rsidR="00733C45" w:rsidRDefault="00882EC8">
            <w:pPr>
              <w:pBdr>
                <w:top w:val="nil"/>
                <w:left w:val="nil"/>
                <w:bottom w:val="nil"/>
                <w:right w:val="nil"/>
                <w:between w:val="nil"/>
              </w:pBdr>
              <w:spacing w:before="0"/>
              <w:jc w:val="right"/>
              <w:rPr>
                <w:color w:val="595959"/>
                <w:sz w:val="22"/>
                <w:szCs w:val="22"/>
              </w:rPr>
            </w:pPr>
            <w:r>
              <w:rPr>
                <w:color w:val="595959"/>
                <w:sz w:val="22"/>
                <w:szCs w:val="22"/>
              </w:rPr>
              <w:t>13</w:t>
            </w:r>
          </w:p>
        </w:tc>
        <w:tc>
          <w:tcPr>
            <w:tcW w:w="937" w:type="dxa"/>
            <w:tcBorders>
              <w:top w:val="single" w:sz="6" w:space="0" w:color="BFBFBF"/>
              <w:bottom w:val="nil"/>
            </w:tcBorders>
          </w:tcPr>
          <w:p w:rsidR="00733C45" w:rsidRDefault="00882EC8">
            <w:pPr>
              <w:pBdr>
                <w:top w:val="nil"/>
                <w:left w:val="nil"/>
                <w:bottom w:val="nil"/>
                <w:right w:val="nil"/>
                <w:between w:val="nil"/>
              </w:pBdr>
              <w:spacing w:before="0"/>
              <w:jc w:val="right"/>
              <w:rPr>
                <w:color w:val="595959"/>
                <w:sz w:val="22"/>
                <w:szCs w:val="22"/>
              </w:rPr>
            </w:pPr>
            <w:r>
              <w:rPr>
                <w:color w:val="595959"/>
                <w:sz w:val="22"/>
                <w:szCs w:val="22"/>
              </w:rPr>
              <w:t>14</w:t>
            </w:r>
          </w:p>
        </w:tc>
        <w:tc>
          <w:tcPr>
            <w:tcW w:w="937" w:type="dxa"/>
            <w:tcBorders>
              <w:top w:val="single" w:sz="6" w:space="0" w:color="BFBFBF"/>
              <w:bottom w:val="nil"/>
            </w:tcBorders>
          </w:tcPr>
          <w:p w:rsidR="00733C45" w:rsidRDefault="00882EC8">
            <w:pPr>
              <w:pBdr>
                <w:top w:val="nil"/>
                <w:left w:val="nil"/>
                <w:bottom w:val="nil"/>
                <w:right w:val="nil"/>
                <w:between w:val="nil"/>
              </w:pBdr>
              <w:spacing w:before="0"/>
              <w:jc w:val="right"/>
              <w:rPr>
                <w:color w:val="595959"/>
                <w:sz w:val="22"/>
                <w:szCs w:val="22"/>
              </w:rPr>
            </w:pPr>
            <w:r>
              <w:rPr>
                <w:color w:val="595959"/>
                <w:sz w:val="22"/>
                <w:szCs w:val="22"/>
              </w:rPr>
              <w:t>15</w:t>
            </w:r>
          </w:p>
        </w:tc>
      </w:tr>
      <w:tr w:rsidR="00733C45" w:rsidTr="00733C45">
        <w:trPr>
          <w:trHeight w:val="256"/>
        </w:trPr>
        <w:tc>
          <w:tcPr>
            <w:tcW w:w="937" w:type="dxa"/>
            <w:tcBorders>
              <w:top w:val="single" w:sz="6" w:space="0" w:color="BFBFBF"/>
              <w:bottom w:val="nil"/>
            </w:tcBorders>
            <w:shd w:val="clear" w:color="auto" w:fill="DDD9C4"/>
          </w:tcPr>
          <w:p w:rsidR="00733C45" w:rsidRDefault="00882EC8">
            <w:pPr>
              <w:pBdr>
                <w:top w:val="nil"/>
                <w:left w:val="nil"/>
                <w:bottom w:val="nil"/>
                <w:right w:val="nil"/>
                <w:between w:val="nil"/>
              </w:pBdr>
              <w:spacing w:before="0"/>
              <w:jc w:val="right"/>
              <w:rPr>
                <w:color w:val="595959"/>
                <w:sz w:val="22"/>
                <w:szCs w:val="22"/>
              </w:rPr>
            </w:pPr>
            <w:r>
              <w:rPr>
                <w:color w:val="595959"/>
                <w:sz w:val="22"/>
                <w:szCs w:val="22"/>
              </w:rPr>
              <w:t>16</w:t>
            </w:r>
          </w:p>
        </w:tc>
        <w:tc>
          <w:tcPr>
            <w:tcW w:w="898" w:type="dxa"/>
            <w:tcBorders>
              <w:top w:val="single" w:sz="6" w:space="0" w:color="BFBFBF"/>
              <w:bottom w:val="nil"/>
            </w:tcBorders>
            <w:shd w:val="clear" w:color="auto" w:fill="8DB3E2"/>
          </w:tcPr>
          <w:p w:rsidR="00733C45" w:rsidRDefault="00882EC8">
            <w:pPr>
              <w:pBdr>
                <w:top w:val="nil"/>
                <w:left w:val="nil"/>
                <w:bottom w:val="nil"/>
                <w:right w:val="nil"/>
                <w:between w:val="nil"/>
              </w:pBdr>
              <w:spacing w:before="0"/>
              <w:jc w:val="right"/>
              <w:rPr>
                <w:b/>
                <w:color w:val="595959"/>
                <w:sz w:val="22"/>
                <w:szCs w:val="22"/>
              </w:rPr>
            </w:pPr>
            <w:r>
              <w:rPr>
                <w:b/>
                <w:color w:val="595959"/>
                <w:sz w:val="22"/>
                <w:szCs w:val="22"/>
              </w:rPr>
              <w:t>17</w:t>
            </w:r>
            <w:r>
              <w:rPr>
                <w:color w:val="595959"/>
                <w:sz w:val="22"/>
                <w:szCs w:val="22"/>
              </w:rPr>
              <w:t xml:space="preserve"> </w:t>
            </w:r>
            <w:r>
              <w:rPr>
                <w:b/>
                <w:color w:val="595959"/>
                <w:sz w:val="22"/>
                <w:szCs w:val="22"/>
              </w:rPr>
              <w:t>termina plazo</w:t>
            </w:r>
          </w:p>
        </w:tc>
        <w:tc>
          <w:tcPr>
            <w:tcW w:w="992" w:type="dxa"/>
            <w:tcBorders>
              <w:top w:val="single" w:sz="6" w:space="0" w:color="BFBFBF"/>
              <w:bottom w:val="nil"/>
            </w:tcBorders>
          </w:tcPr>
          <w:p w:rsidR="00733C45" w:rsidRDefault="00882EC8">
            <w:pPr>
              <w:pBdr>
                <w:top w:val="nil"/>
                <w:left w:val="nil"/>
                <w:bottom w:val="nil"/>
                <w:right w:val="nil"/>
                <w:between w:val="nil"/>
              </w:pBdr>
              <w:spacing w:before="0"/>
              <w:jc w:val="right"/>
              <w:rPr>
                <w:color w:val="595959"/>
                <w:sz w:val="22"/>
                <w:szCs w:val="22"/>
              </w:rPr>
            </w:pPr>
            <w:r>
              <w:rPr>
                <w:color w:val="595959"/>
                <w:sz w:val="22"/>
                <w:szCs w:val="22"/>
              </w:rPr>
              <w:t>18</w:t>
            </w:r>
          </w:p>
        </w:tc>
        <w:tc>
          <w:tcPr>
            <w:tcW w:w="921" w:type="dxa"/>
            <w:tcBorders>
              <w:top w:val="single" w:sz="6" w:space="0" w:color="BFBFBF"/>
              <w:bottom w:val="nil"/>
            </w:tcBorders>
          </w:tcPr>
          <w:p w:rsidR="00733C45" w:rsidRDefault="00882EC8">
            <w:pPr>
              <w:pBdr>
                <w:top w:val="nil"/>
                <w:left w:val="nil"/>
                <w:bottom w:val="nil"/>
                <w:right w:val="nil"/>
                <w:between w:val="nil"/>
              </w:pBdr>
              <w:spacing w:before="0"/>
              <w:jc w:val="right"/>
              <w:rPr>
                <w:color w:val="595959"/>
                <w:sz w:val="22"/>
                <w:szCs w:val="22"/>
              </w:rPr>
            </w:pPr>
            <w:r>
              <w:rPr>
                <w:color w:val="595959"/>
                <w:sz w:val="22"/>
                <w:szCs w:val="22"/>
              </w:rPr>
              <w:t>19</w:t>
            </w:r>
          </w:p>
        </w:tc>
        <w:tc>
          <w:tcPr>
            <w:tcW w:w="937" w:type="dxa"/>
            <w:tcBorders>
              <w:top w:val="single" w:sz="6" w:space="0" w:color="BFBFBF"/>
              <w:bottom w:val="nil"/>
            </w:tcBorders>
          </w:tcPr>
          <w:p w:rsidR="00733C45" w:rsidRDefault="00882EC8">
            <w:pPr>
              <w:pBdr>
                <w:top w:val="nil"/>
                <w:left w:val="nil"/>
                <w:bottom w:val="nil"/>
                <w:right w:val="nil"/>
                <w:between w:val="nil"/>
              </w:pBdr>
              <w:spacing w:before="0"/>
              <w:jc w:val="right"/>
              <w:rPr>
                <w:color w:val="595959"/>
                <w:sz w:val="22"/>
                <w:szCs w:val="22"/>
              </w:rPr>
            </w:pPr>
            <w:r>
              <w:rPr>
                <w:color w:val="595959"/>
                <w:sz w:val="22"/>
                <w:szCs w:val="22"/>
              </w:rPr>
              <w:t>20</w:t>
            </w:r>
          </w:p>
        </w:tc>
        <w:tc>
          <w:tcPr>
            <w:tcW w:w="937" w:type="dxa"/>
            <w:tcBorders>
              <w:top w:val="single" w:sz="6" w:space="0" w:color="BFBFBF"/>
              <w:bottom w:val="nil"/>
            </w:tcBorders>
          </w:tcPr>
          <w:p w:rsidR="00733C45" w:rsidRDefault="00882EC8">
            <w:pPr>
              <w:pBdr>
                <w:top w:val="nil"/>
                <w:left w:val="nil"/>
                <w:bottom w:val="nil"/>
                <w:right w:val="nil"/>
                <w:between w:val="nil"/>
              </w:pBdr>
              <w:spacing w:before="0"/>
              <w:jc w:val="right"/>
              <w:rPr>
                <w:color w:val="595959"/>
                <w:sz w:val="22"/>
                <w:szCs w:val="22"/>
              </w:rPr>
            </w:pPr>
            <w:r>
              <w:rPr>
                <w:color w:val="595959"/>
                <w:sz w:val="22"/>
                <w:szCs w:val="22"/>
              </w:rPr>
              <w:t>21</w:t>
            </w:r>
          </w:p>
        </w:tc>
        <w:tc>
          <w:tcPr>
            <w:tcW w:w="937" w:type="dxa"/>
            <w:tcBorders>
              <w:top w:val="single" w:sz="6" w:space="0" w:color="BFBFBF"/>
              <w:bottom w:val="nil"/>
            </w:tcBorders>
          </w:tcPr>
          <w:p w:rsidR="00733C45" w:rsidRDefault="00882EC8">
            <w:pPr>
              <w:pBdr>
                <w:top w:val="nil"/>
                <w:left w:val="nil"/>
                <w:bottom w:val="nil"/>
                <w:right w:val="nil"/>
                <w:between w:val="nil"/>
              </w:pBdr>
              <w:spacing w:before="0"/>
              <w:jc w:val="right"/>
              <w:rPr>
                <w:color w:val="595959"/>
                <w:sz w:val="22"/>
                <w:szCs w:val="22"/>
              </w:rPr>
            </w:pPr>
            <w:r>
              <w:rPr>
                <w:color w:val="595959"/>
                <w:sz w:val="22"/>
                <w:szCs w:val="22"/>
              </w:rPr>
              <w:t>22</w:t>
            </w:r>
          </w:p>
        </w:tc>
      </w:tr>
      <w:tr w:rsidR="00733C45" w:rsidTr="00733C45">
        <w:trPr>
          <w:trHeight w:val="242"/>
        </w:trPr>
        <w:tc>
          <w:tcPr>
            <w:tcW w:w="937" w:type="dxa"/>
            <w:tcBorders>
              <w:top w:val="single" w:sz="6" w:space="0" w:color="BFBFBF"/>
              <w:bottom w:val="nil"/>
            </w:tcBorders>
          </w:tcPr>
          <w:p w:rsidR="00733C45" w:rsidRDefault="00882EC8">
            <w:pPr>
              <w:pBdr>
                <w:top w:val="nil"/>
                <w:left w:val="nil"/>
                <w:bottom w:val="nil"/>
                <w:right w:val="nil"/>
                <w:between w:val="nil"/>
              </w:pBdr>
              <w:spacing w:before="0"/>
              <w:jc w:val="right"/>
              <w:rPr>
                <w:color w:val="595959"/>
                <w:sz w:val="22"/>
                <w:szCs w:val="22"/>
              </w:rPr>
            </w:pPr>
            <w:r>
              <w:rPr>
                <w:color w:val="595959"/>
                <w:sz w:val="22"/>
                <w:szCs w:val="22"/>
              </w:rPr>
              <w:t>23</w:t>
            </w:r>
          </w:p>
        </w:tc>
        <w:tc>
          <w:tcPr>
            <w:tcW w:w="898" w:type="dxa"/>
            <w:tcBorders>
              <w:top w:val="single" w:sz="6" w:space="0" w:color="BFBFBF"/>
              <w:bottom w:val="nil"/>
            </w:tcBorders>
          </w:tcPr>
          <w:p w:rsidR="00733C45" w:rsidRDefault="00882EC8">
            <w:pPr>
              <w:pBdr>
                <w:top w:val="nil"/>
                <w:left w:val="nil"/>
                <w:bottom w:val="nil"/>
                <w:right w:val="nil"/>
                <w:between w:val="nil"/>
              </w:pBdr>
              <w:spacing w:before="0"/>
              <w:jc w:val="right"/>
              <w:rPr>
                <w:color w:val="595959"/>
                <w:sz w:val="22"/>
                <w:szCs w:val="22"/>
              </w:rPr>
            </w:pPr>
            <w:r>
              <w:rPr>
                <w:color w:val="595959"/>
                <w:sz w:val="22"/>
                <w:szCs w:val="22"/>
              </w:rPr>
              <w:t>24</w:t>
            </w:r>
          </w:p>
        </w:tc>
        <w:tc>
          <w:tcPr>
            <w:tcW w:w="992" w:type="dxa"/>
            <w:tcBorders>
              <w:top w:val="single" w:sz="6" w:space="0" w:color="BFBFBF"/>
              <w:bottom w:val="nil"/>
            </w:tcBorders>
          </w:tcPr>
          <w:p w:rsidR="00733C45" w:rsidRDefault="00882EC8">
            <w:pPr>
              <w:pBdr>
                <w:top w:val="nil"/>
                <w:left w:val="nil"/>
                <w:bottom w:val="nil"/>
                <w:right w:val="nil"/>
                <w:between w:val="nil"/>
              </w:pBdr>
              <w:spacing w:before="0"/>
              <w:jc w:val="right"/>
              <w:rPr>
                <w:color w:val="595959"/>
                <w:sz w:val="22"/>
                <w:szCs w:val="22"/>
              </w:rPr>
            </w:pPr>
            <w:r>
              <w:rPr>
                <w:color w:val="595959"/>
                <w:sz w:val="22"/>
                <w:szCs w:val="22"/>
              </w:rPr>
              <w:t>25</w:t>
            </w:r>
          </w:p>
        </w:tc>
        <w:tc>
          <w:tcPr>
            <w:tcW w:w="921" w:type="dxa"/>
            <w:tcBorders>
              <w:top w:val="single" w:sz="6" w:space="0" w:color="BFBFBF"/>
              <w:bottom w:val="nil"/>
            </w:tcBorders>
          </w:tcPr>
          <w:p w:rsidR="00733C45" w:rsidRDefault="00882EC8">
            <w:pPr>
              <w:pBdr>
                <w:top w:val="nil"/>
                <w:left w:val="nil"/>
                <w:bottom w:val="nil"/>
                <w:right w:val="nil"/>
                <w:between w:val="nil"/>
              </w:pBdr>
              <w:spacing w:before="0"/>
              <w:jc w:val="right"/>
              <w:rPr>
                <w:color w:val="595959"/>
                <w:sz w:val="22"/>
                <w:szCs w:val="22"/>
              </w:rPr>
            </w:pPr>
            <w:r>
              <w:rPr>
                <w:color w:val="595959"/>
                <w:sz w:val="22"/>
                <w:szCs w:val="22"/>
              </w:rPr>
              <w:t>26</w:t>
            </w:r>
          </w:p>
        </w:tc>
        <w:tc>
          <w:tcPr>
            <w:tcW w:w="937" w:type="dxa"/>
            <w:tcBorders>
              <w:top w:val="single" w:sz="6" w:space="0" w:color="BFBFBF"/>
              <w:bottom w:val="nil"/>
            </w:tcBorders>
          </w:tcPr>
          <w:p w:rsidR="00733C45" w:rsidRDefault="00882EC8">
            <w:pPr>
              <w:pBdr>
                <w:top w:val="nil"/>
                <w:left w:val="nil"/>
                <w:bottom w:val="nil"/>
                <w:right w:val="nil"/>
                <w:between w:val="nil"/>
              </w:pBdr>
              <w:spacing w:before="0"/>
              <w:jc w:val="right"/>
              <w:rPr>
                <w:color w:val="595959"/>
                <w:sz w:val="22"/>
                <w:szCs w:val="22"/>
              </w:rPr>
            </w:pPr>
            <w:r>
              <w:rPr>
                <w:color w:val="595959"/>
                <w:sz w:val="22"/>
                <w:szCs w:val="22"/>
              </w:rPr>
              <w:t>27</w:t>
            </w:r>
          </w:p>
        </w:tc>
        <w:tc>
          <w:tcPr>
            <w:tcW w:w="937" w:type="dxa"/>
            <w:tcBorders>
              <w:top w:val="single" w:sz="6" w:space="0" w:color="BFBFBF"/>
              <w:bottom w:val="nil"/>
            </w:tcBorders>
          </w:tcPr>
          <w:p w:rsidR="00733C45" w:rsidRDefault="00882EC8">
            <w:pPr>
              <w:pBdr>
                <w:top w:val="nil"/>
                <w:left w:val="nil"/>
                <w:bottom w:val="nil"/>
                <w:right w:val="nil"/>
                <w:between w:val="nil"/>
              </w:pBdr>
              <w:spacing w:before="0"/>
              <w:jc w:val="right"/>
              <w:rPr>
                <w:color w:val="595959"/>
                <w:sz w:val="22"/>
                <w:szCs w:val="22"/>
              </w:rPr>
            </w:pPr>
            <w:r>
              <w:rPr>
                <w:color w:val="595959"/>
                <w:sz w:val="22"/>
                <w:szCs w:val="22"/>
              </w:rPr>
              <w:t>28</w:t>
            </w:r>
          </w:p>
        </w:tc>
        <w:tc>
          <w:tcPr>
            <w:tcW w:w="937" w:type="dxa"/>
            <w:tcBorders>
              <w:top w:val="single" w:sz="6" w:space="0" w:color="BFBFBF"/>
              <w:bottom w:val="nil"/>
            </w:tcBorders>
          </w:tcPr>
          <w:p w:rsidR="00733C45" w:rsidRDefault="00882EC8">
            <w:pPr>
              <w:pBdr>
                <w:top w:val="nil"/>
                <w:left w:val="nil"/>
                <w:bottom w:val="nil"/>
                <w:right w:val="nil"/>
                <w:between w:val="nil"/>
              </w:pBdr>
              <w:spacing w:before="0"/>
              <w:jc w:val="right"/>
              <w:rPr>
                <w:color w:val="595959"/>
                <w:sz w:val="22"/>
                <w:szCs w:val="22"/>
              </w:rPr>
            </w:pPr>
            <w:r>
              <w:rPr>
                <w:color w:val="595959"/>
                <w:sz w:val="22"/>
                <w:szCs w:val="22"/>
              </w:rPr>
              <w:t>29</w:t>
            </w:r>
          </w:p>
        </w:tc>
      </w:tr>
      <w:tr w:rsidR="00733C45" w:rsidTr="00733C45">
        <w:trPr>
          <w:trHeight w:val="271"/>
        </w:trPr>
        <w:tc>
          <w:tcPr>
            <w:tcW w:w="937" w:type="dxa"/>
            <w:tcBorders>
              <w:top w:val="single" w:sz="6" w:space="0" w:color="BFBFBF"/>
            </w:tcBorders>
          </w:tcPr>
          <w:p w:rsidR="00733C45" w:rsidRDefault="00882EC8">
            <w:pPr>
              <w:pBdr>
                <w:top w:val="nil"/>
                <w:left w:val="nil"/>
                <w:bottom w:val="nil"/>
                <w:right w:val="nil"/>
                <w:between w:val="nil"/>
              </w:pBdr>
              <w:spacing w:before="0"/>
              <w:jc w:val="right"/>
              <w:rPr>
                <w:color w:val="595959"/>
                <w:sz w:val="22"/>
                <w:szCs w:val="22"/>
              </w:rPr>
            </w:pPr>
            <w:r>
              <w:rPr>
                <w:color w:val="595959"/>
                <w:sz w:val="22"/>
                <w:szCs w:val="22"/>
              </w:rPr>
              <w:t>30</w:t>
            </w:r>
          </w:p>
        </w:tc>
        <w:tc>
          <w:tcPr>
            <w:tcW w:w="898" w:type="dxa"/>
            <w:tcBorders>
              <w:top w:val="single" w:sz="6" w:space="0" w:color="BFBFBF"/>
            </w:tcBorders>
          </w:tcPr>
          <w:p w:rsidR="00733C45" w:rsidRDefault="00882EC8">
            <w:pPr>
              <w:pBdr>
                <w:top w:val="nil"/>
                <w:left w:val="nil"/>
                <w:bottom w:val="nil"/>
                <w:right w:val="nil"/>
                <w:between w:val="nil"/>
              </w:pBdr>
              <w:spacing w:before="0"/>
              <w:jc w:val="right"/>
              <w:rPr>
                <w:color w:val="595959"/>
                <w:sz w:val="22"/>
                <w:szCs w:val="22"/>
              </w:rPr>
            </w:pPr>
            <w:r>
              <w:rPr>
                <w:color w:val="595959"/>
                <w:sz w:val="22"/>
                <w:szCs w:val="22"/>
              </w:rPr>
              <w:t>31</w:t>
            </w:r>
          </w:p>
        </w:tc>
        <w:tc>
          <w:tcPr>
            <w:tcW w:w="992" w:type="dxa"/>
            <w:tcBorders>
              <w:top w:val="single" w:sz="6" w:space="0" w:color="BFBFBF"/>
            </w:tcBorders>
          </w:tcPr>
          <w:p w:rsidR="00733C45" w:rsidRDefault="00733C45">
            <w:pPr>
              <w:pBdr>
                <w:top w:val="nil"/>
                <w:left w:val="nil"/>
                <w:bottom w:val="nil"/>
                <w:right w:val="nil"/>
                <w:between w:val="nil"/>
              </w:pBdr>
              <w:spacing w:before="0"/>
              <w:jc w:val="right"/>
              <w:rPr>
                <w:color w:val="595959"/>
                <w:sz w:val="22"/>
                <w:szCs w:val="22"/>
              </w:rPr>
            </w:pPr>
          </w:p>
        </w:tc>
        <w:tc>
          <w:tcPr>
            <w:tcW w:w="921" w:type="dxa"/>
            <w:tcBorders>
              <w:top w:val="single" w:sz="6" w:space="0" w:color="BFBFBF"/>
            </w:tcBorders>
          </w:tcPr>
          <w:p w:rsidR="00733C45" w:rsidRDefault="00733C45">
            <w:pPr>
              <w:pBdr>
                <w:top w:val="nil"/>
                <w:left w:val="nil"/>
                <w:bottom w:val="nil"/>
                <w:right w:val="nil"/>
                <w:between w:val="nil"/>
              </w:pBdr>
              <w:spacing w:before="0"/>
              <w:jc w:val="right"/>
              <w:rPr>
                <w:color w:val="595959"/>
                <w:sz w:val="22"/>
                <w:szCs w:val="22"/>
              </w:rPr>
            </w:pPr>
          </w:p>
        </w:tc>
        <w:tc>
          <w:tcPr>
            <w:tcW w:w="937" w:type="dxa"/>
            <w:tcBorders>
              <w:top w:val="single" w:sz="6" w:space="0" w:color="BFBFBF"/>
            </w:tcBorders>
          </w:tcPr>
          <w:p w:rsidR="00733C45" w:rsidRDefault="00733C45">
            <w:pPr>
              <w:pBdr>
                <w:top w:val="nil"/>
                <w:left w:val="nil"/>
                <w:bottom w:val="nil"/>
                <w:right w:val="nil"/>
                <w:between w:val="nil"/>
              </w:pBdr>
              <w:spacing w:before="0"/>
              <w:jc w:val="right"/>
              <w:rPr>
                <w:color w:val="595959"/>
                <w:sz w:val="22"/>
                <w:szCs w:val="22"/>
              </w:rPr>
            </w:pPr>
          </w:p>
        </w:tc>
        <w:tc>
          <w:tcPr>
            <w:tcW w:w="937" w:type="dxa"/>
            <w:tcBorders>
              <w:top w:val="single" w:sz="6" w:space="0" w:color="BFBFBF"/>
            </w:tcBorders>
          </w:tcPr>
          <w:p w:rsidR="00733C45" w:rsidRDefault="00733C45">
            <w:pPr>
              <w:pBdr>
                <w:top w:val="nil"/>
                <w:left w:val="nil"/>
                <w:bottom w:val="nil"/>
                <w:right w:val="nil"/>
                <w:between w:val="nil"/>
              </w:pBdr>
              <w:spacing w:before="0"/>
              <w:jc w:val="right"/>
              <w:rPr>
                <w:color w:val="595959"/>
                <w:sz w:val="22"/>
                <w:szCs w:val="22"/>
              </w:rPr>
            </w:pPr>
          </w:p>
        </w:tc>
        <w:tc>
          <w:tcPr>
            <w:tcW w:w="937" w:type="dxa"/>
            <w:tcBorders>
              <w:top w:val="single" w:sz="6" w:space="0" w:color="BFBFBF"/>
            </w:tcBorders>
          </w:tcPr>
          <w:p w:rsidR="00733C45" w:rsidRDefault="00733C45">
            <w:pPr>
              <w:pBdr>
                <w:top w:val="nil"/>
                <w:left w:val="nil"/>
                <w:bottom w:val="nil"/>
                <w:right w:val="nil"/>
                <w:between w:val="nil"/>
              </w:pBdr>
              <w:spacing w:before="0"/>
              <w:jc w:val="right"/>
              <w:rPr>
                <w:color w:val="595959"/>
                <w:sz w:val="22"/>
                <w:szCs w:val="22"/>
              </w:rPr>
            </w:pPr>
          </w:p>
        </w:tc>
      </w:tr>
    </w:tbl>
    <w:p w:rsidR="00733C45" w:rsidRDefault="00733C45">
      <w:pPr>
        <w:pBdr>
          <w:top w:val="nil"/>
          <w:left w:val="nil"/>
          <w:bottom w:val="nil"/>
          <w:right w:val="nil"/>
          <w:between w:val="nil"/>
        </w:pBdr>
        <w:spacing w:before="0" w:after="0"/>
        <w:ind w:left="567"/>
        <w:rPr>
          <w:rFonts w:ascii="Arial" w:eastAsia="Arial" w:hAnsi="Arial" w:cs="Arial"/>
          <w:b/>
          <w:color w:val="000000"/>
          <w:sz w:val="24"/>
          <w:szCs w:val="24"/>
        </w:rPr>
      </w:pPr>
    </w:p>
    <w:p w:rsidR="00733C45" w:rsidRDefault="00882EC8">
      <w:pPr>
        <w:pBdr>
          <w:top w:val="nil"/>
          <w:left w:val="nil"/>
          <w:bottom w:val="nil"/>
          <w:right w:val="nil"/>
          <w:between w:val="nil"/>
        </w:pBdr>
        <w:spacing w:before="200" w:after="0"/>
        <w:ind w:left="567"/>
        <w:rPr>
          <w:rFonts w:ascii="Arial" w:eastAsia="Arial" w:hAnsi="Arial" w:cs="Arial"/>
          <w:b/>
          <w:color w:val="000000"/>
          <w:sz w:val="24"/>
          <w:szCs w:val="24"/>
        </w:rPr>
      </w:pPr>
      <w:r>
        <w:rPr>
          <w:rFonts w:ascii="Arial" w:eastAsia="Arial" w:hAnsi="Arial" w:cs="Arial"/>
          <w:b/>
          <w:color w:val="000000"/>
          <w:sz w:val="24"/>
          <w:szCs w:val="24"/>
        </w:rPr>
        <w:t xml:space="preserve">CUARTO. LEGITIMACIÓN Y PERSONALIDAD. </w:t>
      </w:r>
    </w:p>
    <w:p w:rsidR="00733C45" w:rsidRDefault="00882EC8">
      <w:pPr>
        <w:numPr>
          <w:ilvl w:val="0"/>
          <w:numId w:val="2"/>
        </w:numPr>
        <w:pBdr>
          <w:top w:val="nil"/>
          <w:left w:val="nil"/>
          <w:bottom w:val="nil"/>
          <w:right w:val="nil"/>
          <w:between w:val="nil"/>
        </w:pBdr>
        <w:spacing w:before="200" w:after="0"/>
        <w:ind w:left="0" w:firstLine="567"/>
        <w:rPr>
          <w:color w:val="000000"/>
          <w:sz w:val="24"/>
          <w:szCs w:val="24"/>
        </w:rPr>
      </w:pPr>
      <w:r>
        <w:rPr>
          <w:rFonts w:ascii="Arial" w:eastAsia="Arial" w:hAnsi="Arial" w:cs="Arial"/>
          <w:color w:val="000000"/>
          <w:sz w:val="24"/>
          <w:szCs w:val="24"/>
        </w:rPr>
        <w:t xml:space="preserve">El juicio de nulidad se promovió por persona legitimada para ello, en atención a que </w:t>
      </w:r>
      <w:r w:rsidR="00292436">
        <w:rPr>
          <w:rFonts w:ascii="Arial" w:eastAsia="Arial" w:hAnsi="Arial" w:cs="Arial"/>
          <w:b/>
          <w:color w:val="000000"/>
          <w:sz w:val="24"/>
          <w:szCs w:val="24"/>
        </w:rPr>
        <w:t>**********</w:t>
      </w:r>
      <w:r>
        <w:rPr>
          <w:rFonts w:ascii="Arial" w:eastAsia="Arial" w:hAnsi="Arial" w:cs="Arial"/>
          <w:b/>
          <w:color w:val="000000"/>
          <w:sz w:val="24"/>
          <w:szCs w:val="24"/>
        </w:rPr>
        <w:t xml:space="preserve">, </w:t>
      </w:r>
      <w:r>
        <w:rPr>
          <w:rFonts w:ascii="Arial" w:eastAsia="Arial" w:hAnsi="Arial" w:cs="Arial"/>
          <w:color w:val="000000"/>
          <w:sz w:val="24"/>
          <w:szCs w:val="24"/>
        </w:rPr>
        <w:t>es</w:t>
      </w:r>
      <w:r>
        <w:rPr>
          <w:rFonts w:ascii="Arial" w:eastAsia="Arial" w:hAnsi="Arial" w:cs="Arial"/>
          <w:b/>
          <w:color w:val="000000"/>
          <w:sz w:val="24"/>
          <w:szCs w:val="24"/>
        </w:rPr>
        <w:t xml:space="preserve"> </w:t>
      </w:r>
      <w:r>
        <w:rPr>
          <w:rFonts w:ascii="Arial" w:eastAsia="Arial" w:hAnsi="Arial" w:cs="Arial"/>
          <w:color w:val="000000"/>
          <w:sz w:val="24"/>
          <w:szCs w:val="24"/>
        </w:rPr>
        <w:t>titular del derecho que se dice violado por la autoridad con la emisión del acto administrativo, en términos de lo previsto en el artículo 164</w:t>
      </w:r>
      <w:r>
        <w:rPr>
          <w:rFonts w:ascii="Arial" w:eastAsia="Arial" w:hAnsi="Arial" w:cs="Arial"/>
          <w:color w:val="000000"/>
          <w:sz w:val="24"/>
          <w:szCs w:val="24"/>
          <w:vertAlign w:val="superscript"/>
        </w:rPr>
        <w:footnoteReference w:id="3"/>
      </w:r>
      <w:r>
        <w:rPr>
          <w:rFonts w:ascii="Arial" w:eastAsia="Arial" w:hAnsi="Arial" w:cs="Arial"/>
          <w:color w:val="000000"/>
          <w:sz w:val="24"/>
          <w:szCs w:val="24"/>
        </w:rPr>
        <w:t xml:space="preserve"> de la </w:t>
      </w:r>
      <w:r>
        <w:rPr>
          <w:rFonts w:ascii="Arial" w:eastAsia="Arial" w:hAnsi="Arial" w:cs="Arial"/>
          <w:i/>
          <w:color w:val="000000"/>
          <w:sz w:val="24"/>
          <w:szCs w:val="24"/>
        </w:rPr>
        <w:t>Ley de Procedimiento</w:t>
      </w:r>
      <w:r>
        <w:rPr>
          <w:rFonts w:ascii="Arial" w:eastAsia="Arial" w:hAnsi="Arial" w:cs="Arial"/>
          <w:color w:val="000000"/>
          <w:sz w:val="24"/>
          <w:szCs w:val="24"/>
        </w:rPr>
        <w:t>.</w:t>
      </w:r>
    </w:p>
    <w:p w:rsidR="00733C45" w:rsidRDefault="00882EC8">
      <w:pPr>
        <w:numPr>
          <w:ilvl w:val="0"/>
          <w:numId w:val="2"/>
        </w:numPr>
        <w:pBdr>
          <w:top w:val="nil"/>
          <w:left w:val="nil"/>
          <w:bottom w:val="nil"/>
          <w:right w:val="nil"/>
          <w:between w:val="nil"/>
        </w:pBdr>
        <w:spacing w:before="200" w:after="0"/>
        <w:ind w:left="0" w:firstLine="567"/>
        <w:rPr>
          <w:color w:val="000000"/>
          <w:sz w:val="24"/>
          <w:szCs w:val="24"/>
        </w:rPr>
      </w:pPr>
      <w:r>
        <w:rPr>
          <w:rFonts w:ascii="Arial" w:eastAsia="Arial" w:hAnsi="Arial" w:cs="Arial"/>
          <w:color w:val="000000"/>
          <w:sz w:val="24"/>
          <w:szCs w:val="24"/>
        </w:rPr>
        <w:t>La personalidad de las partes quedó acreditada en autos, en términos de los artículo</w:t>
      </w:r>
      <w:r>
        <w:rPr>
          <w:rFonts w:ascii="Arial" w:eastAsia="Arial" w:hAnsi="Arial" w:cs="Arial"/>
          <w:color w:val="000000"/>
          <w:sz w:val="24"/>
          <w:szCs w:val="24"/>
        </w:rPr>
        <w:t>s 148, primer y cuarto párrafo</w:t>
      </w:r>
      <w:r>
        <w:rPr>
          <w:rFonts w:ascii="Arial" w:eastAsia="Arial" w:hAnsi="Arial" w:cs="Arial"/>
          <w:color w:val="000000"/>
          <w:sz w:val="24"/>
          <w:szCs w:val="24"/>
          <w:vertAlign w:val="superscript"/>
        </w:rPr>
        <w:footnoteReference w:id="4"/>
      </w:r>
      <w:r>
        <w:rPr>
          <w:rFonts w:ascii="Arial" w:eastAsia="Arial" w:hAnsi="Arial" w:cs="Arial"/>
          <w:color w:val="000000"/>
          <w:sz w:val="24"/>
          <w:szCs w:val="24"/>
        </w:rPr>
        <w:t xml:space="preserve"> y 151</w:t>
      </w:r>
      <w:r>
        <w:rPr>
          <w:rFonts w:ascii="Arial" w:eastAsia="Arial" w:hAnsi="Arial" w:cs="Arial"/>
          <w:color w:val="000000"/>
          <w:sz w:val="24"/>
          <w:szCs w:val="24"/>
          <w:vertAlign w:val="superscript"/>
        </w:rPr>
        <w:footnoteReference w:id="5"/>
      </w:r>
      <w:r>
        <w:rPr>
          <w:rFonts w:ascii="Arial" w:eastAsia="Arial" w:hAnsi="Arial" w:cs="Arial"/>
          <w:color w:val="000000"/>
          <w:sz w:val="24"/>
          <w:szCs w:val="24"/>
        </w:rPr>
        <w:t xml:space="preserve"> de la </w:t>
      </w:r>
      <w:r>
        <w:rPr>
          <w:rFonts w:ascii="Arial" w:eastAsia="Arial" w:hAnsi="Arial" w:cs="Arial"/>
          <w:i/>
          <w:color w:val="000000"/>
          <w:sz w:val="24"/>
          <w:szCs w:val="24"/>
        </w:rPr>
        <w:t>Ley de Procedimiento</w:t>
      </w:r>
      <w:r>
        <w:rPr>
          <w:rFonts w:ascii="Arial" w:eastAsia="Arial" w:hAnsi="Arial" w:cs="Arial"/>
          <w:color w:val="000000"/>
          <w:sz w:val="24"/>
          <w:szCs w:val="24"/>
        </w:rPr>
        <w:t>, dado que la parte actora compareció por sí misma y la autoridad demandada, que acreditó con copia certificada del Acta de Sesión Solemne de Cabildo, celebrada el día uno de enero de dos mil</w:t>
      </w:r>
      <w:r>
        <w:rPr>
          <w:rFonts w:ascii="Arial" w:eastAsia="Arial" w:hAnsi="Arial" w:cs="Arial"/>
          <w:color w:val="000000"/>
          <w:sz w:val="24"/>
          <w:szCs w:val="24"/>
        </w:rPr>
        <w:t xml:space="preserve"> veintidós. </w:t>
      </w:r>
    </w:p>
    <w:p w:rsidR="00733C45" w:rsidRDefault="00882EC8">
      <w:pPr>
        <w:pBdr>
          <w:top w:val="nil"/>
          <w:left w:val="nil"/>
          <w:bottom w:val="nil"/>
          <w:right w:val="nil"/>
          <w:between w:val="nil"/>
        </w:pBdr>
        <w:spacing w:before="200" w:after="0"/>
        <w:ind w:left="567"/>
        <w:rPr>
          <w:rFonts w:ascii="Arial" w:eastAsia="Arial" w:hAnsi="Arial" w:cs="Arial"/>
          <w:b/>
          <w:color w:val="000000"/>
          <w:sz w:val="24"/>
          <w:szCs w:val="24"/>
        </w:rPr>
      </w:pPr>
      <w:r>
        <w:rPr>
          <w:rFonts w:ascii="Arial" w:eastAsia="Arial" w:hAnsi="Arial" w:cs="Arial"/>
          <w:b/>
          <w:color w:val="000000"/>
          <w:sz w:val="24"/>
          <w:szCs w:val="24"/>
        </w:rPr>
        <w:t>QUINTO. CERTEZA DEL ACTO IMPUGNADO.</w:t>
      </w:r>
    </w:p>
    <w:p w:rsidR="00733C45" w:rsidRDefault="00882EC8">
      <w:pPr>
        <w:numPr>
          <w:ilvl w:val="0"/>
          <w:numId w:val="2"/>
        </w:numPr>
        <w:pBdr>
          <w:top w:val="nil"/>
          <w:left w:val="nil"/>
          <w:bottom w:val="nil"/>
          <w:right w:val="nil"/>
          <w:between w:val="nil"/>
        </w:pBdr>
        <w:spacing w:before="200" w:after="0"/>
        <w:ind w:left="0" w:firstLine="567"/>
        <w:rPr>
          <w:color w:val="000000"/>
          <w:sz w:val="24"/>
          <w:szCs w:val="24"/>
        </w:rPr>
      </w:pPr>
      <w:r>
        <w:rPr>
          <w:rFonts w:ascii="Arial" w:eastAsia="Arial" w:hAnsi="Arial" w:cs="Arial"/>
          <w:color w:val="000000"/>
          <w:sz w:val="24"/>
          <w:szCs w:val="24"/>
        </w:rPr>
        <w:t>Lo constituye</w:t>
      </w:r>
      <w:r>
        <w:rPr>
          <w:rFonts w:ascii="Arial" w:eastAsia="Arial" w:hAnsi="Arial" w:cs="Arial"/>
          <w:sz w:val="24"/>
          <w:szCs w:val="24"/>
        </w:rPr>
        <w:t xml:space="preserve"> la resolución contenida en el oficio número SUBDU-XI-0016/2022 de trece de enero de dos mil veintidós, emitida por el </w:t>
      </w:r>
      <w:r>
        <w:rPr>
          <w:rFonts w:ascii="Arial" w:eastAsia="Arial" w:hAnsi="Arial" w:cs="Arial"/>
          <w:i/>
          <w:sz w:val="24"/>
          <w:szCs w:val="24"/>
        </w:rPr>
        <w:t xml:space="preserve">Director de Obras, </w:t>
      </w:r>
      <w:r>
        <w:rPr>
          <w:rFonts w:ascii="Arial" w:eastAsia="Arial" w:hAnsi="Arial" w:cs="Arial"/>
          <w:color w:val="000000"/>
          <w:sz w:val="24"/>
          <w:szCs w:val="24"/>
        </w:rPr>
        <w:t>que se anexó en original a la demanda de nulidad (fojas 54- 58), documental que con valor probatorio pleno, conforme a lo dispuesto por el artículo 203, fracción I</w:t>
      </w:r>
      <w:r>
        <w:rPr>
          <w:color w:val="000000"/>
          <w:vertAlign w:val="superscript"/>
        </w:rPr>
        <w:footnoteReference w:id="6"/>
      </w:r>
      <w:r>
        <w:rPr>
          <w:rFonts w:ascii="Arial" w:eastAsia="Arial" w:hAnsi="Arial" w:cs="Arial"/>
          <w:color w:val="000000"/>
          <w:sz w:val="24"/>
          <w:szCs w:val="24"/>
        </w:rPr>
        <w:t xml:space="preserve"> de la </w:t>
      </w:r>
      <w:r>
        <w:rPr>
          <w:rFonts w:ascii="Arial" w:eastAsia="Arial" w:hAnsi="Arial" w:cs="Arial"/>
          <w:i/>
          <w:color w:val="000000"/>
          <w:sz w:val="24"/>
          <w:szCs w:val="24"/>
        </w:rPr>
        <w:t>Ley de Procedimiento</w:t>
      </w:r>
      <w:r>
        <w:rPr>
          <w:rFonts w:ascii="Arial" w:eastAsia="Arial" w:hAnsi="Arial" w:cs="Arial"/>
          <w:color w:val="000000"/>
          <w:sz w:val="24"/>
          <w:szCs w:val="24"/>
        </w:rPr>
        <w:t>, por tratarse de actuaciones judiciales y al no haber sido objet</w:t>
      </w:r>
      <w:r>
        <w:rPr>
          <w:rFonts w:ascii="Arial" w:eastAsia="Arial" w:hAnsi="Arial" w:cs="Arial"/>
          <w:color w:val="000000"/>
          <w:sz w:val="24"/>
          <w:szCs w:val="24"/>
        </w:rPr>
        <w:t xml:space="preserve">ada por la autoridad demandada. De manera que dicho documento público, es el medio de convicción que se tiene para acreditar la existencia del acto impugnado. </w:t>
      </w:r>
    </w:p>
    <w:p w:rsidR="00733C45" w:rsidRDefault="00882EC8">
      <w:pPr>
        <w:pBdr>
          <w:top w:val="nil"/>
          <w:left w:val="nil"/>
          <w:bottom w:val="nil"/>
          <w:right w:val="nil"/>
          <w:between w:val="nil"/>
        </w:pBdr>
        <w:spacing w:before="200" w:after="0"/>
        <w:ind w:left="567"/>
        <w:rPr>
          <w:rFonts w:ascii="Arial" w:eastAsia="Arial" w:hAnsi="Arial" w:cs="Arial"/>
          <w:b/>
          <w:color w:val="000000"/>
          <w:sz w:val="24"/>
          <w:szCs w:val="24"/>
        </w:rPr>
      </w:pPr>
      <w:r>
        <w:rPr>
          <w:rFonts w:ascii="Arial" w:eastAsia="Arial" w:hAnsi="Arial" w:cs="Arial"/>
          <w:b/>
          <w:color w:val="000000"/>
          <w:sz w:val="24"/>
          <w:szCs w:val="24"/>
        </w:rPr>
        <w:t>SEXTO.</w:t>
      </w:r>
      <w:r>
        <w:rPr>
          <w:rFonts w:ascii="Arial" w:eastAsia="Arial" w:hAnsi="Arial" w:cs="Arial"/>
          <w:color w:val="000000"/>
          <w:sz w:val="24"/>
          <w:szCs w:val="24"/>
        </w:rPr>
        <w:t xml:space="preserve"> </w:t>
      </w:r>
      <w:r>
        <w:rPr>
          <w:rFonts w:ascii="Arial" w:eastAsia="Arial" w:hAnsi="Arial" w:cs="Arial"/>
          <w:b/>
          <w:color w:val="000000"/>
          <w:sz w:val="24"/>
          <w:szCs w:val="24"/>
        </w:rPr>
        <w:t xml:space="preserve">CAUSALES DE IMPROCEDENCIA. </w:t>
      </w:r>
    </w:p>
    <w:p w:rsidR="00733C45" w:rsidRDefault="00882EC8">
      <w:pPr>
        <w:numPr>
          <w:ilvl w:val="0"/>
          <w:numId w:val="2"/>
        </w:numPr>
        <w:pBdr>
          <w:top w:val="nil"/>
          <w:left w:val="nil"/>
          <w:bottom w:val="nil"/>
          <w:right w:val="nil"/>
          <w:between w:val="nil"/>
        </w:pBdr>
        <w:spacing w:before="200" w:after="0"/>
        <w:ind w:left="0" w:firstLine="567"/>
        <w:rPr>
          <w:color w:val="000000"/>
          <w:sz w:val="24"/>
          <w:szCs w:val="24"/>
        </w:rPr>
      </w:pPr>
      <w:r>
        <w:rPr>
          <w:rFonts w:ascii="Arial" w:eastAsia="Arial" w:hAnsi="Arial" w:cs="Arial"/>
          <w:color w:val="000000"/>
          <w:sz w:val="24"/>
          <w:szCs w:val="24"/>
        </w:rPr>
        <w:t>Tomando en cuenta que las mismas son de orden público y de es</w:t>
      </w:r>
      <w:r>
        <w:rPr>
          <w:rFonts w:ascii="Arial" w:eastAsia="Arial" w:hAnsi="Arial" w:cs="Arial"/>
          <w:color w:val="000000"/>
          <w:sz w:val="24"/>
          <w:szCs w:val="24"/>
        </w:rPr>
        <w:t xml:space="preserve">tudio preferente a cualquier otra cuestión, previo al estudio de los conceptos de </w:t>
      </w:r>
      <w:r>
        <w:rPr>
          <w:rFonts w:ascii="Arial" w:eastAsia="Arial" w:hAnsi="Arial" w:cs="Arial"/>
          <w:color w:val="000000"/>
          <w:sz w:val="24"/>
          <w:szCs w:val="24"/>
        </w:rPr>
        <w:lastRenderedPageBreak/>
        <w:t>impugnación, ya que, de actualizarse las hipótesis normativas, impide la resolución del fondo del asunto debiéndose sobreseer en términos de artículo 162, fracción II</w:t>
      </w:r>
      <w:r>
        <w:rPr>
          <w:color w:val="000000"/>
          <w:vertAlign w:val="superscript"/>
        </w:rPr>
        <w:footnoteReference w:id="7"/>
      </w:r>
      <w:r>
        <w:rPr>
          <w:rFonts w:ascii="Arial" w:eastAsia="Arial" w:hAnsi="Arial" w:cs="Arial"/>
          <w:color w:val="000000"/>
          <w:sz w:val="24"/>
          <w:szCs w:val="24"/>
        </w:rPr>
        <w:t xml:space="preserve">de la </w:t>
      </w:r>
      <w:r>
        <w:rPr>
          <w:rFonts w:ascii="Arial" w:eastAsia="Arial" w:hAnsi="Arial" w:cs="Arial"/>
          <w:i/>
          <w:color w:val="000000"/>
          <w:sz w:val="24"/>
          <w:szCs w:val="24"/>
        </w:rPr>
        <w:t>L</w:t>
      </w:r>
      <w:r>
        <w:rPr>
          <w:rFonts w:ascii="Arial" w:eastAsia="Arial" w:hAnsi="Arial" w:cs="Arial"/>
          <w:i/>
          <w:color w:val="000000"/>
          <w:sz w:val="24"/>
          <w:szCs w:val="24"/>
        </w:rPr>
        <w:t>ey de Procedimiento</w:t>
      </w:r>
      <w:r>
        <w:rPr>
          <w:rFonts w:ascii="Arial" w:eastAsia="Arial" w:hAnsi="Arial" w:cs="Arial"/>
          <w:color w:val="000000"/>
          <w:sz w:val="24"/>
          <w:szCs w:val="24"/>
        </w:rPr>
        <w:t>.</w:t>
      </w:r>
    </w:p>
    <w:p w:rsidR="00733C45" w:rsidRDefault="00882EC8">
      <w:pPr>
        <w:numPr>
          <w:ilvl w:val="0"/>
          <w:numId w:val="2"/>
        </w:numPr>
        <w:pBdr>
          <w:top w:val="nil"/>
          <w:left w:val="nil"/>
          <w:bottom w:val="nil"/>
          <w:right w:val="nil"/>
          <w:between w:val="nil"/>
        </w:pBdr>
        <w:spacing w:before="200" w:after="0"/>
        <w:ind w:left="0" w:firstLine="567"/>
        <w:rPr>
          <w:color w:val="000000"/>
          <w:sz w:val="24"/>
          <w:szCs w:val="24"/>
        </w:rPr>
      </w:pPr>
      <w:r>
        <w:rPr>
          <w:rFonts w:ascii="Arial" w:eastAsia="Arial" w:hAnsi="Arial" w:cs="Arial"/>
          <w:color w:val="000000"/>
          <w:sz w:val="24"/>
          <w:szCs w:val="24"/>
        </w:rPr>
        <w:t>Esta Primera Sala Unitaria de Primera Instancia y Especializada en Controversias entre los Municipios y sus Agencias del Tribunal de Justicia Administrativa y Combate a la Corrupción del Estado de Oaxaca, advierte que no se configura alguna causal de impro</w:t>
      </w:r>
      <w:r>
        <w:rPr>
          <w:rFonts w:ascii="Arial" w:eastAsia="Arial" w:hAnsi="Arial" w:cs="Arial"/>
          <w:color w:val="000000"/>
          <w:sz w:val="24"/>
          <w:szCs w:val="24"/>
        </w:rPr>
        <w:t xml:space="preserve">cedencia o sobreseimiento alguna, de ahí que </w:t>
      </w:r>
      <w:r>
        <w:rPr>
          <w:rFonts w:ascii="Arial" w:eastAsia="Arial" w:hAnsi="Arial" w:cs="Arial"/>
          <w:b/>
          <w:color w:val="000000"/>
          <w:sz w:val="24"/>
          <w:szCs w:val="24"/>
        </w:rPr>
        <w:t>NO SE SOBRESEE EL PRESENTE JUICIO</w:t>
      </w:r>
      <w:r>
        <w:rPr>
          <w:rFonts w:ascii="Arial" w:eastAsia="Arial" w:hAnsi="Arial" w:cs="Arial"/>
          <w:color w:val="000000"/>
          <w:sz w:val="24"/>
          <w:szCs w:val="24"/>
        </w:rPr>
        <w:t>.</w:t>
      </w:r>
    </w:p>
    <w:p w:rsidR="00733C45" w:rsidRDefault="00882EC8">
      <w:pPr>
        <w:pBdr>
          <w:top w:val="nil"/>
          <w:left w:val="nil"/>
          <w:bottom w:val="nil"/>
          <w:right w:val="nil"/>
          <w:between w:val="nil"/>
        </w:pBdr>
        <w:spacing w:before="200" w:after="0"/>
        <w:ind w:left="567"/>
        <w:rPr>
          <w:rFonts w:ascii="Arial" w:eastAsia="Arial" w:hAnsi="Arial" w:cs="Arial"/>
          <w:b/>
          <w:color w:val="000000"/>
          <w:sz w:val="24"/>
          <w:szCs w:val="24"/>
        </w:rPr>
      </w:pPr>
      <w:r>
        <w:rPr>
          <w:rFonts w:ascii="Arial" w:eastAsia="Arial" w:hAnsi="Arial" w:cs="Arial"/>
          <w:b/>
          <w:color w:val="000000"/>
          <w:sz w:val="24"/>
          <w:szCs w:val="24"/>
        </w:rPr>
        <w:t xml:space="preserve">SÉPTIMO. FIJACIÓN DE LA LITIS. </w:t>
      </w:r>
    </w:p>
    <w:p w:rsidR="00733C45" w:rsidRDefault="00882EC8">
      <w:pPr>
        <w:numPr>
          <w:ilvl w:val="0"/>
          <w:numId w:val="2"/>
        </w:numPr>
        <w:pBdr>
          <w:top w:val="nil"/>
          <w:left w:val="nil"/>
          <w:bottom w:val="nil"/>
          <w:right w:val="nil"/>
          <w:between w:val="nil"/>
        </w:pBdr>
        <w:spacing w:before="200" w:after="0"/>
        <w:ind w:left="0" w:firstLine="567"/>
        <w:rPr>
          <w:color w:val="000000"/>
          <w:sz w:val="24"/>
          <w:szCs w:val="24"/>
        </w:rPr>
      </w:pPr>
      <w:bookmarkStart w:id="1" w:name="_heading=h.30j0zll" w:colFirst="0" w:colLast="0"/>
      <w:bookmarkEnd w:id="1"/>
      <w:r>
        <w:rPr>
          <w:rFonts w:ascii="Arial" w:eastAsia="Arial" w:hAnsi="Arial" w:cs="Arial"/>
          <w:color w:val="000000"/>
          <w:sz w:val="24"/>
          <w:szCs w:val="24"/>
        </w:rPr>
        <w:t>El litigio surge derivado del planteamiento de ilegalidad que hace la parte actora, en relación con la revocación y negativa de la licencia de c</w:t>
      </w:r>
      <w:r>
        <w:rPr>
          <w:rFonts w:ascii="Arial" w:eastAsia="Arial" w:hAnsi="Arial" w:cs="Arial"/>
          <w:color w:val="000000"/>
          <w:sz w:val="24"/>
          <w:szCs w:val="24"/>
        </w:rPr>
        <w:t xml:space="preserve">onstrucción de una barda perimetral, así como la clausura definitiva, respecto del bien inmueble ubicado en la </w:t>
      </w:r>
      <w:r w:rsidR="00292436">
        <w:rPr>
          <w:rFonts w:ascii="Arial" w:eastAsia="Arial" w:hAnsi="Arial" w:cs="Arial"/>
          <w:color w:val="000000"/>
          <w:sz w:val="24"/>
          <w:szCs w:val="24"/>
        </w:rPr>
        <w:t>**********</w:t>
      </w:r>
      <w:r>
        <w:rPr>
          <w:rFonts w:ascii="Arial" w:eastAsia="Arial" w:hAnsi="Arial" w:cs="Arial"/>
          <w:color w:val="000000"/>
          <w:sz w:val="24"/>
          <w:szCs w:val="24"/>
        </w:rPr>
        <w:t>, ordenado en la</w:t>
      </w:r>
      <w:r>
        <w:rPr>
          <w:rFonts w:ascii="Arial" w:eastAsia="Arial" w:hAnsi="Arial" w:cs="Arial"/>
          <w:sz w:val="24"/>
          <w:szCs w:val="24"/>
        </w:rPr>
        <w:t xml:space="preserve"> resolución contenida en el oficio</w:t>
      </w:r>
      <w:r>
        <w:rPr>
          <w:rFonts w:ascii="Arial" w:eastAsia="Arial" w:hAnsi="Arial" w:cs="Arial"/>
          <w:sz w:val="24"/>
          <w:szCs w:val="24"/>
        </w:rPr>
        <w:t xml:space="preserve"> número SUBDU-XI-0016/2022 de trece de enero de dos mil veintidós, emitida por el </w:t>
      </w:r>
      <w:r>
        <w:rPr>
          <w:rFonts w:ascii="Arial" w:eastAsia="Arial" w:hAnsi="Arial" w:cs="Arial"/>
          <w:i/>
          <w:sz w:val="24"/>
          <w:szCs w:val="24"/>
        </w:rPr>
        <w:t>Director de Obras</w:t>
      </w:r>
    </w:p>
    <w:p w:rsidR="00733C45" w:rsidRDefault="00882EC8">
      <w:pPr>
        <w:numPr>
          <w:ilvl w:val="0"/>
          <w:numId w:val="2"/>
        </w:numPr>
        <w:pBdr>
          <w:top w:val="nil"/>
          <w:left w:val="nil"/>
          <w:bottom w:val="nil"/>
          <w:right w:val="nil"/>
          <w:between w:val="nil"/>
        </w:pBdr>
        <w:spacing w:before="200" w:after="0"/>
        <w:ind w:left="0" w:firstLine="567"/>
        <w:rPr>
          <w:color w:val="000000"/>
          <w:sz w:val="24"/>
          <w:szCs w:val="24"/>
        </w:rPr>
      </w:pPr>
      <w:r>
        <w:rPr>
          <w:rFonts w:ascii="Arial" w:eastAsia="Arial" w:hAnsi="Arial" w:cs="Arial"/>
          <w:color w:val="000000"/>
          <w:sz w:val="24"/>
          <w:szCs w:val="24"/>
        </w:rPr>
        <w:t>Respecto de la autoridad demandada, se le tuvo por contestada la demanda en sentido afirmativo, al haber presentado su escrito fuera del plazo legal.</w:t>
      </w:r>
    </w:p>
    <w:p w:rsidR="00733C45" w:rsidRDefault="00882EC8">
      <w:pPr>
        <w:pBdr>
          <w:top w:val="nil"/>
          <w:left w:val="nil"/>
          <w:bottom w:val="nil"/>
          <w:right w:val="nil"/>
          <w:between w:val="nil"/>
        </w:pBdr>
        <w:spacing w:before="160" w:after="0"/>
        <w:ind w:firstLine="567"/>
        <w:rPr>
          <w:rFonts w:ascii="Arial" w:eastAsia="Arial" w:hAnsi="Arial" w:cs="Arial"/>
          <w:color w:val="000000"/>
          <w:sz w:val="24"/>
          <w:szCs w:val="24"/>
        </w:rPr>
      </w:pPr>
      <w:r>
        <w:rPr>
          <w:rFonts w:ascii="Arial" w:eastAsia="Arial" w:hAnsi="Arial" w:cs="Arial"/>
          <w:b/>
          <w:color w:val="000000"/>
          <w:sz w:val="24"/>
          <w:szCs w:val="24"/>
        </w:rPr>
        <w:t xml:space="preserve">OCTAVO. SUPLENCIA DE LA QUEJA, RESPECTO DE LA CAUSA DE PEDIR. </w:t>
      </w:r>
      <w:r>
        <w:rPr>
          <w:rFonts w:ascii="Arial" w:eastAsia="Arial" w:hAnsi="Arial" w:cs="Arial"/>
          <w:color w:val="000000"/>
          <w:sz w:val="24"/>
          <w:szCs w:val="24"/>
        </w:rPr>
        <w:t xml:space="preserve">       </w:t>
      </w:r>
    </w:p>
    <w:p w:rsidR="00733C45" w:rsidRDefault="00882EC8">
      <w:pPr>
        <w:numPr>
          <w:ilvl w:val="0"/>
          <w:numId w:val="2"/>
        </w:numPr>
        <w:pBdr>
          <w:top w:val="nil"/>
          <w:left w:val="nil"/>
          <w:bottom w:val="nil"/>
          <w:right w:val="nil"/>
          <w:between w:val="nil"/>
        </w:pBdr>
        <w:spacing w:before="160" w:after="0"/>
        <w:ind w:left="0" w:firstLine="567"/>
        <w:rPr>
          <w:i/>
          <w:color w:val="000000"/>
        </w:rPr>
      </w:pPr>
      <w:r>
        <w:rPr>
          <w:rFonts w:ascii="Arial" w:eastAsia="Arial" w:hAnsi="Arial" w:cs="Arial"/>
          <w:color w:val="000000"/>
          <w:sz w:val="24"/>
          <w:szCs w:val="24"/>
        </w:rPr>
        <w:t xml:space="preserve">El actor manifiesta en su escrito de demanda que señala como prestaciones las siguientes: </w:t>
      </w:r>
      <w:r>
        <w:rPr>
          <w:rFonts w:ascii="Arial" w:eastAsia="Arial" w:hAnsi="Arial" w:cs="Arial"/>
          <w:i/>
          <w:color w:val="000000"/>
        </w:rPr>
        <w:t>“A) Dejar sin efecto el oficio SUBD-X1/0016/2022, donde se revoca y niega la licencia de constru</w:t>
      </w:r>
      <w:r>
        <w:rPr>
          <w:rFonts w:ascii="Arial" w:eastAsia="Arial" w:hAnsi="Arial" w:cs="Arial"/>
          <w:i/>
          <w:color w:val="000000"/>
        </w:rPr>
        <w:t xml:space="preserve">cción de una barda perimetral sobre mi bien inmueble inscrita en el Instituto de la función Registral de San Juan Bautista Tuxtepec, Oaxaca; B).- Como consecuencia de la primera prestación dejar sin efectos los sellos de </w:t>
      </w:r>
      <w:r>
        <w:rPr>
          <w:rFonts w:ascii="Arial" w:eastAsia="Arial" w:hAnsi="Arial" w:cs="Arial"/>
          <w:b/>
          <w:i/>
          <w:color w:val="000000"/>
        </w:rPr>
        <w:t>CLAUSU</w:t>
      </w:r>
      <w:r>
        <w:rPr>
          <w:rFonts w:ascii="Arial" w:eastAsia="Arial" w:hAnsi="Arial" w:cs="Arial"/>
          <w:b/>
          <w:i/>
        </w:rPr>
        <w:t>R</w:t>
      </w:r>
      <w:r>
        <w:rPr>
          <w:rFonts w:ascii="Arial" w:eastAsia="Arial" w:hAnsi="Arial" w:cs="Arial"/>
          <w:b/>
          <w:i/>
          <w:color w:val="000000"/>
        </w:rPr>
        <w:t xml:space="preserve">A DEFINITIVA </w:t>
      </w:r>
      <w:r>
        <w:rPr>
          <w:rFonts w:ascii="Arial" w:eastAsia="Arial" w:hAnsi="Arial" w:cs="Arial"/>
          <w:i/>
          <w:color w:val="000000"/>
        </w:rPr>
        <w:t>que fueron pega</w:t>
      </w:r>
      <w:r>
        <w:rPr>
          <w:rFonts w:ascii="Arial" w:eastAsia="Arial" w:hAnsi="Arial" w:cs="Arial"/>
          <w:i/>
          <w:color w:val="000000"/>
        </w:rPr>
        <w:t>dos en la barda perimetral de mi propiedad; y, C) La expedición legal y formal de la licencia de construcción a mi favor por reunir los requisito.”</w:t>
      </w:r>
    </w:p>
    <w:p w:rsidR="00733C45" w:rsidRDefault="00882EC8">
      <w:pPr>
        <w:numPr>
          <w:ilvl w:val="0"/>
          <w:numId w:val="2"/>
        </w:numPr>
        <w:pBdr>
          <w:top w:val="nil"/>
          <w:left w:val="nil"/>
          <w:bottom w:val="nil"/>
          <w:right w:val="nil"/>
          <w:between w:val="nil"/>
        </w:pBdr>
        <w:spacing w:before="200" w:after="0"/>
        <w:ind w:left="0" w:firstLine="709"/>
        <w:rPr>
          <w:color w:val="000000"/>
          <w:sz w:val="24"/>
          <w:szCs w:val="24"/>
        </w:rPr>
      </w:pPr>
      <w:r>
        <w:rPr>
          <w:rFonts w:ascii="Arial" w:eastAsia="Arial" w:hAnsi="Arial" w:cs="Arial"/>
          <w:color w:val="000000"/>
          <w:sz w:val="24"/>
          <w:szCs w:val="24"/>
        </w:rPr>
        <w:t xml:space="preserve">En consecuencia, a efecto de analizar adecuadamente lo manifestado por el actor, no obstante, no hizo valer </w:t>
      </w:r>
      <w:r>
        <w:rPr>
          <w:rFonts w:ascii="Arial" w:eastAsia="Arial" w:hAnsi="Arial" w:cs="Arial"/>
          <w:color w:val="000000"/>
          <w:sz w:val="24"/>
          <w:szCs w:val="24"/>
        </w:rPr>
        <w:t xml:space="preserve">conceptos de impugnación alguno en contra de la resolución contenida en el oficio número SUBDU-XI-0016/2022 de trece de enero de dos mil veintidós; con las pretensiones que solicita en su demanda, esta Sala de Primera Instancia </w:t>
      </w:r>
      <w:r>
        <w:rPr>
          <w:rFonts w:ascii="Arial" w:eastAsia="Arial" w:hAnsi="Arial" w:cs="Arial"/>
          <w:b/>
          <w:color w:val="000000"/>
          <w:sz w:val="24"/>
          <w:szCs w:val="24"/>
        </w:rPr>
        <w:t>suple la deficiencia de la q</w:t>
      </w:r>
      <w:r>
        <w:rPr>
          <w:rFonts w:ascii="Arial" w:eastAsia="Arial" w:hAnsi="Arial" w:cs="Arial"/>
          <w:b/>
          <w:color w:val="000000"/>
          <w:sz w:val="24"/>
          <w:szCs w:val="24"/>
        </w:rPr>
        <w:t>ueja y configura la causa de pedir</w:t>
      </w:r>
      <w:r>
        <w:rPr>
          <w:rFonts w:ascii="Arial" w:eastAsia="Arial" w:hAnsi="Arial" w:cs="Arial"/>
          <w:color w:val="000000"/>
          <w:sz w:val="24"/>
          <w:szCs w:val="24"/>
        </w:rPr>
        <w:t xml:space="preserve">, lo que implica que la interpretación jurídica siempre debe buscar el mayor beneficio, acudiendo a la norma más amplia o a la interpretación más favorable al </w:t>
      </w:r>
      <w:r>
        <w:rPr>
          <w:rFonts w:ascii="Arial" w:eastAsia="Arial" w:hAnsi="Arial" w:cs="Arial"/>
          <w:sz w:val="24"/>
          <w:szCs w:val="24"/>
        </w:rPr>
        <w:lastRenderedPageBreak/>
        <w:t>administrado</w:t>
      </w:r>
      <w:r>
        <w:rPr>
          <w:rFonts w:ascii="Arial" w:eastAsia="Arial" w:hAnsi="Arial" w:cs="Arial"/>
          <w:color w:val="000000"/>
          <w:sz w:val="24"/>
          <w:szCs w:val="24"/>
        </w:rPr>
        <w:t>, conforme a lo previsto en  los artículos 149 y 206</w:t>
      </w:r>
      <w:r>
        <w:rPr>
          <w:rFonts w:ascii="Arial" w:eastAsia="Arial" w:hAnsi="Arial" w:cs="Arial"/>
          <w:color w:val="000000"/>
          <w:sz w:val="24"/>
          <w:szCs w:val="24"/>
          <w:vertAlign w:val="superscript"/>
        </w:rPr>
        <w:footnoteReference w:id="8"/>
      </w:r>
      <w:r>
        <w:rPr>
          <w:rFonts w:ascii="Arial" w:eastAsia="Arial" w:hAnsi="Arial" w:cs="Arial"/>
          <w:color w:val="000000"/>
          <w:sz w:val="24"/>
          <w:szCs w:val="24"/>
        </w:rPr>
        <w:t xml:space="preserve"> de la </w:t>
      </w:r>
      <w:r>
        <w:rPr>
          <w:rFonts w:ascii="Arial" w:eastAsia="Arial" w:hAnsi="Arial" w:cs="Arial"/>
          <w:i/>
          <w:color w:val="000000"/>
          <w:sz w:val="24"/>
          <w:szCs w:val="24"/>
        </w:rPr>
        <w:t xml:space="preserve">Ley de Procedimiento. </w:t>
      </w:r>
      <w:r>
        <w:rPr>
          <w:rFonts w:ascii="Arial" w:eastAsia="Arial" w:hAnsi="Arial" w:cs="Arial"/>
          <w:color w:val="000000"/>
          <w:sz w:val="24"/>
          <w:szCs w:val="24"/>
        </w:rPr>
        <w:t>Sirve de apoyo a lo anterior, la Jurisprudencia 2a./J. 63/98, publicada por la Segunda Sala de la Suprema Corte de Justicia de la Nación, en el Tomo VIII, septiembre de 1998,</w:t>
      </w:r>
      <w:r>
        <w:rPr>
          <w:rFonts w:ascii="Arial" w:eastAsia="Arial" w:hAnsi="Arial" w:cs="Arial"/>
          <w:color w:val="000000"/>
          <w:sz w:val="24"/>
          <w:szCs w:val="24"/>
        </w:rPr>
        <w:t xml:space="preserve"> página 323, del Semanario Judicial de la Federación y su Gaceta, Novena Época, con registro digital 195518</w:t>
      </w:r>
      <w:r>
        <w:rPr>
          <w:rFonts w:ascii="Arial" w:eastAsia="Arial" w:hAnsi="Arial" w:cs="Arial"/>
          <w:color w:val="000000"/>
          <w:sz w:val="24"/>
          <w:szCs w:val="24"/>
          <w:vertAlign w:val="superscript"/>
        </w:rPr>
        <w:footnoteReference w:id="9"/>
      </w:r>
      <w:r>
        <w:rPr>
          <w:rFonts w:ascii="Arial" w:eastAsia="Arial" w:hAnsi="Arial" w:cs="Arial"/>
          <w:color w:val="000000"/>
          <w:sz w:val="24"/>
          <w:szCs w:val="24"/>
        </w:rPr>
        <w:t>, de rubro siguiente:</w:t>
      </w:r>
    </w:p>
    <w:p w:rsidR="00733C45" w:rsidRDefault="00882EC8">
      <w:pPr>
        <w:pBdr>
          <w:top w:val="nil"/>
          <w:left w:val="nil"/>
          <w:bottom w:val="nil"/>
          <w:right w:val="nil"/>
          <w:between w:val="nil"/>
        </w:pBdr>
        <w:spacing w:before="0" w:after="0" w:line="240" w:lineRule="auto"/>
        <w:ind w:left="851" w:right="902"/>
        <w:rPr>
          <w:rFonts w:ascii="Arial" w:eastAsia="Arial" w:hAnsi="Arial" w:cs="Arial"/>
          <w:b/>
          <w:i/>
          <w:color w:val="000000"/>
        </w:rPr>
      </w:pPr>
      <w:r>
        <w:rPr>
          <w:rFonts w:ascii="Arial" w:eastAsia="Arial" w:hAnsi="Arial" w:cs="Arial"/>
          <w:b/>
          <w:i/>
          <w:color w:val="000000"/>
        </w:rPr>
        <w:t>“CONCEPTOS DE VIOLACIÓN. PARA QUE SE ESTUDIEN, BASTA CON EXPRESAR CLARAMENTE EN LA DEMANDA DE GARANTÍAS LA CAUSA DE PEDIR</w:t>
      </w:r>
    </w:p>
    <w:p w:rsidR="00733C45" w:rsidRDefault="00882EC8">
      <w:pPr>
        <w:pBdr>
          <w:top w:val="nil"/>
          <w:left w:val="nil"/>
          <w:bottom w:val="nil"/>
          <w:right w:val="nil"/>
          <w:between w:val="nil"/>
        </w:pBdr>
        <w:spacing w:before="200" w:after="0"/>
        <w:ind w:left="567"/>
        <w:rPr>
          <w:rFonts w:ascii="Arial" w:eastAsia="Arial" w:hAnsi="Arial" w:cs="Arial"/>
          <w:b/>
          <w:color w:val="000000"/>
          <w:sz w:val="24"/>
          <w:szCs w:val="24"/>
        </w:rPr>
      </w:pPr>
      <w:r>
        <w:rPr>
          <w:rFonts w:ascii="Arial" w:eastAsia="Arial" w:hAnsi="Arial" w:cs="Arial"/>
          <w:b/>
          <w:color w:val="000000"/>
          <w:sz w:val="24"/>
          <w:szCs w:val="24"/>
        </w:rPr>
        <w:t>NOVENO. ESTUDIO.</w:t>
      </w:r>
    </w:p>
    <w:p w:rsidR="00733C45" w:rsidRDefault="00882EC8">
      <w:pPr>
        <w:numPr>
          <w:ilvl w:val="0"/>
          <w:numId w:val="2"/>
        </w:numPr>
        <w:pBdr>
          <w:top w:val="nil"/>
          <w:left w:val="nil"/>
          <w:bottom w:val="nil"/>
          <w:right w:val="nil"/>
          <w:between w:val="nil"/>
        </w:pBdr>
        <w:spacing w:before="200" w:after="0"/>
        <w:ind w:left="0" w:right="51" w:firstLine="709"/>
        <w:rPr>
          <w:color w:val="000000"/>
          <w:sz w:val="24"/>
          <w:szCs w:val="24"/>
        </w:rPr>
      </w:pPr>
      <w:r>
        <w:rPr>
          <w:rFonts w:ascii="Arial" w:eastAsia="Arial" w:hAnsi="Arial" w:cs="Arial"/>
          <w:color w:val="000000"/>
          <w:sz w:val="24"/>
          <w:szCs w:val="24"/>
        </w:rPr>
        <w:t xml:space="preserve">Al ser el primer presupuesto para la emisión del acto de molestia, de estudio preferente, de orden público y de análisis oficioso, se procede al estudio de la </w:t>
      </w:r>
      <w:r>
        <w:rPr>
          <w:rFonts w:ascii="Arial" w:eastAsia="Arial" w:hAnsi="Arial" w:cs="Arial"/>
          <w:b/>
          <w:color w:val="000000"/>
          <w:sz w:val="24"/>
          <w:szCs w:val="24"/>
        </w:rPr>
        <w:t>competencia de la autoridad demandada</w:t>
      </w:r>
      <w:r>
        <w:rPr>
          <w:rFonts w:ascii="Arial" w:eastAsia="Arial" w:hAnsi="Arial" w:cs="Arial"/>
          <w:color w:val="000000"/>
          <w:sz w:val="24"/>
          <w:szCs w:val="24"/>
        </w:rPr>
        <w:t>. Sirve de apoyo, la Jurisprudencia con núm</w:t>
      </w:r>
      <w:r>
        <w:rPr>
          <w:rFonts w:ascii="Arial" w:eastAsia="Arial" w:hAnsi="Arial" w:cs="Arial"/>
          <w:color w:val="000000"/>
          <w:sz w:val="24"/>
          <w:szCs w:val="24"/>
        </w:rPr>
        <w:t>ero de registro 170827, Novena Época, Materia: Administrativa, sustentada por la Segunda Sala de la Suprema Corte de Justicia de la Nación, visible en el Semanario Judicial de la Federación y su Gaceta, Tomo XXVI, diciembre de 2007, página 154, con el rubr</w:t>
      </w:r>
      <w:r>
        <w:rPr>
          <w:rFonts w:ascii="Arial" w:eastAsia="Arial" w:hAnsi="Arial" w:cs="Arial"/>
          <w:color w:val="000000"/>
          <w:sz w:val="24"/>
          <w:szCs w:val="24"/>
        </w:rPr>
        <w:t>o siguiente:</w:t>
      </w:r>
    </w:p>
    <w:p w:rsidR="00733C45" w:rsidRDefault="00882EC8">
      <w:pPr>
        <w:pBdr>
          <w:top w:val="nil"/>
          <w:left w:val="nil"/>
          <w:bottom w:val="nil"/>
          <w:right w:val="nil"/>
          <w:between w:val="nil"/>
        </w:pBdr>
        <w:spacing w:after="0" w:line="240" w:lineRule="auto"/>
        <w:ind w:left="993" w:right="1182"/>
        <w:rPr>
          <w:rFonts w:ascii="Arial" w:eastAsia="Arial" w:hAnsi="Arial" w:cs="Arial"/>
          <w:i/>
          <w:color w:val="000000"/>
        </w:rPr>
      </w:pPr>
      <w:r>
        <w:rPr>
          <w:rFonts w:ascii="Arial" w:eastAsia="Arial" w:hAnsi="Arial" w:cs="Arial"/>
          <w:i/>
          <w:color w:val="000000"/>
        </w:rPr>
        <w:t>“</w:t>
      </w:r>
      <w:r>
        <w:rPr>
          <w:rFonts w:ascii="Arial" w:eastAsia="Arial" w:hAnsi="Arial" w:cs="Arial"/>
          <w:b/>
          <w:i/>
          <w:color w:val="000000"/>
        </w:rPr>
        <w:t>COMPETENCIA. SU ESTUDIO OFICIOSO RESPECTO DE LA AUTORIDAD DEMANDADA EN EL JUICIO CONTENCIOSO ADMINISTRATIVO, DEBE SER ANALIZADA POR LAS SALAS DEL TRIBUNAL FEDERAL DE JUSTICIA FISCAL Y ADMINISTRATIVA.</w:t>
      </w:r>
      <w:r>
        <w:rPr>
          <w:rFonts w:ascii="Arial" w:eastAsia="Arial" w:hAnsi="Arial" w:cs="Arial"/>
          <w:color w:val="000000"/>
          <w:sz w:val="24"/>
          <w:szCs w:val="24"/>
          <w:vertAlign w:val="superscript"/>
        </w:rPr>
        <w:t xml:space="preserve"> </w:t>
      </w:r>
      <w:r>
        <w:rPr>
          <w:rFonts w:ascii="Arial" w:eastAsia="Arial" w:hAnsi="Arial" w:cs="Arial"/>
          <w:color w:val="000000"/>
          <w:sz w:val="24"/>
          <w:szCs w:val="24"/>
          <w:vertAlign w:val="superscript"/>
        </w:rPr>
        <w:footnoteReference w:id="10"/>
      </w:r>
      <w:r>
        <w:rPr>
          <w:rFonts w:ascii="Arial" w:eastAsia="Arial" w:hAnsi="Arial" w:cs="Arial"/>
          <w:b/>
          <w:i/>
          <w:color w:val="000000"/>
        </w:rPr>
        <w:t>”</w:t>
      </w:r>
    </w:p>
    <w:p w:rsidR="00733C45" w:rsidRDefault="00882EC8">
      <w:pPr>
        <w:spacing w:before="240"/>
        <w:ind w:right="49" w:firstLine="426"/>
        <w:rPr>
          <w:rFonts w:ascii="Arial" w:eastAsia="Arial" w:hAnsi="Arial" w:cs="Arial"/>
          <w:sz w:val="24"/>
          <w:szCs w:val="24"/>
        </w:rPr>
      </w:pPr>
      <w:r>
        <w:rPr>
          <w:rFonts w:ascii="Arial" w:eastAsia="Arial" w:hAnsi="Arial" w:cs="Arial"/>
          <w:sz w:val="24"/>
          <w:szCs w:val="24"/>
        </w:rPr>
        <w:t xml:space="preserve">Así como la Jurisprudencia con número de registro 172812, Tercer Tribunal Colegiado del Octavo Circuito, publicado en el Semanario Judicial de la Federación </w:t>
      </w:r>
      <w:r>
        <w:rPr>
          <w:rFonts w:ascii="Arial" w:eastAsia="Arial" w:hAnsi="Arial" w:cs="Arial"/>
          <w:sz w:val="24"/>
          <w:szCs w:val="24"/>
        </w:rPr>
        <w:lastRenderedPageBreak/>
        <w:t>y su Gaceta, Tomo XXV, abril de 2007, página 1377, Materia Administrativa, bajo el rubro siguiente:</w:t>
      </w:r>
    </w:p>
    <w:p w:rsidR="00733C45" w:rsidRDefault="00882EC8">
      <w:pPr>
        <w:pBdr>
          <w:top w:val="nil"/>
          <w:left w:val="nil"/>
          <w:bottom w:val="nil"/>
          <w:right w:val="nil"/>
          <w:between w:val="nil"/>
        </w:pBdr>
        <w:spacing w:after="120" w:line="240" w:lineRule="auto"/>
        <w:ind w:left="993" w:right="1182"/>
        <w:rPr>
          <w:rFonts w:ascii="Arial" w:eastAsia="Arial" w:hAnsi="Arial" w:cs="Arial"/>
          <w:i/>
          <w:color w:val="000000"/>
        </w:rPr>
      </w:pPr>
      <w:r>
        <w:rPr>
          <w:rFonts w:ascii="Arial" w:eastAsia="Arial" w:hAnsi="Arial" w:cs="Arial"/>
          <w:i/>
          <w:color w:val="000000"/>
        </w:rPr>
        <w:t>“</w:t>
      </w:r>
      <w:r>
        <w:rPr>
          <w:rFonts w:ascii="Arial" w:eastAsia="Arial" w:hAnsi="Arial" w:cs="Arial"/>
          <w:b/>
          <w:i/>
          <w:color w:val="000000"/>
        </w:rPr>
        <w:t>COMPETENCIA DE LAS AUTORIDADES ADMINISTRATIVAS. AL SER UN PRESUPUESTO PROCESAL CUYO ESTUDIO ES DE ORDEN PÚBLICO LAS SALAS DEL TRIBUNAL FEDERAL DE JUSTICIA FISCAL Y ADMINISTRATIVA DEBEN ANALIZARLA DE OFICIO, SIN DISTINGUIR SI SE TRATA DE LA INDEBIDA, INSU</w:t>
      </w:r>
      <w:r>
        <w:rPr>
          <w:rFonts w:ascii="Arial" w:eastAsia="Arial" w:hAnsi="Arial" w:cs="Arial"/>
          <w:b/>
          <w:i/>
          <w:color w:val="000000"/>
        </w:rPr>
        <w:t xml:space="preserve">FICIENTE O DE LA FALTA DE FUNDAMENTACIÓN DE AQUÉLLA. </w:t>
      </w:r>
    </w:p>
    <w:p w:rsidR="00733C45" w:rsidRDefault="00882EC8">
      <w:pPr>
        <w:numPr>
          <w:ilvl w:val="0"/>
          <w:numId w:val="2"/>
        </w:numPr>
        <w:pBdr>
          <w:top w:val="nil"/>
          <w:left w:val="nil"/>
          <w:bottom w:val="nil"/>
          <w:right w:val="nil"/>
          <w:between w:val="nil"/>
        </w:pBdr>
        <w:tabs>
          <w:tab w:val="left" w:pos="709"/>
        </w:tabs>
        <w:spacing w:before="240" w:after="0"/>
        <w:ind w:left="0" w:right="49" w:firstLine="709"/>
        <w:rPr>
          <w:color w:val="000000"/>
          <w:sz w:val="24"/>
          <w:szCs w:val="24"/>
        </w:rPr>
      </w:pPr>
      <w:r>
        <w:rPr>
          <w:rFonts w:ascii="Arial" w:eastAsia="Arial" w:hAnsi="Arial" w:cs="Arial"/>
          <w:color w:val="000000"/>
          <w:sz w:val="24"/>
          <w:szCs w:val="24"/>
        </w:rPr>
        <w:t>En tal virtud, del estudio integral de la resolución impugnada, consistente en la resolución contenida en el oficio número SUBDU-XI-0016/2022 de trece de enero de dos mil veintidós, con pleno valor prob</w:t>
      </w:r>
      <w:r>
        <w:rPr>
          <w:rFonts w:ascii="Arial" w:eastAsia="Arial" w:hAnsi="Arial" w:cs="Arial"/>
          <w:color w:val="000000"/>
          <w:sz w:val="24"/>
          <w:szCs w:val="24"/>
        </w:rPr>
        <w:t>atorio pleno por tratarse de actuaciones procesales</w:t>
      </w:r>
      <w:r>
        <w:rPr>
          <w:rFonts w:ascii="Arial" w:eastAsia="Arial" w:hAnsi="Arial" w:cs="Arial"/>
          <w:color w:val="000000"/>
          <w:sz w:val="26"/>
          <w:szCs w:val="26"/>
        </w:rPr>
        <w:t xml:space="preserve">, </w:t>
      </w:r>
      <w:r>
        <w:rPr>
          <w:rFonts w:ascii="Arial" w:eastAsia="Arial" w:hAnsi="Arial" w:cs="Arial"/>
          <w:color w:val="000000"/>
          <w:sz w:val="24"/>
          <w:szCs w:val="24"/>
        </w:rPr>
        <w:t>en términos del artículo 203</w:t>
      </w:r>
      <w:r>
        <w:rPr>
          <w:rFonts w:ascii="Arial" w:eastAsia="Arial" w:hAnsi="Arial" w:cs="Arial"/>
          <w:color w:val="000000"/>
          <w:sz w:val="24"/>
          <w:szCs w:val="24"/>
          <w:vertAlign w:val="superscript"/>
        </w:rPr>
        <w:footnoteReference w:id="11"/>
      </w:r>
      <w:r>
        <w:rPr>
          <w:rFonts w:ascii="Arial" w:eastAsia="Arial" w:hAnsi="Arial" w:cs="Arial"/>
          <w:color w:val="000000"/>
          <w:sz w:val="24"/>
          <w:szCs w:val="24"/>
        </w:rPr>
        <w:t xml:space="preserve">, fracción I de la </w:t>
      </w:r>
      <w:r>
        <w:rPr>
          <w:rFonts w:ascii="Arial" w:eastAsia="Arial" w:hAnsi="Arial" w:cs="Arial"/>
          <w:i/>
          <w:color w:val="000000"/>
          <w:sz w:val="24"/>
          <w:szCs w:val="24"/>
        </w:rPr>
        <w:t>Ley de Procedimiento</w:t>
      </w:r>
      <w:r>
        <w:rPr>
          <w:rFonts w:ascii="Arial" w:eastAsia="Arial" w:hAnsi="Arial" w:cs="Arial"/>
          <w:color w:val="000000"/>
          <w:sz w:val="24"/>
          <w:szCs w:val="24"/>
        </w:rPr>
        <w:t xml:space="preserve">, la cual obra a fojas 54 a 58 del expediente en que se actúa, se advierte que el </w:t>
      </w:r>
      <w:r>
        <w:rPr>
          <w:rFonts w:ascii="Arial" w:eastAsia="Arial" w:hAnsi="Arial" w:cs="Arial"/>
          <w:i/>
          <w:color w:val="000000"/>
          <w:sz w:val="24"/>
          <w:szCs w:val="24"/>
        </w:rPr>
        <w:t xml:space="preserve">Director de Obras, </w:t>
      </w:r>
      <w:r>
        <w:rPr>
          <w:rFonts w:ascii="Arial" w:eastAsia="Arial" w:hAnsi="Arial" w:cs="Arial"/>
          <w:color w:val="000000"/>
          <w:sz w:val="24"/>
          <w:szCs w:val="24"/>
        </w:rPr>
        <w:t xml:space="preserve">para proceder a negar y revocar la licencia de construcción de barda perimetral en la </w:t>
      </w:r>
      <w:r w:rsidR="00292436">
        <w:rPr>
          <w:rFonts w:ascii="Arial" w:eastAsia="Arial" w:hAnsi="Arial" w:cs="Arial"/>
          <w:color w:val="000000"/>
          <w:sz w:val="24"/>
          <w:szCs w:val="24"/>
        </w:rPr>
        <w:t>**********</w:t>
      </w:r>
      <w:r>
        <w:rPr>
          <w:rFonts w:ascii="Arial" w:eastAsia="Arial" w:hAnsi="Arial" w:cs="Arial"/>
          <w:color w:val="000000"/>
          <w:sz w:val="24"/>
          <w:szCs w:val="24"/>
        </w:rPr>
        <w:t xml:space="preserve"> y ordenar la clausura definitiva</w:t>
      </w:r>
      <w:r>
        <w:rPr>
          <w:rFonts w:ascii="Arial" w:eastAsia="Arial" w:hAnsi="Arial" w:cs="Arial"/>
          <w:color w:val="000000"/>
          <w:sz w:val="24"/>
          <w:szCs w:val="24"/>
        </w:rPr>
        <w:t xml:space="preserve"> de dichos trabajos, fundó su determinación en los siguientes preceptos legales: siguiente:</w:t>
      </w:r>
    </w:p>
    <w:p w:rsidR="00733C45" w:rsidRDefault="00882EC8">
      <w:pPr>
        <w:pBdr>
          <w:top w:val="nil"/>
          <w:left w:val="nil"/>
          <w:bottom w:val="nil"/>
          <w:right w:val="nil"/>
          <w:between w:val="nil"/>
        </w:pBdr>
        <w:tabs>
          <w:tab w:val="left" w:pos="709"/>
        </w:tabs>
        <w:spacing w:before="240" w:after="0"/>
        <w:ind w:left="709" w:right="899"/>
        <w:rPr>
          <w:rFonts w:ascii="Arial" w:eastAsia="Arial" w:hAnsi="Arial" w:cs="Arial"/>
          <w:i/>
          <w:color w:val="000000"/>
        </w:rPr>
      </w:pPr>
      <w:r>
        <w:rPr>
          <w:rFonts w:ascii="Arial" w:eastAsia="Arial" w:hAnsi="Arial" w:cs="Arial"/>
          <w:color w:val="000000"/>
        </w:rPr>
        <w:t>“…</w:t>
      </w:r>
      <w:r>
        <w:rPr>
          <w:rFonts w:ascii="Arial" w:eastAsia="Arial" w:hAnsi="Arial" w:cs="Arial"/>
          <w:i/>
          <w:color w:val="000000"/>
        </w:rPr>
        <w:t xml:space="preserve">con fundamento en lo dispuesto por los artículos 49 fracción XV del Reglamento Interior de la Administración Municipal de San Juan Bautista Tuxtepec, Oaxaca, en relación con los artículos 5º fracción (sic) V, XI, XII, XIII, XIV, XV; 186 Fracción (sic) I y </w:t>
      </w:r>
      <w:r>
        <w:rPr>
          <w:rFonts w:ascii="Arial" w:eastAsia="Arial" w:hAnsi="Arial" w:cs="Arial"/>
          <w:i/>
          <w:color w:val="000000"/>
        </w:rPr>
        <w:t>VII; 217 fracción II y 218, de la Ley de Ordenamiento Territorial y Desarrollo Urbano para el Estado  de Oaxaca, 334, 335, 339 fracción IX y 350 fracción II del Reglamento de Construcción y Seguridad Estructural para el Estado de Oaxaca vigente, se procede</w:t>
      </w:r>
      <w:r>
        <w:rPr>
          <w:rFonts w:ascii="Arial" w:eastAsia="Arial" w:hAnsi="Arial" w:cs="Arial"/>
          <w:i/>
          <w:color w:val="000000"/>
        </w:rPr>
        <w:t xml:space="preserve"> a determinar lo siguiente:</w:t>
      </w:r>
    </w:p>
    <w:p w:rsidR="00733C45" w:rsidRDefault="00882EC8">
      <w:pPr>
        <w:pBdr>
          <w:top w:val="nil"/>
          <w:left w:val="nil"/>
          <w:bottom w:val="nil"/>
          <w:right w:val="nil"/>
          <w:between w:val="nil"/>
        </w:pBdr>
        <w:tabs>
          <w:tab w:val="left" w:pos="709"/>
        </w:tabs>
        <w:spacing w:after="0"/>
        <w:ind w:left="709" w:right="899"/>
        <w:jc w:val="center"/>
        <w:rPr>
          <w:rFonts w:ascii="Arial" w:eastAsia="Arial" w:hAnsi="Arial" w:cs="Arial"/>
          <w:b/>
          <w:i/>
          <w:color w:val="000000"/>
        </w:rPr>
      </w:pPr>
      <w:r>
        <w:rPr>
          <w:rFonts w:ascii="Arial" w:eastAsia="Arial" w:hAnsi="Arial" w:cs="Arial"/>
          <w:b/>
          <w:i/>
          <w:color w:val="000000"/>
        </w:rPr>
        <w:t>RESUELVE</w:t>
      </w:r>
    </w:p>
    <w:p w:rsidR="00733C45" w:rsidRDefault="00882EC8">
      <w:pPr>
        <w:pBdr>
          <w:top w:val="nil"/>
          <w:left w:val="nil"/>
          <w:bottom w:val="nil"/>
          <w:right w:val="nil"/>
          <w:between w:val="nil"/>
        </w:pBdr>
        <w:tabs>
          <w:tab w:val="left" w:pos="709"/>
        </w:tabs>
        <w:spacing w:after="0"/>
        <w:ind w:left="709" w:right="899"/>
        <w:rPr>
          <w:rFonts w:ascii="Arial" w:eastAsia="Arial" w:hAnsi="Arial" w:cs="Arial"/>
          <w:i/>
          <w:color w:val="000000"/>
        </w:rPr>
      </w:pPr>
      <w:r>
        <w:rPr>
          <w:rFonts w:ascii="Arial" w:eastAsia="Arial" w:hAnsi="Arial" w:cs="Arial"/>
          <w:b/>
          <w:i/>
          <w:color w:val="000000"/>
        </w:rPr>
        <w:t xml:space="preserve">PRIMERO. </w:t>
      </w:r>
      <w:r>
        <w:rPr>
          <w:rFonts w:ascii="Arial" w:eastAsia="Arial" w:hAnsi="Arial" w:cs="Arial"/>
          <w:i/>
          <w:color w:val="000000"/>
        </w:rPr>
        <w:t>[…]</w:t>
      </w:r>
    </w:p>
    <w:p w:rsidR="00733C45" w:rsidRDefault="00882EC8">
      <w:pPr>
        <w:pBdr>
          <w:top w:val="nil"/>
          <w:left w:val="nil"/>
          <w:bottom w:val="nil"/>
          <w:right w:val="nil"/>
          <w:between w:val="nil"/>
        </w:pBdr>
        <w:tabs>
          <w:tab w:val="left" w:pos="709"/>
        </w:tabs>
        <w:spacing w:after="0"/>
        <w:ind w:left="709" w:right="899"/>
        <w:rPr>
          <w:rFonts w:ascii="Arial" w:eastAsia="Arial" w:hAnsi="Arial" w:cs="Arial"/>
          <w:i/>
          <w:color w:val="000000"/>
        </w:rPr>
      </w:pPr>
      <w:r>
        <w:rPr>
          <w:rFonts w:ascii="Arial" w:eastAsia="Arial" w:hAnsi="Arial" w:cs="Arial"/>
          <w:b/>
          <w:i/>
          <w:color w:val="000000"/>
        </w:rPr>
        <w:t>SEGUNDO.</w:t>
      </w:r>
      <w:r>
        <w:rPr>
          <w:rFonts w:ascii="Arial" w:eastAsia="Arial" w:hAnsi="Arial" w:cs="Arial"/>
          <w:i/>
          <w:color w:val="000000"/>
        </w:rPr>
        <w:t xml:space="preserve"> Este H. Ayuntamiento por conducto de la Subdirección de Desarrollo Urbano Municipal Niega </w:t>
      </w:r>
      <w:r>
        <w:rPr>
          <w:rFonts w:ascii="Arial" w:eastAsia="Arial" w:hAnsi="Arial" w:cs="Arial"/>
          <w:b/>
          <w:i/>
          <w:color w:val="000000"/>
        </w:rPr>
        <w:t xml:space="preserve">OTORGAR </w:t>
      </w:r>
      <w:r>
        <w:rPr>
          <w:rFonts w:ascii="Arial" w:eastAsia="Arial" w:hAnsi="Arial" w:cs="Arial"/>
          <w:i/>
          <w:color w:val="000000"/>
        </w:rPr>
        <w:t xml:space="preserve">a favor del C. </w:t>
      </w:r>
      <w:r w:rsidR="00292436">
        <w:rPr>
          <w:rFonts w:ascii="Arial" w:eastAsia="Arial" w:hAnsi="Arial" w:cs="Arial"/>
          <w:i/>
          <w:color w:val="000000"/>
        </w:rPr>
        <w:t>**********</w:t>
      </w:r>
      <w:r>
        <w:rPr>
          <w:rFonts w:ascii="Arial" w:eastAsia="Arial" w:hAnsi="Arial" w:cs="Arial"/>
          <w:i/>
          <w:color w:val="000000"/>
        </w:rPr>
        <w:t xml:space="preserve">, la Licencia de Construcción en los lotes </w:t>
      </w:r>
      <w:r w:rsidR="00292436">
        <w:rPr>
          <w:rFonts w:ascii="Arial" w:eastAsia="Arial" w:hAnsi="Arial" w:cs="Arial"/>
          <w:i/>
          <w:color w:val="000000"/>
        </w:rPr>
        <w:t>**********</w:t>
      </w:r>
      <w:r>
        <w:rPr>
          <w:rFonts w:ascii="Arial" w:eastAsia="Arial" w:hAnsi="Arial" w:cs="Arial"/>
          <w:i/>
          <w:color w:val="000000"/>
        </w:rPr>
        <w:t xml:space="preserve"> de la manzana </w:t>
      </w:r>
      <w:r w:rsidR="00292436">
        <w:rPr>
          <w:rFonts w:ascii="Arial" w:eastAsia="Arial" w:hAnsi="Arial" w:cs="Arial"/>
          <w:i/>
          <w:color w:val="000000"/>
        </w:rPr>
        <w:t>**********</w:t>
      </w:r>
      <w:r>
        <w:rPr>
          <w:rFonts w:ascii="Arial" w:eastAsia="Arial" w:hAnsi="Arial" w:cs="Arial"/>
          <w:i/>
          <w:color w:val="000000"/>
        </w:rPr>
        <w:t xml:space="preserve"> del Fraccionamiento </w:t>
      </w:r>
      <w:r w:rsidR="00292436">
        <w:rPr>
          <w:rFonts w:ascii="Arial" w:eastAsia="Arial" w:hAnsi="Arial" w:cs="Arial"/>
          <w:i/>
          <w:color w:val="000000"/>
        </w:rPr>
        <w:t>***********</w:t>
      </w:r>
      <w:r>
        <w:rPr>
          <w:rFonts w:ascii="Arial" w:eastAsia="Arial" w:hAnsi="Arial" w:cs="Arial"/>
          <w:i/>
          <w:color w:val="000000"/>
        </w:rPr>
        <w:t>, del Municipio de San Juan Bautista Tuxtepec, Oaxaca, en los términos precisados.</w:t>
      </w:r>
    </w:p>
    <w:p w:rsidR="00733C45" w:rsidRDefault="00882EC8">
      <w:pPr>
        <w:pBdr>
          <w:top w:val="nil"/>
          <w:left w:val="nil"/>
          <w:bottom w:val="nil"/>
          <w:right w:val="nil"/>
          <w:between w:val="nil"/>
        </w:pBdr>
        <w:tabs>
          <w:tab w:val="left" w:pos="709"/>
        </w:tabs>
        <w:spacing w:after="0"/>
        <w:ind w:left="709" w:right="899"/>
        <w:rPr>
          <w:rFonts w:ascii="Arial" w:eastAsia="Arial" w:hAnsi="Arial" w:cs="Arial"/>
          <w:i/>
          <w:color w:val="000000"/>
        </w:rPr>
      </w:pPr>
      <w:r>
        <w:rPr>
          <w:rFonts w:ascii="Arial" w:eastAsia="Arial" w:hAnsi="Arial" w:cs="Arial"/>
          <w:b/>
          <w:i/>
          <w:color w:val="000000"/>
        </w:rPr>
        <w:t xml:space="preserve">TERCERO. </w:t>
      </w:r>
      <w:r>
        <w:rPr>
          <w:rFonts w:ascii="Arial" w:eastAsia="Arial" w:hAnsi="Arial" w:cs="Arial"/>
          <w:i/>
          <w:color w:val="000000"/>
        </w:rPr>
        <w:t>SE REVOCA la LICENCIA DE CON</w:t>
      </w:r>
      <w:r>
        <w:rPr>
          <w:rFonts w:ascii="Arial" w:eastAsia="Arial" w:hAnsi="Arial" w:cs="Arial"/>
          <w:i/>
          <w:color w:val="000000"/>
        </w:rPr>
        <w:t xml:space="preserve">STRUCCIÓN DE BARDA PERIMETRAL en la Privada de </w:t>
      </w:r>
      <w:r w:rsidR="00292436">
        <w:rPr>
          <w:rFonts w:ascii="Arial" w:eastAsia="Arial" w:hAnsi="Arial" w:cs="Arial"/>
          <w:i/>
          <w:color w:val="000000"/>
        </w:rPr>
        <w:t>**********</w:t>
      </w:r>
      <w:r>
        <w:rPr>
          <w:rFonts w:ascii="Arial" w:eastAsia="Arial" w:hAnsi="Arial" w:cs="Arial"/>
          <w:i/>
          <w:color w:val="000000"/>
        </w:rPr>
        <w:t xml:space="preserve">, Lote </w:t>
      </w:r>
      <w:r w:rsidR="00292436">
        <w:rPr>
          <w:rFonts w:ascii="Arial" w:eastAsia="Arial" w:hAnsi="Arial" w:cs="Arial"/>
          <w:i/>
          <w:color w:val="000000"/>
        </w:rPr>
        <w:t>**********</w:t>
      </w:r>
      <w:r>
        <w:rPr>
          <w:rFonts w:ascii="Arial" w:eastAsia="Arial" w:hAnsi="Arial" w:cs="Arial"/>
          <w:i/>
          <w:color w:val="000000"/>
        </w:rPr>
        <w:t xml:space="preserve"> Manzana </w:t>
      </w:r>
      <w:r w:rsidR="00292436">
        <w:rPr>
          <w:rFonts w:ascii="Arial" w:eastAsia="Arial" w:hAnsi="Arial" w:cs="Arial"/>
          <w:i/>
          <w:color w:val="000000"/>
        </w:rPr>
        <w:t>**********</w:t>
      </w:r>
      <w:r>
        <w:rPr>
          <w:rFonts w:ascii="Arial" w:eastAsia="Arial" w:hAnsi="Arial" w:cs="Arial"/>
          <w:i/>
          <w:color w:val="000000"/>
        </w:rPr>
        <w:t xml:space="preserve"> del Fraccionamiento </w:t>
      </w:r>
      <w:r w:rsidR="00292436">
        <w:rPr>
          <w:rFonts w:ascii="Arial" w:eastAsia="Arial" w:hAnsi="Arial" w:cs="Arial"/>
          <w:i/>
          <w:color w:val="000000"/>
        </w:rPr>
        <w:t>**********</w:t>
      </w:r>
      <w:r>
        <w:rPr>
          <w:rFonts w:ascii="Arial" w:eastAsia="Arial" w:hAnsi="Arial" w:cs="Arial"/>
          <w:i/>
          <w:color w:val="000000"/>
        </w:rPr>
        <w:t xml:space="preserve"> emitida mediante oficio DDU/XIV/1794/2021, de fecha 30 de noviembre de 2021 a nombre del C. </w:t>
      </w:r>
      <w:r w:rsidR="00292436">
        <w:rPr>
          <w:rFonts w:ascii="Arial" w:eastAsia="Arial" w:hAnsi="Arial" w:cs="Arial"/>
          <w:i/>
          <w:color w:val="000000"/>
        </w:rPr>
        <w:t>**********</w:t>
      </w:r>
      <w:r>
        <w:rPr>
          <w:rFonts w:ascii="Arial" w:eastAsia="Arial" w:hAnsi="Arial" w:cs="Arial"/>
          <w:i/>
          <w:color w:val="000000"/>
        </w:rPr>
        <w:t>, por las razones y</w:t>
      </w:r>
      <w:r>
        <w:rPr>
          <w:rFonts w:ascii="Arial" w:eastAsia="Arial" w:hAnsi="Arial" w:cs="Arial"/>
          <w:i/>
          <w:color w:val="000000"/>
        </w:rPr>
        <w:t xml:space="preserve"> considerandos señalados.</w:t>
      </w:r>
    </w:p>
    <w:p w:rsidR="00733C45" w:rsidRDefault="00882EC8">
      <w:pPr>
        <w:pBdr>
          <w:top w:val="nil"/>
          <w:left w:val="nil"/>
          <w:bottom w:val="nil"/>
          <w:right w:val="nil"/>
          <w:between w:val="nil"/>
        </w:pBdr>
        <w:tabs>
          <w:tab w:val="left" w:pos="709"/>
        </w:tabs>
        <w:spacing w:before="200" w:after="0"/>
        <w:ind w:left="709" w:right="899"/>
        <w:rPr>
          <w:rFonts w:ascii="Arial" w:eastAsia="Arial" w:hAnsi="Arial" w:cs="Arial"/>
          <w:i/>
          <w:color w:val="000000"/>
        </w:rPr>
      </w:pPr>
      <w:r>
        <w:rPr>
          <w:rFonts w:ascii="Arial" w:eastAsia="Arial" w:hAnsi="Arial" w:cs="Arial"/>
          <w:b/>
          <w:i/>
          <w:color w:val="000000"/>
        </w:rPr>
        <w:lastRenderedPageBreak/>
        <w:t>CUARTO.</w:t>
      </w:r>
      <w:r>
        <w:rPr>
          <w:rFonts w:ascii="Arial" w:eastAsia="Arial" w:hAnsi="Arial" w:cs="Arial"/>
          <w:i/>
          <w:color w:val="000000"/>
        </w:rPr>
        <w:t xml:space="preserve"> Se faculta a los CC. </w:t>
      </w:r>
      <w:r w:rsidR="00292436">
        <w:rPr>
          <w:rFonts w:ascii="Arial" w:eastAsia="Arial" w:hAnsi="Arial" w:cs="Arial"/>
          <w:i/>
          <w:color w:val="000000"/>
        </w:rPr>
        <w:t>**********</w:t>
      </w:r>
      <w:r>
        <w:rPr>
          <w:rFonts w:ascii="Arial" w:eastAsia="Arial" w:hAnsi="Arial" w:cs="Arial"/>
          <w:i/>
          <w:color w:val="000000"/>
        </w:rPr>
        <w:t xml:space="preserve"> y </w:t>
      </w:r>
      <w:r w:rsidR="00292436">
        <w:rPr>
          <w:rFonts w:ascii="Arial" w:eastAsia="Arial" w:hAnsi="Arial" w:cs="Arial"/>
          <w:i/>
          <w:color w:val="000000"/>
        </w:rPr>
        <w:t>**********</w:t>
      </w:r>
      <w:r>
        <w:rPr>
          <w:rFonts w:ascii="Arial" w:eastAsia="Arial" w:hAnsi="Arial" w:cs="Arial"/>
          <w:i/>
          <w:color w:val="000000"/>
        </w:rPr>
        <w:t xml:space="preserve">, Supervisores asignados a la Subdirección de Desarrollo Urbano del Municipio de San Juan Bautista, Tuxtepec, Oaxaca, para llevar a cabo la diligencia de </w:t>
      </w:r>
      <w:r>
        <w:rPr>
          <w:rFonts w:ascii="Arial" w:eastAsia="Arial" w:hAnsi="Arial" w:cs="Arial"/>
          <w:b/>
          <w:i/>
          <w:color w:val="000000"/>
        </w:rPr>
        <w:t xml:space="preserve">CLAUSURA DEFINITIVA </w:t>
      </w:r>
      <w:r>
        <w:rPr>
          <w:rFonts w:ascii="Arial" w:eastAsia="Arial" w:hAnsi="Arial" w:cs="Arial"/>
          <w:i/>
          <w:color w:val="000000"/>
        </w:rPr>
        <w:t xml:space="preserve">de </w:t>
      </w:r>
      <w:r>
        <w:rPr>
          <w:rFonts w:ascii="Arial" w:eastAsia="Arial" w:hAnsi="Arial" w:cs="Arial"/>
          <w:i/>
          <w:color w:val="000000"/>
        </w:rPr>
        <w:t xml:space="preserve">los trabajos de construcción de barda perimetral en el domicilio ubicado en Privada </w:t>
      </w:r>
      <w:r w:rsidR="00292436">
        <w:rPr>
          <w:rFonts w:ascii="Arial" w:eastAsia="Arial" w:hAnsi="Arial" w:cs="Arial"/>
          <w:i/>
          <w:color w:val="000000"/>
        </w:rPr>
        <w:t>**********</w:t>
      </w:r>
      <w:r>
        <w:rPr>
          <w:rFonts w:ascii="Arial" w:eastAsia="Arial" w:hAnsi="Arial" w:cs="Arial"/>
          <w:i/>
          <w:color w:val="000000"/>
        </w:rPr>
        <w:t xml:space="preserve">, Lote </w:t>
      </w:r>
      <w:r w:rsidR="00292436">
        <w:rPr>
          <w:rFonts w:ascii="Arial" w:eastAsia="Arial" w:hAnsi="Arial" w:cs="Arial"/>
          <w:i/>
          <w:color w:val="000000"/>
        </w:rPr>
        <w:t>**********</w:t>
      </w:r>
      <w:r>
        <w:rPr>
          <w:rFonts w:ascii="Arial" w:eastAsia="Arial" w:hAnsi="Arial" w:cs="Arial"/>
          <w:i/>
          <w:color w:val="000000"/>
        </w:rPr>
        <w:t xml:space="preserve"> Manzana </w:t>
      </w:r>
      <w:r w:rsidR="00292436">
        <w:rPr>
          <w:rFonts w:ascii="Arial" w:eastAsia="Arial" w:hAnsi="Arial" w:cs="Arial"/>
          <w:i/>
          <w:color w:val="000000"/>
        </w:rPr>
        <w:t>**********</w:t>
      </w:r>
      <w:r>
        <w:rPr>
          <w:rFonts w:ascii="Arial" w:eastAsia="Arial" w:hAnsi="Arial" w:cs="Arial"/>
          <w:i/>
          <w:color w:val="000000"/>
        </w:rPr>
        <w:t xml:space="preserve"> del Fraccionamiento </w:t>
      </w:r>
      <w:r w:rsidR="00292436">
        <w:rPr>
          <w:rFonts w:ascii="Arial" w:eastAsia="Arial" w:hAnsi="Arial" w:cs="Arial"/>
          <w:i/>
          <w:color w:val="000000"/>
        </w:rPr>
        <w:t>**********</w:t>
      </w:r>
      <w:r>
        <w:rPr>
          <w:rFonts w:ascii="Arial" w:eastAsia="Arial" w:hAnsi="Arial" w:cs="Arial"/>
          <w:i/>
          <w:color w:val="000000"/>
        </w:rPr>
        <w:t>. Colocando para tal efecto los respectivos sellos de Clausura.”</w:t>
      </w:r>
    </w:p>
    <w:p w:rsidR="00733C45" w:rsidRDefault="00882EC8">
      <w:pPr>
        <w:numPr>
          <w:ilvl w:val="0"/>
          <w:numId w:val="2"/>
        </w:numPr>
        <w:pBdr>
          <w:top w:val="nil"/>
          <w:left w:val="nil"/>
          <w:bottom w:val="nil"/>
          <w:right w:val="nil"/>
          <w:between w:val="nil"/>
        </w:pBdr>
        <w:spacing w:before="200" w:after="0"/>
        <w:ind w:left="0" w:firstLine="709"/>
        <w:rPr>
          <w:color w:val="000000"/>
          <w:sz w:val="24"/>
          <w:szCs w:val="24"/>
        </w:rPr>
      </w:pPr>
      <w:r>
        <w:rPr>
          <w:rFonts w:ascii="Arial" w:eastAsia="Arial" w:hAnsi="Arial" w:cs="Arial"/>
          <w:color w:val="000000"/>
          <w:sz w:val="24"/>
          <w:szCs w:val="24"/>
        </w:rPr>
        <w:t xml:space="preserve">Como se observa de la anterior </w:t>
      </w:r>
      <w:r>
        <w:rPr>
          <w:rFonts w:ascii="Arial" w:eastAsia="Arial" w:hAnsi="Arial" w:cs="Arial"/>
          <w:color w:val="000000"/>
          <w:sz w:val="24"/>
          <w:szCs w:val="24"/>
        </w:rPr>
        <w:t xml:space="preserve">transcripción, el </w:t>
      </w:r>
      <w:r>
        <w:rPr>
          <w:rFonts w:ascii="Arial" w:eastAsia="Arial" w:hAnsi="Arial" w:cs="Arial"/>
          <w:i/>
          <w:color w:val="000000"/>
          <w:sz w:val="24"/>
          <w:szCs w:val="24"/>
        </w:rPr>
        <w:t>Director de Obras</w:t>
      </w:r>
      <w:r>
        <w:rPr>
          <w:rFonts w:ascii="Arial" w:eastAsia="Arial" w:hAnsi="Arial" w:cs="Arial"/>
          <w:color w:val="000000"/>
          <w:sz w:val="24"/>
          <w:szCs w:val="24"/>
        </w:rPr>
        <w:t xml:space="preserve"> fundó su competencia para emitir el acto impugnado, en </w:t>
      </w:r>
      <w:proofErr w:type="spellStart"/>
      <w:r>
        <w:rPr>
          <w:rFonts w:ascii="Arial" w:eastAsia="Arial" w:hAnsi="Arial" w:cs="Arial"/>
          <w:color w:val="000000"/>
          <w:sz w:val="24"/>
          <w:szCs w:val="24"/>
        </w:rPr>
        <w:t>lo</w:t>
      </w:r>
      <w:proofErr w:type="spellEnd"/>
      <w:r>
        <w:rPr>
          <w:rFonts w:ascii="Arial" w:eastAsia="Arial" w:hAnsi="Arial" w:cs="Arial"/>
          <w:color w:val="000000"/>
          <w:sz w:val="24"/>
          <w:szCs w:val="24"/>
        </w:rPr>
        <w:t xml:space="preserve"> artículos 49, fracción XV del Reglamento Interior de la Administración Municipal de San Juan Bautista Tuxtepec, Oaxaca, en relación con los artículos 5º fracción </w:t>
      </w:r>
      <w:r>
        <w:rPr>
          <w:rFonts w:ascii="Arial" w:eastAsia="Arial" w:hAnsi="Arial" w:cs="Arial"/>
          <w:color w:val="000000"/>
          <w:sz w:val="24"/>
          <w:szCs w:val="24"/>
        </w:rPr>
        <w:t>(sic) V, XI, XII, XIII, XIV, XV; 186, fracciones I y VII; 217 fracción II y 218 de la Ley de Ordenamiento Territorial y Desarrollo Urbano para el Estado de Oaxaca, 334, 335, 339. fracción IX y 350. fracción II del Reglamento de Construcción y Seguridad Est</w:t>
      </w:r>
      <w:r>
        <w:rPr>
          <w:rFonts w:ascii="Arial" w:eastAsia="Arial" w:hAnsi="Arial" w:cs="Arial"/>
          <w:color w:val="000000"/>
          <w:sz w:val="24"/>
          <w:szCs w:val="24"/>
        </w:rPr>
        <w:t xml:space="preserve">ructural para el Estado de Oaxaca vigente; preceptos legales que </w:t>
      </w:r>
      <w:r>
        <w:rPr>
          <w:rFonts w:ascii="Arial" w:eastAsia="Arial" w:hAnsi="Arial" w:cs="Arial"/>
          <w:b/>
          <w:color w:val="000000"/>
          <w:sz w:val="24"/>
          <w:szCs w:val="24"/>
        </w:rPr>
        <w:t xml:space="preserve">no </w:t>
      </w:r>
      <w:r>
        <w:rPr>
          <w:rFonts w:ascii="Arial" w:eastAsia="Arial" w:hAnsi="Arial" w:cs="Arial"/>
          <w:b/>
          <w:sz w:val="24"/>
          <w:szCs w:val="24"/>
        </w:rPr>
        <w:t>facultan a</w:t>
      </w:r>
      <w:r>
        <w:rPr>
          <w:rFonts w:ascii="Arial" w:eastAsia="Arial" w:hAnsi="Arial" w:cs="Arial"/>
          <w:b/>
          <w:color w:val="000000"/>
          <w:sz w:val="24"/>
          <w:szCs w:val="24"/>
        </w:rPr>
        <w:t xml:space="preserve"> dicha autoridad para </w:t>
      </w:r>
      <w:r>
        <w:rPr>
          <w:rFonts w:ascii="Arial" w:eastAsia="Arial" w:hAnsi="Arial" w:cs="Arial"/>
          <w:color w:val="000000"/>
          <w:sz w:val="24"/>
          <w:szCs w:val="24"/>
        </w:rPr>
        <w:t xml:space="preserve">negar a </w:t>
      </w:r>
      <w:r w:rsidR="00292436">
        <w:rPr>
          <w:rFonts w:ascii="Arial" w:eastAsia="Arial" w:hAnsi="Arial" w:cs="Arial"/>
          <w:b/>
          <w:color w:val="000000"/>
          <w:sz w:val="24"/>
          <w:szCs w:val="24"/>
        </w:rPr>
        <w:t>**********</w:t>
      </w:r>
      <w:r>
        <w:rPr>
          <w:rFonts w:ascii="Arial" w:eastAsia="Arial" w:hAnsi="Arial" w:cs="Arial"/>
          <w:b/>
          <w:color w:val="000000"/>
          <w:sz w:val="24"/>
          <w:szCs w:val="24"/>
        </w:rPr>
        <w:t xml:space="preserve">, </w:t>
      </w:r>
      <w:r>
        <w:rPr>
          <w:rFonts w:ascii="Arial" w:eastAsia="Arial" w:hAnsi="Arial" w:cs="Arial"/>
          <w:color w:val="000000"/>
          <w:sz w:val="24"/>
          <w:szCs w:val="24"/>
        </w:rPr>
        <w:t xml:space="preserve">la licencia de construcción de una barda perimetral en los lotes </w:t>
      </w:r>
      <w:r w:rsidR="00292436">
        <w:rPr>
          <w:rFonts w:ascii="Arial" w:eastAsia="Arial" w:hAnsi="Arial" w:cs="Arial"/>
          <w:color w:val="000000"/>
          <w:sz w:val="24"/>
          <w:szCs w:val="24"/>
        </w:rPr>
        <w:t>**********</w:t>
      </w:r>
      <w:r>
        <w:rPr>
          <w:rFonts w:ascii="Arial" w:eastAsia="Arial" w:hAnsi="Arial" w:cs="Arial"/>
          <w:color w:val="000000"/>
          <w:sz w:val="24"/>
          <w:szCs w:val="24"/>
        </w:rPr>
        <w:t xml:space="preserve"> y </w:t>
      </w:r>
      <w:r w:rsidR="00292436">
        <w:rPr>
          <w:rFonts w:ascii="Arial" w:eastAsia="Arial" w:hAnsi="Arial" w:cs="Arial"/>
          <w:color w:val="000000"/>
          <w:sz w:val="24"/>
          <w:szCs w:val="24"/>
        </w:rPr>
        <w:t>**********</w:t>
      </w:r>
      <w:r>
        <w:rPr>
          <w:rFonts w:ascii="Arial" w:eastAsia="Arial" w:hAnsi="Arial" w:cs="Arial"/>
          <w:color w:val="000000"/>
          <w:sz w:val="24"/>
          <w:szCs w:val="24"/>
        </w:rPr>
        <w:t xml:space="preserve"> de la manzana </w:t>
      </w:r>
      <w:r w:rsidR="00292436">
        <w:rPr>
          <w:rFonts w:ascii="Arial" w:eastAsia="Arial" w:hAnsi="Arial" w:cs="Arial"/>
          <w:color w:val="000000"/>
          <w:sz w:val="24"/>
          <w:szCs w:val="24"/>
        </w:rPr>
        <w:t>**********</w:t>
      </w:r>
      <w:r>
        <w:rPr>
          <w:rFonts w:ascii="Arial" w:eastAsia="Arial" w:hAnsi="Arial" w:cs="Arial"/>
          <w:color w:val="000000"/>
          <w:sz w:val="24"/>
          <w:szCs w:val="24"/>
        </w:rPr>
        <w:t xml:space="preserve">, del Fraccionamiento </w:t>
      </w:r>
      <w:r w:rsidR="00292436">
        <w:rPr>
          <w:rFonts w:ascii="Arial" w:eastAsia="Arial" w:hAnsi="Arial" w:cs="Arial"/>
          <w:color w:val="000000"/>
          <w:sz w:val="24"/>
          <w:szCs w:val="24"/>
        </w:rPr>
        <w:t>**********</w:t>
      </w:r>
      <w:r>
        <w:rPr>
          <w:rFonts w:ascii="Arial" w:eastAsia="Arial" w:hAnsi="Arial" w:cs="Arial"/>
          <w:color w:val="000000"/>
          <w:sz w:val="24"/>
          <w:szCs w:val="24"/>
        </w:rPr>
        <w:t>, del Municipio de San Juan Bautista Tuxtepec, Oaxaca, así como para revocar la diversa licencia de construcción emitida po</w:t>
      </w:r>
      <w:r>
        <w:rPr>
          <w:rFonts w:ascii="Arial" w:eastAsia="Arial" w:hAnsi="Arial" w:cs="Arial"/>
          <w:color w:val="000000"/>
          <w:sz w:val="24"/>
          <w:szCs w:val="24"/>
        </w:rPr>
        <w:t xml:space="preserve">r el entonces Director de Desarrollo Urbano del citado Municipio, mediante oficio DDU/XIV/1794/2021 de fecha treintas de noviembre de dos mil veintiuno a nombre del aquí actor,  y como consecuencia la clausura de obra en ejecución. </w:t>
      </w:r>
    </w:p>
    <w:p w:rsidR="00733C45" w:rsidRDefault="00733C45">
      <w:pPr>
        <w:pBdr>
          <w:top w:val="nil"/>
          <w:left w:val="nil"/>
          <w:bottom w:val="nil"/>
          <w:right w:val="nil"/>
          <w:between w:val="nil"/>
        </w:pBdr>
        <w:spacing w:before="200" w:after="0"/>
        <w:ind w:left="709"/>
        <w:rPr>
          <w:rFonts w:ascii="Arial" w:eastAsia="Arial" w:hAnsi="Arial" w:cs="Arial"/>
          <w:color w:val="000000"/>
          <w:sz w:val="24"/>
          <w:szCs w:val="24"/>
        </w:rPr>
      </w:pPr>
    </w:p>
    <w:p w:rsidR="00733C45" w:rsidRDefault="00882EC8">
      <w:pPr>
        <w:numPr>
          <w:ilvl w:val="0"/>
          <w:numId w:val="2"/>
        </w:numPr>
        <w:pBdr>
          <w:top w:val="nil"/>
          <w:left w:val="nil"/>
          <w:bottom w:val="nil"/>
          <w:right w:val="nil"/>
          <w:between w:val="nil"/>
        </w:pBdr>
        <w:spacing w:before="0" w:after="0"/>
        <w:ind w:left="0" w:right="49" w:firstLine="709"/>
        <w:rPr>
          <w:color w:val="000000"/>
          <w:sz w:val="26"/>
          <w:szCs w:val="26"/>
        </w:rPr>
      </w:pPr>
      <w:r>
        <w:rPr>
          <w:rFonts w:ascii="Arial" w:eastAsia="Arial" w:hAnsi="Arial" w:cs="Arial"/>
          <w:color w:val="000000"/>
          <w:sz w:val="26"/>
          <w:szCs w:val="26"/>
        </w:rPr>
        <w:t>Los citados preceptos establecen lo siguiente:</w:t>
      </w:r>
    </w:p>
    <w:p w:rsidR="00733C45" w:rsidRDefault="00882EC8">
      <w:pPr>
        <w:pBdr>
          <w:top w:val="nil"/>
          <w:left w:val="nil"/>
          <w:bottom w:val="nil"/>
          <w:right w:val="nil"/>
          <w:between w:val="nil"/>
        </w:pBdr>
        <w:spacing w:before="0" w:after="0" w:line="240" w:lineRule="auto"/>
        <w:ind w:left="709" w:right="902"/>
        <w:jc w:val="center"/>
        <w:rPr>
          <w:rFonts w:ascii="Arial" w:eastAsia="Arial" w:hAnsi="Arial" w:cs="Arial"/>
          <w:b/>
          <w:i/>
          <w:color w:val="000000"/>
        </w:rPr>
      </w:pPr>
      <w:r>
        <w:rPr>
          <w:rFonts w:ascii="Arial" w:eastAsia="Arial" w:hAnsi="Arial" w:cs="Arial"/>
          <w:b/>
          <w:i/>
          <w:color w:val="000000"/>
        </w:rPr>
        <w:t xml:space="preserve">Reglamento Interior </w:t>
      </w:r>
    </w:p>
    <w:p w:rsidR="00733C45" w:rsidRDefault="00733C45">
      <w:pPr>
        <w:pBdr>
          <w:top w:val="nil"/>
          <w:left w:val="nil"/>
          <w:bottom w:val="nil"/>
          <w:right w:val="nil"/>
          <w:between w:val="nil"/>
        </w:pBdr>
        <w:spacing w:before="0" w:after="0" w:line="240" w:lineRule="auto"/>
        <w:ind w:left="709" w:right="902"/>
        <w:jc w:val="center"/>
        <w:rPr>
          <w:rFonts w:ascii="Arial" w:eastAsia="Arial" w:hAnsi="Arial" w:cs="Arial"/>
          <w:b/>
          <w:i/>
          <w:color w:val="000000"/>
        </w:rPr>
      </w:pPr>
    </w:p>
    <w:p w:rsidR="00733C45" w:rsidRDefault="00882EC8">
      <w:pPr>
        <w:spacing w:before="0" w:after="0" w:line="240" w:lineRule="auto"/>
        <w:ind w:left="709" w:right="899"/>
        <w:rPr>
          <w:rFonts w:ascii="Arial" w:eastAsia="Arial" w:hAnsi="Arial" w:cs="Arial"/>
          <w:i/>
          <w:color w:val="000000"/>
        </w:rPr>
      </w:pPr>
      <w:r>
        <w:rPr>
          <w:rFonts w:ascii="Arial" w:eastAsia="Arial" w:hAnsi="Arial" w:cs="Arial"/>
          <w:b/>
          <w:i/>
          <w:color w:val="000000"/>
        </w:rPr>
        <w:t>“</w:t>
      </w:r>
      <w:r>
        <w:rPr>
          <w:rFonts w:ascii="Arial" w:eastAsia="Arial" w:hAnsi="Arial" w:cs="Arial"/>
          <w:b/>
          <w:i/>
        </w:rPr>
        <w:t>ARTÍCULO</w:t>
      </w:r>
      <w:r>
        <w:rPr>
          <w:rFonts w:ascii="Arial" w:eastAsia="Arial" w:hAnsi="Arial" w:cs="Arial"/>
          <w:b/>
          <w:i/>
          <w:color w:val="000000"/>
        </w:rPr>
        <w:t xml:space="preserve"> 49.- </w:t>
      </w:r>
      <w:r>
        <w:rPr>
          <w:rFonts w:ascii="Arial" w:eastAsia="Arial" w:hAnsi="Arial" w:cs="Arial"/>
          <w:i/>
          <w:color w:val="000000"/>
        </w:rPr>
        <w:t xml:space="preserve">La Dirección de Servicios Básicos para su mejor control tendrá a su cargo: un subdirector de servicios Básicos, un coordinador administrativo, una jefatura de limpia y alumbrado público, una jefatura  de  vivero  municipal,  una  jefatura de mantenimiento </w:t>
      </w:r>
      <w:r>
        <w:rPr>
          <w:rFonts w:ascii="Arial" w:eastAsia="Arial" w:hAnsi="Arial" w:cs="Arial"/>
          <w:i/>
          <w:color w:val="000000"/>
        </w:rPr>
        <w:t>urbano y una jefatura de panteones.”</w:t>
      </w:r>
    </w:p>
    <w:p w:rsidR="00733C45" w:rsidRDefault="00882EC8">
      <w:pPr>
        <w:spacing w:before="0" w:after="0" w:line="240" w:lineRule="auto"/>
        <w:ind w:left="709" w:right="899"/>
        <w:jc w:val="center"/>
        <w:rPr>
          <w:rFonts w:ascii="Arial" w:eastAsia="Arial" w:hAnsi="Arial" w:cs="Arial"/>
          <w:b/>
          <w:i/>
        </w:rPr>
      </w:pPr>
      <w:r>
        <w:rPr>
          <w:rFonts w:ascii="Arial" w:eastAsia="Arial" w:hAnsi="Arial" w:cs="Arial"/>
          <w:b/>
          <w:i/>
        </w:rPr>
        <w:t xml:space="preserve">Ley de Ordenamiento </w:t>
      </w:r>
    </w:p>
    <w:p w:rsidR="00733C45" w:rsidRDefault="00733C45">
      <w:pPr>
        <w:spacing w:before="0" w:after="0" w:line="240" w:lineRule="auto"/>
        <w:ind w:left="709" w:right="899"/>
        <w:jc w:val="center"/>
        <w:rPr>
          <w:rFonts w:ascii="Arial" w:eastAsia="Arial" w:hAnsi="Arial" w:cs="Arial"/>
          <w:b/>
          <w:i/>
        </w:rPr>
      </w:pPr>
    </w:p>
    <w:p w:rsidR="00733C45" w:rsidRDefault="00882EC8">
      <w:pPr>
        <w:spacing w:before="0" w:after="0" w:line="240" w:lineRule="auto"/>
        <w:ind w:left="709" w:right="899"/>
        <w:rPr>
          <w:rFonts w:ascii="Arial" w:eastAsia="Arial" w:hAnsi="Arial" w:cs="Arial"/>
          <w:i/>
          <w:color w:val="000000"/>
        </w:rPr>
      </w:pPr>
      <w:r>
        <w:rPr>
          <w:rFonts w:ascii="Arial" w:eastAsia="Arial" w:hAnsi="Arial" w:cs="Arial"/>
          <w:b/>
          <w:i/>
          <w:color w:val="000000"/>
        </w:rPr>
        <w:t>ARTÍCULO</w:t>
      </w:r>
      <w:r>
        <w:rPr>
          <w:rFonts w:ascii="Arial" w:eastAsia="Arial" w:hAnsi="Arial" w:cs="Arial"/>
          <w:i/>
          <w:color w:val="000000"/>
        </w:rPr>
        <w:t xml:space="preserve"> </w:t>
      </w:r>
      <w:r>
        <w:rPr>
          <w:rFonts w:ascii="Arial" w:eastAsia="Arial" w:hAnsi="Arial" w:cs="Arial"/>
          <w:b/>
          <w:i/>
          <w:color w:val="000000"/>
        </w:rPr>
        <w:t>5.</w:t>
      </w:r>
      <w:r>
        <w:rPr>
          <w:rFonts w:ascii="Arial" w:eastAsia="Arial" w:hAnsi="Arial" w:cs="Arial"/>
          <w:i/>
          <w:color w:val="000000"/>
        </w:rPr>
        <w:t xml:space="preserve"> La aplicación de esta Ley corresponderá a: </w:t>
      </w:r>
    </w:p>
    <w:p w:rsidR="00733C45" w:rsidRDefault="00733C45">
      <w:pPr>
        <w:spacing w:before="0" w:after="0" w:line="240" w:lineRule="auto"/>
        <w:ind w:left="709" w:right="899"/>
        <w:rPr>
          <w:rFonts w:ascii="Arial" w:eastAsia="Arial" w:hAnsi="Arial" w:cs="Arial"/>
          <w:i/>
          <w:color w:val="000000"/>
        </w:rPr>
      </w:pPr>
    </w:p>
    <w:p w:rsidR="00733C45" w:rsidRDefault="00882EC8">
      <w:pPr>
        <w:spacing w:before="0" w:after="0" w:line="240" w:lineRule="auto"/>
        <w:ind w:left="709" w:right="899"/>
        <w:rPr>
          <w:rFonts w:ascii="Times New Roman" w:eastAsia="Times New Roman" w:hAnsi="Times New Roman" w:cs="Times New Roman"/>
          <w:i/>
          <w:sz w:val="24"/>
          <w:szCs w:val="24"/>
        </w:rPr>
      </w:pPr>
      <w:r>
        <w:rPr>
          <w:rFonts w:ascii="Arial" w:eastAsia="Arial" w:hAnsi="Arial" w:cs="Arial"/>
          <w:i/>
          <w:color w:val="000000"/>
        </w:rPr>
        <w:t xml:space="preserve">I. La Legislatura del Estado;  </w:t>
      </w:r>
    </w:p>
    <w:p w:rsidR="00733C45" w:rsidRDefault="00882EC8">
      <w:pPr>
        <w:spacing w:before="0" w:after="0" w:line="240" w:lineRule="auto"/>
        <w:ind w:left="709" w:right="899"/>
        <w:rPr>
          <w:rFonts w:ascii="Arial" w:eastAsia="Arial" w:hAnsi="Arial" w:cs="Arial"/>
          <w:i/>
          <w:color w:val="000000"/>
        </w:rPr>
      </w:pPr>
      <w:r>
        <w:rPr>
          <w:rFonts w:ascii="Arial" w:eastAsia="Arial" w:hAnsi="Arial" w:cs="Arial"/>
          <w:i/>
          <w:color w:val="000000"/>
        </w:rPr>
        <w:t>II. El Ejecutivo del Estado; y</w:t>
      </w:r>
    </w:p>
    <w:p w:rsidR="00733C45" w:rsidRDefault="00882EC8">
      <w:pPr>
        <w:spacing w:before="0" w:after="0" w:line="240" w:lineRule="auto"/>
        <w:ind w:left="709" w:right="899"/>
        <w:rPr>
          <w:rFonts w:ascii="Arial" w:eastAsia="Arial" w:hAnsi="Arial" w:cs="Arial"/>
          <w:i/>
          <w:color w:val="000000"/>
        </w:rPr>
      </w:pPr>
      <w:r>
        <w:rPr>
          <w:rFonts w:ascii="Arial" w:eastAsia="Arial" w:hAnsi="Arial" w:cs="Arial"/>
          <w:i/>
          <w:color w:val="000000"/>
        </w:rPr>
        <w:t>III. Los municipios, a través de sus respectivas autoridades.</w:t>
      </w:r>
    </w:p>
    <w:p w:rsidR="00733C45" w:rsidRDefault="00733C45">
      <w:pPr>
        <w:spacing w:before="0" w:after="0" w:line="240" w:lineRule="auto"/>
        <w:ind w:left="709" w:right="899"/>
        <w:rPr>
          <w:rFonts w:ascii="Arial" w:eastAsia="Arial" w:hAnsi="Arial" w:cs="Arial"/>
          <w:i/>
          <w:color w:val="000000"/>
        </w:rPr>
      </w:pPr>
    </w:p>
    <w:p w:rsidR="00733C45" w:rsidRDefault="00882EC8">
      <w:pPr>
        <w:spacing w:before="0" w:after="0" w:line="240" w:lineRule="auto"/>
        <w:ind w:left="709" w:right="899"/>
        <w:rPr>
          <w:rFonts w:ascii="Arial" w:eastAsia="Arial" w:hAnsi="Arial" w:cs="Arial"/>
          <w:i/>
          <w:color w:val="000000"/>
        </w:rPr>
      </w:pPr>
      <w:r>
        <w:rPr>
          <w:rFonts w:ascii="Arial" w:eastAsia="Arial" w:hAnsi="Arial" w:cs="Arial"/>
          <w:b/>
          <w:i/>
          <w:color w:val="000000"/>
        </w:rPr>
        <w:t>ARTÍCULO</w:t>
      </w:r>
      <w:r>
        <w:rPr>
          <w:rFonts w:ascii="Arial" w:eastAsia="Arial" w:hAnsi="Arial" w:cs="Arial"/>
          <w:i/>
          <w:color w:val="000000"/>
        </w:rPr>
        <w:t xml:space="preserve"> </w:t>
      </w:r>
      <w:r>
        <w:rPr>
          <w:rFonts w:ascii="Arial" w:eastAsia="Arial" w:hAnsi="Arial" w:cs="Arial"/>
          <w:b/>
          <w:i/>
          <w:color w:val="000000"/>
        </w:rPr>
        <w:t>186.</w:t>
      </w:r>
      <w:r>
        <w:rPr>
          <w:rFonts w:ascii="Arial" w:eastAsia="Arial" w:hAnsi="Arial" w:cs="Arial"/>
          <w:i/>
          <w:color w:val="000000"/>
        </w:rPr>
        <w:t xml:space="preserve"> Son facultades de los municipios, en el ámbito de su respectiva competencia,</w:t>
      </w:r>
      <w:r>
        <w:rPr>
          <w:rFonts w:ascii="Arial" w:eastAsia="Arial" w:hAnsi="Arial" w:cs="Arial"/>
          <w:i/>
        </w:rPr>
        <w:t xml:space="preserve"> </w:t>
      </w:r>
      <w:r>
        <w:rPr>
          <w:rFonts w:ascii="Arial" w:eastAsia="Arial" w:hAnsi="Arial" w:cs="Arial"/>
          <w:i/>
          <w:color w:val="000000"/>
        </w:rPr>
        <w:t xml:space="preserve">en materia de construcción: </w:t>
      </w:r>
    </w:p>
    <w:p w:rsidR="00733C45" w:rsidRDefault="00733C45">
      <w:pPr>
        <w:spacing w:before="0" w:after="0" w:line="240" w:lineRule="auto"/>
        <w:ind w:left="709" w:right="899"/>
        <w:rPr>
          <w:rFonts w:ascii="Arial" w:eastAsia="Arial" w:hAnsi="Arial" w:cs="Arial"/>
          <w:i/>
          <w:color w:val="000000"/>
        </w:rPr>
      </w:pPr>
    </w:p>
    <w:p w:rsidR="00733C45" w:rsidRDefault="00882EC8">
      <w:pPr>
        <w:spacing w:before="0" w:after="0" w:line="240" w:lineRule="auto"/>
        <w:ind w:left="709" w:right="899"/>
        <w:rPr>
          <w:rFonts w:ascii="Arial" w:eastAsia="Arial" w:hAnsi="Arial" w:cs="Arial"/>
          <w:i/>
          <w:color w:val="000000"/>
        </w:rPr>
      </w:pPr>
      <w:r>
        <w:rPr>
          <w:rFonts w:ascii="Arial" w:eastAsia="Arial" w:hAnsi="Arial" w:cs="Arial"/>
          <w:b/>
          <w:i/>
          <w:color w:val="000000"/>
        </w:rPr>
        <w:t>I.</w:t>
      </w:r>
      <w:r>
        <w:rPr>
          <w:rFonts w:ascii="Arial" w:eastAsia="Arial" w:hAnsi="Arial" w:cs="Arial"/>
          <w:i/>
          <w:color w:val="000000"/>
        </w:rPr>
        <w:t xml:space="preserve"> Dictaminar dentro del área urbanizada de los centros de población o municipios, sobre las restricciones arquitectónicas, urbanas y/o ecológicas c</w:t>
      </w:r>
      <w:r>
        <w:rPr>
          <w:rFonts w:ascii="Arial" w:eastAsia="Arial" w:hAnsi="Arial" w:cs="Arial"/>
          <w:i/>
          <w:color w:val="000000"/>
        </w:rPr>
        <w:t>ontenidas en los programas de</w:t>
      </w:r>
    </w:p>
    <w:p w:rsidR="00733C45" w:rsidRDefault="00882EC8">
      <w:pPr>
        <w:spacing w:before="0" w:after="0" w:line="240" w:lineRule="auto"/>
        <w:ind w:left="709" w:right="899"/>
        <w:rPr>
          <w:rFonts w:ascii="Arial" w:eastAsia="Arial" w:hAnsi="Arial" w:cs="Arial"/>
          <w:i/>
          <w:color w:val="000000"/>
        </w:rPr>
      </w:pPr>
      <w:proofErr w:type="gramStart"/>
      <w:r>
        <w:rPr>
          <w:rFonts w:ascii="Arial" w:eastAsia="Arial" w:hAnsi="Arial" w:cs="Arial"/>
          <w:i/>
          <w:color w:val="000000"/>
        </w:rPr>
        <w:t>ordenamiento</w:t>
      </w:r>
      <w:proofErr w:type="gramEnd"/>
      <w:r>
        <w:rPr>
          <w:rFonts w:ascii="Arial" w:eastAsia="Arial" w:hAnsi="Arial" w:cs="Arial"/>
          <w:i/>
          <w:color w:val="000000"/>
        </w:rPr>
        <w:t xml:space="preserve"> territorial y de desarrollo urbano correspondientes;</w:t>
      </w:r>
    </w:p>
    <w:p w:rsidR="00733C45" w:rsidRDefault="00733C45">
      <w:pPr>
        <w:spacing w:before="0" w:after="0" w:line="240" w:lineRule="auto"/>
        <w:ind w:left="709" w:right="899"/>
        <w:rPr>
          <w:rFonts w:ascii="Arial" w:eastAsia="Arial" w:hAnsi="Arial" w:cs="Arial"/>
          <w:i/>
          <w:color w:val="000000"/>
        </w:rPr>
      </w:pPr>
    </w:p>
    <w:p w:rsidR="00733C45" w:rsidRDefault="00882EC8">
      <w:pPr>
        <w:spacing w:before="0" w:after="0" w:line="240" w:lineRule="auto"/>
        <w:ind w:left="709" w:right="899"/>
        <w:rPr>
          <w:rFonts w:ascii="Arial" w:eastAsia="Arial" w:hAnsi="Arial" w:cs="Arial"/>
          <w:i/>
          <w:color w:val="000000"/>
        </w:rPr>
      </w:pPr>
      <w:r>
        <w:rPr>
          <w:rFonts w:ascii="Arial" w:eastAsia="Arial" w:hAnsi="Arial" w:cs="Arial"/>
          <w:b/>
          <w:i/>
          <w:color w:val="000000"/>
        </w:rPr>
        <w:t>VII.</w:t>
      </w:r>
      <w:r>
        <w:rPr>
          <w:rFonts w:ascii="Arial" w:eastAsia="Arial" w:hAnsi="Arial" w:cs="Arial"/>
          <w:i/>
          <w:color w:val="000000"/>
        </w:rPr>
        <w:t xml:space="preserve"> Imponer las sanciones a que se hagan acreedores los infractores de la presente Ley y sus reglamentos, en los términos que los mismos establecen; </w:t>
      </w:r>
    </w:p>
    <w:p w:rsidR="00733C45" w:rsidRDefault="00733C45">
      <w:pPr>
        <w:spacing w:before="0" w:after="0" w:line="240" w:lineRule="auto"/>
        <w:ind w:left="709" w:right="899"/>
        <w:rPr>
          <w:rFonts w:ascii="Arial" w:eastAsia="Arial" w:hAnsi="Arial" w:cs="Arial"/>
          <w:i/>
          <w:color w:val="000000"/>
        </w:rPr>
      </w:pPr>
    </w:p>
    <w:p w:rsidR="00733C45" w:rsidRDefault="00882EC8">
      <w:pPr>
        <w:spacing w:before="0" w:after="0" w:line="240" w:lineRule="auto"/>
        <w:ind w:left="709" w:right="899"/>
        <w:rPr>
          <w:rFonts w:ascii="Arial" w:eastAsia="Arial" w:hAnsi="Arial" w:cs="Arial"/>
          <w:i/>
          <w:color w:val="000000"/>
        </w:rPr>
      </w:pPr>
      <w:r>
        <w:rPr>
          <w:rFonts w:ascii="Arial" w:eastAsia="Arial" w:hAnsi="Arial" w:cs="Arial"/>
          <w:b/>
          <w:i/>
          <w:color w:val="000000"/>
        </w:rPr>
        <w:t>ARTÍCUL</w:t>
      </w:r>
      <w:r>
        <w:rPr>
          <w:rFonts w:ascii="Arial" w:eastAsia="Arial" w:hAnsi="Arial" w:cs="Arial"/>
          <w:b/>
          <w:i/>
          <w:color w:val="000000"/>
        </w:rPr>
        <w:t>O</w:t>
      </w:r>
      <w:r>
        <w:rPr>
          <w:rFonts w:ascii="Arial" w:eastAsia="Arial" w:hAnsi="Arial" w:cs="Arial"/>
          <w:i/>
          <w:color w:val="000000"/>
        </w:rPr>
        <w:t xml:space="preserve"> </w:t>
      </w:r>
      <w:r>
        <w:rPr>
          <w:rFonts w:ascii="Arial" w:eastAsia="Arial" w:hAnsi="Arial" w:cs="Arial"/>
          <w:b/>
          <w:i/>
          <w:color w:val="000000"/>
        </w:rPr>
        <w:t>217.</w:t>
      </w:r>
      <w:r>
        <w:rPr>
          <w:rFonts w:ascii="Arial" w:eastAsia="Arial" w:hAnsi="Arial" w:cs="Arial"/>
          <w:i/>
          <w:color w:val="000000"/>
        </w:rPr>
        <w:t xml:space="preserve"> Para los efectos de la presente Ley, se consideran como medidas de seguridad: </w:t>
      </w:r>
    </w:p>
    <w:p w:rsidR="00733C45" w:rsidRDefault="00733C45">
      <w:pPr>
        <w:spacing w:before="0" w:after="0" w:line="240" w:lineRule="auto"/>
        <w:ind w:left="709" w:right="899"/>
        <w:rPr>
          <w:rFonts w:ascii="Arial" w:eastAsia="Arial" w:hAnsi="Arial" w:cs="Arial"/>
          <w:i/>
          <w:color w:val="000000"/>
        </w:rPr>
      </w:pPr>
    </w:p>
    <w:p w:rsidR="00733C45" w:rsidRDefault="00882EC8">
      <w:pPr>
        <w:spacing w:before="0" w:after="0" w:line="240" w:lineRule="auto"/>
        <w:ind w:left="709" w:right="899"/>
        <w:rPr>
          <w:rFonts w:ascii="Arial" w:eastAsia="Arial" w:hAnsi="Arial" w:cs="Arial"/>
          <w:i/>
          <w:color w:val="000000"/>
        </w:rPr>
      </w:pPr>
      <w:r>
        <w:rPr>
          <w:rFonts w:ascii="Arial" w:eastAsia="Arial" w:hAnsi="Arial" w:cs="Arial"/>
          <w:b/>
          <w:i/>
          <w:color w:val="000000"/>
        </w:rPr>
        <w:t>II.</w:t>
      </w:r>
      <w:r>
        <w:rPr>
          <w:rFonts w:ascii="Arial" w:eastAsia="Arial" w:hAnsi="Arial" w:cs="Arial"/>
          <w:i/>
          <w:color w:val="000000"/>
        </w:rPr>
        <w:t xml:space="preserve"> La clausura temporal o definitiva, total o parcial de las instalaciones, construcciones y obras que presenten algún riesgo o bien que no se apeguen a la normatividad</w:t>
      </w:r>
      <w:r>
        <w:rPr>
          <w:rFonts w:ascii="Arial" w:eastAsia="Arial" w:hAnsi="Arial" w:cs="Arial"/>
          <w:i/>
          <w:color w:val="000000"/>
        </w:rPr>
        <w:t xml:space="preserve"> aplicable en la materia; </w:t>
      </w:r>
    </w:p>
    <w:p w:rsidR="00733C45" w:rsidRDefault="00733C45">
      <w:pPr>
        <w:spacing w:before="0" w:after="0" w:line="240" w:lineRule="auto"/>
        <w:ind w:left="709" w:right="899"/>
        <w:rPr>
          <w:rFonts w:ascii="Arial" w:eastAsia="Arial" w:hAnsi="Arial" w:cs="Arial"/>
          <w:i/>
          <w:color w:val="000000"/>
        </w:rPr>
      </w:pPr>
    </w:p>
    <w:p w:rsidR="00733C45" w:rsidRDefault="00882EC8">
      <w:pPr>
        <w:spacing w:before="0" w:after="0" w:line="240" w:lineRule="auto"/>
        <w:ind w:left="709" w:right="899"/>
        <w:rPr>
          <w:rFonts w:ascii="Arial" w:eastAsia="Arial" w:hAnsi="Arial" w:cs="Arial"/>
          <w:i/>
          <w:color w:val="000000"/>
        </w:rPr>
      </w:pPr>
      <w:r>
        <w:rPr>
          <w:rFonts w:ascii="Arial" w:eastAsia="Arial" w:hAnsi="Arial" w:cs="Arial"/>
          <w:b/>
          <w:i/>
          <w:color w:val="000000"/>
        </w:rPr>
        <w:t>ARTÍCULO</w:t>
      </w:r>
      <w:r>
        <w:rPr>
          <w:rFonts w:ascii="Arial" w:eastAsia="Arial" w:hAnsi="Arial" w:cs="Arial"/>
          <w:i/>
          <w:color w:val="000000"/>
        </w:rPr>
        <w:t xml:space="preserve"> </w:t>
      </w:r>
      <w:r>
        <w:rPr>
          <w:rFonts w:ascii="Arial" w:eastAsia="Arial" w:hAnsi="Arial" w:cs="Arial"/>
          <w:b/>
          <w:i/>
          <w:color w:val="000000"/>
        </w:rPr>
        <w:t>218.</w:t>
      </w:r>
      <w:r>
        <w:rPr>
          <w:rFonts w:ascii="Arial" w:eastAsia="Arial" w:hAnsi="Arial" w:cs="Arial"/>
          <w:i/>
          <w:color w:val="000000"/>
        </w:rPr>
        <w:t xml:space="preserve"> Las sanciones administrativas podrán consistir en: </w:t>
      </w:r>
    </w:p>
    <w:p w:rsidR="00733C45" w:rsidRDefault="00733C45">
      <w:pPr>
        <w:spacing w:before="0" w:after="0" w:line="240" w:lineRule="auto"/>
        <w:ind w:left="993" w:right="1324"/>
        <w:rPr>
          <w:rFonts w:ascii="Arial" w:eastAsia="Arial" w:hAnsi="Arial" w:cs="Arial"/>
          <w:i/>
          <w:color w:val="000000"/>
        </w:rPr>
      </w:pPr>
    </w:p>
    <w:p w:rsidR="00733C45" w:rsidRDefault="00882EC8">
      <w:pPr>
        <w:spacing w:before="0" w:after="0" w:line="240" w:lineRule="auto"/>
        <w:ind w:left="709" w:right="899"/>
        <w:rPr>
          <w:rFonts w:ascii="Arial" w:eastAsia="Arial" w:hAnsi="Arial" w:cs="Arial"/>
          <w:i/>
          <w:color w:val="000000"/>
        </w:rPr>
      </w:pPr>
      <w:r>
        <w:rPr>
          <w:rFonts w:ascii="Arial" w:eastAsia="Arial" w:hAnsi="Arial" w:cs="Arial"/>
          <w:i/>
          <w:color w:val="000000"/>
        </w:rPr>
        <w:t xml:space="preserve">I. Clausura temporal o definitiva, total  o parcial de las construcciones y de las obras y servicios; </w:t>
      </w:r>
    </w:p>
    <w:p w:rsidR="00733C45" w:rsidRDefault="00733C45">
      <w:pPr>
        <w:spacing w:before="0" w:after="0" w:line="240" w:lineRule="auto"/>
        <w:ind w:left="709" w:right="899"/>
        <w:rPr>
          <w:rFonts w:ascii="Arial" w:eastAsia="Arial" w:hAnsi="Arial" w:cs="Arial"/>
          <w:i/>
        </w:rPr>
      </w:pPr>
    </w:p>
    <w:p w:rsidR="00733C45" w:rsidRDefault="00882EC8">
      <w:pPr>
        <w:spacing w:before="0" w:after="0" w:line="240" w:lineRule="auto"/>
        <w:ind w:left="709" w:right="899"/>
        <w:rPr>
          <w:rFonts w:ascii="Arial" w:eastAsia="Arial" w:hAnsi="Arial" w:cs="Arial"/>
          <w:i/>
          <w:color w:val="000000"/>
        </w:rPr>
      </w:pPr>
      <w:r>
        <w:rPr>
          <w:rFonts w:ascii="Arial" w:eastAsia="Arial" w:hAnsi="Arial" w:cs="Arial"/>
          <w:i/>
          <w:color w:val="000000"/>
        </w:rPr>
        <w:t>II. Multa de diez a cien  UMAS  o tratándose de inmuebles</w:t>
      </w:r>
      <w:r>
        <w:rPr>
          <w:rFonts w:ascii="Arial" w:eastAsia="Arial" w:hAnsi="Arial" w:cs="Arial"/>
          <w:i/>
          <w:color w:val="000000"/>
        </w:rPr>
        <w:t xml:space="preserve"> hasta el diez por ciento de su valor; </w:t>
      </w:r>
    </w:p>
    <w:p w:rsidR="00733C45" w:rsidRDefault="00733C45">
      <w:pPr>
        <w:spacing w:before="0" w:after="0" w:line="240" w:lineRule="auto"/>
        <w:ind w:left="709" w:right="899"/>
        <w:rPr>
          <w:rFonts w:ascii="Arial" w:eastAsia="Arial" w:hAnsi="Arial" w:cs="Arial"/>
          <w:i/>
        </w:rPr>
      </w:pPr>
    </w:p>
    <w:p w:rsidR="00733C45" w:rsidRDefault="00882EC8">
      <w:pPr>
        <w:spacing w:before="0" w:after="0" w:line="240" w:lineRule="auto"/>
        <w:ind w:left="709" w:right="899"/>
        <w:rPr>
          <w:rFonts w:ascii="Arial" w:eastAsia="Arial" w:hAnsi="Arial" w:cs="Arial"/>
          <w:i/>
          <w:color w:val="000000"/>
        </w:rPr>
      </w:pPr>
      <w:r>
        <w:rPr>
          <w:rFonts w:ascii="Arial" w:eastAsia="Arial" w:hAnsi="Arial" w:cs="Arial"/>
          <w:i/>
          <w:color w:val="000000"/>
        </w:rPr>
        <w:t xml:space="preserve">III. Demolición de las construcciones efectuadas en contravención a las disposiciones de la presente Ley, sus reglamentos, los planes o programas de ordenamiento territorial y desarrollo urbano en  vigor; </w:t>
      </w:r>
    </w:p>
    <w:p w:rsidR="00733C45" w:rsidRDefault="00733C45">
      <w:pPr>
        <w:spacing w:before="0" w:after="0" w:line="240" w:lineRule="auto"/>
        <w:ind w:left="709" w:right="899"/>
        <w:rPr>
          <w:rFonts w:ascii="Arial" w:eastAsia="Arial" w:hAnsi="Arial" w:cs="Arial"/>
          <w:i/>
        </w:rPr>
      </w:pPr>
    </w:p>
    <w:p w:rsidR="00733C45" w:rsidRDefault="00882EC8">
      <w:pPr>
        <w:spacing w:before="0" w:after="0" w:line="240" w:lineRule="auto"/>
        <w:ind w:left="709" w:right="899"/>
        <w:rPr>
          <w:rFonts w:ascii="Arial" w:eastAsia="Arial" w:hAnsi="Arial" w:cs="Arial"/>
          <w:i/>
          <w:color w:val="000000"/>
        </w:rPr>
      </w:pPr>
      <w:r>
        <w:rPr>
          <w:rFonts w:ascii="Arial" w:eastAsia="Arial" w:hAnsi="Arial" w:cs="Arial"/>
          <w:i/>
          <w:color w:val="000000"/>
        </w:rPr>
        <w:t>IV. La no renovación de las autorizaciones, permisos o licencias otorgadas, y</w:t>
      </w:r>
    </w:p>
    <w:p w:rsidR="00733C45" w:rsidRDefault="00733C45">
      <w:pPr>
        <w:spacing w:before="0" w:after="0" w:line="240" w:lineRule="auto"/>
        <w:ind w:left="709" w:right="899"/>
        <w:rPr>
          <w:rFonts w:ascii="Arial" w:eastAsia="Arial" w:hAnsi="Arial" w:cs="Arial"/>
          <w:i/>
        </w:rPr>
      </w:pPr>
    </w:p>
    <w:p w:rsidR="00733C45" w:rsidRDefault="00882EC8">
      <w:pPr>
        <w:spacing w:before="0" w:after="0" w:line="240" w:lineRule="auto"/>
        <w:ind w:left="709" w:right="899"/>
        <w:rPr>
          <w:rFonts w:ascii="Arial" w:eastAsia="Arial" w:hAnsi="Arial" w:cs="Arial"/>
          <w:i/>
          <w:color w:val="000000"/>
        </w:rPr>
      </w:pPr>
      <w:r>
        <w:rPr>
          <w:rFonts w:ascii="Arial" w:eastAsia="Arial" w:hAnsi="Arial" w:cs="Arial"/>
          <w:i/>
          <w:color w:val="000000"/>
        </w:rPr>
        <w:t>V. Suspensión hasta por un año de la licencia al Director Responsable de Obra en el Estado, y/o pendiente de revalidación o refrendo.</w:t>
      </w:r>
    </w:p>
    <w:p w:rsidR="00733C45" w:rsidRDefault="00733C45">
      <w:pPr>
        <w:spacing w:before="0" w:after="0" w:line="240" w:lineRule="auto"/>
        <w:rPr>
          <w:rFonts w:ascii="Arial" w:eastAsia="Arial" w:hAnsi="Arial" w:cs="Arial"/>
          <w:color w:val="000000"/>
        </w:rPr>
      </w:pPr>
    </w:p>
    <w:p w:rsidR="00733C45" w:rsidRDefault="00882EC8">
      <w:pPr>
        <w:spacing w:before="0" w:after="0" w:line="240" w:lineRule="auto"/>
        <w:ind w:left="709" w:right="899"/>
        <w:jc w:val="center"/>
        <w:rPr>
          <w:rFonts w:ascii="Arial" w:eastAsia="Arial" w:hAnsi="Arial" w:cs="Arial"/>
          <w:b/>
          <w:i/>
        </w:rPr>
      </w:pPr>
      <w:r>
        <w:rPr>
          <w:rFonts w:ascii="Arial" w:eastAsia="Arial" w:hAnsi="Arial" w:cs="Arial"/>
          <w:b/>
          <w:i/>
        </w:rPr>
        <w:t>Reglamento de Construcción</w:t>
      </w:r>
    </w:p>
    <w:p w:rsidR="00733C45" w:rsidRDefault="00733C45">
      <w:pPr>
        <w:spacing w:before="0" w:after="0" w:line="240" w:lineRule="auto"/>
        <w:ind w:left="709" w:right="899"/>
        <w:rPr>
          <w:rFonts w:ascii="Arial" w:eastAsia="Arial" w:hAnsi="Arial" w:cs="Arial"/>
          <w:i/>
        </w:rPr>
      </w:pPr>
    </w:p>
    <w:p w:rsidR="00733C45" w:rsidRDefault="00882EC8">
      <w:pPr>
        <w:spacing w:before="0" w:after="0" w:line="240" w:lineRule="auto"/>
        <w:ind w:left="709" w:right="899"/>
        <w:rPr>
          <w:rFonts w:ascii="Arial" w:eastAsia="Arial" w:hAnsi="Arial" w:cs="Arial"/>
          <w:i/>
          <w:color w:val="000000"/>
        </w:rPr>
      </w:pPr>
      <w:r>
        <w:rPr>
          <w:rFonts w:ascii="Arial" w:eastAsia="Arial" w:hAnsi="Arial" w:cs="Arial"/>
          <w:b/>
          <w:i/>
          <w:color w:val="000000"/>
        </w:rPr>
        <w:t>ARTÍCULO 334°.-</w:t>
      </w:r>
      <w:r>
        <w:rPr>
          <w:rFonts w:ascii="Arial" w:eastAsia="Arial" w:hAnsi="Arial" w:cs="Arial"/>
          <w:i/>
          <w:color w:val="000000"/>
        </w:rPr>
        <w:t xml:space="preserve"> Clausura como medida de seguridad.</w:t>
      </w:r>
    </w:p>
    <w:p w:rsidR="00733C45" w:rsidRDefault="00733C45">
      <w:pPr>
        <w:spacing w:before="0" w:after="0" w:line="240" w:lineRule="auto"/>
        <w:ind w:left="709" w:right="899"/>
        <w:rPr>
          <w:rFonts w:ascii="Arial" w:eastAsia="Arial" w:hAnsi="Arial" w:cs="Arial"/>
          <w:i/>
          <w:color w:val="000000"/>
        </w:rPr>
      </w:pPr>
    </w:p>
    <w:p w:rsidR="00733C45" w:rsidRDefault="00882EC8">
      <w:pPr>
        <w:spacing w:before="0" w:after="0" w:line="240" w:lineRule="auto"/>
        <w:ind w:left="709" w:right="899"/>
        <w:rPr>
          <w:rFonts w:ascii="Arial" w:eastAsia="Arial" w:hAnsi="Arial" w:cs="Arial"/>
          <w:i/>
          <w:color w:val="000000"/>
        </w:rPr>
      </w:pPr>
      <w:r>
        <w:rPr>
          <w:rFonts w:ascii="Arial" w:eastAsia="Arial" w:hAnsi="Arial" w:cs="Arial"/>
          <w:i/>
          <w:color w:val="000000"/>
        </w:rPr>
        <w:t xml:space="preserve">La Secretaría o el Ayuntamiento </w:t>
      </w:r>
      <w:proofErr w:type="gramStart"/>
      <w:r>
        <w:rPr>
          <w:rFonts w:ascii="Arial" w:eastAsia="Arial" w:hAnsi="Arial" w:cs="Arial"/>
          <w:i/>
          <w:color w:val="000000"/>
        </w:rPr>
        <w:t>podrá</w:t>
      </w:r>
      <w:proofErr w:type="gramEnd"/>
      <w:r>
        <w:rPr>
          <w:rFonts w:ascii="Arial" w:eastAsia="Arial" w:hAnsi="Arial" w:cs="Arial"/>
          <w:i/>
          <w:color w:val="000000"/>
        </w:rPr>
        <w:t xml:space="preserve"> clausurar como medida de seguridad, de acuerdo con la ley de obras terminadas o en ejecución cuando ocurra alguna de las circunstancias previstas por los artículos 33</w:t>
      </w:r>
      <w:r>
        <w:rPr>
          <w:rFonts w:ascii="Arial" w:eastAsia="Arial" w:hAnsi="Arial" w:cs="Arial"/>
          <w:i/>
          <w:color w:val="000000"/>
        </w:rPr>
        <w:t>8° y 339° de este Reglamento.</w:t>
      </w:r>
    </w:p>
    <w:p w:rsidR="00733C45" w:rsidRDefault="00733C45">
      <w:pPr>
        <w:spacing w:before="0" w:after="0" w:line="240" w:lineRule="auto"/>
        <w:ind w:left="709" w:right="899"/>
        <w:rPr>
          <w:rFonts w:ascii="Arial" w:eastAsia="Arial" w:hAnsi="Arial" w:cs="Arial"/>
          <w:i/>
          <w:color w:val="000000"/>
        </w:rPr>
      </w:pPr>
    </w:p>
    <w:p w:rsidR="00733C45" w:rsidRDefault="00882EC8">
      <w:pPr>
        <w:spacing w:before="0" w:after="0" w:line="240" w:lineRule="auto"/>
        <w:ind w:left="709" w:right="899"/>
        <w:rPr>
          <w:rFonts w:ascii="Arial" w:eastAsia="Arial" w:hAnsi="Arial" w:cs="Arial"/>
          <w:i/>
          <w:color w:val="000000"/>
        </w:rPr>
      </w:pPr>
      <w:r>
        <w:rPr>
          <w:rFonts w:ascii="Arial" w:eastAsia="Arial" w:hAnsi="Arial" w:cs="Arial"/>
          <w:b/>
          <w:i/>
          <w:color w:val="000000"/>
        </w:rPr>
        <w:t>ARTÍCULO 335°.-</w:t>
      </w:r>
      <w:r>
        <w:rPr>
          <w:rFonts w:ascii="Arial" w:eastAsia="Arial" w:hAnsi="Arial" w:cs="Arial"/>
          <w:i/>
          <w:color w:val="000000"/>
        </w:rPr>
        <w:t xml:space="preserve"> Medios y sanciones para hacer cumplir el Reglamento.</w:t>
      </w:r>
    </w:p>
    <w:p w:rsidR="00733C45" w:rsidRDefault="00733C45">
      <w:pPr>
        <w:spacing w:before="0" w:after="0" w:line="240" w:lineRule="auto"/>
        <w:ind w:left="709" w:right="899"/>
        <w:rPr>
          <w:rFonts w:ascii="Arial" w:eastAsia="Arial" w:hAnsi="Arial" w:cs="Arial"/>
          <w:i/>
          <w:color w:val="000000"/>
        </w:rPr>
      </w:pPr>
    </w:p>
    <w:p w:rsidR="00733C45" w:rsidRDefault="00882EC8">
      <w:pPr>
        <w:spacing w:before="0" w:after="0" w:line="240" w:lineRule="auto"/>
        <w:ind w:left="709" w:right="899"/>
        <w:rPr>
          <w:rFonts w:ascii="Arial" w:eastAsia="Arial" w:hAnsi="Arial" w:cs="Arial"/>
          <w:i/>
          <w:color w:val="000000"/>
        </w:rPr>
      </w:pPr>
      <w:r>
        <w:rPr>
          <w:rFonts w:ascii="Arial" w:eastAsia="Arial" w:hAnsi="Arial" w:cs="Arial"/>
          <w:i/>
          <w:color w:val="000000"/>
        </w:rPr>
        <w:t>INSPECCIÓN.</w:t>
      </w:r>
    </w:p>
    <w:p w:rsidR="00733C45" w:rsidRDefault="00733C45">
      <w:pPr>
        <w:spacing w:before="0" w:after="0" w:line="240" w:lineRule="auto"/>
        <w:ind w:left="709" w:right="899"/>
        <w:rPr>
          <w:rFonts w:ascii="Arial" w:eastAsia="Arial" w:hAnsi="Arial" w:cs="Arial"/>
          <w:i/>
          <w:color w:val="000000"/>
        </w:rPr>
      </w:pPr>
    </w:p>
    <w:p w:rsidR="00733C45" w:rsidRDefault="00882EC8">
      <w:pPr>
        <w:spacing w:before="0" w:after="0" w:line="240" w:lineRule="auto"/>
        <w:ind w:left="709" w:right="899"/>
        <w:rPr>
          <w:rFonts w:ascii="Arial" w:eastAsia="Arial" w:hAnsi="Arial" w:cs="Arial"/>
          <w:i/>
          <w:color w:val="000000"/>
        </w:rPr>
      </w:pPr>
      <w:r>
        <w:rPr>
          <w:rFonts w:ascii="Arial" w:eastAsia="Arial" w:hAnsi="Arial" w:cs="Arial"/>
          <w:i/>
          <w:color w:val="000000"/>
        </w:rPr>
        <w:t>La Secretaría o el Ayuntamiento por conducto del personal debidamente autorizado podrá realizar inspecciones en edificaciones, fraccionamiento</w:t>
      </w:r>
      <w:r>
        <w:rPr>
          <w:rFonts w:ascii="Arial" w:eastAsia="Arial" w:hAnsi="Arial" w:cs="Arial"/>
          <w:i/>
          <w:color w:val="000000"/>
        </w:rPr>
        <w:t>s,</w:t>
      </w:r>
      <w:r>
        <w:rPr>
          <w:rFonts w:ascii="Arial" w:eastAsia="Arial" w:hAnsi="Arial" w:cs="Arial"/>
          <w:i/>
        </w:rPr>
        <w:t xml:space="preserve"> </w:t>
      </w:r>
      <w:r>
        <w:rPr>
          <w:rFonts w:ascii="Arial" w:eastAsia="Arial" w:hAnsi="Arial" w:cs="Arial"/>
          <w:i/>
          <w:color w:val="000000"/>
        </w:rPr>
        <w:t>subdivisiones, lotificaciones en proceso o terminadas con el objeto de verificar el cumplimiento de las disposiciones de la ley y este Reglamento.</w:t>
      </w:r>
    </w:p>
    <w:p w:rsidR="00733C45" w:rsidRDefault="00733C45">
      <w:pPr>
        <w:spacing w:before="0" w:after="0" w:line="240" w:lineRule="auto"/>
        <w:ind w:left="709" w:right="899"/>
        <w:rPr>
          <w:rFonts w:ascii="Arial" w:eastAsia="Arial" w:hAnsi="Arial" w:cs="Arial"/>
          <w:i/>
          <w:color w:val="000000"/>
        </w:rPr>
      </w:pPr>
    </w:p>
    <w:p w:rsidR="00733C45" w:rsidRDefault="00882EC8">
      <w:pPr>
        <w:spacing w:before="0" w:after="0" w:line="240" w:lineRule="auto"/>
        <w:ind w:left="709" w:right="899"/>
        <w:rPr>
          <w:rFonts w:ascii="Arial" w:eastAsia="Arial" w:hAnsi="Arial" w:cs="Arial"/>
          <w:i/>
          <w:color w:val="000000"/>
        </w:rPr>
      </w:pPr>
      <w:r>
        <w:rPr>
          <w:rFonts w:ascii="Arial" w:eastAsia="Arial" w:hAnsi="Arial" w:cs="Arial"/>
          <w:i/>
          <w:color w:val="000000"/>
        </w:rPr>
        <w:t xml:space="preserve">Los propietarios o sus </w:t>
      </w:r>
      <w:r>
        <w:rPr>
          <w:rFonts w:ascii="Arial" w:eastAsia="Arial" w:hAnsi="Arial" w:cs="Arial"/>
          <w:i/>
        </w:rPr>
        <w:t>representantes</w:t>
      </w:r>
      <w:r>
        <w:rPr>
          <w:rFonts w:ascii="Arial" w:eastAsia="Arial" w:hAnsi="Arial" w:cs="Arial"/>
          <w:i/>
          <w:color w:val="000000"/>
        </w:rPr>
        <w:t xml:space="preserve">, los directores responsables de obra, los auxiliares de estos </w:t>
      </w:r>
      <w:r>
        <w:rPr>
          <w:rFonts w:ascii="Arial" w:eastAsia="Arial" w:hAnsi="Arial" w:cs="Arial"/>
          <w:i/>
        </w:rPr>
        <w:t>corre</w:t>
      </w:r>
      <w:r>
        <w:rPr>
          <w:rFonts w:ascii="Arial" w:eastAsia="Arial" w:hAnsi="Arial" w:cs="Arial"/>
          <w:i/>
        </w:rPr>
        <w:t>sponsales</w:t>
      </w:r>
      <w:r>
        <w:rPr>
          <w:rFonts w:ascii="Arial" w:eastAsia="Arial" w:hAnsi="Arial" w:cs="Arial"/>
          <w:i/>
          <w:color w:val="000000"/>
        </w:rPr>
        <w:t>, los ocupantes de los lugares donde se vaya a practicar la inspección, tendrán las obligaciones de permitir el acceso al inmueble de que se trate.</w:t>
      </w:r>
    </w:p>
    <w:p w:rsidR="00733C45" w:rsidRDefault="00733C45">
      <w:pPr>
        <w:spacing w:before="0" w:after="0" w:line="240" w:lineRule="auto"/>
        <w:ind w:left="709" w:right="899"/>
        <w:rPr>
          <w:rFonts w:ascii="Arial" w:eastAsia="Arial" w:hAnsi="Arial" w:cs="Arial"/>
          <w:i/>
          <w:color w:val="000000"/>
        </w:rPr>
      </w:pPr>
    </w:p>
    <w:p w:rsidR="00733C45" w:rsidRDefault="00882EC8">
      <w:pPr>
        <w:spacing w:before="0" w:after="0" w:line="240" w:lineRule="auto"/>
        <w:ind w:left="709" w:right="899"/>
        <w:rPr>
          <w:rFonts w:ascii="Arial" w:eastAsia="Arial" w:hAnsi="Arial" w:cs="Arial"/>
          <w:i/>
          <w:color w:val="000000"/>
        </w:rPr>
      </w:pPr>
      <w:r>
        <w:rPr>
          <w:rFonts w:ascii="Arial" w:eastAsia="Arial" w:hAnsi="Arial" w:cs="Arial"/>
          <w:b/>
          <w:i/>
          <w:color w:val="000000"/>
        </w:rPr>
        <w:t>ARTÍCULO 339°.-</w:t>
      </w:r>
      <w:r>
        <w:rPr>
          <w:rFonts w:ascii="Arial" w:eastAsia="Arial" w:hAnsi="Arial" w:cs="Arial"/>
          <w:i/>
          <w:color w:val="000000"/>
        </w:rPr>
        <w:t xml:space="preserve"> Suspensión o Clausura de obras en ejecución.</w:t>
      </w:r>
    </w:p>
    <w:p w:rsidR="00733C45" w:rsidRDefault="00733C45">
      <w:pPr>
        <w:spacing w:before="0" w:after="0" w:line="240" w:lineRule="auto"/>
        <w:ind w:left="709" w:right="899"/>
        <w:rPr>
          <w:rFonts w:ascii="Arial" w:eastAsia="Arial" w:hAnsi="Arial" w:cs="Arial"/>
          <w:i/>
          <w:color w:val="000000"/>
        </w:rPr>
      </w:pPr>
    </w:p>
    <w:p w:rsidR="00733C45" w:rsidRDefault="00882EC8">
      <w:pPr>
        <w:spacing w:before="0" w:after="0" w:line="240" w:lineRule="auto"/>
        <w:ind w:left="709" w:right="899"/>
        <w:rPr>
          <w:rFonts w:ascii="Arial" w:eastAsia="Arial" w:hAnsi="Arial" w:cs="Arial"/>
          <w:i/>
          <w:color w:val="000000"/>
        </w:rPr>
      </w:pPr>
      <w:r>
        <w:rPr>
          <w:rFonts w:ascii="Arial" w:eastAsia="Arial" w:hAnsi="Arial" w:cs="Arial"/>
          <w:b/>
          <w:i/>
          <w:color w:val="000000"/>
        </w:rPr>
        <w:t>IX.-</w:t>
      </w:r>
      <w:r>
        <w:rPr>
          <w:rFonts w:ascii="Arial" w:eastAsia="Arial" w:hAnsi="Arial" w:cs="Arial"/>
          <w:i/>
          <w:color w:val="000000"/>
        </w:rPr>
        <w:t xml:space="preserve"> Cuando la licencia de construcc</w:t>
      </w:r>
      <w:r>
        <w:rPr>
          <w:rFonts w:ascii="Arial" w:eastAsia="Arial" w:hAnsi="Arial" w:cs="Arial"/>
          <w:i/>
          <w:color w:val="000000"/>
        </w:rPr>
        <w:t>ión sea revocada o haya fenecido su vigencia.</w:t>
      </w:r>
    </w:p>
    <w:p w:rsidR="00733C45" w:rsidRDefault="00733C45">
      <w:pPr>
        <w:spacing w:before="0" w:after="0" w:line="240" w:lineRule="auto"/>
        <w:ind w:left="709" w:right="899"/>
        <w:rPr>
          <w:rFonts w:ascii="Arial" w:eastAsia="Arial" w:hAnsi="Arial" w:cs="Arial"/>
          <w:i/>
          <w:color w:val="000000"/>
        </w:rPr>
      </w:pPr>
    </w:p>
    <w:p w:rsidR="00733C45" w:rsidRDefault="00882EC8">
      <w:pPr>
        <w:spacing w:before="0" w:after="0" w:line="240" w:lineRule="auto"/>
        <w:ind w:left="709" w:right="899"/>
        <w:rPr>
          <w:rFonts w:ascii="Arial" w:eastAsia="Arial" w:hAnsi="Arial" w:cs="Arial"/>
          <w:i/>
          <w:color w:val="000000"/>
        </w:rPr>
      </w:pPr>
      <w:r>
        <w:rPr>
          <w:rFonts w:ascii="Arial" w:eastAsia="Arial" w:hAnsi="Arial" w:cs="Arial"/>
          <w:b/>
          <w:i/>
          <w:color w:val="000000"/>
        </w:rPr>
        <w:t>ARTÍCULO 350°.-</w:t>
      </w:r>
      <w:r>
        <w:rPr>
          <w:rFonts w:ascii="Arial" w:eastAsia="Arial" w:hAnsi="Arial" w:cs="Arial"/>
          <w:i/>
          <w:color w:val="000000"/>
        </w:rPr>
        <w:t xml:space="preserve">  Revocación de licencia.</w:t>
      </w:r>
    </w:p>
    <w:p w:rsidR="00733C45" w:rsidRDefault="00733C45">
      <w:pPr>
        <w:spacing w:before="0" w:after="0" w:line="240" w:lineRule="auto"/>
        <w:ind w:left="709" w:right="899"/>
        <w:rPr>
          <w:rFonts w:ascii="Arial" w:eastAsia="Arial" w:hAnsi="Arial" w:cs="Arial"/>
          <w:i/>
          <w:color w:val="000000"/>
        </w:rPr>
      </w:pPr>
    </w:p>
    <w:p w:rsidR="00733C45" w:rsidRDefault="00882EC8">
      <w:pPr>
        <w:spacing w:before="0" w:after="0" w:line="240" w:lineRule="auto"/>
        <w:ind w:left="709" w:right="899"/>
        <w:rPr>
          <w:rFonts w:ascii="Arial" w:eastAsia="Arial" w:hAnsi="Arial" w:cs="Arial"/>
          <w:i/>
          <w:color w:val="000000"/>
        </w:rPr>
      </w:pPr>
      <w:r>
        <w:rPr>
          <w:rFonts w:ascii="Arial" w:eastAsia="Arial" w:hAnsi="Arial" w:cs="Arial"/>
          <w:i/>
          <w:color w:val="000000"/>
        </w:rPr>
        <w:t xml:space="preserve">La Secretaría o el Ayuntamiento </w:t>
      </w:r>
      <w:proofErr w:type="gramStart"/>
      <w:r>
        <w:rPr>
          <w:rFonts w:ascii="Arial" w:eastAsia="Arial" w:hAnsi="Arial" w:cs="Arial"/>
          <w:i/>
          <w:color w:val="000000"/>
        </w:rPr>
        <w:t>podrá</w:t>
      </w:r>
      <w:proofErr w:type="gramEnd"/>
      <w:r>
        <w:rPr>
          <w:rFonts w:ascii="Arial" w:eastAsia="Arial" w:hAnsi="Arial" w:cs="Arial"/>
          <w:i/>
          <w:color w:val="000000"/>
        </w:rPr>
        <w:t xml:space="preserve"> revocar toda autorización de licencia, permiso o alineamiento cuando:</w:t>
      </w:r>
    </w:p>
    <w:p w:rsidR="00733C45" w:rsidRDefault="00733C45">
      <w:pPr>
        <w:spacing w:before="0" w:after="0" w:line="240" w:lineRule="auto"/>
        <w:ind w:left="709" w:right="899"/>
        <w:rPr>
          <w:rFonts w:ascii="Arial" w:eastAsia="Arial" w:hAnsi="Arial" w:cs="Arial"/>
          <w:i/>
          <w:color w:val="000000"/>
        </w:rPr>
      </w:pPr>
    </w:p>
    <w:p w:rsidR="00733C45" w:rsidRDefault="00882EC8">
      <w:pPr>
        <w:spacing w:before="0" w:after="0" w:line="240" w:lineRule="auto"/>
        <w:ind w:left="709" w:right="899"/>
        <w:rPr>
          <w:rFonts w:ascii="Arial" w:eastAsia="Arial" w:hAnsi="Arial" w:cs="Arial"/>
          <w:i/>
          <w:color w:val="000000"/>
        </w:rPr>
      </w:pPr>
      <w:r>
        <w:rPr>
          <w:rFonts w:ascii="Arial" w:eastAsia="Arial" w:hAnsi="Arial" w:cs="Arial"/>
          <w:b/>
          <w:i/>
          <w:color w:val="000000"/>
        </w:rPr>
        <w:t>II.-</w:t>
      </w:r>
      <w:r>
        <w:rPr>
          <w:rFonts w:ascii="Arial" w:eastAsia="Arial" w:hAnsi="Arial" w:cs="Arial"/>
          <w:i/>
          <w:color w:val="000000"/>
        </w:rPr>
        <w:t xml:space="preserve"> Se hayan dictado en contravención al texto expreso de</w:t>
      </w:r>
      <w:r>
        <w:rPr>
          <w:rFonts w:ascii="Arial" w:eastAsia="Arial" w:hAnsi="Arial" w:cs="Arial"/>
          <w:i/>
          <w:color w:val="000000"/>
        </w:rPr>
        <w:t xml:space="preserve"> alguna disposición de la ley de este reglamento, o de cualquier otra disposición.</w:t>
      </w:r>
    </w:p>
    <w:p w:rsidR="00733C45" w:rsidRDefault="00733C45">
      <w:pPr>
        <w:spacing w:before="0" w:after="0" w:line="240" w:lineRule="auto"/>
        <w:jc w:val="left"/>
        <w:rPr>
          <w:rFonts w:ascii="Arial" w:eastAsia="Arial" w:hAnsi="Arial" w:cs="Arial"/>
          <w:color w:val="000000"/>
        </w:rPr>
      </w:pPr>
    </w:p>
    <w:p w:rsidR="00733C45" w:rsidRDefault="00882EC8">
      <w:pPr>
        <w:numPr>
          <w:ilvl w:val="0"/>
          <w:numId w:val="2"/>
        </w:numPr>
        <w:pBdr>
          <w:top w:val="nil"/>
          <w:left w:val="nil"/>
          <w:bottom w:val="nil"/>
          <w:right w:val="nil"/>
          <w:between w:val="nil"/>
        </w:pBdr>
        <w:spacing w:after="0"/>
        <w:ind w:left="0" w:right="51" w:firstLine="709"/>
        <w:rPr>
          <w:color w:val="000000"/>
          <w:sz w:val="24"/>
          <w:szCs w:val="24"/>
        </w:rPr>
      </w:pPr>
      <w:r>
        <w:rPr>
          <w:rFonts w:ascii="Arial" w:eastAsia="Arial" w:hAnsi="Arial" w:cs="Arial"/>
          <w:color w:val="000000"/>
          <w:sz w:val="24"/>
          <w:szCs w:val="24"/>
        </w:rPr>
        <w:lastRenderedPageBreak/>
        <w:t xml:space="preserve">Como se advierte de la transcripción anterior, el </w:t>
      </w:r>
      <w:r>
        <w:rPr>
          <w:rFonts w:ascii="Arial" w:eastAsia="Arial" w:hAnsi="Arial" w:cs="Arial"/>
          <w:i/>
          <w:color w:val="000000"/>
          <w:sz w:val="24"/>
          <w:szCs w:val="24"/>
        </w:rPr>
        <w:t xml:space="preserve">Director de Obras </w:t>
      </w:r>
      <w:r>
        <w:rPr>
          <w:rFonts w:ascii="Arial" w:eastAsia="Arial" w:hAnsi="Arial" w:cs="Arial"/>
          <w:color w:val="000000"/>
          <w:sz w:val="24"/>
          <w:szCs w:val="24"/>
        </w:rPr>
        <w:t xml:space="preserve">incumplió con el máximo principio de legalidad, que lo constriñe a la obligación de fundar y motivar debidamente sus determinaciones, porque el artículo 16 de la </w:t>
      </w:r>
      <w:r>
        <w:rPr>
          <w:rFonts w:ascii="Arial" w:eastAsia="Arial" w:hAnsi="Arial" w:cs="Arial"/>
          <w:i/>
          <w:color w:val="000000"/>
          <w:sz w:val="24"/>
          <w:szCs w:val="24"/>
        </w:rPr>
        <w:t>Constitución Federal</w:t>
      </w:r>
      <w:r>
        <w:rPr>
          <w:rFonts w:ascii="Arial" w:eastAsia="Arial" w:hAnsi="Arial" w:cs="Arial"/>
          <w:color w:val="000000"/>
          <w:sz w:val="24"/>
          <w:szCs w:val="24"/>
        </w:rPr>
        <w:t xml:space="preserve">, en relación inmediata con el precepto legal 17, fracción V de la </w:t>
      </w:r>
      <w:r>
        <w:rPr>
          <w:rFonts w:ascii="Arial" w:eastAsia="Arial" w:hAnsi="Arial" w:cs="Arial"/>
          <w:i/>
          <w:color w:val="000000"/>
          <w:sz w:val="24"/>
          <w:szCs w:val="24"/>
        </w:rPr>
        <w:t xml:space="preserve">Ley de </w:t>
      </w:r>
      <w:r>
        <w:rPr>
          <w:rFonts w:ascii="Arial" w:eastAsia="Arial" w:hAnsi="Arial" w:cs="Arial"/>
          <w:i/>
          <w:color w:val="000000"/>
          <w:sz w:val="24"/>
          <w:szCs w:val="24"/>
        </w:rPr>
        <w:t>Procedimiento</w:t>
      </w:r>
      <w:r>
        <w:rPr>
          <w:rFonts w:ascii="Arial" w:eastAsia="Arial" w:hAnsi="Arial" w:cs="Arial"/>
          <w:color w:val="000000"/>
          <w:sz w:val="24"/>
          <w:szCs w:val="24"/>
        </w:rPr>
        <w:t>, exige que los actos de las autoridades administrativas cumplan con los elementos mínimos para su validez; a saber, constar por escrito, ser emitidos por autoridad competente y estar fundados y motivados, entendiéndose por esto, la cita exact</w:t>
      </w:r>
      <w:r>
        <w:rPr>
          <w:rFonts w:ascii="Arial" w:eastAsia="Arial" w:hAnsi="Arial" w:cs="Arial"/>
          <w:color w:val="000000"/>
          <w:sz w:val="24"/>
          <w:szCs w:val="24"/>
        </w:rPr>
        <w:t>a de los preceptos legales en que basan su actuación así como la expresión de las razones particulares, circunstancias especiales o causas inmediatas que expliquen la citación de los artículos, además que exista una adecuación entre los fundamentos señalad</w:t>
      </w:r>
      <w:r>
        <w:rPr>
          <w:rFonts w:ascii="Arial" w:eastAsia="Arial" w:hAnsi="Arial" w:cs="Arial"/>
          <w:color w:val="000000"/>
          <w:sz w:val="24"/>
          <w:szCs w:val="24"/>
        </w:rPr>
        <w:t>os y los motivos aducidos, para que entonces se cumpla con tal formalidad, lo que en e</w:t>
      </w:r>
      <w:r>
        <w:rPr>
          <w:rFonts w:ascii="Arial" w:eastAsia="Arial" w:hAnsi="Arial" w:cs="Arial"/>
          <w:color w:val="000000"/>
          <w:sz w:val="24"/>
          <w:szCs w:val="24"/>
        </w:rPr>
        <w:t xml:space="preserve">l caso no acontece, en virtud de que el </w:t>
      </w:r>
      <w:r>
        <w:rPr>
          <w:rFonts w:ascii="Arial" w:eastAsia="Arial" w:hAnsi="Arial" w:cs="Arial"/>
          <w:i/>
          <w:color w:val="000000"/>
          <w:sz w:val="24"/>
          <w:szCs w:val="24"/>
        </w:rPr>
        <w:t xml:space="preserve">Director de Obras </w:t>
      </w:r>
      <w:r>
        <w:rPr>
          <w:rFonts w:ascii="Arial" w:eastAsia="Arial" w:hAnsi="Arial" w:cs="Arial"/>
          <w:sz w:val="24"/>
          <w:szCs w:val="24"/>
        </w:rPr>
        <w:t xml:space="preserve">no señaló en el acto impugnado, el fundamento legal en el cual se le confiere facultad para proceder a negar la </w:t>
      </w:r>
      <w:r>
        <w:rPr>
          <w:rFonts w:ascii="Arial" w:eastAsia="Arial" w:hAnsi="Arial" w:cs="Arial"/>
          <w:sz w:val="24"/>
          <w:szCs w:val="24"/>
        </w:rPr>
        <w:t xml:space="preserve">licencia de construcción de una barda perimetral en los lotes </w:t>
      </w:r>
      <w:r w:rsidR="00292436">
        <w:rPr>
          <w:rFonts w:ascii="Arial" w:eastAsia="Arial" w:hAnsi="Arial" w:cs="Arial"/>
          <w:sz w:val="24"/>
          <w:szCs w:val="24"/>
        </w:rPr>
        <w:t>**********</w:t>
      </w:r>
      <w:r>
        <w:rPr>
          <w:rFonts w:ascii="Arial" w:eastAsia="Arial" w:hAnsi="Arial" w:cs="Arial"/>
          <w:sz w:val="24"/>
          <w:szCs w:val="24"/>
        </w:rPr>
        <w:t xml:space="preserve"> y </w:t>
      </w:r>
      <w:r w:rsidR="00292436">
        <w:rPr>
          <w:rFonts w:ascii="Arial" w:eastAsia="Arial" w:hAnsi="Arial" w:cs="Arial"/>
          <w:sz w:val="24"/>
          <w:szCs w:val="24"/>
        </w:rPr>
        <w:t>**********</w:t>
      </w:r>
      <w:r>
        <w:rPr>
          <w:rFonts w:ascii="Arial" w:eastAsia="Arial" w:hAnsi="Arial" w:cs="Arial"/>
          <w:sz w:val="24"/>
          <w:szCs w:val="24"/>
        </w:rPr>
        <w:t xml:space="preserve"> de la manzana </w:t>
      </w:r>
      <w:r w:rsidR="00292436">
        <w:rPr>
          <w:rFonts w:ascii="Arial" w:eastAsia="Arial" w:hAnsi="Arial" w:cs="Arial"/>
          <w:sz w:val="24"/>
          <w:szCs w:val="24"/>
        </w:rPr>
        <w:t>**********</w:t>
      </w:r>
      <w:r>
        <w:rPr>
          <w:rFonts w:ascii="Arial" w:eastAsia="Arial" w:hAnsi="Arial" w:cs="Arial"/>
          <w:sz w:val="24"/>
          <w:szCs w:val="24"/>
        </w:rPr>
        <w:t xml:space="preserve">, del Fraccionamiento </w:t>
      </w:r>
      <w:r w:rsidR="00292436">
        <w:rPr>
          <w:rFonts w:ascii="Arial" w:eastAsia="Arial" w:hAnsi="Arial" w:cs="Arial"/>
          <w:sz w:val="24"/>
          <w:szCs w:val="24"/>
        </w:rPr>
        <w:t>**********</w:t>
      </w:r>
      <w:r>
        <w:rPr>
          <w:rFonts w:ascii="Arial" w:eastAsia="Arial" w:hAnsi="Arial" w:cs="Arial"/>
          <w:sz w:val="24"/>
          <w:szCs w:val="24"/>
        </w:rPr>
        <w:t>, del Municipio de San Juan Bautista Tuxtepec, Oaxaca, así como para revocar la diversa licencia de construcción emitida por e</w:t>
      </w:r>
      <w:r>
        <w:rPr>
          <w:rFonts w:ascii="Arial" w:eastAsia="Arial" w:hAnsi="Arial" w:cs="Arial"/>
          <w:sz w:val="24"/>
          <w:szCs w:val="24"/>
        </w:rPr>
        <w:t>l entonces Director de Desarrollo Urbano del citado Municipio, mediante oficio DDU/XIV/1794/2021 de fecha treinta de noviembre de dos mil veintiuno a nombre del aquí actor,  y como consecuencia ordenar la clausura de obra en ejecución.</w:t>
      </w:r>
    </w:p>
    <w:p w:rsidR="00733C45" w:rsidRDefault="00882EC8">
      <w:pPr>
        <w:numPr>
          <w:ilvl w:val="0"/>
          <w:numId w:val="2"/>
        </w:numPr>
        <w:pBdr>
          <w:top w:val="nil"/>
          <w:left w:val="nil"/>
          <w:bottom w:val="nil"/>
          <w:right w:val="nil"/>
          <w:between w:val="nil"/>
        </w:pBdr>
        <w:spacing w:before="200" w:after="0"/>
        <w:ind w:left="0" w:right="51" w:firstLine="709"/>
        <w:rPr>
          <w:color w:val="000000"/>
          <w:sz w:val="24"/>
          <w:szCs w:val="24"/>
        </w:rPr>
      </w:pPr>
      <w:r>
        <w:rPr>
          <w:rFonts w:ascii="Arial" w:eastAsia="Arial" w:hAnsi="Arial" w:cs="Arial"/>
          <w:color w:val="000000"/>
          <w:sz w:val="24"/>
          <w:szCs w:val="24"/>
        </w:rPr>
        <w:t>En congruencia con l</w:t>
      </w:r>
      <w:r>
        <w:rPr>
          <w:rFonts w:ascii="Arial" w:eastAsia="Arial" w:hAnsi="Arial" w:cs="Arial"/>
          <w:color w:val="000000"/>
          <w:sz w:val="24"/>
          <w:szCs w:val="24"/>
        </w:rPr>
        <w:t xml:space="preserve">o anterior, resulta innegable que, por lo que hace a la competencia de la autoridad administrativa para emitir el acto administrativo y  estimar satisfecha la garantía de la debida fundamentación que establece el artículo 16 de la </w:t>
      </w:r>
      <w:r>
        <w:rPr>
          <w:rFonts w:ascii="Arial" w:eastAsia="Arial" w:hAnsi="Arial" w:cs="Arial"/>
          <w:i/>
          <w:color w:val="000000"/>
          <w:sz w:val="24"/>
          <w:szCs w:val="24"/>
        </w:rPr>
        <w:t>Constitución Federal</w:t>
      </w:r>
      <w:r>
        <w:rPr>
          <w:rFonts w:ascii="Arial" w:eastAsia="Arial" w:hAnsi="Arial" w:cs="Arial"/>
          <w:color w:val="000000"/>
          <w:sz w:val="24"/>
          <w:szCs w:val="24"/>
        </w:rPr>
        <w:t xml:space="preserve">; es </w:t>
      </w:r>
      <w:r>
        <w:rPr>
          <w:rFonts w:ascii="Arial" w:eastAsia="Arial" w:hAnsi="Arial" w:cs="Arial"/>
          <w:color w:val="000000"/>
          <w:sz w:val="24"/>
          <w:szCs w:val="24"/>
        </w:rPr>
        <w:t xml:space="preserve">necesario que en el documento que se emita, se invoquen las disposiciones legales, acuerdo o decreto que otorgan facultades a la autoridad emisora y, en caso de que estas normas incluyan diversos supuestos, se precisen con claridad y detalle, el apartado, </w:t>
      </w:r>
      <w:r>
        <w:rPr>
          <w:rFonts w:ascii="Arial" w:eastAsia="Arial" w:hAnsi="Arial" w:cs="Arial"/>
          <w:color w:val="000000"/>
          <w:sz w:val="24"/>
          <w:szCs w:val="24"/>
        </w:rPr>
        <w:t xml:space="preserve">la fracción o fracciones, incisos y </w:t>
      </w:r>
      <w:proofErr w:type="spellStart"/>
      <w:r>
        <w:rPr>
          <w:rFonts w:ascii="Arial" w:eastAsia="Arial" w:hAnsi="Arial" w:cs="Arial"/>
          <w:color w:val="000000"/>
          <w:sz w:val="24"/>
          <w:szCs w:val="24"/>
        </w:rPr>
        <w:t>subincisos</w:t>
      </w:r>
      <w:proofErr w:type="spellEnd"/>
      <w:r>
        <w:rPr>
          <w:rFonts w:ascii="Arial" w:eastAsia="Arial" w:hAnsi="Arial" w:cs="Arial"/>
          <w:color w:val="000000"/>
          <w:sz w:val="24"/>
          <w:szCs w:val="24"/>
        </w:rPr>
        <w:t xml:space="preserve"> en que apoya su actuación; pues de no ser así, se dejaría al </w:t>
      </w:r>
      <w:r>
        <w:rPr>
          <w:rFonts w:ascii="Arial" w:eastAsia="Arial" w:hAnsi="Arial" w:cs="Arial"/>
          <w:sz w:val="24"/>
          <w:szCs w:val="24"/>
        </w:rPr>
        <w:t>administrado</w:t>
      </w:r>
      <w:r>
        <w:rPr>
          <w:rFonts w:ascii="Arial" w:eastAsia="Arial" w:hAnsi="Arial" w:cs="Arial"/>
          <w:color w:val="000000"/>
          <w:sz w:val="24"/>
          <w:szCs w:val="24"/>
        </w:rPr>
        <w:t xml:space="preserve"> en estado de indefensión.</w:t>
      </w:r>
    </w:p>
    <w:p w:rsidR="00733C45" w:rsidRDefault="00882EC8">
      <w:pPr>
        <w:numPr>
          <w:ilvl w:val="0"/>
          <w:numId w:val="2"/>
        </w:numPr>
        <w:pBdr>
          <w:top w:val="nil"/>
          <w:left w:val="nil"/>
          <w:bottom w:val="nil"/>
          <w:right w:val="nil"/>
          <w:between w:val="nil"/>
        </w:pBdr>
        <w:spacing w:before="200" w:after="120"/>
        <w:ind w:left="0" w:right="51" w:firstLine="709"/>
        <w:rPr>
          <w:color w:val="000000"/>
          <w:sz w:val="24"/>
          <w:szCs w:val="24"/>
        </w:rPr>
      </w:pPr>
      <w:r>
        <w:rPr>
          <w:rFonts w:ascii="Arial" w:eastAsia="Arial" w:hAnsi="Arial" w:cs="Arial"/>
          <w:color w:val="000000"/>
          <w:sz w:val="24"/>
          <w:szCs w:val="24"/>
        </w:rPr>
        <w:t xml:space="preserve">Lo anterior, se traduciría en que el </w:t>
      </w:r>
      <w:r>
        <w:rPr>
          <w:rFonts w:ascii="Arial" w:eastAsia="Arial" w:hAnsi="Arial" w:cs="Arial"/>
          <w:sz w:val="24"/>
          <w:szCs w:val="24"/>
        </w:rPr>
        <w:t>administrado</w:t>
      </w:r>
      <w:r>
        <w:rPr>
          <w:rFonts w:ascii="Arial" w:eastAsia="Arial" w:hAnsi="Arial" w:cs="Arial"/>
          <w:color w:val="000000"/>
          <w:sz w:val="24"/>
          <w:szCs w:val="24"/>
        </w:rPr>
        <w:t xml:space="preserve"> ignorara si el proceder de la autoridad se encuentra o no d</w:t>
      </w:r>
      <w:r>
        <w:rPr>
          <w:rFonts w:ascii="Arial" w:eastAsia="Arial" w:hAnsi="Arial" w:cs="Arial"/>
          <w:color w:val="000000"/>
          <w:sz w:val="24"/>
          <w:szCs w:val="24"/>
        </w:rPr>
        <w:t xml:space="preserve">entro del ámbito competencial respectivo y, en consecuencia, si está o no ajustado a derecho; esto es así, porque, ninguna clase de </w:t>
      </w:r>
      <w:r>
        <w:rPr>
          <w:rFonts w:ascii="Arial" w:eastAsia="Arial" w:hAnsi="Arial" w:cs="Arial"/>
          <w:color w:val="000000"/>
          <w:sz w:val="24"/>
          <w:szCs w:val="24"/>
        </w:rPr>
        <w:t>ambigüedad es permitida para la autoridad en vías de cumplimiento del principio de legalidad, que suele enunciarse bajo el l</w:t>
      </w:r>
      <w:r>
        <w:rPr>
          <w:rFonts w:ascii="Arial" w:eastAsia="Arial" w:hAnsi="Arial" w:cs="Arial"/>
          <w:color w:val="000000"/>
          <w:sz w:val="24"/>
          <w:szCs w:val="24"/>
        </w:rPr>
        <w:t xml:space="preserve">ema, que mientras los particulares pueden hacer todo aquello que no esté </w:t>
      </w:r>
      <w:r>
        <w:rPr>
          <w:rFonts w:ascii="Arial" w:eastAsia="Arial" w:hAnsi="Arial" w:cs="Arial"/>
          <w:sz w:val="24"/>
          <w:szCs w:val="24"/>
        </w:rPr>
        <w:t>prohibido</w:t>
      </w:r>
      <w:r>
        <w:rPr>
          <w:rFonts w:ascii="Arial" w:eastAsia="Arial" w:hAnsi="Arial" w:cs="Arial"/>
          <w:color w:val="000000"/>
          <w:sz w:val="24"/>
          <w:szCs w:val="24"/>
        </w:rPr>
        <w:t xml:space="preserve">, las autoridades solo pueden hacer lo que la ley les permite, ya que su </w:t>
      </w:r>
      <w:r>
        <w:rPr>
          <w:rFonts w:ascii="Arial" w:eastAsia="Arial" w:hAnsi="Arial" w:cs="Arial"/>
          <w:sz w:val="24"/>
          <w:szCs w:val="24"/>
        </w:rPr>
        <w:t>finalidad</w:t>
      </w:r>
      <w:r>
        <w:rPr>
          <w:rFonts w:ascii="Arial" w:eastAsia="Arial" w:hAnsi="Arial" w:cs="Arial"/>
          <w:color w:val="000000"/>
          <w:sz w:val="24"/>
          <w:szCs w:val="24"/>
        </w:rPr>
        <w:t xml:space="preserve"> </w:t>
      </w:r>
      <w:r>
        <w:rPr>
          <w:rFonts w:ascii="Arial" w:eastAsia="Arial" w:hAnsi="Arial" w:cs="Arial"/>
          <w:color w:val="000000"/>
          <w:sz w:val="24"/>
          <w:szCs w:val="24"/>
        </w:rPr>
        <w:t xml:space="preserve">consiste, esencialmente, en una exacta individualización del acto de autoridad, de acuerdo </w:t>
      </w:r>
      <w:r>
        <w:rPr>
          <w:rFonts w:ascii="Arial" w:eastAsia="Arial" w:hAnsi="Arial" w:cs="Arial"/>
          <w:color w:val="000000"/>
          <w:sz w:val="24"/>
          <w:szCs w:val="24"/>
        </w:rPr>
        <w:t xml:space="preserve">a la hipótesis jurídica en que se ubique el administrado en relación con las </w:t>
      </w:r>
      <w:r>
        <w:rPr>
          <w:rFonts w:ascii="Arial" w:eastAsia="Arial" w:hAnsi="Arial" w:cs="Arial"/>
          <w:color w:val="000000"/>
          <w:sz w:val="24"/>
          <w:szCs w:val="24"/>
        </w:rPr>
        <w:lastRenderedPageBreak/>
        <w:t>facultades de la autoridad, por razones de seguridad jurídica. Sirve de apoyo a lo anterior, la Jurisprudencia número de registro 177347, de la Segunda Sala de la Suprema Corte de</w:t>
      </w:r>
      <w:r>
        <w:rPr>
          <w:rFonts w:ascii="Arial" w:eastAsia="Arial" w:hAnsi="Arial" w:cs="Arial"/>
          <w:color w:val="000000"/>
          <w:sz w:val="24"/>
          <w:szCs w:val="24"/>
        </w:rPr>
        <w:t xml:space="preserve"> Justicia de la Nación, visible en la página 310, Tomo XXII, septiembre de 2005, Materia Administrativa, Novena Época, de rubro siguiente:  </w:t>
      </w:r>
    </w:p>
    <w:p w:rsidR="00733C45" w:rsidRDefault="00882EC8">
      <w:pPr>
        <w:spacing w:before="0" w:after="0" w:line="240" w:lineRule="auto"/>
        <w:ind w:left="709" w:right="899"/>
        <w:rPr>
          <w:rFonts w:ascii="Arial" w:eastAsia="Arial" w:hAnsi="Arial" w:cs="Arial"/>
          <w:b/>
          <w:i/>
        </w:rPr>
      </w:pPr>
      <w:r>
        <w:rPr>
          <w:rFonts w:ascii="Arial" w:eastAsia="Arial" w:hAnsi="Arial" w:cs="Arial"/>
          <w:i/>
        </w:rPr>
        <w:t>“</w:t>
      </w:r>
      <w:r>
        <w:rPr>
          <w:rFonts w:ascii="Arial" w:eastAsia="Arial" w:hAnsi="Arial" w:cs="Arial"/>
          <w:b/>
          <w:i/>
        </w:rPr>
        <w:t>COMPETENCIA DE LAS AUTORIDADES ADMINISTRATIVAS. EL MANDAMIENTO ESCRITO QUE CONTIENE EL ACTO DE MOLESTIA A PARTICULARES DEBE FUNDARSE EN EL PRECEPTO LEGAL QUE LES OTORGUE LA ATRIBUCIÓN EJERCIDA, CITANDO EL APARTADO, FRACCIÓN, INCISO O SUBINCISO, Y EN CASO D</w:t>
      </w:r>
      <w:r>
        <w:rPr>
          <w:rFonts w:ascii="Arial" w:eastAsia="Arial" w:hAnsi="Arial" w:cs="Arial"/>
          <w:b/>
          <w:i/>
        </w:rPr>
        <w:t>E QUE NO LOS CONTENGA, SI SE TRATA DE UNA NORMA COMPLEJA, HABRÁ DE TRANSCRIBIRSE LA PARTE CORRESPONDIENTE.”</w:t>
      </w:r>
      <w:r>
        <w:rPr>
          <w:rFonts w:ascii="Arial" w:eastAsia="Arial" w:hAnsi="Arial" w:cs="Arial"/>
          <w:b/>
          <w:i/>
          <w:vertAlign w:val="superscript"/>
        </w:rPr>
        <w:footnoteReference w:id="12"/>
      </w:r>
    </w:p>
    <w:p w:rsidR="00733C45" w:rsidRDefault="00733C45">
      <w:pPr>
        <w:spacing w:before="0" w:after="0" w:line="240" w:lineRule="auto"/>
        <w:ind w:left="709" w:right="760"/>
        <w:rPr>
          <w:rFonts w:ascii="Arial" w:eastAsia="Arial" w:hAnsi="Arial" w:cs="Arial"/>
          <w:b/>
          <w:i/>
        </w:rPr>
      </w:pPr>
    </w:p>
    <w:p w:rsidR="00733C45" w:rsidRDefault="00882EC8">
      <w:pPr>
        <w:spacing w:before="0" w:after="120"/>
        <w:ind w:firstLine="708"/>
        <w:rPr>
          <w:rFonts w:ascii="Arial" w:eastAsia="Arial" w:hAnsi="Arial" w:cs="Arial"/>
          <w:sz w:val="24"/>
          <w:szCs w:val="24"/>
        </w:rPr>
      </w:pPr>
      <w:r>
        <w:rPr>
          <w:rFonts w:ascii="Arial" w:eastAsia="Arial" w:hAnsi="Arial" w:cs="Arial"/>
          <w:sz w:val="24"/>
          <w:szCs w:val="24"/>
        </w:rPr>
        <w:t>Así como la Jurisprudencia con número de registro digital: 2021656, Suprema Corte de Justicia de la Nación, Primer Tribunal Colegiado del Vigésimo Tercer Circuito, Décima Época, Materias(s): Constitucional, Administrativa, Común, Tesis: XXIII.1o. J/1 A (10</w:t>
      </w:r>
      <w:r>
        <w:rPr>
          <w:rFonts w:ascii="Arial" w:eastAsia="Arial" w:hAnsi="Arial" w:cs="Arial"/>
          <w:sz w:val="24"/>
          <w:szCs w:val="24"/>
        </w:rPr>
        <w:t>a.), Fuente: Gaceta del Semanario Judicial de la Federación. Libro 75, febrero de 2020, Tomo III, página 2147, de rubro:</w:t>
      </w:r>
    </w:p>
    <w:p w:rsidR="00733C45" w:rsidRDefault="00882EC8">
      <w:pPr>
        <w:spacing w:before="0" w:after="120" w:line="240" w:lineRule="auto"/>
        <w:ind w:left="851" w:right="902"/>
        <w:rPr>
          <w:rFonts w:ascii="Arial" w:eastAsia="Arial" w:hAnsi="Arial" w:cs="Arial"/>
          <w:b/>
          <w:i/>
        </w:rPr>
      </w:pPr>
      <w:r>
        <w:rPr>
          <w:rFonts w:ascii="Arial" w:eastAsia="Arial" w:hAnsi="Arial" w:cs="Arial"/>
          <w:b/>
          <w:i/>
        </w:rPr>
        <w:t>“FUNDAMENTACIÓN DE LA COMPETENCIA DE LAS AUTORIDADES ADMINISTRATIVAS. ALCANCE Y APLICABILIDAD DE LA JURISPRUDENCIA 2a</w:t>
      </w:r>
      <w:proofErr w:type="gramStart"/>
      <w:r>
        <w:rPr>
          <w:rFonts w:ascii="Arial" w:eastAsia="Arial" w:hAnsi="Arial" w:cs="Arial"/>
          <w:b/>
          <w:i/>
        </w:rPr>
        <w:t>./</w:t>
      </w:r>
      <w:proofErr w:type="gramEnd"/>
      <w:r>
        <w:rPr>
          <w:rFonts w:ascii="Arial" w:eastAsia="Arial" w:hAnsi="Arial" w:cs="Arial"/>
          <w:b/>
          <w:i/>
        </w:rPr>
        <w:t>J. 115/2005.”</w:t>
      </w:r>
      <w:r>
        <w:rPr>
          <w:rFonts w:ascii="Arial" w:eastAsia="Arial" w:hAnsi="Arial" w:cs="Arial"/>
          <w:b/>
          <w:i/>
          <w:vertAlign w:val="superscript"/>
        </w:rPr>
        <w:footnoteReference w:id="13"/>
      </w:r>
      <w:r>
        <w:rPr>
          <w:rFonts w:ascii="Arial" w:eastAsia="Arial" w:hAnsi="Arial" w:cs="Arial"/>
          <w:b/>
          <w:i/>
        </w:rPr>
        <w:t xml:space="preserve"> </w:t>
      </w:r>
    </w:p>
    <w:p w:rsidR="00733C45" w:rsidRDefault="00733C45">
      <w:pPr>
        <w:spacing w:before="0" w:after="0" w:line="240" w:lineRule="auto"/>
        <w:ind w:left="851" w:right="902"/>
        <w:rPr>
          <w:rFonts w:ascii="Arial" w:eastAsia="Arial" w:hAnsi="Arial" w:cs="Arial"/>
          <w:i/>
          <w:sz w:val="16"/>
          <w:szCs w:val="16"/>
        </w:rPr>
      </w:pPr>
    </w:p>
    <w:p w:rsidR="00733C45" w:rsidRDefault="00882EC8">
      <w:pPr>
        <w:numPr>
          <w:ilvl w:val="0"/>
          <w:numId w:val="2"/>
        </w:numPr>
        <w:pBdr>
          <w:top w:val="nil"/>
          <w:left w:val="nil"/>
          <w:bottom w:val="nil"/>
          <w:right w:val="nil"/>
          <w:between w:val="nil"/>
        </w:pBdr>
        <w:spacing w:before="200" w:after="0"/>
        <w:ind w:left="0" w:right="51" w:firstLine="709"/>
        <w:rPr>
          <w:rFonts w:ascii="Arial" w:eastAsia="Arial" w:hAnsi="Arial" w:cs="Arial"/>
          <w:b/>
          <w:color w:val="000000"/>
          <w:sz w:val="24"/>
          <w:szCs w:val="24"/>
        </w:rPr>
      </w:pPr>
      <w:r>
        <w:rPr>
          <w:rFonts w:ascii="Arial" w:eastAsia="Arial" w:hAnsi="Arial" w:cs="Arial"/>
          <w:color w:val="000000"/>
          <w:sz w:val="24"/>
          <w:szCs w:val="24"/>
        </w:rPr>
        <w:t xml:space="preserve">De lo dispuesto en las citadas Jurisprudencias, así como de las consideraciones en las cuales se sustentaron dichos criterios, se desprende que la garantía de fundamentación consagrada en el artículo 16 de la </w:t>
      </w:r>
      <w:r>
        <w:rPr>
          <w:rFonts w:ascii="Arial" w:eastAsia="Arial" w:hAnsi="Arial" w:cs="Arial"/>
          <w:i/>
          <w:color w:val="000000"/>
          <w:sz w:val="24"/>
          <w:szCs w:val="24"/>
        </w:rPr>
        <w:t xml:space="preserve">Constitución Federal, </w:t>
      </w:r>
      <w:r>
        <w:rPr>
          <w:rFonts w:ascii="Arial" w:eastAsia="Arial" w:hAnsi="Arial" w:cs="Arial"/>
          <w:color w:val="000000"/>
          <w:sz w:val="24"/>
          <w:szCs w:val="24"/>
        </w:rPr>
        <w:t xml:space="preserve">lleva implícita la idea </w:t>
      </w:r>
      <w:r>
        <w:rPr>
          <w:rFonts w:ascii="Arial" w:eastAsia="Arial" w:hAnsi="Arial" w:cs="Arial"/>
          <w:color w:val="000000"/>
          <w:sz w:val="24"/>
          <w:szCs w:val="24"/>
        </w:rPr>
        <w:t xml:space="preserve">de exactitud y precisión en la cita de las normas </w:t>
      </w:r>
      <w:r>
        <w:rPr>
          <w:rFonts w:ascii="Arial" w:eastAsia="Arial" w:hAnsi="Arial" w:cs="Arial"/>
          <w:color w:val="000000"/>
          <w:sz w:val="24"/>
          <w:szCs w:val="24"/>
        </w:rPr>
        <w:lastRenderedPageBreak/>
        <w:t xml:space="preserve">legales que facultan a la autoridad administrativa para emitir el acto de que se trate, al atender </w:t>
      </w:r>
      <w:r>
        <w:rPr>
          <w:rFonts w:ascii="Arial" w:eastAsia="Arial" w:hAnsi="Arial" w:cs="Arial"/>
          <w:sz w:val="24"/>
          <w:szCs w:val="24"/>
        </w:rPr>
        <w:t>e</w:t>
      </w:r>
      <w:r>
        <w:rPr>
          <w:rFonts w:ascii="Arial" w:eastAsia="Arial" w:hAnsi="Arial" w:cs="Arial"/>
          <w:color w:val="000000"/>
          <w:sz w:val="24"/>
          <w:szCs w:val="24"/>
        </w:rPr>
        <w:t xml:space="preserve">l valor jurídicamente protegido por la exigencia constitucional, que es la posibilidad de otorgar certeza </w:t>
      </w:r>
      <w:r>
        <w:rPr>
          <w:rFonts w:ascii="Arial" w:eastAsia="Arial" w:hAnsi="Arial" w:cs="Arial"/>
          <w:color w:val="000000"/>
          <w:sz w:val="24"/>
          <w:szCs w:val="24"/>
        </w:rPr>
        <w:t xml:space="preserve">y seguridad jurídica al particular frente a los actos de las autoridades que afecten o lesionen su </w:t>
      </w:r>
      <w:r>
        <w:rPr>
          <w:rFonts w:ascii="Arial" w:eastAsia="Arial" w:hAnsi="Arial" w:cs="Arial"/>
          <w:sz w:val="24"/>
          <w:szCs w:val="24"/>
        </w:rPr>
        <w:t>esfera jurídica</w:t>
      </w:r>
      <w:r>
        <w:rPr>
          <w:rFonts w:ascii="Arial" w:eastAsia="Arial" w:hAnsi="Arial" w:cs="Arial"/>
          <w:color w:val="000000"/>
          <w:sz w:val="24"/>
          <w:szCs w:val="24"/>
        </w:rPr>
        <w:t xml:space="preserve"> y, por tanto, asegurar la prerrogativa de su defensa, ante un acto que no cumpla con los requisitos legales necesarios.</w:t>
      </w:r>
    </w:p>
    <w:p w:rsidR="00733C45" w:rsidRDefault="00882EC8">
      <w:pPr>
        <w:pBdr>
          <w:top w:val="nil"/>
          <w:left w:val="nil"/>
          <w:bottom w:val="nil"/>
          <w:right w:val="nil"/>
          <w:between w:val="nil"/>
        </w:pBdr>
        <w:spacing w:before="200" w:after="0"/>
        <w:ind w:left="709" w:right="51"/>
        <w:rPr>
          <w:rFonts w:ascii="Arial" w:eastAsia="Arial" w:hAnsi="Arial" w:cs="Arial"/>
          <w:b/>
          <w:color w:val="000000"/>
          <w:sz w:val="24"/>
          <w:szCs w:val="24"/>
        </w:rPr>
      </w:pPr>
      <w:r>
        <w:rPr>
          <w:rFonts w:ascii="Arial" w:eastAsia="Arial" w:hAnsi="Arial" w:cs="Arial"/>
          <w:b/>
          <w:color w:val="000000"/>
          <w:sz w:val="24"/>
          <w:szCs w:val="24"/>
        </w:rPr>
        <w:t>III. DECISIÓN</w:t>
      </w:r>
    </w:p>
    <w:p w:rsidR="00733C45" w:rsidRDefault="00882EC8">
      <w:pPr>
        <w:numPr>
          <w:ilvl w:val="0"/>
          <w:numId w:val="2"/>
        </w:numPr>
        <w:pBdr>
          <w:top w:val="nil"/>
          <w:left w:val="nil"/>
          <w:bottom w:val="nil"/>
          <w:right w:val="nil"/>
          <w:between w:val="nil"/>
        </w:pBdr>
        <w:spacing w:before="200" w:after="0"/>
        <w:ind w:left="0" w:right="51" w:firstLine="709"/>
        <w:rPr>
          <w:color w:val="000000"/>
          <w:sz w:val="24"/>
          <w:szCs w:val="24"/>
        </w:rPr>
      </w:pPr>
      <w:r>
        <w:rPr>
          <w:rFonts w:ascii="Arial" w:eastAsia="Arial" w:hAnsi="Arial" w:cs="Arial"/>
          <w:color w:val="000000"/>
          <w:sz w:val="24"/>
          <w:szCs w:val="24"/>
        </w:rPr>
        <w:t xml:space="preserve">En consecuencia, a fin de impedir que se haga nugatorio el derecho de acceso a la jurisdicción de </w:t>
      </w:r>
      <w:r w:rsidR="00292436">
        <w:rPr>
          <w:rFonts w:ascii="Arial" w:eastAsia="Arial" w:hAnsi="Arial" w:cs="Arial"/>
          <w:b/>
          <w:color w:val="000000"/>
          <w:sz w:val="24"/>
          <w:szCs w:val="24"/>
        </w:rPr>
        <w:t>**********</w:t>
      </w:r>
      <w:r>
        <w:rPr>
          <w:rFonts w:ascii="Arial" w:eastAsia="Arial" w:hAnsi="Arial" w:cs="Arial"/>
          <w:b/>
          <w:color w:val="000000"/>
          <w:sz w:val="24"/>
          <w:szCs w:val="24"/>
        </w:rPr>
        <w:t>,</w:t>
      </w:r>
      <w:r>
        <w:rPr>
          <w:rFonts w:ascii="Arial" w:eastAsia="Arial" w:hAnsi="Arial" w:cs="Arial"/>
          <w:color w:val="000000"/>
          <w:sz w:val="24"/>
          <w:szCs w:val="24"/>
        </w:rPr>
        <w:t xml:space="preserve"> establecido en artículo 17 de la </w:t>
      </w:r>
      <w:r>
        <w:rPr>
          <w:rFonts w:ascii="Arial" w:eastAsia="Arial" w:hAnsi="Arial" w:cs="Arial"/>
          <w:i/>
          <w:color w:val="000000"/>
          <w:sz w:val="24"/>
          <w:szCs w:val="24"/>
        </w:rPr>
        <w:t>Constitución Federal</w:t>
      </w:r>
      <w:r>
        <w:rPr>
          <w:rFonts w:ascii="Arial" w:eastAsia="Arial" w:hAnsi="Arial" w:cs="Arial"/>
          <w:color w:val="000000"/>
          <w:sz w:val="24"/>
          <w:szCs w:val="24"/>
        </w:rPr>
        <w:t xml:space="preserve">, esta Sala de Primera Instancia considera que en aquellos casos en que el acto </w:t>
      </w:r>
      <w:r>
        <w:rPr>
          <w:rFonts w:ascii="Arial" w:eastAsia="Arial" w:hAnsi="Arial" w:cs="Arial"/>
          <w:color w:val="000000"/>
          <w:sz w:val="24"/>
          <w:szCs w:val="24"/>
        </w:rPr>
        <w:t>impugnado se haya emitido en respuesta a una petición formulada por el particular, o bien, se haya dictado para resolver una instancia o recurso, la sentencia de nulidad deberá ordenar el dictado de una nueva, de conformidad con lo establecido en el numera</w:t>
      </w:r>
      <w:r>
        <w:rPr>
          <w:rFonts w:ascii="Arial" w:eastAsia="Arial" w:hAnsi="Arial" w:cs="Arial"/>
          <w:color w:val="000000"/>
          <w:sz w:val="24"/>
          <w:szCs w:val="24"/>
        </w:rPr>
        <w:t>l 209</w:t>
      </w:r>
      <w:r>
        <w:rPr>
          <w:rFonts w:ascii="Arial" w:eastAsia="Arial" w:hAnsi="Arial" w:cs="Arial"/>
          <w:color w:val="000000"/>
          <w:sz w:val="24"/>
          <w:szCs w:val="24"/>
          <w:vertAlign w:val="superscript"/>
        </w:rPr>
        <w:footnoteReference w:id="14"/>
      </w:r>
      <w:r>
        <w:rPr>
          <w:rFonts w:ascii="Arial" w:eastAsia="Arial" w:hAnsi="Arial" w:cs="Arial"/>
          <w:color w:val="000000"/>
          <w:sz w:val="24"/>
          <w:szCs w:val="24"/>
        </w:rPr>
        <w:t xml:space="preserve"> de la  </w:t>
      </w:r>
      <w:r>
        <w:rPr>
          <w:rFonts w:ascii="Arial" w:eastAsia="Arial" w:hAnsi="Arial" w:cs="Arial"/>
          <w:i/>
          <w:color w:val="000000"/>
          <w:sz w:val="24"/>
          <w:szCs w:val="24"/>
        </w:rPr>
        <w:t>Ley de Procedimiento</w:t>
      </w:r>
      <w:r>
        <w:rPr>
          <w:rFonts w:ascii="Arial" w:eastAsia="Arial" w:hAnsi="Arial" w:cs="Arial"/>
          <w:color w:val="000000"/>
          <w:sz w:val="24"/>
          <w:szCs w:val="24"/>
        </w:rPr>
        <w:t>.</w:t>
      </w:r>
    </w:p>
    <w:p w:rsidR="00733C45" w:rsidRDefault="00882EC8">
      <w:pPr>
        <w:numPr>
          <w:ilvl w:val="0"/>
          <w:numId w:val="2"/>
        </w:numPr>
        <w:pBdr>
          <w:top w:val="nil"/>
          <w:left w:val="nil"/>
          <w:bottom w:val="nil"/>
          <w:right w:val="nil"/>
          <w:between w:val="nil"/>
        </w:pBdr>
        <w:spacing w:after="0"/>
        <w:ind w:left="0" w:right="51" w:firstLine="709"/>
        <w:rPr>
          <w:color w:val="000000"/>
          <w:sz w:val="24"/>
          <w:szCs w:val="24"/>
        </w:rPr>
      </w:pPr>
      <w:r>
        <w:rPr>
          <w:rFonts w:ascii="Arial" w:eastAsia="Arial" w:hAnsi="Arial" w:cs="Arial"/>
          <w:color w:val="000000"/>
          <w:sz w:val="24"/>
          <w:szCs w:val="24"/>
        </w:rPr>
        <w:t xml:space="preserve">En consecuencia, toda vez que la resolución contenida en el oficio número SUBDU-XI-0016/2022 de trece de enero de dos mil veintidós, emitida por el </w:t>
      </w:r>
      <w:r>
        <w:rPr>
          <w:rFonts w:ascii="Arial" w:eastAsia="Arial" w:hAnsi="Arial" w:cs="Arial"/>
          <w:i/>
          <w:color w:val="000000"/>
          <w:sz w:val="24"/>
          <w:szCs w:val="24"/>
        </w:rPr>
        <w:t>Director de Obras,</w:t>
      </w:r>
      <w:r>
        <w:rPr>
          <w:rFonts w:ascii="Arial" w:eastAsia="Arial" w:hAnsi="Arial" w:cs="Arial"/>
          <w:color w:val="000000"/>
          <w:sz w:val="24"/>
          <w:szCs w:val="24"/>
        </w:rPr>
        <w:t xml:space="preserve"> no cumple con los elementos y requisitos de validez d</w:t>
      </w:r>
      <w:r>
        <w:rPr>
          <w:rFonts w:ascii="Arial" w:eastAsia="Arial" w:hAnsi="Arial" w:cs="Arial"/>
          <w:color w:val="000000"/>
          <w:sz w:val="24"/>
          <w:szCs w:val="24"/>
        </w:rPr>
        <w:t xml:space="preserve">el acto administrativo relativos al artículo 17, fracciones II y V de la </w:t>
      </w:r>
      <w:r>
        <w:rPr>
          <w:rFonts w:ascii="Arial" w:eastAsia="Arial" w:hAnsi="Arial" w:cs="Arial"/>
          <w:i/>
          <w:color w:val="000000"/>
          <w:sz w:val="24"/>
          <w:szCs w:val="24"/>
        </w:rPr>
        <w:t>Ley de Procedimiento</w:t>
      </w:r>
      <w:r>
        <w:rPr>
          <w:rFonts w:ascii="Arial" w:eastAsia="Arial" w:hAnsi="Arial" w:cs="Arial"/>
          <w:color w:val="000000"/>
          <w:sz w:val="24"/>
          <w:szCs w:val="24"/>
        </w:rPr>
        <w:t xml:space="preserve">, en relación con el precepto 16 de la </w:t>
      </w:r>
      <w:r>
        <w:rPr>
          <w:rFonts w:ascii="Arial" w:eastAsia="Arial" w:hAnsi="Arial" w:cs="Arial"/>
          <w:i/>
          <w:color w:val="000000"/>
          <w:sz w:val="24"/>
          <w:szCs w:val="24"/>
        </w:rPr>
        <w:t xml:space="preserve">Constitución Federal, </w:t>
      </w:r>
      <w:r>
        <w:rPr>
          <w:rFonts w:ascii="Arial" w:eastAsia="Arial" w:hAnsi="Arial" w:cs="Arial"/>
          <w:color w:val="000000"/>
          <w:sz w:val="24"/>
          <w:szCs w:val="24"/>
        </w:rPr>
        <w:t>procedente declarar su</w:t>
      </w:r>
      <w:r>
        <w:rPr>
          <w:rFonts w:ascii="Arial" w:eastAsia="Arial" w:hAnsi="Arial" w:cs="Arial"/>
          <w:b/>
          <w:color w:val="000000"/>
          <w:sz w:val="24"/>
          <w:szCs w:val="24"/>
        </w:rPr>
        <w:t xml:space="preserve"> NULIDAD, para el efecto</w:t>
      </w:r>
      <w:r>
        <w:rPr>
          <w:rFonts w:ascii="Arial" w:eastAsia="Arial" w:hAnsi="Arial" w:cs="Arial"/>
          <w:color w:val="000000"/>
          <w:sz w:val="24"/>
          <w:szCs w:val="24"/>
        </w:rPr>
        <w:t xml:space="preserve"> de que la autoridad demandada dicte otro acto, en el qu</w:t>
      </w:r>
      <w:r>
        <w:rPr>
          <w:rFonts w:ascii="Arial" w:eastAsia="Arial" w:hAnsi="Arial" w:cs="Arial"/>
          <w:color w:val="000000"/>
          <w:sz w:val="24"/>
          <w:szCs w:val="24"/>
        </w:rPr>
        <w:t xml:space="preserve">e funde y motive debidamente su competencia para proceder a darle respuesta a la petición presentada el tres de agosto de dos mil veintiuno por </w:t>
      </w:r>
      <w:r w:rsidR="00C95713">
        <w:rPr>
          <w:rFonts w:ascii="Arial" w:eastAsia="Arial" w:hAnsi="Arial" w:cs="Arial"/>
          <w:b/>
          <w:color w:val="000000"/>
          <w:sz w:val="24"/>
          <w:szCs w:val="24"/>
        </w:rPr>
        <w:t>**********</w:t>
      </w:r>
      <w:r>
        <w:rPr>
          <w:rFonts w:ascii="Arial" w:eastAsia="Arial" w:hAnsi="Arial" w:cs="Arial"/>
          <w:color w:val="000000"/>
          <w:sz w:val="24"/>
          <w:szCs w:val="24"/>
        </w:rPr>
        <w:t>; o en su caso, remita dicha petición a la autoridad que resulte competente; lo anterior,</w:t>
      </w:r>
      <w:r>
        <w:rPr>
          <w:rFonts w:ascii="Arial" w:eastAsia="Arial" w:hAnsi="Arial" w:cs="Arial"/>
          <w:color w:val="000000"/>
          <w:sz w:val="24"/>
          <w:szCs w:val="24"/>
        </w:rPr>
        <w:t xml:space="preserve"> de conformidad con lo dispuesto en las fracción II y VI</w:t>
      </w:r>
      <w:r>
        <w:rPr>
          <w:rFonts w:ascii="Arial" w:eastAsia="Arial" w:hAnsi="Arial" w:cs="Arial"/>
          <w:color w:val="000000"/>
          <w:sz w:val="24"/>
          <w:szCs w:val="24"/>
          <w:vertAlign w:val="superscript"/>
        </w:rPr>
        <w:footnoteReference w:id="15"/>
      </w:r>
      <w:r>
        <w:rPr>
          <w:rFonts w:ascii="Arial" w:eastAsia="Arial" w:hAnsi="Arial" w:cs="Arial"/>
          <w:color w:val="000000"/>
          <w:sz w:val="24"/>
          <w:szCs w:val="24"/>
        </w:rPr>
        <w:t xml:space="preserve"> del artículo 208 de la </w:t>
      </w:r>
      <w:r>
        <w:rPr>
          <w:rFonts w:ascii="Arial" w:eastAsia="Arial" w:hAnsi="Arial" w:cs="Arial"/>
          <w:i/>
          <w:color w:val="000000"/>
          <w:sz w:val="24"/>
          <w:szCs w:val="24"/>
        </w:rPr>
        <w:t>Ley de Procedimiento</w:t>
      </w:r>
      <w:r>
        <w:rPr>
          <w:rFonts w:ascii="Arial" w:eastAsia="Arial" w:hAnsi="Arial" w:cs="Arial"/>
          <w:color w:val="000000"/>
          <w:sz w:val="24"/>
          <w:szCs w:val="24"/>
        </w:rPr>
        <w:t>. Sirve de apoyo a lo anterior, la Jurisprudencia por contradicción de tesis de la Novena Época, con número de registro 188431, emitida por la Segunda Sala</w:t>
      </w:r>
      <w:r>
        <w:rPr>
          <w:rFonts w:ascii="Arial" w:eastAsia="Arial" w:hAnsi="Arial" w:cs="Arial"/>
          <w:color w:val="000000"/>
          <w:sz w:val="24"/>
          <w:szCs w:val="24"/>
        </w:rPr>
        <w:t xml:space="preserve"> de la Suprema Corte de Justicia de la Nación, publicada en el Semanario Judicial de la Federación y su Gaceta, Tomo XIV, noviembre de 2001, visible a página 32, de rubro siguiente:</w:t>
      </w:r>
    </w:p>
    <w:p w:rsidR="00733C45" w:rsidRDefault="00882EC8">
      <w:pPr>
        <w:spacing w:after="0" w:line="240" w:lineRule="auto"/>
        <w:ind w:left="851" w:right="902"/>
        <w:rPr>
          <w:rFonts w:ascii="Arial" w:eastAsia="Arial" w:hAnsi="Arial" w:cs="Arial"/>
          <w:b/>
          <w:i/>
          <w:color w:val="000000"/>
        </w:rPr>
      </w:pPr>
      <w:r>
        <w:rPr>
          <w:rFonts w:ascii="Arial" w:eastAsia="Arial" w:hAnsi="Arial" w:cs="Arial"/>
          <w:b/>
          <w:i/>
          <w:color w:val="000000"/>
        </w:rPr>
        <w:t xml:space="preserve">“COMPETENCIA DE LAS AUTORIDADES ADMINISTRATIVAS. LA NULIDAD DECRETADA POR </w:t>
      </w:r>
      <w:r>
        <w:rPr>
          <w:rFonts w:ascii="Arial" w:eastAsia="Arial" w:hAnsi="Arial" w:cs="Arial"/>
          <w:b/>
          <w:i/>
          <w:color w:val="000000"/>
        </w:rPr>
        <w:t xml:space="preserve">NO HABERLA FUNDADO NO PUEDE SER PARA EFECTOS, EXCEPTO EN LOS CASOS EN QUE LA </w:t>
      </w:r>
      <w:r>
        <w:rPr>
          <w:rFonts w:ascii="Arial" w:eastAsia="Arial" w:hAnsi="Arial" w:cs="Arial"/>
          <w:b/>
          <w:i/>
          <w:color w:val="000000"/>
        </w:rPr>
        <w:lastRenderedPageBreak/>
        <w:t>RESOLUCIÓN IMPUGNADA RECAIGA A UNA PETICIÓN, INSTANCIA O RECURSO.”</w:t>
      </w:r>
      <w:r>
        <w:rPr>
          <w:rFonts w:ascii="Arial" w:eastAsia="Arial" w:hAnsi="Arial" w:cs="Arial"/>
          <w:b/>
          <w:i/>
          <w:color w:val="000000"/>
          <w:vertAlign w:val="superscript"/>
        </w:rPr>
        <w:footnoteReference w:id="16"/>
      </w:r>
      <w:r>
        <w:rPr>
          <w:rFonts w:ascii="Arial" w:eastAsia="Arial" w:hAnsi="Arial" w:cs="Arial"/>
          <w:b/>
          <w:i/>
          <w:color w:val="000000"/>
        </w:rPr>
        <w:t xml:space="preserve"> </w:t>
      </w:r>
    </w:p>
    <w:p w:rsidR="00733C45" w:rsidRDefault="00733C45">
      <w:pPr>
        <w:spacing w:before="0" w:after="0" w:line="240" w:lineRule="auto"/>
        <w:ind w:left="851" w:right="902"/>
        <w:rPr>
          <w:rFonts w:ascii="Arial" w:eastAsia="Arial" w:hAnsi="Arial" w:cs="Arial"/>
          <w:b/>
          <w:i/>
          <w:color w:val="000000"/>
        </w:rPr>
      </w:pPr>
    </w:p>
    <w:p w:rsidR="00733C45" w:rsidRDefault="00882EC8">
      <w:pPr>
        <w:spacing w:before="0" w:after="0"/>
        <w:ind w:firstLine="567"/>
        <w:rPr>
          <w:rFonts w:ascii="Arial" w:eastAsia="Arial" w:hAnsi="Arial" w:cs="Arial"/>
          <w:sz w:val="24"/>
          <w:szCs w:val="24"/>
        </w:rPr>
      </w:pPr>
      <w:r>
        <w:rPr>
          <w:rFonts w:ascii="Arial" w:eastAsia="Arial" w:hAnsi="Arial" w:cs="Arial"/>
          <w:sz w:val="24"/>
          <w:szCs w:val="24"/>
        </w:rPr>
        <w:t>De igual forma, por identidad jurídica se cita la Tesis: XVI.1o.A.20 K (10a.) con registro digital: 2006825, Décima Época, Gaceta del Semanario Judicial de la Federación. Libro 7, junio de 2014, Tomo II, página 1672, de rubro y texto siguiente:</w:t>
      </w:r>
    </w:p>
    <w:p w:rsidR="00733C45" w:rsidRDefault="00882EC8">
      <w:pPr>
        <w:spacing w:after="0" w:line="240" w:lineRule="auto"/>
        <w:ind w:left="993" w:right="902"/>
        <w:rPr>
          <w:rFonts w:ascii="Arial" w:eastAsia="Arial" w:hAnsi="Arial" w:cs="Arial"/>
          <w:b/>
          <w:i/>
        </w:rPr>
      </w:pPr>
      <w:r>
        <w:rPr>
          <w:rFonts w:ascii="Arial" w:eastAsia="Arial" w:hAnsi="Arial" w:cs="Arial"/>
          <w:b/>
          <w:i/>
        </w:rPr>
        <w:t>“DERECHO DE</w:t>
      </w:r>
      <w:r>
        <w:rPr>
          <w:rFonts w:ascii="Arial" w:eastAsia="Arial" w:hAnsi="Arial" w:cs="Arial"/>
          <w:b/>
          <w:i/>
        </w:rPr>
        <w:t xml:space="preserve"> PETICIÓN. EL EFECTO DE LA CONCESIÓN DEL AMPARO EN UN JUICIO EN EL QUE SE EXAMINÓ SU VIOLACIÓN, NO PUEDE QUEDAR EN LA SIMPLE EXIGENCIA DE UNA RESPUESTA, SINO QUE REQUIERE QUE ÉSTA SEA CONGRUENTE, COMPLETA, RÁPIDA Y, SOBRE TODO, FUNDADA Y MOTIVADA (LEGISLAC</w:t>
      </w:r>
      <w:r>
        <w:rPr>
          <w:rFonts w:ascii="Arial" w:eastAsia="Arial" w:hAnsi="Arial" w:cs="Arial"/>
          <w:b/>
          <w:i/>
        </w:rPr>
        <w:t>IÓN VIGENTE A PARTIR DEL 3 DE ABRIL DE 2013).”</w:t>
      </w:r>
      <w:r>
        <w:rPr>
          <w:rFonts w:ascii="Arial" w:eastAsia="Arial" w:hAnsi="Arial" w:cs="Arial"/>
          <w:b/>
          <w:i/>
          <w:vertAlign w:val="superscript"/>
        </w:rPr>
        <w:footnoteReference w:id="17"/>
      </w:r>
    </w:p>
    <w:p w:rsidR="00733C45" w:rsidRDefault="00882EC8">
      <w:pPr>
        <w:numPr>
          <w:ilvl w:val="0"/>
          <w:numId w:val="2"/>
        </w:numPr>
        <w:pBdr>
          <w:top w:val="nil"/>
          <w:left w:val="nil"/>
          <w:bottom w:val="nil"/>
          <w:right w:val="nil"/>
          <w:between w:val="nil"/>
        </w:pBdr>
        <w:spacing w:before="200" w:after="0"/>
        <w:ind w:left="0" w:firstLine="567"/>
        <w:rPr>
          <w:color w:val="000000"/>
          <w:sz w:val="24"/>
          <w:szCs w:val="24"/>
        </w:rPr>
      </w:pPr>
      <w:r>
        <w:rPr>
          <w:rFonts w:ascii="Arial" w:eastAsia="Arial" w:hAnsi="Arial" w:cs="Arial"/>
          <w:color w:val="000000"/>
          <w:sz w:val="24"/>
          <w:szCs w:val="24"/>
        </w:rPr>
        <w:t>Por lo anteriormente expuesto, fundado y motivado, en términos de los artículos 207, 208 fracciones II y VI, y 209 de la Ley de Procedimiento y Justicia Administrativa para el Estado de Oaxaca, se:</w:t>
      </w:r>
    </w:p>
    <w:p w:rsidR="00733C45" w:rsidRDefault="00882EC8">
      <w:pPr>
        <w:spacing w:before="200" w:after="0"/>
        <w:ind w:right="51"/>
        <w:jc w:val="center"/>
        <w:rPr>
          <w:rFonts w:ascii="Arial" w:eastAsia="Arial" w:hAnsi="Arial" w:cs="Arial"/>
          <w:b/>
          <w:sz w:val="24"/>
          <w:szCs w:val="24"/>
        </w:rPr>
      </w:pPr>
      <w:r>
        <w:rPr>
          <w:rFonts w:ascii="Arial" w:eastAsia="Arial" w:hAnsi="Arial" w:cs="Arial"/>
          <w:b/>
          <w:sz w:val="24"/>
          <w:szCs w:val="24"/>
        </w:rPr>
        <w:t xml:space="preserve">IV. R E S </w:t>
      </w:r>
      <w:r>
        <w:rPr>
          <w:rFonts w:ascii="Arial" w:eastAsia="Arial" w:hAnsi="Arial" w:cs="Arial"/>
          <w:b/>
          <w:sz w:val="24"/>
          <w:szCs w:val="24"/>
        </w:rPr>
        <w:t>U E L V E:</w:t>
      </w:r>
    </w:p>
    <w:p w:rsidR="00733C45" w:rsidRDefault="00882EC8">
      <w:pPr>
        <w:spacing w:before="200" w:after="0"/>
        <w:ind w:right="51" w:firstLine="567"/>
        <w:rPr>
          <w:rFonts w:ascii="Arial" w:eastAsia="Arial" w:hAnsi="Arial" w:cs="Arial"/>
          <w:sz w:val="24"/>
          <w:szCs w:val="24"/>
        </w:rPr>
      </w:pPr>
      <w:r>
        <w:rPr>
          <w:rFonts w:ascii="Arial" w:eastAsia="Arial" w:hAnsi="Arial" w:cs="Arial"/>
          <w:b/>
          <w:sz w:val="24"/>
          <w:szCs w:val="24"/>
        </w:rPr>
        <w:t>PRIMERO</w:t>
      </w:r>
      <w:r>
        <w:rPr>
          <w:rFonts w:ascii="Arial" w:eastAsia="Arial" w:hAnsi="Arial" w:cs="Arial"/>
          <w:i/>
          <w:sz w:val="24"/>
          <w:szCs w:val="24"/>
        </w:rPr>
        <w:t>.</w:t>
      </w:r>
      <w:r>
        <w:rPr>
          <w:rFonts w:ascii="Arial" w:eastAsia="Arial" w:hAnsi="Arial" w:cs="Arial"/>
          <w:sz w:val="24"/>
          <w:szCs w:val="24"/>
        </w:rPr>
        <w:t xml:space="preserve"> Esta Primera Sala Unitaria y Especializada en Controversias entre los Municipios y sus Agencias del Tribunal de Justicia Administrativa y Combate a la Corrupción del Estado de Oaxaca del Tribunal de Justicia Administrativa y Combate a l</w:t>
      </w:r>
      <w:r>
        <w:rPr>
          <w:rFonts w:ascii="Arial" w:eastAsia="Arial" w:hAnsi="Arial" w:cs="Arial"/>
          <w:sz w:val="24"/>
          <w:szCs w:val="24"/>
        </w:rPr>
        <w:t xml:space="preserve">a Corrupción del Estado de Oaxaca, es competente para conocer y resolver el presente juicio. </w:t>
      </w:r>
    </w:p>
    <w:p w:rsidR="00733C45" w:rsidRDefault="00882EC8">
      <w:pPr>
        <w:widowControl w:val="0"/>
        <w:pBdr>
          <w:top w:val="nil"/>
          <w:left w:val="nil"/>
          <w:bottom w:val="nil"/>
          <w:right w:val="nil"/>
          <w:between w:val="nil"/>
        </w:pBdr>
        <w:spacing w:before="200" w:after="0"/>
        <w:ind w:right="51" w:firstLine="567"/>
        <w:rPr>
          <w:rFonts w:ascii="Arial" w:eastAsia="Arial" w:hAnsi="Arial" w:cs="Arial"/>
          <w:b/>
          <w:i/>
          <w:color w:val="000000"/>
          <w:sz w:val="24"/>
          <w:szCs w:val="24"/>
        </w:rPr>
      </w:pPr>
      <w:r>
        <w:rPr>
          <w:rFonts w:ascii="Arial" w:eastAsia="Arial" w:hAnsi="Arial" w:cs="Arial"/>
          <w:b/>
          <w:color w:val="000000"/>
          <w:sz w:val="24"/>
          <w:szCs w:val="24"/>
        </w:rPr>
        <w:lastRenderedPageBreak/>
        <w:t xml:space="preserve">SEGUNDO. </w:t>
      </w:r>
      <w:r>
        <w:rPr>
          <w:rFonts w:ascii="Arial" w:eastAsia="Arial" w:hAnsi="Arial" w:cs="Arial"/>
          <w:color w:val="000000"/>
          <w:sz w:val="24"/>
          <w:szCs w:val="24"/>
        </w:rPr>
        <w:t>La personalidad de las partes quedó asentada en autos, dentro del considerando CUARTO de la presente resolución.</w:t>
      </w:r>
      <w:r>
        <w:rPr>
          <w:rFonts w:ascii="Arial" w:eastAsia="Arial" w:hAnsi="Arial" w:cs="Arial"/>
          <w:b/>
          <w:i/>
          <w:color w:val="000000"/>
          <w:sz w:val="24"/>
          <w:szCs w:val="24"/>
        </w:rPr>
        <w:t xml:space="preserve"> </w:t>
      </w:r>
    </w:p>
    <w:p w:rsidR="00733C45" w:rsidRDefault="00882EC8">
      <w:pPr>
        <w:widowControl w:val="0"/>
        <w:pBdr>
          <w:top w:val="nil"/>
          <w:left w:val="nil"/>
          <w:bottom w:val="nil"/>
          <w:right w:val="nil"/>
          <w:between w:val="nil"/>
        </w:pBdr>
        <w:spacing w:before="200" w:after="0"/>
        <w:ind w:right="51" w:firstLine="567"/>
        <w:rPr>
          <w:rFonts w:ascii="Arial" w:eastAsia="Arial" w:hAnsi="Arial" w:cs="Arial"/>
          <w:b/>
          <w:color w:val="000000"/>
          <w:sz w:val="24"/>
          <w:szCs w:val="24"/>
        </w:rPr>
      </w:pPr>
      <w:r>
        <w:rPr>
          <w:rFonts w:ascii="Arial" w:eastAsia="Arial" w:hAnsi="Arial" w:cs="Arial"/>
          <w:b/>
          <w:color w:val="000000"/>
          <w:sz w:val="24"/>
          <w:szCs w:val="24"/>
        </w:rPr>
        <w:t>TERCERO.</w:t>
      </w:r>
      <w:r>
        <w:rPr>
          <w:rFonts w:ascii="Arial" w:eastAsia="Arial" w:hAnsi="Arial" w:cs="Arial"/>
          <w:color w:val="000000"/>
          <w:sz w:val="24"/>
          <w:szCs w:val="24"/>
        </w:rPr>
        <w:t xml:space="preserve"> Esta Sala Unitaria advierte que en el presente juicio no se configura alguna causal de improcedencia o sobreseimiento, por tanto, </w:t>
      </w:r>
      <w:r>
        <w:rPr>
          <w:rFonts w:ascii="Arial" w:eastAsia="Arial" w:hAnsi="Arial" w:cs="Arial"/>
          <w:b/>
          <w:color w:val="000000"/>
          <w:sz w:val="24"/>
          <w:szCs w:val="24"/>
        </w:rPr>
        <w:t>NO SE SOBRESEE.</w:t>
      </w:r>
    </w:p>
    <w:p w:rsidR="00733C45" w:rsidRDefault="00882EC8">
      <w:pPr>
        <w:widowControl w:val="0"/>
        <w:pBdr>
          <w:top w:val="nil"/>
          <w:left w:val="nil"/>
          <w:bottom w:val="nil"/>
          <w:right w:val="nil"/>
          <w:between w:val="nil"/>
        </w:pBdr>
        <w:spacing w:before="200" w:after="0"/>
        <w:ind w:right="51" w:firstLine="567"/>
        <w:rPr>
          <w:rFonts w:ascii="Arial" w:eastAsia="Arial" w:hAnsi="Arial" w:cs="Arial"/>
          <w:color w:val="000000"/>
          <w:sz w:val="24"/>
          <w:szCs w:val="24"/>
        </w:rPr>
      </w:pPr>
      <w:r>
        <w:rPr>
          <w:rFonts w:ascii="Arial" w:eastAsia="Arial" w:hAnsi="Arial" w:cs="Arial"/>
          <w:b/>
          <w:color w:val="000000"/>
          <w:sz w:val="24"/>
          <w:szCs w:val="24"/>
        </w:rPr>
        <w:t>CUARTO.</w:t>
      </w:r>
      <w:r>
        <w:rPr>
          <w:rFonts w:ascii="Arial" w:eastAsia="Arial" w:hAnsi="Arial" w:cs="Arial"/>
          <w:color w:val="000000"/>
          <w:sz w:val="24"/>
          <w:szCs w:val="24"/>
        </w:rPr>
        <w:t xml:space="preserve"> Se declara la </w:t>
      </w:r>
      <w:r>
        <w:rPr>
          <w:rFonts w:ascii="Arial" w:eastAsia="Arial" w:hAnsi="Arial" w:cs="Arial"/>
          <w:b/>
          <w:color w:val="000000"/>
          <w:sz w:val="24"/>
          <w:szCs w:val="24"/>
        </w:rPr>
        <w:t xml:space="preserve">NULIDAD </w:t>
      </w:r>
      <w:r>
        <w:rPr>
          <w:rFonts w:ascii="Arial" w:eastAsia="Arial" w:hAnsi="Arial" w:cs="Arial"/>
          <w:sz w:val="24"/>
          <w:szCs w:val="24"/>
        </w:rPr>
        <w:t>de la resolución contenida en el oficio número SUBDU-XI-0016/2022 de trece de e</w:t>
      </w:r>
      <w:r>
        <w:rPr>
          <w:rFonts w:ascii="Arial" w:eastAsia="Arial" w:hAnsi="Arial" w:cs="Arial"/>
          <w:sz w:val="24"/>
          <w:szCs w:val="24"/>
        </w:rPr>
        <w:t xml:space="preserve">nero de dos mil veintidós, </w:t>
      </w:r>
      <w:r>
        <w:rPr>
          <w:rFonts w:ascii="Arial" w:eastAsia="Arial" w:hAnsi="Arial" w:cs="Arial"/>
          <w:color w:val="000000"/>
          <w:sz w:val="24"/>
          <w:szCs w:val="24"/>
        </w:rPr>
        <w:t xml:space="preserve">emitida por el </w:t>
      </w:r>
      <w:r>
        <w:rPr>
          <w:rFonts w:ascii="Arial" w:eastAsia="Arial" w:hAnsi="Arial" w:cs="Arial"/>
          <w:i/>
          <w:color w:val="000000"/>
          <w:sz w:val="24"/>
          <w:szCs w:val="24"/>
        </w:rPr>
        <w:t>Director de Obras</w:t>
      </w:r>
      <w:r>
        <w:rPr>
          <w:rFonts w:ascii="Arial" w:eastAsia="Arial" w:hAnsi="Arial" w:cs="Arial"/>
          <w:b/>
          <w:color w:val="000000"/>
          <w:sz w:val="24"/>
          <w:szCs w:val="24"/>
        </w:rPr>
        <w:t xml:space="preserve"> PARA EL EFECTO </w:t>
      </w:r>
      <w:r>
        <w:rPr>
          <w:rFonts w:ascii="Arial" w:eastAsia="Arial" w:hAnsi="Arial" w:cs="Arial"/>
          <w:color w:val="000000"/>
          <w:sz w:val="24"/>
          <w:szCs w:val="24"/>
        </w:rPr>
        <w:t xml:space="preserve"> de que la autoridad demandada dicte</w:t>
      </w:r>
      <w:r>
        <w:rPr>
          <w:rFonts w:ascii="Arial" w:eastAsia="Arial" w:hAnsi="Arial" w:cs="Arial"/>
          <w:sz w:val="24"/>
          <w:szCs w:val="24"/>
        </w:rPr>
        <w:t xml:space="preserve"> otro acto, en el que funde y motive debidamente su competencia para proceder a darle respuesta a la petición presentada el tres de agosto de dos</w:t>
      </w:r>
      <w:r>
        <w:rPr>
          <w:rFonts w:ascii="Arial" w:eastAsia="Arial" w:hAnsi="Arial" w:cs="Arial"/>
          <w:sz w:val="24"/>
          <w:szCs w:val="24"/>
        </w:rPr>
        <w:t xml:space="preserve"> mil veintiuno por </w:t>
      </w:r>
      <w:r w:rsidR="00C95713">
        <w:rPr>
          <w:rFonts w:ascii="Arial" w:eastAsia="Arial" w:hAnsi="Arial" w:cs="Arial"/>
          <w:b/>
          <w:sz w:val="24"/>
          <w:szCs w:val="24"/>
        </w:rPr>
        <w:t>**********</w:t>
      </w:r>
      <w:bookmarkStart w:id="2" w:name="_GoBack"/>
      <w:bookmarkEnd w:id="2"/>
      <w:r>
        <w:rPr>
          <w:rFonts w:ascii="Arial" w:eastAsia="Arial" w:hAnsi="Arial" w:cs="Arial"/>
          <w:sz w:val="24"/>
          <w:szCs w:val="24"/>
        </w:rPr>
        <w:t>; o en su caso, remita dicha petición a la autoridad que resulte competente.</w:t>
      </w:r>
    </w:p>
    <w:p w:rsidR="00733C45" w:rsidRDefault="00882EC8">
      <w:pPr>
        <w:widowControl w:val="0"/>
        <w:pBdr>
          <w:top w:val="nil"/>
          <w:left w:val="nil"/>
          <w:bottom w:val="nil"/>
          <w:right w:val="nil"/>
          <w:between w:val="nil"/>
        </w:pBdr>
        <w:spacing w:before="200" w:after="0"/>
        <w:ind w:right="51" w:firstLine="567"/>
        <w:rPr>
          <w:rFonts w:ascii="Arial" w:eastAsia="Arial" w:hAnsi="Arial" w:cs="Arial"/>
          <w:color w:val="000000"/>
          <w:sz w:val="24"/>
          <w:szCs w:val="24"/>
        </w:rPr>
      </w:pPr>
      <w:r>
        <w:rPr>
          <w:rFonts w:ascii="Arial" w:eastAsia="Arial" w:hAnsi="Arial" w:cs="Arial"/>
          <w:b/>
          <w:color w:val="000000"/>
          <w:sz w:val="24"/>
          <w:szCs w:val="24"/>
        </w:rPr>
        <w:t xml:space="preserve">QUINTO. </w:t>
      </w:r>
      <w:r>
        <w:rPr>
          <w:rFonts w:ascii="Arial" w:eastAsia="Arial" w:hAnsi="Arial" w:cs="Arial"/>
          <w:color w:val="000000"/>
          <w:sz w:val="24"/>
          <w:szCs w:val="24"/>
        </w:rPr>
        <w:t>Notifíquese personalmente a la parte actora y mediante oficio a la autoridad demandada, a través de su representante legal; lo an</w:t>
      </w:r>
      <w:r>
        <w:rPr>
          <w:rFonts w:ascii="Arial" w:eastAsia="Arial" w:hAnsi="Arial" w:cs="Arial"/>
          <w:color w:val="000000"/>
          <w:sz w:val="24"/>
          <w:szCs w:val="24"/>
        </w:rPr>
        <w:t>terior de conformidad con lo establecido en los artículos 172, fracción I y 173, fracciones I y II de la Ley de Procedimiento y Justicia Administrativa para el Estado de Oaxaca. Cúmplase.</w:t>
      </w:r>
    </w:p>
    <w:p w:rsidR="00733C45" w:rsidRDefault="00882EC8">
      <w:pPr>
        <w:widowControl w:val="0"/>
        <w:pBdr>
          <w:top w:val="nil"/>
          <w:left w:val="nil"/>
          <w:bottom w:val="nil"/>
          <w:right w:val="nil"/>
          <w:between w:val="nil"/>
        </w:pBdr>
        <w:spacing w:before="200" w:after="0"/>
        <w:ind w:right="51" w:firstLine="567"/>
        <w:rPr>
          <w:rFonts w:ascii="Arial" w:eastAsia="Arial" w:hAnsi="Arial" w:cs="Arial"/>
          <w:color w:val="000000"/>
          <w:sz w:val="24"/>
          <w:szCs w:val="24"/>
        </w:rPr>
      </w:pPr>
      <w:r>
        <w:rPr>
          <w:rFonts w:ascii="Arial" w:eastAsia="Arial" w:hAnsi="Arial" w:cs="Arial"/>
          <w:color w:val="000000"/>
          <w:sz w:val="24"/>
          <w:szCs w:val="24"/>
        </w:rPr>
        <w:t xml:space="preserve">Así lo resolvió y firma la Maestra </w:t>
      </w:r>
      <w:proofErr w:type="spellStart"/>
      <w:r>
        <w:rPr>
          <w:rFonts w:ascii="Arial" w:eastAsia="Arial" w:hAnsi="Arial" w:cs="Arial"/>
          <w:b/>
          <w:color w:val="000000"/>
          <w:sz w:val="24"/>
          <w:szCs w:val="24"/>
        </w:rPr>
        <w:t>Anneliese</w:t>
      </w:r>
      <w:proofErr w:type="spellEnd"/>
      <w:r>
        <w:rPr>
          <w:rFonts w:ascii="Arial" w:eastAsia="Arial" w:hAnsi="Arial" w:cs="Arial"/>
          <w:b/>
          <w:color w:val="000000"/>
          <w:sz w:val="24"/>
          <w:szCs w:val="24"/>
        </w:rPr>
        <w:t xml:space="preserve"> </w:t>
      </w:r>
      <w:proofErr w:type="spellStart"/>
      <w:r>
        <w:rPr>
          <w:rFonts w:ascii="Arial" w:eastAsia="Arial" w:hAnsi="Arial" w:cs="Arial"/>
          <w:b/>
          <w:color w:val="000000"/>
          <w:sz w:val="24"/>
          <w:szCs w:val="24"/>
        </w:rPr>
        <w:t>Danae</w:t>
      </w:r>
      <w:proofErr w:type="spellEnd"/>
      <w:r>
        <w:rPr>
          <w:rFonts w:ascii="Arial" w:eastAsia="Arial" w:hAnsi="Arial" w:cs="Arial"/>
          <w:b/>
          <w:color w:val="000000"/>
          <w:sz w:val="24"/>
          <w:szCs w:val="24"/>
        </w:rPr>
        <w:t xml:space="preserve"> </w:t>
      </w:r>
      <w:r>
        <w:rPr>
          <w:rFonts w:ascii="Arial" w:eastAsia="Arial" w:hAnsi="Arial" w:cs="Arial"/>
          <w:b/>
          <w:sz w:val="24"/>
          <w:szCs w:val="24"/>
        </w:rPr>
        <w:t>Echeverría</w:t>
      </w:r>
      <w:r>
        <w:rPr>
          <w:rFonts w:ascii="Arial" w:eastAsia="Arial" w:hAnsi="Arial" w:cs="Arial"/>
          <w:b/>
          <w:color w:val="000000"/>
          <w:sz w:val="24"/>
          <w:szCs w:val="24"/>
        </w:rPr>
        <w:t xml:space="preserve"> Clavel</w:t>
      </w:r>
      <w:r>
        <w:rPr>
          <w:rFonts w:ascii="Arial" w:eastAsia="Arial" w:hAnsi="Arial" w:cs="Arial"/>
          <w:b/>
          <w:color w:val="000000"/>
          <w:sz w:val="24"/>
          <w:szCs w:val="24"/>
        </w:rPr>
        <w:t xml:space="preserve"> </w:t>
      </w:r>
      <w:r>
        <w:rPr>
          <w:rFonts w:ascii="Arial" w:eastAsia="Arial" w:hAnsi="Arial" w:cs="Arial"/>
          <w:color w:val="000000"/>
          <w:sz w:val="24"/>
          <w:szCs w:val="24"/>
        </w:rPr>
        <w:t xml:space="preserve">Magistrada Titular de la Primera Sala Unitaria de Primera Instancia y Especializada en Controversias entre los Municipios y sus Agencias del Tribunal de Justicia Administrativa y Combate a la Corrupción del Estado de Oaxaca; quien actúa con el Licenciado </w:t>
      </w:r>
      <w:r>
        <w:rPr>
          <w:rFonts w:ascii="Arial" w:eastAsia="Arial" w:hAnsi="Arial" w:cs="Arial"/>
          <w:sz w:val="24"/>
          <w:szCs w:val="24"/>
        </w:rPr>
        <w:t xml:space="preserve">Christian Mauricio Morales </w:t>
      </w:r>
      <w:proofErr w:type="spellStart"/>
      <w:r>
        <w:rPr>
          <w:rFonts w:ascii="Arial" w:eastAsia="Arial" w:hAnsi="Arial" w:cs="Arial"/>
          <w:sz w:val="24"/>
          <w:szCs w:val="24"/>
        </w:rPr>
        <w:t>Morales</w:t>
      </w:r>
      <w:proofErr w:type="spellEnd"/>
      <w:r>
        <w:rPr>
          <w:rFonts w:ascii="Arial" w:eastAsia="Arial" w:hAnsi="Arial" w:cs="Arial"/>
          <w:color w:val="000000"/>
          <w:sz w:val="24"/>
          <w:szCs w:val="24"/>
        </w:rPr>
        <w:t>, Secretario de Acuerdos que autoriza y da fe.</w:t>
      </w:r>
    </w:p>
    <w:p w:rsidR="00733C45" w:rsidRDefault="00733C45">
      <w:pPr>
        <w:spacing w:before="0"/>
      </w:pPr>
    </w:p>
    <w:sectPr w:rsidR="00733C45">
      <w:headerReference w:type="default" r:id="rId8"/>
      <w:footerReference w:type="default" r:id="rId9"/>
      <w:headerReference w:type="first" r:id="rId10"/>
      <w:pgSz w:w="12240" w:h="20160"/>
      <w:pgMar w:top="1701" w:right="851" w:bottom="1701" w:left="2552" w:header="709" w:footer="907"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82EC8" w:rsidRDefault="00882EC8">
      <w:pPr>
        <w:spacing w:before="0" w:after="0" w:line="240" w:lineRule="auto"/>
      </w:pPr>
      <w:r>
        <w:separator/>
      </w:r>
    </w:p>
  </w:endnote>
  <w:endnote w:type="continuationSeparator" w:id="0">
    <w:p w:rsidR="00882EC8" w:rsidRDefault="00882EC8">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charset w:val="00"/>
    <w:family w:val="auto"/>
    <w:pitch w:val="default"/>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3C45" w:rsidRDefault="00733C45">
    <w:pPr>
      <w:pBdr>
        <w:top w:val="nil"/>
        <w:left w:val="nil"/>
        <w:bottom w:val="nil"/>
        <w:right w:val="nil"/>
        <w:between w:val="nil"/>
      </w:pBdr>
      <w:tabs>
        <w:tab w:val="center" w:pos="4419"/>
        <w:tab w:val="right" w:pos="8838"/>
      </w:tabs>
      <w:spacing w:after="0" w:line="240" w:lineRule="auto"/>
      <w:jc w:val="center"/>
      <w:rPr>
        <w:rFonts w:ascii="Arial" w:eastAsia="Arial" w:hAnsi="Arial" w:cs="Arial"/>
        <w:color w:val="000000"/>
        <w:sz w:val="24"/>
        <w:szCs w:val="24"/>
      </w:rPr>
    </w:pPr>
  </w:p>
  <w:p w:rsidR="00733C45" w:rsidRDefault="00733C45">
    <w:pPr>
      <w:pBdr>
        <w:top w:val="nil"/>
        <w:left w:val="nil"/>
        <w:bottom w:val="nil"/>
        <w:right w:val="nil"/>
        <w:between w:val="nil"/>
      </w:pBdr>
      <w:tabs>
        <w:tab w:val="center" w:pos="4419"/>
        <w:tab w:val="right" w:pos="8838"/>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82EC8" w:rsidRDefault="00882EC8">
      <w:pPr>
        <w:spacing w:before="0" w:after="0" w:line="240" w:lineRule="auto"/>
      </w:pPr>
      <w:r>
        <w:separator/>
      </w:r>
    </w:p>
  </w:footnote>
  <w:footnote w:type="continuationSeparator" w:id="0">
    <w:p w:rsidR="00882EC8" w:rsidRDefault="00882EC8">
      <w:pPr>
        <w:spacing w:before="0" w:after="0" w:line="240" w:lineRule="auto"/>
      </w:pPr>
      <w:r>
        <w:continuationSeparator/>
      </w:r>
    </w:p>
  </w:footnote>
  <w:footnote w:id="1">
    <w:p w:rsidR="00733C45" w:rsidRDefault="00882EC8">
      <w:pPr>
        <w:spacing w:before="0" w:after="0" w:line="240" w:lineRule="auto"/>
        <w:rPr>
          <w:rFonts w:ascii="Arial" w:eastAsia="Arial" w:hAnsi="Arial" w:cs="Arial"/>
          <w:i/>
          <w:color w:val="000000"/>
          <w:sz w:val="16"/>
          <w:szCs w:val="16"/>
        </w:rPr>
      </w:pPr>
      <w:r>
        <w:rPr>
          <w:vertAlign w:val="superscript"/>
        </w:rPr>
        <w:footnoteRef/>
      </w:r>
      <w:r>
        <w:rPr>
          <w:rFonts w:ascii="Arial" w:eastAsia="Arial" w:hAnsi="Arial" w:cs="Arial"/>
          <w:i/>
          <w:sz w:val="16"/>
          <w:szCs w:val="16"/>
        </w:rPr>
        <w:t xml:space="preserve"> </w:t>
      </w:r>
      <w:r>
        <w:rPr>
          <w:rFonts w:ascii="Arial" w:eastAsia="Arial" w:hAnsi="Arial" w:cs="Arial"/>
          <w:b/>
          <w:i/>
          <w:color w:val="000000"/>
          <w:sz w:val="16"/>
          <w:szCs w:val="16"/>
        </w:rPr>
        <w:t xml:space="preserve">ARTÍCULO 133.- </w:t>
      </w:r>
      <w:r>
        <w:rPr>
          <w:rFonts w:ascii="Arial" w:eastAsia="Arial" w:hAnsi="Arial" w:cs="Arial"/>
          <w:i/>
          <w:color w:val="000000"/>
          <w:sz w:val="16"/>
          <w:szCs w:val="16"/>
        </w:rPr>
        <w:t>Las Salas Unitarias del Tribunal son competentes para conocer y resolver los juicios que se promuevan en contra de:</w:t>
      </w:r>
    </w:p>
    <w:p w:rsidR="00733C45" w:rsidRDefault="00882EC8">
      <w:pPr>
        <w:spacing w:before="0" w:after="0" w:line="240" w:lineRule="auto"/>
        <w:rPr>
          <w:rFonts w:ascii="Arial" w:eastAsia="Arial" w:hAnsi="Arial" w:cs="Arial"/>
          <w:i/>
          <w:color w:val="000000"/>
          <w:sz w:val="16"/>
          <w:szCs w:val="16"/>
        </w:rPr>
      </w:pPr>
      <w:r>
        <w:rPr>
          <w:rFonts w:ascii="Arial" w:eastAsia="Arial" w:hAnsi="Arial" w:cs="Arial"/>
          <w:i/>
          <w:color w:val="000000"/>
          <w:sz w:val="16"/>
          <w:szCs w:val="16"/>
        </w:rPr>
        <w:t>II. Las resoluciones dictadas por las autoridades fiscales, estatales, municipales y de sus</w:t>
      </w:r>
    </w:p>
    <w:p w:rsidR="00733C45" w:rsidRDefault="00882EC8">
      <w:pPr>
        <w:spacing w:before="0" w:after="0" w:line="240" w:lineRule="auto"/>
        <w:rPr>
          <w:rFonts w:ascii="Arial" w:eastAsia="Arial" w:hAnsi="Arial" w:cs="Arial"/>
          <w:i/>
          <w:color w:val="000000"/>
          <w:sz w:val="16"/>
          <w:szCs w:val="16"/>
        </w:rPr>
      </w:pPr>
      <w:r>
        <w:rPr>
          <w:rFonts w:ascii="Arial" w:eastAsia="Arial" w:hAnsi="Arial" w:cs="Arial"/>
          <w:i/>
          <w:color w:val="000000"/>
          <w:sz w:val="16"/>
          <w:szCs w:val="16"/>
        </w:rPr>
        <w:t>órganos descentralizados y desconcentrados, en q</w:t>
      </w:r>
      <w:r>
        <w:rPr>
          <w:rFonts w:ascii="Arial" w:eastAsia="Arial" w:hAnsi="Arial" w:cs="Arial"/>
          <w:i/>
          <w:color w:val="000000"/>
          <w:sz w:val="16"/>
          <w:szCs w:val="16"/>
        </w:rPr>
        <w:t>ue se determine la existencia de</w:t>
      </w:r>
    </w:p>
    <w:p w:rsidR="00733C45" w:rsidRDefault="00882EC8">
      <w:pPr>
        <w:spacing w:before="0" w:after="0" w:line="240" w:lineRule="auto"/>
        <w:rPr>
          <w:rFonts w:ascii="Arial" w:eastAsia="Arial" w:hAnsi="Arial" w:cs="Arial"/>
          <w:i/>
          <w:color w:val="000000"/>
          <w:sz w:val="16"/>
          <w:szCs w:val="16"/>
        </w:rPr>
      </w:pPr>
      <w:r>
        <w:rPr>
          <w:rFonts w:ascii="Arial" w:eastAsia="Arial" w:hAnsi="Arial" w:cs="Arial"/>
          <w:i/>
          <w:color w:val="000000"/>
          <w:sz w:val="16"/>
          <w:szCs w:val="16"/>
        </w:rPr>
        <w:t>una obligación fiscal, se fije ésta en cantidad líquida o se den las bases para su</w:t>
      </w:r>
    </w:p>
    <w:p w:rsidR="00733C45" w:rsidRDefault="00882EC8">
      <w:pPr>
        <w:spacing w:before="0" w:after="0" w:line="240" w:lineRule="auto"/>
        <w:rPr>
          <w:rFonts w:ascii="Arial" w:eastAsia="Arial" w:hAnsi="Arial" w:cs="Arial"/>
          <w:i/>
          <w:color w:val="000000"/>
          <w:sz w:val="16"/>
          <w:szCs w:val="16"/>
        </w:rPr>
      </w:pPr>
      <w:r>
        <w:rPr>
          <w:rFonts w:ascii="Arial" w:eastAsia="Arial" w:hAnsi="Arial" w:cs="Arial"/>
          <w:i/>
          <w:color w:val="000000"/>
          <w:sz w:val="16"/>
          <w:szCs w:val="16"/>
        </w:rPr>
        <w:t>liquidación, nieguen la devolución de cantidades que procedan conforme a la ley o</w:t>
      </w:r>
    </w:p>
    <w:p w:rsidR="00733C45" w:rsidRDefault="00882EC8">
      <w:pPr>
        <w:spacing w:before="0" w:after="0" w:line="240" w:lineRule="auto"/>
        <w:rPr>
          <w:rFonts w:ascii="Arial" w:eastAsia="Arial" w:hAnsi="Arial" w:cs="Arial"/>
          <w:i/>
          <w:color w:val="000000"/>
          <w:sz w:val="16"/>
          <w:szCs w:val="16"/>
        </w:rPr>
      </w:pPr>
      <w:r>
        <w:rPr>
          <w:rFonts w:ascii="Arial" w:eastAsia="Arial" w:hAnsi="Arial" w:cs="Arial"/>
          <w:i/>
          <w:color w:val="000000"/>
          <w:sz w:val="16"/>
          <w:szCs w:val="16"/>
        </w:rPr>
        <w:t xml:space="preserve">cualquiera otra que cause agravios de carácter fiscal; </w:t>
      </w:r>
    </w:p>
  </w:footnote>
  <w:footnote w:id="2">
    <w:p w:rsidR="00733C45" w:rsidRDefault="00882EC8">
      <w:pPr>
        <w:spacing w:before="0" w:after="0" w:line="240" w:lineRule="auto"/>
        <w:rPr>
          <w:rFonts w:ascii="Arial" w:eastAsia="Arial" w:hAnsi="Arial" w:cs="Arial"/>
          <w:i/>
          <w:color w:val="000000"/>
          <w:sz w:val="16"/>
          <w:szCs w:val="16"/>
        </w:rPr>
      </w:pPr>
      <w:r>
        <w:rPr>
          <w:vertAlign w:val="superscript"/>
        </w:rPr>
        <w:footnoteRef/>
      </w:r>
      <w:r>
        <w:rPr>
          <w:rFonts w:ascii="Arial" w:eastAsia="Arial" w:hAnsi="Arial" w:cs="Arial"/>
          <w:i/>
          <w:sz w:val="16"/>
          <w:szCs w:val="16"/>
        </w:rPr>
        <w:t xml:space="preserve"> </w:t>
      </w:r>
      <w:r>
        <w:rPr>
          <w:rFonts w:ascii="Arial" w:eastAsia="Arial" w:hAnsi="Arial" w:cs="Arial"/>
          <w:i/>
          <w:sz w:val="16"/>
          <w:szCs w:val="16"/>
        </w:rPr>
        <w:t>“</w:t>
      </w:r>
      <w:r>
        <w:rPr>
          <w:rFonts w:ascii="Arial" w:eastAsia="Arial" w:hAnsi="Arial" w:cs="Arial"/>
          <w:b/>
          <w:i/>
          <w:color w:val="000000"/>
          <w:sz w:val="16"/>
          <w:szCs w:val="16"/>
        </w:rPr>
        <w:t xml:space="preserve">ARTÍCULO 166.- </w:t>
      </w:r>
      <w:r>
        <w:rPr>
          <w:rFonts w:ascii="Arial" w:eastAsia="Arial" w:hAnsi="Arial" w:cs="Arial"/>
          <w:i/>
          <w:color w:val="000000"/>
          <w:sz w:val="16"/>
          <w:szCs w:val="16"/>
        </w:rPr>
        <w:t>El plazo para interponer la demanda ante el tribunal será de treinta días hábiles, contados a partir del día siguiente al en que surta efectos, conforme a la ley aplicable al acto, la notificación de la resolución o acto que se combata; o c</w:t>
      </w:r>
      <w:r>
        <w:rPr>
          <w:rFonts w:ascii="Arial" w:eastAsia="Arial" w:hAnsi="Arial" w:cs="Arial"/>
          <w:i/>
          <w:color w:val="000000"/>
          <w:sz w:val="16"/>
          <w:szCs w:val="16"/>
        </w:rPr>
        <w:t>onste fehacientemente que el o los interesados o afectados tienen conocimiento del acto.</w:t>
      </w:r>
    </w:p>
  </w:footnote>
  <w:footnote w:id="3">
    <w:p w:rsidR="00733C45" w:rsidRDefault="00882EC8">
      <w:pPr>
        <w:spacing w:before="0" w:after="0" w:line="240" w:lineRule="auto"/>
        <w:rPr>
          <w:rFonts w:ascii="Arial" w:eastAsia="Arial" w:hAnsi="Arial" w:cs="Arial"/>
          <w:i/>
          <w:color w:val="000000"/>
          <w:sz w:val="16"/>
          <w:szCs w:val="16"/>
        </w:rPr>
      </w:pPr>
      <w:r>
        <w:rPr>
          <w:vertAlign w:val="superscript"/>
        </w:rPr>
        <w:footnoteRef/>
      </w:r>
      <w:r>
        <w:rPr>
          <w:rFonts w:ascii="Arial" w:eastAsia="Arial" w:hAnsi="Arial" w:cs="Arial"/>
          <w:i/>
          <w:sz w:val="16"/>
          <w:szCs w:val="16"/>
        </w:rPr>
        <w:t xml:space="preserve"> “</w:t>
      </w:r>
      <w:r>
        <w:rPr>
          <w:rFonts w:ascii="Arial" w:eastAsia="Arial" w:hAnsi="Arial" w:cs="Arial"/>
          <w:b/>
          <w:i/>
          <w:color w:val="000000"/>
          <w:sz w:val="16"/>
          <w:szCs w:val="16"/>
        </w:rPr>
        <w:t xml:space="preserve">ARTÍCULO 164.- </w:t>
      </w:r>
      <w:r>
        <w:rPr>
          <w:rFonts w:ascii="Arial" w:eastAsia="Arial" w:hAnsi="Arial" w:cs="Arial"/>
          <w:i/>
          <w:color w:val="000000"/>
          <w:sz w:val="16"/>
          <w:szCs w:val="16"/>
        </w:rPr>
        <w:t>Sólo podrán demandar o intervenir en el juicio, las personas que tengan un interés jurídico o legítimo que funde su pretensión.”</w:t>
      </w:r>
    </w:p>
  </w:footnote>
  <w:footnote w:id="4">
    <w:p w:rsidR="00733C45" w:rsidRDefault="00882EC8">
      <w:pPr>
        <w:pBdr>
          <w:top w:val="nil"/>
          <w:left w:val="nil"/>
          <w:bottom w:val="nil"/>
          <w:right w:val="nil"/>
          <w:between w:val="nil"/>
        </w:pBdr>
        <w:spacing w:before="0" w:after="0" w:line="240" w:lineRule="auto"/>
        <w:rPr>
          <w:rFonts w:ascii="Arial" w:eastAsia="Arial" w:hAnsi="Arial" w:cs="Arial"/>
          <w:i/>
          <w:color w:val="000000"/>
          <w:sz w:val="16"/>
          <w:szCs w:val="16"/>
        </w:rPr>
      </w:pPr>
      <w:r>
        <w:rPr>
          <w:vertAlign w:val="superscript"/>
        </w:rPr>
        <w:footnoteRef/>
      </w:r>
      <w:r>
        <w:rPr>
          <w:rFonts w:ascii="Arial" w:eastAsia="Arial" w:hAnsi="Arial" w:cs="Arial"/>
          <w:i/>
          <w:color w:val="000000"/>
          <w:sz w:val="16"/>
          <w:szCs w:val="16"/>
        </w:rPr>
        <w:t xml:space="preserve"> “</w:t>
      </w:r>
      <w:r>
        <w:rPr>
          <w:rFonts w:ascii="Arial" w:eastAsia="Arial" w:hAnsi="Arial" w:cs="Arial"/>
          <w:b/>
          <w:i/>
          <w:color w:val="000000"/>
          <w:sz w:val="16"/>
          <w:szCs w:val="16"/>
        </w:rPr>
        <w:t>ARTÍCULO 148.-</w:t>
      </w:r>
      <w:r>
        <w:rPr>
          <w:rFonts w:ascii="Arial" w:eastAsia="Arial" w:hAnsi="Arial" w:cs="Arial"/>
          <w:i/>
          <w:color w:val="000000"/>
          <w:sz w:val="16"/>
          <w:szCs w:val="16"/>
        </w:rPr>
        <w:t xml:space="preserve"> La representación de las personas físicas para comparecer en juicio, se otorgará en escritura pública o carta poder firmada ante dos testigos y ratificada ante Notario Público o ante el secretario de acuerdos que corresponda</w:t>
      </w:r>
      <w:proofErr w:type="gramStart"/>
      <w:r>
        <w:rPr>
          <w:rFonts w:ascii="Arial" w:eastAsia="Arial" w:hAnsi="Arial" w:cs="Arial"/>
          <w:i/>
          <w:color w:val="000000"/>
          <w:sz w:val="16"/>
          <w:szCs w:val="16"/>
        </w:rPr>
        <w:t>.(</w:t>
      </w:r>
      <w:proofErr w:type="gramEnd"/>
      <w:r>
        <w:rPr>
          <w:rFonts w:ascii="Arial" w:eastAsia="Arial" w:hAnsi="Arial" w:cs="Arial"/>
          <w:i/>
          <w:color w:val="000000"/>
          <w:sz w:val="16"/>
          <w:szCs w:val="16"/>
        </w:rPr>
        <w:t>…)</w:t>
      </w:r>
    </w:p>
    <w:p w:rsidR="00733C45" w:rsidRDefault="00882EC8">
      <w:pPr>
        <w:pBdr>
          <w:top w:val="nil"/>
          <w:left w:val="nil"/>
          <w:bottom w:val="nil"/>
          <w:right w:val="nil"/>
          <w:between w:val="nil"/>
        </w:pBdr>
        <w:spacing w:before="0" w:after="0" w:line="240" w:lineRule="auto"/>
        <w:rPr>
          <w:color w:val="000000"/>
          <w:sz w:val="20"/>
          <w:szCs w:val="20"/>
        </w:rPr>
      </w:pPr>
      <w:r>
        <w:rPr>
          <w:rFonts w:ascii="Arial" w:eastAsia="Arial" w:hAnsi="Arial" w:cs="Arial"/>
          <w:i/>
          <w:color w:val="000000"/>
          <w:sz w:val="16"/>
          <w:szCs w:val="16"/>
        </w:rPr>
        <w:t>La representación de las a</w:t>
      </w:r>
      <w:r>
        <w:rPr>
          <w:rFonts w:ascii="Arial" w:eastAsia="Arial" w:hAnsi="Arial" w:cs="Arial"/>
          <w:i/>
          <w:color w:val="000000"/>
          <w:sz w:val="16"/>
          <w:szCs w:val="16"/>
        </w:rPr>
        <w:t>utoridades corresponderá a los titulares de las mismas por si o a través de las unidades administrativas encargadas de su defensa jurídica, conforme lo establezcan las disposiciones legales aplicables.”</w:t>
      </w:r>
    </w:p>
  </w:footnote>
  <w:footnote w:id="5">
    <w:p w:rsidR="00733C45" w:rsidRDefault="00882EC8">
      <w:pPr>
        <w:spacing w:before="0" w:after="0" w:line="240" w:lineRule="auto"/>
      </w:pPr>
      <w:r>
        <w:rPr>
          <w:vertAlign w:val="superscript"/>
        </w:rPr>
        <w:footnoteRef/>
      </w:r>
      <w:r>
        <w:rPr>
          <w:rFonts w:ascii="Arial" w:eastAsia="Arial" w:hAnsi="Arial" w:cs="Arial"/>
          <w:i/>
          <w:sz w:val="16"/>
          <w:szCs w:val="16"/>
        </w:rPr>
        <w:t xml:space="preserve"> “</w:t>
      </w:r>
      <w:r>
        <w:rPr>
          <w:rFonts w:ascii="Arial" w:eastAsia="Arial" w:hAnsi="Arial" w:cs="Arial"/>
          <w:b/>
          <w:i/>
          <w:color w:val="000000"/>
          <w:sz w:val="16"/>
          <w:szCs w:val="16"/>
        </w:rPr>
        <w:t xml:space="preserve">ARTÍCULO 151.- </w:t>
      </w:r>
      <w:r>
        <w:rPr>
          <w:rFonts w:ascii="Arial" w:eastAsia="Arial" w:hAnsi="Arial" w:cs="Arial"/>
          <w:i/>
          <w:color w:val="000000"/>
          <w:sz w:val="16"/>
          <w:szCs w:val="16"/>
        </w:rPr>
        <w:t>En el procedimiento la personalidad</w:t>
      </w:r>
      <w:r>
        <w:rPr>
          <w:rFonts w:ascii="Arial" w:eastAsia="Arial" w:hAnsi="Arial" w:cs="Arial"/>
          <w:i/>
          <w:color w:val="000000"/>
          <w:sz w:val="16"/>
          <w:szCs w:val="16"/>
        </w:rPr>
        <w:t xml:space="preserve"> de la autoridad demandada se tendrá por acreditada; sin embargo, en caso de que esta sea impugnada deberá exhibir copia debidamente certificada del documento relativo al nombramiento que le fue conferido, y del documento en el que conste que rindió la pro</w:t>
      </w:r>
      <w:r>
        <w:rPr>
          <w:rFonts w:ascii="Arial" w:eastAsia="Arial" w:hAnsi="Arial" w:cs="Arial"/>
          <w:i/>
          <w:color w:val="000000"/>
          <w:sz w:val="16"/>
          <w:szCs w:val="16"/>
        </w:rPr>
        <w:t>testa de ley.”</w:t>
      </w:r>
    </w:p>
  </w:footnote>
  <w:footnote w:id="6">
    <w:p w:rsidR="00733C45" w:rsidRDefault="00882EC8">
      <w:pPr>
        <w:pBdr>
          <w:top w:val="nil"/>
          <w:left w:val="nil"/>
          <w:bottom w:val="nil"/>
          <w:right w:val="nil"/>
          <w:between w:val="nil"/>
        </w:pBdr>
        <w:spacing w:before="0" w:after="0" w:line="240" w:lineRule="auto"/>
        <w:rPr>
          <w:rFonts w:ascii="Arial" w:eastAsia="Arial" w:hAnsi="Arial" w:cs="Arial"/>
          <w:i/>
          <w:color w:val="000000"/>
          <w:sz w:val="16"/>
          <w:szCs w:val="16"/>
        </w:rPr>
      </w:pPr>
      <w:r>
        <w:rPr>
          <w:vertAlign w:val="superscript"/>
        </w:rPr>
        <w:footnoteRef/>
      </w:r>
      <w:r>
        <w:rPr>
          <w:rFonts w:ascii="Arial" w:eastAsia="Arial" w:hAnsi="Arial" w:cs="Arial"/>
          <w:color w:val="000000"/>
          <w:sz w:val="16"/>
          <w:szCs w:val="16"/>
        </w:rPr>
        <w:t xml:space="preserve"> </w:t>
      </w:r>
      <w:r>
        <w:rPr>
          <w:rFonts w:ascii="Arial" w:eastAsia="Arial" w:hAnsi="Arial" w:cs="Arial"/>
          <w:i/>
          <w:color w:val="000000"/>
          <w:sz w:val="16"/>
          <w:szCs w:val="16"/>
        </w:rPr>
        <w:t>“</w:t>
      </w:r>
      <w:r>
        <w:rPr>
          <w:rFonts w:ascii="Arial" w:eastAsia="Arial" w:hAnsi="Arial" w:cs="Arial"/>
          <w:b/>
          <w:i/>
          <w:color w:val="000000"/>
          <w:sz w:val="16"/>
          <w:szCs w:val="16"/>
        </w:rPr>
        <w:t xml:space="preserve">ARTÍCULO 203.- </w:t>
      </w:r>
      <w:r>
        <w:rPr>
          <w:rFonts w:ascii="Arial" w:eastAsia="Arial" w:hAnsi="Arial" w:cs="Arial"/>
          <w:i/>
          <w:color w:val="000000"/>
          <w:sz w:val="16"/>
          <w:szCs w:val="16"/>
        </w:rPr>
        <w:t>La valoración de las pruebas se hará de acuerdo con las siguientes reglas:</w:t>
      </w:r>
    </w:p>
    <w:p w:rsidR="00733C45" w:rsidRDefault="00882EC8">
      <w:pPr>
        <w:pBdr>
          <w:top w:val="nil"/>
          <w:left w:val="nil"/>
          <w:bottom w:val="nil"/>
          <w:right w:val="nil"/>
          <w:between w:val="nil"/>
        </w:pBdr>
        <w:spacing w:before="0" w:after="0" w:line="240" w:lineRule="auto"/>
        <w:rPr>
          <w:rFonts w:ascii="Arial" w:eastAsia="Arial" w:hAnsi="Arial" w:cs="Arial"/>
          <w:i/>
          <w:color w:val="000000"/>
          <w:sz w:val="16"/>
          <w:szCs w:val="16"/>
        </w:rPr>
      </w:pPr>
      <w:r>
        <w:rPr>
          <w:rFonts w:ascii="Arial" w:eastAsia="Arial" w:hAnsi="Arial" w:cs="Arial"/>
          <w:i/>
          <w:color w:val="000000"/>
          <w:sz w:val="16"/>
          <w:szCs w:val="16"/>
        </w:rPr>
        <w:t xml:space="preserve">   I. Harán prueba plena la confesión expresa de las partes y los actos contenidos en documentos públicos, si en éstos últimos se contiene declaraci</w:t>
      </w:r>
      <w:r>
        <w:rPr>
          <w:rFonts w:ascii="Arial" w:eastAsia="Arial" w:hAnsi="Arial" w:cs="Arial"/>
          <w:i/>
          <w:color w:val="000000"/>
          <w:sz w:val="16"/>
          <w:szCs w:val="16"/>
        </w:rPr>
        <w:t>ones de verdad o manifestaciones de hechos de particulares, …”</w:t>
      </w:r>
    </w:p>
  </w:footnote>
  <w:footnote w:id="7">
    <w:p w:rsidR="00733C45" w:rsidRDefault="00882EC8">
      <w:pPr>
        <w:pBdr>
          <w:top w:val="nil"/>
          <w:left w:val="nil"/>
          <w:bottom w:val="nil"/>
          <w:right w:val="nil"/>
          <w:between w:val="nil"/>
        </w:pBdr>
        <w:spacing w:before="0" w:after="0" w:line="240" w:lineRule="auto"/>
        <w:rPr>
          <w:rFonts w:ascii="Arial" w:eastAsia="Arial" w:hAnsi="Arial" w:cs="Arial"/>
          <w:i/>
          <w:color w:val="000000"/>
          <w:sz w:val="16"/>
          <w:szCs w:val="16"/>
        </w:rPr>
      </w:pPr>
      <w:r>
        <w:rPr>
          <w:vertAlign w:val="superscript"/>
        </w:rPr>
        <w:footnoteRef/>
      </w:r>
      <w:r>
        <w:rPr>
          <w:rFonts w:ascii="Arial" w:eastAsia="Arial" w:hAnsi="Arial" w:cs="Arial"/>
          <w:i/>
          <w:color w:val="000000"/>
          <w:sz w:val="16"/>
          <w:szCs w:val="16"/>
        </w:rPr>
        <w:t xml:space="preserve"> </w:t>
      </w:r>
      <w:r>
        <w:rPr>
          <w:rFonts w:ascii="Arial" w:eastAsia="Arial" w:hAnsi="Arial" w:cs="Arial"/>
          <w:b/>
          <w:i/>
          <w:color w:val="000000"/>
          <w:sz w:val="16"/>
          <w:szCs w:val="16"/>
        </w:rPr>
        <w:t>ARTÍCULO 162</w:t>
      </w:r>
      <w:r>
        <w:rPr>
          <w:rFonts w:ascii="Arial" w:eastAsia="Arial" w:hAnsi="Arial" w:cs="Arial"/>
          <w:i/>
          <w:color w:val="000000"/>
          <w:sz w:val="16"/>
          <w:szCs w:val="16"/>
        </w:rPr>
        <w:t>.- Procede el sobreseimiento del juicio:</w:t>
      </w:r>
    </w:p>
    <w:p w:rsidR="00733C45" w:rsidRDefault="00882EC8">
      <w:pPr>
        <w:pBdr>
          <w:top w:val="nil"/>
          <w:left w:val="nil"/>
          <w:bottom w:val="nil"/>
          <w:right w:val="nil"/>
          <w:between w:val="nil"/>
        </w:pBdr>
        <w:spacing w:before="0" w:after="0" w:line="240" w:lineRule="auto"/>
        <w:rPr>
          <w:rFonts w:ascii="Arial" w:eastAsia="Arial" w:hAnsi="Arial" w:cs="Arial"/>
          <w:i/>
          <w:color w:val="000000"/>
          <w:sz w:val="16"/>
          <w:szCs w:val="16"/>
        </w:rPr>
      </w:pPr>
      <w:r>
        <w:rPr>
          <w:rFonts w:ascii="Arial" w:eastAsia="Arial" w:hAnsi="Arial" w:cs="Arial"/>
          <w:b/>
          <w:i/>
          <w:color w:val="000000"/>
          <w:sz w:val="16"/>
          <w:szCs w:val="16"/>
        </w:rPr>
        <w:t>II.</w:t>
      </w:r>
      <w:r>
        <w:rPr>
          <w:rFonts w:ascii="Arial" w:eastAsia="Arial" w:hAnsi="Arial" w:cs="Arial"/>
          <w:i/>
          <w:color w:val="000000"/>
          <w:sz w:val="16"/>
          <w:szCs w:val="16"/>
        </w:rPr>
        <w:t xml:space="preserve"> Cuando durante la tramitación del procedimiento sobreviniere alguna de las causas</w:t>
      </w:r>
    </w:p>
    <w:p w:rsidR="00733C45" w:rsidRDefault="00882EC8">
      <w:pPr>
        <w:pBdr>
          <w:top w:val="nil"/>
          <w:left w:val="nil"/>
          <w:bottom w:val="nil"/>
          <w:right w:val="nil"/>
          <w:between w:val="nil"/>
        </w:pBdr>
        <w:spacing w:before="0" w:after="0" w:line="240" w:lineRule="auto"/>
        <w:rPr>
          <w:color w:val="000000"/>
          <w:sz w:val="20"/>
          <w:szCs w:val="20"/>
        </w:rPr>
      </w:pPr>
      <w:r>
        <w:rPr>
          <w:rFonts w:ascii="Arial" w:eastAsia="Arial" w:hAnsi="Arial" w:cs="Arial"/>
          <w:i/>
          <w:color w:val="000000"/>
          <w:sz w:val="16"/>
          <w:szCs w:val="16"/>
        </w:rPr>
        <w:t>de improcedencia a que se refiere el artículo anteri</w:t>
      </w:r>
      <w:r>
        <w:rPr>
          <w:rFonts w:ascii="Arial" w:eastAsia="Arial" w:hAnsi="Arial" w:cs="Arial"/>
          <w:i/>
          <w:color w:val="000000"/>
          <w:sz w:val="16"/>
          <w:szCs w:val="16"/>
        </w:rPr>
        <w:t>or;</w:t>
      </w:r>
    </w:p>
  </w:footnote>
  <w:footnote w:id="8">
    <w:p w:rsidR="00733C45" w:rsidRDefault="00882EC8">
      <w:pPr>
        <w:pBdr>
          <w:top w:val="nil"/>
          <w:left w:val="nil"/>
          <w:bottom w:val="nil"/>
          <w:right w:val="nil"/>
          <w:between w:val="nil"/>
        </w:pBdr>
        <w:spacing w:before="0" w:after="0" w:line="240" w:lineRule="auto"/>
        <w:rPr>
          <w:i/>
          <w:color w:val="000000"/>
          <w:sz w:val="16"/>
          <w:szCs w:val="16"/>
        </w:rPr>
      </w:pPr>
      <w:r>
        <w:rPr>
          <w:vertAlign w:val="superscript"/>
        </w:rPr>
        <w:footnoteRef/>
      </w:r>
      <w:r>
        <w:rPr>
          <w:color w:val="000000"/>
          <w:sz w:val="16"/>
          <w:szCs w:val="16"/>
        </w:rPr>
        <w:t xml:space="preserve"> </w:t>
      </w:r>
      <w:r>
        <w:rPr>
          <w:b/>
          <w:i/>
          <w:color w:val="000000"/>
          <w:sz w:val="16"/>
          <w:szCs w:val="16"/>
        </w:rPr>
        <w:t>ARTÍCULO 149.-</w:t>
      </w:r>
      <w:r>
        <w:rPr>
          <w:i/>
          <w:color w:val="000000"/>
          <w:sz w:val="16"/>
          <w:szCs w:val="16"/>
        </w:rPr>
        <w:t xml:space="preserve"> El juicio ante el Tribunal será de estricto derecho, pero se deberá suplir la deficiencia de la queja siempre que se trate del administrado.</w:t>
      </w:r>
    </w:p>
    <w:p w:rsidR="00733C45" w:rsidRDefault="00882EC8">
      <w:pPr>
        <w:pBdr>
          <w:top w:val="nil"/>
          <w:left w:val="nil"/>
          <w:bottom w:val="nil"/>
          <w:right w:val="nil"/>
          <w:between w:val="nil"/>
        </w:pBdr>
        <w:spacing w:before="0" w:after="0" w:line="240" w:lineRule="auto"/>
        <w:rPr>
          <w:color w:val="000000"/>
          <w:sz w:val="16"/>
          <w:szCs w:val="16"/>
        </w:rPr>
      </w:pPr>
      <w:r>
        <w:rPr>
          <w:b/>
          <w:i/>
          <w:color w:val="000000"/>
          <w:sz w:val="16"/>
          <w:szCs w:val="16"/>
        </w:rPr>
        <w:t>ARTÍCULO 206.-</w:t>
      </w:r>
      <w:r>
        <w:rPr>
          <w:i/>
          <w:color w:val="000000"/>
          <w:sz w:val="16"/>
          <w:szCs w:val="16"/>
        </w:rPr>
        <w:t xml:space="preserve"> La Sala Unitaria de Primera Instancia, al pronunciar sentencia suplirá las deficiencias de la queja planteada por el actor en su demanda, siempre y cuando de los hechos narrados se deduzca el agravio, pero en todos los casos se contraerá a los puntos de l</w:t>
      </w:r>
      <w:r>
        <w:rPr>
          <w:i/>
          <w:color w:val="000000"/>
          <w:sz w:val="16"/>
          <w:szCs w:val="16"/>
        </w:rPr>
        <w:t>a Litis.</w:t>
      </w:r>
    </w:p>
  </w:footnote>
  <w:footnote w:id="9">
    <w:p w:rsidR="00733C45" w:rsidRDefault="00882EC8">
      <w:pPr>
        <w:pBdr>
          <w:top w:val="nil"/>
          <w:left w:val="nil"/>
          <w:bottom w:val="nil"/>
          <w:right w:val="nil"/>
          <w:between w:val="nil"/>
        </w:pBdr>
        <w:tabs>
          <w:tab w:val="left" w:pos="709"/>
        </w:tabs>
        <w:spacing w:before="0" w:after="0" w:line="240" w:lineRule="auto"/>
        <w:ind w:right="45"/>
        <w:rPr>
          <w:color w:val="000000"/>
          <w:sz w:val="16"/>
          <w:szCs w:val="16"/>
        </w:rPr>
      </w:pPr>
      <w:r>
        <w:rPr>
          <w:vertAlign w:val="superscript"/>
        </w:rPr>
        <w:footnoteRef/>
      </w:r>
      <w:proofErr w:type="gramStart"/>
      <w:r>
        <w:rPr>
          <w:i/>
          <w:color w:val="000000"/>
          <w:sz w:val="16"/>
          <w:szCs w:val="16"/>
        </w:rPr>
        <w:t>“ Esta</w:t>
      </w:r>
      <w:proofErr w:type="gramEnd"/>
      <w:r>
        <w:rPr>
          <w:i/>
          <w:color w:val="000000"/>
          <w:sz w:val="16"/>
          <w:szCs w:val="16"/>
        </w:rPr>
        <w:t xml:space="preserve"> Segunda Sala de la Suprema Corte de Justicia de la Nación, abandona el criterio formalista sustentado por la anterior Tercera Sala de este Alto Tribunal, contenido en la tesis de jurisprudencia número 3a./J. 6/94, que en la compilación de </w:t>
      </w:r>
      <w:r>
        <w:rPr>
          <w:i/>
          <w:color w:val="000000"/>
          <w:sz w:val="16"/>
          <w:szCs w:val="16"/>
        </w:rPr>
        <w:t>1995, Tomo VI, se localiza en la página 116, bajo el número 172, cuyo rubro es "CONCEPTOS DE VIOLACIÓN. REQUISITOS LÓGICO JURÍDICOS QUE DEBEN REUNIR.", en la que, en lo fundamental, se exigía que el concepto de violación, para ser tal, debía presentarse co</w:t>
      </w:r>
      <w:r>
        <w:rPr>
          <w:i/>
          <w:color w:val="000000"/>
          <w:sz w:val="16"/>
          <w:szCs w:val="16"/>
        </w:rPr>
        <w:t>mo un verdadero silogismo, siendo la premisa mayor el precepto constitucional violado, la premisa menor los actos autoritarios reclamados y la conclusión la contraposición entre aquéllas, demostrando así, jurídicamente, la inconstitucionalidad de los actos</w:t>
      </w:r>
      <w:r>
        <w:rPr>
          <w:i/>
          <w:color w:val="000000"/>
          <w:sz w:val="16"/>
          <w:szCs w:val="16"/>
        </w:rPr>
        <w:t xml:space="preserve"> reclamados. Las razones de la separación radican en que, por una parte, la Ley Reglamentaria de los Artículos 103 y 107 Constitucionales no exige, en sus artículos 116 y 166, como requisito esencial e imprescindible, que la expresión de los conceptos de v</w:t>
      </w:r>
      <w:r>
        <w:rPr>
          <w:i/>
          <w:color w:val="000000"/>
          <w:sz w:val="16"/>
          <w:szCs w:val="16"/>
        </w:rPr>
        <w:t>iolación se haga con formalidades tan rígidas y solemnes como las que establecía la aludida jurisprudencia y, por otra, que como la demanda de amparo no debe examinarse por sus partes aisladas, sino considerarse en su conjunto, es razonable que deban tener</w:t>
      </w:r>
      <w:r>
        <w:rPr>
          <w:i/>
          <w:color w:val="000000"/>
          <w:sz w:val="16"/>
          <w:szCs w:val="16"/>
        </w:rPr>
        <w:t>se como conceptos de violación todos los razonamientos que, con tal contenido, aparezcan en la demanda, aunque no estén en el capítulo relativo y aunque no guarden un apego estricto a la forma lógica del silogismo, sino que será suficiente que en alguna pa</w:t>
      </w:r>
      <w:r>
        <w:rPr>
          <w:i/>
          <w:color w:val="000000"/>
          <w:sz w:val="16"/>
          <w:szCs w:val="16"/>
        </w:rPr>
        <w:t>rte del escrito se exprese con claridad la causa de pedir, señalándose cuál es la lesión o agravio que el quejoso estima le causa el acto, resolución o ley impugnada y los motivos que originaron ese agravio, para que el Juez de amparo deba estudiarlo.”</w:t>
      </w:r>
    </w:p>
  </w:footnote>
  <w:footnote w:id="10">
    <w:p w:rsidR="00733C45" w:rsidRDefault="00882EC8">
      <w:pPr>
        <w:spacing w:before="0" w:after="0" w:line="240" w:lineRule="auto"/>
        <w:ind w:right="45"/>
        <w:rPr>
          <w:i/>
          <w:sz w:val="16"/>
          <w:szCs w:val="16"/>
        </w:rPr>
      </w:pPr>
      <w:r>
        <w:rPr>
          <w:vertAlign w:val="superscript"/>
        </w:rPr>
        <w:footnoteRef/>
      </w:r>
      <w:r>
        <w:rPr>
          <w:i/>
          <w:sz w:val="16"/>
          <w:szCs w:val="16"/>
        </w:rPr>
        <w:t>.</w:t>
      </w:r>
      <w:r>
        <w:rPr>
          <w:i/>
          <w:color w:val="212529"/>
          <w:sz w:val="16"/>
          <w:szCs w:val="16"/>
          <w:highlight w:val="white"/>
        </w:rPr>
        <w:t xml:space="preserve"> </w:t>
      </w:r>
      <w:r>
        <w:rPr>
          <w:i/>
          <w:color w:val="212529"/>
          <w:sz w:val="16"/>
          <w:szCs w:val="16"/>
          <w:highlight w:val="white"/>
        </w:rPr>
        <w:t xml:space="preserve">El </w:t>
      </w:r>
      <w:r>
        <w:rPr>
          <w:i/>
          <w:sz w:val="16"/>
          <w:szCs w:val="16"/>
          <w:highlight w:val="white"/>
        </w:rPr>
        <w:t>artículo </w:t>
      </w:r>
      <w:hyperlink r:id="rId1">
        <w:r>
          <w:rPr>
            <w:i/>
            <w:color w:val="000000"/>
            <w:sz w:val="16"/>
            <w:szCs w:val="16"/>
          </w:rPr>
          <w:t>238, penúltimo párrafo, del Código Fiscal de la Federación</w:t>
        </w:r>
      </w:hyperlink>
      <w:r>
        <w:rPr>
          <w:i/>
          <w:sz w:val="16"/>
          <w:szCs w:val="16"/>
        </w:rPr>
        <w:t> y su correlativo </w:t>
      </w:r>
      <w:hyperlink r:id="rId2">
        <w:r>
          <w:rPr>
            <w:i/>
            <w:color w:val="000000"/>
            <w:sz w:val="16"/>
            <w:szCs w:val="16"/>
          </w:rPr>
          <w:t>51, penúltimo párrafo, de la Ley Federal de Procedimiento Contencioso Administrativo</w:t>
        </w:r>
      </w:hyperlink>
      <w:r>
        <w:rPr>
          <w:i/>
          <w:color w:val="212529"/>
          <w:sz w:val="16"/>
          <w:szCs w:val="16"/>
          <w:highlight w:val="white"/>
        </w:rPr>
        <w:t>, establece que ese Tribunal podrá hacer valer de oficio, por ser de orden público, la incompetencia de la autoridad para dictar la resolución impugnada. Al respecto debe decirse que ese estudio implica todo lo relacionado con la competencia de la autorida</w:t>
      </w:r>
      <w:r>
        <w:rPr>
          <w:i/>
          <w:color w:val="212529"/>
          <w:sz w:val="16"/>
          <w:szCs w:val="16"/>
          <w:highlight w:val="white"/>
        </w:rPr>
        <w:t>d, supuesto en el cual se incluye tanto la ausencia de fundamentación de la competencia, como la indebida o insuficiente fundamentación de la misma, en virtud de que al tratarse de una facultad oficiosa, las Salas fiscales de cualquier modo entrarán al exa</w:t>
      </w:r>
      <w:r>
        <w:rPr>
          <w:i/>
          <w:color w:val="212529"/>
          <w:sz w:val="16"/>
          <w:szCs w:val="16"/>
          <w:highlight w:val="white"/>
        </w:rPr>
        <w:t>men de las facultades de la autoridad para emitir el acto de molestia; lo anterior con independencia de que exista o no agravio del afectado, o bien, de que invoque incompetencia o simplemente argumente una indebida, insuficiente o deficiente fundamentació</w:t>
      </w:r>
      <w:r>
        <w:rPr>
          <w:i/>
          <w:color w:val="212529"/>
          <w:sz w:val="16"/>
          <w:szCs w:val="16"/>
          <w:highlight w:val="white"/>
        </w:rPr>
        <w:t>n de la competencia. Cabe agregar que en el caso de que las Salas fiscales estimen que la autoridad administrativa es incompetente, su pronunciamiento en ese sentido será indispensable, porque ello constituirá causa de nulidad de la resolución impugnada; s</w:t>
      </w:r>
      <w:r>
        <w:rPr>
          <w:i/>
          <w:color w:val="212529"/>
          <w:sz w:val="16"/>
          <w:szCs w:val="16"/>
          <w:highlight w:val="white"/>
        </w:rPr>
        <w:t>in embargo, si considera que la autoridad es competente, esto no quiere decir que dicha autoridad jurisdiccional necesariamente deba pronunciarse al respecto en los fallos que emita, pues el no pronunciamiento expreso, simplemente es indicativo de que esti</w:t>
      </w:r>
      <w:r>
        <w:rPr>
          <w:i/>
          <w:color w:val="212529"/>
          <w:sz w:val="16"/>
          <w:szCs w:val="16"/>
          <w:highlight w:val="white"/>
        </w:rPr>
        <w:t>mó que la autoridad demandada sí tenía competencia para emitir la resolución o acto impugnado en el juicio de nulidad.</w:t>
      </w:r>
    </w:p>
    <w:p w:rsidR="00733C45" w:rsidRDefault="00733C45">
      <w:pPr>
        <w:pBdr>
          <w:top w:val="nil"/>
          <w:left w:val="nil"/>
          <w:bottom w:val="nil"/>
          <w:right w:val="nil"/>
          <w:between w:val="nil"/>
        </w:pBdr>
        <w:spacing w:before="0" w:after="0" w:line="240" w:lineRule="auto"/>
        <w:jc w:val="left"/>
        <w:rPr>
          <w:rFonts w:ascii="Cambria" w:eastAsia="Cambria" w:hAnsi="Cambria" w:cs="Cambria"/>
          <w:color w:val="000000"/>
          <w:sz w:val="20"/>
          <w:szCs w:val="20"/>
        </w:rPr>
      </w:pPr>
    </w:p>
  </w:footnote>
  <w:footnote w:id="11">
    <w:p w:rsidR="00733C45" w:rsidRDefault="00882EC8">
      <w:pPr>
        <w:pBdr>
          <w:top w:val="nil"/>
          <w:left w:val="nil"/>
          <w:bottom w:val="nil"/>
          <w:right w:val="nil"/>
          <w:between w:val="nil"/>
        </w:pBdr>
        <w:spacing w:before="0" w:after="0" w:line="240" w:lineRule="auto"/>
        <w:rPr>
          <w:i/>
          <w:color w:val="000000"/>
          <w:sz w:val="16"/>
          <w:szCs w:val="16"/>
        </w:rPr>
      </w:pPr>
      <w:r>
        <w:rPr>
          <w:vertAlign w:val="superscript"/>
        </w:rPr>
        <w:footnoteRef/>
      </w:r>
      <w:r>
        <w:rPr>
          <w:i/>
          <w:color w:val="000000"/>
          <w:sz w:val="16"/>
          <w:szCs w:val="16"/>
        </w:rPr>
        <w:t xml:space="preserve"> </w:t>
      </w:r>
      <w:r>
        <w:rPr>
          <w:b/>
          <w:i/>
          <w:color w:val="000000"/>
          <w:sz w:val="16"/>
          <w:szCs w:val="16"/>
        </w:rPr>
        <w:t xml:space="preserve">ARTÍCULO 203.- </w:t>
      </w:r>
      <w:r>
        <w:rPr>
          <w:i/>
          <w:color w:val="000000"/>
          <w:sz w:val="16"/>
          <w:szCs w:val="16"/>
        </w:rPr>
        <w:t>La valoración de las pruebas se hará de acuerdo con las siguientes reglas:</w:t>
      </w:r>
    </w:p>
    <w:p w:rsidR="00733C45" w:rsidRDefault="00882EC8">
      <w:pPr>
        <w:pBdr>
          <w:top w:val="nil"/>
          <w:left w:val="nil"/>
          <w:bottom w:val="nil"/>
          <w:right w:val="nil"/>
          <w:between w:val="nil"/>
        </w:pBdr>
        <w:spacing w:before="0" w:after="0" w:line="240" w:lineRule="auto"/>
        <w:rPr>
          <w:i/>
          <w:color w:val="000000"/>
          <w:sz w:val="16"/>
          <w:szCs w:val="16"/>
        </w:rPr>
      </w:pPr>
      <w:r>
        <w:rPr>
          <w:i/>
          <w:color w:val="000000"/>
          <w:sz w:val="16"/>
          <w:szCs w:val="16"/>
        </w:rPr>
        <w:t xml:space="preserve">I. Harán prueba plena la confesión expresa de las partes y los actos contenidos en documentos públicos, si en éstos últimos se contienen declaraciones de verdad o manifestaciones de hechos de particulares; </w:t>
      </w:r>
    </w:p>
  </w:footnote>
  <w:footnote w:id="12">
    <w:p w:rsidR="00733C45" w:rsidRDefault="00882EC8">
      <w:pPr>
        <w:spacing w:after="0" w:line="240" w:lineRule="auto"/>
        <w:ind w:right="48"/>
        <w:rPr>
          <w:i/>
          <w:sz w:val="16"/>
          <w:szCs w:val="16"/>
        </w:rPr>
      </w:pPr>
      <w:r>
        <w:rPr>
          <w:vertAlign w:val="superscript"/>
        </w:rPr>
        <w:footnoteRef/>
      </w:r>
      <w:r>
        <w:t xml:space="preserve"> </w:t>
      </w:r>
      <w:r>
        <w:rPr>
          <w:i/>
          <w:sz w:val="16"/>
          <w:szCs w:val="16"/>
        </w:rPr>
        <w:t>De lo dispuesto en la tesis de jurisprudencia P</w:t>
      </w:r>
      <w:proofErr w:type="gramStart"/>
      <w:r>
        <w:rPr>
          <w:i/>
          <w:sz w:val="16"/>
          <w:szCs w:val="16"/>
        </w:rPr>
        <w:t>./</w:t>
      </w:r>
      <w:proofErr w:type="gramEnd"/>
      <w:r>
        <w:rPr>
          <w:i/>
          <w:sz w:val="16"/>
          <w:szCs w:val="16"/>
        </w:rPr>
        <w:t>J. 10/94 del Tribunal en Pleno de la Suprema Corte de Justicia de la Nación, publicada en la Gaceta del Semanario Judicial de la Federación Número 77, mayo de 1994, página 12, con el rubro: "COMPETENCIA. SU FUNDAMENTACIÓN ES REQUISITO ESENCIAL DEL ACTO D</w:t>
      </w:r>
      <w:r>
        <w:rPr>
          <w:i/>
          <w:sz w:val="16"/>
          <w:szCs w:val="16"/>
        </w:rPr>
        <w:t>E AUTORIDAD.", así como de las consideraciones en las cuales se sustentó dicho criterio, se advierte que la garantía de fundamentación consagrada en el artículo 16 de la Constitución Política de los Estados Unidos Mexicanos, lleva implícita la idea de exac</w:t>
      </w:r>
      <w:r>
        <w:rPr>
          <w:i/>
          <w:sz w:val="16"/>
          <w:szCs w:val="16"/>
        </w:rPr>
        <w:t>titud y precisión en la cita de las normas legales que facultan a la autoridad administrativa para emitir el acto de molestia de que se trate, al atender al valor jurídicamente protegido por la exigencia constitucional, que es la posibilidad de otorgar cer</w:t>
      </w:r>
      <w:r>
        <w:rPr>
          <w:i/>
          <w:sz w:val="16"/>
          <w:szCs w:val="16"/>
        </w:rPr>
        <w:t>teza y seguridad jurídica al particular frente a los actos de las autoridades que afecten o lesionen su interés jurídico y, por tanto, asegurar la prerrogativa de su defensa ante un acto que no cumpla con los requisitos legales necesarios. En congruencia c</w:t>
      </w:r>
      <w:r>
        <w:rPr>
          <w:i/>
          <w:sz w:val="16"/>
          <w:szCs w:val="16"/>
        </w:rPr>
        <w:t xml:space="preserve">on lo anterior, se concluye que es un requisito esencial y una obligación de la autoridad fundar en el acto de molestia su competencia, pues sólo puede hacer lo que la ley le permite, de ahí que la validez del acto dependerá de que haya sido realizado por </w:t>
      </w:r>
      <w:r>
        <w:rPr>
          <w:i/>
          <w:sz w:val="16"/>
          <w:szCs w:val="16"/>
        </w:rPr>
        <w:t>la autoridad facultada legalmente para ello dentro de su respectivo ámbito de competencia, regido específicamente por una o varias normas que lo autoricen; por tanto, para considerar que se cumple con la garantía de fundamentación establecida en el artícul</w:t>
      </w:r>
      <w:r>
        <w:rPr>
          <w:i/>
          <w:sz w:val="16"/>
          <w:szCs w:val="16"/>
        </w:rPr>
        <w:t>o 16 de la Constitución Federal, es necesario que la autoridad precise exhaustivamente su competencia por razón de materia, grado o territorio, con base en la ley, reglamento, decreto o acuerdo que le otorgue la atribución ejercida, citando en su caso el a</w:t>
      </w:r>
      <w:r>
        <w:rPr>
          <w:i/>
          <w:sz w:val="16"/>
          <w:szCs w:val="16"/>
        </w:rPr>
        <w:t xml:space="preserve">partado, fracción, inciso o </w:t>
      </w:r>
      <w:proofErr w:type="spellStart"/>
      <w:r>
        <w:rPr>
          <w:i/>
          <w:sz w:val="16"/>
          <w:szCs w:val="16"/>
        </w:rPr>
        <w:t>subinciso</w:t>
      </w:r>
      <w:proofErr w:type="spellEnd"/>
      <w:r>
        <w:rPr>
          <w:i/>
          <w:sz w:val="16"/>
          <w:szCs w:val="16"/>
        </w:rPr>
        <w:t>; sin embargo, en caso de que el ordenamiento legal no los contenga, si se trata de una norma compleja, habrá de transcribirse la parte correspondiente, con la única finalidad de especificar con claridad, certeza y prec</w:t>
      </w:r>
      <w:r>
        <w:rPr>
          <w:i/>
          <w:sz w:val="16"/>
          <w:szCs w:val="16"/>
        </w:rPr>
        <w:t>isión las facultades que le corresponden, pues considerar lo contrario significaría que el gobernado tiene la carga de averiguar en el cúmulo de normas legales que señale la autoridad en el documento que contiene el acto de molestia, si tiene competencia p</w:t>
      </w:r>
      <w:r>
        <w:rPr>
          <w:i/>
          <w:sz w:val="16"/>
          <w:szCs w:val="16"/>
        </w:rPr>
        <w:t>or grado, materia y territorio para actuar en la forma en que lo hace, dejándolo en estado de indefensión, pues ignoraría cuál de todas las normas legales que integran el texto normativo es la específicamente aplicable a la actuación del órgano del que ema</w:t>
      </w:r>
      <w:r>
        <w:rPr>
          <w:i/>
          <w:sz w:val="16"/>
          <w:szCs w:val="16"/>
        </w:rPr>
        <w:t>na, por razón de materia, grado y territorio.”</w:t>
      </w:r>
    </w:p>
    <w:p w:rsidR="00733C45" w:rsidRDefault="00733C45">
      <w:pPr>
        <w:pBdr>
          <w:top w:val="nil"/>
          <w:left w:val="nil"/>
          <w:bottom w:val="nil"/>
          <w:right w:val="nil"/>
          <w:between w:val="nil"/>
        </w:pBdr>
        <w:spacing w:before="0" w:after="0" w:line="240" w:lineRule="auto"/>
        <w:jc w:val="left"/>
        <w:rPr>
          <w:color w:val="000000"/>
          <w:sz w:val="20"/>
          <w:szCs w:val="20"/>
        </w:rPr>
      </w:pPr>
    </w:p>
  </w:footnote>
  <w:footnote w:id="13">
    <w:p w:rsidR="00733C45" w:rsidRDefault="00882EC8">
      <w:pPr>
        <w:spacing w:after="0" w:line="240" w:lineRule="auto"/>
        <w:ind w:right="48"/>
        <w:rPr>
          <w:i/>
          <w:sz w:val="16"/>
          <w:szCs w:val="16"/>
        </w:rPr>
      </w:pPr>
      <w:r>
        <w:rPr>
          <w:vertAlign w:val="superscript"/>
        </w:rPr>
        <w:footnoteRef/>
      </w:r>
      <w:r>
        <w:rPr>
          <w:sz w:val="16"/>
          <w:szCs w:val="16"/>
        </w:rPr>
        <w:t xml:space="preserve"> </w:t>
      </w:r>
      <w:r>
        <w:rPr>
          <w:i/>
          <w:sz w:val="16"/>
          <w:szCs w:val="16"/>
        </w:rPr>
        <w:t>Si bien es cierto que en la jurisprudencia citada, la Segunda Sala de la Suprema Corte de Justicia de la Nación sostuvo que para cumplir con el principio de fundamentación previsto en el artículo 16 de la Constitución Política de los Estados Unidos Mexican</w:t>
      </w:r>
      <w:r>
        <w:rPr>
          <w:i/>
          <w:sz w:val="16"/>
          <w:szCs w:val="16"/>
        </w:rPr>
        <w:t xml:space="preserve">os, es necesario que la autoridad administrativa precise exhaustivamente su competencia por razón de materia, grado o territorio, con base en la ley, reglamento, decreto o acuerdo que le otorgue la atribución ejercida, para lo cual debe citar, en su caso, </w:t>
      </w:r>
      <w:r>
        <w:rPr>
          <w:i/>
          <w:sz w:val="16"/>
          <w:szCs w:val="16"/>
        </w:rPr>
        <w:t xml:space="preserve">el apartado, fracción, inciso o </w:t>
      </w:r>
      <w:proofErr w:type="spellStart"/>
      <w:r>
        <w:rPr>
          <w:i/>
          <w:sz w:val="16"/>
          <w:szCs w:val="16"/>
        </w:rPr>
        <w:t>subinciso</w:t>
      </w:r>
      <w:proofErr w:type="spellEnd"/>
      <w:r>
        <w:rPr>
          <w:i/>
          <w:sz w:val="16"/>
          <w:szCs w:val="16"/>
        </w:rPr>
        <w:t xml:space="preserve"> correspondiente y, si el ordenamiento no lo contiene y se trata de una norma compleja, habrá de transcribirse la parte correspondiente; así como que esa exigencia tiene como propósito que el particular afectado ten</w:t>
      </w:r>
      <w:r>
        <w:rPr>
          <w:i/>
          <w:sz w:val="16"/>
          <w:szCs w:val="16"/>
        </w:rPr>
        <w:t xml:space="preserve">ga el conocimiento y la certeza de que la autoridad que invade su esfera de derechos lo hace con apoyo en una norma jurídica que le faculta para obrar en ese sentido y, a la vez, que puede cuestionar esa atribución o la forma en que se ejerció, también lo </w:t>
      </w:r>
      <w:r>
        <w:rPr>
          <w:i/>
          <w:sz w:val="16"/>
          <w:szCs w:val="16"/>
        </w:rPr>
        <w:t>es que dicha obligación no constituye un dogma que obligue a las autoridades a exponer en sus actos, fundamentos o afirmaciones cuya constatación resulte evidente, y puedan entenderse con facilidad mediante el uso del buen entendimiento y la sana crítica.”</w:t>
      </w:r>
    </w:p>
    <w:p w:rsidR="00733C45" w:rsidRDefault="00733C45">
      <w:pPr>
        <w:pBdr>
          <w:top w:val="nil"/>
          <w:left w:val="nil"/>
          <w:bottom w:val="nil"/>
          <w:right w:val="nil"/>
          <w:between w:val="nil"/>
        </w:pBdr>
        <w:spacing w:before="0" w:after="0" w:line="240" w:lineRule="auto"/>
        <w:ind w:left="-142"/>
        <w:jc w:val="left"/>
        <w:rPr>
          <w:color w:val="000000"/>
          <w:sz w:val="16"/>
          <w:szCs w:val="16"/>
        </w:rPr>
      </w:pPr>
    </w:p>
  </w:footnote>
  <w:footnote w:id="14">
    <w:p w:rsidR="00733C45" w:rsidRDefault="00882EC8">
      <w:pPr>
        <w:pBdr>
          <w:top w:val="nil"/>
          <w:left w:val="nil"/>
          <w:bottom w:val="nil"/>
          <w:right w:val="nil"/>
          <w:between w:val="nil"/>
        </w:pBdr>
        <w:spacing w:before="0" w:after="0" w:line="240" w:lineRule="auto"/>
        <w:rPr>
          <w:i/>
          <w:color w:val="000000"/>
          <w:sz w:val="16"/>
          <w:szCs w:val="16"/>
        </w:rPr>
      </w:pPr>
      <w:r>
        <w:rPr>
          <w:vertAlign w:val="superscript"/>
        </w:rPr>
        <w:footnoteRef/>
      </w:r>
      <w:r>
        <w:rPr>
          <w:i/>
          <w:color w:val="000000"/>
          <w:sz w:val="16"/>
          <w:szCs w:val="16"/>
        </w:rPr>
        <w:t xml:space="preserve"> </w:t>
      </w:r>
      <w:r>
        <w:rPr>
          <w:b/>
          <w:i/>
          <w:color w:val="000000"/>
          <w:sz w:val="16"/>
          <w:szCs w:val="16"/>
        </w:rPr>
        <w:t>ARTÍCULO 209.-</w:t>
      </w:r>
      <w:r>
        <w:rPr>
          <w:i/>
          <w:color w:val="000000"/>
          <w:sz w:val="16"/>
          <w:szCs w:val="16"/>
        </w:rPr>
        <w:t xml:space="preserve"> </w:t>
      </w:r>
      <w:r>
        <w:rPr>
          <w:rFonts w:ascii="Cambria" w:eastAsia="Cambria" w:hAnsi="Cambria" w:cs="Cambria"/>
          <w:color w:val="000000"/>
          <w:sz w:val="20"/>
          <w:szCs w:val="20"/>
        </w:rPr>
        <w:t xml:space="preserve">- </w:t>
      </w:r>
      <w:r>
        <w:rPr>
          <w:i/>
          <w:color w:val="000000"/>
          <w:sz w:val="16"/>
          <w:szCs w:val="16"/>
        </w:rPr>
        <w:t>Las sentencias definitivas deberán reconocer total o parcialmente la legalidad y validez de la resolución o acto impugnado; declarar total o parcialmente la nulidad de los mismos y de las consecuencias que de éstos se deriven, o decret</w:t>
      </w:r>
      <w:r>
        <w:rPr>
          <w:i/>
          <w:color w:val="000000"/>
          <w:sz w:val="16"/>
          <w:szCs w:val="16"/>
        </w:rPr>
        <w:t>ar la nulidad del acto o resolución modificándolos para determinado efecto, debiendo precisar con claridad la forma y término en que la autoridad debe cumplir, salvo cuando se trate de facultades discrecionales. Asimismo, si la sentencia se dicta para dete</w:t>
      </w:r>
      <w:r>
        <w:rPr>
          <w:i/>
          <w:color w:val="000000"/>
          <w:sz w:val="16"/>
          <w:szCs w:val="16"/>
        </w:rPr>
        <w:t>rminado efecto, está será clara al explicar dicho efecto y sus alcances materiales. […]</w:t>
      </w:r>
    </w:p>
    <w:p w:rsidR="00733C45" w:rsidRDefault="00882EC8">
      <w:pPr>
        <w:pBdr>
          <w:top w:val="nil"/>
          <w:left w:val="nil"/>
          <w:bottom w:val="nil"/>
          <w:right w:val="nil"/>
          <w:between w:val="nil"/>
        </w:pBdr>
        <w:spacing w:before="0" w:after="0" w:line="240" w:lineRule="auto"/>
        <w:rPr>
          <w:i/>
          <w:color w:val="000000"/>
          <w:sz w:val="16"/>
          <w:szCs w:val="16"/>
        </w:rPr>
      </w:pPr>
      <w:r>
        <w:rPr>
          <w:i/>
          <w:color w:val="000000"/>
          <w:sz w:val="16"/>
          <w:szCs w:val="16"/>
        </w:rPr>
        <w:t>.</w:t>
      </w:r>
    </w:p>
  </w:footnote>
  <w:footnote w:id="15">
    <w:p w:rsidR="00733C45" w:rsidRDefault="00882EC8">
      <w:pPr>
        <w:pBdr>
          <w:top w:val="nil"/>
          <w:left w:val="nil"/>
          <w:bottom w:val="nil"/>
          <w:right w:val="nil"/>
          <w:between w:val="nil"/>
        </w:pBdr>
        <w:spacing w:before="0" w:after="0" w:line="240" w:lineRule="auto"/>
        <w:rPr>
          <w:i/>
          <w:color w:val="000000"/>
          <w:sz w:val="16"/>
          <w:szCs w:val="16"/>
        </w:rPr>
      </w:pPr>
      <w:r>
        <w:rPr>
          <w:vertAlign w:val="superscript"/>
        </w:rPr>
        <w:footnoteRef/>
      </w:r>
      <w:r>
        <w:rPr>
          <w:rFonts w:ascii="Arial" w:eastAsia="Arial" w:hAnsi="Arial" w:cs="Arial"/>
          <w:i/>
          <w:color w:val="000000"/>
          <w:sz w:val="16"/>
          <w:szCs w:val="16"/>
        </w:rPr>
        <w:t xml:space="preserve"> </w:t>
      </w:r>
      <w:r>
        <w:rPr>
          <w:b/>
          <w:i/>
          <w:color w:val="000000"/>
          <w:sz w:val="16"/>
          <w:szCs w:val="16"/>
        </w:rPr>
        <w:t>ARTÍCULO 208.-</w:t>
      </w:r>
      <w:r>
        <w:rPr>
          <w:i/>
          <w:color w:val="000000"/>
          <w:sz w:val="16"/>
          <w:szCs w:val="16"/>
        </w:rPr>
        <w:t xml:space="preserve"> Se declarará que un acto administrativo es ilegal si de esa ilegalidad nace su nulidad relativa o absoluta, cuando se demuestre alguna de las siguientes causales:</w:t>
      </w:r>
    </w:p>
    <w:p w:rsidR="00733C45" w:rsidRDefault="00882EC8">
      <w:pPr>
        <w:pBdr>
          <w:top w:val="nil"/>
          <w:left w:val="nil"/>
          <w:bottom w:val="nil"/>
          <w:right w:val="nil"/>
          <w:between w:val="nil"/>
        </w:pBdr>
        <w:spacing w:before="0" w:after="0" w:line="240" w:lineRule="auto"/>
        <w:rPr>
          <w:i/>
          <w:color w:val="000000"/>
          <w:sz w:val="16"/>
          <w:szCs w:val="16"/>
        </w:rPr>
      </w:pPr>
      <w:r>
        <w:rPr>
          <w:b/>
          <w:i/>
          <w:color w:val="000000"/>
          <w:sz w:val="16"/>
          <w:szCs w:val="16"/>
        </w:rPr>
        <w:t>II</w:t>
      </w:r>
      <w:r>
        <w:rPr>
          <w:i/>
          <w:color w:val="000000"/>
          <w:sz w:val="16"/>
          <w:szCs w:val="16"/>
        </w:rPr>
        <w:t>. Omisión de los requisitos formales exigidos por las leyes que afecten las defensas del p</w:t>
      </w:r>
      <w:r>
        <w:rPr>
          <w:i/>
          <w:color w:val="000000"/>
          <w:sz w:val="16"/>
          <w:szCs w:val="16"/>
        </w:rPr>
        <w:t>articular y trasciendan al sentido de la resolución impugnada, inclusive la ausencia de fundamento o motivación, en su caso;</w:t>
      </w:r>
    </w:p>
    <w:p w:rsidR="00733C45" w:rsidRDefault="00882EC8">
      <w:pPr>
        <w:pBdr>
          <w:top w:val="nil"/>
          <w:left w:val="nil"/>
          <w:bottom w:val="nil"/>
          <w:right w:val="nil"/>
          <w:between w:val="nil"/>
        </w:pBdr>
        <w:spacing w:before="0" w:after="0" w:line="240" w:lineRule="auto"/>
        <w:rPr>
          <w:i/>
          <w:color w:val="000000"/>
          <w:sz w:val="16"/>
          <w:szCs w:val="16"/>
        </w:rPr>
      </w:pPr>
      <w:r>
        <w:rPr>
          <w:b/>
          <w:i/>
          <w:color w:val="000000"/>
          <w:sz w:val="16"/>
          <w:szCs w:val="16"/>
        </w:rPr>
        <w:t>VI.</w:t>
      </w:r>
      <w:r>
        <w:rPr>
          <w:i/>
          <w:color w:val="000000"/>
          <w:sz w:val="16"/>
          <w:szCs w:val="16"/>
        </w:rPr>
        <w:t xml:space="preserve"> Si el acto administrativo no cumple con alguno de los elementos y requisitos exigidos en esta Ley;</w:t>
      </w:r>
    </w:p>
  </w:footnote>
  <w:footnote w:id="16">
    <w:p w:rsidR="00733C45" w:rsidRDefault="00882EC8">
      <w:pPr>
        <w:spacing w:before="0" w:after="0" w:line="240" w:lineRule="auto"/>
        <w:ind w:right="45"/>
      </w:pPr>
      <w:r>
        <w:rPr>
          <w:vertAlign w:val="superscript"/>
        </w:rPr>
        <w:footnoteRef/>
      </w:r>
      <w:r>
        <w:t xml:space="preserve"> </w:t>
      </w:r>
      <w:r>
        <w:rPr>
          <w:i/>
          <w:color w:val="000000"/>
          <w:sz w:val="16"/>
          <w:szCs w:val="16"/>
        </w:rPr>
        <w:t xml:space="preserve">Si la ausencia de fundamentación de la competencia de la autoridad administrativa que emite el acto o resolución materia del juicio de nulidad correspondiente, incide directamente sobre la validez del acto impugnado y, por ende, sobre los efectos que éste </w:t>
      </w:r>
      <w:r>
        <w:rPr>
          <w:i/>
          <w:color w:val="000000"/>
          <w:sz w:val="16"/>
          <w:szCs w:val="16"/>
        </w:rPr>
        <w:t>puede producir en la esfera jurídica del gobernado, es inconcuso que esa omisión impide al juzgador pronunciarse sobre los efectos o consecuencias del acto o resolución impugnados y lo obliga a declarar la nulidad de éstos en su integridad, puesto que al d</w:t>
      </w:r>
      <w:r>
        <w:rPr>
          <w:i/>
          <w:color w:val="000000"/>
          <w:sz w:val="16"/>
          <w:szCs w:val="16"/>
        </w:rPr>
        <w:t>arle efectos a esa nulidad, desconociéndose si la autoridad demandada tiene o no facultades para modificar la situación jurídica existente, afectando la esfera del particular, podría obligarse a un órgano incompetente a dictar un nuevo acto o resolución qu</w:t>
      </w:r>
      <w:r>
        <w:rPr>
          <w:i/>
          <w:color w:val="000000"/>
          <w:sz w:val="16"/>
          <w:szCs w:val="16"/>
        </w:rPr>
        <w:t xml:space="preserve">e el gobernado tendría que combatir nuevamente, lo que provocaría un retraso en la impartición de justicia. No obsta a lo anterior el hecho de que si la autoridad está efectivamente facultada para dictar o emitir el acto de que se trate, pueda subsanar su </w:t>
      </w:r>
      <w:r>
        <w:rPr>
          <w:i/>
          <w:color w:val="000000"/>
          <w:sz w:val="16"/>
          <w:szCs w:val="16"/>
        </w:rPr>
        <w:t xml:space="preserve">omisión; además, </w:t>
      </w:r>
      <w:r>
        <w:rPr>
          <w:i/>
          <w:color w:val="000000"/>
          <w:sz w:val="16"/>
          <w:szCs w:val="16"/>
          <w:u w:val="single"/>
        </w:rPr>
        <w:t xml:space="preserve">en aquellos casos en los que la resolución impugnada se haya emitido en respuesta a una petición formulada por el particular, o bien, se haya dictado para resolver una instancia o recurso, la sentencia de nulidad deberá ordenar el dictado </w:t>
      </w:r>
      <w:r>
        <w:rPr>
          <w:i/>
          <w:color w:val="000000"/>
          <w:sz w:val="16"/>
          <w:szCs w:val="16"/>
          <w:u w:val="single"/>
        </w:rPr>
        <w:t>de una nueva</w:t>
      </w:r>
      <w:r>
        <w:rPr>
          <w:i/>
          <w:color w:val="000000"/>
          <w:sz w:val="16"/>
          <w:szCs w:val="16"/>
        </w:rPr>
        <w:t>, aunque dicho efecto sólo tuviera como consecuencia el que la autoridad demandada se declare incompetente, pues de otra manera se dejarían sin resolver dichas peticiones, instancias o recursos, lo que contravendría el principio de seguridad ju</w:t>
      </w:r>
      <w:r>
        <w:rPr>
          <w:i/>
          <w:color w:val="000000"/>
          <w:sz w:val="16"/>
          <w:szCs w:val="16"/>
        </w:rPr>
        <w:t>rídica contenido en el artículo 16 de la Constitución Política de los Estados Unidos Mexicanos.”</w:t>
      </w:r>
    </w:p>
  </w:footnote>
  <w:footnote w:id="17">
    <w:p w:rsidR="00733C45" w:rsidRDefault="00882EC8">
      <w:pPr>
        <w:spacing w:before="0" w:after="0" w:line="240" w:lineRule="auto"/>
        <w:ind w:right="45"/>
        <w:rPr>
          <w:i/>
          <w:sz w:val="16"/>
          <w:szCs w:val="16"/>
        </w:rPr>
      </w:pPr>
      <w:r>
        <w:rPr>
          <w:vertAlign w:val="superscript"/>
        </w:rPr>
        <w:footnoteRef/>
      </w:r>
      <w:r>
        <w:rPr>
          <w:i/>
          <w:sz w:val="16"/>
          <w:szCs w:val="16"/>
        </w:rPr>
        <w:t xml:space="preserve"> El derecho de petición, que es una prerrogativa gestada y promovida en el seno del Estado democrático -en el cual es concebible la posibilidad de participaci</w:t>
      </w:r>
      <w:r>
        <w:rPr>
          <w:i/>
          <w:sz w:val="16"/>
          <w:szCs w:val="16"/>
        </w:rPr>
        <w:t>ón activa de las personas en la vida pública-, se respeta sólo si la autoridad proporciona en su respuesta a la solicitud del particular la suficiente información para que éste pueda conocer plenamente su sentido y alcance, así como para manifestar su conf</w:t>
      </w:r>
      <w:r>
        <w:rPr>
          <w:i/>
          <w:sz w:val="16"/>
          <w:szCs w:val="16"/>
        </w:rPr>
        <w:t xml:space="preserve">ormidad o inconformidad con ella y, en su caso, </w:t>
      </w:r>
      <w:r>
        <w:rPr>
          <w:i/>
          <w:sz w:val="16"/>
          <w:szCs w:val="16"/>
        </w:rPr>
        <w:t>impugnarla</w:t>
      </w:r>
      <w:r>
        <w:rPr>
          <w:i/>
          <w:sz w:val="16"/>
          <w:szCs w:val="16"/>
        </w:rPr>
        <w:t>. Por ende, si la información no existe o es insuficiente, el derecho de petición se quebranta, porque de nada sirve al particular que su planteamiento sea contestado, aun con pulcritud lógica, es d</w:t>
      </w:r>
      <w:r>
        <w:rPr>
          <w:i/>
          <w:sz w:val="16"/>
          <w:szCs w:val="16"/>
        </w:rPr>
        <w:t>ecir, respondiendo con la debida congruencia formal a lo solicitado, pero sin proporcionarle la información que le permita conocer cabalmente el acto, decisión o resolución de la autoridad. Lo anterior, en virtud de que la congruencia formal de la respuest</w:t>
      </w:r>
      <w:r>
        <w:rPr>
          <w:i/>
          <w:sz w:val="16"/>
          <w:szCs w:val="16"/>
        </w:rPr>
        <w:t>a a una petición no es suficiente para ser acorde con el actual sistema jurídico mexicano, porque no satisface las exigencias previstas en el artículo 8o., en relación con el numeral 1o. en sus primeros tres párrafos, ambos de la Constitución Política de l</w:t>
      </w:r>
      <w:r>
        <w:rPr>
          <w:i/>
          <w:sz w:val="16"/>
          <w:szCs w:val="16"/>
        </w:rPr>
        <w:t>os Estados Unidos Mexicanos, que manda el respeto del ejercicio del derecho de petición, siempre que ésta se formule por escrito, de manera pacífica, respetuosa y conforme al principio de progresividad, que evoca la necesidad de avance en la defensa de los</w:t>
      </w:r>
      <w:r>
        <w:rPr>
          <w:i/>
          <w:sz w:val="16"/>
          <w:szCs w:val="16"/>
        </w:rPr>
        <w:t xml:space="preserve"> derechos humanos en general. Por otra parte, la entrada en vigor de la Ley de Amparo, el 3 de abril de 2013, en aras de una justicia pronta y completa, tratándose de este derecho, pretende evitar prácticas dilatorias, como son la omisión de respuesta, lo </w:t>
      </w:r>
      <w:r>
        <w:rPr>
          <w:i/>
          <w:sz w:val="16"/>
          <w:szCs w:val="16"/>
        </w:rPr>
        <w:t xml:space="preserve">incongruente, falso, equívoco o carente de fundamentos y motivos de ésta o su incorrección en cuanto al fondo, para lo cual proporciona herramientas que efectivizan el respeto a los derechos humanos a la seguridad jurídica y a la tutela judicial efectiva, </w:t>
      </w:r>
      <w:r>
        <w:rPr>
          <w:i/>
          <w:sz w:val="16"/>
          <w:szCs w:val="16"/>
        </w:rPr>
        <w:t>para hacer posible que esos vicios se reparen en un mismo juicio; tal es el caso de la oportunidad de ampliar la demanda a que se refiere el numeral 111 del citado ordenamiento y de la exigencia para la responsable, tratándose de actos materialmente admini</w:t>
      </w:r>
      <w:r>
        <w:rPr>
          <w:i/>
          <w:sz w:val="16"/>
          <w:szCs w:val="16"/>
        </w:rPr>
        <w:t>strativos, de complementar en su informe justificado la falta o insuficiencia de fundamentación y motivación del acto reclamado cuando se aduzca en la demanda, contenida en el artículo 117, último párrafo, de la propia ley. Por tanto, el efecto de la conce</w:t>
      </w:r>
      <w:r>
        <w:rPr>
          <w:i/>
          <w:sz w:val="16"/>
          <w:szCs w:val="16"/>
        </w:rPr>
        <w:t xml:space="preserve">sión del amparo en un juicio en el que se examinó la transgresión al artículo 8o. constitucional no puede quedar en la simple exigencia de respuesta, sino que debe buscar que ésta sea congruente, completa, rápida y, sobre todo, fundada y motivada; de otro </w:t>
      </w:r>
      <w:r>
        <w:rPr>
          <w:i/>
          <w:sz w:val="16"/>
          <w:szCs w:val="16"/>
        </w:rPr>
        <w:t>modo, no obstante el nuevo sistema jurídico, el juzgador obligaría al gobernado a una nueva instancia para obtener una solución de fondo, con el consiguiente retraso en la satisfacción de la reparación del derecho violado.”</w:t>
      </w:r>
    </w:p>
    <w:p w:rsidR="00733C45" w:rsidRDefault="00733C45">
      <w:pPr>
        <w:pBdr>
          <w:top w:val="nil"/>
          <w:left w:val="nil"/>
          <w:bottom w:val="nil"/>
          <w:right w:val="nil"/>
          <w:between w:val="nil"/>
        </w:pBdr>
        <w:spacing w:before="0" w:after="0" w:line="240" w:lineRule="auto"/>
        <w:jc w:val="left"/>
        <w:rPr>
          <w:rFonts w:ascii="Cambria" w:eastAsia="Cambria" w:hAnsi="Cambria" w:cs="Cambria"/>
          <w:color w:val="000000"/>
          <w:sz w:val="20"/>
          <w:szCs w:val="20"/>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3C45" w:rsidRDefault="00882EC8">
    <w:pPr>
      <w:pBdr>
        <w:top w:val="nil"/>
        <w:left w:val="nil"/>
        <w:bottom w:val="nil"/>
        <w:right w:val="nil"/>
        <w:between w:val="nil"/>
      </w:pBdr>
      <w:tabs>
        <w:tab w:val="center" w:pos="4419"/>
        <w:tab w:val="right" w:pos="8838"/>
      </w:tabs>
      <w:spacing w:after="0" w:line="240" w:lineRule="auto"/>
      <w:jc w:val="center"/>
      <w:rPr>
        <w:color w:val="000000"/>
      </w:rPr>
    </w:pPr>
    <w:r>
      <w:rPr>
        <w:color w:val="000000"/>
      </w:rPr>
      <w:fldChar w:fldCharType="begin"/>
    </w:r>
    <w:r>
      <w:rPr>
        <w:color w:val="000000"/>
      </w:rPr>
      <w:instrText>PAGE</w:instrText>
    </w:r>
    <w:r w:rsidR="00292436">
      <w:rPr>
        <w:color w:val="000000"/>
      </w:rPr>
      <w:fldChar w:fldCharType="separate"/>
    </w:r>
    <w:r w:rsidR="00C95713">
      <w:rPr>
        <w:noProof/>
        <w:color w:val="000000"/>
      </w:rPr>
      <w:t>13</w:t>
    </w:r>
    <w:r>
      <w:rPr>
        <w:color w:val="000000"/>
      </w:rPr>
      <w:fldChar w:fldCharType="end"/>
    </w:r>
    <w:r>
      <w:rPr>
        <w:noProof/>
      </w:rPr>
      <w:drawing>
        <wp:anchor distT="0" distB="0" distL="114300" distR="114300" simplePos="0" relativeHeight="251658240" behindDoc="0" locked="0" layoutInCell="1" hidden="0" allowOverlap="1">
          <wp:simplePos x="0" y="0"/>
          <wp:positionH relativeFrom="column">
            <wp:posOffset>-92071</wp:posOffset>
          </wp:positionH>
          <wp:positionV relativeFrom="paragraph">
            <wp:posOffset>-367027</wp:posOffset>
          </wp:positionV>
          <wp:extent cx="2495550" cy="631190"/>
          <wp:effectExtent l="0" t="0" r="0" b="0"/>
          <wp:wrapNone/>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8722" b="8590"/>
                  <a:stretch>
                    <a:fillRect/>
                  </a:stretch>
                </pic:blipFill>
                <pic:spPr>
                  <a:xfrm>
                    <a:off x="0" y="0"/>
                    <a:ext cx="2495550" cy="631190"/>
                  </a:xfrm>
                  <a:prstGeom prst="rect">
                    <a:avLst/>
                  </a:prstGeom>
                  <a:ln/>
                </pic:spPr>
              </pic:pic>
            </a:graphicData>
          </a:graphic>
        </wp:anchor>
      </w:drawing>
    </w:r>
  </w:p>
  <w:p w:rsidR="00292436" w:rsidRDefault="00292436" w:rsidP="00292436">
    <w:pPr>
      <w:pStyle w:val="Encabezado"/>
      <w:jc w:val="center"/>
      <w:rPr>
        <w:rFonts w:ascii="Arial" w:hAnsi="Arial" w:cs="Arial"/>
        <w:b/>
        <w:color w:val="0070C0"/>
      </w:rPr>
    </w:pPr>
  </w:p>
  <w:p w:rsidR="00292436" w:rsidRDefault="00292436" w:rsidP="00292436">
    <w:pPr>
      <w:pStyle w:val="Encabezado"/>
      <w:jc w:val="center"/>
      <w:rPr>
        <w:rFonts w:ascii="Arial" w:hAnsi="Arial" w:cs="Arial"/>
        <w:b/>
        <w:color w:val="0070C0"/>
      </w:rPr>
    </w:pPr>
    <w:r>
      <w:rPr>
        <w:rFonts w:ascii="Arial" w:hAnsi="Arial" w:cs="Arial"/>
        <w:b/>
        <w:color w:val="0070C0"/>
      </w:rPr>
      <w:t xml:space="preserve">DATOS PERSONALES PROTEGIDOS POR EL ARTÍCULO 116 DE LA LGTAIP Y ARTÍCULO 61 DE LA LTAIPBGEO </w:t>
    </w:r>
  </w:p>
  <w:p w:rsidR="00733C45" w:rsidRDefault="00733C45">
    <w:pPr>
      <w:pBdr>
        <w:top w:val="nil"/>
        <w:left w:val="nil"/>
        <w:bottom w:val="nil"/>
        <w:right w:val="nil"/>
        <w:between w:val="nil"/>
      </w:pBdr>
      <w:tabs>
        <w:tab w:val="center" w:pos="4419"/>
        <w:tab w:val="right" w:pos="8838"/>
      </w:tabs>
      <w:spacing w:after="0" w:line="240" w:lineRule="auto"/>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3C45" w:rsidRDefault="00882EC8">
    <w:pPr>
      <w:pBdr>
        <w:top w:val="nil"/>
        <w:left w:val="nil"/>
        <w:bottom w:val="nil"/>
        <w:right w:val="nil"/>
        <w:between w:val="nil"/>
      </w:pBdr>
      <w:tabs>
        <w:tab w:val="center" w:pos="4419"/>
        <w:tab w:val="right" w:pos="8838"/>
      </w:tabs>
      <w:spacing w:after="0" w:line="240" w:lineRule="auto"/>
      <w:jc w:val="center"/>
      <w:rPr>
        <w:color w:val="000000"/>
      </w:rPr>
    </w:pPr>
    <w:r>
      <w:rPr>
        <w:color w:val="000000"/>
      </w:rPr>
      <w:fldChar w:fldCharType="begin"/>
    </w:r>
    <w:r>
      <w:rPr>
        <w:color w:val="000000"/>
      </w:rPr>
      <w:instrText>PAGE</w:instrText>
    </w:r>
    <w:r w:rsidR="00292436">
      <w:rPr>
        <w:color w:val="000000"/>
      </w:rPr>
      <w:fldChar w:fldCharType="separate"/>
    </w:r>
    <w:r w:rsidR="00292436">
      <w:rPr>
        <w:noProof/>
        <w:color w:val="000000"/>
      </w:rPr>
      <w:t>1</w:t>
    </w:r>
    <w:r>
      <w:rPr>
        <w:color w:val="000000"/>
      </w:rPr>
      <w:fldChar w:fldCharType="end"/>
    </w:r>
    <w:r>
      <w:rPr>
        <w:noProof/>
      </w:rPr>
      <w:drawing>
        <wp:anchor distT="0" distB="0" distL="114300" distR="114300" simplePos="0" relativeHeight="251659264" behindDoc="0" locked="0" layoutInCell="1" hidden="0" allowOverlap="1" wp14:anchorId="3DA4BC12" wp14:editId="73CFC92A">
          <wp:simplePos x="0" y="0"/>
          <wp:positionH relativeFrom="column">
            <wp:posOffset>-198001</wp:posOffset>
          </wp:positionH>
          <wp:positionV relativeFrom="paragraph">
            <wp:posOffset>-288692</wp:posOffset>
          </wp:positionV>
          <wp:extent cx="2495550" cy="631190"/>
          <wp:effectExtent l="0" t="0" r="0" b="0"/>
          <wp:wrapNone/>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8722" b="8590"/>
                  <a:stretch>
                    <a:fillRect/>
                  </a:stretch>
                </pic:blipFill>
                <pic:spPr>
                  <a:xfrm>
                    <a:off x="0" y="0"/>
                    <a:ext cx="2495550" cy="631190"/>
                  </a:xfrm>
                  <a:prstGeom prst="rect">
                    <a:avLst/>
                  </a:prstGeom>
                  <a:ln/>
                </pic:spPr>
              </pic:pic>
            </a:graphicData>
          </a:graphic>
        </wp:anchor>
      </w:drawing>
    </w:r>
  </w:p>
  <w:sdt>
    <w:sdtPr>
      <w:id w:val="1700360081"/>
      <w:docPartObj>
        <w:docPartGallery w:val="Page Numbers (Top of Page)"/>
        <w:docPartUnique/>
      </w:docPartObj>
    </w:sdtPr>
    <w:sdtContent>
      <w:p w:rsidR="00292436" w:rsidRDefault="00292436" w:rsidP="00292436">
        <w:pPr>
          <w:pStyle w:val="Encabezado"/>
          <w:jc w:val="center"/>
        </w:pPr>
      </w:p>
      <w:p w:rsidR="00292436" w:rsidRDefault="00292436" w:rsidP="00292436">
        <w:pPr>
          <w:pStyle w:val="Encabezado"/>
          <w:jc w:val="center"/>
        </w:pPr>
      </w:p>
      <w:p w:rsidR="00292436" w:rsidRDefault="00292436" w:rsidP="00292436">
        <w:pPr>
          <w:pStyle w:val="Encabezado"/>
          <w:jc w:val="center"/>
          <w:rPr>
            <w:rFonts w:ascii="Arial" w:hAnsi="Arial" w:cs="Arial"/>
            <w:b/>
            <w:color w:val="0070C0"/>
          </w:rPr>
        </w:pPr>
        <w:r>
          <w:rPr>
            <w:rFonts w:ascii="Arial" w:hAnsi="Arial" w:cs="Arial"/>
            <w:b/>
            <w:color w:val="0070C0"/>
          </w:rPr>
          <w:t xml:space="preserve">DATOS PERSONALES PROTEGIDOS POR EL ARTÍCULO 116 DE LA LGTAIP Y ARTÍCULO 61 DE LA LTAIPBGEO </w:t>
        </w:r>
      </w:p>
      <w:p w:rsidR="00733C45" w:rsidRPr="00292436" w:rsidRDefault="00292436" w:rsidP="00292436">
        <w:pPr>
          <w:pStyle w:val="Encabezado"/>
          <w:jc w:val="center"/>
        </w:pP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472143"/>
    <w:multiLevelType w:val="multilevel"/>
    <w:tmpl w:val="A378B7E2"/>
    <w:lvl w:ilvl="0">
      <w:start w:val="1"/>
      <w:numFmt w:val="bullet"/>
      <w:lvlText w:val="●"/>
      <w:lvlJc w:val="left"/>
      <w:pPr>
        <w:ind w:left="1210" w:hanging="360"/>
      </w:pPr>
      <w:rPr>
        <w:rFonts w:ascii="Noto Sans Symbols" w:eastAsia="Noto Sans Symbols" w:hAnsi="Noto Sans Symbols" w:cs="Noto Sans Symbols"/>
      </w:rPr>
    </w:lvl>
    <w:lvl w:ilvl="1">
      <w:start w:val="1"/>
      <w:numFmt w:val="bullet"/>
      <w:lvlText w:val="o"/>
      <w:lvlJc w:val="left"/>
      <w:pPr>
        <w:ind w:left="5616" w:hanging="360"/>
      </w:pPr>
      <w:rPr>
        <w:rFonts w:ascii="Courier New" w:eastAsia="Courier New" w:hAnsi="Courier New" w:cs="Courier New"/>
      </w:rPr>
    </w:lvl>
    <w:lvl w:ilvl="2">
      <w:start w:val="1"/>
      <w:numFmt w:val="bullet"/>
      <w:lvlText w:val="▪"/>
      <w:lvlJc w:val="left"/>
      <w:pPr>
        <w:ind w:left="6336" w:hanging="360"/>
      </w:pPr>
      <w:rPr>
        <w:rFonts w:ascii="Noto Sans Symbols" w:eastAsia="Noto Sans Symbols" w:hAnsi="Noto Sans Symbols" w:cs="Noto Sans Symbols"/>
      </w:rPr>
    </w:lvl>
    <w:lvl w:ilvl="3">
      <w:start w:val="1"/>
      <w:numFmt w:val="bullet"/>
      <w:lvlText w:val="●"/>
      <w:lvlJc w:val="left"/>
      <w:pPr>
        <w:ind w:left="7056" w:hanging="360"/>
      </w:pPr>
      <w:rPr>
        <w:rFonts w:ascii="Noto Sans Symbols" w:eastAsia="Noto Sans Symbols" w:hAnsi="Noto Sans Symbols" w:cs="Noto Sans Symbols"/>
      </w:rPr>
    </w:lvl>
    <w:lvl w:ilvl="4">
      <w:start w:val="1"/>
      <w:numFmt w:val="bullet"/>
      <w:lvlText w:val="o"/>
      <w:lvlJc w:val="left"/>
      <w:pPr>
        <w:ind w:left="7776" w:hanging="360"/>
      </w:pPr>
      <w:rPr>
        <w:rFonts w:ascii="Courier New" w:eastAsia="Courier New" w:hAnsi="Courier New" w:cs="Courier New"/>
      </w:rPr>
    </w:lvl>
    <w:lvl w:ilvl="5">
      <w:start w:val="1"/>
      <w:numFmt w:val="bullet"/>
      <w:lvlText w:val="▪"/>
      <w:lvlJc w:val="left"/>
      <w:pPr>
        <w:ind w:left="8496" w:hanging="360"/>
      </w:pPr>
      <w:rPr>
        <w:rFonts w:ascii="Noto Sans Symbols" w:eastAsia="Noto Sans Symbols" w:hAnsi="Noto Sans Symbols" w:cs="Noto Sans Symbols"/>
      </w:rPr>
    </w:lvl>
    <w:lvl w:ilvl="6">
      <w:start w:val="1"/>
      <w:numFmt w:val="bullet"/>
      <w:lvlText w:val="●"/>
      <w:lvlJc w:val="left"/>
      <w:pPr>
        <w:ind w:left="9216" w:hanging="360"/>
      </w:pPr>
      <w:rPr>
        <w:rFonts w:ascii="Noto Sans Symbols" w:eastAsia="Noto Sans Symbols" w:hAnsi="Noto Sans Symbols" w:cs="Noto Sans Symbols"/>
      </w:rPr>
    </w:lvl>
    <w:lvl w:ilvl="7">
      <w:start w:val="1"/>
      <w:numFmt w:val="bullet"/>
      <w:lvlText w:val="o"/>
      <w:lvlJc w:val="left"/>
      <w:pPr>
        <w:ind w:left="9936" w:hanging="360"/>
      </w:pPr>
      <w:rPr>
        <w:rFonts w:ascii="Courier New" w:eastAsia="Courier New" w:hAnsi="Courier New" w:cs="Courier New"/>
      </w:rPr>
    </w:lvl>
    <w:lvl w:ilvl="8">
      <w:start w:val="1"/>
      <w:numFmt w:val="bullet"/>
      <w:lvlText w:val="▪"/>
      <w:lvlJc w:val="left"/>
      <w:pPr>
        <w:ind w:left="10656" w:hanging="360"/>
      </w:pPr>
      <w:rPr>
        <w:rFonts w:ascii="Noto Sans Symbols" w:eastAsia="Noto Sans Symbols" w:hAnsi="Noto Sans Symbols" w:cs="Noto Sans Symbols"/>
      </w:rPr>
    </w:lvl>
  </w:abstractNum>
  <w:abstractNum w:abstractNumId="1">
    <w:nsid w:val="6511072A"/>
    <w:multiLevelType w:val="multilevel"/>
    <w:tmpl w:val="E7DC7D88"/>
    <w:lvl w:ilvl="0">
      <w:start w:val="1"/>
      <w:numFmt w:val="decimal"/>
      <w:lvlText w:val="%1."/>
      <w:lvlJc w:val="left"/>
      <w:pPr>
        <w:ind w:left="6238" w:firstLine="0"/>
      </w:pPr>
      <w:rPr>
        <w:rFonts w:ascii="Arial" w:eastAsia="Arial" w:hAnsi="Arial" w:cs="Arial"/>
        <w:b/>
        <w:i w:val="0"/>
        <w:sz w:val="24"/>
        <w:szCs w:val="24"/>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3C45"/>
    <w:rsid w:val="00292436"/>
    <w:rsid w:val="00733C45"/>
    <w:rsid w:val="00882EC8"/>
    <w:rsid w:val="00C9571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3983AA4-0A14-4510-96B5-8C7D8201D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s-MX" w:eastAsia="es-MX" w:bidi="ar-SA"/>
      </w:rPr>
    </w:rPrDefault>
    <w:pPrDefault>
      <w:pPr>
        <w:spacing w:before="120" w:after="240" w:line="36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Puesto">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0"/>
    <w:pPr>
      <w:spacing w:before="40" w:after="0" w:line="240" w:lineRule="auto"/>
    </w:pPr>
    <w:rPr>
      <w:color w:val="595959"/>
      <w:sz w:val="18"/>
      <w:szCs w:val="18"/>
    </w:rPr>
    <w:tblPr>
      <w:tblStyleRowBandSize w:val="1"/>
      <w:tblStyleColBandSize w:val="1"/>
      <w:tblCellMar>
        <w:top w:w="0" w:type="dxa"/>
        <w:left w:w="115" w:type="dxa"/>
        <w:bottom w:w="0" w:type="dxa"/>
        <w:right w:w="115" w:type="dxa"/>
      </w:tblCellMar>
    </w:tblPr>
    <w:tblStylePr w:type="firstRow">
      <w:rPr>
        <w:b w:val="0"/>
        <w:i w:val="0"/>
      </w:rPr>
    </w:tblStylePr>
    <w:tblStylePr w:type="lastRow">
      <w:rPr>
        <w:b/>
      </w:r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0">
    <w:basedOn w:val="TableNormal0"/>
    <w:pPr>
      <w:spacing w:before="40" w:after="0" w:line="240" w:lineRule="auto"/>
    </w:pPr>
    <w:rPr>
      <w:color w:val="595959"/>
      <w:sz w:val="18"/>
      <w:szCs w:val="18"/>
    </w:rPr>
    <w:tblPr>
      <w:tblStyleRowBandSize w:val="1"/>
      <w:tblStyleColBandSize w:val="1"/>
      <w:tblCellMar>
        <w:top w:w="0" w:type="dxa"/>
        <w:left w:w="108" w:type="dxa"/>
        <w:bottom w:w="0" w:type="dxa"/>
        <w:right w:w="108" w:type="dxa"/>
      </w:tblCellMar>
    </w:tblPr>
    <w:tblStylePr w:type="firstRow">
      <w:tblPr/>
      <w:tcPr>
        <w:shd w:val="clear" w:color="auto" w:fill="44546A"/>
      </w:tcPr>
    </w:tblStylePr>
  </w:style>
  <w:style w:type="table" w:customStyle="1" w:styleId="a1">
    <w:basedOn w:val="TableNormal0"/>
    <w:pPr>
      <w:spacing w:before="40" w:after="0" w:line="240" w:lineRule="auto"/>
    </w:pPr>
    <w:rPr>
      <w:color w:val="595959"/>
      <w:sz w:val="18"/>
      <w:szCs w:val="18"/>
    </w:rPr>
    <w:tblPr>
      <w:tblStyleRowBandSize w:val="1"/>
      <w:tblStyleColBandSize w:val="1"/>
      <w:tblCellMar>
        <w:top w:w="0" w:type="dxa"/>
        <w:left w:w="115" w:type="dxa"/>
        <w:bottom w:w="0" w:type="dxa"/>
        <w:right w:w="115" w:type="dxa"/>
      </w:tblCellMar>
    </w:tblPr>
    <w:tblStylePr w:type="firstRow">
      <w:rPr>
        <w:b w:val="0"/>
        <w:i w:val="0"/>
      </w:rPr>
    </w:tblStylePr>
    <w:tblStylePr w:type="lastRow">
      <w:rPr>
        <w:b/>
      </w:r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2">
    <w:basedOn w:val="TableNormal0"/>
    <w:pPr>
      <w:spacing w:before="40" w:after="0" w:line="240" w:lineRule="auto"/>
    </w:pPr>
    <w:rPr>
      <w:color w:val="595959"/>
      <w:sz w:val="18"/>
      <w:szCs w:val="18"/>
    </w:rPr>
    <w:tblPr>
      <w:tblStyleRowBandSize w:val="1"/>
      <w:tblStyleColBandSize w:val="1"/>
      <w:tblCellMar>
        <w:top w:w="0" w:type="dxa"/>
        <w:left w:w="108" w:type="dxa"/>
        <w:bottom w:w="0" w:type="dxa"/>
        <w:right w:w="108" w:type="dxa"/>
      </w:tblCellMar>
    </w:tblPr>
    <w:tblStylePr w:type="firstRow">
      <w:tblPr/>
      <w:tcPr>
        <w:shd w:val="clear" w:color="auto" w:fill="44546A"/>
      </w:tcPr>
    </w:tblStylePr>
  </w:style>
  <w:style w:type="table" w:customStyle="1" w:styleId="a3">
    <w:basedOn w:val="TableNormal0"/>
    <w:pPr>
      <w:spacing w:before="40" w:after="0" w:line="240" w:lineRule="auto"/>
    </w:pPr>
    <w:rPr>
      <w:color w:val="595959"/>
      <w:sz w:val="18"/>
      <w:szCs w:val="18"/>
    </w:rPr>
    <w:tblPr>
      <w:tblStyleRowBandSize w:val="1"/>
      <w:tblStyleColBandSize w:val="1"/>
      <w:tblCellMar>
        <w:top w:w="0" w:type="dxa"/>
        <w:left w:w="115" w:type="dxa"/>
        <w:bottom w:w="0" w:type="dxa"/>
        <w:right w:w="115" w:type="dxa"/>
      </w:tblCellMar>
    </w:tblPr>
    <w:tblStylePr w:type="firstRow">
      <w:rPr>
        <w:b w:val="0"/>
        <w:i w:val="0"/>
      </w:rPr>
    </w:tblStylePr>
    <w:tblStylePr w:type="lastRow">
      <w:rPr>
        <w:b/>
      </w:r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4">
    <w:basedOn w:val="TableNormal0"/>
    <w:pPr>
      <w:spacing w:before="40" w:after="0" w:line="240" w:lineRule="auto"/>
    </w:pPr>
    <w:rPr>
      <w:color w:val="595959"/>
      <w:sz w:val="18"/>
      <w:szCs w:val="18"/>
    </w:rPr>
    <w:tblPr>
      <w:tblStyleRowBandSize w:val="1"/>
      <w:tblStyleColBandSize w:val="1"/>
      <w:tblCellMar>
        <w:top w:w="0" w:type="dxa"/>
        <w:left w:w="108" w:type="dxa"/>
        <w:bottom w:w="0" w:type="dxa"/>
        <w:right w:w="108" w:type="dxa"/>
      </w:tblCellMar>
    </w:tblPr>
    <w:tblStylePr w:type="firstRow">
      <w:tblPr/>
      <w:tcPr>
        <w:shd w:val="clear" w:color="auto" w:fill="44546A"/>
      </w:tcPr>
    </w:tblStylePr>
  </w:style>
  <w:style w:type="table" w:customStyle="1" w:styleId="a5">
    <w:basedOn w:val="TableNormal0"/>
    <w:tblPr>
      <w:tblStyleRowBandSize w:val="1"/>
      <w:tblStyleColBandSize w:val="1"/>
      <w:tblCellMar>
        <w:top w:w="0" w:type="dxa"/>
        <w:left w:w="115" w:type="dxa"/>
        <w:bottom w:w="0" w:type="dxa"/>
        <w:right w:w="115" w:type="dxa"/>
      </w:tblCellMar>
    </w:tblPr>
  </w:style>
  <w:style w:type="table" w:styleId="Tablaconcuadrcula">
    <w:name w:val="Table Grid"/>
    <w:basedOn w:val="Tablanormal"/>
    <w:uiPriority w:val="59"/>
    <w:rsid w:val="00FF1B6E"/>
    <w:pPr>
      <w:spacing w:before="0" w:after="0" w:line="240" w:lineRule="auto"/>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es">
    <w:name w:val="Mes"/>
    <w:basedOn w:val="Normal"/>
    <w:uiPriority w:val="1"/>
    <w:qFormat/>
    <w:rsid w:val="00032EEF"/>
    <w:pPr>
      <w:spacing w:before="0" w:after="0" w:line="240" w:lineRule="auto"/>
      <w:jc w:val="left"/>
    </w:pPr>
    <w:rPr>
      <w:rFonts w:asciiTheme="majorHAnsi" w:eastAsiaTheme="majorEastAsia" w:hAnsiTheme="majorHAnsi" w:cstheme="minorBidi"/>
      <w:color w:val="FFFFFF" w:themeColor="background1"/>
      <w:sz w:val="120"/>
      <w:szCs w:val="120"/>
      <w:lang w:val="es-ES" w:eastAsia="en-US"/>
    </w:rPr>
  </w:style>
  <w:style w:type="paragraph" w:customStyle="1" w:styleId="Ao">
    <w:name w:val="Año"/>
    <w:basedOn w:val="Normal"/>
    <w:uiPriority w:val="2"/>
    <w:qFormat/>
    <w:rsid w:val="00032EEF"/>
    <w:pPr>
      <w:spacing w:before="0" w:after="120" w:line="240" w:lineRule="auto"/>
      <w:jc w:val="right"/>
    </w:pPr>
    <w:rPr>
      <w:rFonts w:asciiTheme="majorHAnsi" w:eastAsiaTheme="majorEastAsia" w:hAnsiTheme="majorHAnsi" w:cstheme="minorBidi"/>
      <w:color w:val="FFFFFF" w:themeColor="background1"/>
      <w:sz w:val="64"/>
      <w:szCs w:val="64"/>
      <w:lang w:val="es-ES" w:eastAsia="en-US"/>
    </w:rPr>
  </w:style>
  <w:style w:type="paragraph" w:customStyle="1" w:styleId="Das">
    <w:name w:val="Días"/>
    <w:basedOn w:val="Normal"/>
    <w:uiPriority w:val="5"/>
    <w:qFormat/>
    <w:rsid w:val="00032EEF"/>
    <w:pPr>
      <w:spacing w:before="40" w:after="40" w:line="240" w:lineRule="auto"/>
      <w:jc w:val="center"/>
    </w:pPr>
    <w:rPr>
      <w:rFonts w:asciiTheme="minorHAnsi" w:eastAsiaTheme="minorEastAsia" w:hAnsiTheme="minorHAnsi" w:cstheme="minorBidi"/>
      <w:color w:val="595959" w:themeColor="text1" w:themeTint="A6"/>
      <w:szCs w:val="24"/>
      <w:lang w:val="es-ES" w:eastAsia="en-US"/>
    </w:rPr>
  </w:style>
  <w:style w:type="table" w:customStyle="1" w:styleId="Tabladecalendario">
    <w:name w:val="Tabla de calendario"/>
    <w:basedOn w:val="Tablanormal"/>
    <w:rsid w:val="00032EEF"/>
    <w:pPr>
      <w:spacing w:before="40" w:after="40" w:line="240" w:lineRule="auto"/>
      <w:jc w:val="left"/>
    </w:pPr>
    <w:rPr>
      <w:rFonts w:asciiTheme="minorHAnsi" w:eastAsiaTheme="minorEastAsia" w:hAnsiTheme="minorHAnsi" w:cstheme="minorBidi"/>
      <w:sz w:val="18"/>
      <w:szCs w:val="18"/>
      <w:lang w:val="es-ES" w:eastAsia="en-US"/>
    </w:rPr>
    <w:tblPr>
      <w:tblInd w:w="0" w:type="dxa"/>
      <w:tbl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insideV w:val="single" w:sz="6" w:space="0" w:color="BFBFBF" w:themeColor="background1" w:themeShade="BF"/>
      </w:tblBorders>
      <w:tblCellMar>
        <w:top w:w="0" w:type="dxa"/>
        <w:left w:w="108" w:type="dxa"/>
        <w:bottom w:w="0" w:type="dxa"/>
        <w:right w:w="108" w:type="dxa"/>
      </w:tblCellMar>
    </w:tblPr>
    <w:tblStylePr w:type="firstRow">
      <w:tblPr/>
      <w:tcPr>
        <w:shd w:val="clear" w:color="auto" w:fill="D9D9D9" w:themeFill="background1" w:themeFillShade="D9"/>
      </w:tcPr>
    </w:tblStylePr>
  </w:style>
  <w:style w:type="paragraph" w:customStyle="1" w:styleId="Fechas">
    <w:name w:val="Fechas"/>
    <w:basedOn w:val="Normal"/>
    <w:uiPriority w:val="6"/>
    <w:qFormat/>
    <w:rsid w:val="00032EEF"/>
    <w:pPr>
      <w:spacing w:before="0" w:after="0" w:line="240" w:lineRule="auto"/>
      <w:jc w:val="right"/>
    </w:pPr>
    <w:rPr>
      <w:rFonts w:asciiTheme="minorHAnsi" w:eastAsiaTheme="minorEastAsia" w:hAnsiTheme="minorHAnsi" w:cstheme="minorBidi"/>
      <w:color w:val="595959" w:themeColor="text1" w:themeTint="A6"/>
      <w:szCs w:val="18"/>
      <w:lang w:val="es-ES" w:eastAsia="en-US"/>
    </w:rPr>
  </w:style>
  <w:style w:type="table" w:styleId="Tabladecuadrcula1Claro-nfasis2">
    <w:name w:val="Grid Table 1 Light Accent 2"/>
    <w:basedOn w:val="Tablanormal"/>
    <w:uiPriority w:val="46"/>
    <w:rsid w:val="00032EEF"/>
    <w:pPr>
      <w:spacing w:before="40" w:after="0" w:line="240" w:lineRule="auto"/>
      <w:jc w:val="left"/>
    </w:pPr>
    <w:rPr>
      <w:rFonts w:asciiTheme="minorHAnsi" w:eastAsiaTheme="minorEastAsia" w:hAnsiTheme="minorHAnsi" w:cstheme="minorBidi"/>
      <w:sz w:val="18"/>
      <w:szCs w:val="18"/>
      <w:lang w:val="es-ES" w:eastAsia="en-US"/>
    </w:rPr>
    <w:tblPr>
      <w:tblStyleRowBandSize w:val="1"/>
      <w:tblStyleColBandSize w:val="1"/>
      <w:tblInd w:w="0" w:type="dxa"/>
      <w:tblCellMar>
        <w:top w:w="0" w:type="dxa"/>
        <w:left w:w="108" w:type="dxa"/>
        <w:bottom w:w="0" w:type="dxa"/>
        <w:right w:w="108" w:type="dxa"/>
      </w:tblCellMar>
    </w:tblPr>
    <w:tblStylePr w:type="firstRow">
      <w:rPr>
        <w:b/>
        <w:bCs/>
      </w:rPr>
      <w:tblPr/>
      <w:tcPr>
        <w:tcBorders>
          <w:top w:val="nil"/>
          <w:left w:val="nil"/>
          <w:bottom w:val="nil"/>
          <w:right w:val="nil"/>
          <w:insideH w:val="nil"/>
          <w:insideV w:val="nil"/>
          <w:tl2br w:val="nil"/>
          <w:tr2bl w:val="nil"/>
        </w:tcBorders>
        <w:shd w:val="clear" w:color="auto" w:fill="244061" w:themeFill="accent1" w:themeFillShade="80"/>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paragraph" w:styleId="Prrafodelista">
    <w:name w:val="List Paragraph"/>
    <w:basedOn w:val="Normal"/>
    <w:uiPriority w:val="34"/>
    <w:qFormat/>
    <w:rsid w:val="00E30D25"/>
    <w:pPr>
      <w:ind w:left="720"/>
      <w:contextualSpacing/>
    </w:pPr>
  </w:style>
  <w:style w:type="paragraph" w:styleId="Sinespaciado">
    <w:name w:val="No Spacing"/>
    <w:uiPriority w:val="1"/>
    <w:qFormat/>
    <w:rsid w:val="00CB7C6E"/>
    <w:pPr>
      <w:spacing w:before="0" w:after="0" w:line="240" w:lineRule="auto"/>
      <w:jc w:val="left"/>
    </w:pPr>
    <w:rPr>
      <w:rFonts w:asciiTheme="minorHAnsi" w:eastAsiaTheme="minorEastAsia" w:hAnsiTheme="minorHAnsi" w:cstheme="minorBidi"/>
      <w:lang w:val="es-ES"/>
    </w:rPr>
  </w:style>
  <w:style w:type="paragraph" w:styleId="Textonotapie">
    <w:name w:val="footnote text"/>
    <w:basedOn w:val="Normal"/>
    <w:link w:val="TextonotapieCar"/>
    <w:uiPriority w:val="99"/>
    <w:unhideWhenUsed/>
    <w:rsid w:val="00CB7C6E"/>
    <w:pPr>
      <w:spacing w:before="0" w:after="0" w:line="240" w:lineRule="auto"/>
      <w:jc w:val="left"/>
    </w:pPr>
    <w:rPr>
      <w:rFonts w:asciiTheme="minorHAnsi" w:eastAsiaTheme="minorEastAsia" w:hAnsiTheme="minorHAnsi" w:cstheme="minorBidi"/>
      <w:sz w:val="20"/>
      <w:szCs w:val="20"/>
    </w:rPr>
  </w:style>
  <w:style w:type="character" w:customStyle="1" w:styleId="TextonotapieCar">
    <w:name w:val="Texto nota pie Car"/>
    <w:basedOn w:val="Fuentedeprrafopredeter"/>
    <w:link w:val="Textonotapie"/>
    <w:uiPriority w:val="99"/>
    <w:rsid w:val="00CB7C6E"/>
    <w:rPr>
      <w:rFonts w:asciiTheme="minorHAnsi" w:eastAsiaTheme="minorEastAsia" w:hAnsiTheme="minorHAnsi" w:cstheme="minorBidi"/>
      <w:sz w:val="20"/>
      <w:szCs w:val="20"/>
    </w:rPr>
  </w:style>
  <w:style w:type="character" w:styleId="Refdenotaalpie">
    <w:name w:val="footnote reference"/>
    <w:basedOn w:val="Fuentedeprrafopredeter"/>
    <w:uiPriority w:val="99"/>
    <w:unhideWhenUsed/>
    <w:rsid w:val="00CB7C6E"/>
    <w:rPr>
      <w:vertAlign w:val="superscript"/>
    </w:rPr>
  </w:style>
  <w:style w:type="character" w:styleId="Hipervnculo">
    <w:name w:val="Hyperlink"/>
    <w:basedOn w:val="Fuentedeprrafopredeter"/>
    <w:uiPriority w:val="99"/>
    <w:semiHidden/>
    <w:unhideWhenUsed/>
    <w:rsid w:val="00870AC7"/>
    <w:rPr>
      <w:color w:val="0000FF"/>
      <w:u w:val="single"/>
    </w:rPr>
  </w:style>
  <w:style w:type="table" w:customStyle="1" w:styleId="a6">
    <w:basedOn w:val="TableNormal0"/>
    <w:pPr>
      <w:spacing w:before="40" w:after="0" w:line="240" w:lineRule="auto"/>
      <w:jc w:val="left"/>
    </w:pPr>
    <w:rPr>
      <w:rFonts w:ascii="Cambria" w:eastAsia="Cambria" w:hAnsi="Cambria" w:cs="Cambria"/>
      <w:sz w:val="18"/>
      <w:szCs w:val="18"/>
    </w:rPr>
    <w:tblPr>
      <w:tblStyleRowBandSize w:val="1"/>
      <w:tblStyleColBandSize w:val="1"/>
      <w:tblCellMar>
        <w:top w:w="0" w:type="dxa"/>
        <w:left w:w="108" w:type="dxa"/>
        <w:bottom w:w="0" w:type="dxa"/>
        <w:right w:w="108" w:type="dxa"/>
      </w:tblCellMar>
    </w:tblPr>
  </w:style>
  <w:style w:type="table" w:customStyle="1" w:styleId="a7">
    <w:basedOn w:val="TableNormal0"/>
    <w:pPr>
      <w:spacing w:before="40" w:after="0" w:line="240" w:lineRule="auto"/>
      <w:jc w:val="left"/>
    </w:pPr>
    <w:rPr>
      <w:rFonts w:ascii="Cambria" w:eastAsia="Cambria" w:hAnsi="Cambria" w:cs="Cambria"/>
      <w:sz w:val="18"/>
      <w:szCs w:val="18"/>
    </w:rPr>
    <w:tblPr>
      <w:tblStyleRowBandSize w:val="1"/>
      <w:tblStyleColBandSize w:val="1"/>
      <w:tblCellMar>
        <w:top w:w="0" w:type="dxa"/>
        <w:left w:w="115" w:type="dxa"/>
        <w:bottom w:w="0" w:type="dxa"/>
        <w:right w:w="115" w:type="dxa"/>
      </w:tblCellMar>
    </w:tblPr>
    <w:tblStylePr w:type="firstRow">
      <w:rPr>
        <w:b/>
      </w:rPr>
      <w:tblPr/>
      <w:tcPr>
        <w:tcBorders>
          <w:top w:val="nil"/>
          <w:left w:val="nil"/>
          <w:bottom w:val="nil"/>
          <w:right w:val="nil"/>
          <w:insideH w:val="nil"/>
          <w:insideV w:val="nil"/>
        </w:tcBorders>
        <w:shd w:val="clear" w:color="auto" w:fill="244061"/>
      </w:tcPr>
    </w:tblStylePr>
    <w:tblStylePr w:type="lastRow">
      <w:rPr>
        <w:b/>
      </w:rPr>
      <w:tblPr/>
      <w:tcPr>
        <w:tcBorders>
          <w:top w:val="single" w:sz="4" w:space="0" w:color="D99594"/>
        </w:tcBorders>
      </w:tcPr>
    </w:tblStylePr>
    <w:tblStylePr w:type="firstCol">
      <w:rPr>
        <w:b/>
      </w:rPr>
    </w:tblStylePr>
    <w:tblStylePr w:type="lastCol">
      <w:rPr>
        <w:b/>
      </w:rPr>
    </w:tblStylePr>
  </w:style>
  <w:style w:type="table" w:customStyle="1" w:styleId="a8">
    <w:basedOn w:val="TableNormal0"/>
    <w:pPr>
      <w:spacing w:before="40" w:after="0" w:line="240" w:lineRule="auto"/>
      <w:jc w:val="left"/>
    </w:pPr>
    <w:rPr>
      <w:rFonts w:ascii="Cambria" w:eastAsia="Cambria" w:hAnsi="Cambria" w:cs="Cambria"/>
      <w:sz w:val="18"/>
      <w:szCs w:val="18"/>
    </w:rPr>
    <w:tblPr>
      <w:tblStyleRowBandSize w:val="1"/>
      <w:tblStyleColBandSize w:val="1"/>
      <w:tblCellMar>
        <w:top w:w="0" w:type="dxa"/>
        <w:left w:w="108" w:type="dxa"/>
        <w:bottom w:w="0" w:type="dxa"/>
        <w:right w:w="108" w:type="dxa"/>
      </w:tblCellMar>
    </w:tblPr>
    <w:tblStylePr w:type="firstRow">
      <w:tblPr/>
      <w:tcPr>
        <w:shd w:val="clear" w:color="auto" w:fill="D9D9D9"/>
      </w:tcPr>
    </w:tblStylePr>
  </w:style>
  <w:style w:type="table" w:customStyle="1" w:styleId="a9">
    <w:basedOn w:val="TableNormal0"/>
    <w:pPr>
      <w:spacing w:before="40" w:after="0" w:line="240" w:lineRule="auto"/>
      <w:jc w:val="left"/>
    </w:pPr>
    <w:rPr>
      <w:rFonts w:ascii="Cambria" w:eastAsia="Cambria" w:hAnsi="Cambria" w:cs="Cambria"/>
      <w:sz w:val="18"/>
      <w:szCs w:val="18"/>
    </w:rPr>
    <w:tblPr>
      <w:tblStyleRowBandSize w:val="1"/>
      <w:tblStyleColBandSize w:val="1"/>
      <w:tblCellMar>
        <w:top w:w="0" w:type="dxa"/>
        <w:left w:w="115" w:type="dxa"/>
        <w:bottom w:w="0" w:type="dxa"/>
        <w:right w:w="115" w:type="dxa"/>
      </w:tblCellMar>
    </w:tblPr>
    <w:tblStylePr w:type="firstRow">
      <w:rPr>
        <w:b/>
      </w:rPr>
      <w:tblPr/>
      <w:tcPr>
        <w:tcBorders>
          <w:top w:val="nil"/>
          <w:left w:val="nil"/>
          <w:bottom w:val="nil"/>
          <w:right w:val="nil"/>
          <w:insideH w:val="nil"/>
          <w:insideV w:val="nil"/>
        </w:tcBorders>
        <w:shd w:val="clear" w:color="auto" w:fill="244061"/>
      </w:tcPr>
    </w:tblStylePr>
    <w:tblStylePr w:type="lastRow">
      <w:rPr>
        <w:b/>
      </w:rPr>
      <w:tblPr/>
      <w:tcPr>
        <w:tcBorders>
          <w:top w:val="single" w:sz="4" w:space="0" w:color="D99594"/>
        </w:tcBorders>
      </w:tcPr>
    </w:tblStylePr>
    <w:tblStylePr w:type="firstCol">
      <w:rPr>
        <w:b/>
      </w:rPr>
    </w:tblStylePr>
    <w:tblStylePr w:type="lastCol">
      <w:rPr>
        <w:b/>
      </w:rPr>
    </w:tblStylePr>
  </w:style>
  <w:style w:type="table" w:customStyle="1" w:styleId="aa">
    <w:basedOn w:val="TableNormal0"/>
    <w:pPr>
      <w:spacing w:before="40" w:after="0" w:line="240" w:lineRule="auto"/>
      <w:jc w:val="left"/>
    </w:pPr>
    <w:rPr>
      <w:rFonts w:ascii="Cambria" w:eastAsia="Cambria" w:hAnsi="Cambria" w:cs="Cambria"/>
      <w:sz w:val="18"/>
      <w:szCs w:val="18"/>
    </w:rPr>
    <w:tblPr>
      <w:tblStyleRowBandSize w:val="1"/>
      <w:tblStyleColBandSize w:val="1"/>
      <w:tblCellMar>
        <w:top w:w="0" w:type="dxa"/>
        <w:left w:w="108" w:type="dxa"/>
        <w:bottom w:w="0" w:type="dxa"/>
        <w:right w:w="108" w:type="dxa"/>
      </w:tblCellMar>
    </w:tblPr>
    <w:tblStylePr w:type="firstRow">
      <w:tblPr/>
      <w:tcPr>
        <w:shd w:val="clear" w:color="auto" w:fill="D9D9D9"/>
      </w:tcPr>
    </w:tblStylePr>
  </w:style>
  <w:style w:type="table" w:customStyle="1" w:styleId="ab">
    <w:basedOn w:val="TableNormal0"/>
    <w:pPr>
      <w:spacing w:before="40" w:after="0" w:line="240" w:lineRule="auto"/>
      <w:jc w:val="left"/>
    </w:pPr>
    <w:rPr>
      <w:rFonts w:ascii="Cambria" w:eastAsia="Cambria" w:hAnsi="Cambria" w:cs="Cambria"/>
      <w:sz w:val="18"/>
      <w:szCs w:val="18"/>
    </w:rPr>
    <w:tblPr>
      <w:tblStyleRowBandSize w:val="1"/>
      <w:tblStyleColBandSize w:val="1"/>
      <w:tblCellMar>
        <w:top w:w="0" w:type="dxa"/>
        <w:left w:w="115" w:type="dxa"/>
        <w:bottom w:w="0" w:type="dxa"/>
        <w:right w:w="115" w:type="dxa"/>
      </w:tblCellMar>
    </w:tblPr>
    <w:tblStylePr w:type="firstRow">
      <w:rPr>
        <w:b/>
      </w:rPr>
      <w:tblPr/>
      <w:tcPr>
        <w:tcBorders>
          <w:top w:val="nil"/>
          <w:left w:val="nil"/>
          <w:bottom w:val="nil"/>
          <w:right w:val="nil"/>
          <w:insideH w:val="nil"/>
          <w:insideV w:val="nil"/>
        </w:tcBorders>
        <w:shd w:val="clear" w:color="auto" w:fill="244061"/>
      </w:tcPr>
    </w:tblStylePr>
    <w:tblStylePr w:type="lastRow">
      <w:rPr>
        <w:b/>
      </w:rPr>
      <w:tblPr/>
      <w:tcPr>
        <w:tcBorders>
          <w:top w:val="single" w:sz="4" w:space="0" w:color="D99594"/>
        </w:tcBorders>
      </w:tcPr>
    </w:tblStylePr>
    <w:tblStylePr w:type="firstCol">
      <w:rPr>
        <w:b/>
      </w:rPr>
    </w:tblStylePr>
    <w:tblStylePr w:type="lastCol">
      <w:rPr>
        <w:b/>
      </w:rPr>
    </w:tblStylePr>
  </w:style>
  <w:style w:type="table" w:customStyle="1" w:styleId="ac">
    <w:basedOn w:val="TableNormal0"/>
    <w:pPr>
      <w:spacing w:before="40" w:after="0" w:line="240" w:lineRule="auto"/>
      <w:jc w:val="left"/>
    </w:pPr>
    <w:rPr>
      <w:rFonts w:ascii="Cambria" w:eastAsia="Cambria" w:hAnsi="Cambria" w:cs="Cambria"/>
      <w:sz w:val="18"/>
      <w:szCs w:val="18"/>
    </w:rPr>
    <w:tblPr>
      <w:tblStyleRowBandSize w:val="1"/>
      <w:tblStyleColBandSize w:val="1"/>
      <w:tblCellMar>
        <w:top w:w="0" w:type="dxa"/>
        <w:left w:w="108" w:type="dxa"/>
        <w:bottom w:w="0" w:type="dxa"/>
        <w:right w:w="108" w:type="dxa"/>
      </w:tblCellMar>
    </w:tblPr>
    <w:tblStylePr w:type="firstRow">
      <w:tblPr/>
      <w:tcPr>
        <w:shd w:val="clear" w:color="auto" w:fill="D9D9D9"/>
      </w:tcPr>
    </w:tblStylePr>
  </w:style>
  <w:style w:type="paragraph" w:styleId="Encabezado">
    <w:name w:val="header"/>
    <w:basedOn w:val="Normal"/>
    <w:link w:val="EncabezadoCar"/>
    <w:uiPriority w:val="99"/>
    <w:unhideWhenUsed/>
    <w:rsid w:val="00292436"/>
    <w:pPr>
      <w:tabs>
        <w:tab w:val="center" w:pos="4419"/>
        <w:tab w:val="right" w:pos="8838"/>
      </w:tabs>
      <w:spacing w:before="0" w:after="0" w:line="240" w:lineRule="auto"/>
    </w:pPr>
  </w:style>
  <w:style w:type="character" w:customStyle="1" w:styleId="EncabezadoCar">
    <w:name w:val="Encabezado Car"/>
    <w:basedOn w:val="Fuentedeprrafopredeter"/>
    <w:link w:val="Encabezado"/>
    <w:uiPriority w:val="99"/>
    <w:rsid w:val="00292436"/>
  </w:style>
  <w:style w:type="paragraph" w:styleId="Piedepgina">
    <w:name w:val="footer"/>
    <w:basedOn w:val="Normal"/>
    <w:link w:val="PiedepginaCar"/>
    <w:uiPriority w:val="99"/>
    <w:unhideWhenUsed/>
    <w:rsid w:val="00292436"/>
    <w:pPr>
      <w:tabs>
        <w:tab w:val="center" w:pos="4419"/>
        <w:tab w:val="right" w:pos="8838"/>
      </w:tabs>
      <w:spacing w:before="0" w:after="0" w:line="240" w:lineRule="auto"/>
    </w:pPr>
  </w:style>
  <w:style w:type="character" w:customStyle="1" w:styleId="PiedepginaCar">
    <w:name w:val="Pie de página Car"/>
    <w:basedOn w:val="Fuentedeprrafopredeter"/>
    <w:link w:val="Piedepgina"/>
    <w:uiPriority w:val="99"/>
    <w:rsid w:val="002924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86071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about:blank" TargetMode="External"/><Relationship Id="rId1" Type="http://schemas.openxmlformats.org/officeDocument/2006/relationships/hyperlink" Target="about:blan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g7f8n3z1BJAqJSZdDPZpeKIB+7Q==">CgMxLjAyCGguZ2pkZ3hzMgloLjMwajB6bGw4AHIhMVd0Mlc0QzQ0Wm9GOEdIX3BpSlM0WS0yNWVMYmF5Z3RN</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14</Pages>
  <Words>4210</Words>
  <Characters>23159</Characters>
  <Application>Microsoft Office Word</Application>
  <DocSecurity>0</DocSecurity>
  <Lines>192</Lines>
  <Paragraphs>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27315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tjao-personal</cp:lastModifiedBy>
  <cp:revision>2</cp:revision>
  <dcterms:created xsi:type="dcterms:W3CDTF">2023-08-31T21:27:00Z</dcterms:created>
  <dcterms:modified xsi:type="dcterms:W3CDTF">2023-10-24T00:30:00Z</dcterms:modified>
</cp:coreProperties>
</file>