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0173C58D"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003A18">
        <w:rPr>
          <w:rFonts w:ascii="Arial" w:eastAsia="Times New Roman" w:hAnsi="Arial" w:cs="Arial"/>
          <w:bCs/>
          <w:sz w:val="24"/>
          <w:szCs w:val="27"/>
          <w:lang w:val="es-ES_tradnl" w:eastAsia="es-ES"/>
        </w:rPr>
        <w:t>34/2020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21D38CE1"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C7765B">
        <w:rPr>
          <w:rFonts w:ascii="Arial" w:eastAsia="Times New Roman" w:hAnsi="Arial" w:cs="Arial"/>
          <w:b/>
          <w:sz w:val="24"/>
          <w:szCs w:val="27"/>
          <w:lang w:val="es-ES_tradnl" w:eastAsia="es-ES"/>
        </w:rPr>
        <w:t xml:space="preserve"> *****</w:t>
      </w:r>
      <w:r w:rsidR="00003A18">
        <w:rPr>
          <w:rFonts w:ascii="Arial" w:eastAsia="Times New Roman" w:hAnsi="Arial" w:cs="Arial"/>
          <w:sz w:val="24"/>
          <w:szCs w:val="27"/>
          <w:lang w:val="es-ES_tradnl" w:eastAsia="es-ES"/>
        </w:rPr>
        <w:t xml:space="preserve"> </w:t>
      </w:r>
      <w:r w:rsidR="00C7765B">
        <w:rPr>
          <w:rFonts w:ascii="Arial" w:eastAsia="Times New Roman" w:hAnsi="Arial" w:cs="Arial"/>
          <w:sz w:val="24"/>
          <w:szCs w:val="27"/>
          <w:lang w:val="es-ES_tradnl" w:eastAsia="es-ES"/>
        </w:rPr>
        <w:t>*****</w:t>
      </w:r>
      <w:r w:rsidR="00003A18">
        <w:rPr>
          <w:rFonts w:ascii="Arial" w:eastAsia="Times New Roman" w:hAnsi="Arial" w:cs="Arial"/>
          <w:sz w:val="24"/>
          <w:szCs w:val="27"/>
          <w:lang w:val="es-ES_tradnl" w:eastAsia="es-ES"/>
        </w:rPr>
        <w:t xml:space="preserve"> </w:t>
      </w:r>
      <w:r w:rsidR="00C7765B">
        <w:rPr>
          <w:rFonts w:ascii="Arial" w:eastAsia="Times New Roman" w:hAnsi="Arial" w:cs="Arial"/>
          <w:sz w:val="24"/>
          <w:szCs w:val="27"/>
          <w:lang w:val="es-ES_tradnl" w:eastAsia="es-ES"/>
        </w:rPr>
        <w:t>*****</w:t>
      </w:r>
      <w:r w:rsidR="00003A18">
        <w:rPr>
          <w:rFonts w:ascii="Arial" w:eastAsia="Times New Roman" w:hAnsi="Arial" w:cs="Arial"/>
          <w:sz w:val="24"/>
          <w:szCs w:val="27"/>
          <w:lang w:val="es-ES_tradnl" w:eastAsia="es-ES"/>
        </w:rPr>
        <w:t xml:space="preserve"> </w:t>
      </w:r>
      <w:r w:rsidR="00C7765B">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2BDCEBF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FE5E73">
        <w:rPr>
          <w:rFonts w:ascii="Arial" w:eastAsia="Times New Roman" w:hAnsi="Arial" w:cs="Arial"/>
          <w:sz w:val="24"/>
          <w:szCs w:val="27"/>
          <w:lang w:val="es-ES_tradnl" w:eastAsia="es-ES"/>
        </w:rPr>
        <w:t>DIRECTOR GENERAL DE LA OFICINA DE PENSIONES DEL GOBIERNO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0B663A59" w:rsidR="008C764E" w:rsidRPr="009C0C09" w:rsidRDefault="00742D59"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Pr>
          <w:rFonts w:ascii="Arial" w:eastAsia="Times New Roman" w:hAnsi="Arial" w:cs="Arial"/>
          <w:b/>
          <w:sz w:val="24"/>
          <w:szCs w:val="27"/>
          <w:lang w:val="es-ES" w:eastAsia="es-ES"/>
        </w:rPr>
        <w:t xml:space="preserve"> VEINTIDÓS</w:t>
      </w:r>
      <w:r w:rsidRPr="009C0C09">
        <w:rPr>
          <w:rFonts w:ascii="Arial" w:eastAsia="Times New Roman" w:hAnsi="Arial" w:cs="Arial"/>
          <w:b/>
          <w:sz w:val="24"/>
          <w:szCs w:val="27"/>
          <w:lang w:val="es-ES" w:eastAsia="es-ES"/>
        </w:rPr>
        <w:t xml:space="preserve"> DE</w:t>
      </w:r>
      <w:r>
        <w:rPr>
          <w:rFonts w:ascii="Arial" w:eastAsia="Times New Roman" w:hAnsi="Arial" w:cs="Arial"/>
          <w:b/>
          <w:sz w:val="24"/>
          <w:szCs w:val="27"/>
          <w:lang w:val="es-ES" w:eastAsia="es-ES"/>
        </w:rPr>
        <w:t xml:space="preserve"> FEBRERO DE DOS MIL VEINTIDÓS</w:t>
      </w:r>
      <w:r w:rsidR="003569E3"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639C679"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003A18">
        <w:rPr>
          <w:rFonts w:ascii="Arial" w:eastAsia="Times New Roman" w:hAnsi="Arial" w:cs="Arial"/>
          <w:b/>
          <w:bCs/>
          <w:sz w:val="24"/>
          <w:szCs w:val="27"/>
          <w:lang w:val="es-ES_tradnl" w:eastAsia="es-ES"/>
        </w:rPr>
        <w:t>34/2020</w:t>
      </w:r>
      <w:r w:rsidR="00102315" w:rsidRPr="009C0C09">
        <w:rPr>
          <w:rFonts w:ascii="Arial" w:eastAsia="Times New Roman" w:hAnsi="Arial" w:cs="Arial"/>
          <w:sz w:val="24"/>
          <w:szCs w:val="27"/>
          <w:lang w:val="es-ES_tradnl" w:eastAsia="es-ES"/>
        </w:rPr>
        <w:t>, interpuesto por</w:t>
      </w:r>
      <w:r w:rsidR="00C7765B">
        <w:rPr>
          <w:rFonts w:ascii="Arial" w:eastAsia="Times New Roman" w:hAnsi="Arial" w:cs="Arial"/>
          <w:sz w:val="24"/>
          <w:szCs w:val="27"/>
          <w:lang w:val="es-ES_tradnl" w:eastAsia="es-ES"/>
        </w:rPr>
        <w:t xml:space="preserve"> ******</w:t>
      </w:r>
      <w:r w:rsidR="00003A18" w:rsidRPr="009B5859">
        <w:rPr>
          <w:rFonts w:ascii="Arial" w:eastAsia="Times New Roman" w:hAnsi="Arial" w:cs="Arial"/>
          <w:b/>
          <w:bCs/>
          <w:sz w:val="24"/>
          <w:szCs w:val="27"/>
          <w:lang w:val="es-ES_tradnl" w:eastAsia="es-ES"/>
        </w:rPr>
        <w:t xml:space="preserve"> </w:t>
      </w:r>
      <w:r w:rsidR="00C7765B">
        <w:rPr>
          <w:rFonts w:ascii="Arial" w:eastAsia="Times New Roman" w:hAnsi="Arial" w:cs="Arial"/>
          <w:b/>
          <w:bCs/>
          <w:sz w:val="24"/>
          <w:szCs w:val="27"/>
          <w:lang w:val="es-ES_tradnl" w:eastAsia="es-ES"/>
        </w:rPr>
        <w:t>*****</w:t>
      </w:r>
      <w:r w:rsidR="00003A18" w:rsidRPr="009B5859">
        <w:rPr>
          <w:rFonts w:ascii="Arial" w:eastAsia="Times New Roman" w:hAnsi="Arial" w:cs="Arial"/>
          <w:b/>
          <w:bCs/>
          <w:sz w:val="24"/>
          <w:szCs w:val="27"/>
          <w:lang w:val="es-ES_tradnl" w:eastAsia="es-ES"/>
        </w:rPr>
        <w:t xml:space="preserve"> </w:t>
      </w:r>
      <w:r w:rsidR="00C7765B">
        <w:rPr>
          <w:rFonts w:ascii="Arial" w:eastAsia="Times New Roman" w:hAnsi="Arial" w:cs="Arial"/>
          <w:b/>
          <w:bCs/>
          <w:sz w:val="24"/>
          <w:szCs w:val="27"/>
          <w:lang w:val="es-ES_tradnl" w:eastAsia="es-ES"/>
        </w:rPr>
        <w:t>*****</w:t>
      </w:r>
      <w:r w:rsidR="00003A18" w:rsidRPr="009B5859">
        <w:rPr>
          <w:rFonts w:ascii="Arial" w:eastAsia="Times New Roman" w:hAnsi="Arial" w:cs="Arial"/>
          <w:b/>
          <w:bCs/>
          <w:sz w:val="24"/>
          <w:szCs w:val="27"/>
          <w:lang w:val="es-ES_tradnl" w:eastAsia="es-ES"/>
        </w:rPr>
        <w:t xml:space="preserve"> </w:t>
      </w:r>
      <w:r w:rsidR="00C7765B">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E65256">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FE5E73">
        <w:rPr>
          <w:rFonts w:ascii="Arial" w:eastAsia="Times New Roman" w:hAnsi="Arial" w:cs="Arial"/>
          <w:b/>
          <w:sz w:val="24"/>
          <w:szCs w:val="27"/>
          <w:lang w:val="es-ES_tradnl" w:eastAsia="es-ES"/>
        </w:rPr>
        <w:t>DIRECTOR GENERAL DE LA OFICINA DE PENSIONES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7730FED8" w:rsidR="00B17404"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740E6B">
        <w:rPr>
          <w:rFonts w:ascii="Arial" w:hAnsi="Arial" w:cs="Arial"/>
          <w:bCs/>
          <w:spacing w:val="-3"/>
          <w:sz w:val="24"/>
          <w:szCs w:val="27"/>
          <w:lang w:val="es-ES_tradnl"/>
        </w:rPr>
        <w:t xml:space="preserve">veinticuatro de </w:t>
      </w:r>
      <w:r w:rsidR="000B26D1">
        <w:rPr>
          <w:rFonts w:ascii="Arial" w:hAnsi="Arial" w:cs="Arial"/>
          <w:bCs/>
          <w:spacing w:val="-3"/>
          <w:sz w:val="24"/>
          <w:szCs w:val="27"/>
          <w:lang w:val="es-ES_tradnl"/>
        </w:rPr>
        <w:t>febrero de dos mil veinte</w:t>
      </w:r>
      <w:r w:rsidR="0013603B">
        <w:rPr>
          <w:rFonts w:ascii="Arial" w:hAnsi="Arial" w:cs="Arial"/>
          <w:bCs/>
          <w:spacing w:val="-3"/>
          <w:sz w:val="24"/>
          <w:szCs w:val="27"/>
          <w:lang w:val="es-ES_tradnl"/>
        </w:rPr>
        <w:t>,</w:t>
      </w:r>
      <w:r w:rsidR="00C7765B">
        <w:rPr>
          <w:rFonts w:ascii="Arial" w:hAnsi="Arial" w:cs="Arial"/>
          <w:bCs/>
          <w:spacing w:val="-3"/>
          <w:sz w:val="24"/>
          <w:szCs w:val="27"/>
          <w:lang w:val="es-ES_tradnl"/>
        </w:rPr>
        <w:t xml:space="preserve"> *****</w:t>
      </w:r>
      <w:r w:rsidR="00C7765B">
        <w:rPr>
          <w:rFonts w:ascii="Arial" w:eastAsia="Times New Roman" w:hAnsi="Arial" w:cs="Arial"/>
          <w:sz w:val="24"/>
          <w:szCs w:val="27"/>
          <w:lang w:val="es-ES_tradnl" w:eastAsia="es-ES"/>
        </w:rPr>
        <w:t xml:space="preserve"> *****</w:t>
      </w:r>
      <w:r w:rsidR="000B26D1">
        <w:rPr>
          <w:rFonts w:ascii="Arial" w:eastAsia="Times New Roman" w:hAnsi="Arial" w:cs="Arial"/>
          <w:sz w:val="24"/>
          <w:szCs w:val="27"/>
          <w:lang w:val="es-ES_tradnl" w:eastAsia="es-ES"/>
        </w:rPr>
        <w:t xml:space="preserve"> </w:t>
      </w:r>
      <w:r w:rsidR="00C7765B">
        <w:rPr>
          <w:rFonts w:ascii="Arial" w:eastAsia="Times New Roman" w:hAnsi="Arial" w:cs="Arial"/>
          <w:sz w:val="24"/>
          <w:szCs w:val="27"/>
          <w:lang w:val="es-ES_tradnl" w:eastAsia="es-ES"/>
        </w:rPr>
        <w:t>***** *****</w:t>
      </w:r>
      <w:r w:rsidR="00B17404" w:rsidRPr="00B17404">
        <w:rPr>
          <w:rFonts w:ascii="Arial" w:hAnsi="Arial" w:cs="Arial"/>
          <w:bCs/>
          <w:spacing w:val="-3"/>
          <w:sz w:val="24"/>
          <w:szCs w:val="27"/>
          <w:lang w:val="es-ES_tradnl"/>
        </w:rPr>
        <w:t xml:space="preserve"> presentó en la Oficialía de Partes Común de este Tribunal, su escrito de demanda, en el cual solicitó la nulidad </w:t>
      </w:r>
      <w:r w:rsidR="00E7442C" w:rsidRPr="00E7442C">
        <w:rPr>
          <w:rFonts w:ascii="Arial" w:hAnsi="Arial" w:cs="Arial"/>
          <w:bCs/>
          <w:spacing w:val="-3"/>
          <w:sz w:val="24"/>
          <w:szCs w:val="27"/>
          <w:lang w:val="es-ES_tradnl"/>
        </w:rPr>
        <w:t xml:space="preserve">del oficio número </w:t>
      </w:r>
      <w:r w:rsidR="00BE7B40">
        <w:rPr>
          <w:rFonts w:ascii="Arial" w:hAnsi="Arial" w:cs="Arial"/>
          <w:bCs/>
          <w:spacing w:val="-3"/>
          <w:sz w:val="24"/>
          <w:szCs w:val="27"/>
          <w:lang w:val="es-ES_tradnl"/>
        </w:rPr>
        <w:t>OP/DG/DPE/</w:t>
      </w:r>
      <w:r w:rsidR="00AF251D">
        <w:rPr>
          <w:rFonts w:ascii="Arial" w:hAnsi="Arial" w:cs="Arial"/>
          <w:bCs/>
          <w:spacing w:val="-3"/>
          <w:sz w:val="24"/>
          <w:szCs w:val="27"/>
          <w:lang w:val="es-ES_tradnl"/>
        </w:rPr>
        <w:t>***</w:t>
      </w:r>
      <w:r w:rsidR="00BE7B40">
        <w:rPr>
          <w:rFonts w:ascii="Arial" w:hAnsi="Arial" w:cs="Arial"/>
          <w:bCs/>
          <w:spacing w:val="-3"/>
          <w:sz w:val="24"/>
          <w:szCs w:val="27"/>
          <w:lang w:val="es-ES_tradnl"/>
        </w:rPr>
        <w:t>/</w:t>
      </w:r>
      <w:r w:rsidR="00017822">
        <w:rPr>
          <w:rFonts w:ascii="Arial" w:hAnsi="Arial" w:cs="Arial"/>
          <w:bCs/>
          <w:spacing w:val="-3"/>
          <w:sz w:val="24"/>
          <w:szCs w:val="27"/>
          <w:lang w:val="es-ES_tradnl"/>
        </w:rPr>
        <w:t>***</w:t>
      </w:r>
      <w:r w:rsidR="00742D59">
        <w:rPr>
          <w:rFonts w:ascii="Arial" w:hAnsi="Arial" w:cs="Arial"/>
          <w:bCs/>
          <w:spacing w:val="-3"/>
          <w:sz w:val="24"/>
          <w:szCs w:val="27"/>
          <w:lang w:val="es-ES_tradnl"/>
        </w:rPr>
        <w:t xml:space="preserve">, </w:t>
      </w:r>
      <w:r w:rsidR="00E7442C">
        <w:rPr>
          <w:rFonts w:ascii="Arial" w:hAnsi="Arial" w:cs="Arial"/>
          <w:bCs/>
          <w:spacing w:val="-3"/>
          <w:sz w:val="24"/>
          <w:szCs w:val="27"/>
          <w:lang w:val="es-ES_tradnl"/>
        </w:rPr>
        <w:t>de fecha</w:t>
      </w:r>
      <w:r w:rsidR="00AF251D">
        <w:rPr>
          <w:rFonts w:ascii="Arial" w:hAnsi="Arial" w:cs="Arial"/>
          <w:bCs/>
          <w:spacing w:val="-3"/>
          <w:sz w:val="24"/>
          <w:szCs w:val="27"/>
          <w:lang w:val="es-ES_tradnl"/>
        </w:rPr>
        <w:t xml:space="preserve"> ****</w:t>
      </w:r>
      <w:r w:rsidR="00BE7B40">
        <w:rPr>
          <w:rFonts w:ascii="Arial" w:hAnsi="Arial" w:cs="Arial"/>
          <w:bCs/>
          <w:spacing w:val="-3"/>
          <w:sz w:val="24"/>
          <w:szCs w:val="27"/>
          <w:lang w:val="es-ES_tradnl"/>
        </w:rPr>
        <w:t xml:space="preserve"> de</w:t>
      </w:r>
      <w:r w:rsidR="00AF251D">
        <w:rPr>
          <w:rFonts w:ascii="Arial" w:hAnsi="Arial" w:cs="Arial"/>
          <w:bCs/>
          <w:spacing w:val="-3"/>
          <w:sz w:val="24"/>
          <w:szCs w:val="27"/>
          <w:lang w:val="es-ES_tradnl"/>
        </w:rPr>
        <w:t xml:space="preserve"> ****</w:t>
      </w:r>
      <w:r w:rsidR="00BE7B40">
        <w:rPr>
          <w:rFonts w:ascii="Arial" w:hAnsi="Arial" w:cs="Arial"/>
          <w:bCs/>
          <w:spacing w:val="-3"/>
          <w:sz w:val="24"/>
          <w:szCs w:val="27"/>
          <w:lang w:val="es-ES_tradnl"/>
        </w:rPr>
        <w:t xml:space="preserve"> de dos </w:t>
      </w:r>
      <w:r w:rsidR="00AF251D">
        <w:rPr>
          <w:rFonts w:ascii="Arial" w:hAnsi="Arial" w:cs="Arial"/>
          <w:bCs/>
          <w:spacing w:val="-3"/>
          <w:sz w:val="24"/>
          <w:szCs w:val="27"/>
          <w:lang w:val="es-ES_tradnl"/>
        </w:rPr>
        <w:t>***</w:t>
      </w:r>
      <w:r w:rsidR="00BE7B40">
        <w:rPr>
          <w:rFonts w:ascii="Arial" w:hAnsi="Arial" w:cs="Arial"/>
          <w:bCs/>
          <w:spacing w:val="-3"/>
          <w:sz w:val="24"/>
          <w:szCs w:val="27"/>
          <w:lang w:val="es-ES_tradnl"/>
        </w:rPr>
        <w:t xml:space="preserve"> </w:t>
      </w:r>
      <w:r w:rsidR="00AF251D">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emitido por </w:t>
      </w:r>
      <w:r w:rsidR="00E7442C" w:rsidRPr="00551879">
        <w:rPr>
          <w:rFonts w:ascii="Arial" w:hAnsi="Arial" w:cs="Arial"/>
          <w:bCs/>
          <w:spacing w:val="-3"/>
          <w:sz w:val="24"/>
          <w:szCs w:val="27"/>
          <w:lang w:val="es-ES_tradnl"/>
        </w:rPr>
        <w:t>JESÚS PARADA PARADA</w:t>
      </w:r>
      <w:r w:rsidR="00742D59">
        <w:rPr>
          <w:rFonts w:ascii="Arial" w:hAnsi="Arial" w:cs="Arial"/>
          <w:bCs/>
          <w:spacing w:val="-3"/>
          <w:sz w:val="24"/>
          <w:szCs w:val="27"/>
          <w:lang w:val="es-ES_tradnl"/>
        </w:rPr>
        <w:t>,</w:t>
      </w:r>
      <w:r w:rsidR="00E7442C" w:rsidRPr="00551879">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Director General de la Oficina de Pensiones del Gobierno del Estado de Oaxaca</w:t>
      </w:r>
      <w:r w:rsidR="00B17404" w:rsidRPr="00B17404">
        <w:rPr>
          <w:rFonts w:ascii="Arial" w:hAnsi="Arial" w:cs="Arial"/>
          <w:bCs/>
          <w:spacing w:val="-3"/>
          <w:sz w:val="24"/>
          <w:szCs w:val="27"/>
          <w:lang w:val="es-ES_tradnl"/>
        </w:rPr>
        <w:t xml:space="preserve">. Por lo que mediante acuerdo </w:t>
      </w:r>
      <w:r w:rsidR="00E7442C">
        <w:rPr>
          <w:rFonts w:ascii="Arial" w:hAnsi="Arial" w:cs="Arial"/>
          <w:bCs/>
          <w:spacing w:val="-3"/>
          <w:sz w:val="24"/>
          <w:szCs w:val="27"/>
          <w:lang w:val="es-ES_tradnl"/>
        </w:rPr>
        <w:t xml:space="preserve">de fecha </w:t>
      </w:r>
      <w:r w:rsidR="00BE7B40">
        <w:rPr>
          <w:rFonts w:ascii="Arial" w:hAnsi="Arial" w:cs="Arial"/>
          <w:bCs/>
          <w:spacing w:val="-3"/>
          <w:sz w:val="24"/>
          <w:szCs w:val="27"/>
          <w:lang w:val="es-ES_tradnl"/>
        </w:rPr>
        <w:t>diez de marzo de dos mil veinte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2C6608">
        <w:rPr>
          <w:rFonts w:ascii="Arial" w:hAnsi="Arial" w:cs="Arial"/>
          <w:bCs/>
          <w:spacing w:val="-3"/>
          <w:sz w:val="24"/>
          <w:szCs w:val="27"/>
          <w:lang w:val="es-ES_tradnl"/>
        </w:rPr>
        <w:t>.</w:t>
      </w:r>
    </w:p>
    <w:p w14:paraId="594964B9" w14:textId="05BCC66C" w:rsidR="00793DA7"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Mediante proveído de fecha </w:t>
      </w:r>
      <w:r w:rsidR="00BE7B40">
        <w:rPr>
          <w:rFonts w:ascii="Arial" w:hAnsi="Arial" w:cs="Arial"/>
          <w:bCs/>
          <w:spacing w:val="-3"/>
          <w:sz w:val="24"/>
          <w:szCs w:val="27"/>
          <w:lang w:val="es-ES_tradnl"/>
        </w:rPr>
        <w:t>catorce de octubre de dos mil veinte</w:t>
      </w:r>
      <w:r w:rsidR="0013603B">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se dio cuenta con el </w:t>
      </w:r>
      <w:r w:rsidR="00631E6C">
        <w:rPr>
          <w:rFonts w:ascii="Arial" w:hAnsi="Arial" w:cs="Arial"/>
          <w:bCs/>
          <w:spacing w:val="-3"/>
          <w:sz w:val="24"/>
          <w:szCs w:val="27"/>
          <w:lang w:val="es-ES_tradnl"/>
        </w:rPr>
        <w:t>oficio</w:t>
      </w:r>
      <w:r w:rsidR="00E7442C" w:rsidRPr="00E7442C">
        <w:rPr>
          <w:rFonts w:ascii="Arial" w:hAnsi="Arial" w:cs="Arial"/>
          <w:bCs/>
          <w:spacing w:val="-3"/>
          <w:sz w:val="24"/>
          <w:szCs w:val="27"/>
          <w:lang w:val="es-ES_tradnl"/>
        </w:rPr>
        <w:t xml:space="preserve"> </w:t>
      </w:r>
      <w:r w:rsidR="00631E6C">
        <w:rPr>
          <w:rFonts w:ascii="Arial" w:hAnsi="Arial" w:cs="Arial"/>
          <w:bCs/>
          <w:spacing w:val="-3"/>
          <w:sz w:val="24"/>
          <w:szCs w:val="27"/>
          <w:lang w:val="es-ES_tradnl"/>
        </w:rPr>
        <w:t>de</w:t>
      </w:r>
      <w:r w:rsidR="00E7442C" w:rsidRPr="00E7442C">
        <w:rPr>
          <w:rFonts w:ascii="Arial" w:hAnsi="Arial" w:cs="Arial"/>
          <w:bCs/>
          <w:spacing w:val="-3"/>
          <w:sz w:val="24"/>
          <w:szCs w:val="27"/>
          <w:lang w:val="es-ES_tradnl"/>
        </w:rPr>
        <w:t xml:space="preserve"> </w:t>
      </w:r>
      <w:r w:rsidR="00E7442C" w:rsidRPr="00B06090">
        <w:rPr>
          <w:rFonts w:ascii="Arial" w:hAnsi="Arial" w:cs="Arial"/>
          <w:bCs/>
          <w:spacing w:val="-3"/>
          <w:sz w:val="24"/>
          <w:szCs w:val="27"/>
          <w:lang w:val="es-ES_tradnl"/>
        </w:rPr>
        <w:t>JESÚS PARADA PARADA</w:t>
      </w:r>
      <w:r w:rsidR="00E7442C" w:rsidRPr="00E7442C">
        <w:rPr>
          <w:rFonts w:ascii="Arial" w:hAnsi="Arial" w:cs="Arial"/>
          <w:bCs/>
          <w:spacing w:val="-3"/>
          <w:sz w:val="24"/>
          <w:szCs w:val="27"/>
          <w:lang w:val="es-ES_tradnl"/>
        </w:rPr>
        <w:t xml:space="preserve">, Director General de la Oficina de Pensiones del Estado de Oaxaca, </w:t>
      </w:r>
      <w:r w:rsidR="00631E6C">
        <w:rPr>
          <w:rFonts w:ascii="Arial" w:hAnsi="Arial" w:cs="Arial"/>
          <w:bCs/>
          <w:spacing w:val="-3"/>
          <w:sz w:val="24"/>
          <w:szCs w:val="27"/>
          <w:lang w:val="es-ES_tradnl"/>
        </w:rPr>
        <w:t>por medio del cual contestaba</w:t>
      </w:r>
      <w:r w:rsidR="00E7442C" w:rsidRPr="00E7442C">
        <w:rPr>
          <w:rFonts w:ascii="Arial" w:hAnsi="Arial" w:cs="Arial"/>
          <w:bCs/>
          <w:spacing w:val="-3"/>
          <w:sz w:val="24"/>
          <w:szCs w:val="27"/>
          <w:lang w:val="es-ES_tradnl"/>
        </w:rPr>
        <w:t xml:space="preserve"> la demanda en los términos en los que lo hizo, admitiéndose las pruebas que aportó, ordenándose correr traslado a la parte actora para los efe</w:t>
      </w:r>
      <w:r w:rsidR="00370F15">
        <w:rPr>
          <w:rFonts w:ascii="Arial" w:hAnsi="Arial" w:cs="Arial"/>
          <w:bCs/>
          <w:spacing w:val="-3"/>
          <w:sz w:val="24"/>
          <w:szCs w:val="27"/>
          <w:lang w:val="es-ES_tradnl"/>
        </w:rPr>
        <w:t>ctos legales correspondientes.</w:t>
      </w:r>
    </w:p>
    <w:p w14:paraId="6047A5DA" w14:textId="2D74D270" w:rsidR="00370F15" w:rsidRDefault="009B6304"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sidR="00370F15">
        <w:rPr>
          <w:rFonts w:ascii="Arial" w:hAnsi="Arial" w:cs="Arial"/>
          <w:bCs/>
          <w:spacing w:val="-3"/>
          <w:sz w:val="24"/>
          <w:szCs w:val="27"/>
          <w:lang w:val="es-ES_tradnl"/>
        </w:rPr>
        <w:t xml:space="preserve">En auto de fecha </w:t>
      </w:r>
      <w:r w:rsidR="00844D2C">
        <w:rPr>
          <w:rFonts w:ascii="Arial" w:hAnsi="Arial" w:cs="Arial"/>
          <w:bCs/>
          <w:spacing w:val="-3"/>
          <w:sz w:val="24"/>
          <w:szCs w:val="27"/>
          <w:lang w:val="es-ES_tradnl"/>
        </w:rPr>
        <w:t>veintiséis de febrero de dos mil veintiuno</w:t>
      </w:r>
      <w:r w:rsidR="00370F15">
        <w:rPr>
          <w:rFonts w:ascii="Arial" w:hAnsi="Arial" w:cs="Arial"/>
          <w:bCs/>
          <w:spacing w:val="-3"/>
          <w:sz w:val="24"/>
          <w:szCs w:val="27"/>
          <w:lang w:val="es-ES_tradnl"/>
        </w:rPr>
        <w:t>, s</w:t>
      </w:r>
      <w:r w:rsidR="00844D2C">
        <w:rPr>
          <w:rFonts w:ascii="Arial" w:hAnsi="Arial" w:cs="Arial"/>
          <w:bCs/>
          <w:spacing w:val="-3"/>
          <w:sz w:val="24"/>
          <w:szCs w:val="27"/>
          <w:lang w:val="es-ES_tradnl"/>
        </w:rPr>
        <w:t>e tuvo por recibido un escrito del autorizado legal del actor</w:t>
      </w:r>
      <w:r w:rsidR="00370F15">
        <w:rPr>
          <w:rFonts w:ascii="Arial" w:hAnsi="Arial" w:cs="Arial"/>
          <w:bCs/>
          <w:spacing w:val="-3"/>
          <w:sz w:val="24"/>
          <w:szCs w:val="27"/>
          <w:lang w:val="es-ES_tradnl"/>
        </w:rPr>
        <w:t>, y en atención a su solicitud, se señaló fecha y hora para la celebración de la audiencia final.</w:t>
      </w:r>
    </w:p>
    <w:p w14:paraId="7665C7E8" w14:textId="16310F80" w:rsidR="008C1AC1" w:rsidRPr="009C0C09" w:rsidRDefault="00370F15" w:rsidP="004432E7">
      <w:pPr>
        <w:spacing w:line="360" w:lineRule="auto"/>
        <w:ind w:firstLine="567"/>
        <w:jc w:val="both"/>
        <w:rPr>
          <w:rFonts w:ascii="Arial" w:hAnsi="Arial" w:cs="Arial"/>
          <w:bCs/>
          <w:spacing w:val="-3"/>
          <w:sz w:val="24"/>
          <w:szCs w:val="27"/>
          <w:lang w:val="es-ES_tradnl"/>
        </w:rPr>
      </w:pPr>
      <w:r w:rsidRPr="00A75EDF">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85714C" w:rsidRPr="0085714C">
        <w:rPr>
          <w:rFonts w:ascii="Arial" w:hAnsi="Arial" w:cs="Arial"/>
          <w:bCs/>
          <w:spacing w:val="-3"/>
          <w:sz w:val="24"/>
          <w:szCs w:val="27"/>
          <w:lang w:val="es-ES_tradnl"/>
        </w:rPr>
        <w:t xml:space="preserve">El </w:t>
      </w:r>
      <w:r w:rsidR="00F130F6">
        <w:rPr>
          <w:rFonts w:ascii="Arial" w:hAnsi="Arial" w:cs="Arial"/>
          <w:bCs/>
          <w:spacing w:val="-3"/>
          <w:sz w:val="24"/>
          <w:szCs w:val="27"/>
          <w:lang w:val="es-ES_tradnl"/>
        </w:rPr>
        <w:t>veintinueve de abril</w:t>
      </w:r>
      <w:r w:rsidR="002471A1">
        <w:rPr>
          <w:rFonts w:ascii="Arial" w:hAnsi="Arial" w:cs="Arial"/>
          <w:bCs/>
          <w:spacing w:val="-3"/>
          <w:sz w:val="24"/>
          <w:szCs w:val="27"/>
          <w:lang w:val="es-ES_tradnl"/>
        </w:rPr>
        <w:t xml:space="preserve"> de dos mil veintiuno</w:t>
      </w:r>
      <w:r w:rsidR="0013603B">
        <w:rPr>
          <w:rFonts w:ascii="Arial" w:hAnsi="Arial" w:cs="Arial"/>
          <w:bCs/>
          <w:spacing w:val="-3"/>
          <w:sz w:val="24"/>
          <w:szCs w:val="27"/>
          <w:lang w:val="es-ES_tradnl"/>
        </w:rPr>
        <w:t xml:space="preserve">, </w:t>
      </w:r>
      <w:r w:rsidR="0085714C" w:rsidRPr="0085714C">
        <w:rPr>
          <w:rFonts w:ascii="Arial" w:hAnsi="Arial" w:cs="Arial"/>
          <w:bCs/>
          <w:spacing w:val="-3"/>
          <w:sz w:val="24"/>
          <w:szCs w:val="27"/>
          <w:lang w:val="es-ES_tradnl"/>
        </w:rPr>
        <w:t xml:space="preserve">se llevó a cabo la Audiencia de Ley, </w:t>
      </w:r>
      <w:r w:rsidR="00FD5D63">
        <w:rPr>
          <w:rFonts w:ascii="Arial" w:hAnsi="Arial" w:cs="Arial"/>
          <w:bCs/>
          <w:spacing w:val="-3"/>
          <w:sz w:val="24"/>
          <w:szCs w:val="27"/>
          <w:lang w:val="es-ES_tradnl"/>
        </w:rPr>
        <w:t>sin asistencia de las partes</w:t>
      </w:r>
      <w:r w:rsidR="0085714C" w:rsidRPr="0085714C">
        <w:rPr>
          <w:rFonts w:ascii="Arial" w:hAnsi="Arial" w:cs="Arial"/>
          <w:bCs/>
          <w:spacing w:val="-3"/>
          <w:sz w:val="24"/>
          <w:szCs w:val="27"/>
          <w:lang w:val="es-ES_tradnl"/>
        </w:rPr>
        <w:t xml:space="preserve">, asentando que </w:t>
      </w:r>
      <w:r w:rsidR="00B342F2">
        <w:rPr>
          <w:rFonts w:ascii="Arial" w:hAnsi="Arial" w:cs="Arial"/>
          <w:bCs/>
          <w:spacing w:val="-3"/>
          <w:sz w:val="24"/>
          <w:szCs w:val="27"/>
          <w:lang w:val="es-ES_tradnl"/>
        </w:rPr>
        <w:t xml:space="preserve">ninguna de las partes </w:t>
      </w:r>
      <w:r w:rsidR="00B342F2">
        <w:rPr>
          <w:rFonts w:ascii="Arial" w:hAnsi="Arial" w:cs="Arial"/>
          <w:bCs/>
          <w:spacing w:val="-3"/>
          <w:sz w:val="24"/>
          <w:szCs w:val="27"/>
          <w:lang w:val="es-ES_tradnl"/>
        </w:rPr>
        <w:lastRenderedPageBreak/>
        <w:t>formuló alegatos,</w:t>
      </w:r>
      <w:r w:rsidR="0085714C" w:rsidRPr="0085714C">
        <w:rPr>
          <w:rFonts w:ascii="Arial" w:hAnsi="Arial" w:cs="Arial"/>
          <w:bCs/>
          <w:spacing w:val="-3"/>
          <w:sz w:val="24"/>
          <w:szCs w:val="27"/>
          <w:lang w:val="es-ES_tradnl"/>
        </w:rPr>
        <w:t xml:space="preserve"> por lo que se citó a las partes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EA1D2C2"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742D59">
        <w:rPr>
          <w:rFonts w:ascii="Arial" w:hAnsi="Arial" w:cs="Arial"/>
          <w:sz w:val="24"/>
          <w:szCs w:val="24"/>
        </w:rPr>
        <w:t>;</w:t>
      </w:r>
      <w:r w:rsidR="00DD3570" w:rsidRPr="00DD3570">
        <w:rPr>
          <w:rFonts w:ascii="Arial" w:hAnsi="Arial" w:cs="Arial"/>
          <w:sz w:val="24"/>
          <w:szCs w:val="24"/>
        </w:rPr>
        <w:t xml:space="preserve"> 114 QUATER,</w:t>
      </w:r>
      <w:r w:rsidR="00742D59">
        <w:rPr>
          <w:rFonts w:ascii="Arial" w:hAnsi="Arial" w:cs="Arial"/>
          <w:sz w:val="24"/>
          <w:szCs w:val="24"/>
        </w:rPr>
        <w:t xml:space="preserve"> y </w:t>
      </w:r>
      <w:r w:rsidR="00DD3570" w:rsidRPr="00DD3570">
        <w:rPr>
          <w:rFonts w:ascii="Arial" w:hAnsi="Arial" w:cs="Arial"/>
          <w:sz w:val="24"/>
          <w:szCs w:val="24"/>
        </w:rPr>
        <w:t>115 de la Constitución Política del Estado Libre y Soberano de Oaxaca</w:t>
      </w:r>
      <w:r w:rsidR="00742D59">
        <w:rPr>
          <w:rFonts w:ascii="Arial" w:hAnsi="Arial" w:cs="Arial"/>
          <w:sz w:val="24"/>
          <w:szCs w:val="24"/>
        </w:rPr>
        <w:t>;</w:t>
      </w:r>
      <w:r w:rsidR="00BD20CF">
        <w:rPr>
          <w:rFonts w:ascii="Arial" w:hAnsi="Arial" w:cs="Arial"/>
          <w:sz w:val="24"/>
          <w:szCs w:val="24"/>
        </w:rPr>
        <w:t xml:space="preserve"> y</w:t>
      </w:r>
      <w:r w:rsidR="00742D59">
        <w:rPr>
          <w:rFonts w:ascii="Arial" w:hAnsi="Arial" w:cs="Arial"/>
          <w:sz w:val="24"/>
          <w:szCs w:val="24"/>
        </w:rPr>
        <w:t>,</w:t>
      </w:r>
      <w:r w:rsidR="00BD20CF">
        <w:rPr>
          <w:rFonts w:ascii="Arial" w:hAnsi="Arial" w:cs="Arial"/>
          <w:sz w:val="24"/>
          <w:szCs w:val="24"/>
        </w:rPr>
        <w:t xml:space="preserve"> </w:t>
      </w:r>
      <w:r w:rsidR="00DD3570" w:rsidRPr="00DD3570">
        <w:rPr>
          <w:rFonts w:ascii="Arial" w:hAnsi="Arial" w:cs="Arial"/>
          <w:sz w:val="24"/>
          <w:szCs w:val="24"/>
        </w:rPr>
        <w:t>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36C4E2A4"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A343E5">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434F20F6"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343E5">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w:t>
      </w:r>
      <w:r w:rsidR="00952D80">
        <w:rPr>
          <w:rFonts w:ascii="Arial" w:hAnsi="Arial" w:cs="Arial"/>
          <w:sz w:val="24"/>
          <w:szCs w:val="24"/>
        </w:rPr>
        <w:t xml:space="preserve"> y</w:t>
      </w:r>
      <w:r w:rsidR="007409F2" w:rsidRPr="007409F2">
        <w:rPr>
          <w:rFonts w:ascii="Arial" w:hAnsi="Arial" w:cs="Arial"/>
          <w:sz w:val="24"/>
          <w:szCs w:val="24"/>
        </w:rPr>
        <w:t xml:space="preserve"> que impida la resolución del fondo del asunto y debiera declararse su sobreseimiento, en términos de los artículos 161 y 162 de la Ley de Procedimiento y Justicia Administrativa para el Estado de Oaxaca. Esta</w:t>
      </w:r>
      <w:r w:rsidR="00742D59">
        <w:rPr>
          <w:rFonts w:ascii="Arial" w:hAnsi="Arial" w:cs="Arial"/>
          <w:sz w:val="24"/>
          <w:szCs w:val="24"/>
        </w:rPr>
        <w:t xml:space="preserve"> </w:t>
      </w:r>
      <w:r w:rsidR="007409F2" w:rsidRPr="007409F2">
        <w:rPr>
          <w:rFonts w:ascii="Arial" w:hAnsi="Arial" w:cs="Arial"/>
          <w:sz w:val="24"/>
          <w:szCs w:val="24"/>
        </w:rPr>
        <w:t>Sala Unitaria advierte que no se configura alguna causal de improcedencia o sobreseimiento</w:t>
      </w:r>
      <w:r w:rsidR="00C32644">
        <w:rPr>
          <w:rFonts w:ascii="Arial" w:hAnsi="Arial" w:cs="Arial"/>
          <w:sz w:val="24"/>
          <w:szCs w:val="24"/>
        </w:rPr>
        <w:t>,</w:t>
      </w:r>
      <w:r w:rsidR="007409F2" w:rsidRPr="007409F2">
        <w:rPr>
          <w:rFonts w:ascii="Arial" w:hAnsi="Arial" w:cs="Arial"/>
          <w:sz w:val="24"/>
          <w:szCs w:val="24"/>
        </w:rPr>
        <w:t xml:space="preserve"> por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584157D" w14:textId="5D6D1877" w:rsidR="00A45F82" w:rsidRDefault="00DC5AA8" w:rsidP="00A45F82">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F2683E" w:rsidRPr="00F2683E">
        <w:rPr>
          <w:rFonts w:ascii="Arial" w:hAnsi="Arial" w:cs="Arial"/>
          <w:bCs/>
          <w:snapToGrid w:val="0"/>
          <w:sz w:val="24"/>
          <w:szCs w:val="27"/>
        </w:rPr>
        <w:t>El actor en sus conceptos de impugnación PRIMERO y SEGUNDO</w:t>
      </w:r>
      <w:r w:rsidR="00250F6C">
        <w:rPr>
          <w:rFonts w:ascii="Arial" w:hAnsi="Arial" w:cs="Arial"/>
          <w:bCs/>
          <w:snapToGrid w:val="0"/>
          <w:sz w:val="24"/>
          <w:szCs w:val="27"/>
        </w:rPr>
        <w:t>,</w:t>
      </w:r>
      <w:r w:rsidR="00F2683E" w:rsidRPr="00F2683E">
        <w:rPr>
          <w:rFonts w:ascii="Arial" w:hAnsi="Arial" w:cs="Arial"/>
          <w:bCs/>
          <w:snapToGrid w:val="0"/>
          <w:sz w:val="24"/>
          <w:szCs w:val="27"/>
        </w:rPr>
        <w:t xml:space="preserve"> en términos del artículo 206 de la Ley de Procedimiento y Justicia Administrativa para el Estado de Oaxaca, manifiesta que la resolución controvertida </w:t>
      </w:r>
      <w:r w:rsidR="00250F6C">
        <w:rPr>
          <w:rFonts w:ascii="Arial" w:hAnsi="Arial" w:cs="Arial"/>
          <w:bCs/>
          <w:snapToGrid w:val="0"/>
          <w:sz w:val="24"/>
          <w:szCs w:val="27"/>
        </w:rPr>
        <w:t>vulnera sus derechos humanos, puesto que el acto no genera certeza jurídica respecto de la determinación optada por la autoridad demandada</w:t>
      </w:r>
      <w:r w:rsidR="00742D59">
        <w:rPr>
          <w:rFonts w:ascii="Arial" w:hAnsi="Arial" w:cs="Arial"/>
          <w:bCs/>
          <w:snapToGrid w:val="0"/>
          <w:sz w:val="24"/>
          <w:szCs w:val="27"/>
        </w:rPr>
        <w:t>,</w:t>
      </w:r>
      <w:r w:rsidR="00250F6C">
        <w:rPr>
          <w:rFonts w:ascii="Arial" w:hAnsi="Arial" w:cs="Arial"/>
          <w:bCs/>
          <w:snapToGrid w:val="0"/>
          <w:sz w:val="24"/>
          <w:szCs w:val="27"/>
        </w:rPr>
        <w:t xml:space="preserve"> violentando lo estipulado en el artículo 16 de la Constitución Política de los Estados Unidos Mexicanos, además se vulnera el principio de irretroactividad de la </w:t>
      </w:r>
      <w:r w:rsidR="00742D59">
        <w:rPr>
          <w:rFonts w:ascii="Arial" w:hAnsi="Arial" w:cs="Arial"/>
          <w:bCs/>
          <w:snapToGrid w:val="0"/>
          <w:sz w:val="24"/>
          <w:szCs w:val="27"/>
        </w:rPr>
        <w:t>l</w:t>
      </w:r>
      <w:r w:rsidR="00250F6C">
        <w:rPr>
          <w:rFonts w:ascii="Arial" w:hAnsi="Arial" w:cs="Arial"/>
          <w:bCs/>
          <w:snapToGrid w:val="0"/>
          <w:sz w:val="24"/>
          <w:szCs w:val="27"/>
        </w:rPr>
        <w:t>ey y legalidad contemplados en el artículo 14 de la</w:t>
      </w:r>
      <w:r w:rsidR="00742D59">
        <w:rPr>
          <w:rFonts w:ascii="Arial" w:hAnsi="Arial" w:cs="Arial"/>
          <w:bCs/>
          <w:snapToGrid w:val="0"/>
          <w:sz w:val="24"/>
          <w:szCs w:val="27"/>
        </w:rPr>
        <w:t xml:space="preserve"> misma</w:t>
      </w:r>
      <w:r w:rsidR="00250F6C">
        <w:rPr>
          <w:rFonts w:ascii="Arial" w:hAnsi="Arial" w:cs="Arial"/>
          <w:bCs/>
          <w:snapToGrid w:val="0"/>
          <w:sz w:val="24"/>
          <w:szCs w:val="27"/>
        </w:rPr>
        <w:t xml:space="preserve"> Constitución</w:t>
      </w:r>
      <w:r w:rsidR="00742D59">
        <w:rPr>
          <w:rFonts w:ascii="Arial" w:hAnsi="Arial" w:cs="Arial"/>
          <w:bCs/>
          <w:snapToGrid w:val="0"/>
          <w:sz w:val="24"/>
          <w:szCs w:val="27"/>
        </w:rPr>
        <w:t>.</w:t>
      </w:r>
    </w:p>
    <w:p w14:paraId="4CA34A09" w14:textId="7992E986" w:rsidR="00F2683E" w:rsidRPr="00F2683E" w:rsidRDefault="00742D59" w:rsidP="00A45F82">
      <w:pPr>
        <w:spacing w:line="360" w:lineRule="auto"/>
        <w:ind w:firstLine="567"/>
        <w:jc w:val="both"/>
        <w:rPr>
          <w:rFonts w:ascii="Arial" w:hAnsi="Arial" w:cs="Arial"/>
          <w:bCs/>
          <w:snapToGrid w:val="0"/>
          <w:sz w:val="24"/>
          <w:szCs w:val="27"/>
        </w:rPr>
      </w:pPr>
      <w:r>
        <w:rPr>
          <w:rFonts w:ascii="Arial" w:hAnsi="Arial" w:cs="Arial"/>
          <w:bCs/>
          <w:snapToGrid w:val="0"/>
          <w:sz w:val="24"/>
          <w:szCs w:val="27"/>
        </w:rPr>
        <w:t>Por su parte, el</w:t>
      </w:r>
      <w:r w:rsidR="00856688" w:rsidRPr="00F2683E">
        <w:rPr>
          <w:rFonts w:ascii="Arial" w:hAnsi="Arial" w:cs="Arial"/>
          <w:bCs/>
          <w:snapToGrid w:val="0"/>
          <w:sz w:val="24"/>
          <w:szCs w:val="27"/>
        </w:rPr>
        <w:t xml:space="preserve"> Director General de la Oficina de Pensiones del Gobierno del Estado de</w:t>
      </w:r>
      <w:r w:rsidR="00856688">
        <w:rPr>
          <w:rFonts w:ascii="Arial" w:hAnsi="Arial" w:cs="Arial"/>
          <w:bCs/>
          <w:snapToGrid w:val="0"/>
          <w:sz w:val="24"/>
          <w:szCs w:val="27"/>
        </w:rPr>
        <w:t xml:space="preserve"> Oaxaca, dentro</w:t>
      </w:r>
      <w:r w:rsidR="00856688" w:rsidRPr="00F2683E">
        <w:rPr>
          <w:rFonts w:ascii="Arial" w:hAnsi="Arial" w:cs="Arial"/>
          <w:bCs/>
          <w:snapToGrid w:val="0"/>
          <w:sz w:val="24"/>
          <w:szCs w:val="27"/>
        </w:rPr>
        <w:t xml:space="preserve"> del oficio número </w:t>
      </w:r>
      <w:r w:rsidR="00856688">
        <w:rPr>
          <w:rFonts w:ascii="Arial" w:hAnsi="Arial" w:cs="Arial"/>
          <w:bCs/>
          <w:snapToGrid w:val="0"/>
          <w:sz w:val="24"/>
          <w:szCs w:val="27"/>
        </w:rPr>
        <w:t>OP/DG/DPE/</w:t>
      </w:r>
      <w:r w:rsidR="00017822">
        <w:rPr>
          <w:rFonts w:ascii="Arial" w:hAnsi="Arial" w:cs="Arial"/>
          <w:bCs/>
          <w:snapToGrid w:val="0"/>
          <w:sz w:val="24"/>
          <w:szCs w:val="27"/>
        </w:rPr>
        <w:t>***</w:t>
      </w:r>
      <w:r w:rsidR="00856688">
        <w:rPr>
          <w:rFonts w:ascii="Arial" w:hAnsi="Arial" w:cs="Arial"/>
          <w:bCs/>
          <w:snapToGrid w:val="0"/>
          <w:sz w:val="24"/>
          <w:szCs w:val="27"/>
        </w:rPr>
        <w:t>/</w:t>
      </w:r>
      <w:r w:rsidR="00E12640">
        <w:rPr>
          <w:rFonts w:ascii="Arial" w:hAnsi="Arial" w:cs="Arial"/>
          <w:bCs/>
          <w:snapToGrid w:val="0"/>
          <w:sz w:val="24"/>
          <w:szCs w:val="27"/>
        </w:rPr>
        <w:t>***</w:t>
      </w:r>
      <w:r>
        <w:rPr>
          <w:rFonts w:ascii="Arial" w:hAnsi="Arial" w:cs="Arial"/>
          <w:bCs/>
          <w:snapToGrid w:val="0"/>
          <w:sz w:val="24"/>
          <w:szCs w:val="27"/>
        </w:rPr>
        <w:t>,</w:t>
      </w:r>
      <w:r w:rsidR="00856688">
        <w:rPr>
          <w:rFonts w:ascii="Arial" w:hAnsi="Arial" w:cs="Arial"/>
          <w:bCs/>
          <w:snapToGrid w:val="0"/>
          <w:sz w:val="24"/>
          <w:szCs w:val="27"/>
        </w:rPr>
        <w:t xml:space="preserve"> de fecha</w:t>
      </w:r>
      <w:r w:rsidR="00E12640">
        <w:rPr>
          <w:rFonts w:ascii="Arial" w:hAnsi="Arial" w:cs="Arial"/>
          <w:bCs/>
          <w:snapToGrid w:val="0"/>
          <w:sz w:val="24"/>
          <w:szCs w:val="27"/>
        </w:rPr>
        <w:t xml:space="preserve"> *****</w:t>
      </w:r>
      <w:r w:rsidR="00856688">
        <w:rPr>
          <w:rFonts w:ascii="Arial" w:hAnsi="Arial" w:cs="Arial"/>
          <w:bCs/>
          <w:snapToGrid w:val="0"/>
          <w:sz w:val="24"/>
          <w:szCs w:val="27"/>
        </w:rPr>
        <w:t xml:space="preserve"> de</w:t>
      </w:r>
      <w:r w:rsidR="00E12640">
        <w:rPr>
          <w:rFonts w:ascii="Arial" w:hAnsi="Arial" w:cs="Arial"/>
          <w:bCs/>
          <w:snapToGrid w:val="0"/>
          <w:sz w:val="24"/>
          <w:szCs w:val="27"/>
        </w:rPr>
        <w:t xml:space="preserve"> *****</w:t>
      </w:r>
      <w:r w:rsidR="00856688">
        <w:rPr>
          <w:rFonts w:ascii="Arial" w:hAnsi="Arial" w:cs="Arial"/>
          <w:bCs/>
          <w:snapToGrid w:val="0"/>
          <w:sz w:val="24"/>
          <w:szCs w:val="27"/>
        </w:rPr>
        <w:t xml:space="preserve"> de dos</w:t>
      </w:r>
      <w:r w:rsidR="00E12640">
        <w:rPr>
          <w:rFonts w:ascii="Arial" w:hAnsi="Arial" w:cs="Arial"/>
          <w:bCs/>
          <w:snapToGrid w:val="0"/>
          <w:sz w:val="24"/>
          <w:szCs w:val="27"/>
        </w:rPr>
        <w:t xml:space="preserve"> *****</w:t>
      </w:r>
      <w:r w:rsidR="00856688">
        <w:rPr>
          <w:rFonts w:ascii="Arial" w:hAnsi="Arial" w:cs="Arial"/>
          <w:bCs/>
          <w:snapToGrid w:val="0"/>
          <w:sz w:val="24"/>
          <w:szCs w:val="27"/>
        </w:rPr>
        <w:t xml:space="preserve"> </w:t>
      </w:r>
      <w:r w:rsidR="00E12640">
        <w:rPr>
          <w:rFonts w:ascii="Arial" w:hAnsi="Arial" w:cs="Arial"/>
          <w:bCs/>
          <w:snapToGrid w:val="0"/>
          <w:sz w:val="24"/>
          <w:szCs w:val="27"/>
        </w:rPr>
        <w:t xml:space="preserve">***** </w:t>
      </w:r>
      <w:r w:rsidR="001F549A">
        <w:rPr>
          <w:rFonts w:ascii="Arial" w:hAnsi="Arial" w:cs="Arial"/>
          <w:bCs/>
          <w:snapToGrid w:val="0"/>
          <w:sz w:val="24"/>
          <w:szCs w:val="27"/>
        </w:rPr>
        <w:t>(foja 26</w:t>
      </w:r>
      <w:r w:rsidR="005D64B9">
        <w:rPr>
          <w:rFonts w:ascii="Arial" w:hAnsi="Arial" w:cs="Arial"/>
          <w:bCs/>
          <w:snapToGrid w:val="0"/>
          <w:sz w:val="24"/>
          <w:szCs w:val="27"/>
        </w:rPr>
        <w:t>)</w:t>
      </w:r>
      <w:r w:rsidR="00F2683E" w:rsidRPr="00F2683E">
        <w:rPr>
          <w:rFonts w:ascii="Arial" w:hAnsi="Arial" w:cs="Arial"/>
          <w:bCs/>
          <w:snapToGrid w:val="0"/>
          <w:sz w:val="24"/>
          <w:szCs w:val="27"/>
        </w:rPr>
        <w:t xml:space="preserve">, documental que adquiere valor probatorio pleno en términos del artículo 203 fracción I de la Ley de Procedimiento y Justicia Administrativa, </w:t>
      </w:r>
      <w:r w:rsidR="00856688">
        <w:rPr>
          <w:rFonts w:ascii="Arial" w:hAnsi="Arial" w:cs="Arial"/>
          <w:bCs/>
          <w:snapToGrid w:val="0"/>
          <w:sz w:val="24"/>
          <w:szCs w:val="27"/>
        </w:rPr>
        <w:t>asentó</w:t>
      </w:r>
      <w:r w:rsidR="00FD71E9">
        <w:rPr>
          <w:rFonts w:ascii="Arial" w:hAnsi="Arial" w:cs="Arial"/>
          <w:bCs/>
          <w:snapToGrid w:val="0"/>
          <w:sz w:val="24"/>
          <w:szCs w:val="27"/>
        </w:rPr>
        <w:t xml:space="preserve"> lo siguiente:</w:t>
      </w:r>
    </w:p>
    <w:p w14:paraId="1DB2BF2D" w14:textId="37F2743D" w:rsidR="00BA302B" w:rsidRDefault="00F2683E" w:rsidP="00BA302B">
      <w:pPr>
        <w:ind w:left="567" w:right="48"/>
        <w:jc w:val="both"/>
        <w:rPr>
          <w:rFonts w:ascii="Arial" w:hAnsi="Arial" w:cs="Arial"/>
          <w:bCs/>
          <w:i/>
          <w:snapToGrid w:val="0"/>
          <w:sz w:val="24"/>
          <w:szCs w:val="27"/>
        </w:rPr>
      </w:pPr>
      <w:r w:rsidRPr="00A20957">
        <w:rPr>
          <w:rFonts w:ascii="Arial" w:hAnsi="Arial" w:cs="Arial"/>
          <w:bCs/>
          <w:i/>
          <w:snapToGrid w:val="0"/>
          <w:sz w:val="24"/>
          <w:szCs w:val="27"/>
        </w:rPr>
        <w:t>“</w:t>
      </w:r>
      <w:r w:rsidR="00BA302B">
        <w:rPr>
          <w:rFonts w:ascii="Arial" w:hAnsi="Arial" w:cs="Arial"/>
          <w:bCs/>
          <w:i/>
          <w:snapToGrid w:val="0"/>
          <w:sz w:val="24"/>
          <w:szCs w:val="27"/>
        </w:rPr>
        <w:t>De acuerdo a los registros existente en el Sistema de Pensiones (SISPE), usted cotizó el periodo del</w:t>
      </w:r>
      <w:r w:rsidR="00BB6111">
        <w:rPr>
          <w:rFonts w:ascii="Arial" w:hAnsi="Arial" w:cs="Arial"/>
          <w:bCs/>
          <w:i/>
          <w:snapToGrid w:val="0"/>
          <w:sz w:val="24"/>
          <w:szCs w:val="27"/>
        </w:rPr>
        <w:t xml:space="preserve"> ****</w:t>
      </w:r>
      <w:r w:rsidR="00BA302B">
        <w:rPr>
          <w:rFonts w:ascii="Arial" w:hAnsi="Arial" w:cs="Arial"/>
          <w:bCs/>
          <w:i/>
          <w:snapToGrid w:val="0"/>
          <w:sz w:val="24"/>
          <w:szCs w:val="27"/>
        </w:rPr>
        <w:t xml:space="preserve"> de </w:t>
      </w:r>
      <w:r w:rsidR="00BB6111">
        <w:rPr>
          <w:rFonts w:ascii="Arial" w:hAnsi="Arial" w:cs="Arial"/>
          <w:bCs/>
          <w:i/>
          <w:snapToGrid w:val="0"/>
          <w:sz w:val="24"/>
          <w:szCs w:val="27"/>
        </w:rPr>
        <w:t>*****</w:t>
      </w:r>
      <w:r w:rsidR="00BA302B">
        <w:rPr>
          <w:rFonts w:ascii="Arial" w:hAnsi="Arial" w:cs="Arial"/>
          <w:bCs/>
          <w:i/>
          <w:snapToGrid w:val="0"/>
          <w:sz w:val="24"/>
          <w:szCs w:val="27"/>
        </w:rPr>
        <w:t xml:space="preserve"> de</w:t>
      </w:r>
      <w:r w:rsidR="00BB6111">
        <w:rPr>
          <w:rFonts w:ascii="Arial" w:hAnsi="Arial" w:cs="Arial"/>
          <w:bCs/>
          <w:i/>
          <w:snapToGrid w:val="0"/>
          <w:sz w:val="24"/>
          <w:szCs w:val="27"/>
        </w:rPr>
        <w:t xml:space="preserve"> *****</w:t>
      </w:r>
      <w:r w:rsidR="00BA302B">
        <w:rPr>
          <w:rFonts w:ascii="Arial" w:hAnsi="Arial" w:cs="Arial"/>
          <w:bCs/>
          <w:i/>
          <w:snapToGrid w:val="0"/>
          <w:sz w:val="24"/>
          <w:szCs w:val="27"/>
        </w:rPr>
        <w:t xml:space="preserve"> al </w:t>
      </w:r>
      <w:r w:rsidR="00BB6111">
        <w:rPr>
          <w:rFonts w:ascii="Arial" w:hAnsi="Arial" w:cs="Arial"/>
          <w:bCs/>
          <w:i/>
          <w:snapToGrid w:val="0"/>
          <w:sz w:val="24"/>
          <w:szCs w:val="27"/>
        </w:rPr>
        <w:t>***</w:t>
      </w:r>
      <w:r w:rsidR="00BA302B">
        <w:rPr>
          <w:rFonts w:ascii="Arial" w:hAnsi="Arial" w:cs="Arial"/>
          <w:bCs/>
          <w:i/>
          <w:snapToGrid w:val="0"/>
          <w:sz w:val="24"/>
          <w:szCs w:val="27"/>
        </w:rPr>
        <w:t xml:space="preserve"> de</w:t>
      </w:r>
      <w:r w:rsidR="00BB6111">
        <w:rPr>
          <w:rFonts w:ascii="Arial" w:hAnsi="Arial" w:cs="Arial"/>
          <w:bCs/>
          <w:i/>
          <w:snapToGrid w:val="0"/>
          <w:sz w:val="24"/>
          <w:szCs w:val="27"/>
        </w:rPr>
        <w:t xml:space="preserve"> *****</w:t>
      </w:r>
      <w:r w:rsidR="00BA302B">
        <w:rPr>
          <w:rFonts w:ascii="Arial" w:hAnsi="Arial" w:cs="Arial"/>
          <w:bCs/>
          <w:i/>
          <w:snapToGrid w:val="0"/>
          <w:sz w:val="24"/>
          <w:szCs w:val="27"/>
        </w:rPr>
        <w:t xml:space="preserve"> de</w:t>
      </w:r>
      <w:r w:rsidR="00BB6111">
        <w:rPr>
          <w:rFonts w:ascii="Arial" w:hAnsi="Arial" w:cs="Arial"/>
          <w:bCs/>
          <w:i/>
          <w:snapToGrid w:val="0"/>
          <w:sz w:val="24"/>
          <w:szCs w:val="27"/>
        </w:rPr>
        <w:t xml:space="preserve"> ***</w:t>
      </w:r>
      <w:r w:rsidR="00BA302B">
        <w:rPr>
          <w:rFonts w:ascii="Arial" w:hAnsi="Arial" w:cs="Arial"/>
          <w:bCs/>
          <w:i/>
          <w:snapToGrid w:val="0"/>
          <w:sz w:val="24"/>
          <w:szCs w:val="27"/>
        </w:rPr>
        <w:t xml:space="preserve"> fecha en que renuncia</w:t>
      </w:r>
      <w:r w:rsidR="005D64B9">
        <w:rPr>
          <w:rFonts w:ascii="Arial" w:hAnsi="Arial" w:cs="Arial"/>
          <w:bCs/>
          <w:i/>
          <w:snapToGrid w:val="0"/>
          <w:sz w:val="24"/>
          <w:szCs w:val="27"/>
        </w:rPr>
        <w:t>.</w:t>
      </w:r>
    </w:p>
    <w:p w14:paraId="357A299F" w14:textId="0AE2DE70" w:rsidR="005D64B9" w:rsidRDefault="00BA302B" w:rsidP="00BA302B">
      <w:pPr>
        <w:ind w:left="567" w:right="48"/>
        <w:jc w:val="both"/>
        <w:rPr>
          <w:rFonts w:ascii="Arial" w:hAnsi="Arial" w:cs="Arial"/>
          <w:bCs/>
          <w:i/>
          <w:snapToGrid w:val="0"/>
          <w:sz w:val="24"/>
          <w:szCs w:val="27"/>
        </w:rPr>
      </w:pPr>
      <w:r>
        <w:rPr>
          <w:rFonts w:ascii="Arial" w:hAnsi="Arial" w:cs="Arial"/>
          <w:bCs/>
          <w:i/>
          <w:snapToGrid w:val="0"/>
          <w:sz w:val="24"/>
          <w:szCs w:val="27"/>
        </w:rPr>
        <w:lastRenderedPageBreak/>
        <w:t>De conformidad con la fecha de su renuncia al</w:t>
      </w:r>
      <w:r w:rsidR="00BB6111">
        <w:rPr>
          <w:rFonts w:ascii="Arial" w:hAnsi="Arial" w:cs="Arial"/>
          <w:bCs/>
          <w:i/>
          <w:snapToGrid w:val="0"/>
          <w:sz w:val="24"/>
          <w:szCs w:val="27"/>
        </w:rPr>
        <w:t xml:space="preserve"> ***</w:t>
      </w:r>
      <w:r>
        <w:rPr>
          <w:rFonts w:ascii="Arial" w:hAnsi="Arial" w:cs="Arial"/>
          <w:bCs/>
          <w:i/>
          <w:snapToGrid w:val="0"/>
          <w:sz w:val="24"/>
          <w:szCs w:val="27"/>
        </w:rPr>
        <w:t xml:space="preserve"> de diciembre de</w:t>
      </w:r>
      <w:r w:rsidR="00BB6111">
        <w:rPr>
          <w:rFonts w:ascii="Arial" w:hAnsi="Arial" w:cs="Arial"/>
          <w:bCs/>
          <w:i/>
          <w:snapToGrid w:val="0"/>
          <w:sz w:val="24"/>
          <w:szCs w:val="27"/>
        </w:rPr>
        <w:t xml:space="preserve"> ***</w:t>
      </w:r>
      <w:r>
        <w:rPr>
          <w:rFonts w:ascii="Arial" w:hAnsi="Arial" w:cs="Arial"/>
          <w:bCs/>
          <w:i/>
          <w:snapToGrid w:val="0"/>
          <w:sz w:val="24"/>
          <w:szCs w:val="27"/>
        </w:rPr>
        <w:t xml:space="preserve"> y la última aportación que obran en su expediente de Aportador al Fondo de Pensiones de esta Dirección, hasta el</w:t>
      </w:r>
      <w:r w:rsidR="00BB6111">
        <w:rPr>
          <w:rFonts w:ascii="Arial" w:hAnsi="Arial" w:cs="Arial"/>
          <w:bCs/>
          <w:i/>
          <w:snapToGrid w:val="0"/>
          <w:sz w:val="24"/>
          <w:szCs w:val="27"/>
        </w:rPr>
        <w:t xml:space="preserve"> ***</w:t>
      </w:r>
      <w:r>
        <w:rPr>
          <w:rFonts w:ascii="Arial" w:hAnsi="Arial" w:cs="Arial"/>
          <w:bCs/>
          <w:i/>
          <w:snapToGrid w:val="0"/>
          <w:sz w:val="24"/>
          <w:szCs w:val="27"/>
        </w:rPr>
        <w:t xml:space="preserve"> de enero de</w:t>
      </w:r>
      <w:r w:rsidR="00BB6111">
        <w:rPr>
          <w:rFonts w:ascii="Arial" w:hAnsi="Arial" w:cs="Arial"/>
          <w:bCs/>
          <w:i/>
          <w:snapToGrid w:val="0"/>
          <w:sz w:val="24"/>
          <w:szCs w:val="27"/>
        </w:rPr>
        <w:t xml:space="preserve"> ***</w:t>
      </w:r>
      <w:r>
        <w:rPr>
          <w:rFonts w:ascii="Arial" w:hAnsi="Arial" w:cs="Arial"/>
          <w:bCs/>
          <w:i/>
          <w:snapToGrid w:val="0"/>
          <w:sz w:val="24"/>
          <w:szCs w:val="27"/>
        </w:rPr>
        <w:t xml:space="preserve"> sus cu</w:t>
      </w:r>
      <w:r w:rsidR="00742D59">
        <w:rPr>
          <w:rFonts w:ascii="Arial" w:hAnsi="Arial" w:cs="Arial"/>
          <w:bCs/>
          <w:i/>
          <w:snapToGrid w:val="0"/>
          <w:sz w:val="24"/>
          <w:szCs w:val="27"/>
        </w:rPr>
        <w:t>o</w:t>
      </w:r>
      <w:r>
        <w:rPr>
          <w:rFonts w:ascii="Arial" w:hAnsi="Arial" w:cs="Arial"/>
          <w:bCs/>
          <w:i/>
          <w:snapToGrid w:val="0"/>
          <w:sz w:val="24"/>
          <w:szCs w:val="27"/>
        </w:rPr>
        <w:t xml:space="preserve">tas aportadas al Fondo de Pensiones eran exigibles; los tres años contemplados en el artículo 63 de la Ley de Pensiones para los Trabajadores del Gobierno del Estado de Oaxaca vigente, concluyeron el día </w:t>
      </w:r>
      <w:r w:rsidR="004D299E">
        <w:rPr>
          <w:rFonts w:ascii="Arial" w:hAnsi="Arial" w:cs="Arial"/>
          <w:bCs/>
          <w:i/>
          <w:snapToGrid w:val="0"/>
          <w:sz w:val="24"/>
          <w:szCs w:val="27"/>
        </w:rPr>
        <w:t>***</w:t>
      </w:r>
      <w:r>
        <w:rPr>
          <w:rFonts w:ascii="Arial" w:hAnsi="Arial" w:cs="Arial"/>
          <w:bCs/>
          <w:i/>
          <w:snapToGrid w:val="0"/>
          <w:sz w:val="24"/>
          <w:szCs w:val="27"/>
        </w:rPr>
        <w:t xml:space="preserve"> de</w:t>
      </w:r>
      <w:r w:rsidR="004D299E">
        <w:rPr>
          <w:rFonts w:ascii="Arial" w:hAnsi="Arial" w:cs="Arial"/>
          <w:bCs/>
          <w:i/>
          <w:snapToGrid w:val="0"/>
          <w:sz w:val="24"/>
          <w:szCs w:val="27"/>
        </w:rPr>
        <w:t xml:space="preserve"> ****</w:t>
      </w:r>
      <w:r>
        <w:rPr>
          <w:rFonts w:ascii="Arial" w:hAnsi="Arial" w:cs="Arial"/>
          <w:bCs/>
          <w:i/>
          <w:snapToGrid w:val="0"/>
          <w:sz w:val="24"/>
          <w:szCs w:val="27"/>
        </w:rPr>
        <w:t xml:space="preserve"> de</w:t>
      </w:r>
      <w:r w:rsidR="004D299E">
        <w:rPr>
          <w:rFonts w:ascii="Arial" w:hAnsi="Arial" w:cs="Arial"/>
          <w:bCs/>
          <w:i/>
          <w:snapToGrid w:val="0"/>
          <w:sz w:val="24"/>
          <w:szCs w:val="27"/>
        </w:rPr>
        <w:t xml:space="preserve"> ****</w:t>
      </w:r>
      <w:r>
        <w:rPr>
          <w:rFonts w:ascii="Arial" w:hAnsi="Arial" w:cs="Arial"/>
          <w:bCs/>
          <w:i/>
          <w:snapToGrid w:val="0"/>
          <w:sz w:val="24"/>
          <w:szCs w:val="27"/>
        </w:rPr>
        <w:t>, razón por la cual no es posible atender favorablemente su solicitud.</w:t>
      </w:r>
      <w:r w:rsidR="005D64B9">
        <w:rPr>
          <w:rFonts w:ascii="Arial" w:hAnsi="Arial" w:cs="Arial"/>
          <w:bCs/>
          <w:i/>
          <w:snapToGrid w:val="0"/>
          <w:sz w:val="24"/>
          <w:szCs w:val="27"/>
        </w:rPr>
        <w:t>”</w:t>
      </w:r>
    </w:p>
    <w:p w14:paraId="63B2DA32" w14:textId="5A721288" w:rsidR="00661E96" w:rsidRDefault="00AB6D09" w:rsidP="00413E7C">
      <w:pPr>
        <w:spacing w:line="360" w:lineRule="auto"/>
        <w:ind w:firstLine="567"/>
        <w:jc w:val="both"/>
        <w:rPr>
          <w:rFonts w:ascii="Arial" w:hAnsi="Arial" w:cs="Arial"/>
          <w:bCs/>
          <w:snapToGrid w:val="0"/>
          <w:sz w:val="24"/>
          <w:szCs w:val="27"/>
        </w:rPr>
      </w:pPr>
      <w:r>
        <w:rPr>
          <w:rFonts w:ascii="Arial" w:hAnsi="Arial" w:cs="Arial"/>
          <w:bCs/>
          <w:snapToGrid w:val="0"/>
          <w:sz w:val="24"/>
          <w:szCs w:val="27"/>
        </w:rPr>
        <w:t>De la transcripción anterior</w:t>
      </w:r>
      <w:r w:rsidR="00F2683E" w:rsidRPr="00F2683E">
        <w:rPr>
          <w:rFonts w:ascii="Arial" w:hAnsi="Arial" w:cs="Arial"/>
          <w:bCs/>
          <w:snapToGrid w:val="0"/>
          <w:sz w:val="24"/>
          <w:szCs w:val="27"/>
        </w:rPr>
        <w:t xml:space="preserve">, </w:t>
      </w:r>
      <w:r>
        <w:rPr>
          <w:rFonts w:ascii="Arial" w:hAnsi="Arial" w:cs="Arial"/>
          <w:bCs/>
          <w:snapToGrid w:val="0"/>
          <w:sz w:val="24"/>
          <w:szCs w:val="27"/>
        </w:rPr>
        <w:t xml:space="preserve">esta Sala Unitaria advierte que </w:t>
      </w:r>
      <w:r w:rsidR="00661E96">
        <w:rPr>
          <w:rFonts w:ascii="Arial" w:hAnsi="Arial" w:cs="Arial"/>
          <w:bCs/>
          <w:snapToGrid w:val="0"/>
          <w:sz w:val="24"/>
          <w:szCs w:val="27"/>
        </w:rPr>
        <w:t>las razones inmediatas por las cuales la autoridad demandada negó la devolución de las aportaciones</w:t>
      </w:r>
      <w:r w:rsidR="00742D59">
        <w:rPr>
          <w:rFonts w:ascii="Arial" w:hAnsi="Arial" w:cs="Arial"/>
          <w:bCs/>
          <w:snapToGrid w:val="0"/>
          <w:sz w:val="24"/>
          <w:szCs w:val="27"/>
        </w:rPr>
        <w:t xml:space="preserve"> solicitadas por el actor</w:t>
      </w:r>
      <w:r>
        <w:rPr>
          <w:rFonts w:ascii="Arial" w:hAnsi="Arial" w:cs="Arial"/>
          <w:bCs/>
          <w:snapToGrid w:val="0"/>
          <w:sz w:val="24"/>
          <w:szCs w:val="27"/>
        </w:rPr>
        <w:t>,</w:t>
      </w:r>
      <w:r w:rsidR="00661E96">
        <w:rPr>
          <w:rFonts w:ascii="Arial" w:hAnsi="Arial" w:cs="Arial"/>
          <w:bCs/>
          <w:snapToGrid w:val="0"/>
          <w:sz w:val="24"/>
          <w:szCs w:val="27"/>
        </w:rPr>
        <w:t xml:space="preserve"> fue porque la solicitud </w:t>
      </w:r>
      <w:r w:rsidR="00262048">
        <w:rPr>
          <w:rFonts w:ascii="Arial" w:hAnsi="Arial" w:cs="Arial"/>
          <w:bCs/>
          <w:snapToGrid w:val="0"/>
          <w:sz w:val="24"/>
          <w:szCs w:val="27"/>
        </w:rPr>
        <w:t>fue hecha con posterioridad a los tres años que indica la ley</w:t>
      </w:r>
      <w:r w:rsidR="00413E7C">
        <w:rPr>
          <w:rFonts w:ascii="Arial" w:hAnsi="Arial" w:cs="Arial"/>
          <w:bCs/>
          <w:snapToGrid w:val="0"/>
          <w:sz w:val="24"/>
          <w:szCs w:val="27"/>
        </w:rPr>
        <w:t>,</w:t>
      </w:r>
      <w:r>
        <w:rPr>
          <w:rFonts w:ascii="Arial" w:hAnsi="Arial" w:cs="Arial"/>
          <w:bCs/>
          <w:snapToGrid w:val="0"/>
          <w:sz w:val="24"/>
          <w:szCs w:val="27"/>
        </w:rPr>
        <w:t xml:space="preserve"> fundamentando su dicho en el artículo 63 de la Ley </w:t>
      </w:r>
      <w:r w:rsidRPr="00413E7C">
        <w:rPr>
          <w:rFonts w:ascii="Arial" w:hAnsi="Arial" w:cs="Arial"/>
          <w:bCs/>
          <w:snapToGrid w:val="0"/>
          <w:sz w:val="24"/>
          <w:szCs w:val="27"/>
        </w:rPr>
        <w:t>de Pensiones para los Trabajadores del Gobierno del Estado de Oaxaca</w:t>
      </w:r>
      <w:r w:rsidR="00742D59">
        <w:rPr>
          <w:rFonts w:ascii="Arial" w:hAnsi="Arial" w:cs="Arial"/>
          <w:bCs/>
          <w:snapToGrid w:val="0"/>
          <w:sz w:val="24"/>
          <w:szCs w:val="27"/>
        </w:rPr>
        <w:t>,</w:t>
      </w:r>
      <w:r>
        <w:rPr>
          <w:rFonts w:ascii="Arial" w:hAnsi="Arial" w:cs="Arial"/>
          <w:bCs/>
          <w:snapToGrid w:val="0"/>
          <w:sz w:val="24"/>
          <w:szCs w:val="27"/>
        </w:rPr>
        <w:t xml:space="preserve"> mismo que para una mejor comprensión, se transcribe</w:t>
      </w:r>
      <w:r w:rsidR="00413E7C">
        <w:rPr>
          <w:rFonts w:ascii="Arial" w:hAnsi="Arial" w:cs="Arial"/>
          <w:bCs/>
          <w:snapToGrid w:val="0"/>
          <w:sz w:val="24"/>
          <w:szCs w:val="27"/>
        </w:rPr>
        <w:t>:</w:t>
      </w:r>
    </w:p>
    <w:p w14:paraId="497DB1F4" w14:textId="53BC5679" w:rsidR="00413E7C" w:rsidRPr="00413E7C" w:rsidRDefault="00413E7C" w:rsidP="00413E7C">
      <w:pPr>
        <w:ind w:left="567"/>
        <w:jc w:val="both"/>
        <w:rPr>
          <w:rFonts w:ascii="Arial" w:hAnsi="Arial" w:cs="Arial"/>
          <w:bCs/>
          <w:i/>
          <w:snapToGrid w:val="0"/>
          <w:sz w:val="24"/>
          <w:szCs w:val="27"/>
        </w:rPr>
      </w:pPr>
      <w:r>
        <w:rPr>
          <w:rFonts w:ascii="Arial" w:hAnsi="Arial" w:cs="Arial"/>
          <w:b/>
          <w:bCs/>
          <w:i/>
          <w:snapToGrid w:val="0"/>
          <w:sz w:val="24"/>
          <w:szCs w:val="27"/>
        </w:rPr>
        <w:t>“</w:t>
      </w:r>
      <w:r w:rsidRPr="00413E7C">
        <w:rPr>
          <w:rFonts w:ascii="Arial" w:hAnsi="Arial" w:cs="Arial"/>
          <w:b/>
          <w:bCs/>
          <w:i/>
          <w:snapToGrid w:val="0"/>
          <w:sz w:val="24"/>
          <w:szCs w:val="27"/>
        </w:rPr>
        <w:t>ARTÍCULO 63.-</w:t>
      </w:r>
      <w:r w:rsidRPr="00413E7C">
        <w:rPr>
          <w:rFonts w:ascii="Arial" w:hAnsi="Arial" w:cs="Arial"/>
          <w:bCs/>
          <w:i/>
          <w:snapToGrid w:val="0"/>
          <w:sz w:val="24"/>
          <w:szCs w:val="27"/>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Pr>
          <w:rFonts w:ascii="Arial" w:hAnsi="Arial" w:cs="Arial"/>
          <w:bCs/>
          <w:i/>
          <w:snapToGrid w:val="0"/>
          <w:sz w:val="24"/>
          <w:szCs w:val="27"/>
        </w:rPr>
        <w:t>”</w:t>
      </w:r>
    </w:p>
    <w:p w14:paraId="437CE5C7" w14:textId="448ED5E9" w:rsidR="00A54960" w:rsidRPr="00A54960" w:rsidRDefault="00A54960"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Del dispositivo legal antes transcrito,</w:t>
      </w:r>
      <w:r w:rsidR="00742D59">
        <w:rPr>
          <w:rFonts w:ascii="Arial" w:hAnsi="Arial" w:cs="Arial"/>
          <w:bCs/>
          <w:snapToGrid w:val="0"/>
          <w:sz w:val="24"/>
          <w:szCs w:val="27"/>
        </w:rPr>
        <w:t xml:space="preserve"> se</w:t>
      </w:r>
      <w:r>
        <w:rPr>
          <w:rFonts w:ascii="Arial" w:hAnsi="Arial" w:cs="Arial"/>
          <w:bCs/>
          <w:snapToGrid w:val="0"/>
          <w:sz w:val="24"/>
          <w:szCs w:val="27"/>
        </w:rPr>
        <w:t xml:space="preserve"> menciona que tanto las prestaciones caídas, devolución de descuentos, intereses y cual otra prestación a cargo del Fondo de Pensiones, que no se reclame dentro de los tres años siguientes a la fecha en que hubieren sido exigibles, prescribirán a favor del Fondo de Pensiones, por lo que</w:t>
      </w:r>
      <w:r w:rsidR="00D03A78">
        <w:rPr>
          <w:rFonts w:ascii="Arial" w:hAnsi="Arial" w:cs="Arial"/>
          <w:bCs/>
          <w:snapToGrid w:val="0"/>
          <w:sz w:val="24"/>
          <w:szCs w:val="27"/>
        </w:rPr>
        <w:t>,</w:t>
      </w:r>
      <w:r>
        <w:rPr>
          <w:rFonts w:ascii="Arial" w:hAnsi="Arial" w:cs="Arial"/>
          <w:bCs/>
          <w:snapToGrid w:val="0"/>
          <w:sz w:val="24"/>
          <w:szCs w:val="27"/>
        </w:rPr>
        <w:t xml:space="preserve"> </w:t>
      </w:r>
      <w:r>
        <w:rPr>
          <w:rFonts w:ascii="Arial" w:hAnsi="Arial" w:cs="Arial"/>
          <w:bCs/>
          <w:i/>
          <w:iCs/>
          <w:snapToGrid w:val="0"/>
          <w:sz w:val="24"/>
          <w:szCs w:val="27"/>
        </w:rPr>
        <w:t>a contrario sensu</w:t>
      </w:r>
      <w:r>
        <w:rPr>
          <w:rFonts w:ascii="Arial" w:hAnsi="Arial" w:cs="Arial"/>
          <w:bCs/>
          <w:snapToGrid w:val="0"/>
          <w:sz w:val="24"/>
          <w:szCs w:val="27"/>
        </w:rPr>
        <w:t>, toda prestación que se quiera pedir su devolución deberá hacerse dentro del plazo de tres años siguientes a la fecha en que pudieron ser exigibles.</w:t>
      </w:r>
    </w:p>
    <w:p w14:paraId="1D715D52" w14:textId="1D1B1F4B" w:rsidR="00AA4133" w:rsidRDefault="00413E7C"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Ahora,</w:t>
      </w:r>
      <w:r w:rsidR="00742D59">
        <w:rPr>
          <w:rFonts w:ascii="Arial" w:hAnsi="Arial" w:cs="Arial"/>
          <w:bCs/>
          <w:snapToGrid w:val="0"/>
          <w:sz w:val="24"/>
          <w:szCs w:val="27"/>
        </w:rPr>
        <w:t xml:space="preserve"> se </w:t>
      </w:r>
      <w:r w:rsidR="00D03A78">
        <w:rPr>
          <w:rFonts w:ascii="Arial" w:hAnsi="Arial" w:cs="Arial"/>
          <w:bCs/>
          <w:snapToGrid w:val="0"/>
          <w:sz w:val="24"/>
          <w:szCs w:val="27"/>
        </w:rPr>
        <w:t>advierte que</w:t>
      </w:r>
      <w:r w:rsidR="00742D59">
        <w:rPr>
          <w:rFonts w:ascii="Arial" w:hAnsi="Arial" w:cs="Arial"/>
          <w:bCs/>
          <w:snapToGrid w:val="0"/>
          <w:sz w:val="24"/>
          <w:szCs w:val="27"/>
        </w:rPr>
        <w:t xml:space="preserve"> </w:t>
      </w:r>
      <w:r w:rsidR="00D03A78">
        <w:rPr>
          <w:rFonts w:ascii="Arial" w:hAnsi="Arial" w:cs="Arial"/>
          <w:bCs/>
          <w:snapToGrid w:val="0"/>
          <w:sz w:val="24"/>
          <w:szCs w:val="27"/>
        </w:rPr>
        <w:t>en autos</w:t>
      </w:r>
      <w:r w:rsidR="00742D59">
        <w:rPr>
          <w:rFonts w:ascii="Arial" w:hAnsi="Arial" w:cs="Arial"/>
          <w:bCs/>
          <w:snapToGrid w:val="0"/>
          <w:sz w:val="24"/>
          <w:szCs w:val="27"/>
        </w:rPr>
        <w:t xml:space="preserve"> aparece</w:t>
      </w:r>
      <w:r w:rsidR="00D03A78">
        <w:rPr>
          <w:rFonts w:ascii="Arial" w:hAnsi="Arial" w:cs="Arial"/>
          <w:bCs/>
          <w:snapToGrid w:val="0"/>
          <w:sz w:val="24"/>
          <w:szCs w:val="27"/>
        </w:rPr>
        <w:t xml:space="preserve"> el</w:t>
      </w:r>
      <w:r w:rsidR="00F32FC5">
        <w:rPr>
          <w:rFonts w:ascii="Arial" w:hAnsi="Arial" w:cs="Arial"/>
          <w:bCs/>
          <w:snapToGrid w:val="0"/>
          <w:sz w:val="24"/>
          <w:szCs w:val="27"/>
        </w:rPr>
        <w:t xml:space="preserve"> nombramiento </w:t>
      </w:r>
      <w:r w:rsidR="00D03A78">
        <w:rPr>
          <w:rFonts w:ascii="Arial" w:hAnsi="Arial" w:cs="Arial"/>
          <w:bCs/>
          <w:snapToGrid w:val="0"/>
          <w:sz w:val="24"/>
          <w:szCs w:val="27"/>
        </w:rPr>
        <w:t>expedido a</w:t>
      </w:r>
      <w:r w:rsidR="00742D59">
        <w:rPr>
          <w:rFonts w:ascii="Arial" w:hAnsi="Arial" w:cs="Arial"/>
          <w:bCs/>
          <w:snapToGrid w:val="0"/>
          <w:sz w:val="24"/>
          <w:szCs w:val="27"/>
        </w:rPr>
        <w:t>l actor</w:t>
      </w:r>
      <w:r w:rsidR="0059606A">
        <w:rPr>
          <w:rFonts w:ascii="Arial" w:hAnsi="Arial" w:cs="Arial"/>
          <w:bCs/>
          <w:snapToGrid w:val="0"/>
          <w:sz w:val="24"/>
          <w:szCs w:val="27"/>
        </w:rPr>
        <w:t xml:space="preserve"> ***** *****</w:t>
      </w:r>
      <w:r w:rsidR="00D03A78">
        <w:rPr>
          <w:rFonts w:ascii="Arial" w:hAnsi="Arial" w:cs="Arial"/>
          <w:bCs/>
          <w:snapToGrid w:val="0"/>
          <w:sz w:val="24"/>
          <w:szCs w:val="27"/>
        </w:rPr>
        <w:t xml:space="preserve"> </w:t>
      </w:r>
      <w:r w:rsidR="0059606A">
        <w:rPr>
          <w:rFonts w:ascii="Arial" w:hAnsi="Arial" w:cs="Arial"/>
          <w:bCs/>
          <w:snapToGrid w:val="0"/>
          <w:sz w:val="24"/>
          <w:szCs w:val="27"/>
        </w:rPr>
        <w:t>***** *****</w:t>
      </w:r>
      <w:r w:rsidR="00D03A78">
        <w:rPr>
          <w:rFonts w:ascii="Arial" w:hAnsi="Arial" w:cs="Arial"/>
          <w:bCs/>
          <w:snapToGrid w:val="0"/>
          <w:sz w:val="24"/>
          <w:szCs w:val="27"/>
        </w:rPr>
        <w:t xml:space="preserve">, </w:t>
      </w:r>
      <w:r w:rsidR="00450B3C">
        <w:rPr>
          <w:rFonts w:ascii="Arial" w:hAnsi="Arial" w:cs="Arial"/>
          <w:bCs/>
          <w:snapToGrid w:val="0"/>
          <w:sz w:val="24"/>
          <w:szCs w:val="27"/>
        </w:rPr>
        <w:t>de fech</w:t>
      </w:r>
      <w:r w:rsidR="006F3E80">
        <w:rPr>
          <w:rFonts w:ascii="Arial" w:hAnsi="Arial" w:cs="Arial"/>
          <w:bCs/>
          <w:snapToGrid w:val="0"/>
          <w:sz w:val="24"/>
          <w:szCs w:val="27"/>
        </w:rPr>
        <w:t>a</w:t>
      </w:r>
      <w:r w:rsidR="004A6A06">
        <w:rPr>
          <w:rFonts w:ascii="Arial" w:hAnsi="Arial" w:cs="Arial"/>
          <w:bCs/>
          <w:snapToGrid w:val="0"/>
          <w:sz w:val="24"/>
          <w:szCs w:val="27"/>
        </w:rPr>
        <w:t xml:space="preserve"> ***</w:t>
      </w:r>
      <w:r w:rsidR="006F3E80">
        <w:rPr>
          <w:rFonts w:ascii="Arial" w:hAnsi="Arial" w:cs="Arial"/>
          <w:bCs/>
          <w:snapToGrid w:val="0"/>
          <w:sz w:val="24"/>
          <w:szCs w:val="27"/>
        </w:rPr>
        <w:t xml:space="preserve"> de</w:t>
      </w:r>
      <w:r w:rsidR="004A6A06">
        <w:rPr>
          <w:rFonts w:ascii="Arial" w:hAnsi="Arial" w:cs="Arial"/>
          <w:bCs/>
          <w:snapToGrid w:val="0"/>
          <w:sz w:val="24"/>
          <w:szCs w:val="27"/>
        </w:rPr>
        <w:t xml:space="preserve"> ****</w:t>
      </w:r>
      <w:r w:rsidR="006F3E80">
        <w:rPr>
          <w:rFonts w:ascii="Arial" w:hAnsi="Arial" w:cs="Arial"/>
          <w:bCs/>
          <w:snapToGrid w:val="0"/>
          <w:sz w:val="24"/>
          <w:szCs w:val="27"/>
        </w:rPr>
        <w:t xml:space="preserve"> de</w:t>
      </w:r>
      <w:r w:rsidR="004A6A06">
        <w:rPr>
          <w:rFonts w:ascii="Arial" w:hAnsi="Arial" w:cs="Arial"/>
          <w:bCs/>
          <w:snapToGrid w:val="0"/>
          <w:sz w:val="24"/>
          <w:szCs w:val="27"/>
        </w:rPr>
        <w:t xml:space="preserve"> ***</w:t>
      </w:r>
      <w:r w:rsidR="006F3E80">
        <w:rPr>
          <w:rFonts w:ascii="Arial" w:hAnsi="Arial" w:cs="Arial"/>
          <w:bCs/>
          <w:snapToGrid w:val="0"/>
          <w:sz w:val="24"/>
          <w:szCs w:val="27"/>
        </w:rPr>
        <w:t xml:space="preserve"> (foja 29)</w:t>
      </w:r>
      <w:r w:rsidR="00A664E7">
        <w:rPr>
          <w:rFonts w:ascii="Arial" w:hAnsi="Arial" w:cs="Arial"/>
          <w:bCs/>
          <w:snapToGrid w:val="0"/>
          <w:sz w:val="24"/>
          <w:szCs w:val="27"/>
        </w:rPr>
        <w:t>,</w:t>
      </w:r>
      <w:r w:rsidR="006F3E80">
        <w:rPr>
          <w:rFonts w:ascii="Arial" w:hAnsi="Arial" w:cs="Arial"/>
          <w:bCs/>
          <w:snapToGrid w:val="0"/>
          <w:sz w:val="24"/>
          <w:szCs w:val="27"/>
        </w:rPr>
        <w:t xml:space="preserve"> así como del aviso de baja</w:t>
      </w:r>
      <w:r w:rsidR="00D03A78">
        <w:rPr>
          <w:rFonts w:ascii="Arial" w:hAnsi="Arial" w:cs="Arial"/>
          <w:bCs/>
          <w:snapToGrid w:val="0"/>
          <w:sz w:val="24"/>
          <w:szCs w:val="27"/>
        </w:rPr>
        <w:t xml:space="preserve"> de la Dirección de Recursos Humanos</w:t>
      </w:r>
      <w:r w:rsidR="006F3E80">
        <w:rPr>
          <w:rFonts w:ascii="Arial" w:hAnsi="Arial" w:cs="Arial"/>
          <w:bCs/>
          <w:snapToGrid w:val="0"/>
          <w:sz w:val="24"/>
          <w:szCs w:val="27"/>
        </w:rPr>
        <w:t xml:space="preserve"> (foja 31)</w:t>
      </w:r>
      <w:r w:rsidR="00A664E7">
        <w:rPr>
          <w:rFonts w:ascii="Arial" w:hAnsi="Arial" w:cs="Arial"/>
          <w:bCs/>
          <w:snapToGrid w:val="0"/>
          <w:sz w:val="24"/>
          <w:szCs w:val="27"/>
        </w:rPr>
        <w:t>,</w:t>
      </w:r>
      <w:r w:rsidR="006F3E80">
        <w:rPr>
          <w:rFonts w:ascii="Arial" w:hAnsi="Arial" w:cs="Arial"/>
          <w:bCs/>
          <w:snapToGrid w:val="0"/>
          <w:sz w:val="24"/>
          <w:szCs w:val="27"/>
        </w:rPr>
        <w:t xml:space="preserve"> documentales que adquieren valor probatorio pleno en términos del artículo 203 fracción II de la Ley de Procedimiento y Justicia Administrativa para el Estado de Oaxaca, </w:t>
      </w:r>
      <w:r w:rsidR="00D03A78">
        <w:rPr>
          <w:rFonts w:ascii="Arial" w:hAnsi="Arial" w:cs="Arial"/>
          <w:bCs/>
          <w:snapToGrid w:val="0"/>
          <w:sz w:val="24"/>
          <w:szCs w:val="27"/>
        </w:rPr>
        <w:t>en los cuales de su lectura y análisis, se aprecia que el</w:t>
      </w:r>
      <w:r w:rsidR="005D3CC9">
        <w:rPr>
          <w:rFonts w:ascii="Arial" w:hAnsi="Arial" w:cs="Arial"/>
          <w:bCs/>
          <w:snapToGrid w:val="0"/>
          <w:sz w:val="24"/>
          <w:szCs w:val="27"/>
        </w:rPr>
        <w:t xml:space="preserve"> </w:t>
      </w:r>
      <w:r w:rsidR="004A6A06">
        <w:rPr>
          <w:rFonts w:ascii="Arial" w:hAnsi="Arial" w:cs="Arial"/>
          <w:bCs/>
          <w:snapToGrid w:val="0"/>
          <w:sz w:val="24"/>
          <w:szCs w:val="27"/>
        </w:rPr>
        <w:t>***** *****</w:t>
      </w:r>
      <w:r w:rsidR="005D3CC9">
        <w:rPr>
          <w:rFonts w:ascii="Arial" w:hAnsi="Arial" w:cs="Arial"/>
          <w:bCs/>
          <w:snapToGrid w:val="0"/>
          <w:sz w:val="24"/>
          <w:szCs w:val="27"/>
        </w:rPr>
        <w:t xml:space="preserve"> como</w:t>
      </w:r>
      <w:r w:rsidR="004A6A06">
        <w:rPr>
          <w:rFonts w:ascii="Arial" w:hAnsi="Arial" w:cs="Arial"/>
          <w:bCs/>
          <w:snapToGrid w:val="0"/>
          <w:sz w:val="24"/>
          <w:szCs w:val="27"/>
        </w:rPr>
        <w:t xml:space="preserve"> *****</w:t>
      </w:r>
      <w:r w:rsidR="005D3CC9">
        <w:rPr>
          <w:rFonts w:ascii="Arial" w:hAnsi="Arial" w:cs="Arial"/>
          <w:bCs/>
          <w:snapToGrid w:val="0"/>
          <w:sz w:val="24"/>
          <w:szCs w:val="27"/>
        </w:rPr>
        <w:t xml:space="preserve"> de la</w:t>
      </w:r>
      <w:r w:rsidR="004A6A06">
        <w:rPr>
          <w:rFonts w:ascii="Arial" w:hAnsi="Arial" w:cs="Arial"/>
          <w:bCs/>
          <w:snapToGrid w:val="0"/>
          <w:sz w:val="24"/>
          <w:szCs w:val="27"/>
        </w:rPr>
        <w:t xml:space="preserve"> *****</w:t>
      </w:r>
      <w:r w:rsidR="005D3CC9">
        <w:rPr>
          <w:rFonts w:ascii="Arial" w:hAnsi="Arial" w:cs="Arial"/>
          <w:bCs/>
          <w:snapToGrid w:val="0"/>
          <w:sz w:val="24"/>
          <w:szCs w:val="27"/>
        </w:rPr>
        <w:t xml:space="preserve"> de</w:t>
      </w:r>
      <w:r w:rsidR="004A6A06">
        <w:rPr>
          <w:rFonts w:ascii="Arial" w:hAnsi="Arial" w:cs="Arial"/>
          <w:bCs/>
          <w:snapToGrid w:val="0"/>
          <w:sz w:val="24"/>
          <w:szCs w:val="27"/>
        </w:rPr>
        <w:t xml:space="preserve"> *****</w:t>
      </w:r>
      <w:r w:rsidR="005D3CC9">
        <w:rPr>
          <w:rFonts w:ascii="Arial" w:hAnsi="Arial" w:cs="Arial"/>
          <w:bCs/>
          <w:snapToGrid w:val="0"/>
          <w:sz w:val="24"/>
          <w:szCs w:val="27"/>
        </w:rPr>
        <w:t xml:space="preserve"> y</w:t>
      </w:r>
      <w:r w:rsidR="004A6A06">
        <w:rPr>
          <w:rFonts w:ascii="Arial" w:hAnsi="Arial" w:cs="Arial"/>
          <w:bCs/>
          <w:snapToGrid w:val="0"/>
          <w:sz w:val="24"/>
          <w:szCs w:val="27"/>
        </w:rPr>
        <w:t xml:space="preserve"> ***** *****</w:t>
      </w:r>
      <w:r w:rsidR="005D3CC9">
        <w:rPr>
          <w:rFonts w:ascii="Arial" w:hAnsi="Arial" w:cs="Arial"/>
          <w:bCs/>
          <w:snapToGrid w:val="0"/>
          <w:sz w:val="24"/>
          <w:szCs w:val="27"/>
        </w:rPr>
        <w:t xml:space="preserve"> del Estado de Oaxaca,</w:t>
      </w:r>
      <w:r w:rsidR="00D03A78">
        <w:rPr>
          <w:rFonts w:ascii="Arial" w:hAnsi="Arial" w:cs="Arial"/>
          <w:bCs/>
          <w:snapToGrid w:val="0"/>
          <w:sz w:val="24"/>
          <w:szCs w:val="27"/>
        </w:rPr>
        <w:t xml:space="preserve"> siendo</w:t>
      </w:r>
      <w:r w:rsidR="005D3CC9">
        <w:rPr>
          <w:rFonts w:ascii="Arial" w:hAnsi="Arial" w:cs="Arial"/>
          <w:bCs/>
          <w:snapToGrid w:val="0"/>
          <w:sz w:val="24"/>
          <w:szCs w:val="27"/>
        </w:rPr>
        <w:t xml:space="preserve"> empleado de confianza, y su relación laboral por renuncia terminó el</w:t>
      </w:r>
      <w:r w:rsidR="004A6A06">
        <w:rPr>
          <w:rFonts w:ascii="Arial" w:hAnsi="Arial" w:cs="Arial"/>
          <w:bCs/>
          <w:snapToGrid w:val="0"/>
          <w:sz w:val="24"/>
          <w:szCs w:val="27"/>
        </w:rPr>
        <w:t xml:space="preserve"> *****</w:t>
      </w:r>
      <w:r w:rsidR="005D3CC9">
        <w:rPr>
          <w:rFonts w:ascii="Arial" w:hAnsi="Arial" w:cs="Arial"/>
          <w:bCs/>
          <w:snapToGrid w:val="0"/>
          <w:sz w:val="24"/>
          <w:szCs w:val="27"/>
        </w:rPr>
        <w:t xml:space="preserve"> y </w:t>
      </w:r>
      <w:r w:rsidR="004A6A06">
        <w:rPr>
          <w:rFonts w:ascii="Arial" w:hAnsi="Arial" w:cs="Arial"/>
          <w:bCs/>
          <w:snapToGrid w:val="0"/>
          <w:sz w:val="24"/>
          <w:szCs w:val="27"/>
        </w:rPr>
        <w:t>*****</w:t>
      </w:r>
      <w:r w:rsidR="005D3CC9">
        <w:rPr>
          <w:rFonts w:ascii="Arial" w:hAnsi="Arial" w:cs="Arial"/>
          <w:bCs/>
          <w:snapToGrid w:val="0"/>
          <w:sz w:val="24"/>
          <w:szCs w:val="27"/>
        </w:rPr>
        <w:t xml:space="preserve"> de</w:t>
      </w:r>
      <w:r w:rsidR="004A6A06">
        <w:rPr>
          <w:rFonts w:ascii="Arial" w:hAnsi="Arial" w:cs="Arial"/>
          <w:bCs/>
          <w:snapToGrid w:val="0"/>
          <w:sz w:val="24"/>
          <w:szCs w:val="27"/>
        </w:rPr>
        <w:t xml:space="preserve"> ****</w:t>
      </w:r>
      <w:r w:rsidR="005D3CC9">
        <w:rPr>
          <w:rFonts w:ascii="Arial" w:hAnsi="Arial" w:cs="Arial"/>
          <w:bCs/>
          <w:snapToGrid w:val="0"/>
          <w:sz w:val="24"/>
          <w:szCs w:val="27"/>
        </w:rPr>
        <w:t xml:space="preserve"> de dos</w:t>
      </w:r>
      <w:r w:rsidR="004A6A06">
        <w:rPr>
          <w:rFonts w:ascii="Arial" w:hAnsi="Arial" w:cs="Arial"/>
          <w:bCs/>
          <w:snapToGrid w:val="0"/>
          <w:sz w:val="24"/>
          <w:szCs w:val="27"/>
        </w:rPr>
        <w:t xml:space="preserve"> ***** ******</w:t>
      </w:r>
      <w:r w:rsidR="00E42FA9">
        <w:rPr>
          <w:rFonts w:ascii="Arial" w:hAnsi="Arial" w:cs="Arial"/>
          <w:bCs/>
          <w:snapToGrid w:val="0"/>
          <w:sz w:val="24"/>
          <w:szCs w:val="27"/>
        </w:rPr>
        <w:t xml:space="preserve">; por otra parte, </w:t>
      </w:r>
      <w:r w:rsidR="001E636D">
        <w:rPr>
          <w:rFonts w:ascii="Arial" w:hAnsi="Arial" w:cs="Arial"/>
          <w:bCs/>
          <w:snapToGrid w:val="0"/>
          <w:sz w:val="24"/>
          <w:szCs w:val="27"/>
        </w:rPr>
        <w:t>la</w:t>
      </w:r>
      <w:r w:rsidR="005D3CC9">
        <w:rPr>
          <w:rFonts w:ascii="Arial" w:hAnsi="Arial" w:cs="Arial"/>
          <w:bCs/>
          <w:snapToGrid w:val="0"/>
          <w:sz w:val="24"/>
          <w:szCs w:val="27"/>
        </w:rPr>
        <w:t xml:space="preserve"> solicitud </w:t>
      </w:r>
      <w:r w:rsidR="00CB0EA1">
        <w:rPr>
          <w:rFonts w:ascii="Arial" w:hAnsi="Arial" w:cs="Arial"/>
          <w:bCs/>
          <w:snapToGrid w:val="0"/>
          <w:sz w:val="24"/>
          <w:szCs w:val="27"/>
        </w:rPr>
        <w:t>de</w:t>
      </w:r>
      <w:r w:rsidR="001E636D">
        <w:rPr>
          <w:rFonts w:ascii="Arial" w:hAnsi="Arial" w:cs="Arial"/>
          <w:bCs/>
          <w:snapToGrid w:val="0"/>
          <w:sz w:val="24"/>
          <w:szCs w:val="27"/>
        </w:rPr>
        <w:t xml:space="preserve">l actor consistente en la </w:t>
      </w:r>
      <w:r w:rsidR="00CB0EA1">
        <w:rPr>
          <w:rFonts w:ascii="Arial" w:hAnsi="Arial" w:cs="Arial"/>
          <w:bCs/>
          <w:snapToGrid w:val="0"/>
          <w:sz w:val="24"/>
          <w:szCs w:val="27"/>
        </w:rPr>
        <w:t xml:space="preserve">devolución de las aportaciones hechas al </w:t>
      </w:r>
      <w:r w:rsidR="00A664E7">
        <w:rPr>
          <w:rFonts w:ascii="Arial" w:hAnsi="Arial" w:cs="Arial"/>
          <w:bCs/>
          <w:snapToGrid w:val="0"/>
          <w:sz w:val="24"/>
          <w:szCs w:val="27"/>
        </w:rPr>
        <w:t>F</w:t>
      </w:r>
      <w:r w:rsidR="00CB0EA1">
        <w:rPr>
          <w:rFonts w:ascii="Arial" w:hAnsi="Arial" w:cs="Arial"/>
          <w:bCs/>
          <w:snapToGrid w:val="0"/>
          <w:sz w:val="24"/>
          <w:szCs w:val="27"/>
        </w:rPr>
        <w:t xml:space="preserve">ondo de </w:t>
      </w:r>
      <w:r w:rsidR="00A664E7">
        <w:rPr>
          <w:rFonts w:ascii="Arial" w:hAnsi="Arial" w:cs="Arial"/>
          <w:bCs/>
          <w:snapToGrid w:val="0"/>
          <w:sz w:val="24"/>
          <w:szCs w:val="27"/>
        </w:rPr>
        <w:t>P</w:t>
      </w:r>
      <w:r w:rsidR="00CB0EA1">
        <w:rPr>
          <w:rFonts w:ascii="Arial" w:hAnsi="Arial" w:cs="Arial"/>
          <w:bCs/>
          <w:snapToGrid w:val="0"/>
          <w:sz w:val="24"/>
          <w:szCs w:val="27"/>
        </w:rPr>
        <w:t>ensiones</w:t>
      </w:r>
      <w:r w:rsidR="007228EB">
        <w:rPr>
          <w:rFonts w:ascii="Arial" w:hAnsi="Arial" w:cs="Arial"/>
          <w:bCs/>
          <w:snapToGrid w:val="0"/>
          <w:sz w:val="24"/>
          <w:szCs w:val="27"/>
        </w:rPr>
        <w:t>,</w:t>
      </w:r>
      <w:r w:rsidR="00CB0EA1">
        <w:rPr>
          <w:rFonts w:ascii="Arial" w:hAnsi="Arial" w:cs="Arial"/>
          <w:bCs/>
          <w:snapToGrid w:val="0"/>
          <w:sz w:val="24"/>
          <w:szCs w:val="27"/>
        </w:rPr>
        <w:t xml:space="preserve"> fue presentada el</w:t>
      </w:r>
      <w:r w:rsidR="004A6A06">
        <w:rPr>
          <w:rFonts w:ascii="Arial" w:hAnsi="Arial" w:cs="Arial"/>
          <w:bCs/>
          <w:snapToGrid w:val="0"/>
          <w:sz w:val="24"/>
          <w:szCs w:val="27"/>
        </w:rPr>
        <w:t xml:space="preserve"> *****</w:t>
      </w:r>
      <w:r w:rsidR="00CB0EA1">
        <w:rPr>
          <w:rFonts w:ascii="Arial" w:hAnsi="Arial" w:cs="Arial"/>
          <w:bCs/>
          <w:snapToGrid w:val="0"/>
          <w:sz w:val="24"/>
          <w:szCs w:val="27"/>
        </w:rPr>
        <w:t xml:space="preserve"> de</w:t>
      </w:r>
      <w:r w:rsidR="004A6A06">
        <w:rPr>
          <w:rFonts w:ascii="Arial" w:hAnsi="Arial" w:cs="Arial"/>
          <w:bCs/>
          <w:snapToGrid w:val="0"/>
          <w:sz w:val="24"/>
          <w:szCs w:val="27"/>
        </w:rPr>
        <w:t xml:space="preserve"> *****</w:t>
      </w:r>
      <w:r w:rsidR="00CB0EA1">
        <w:rPr>
          <w:rFonts w:ascii="Arial" w:hAnsi="Arial" w:cs="Arial"/>
          <w:bCs/>
          <w:snapToGrid w:val="0"/>
          <w:sz w:val="24"/>
          <w:szCs w:val="27"/>
        </w:rPr>
        <w:t xml:space="preserve"> de dos mil</w:t>
      </w:r>
      <w:r w:rsidR="004A6A06">
        <w:rPr>
          <w:rFonts w:ascii="Arial" w:hAnsi="Arial" w:cs="Arial"/>
          <w:bCs/>
          <w:snapToGrid w:val="0"/>
          <w:sz w:val="24"/>
          <w:szCs w:val="27"/>
        </w:rPr>
        <w:t xml:space="preserve"> *****</w:t>
      </w:r>
      <w:r w:rsidR="00CB0EA1">
        <w:rPr>
          <w:rFonts w:ascii="Arial" w:hAnsi="Arial" w:cs="Arial"/>
          <w:bCs/>
          <w:snapToGrid w:val="0"/>
          <w:sz w:val="24"/>
          <w:szCs w:val="27"/>
        </w:rPr>
        <w:t>, por así advertirse del acuse de fecha</w:t>
      </w:r>
      <w:r w:rsidR="00F23499">
        <w:rPr>
          <w:rFonts w:ascii="Arial" w:hAnsi="Arial" w:cs="Arial"/>
          <w:bCs/>
          <w:snapToGrid w:val="0"/>
          <w:sz w:val="24"/>
          <w:szCs w:val="27"/>
        </w:rPr>
        <w:t xml:space="preserve"> *****</w:t>
      </w:r>
      <w:r w:rsidR="00CB0EA1">
        <w:rPr>
          <w:rFonts w:ascii="Arial" w:hAnsi="Arial" w:cs="Arial"/>
          <w:bCs/>
          <w:snapToGrid w:val="0"/>
          <w:sz w:val="24"/>
          <w:szCs w:val="27"/>
        </w:rPr>
        <w:t xml:space="preserve"> de</w:t>
      </w:r>
      <w:r w:rsidR="00F23499">
        <w:rPr>
          <w:rFonts w:ascii="Arial" w:hAnsi="Arial" w:cs="Arial"/>
          <w:bCs/>
          <w:snapToGrid w:val="0"/>
          <w:sz w:val="24"/>
          <w:szCs w:val="27"/>
        </w:rPr>
        <w:t xml:space="preserve"> *****</w:t>
      </w:r>
      <w:r w:rsidR="00CB0EA1">
        <w:rPr>
          <w:rFonts w:ascii="Arial" w:hAnsi="Arial" w:cs="Arial"/>
          <w:bCs/>
          <w:snapToGrid w:val="0"/>
          <w:sz w:val="24"/>
          <w:szCs w:val="27"/>
        </w:rPr>
        <w:t xml:space="preserve"> de</w:t>
      </w:r>
      <w:r w:rsidR="00F23499">
        <w:rPr>
          <w:rFonts w:ascii="Arial" w:hAnsi="Arial" w:cs="Arial"/>
          <w:bCs/>
          <w:snapToGrid w:val="0"/>
          <w:sz w:val="24"/>
          <w:szCs w:val="27"/>
        </w:rPr>
        <w:t xml:space="preserve"> *** ***</w:t>
      </w:r>
      <w:r w:rsidR="00CB0EA1">
        <w:rPr>
          <w:rFonts w:ascii="Arial" w:hAnsi="Arial" w:cs="Arial"/>
          <w:bCs/>
          <w:snapToGrid w:val="0"/>
          <w:sz w:val="24"/>
          <w:szCs w:val="27"/>
        </w:rPr>
        <w:t xml:space="preserve"> (foja 27)</w:t>
      </w:r>
      <w:r w:rsidR="00A664E7">
        <w:rPr>
          <w:rFonts w:ascii="Arial" w:hAnsi="Arial" w:cs="Arial"/>
          <w:bCs/>
          <w:snapToGrid w:val="0"/>
          <w:sz w:val="24"/>
          <w:szCs w:val="27"/>
        </w:rPr>
        <w:t>,</w:t>
      </w:r>
      <w:r w:rsidR="00CB0EA1">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w:t>
      </w:r>
      <w:r w:rsidR="007228EB">
        <w:rPr>
          <w:rFonts w:ascii="Arial" w:hAnsi="Arial" w:cs="Arial"/>
          <w:bCs/>
          <w:snapToGrid w:val="0"/>
          <w:sz w:val="24"/>
          <w:szCs w:val="27"/>
        </w:rPr>
        <w:t>de manera</w:t>
      </w:r>
      <w:r w:rsidR="00CB0EA1">
        <w:rPr>
          <w:rFonts w:ascii="Arial" w:hAnsi="Arial" w:cs="Arial"/>
          <w:bCs/>
          <w:snapToGrid w:val="0"/>
          <w:sz w:val="24"/>
          <w:szCs w:val="27"/>
        </w:rPr>
        <w:t xml:space="preserve"> que </w:t>
      </w:r>
      <w:r w:rsidR="007228EB">
        <w:rPr>
          <w:rFonts w:ascii="Arial" w:hAnsi="Arial" w:cs="Arial"/>
          <w:bCs/>
          <w:snapToGrid w:val="0"/>
          <w:sz w:val="24"/>
          <w:szCs w:val="27"/>
        </w:rPr>
        <w:t>se</w:t>
      </w:r>
      <w:r w:rsidR="00B64EC3">
        <w:rPr>
          <w:rFonts w:ascii="Arial" w:hAnsi="Arial" w:cs="Arial"/>
          <w:bCs/>
          <w:snapToGrid w:val="0"/>
          <w:sz w:val="24"/>
          <w:szCs w:val="27"/>
        </w:rPr>
        <w:t xml:space="preserve"> acredita </w:t>
      </w:r>
      <w:r w:rsidR="00CB0EA1">
        <w:rPr>
          <w:rFonts w:ascii="Arial" w:hAnsi="Arial" w:cs="Arial"/>
          <w:bCs/>
          <w:snapToGrid w:val="0"/>
          <w:sz w:val="24"/>
          <w:szCs w:val="27"/>
        </w:rPr>
        <w:t xml:space="preserve">lo manifestado por la autoridad demandada en el </w:t>
      </w:r>
      <w:r w:rsidR="00780B90">
        <w:rPr>
          <w:rFonts w:ascii="Arial" w:hAnsi="Arial" w:cs="Arial"/>
          <w:bCs/>
          <w:snapToGrid w:val="0"/>
          <w:sz w:val="24"/>
          <w:szCs w:val="27"/>
        </w:rPr>
        <w:t>acto reclamado.</w:t>
      </w:r>
    </w:p>
    <w:p w14:paraId="3EA99D93" w14:textId="22CE5102" w:rsidR="00780B90" w:rsidRDefault="00780B90"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No obstante, debe decirse que conforme a los criterios emitidos por la Suprema Corte de Justicia de la Nación, las aportaciones que realice un trabajador al Fondo de Pensiones</w:t>
      </w:r>
      <w:r w:rsidR="005E2383">
        <w:rPr>
          <w:rFonts w:ascii="Arial" w:hAnsi="Arial" w:cs="Arial"/>
          <w:bCs/>
          <w:snapToGrid w:val="0"/>
          <w:sz w:val="24"/>
          <w:szCs w:val="27"/>
        </w:rPr>
        <w:t>,</w:t>
      </w:r>
      <w:r>
        <w:rPr>
          <w:rFonts w:ascii="Arial" w:hAnsi="Arial" w:cs="Arial"/>
          <w:bCs/>
          <w:snapToGrid w:val="0"/>
          <w:sz w:val="24"/>
          <w:szCs w:val="27"/>
        </w:rPr>
        <w:t xml:space="preserve"> </w:t>
      </w:r>
      <w:r w:rsidRPr="00780B90">
        <w:rPr>
          <w:rFonts w:ascii="Arial" w:hAnsi="Arial" w:cs="Arial"/>
          <w:bCs/>
          <w:snapToGrid w:val="0"/>
          <w:sz w:val="24"/>
          <w:szCs w:val="27"/>
        </w:rPr>
        <w:t>tiene como fin brindar certeza jurídica al trabajador sobre los recursos que pagarán su pensión</w:t>
      </w:r>
      <w:r>
        <w:rPr>
          <w:rFonts w:ascii="Arial" w:hAnsi="Arial" w:cs="Arial"/>
          <w:bCs/>
          <w:snapToGrid w:val="0"/>
          <w:sz w:val="24"/>
          <w:szCs w:val="27"/>
        </w:rPr>
        <w:t>, por ello, la cantidad monetaria ahí aportada es de su propiedad y no puede ser considerada como propiedad de la institución que administre tales ahorr</w:t>
      </w:r>
      <w:r w:rsidR="00A04DE9">
        <w:rPr>
          <w:rFonts w:ascii="Arial" w:hAnsi="Arial" w:cs="Arial"/>
          <w:bCs/>
          <w:snapToGrid w:val="0"/>
          <w:sz w:val="24"/>
          <w:szCs w:val="27"/>
        </w:rPr>
        <w:t xml:space="preserve">os. </w:t>
      </w:r>
    </w:p>
    <w:p w14:paraId="0740C7EC" w14:textId="0B9D527C" w:rsidR="00A04DE9" w:rsidRDefault="00297B09"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Por ello</w:t>
      </w:r>
      <w:r w:rsidR="00A04DE9">
        <w:rPr>
          <w:rFonts w:ascii="Arial" w:hAnsi="Arial" w:cs="Arial"/>
          <w:bCs/>
          <w:snapToGrid w:val="0"/>
          <w:sz w:val="24"/>
          <w:szCs w:val="27"/>
        </w:rPr>
        <w:t>, conforme a lo</w:t>
      </w:r>
      <w:r w:rsidR="00A04DE9" w:rsidRPr="00A04DE9">
        <w:rPr>
          <w:rFonts w:ascii="Arial" w:hAnsi="Arial" w:cs="Arial"/>
          <w:bCs/>
          <w:snapToGrid w:val="0"/>
          <w:sz w:val="24"/>
          <w:szCs w:val="27"/>
        </w:rPr>
        <w:t>s principios de seguridad</w:t>
      </w:r>
      <w:r>
        <w:rPr>
          <w:rFonts w:ascii="Arial" w:hAnsi="Arial" w:cs="Arial"/>
          <w:bCs/>
          <w:snapToGrid w:val="0"/>
          <w:sz w:val="24"/>
          <w:szCs w:val="27"/>
        </w:rPr>
        <w:t xml:space="preserve">, </w:t>
      </w:r>
      <w:r w:rsidR="00A04DE9" w:rsidRPr="00A04DE9">
        <w:rPr>
          <w:rFonts w:ascii="Arial" w:hAnsi="Arial" w:cs="Arial"/>
          <w:bCs/>
          <w:snapToGrid w:val="0"/>
          <w:sz w:val="24"/>
          <w:szCs w:val="27"/>
        </w:rPr>
        <w:t>certeza jurídica</w:t>
      </w:r>
      <w:r>
        <w:rPr>
          <w:rFonts w:ascii="Arial" w:hAnsi="Arial" w:cs="Arial"/>
          <w:bCs/>
          <w:snapToGrid w:val="0"/>
          <w:sz w:val="24"/>
          <w:szCs w:val="27"/>
        </w:rPr>
        <w:t xml:space="preserve"> y legalidad</w:t>
      </w:r>
      <w:r w:rsidR="00A04DE9" w:rsidRPr="00A04DE9">
        <w:rPr>
          <w:rFonts w:ascii="Arial" w:hAnsi="Arial" w:cs="Arial"/>
          <w:bCs/>
          <w:snapToGrid w:val="0"/>
          <w:sz w:val="24"/>
          <w:szCs w:val="27"/>
        </w:rPr>
        <w:t xml:space="preserve"> contenidos en los artículos 14 y 16 de la Constitución Política de los Estados Unidos Mexicanos</w:t>
      </w:r>
      <w:r w:rsidR="00A04DE9">
        <w:rPr>
          <w:rFonts w:ascii="Arial" w:hAnsi="Arial" w:cs="Arial"/>
          <w:bCs/>
          <w:snapToGrid w:val="0"/>
          <w:sz w:val="24"/>
          <w:szCs w:val="27"/>
        </w:rPr>
        <w:t xml:space="preserve">, </w:t>
      </w:r>
      <w:r w:rsidR="005E7231">
        <w:rPr>
          <w:rFonts w:ascii="Arial" w:hAnsi="Arial" w:cs="Arial"/>
          <w:bCs/>
          <w:snapToGrid w:val="0"/>
          <w:sz w:val="24"/>
          <w:szCs w:val="27"/>
        </w:rPr>
        <w:t>se advierte q</w:t>
      </w:r>
      <w:r w:rsidR="003A382C">
        <w:rPr>
          <w:rFonts w:ascii="Arial" w:hAnsi="Arial" w:cs="Arial"/>
          <w:bCs/>
          <w:snapToGrid w:val="0"/>
          <w:sz w:val="24"/>
          <w:szCs w:val="27"/>
        </w:rPr>
        <w:t>ue el</w:t>
      </w:r>
      <w:r w:rsidR="005E7231">
        <w:rPr>
          <w:rFonts w:ascii="Arial" w:hAnsi="Arial" w:cs="Arial"/>
          <w:bCs/>
          <w:snapToGrid w:val="0"/>
          <w:sz w:val="24"/>
          <w:szCs w:val="27"/>
        </w:rPr>
        <w:t xml:space="preserve"> artículo </w:t>
      </w:r>
      <w:r w:rsidR="00353FB9">
        <w:rPr>
          <w:rFonts w:ascii="Arial" w:hAnsi="Arial" w:cs="Arial"/>
          <w:bCs/>
          <w:snapToGrid w:val="0"/>
          <w:sz w:val="24"/>
          <w:szCs w:val="27"/>
        </w:rPr>
        <w:t xml:space="preserve">63 de la Ley </w:t>
      </w:r>
      <w:r w:rsidR="00353FB9" w:rsidRPr="00413E7C">
        <w:rPr>
          <w:rFonts w:ascii="Arial" w:hAnsi="Arial" w:cs="Arial"/>
          <w:bCs/>
          <w:snapToGrid w:val="0"/>
          <w:sz w:val="24"/>
          <w:szCs w:val="27"/>
        </w:rPr>
        <w:t>de Pensiones para los Trabajadores del Gobierno del Estado de Oaxaca</w:t>
      </w:r>
      <w:r w:rsidR="00353FB9">
        <w:rPr>
          <w:rFonts w:ascii="Arial" w:hAnsi="Arial" w:cs="Arial"/>
          <w:bCs/>
          <w:snapToGrid w:val="0"/>
          <w:sz w:val="24"/>
          <w:szCs w:val="27"/>
        </w:rPr>
        <w:t xml:space="preserve">, </w:t>
      </w:r>
      <w:r w:rsidR="005E7231">
        <w:rPr>
          <w:rFonts w:ascii="Arial" w:hAnsi="Arial" w:cs="Arial"/>
          <w:bCs/>
          <w:snapToGrid w:val="0"/>
          <w:sz w:val="24"/>
          <w:szCs w:val="27"/>
        </w:rPr>
        <w:t xml:space="preserve">que prevé el plazo de tres años para solicitar la devolución, </w:t>
      </w:r>
      <w:r w:rsidR="003A382C" w:rsidRPr="003A382C">
        <w:rPr>
          <w:rFonts w:ascii="Arial" w:hAnsi="Arial" w:cs="Arial"/>
          <w:bCs/>
          <w:snapToGrid w:val="0"/>
          <w:sz w:val="24"/>
          <w:szCs w:val="27"/>
        </w:rPr>
        <w:t>a partir "</w:t>
      </w:r>
      <w:r w:rsidR="003A382C" w:rsidRPr="00353FB9">
        <w:rPr>
          <w:rFonts w:ascii="Arial" w:hAnsi="Arial" w:cs="Arial"/>
          <w:bCs/>
          <w:i/>
          <w:iCs/>
          <w:snapToGrid w:val="0"/>
          <w:sz w:val="24"/>
          <w:szCs w:val="27"/>
        </w:rPr>
        <w:t>de que sean exigibles"</w:t>
      </w:r>
      <w:r w:rsidR="003A382C" w:rsidRPr="003A382C">
        <w:rPr>
          <w:rFonts w:ascii="Arial" w:hAnsi="Arial" w:cs="Arial"/>
          <w:bCs/>
          <w:snapToGrid w:val="0"/>
          <w:sz w:val="24"/>
          <w:szCs w:val="27"/>
        </w:rPr>
        <w:t>, contravi</w:t>
      </w:r>
      <w:r w:rsidR="00353FB9">
        <w:rPr>
          <w:rFonts w:ascii="Arial" w:hAnsi="Arial" w:cs="Arial"/>
          <w:bCs/>
          <w:snapToGrid w:val="0"/>
          <w:sz w:val="24"/>
          <w:szCs w:val="27"/>
        </w:rPr>
        <w:t>ene</w:t>
      </w:r>
      <w:r w:rsidR="003A382C" w:rsidRPr="003A382C">
        <w:rPr>
          <w:rFonts w:ascii="Arial" w:hAnsi="Arial" w:cs="Arial"/>
          <w:bCs/>
          <w:snapToGrid w:val="0"/>
          <w:sz w:val="24"/>
          <w:szCs w:val="27"/>
        </w:rPr>
        <w:t xml:space="preserve"> los mencionados principios de seguridad</w:t>
      </w:r>
      <w:r w:rsidR="00353FB9">
        <w:rPr>
          <w:rFonts w:ascii="Arial" w:hAnsi="Arial" w:cs="Arial"/>
          <w:bCs/>
          <w:snapToGrid w:val="0"/>
          <w:sz w:val="24"/>
          <w:szCs w:val="27"/>
        </w:rPr>
        <w:t xml:space="preserve">, </w:t>
      </w:r>
      <w:r w:rsidR="003A382C" w:rsidRPr="003A382C">
        <w:rPr>
          <w:rFonts w:ascii="Arial" w:hAnsi="Arial" w:cs="Arial"/>
          <w:bCs/>
          <w:snapToGrid w:val="0"/>
          <w:sz w:val="24"/>
          <w:szCs w:val="27"/>
        </w:rPr>
        <w:t>certeza jurídica</w:t>
      </w:r>
      <w:r w:rsidR="00353FB9">
        <w:rPr>
          <w:rFonts w:ascii="Arial" w:hAnsi="Arial" w:cs="Arial"/>
          <w:bCs/>
          <w:snapToGrid w:val="0"/>
          <w:sz w:val="24"/>
          <w:szCs w:val="27"/>
        </w:rPr>
        <w:t xml:space="preserve"> y legalidad</w:t>
      </w:r>
      <w:r w:rsidR="003A382C" w:rsidRPr="003A382C">
        <w:rPr>
          <w:rFonts w:ascii="Arial" w:hAnsi="Arial" w:cs="Arial"/>
          <w:bCs/>
          <w:snapToGrid w:val="0"/>
          <w:sz w:val="24"/>
          <w:szCs w:val="27"/>
        </w:rPr>
        <w:t xml:space="preserve">, </w:t>
      </w:r>
      <w:r w:rsidR="00353FB9">
        <w:rPr>
          <w:rFonts w:ascii="Arial" w:hAnsi="Arial" w:cs="Arial"/>
          <w:bCs/>
          <w:snapToGrid w:val="0"/>
          <w:sz w:val="24"/>
          <w:szCs w:val="27"/>
        </w:rPr>
        <w:t xml:space="preserve">toda vez que el numeral </w:t>
      </w:r>
      <w:r w:rsidR="003A382C" w:rsidRPr="003A382C">
        <w:rPr>
          <w:rFonts w:ascii="Arial" w:hAnsi="Arial" w:cs="Arial"/>
          <w:bCs/>
          <w:snapToGrid w:val="0"/>
          <w:sz w:val="24"/>
          <w:szCs w:val="27"/>
        </w:rPr>
        <w:t xml:space="preserve"> </w:t>
      </w:r>
      <w:r w:rsidR="00353FB9">
        <w:rPr>
          <w:rFonts w:ascii="Arial" w:hAnsi="Arial" w:cs="Arial"/>
          <w:bCs/>
          <w:snapToGrid w:val="0"/>
          <w:sz w:val="24"/>
          <w:szCs w:val="27"/>
        </w:rPr>
        <w:t xml:space="preserve">antes referido, no </w:t>
      </w:r>
      <w:r w:rsidR="003A382C" w:rsidRPr="003A382C">
        <w:rPr>
          <w:rFonts w:ascii="Arial" w:hAnsi="Arial" w:cs="Arial"/>
          <w:bCs/>
          <w:snapToGrid w:val="0"/>
          <w:sz w:val="24"/>
          <w:szCs w:val="27"/>
        </w:rPr>
        <w:t>señal</w:t>
      </w:r>
      <w:r w:rsidR="00353FB9">
        <w:rPr>
          <w:rFonts w:ascii="Arial" w:hAnsi="Arial" w:cs="Arial"/>
          <w:bCs/>
          <w:snapToGrid w:val="0"/>
          <w:sz w:val="24"/>
          <w:szCs w:val="27"/>
        </w:rPr>
        <w:t>a</w:t>
      </w:r>
      <w:r w:rsidR="003A382C" w:rsidRPr="003A382C">
        <w:rPr>
          <w:rFonts w:ascii="Arial" w:hAnsi="Arial" w:cs="Arial"/>
          <w:bCs/>
          <w:snapToGrid w:val="0"/>
          <w:sz w:val="24"/>
          <w:szCs w:val="27"/>
        </w:rPr>
        <w:t xml:space="preserve"> con precisión el momento en que comenzará a contar dicho plazo prescriptivo, </w:t>
      </w:r>
      <w:r w:rsidR="00353FB9">
        <w:rPr>
          <w:rFonts w:ascii="Arial" w:hAnsi="Arial" w:cs="Arial"/>
          <w:bCs/>
          <w:snapToGrid w:val="0"/>
          <w:sz w:val="24"/>
          <w:szCs w:val="27"/>
        </w:rPr>
        <w:t>además que</w:t>
      </w:r>
      <w:r w:rsidR="003A382C" w:rsidRPr="003A382C">
        <w:rPr>
          <w:rFonts w:ascii="Arial" w:hAnsi="Arial" w:cs="Arial"/>
          <w:bCs/>
          <w:snapToGrid w:val="0"/>
          <w:sz w:val="24"/>
          <w:szCs w:val="27"/>
        </w:rPr>
        <w:t xml:space="preserve"> no prevé </w:t>
      </w:r>
      <w:r w:rsidR="00353FB9">
        <w:rPr>
          <w:rFonts w:ascii="Arial" w:hAnsi="Arial" w:cs="Arial"/>
          <w:bCs/>
          <w:snapToGrid w:val="0"/>
          <w:sz w:val="24"/>
          <w:szCs w:val="27"/>
        </w:rPr>
        <w:t xml:space="preserve">que dicha situación pueda ser </w:t>
      </w:r>
      <w:r w:rsidR="003A382C" w:rsidRPr="003A382C">
        <w:rPr>
          <w:rFonts w:ascii="Arial" w:hAnsi="Arial" w:cs="Arial"/>
          <w:bCs/>
          <w:snapToGrid w:val="0"/>
          <w:sz w:val="24"/>
          <w:szCs w:val="27"/>
        </w:rPr>
        <w:t xml:space="preserve"> </w:t>
      </w:r>
      <w:r w:rsidR="00353FB9">
        <w:rPr>
          <w:rFonts w:ascii="Arial" w:hAnsi="Arial" w:cs="Arial"/>
          <w:bCs/>
          <w:snapToGrid w:val="0"/>
          <w:sz w:val="24"/>
          <w:szCs w:val="27"/>
        </w:rPr>
        <w:t>notificada</w:t>
      </w:r>
      <w:r w:rsidR="003A382C" w:rsidRPr="003A382C">
        <w:rPr>
          <w:rFonts w:ascii="Arial" w:hAnsi="Arial" w:cs="Arial"/>
          <w:bCs/>
          <w:snapToGrid w:val="0"/>
          <w:sz w:val="24"/>
          <w:szCs w:val="27"/>
        </w:rPr>
        <w:t xml:space="preserve"> al asegurado o a sus beneficiarios, a efecto de evitar que opere la prescripción de su derecho a disponer de los recursos </w:t>
      </w:r>
      <w:r w:rsidR="003A382C">
        <w:rPr>
          <w:rFonts w:ascii="Arial" w:hAnsi="Arial" w:cs="Arial"/>
          <w:bCs/>
          <w:snapToGrid w:val="0"/>
          <w:sz w:val="24"/>
          <w:szCs w:val="27"/>
        </w:rPr>
        <w:t>aportados</w:t>
      </w:r>
      <w:r w:rsidR="003A382C" w:rsidRPr="003A382C">
        <w:rPr>
          <w:rFonts w:ascii="Arial" w:hAnsi="Arial" w:cs="Arial"/>
          <w:bCs/>
          <w:snapToGrid w:val="0"/>
          <w:sz w:val="24"/>
          <w:szCs w:val="27"/>
        </w:rPr>
        <w:t>, lo que evidencia la incertidumbre jurídica</w:t>
      </w:r>
      <w:r w:rsidR="00353FB9">
        <w:rPr>
          <w:rFonts w:ascii="Arial" w:hAnsi="Arial" w:cs="Arial"/>
          <w:bCs/>
          <w:snapToGrid w:val="0"/>
          <w:sz w:val="24"/>
          <w:szCs w:val="27"/>
        </w:rPr>
        <w:t xml:space="preserve"> que genera el artículo referido,</w:t>
      </w:r>
      <w:r w:rsidR="003A382C" w:rsidRPr="003A382C">
        <w:rPr>
          <w:rFonts w:ascii="Arial" w:hAnsi="Arial" w:cs="Arial"/>
          <w:bCs/>
          <w:snapToGrid w:val="0"/>
          <w:sz w:val="24"/>
          <w:szCs w:val="27"/>
        </w:rPr>
        <w:t xml:space="preserve"> </w:t>
      </w:r>
      <w:r w:rsidR="00353FB9">
        <w:rPr>
          <w:rFonts w:ascii="Arial" w:hAnsi="Arial" w:cs="Arial"/>
          <w:bCs/>
          <w:snapToGrid w:val="0"/>
          <w:sz w:val="24"/>
          <w:szCs w:val="27"/>
        </w:rPr>
        <w:t>y que también es una</w:t>
      </w:r>
      <w:r w:rsidR="003A382C" w:rsidRPr="003A382C">
        <w:rPr>
          <w:rFonts w:ascii="Arial" w:hAnsi="Arial" w:cs="Arial"/>
          <w:bCs/>
          <w:snapToGrid w:val="0"/>
          <w:sz w:val="24"/>
          <w:szCs w:val="27"/>
        </w:rPr>
        <w:t xml:space="preserve"> violación a la garantía de seguridad social que consagra el artículo 123, Apartado B, fracción XI, </w:t>
      </w:r>
      <w:r w:rsidR="00353FB9">
        <w:rPr>
          <w:rFonts w:ascii="Arial" w:hAnsi="Arial" w:cs="Arial"/>
          <w:bCs/>
          <w:snapToGrid w:val="0"/>
          <w:sz w:val="24"/>
          <w:szCs w:val="27"/>
        </w:rPr>
        <w:t>de la Constitución Política de los Estados Unidos Mexicanos</w:t>
      </w:r>
      <w:r w:rsidR="003A382C" w:rsidRPr="003A382C">
        <w:rPr>
          <w:rFonts w:ascii="Arial" w:hAnsi="Arial" w:cs="Arial"/>
          <w:bCs/>
          <w:snapToGrid w:val="0"/>
          <w:sz w:val="24"/>
          <w:szCs w:val="27"/>
        </w:rPr>
        <w:t>, al privar a los trabajadores de disponer en su momento</w:t>
      </w:r>
      <w:r w:rsidR="00353FB9">
        <w:rPr>
          <w:rFonts w:ascii="Arial" w:hAnsi="Arial" w:cs="Arial"/>
          <w:bCs/>
          <w:snapToGrid w:val="0"/>
          <w:sz w:val="24"/>
          <w:szCs w:val="27"/>
        </w:rPr>
        <w:t>,</w:t>
      </w:r>
      <w:r w:rsidR="003A382C" w:rsidRPr="003A382C">
        <w:rPr>
          <w:rFonts w:ascii="Arial" w:hAnsi="Arial" w:cs="Arial"/>
          <w:bCs/>
          <w:snapToGrid w:val="0"/>
          <w:sz w:val="24"/>
          <w:szCs w:val="27"/>
        </w:rPr>
        <w:t xml:space="preserve"> de los recursos acumulados en la cuenta</w:t>
      </w:r>
      <w:r w:rsidR="00353FB9">
        <w:rPr>
          <w:rFonts w:ascii="Arial" w:hAnsi="Arial" w:cs="Arial"/>
          <w:bCs/>
          <w:snapToGrid w:val="0"/>
          <w:sz w:val="24"/>
          <w:szCs w:val="27"/>
        </w:rPr>
        <w:t xml:space="preserve"> de ahorro</w:t>
      </w:r>
      <w:r w:rsidR="003A382C" w:rsidRPr="003A382C">
        <w:rPr>
          <w:rFonts w:ascii="Arial" w:hAnsi="Arial" w:cs="Arial"/>
          <w:bCs/>
          <w:snapToGrid w:val="0"/>
          <w:sz w:val="24"/>
          <w:szCs w:val="27"/>
        </w:rPr>
        <w:t xml:space="preserve"> para contar con una pensión, máxime que el derecho a ésta es imprescriptible.</w:t>
      </w:r>
    </w:p>
    <w:p w14:paraId="79CCD4B3" w14:textId="20002BC5" w:rsidR="003A382C" w:rsidRDefault="003A382C" w:rsidP="003A382C">
      <w:pPr>
        <w:spacing w:line="360" w:lineRule="auto"/>
        <w:ind w:firstLine="567"/>
        <w:jc w:val="both"/>
        <w:rPr>
          <w:rFonts w:ascii="Arial" w:hAnsi="Arial" w:cs="Arial"/>
          <w:bCs/>
          <w:snapToGrid w:val="0"/>
          <w:sz w:val="24"/>
          <w:szCs w:val="27"/>
        </w:rPr>
      </w:pPr>
      <w:r>
        <w:rPr>
          <w:rFonts w:ascii="Arial" w:hAnsi="Arial" w:cs="Arial"/>
          <w:bCs/>
          <w:snapToGrid w:val="0"/>
          <w:sz w:val="24"/>
          <w:szCs w:val="27"/>
        </w:rPr>
        <w:t>Sirve de sustento a lo anterior por analogía sustancial la jurisprudencia</w:t>
      </w:r>
      <w:r w:rsidR="00F04B5A">
        <w:rPr>
          <w:rStyle w:val="Refdenotaalpie"/>
          <w:rFonts w:ascii="Arial" w:hAnsi="Arial" w:cs="Arial"/>
          <w:bCs/>
          <w:snapToGrid w:val="0"/>
          <w:sz w:val="24"/>
          <w:szCs w:val="27"/>
        </w:rPr>
        <w:footnoteReference w:id="1"/>
      </w:r>
      <w:r>
        <w:rPr>
          <w:rFonts w:ascii="Arial" w:hAnsi="Arial" w:cs="Arial"/>
          <w:bCs/>
          <w:snapToGrid w:val="0"/>
          <w:sz w:val="24"/>
          <w:szCs w:val="27"/>
        </w:rPr>
        <w:t>, bajo el rubro y texto siguiente:</w:t>
      </w:r>
    </w:p>
    <w:p w14:paraId="4E5C00E8" w14:textId="3B06F0F2" w:rsidR="003A382C" w:rsidRPr="00F54425" w:rsidRDefault="00F54425" w:rsidP="00F54425">
      <w:pPr>
        <w:ind w:left="567"/>
        <w:jc w:val="both"/>
        <w:rPr>
          <w:rFonts w:ascii="Arial" w:hAnsi="Arial" w:cs="Arial"/>
          <w:bCs/>
          <w:i/>
          <w:snapToGrid w:val="0"/>
          <w:sz w:val="24"/>
          <w:szCs w:val="27"/>
        </w:rPr>
      </w:pPr>
      <w:r>
        <w:rPr>
          <w:rFonts w:ascii="Arial" w:hAnsi="Arial" w:cs="Arial"/>
          <w:b/>
          <w:bCs/>
          <w:i/>
          <w:snapToGrid w:val="0"/>
          <w:sz w:val="24"/>
          <w:szCs w:val="27"/>
        </w:rPr>
        <w:t>“</w:t>
      </w:r>
      <w:r w:rsidR="003A382C" w:rsidRPr="00F54425">
        <w:rPr>
          <w:rFonts w:ascii="Arial" w:hAnsi="Arial" w:cs="Arial"/>
          <w:b/>
          <w:bCs/>
          <w:i/>
          <w:snapToGrid w:val="0"/>
          <w:sz w:val="24"/>
          <w:szCs w:val="27"/>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 VIGENTE A PARTIR DEL 1o. DE ABRIL DE 2007).</w:t>
      </w:r>
      <w:r w:rsidR="003A382C" w:rsidRPr="00F54425">
        <w:rPr>
          <w:rFonts w:ascii="Arial" w:hAnsi="Arial" w:cs="Arial"/>
          <w:bCs/>
          <w:i/>
          <w:snapToGrid w:val="0"/>
          <w:sz w:val="24"/>
          <w:szCs w:val="27"/>
        </w:rPr>
        <w:t xml:space="preserve"> La Suprema Corte de Justicia de la Nación, en diversos precedentes ha reconocido que los principios de seguridad y certeza jurídica contenidos en los artículos 14 y 16 de la Constitución Política de los Estados Unidos Mexicanos,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w:t>
      </w:r>
      <w:r w:rsidR="003A382C" w:rsidRPr="00F54425">
        <w:rPr>
          <w:rFonts w:ascii="Arial" w:hAnsi="Arial" w:cs="Arial"/>
          <w:bCs/>
          <w:i/>
          <w:snapToGrid w:val="0"/>
          <w:sz w:val="24"/>
          <w:szCs w:val="27"/>
        </w:rPr>
        <w:lastRenderedPageBreak/>
        <w:t>forma tal que se impida a la autoridad aplicadora actuar de manera arbitraria o caprichosa. Por su parte, el sistema de cuentas individuales contenido en la Ley del Instituto de Seguridad y Servicios Sociales de los Trabajadores del Estado, tiene como fin brindar certeza jurídica al trabajador sobre los recursos que pagarán su pensión, ya que la cuenta individual es de su propiedad; también se establecen distintas modalidades para que los asegurados puedan retirar los recursos de dicha cuenta individual; sin embargo, el artículo 251 prevé que el derecho a disponer de los mismos prescribirá a favor del Instituto en un plazo de 10 años 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de su cuenta individual, lo que evidencia la incertidumbre jurídica sobre el particular y la violación a la garantía de seguridad social que consagra el artículo 123, Apartado B, fracción XI, constitucional, al privar a los trabajadores de disponer en su momento de los recursos acumulados en la referida cuenta para contar con una pensión, máxime que el derecho a ésta es imprescriptible.</w:t>
      </w:r>
      <w:r>
        <w:rPr>
          <w:rFonts w:ascii="Arial" w:hAnsi="Arial" w:cs="Arial"/>
          <w:bCs/>
          <w:i/>
          <w:snapToGrid w:val="0"/>
          <w:sz w:val="24"/>
          <w:szCs w:val="27"/>
        </w:rPr>
        <w:t>”</w:t>
      </w:r>
    </w:p>
    <w:p w14:paraId="4666225F" w14:textId="57C98E44" w:rsidR="003A382C" w:rsidRDefault="003A382C" w:rsidP="003A382C">
      <w:pPr>
        <w:spacing w:line="360" w:lineRule="auto"/>
        <w:ind w:firstLine="567"/>
        <w:jc w:val="both"/>
        <w:rPr>
          <w:rFonts w:ascii="Arial" w:hAnsi="Arial" w:cs="Arial"/>
          <w:bCs/>
          <w:snapToGrid w:val="0"/>
          <w:sz w:val="24"/>
          <w:szCs w:val="27"/>
        </w:rPr>
      </w:pPr>
      <w:r>
        <w:rPr>
          <w:rFonts w:ascii="Arial" w:hAnsi="Arial" w:cs="Arial"/>
          <w:bCs/>
          <w:snapToGrid w:val="0"/>
          <w:sz w:val="24"/>
          <w:szCs w:val="27"/>
        </w:rPr>
        <w:t>En tales consideraciones</w:t>
      </w:r>
      <w:r w:rsidR="00104A95">
        <w:rPr>
          <w:rFonts w:ascii="Arial" w:hAnsi="Arial" w:cs="Arial"/>
          <w:bCs/>
          <w:snapToGrid w:val="0"/>
          <w:sz w:val="24"/>
          <w:szCs w:val="27"/>
        </w:rPr>
        <w:t>,</w:t>
      </w:r>
      <w:r>
        <w:rPr>
          <w:rFonts w:ascii="Arial" w:hAnsi="Arial" w:cs="Arial"/>
          <w:bCs/>
          <w:snapToGrid w:val="0"/>
          <w:sz w:val="24"/>
          <w:szCs w:val="27"/>
        </w:rPr>
        <w:t xml:space="preserve"> </w:t>
      </w:r>
      <w:r w:rsidR="00A90874">
        <w:rPr>
          <w:rFonts w:ascii="Arial" w:hAnsi="Arial" w:cs="Arial"/>
          <w:bCs/>
          <w:snapToGrid w:val="0"/>
          <w:sz w:val="24"/>
          <w:szCs w:val="27"/>
        </w:rPr>
        <w:t xml:space="preserve">resulta incorrecto lo asentado por la autoridad demandada en el </w:t>
      </w:r>
      <w:r w:rsidR="00104A95">
        <w:rPr>
          <w:rFonts w:ascii="Arial" w:hAnsi="Arial" w:cs="Arial"/>
          <w:bCs/>
          <w:snapToGrid w:val="0"/>
          <w:sz w:val="24"/>
          <w:szCs w:val="27"/>
        </w:rPr>
        <w:t>acto impugnado</w:t>
      </w:r>
      <w:r w:rsidR="00A90874">
        <w:rPr>
          <w:rFonts w:ascii="Arial" w:hAnsi="Arial" w:cs="Arial"/>
          <w:bCs/>
          <w:snapToGrid w:val="0"/>
          <w:sz w:val="24"/>
          <w:szCs w:val="27"/>
        </w:rPr>
        <w:t xml:space="preserve">, por lo </w:t>
      </w:r>
      <w:r w:rsidR="001F2C27">
        <w:rPr>
          <w:rFonts w:ascii="Arial" w:hAnsi="Arial" w:cs="Arial"/>
          <w:bCs/>
          <w:snapToGrid w:val="0"/>
          <w:sz w:val="24"/>
          <w:szCs w:val="27"/>
        </w:rPr>
        <w:t>que,</w:t>
      </w:r>
      <w:r w:rsidR="00A90874">
        <w:rPr>
          <w:rFonts w:ascii="Arial" w:hAnsi="Arial" w:cs="Arial"/>
          <w:bCs/>
          <w:snapToGrid w:val="0"/>
          <w:sz w:val="24"/>
          <w:szCs w:val="27"/>
        </w:rPr>
        <w:t xml:space="preserve"> </w:t>
      </w:r>
      <w:r w:rsidR="00104A95">
        <w:rPr>
          <w:rFonts w:ascii="Arial" w:hAnsi="Arial" w:cs="Arial"/>
          <w:bCs/>
          <w:snapToGrid w:val="0"/>
          <w:sz w:val="24"/>
          <w:szCs w:val="27"/>
        </w:rPr>
        <w:t xml:space="preserve">para </w:t>
      </w:r>
      <w:r w:rsidR="00A90874">
        <w:rPr>
          <w:rFonts w:ascii="Arial" w:hAnsi="Arial" w:cs="Arial"/>
          <w:bCs/>
          <w:snapToGrid w:val="0"/>
          <w:sz w:val="24"/>
          <w:szCs w:val="27"/>
        </w:rPr>
        <w:t xml:space="preserve">restituir al </w:t>
      </w:r>
      <w:r w:rsidR="000C74C4">
        <w:rPr>
          <w:rFonts w:ascii="Arial" w:hAnsi="Arial" w:cs="Arial"/>
          <w:bCs/>
          <w:snapToGrid w:val="0"/>
          <w:sz w:val="24"/>
          <w:szCs w:val="27"/>
        </w:rPr>
        <w:t>administrado en sus derechos vulnerados</w:t>
      </w:r>
      <w:r w:rsidR="00104A95">
        <w:rPr>
          <w:rFonts w:ascii="Arial" w:hAnsi="Arial" w:cs="Arial"/>
          <w:bCs/>
          <w:snapToGrid w:val="0"/>
          <w:sz w:val="24"/>
          <w:szCs w:val="27"/>
        </w:rPr>
        <w:t>,</w:t>
      </w:r>
      <w:r w:rsidR="000C74C4">
        <w:rPr>
          <w:rFonts w:ascii="Arial" w:hAnsi="Arial" w:cs="Arial"/>
          <w:bCs/>
          <w:snapToGrid w:val="0"/>
          <w:sz w:val="24"/>
          <w:szCs w:val="27"/>
        </w:rPr>
        <w:t xml:space="preserve"> lo procedente es otorgar la devolución de las aportaciones hecha</w:t>
      </w:r>
      <w:r w:rsidR="00104A95">
        <w:rPr>
          <w:rFonts w:ascii="Arial" w:hAnsi="Arial" w:cs="Arial"/>
          <w:bCs/>
          <w:snapToGrid w:val="0"/>
          <w:sz w:val="24"/>
          <w:szCs w:val="27"/>
        </w:rPr>
        <w:t>s</w:t>
      </w:r>
      <w:r w:rsidR="000C74C4">
        <w:rPr>
          <w:rFonts w:ascii="Arial" w:hAnsi="Arial" w:cs="Arial"/>
          <w:bCs/>
          <w:snapToGrid w:val="0"/>
          <w:sz w:val="24"/>
          <w:szCs w:val="27"/>
        </w:rPr>
        <w:t xml:space="preserve"> al Fondo de Pensiones.</w:t>
      </w:r>
    </w:p>
    <w:p w14:paraId="037884BF" w14:textId="5E69391D" w:rsidR="00F2683E" w:rsidRPr="00F2683E" w:rsidRDefault="001F2C27" w:rsidP="00ED7C96">
      <w:pPr>
        <w:spacing w:line="360" w:lineRule="auto"/>
        <w:ind w:firstLine="567"/>
        <w:jc w:val="both"/>
        <w:rPr>
          <w:rFonts w:ascii="Arial" w:hAnsi="Arial" w:cs="Arial"/>
          <w:bCs/>
          <w:snapToGrid w:val="0"/>
          <w:sz w:val="24"/>
          <w:szCs w:val="27"/>
        </w:rPr>
      </w:pPr>
      <w:r>
        <w:rPr>
          <w:rFonts w:ascii="Arial" w:hAnsi="Arial" w:cs="Arial"/>
          <w:bCs/>
          <w:snapToGrid w:val="0"/>
          <w:sz w:val="24"/>
          <w:szCs w:val="27"/>
        </w:rPr>
        <w:t>Refuerza a lo anterior</w:t>
      </w:r>
      <w:r w:rsidR="00F2683E" w:rsidRPr="00F2683E">
        <w:rPr>
          <w:rFonts w:ascii="Arial" w:hAnsi="Arial" w:cs="Arial"/>
          <w:bCs/>
          <w:snapToGrid w:val="0"/>
          <w:sz w:val="24"/>
          <w:szCs w:val="27"/>
        </w:rPr>
        <w:t xml:space="preserve">, </w:t>
      </w:r>
      <w:r>
        <w:rPr>
          <w:rFonts w:ascii="Arial" w:hAnsi="Arial" w:cs="Arial"/>
          <w:bCs/>
          <w:snapToGrid w:val="0"/>
          <w:sz w:val="24"/>
          <w:szCs w:val="27"/>
        </w:rPr>
        <w:t>el hecho de que, el actor, fue un trabajador de confianza, y que la autoridad demandada al negarle la devolución de las aportaciones hechas al Fondo de Pensiones,</w:t>
      </w:r>
      <w:r w:rsidR="00F2683E" w:rsidRPr="00F2683E">
        <w:rPr>
          <w:rFonts w:ascii="Arial" w:hAnsi="Arial" w:cs="Arial"/>
          <w:bCs/>
          <w:snapToGrid w:val="0"/>
          <w:sz w:val="24"/>
          <w:szCs w:val="27"/>
        </w:rPr>
        <w:t xml:space="preserve"> </w:t>
      </w:r>
      <w:r>
        <w:rPr>
          <w:rFonts w:ascii="Arial" w:hAnsi="Arial" w:cs="Arial"/>
          <w:bCs/>
          <w:snapToGrid w:val="0"/>
          <w:sz w:val="24"/>
          <w:szCs w:val="27"/>
        </w:rPr>
        <w:t xml:space="preserve">no respetó lo estipulado en el artículo 64 </w:t>
      </w:r>
      <w:r w:rsidRPr="00F2683E">
        <w:rPr>
          <w:rFonts w:ascii="Arial" w:hAnsi="Arial" w:cs="Arial"/>
          <w:bCs/>
          <w:snapToGrid w:val="0"/>
          <w:sz w:val="24"/>
          <w:szCs w:val="27"/>
        </w:rPr>
        <w:t>de la Ley de Pensiones para los Trabajadores del Gobierno del Estad</w:t>
      </w:r>
      <w:r>
        <w:rPr>
          <w:rFonts w:ascii="Arial" w:hAnsi="Arial" w:cs="Arial"/>
          <w:bCs/>
          <w:snapToGrid w:val="0"/>
          <w:sz w:val="24"/>
          <w:szCs w:val="27"/>
        </w:rPr>
        <w:t>o de Oaxaca, y que tal omisión</w:t>
      </w:r>
      <w:r w:rsidRPr="00F2683E">
        <w:rPr>
          <w:rFonts w:ascii="Arial" w:hAnsi="Arial" w:cs="Arial"/>
          <w:bCs/>
          <w:snapToGrid w:val="0"/>
          <w:sz w:val="24"/>
          <w:szCs w:val="27"/>
        </w:rPr>
        <w:t xml:space="preserve"> </w:t>
      </w:r>
      <w:r w:rsidR="00F2683E" w:rsidRPr="00F2683E">
        <w:rPr>
          <w:rFonts w:ascii="Arial" w:hAnsi="Arial" w:cs="Arial"/>
          <w:bCs/>
          <w:snapToGrid w:val="0"/>
          <w:sz w:val="24"/>
          <w:szCs w:val="27"/>
        </w:rPr>
        <w:t>resulta ser discriminatorio del derecho humano de igualdad laboral consagrado en el artículo 123, apartado B, fracción V</w:t>
      </w:r>
      <w:r w:rsidR="00B64EC3">
        <w:rPr>
          <w:rFonts w:ascii="Arial" w:hAnsi="Arial" w:cs="Arial"/>
          <w:bCs/>
          <w:snapToGrid w:val="0"/>
          <w:sz w:val="24"/>
          <w:szCs w:val="27"/>
        </w:rPr>
        <w:t xml:space="preserve">, </w:t>
      </w:r>
      <w:r w:rsidR="00F2683E" w:rsidRPr="00F2683E">
        <w:rPr>
          <w:rFonts w:ascii="Arial" w:hAnsi="Arial" w:cs="Arial"/>
          <w:bCs/>
          <w:snapToGrid w:val="0"/>
          <w:sz w:val="24"/>
          <w:szCs w:val="27"/>
        </w:rPr>
        <w:t xml:space="preserve">de la Constitución Política de los Estados Unidos Mexicanos y en el artículo 23 de la Declaración Universal de los Derechos Humanos, toda vez que dichos ordenamientos tutelan el trato igualitario que se les dará a los trabajadores, </w:t>
      </w:r>
      <w:r w:rsidR="000C74C4">
        <w:rPr>
          <w:rFonts w:ascii="Arial" w:hAnsi="Arial" w:cs="Arial"/>
          <w:bCs/>
          <w:snapToGrid w:val="0"/>
          <w:sz w:val="24"/>
          <w:szCs w:val="27"/>
        </w:rPr>
        <w:t>sin que exista</w:t>
      </w:r>
      <w:r w:rsidR="00F2683E" w:rsidRPr="00F2683E">
        <w:rPr>
          <w:rFonts w:ascii="Arial" w:hAnsi="Arial" w:cs="Arial"/>
          <w:bCs/>
          <w:snapToGrid w:val="0"/>
          <w:sz w:val="24"/>
          <w:szCs w:val="27"/>
        </w:rPr>
        <w:t xml:space="preserve"> distinción entre los trabajadores de confianza y de base, </w:t>
      </w:r>
      <w:r>
        <w:rPr>
          <w:rFonts w:ascii="Arial" w:hAnsi="Arial" w:cs="Arial"/>
          <w:bCs/>
          <w:snapToGrid w:val="0"/>
          <w:sz w:val="24"/>
          <w:szCs w:val="27"/>
        </w:rPr>
        <w:t xml:space="preserve">por lo que para una mejor comprensión, se transcribe el artículo 64 </w:t>
      </w:r>
      <w:r w:rsidRPr="00F2683E">
        <w:rPr>
          <w:rFonts w:ascii="Arial" w:hAnsi="Arial" w:cs="Arial"/>
          <w:bCs/>
          <w:snapToGrid w:val="0"/>
          <w:sz w:val="24"/>
          <w:szCs w:val="27"/>
        </w:rPr>
        <w:t>de la Ley de Pensiones para los Trabajadores del Gobierno del Estad</w:t>
      </w:r>
      <w:r>
        <w:rPr>
          <w:rFonts w:ascii="Arial" w:hAnsi="Arial" w:cs="Arial"/>
          <w:bCs/>
          <w:snapToGrid w:val="0"/>
          <w:sz w:val="24"/>
          <w:szCs w:val="27"/>
        </w:rPr>
        <w:t>o de Oaxaca</w:t>
      </w:r>
    </w:p>
    <w:p w14:paraId="41895194" w14:textId="409255D3" w:rsidR="00F2683E" w:rsidRPr="00ED7C96" w:rsidRDefault="00AC4DE8"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ED7C96">
        <w:rPr>
          <w:rFonts w:ascii="Arial" w:hAnsi="Arial" w:cs="Arial"/>
          <w:b/>
          <w:bCs/>
          <w:i/>
          <w:snapToGrid w:val="0"/>
          <w:sz w:val="24"/>
          <w:szCs w:val="27"/>
        </w:rPr>
        <w:t>ARTÍCULO 64.-</w:t>
      </w:r>
      <w:r w:rsidR="00F2683E" w:rsidRPr="00ED7C96">
        <w:rPr>
          <w:rFonts w:ascii="Arial" w:hAnsi="Arial" w:cs="Arial"/>
          <w:bCs/>
          <w:i/>
          <w:snapToGrid w:val="0"/>
          <w:sz w:val="24"/>
          <w:szCs w:val="27"/>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4C0B6B77" w14:textId="0B9864D8" w:rsidR="00F2683E" w:rsidRPr="00ED7C96" w:rsidRDefault="00F2683E" w:rsidP="008275D7">
      <w:pPr>
        <w:ind w:left="567" w:right="48"/>
        <w:jc w:val="both"/>
        <w:rPr>
          <w:rFonts w:ascii="Arial" w:hAnsi="Arial" w:cs="Arial"/>
          <w:bCs/>
          <w:i/>
          <w:snapToGrid w:val="0"/>
          <w:sz w:val="24"/>
          <w:szCs w:val="27"/>
        </w:rPr>
      </w:pPr>
      <w:r w:rsidRPr="00ED7C96">
        <w:rPr>
          <w:rFonts w:ascii="Arial" w:hAnsi="Arial" w:cs="Arial"/>
          <w:bCs/>
          <w:i/>
          <w:snapToGrid w:val="0"/>
          <w:sz w:val="24"/>
          <w:szCs w:val="27"/>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w:t>
      </w:r>
      <w:r w:rsidRPr="00ED7C96">
        <w:rPr>
          <w:rFonts w:ascii="Arial" w:hAnsi="Arial" w:cs="Arial"/>
          <w:bCs/>
          <w:i/>
          <w:snapToGrid w:val="0"/>
          <w:sz w:val="24"/>
          <w:szCs w:val="27"/>
        </w:rPr>
        <w:lastRenderedPageBreak/>
        <w:t>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r w:rsidR="00AC4DE8">
        <w:rPr>
          <w:rFonts w:ascii="Arial" w:hAnsi="Arial" w:cs="Arial"/>
          <w:bCs/>
          <w:i/>
          <w:snapToGrid w:val="0"/>
          <w:sz w:val="24"/>
          <w:szCs w:val="27"/>
        </w:rPr>
        <w:t>”</w:t>
      </w:r>
    </w:p>
    <w:p w14:paraId="6D267FC1" w14:textId="0D25FD5E" w:rsidR="00F2683E" w:rsidRPr="00F2683E" w:rsidRDefault="006F566F" w:rsidP="006F566F">
      <w:pPr>
        <w:spacing w:line="360" w:lineRule="auto"/>
        <w:ind w:firstLine="567"/>
        <w:jc w:val="both"/>
        <w:rPr>
          <w:rFonts w:ascii="Arial" w:hAnsi="Arial" w:cs="Arial"/>
          <w:bCs/>
          <w:snapToGrid w:val="0"/>
          <w:sz w:val="24"/>
          <w:szCs w:val="27"/>
        </w:rPr>
      </w:pPr>
      <w:r>
        <w:rPr>
          <w:rFonts w:ascii="Arial" w:hAnsi="Arial" w:cs="Arial"/>
          <w:bCs/>
          <w:snapToGrid w:val="0"/>
          <w:sz w:val="24"/>
          <w:szCs w:val="27"/>
        </w:rPr>
        <w:t>Luego entonces, el contenido del artículo transcrito,</w:t>
      </w:r>
      <w:r w:rsidR="00F2683E" w:rsidRPr="00F2683E">
        <w:rPr>
          <w:rFonts w:ascii="Arial" w:hAnsi="Arial" w:cs="Arial"/>
          <w:bCs/>
          <w:snapToGrid w:val="0"/>
          <w:sz w:val="24"/>
          <w:szCs w:val="27"/>
        </w:rPr>
        <w:t xml:space="preserve"> se </w:t>
      </w:r>
      <w:r>
        <w:rPr>
          <w:rFonts w:ascii="Arial" w:hAnsi="Arial" w:cs="Arial"/>
          <w:bCs/>
          <w:snapToGrid w:val="0"/>
          <w:sz w:val="24"/>
          <w:szCs w:val="27"/>
        </w:rPr>
        <w:t xml:space="preserve">refiere a que </w:t>
      </w:r>
      <w:r w:rsidR="00F2683E" w:rsidRPr="00F2683E">
        <w:rPr>
          <w:rFonts w:ascii="Arial" w:hAnsi="Arial" w:cs="Arial"/>
          <w:bCs/>
          <w:snapToGrid w:val="0"/>
          <w:sz w:val="24"/>
          <w:szCs w:val="27"/>
        </w:rPr>
        <w:t xml:space="preserve">en el caso </w:t>
      </w:r>
      <w:r>
        <w:rPr>
          <w:rFonts w:ascii="Arial" w:hAnsi="Arial" w:cs="Arial"/>
          <w:bCs/>
          <w:snapToGrid w:val="0"/>
          <w:sz w:val="24"/>
          <w:szCs w:val="27"/>
        </w:rPr>
        <w:t xml:space="preserve">de </w:t>
      </w:r>
      <w:r w:rsidR="00F2683E" w:rsidRPr="00F2683E">
        <w:rPr>
          <w:rFonts w:ascii="Arial" w:hAnsi="Arial" w:cs="Arial"/>
          <w:bCs/>
          <w:snapToGrid w:val="0"/>
          <w:sz w:val="24"/>
          <w:szCs w:val="27"/>
        </w:rPr>
        <w:t xml:space="preserve">que el trabajador de base no tenga derecho a una pensión, se le devolverán los descuentos hechos para el Fondo de Pensiones, y como se mencionó en </w:t>
      </w:r>
      <w:r w:rsidR="00D41BCF">
        <w:rPr>
          <w:rFonts w:ascii="Arial" w:hAnsi="Arial" w:cs="Arial"/>
          <w:bCs/>
          <w:snapToGrid w:val="0"/>
          <w:sz w:val="24"/>
          <w:szCs w:val="27"/>
        </w:rPr>
        <w:t>párrafos anteriores</w:t>
      </w:r>
      <w:r w:rsidR="00F2683E" w:rsidRPr="00F2683E">
        <w:rPr>
          <w:rFonts w:ascii="Arial" w:hAnsi="Arial" w:cs="Arial"/>
          <w:bCs/>
          <w:snapToGrid w:val="0"/>
          <w:sz w:val="24"/>
          <w:szCs w:val="27"/>
        </w:rPr>
        <w:t>, la autoridad demandada vulnera el derecho de igual</w:t>
      </w:r>
      <w:r w:rsidR="00D41BCF">
        <w:rPr>
          <w:rFonts w:ascii="Arial" w:hAnsi="Arial" w:cs="Arial"/>
          <w:bCs/>
          <w:snapToGrid w:val="0"/>
          <w:sz w:val="24"/>
          <w:szCs w:val="27"/>
        </w:rPr>
        <w:t>dad</w:t>
      </w:r>
      <w:r w:rsidR="00F2683E" w:rsidRPr="00F2683E">
        <w:rPr>
          <w:rFonts w:ascii="Arial" w:hAnsi="Arial" w:cs="Arial"/>
          <w:bCs/>
          <w:snapToGrid w:val="0"/>
          <w:sz w:val="24"/>
          <w:szCs w:val="27"/>
        </w:rPr>
        <w:t xml:space="preserve"> laboral, ya que en el presente caso</w:t>
      </w:r>
      <w:r>
        <w:rPr>
          <w:rFonts w:ascii="Arial" w:hAnsi="Arial" w:cs="Arial"/>
          <w:bCs/>
          <w:snapToGrid w:val="0"/>
          <w:sz w:val="24"/>
          <w:szCs w:val="27"/>
        </w:rPr>
        <w:t>,</w:t>
      </w:r>
      <w:r w:rsidR="00F2683E" w:rsidRPr="00F2683E">
        <w:rPr>
          <w:rFonts w:ascii="Arial" w:hAnsi="Arial" w:cs="Arial"/>
          <w:bCs/>
          <w:snapToGrid w:val="0"/>
          <w:sz w:val="24"/>
          <w:szCs w:val="27"/>
        </w:rPr>
        <w:t xml:space="preserve"> el actor al haber laborado como personal de confianza, también se le realizaron los descuentos, </w:t>
      </w:r>
      <w:r>
        <w:rPr>
          <w:rFonts w:ascii="Arial" w:hAnsi="Arial" w:cs="Arial"/>
          <w:bCs/>
          <w:snapToGrid w:val="0"/>
          <w:sz w:val="24"/>
          <w:szCs w:val="27"/>
        </w:rPr>
        <w:t xml:space="preserve">por lo que </w:t>
      </w:r>
      <w:r w:rsidR="00F2683E" w:rsidRPr="00F2683E">
        <w:rPr>
          <w:rFonts w:ascii="Arial" w:hAnsi="Arial" w:cs="Arial"/>
          <w:bCs/>
          <w:snapToGrid w:val="0"/>
          <w:sz w:val="24"/>
          <w:szCs w:val="27"/>
        </w:rPr>
        <w:t>haciendo una interpretación armónica y respetando el principio de progresividad de los derechos humanos, resulta coherente pensar que un trabajador de confianza</w:t>
      </w:r>
      <w:r w:rsidR="000F6B46">
        <w:rPr>
          <w:rFonts w:ascii="Arial" w:hAnsi="Arial" w:cs="Arial"/>
          <w:bCs/>
          <w:snapToGrid w:val="0"/>
          <w:sz w:val="24"/>
          <w:szCs w:val="27"/>
        </w:rPr>
        <w:t>,</w:t>
      </w:r>
      <w:r w:rsidR="00F2683E" w:rsidRPr="00F2683E">
        <w:rPr>
          <w:rFonts w:ascii="Arial" w:hAnsi="Arial" w:cs="Arial"/>
          <w:bCs/>
          <w:snapToGrid w:val="0"/>
          <w:sz w:val="24"/>
          <w:szCs w:val="27"/>
        </w:rPr>
        <w:t xml:space="preserve"> por su especial naturaleza</w:t>
      </w:r>
      <w:r w:rsidR="000F6B46">
        <w:rPr>
          <w:rFonts w:ascii="Arial" w:hAnsi="Arial" w:cs="Arial"/>
          <w:bCs/>
          <w:snapToGrid w:val="0"/>
          <w:sz w:val="24"/>
          <w:szCs w:val="27"/>
        </w:rPr>
        <w:t>,</w:t>
      </w:r>
      <w:r w:rsidR="00F2683E" w:rsidRPr="00F2683E">
        <w:rPr>
          <w:rFonts w:ascii="Arial" w:hAnsi="Arial" w:cs="Arial"/>
          <w:bCs/>
          <w:snapToGrid w:val="0"/>
          <w:sz w:val="24"/>
          <w:szCs w:val="27"/>
        </w:rPr>
        <w:t xml:space="preserve"> tampoco tendrá derecho a una pensión o en caso </w:t>
      </w:r>
      <w:r>
        <w:rPr>
          <w:rFonts w:ascii="Arial" w:hAnsi="Arial" w:cs="Arial"/>
          <w:bCs/>
          <w:snapToGrid w:val="0"/>
          <w:sz w:val="24"/>
          <w:szCs w:val="27"/>
        </w:rPr>
        <w:t xml:space="preserve">de </w:t>
      </w:r>
      <w:r w:rsidR="00F2683E" w:rsidRPr="00F2683E">
        <w:rPr>
          <w:rFonts w:ascii="Arial" w:hAnsi="Arial" w:cs="Arial"/>
          <w:bCs/>
          <w:snapToGrid w:val="0"/>
          <w:sz w:val="24"/>
          <w:szCs w:val="27"/>
        </w:rPr>
        <w:t xml:space="preserve">renunciar a ella, es igualmente aplicable la regla estipulada en el artículo transcrito anteriormente, </w:t>
      </w:r>
      <w:r>
        <w:rPr>
          <w:rFonts w:ascii="Arial" w:hAnsi="Arial" w:cs="Arial"/>
          <w:bCs/>
          <w:snapToGrid w:val="0"/>
          <w:sz w:val="24"/>
          <w:szCs w:val="27"/>
        </w:rPr>
        <w:t>por tanto</w:t>
      </w:r>
      <w:r w:rsidR="00F2683E" w:rsidRPr="00F2683E">
        <w:rPr>
          <w:rFonts w:ascii="Arial" w:hAnsi="Arial" w:cs="Arial"/>
          <w:bCs/>
          <w:snapToGrid w:val="0"/>
          <w:sz w:val="24"/>
          <w:szCs w:val="27"/>
        </w:rPr>
        <w:t xml:space="preserve">, </w:t>
      </w:r>
      <w:r>
        <w:rPr>
          <w:rFonts w:ascii="Arial" w:hAnsi="Arial" w:cs="Arial"/>
          <w:bCs/>
          <w:snapToGrid w:val="0"/>
          <w:sz w:val="24"/>
          <w:szCs w:val="27"/>
        </w:rPr>
        <w:t>también tiene derecho a que</w:t>
      </w:r>
      <w:r w:rsidR="00F2683E" w:rsidRPr="00F2683E">
        <w:rPr>
          <w:rFonts w:ascii="Arial" w:hAnsi="Arial" w:cs="Arial"/>
          <w:bCs/>
          <w:snapToGrid w:val="0"/>
          <w:sz w:val="24"/>
          <w:szCs w:val="27"/>
        </w:rPr>
        <w:t xml:space="preserve"> le</w:t>
      </w:r>
      <w:r>
        <w:rPr>
          <w:rFonts w:ascii="Arial" w:hAnsi="Arial" w:cs="Arial"/>
          <w:bCs/>
          <w:snapToGrid w:val="0"/>
          <w:sz w:val="24"/>
          <w:szCs w:val="27"/>
        </w:rPr>
        <w:t xml:space="preserve"> sean</w:t>
      </w:r>
      <w:r w:rsidR="00F2683E" w:rsidRPr="00F2683E">
        <w:rPr>
          <w:rFonts w:ascii="Arial" w:hAnsi="Arial" w:cs="Arial"/>
          <w:bCs/>
          <w:snapToGrid w:val="0"/>
          <w:sz w:val="24"/>
          <w:szCs w:val="27"/>
        </w:rPr>
        <w:t xml:space="preserve"> devuel</w:t>
      </w:r>
      <w:r>
        <w:rPr>
          <w:rFonts w:ascii="Arial" w:hAnsi="Arial" w:cs="Arial"/>
          <w:bCs/>
          <w:snapToGrid w:val="0"/>
          <w:sz w:val="24"/>
          <w:szCs w:val="27"/>
        </w:rPr>
        <w:t>tas</w:t>
      </w:r>
      <w:r w:rsidR="00F2683E" w:rsidRPr="00F2683E">
        <w:rPr>
          <w:rFonts w:ascii="Arial" w:hAnsi="Arial" w:cs="Arial"/>
          <w:bCs/>
          <w:snapToGrid w:val="0"/>
          <w:sz w:val="24"/>
          <w:szCs w:val="27"/>
        </w:rPr>
        <w:t xml:space="preserve"> las aportaciones</w:t>
      </w:r>
      <w:r w:rsidR="002302BA">
        <w:rPr>
          <w:rFonts w:ascii="Arial" w:hAnsi="Arial" w:cs="Arial"/>
          <w:bCs/>
          <w:snapToGrid w:val="0"/>
          <w:sz w:val="24"/>
          <w:szCs w:val="27"/>
        </w:rPr>
        <w:t xml:space="preserve"> hechas al Fondo de Pensiones.</w:t>
      </w:r>
    </w:p>
    <w:p w14:paraId="30840C45" w14:textId="3389E46F" w:rsidR="004170ED" w:rsidRDefault="002302BA"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En consecuencia,</w:t>
      </w:r>
      <w:r w:rsidR="00F2683E" w:rsidRPr="00F2683E">
        <w:rPr>
          <w:rFonts w:ascii="Arial" w:hAnsi="Arial" w:cs="Arial"/>
          <w:bCs/>
          <w:snapToGrid w:val="0"/>
          <w:sz w:val="24"/>
          <w:szCs w:val="27"/>
        </w:rPr>
        <w:t xml:space="preserve"> esta Sala</w:t>
      </w:r>
      <w:r w:rsidR="00C21A59">
        <w:rPr>
          <w:rFonts w:ascii="Arial" w:hAnsi="Arial" w:cs="Arial"/>
          <w:bCs/>
          <w:snapToGrid w:val="0"/>
          <w:sz w:val="24"/>
          <w:szCs w:val="27"/>
        </w:rPr>
        <w:t xml:space="preserve"> Unitaria</w:t>
      </w:r>
      <w:r w:rsidR="00F2683E" w:rsidRPr="00F2683E">
        <w:rPr>
          <w:rFonts w:ascii="Arial" w:hAnsi="Arial" w:cs="Arial"/>
          <w:bCs/>
          <w:snapToGrid w:val="0"/>
          <w:sz w:val="24"/>
          <w:szCs w:val="27"/>
        </w:rPr>
        <w:t xml:space="preserve"> en atención al principio </w:t>
      </w:r>
      <w:r w:rsidR="00F2683E" w:rsidRPr="002302BA">
        <w:rPr>
          <w:rFonts w:ascii="Arial" w:hAnsi="Arial" w:cs="Arial"/>
          <w:bCs/>
          <w:i/>
          <w:snapToGrid w:val="0"/>
          <w:sz w:val="24"/>
          <w:szCs w:val="27"/>
        </w:rPr>
        <w:t>pro persona</w:t>
      </w:r>
      <w:r w:rsidR="00F2683E" w:rsidRPr="00F2683E">
        <w:rPr>
          <w:rFonts w:ascii="Arial" w:hAnsi="Arial" w:cs="Arial"/>
          <w:bCs/>
          <w:snapToGrid w:val="0"/>
          <w:sz w:val="24"/>
          <w:szCs w:val="27"/>
        </w:rPr>
        <w:t xml:space="preserve"> y de igualdad laboral, previsto en el artículo 1° de la Constitución Política de los Estados Unidos Mexicanos, así como en el Convenio 169 de la Organización Internacional del Trabajo, firmado y ratificado por el Estado Mexicano, debe maximizar el ejercicio de los derechos fundamentales del administrado, en el sentido de aplicar la interpretación de la norma que busquen el mayor beneficio de las personas, aunado a que, la función esencial de esta Sala</w:t>
      </w:r>
      <w:r w:rsidR="00C21A59">
        <w:rPr>
          <w:rFonts w:ascii="Arial" w:hAnsi="Arial" w:cs="Arial"/>
          <w:bCs/>
          <w:snapToGrid w:val="0"/>
          <w:sz w:val="24"/>
          <w:szCs w:val="27"/>
        </w:rPr>
        <w:t xml:space="preserve"> </w:t>
      </w:r>
      <w:r w:rsidR="004170ED">
        <w:rPr>
          <w:rFonts w:ascii="Arial" w:hAnsi="Arial" w:cs="Arial"/>
          <w:bCs/>
          <w:snapToGrid w:val="0"/>
          <w:sz w:val="24"/>
          <w:szCs w:val="27"/>
        </w:rPr>
        <w:t>Unitaria</w:t>
      </w:r>
      <w:r w:rsidR="00F2683E" w:rsidRPr="00F2683E">
        <w:rPr>
          <w:rFonts w:ascii="Arial" w:hAnsi="Arial" w:cs="Arial"/>
          <w:bCs/>
          <w:snapToGrid w:val="0"/>
          <w:sz w:val="24"/>
          <w:szCs w:val="27"/>
        </w:rPr>
        <w:t xml:space="preserve">, es garantizar que los actos administrativos, se ajusten al principio de legalidad y seguridad jurídica, así como con los principios tutelados por los tratados internacionales y convencionales, privilegiando la observancia de los derechos de los gobernados. </w:t>
      </w:r>
    </w:p>
    <w:p w14:paraId="790012E9" w14:textId="3F77146B"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Sirve de apoyo a lo anterior</w:t>
      </w:r>
      <w:r w:rsidR="004170ED">
        <w:rPr>
          <w:rFonts w:ascii="Arial" w:hAnsi="Arial" w:cs="Arial"/>
          <w:bCs/>
          <w:snapToGrid w:val="0"/>
          <w:sz w:val="24"/>
          <w:szCs w:val="27"/>
        </w:rPr>
        <w:t>,</w:t>
      </w:r>
      <w:r w:rsidRPr="00F2683E">
        <w:rPr>
          <w:rFonts w:ascii="Arial" w:hAnsi="Arial" w:cs="Arial"/>
          <w:bCs/>
          <w:snapToGrid w:val="0"/>
          <w:sz w:val="24"/>
          <w:szCs w:val="27"/>
        </w:rPr>
        <w:t xml:space="preserve"> por analogía sustancial la tesis</w:t>
      </w:r>
      <w:r w:rsidR="004170ED">
        <w:rPr>
          <w:rStyle w:val="Refdenotaalpie"/>
          <w:rFonts w:ascii="Arial" w:hAnsi="Arial" w:cs="Arial"/>
          <w:bCs/>
          <w:snapToGrid w:val="0"/>
          <w:sz w:val="24"/>
          <w:szCs w:val="27"/>
        </w:rPr>
        <w:footnoteReference w:id="2"/>
      </w:r>
      <w:r w:rsidRPr="00F2683E">
        <w:rPr>
          <w:rFonts w:ascii="Arial" w:hAnsi="Arial" w:cs="Arial"/>
          <w:bCs/>
          <w:snapToGrid w:val="0"/>
          <w:sz w:val="24"/>
          <w:szCs w:val="27"/>
        </w:rPr>
        <w:t>, bajo</w:t>
      </w:r>
      <w:r w:rsidR="002302BA">
        <w:rPr>
          <w:rFonts w:ascii="Arial" w:hAnsi="Arial" w:cs="Arial"/>
          <w:bCs/>
          <w:snapToGrid w:val="0"/>
          <w:sz w:val="24"/>
          <w:szCs w:val="27"/>
        </w:rPr>
        <w:t xml:space="preserve"> el rubro y texto siguiente:</w:t>
      </w:r>
    </w:p>
    <w:p w14:paraId="12E261F8" w14:textId="3C608218" w:rsidR="00F2683E" w:rsidRPr="008275D7" w:rsidRDefault="008275D7"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8275D7">
        <w:rPr>
          <w:rFonts w:ascii="Arial" w:hAnsi="Arial" w:cs="Arial"/>
          <w:b/>
          <w:bCs/>
          <w:i/>
          <w:snapToGrid w:val="0"/>
          <w:sz w:val="24"/>
          <w:szCs w:val="27"/>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F2683E" w:rsidRPr="008275D7">
        <w:rPr>
          <w:rFonts w:ascii="Arial" w:hAnsi="Arial" w:cs="Arial"/>
          <w:bCs/>
          <w:i/>
          <w:snapToGrid w:val="0"/>
          <w:sz w:val="24"/>
          <w:szCs w:val="27"/>
        </w:rPr>
        <w:t xml:space="preserve"> Del artículo 1o., quinto párrafo, de la Constitución Política de los </w:t>
      </w:r>
      <w:r w:rsidR="00F2683E" w:rsidRPr="008275D7">
        <w:rPr>
          <w:rFonts w:ascii="Arial" w:hAnsi="Arial" w:cs="Arial"/>
          <w:bCs/>
          <w:i/>
          <w:snapToGrid w:val="0"/>
          <w:sz w:val="24"/>
          <w:szCs w:val="27"/>
        </w:rPr>
        <w:lastRenderedPageBreak/>
        <w:t>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bCs/>
          <w:i/>
          <w:snapToGrid w:val="0"/>
          <w:sz w:val="24"/>
          <w:szCs w:val="27"/>
        </w:rPr>
        <w:t>”</w:t>
      </w:r>
    </w:p>
    <w:p w14:paraId="7989D5C2" w14:textId="1118C715" w:rsidR="00606733"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Por todo lo anteriormente expuesto, se concluye que el acto impugnado fue emitido de manera ilegal y discriminatoria de los derechos humanos de igualdad laboral y no discriminación</w:t>
      </w:r>
      <w:r w:rsidR="00D16DE3">
        <w:rPr>
          <w:rFonts w:ascii="Arial" w:hAnsi="Arial" w:cs="Arial"/>
          <w:bCs/>
          <w:snapToGrid w:val="0"/>
          <w:sz w:val="24"/>
          <w:szCs w:val="27"/>
        </w:rPr>
        <w:t>,</w:t>
      </w:r>
      <w:r w:rsidRPr="00F2683E">
        <w:rPr>
          <w:rFonts w:ascii="Arial" w:hAnsi="Arial" w:cs="Arial"/>
          <w:bCs/>
          <w:snapToGrid w:val="0"/>
          <w:sz w:val="24"/>
          <w:szCs w:val="27"/>
        </w:rPr>
        <w:t xml:space="preserve"> al no existir una correcta fundamentación y motivación, máxime que su actuar se encuentra fundado en una mala interpretación de la norma legal que contempla el supuesto que nos ocupa, vulnerando también el derecho del actor a la devolución de las cantidades que le fueron descontadas de su sueldo,</w:t>
      </w:r>
      <w:r w:rsidR="006C7F1A">
        <w:rPr>
          <w:rFonts w:ascii="Arial" w:hAnsi="Arial" w:cs="Arial"/>
          <w:bCs/>
          <w:snapToGrid w:val="0"/>
          <w:sz w:val="24"/>
          <w:szCs w:val="27"/>
        </w:rPr>
        <w:t xml:space="preserve"> </w:t>
      </w:r>
      <w:r w:rsidR="006B62EA" w:rsidRPr="00F2683E">
        <w:rPr>
          <w:rFonts w:ascii="Arial" w:hAnsi="Arial" w:cs="Arial"/>
          <w:bCs/>
          <w:snapToGrid w:val="0"/>
          <w:sz w:val="24"/>
          <w:szCs w:val="27"/>
        </w:rPr>
        <w:t>durante el tiempo que laboró para e</w:t>
      </w:r>
      <w:r w:rsidR="004A637A">
        <w:rPr>
          <w:rFonts w:ascii="Arial" w:hAnsi="Arial" w:cs="Arial"/>
          <w:bCs/>
          <w:snapToGrid w:val="0"/>
          <w:sz w:val="24"/>
          <w:szCs w:val="27"/>
        </w:rPr>
        <w:t>l *****</w:t>
      </w:r>
      <w:r w:rsidR="005D423E">
        <w:rPr>
          <w:rFonts w:ascii="Arial" w:hAnsi="Arial" w:cs="Arial"/>
          <w:bCs/>
          <w:snapToGrid w:val="0"/>
          <w:sz w:val="24"/>
          <w:szCs w:val="27"/>
        </w:rPr>
        <w:t xml:space="preserve"> </w:t>
      </w:r>
      <w:r w:rsidR="004A637A">
        <w:rPr>
          <w:rFonts w:ascii="Arial" w:hAnsi="Arial" w:cs="Arial"/>
          <w:bCs/>
          <w:snapToGrid w:val="0"/>
          <w:sz w:val="24"/>
          <w:szCs w:val="27"/>
        </w:rPr>
        <w:t>*****</w:t>
      </w:r>
      <w:r w:rsidR="005D423E">
        <w:rPr>
          <w:rFonts w:ascii="Arial" w:hAnsi="Arial" w:cs="Arial"/>
          <w:bCs/>
          <w:snapToGrid w:val="0"/>
          <w:sz w:val="24"/>
          <w:szCs w:val="27"/>
        </w:rPr>
        <w:t xml:space="preserve"> </w:t>
      </w:r>
      <w:r w:rsidR="006B62EA" w:rsidRPr="00F2683E">
        <w:rPr>
          <w:rFonts w:ascii="Arial" w:hAnsi="Arial" w:cs="Arial"/>
          <w:bCs/>
          <w:snapToGrid w:val="0"/>
          <w:sz w:val="24"/>
          <w:szCs w:val="27"/>
        </w:rPr>
        <w:t xml:space="preserve">del Estado de Oaxaca, como servidor público </w:t>
      </w:r>
      <w:r w:rsidR="00D16DE3">
        <w:rPr>
          <w:rFonts w:ascii="Arial" w:hAnsi="Arial" w:cs="Arial"/>
          <w:bCs/>
          <w:snapToGrid w:val="0"/>
          <w:sz w:val="24"/>
          <w:szCs w:val="27"/>
        </w:rPr>
        <w:t>al</w:t>
      </w:r>
      <w:r w:rsidR="006B62EA" w:rsidRPr="00F2683E">
        <w:rPr>
          <w:rFonts w:ascii="Arial" w:hAnsi="Arial" w:cs="Arial"/>
          <w:bCs/>
          <w:snapToGrid w:val="0"/>
          <w:sz w:val="24"/>
          <w:szCs w:val="27"/>
        </w:rPr>
        <w:t xml:space="preserve"> Fondo de Pensiones tal y como lo demuestra el actor con su nombramiento expedido por </w:t>
      </w:r>
      <w:r w:rsidR="005D423E">
        <w:rPr>
          <w:rFonts w:ascii="Arial" w:hAnsi="Arial" w:cs="Arial"/>
          <w:bCs/>
          <w:snapToGrid w:val="0"/>
          <w:sz w:val="24"/>
          <w:szCs w:val="27"/>
        </w:rPr>
        <w:t>la Secretaría de Administración del Poder Ejecutivo del Estado de Oaxaca</w:t>
      </w:r>
      <w:r w:rsidR="006B62EA" w:rsidRPr="00F2683E">
        <w:rPr>
          <w:rFonts w:ascii="Arial" w:hAnsi="Arial" w:cs="Arial"/>
          <w:bCs/>
          <w:snapToGrid w:val="0"/>
          <w:sz w:val="24"/>
          <w:szCs w:val="27"/>
        </w:rPr>
        <w:t>, de fecha</w:t>
      </w:r>
      <w:r w:rsidR="004A637A">
        <w:rPr>
          <w:rFonts w:ascii="Arial" w:hAnsi="Arial" w:cs="Arial"/>
          <w:bCs/>
          <w:snapToGrid w:val="0"/>
          <w:sz w:val="24"/>
          <w:szCs w:val="27"/>
        </w:rPr>
        <w:t xml:space="preserve"> *****</w:t>
      </w:r>
      <w:r w:rsidR="00F737C5">
        <w:rPr>
          <w:rFonts w:ascii="Arial" w:hAnsi="Arial" w:cs="Arial"/>
          <w:bCs/>
          <w:snapToGrid w:val="0"/>
          <w:sz w:val="24"/>
          <w:szCs w:val="27"/>
        </w:rPr>
        <w:t xml:space="preserve"> de</w:t>
      </w:r>
      <w:r w:rsidR="004A637A">
        <w:rPr>
          <w:rFonts w:ascii="Arial" w:hAnsi="Arial" w:cs="Arial"/>
          <w:bCs/>
          <w:snapToGrid w:val="0"/>
          <w:sz w:val="24"/>
          <w:szCs w:val="27"/>
        </w:rPr>
        <w:t xml:space="preserve"> *****</w:t>
      </w:r>
      <w:r w:rsidR="00F737C5">
        <w:rPr>
          <w:rFonts w:ascii="Arial" w:hAnsi="Arial" w:cs="Arial"/>
          <w:bCs/>
          <w:snapToGrid w:val="0"/>
          <w:sz w:val="24"/>
          <w:szCs w:val="27"/>
        </w:rPr>
        <w:t xml:space="preserve"> de dos</w:t>
      </w:r>
      <w:r w:rsidR="004A637A">
        <w:rPr>
          <w:rFonts w:ascii="Arial" w:hAnsi="Arial" w:cs="Arial"/>
          <w:bCs/>
          <w:snapToGrid w:val="0"/>
          <w:sz w:val="24"/>
          <w:szCs w:val="27"/>
        </w:rPr>
        <w:t xml:space="preserve"> *****</w:t>
      </w:r>
      <w:r w:rsidR="00F737C5">
        <w:rPr>
          <w:rFonts w:ascii="Arial" w:hAnsi="Arial" w:cs="Arial"/>
          <w:bCs/>
          <w:snapToGrid w:val="0"/>
          <w:sz w:val="24"/>
          <w:szCs w:val="27"/>
        </w:rPr>
        <w:t xml:space="preserve"> </w:t>
      </w:r>
      <w:r w:rsidR="004A637A">
        <w:rPr>
          <w:rFonts w:ascii="Arial" w:hAnsi="Arial" w:cs="Arial"/>
          <w:bCs/>
          <w:snapToGrid w:val="0"/>
          <w:sz w:val="24"/>
          <w:szCs w:val="27"/>
        </w:rPr>
        <w:t>*****</w:t>
      </w:r>
      <w:r w:rsidR="00606733">
        <w:rPr>
          <w:rFonts w:ascii="Arial" w:hAnsi="Arial" w:cs="Arial"/>
          <w:bCs/>
          <w:snapToGrid w:val="0"/>
          <w:sz w:val="24"/>
          <w:szCs w:val="27"/>
        </w:rPr>
        <w:t xml:space="preserve"> (foja 29).</w:t>
      </w:r>
    </w:p>
    <w:p w14:paraId="3642C17D" w14:textId="04EE2C9D" w:rsidR="00606733" w:rsidRDefault="00606733"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Derivado de lo anterior</w:t>
      </w:r>
      <w:r w:rsidR="006C7F1A">
        <w:rPr>
          <w:rFonts w:ascii="Arial" w:hAnsi="Arial" w:cs="Arial"/>
          <w:bCs/>
          <w:snapToGrid w:val="0"/>
          <w:sz w:val="24"/>
          <w:szCs w:val="27"/>
        </w:rPr>
        <w:t xml:space="preserve">, </w:t>
      </w:r>
      <w:r w:rsidR="006B62EA">
        <w:rPr>
          <w:rFonts w:ascii="Arial" w:hAnsi="Arial" w:cs="Arial"/>
          <w:bCs/>
          <w:snapToGrid w:val="0"/>
          <w:sz w:val="24"/>
          <w:szCs w:val="27"/>
        </w:rPr>
        <w:t xml:space="preserve">esta Sala </w:t>
      </w:r>
      <w:r w:rsidR="00E2412D">
        <w:rPr>
          <w:rFonts w:ascii="Arial" w:hAnsi="Arial" w:cs="Arial"/>
          <w:bCs/>
          <w:snapToGrid w:val="0"/>
          <w:sz w:val="24"/>
          <w:szCs w:val="27"/>
        </w:rPr>
        <w:t>Unitaria</w:t>
      </w:r>
      <w:r w:rsidR="00F2683E" w:rsidRPr="00F2683E">
        <w:rPr>
          <w:rFonts w:ascii="Arial" w:hAnsi="Arial" w:cs="Arial"/>
          <w:bCs/>
          <w:snapToGrid w:val="0"/>
          <w:sz w:val="24"/>
          <w:szCs w:val="27"/>
        </w:rPr>
        <w:t xml:space="preserve"> advierte que</w:t>
      </w:r>
      <w:r>
        <w:rPr>
          <w:rFonts w:ascii="Arial" w:hAnsi="Arial" w:cs="Arial"/>
          <w:bCs/>
          <w:snapToGrid w:val="0"/>
          <w:sz w:val="24"/>
          <w:szCs w:val="27"/>
        </w:rPr>
        <w:t>,</w:t>
      </w:r>
      <w:r w:rsidR="00F2683E" w:rsidRPr="00F2683E">
        <w:rPr>
          <w:rFonts w:ascii="Arial" w:hAnsi="Arial" w:cs="Arial"/>
          <w:bCs/>
          <w:snapToGrid w:val="0"/>
          <w:sz w:val="24"/>
          <w:szCs w:val="27"/>
        </w:rPr>
        <w:t xml:space="preserve"> el actor realizó la última aportación al </w:t>
      </w:r>
      <w:r>
        <w:rPr>
          <w:rFonts w:ascii="Arial" w:hAnsi="Arial" w:cs="Arial"/>
          <w:bCs/>
          <w:snapToGrid w:val="0"/>
          <w:sz w:val="24"/>
          <w:szCs w:val="27"/>
        </w:rPr>
        <w:t>F</w:t>
      </w:r>
      <w:r w:rsidR="00F2683E" w:rsidRPr="00F2683E">
        <w:rPr>
          <w:rFonts w:ascii="Arial" w:hAnsi="Arial" w:cs="Arial"/>
          <w:bCs/>
          <w:snapToGrid w:val="0"/>
          <w:sz w:val="24"/>
          <w:szCs w:val="27"/>
        </w:rPr>
        <w:t xml:space="preserve">ondo </w:t>
      </w:r>
      <w:r>
        <w:rPr>
          <w:rFonts w:ascii="Arial" w:hAnsi="Arial" w:cs="Arial"/>
          <w:bCs/>
          <w:snapToGrid w:val="0"/>
          <w:sz w:val="24"/>
          <w:szCs w:val="27"/>
        </w:rPr>
        <w:t xml:space="preserve">de Pensiones </w:t>
      </w:r>
      <w:r w:rsidR="006B62EA">
        <w:rPr>
          <w:rFonts w:ascii="Arial" w:hAnsi="Arial" w:cs="Arial"/>
          <w:bCs/>
          <w:snapToGrid w:val="0"/>
          <w:sz w:val="24"/>
          <w:szCs w:val="27"/>
        </w:rPr>
        <w:t xml:space="preserve">en </w:t>
      </w:r>
      <w:r w:rsidR="00F2683E" w:rsidRPr="00F2683E">
        <w:rPr>
          <w:rFonts w:ascii="Arial" w:hAnsi="Arial" w:cs="Arial"/>
          <w:bCs/>
          <w:snapToGrid w:val="0"/>
          <w:sz w:val="24"/>
          <w:szCs w:val="27"/>
        </w:rPr>
        <w:t xml:space="preserve">el </w:t>
      </w:r>
      <w:r w:rsidR="006B62EA">
        <w:rPr>
          <w:rFonts w:ascii="Arial" w:hAnsi="Arial" w:cs="Arial"/>
          <w:bCs/>
          <w:snapToGrid w:val="0"/>
          <w:sz w:val="24"/>
          <w:szCs w:val="27"/>
        </w:rPr>
        <w:t>mes de</w:t>
      </w:r>
      <w:r w:rsidR="00B97985">
        <w:rPr>
          <w:rFonts w:ascii="Arial" w:hAnsi="Arial" w:cs="Arial"/>
          <w:bCs/>
          <w:snapToGrid w:val="0"/>
          <w:sz w:val="24"/>
          <w:szCs w:val="27"/>
        </w:rPr>
        <w:t xml:space="preserve"> *****</w:t>
      </w:r>
      <w:r w:rsidR="00A806F0">
        <w:rPr>
          <w:rFonts w:ascii="Arial" w:hAnsi="Arial" w:cs="Arial"/>
          <w:bCs/>
          <w:snapToGrid w:val="0"/>
          <w:sz w:val="24"/>
          <w:szCs w:val="27"/>
        </w:rPr>
        <w:t xml:space="preserve"> del </w:t>
      </w:r>
      <w:r w:rsidR="00B97985">
        <w:rPr>
          <w:rFonts w:ascii="Arial" w:hAnsi="Arial" w:cs="Arial"/>
          <w:bCs/>
          <w:snapToGrid w:val="0"/>
          <w:sz w:val="24"/>
          <w:szCs w:val="27"/>
        </w:rPr>
        <w:t>*****</w:t>
      </w:r>
      <w:r w:rsidR="00A806F0">
        <w:rPr>
          <w:rFonts w:ascii="Arial" w:hAnsi="Arial" w:cs="Arial"/>
          <w:bCs/>
          <w:snapToGrid w:val="0"/>
          <w:sz w:val="24"/>
          <w:szCs w:val="27"/>
        </w:rPr>
        <w:t xml:space="preserve"> mil</w:t>
      </w:r>
      <w:r w:rsidR="00B97985">
        <w:rPr>
          <w:rFonts w:ascii="Arial" w:hAnsi="Arial" w:cs="Arial"/>
          <w:bCs/>
          <w:snapToGrid w:val="0"/>
          <w:sz w:val="24"/>
          <w:szCs w:val="27"/>
        </w:rPr>
        <w:t xml:space="preserve"> *****</w:t>
      </w:r>
      <w:r w:rsidR="00F2683E" w:rsidRPr="00F2683E">
        <w:rPr>
          <w:rFonts w:ascii="Arial" w:hAnsi="Arial" w:cs="Arial"/>
          <w:bCs/>
          <w:snapToGrid w:val="0"/>
          <w:sz w:val="24"/>
          <w:szCs w:val="27"/>
        </w:rPr>
        <w:t>, a</w:t>
      </w:r>
      <w:r w:rsidR="006B62EA">
        <w:rPr>
          <w:rFonts w:ascii="Arial" w:hAnsi="Arial" w:cs="Arial"/>
          <w:bCs/>
          <w:snapToGrid w:val="0"/>
          <w:sz w:val="24"/>
          <w:szCs w:val="27"/>
        </w:rPr>
        <w:t>portación que demuestra haberla</w:t>
      </w:r>
      <w:r w:rsidR="00F2683E" w:rsidRPr="00F2683E">
        <w:rPr>
          <w:rFonts w:ascii="Arial" w:hAnsi="Arial" w:cs="Arial"/>
          <w:bCs/>
          <w:snapToGrid w:val="0"/>
          <w:sz w:val="24"/>
          <w:szCs w:val="27"/>
        </w:rPr>
        <w:t xml:space="preserve"> realizado con un comprobante de pago expedido</w:t>
      </w:r>
      <w:r>
        <w:rPr>
          <w:rFonts w:ascii="Arial" w:hAnsi="Arial" w:cs="Arial"/>
          <w:bCs/>
          <w:snapToGrid w:val="0"/>
          <w:sz w:val="24"/>
          <w:szCs w:val="27"/>
        </w:rPr>
        <w:t xml:space="preserve"> </w:t>
      </w:r>
      <w:r>
        <w:rPr>
          <w:rFonts w:ascii="Arial" w:hAnsi="Arial" w:cs="Arial"/>
          <w:bCs/>
          <w:snapToGrid w:val="0"/>
          <w:sz w:val="24"/>
          <w:szCs w:val="27"/>
        </w:rPr>
        <w:lastRenderedPageBreak/>
        <w:t>a su favor</w:t>
      </w:r>
      <w:r w:rsidR="00F2683E" w:rsidRPr="00F2683E">
        <w:rPr>
          <w:rFonts w:ascii="Arial" w:hAnsi="Arial" w:cs="Arial"/>
          <w:bCs/>
          <w:snapToGrid w:val="0"/>
          <w:sz w:val="24"/>
          <w:szCs w:val="27"/>
        </w:rPr>
        <w:t xml:space="preserve"> por el </w:t>
      </w:r>
      <w:r w:rsidR="00F737C5">
        <w:rPr>
          <w:rFonts w:ascii="Arial" w:hAnsi="Arial" w:cs="Arial"/>
          <w:bCs/>
          <w:snapToGrid w:val="0"/>
          <w:sz w:val="24"/>
          <w:szCs w:val="27"/>
        </w:rPr>
        <w:t>Gobierno</w:t>
      </w:r>
      <w:r w:rsidR="006B62EA">
        <w:rPr>
          <w:rFonts w:ascii="Arial" w:hAnsi="Arial" w:cs="Arial"/>
          <w:bCs/>
          <w:snapToGrid w:val="0"/>
          <w:sz w:val="24"/>
          <w:szCs w:val="27"/>
        </w:rPr>
        <w:t xml:space="preserve"> del Estado de Oaxaca</w:t>
      </w:r>
      <w:r w:rsidR="00A806F0">
        <w:rPr>
          <w:rFonts w:ascii="Arial" w:hAnsi="Arial" w:cs="Arial"/>
          <w:bCs/>
          <w:snapToGrid w:val="0"/>
          <w:sz w:val="24"/>
          <w:szCs w:val="27"/>
        </w:rPr>
        <w:t xml:space="preserve"> (</w:t>
      </w:r>
      <w:r w:rsidR="00B87CD4">
        <w:rPr>
          <w:rFonts w:ascii="Arial" w:hAnsi="Arial" w:cs="Arial"/>
          <w:bCs/>
          <w:snapToGrid w:val="0"/>
          <w:sz w:val="24"/>
          <w:szCs w:val="27"/>
        </w:rPr>
        <w:t>foja 30</w:t>
      </w:r>
      <w:r w:rsidR="00F2683E" w:rsidRPr="00F2683E">
        <w:rPr>
          <w:rFonts w:ascii="Arial" w:hAnsi="Arial" w:cs="Arial"/>
          <w:bCs/>
          <w:snapToGrid w:val="0"/>
          <w:sz w:val="24"/>
          <w:szCs w:val="27"/>
        </w:rPr>
        <w:t>), documental que adquiere valor probatorio pleno en términos del artículo 203 fracción I</w:t>
      </w:r>
      <w:r w:rsidR="00B87CD4">
        <w:rPr>
          <w:rFonts w:ascii="Arial" w:hAnsi="Arial" w:cs="Arial"/>
          <w:bCs/>
          <w:snapToGrid w:val="0"/>
          <w:sz w:val="24"/>
          <w:szCs w:val="27"/>
        </w:rPr>
        <w:t>I</w:t>
      </w:r>
      <w:r w:rsidR="00F2683E" w:rsidRPr="00F2683E">
        <w:rPr>
          <w:rFonts w:ascii="Arial" w:hAnsi="Arial" w:cs="Arial"/>
          <w:bCs/>
          <w:snapToGrid w:val="0"/>
          <w:sz w:val="24"/>
          <w:szCs w:val="27"/>
        </w:rPr>
        <w:t xml:space="preserve"> de la Ley de Procedimiento y Justicia Administrativa para el Estado de Oaxaca, por lo que </w:t>
      </w:r>
      <w:r>
        <w:rPr>
          <w:rFonts w:ascii="Arial" w:hAnsi="Arial" w:cs="Arial"/>
          <w:bCs/>
          <w:snapToGrid w:val="0"/>
          <w:sz w:val="24"/>
          <w:szCs w:val="27"/>
        </w:rPr>
        <w:t>con base a los hechos expuestos por el actor y relacionándolos con el</w:t>
      </w:r>
      <w:r w:rsidR="00F2683E" w:rsidRPr="00F2683E">
        <w:rPr>
          <w:rFonts w:ascii="Arial" w:hAnsi="Arial" w:cs="Arial"/>
          <w:bCs/>
          <w:snapToGrid w:val="0"/>
          <w:sz w:val="24"/>
          <w:szCs w:val="27"/>
        </w:rPr>
        <w:t xml:space="preserve"> caudal probatorio </w:t>
      </w:r>
      <w:r>
        <w:rPr>
          <w:rFonts w:ascii="Arial" w:hAnsi="Arial" w:cs="Arial"/>
          <w:bCs/>
          <w:snapToGrid w:val="0"/>
          <w:sz w:val="24"/>
          <w:szCs w:val="27"/>
        </w:rPr>
        <w:t xml:space="preserve">igualmente </w:t>
      </w:r>
      <w:r w:rsidR="00F2683E" w:rsidRPr="00F2683E">
        <w:rPr>
          <w:rFonts w:ascii="Arial" w:hAnsi="Arial" w:cs="Arial"/>
          <w:bCs/>
          <w:snapToGrid w:val="0"/>
          <w:sz w:val="24"/>
          <w:szCs w:val="27"/>
        </w:rPr>
        <w:t>aporta</w:t>
      </w:r>
      <w:r w:rsidR="002C50AB">
        <w:rPr>
          <w:rFonts w:ascii="Arial" w:hAnsi="Arial" w:cs="Arial"/>
          <w:bCs/>
          <w:snapToGrid w:val="0"/>
          <w:sz w:val="24"/>
          <w:szCs w:val="27"/>
        </w:rPr>
        <w:t>do por la parte actora</w:t>
      </w:r>
      <w:r>
        <w:rPr>
          <w:rFonts w:ascii="Arial" w:hAnsi="Arial" w:cs="Arial"/>
          <w:bCs/>
          <w:snapToGrid w:val="0"/>
          <w:sz w:val="24"/>
          <w:szCs w:val="27"/>
        </w:rPr>
        <w:t>,</w:t>
      </w:r>
      <w:r w:rsidR="002C50AB">
        <w:rPr>
          <w:rFonts w:ascii="Arial" w:hAnsi="Arial" w:cs="Arial"/>
          <w:bCs/>
          <w:snapToGrid w:val="0"/>
          <w:sz w:val="24"/>
          <w:szCs w:val="27"/>
        </w:rPr>
        <w:t xml:space="preserve"> resulta</w:t>
      </w:r>
      <w:r w:rsidR="00F2683E" w:rsidRPr="00F2683E">
        <w:rPr>
          <w:rFonts w:ascii="Arial" w:hAnsi="Arial" w:cs="Arial"/>
          <w:bCs/>
          <w:snapToGrid w:val="0"/>
          <w:sz w:val="24"/>
          <w:szCs w:val="27"/>
        </w:rPr>
        <w:t xml:space="preserve"> procedente que la autoridad demandada acordara en forma favorable </w:t>
      </w:r>
      <w:r>
        <w:rPr>
          <w:rFonts w:ascii="Arial" w:hAnsi="Arial" w:cs="Arial"/>
          <w:bCs/>
          <w:snapToGrid w:val="0"/>
          <w:sz w:val="24"/>
          <w:szCs w:val="27"/>
        </w:rPr>
        <w:t>su petición.</w:t>
      </w:r>
      <w:r w:rsidR="00F2683E" w:rsidRPr="00F2683E">
        <w:rPr>
          <w:rFonts w:ascii="Arial" w:hAnsi="Arial" w:cs="Arial"/>
          <w:bCs/>
          <w:snapToGrid w:val="0"/>
          <w:sz w:val="24"/>
          <w:szCs w:val="27"/>
        </w:rPr>
        <w:t xml:space="preserve"> </w:t>
      </w:r>
    </w:p>
    <w:p w14:paraId="11D51B2C" w14:textId="056BC5D3" w:rsidR="00F2683E" w:rsidRPr="00F2683E" w:rsidRDefault="00606733"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00F2683E" w:rsidRPr="00F2683E">
        <w:rPr>
          <w:rFonts w:ascii="Arial" w:hAnsi="Arial" w:cs="Arial"/>
          <w:bCs/>
          <w:snapToGrid w:val="0"/>
          <w:sz w:val="24"/>
          <w:szCs w:val="27"/>
        </w:rPr>
        <w:t>irve de sustento la jurisprudencia</w:t>
      </w:r>
      <w:r>
        <w:rPr>
          <w:rStyle w:val="Refdenotaalpie"/>
          <w:rFonts w:ascii="Arial" w:hAnsi="Arial" w:cs="Arial"/>
          <w:bCs/>
          <w:snapToGrid w:val="0"/>
          <w:sz w:val="24"/>
          <w:szCs w:val="27"/>
        </w:rPr>
        <w:footnoteReference w:id="3"/>
      </w:r>
      <w:r w:rsidR="00F2683E" w:rsidRPr="00F2683E">
        <w:rPr>
          <w:rFonts w:ascii="Arial" w:hAnsi="Arial" w:cs="Arial"/>
          <w:bCs/>
          <w:snapToGrid w:val="0"/>
          <w:sz w:val="24"/>
          <w:szCs w:val="27"/>
        </w:rPr>
        <w:t>, ba</w:t>
      </w:r>
      <w:r w:rsidR="00A806F0">
        <w:rPr>
          <w:rFonts w:ascii="Arial" w:hAnsi="Arial" w:cs="Arial"/>
          <w:bCs/>
          <w:snapToGrid w:val="0"/>
          <w:sz w:val="24"/>
          <w:szCs w:val="27"/>
        </w:rPr>
        <w:t>jo el texto y rubro siguiente:</w:t>
      </w:r>
    </w:p>
    <w:p w14:paraId="378023AD" w14:textId="0CA06822" w:rsidR="00F2683E" w:rsidRPr="003877DB" w:rsidRDefault="003877DB" w:rsidP="003877DB">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3877DB">
        <w:rPr>
          <w:rFonts w:ascii="Arial" w:hAnsi="Arial" w:cs="Arial"/>
          <w:b/>
          <w:bCs/>
          <w:i/>
          <w:snapToGrid w:val="0"/>
          <w:sz w:val="24"/>
          <w:szCs w:val="27"/>
        </w:rPr>
        <w:t>TRABAJADORES DE CONFIANZA AL SERVICIO DEL ESTADO. SU FALTA DE ESTABILIDAD EN EL EMPLEO NO ES CONTRARIA A LA CONSTITUCIÓN GENERAL DE LA REPÚBLICA.</w:t>
      </w:r>
      <w:r w:rsidR="00F2683E" w:rsidRPr="003877DB">
        <w:rPr>
          <w:rFonts w:ascii="Arial" w:hAnsi="Arial" w:cs="Arial"/>
          <w:bCs/>
          <w:i/>
          <w:snapToGrid w:val="0"/>
          <w:sz w:val="24"/>
          <w:szCs w:val="27"/>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w:t>
      </w:r>
      <w:r>
        <w:rPr>
          <w:rFonts w:ascii="Arial" w:hAnsi="Arial" w:cs="Arial"/>
          <w:bCs/>
          <w:i/>
          <w:snapToGrid w:val="0"/>
          <w:sz w:val="24"/>
          <w:szCs w:val="27"/>
        </w:rPr>
        <w:t>”</w:t>
      </w:r>
      <w:r w:rsidR="00F2683E" w:rsidRPr="003877DB">
        <w:rPr>
          <w:rFonts w:ascii="Arial" w:hAnsi="Arial" w:cs="Arial"/>
          <w:bCs/>
          <w:i/>
          <w:snapToGrid w:val="0"/>
          <w:sz w:val="24"/>
          <w:szCs w:val="27"/>
        </w:rPr>
        <w:t xml:space="preserve"> </w:t>
      </w:r>
    </w:p>
    <w:p w14:paraId="49E582A2" w14:textId="159182F6"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De igual forma</w:t>
      </w:r>
      <w:r w:rsidR="007862A2">
        <w:rPr>
          <w:rFonts w:ascii="Arial" w:hAnsi="Arial" w:cs="Arial"/>
          <w:bCs/>
          <w:snapToGrid w:val="0"/>
          <w:sz w:val="24"/>
          <w:szCs w:val="27"/>
        </w:rPr>
        <w:t>,</w:t>
      </w:r>
      <w:r w:rsidRPr="00F2683E">
        <w:rPr>
          <w:rFonts w:ascii="Arial" w:hAnsi="Arial" w:cs="Arial"/>
          <w:bCs/>
          <w:snapToGrid w:val="0"/>
          <w:sz w:val="24"/>
          <w:szCs w:val="27"/>
        </w:rPr>
        <w:t xml:space="preserve"> sirve de sustento la </w:t>
      </w:r>
      <w:r w:rsidR="007862A2">
        <w:rPr>
          <w:rFonts w:ascii="Arial" w:hAnsi="Arial" w:cs="Arial"/>
          <w:bCs/>
          <w:snapToGrid w:val="0"/>
          <w:sz w:val="24"/>
          <w:szCs w:val="27"/>
        </w:rPr>
        <w:t>t</w:t>
      </w:r>
      <w:r w:rsidRPr="00F2683E">
        <w:rPr>
          <w:rFonts w:ascii="Arial" w:hAnsi="Arial" w:cs="Arial"/>
          <w:bCs/>
          <w:snapToGrid w:val="0"/>
          <w:sz w:val="24"/>
          <w:szCs w:val="27"/>
        </w:rPr>
        <w:t>esis</w:t>
      </w:r>
      <w:r w:rsidR="007862A2">
        <w:rPr>
          <w:rStyle w:val="Refdenotaalpie"/>
          <w:rFonts w:ascii="Arial" w:hAnsi="Arial" w:cs="Arial"/>
          <w:bCs/>
          <w:snapToGrid w:val="0"/>
          <w:sz w:val="24"/>
          <w:szCs w:val="27"/>
        </w:rPr>
        <w:footnoteReference w:id="4"/>
      </w:r>
      <w:r w:rsidRPr="00F2683E">
        <w:rPr>
          <w:rFonts w:ascii="Arial" w:hAnsi="Arial" w:cs="Arial"/>
          <w:bCs/>
          <w:snapToGrid w:val="0"/>
          <w:sz w:val="24"/>
          <w:szCs w:val="27"/>
        </w:rPr>
        <w:t>, ba</w:t>
      </w:r>
      <w:r w:rsidR="00A806F0">
        <w:rPr>
          <w:rFonts w:ascii="Arial" w:hAnsi="Arial" w:cs="Arial"/>
          <w:bCs/>
          <w:snapToGrid w:val="0"/>
          <w:sz w:val="24"/>
          <w:szCs w:val="27"/>
        </w:rPr>
        <w:t>jo el rubro y texto siguiente:</w:t>
      </w:r>
    </w:p>
    <w:p w14:paraId="04D15214" w14:textId="5B799A4F" w:rsidR="00F2683E" w:rsidRPr="005C6B2C" w:rsidRDefault="005C6B2C" w:rsidP="005C6B2C">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5C6B2C">
        <w:rPr>
          <w:rFonts w:ascii="Arial" w:hAnsi="Arial" w:cs="Arial"/>
          <w:b/>
          <w:bCs/>
          <w:i/>
          <w:snapToGrid w:val="0"/>
          <w:sz w:val="24"/>
          <w:szCs w:val="27"/>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00F2683E" w:rsidRPr="005C6B2C">
        <w:rPr>
          <w:rFonts w:ascii="Arial" w:hAnsi="Arial" w:cs="Arial"/>
          <w:bCs/>
          <w:i/>
          <w:snapToGrid w:val="0"/>
          <w:sz w:val="24"/>
          <w:szCs w:val="27"/>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w:t>
      </w:r>
      <w:r w:rsidR="00F2683E" w:rsidRPr="005C6B2C">
        <w:rPr>
          <w:rFonts w:ascii="Arial" w:hAnsi="Arial" w:cs="Arial"/>
          <w:bCs/>
          <w:i/>
          <w:snapToGrid w:val="0"/>
          <w:sz w:val="24"/>
          <w:szCs w:val="27"/>
        </w:rPr>
        <w:lastRenderedPageBreak/>
        <w:t>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bCs/>
          <w:i/>
          <w:snapToGrid w:val="0"/>
          <w:sz w:val="24"/>
          <w:szCs w:val="27"/>
        </w:rPr>
        <w:t>”</w:t>
      </w:r>
    </w:p>
    <w:p w14:paraId="6D4678D8" w14:textId="46158C59"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En abundancia a lo anterior, es </w:t>
      </w:r>
      <w:r w:rsidR="0066763E">
        <w:rPr>
          <w:rFonts w:ascii="Arial" w:hAnsi="Arial" w:cs="Arial"/>
          <w:bCs/>
          <w:snapToGrid w:val="0"/>
          <w:sz w:val="24"/>
          <w:szCs w:val="27"/>
        </w:rPr>
        <w:t>necesario</w:t>
      </w:r>
      <w:r w:rsidRPr="00F2683E">
        <w:rPr>
          <w:rFonts w:ascii="Arial" w:hAnsi="Arial" w:cs="Arial"/>
          <w:bCs/>
          <w:snapToGrid w:val="0"/>
          <w:sz w:val="24"/>
          <w:szCs w:val="27"/>
        </w:rPr>
        <w:t xml:space="preserve"> hacer énfasis que las garantías mencionadas con antelación tienen rango </w:t>
      </w:r>
      <w:r w:rsidR="007862A2">
        <w:rPr>
          <w:rFonts w:ascii="Arial" w:hAnsi="Arial" w:cs="Arial"/>
          <w:bCs/>
          <w:snapToGrid w:val="0"/>
          <w:sz w:val="24"/>
          <w:szCs w:val="27"/>
        </w:rPr>
        <w:t>C</w:t>
      </w:r>
      <w:r w:rsidRPr="00F2683E">
        <w:rPr>
          <w:rFonts w:ascii="Arial" w:hAnsi="Arial" w:cs="Arial"/>
          <w:bCs/>
          <w:snapToGrid w:val="0"/>
          <w:sz w:val="24"/>
          <w:szCs w:val="27"/>
        </w:rPr>
        <w:t xml:space="preserve">onstitucional, a fin de procurar el mejoramiento del nivel de vida de los trabajadores y sus familiares, y que </w:t>
      </w:r>
      <w:r w:rsidR="0066763E">
        <w:rPr>
          <w:rFonts w:ascii="Arial" w:hAnsi="Arial" w:cs="Arial"/>
          <w:bCs/>
          <w:snapToGrid w:val="0"/>
          <w:sz w:val="24"/>
          <w:szCs w:val="27"/>
        </w:rPr>
        <w:t xml:space="preserve">se </w:t>
      </w:r>
      <w:r w:rsidRPr="00F2683E">
        <w:rPr>
          <w:rFonts w:ascii="Arial" w:hAnsi="Arial" w:cs="Arial"/>
          <w:bCs/>
          <w:snapToGrid w:val="0"/>
          <w:sz w:val="24"/>
          <w:szCs w:val="27"/>
        </w:rPr>
        <w:t>ha adoptado bases mínimas de seguridad social con igual propósito, en el entendido que éstas pueden ampliarse pero nunca restringirse, por ello, es válido concluir que la seguridad social para los trabajadores al servicio del Estado, está dirigida a todos ellos sin exclusión, es decir, no sólo a los</w:t>
      </w:r>
      <w:r w:rsidR="0066763E">
        <w:rPr>
          <w:rFonts w:ascii="Arial" w:hAnsi="Arial" w:cs="Arial"/>
          <w:bCs/>
          <w:snapToGrid w:val="0"/>
          <w:sz w:val="24"/>
          <w:szCs w:val="27"/>
        </w:rPr>
        <w:t xml:space="preserve"> trabajadores</w:t>
      </w:r>
      <w:r w:rsidRPr="00F2683E">
        <w:rPr>
          <w:rFonts w:ascii="Arial" w:hAnsi="Arial" w:cs="Arial"/>
          <w:bCs/>
          <w:snapToGrid w:val="0"/>
          <w:sz w:val="24"/>
          <w:szCs w:val="27"/>
        </w:rPr>
        <w:t xml:space="preserve"> de base sino también a los </w:t>
      </w:r>
      <w:r w:rsidR="0066763E">
        <w:rPr>
          <w:rFonts w:ascii="Arial" w:hAnsi="Arial" w:cs="Arial"/>
          <w:bCs/>
          <w:snapToGrid w:val="0"/>
          <w:sz w:val="24"/>
          <w:szCs w:val="27"/>
        </w:rPr>
        <w:t xml:space="preserve">trabajadores </w:t>
      </w:r>
      <w:r w:rsidRPr="00F2683E">
        <w:rPr>
          <w:rFonts w:ascii="Arial" w:hAnsi="Arial" w:cs="Arial"/>
          <w:bCs/>
          <w:snapToGrid w:val="0"/>
          <w:sz w:val="24"/>
          <w:szCs w:val="27"/>
        </w:rPr>
        <w:t xml:space="preserve">de confianza; además, que esta garantía incluye el derecho a que se disfrute de todos los beneficios de su afiliación al régimen de seguridad social, dentro de los que se incluyen los relativos a la pensión, por ello, no existe razón jurídica ni práctica para considerar que únicamente los trabajadores de base y no los de confianza tengan derecho a que se le devuelvan dichas aportaciones al </w:t>
      </w:r>
      <w:r w:rsidR="0066763E">
        <w:rPr>
          <w:rFonts w:ascii="Arial" w:hAnsi="Arial" w:cs="Arial"/>
          <w:bCs/>
          <w:snapToGrid w:val="0"/>
          <w:sz w:val="24"/>
          <w:szCs w:val="27"/>
        </w:rPr>
        <w:t>F</w:t>
      </w:r>
      <w:r w:rsidRPr="00F2683E">
        <w:rPr>
          <w:rFonts w:ascii="Arial" w:hAnsi="Arial" w:cs="Arial"/>
          <w:bCs/>
          <w:snapToGrid w:val="0"/>
          <w:sz w:val="24"/>
          <w:szCs w:val="27"/>
        </w:rPr>
        <w:t xml:space="preserve">ondo de </w:t>
      </w:r>
      <w:r w:rsidR="0066763E">
        <w:rPr>
          <w:rFonts w:ascii="Arial" w:hAnsi="Arial" w:cs="Arial"/>
          <w:bCs/>
          <w:snapToGrid w:val="0"/>
          <w:sz w:val="24"/>
          <w:szCs w:val="27"/>
        </w:rPr>
        <w:t>P</w:t>
      </w:r>
      <w:r w:rsidRPr="00F2683E">
        <w:rPr>
          <w:rFonts w:ascii="Arial" w:hAnsi="Arial" w:cs="Arial"/>
          <w:bCs/>
          <w:snapToGrid w:val="0"/>
          <w:sz w:val="24"/>
          <w:szCs w:val="27"/>
        </w:rPr>
        <w:t>ensiones, una vez que ha quedado determinado que no tienen derecho a pensión y se separen o sean separados definitivamente del servicio, puesto que al tratarse de un beneficio derivado de la seguridad social, ambos trabajadores tienen el mismo derecho, acorde a lo establecido en el artículo 123, apartado B, fracción XIV de la Constitución Política de los Estados Unidos Mexicanos; en tanto, que en ese precepto se prevé que los trabajadores de confianza gozarán también de los benefic</w:t>
      </w:r>
      <w:r w:rsidR="008F793E">
        <w:rPr>
          <w:rFonts w:ascii="Arial" w:hAnsi="Arial" w:cs="Arial"/>
          <w:bCs/>
          <w:snapToGrid w:val="0"/>
          <w:sz w:val="24"/>
          <w:szCs w:val="27"/>
        </w:rPr>
        <w:t>ios de la seguridad social.</w:t>
      </w:r>
    </w:p>
    <w:p w14:paraId="4396DD6C" w14:textId="0BB1B629"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Luego entonces, si tanto los trabajadores de base como los trabajadores de confianza realizan sus aportaciones al </w:t>
      </w:r>
      <w:r w:rsidR="00B64EC3">
        <w:rPr>
          <w:rFonts w:ascii="Arial" w:hAnsi="Arial" w:cs="Arial"/>
          <w:bCs/>
          <w:snapToGrid w:val="0"/>
          <w:sz w:val="24"/>
          <w:szCs w:val="27"/>
        </w:rPr>
        <w:t>F</w:t>
      </w:r>
      <w:r w:rsidRPr="00F2683E">
        <w:rPr>
          <w:rFonts w:ascii="Arial" w:hAnsi="Arial" w:cs="Arial"/>
          <w:bCs/>
          <w:snapToGrid w:val="0"/>
          <w:sz w:val="24"/>
          <w:szCs w:val="27"/>
        </w:rPr>
        <w:t xml:space="preserve">ondo de </w:t>
      </w:r>
      <w:r w:rsidR="00B64EC3">
        <w:rPr>
          <w:rFonts w:ascii="Arial" w:hAnsi="Arial" w:cs="Arial"/>
          <w:bCs/>
          <w:snapToGrid w:val="0"/>
          <w:sz w:val="24"/>
          <w:szCs w:val="27"/>
        </w:rPr>
        <w:t>P</w:t>
      </w:r>
      <w:r w:rsidRPr="00F2683E">
        <w:rPr>
          <w:rFonts w:ascii="Arial" w:hAnsi="Arial" w:cs="Arial"/>
          <w:bCs/>
          <w:snapToGrid w:val="0"/>
          <w:sz w:val="24"/>
          <w:szCs w:val="27"/>
        </w:rPr>
        <w:t xml:space="preserve">ensiones para asegurar su disfrute a una pensión, cuya finalidad es garantizar que el trabajador que ha prestado servicios por determinado número de años y ha llegado a una edad avanzada, pueda retirarse de su trabajo con la confianza de que tendrá derecho a recibir ese beneficio, el cual le permita vivir con dignidad la etapa más difícil de la vida humana; es evidente, que tanto el trabajador de base como el trabajador de confianza, una vez determinado que no tiene derecho a pensión y se separe o sea separado definitivamente del servicio, tendrá derecho a que se le devuelvan los descuentos que se le hubieren hecho para el Fondo de Pensiones, </w:t>
      </w:r>
      <w:r w:rsidR="00C42E19">
        <w:rPr>
          <w:rFonts w:ascii="Arial" w:hAnsi="Arial" w:cs="Arial"/>
          <w:bCs/>
          <w:snapToGrid w:val="0"/>
          <w:sz w:val="24"/>
          <w:szCs w:val="27"/>
        </w:rPr>
        <w:t xml:space="preserve">en caso de que </w:t>
      </w:r>
      <w:r w:rsidR="00C42E19">
        <w:rPr>
          <w:rFonts w:ascii="Arial" w:hAnsi="Arial" w:cs="Arial"/>
          <w:bCs/>
          <w:snapToGrid w:val="0"/>
          <w:sz w:val="24"/>
          <w:szCs w:val="27"/>
        </w:rPr>
        <w:lastRenderedPageBreak/>
        <w:t>los trabajadores no sean reincorporados</w:t>
      </w:r>
      <w:r w:rsidR="0066763E">
        <w:rPr>
          <w:rFonts w:ascii="Arial" w:hAnsi="Arial" w:cs="Arial"/>
          <w:bCs/>
          <w:snapToGrid w:val="0"/>
          <w:sz w:val="24"/>
          <w:szCs w:val="27"/>
        </w:rPr>
        <w:t xml:space="preserve"> al servicio público</w:t>
      </w:r>
      <w:r w:rsidR="00C42E19">
        <w:rPr>
          <w:rFonts w:ascii="Arial" w:hAnsi="Arial" w:cs="Arial"/>
          <w:bCs/>
          <w:snapToGrid w:val="0"/>
          <w:sz w:val="24"/>
          <w:szCs w:val="27"/>
        </w:rPr>
        <w:t xml:space="preserve"> y deseen retirar la cantidad monetaria aportada,</w:t>
      </w:r>
      <w:r w:rsidRPr="00F2683E">
        <w:rPr>
          <w:rFonts w:ascii="Arial" w:hAnsi="Arial" w:cs="Arial"/>
          <w:bCs/>
          <w:snapToGrid w:val="0"/>
          <w:sz w:val="24"/>
          <w:szCs w:val="27"/>
        </w:rPr>
        <w:t xml:space="preserve"> devolución que deberá hacerse, conforme a lo dispuesto en el segundo párrafo del artículo 64 de la Ley de Pensiones para los Trabajadores del </w:t>
      </w:r>
      <w:r w:rsidR="00C42E19">
        <w:rPr>
          <w:rFonts w:ascii="Arial" w:hAnsi="Arial" w:cs="Arial"/>
          <w:bCs/>
          <w:snapToGrid w:val="0"/>
          <w:sz w:val="24"/>
          <w:szCs w:val="27"/>
        </w:rPr>
        <w:t>Gobierno del Estado de Oaxaca.</w:t>
      </w:r>
    </w:p>
    <w:p w14:paraId="0DB941E4" w14:textId="499FF61D" w:rsidR="00F2683E" w:rsidRPr="00F2683E" w:rsidRDefault="00F00E56" w:rsidP="00154F33">
      <w:pPr>
        <w:spacing w:line="360" w:lineRule="auto"/>
        <w:ind w:firstLine="567"/>
        <w:jc w:val="both"/>
        <w:rPr>
          <w:rFonts w:ascii="Arial" w:hAnsi="Arial" w:cs="Arial"/>
          <w:bCs/>
          <w:snapToGrid w:val="0"/>
          <w:sz w:val="24"/>
          <w:szCs w:val="27"/>
        </w:rPr>
      </w:pPr>
      <w:r>
        <w:rPr>
          <w:rFonts w:ascii="Arial" w:hAnsi="Arial" w:cs="Arial"/>
          <w:bCs/>
          <w:snapToGrid w:val="0"/>
          <w:sz w:val="24"/>
          <w:szCs w:val="27"/>
        </w:rPr>
        <w:t>En relatadas consideraciones</w:t>
      </w:r>
      <w:r w:rsidR="00154F33">
        <w:rPr>
          <w:rFonts w:ascii="Arial" w:hAnsi="Arial" w:cs="Arial"/>
          <w:bCs/>
          <w:snapToGrid w:val="0"/>
          <w:sz w:val="24"/>
          <w:szCs w:val="27"/>
        </w:rPr>
        <w:t>,</w:t>
      </w:r>
      <w:r>
        <w:rPr>
          <w:rFonts w:ascii="Arial" w:hAnsi="Arial" w:cs="Arial"/>
          <w:bCs/>
          <w:snapToGrid w:val="0"/>
          <w:sz w:val="24"/>
          <w:szCs w:val="27"/>
        </w:rPr>
        <w:t xml:space="preserve"> al haber negado la devolución solicitada, sin que se tomaran en cuenta</w:t>
      </w:r>
      <w:r w:rsidR="003A318D">
        <w:rPr>
          <w:rFonts w:ascii="Arial" w:hAnsi="Arial" w:cs="Arial"/>
          <w:bCs/>
          <w:snapToGrid w:val="0"/>
          <w:sz w:val="24"/>
          <w:szCs w:val="27"/>
        </w:rPr>
        <w:t xml:space="preserve"> la interpretación </w:t>
      </w:r>
      <w:r w:rsidR="003A318D">
        <w:rPr>
          <w:rFonts w:ascii="Arial" w:hAnsi="Arial" w:cs="Arial"/>
          <w:bCs/>
          <w:i/>
          <w:iCs/>
          <w:snapToGrid w:val="0"/>
          <w:sz w:val="24"/>
          <w:szCs w:val="27"/>
        </w:rPr>
        <w:t>pro persona</w:t>
      </w:r>
      <w:r w:rsidR="003A318D">
        <w:rPr>
          <w:rFonts w:ascii="Arial" w:hAnsi="Arial" w:cs="Arial"/>
          <w:bCs/>
          <w:snapToGrid w:val="0"/>
          <w:sz w:val="24"/>
          <w:szCs w:val="27"/>
        </w:rPr>
        <w:t xml:space="preserve">, garantizando la protección de los derechos seguridad y certeza jurídica, ni la protección de seguridad social, </w:t>
      </w:r>
      <w:r>
        <w:rPr>
          <w:rFonts w:ascii="Arial" w:hAnsi="Arial" w:cs="Arial"/>
          <w:bCs/>
          <w:snapToGrid w:val="0"/>
          <w:sz w:val="24"/>
          <w:szCs w:val="27"/>
        </w:rPr>
        <w:t xml:space="preserve"> </w:t>
      </w:r>
      <w:r w:rsidR="00F2683E" w:rsidRPr="00F2683E">
        <w:rPr>
          <w:rFonts w:ascii="Arial" w:hAnsi="Arial" w:cs="Arial"/>
          <w:bCs/>
          <w:snapToGrid w:val="0"/>
          <w:sz w:val="24"/>
          <w:szCs w:val="27"/>
        </w:rPr>
        <w:t xml:space="preserve">los conceptos de impugnación PRIMERO y SEGUNDO </w:t>
      </w:r>
      <w:r w:rsidR="00154F33">
        <w:rPr>
          <w:rFonts w:ascii="Arial" w:hAnsi="Arial" w:cs="Arial"/>
          <w:bCs/>
          <w:snapToGrid w:val="0"/>
          <w:sz w:val="24"/>
          <w:szCs w:val="27"/>
        </w:rPr>
        <w:t xml:space="preserve">hechos valer por el accionante, </w:t>
      </w:r>
      <w:r w:rsidR="00F2683E" w:rsidRPr="00F2683E">
        <w:rPr>
          <w:rFonts w:ascii="Arial" w:hAnsi="Arial" w:cs="Arial"/>
          <w:bCs/>
          <w:snapToGrid w:val="0"/>
          <w:sz w:val="24"/>
          <w:szCs w:val="27"/>
        </w:rPr>
        <w:t xml:space="preserve">resultan </w:t>
      </w:r>
      <w:r w:rsidR="00F2683E" w:rsidRPr="003A318D">
        <w:rPr>
          <w:rFonts w:ascii="Arial" w:hAnsi="Arial" w:cs="Arial"/>
          <w:b/>
          <w:bCs/>
          <w:snapToGrid w:val="0"/>
          <w:sz w:val="24"/>
          <w:szCs w:val="27"/>
        </w:rPr>
        <w:t>FUNDADOS</w:t>
      </w:r>
      <w:r w:rsidR="00B64EC3">
        <w:rPr>
          <w:rFonts w:ascii="Arial" w:hAnsi="Arial" w:cs="Arial"/>
          <w:bCs/>
          <w:snapToGrid w:val="0"/>
          <w:sz w:val="24"/>
          <w:szCs w:val="27"/>
        </w:rPr>
        <w:t>;</w:t>
      </w:r>
      <w:r w:rsidR="00F2683E" w:rsidRPr="00F2683E">
        <w:rPr>
          <w:rFonts w:ascii="Arial" w:hAnsi="Arial" w:cs="Arial"/>
          <w:bCs/>
          <w:snapToGrid w:val="0"/>
          <w:sz w:val="24"/>
          <w:szCs w:val="27"/>
        </w:rPr>
        <w:t xml:space="preserve"> </w:t>
      </w:r>
      <w:r w:rsidR="003A318D">
        <w:rPr>
          <w:rFonts w:ascii="Arial" w:hAnsi="Arial" w:cs="Arial"/>
          <w:bCs/>
          <w:snapToGrid w:val="0"/>
          <w:sz w:val="24"/>
          <w:szCs w:val="27"/>
        </w:rPr>
        <w:t>por tanto,</w:t>
      </w:r>
      <w:r w:rsidR="00F2683E" w:rsidRPr="00F2683E">
        <w:rPr>
          <w:rFonts w:ascii="Arial" w:hAnsi="Arial" w:cs="Arial"/>
          <w:bCs/>
          <w:snapToGrid w:val="0"/>
          <w:sz w:val="24"/>
          <w:szCs w:val="27"/>
        </w:rPr>
        <w:t xml:space="preserve"> esta Sala </w:t>
      </w:r>
      <w:r w:rsidR="003A318D">
        <w:rPr>
          <w:rFonts w:ascii="Arial" w:hAnsi="Arial" w:cs="Arial"/>
          <w:bCs/>
          <w:snapToGrid w:val="0"/>
          <w:sz w:val="24"/>
          <w:szCs w:val="27"/>
        </w:rPr>
        <w:t xml:space="preserve">Unitaria </w:t>
      </w:r>
      <w:r w:rsidR="00F2683E" w:rsidRPr="00F2683E">
        <w:rPr>
          <w:rFonts w:ascii="Arial" w:hAnsi="Arial" w:cs="Arial"/>
          <w:bCs/>
          <w:snapToGrid w:val="0"/>
          <w:sz w:val="24"/>
          <w:szCs w:val="27"/>
        </w:rPr>
        <w:t xml:space="preserve">estima procedente decretar la </w:t>
      </w:r>
      <w:r w:rsidR="00154F33" w:rsidRPr="00154F33">
        <w:rPr>
          <w:rFonts w:ascii="Arial" w:hAnsi="Arial" w:cs="Arial"/>
          <w:b/>
          <w:bCs/>
          <w:snapToGrid w:val="0"/>
          <w:sz w:val="24"/>
          <w:szCs w:val="27"/>
        </w:rPr>
        <w:t>NULIDAD</w:t>
      </w:r>
      <w:r w:rsidR="00F2683E" w:rsidRPr="00F2683E">
        <w:rPr>
          <w:rFonts w:ascii="Arial" w:hAnsi="Arial" w:cs="Arial"/>
          <w:bCs/>
          <w:snapToGrid w:val="0"/>
          <w:sz w:val="24"/>
          <w:szCs w:val="27"/>
        </w:rPr>
        <w:t xml:space="preserve"> del oficio número </w:t>
      </w:r>
      <w:r w:rsidR="00624FF8">
        <w:rPr>
          <w:rFonts w:ascii="Arial" w:hAnsi="Arial" w:cs="Arial"/>
          <w:bCs/>
          <w:snapToGrid w:val="0"/>
          <w:sz w:val="24"/>
          <w:szCs w:val="27"/>
        </w:rPr>
        <w:t>OP/DG/DPE/</w:t>
      </w:r>
      <w:r w:rsidR="00D74A15">
        <w:rPr>
          <w:rFonts w:ascii="Arial" w:hAnsi="Arial" w:cs="Arial"/>
          <w:bCs/>
          <w:snapToGrid w:val="0"/>
          <w:sz w:val="24"/>
          <w:szCs w:val="27"/>
        </w:rPr>
        <w:t>***</w:t>
      </w:r>
      <w:r w:rsidR="00624FF8">
        <w:rPr>
          <w:rFonts w:ascii="Arial" w:hAnsi="Arial" w:cs="Arial"/>
          <w:bCs/>
          <w:snapToGrid w:val="0"/>
          <w:sz w:val="24"/>
          <w:szCs w:val="27"/>
        </w:rPr>
        <w:t>/</w:t>
      </w:r>
      <w:r w:rsidR="00D74A15">
        <w:rPr>
          <w:rFonts w:ascii="Arial" w:hAnsi="Arial" w:cs="Arial"/>
          <w:bCs/>
          <w:snapToGrid w:val="0"/>
          <w:sz w:val="24"/>
          <w:szCs w:val="27"/>
        </w:rPr>
        <w:t>***</w:t>
      </w:r>
      <w:r w:rsidR="00B64EC3">
        <w:rPr>
          <w:rFonts w:ascii="Arial" w:hAnsi="Arial" w:cs="Arial"/>
          <w:bCs/>
          <w:snapToGrid w:val="0"/>
          <w:sz w:val="24"/>
          <w:szCs w:val="27"/>
        </w:rPr>
        <w:t>,</w:t>
      </w:r>
      <w:r w:rsidR="00E7442C">
        <w:rPr>
          <w:rFonts w:ascii="Arial" w:hAnsi="Arial" w:cs="Arial"/>
          <w:bCs/>
          <w:snapToGrid w:val="0"/>
          <w:sz w:val="24"/>
          <w:szCs w:val="27"/>
        </w:rPr>
        <w:t xml:space="preserve"> de fecha</w:t>
      </w:r>
      <w:r w:rsidR="00D74A15">
        <w:rPr>
          <w:rFonts w:ascii="Arial" w:hAnsi="Arial" w:cs="Arial"/>
          <w:bCs/>
          <w:snapToGrid w:val="0"/>
          <w:sz w:val="24"/>
          <w:szCs w:val="27"/>
        </w:rPr>
        <w:t xml:space="preserve"> *****</w:t>
      </w:r>
      <w:r w:rsidR="00624FF8">
        <w:rPr>
          <w:rFonts w:ascii="Arial" w:hAnsi="Arial" w:cs="Arial"/>
          <w:bCs/>
          <w:snapToGrid w:val="0"/>
          <w:sz w:val="24"/>
          <w:szCs w:val="27"/>
        </w:rPr>
        <w:t xml:space="preserve"> de</w:t>
      </w:r>
      <w:r w:rsidR="00D74A15">
        <w:rPr>
          <w:rFonts w:ascii="Arial" w:hAnsi="Arial" w:cs="Arial"/>
          <w:bCs/>
          <w:snapToGrid w:val="0"/>
          <w:sz w:val="24"/>
          <w:szCs w:val="27"/>
        </w:rPr>
        <w:t xml:space="preserve"> *****</w:t>
      </w:r>
      <w:r w:rsidR="00624FF8">
        <w:rPr>
          <w:rFonts w:ascii="Arial" w:hAnsi="Arial" w:cs="Arial"/>
          <w:bCs/>
          <w:snapToGrid w:val="0"/>
          <w:sz w:val="24"/>
          <w:szCs w:val="27"/>
        </w:rPr>
        <w:t xml:space="preserve"> de dos</w:t>
      </w:r>
      <w:r w:rsidR="00D74A15">
        <w:rPr>
          <w:rFonts w:ascii="Arial" w:hAnsi="Arial" w:cs="Arial"/>
          <w:bCs/>
          <w:snapToGrid w:val="0"/>
          <w:sz w:val="24"/>
          <w:szCs w:val="27"/>
        </w:rPr>
        <w:t xml:space="preserve"> ***** *****</w:t>
      </w:r>
      <w:r w:rsidR="00800F45">
        <w:rPr>
          <w:rFonts w:ascii="Arial" w:hAnsi="Arial" w:cs="Arial"/>
          <w:bCs/>
          <w:snapToGrid w:val="0"/>
          <w:sz w:val="24"/>
          <w:szCs w:val="27"/>
        </w:rPr>
        <w:t xml:space="preserve">, </w:t>
      </w:r>
      <w:r w:rsidR="00F2683E" w:rsidRPr="00F2683E">
        <w:rPr>
          <w:rFonts w:ascii="Arial" w:hAnsi="Arial" w:cs="Arial"/>
          <w:bCs/>
          <w:snapToGrid w:val="0"/>
          <w:sz w:val="24"/>
          <w:szCs w:val="27"/>
        </w:rPr>
        <w:t xml:space="preserve">emitido por el Director General de la Oficina de Pensiones del Gobierno del Estado de Oaxaca, </w:t>
      </w:r>
      <w:r w:rsidR="00154F33" w:rsidRPr="00154F33">
        <w:rPr>
          <w:rFonts w:ascii="Arial" w:hAnsi="Arial" w:cs="Arial"/>
          <w:b/>
          <w:bCs/>
          <w:snapToGrid w:val="0"/>
          <w:sz w:val="24"/>
          <w:szCs w:val="27"/>
        </w:rPr>
        <w:t>PARA EL EFECTO</w:t>
      </w:r>
      <w:r w:rsidR="00154F33">
        <w:rPr>
          <w:rFonts w:ascii="Arial" w:hAnsi="Arial" w:cs="Arial"/>
          <w:bCs/>
          <w:snapToGrid w:val="0"/>
          <w:sz w:val="24"/>
          <w:szCs w:val="27"/>
        </w:rPr>
        <w:t xml:space="preserve"> de </w:t>
      </w:r>
      <w:r w:rsidR="00154F33" w:rsidRPr="00120A2E">
        <w:rPr>
          <w:rFonts w:ascii="Arial" w:hAnsi="Arial" w:cs="Arial"/>
          <w:bCs/>
          <w:snapToGrid w:val="0"/>
          <w:sz w:val="24"/>
          <w:szCs w:val="27"/>
          <w:u w:val="single"/>
        </w:rPr>
        <w:t>que la autoridad demandada deje sin efectos dicho oficio y emita otro debidamente fundado y motivado en el que en términos de la presente resolución,</w:t>
      </w:r>
      <w:r w:rsidR="00C25F4B">
        <w:rPr>
          <w:rFonts w:ascii="Arial" w:hAnsi="Arial" w:cs="Arial"/>
          <w:bCs/>
          <w:snapToGrid w:val="0"/>
          <w:sz w:val="24"/>
          <w:szCs w:val="27"/>
          <w:u w:val="single"/>
        </w:rPr>
        <w:t xml:space="preserve"> devuelva</w:t>
      </w:r>
      <w:r w:rsidR="00154F33" w:rsidRPr="00120A2E">
        <w:rPr>
          <w:rFonts w:ascii="Arial" w:hAnsi="Arial" w:cs="Arial"/>
          <w:bCs/>
          <w:snapToGrid w:val="0"/>
          <w:sz w:val="24"/>
          <w:szCs w:val="27"/>
          <w:u w:val="single"/>
        </w:rPr>
        <w:t xml:space="preserve"> las aportaciones</w:t>
      </w:r>
      <w:r w:rsidR="0041690D">
        <w:rPr>
          <w:rFonts w:ascii="Arial" w:hAnsi="Arial" w:cs="Arial"/>
          <w:bCs/>
          <w:snapToGrid w:val="0"/>
          <w:sz w:val="24"/>
          <w:szCs w:val="27"/>
          <w:u w:val="single"/>
        </w:rPr>
        <w:t xml:space="preserve"> hechas por concepto de “FONDO</w:t>
      </w:r>
      <w:r w:rsidR="00154F33" w:rsidRPr="00120A2E">
        <w:rPr>
          <w:rFonts w:ascii="Arial" w:hAnsi="Arial" w:cs="Arial"/>
          <w:bCs/>
          <w:snapToGrid w:val="0"/>
          <w:sz w:val="24"/>
          <w:szCs w:val="27"/>
          <w:u w:val="single"/>
        </w:rPr>
        <w:t xml:space="preserve"> PENSIONES</w:t>
      </w:r>
      <w:r w:rsidR="0041690D">
        <w:rPr>
          <w:rFonts w:ascii="Arial" w:hAnsi="Arial" w:cs="Arial"/>
          <w:bCs/>
          <w:snapToGrid w:val="0"/>
          <w:sz w:val="24"/>
          <w:szCs w:val="27"/>
          <w:u w:val="single"/>
        </w:rPr>
        <w:t>”</w:t>
      </w:r>
      <w:r w:rsidR="00154F33" w:rsidRPr="00120A2E">
        <w:rPr>
          <w:rFonts w:ascii="Arial" w:hAnsi="Arial" w:cs="Arial"/>
          <w:bCs/>
          <w:snapToGrid w:val="0"/>
          <w:sz w:val="24"/>
          <w:szCs w:val="27"/>
          <w:u w:val="single"/>
        </w:rPr>
        <w:t xml:space="preserve"> rea</w:t>
      </w:r>
      <w:r w:rsidR="001861F5">
        <w:rPr>
          <w:rFonts w:ascii="Arial" w:hAnsi="Arial" w:cs="Arial"/>
          <w:bCs/>
          <w:snapToGrid w:val="0"/>
          <w:sz w:val="24"/>
          <w:szCs w:val="27"/>
          <w:u w:val="single"/>
        </w:rPr>
        <w:t>lizadas dentro del periodo</w:t>
      </w:r>
      <w:r w:rsidR="00D96B1E">
        <w:rPr>
          <w:rFonts w:ascii="Arial" w:hAnsi="Arial" w:cs="Arial"/>
          <w:bCs/>
          <w:snapToGrid w:val="0"/>
          <w:sz w:val="24"/>
          <w:szCs w:val="27"/>
          <w:u w:val="single"/>
        </w:rPr>
        <w:t xml:space="preserve"> comprendido</w:t>
      </w:r>
      <w:r w:rsidR="001861F5">
        <w:rPr>
          <w:rFonts w:ascii="Arial" w:hAnsi="Arial" w:cs="Arial"/>
          <w:bCs/>
          <w:snapToGrid w:val="0"/>
          <w:sz w:val="24"/>
          <w:szCs w:val="27"/>
          <w:u w:val="single"/>
        </w:rPr>
        <w:t xml:space="preserve"> del</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de</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de dos</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w:t>
      </w:r>
      <w:r w:rsidR="00D74A15">
        <w:rPr>
          <w:rFonts w:ascii="Arial" w:hAnsi="Arial" w:cs="Arial"/>
          <w:bCs/>
          <w:snapToGrid w:val="0"/>
          <w:sz w:val="24"/>
          <w:szCs w:val="27"/>
          <w:u w:val="single"/>
        </w:rPr>
        <w:t>*****</w:t>
      </w:r>
      <w:r w:rsidR="00D96B1E">
        <w:rPr>
          <w:rFonts w:ascii="Arial" w:hAnsi="Arial" w:cs="Arial"/>
          <w:bCs/>
          <w:snapToGrid w:val="0"/>
          <w:sz w:val="24"/>
          <w:szCs w:val="27"/>
          <w:u w:val="single"/>
        </w:rPr>
        <w:t xml:space="preserve"> al</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y</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de</w:t>
      </w:r>
      <w:r w:rsidR="00D74A15">
        <w:rPr>
          <w:rFonts w:ascii="Arial" w:hAnsi="Arial" w:cs="Arial"/>
          <w:bCs/>
          <w:snapToGrid w:val="0"/>
          <w:sz w:val="24"/>
          <w:szCs w:val="27"/>
          <w:u w:val="single"/>
        </w:rPr>
        <w:t xml:space="preserve"> *****</w:t>
      </w:r>
      <w:r w:rsidR="00D96B1E">
        <w:rPr>
          <w:rFonts w:ascii="Arial" w:hAnsi="Arial" w:cs="Arial"/>
          <w:bCs/>
          <w:snapToGrid w:val="0"/>
          <w:sz w:val="24"/>
          <w:szCs w:val="27"/>
          <w:u w:val="single"/>
        </w:rPr>
        <w:t xml:space="preserve"> de dos mil </w:t>
      </w:r>
      <w:r w:rsidR="00D74A15">
        <w:rPr>
          <w:rFonts w:ascii="Arial" w:hAnsi="Arial" w:cs="Arial"/>
          <w:bCs/>
          <w:snapToGrid w:val="0"/>
          <w:sz w:val="24"/>
          <w:szCs w:val="27"/>
          <w:u w:val="single"/>
        </w:rPr>
        <w:t>*****</w:t>
      </w:r>
      <w:r w:rsidR="003A318D">
        <w:rPr>
          <w:rFonts w:ascii="Arial" w:hAnsi="Arial" w:cs="Arial"/>
          <w:bCs/>
          <w:snapToGrid w:val="0"/>
          <w:sz w:val="24"/>
          <w:szCs w:val="27"/>
          <w:u w:val="single"/>
        </w:rPr>
        <w:t xml:space="preserve">, que fue el periodo que laboró </w:t>
      </w:r>
      <w:r w:rsidR="00D74A15">
        <w:rPr>
          <w:rFonts w:ascii="Arial" w:hAnsi="Arial" w:cs="Arial"/>
          <w:bCs/>
          <w:snapToGrid w:val="0"/>
          <w:sz w:val="24"/>
          <w:szCs w:val="27"/>
          <w:u w:val="single"/>
        </w:rPr>
        <w:t>***** *****</w:t>
      </w:r>
      <w:r w:rsidR="003A318D" w:rsidRPr="003A318D">
        <w:rPr>
          <w:rFonts w:ascii="Arial" w:hAnsi="Arial" w:cs="Arial"/>
          <w:bCs/>
          <w:snapToGrid w:val="0"/>
          <w:sz w:val="24"/>
          <w:szCs w:val="27"/>
          <w:u w:val="single"/>
        </w:rPr>
        <w:t xml:space="preserve"> </w:t>
      </w:r>
      <w:r w:rsidR="00D74A15">
        <w:rPr>
          <w:rFonts w:ascii="Arial" w:hAnsi="Arial" w:cs="Arial"/>
          <w:bCs/>
          <w:snapToGrid w:val="0"/>
          <w:sz w:val="24"/>
          <w:szCs w:val="27"/>
          <w:u w:val="single"/>
        </w:rPr>
        <w:t>*****</w:t>
      </w:r>
      <w:r w:rsidR="003A318D" w:rsidRPr="003A318D">
        <w:rPr>
          <w:rFonts w:ascii="Arial" w:hAnsi="Arial" w:cs="Arial"/>
          <w:bCs/>
          <w:snapToGrid w:val="0"/>
          <w:sz w:val="24"/>
          <w:szCs w:val="27"/>
          <w:u w:val="single"/>
        </w:rPr>
        <w:t xml:space="preserve"> </w:t>
      </w:r>
      <w:r w:rsidR="00D74A15">
        <w:rPr>
          <w:rFonts w:ascii="Arial" w:hAnsi="Arial" w:cs="Arial"/>
          <w:bCs/>
          <w:snapToGrid w:val="0"/>
          <w:sz w:val="24"/>
          <w:szCs w:val="27"/>
          <w:u w:val="single"/>
        </w:rPr>
        <w:t>*****</w:t>
      </w:r>
      <w:r w:rsidR="00154F33">
        <w:rPr>
          <w:rFonts w:ascii="Arial" w:hAnsi="Arial" w:cs="Arial"/>
          <w:bCs/>
          <w:snapToGrid w:val="0"/>
          <w:sz w:val="24"/>
          <w:szCs w:val="27"/>
        </w:rPr>
        <w:t>.</w:t>
      </w:r>
      <w:r w:rsidR="00F2683E" w:rsidRPr="00F2683E">
        <w:rPr>
          <w:rFonts w:ascii="Arial" w:hAnsi="Arial" w:cs="Arial"/>
          <w:bCs/>
          <w:snapToGrid w:val="0"/>
          <w:sz w:val="24"/>
          <w:szCs w:val="27"/>
        </w:rPr>
        <w:t xml:space="preserve"> </w:t>
      </w:r>
    </w:p>
    <w:p w14:paraId="7DB1AC68" w14:textId="65CD70A8" w:rsid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Por último, en cuanto a las excepciones propuestas por la autoridad demandada resultan ser inoperantes por las razones expuestas, en esta sentencia. </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2B6F56D4" w:rsidR="003E0CBC" w:rsidRPr="009C0C09" w:rsidRDefault="003E0CBC" w:rsidP="00724429">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800F45">
        <w:rPr>
          <w:rFonts w:cs="Arial"/>
          <w:b/>
          <w:sz w:val="24"/>
          <w:szCs w:val="27"/>
        </w:rPr>
        <w:t>.</w:t>
      </w:r>
      <w:r w:rsidR="0017012B">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5DEBF47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CBC429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801F14">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69513015" w:rsidR="003E0CBC" w:rsidRPr="009C0C09" w:rsidRDefault="003E0CBC" w:rsidP="00724429">
      <w:pPr>
        <w:pStyle w:val="Sangra2detindependiente1"/>
        <w:spacing w:after="200" w:line="360" w:lineRule="auto"/>
        <w:ind w:right="51" w:firstLine="567"/>
        <w:rPr>
          <w:rFonts w:cs="Arial"/>
          <w:i w:val="0"/>
          <w:szCs w:val="27"/>
        </w:rPr>
      </w:pPr>
      <w:r w:rsidRPr="009C0C09">
        <w:rPr>
          <w:rFonts w:cs="Arial"/>
          <w:i w:val="0"/>
          <w:szCs w:val="27"/>
        </w:rPr>
        <w:t>CUARTO.</w:t>
      </w:r>
      <w:r w:rsidR="00800F45">
        <w:rPr>
          <w:rFonts w:cs="Arial"/>
          <w:i w:val="0"/>
          <w:szCs w:val="27"/>
        </w:rPr>
        <w:t xml:space="preserve"> </w:t>
      </w:r>
      <w:r w:rsidRPr="009C0C09">
        <w:rPr>
          <w:rFonts w:cs="Arial"/>
          <w:b w:val="0"/>
          <w:bCs/>
          <w:i w:val="0"/>
          <w:szCs w:val="27"/>
        </w:rPr>
        <w:t xml:space="preserve">Se declara la </w:t>
      </w:r>
      <w:r w:rsidR="00926CF7" w:rsidRPr="00926CF7">
        <w:rPr>
          <w:rFonts w:cs="Arial"/>
          <w:i w:val="0"/>
          <w:szCs w:val="27"/>
        </w:rPr>
        <w:t xml:space="preserve">NULIDAD </w:t>
      </w:r>
      <w:r w:rsidR="00AD613C">
        <w:rPr>
          <w:rFonts w:cs="Arial"/>
          <w:b w:val="0"/>
          <w:i w:val="0"/>
          <w:szCs w:val="27"/>
        </w:rPr>
        <w:t>del oficio número OP/DG/DPE/</w:t>
      </w:r>
      <w:r w:rsidR="004E10B5">
        <w:rPr>
          <w:rFonts w:cs="Arial"/>
          <w:b w:val="0"/>
          <w:i w:val="0"/>
          <w:szCs w:val="27"/>
        </w:rPr>
        <w:t>***</w:t>
      </w:r>
      <w:r w:rsidR="00AD613C">
        <w:rPr>
          <w:rFonts w:cs="Arial"/>
          <w:b w:val="0"/>
          <w:i w:val="0"/>
          <w:szCs w:val="27"/>
        </w:rPr>
        <w:t>/</w:t>
      </w:r>
      <w:r w:rsidR="004E10B5">
        <w:rPr>
          <w:rFonts w:cs="Arial"/>
          <w:b w:val="0"/>
          <w:i w:val="0"/>
          <w:szCs w:val="27"/>
        </w:rPr>
        <w:t>***</w:t>
      </w:r>
      <w:r w:rsidR="00B64EC3">
        <w:rPr>
          <w:rFonts w:cs="Arial"/>
          <w:b w:val="0"/>
          <w:i w:val="0"/>
          <w:szCs w:val="27"/>
        </w:rPr>
        <w:t>,</w:t>
      </w:r>
      <w:r w:rsidR="00926CF7" w:rsidRPr="00926CF7">
        <w:rPr>
          <w:rFonts w:cs="Arial"/>
          <w:b w:val="0"/>
          <w:i w:val="0"/>
          <w:szCs w:val="27"/>
        </w:rPr>
        <w:t xml:space="preserve"> de fecha</w:t>
      </w:r>
      <w:r w:rsidR="004E10B5">
        <w:rPr>
          <w:rFonts w:cs="Arial"/>
          <w:b w:val="0"/>
          <w:i w:val="0"/>
          <w:szCs w:val="27"/>
        </w:rPr>
        <w:t xml:space="preserve"> *** </w:t>
      </w:r>
      <w:r w:rsidR="00AD613C">
        <w:rPr>
          <w:rFonts w:cs="Arial"/>
          <w:b w:val="0"/>
          <w:i w:val="0"/>
          <w:szCs w:val="27"/>
        </w:rPr>
        <w:t>de</w:t>
      </w:r>
      <w:r w:rsidR="004E10B5">
        <w:rPr>
          <w:rFonts w:cs="Arial"/>
          <w:b w:val="0"/>
          <w:i w:val="0"/>
          <w:szCs w:val="27"/>
        </w:rPr>
        <w:t xml:space="preserve"> *****</w:t>
      </w:r>
      <w:r w:rsidR="00AD613C">
        <w:rPr>
          <w:rFonts w:cs="Arial"/>
          <w:b w:val="0"/>
          <w:i w:val="0"/>
          <w:szCs w:val="27"/>
        </w:rPr>
        <w:t xml:space="preserve"> de dos mil</w:t>
      </w:r>
      <w:r w:rsidR="004E10B5">
        <w:rPr>
          <w:rFonts w:cs="Arial"/>
          <w:b w:val="0"/>
          <w:i w:val="0"/>
          <w:szCs w:val="27"/>
        </w:rPr>
        <w:t xml:space="preserve"> *****</w:t>
      </w:r>
      <w:r w:rsidR="00926CF7" w:rsidRPr="00926CF7">
        <w:rPr>
          <w:rFonts w:cs="Arial"/>
          <w:b w:val="0"/>
          <w:i w:val="0"/>
          <w:szCs w:val="27"/>
        </w:rPr>
        <w:t xml:space="preserve">, emitido por el Director General de la Oficina de Pensiones del Gobierno del Estado de Oaxaca, </w:t>
      </w:r>
      <w:r w:rsidR="00926CF7" w:rsidRPr="00926CF7">
        <w:rPr>
          <w:rFonts w:cs="Arial"/>
          <w:i w:val="0"/>
          <w:szCs w:val="27"/>
        </w:rPr>
        <w:t>PARA EL EFECTO</w:t>
      </w:r>
      <w:r w:rsidR="00926CF7" w:rsidRPr="00926CF7">
        <w:rPr>
          <w:rFonts w:cs="Arial"/>
          <w:b w:val="0"/>
          <w:i w:val="0"/>
          <w:szCs w:val="27"/>
        </w:rPr>
        <w:t xml:space="preserve"> </w:t>
      </w:r>
      <w:r w:rsidR="00926CF7" w:rsidRPr="00926CF7">
        <w:rPr>
          <w:rFonts w:cs="Arial"/>
          <w:b w:val="0"/>
          <w:i w:val="0"/>
          <w:szCs w:val="27"/>
          <w:u w:val="single"/>
        </w:rPr>
        <w:t>de que la autoridad demandada deje sin efectos dicho oficio y emita otro debidamente fundado y motivado en el que en términos de la presente resolución,</w:t>
      </w:r>
      <w:r w:rsidR="00B64EC3">
        <w:rPr>
          <w:rFonts w:cs="Arial"/>
          <w:b w:val="0"/>
          <w:i w:val="0"/>
          <w:szCs w:val="27"/>
          <w:u w:val="single"/>
        </w:rPr>
        <w:t xml:space="preserve"> </w:t>
      </w:r>
      <w:r w:rsidR="00FB4752">
        <w:rPr>
          <w:rFonts w:cs="Arial"/>
          <w:b w:val="0"/>
          <w:i w:val="0"/>
          <w:szCs w:val="27"/>
          <w:u w:val="single"/>
        </w:rPr>
        <w:t>devuelva</w:t>
      </w:r>
      <w:r w:rsidR="00926CF7" w:rsidRPr="00926CF7">
        <w:rPr>
          <w:rFonts w:cs="Arial"/>
          <w:b w:val="0"/>
          <w:i w:val="0"/>
          <w:szCs w:val="27"/>
          <w:u w:val="single"/>
        </w:rPr>
        <w:t xml:space="preserve"> las aportaciones</w:t>
      </w:r>
      <w:r w:rsidR="0041690D">
        <w:rPr>
          <w:rFonts w:cs="Arial"/>
          <w:b w:val="0"/>
          <w:i w:val="0"/>
          <w:szCs w:val="27"/>
          <w:u w:val="single"/>
        </w:rPr>
        <w:t xml:space="preserve"> hechas por concepto de “FONDO</w:t>
      </w:r>
      <w:r w:rsidR="00926CF7" w:rsidRPr="00926CF7">
        <w:rPr>
          <w:rFonts w:cs="Arial"/>
          <w:b w:val="0"/>
          <w:i w:val="0"/>
          <w:szCs w:val="27"/>
          <w:u w:val="single"/>
        </w:rPr>
        <w:t xml:space="preserve"> PENSIONES</w:t>
      </w:r>
      <w:r w:rsidR="0041690D">
        <w:rPr>
          <w:rFonts w:cs="Arial"/>
          <w:b w:val="0"/>
          <w:i w:val="0"/>
          <w:szCs w:val="27"/>
          <w:u w:val="single"/>
        </w:rPr>
        <w:t>”</w:t>
      </w:r>
      <w:r w:rsidR="00926CF7" w:rsidRPr="00926CF7">
        <w:rPr>
          <w:rFonts w:cs="Arial"/>
          <w:b w:val="0"/>
          <w:i w:val="0"/>
          <w:szCs w:val="27"/>
          <w:u w:val="single"/>
        </w:rPr>
        <w:t xml:space="preserve"> realizada</w:t>
      </w:r>
      <w:r w:rsidR="00725DC8">
        <w:rPr>
          <w:rFonts w:cs="Arial"/>
          <w:b w:val="0"/>
          <w:i w:val="0"/>
          <w:szCs w:val="27"/>
          <w:u w:val="single"/>
        </w:rPr>
        <w:t xml:space="preserve">s dentro del </w:t>
      </w:r>
      <w:r w:rsidR="00725DC8">
        <w:rPr>
          <w:rFonts w:cs="Arial"/>
          <w:b w:val="0"/>
          <w:i w:val="0"/>
          <w:szCs w:val="27"/>
          <w:u w:val="single"/>
        </w:rPr>
        <w:lastRenderedPageBreak/>
        <w:t>periodo</w:t>
      </w:r>
      <w:r w:rsidR="00457003">
        <w:rPr>
          <w:rFonts w:cs="Arial"/>
          <w:b w:val="0"/>
          <w:i w:val="0"/>
          <w:szCs w:val="27"/>
          <w:u w:val="single"/>
        </w:rPr>
        <w:t xml:space="preserve"> comprendido</w:t>
      </w:r>
      <w:r w:rsidR="00725DC8">
        <w:rPr>
          <w:rFonts w:cs="Arial"/>
          <w:b w:val="0"/>
          <w:i w:val="0"/>
          <w:szCs w:val="27"/>
          <w:u w:val="single"/>
        </w:rPr>
        <w:t xml:space="preserve"> del</w:t>
      </w:r>
      <w:r w:rsidR="004E10B5">
        <w:rPr>
          <w:rFonts w:cs="Arial"/>
          <w:b w:val="0"/>
          <w:i w:val="0"/>
          <w:szCs w:val="27"/>
          <w:u w:val="single"/>
        </w:rPr>
        <w:t xml:space="preserve"> *****</w:t>
      </w:r>
      <w:r w:rsidR="00457003">
        <w:rPr>
          <w:rFonts w:cs="Arial"/>
          <w:b w:val="0"/>
          <w:i w:val="0"/>
          <w:szCs w:val="27"/>
          <w:u w:val="single"/>
        </w:rPr>
        <w:t xml:space="preserve"> de</w:t>
      </w:r>
      <w:r w:rsidR="004E10B5">
        <w:rPr>
          <w:rFonts w:cs="Arial"/>
          <w:b w:val="0"/>
          <w:i w:val="0"/>
          <w:szCs w:val="27"/>
          <w:u w:val="single"/>
        </w:rPr>
        <w:t xml:space="preserve"> *****</w:t>
      </w:r>
      <w:r w:rsidR="00457003">
        <w:rPr>
          <w:rFonts w:cs="Arial"/>
          <w:b w:val="0"/>
          <w:i w:val="0"/>
          <w:szCs w:val="27"/>
          <w:u w:val="single"/>
        </w:rPr>
        <w:t xml:space="preserve"> de dos mil</w:t>
      </w:r>
      <w:r w:rsidR="004E10B5">
        <w:rPr>
          <w:rFonts w:cs="Arial"/>
          <w:b w:val="0"/>
          <w:i w:val="0"/>
          <w:szCs w:val="27"/>
          <w:u w:val="single"/>
        </w:rPr>
        <w:t xml:space="preserve"> *****</w:t>
      </w:r>
      <w:r w:rsidR="00457003">
        <w:rPr>
          <w:rFonts w:cs="Arial"/>
          <w:b w:val="0"/>
          <w:i w:val="0"/>
          <w:szCs w:val="27"/>
          <w:u w:val="single"/>
        </w:rPr>
        <w:t xml:space="preserve"> al</w:t>
      </w:r>
      <w:r w:rsidR="004E10B5">
        <w:rPr>
          <w:rFonts w:cs="Arial"/>
          <w:b w:val="0"/>
          <w:i w:val="0"/>
          <w:szCs w:val="27"/>
          <w:u w:val="single"/>
        </w:rPr>
        <w:t xml:space="preserve"> *****</w:t>
      </w:r>
      <w:r w:rsidR="00457003">
        <w:rPr>
          <w:rFonts w:cs="Arial"/>
          <w:b w:val="0"/>
          <w:i w:val="0"/>
          <w:szCs w:val="27"/>
          <w:u w:val="single"/>
        </w:rPr>
        <w:t xml:space="preserve"> y </w:t>
      </w:r>
      <w:r w:rsidR="004E10B5">
        <w:rPr>
          <w:rFonts w:cs="Arial"/>
          <w:b w:val="0"/>
          <w:i w:val="0"/>
          <w:szCs w:val="27"/>
          <w:u w:val="single"/>
        </w:rPr>
        <w:t>*****</w:t>
      </w:r>
      <w:r w:rsidR="00457003">
        <w:rPr>
          <w:rFonts w:cs="Arial"/>
          <w:b w:val="0"/>
          <w:i w:val="0"/>
          <w:szCs w:val="27"/>
          <w:u w:val="single"/>
        </w:rPr>
        <w:t xml:space="preserve"> de</w:t>
      </w:r>
      <w:r w:rsidR="004E10B5">
        <w:rPr>
          <w:rFonts w:cs="Arial"/>
          <w:b w:val="0"/>
          <w:i w:val="0"/>
          <w:szCs w:val="27"/>
          <w:u w:val="single"/>
        </w:rPr>
        <w:t xml:space="preserve"> *****</w:t>
      </w:r>
      <w:r w:rsidR="00457003">
        <w:rPr>
          <w:rFonts w:cs="Arial"/>
          <w:b w:val="0"/>
          <w:i w:val="0"/>
          <w:szCs w:val="27"/>
          <w:u w:val="single"/>
        </w:rPr>
        <w:t xml:space="preserve"> de dos mil</w:t>
      </w:r>
      <w:r w:rsidR="004E10B5">
        <w:rPr>
          <w:rFonts w:cs="Arial"/>
          <w:b w:val="0"/>
          <w:i w:val="0"/>
          <w:szCs w:val="27"/>
          <w:u w:val="single"/>
        </w:rPr>
        <w:t xml:space="preserve"> *****</w:t>
      </w:r>
      <w:r w:rsidR="00B64EC3">
        <w:rPr>
          <w:rFonts w:cs="Arial"/>
          <w:b w:val="0"/>
          <w:i w:val="0"/>
          <w:szCs w:val="27"/>
          <w:u w:val="single"/>
        </w:rPr>
        <w:t>,</w:t>
      </w:r>
      <w:r w:rsidR="004078DD">
        <w:rPr>
          <w:rFonts w:cs="Arial"/>
          <w:b w:val="0"/>
          <w:i w:val="0"/>
          <w:szCs w:val="27"/>
          <w:u w:val="single"/>
        </w:rPr>
        <w:t xml:space="preserve"> </w:t>
      </w:r>
      <w:r w:rsidR="004078DD" w:rsidRPr="004078DD">
        <w:rPr>
          <w:rFonts w:cs="Arial"/>
          <w:b w:val="0"/>
          <w:i w:val="0"/>
          <w:szCs w:val="27"/>
          <w:u w:val="single"/>
        </w:rPr>
        <w:t>que fue el periodo que laboró</w:t>
      </w:r>
      <w:r w:rsidR="004E10B5">
        <w:rPr>
          <w:rFonts w:cs="Arial"/>
          <w:b w:val="0"/>
          <w:i w:val="0"/>
          <w:szCs w:val="27"/>
          <w:u w:val="single"/>
        </w:rPr>
        <w:t xml:space="preserve"> *****</w:t>
      </w:r>
      <w:r w:rsidR="004078DD" w:rsidRPr="004078DD">
        <w:rPr>
          <w:rFonts w:cs="Arial"/>
          <w:b w:val="0"/>
          <w:i w:val="0"/>
          <w:szCs w:val="27"/>
          <w:u w:val="single"/>
        </w:rPr>
        <w:t xml:space="preserve"> </w:t>
      </w:r>
      <w:r w:rsidR="004E10B5">
        <w:rPr>
          <w:rFonts w:cs="Arial"/>
          <w:b w:val="0"/>
          <w:i w:val="0"/>
          <w:szCs w:val="27"/>
          <w:u w:val="single"/>
        </w:rPr>
        <w:t>*****</w:t>
      </w:r>
      <w:r w:rsidR="004078DD" w:rsidRPr="004078DD">
        <w:rPr>
          <w:rFonts w:cs="Arial"/>
          <w:b w:val="0"/>
          <w:i w:val="0"/>
          <w:szCs w:val="27"/>
          <w:u w:val="single"/>
        </w:rPr>
        <w:t xml:space="preserve"> </w:t>
      </w:r>
      <w:r w:rsidR="004E10B5">
        <w:rPr>
          <w:rFonts w:cs="Arial"/>
          <w:b w:val="0"/>
          <w:i w:val="0"/>
          <w:szCs w:val="27"/>
          <w:u w:val="single"/>
        </w:rPr>
        <w:t>***** *****</w:t>
      </w:r>
      <w:r w:rsidRPr="009C0C09">
        <w:rPr>
          <w:rFonts w:cs="Arial"/>
          <w:b w:val="0"/>
          <w:bCs/>
          <w:i w:val="0"/>
          <w:szCs w:val="27"/>
        </w:rPr>
        <w:t>, por las razones ya exp</w:t>
      </w:r>
      <w:r w:rsidR="0017012B">
        <w:rPr>
          <w:rFonts w:cs="Arial"/>
          <w:b w:val="0"/>
          <w:bCs/>
          <w:i w:val="0"/>
          <w:szCs w:val="27"/>
        </w:rPr>
        <w:t>uestas en el considerando</w:t>
      </w:r>
      <w:r w:rsidR="00926CF7">
        <w:rPr>
          <w:rFonts w:cs="Arial"/>
          <w:b w:val="0"/>
          <w:bCs/>
          <w:i w:val="0"/>
          <w:szCs w:val="27"/>
        </w:rPr>
        <w:t xml:space="preserve"> CUAR</w:t>
      </w:r>
      <w:r w:rsidRPr="009C0C09">
        <w:rPr>
          <w:rFonts w:cs="Arial"/>
          <w:b w:val="0"/>
          <w:bCs/>
          <w:i w:val="0"/>
          <w:szCs w:val="27"/>
        </w:rPr>
        <w:t>TO de esta sentencia.</w:t>
      </w:r>
    </w:p>
    <w:p w14:paraId="055CA884" w14:textId="591C34E5" w:rsidR="003E0CBC" w:rsidRPr="009C0C09" w:rsidRDefault="003E0CBC" w:rsidP="00724429">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1FB73873" w:rsidR="004B22DE" w:rsidRDefault="004B22DE" w:rsidP="00724429">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22F26218" w14:textId="14EE942D" w:rsidR="004B22DE" w:rsidRPr="00604752" w:rsidRDefault="004B22DE" w:rsidP="00952D80">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685F2A">
      <w:headerReference w:type="default" r:id="rId8"/>
      <w:footerReference w:type="even" r:id="rId9"/>
      <w:footerReference w:type="default" r:id="rId10"/>
      <w:headerReference w:type="first" r:id="rId11"/>
      <w:pgSz w:w="12240" w:h="20160" w:code="5"/>
      <w:pgMar w:top="1419"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76356" w14:textId="77777777" w:rsidR="00BD76A3" w:rsidRDefault="00BD76A3" w:rsidP="00604752">
      <w:pPr>
        <w:spacing w:after="0" w:line="240" w:lineRule="auto"/>
      </w:pPr>
      <w:r>
        <w:separator/>
      </w:r>
    </w:p>
  </w:endnote>
  <w:endnote w:type="continuationSeparator" w:id="0">
    <w:p w14:paraId="3BC33E38" w14:textId="77777777" w:rsidR="00BD76A3" w:rsidRDefault="00BD76A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0D32B" w14:textId="0C3D07EB" w:rsidR="00685F2A" w:rsidRDefault="00685F2A">
    <w:pPr>
      <w:pStyle w:val="Piedepgina"/>
    </w:pPr>
    <w:r w:rsidRPr="00685F2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1552" behindDoc="1" locked="0" layoutInCell="1" allowOverlap="1" wp14:anchorId="1B3199D6" wp14:editId="7DBAF483">
              <wp:simplePos x="0" y="0"/>
              <wp:positionH relativeFrom="page">
                <wp:align>right</wp:align>
              </wp:positionH>
              <wp:positionV relativeFrom="paragraph">
                <wp:posOffset>-4684395</wp:posOffset>
              </wp:positionV>
              <wp:extent cx="1181100" cy="1590675"/>
              <wp:effectExtent l="0" t="0" r="19050"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B7A8361" w14:textId="18CAC3A2" w:rsidR="00685F2A" w:rsidRDefault="00685F2A" w:rsidP="00685F2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w:t>
                          </w:r>
                          <w:r>
                            <w:rPr>
                              <w:rFonts w:ascii="Arial" w:hAnsi="Arial" w:cs="Arial"/>
                              <w:b/>
                            </w:rPr>
                            <w:t xml:space="preserve"> </w:t>
                          </w:r>
                          <w:r>
                            <w:rPr>
                              <w:rFonts w:ascii="Arial" w:hAnsi="Arial" w:cs="Arial"/>
                              <w:b/>
                            </w:rPr>
                            <w:t>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3199D6" id="_x0000_t202" coordsize="21600,21600" o:spt="202" path="m,l,21600r21600,l21600,xe">
              <v:stroke joinstyle="miter"/>
              <v:path gradientshapeok="t" o:connecttype="rect"/>
            </v:shapetype>
            <v:shape id="_x0000_s1027" type="#_x0000_t202" style="position:absolute;margin-left:41.8pt;margin-top:-368.85pt;width:93pt;height:125.25pt;z-index:-251644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">
              <v:textbox>
                <w:txbxContent>
                  <w:p w14:paraId="6B7A8361" w14:textId="18CAC3A2" w:rsidR="00685F2A" w:rsidRDefault="00685F2A" w:rsidP="00685F2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w:t>
                    </w:r>
                    <w:r>
                      <w:rPr>
                        <w:rFonts w:ascii="Arial" w:hAnsi="Arial" w:cs="Arial"/>
                        <w:b/>
                      </w:rPr>
                      <w:t xml:space="preserve"> </w:t>
                    </w:r>
                    <w:r>
                      <w:rPr>
                        <w:rFonts w:ascii="Arial" w:hAnsi="Arial" w:cs="Arial"/>
                        <w:b/>
                      </w:rPr>
                      <w:t>la LTAIPBGEO.</w:t>
                    </w:r>
                    <w:r>
                      <w:rPr>
                        <w:rFonts w:ascii="Arial" w:eastAsia="Times New Roman" w:hAnsi="Arial" w:cs="Arial"/>
                        <w:sz w:val="24"/>
                        <w:szCs w:val="27"/>
                        <w:lang w:val="es-ES_tradnl" w:eastAsia="es-ES"/>
                      </w:rPr>
                      <w:t xml:space="preserve"> AZALIA LOPEZ O AZALIA LOPEZ PAEZ</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0101B7C5"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04070" w:rsidRPr="00704070">
          <w:rPr>
            <w:rFonts w:ascii="Arial" w:hAnsi="Arial" w:cs="Arial"/>
            <w:noProof/>
            <w:sz w:val="24"/>
            <w:szCs w:val="24"/>
            <w:lang w:val="es-ES"/>
          </w:rPr>
          <w:t>11</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C7939" w14:textId="77777777" w:rsidR="00BD76A3" w:rsidRDefault="00BD76A3" w:rsidP="00604752">
      <w:pPr>
        <w:spacing w:after="0" w:line="240" w:lineRule="auto"/>
      </w:pPr>
      <w:r>
        <w:separator/>
      </w:r>
    </w:p>
  </w:footnote>
  <w:footnote w:type="continuationSeparator" w:id="0">
    <w:p w14:paraId="646F99A8" w14:textId="77777777" w:rsidR="00BD76A3" w:rsidRDefault="00BD76A3" w:rsidP="00604752">
      <w:pPr>
        <w:spacing w:after="0" w:line="240" w:lineRule="auto"/>
      </w:pPr>
      <w:r>
        <w:continuationSeparator/>
      </w:r>
    </w:p>
  </w:footnote>
  <w:footnote w:id="1">
    <w:p w14:paraId="419BE528" w14:textId="0F9D3FC3" w:rsidR="00F04B5A" w:rsidRPr="00F04B5A" w:rsidRDefault="00F04B5A" w:rsidP="00F04B5A">
      <w:pPr>
        <w:pStyle w:val="Textonotapie"/>
        <w:jc w:val="both"/>
        <w:rPr>
          <w:rFonts w:ascii="Arial" w:hAnsi="Arial" w:cs="Arial"/>
        </w:rPr>
      </w:pPr>
      <w:r w:rsidRPr="00F04B5A">
        <w:rPr>
          <w:rStyle w:val="Refdenotaalpie"/>
          <w:rFonts w:ascii="Arial" w:hAnsi="Arial" w:cs="Arial"/>
        </w:rPr>
        <w:footnoteRef/>
      </w:r>
      <w:r w:rsidRPr="00F04B5A">
        <w:rPr>
          <w:rFonts w:ascii="Arial" w:hAnsi="Arial" w:cs="Arial"/>
        </w:rPr>
        <w:t xml:space="preserve"> Jurisprudencia número P./J. 158/2008, con número de registro 165969, por el Pleno de la Suprema Corte de Justicia de la Nación publicada en el Semanario Judicial de la Federación y su Gaceta, Tomo XXX, Noviembre de 2009, página 15, Novena Época.</w:t>
      </w:r>
    </w:p>
  </w:footnote>
  <w:footnote w:id="2">
    <w:p w14:paraId="5657329F" w14:textId="4CC96A17" w:rsidR="004170ED" w:rsidRPr="00DC573F" w:rsidRDefault="004170ED" w:rsidP="004170ED">
      <w:pPr>
        <w:pStyle w:val="Textonotapie"/>
        <w:jc w:val="both"/>
        <w:rPr>
          <w:rFonts w:ascii="Arial" w:hAnsi="Arial" w:cs="Arial"/>
        </w:rPr>
      </w:pPr>
      <w:r w:rsidRPr="00DC573F">
        <w:rPr>
          <w:rStyle w:val="Refdenotaalpie"/>
          <w:rFonts w:ascii="Arial" w:hAnsi="Arial" w:cs="Arial"/>
        </w:rPr>
        <w:footnoteRef/>
      </w:r>
      <w:r w:rsidRPr="00DC573F">
        <w:rPr>
          <w:rFonts w:ascii="Arial" w:hAnsi="Arial" w:cs="Arial"/>
        </w:rPr>
        <w:t xml:space="preserve"> Tesis número III.4o.T.33 L (10a.), con número de registro 2015338, por los Tribunales Colegiados de Circuito, publicada en el Semanario Judicial de la Federación, Libro 47, Octubre de 2017, Tomo IV, página 2418, Décima Época.</w:t>
      </w:r>
    </w:p>
  </w:footnote>
  <w:footnote w:id="3">
    <w:p w14:paraId="1290F484" w14:textId="4A9516CA" w:rsidR="00606733" w:rsidRPr="00323378" w:rsidRDefault="00606733" w:rsidP="00606733">
      <w:pPr>
        <w:pStyle w:val="Textonotapie"/>
        <w:jc w:val="both"/>
        <w:rPr>
          <w:rFonts w:ascii="Arial" w:hAnsi="Arial" w:cs="Arial"/>
        </w:rPr>
      </w:pPr>
      <w:r w:rsidRPr="00323378">
        <w:rPr>
          <w:rStyle w:val="Refdenotaalpie"/>
          <w:rFonts w:ascii="Arial" w:hAnsi="Arial" w:cs="Arial"/>
        </w:rPr>
        <w:footnoteRef/>
      </w:r>
      <w:r w:rsidRPr="00323378">
        <w:rPr>
          <w:rFonts w:ascii="Arial" w:hAnsi="Arial" w:cs="Arial"/>
        </w:rPr>
        <w:t xml:space="preserve"> Jurisprudencia número 2a./J. 21/2014 (10a) con número de registro 2005825, por la Segunda Sala de la Suprema Corte de Justicia de la Nación, publicada en la Gaceta del Semanario Judicial de la Federación, Libro 4, Marzo de 2014, Pág. 877.</w:t>
      </w:r>
    </w:p>
  </w:footnote>
  <w:footnote w:id="4">
    <w:p w14:paraId="0A59CFB8" w14:textId="3AB68CF7" w:rsidR="007862A2" w:rsidRPr="007862A2" w:rsidRDefault="007862A2" w:rsidP="007862A2">
      <w:pPr>
        <w:pStyle w:val="Textonotapie"/>
        <w:jc w:val="both"/>
        <w:rPr>
          <w:rFonts w:ascii="Arial" w:hAnsi="Arial" w:cs="Arial"/>
        </w:rPr>
      </w:pPr>
      <w:r w:rsidRPr="007862A2">
        <w:rPr>
          <w:rStyle w:val="Refdenotaalpie"/>
          <w:rFonts w:ascii="Arial" w:hAnsi="Arial" w:cs="Arial"/>
        </w:rPr>
        <w:footnoteRef/>
      </w:r>
      <w:r w:rsidRPr="007862A2">
        <w:rPr>
          <w:rFonts w:ascii="Arial" w:hAnsi="Arial" w:cs="Arial"/>
        </w:rPr>
        <w:t xml:space="preserve"> Tesis número 908, con número de registro 1012200, por la Segunda Sala de la Suprema Corte de Justicia de la Nación en el Apéndice 1917-Septiembre 2011. Tomo I. Constitucional 3. Derechos Fundamentales Primera Parte - SCJN Vigésima Segunda Sección - Derechos laborales, Pág. 2169.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22122B3" w:rsidR="0076338B" w:rsidRDefault="00685F2A">
    <w:pPr>
      <w:pStyle w:val="Encabezado"/>
    </w:pPr>
    <w:r w:rsidRPr="00685F2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69504" behindDoc="1" locked="0" layoutInCell="1" allowOverlap="1" wp14:anchorId="3C6E66E8" wp14:editId="78E5F2C3">
              <wp:simplePos x="0" y="0"/>
              <wp:positionH relativeFrom="leftMargin">
                <wp:align>right</wp:align>
              </wp:positionH>
              <wp:positionV relativeFrom="paragraph">
                <wp:posOffset>5274310</wp:posOffset>
              </wp:positionV>
              <wp:extent cx="1181100" cy="1590675"/>
              <wp:effectExtent l="0" t="0" r="19050"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323F78B" w14:textId="77777777" w:rsidR="00685F2A" w:rsidRDefault="00685F2A" w:rsidP="00685F2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6E66E8" id="_x0000_t202" coordsize="21600,21600" o:spt="202" path="m,l,21600r21600,l21600,xe">
              <v:stroke joinstyle="miter"/>
              <v:path gradientshapeok="t" o:connecttype="rect"/>
            </v:shapetype>
            <v:shape id="Cuadro de texto 1" o:spid="_x0000_s1026" type="#_x0000_t202" style="position:absolute;margin-left:41.8pt;margin-top:415.3pt;width:93pt;height:125.25pt;z-index:-2516469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TrSJwIAAFQ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">
              <v:textbox>
                <w:txbxContent>
                  <w:p w14:paraId="4323F78B" w14:textId="77777777" w:rsidR="00685F2A" w:rsidRDefault="00685F2A" w:rsidP="00685F2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7456" behindDoc="1" locked="0" layoutInCell="1" allowOverlap="1" wp14:anchorId="7059FA07" wp14:editId="53C739DA">
          <wp:simplePos x="0" y="0"/>
          <wp:positionH relativeFrom="margin">
            <wp:align>center</wp:align>
          </wp:positionH>
          <wp:positionV relativeFrom="paragraph">
            <wp:posOffset>4514215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1D70DB" w:rsidR="0076338B" w:rsidRDefault="009D3AE7">
    <w:pPr>
      <w:pStyle w:val="Encabezado"/>
    </w:pPr>
    <w:r>
      <w:rPr>
        <w:noProof/>
        <w:lang w:val="es-ES" w:eastAsia="es-ES"/>
      </w:rPr>
      <w:drawing>
        <wp:anchor distT="0" distB="0" distL="114300" distR="114300" simplePos="0" relativeHeight="251665408" behindDoc="1" locked="0" layoutInCell="1" allowOverlap="1" wp14:anchorId="707F6CA1" wp14:editId="52A79893">
          <wp:simplePos x="0" y="0"/>
          <wp:positionH relativeFrom="margin">
            <wp:align>center</wp:align>
          </wp:positionH>
          <wp:positionV relativeFrom="paragraph">
            <wp:posOffset>4514215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3360" behindDoc="1" locked="0" layoutInCell="1" allowOverlap="1" wp14:anchorId="46076E94" wp14:editId="150262ED">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3"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5A5036E"/>
    <w:multiLevelType w:val="hybridMultilevel"/>
    <w:tmpl w:val="2F1A5860"/>
    <w:lvl w:ilvl="0" w:tplc="1CFA1822">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19829015">
    <w:abstractNumId w:val="2"/>
  </w:num>
  <w:num w:numId="2" w16cid:durableId="1626036893">
    <w:abstractNumId w:val="3"/>
  </w:num>
  <w:num w:numId="3" w16cid:durableId="1541086515">
    <w:abstractNumId w:val="7"/>
  </w:num>
  <w:num w:numId="4" w16cid:durableId="1461459725">
    <w:abstractNumId w:val="0"/>
  </w:num>
  <w:num w:numId="5" w16cid:durableId="1384064258">
    <w:abstractNumId w:val="4"/>
  </w:num>
  <w:num w:numId="6" w16cid:durableId="50735174">
    <w:abstractNumId w:val="1"/>
  </w:num>
  <w:num w:numId="7" w16cid:durableId="1981111534">
    <w:abstractNumId w:val="5"/>
  </w:num>
  <w:num w:numId="8" w16cid:durableId="1036736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3A18"/>
    <w:rsid w:val="00012F54"/>
    <w:rsid w:val="00017822"/>
    <w:rsid w:val="000203B2"/>
    <w:rsid w:val="00021165"/>
    <w:rsid w:val="00023E0F"/>
    <w:rsid w:val="0002521A"/>
    <w:rsid w:val="000261A8"/>
    <w:rsid w:val="00026BB2"/>
    <w:rsid w:val="00030491"/>
    <w:rsid w:val="00030CAE"/>
    <w:rsid w:val="00032827"/>
    <w:rsid w:val="000337D1"/>
    <w:rsid w:val="000363E1"/>
    <w:rsid w:val="00036A0C"/>
    <w:rsid w:val="00043748"/>
    <w:rsid w:val="00045E11"/>
    <w:rsid w:val="00051177"/>
    <w:rsid w:val="0005415A"/>
    <w:rsid w:val="000662B7"/>
    <w:rsid w:val="00070FF6"/>
    <w:rsid w:val="000913DC"/>
    <w:rsid w:val="00092E1F"/>
    <w:rsid w:val="00094E83"/>
    <w:rsid w:val="000951F5"/>
    <w:rsid w:val="000A25F3"/>
    <w:rsid w:val="000A2814"/>
    <w:rsid w:val="000A2A86"/>
    <w:rsid w:val="000A3369"/>
    <w:rsid w:val="000A5644"/>
    <w:rsid w:val="000A5C47"/>
    <w:rsid w:val="000B1C0B"/>
    <w:rsid w:val="000B26D1"/>
    <w:rsid w:val="000B426C"/>
    <w:rsid w:val="000B48CB"/>
    <w:rsid w:val="000C1184"/>
    <w:rsid w:val="000C35D8"/>
    <w:rsid w:val="000C6172"/>
    <w:rsid w:val="000C6FAD"/>
    <w:rsid w:val="000C74C4"/>
    <w:rsid w:val="000D23FD"/>
    <w:rsid w:val="000E1601"/>
    <w:rsid w:val="000E2FD3"/>
    <w:rsid w:val="000E728E"/>
    <w:rsid w:val="000F6B46"/>
    <w:rsid w:val="001009AB"/>
    <w:rsid w:val="00102315"/>
    <w:rsid w:val="00104A95"/>
    <w:rsid w:val="00115274"/>
    <w:rsid w:val="00120A2E"/>
    <w:rsid w:val="00124C47"/>
    <w:rsid w:val="00125DC6"/>
    <w:rsid w:val="001275B8"/>
    <w:rsid w:val="00131EDE"/>
    <w:rsid w:val="00132658"/>
    <w:rsid w:val="001350AA"/>
    <w:rsid w:val="001352D8"/>
    <w:rsid w:val="0013532F"/>
    <w:rsid w:val="0013603B"/>
    <w:rsid w:val="00140805"/>
    <w:rsid w:val="00151127"/>
    <w:rsid w:val="001514E4"/>
    <w:rsid w:val="00154F33"/>
    <w:rsid w:val="001628B3"/>
    <w:rsid w:val="001636E6"/>
    <w:rsid w:val="001658D6"/>
    <w:rsid w:val="0016624C"/>
    <w:rsid w:val="0017012B"/>
    <w:rsid w:val="00181533"/>
    <w:rsid w:val="001861F5"/>
    <w:rsid w:val="00187883"/>
    <w:rsid w:val="00196279"/>
    <w:rsid w:val="001A1FE9"/>
    <w:rsid w:val="001A2788"/>
    <w:rsid w:val="001B0663"/>
    <w:rsid w:val="001B77BA"/>
    <w:rsid w:val="001C0F76"/>
    <w:rsid w:val="001C6514"/>
    <w:rsid w:val="001D267C"/>
    <w:rsid w:val="001E1A1B"/>
    <w:rsid w:val="001E49C1"/>
    <w:rsid w:val="001E4A0B"/>
    <w:rsid w:val="001E636D"/>
    <w:rsid w:val="001F2C27"/>
    <w:rsid w:val="001F2FF9"/>
    <w:rsid w:val="001F549A"/>
    <w:rsid w:val="00203B91"/>
    <w:rsid w:val="0021561E"/>
    <w:rsid w:val="002257D3"/>
    <w:rsid w:val="00226128"/>
    <w:rsid w:val="002302BA"/>
    <w:rsid w:val="00230E4C"/>
    <w:rsid w:val="002318D5"/>
    <w:rsid w:val="002419CF"/>
    <w:rsid w:val="00245075"/>
    <w:rsid w:val="00245D82"/>
    <w:rsid w:val="002471A1"/>
    <w:rsid w:val="00250F6C"/>
    <w:rsid w:val="00251577"/>
    <w:rsid w:val="002524BD"/>
    <w:rsid w:val="00252E0F"/>
    <w:rsid w:val="00262048"/>
    <w:rsid w:val="00265704"/>
    <w:rsid w:val="00267C69"/>
    <w:rsid w:val="0027164D"/>
    <w:rsid w:val="002747AF"/>
    <w:rsid w:val="0027572E"/>
    <w:rsid w:val="0027767F"/>
    <w:rsid w:val="0028475A"/>
    <w:rsid w:val="002914F2"/>
    <w:rsid w:val="00292144"/>
    <w:rsid w:val="00295133"/>
    <w:rsid w:val="00297B09"/>
    <w:rsid w:val="002A6281"/>
    <w:rsid w:val="002A7FE6"/>
    <w:rsid w:val="002B245A"/>
    <w:rsid w:val="002B2C0E"/>
    <w:rsid w:val="002B52BC"/>
    <w:rsid w:val="002C0FD7"/>
    <w:rsid w:val="002C50AB"/>
    <w:rsid w:val="002C6608"/>
    <w:rsid w:val="002D696F"/>
    <w:rsid w:val="002E0F64"/>
    <w:rsid w:val="002F08AA"/>
    <w:rsid w:val="002F2F88"/>
    <w:rsid w:val="002F71C8"/>
    <w:rsid w:val="00301470"/>
    <w:rsid w:val="003039BE"/>
    <w:rsid w:val="00304F2A"/>
    <w:rsid w:val="003057ED"/>
    <w:rsid w:val="003119B9"/>
    <w:rsid w:val="00311CB2"/>
    <w:rsid w:val="00314C35"/>
    <w:rsid w:val="003173F3"/>
    <w:rsid w:val="00323378"/>
    <w:rsid w:val="00327322"/>
    <w:rsid w:val="00327ABE"/>
    <w:rsid w:val="003300CB"/>
    <w:rsid w:val="00330516"/>
    <w:rsid w:val="00331255"/>
    <w:rsid w:val="003337E5"/>
    <w:rsid w:val="00341525"/>
    <w:rsid w:val="00346EA0"/>
    <w:rsid w:val="00350413"/>
    <w:rsid w:val="00351EF2"/>
    <w:rsid w:val="0035374B"/>
    <w:rsid w:val="00353FB9"/>
    <w:rsid w:val="00354B88"/>
    <w:rsid w:val="003569E3"/>
    <w:rsid w:val="00363EFF"/>
    <w:rsid w:val="00370E42"/>
    <w:rsid w:val="00370F15"/>
    <w:rsid w:val="00371394"/>
    <w:rsid w:val="00375C9A"/>
    <w:rsid w:val="003877DB"/>
    <w:rsid w:val="00387930"/>
    <w:rsid w:val="00387B42"/>
    <w:rsid w:val="003905EF"/>
    <w:rsid w:val="003A318D"/>
    <w:rsid w:val="003A382C"/>
    <w:rsid w:val="003C1032"/>
    <w:rsid w:val="003C37D1"/>
    <w:rsid w:val="003C3CAD"/>
    <w:rsid w:val="003C7C99"/>
    <w:rsid w:val="003D0D95"/>
    <w:rsid w:val="003D6C41"/>
    <w:rsid w:val="003E0CBC"/>
    <w:rsid w:val="003E3CFA"/>
    <w:rsid w:val="003E65D9"/>
    <w:rsid w:val="003E727C"/>
    <w:rsid w:val="003F2E0D"/>
    <w:rsid w:val="004018A4"/>
    <w:rsid w:val="00404A2C"/>
    <w:rsid w:val="004078DD"/>
    <w:rsid w:val="004107AC"/>
    <w:rsid w:val="00410B01"/>
    <w:rsid w:val="00413E7C"/>
    <w:rsid w:val="0041690D"/>
    <w:rsid w:val="004170ED"/>
    <w:rsid w:val="00423C8C"/>
    <w:rsid w:val="00425036"/>
    <w:rsid w:val="00427278"/>
    <w:rsid w:val="00430B1C"/>
    <w:rsid w:val="0043159F"/>
    <w:rsid w:val="00432832"/>
    <w:rsid w:val="00435550"/>
    <w:rsid w:val="00440813"/>
    <w:rsid w:val="004432E7"/>
    <w:rsid w:val="00443701"/>
    <w:rsid w:val="0044699F"/>
    <w:rsid w:val="004471F8"/>
    <w:rsid w:val="00450B3C"/>
    <w:rsid w:val="00451D96"/>
    <w:rsid w:val="00457003"/>
    <w:rsid w:val="00460CAD"/>
    <w:rsid w:val="00464066"/>
    <w:rsid w:val="004660BC"/>
    <w:rsid w:val="00471718"/>
    <w:rsid w:val="00471CEB"/>
    <w:rsid w:val="004723BF"/>
    <w:rsid w:val="00481380"/>
    <w:rsid w:val="0048308A"/>
    <w:rsid w:val="00485E2A"/>
    <w:rsid w:val="004A0097"/>
    <w:rsid w:val="004A0EDA"/>
    <w:rsid w:val="004A23FF"/>
    <w:rsid w:val="004A3D3D"/>
    <w:rsid w:val="004A57D6"/>
    <w:rsid w:val="004A637A"/>
    <w:rsid w:val="004A6487"/>
    <w:rsid w:val="004A6A06"/>
    <w:rsid w:val="004B030F"/>
    <w:rsid w:val="004B0D7E"/>
    <w:rsid w:val="004B22DE"/>
    <w:rsid w:val="004C0019"/>
    <w:rsid w:val="004D299E"/>
    <w:rsid w:val="004D40B5"/>
    <w:rsid w:val="004D4CEC"/>
    <w:rsid w:val="004E10B5"/>
    <w:rsid w:val="004E54EA"/>
    <w:rsid w:val="004E6EA5"/>
    <w:rsid w:val="004F202C"/>
    <w:rsid w:val="004F5EA4"/>
    <w:rsid w:val="00504B18"/>
    <w:rsid w:val="00504C8D"/>
    <w:rsid w:val="00504CD6"/>
    <w:rsid w:val="00511877"/>
    <w:rsid w:val="00522225"/>
    <w:rsid w:val="00524C59"/>
    <w:rsid w:val="005277D3"/>
    <w:rsid w:val="00530924"/>
    <w:rsid w:val="00533365"/>
    <w:rsid w:val="0053425C"/>
    <w:rsid w:val="005359BA"/>
    <w:rsid w:val="005428ED"/>
    <w:rsid w:val="00543881"/>
    <w:rsid w:val="00551613"/>
    <w:rsid w:val="00551879"/>
    <w:rsid w:val="00554D73"/>
    <w:rsid w:val="00555D1C"/>
    <w:rsid w:val="0055660F"/>
    <w:rsid w:val="005579FF"/>
    <w:rsid w:val="00564CE2"/>
    <w:rsid w:val="00566787"/>
    <w:rsid w:val="00571FEB"/>
    <w:rsid w:val="00573D74"/>
    <w:rsid w:val="00583B55"/>
    <w:rsid w:val="00583E3A"/>
    <w:rsid w:val="00591D82"/>
    <w:rsid w:val="00594FDB"/>
    <w:rsid w:val="0059606A"/>
    <w:rsid w:val="005A4A79"/>
    <w:rsid w:val="005B2116"/>
    <w:rsid w:val="005B5E0B"/>
    <w:rsid w:val="005B650F"/>
    <w:rsid w:val="005C329C"/>
    <w:rsid w:val="005C6B2C"/>
    <w:rsid w:val="005D28D8"/>
    <w:rsid w:val="005D3B58"/>
    <w:rsid w:val="005D3CC9"/>
    <w:rsid w:val="005D423E"/>
    <w:rsid w:val="005D5A0B"/>
    <w:rsid w:val="005D64B9"/>
    <w:rsid w:val="005E2383"/>
    <w:rsid w:val="005E7231"/>
    <w:rsid w:val="005F5334"/>
    <w:rsid w:val="005F6C33"/>
    <w:rsid w:val="00604752"/>
    <w:rsid w:val="00606733"/>
    <w:rsid w:val="00620928"/>
    <w:rsid w:val="00624FF8"/>
    <w:rsid w:val="00625ECE"/>
    <w:rsid w:val="00631E6C"/>
    <w:rsid w:val="00633E37"/>
    <w:rsid w:val="00641215"/>
    <w:rsid w:val="00641CD0"/>
    <w:rsid w:val="00642CF7"/>
    <w:rsid w:val="00642D22"/>
    <w:rsid w:val="00653CF6"/>
    <w:rsid w:val="0066005E"/>
    <w:rsid w:val="00661E96"/>
    <w:rsid w:val="0066763E"/>
    <w:rsid w:val="00670A60"/>
    <w:rsid w:val="00683284"/>
    <w:rsid w:val="00685F2A"/>
    <w:rsid w:val="0069002D"/>
    <w:rsid w:val="006908BC"/>
    <w:rsid w:val="00694F98"/>
    <w:rsid w:val="00696128"/>
    <w:rsid w:val="00696743"/>
    <w:rsid w:val="00697132"/>
    <w:rsid w:val="006A39A2"/>
    <w:rsid w:val="006A54B9"/>
    <w:rsid w:val="006B091C"/>
    <w:rsid w:val="006B2272"/>
    <w:rsid w:val="006B62EA"/>
    <w:rsid w:val="006B6EE7"/>
    <w:rsid w:val="006B7E96"/>
    <w:rsid w:val="006C030B"/>
    <w:rsid w:val="006C66B7"/>
    <w:rsid w:val="006C7F1A"/>
    <w:rsid w:val="006D29F5"/>
    <w:rsid w:val="006D5469"/>
    <w:rsid w:val="006E71B3"/>
    <w:rsid w:val="006F3E80"/>
    <w:rsid w:val="006F3FD9"/>
    <w:rsid w:val="006F566F"/>
    <w:rsid w:val="00700A6E"/>
    <w:rsid w:val="00701933"/>
    <w:rsid w:val="00704070"/>
    <w:rsid w:val="00705168"/>
    <w:rsid w:val="00711DCC"/>
    <w:rsid w:val="00714DB4"/>
    <w:rsid w:val="0071655A"/>
    <w:rsid w:val="00720051"/>
    <w:rsid w:val="0072112F"/>
    <w:rsid w:val="007215BC"/>
    <w:rsid w:val="00721FC5"/>
    <w:rsid w:val="007228EB"/>
    <w:rsid w:val="00724429"/>
    <w:rsid w:val="00725DC8"/>
    <w:rsid w:val="00731A17"/>
    <w:rsid w:val="00732F50"/>
    <w:rsid w:val="00734A25"/>
    <w:rsid w:val="007409F2"/>
    <w:rsid w:val="00740E6B"/>
    <w:rsid w:val="00742B73"/>
    <w:rsid w:val="00742C49"/>
    <w:rsid w:val="00742D59"/>
    <w:rsid w:val="00744373"/>
    <w:rsid w:val="00747EB3"/>
    <w:rsid w:val="00750B8A"/>
    <w:rsid w:val="00754B12"/>
    <w:rsid w:val="0076119B"/>
    <w:rsid w:val="0076338B"/>
    <w:rsid w:val="00765C49"/>
    <w:rsid w:val="00775EA3"/>
    <w:rsid w:val="00780B90"/>
    <w:rsid w:val="00783959"/>
    <w:rsid w:val="00785B67"/>
    <w:rsid w:val="007862A2"/>
    <w:rsid w:val="007866EA"/>
    <w:rsid w:val="00787341"/>
    <w:rsid w:val="00793DA7"/>
    <w:rsid w:val="007960F5"/>
    <w:rsid w:val="007A14F2"/>
    <w:rsid w:val="007B2C4C"/>
    <w:rsid w:val="007B5995"/>
    <w:rsid w:val="007C4592"/>
    <w:rsid w:val="007C4EBB"/>
    <w:rsid w:val="007C7071"/>
    <w:rsid w:val="007D0F26"/>
    <w:rsid w:val="007D5781"/>
    <w:rsid w:val="007D64EC"/>
    <w:rsid w:val="007D64ED"/>
    <w:rsid w:val="007E112A"/>
    <w:rsid w:val="007F03CD"/>
    <w:rsid w:val="007F54D9"/>
    <w:rsid w:val="00800787"/>
    <w:rsid w:val="00800F45"/>
    <w:rsid w:val="00801C91"/>
    <w:rsid w:val="00801F14"/>
    <w:rsid w:val="00804B71"/>
    <w:rsid w:val="00804C16"/>
    <w:rsid w:val="008067B1"/>
    <w:rsid w:val="00806EAC"/>
    <w:rsid w:val="008072E7"/>
    <w:rsid w:val="00807E34"/>
    <w:rsid w:val="00817A5C"/>
    <w:rsid w:val="00820DC4"/>
    <w:rsid w:val="00821AFB"/>
    <w:rsid w:val="0082290F"/>
    <w:rsid w:val="008275D7"/>
    <w:rsid w:val="00830200"/>
    <w:rsid w:val="0083186B"/>
    <w:rsid w:val="00832B4F"/>
    <w:rsid w:val="00835131"/>
    <w:rsid w:val="00842AD9"/>
    <w:rsid w:val="00844D2C"/>
    <w:rsid w:val="00855326"/>
    <w:rsid w:val="00856627"/>
    <w:rsid w:val="00856688"/>
    <w:rsid w:val="00856D6D"/>
    <w:rsid w:val="0085714C"/>
    <w:rsid w:val="0088558F"/>
    <w:rsid w:val="00885E7B"/>
    <w:rsid w:val="00891558"/>
    <w:rsid w:val="008A2064"/>
    <w:rsid w:val="008A2FD4"/>
    <w:rsid w:val="008A3A19"/>
    <w:rsid w:val="008A4435"/>
    <w:rsid w:val="008A5B53"/>
    <w:rsid w:val="008B0405"/>
    <w:rsid w:val="008B0DBF"/>
    <w:rsid w:val="008B7C4F"/>
    <w:rsid w:val="008C0D59"/>
    <w:rsid w:val="008C1AC1"/>
    <w:rsid w:val="008C5DEF"/>
    <w:rsid w:val="008C6A3C"/>
    <w:rsid w:val="008C764E"/>
    <w:rsid w:val="008D71C0"/>
    <w:rsid w:val="008D748B"/>
    <w:rsid w:val="008E453F"/>
    <w:rsid w:val="008F0098"/>
    <w:rsid w:val="008F0BE4"/>
    <w:rsid w:val="008F53BA"/>
    <w:rsid w:val="008F793E"/>
    <w:rsid w:val="008F7F4D"/>
    <w:rsid w:val="00903B51"/>
    <w:rsid w:val="00910E7B"/>
    <w:rsid w:val="0091257C"/>
    <w:rsid w:val="00912B4E"/>
    <w:rsid w:val="00920C87"/>
    <w:rsid w:val="009210BB"/>
    <w:rsid w:val="00926CF7"/>
    <w:rsid w:val="0093055C"/>
    <w:rsid w:val="00942F68"/>
    <w:rsid w:val="009441FE"/>
    <w:rsid w:val="00944977"/>
    <w:rsid w:val="009518EB"/>
    <w:rsid w:val="00952D80"/>
    <w:rsid w:val="009544F4"/>
    <w:rsid w:val="00960A43"/>
    <w:rsid w:val="0096662B"/>
    <w:rsid w:val="00966F53"/>
    <w:rsid w:val="00975C4C"/>
    <w:rsid w:val="00982481"/>
    <w:rsid w:val="009A0AF0"/>
    <w:rsid w:val="009A3A46"/>
    <w:rsid w:val="009A4EB1"/>
    <w:rsid w:val="009A5429"/>
    <w:rsid w:val="009A7918"/>
    <w:rsid w:val="009B5859"/>
    <w:rsid w:val="009B6304"/>
    <w:rsid w:val="009B70EA"/>
    <w:rsid w:val="009B727A"/>
    <w:rsid w:val="009C0670"/>
    <w:rsid w:val="009C0C09"/>
    <w:rsid w:val="009C3AB3"/>
    <w:rsid w:val="009C68FE"/>
    <w:rsid w:val="009D03BC"/>
    <w:rsid w:val="009D3AE7"/>
    <w:rsid w:val="009E5B18"/>
    <w:rsid w:val="009E6F49"/>
    <w:rsid w:val="00A02773"/>
    <w:rsid w:val="00A04B22"/>
    <w:rsid w:val="00A04DE9"/>
    <w:rsid w:val="00A061F4"/>
    <w:rsid w:val="00A127E8"/>
    <w:rsid w:val="00A12CD4"/>
    <w:rsid w:val="00A155F9"/>
    <w:rsid w:val="00A17D80"/>
    <w:rsid w:val="00A20957"/>
    <w:rsid w:val="00A25FB6"/>
    <w:rsid w:val="00A343E5"/>
    <w:rsid w:val="00A4179A"/>
    <w:rsid w:val="00A43413"/>
    <w:rsid w:val="00A45F82"/>
    <w:rsid w:val="00A54960"/>
    <w:rsid w:val="00A56DBD"/>
    <w:rsid w:val="00A646F1"/>
    <w:rsid w:val="00A664E7"/>
    <w:rsid w:val="00A66CB3"/>
    <w:rsid w:val="00A75BA6"/>
    <w:rsid w:val="00A75EDF"/>
    <w:rsid w:val="00A76F90"/>
    <w:rsid w:val="00A775C0"/>
    <w:rsid w:val="00A77769"/>
    <w:rsid w:val="00A806F0"/>
    <w:rsid w:val="00A81ED2"/>
    <w:rsid w:val="00A853A8"/>
    <w:rsid w:val="00A86463"/>
    <w:rsid w:val="00A86917"/>
    <w:rsid w:val="00A87F32"/>
    <w:rsid w:val="00A90874"/>
    <w:rsid w:val="00A9124C"/>
    <w:rsid w:val="00A92EC1"/>
    <w:rsid w:val="00A94B98"/>
    <w:rsid w:val="00A95C95"/>
    <w:rsid w:val="00AA4133"/>
    <w:rsid w:val="00AA5876"/>
    <w:rsid w:val="00AA68B4"/>
    <w:rsid w:val="00AB34AE"/>
    <w:rsid w:val="00AB6D09"/>
    <w:rsid w:val="00AC4DE8"/>
    <w:rsid w:val="00AC7A12"/>
    <w:rsid w:val="00AD0B97"/>
    <w:rsid w:val="00AD2DBD"/>
    <w:rsid w:val="00AD2FD7"/>
    <w:rsid w:val="00AD4F5A"/>
    <w:rsid w:val="00AD613C"/>
    <w:rsid w:val="00AD728C"/>
    <w:rsid w:val="00AD7452"/>
    <w:rsid w:val="00AE51B3"/>
    <w:rsid w:val="00AF251D"/>
    <w:rsid w:val="00AF4B3A"/>
    <w:rsid w:val="00AF69FC"/>
    <w:rsid w:val="00B027D1"/>
    <w:rsid w:val="00B042DC"/>
    <w:rsid w:val="00B058FC"/>
    <w:rsid w:val="00B06090"/>
    <w:rsid w:val="00B10C7A"/>
    <w:rsid w:val="00B15B86"/>
    <w:rsid w:val="00B17404"/>
    <w:rsid w:val="00B17526"/>
    <w:rsid w:val="00B20292"/>
    <w:rsid w:val="00B342F2"/>
    <w:rsid w:val="00B416AA"/>
    <w:rsid w:val="00B41B7D"/>
    <w:rsid w:val="00B443A5"/>
    <w:rsid w:val="00B605A5"/>
    <w:rsid w:val="00B6175C"/>
    <w:rsid w:val="00B64EC3"/>
    <w:rsid w:val="00B7672E"/>
    <w:rsid w:val="00B8023E"/>
    <w:rsid w:val="00B82C06"/>
    <w:rsid w:val="00B84660"/>
    <w:rsid w:val="00B8697C"/>
    <w:rsid w:val="00B87CD4"/>
    <w:rsid w:val="00B96496"/>
    <w:rsid w:val="00B97985"/>
    <w:rsid w:val="00BA097E"/>
    <w:rsid w:val="00BA302B"/>
    <w:rsid w:val="00BA763A"/>
    <w:rsid w:val="00BB3ADA"/>
    <w:rsid w:val="00BB485D"/>
    <w:rsid w:val="00BB6111"/>
    <w:rsid w:val="00BD0277"/>
    <w:rsid w:val="00BD20CF"/>
    <w:rsid w:val="00BD5D6A"/>
    <w:rsid w:val="00BD7643"/>
    <w:rsid w:val="00BD76A3"/>
    <w:rsid w:val="00BE5B63"/>
    <w:rsid w:val="00BE617D"/>
    <w:rsid w:val="00BE7B40"/>
    <w:rsid w:val="00BF034F"/>
    <w:rsid w:val="00BF1D3E"/>
    <w:rsid w:val="00BF4D78"/>
    <w:rsid w:val="00C07985"/>
    <w:rsid w:val="00C07DAF"/>
    <w:rsid w:val="00C07F53"/>
    <w:rsid w:val="00C21A59"/>
    <w:rsid w:val="00C21B1E"/>
    <w:rsid w:val="00C22BD2"/>
    <w:rsid w:val="00C25F4B"/>
    <w:rsid w:val="00C26A2D"/>
    <w:rsid w:val="00C3147A"/>
    <w:rsid w:val="00C32644"/>
    <w:rsid w:val="00C33E0E"/>
    <w:rsid w:val="00C35AD9"/>
    <w:rsid w:val="00C3660B"/>
    <w:rsid w:val="00C36E94"/>
    <w:rsid w:val="00C372A6"/>
    <w:rsid w:val="00C42E19"/>
    <w:rsid w:val="00C44636"/>
    <w:rsid w:val="00C53AEE"/>
    <w:rsid w:val="00C57303"/>
    <w:rsid w:val="00C57648"/>
    <w:rsid w:val="00C61D30"/>
    <w:rsid w:val="00C659D1"/>
    <w:rsid w:val="00C67B7C"/>
    <w:rsid w:val="00C7360C"/>
    <w:rsid w:val="00C7765B"/>
    <w:rsid w:val="00C84C1F"/>
    <w:rsid w:val="00C86257"/>
    <w:rsid w:val="00C908F5"/>
    <w:rsid w:val="00C934CE"/>
    <w:rsid w:val="00C93E6D"/>
    <w:rsid w:val="00CA0FC8"/>
    <w:rsid w:val="00CA18A3"/>
    <w:rsid w:val="00CB0EA1"/>
    <w:rsid w:val="00CB43BB"/>
    <w:rsid w:val="00CB512D"/>
    <w:rsid w:val="00CB5F39"/>
    <w:rsid w:val="00CC01DB"/>
    <w:rsid w:val="00CC10B7"/>
    <w:rsid w:val="00CC3A04"/>
    <w:rsid w:val="00CD643E"/>
    <w:rsid w:val="00CD6AA0"/>
    <w:rsid w:val="00CE19F5"/>
    <w:rsid w:val="00CE43E4"/>
    <w:rsid w:val="00CF31A1"/>
    <w:rsid w:val="00D008EC"/>
    <w:rsid w:val="00D03A78"/>
    <w:rsid w:val="00D03C91"/>
    <w:rsid w:val="00D0523A"/>
    <w:rsid w:val="00D06B45"/>
    <w:rsid w:val="00D07184"/>
    <w:rsid w:val="00D16DE3"/>
    <w:rsid w:val="00D352E5"/>
    <w:rsid w:val="00D3679B"/>
    <w:rsid w:val="00D36828"/>
    <w:rsid w:val="00D419D5"/>
    <w:rsid w:val="00D41BCF"/>
    <w:rsid w:val="00D46647"/>
    <w:rsid w:val="00D52F55"/>
    <w:rsid w:val="00D573CC"/>
    <w:rsid w:val="00D604D6"/>
    <w:rsid w:val="00D63CB2"/>
    <w:rsid w:val="00D74A15"/>
    <w:rsid w:val="00D75A2B"/>
    <w:rsid w:val="00D80AB3"/>
    <w:rsid w:val="00D829B2"/>
    <w:rsid w:val="00D83D36"/>
    <w:rsid w:val="00D84538"/>
    <w:rsid w:val="00D870CD"/>
    <w:rsid w:val="00D93CA4"/>
    <w:rsid w:val="00D96B1E"/>
    <w:rsid w:val="00D96FCD"/>
    <w:rsid w:val="00DA6A9E"/>
    <w:rsid w:val="00DA7969"/>
    <w:rsid w:val="00DB0414"/>
    <w:rsid w:val="00DB2E20"/>
    <w:rsid w:val="00DB3BD6"/>
    <w:rsid w:val="00DC2B07"/>
    <w:rsid w:val="00DC47AE"/>
    <w:rsid w:val="00DC573F"/>
    <w:rsid w:val="00DC5AA8"/>
    <w:rsid w:val="00DC7145"/>
    <w:rsid w:val="00DD2E27"/>
    <w:rsid w:val="00DD3570"/>
    <w:rsid w:val="00DD53B9"/>
    <w:rsid w:val="00DD6510"/>
    <w:rsid w:val="00DD658D"/>
    <w:rsid w:val="00DD6947"/>
    <w:rsid w:val="00DE37D8"/>
    <w:rsid w:val="00DE5172"/>
    <w:rsid w:val="00DE59D1"/>
    <w:rsid w:val="00DF1F3C"/>
    <w:rsid w:val="00DF473B"/>
    <w:rsid w:val="00DF63A3"/>
    <w:rsid w:val="00E06C2E"/>
    <w:rsid w:val="00E078D5"/>
    <w:rsid w:val="00E12640"/>
    <w:rsid w:val="00E12823"/>
    <w:rsid w:val="00E2412D"/>
    <w:rsid w:val="00E24A0B"/>
    <w:rsid w:val="00E25135"/>
    <w:rsid w:val="00E2529D"/>
    <w:rsid w:val="00E309E5"/>
    <w:rsid w:val="00E30A39"/>
    <w:rsid w:val="00E32BB5"/>
    <w:rsid w:val="00E32EC7"/>
    <w:rsid w:val="00E4118C"/>
    <w:rsid w:val="00E4191B"/>
    <w:rsid w:val="00E423E9"/>
    <w:rsid w:val="00E42FA9"/>
    <w:rsid w:val="00E4400C"/>
    <w:rsid w:val="00E4494C"/>
    <w:rsid w:val="00E4538B"/>
    <w:rsid w:val="00E47755"/>
    <w:rsid w:val="00E65256"/>
    <w:rsid w:val="00E70102"/>
    <w:rsid w:val="00E70E1C"/>
    <w:rsid w:val="00E7377C"/>
    <w:rsid w:val="00E7442C"/>
    <w:rsid w:val="00E75B34"/>
    <w:rsid w:val="00E75B62"/>
    <w:rsid w:val="00E81231"/>
    <w:rsid w:val="00E81450"/>
    <w:rsid w:val="00E823FD"/>
    <w:rsid w:val="00E871EF"/>
    <w:rsid w:val="00E9031A"/>
    <w:rsid w:val="00E93845"/>
    <w:rsid w:val="00E93CFD"/>
    <w:rsid w:val="00E94133"/>
    <w:rsid w:val="00EA6EDA"/>
    <w:rsid w:val="00EB0CEB"/>
    <w:rsid w:val="00EB758B"/>
    <w:rsid w:val="00EC1F3D"/>
    <w:rsid w:val="00EC3012"/>
    <w:rsid w:val="00EC4690"/>
    <w:rsid w:val="00ED7C96"/>
    <w:rsid w:val="00EF2D5B"/>
    <w:rsid w:val="00EF689F"/>
    <w:rsid w:val="00F00E56"/>
    <w:rsid w:val="00F04B5A"/>
    <w:rsid w:val="00F11637"/>
    <w:rsid w:val="00F12439"/>
    <w:rsid w:val="00F130F6"/>
    <w:rsid w:val="00F23495"/>
    <w:rsid w:val="00F23499"/>
    <w:rsid w:val="00F2683E"/>
    <w:rsid w:val="00F27766"/>
    <w:rsid w:val="00F32FC5"/>
    <w:rsid w:val="00F3684C"/>
    <w:rsid w:val="00F40571"/>
    <w:rsid w:val="00F41707"/>
    <w:rsid w:val="00F4400B"/>
    <w:rsid w:val="00F44405"/>
    <w:rsid w:val="00F444B9"/>
    <w:rsid w:val="00F446A8"/>
    <w:rsid w:val="00F45547"/>
    <w:rsid w:val="00F54425"/>
    <w:rsid w:val="00F55045"/>
    <w:rsid w:val="00F571F9"/>
    <w:rsid w:val="00F737C5"/>
    <w:rsid w:val="00F75388"/>
    <w:rsid w:val="00F80253"/>
    <w:rsid w:val="00F86678"/>
    <w:rsid w:val="00F92915"/>
    <w:rsid w:val="00F97BD9"/>
    <w:rsid w:val="00FA3926"/>
    <w:rsid w:val="00FA3E8A"/>
    <w:rsid w:val="00FA46E9"/>
    <w:rsid w:val="00FB1D3A"/>
    <w:rsid w:val="00FB3950"/>
    <w:rsid w:val="00FB4752"/>
    <w:rsid w:val="00FB6589"/>
    <w:rsid w:val="00FC14CA"/>
    <w:rsid w:val="00FC2772"/>
    <w:rsid w:val="00FC3B2A"/>
    <w:rsid w:val="00FD0735"/>
    <w:rsid w:val="00FD51E9"/>
    <w:rsid w:val="00FD5D63"/>
    <w:rsid w:val="00FD6FE7"/>
    <w:rsid w:val="00FD71E9"/>
    <w:rsid w:val="00FE3F7D"/>
    <w:rsid w:val="00FE5E73"/>
    <w:rsid w:val="00FE5F7B"/>
    <w:rsid w:val="00FF5124"/>
    <w:rsid w:val="00FF6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55422312">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7AF0F-48E2-4830-A97A-FAE14243B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3323</TotalTime>
  <Pages>11</Pages>
  <Words>4419</Words>
  <Characters>24310</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468</cp:revision>
  <cp:lastPrinted>2022-04-12T19:19:00Z</cp:lastPrinted>
  <dcterms:created xsi:type="dcterms:W3CDTF">2020-06-01T16:32:00Z</dcterms:created>
  <dcterms:modified xsi:type="dcterms:W3CDTF">2022-10-24T18:52:00Z</dcterms:modified>
</cp:coreProperties>
</file>