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05B" w:rsidRPr="007B0581" w:rsidRDefault="00EF405B" w:rsidP="00EF405B">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EF405B" w:rsidRPr="007B0581" w:rsidRDefault="00EF405B" w:rsidP="00EF405B">
      <w:pPr>
        <w:pStyle w:val="corte4fondo"/>
        <w:spacing w:line="276" w:lineRule="auto"/>
        <w:ind w:left="3544" w:right="-521" w:firstLine="0"/>
        <w:rPr>
          <w:rFonts w:cs="Arial"/>
          <w:b/>
          <w:sz w:val="24"/>
          <w:szCs w:val="24"/>
        </w:rPr>
      </w:pPr>
    </w:p>
    <w:p w:rsidR="00EF405B" w:rsidRPr="007B0581" w:rsidRDefault="00EF405B" w:rsidP="00EF405B">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0035</w:t>
      </w:r>
      <w:r w:rsidRPr="007B0581">
        <w:rPr>
          <w:rFonts w:cs="Arial"/>
          <w:b/>
          <w:bCs/>
          <w:sz w:val="24"/>
          <w:szCs w:val="24"/>
        </w:rPr>
        <w:t>/20</w:t>
      </w:r>
      <w:r>
        <w:rPr>
          <w:rFonts w:cs="Arial"/>
          <w:b/>
          <w:bCs/>
          <w:sz w:val="24"/>
          <w:szCs w:val="24"/>
        </w:rPr>
        <w:t>19</w:t>
      </w:r>
      <w:r w:rsidRPr="007B0581">
        <w:rPr>
          <w:rFonts w:cs="Arial"/>
          <w:sz w:val="24"/>
          <w:szCs w:val="24"/>
        </w:rPr>
        <w:t xml:space="preserve">. </w:t>
      </w:r>
    </w:p>
    <w:p w:rsidR="00EF405B" w:rsidRPr="007B0581" w:rsidRDefault="00EF405B" w:rsidP="00EF405B">
      <w:pPr>
        <w:pStyle w:val="corte4fondo"/>
        <w:spacing w:line="276" w:lineRule="auto"/>
        <w:ind w:left="3544" w:right="-521" w:firstLine="0"/>
        <w:rPr>
          <w:rFonts w:cs="Arial"/>
          <w:sz w:val="24"/>
          <w:szCs w:val="24"/>
        </w:rPr>
      </w:pPr>
    </w:p>
    <w:p w:rsidR="00EF405B" w:rsidRPr="007B0581" w:rsidRDefault="00EF405B" w:rsidP="00EF405B">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w:t>
      </w:r>
    </w:p>
    <w:p w:rsidR="00EF405B" w:rsidRPr="007B0581" w:rsidRDefault="00EF405B" w:rsidP="00EF405B">
      <w:pPr>
        <w:pStyle w:val="corte4fondo"/>
        <w:spacing w:line="276" w:lineRule="auto"/>
        <w:ind w:left="3544" w:right="-521" w:firstLine="0"/>
        <w:rPr>
          <w:rFonts w:cs="Arial"/>
          <w:b/>
          <w:i/>
          <w:sz w:val="24"/>
          <w:szCs w:val="24"/>
        </w:rPr>
      </w:pPr>
      <w:r w:rsidRPr="007B0581">
        <w:rPr>
          <w:rFonts w:cs="Arial"/>
          <w:b/>
          <w:i/>
          <w:sz w:val="24"/>
          <w:szCs w:val="24"/>
        </w:rPr>
        <w:t xml:space="preserve"> </w:t>
      </w:r>
    </w:p>
    <w:p w:rsidR="00EF405B" w:rsidRPr="007B0581" w:rsidRDefault="00EF405B" w:rsidP="00EF405B">
      <w:pPr>
        <w:pStyle w:val="corte4fondo"/>
        <w:spacing w:line="276" w:lineRule="auto"/>
        <w:ind w:left="3544" w:right="51" w:firstLine="0"/>
        <w:rPr>
          <w:rFonts w:cs="Arial"/>
          <w:bCs/>
          <w:sz w:val="24"/>
          <w:szCs w:val="24"/>
        </w:rPr>
      </w:pPr>
      <w:r w:rsidRPr="007B0581">
        <w:rPr>
          <w:rFonts w:cs="Arial"/>
          <w:b/>
          <w:sz w:val="24"/>
          <w:szCs w:val="24"/>
        </w:rPr>
        <w:t>AUTORIDAD DEMANDAD</w:t>
      </w:r>
      <w:r>
        <w:rPr>
          <w:rFonts w:cs="Arial"/>
          <w:b/>
          <w:sz w:val="24"/>
          <w:szCs w:val="24"/>
        </w:rPr>
        <w:t>A</w:t>
      </w:r>
      <w:r w:rsidRPr="007B0581">
        <w:rPr>
          <w:rFonts w:cs="Arial"/>
          <w:b/>
          <w:sz w:val="24"/>
          <w:szCs w:val="24"/>
        </w:rPr>
        <w:t>:</w:t>
      </w:r>
      <w:r>
        <w:rPr>
          <w:rFonts w:cs="Arial"/>
          <w:b/>
          <w:sz w:val="24"/>
          <w:szCs w:val="24"/>
        </w:rPr>
        <w:t xml:space="preserve"> MUNICIPIO DE SANTA MARÍA TLAHUITOLTEPEC, MIXE, OAXACA.</w:t>
      </w:r>
    </w:p>
    <w:p w:rsidR="00EF405B" w:rsidRPr="007B0581" w:rsidRDefault="00EF405B" w:rsidP="00EF405B">
      <w:pPr>
        <w:pStyle w:val="corte4fondo"/>
        <w:spacing w:line="276" w:lineRule="auto"/>
        <w:ind w:left="3544" w:right="51" w:firstLine="0"/>
        <w:rPr>
          <w:rFonts w:cs="Arial"/>
          <w:bCs/>
          <w:sz w:val="24"/>
          <w:szCs w:val="24"/>
        </w:rPr>
      </w:pPr>
    </w:p>
    <w:p w:rsidR="00EF405B" w:rsidRPr="007B0581" w:rsidRDefault="00EF405B" w:rsidP="00EF405B">
      <w:pPr>
        <w:pStyle w:val="corte4fondo"/>
        <w:spacing w:line="276" w:lineRule="auto"/>
        <w:ind w:left="3544" w:right="51" w:firstLine="0"/>
        <w:rPr>
          <w:rFonts w:cs="Arial"/>
          <w:bCs/>
          <w:sz w:val="24"/>
          <w:szCs w:val="24"/>
        </w:rPr>
      </w:pPr>
    </w:p>
    <w:p w:rsidR="00EF405B" w:rsidRDefault="00EF405B" w:rsidP="00EF405B">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DOCE DE ABRIL</w:t>
      </w:r>
      <w:r w:rsidRPr="007B0581">
        <w:rPr>
          <w:rFonts w:ascii="Arial" w:hAnsi="Arial" w:cs="Arial"/>
          <w:b/>
          <w:sz w:val="24"/>
          <w:szCs w:val="24"/>
        </w:rPr>
        <w:t xml:space="preserve"> DE DOS MIL </w:t>
      </w:r>
      <w:r>
        <w:rPr>
          <w:rFonts w:ascii="Arial" w:hAnsi="Arial" w:cs="Arial"/>
          <w:b/>
          <w:sz w:val="24"/>
          <w:szCs w:val="24"/>
        </w:rPr>
        <w:t>VEINTITRÉS</w:t>
      </w:r>
      <w:r w:rsidRPr="007B0581">
        <w:rPr>
          <w:rFonts w:ascii="Arial" w:hAnsi="Arial" w:cs="Arial"/>
          <w:b/>
          <w:sz w:val="24"/>
          <w:szCs w:val="24"/>
        </w:rPr>
        <w:t xml:space="preserve">.  </w:t>
      </w:r>
    </w:p>
    <w:p w:rsidR="00EF405B" w:rsidRDefault="00EF405B" w:rsidP="00EF405B">
      <w:pPr>
        <w:spacing w:line="360" w:lineRule="auto"/>
        <w:jc w:val="both"/>
        <w:rPr>
          <w:rFonts w:ascii="Arial" w:hAnsi="Arial" w:cs="Arial"/>
          <w:b/>
          <w:sz w:val="24"/>
          <w:szCs w:val="24"/>
        </w:rPr>
      </w:pPr>
    </w:p>
    <w:p w:rsidR="00EF405B" w:rsidRDefault="00EF405B" w:rsidP="00EF405B">
      <w:pPr>
        <w:spacing w:line="360" w:lineRule="auto"/>
        <w:jc w:val="both"/>
        <w:rPr>
          <w:rFonts w:ascii="Arial" w:hAnsi="Arial" w:cs="Arial"/>
          <w:b/>
          <w:sz w:val="24"/>
          <w:szCs w:val="24"/>
        </w:rPr>
      </w:pPr>
    </w:p>
    <w:p w:rsidR="00EF405B" w:rsidRDefault="00EF405B" w:rsidP="00EF405B">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0035</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r w:rsidRPr="007B0581">
        <w:rPr>
          <w:rFonts w:ascii="Arial" w:hAnsi="Arial" w:cs="Arial"/>
          <w:sz w:val="24"/>
          <w:szCs w:val="24"/>
        </w:rPr>
        <w:t>en contra de</w:t>
      </w:r>
      <w:r>
        <w:rPr>
          <w:rFonts w:ascii="Arial" w:hAnsi="Arial" w:cs="Arial"/>
          <w:sz w:val="24"/>
          <w:szCs w:val="24"/>
        </w:rPr>
        <w:t xml:space="preserve"> la respuesta otorgada vía correo electrónico el día seis de abril de dos mil diecinueve, aparentemente por el Municipio de Santa María </w:t>
      </w:r>
      <w:proofErr w:type="spellStart"/>
      <w:r>
        <w:rPr>
          <w:rFonts w:ascii="Arial" w:hAnsi="Arial" w:cs="Arial"/>
          <w:sz w:val="24"/>
          <w:szCs w:val="24"/>
        </w:rPr>
        <w:t>Tlahuitoltepec</w:t>
      </w:r>
      <w:proofErr w:type="spellEnd"/>
      <w:r>
        <w:rPr>
          <w:rFonts w:ascii="Arial" w:hAnsi="Arial" w:cs="Arial"/>
          <w:sz w:val="24"/>
          <w:szCs w:val="24"/>
        </w:rPr>
        <w:t>, Mixe, Oaxaca</w:t>
      </w:r>
      <w:bookmarkStart w:id="0" w:name="_Hlk84505151"/>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p w:rsidR="00EF405B" w:rsidRPr="007B0581" w:rsidRDefault="00EF405B" w:rsidP="00EF405B">
      <w:pPr>
        <w:spacing w:line="360" w:lineRule="auto"/>
        <w:jc w:val="both"/>
        <w:rPr>
          <w:rFonts w:ascii="Arial" w:hAnsi="Arial" w:cs="Arial"/>
          <w:b/>
          <w:bCs/>
          <w:sz w:val="24"/>
          <w:szCs w:val="24"/>
        </w:rPr>
      </w:pPr>
    </w:p>
    <w:bookmarkEnd w:id="0"/>
    <w:p w:rsidR="00EF405B" w:rsidRDefault="00EF405B" w:rsidP="00EF405B">
      <w:pPr>
        <w:contextualSpacing/>
        <w:jc w:val="both"/>
        <w:rPr>
          <w:rFonts w:ascii="Arial" w:hAnsi="Arial" w:cs="Arial"/>
          <w:sz w:val="24"/>
          <w:szCs w:val="24"/>
        </w:rPr>
      </w:pPr>
    </w:p>
    <w:p w:rsidR="00EF405B" w:rsidRPr="007B0581" w:rsidRDefault="00EF405B" w:rsidP="00EF405B">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EF405B" w:rsidRPr="007B0581" w:rsidRDefault="00EF405B" w:rsidP="00EF405B">
      <w:pPr>
        <w:contextualSpacing/>
        <w:jc w:val="both"/>
        <w:rPr>
          <w:rFonts w:ascii="Arial" w:hAnsi="Arial" w:cs="Arial"/>
          <w:b/>
          <w:spacing w:val="-3"/>
          <w:sz w:val="24"/>
          <w:szCs w:val="24"/>
          <w:lang w:val="es-ES_tradnl"/>
        </w:rPr>
      </w:pPr>
    </w:p>
    <w:p w:rsidR="00EF405B" w:rsidRDefault="00EF405B" w:rsidP="00EF405B">
      <w:pPr>
        <w:spacing w:line="360" w:lineRule="auto"/>
        <w:ind w:firstLine="567"/>
        <w:jc w:val="both"/>
        <w:rPr>
          <w:rFonts w:ascii="Arial" w:hAnsi="Arial" w:cs="Arial"/>
          <w:sz w:val="24"/>
          <w:szCs w:val="24"/>
        </w:rPr>
      </w:pPr>
      <w:r w:rsidRPr="007B0581">
        <w:rPr>
          <w:rFonts w:ascii="Arial" w:hAnsi="Arial" w:cs="Arial"/>
          <w:b/>
          <w:spacing w:val="-3"/>
          <w:sz w:val="24"/>
          <w:szCs w:val="24"/>
          <w:lang w:val="es-ES_tradnl"/>
        </w:rPr>
        <w:t>PRIMERO. -</w:t>
      </w:r>
      <w:r w:rsidRPr="007B0581">
        <w:rPr>
          <w:rFonts w:ascii="Arial" w:hAnsi="Arial" w:cs="Arial"/>
          <w:sz w:val="24"/>
          <w:szCs w:val="24"/>
        </w:rPr>
        <w:t xml:space="preserve"> Mediante escrito recibido el </w:t>
      </w:r>
      <w:r>
        <w:rPr>
          <w:rFonts w:ascii="Arial" w:hAnsi="Arial" w:cs="Arial"/>
          <w:sz w:val="24"/>
          <w:szCs w:val="24"/>
        </w:rPr>
        <w:t>treinta de abril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w:t>
      </w:r>
      <w:bookmarkStart w:id="1" w:name="_Hlk83725409"/>
      <w:r w:rsidRPr="007B0581">
        <w:rPr>
          <w:rFonts w:ascii="Arial" w:hAnsi="Arial" w:cs="Arial"/>
          <w:sz w:val="24"/>
          <w:szCs w:val="24"/>
        </w:rPr>
        <w:t>de</w:t>
      </w:r>
      <w:r>
        <w:rPr>
          <w:rFonts w:ascii="Arial" w:hAnsi="Arial" w:cs="Arial"/>
          <w:sz w:val="24"/>
          <w:szCs w:val="24"/>
        </w:rPr>
        <w:t xml:space="preserve"> la respuesta otorgada vía correo electrónico el día seis de abril de dos mil diecinueve, aparentemente por el Municipio de Santa María </w:t>
      </w:r>
      <w:proofErr w:type="spellStart"/>
      <w:r>
        <w:rPr>
          <w:rFonts w:ascii="Arial" w:hAnsi="Arial" w:cs="Arial"/>
          <w:sz w:val="24"/>
          <w:szCs w:val="24"/>
        </w:rPr>
        <w:t>Tlahuitoltepec</w:t>
      </w:r>
      <w:proofErr w:type="spellEnd"/>
      <w:r>
        <w:rPr>
          <w:rFonts w:ascii="Arial" w:hAnsi="Arial" w:cs="Arial"/>
          <w:sz w:val="24"/>
          <w:szCs w:val="24"/>
        </w:rPr>
        <w:t>, Mixe, Oaxaca.</w:t>
      </w:r>
    </w:p>
    <w:p w:rsidR="00EF405B" w:rsidRDefault="00EF405B" w:rsidP="00EF405B">
      <w:pPr>
        <w:spacing w:line="360" w:lineRule="auto"/>
        <w:ind w:firstLine="567"/>
        <w:jc w:val="both"/>
        <w:rPr>
          <w:rFonts w:ascii="Arial" w:hAnsi="Arial" w:cs="Arial"/>
          <w:sz w:val="24"/>
          <w:szCs w:val="24"/>
        </w:rPr>
      </w:pPr>
    </w:p>
    <w:bookmarkEnd w:id="1"/>
    <w:p w:rsidR="00EF405B" w:rsidRDefault="00EF405B" w:rsidP="00EF405B">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Por acuerdo de trece de mayo de dos mil diecinueve, se</w:t>
      </w:r>
      <w:r w:rsidRPr="007B0581">
        <w:rPr>
          <w:rFonts w:ascii="Arial" w:hAnsi="Arial" w:cs="Arial"/>
          <w:sz w:val="24"/>
          <w:szCs w:val="24"/>
        </w:rPr>
        <w:t xml:space="preserve"> admitió a trámite la demanda, ordenándose notificar, emplazar y correr traslado a la autoridad demandada</w:t>
      </w:r>
      <w:r>
        <w:rPr>
          <w:rFonts w:ascii="Arial" w:hAnsi="Arial" w:cs="Arial"/>
          <w:sz w:val="24"/>
          <w:szCs w:val="24"/>
        </w:rPr>
        <w:t xml:space="preserve">, </w:t>
      </w:r>
      <w:r w:rsidRPr="007B0581">
        <w:rPr>
          <w:rFonts w:ascii="Arial" w:hAnsi="Arial" w:cs="Arial"/>
          <w:sz w:val="24"/>
          <w:szCs w:val="24"/>
        </w:rPr>
        <w:t>para que produjera su contestación en los términos de ley</w:t>
      </w:r>
      <w:r>
        <w:rPr>
          <w:rFonts w:ascii="Arial" w:hAnsi="Arial" w:cs="Arial"/>
          <w:sz w:val="24"/>
          <w:szCs w:val="24"/>
        </w:rPr>
        <w:t>, en el plazo de nueve días hábiles, en el entendido que, de no hacerlo dentro del plazo concedido para ello, se tendría por precluído su derecho y por contestada la demanda en sentido afirmativo, salvo prueba en contrario</w:t>
      </w:r>
      <w:r w:rsidRPr="007B0581">
        <w:rPr>
          <w:rFonts w:ascii="Arial" w:hAnsi="Arial" w:cs="Arial"/>
          <w:sz w:val="24"/>
          <w:szCs w:val="24"/>
        </w:rPr>
        <w:t>.</w:t>
      </w:r>
      <w:r>
        <w:rPr>
          <w:rFonts w:ascii="Arial" w:hAnsi="Arial" w:cs="Arial"/>
          <w:sz w:val="24"/>
          <w:szCs w:val="24"/>
        </w:rPr>
        <w:t xml:space="preserve"> Asimismo, se desechó la prueba testimonial ofrecida por el actor.     </w:t>
      </w:r>
    </w:p>
    <w:p w:rsidR="00EF405B" w:rsidRDefault="00EF405B" w:rsidP="00EF405B">
      <w:pPr>
        <w:spacing w:line="360" w:lineRule="auto"/>
        <w:ind w:firstLine="567"/>
        <w:jc w:val="both"/>
        <w:rPr>
          <w:rFonts w:ascii="Arial" w:hAnsi="Arial" w:cs="Arial"/>
          <w:sz w:val="24"/>
          <w:szCs w:val="24"/>
        </w:rPr>
      </w:pPr>
    </w:p>
    <w:p w:rsidR="00EF405B" w:rsidRDefault="00EF405B" w:rsidP="00EF405B">
      <w:pPr>
        <w:spacing w:line="360" w:lineRule="auto"/>
        <w:ind w:firstLine="567"/>
        <w:jc w:val="both"/>
        <w:rPr>
          <w:rFonts w:ascii="Arial" w:hAnsi="Arial" w:cs="Arial"/>
          <w:sz w:val="24"/>
          <w:szCs w:val="24"/>
        </w:rPr>
      </w:pPr>
      <w:r w:rsidRPr="00D21DD8">
        <w:rPr>
          <w:rFonts w:ascii="Arial" w:hAnsi="Arial" w:cs="Arial"/>
          <w:b/>
          <w:bCs/>
          <w:sz w:val="24"/>
          <w:szCs w:val="24"/>
        </w:rPr>
        <w:t>TERCERO. -</w:t>
      </w:r>
      <w:r>
        <w:rPr>
          <w:rFonts w:ascii="Arial" w:hAnsi="Arial" w:cs="Arial"/>
          <w:sz w:val="24"/>
          <w:szCs w:val="24"/>
        </w:rPr>
        <w:t xml:space="preserve"> </w:t>
      </w:r>
      <w:r w:rsidRPr="007B0581">
        <w:rPr>
          <w:rFonts w:ascii="Arial" w:hAnsi="Arial" w:cs="Arial"/>
          <w:sz w:val="24"/>
          <w:szCs w:val="24"/>
        </w:rPr>
        <w:t>Por a</w:t>
      </w:r>
      <w:r>
        <w:rPr>
          <w:rFonts w:ascii="Arial" w:hAnsi="Arial" w:cs="Arial"/>
          <w:sz w:val="24"/>
          <w:szCs w:val="24"/>
        </w:rPr>
        <w:t>uto</w:t>
      </w:r>
      <w:r w:rsidRPr="007B0581">
        <w:rPr>
          <w:rFonts w:ascii="Arial" w:hAnsi="Arial" w:cs="Arial"/>
          <w:sz w:val="24"/>
          <w:szCs w:val="24"/>
        </w:rPr>
        <w:t xml:space="preserve"> de </w:t>
      </w:r>
      <w:r>
        <w:rPr>
          <w:rFonts w:ascii="Arial" w:hAnsi="Arial" w:cs="Arial"/>
          <w:sz w:val="24"/>
          <w:szCs w:val="24"/>
        </w:rPr>
        <w:t>once de julio de dos mil diecinueve</w:t>
      </w:r>
      <w:r w:rsidRPr="007B0581">
        <w:rPr>
          <w:rFonts w:ascii="Arial" w:hAnsi="Arial" w:cs="Arial"/>
          <w:sz w:val="24"/>
          <w:szCs w:val="24"/>
        </w:rPr>
        <w:t>, se</w:t>
      </w:r>
      <w:r>
        <w:rPr>
          <w:rFonts w:ascii="Arial" w:hAnsi="Arial" w:cs="Arial"/>
          <w:sz w:val="24"/>
          <w:szCs w:val="24"/>
        </w:rPr>
        <w:t xml:space="preserve"> tuvo al Síndico Municipal del Honorable Ayuntamiento Constitucional del Municipio de Santa María </w:t>
      </w:r>
      <w:proofErr w:type="spellStart"/>
      <w:r>
        <w:rPr>
          <w:rFonts w:ascii="Arial" w:hAnsi="Arial" w:cs="Arial"/>
          <w:sz w:val="24"/>
          <w:szCs w:val="24"/>
        </w:rPr>
        <w:t>Tlahuitoltepec</w:t>
      </w:r>
      <w:proofErr w:type="spellEnd"/>
      <w:r>
        <w:rPr>
          <w:rFonts w:ascii="Arial" w:hAnsi="Arial" w:cs="Arial"/>
          <w:sz w:val="24"/>
          <w:szCs w:val="24"/>
        </w:rPr>
        <w:t xml:space="preserve">, Mixe, Oaxaca, </w:t>
      </w:r>
      <w:r w:rsidRPr="00AE490A">
        <w:rPr>
          <w:rFonts w:ascii="Arial" w:hAnsi="Arial" w:cs="Arial"/>
          <w:sz w:val="24"/>
          <w:szCs w:val="24"/>
        </w:rPr>
        <w:t>dando contestación a la demanda</w:t>
      </w:r>
      <w:r>
        <w:rPr>
          <w:rFonts w:ascii="Arial" w:hAnsi="Arial" w:cs="Arial"/>
          <w:sz w:val="24"/>
          <w:szCs w:val="24"/>
        </w:rPr>
        <w:t xml:space="preserve"> de manera extemporánea por lo que se le hizo efectivo el apercibimiento descrito en el párrafo próximo anterior</w:t>
      </w:r>
      <w:r w:rsidRPr="00AE490A">
        <w:rPr>
          <w:rFonts w:ascii="Arial" w:hAnsi="Arial" w:cs="Arial"/>
          <w:sz w:val="24"/>
          <w:szCs w:val="24"/>
        </w:rPr>
        <w:t>, por acreditada la personalidad con la que compareció a juicio</w:t>
      </w:r>
      <w:r>
        <w:rPr>
          <w:rFonts w:ascii="Arial" w:hAnsi="Arial" w:cs="Arial"/>
          <w:sz w:val="24"/>
          <w:szCs w:val="24"/>
        </w:rPr>
        <w:t xml:space="preserve">. </w:t>
      </w:r>
      <w:r>
        <w:rPr>
          <w:rFonts w:ascii="Arial" w:hAnsi="Arial" w:cs="Arial"/>
          <w:sz w:val="24"/>
          <w:szCs w:val="24"/>
        </w:rPr>
        <w:lastRenderedPageBreak/>
        <w:t>Asimismo, se señalaron las DOCE HORAS del día DIECIOCHO DE SEPTIEMBRE DE DOS MIL DIECINUEVE, para la celebración de la audiencia final.</w:t>
      </w:r>
    </w:p>
    <w:p w:rsidR="00EF405B" w:rsidRPr="00AE490A" w:rsidRDefault="00EF405B" w:rsidP="00EF405B">
      <w:pPr>
        <w:spacing w:line="360" w:lineRule="auto"/>
        <w:ind w:firstLine="567"/>
        <w:jc w:val="both"/>
        <w:rPr>
          <w:rFonts w:ascii="Arial" w:hAnsi="Arial" w:cs="Arial"/>
          <w:sz w:val="24"/>
          <w:szCs w:val="24"/>
        </w:rPr>
      </w:pPr>
    </w:p>
    <w:p w:rsidR="00EF405B" w:rsidRDefault="00EF405B" w:rsidP="00EF405B">
      <w:pPr>
        <w:pStyle w:val="corte4fondo"/>
        <w:ind w:right="51" w:firstLine="567"/>
        <w:rPr>
          <w:rFonts w:cs="Arial"/>
          <w:sz w:val="24"/>
          <w:szCs w:val="24"/>
        </w:rPr>
      </w:pPr>
      <w:r>
        <w:rPr>
          <w:rFonts w:cs="Arial"/>
          <w:b/>
          <w:bCs/>
          <w:sz w:val="24"/>
          <w:szCs w:val="24"/>
        </w:rPr>
        <w:t>CUARTO</w:t>
      </w:r>
      <w:r w:rsidRPr="00B30CC5">
        <w:rPr>
          <w:rFonts w:cs="Arial"/>
          <w:b/>
          <w:sz w:val="24"/>
          <w:szCs w:val="24"/>
        </w:rPr>
        <w:t>. -</w:t>
      </w:r>
      <w:r w:rsidRPr="007B0581">
        <w:rPr>
          <w:rFonts w:cs="Arial"/>
          <w:bCs/>
          <w:sz w:val="24"/>
          <w:szCs w:val="24"/>
        </w:rPr>
        <w:t xml:space="preserve"> </w:t>
      </w:r>
      <w:r>
        <w:rPr>
          <w:rFonts w:cs="Arial"/>
          <w:sz w:val="24"/>
          <w:szCs w:val="24"/>
        </w:rPr>
        <w:t>E</w:t>
      </w:r>
      <w:r>
        <w:rPr>
          <w:rFonts w:cs="Arial"/>
          <w:sz w:val="24"/>
          <w:szCs w:val="24"/>
          <w:lang w:val="es-ES"/>
        </w:rPr>
        <w:t>l dieciocho de septiembre de dos mil diecinueve</w:t>
      </w:r>
      <w:r w:rsidRPr="007B0581">
        <w:rPr>
          <w:rFonts w:cs="Arial"/>
          <w:bCs/>
          <w:sz w:val="24"/>
          <w:szCs w:val="24"/>
          <w:lang w:val="es-ES"/>
        </w:rPr>
        <w:t xml:space="preserve">, </w:t>
      </w:r>
      <w:r w:rsidRPr="006A1793">
        <w:rPr>
          <w:rFonts w:cs="Arial"/>
          <w:sz w:val="24"/>
          <w:szCs w:val="24"/>
        </w:rPr>
        <w:t>se llevó a cabo la Audiencia Final, sin la asistencia de las partes, ni persona alguna que legalmente las representara, asentando la</w:t>
      </w:r>
      <w:r w:rsidRPr="006C7760">
        <w:rPr>
          <w:rFonts w:cs="Arial"/>
          <w:sz w:val="24"/>
          <w:szCs w:val="24"/>
        </w:rPr>
        <w:t xml:space="preserve"> Secretaria de Acuerdos de esta Sala Unitaria, que </w:t>
      </w:r>
      <w:r>
        <w:rPr>
          <w:rFonts w:cs="Arial"/>
          <w:sz w:val="24"/>
          <w:szCs w:val="24"/>
        </w:rPr>
        <w:t xml:space="preserve">el Síndico Municipal del Honorable Ayuntamiento Constitucional del Municipio de Santa María </w:t>
      </w:r>
      <w:proofErr w:type="spellStart"/>
      <w:r>
        <w:rPr>
          <w:rFonts w:cs="Arial"/>
          <w:sz w:val="24"/>
          <w:szCs w:val="24"/>
        </w:rPr>
        <w:t>Tlahuitoltepec</w:t>
      </w:r>
      <w:proofErr w:type="spellEnd"/>
      <w:r>
        <w:rPr>
          <w:rFonts w:cs="Arial"/>
          <w:sz w:val="24"/>
          <w:szCs w:val="24"/>
        </w:rPr>
        <w:t xml:space="preserve"> en representación legal de la autoridad demandada </w:t>
      </w:r>
      <w:r w:rsidRPr="006C7760">
        <w:rPr>
          <w:rFonts w:cs="Arial"/>
          <w:sz w:val="24"/>
          <w:szCs w:val="24"/>
        </w:rPr>
        <w:t>formul</w:t>
      </w:r>
      <w:r>
        <w:rPr>
          <w:rFonts w:cs="Arial"/>
          <w:sz w:val="24"/>
          <w:szCs w:val="24"/>
        </w:rPr>
        <w:t>ó</w:t>
      </w:r>
      <w:r w:rsidRPr="006C7760">
        <w:rPr>
          <w:rFonts w:cs="Arial"/>
          <w:sz w:val="24"/>
          <w:szCs w:val="24"/>
        </w:rPr>
        <w:t xml:space="preserve"> alegatos; por lo que se ordenó citar a las partes a oír sentencia dentro del término de ley, misma que ahora se pronuncia</w:t>
      </w:r>
      <w:r>
        <w:rPr>
          <w:rFonts w:cs="Arial"/>
          <w:sz w:val="24"/>
          <w:szCs w:val="24"/>
        </w:rPr>
        <w:t>.</w:t>
      </w:r>
    </w:p>
    <w:p w:rsidR="00EF405B" w:rsidRDefault="00EF405B" w:rsidP="00EF405B">
      <w:pPr>
        <w:pStyle w:val="corte4fondo"/>
        <w:ind w:right="51" w:firstLine="567"/>
        <w:rPr>
          <w:rFonts w:cs="Arial"/>
          <w:sz w:val="24"/>
          <w:szCs w:val="24"/>
        </w:rPr>
      </w:pPr>
    </w:p>
    <w:p w:rsidR="00EF405B" w:rsidRDefault="00EF405B" w:rsidP="00EF405B">
      <w:pPr>
        <w:pStyle w:val="corte4fondo"/>
        <w:ind w:right="51" w:firstLine="567"/>
        <w:rPr>
          <w:rFonts w:cs="Arial"/>
          <w:b/>
          <w:bCs/>
          <w:sz w:val="24"/>
          <w:szCs w:val="24"/>
        </w:rPr>
      </w:pPr>
      <w:r w:rsidRPr="003C1DEB">
        <w:rPr>
          <w:rFonts w:cs="Arial"/>
          <w:b/>
          <w:bCs/>
          <w:sz w:val="24"/>
          <w:szCs w:val="24"/>
        </w:rPr>
        <w:t>QUINTO. -</w:t>
      </w:r>
      <w:r>
        <w:rPr>
          <w:rFonts w:cs="Arial"/>
          <w:sz w:val="24"/>
          <w:szCs w:val="24"/>
        </w:rPr>
        <w:t xml:space="preserve"> Por proveído de veintisiete de junio de dos mil veintidós, se hizo del conocimiento de las partes la incorporación y adscripción de la Magistrada VIRGINIA HERNÁNDEZ </w:t>
      </w:r>
      <w:proofErr w:type="spellStart"/>
      <w:r>
        <w:rPr>
          <w:rFonts w:cs="Arial"/>
          <w:sz w:val="24"/>
          <w:szCs w:val="24"/>
        </w:rPr>
        <w:t>HERNÁNDEZ</w:t>
      </w:r>
      <w:proofErr w:type="spellEnd"/>
      <w:r>
        <w:rPr>
          <w:rFonts w:cs="Arial"/>
          <w:sz w:val="24"/>
          <w:szCs w:val="24"/>
        </w:rPr>
        <w:t xml:space="preserve">, como Titular de esta Quinta Sala de Primera Instancia de este órgano jurisdiccional, para que en el plazo de tres días hábiles manifestaran lo que a su derecho conviniera, y; </w:t>
      </w:r>
    </w:p>
    <w:p w:rsidR="00EF405B" w:rsidRDefault="00EF405B" w:rsidP="00EF405B">
      <w:pPr>
        <w:pStyle w:val="corte4fondo"/>
        <w:ind w:right="51" w:firstLine="567"/>
        <w:rPr>
          <w:rFonts w:cs="Arial"/>
          <w:b/>
          <w:spacing w:val="-3"/>
          <w:sz w:val="24"/>
          <w:szCs w:val="24"/>
        </w:rPr>
      </w:pPr>
    </w:p>
    <w:p w:rsidR="00EF405B" w:rsidRPr="007B0581" w:rsidRDefault="00EF405B" w:rsidP="00EF405B">
      <w:pPr>
        <w:pStyle w:val="corte4fondo"/>
        <w:ind w:right="51" w:firstLine="567"/>
        <w:rPr>
          <w:rFonts w:cs="Arial"/>
          <w:b/>
          <w:spacing w:val="-3"/>
          <w:sz w:val="24"/>
          <w:szCs w:val="24"/>
        </w:rPr>
      </w:pPr>
    </w:p>
    <w:p w:rsidR="00EF405B" w:rsidRDefault="00EF405B" w:rsidP="00EF405B">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EF405B" w:rsidRPr="007B0581" w:rsidRDefault="00EF405B" w:rsidP="00EF405B">
      <w:pPr>
        <w:pStyle w:val="corte4fondo"/>
        <w:ind w:right="51" w:firstLine="567"/>
        <w:jc w:val="center"/>
        <w:rPr>
          <w:rFonts w:cs="Arial"/>
          <w:b/>
          <w:spacing w:val="-3"/>
          <w:sz w:val="24"/>
          <w:szCs w:val="24"/>
        </w:rPr>
      </w:pPr>
    </w:p>
    <w:p w:rsidR="00EF405B" w:rsidRDefault="00EF405B" w:rsidP="00EF405B">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fracción </w:t>
      </w:r>
      <w:r w:rsidRPr="00F10D0B">
        <w:rPr>
          <w:rFonts w:ascii="Arial" w:hAnsi="Arial" w:cs="Arial"/>
          <w:sz w:val="24"/>
          <w:szCs w:val="24"/>
        </w:rPr>
        <w:t>VI</w:t>
      </w:r>
      <w:r>
        <w:rPr>
          <w:rFonts w:ascii="Arial" w:hAnsi="Arial" w:cs="Arial"/>
          <w:sz w:val="24"/>
          <w:szCs w:val="24"/>
        </w:rPr>
        <w:t>I</w:t>
      </w:r>
      <w:r w:rsidRPr="007B0581">
        <w:rPr>
          <w:rFonts w:ascii="Arial" w:hAnsi="Arial" w:cs="Arial"/>
          <w:sz w:val="24"/>
          <w:szCs w:val="24"/>
        </w:rPr>
        <w:t xml:space="preserve"> de la Constitución Política del Estado Libre y Soberano de Oaxaca; </w:t>
      </w:r>
      <w:r w:rsidRPr="004D0685">
        <w:rPr>
          <w:rFonts w:ascii="Arial" w:hAnsi="Arial" w:cs="Arial"/>
          <w:sz w:val="24"/>
          <w:szCs w:val="24"/>
        </w:rPr>
        <w:t xml:space="preserve">120, </w:t>
      </w:r>
      <w:r w:rsidRPr="00F10D0B">
        <w:rPr>
          <w:rFonts w:ascii="Arial" w:hAnsi="Arial" w:cs="Arial"/>
          <w:sz w:val="24"/>
          <w:szCs w:val="24"/>
        </w:rPr>
        <w:t>fracción I</w:t>
      </w:r>
      <w:r>
        <w:rPr>
          <w:rFonts w:ascii="Arial" w:hAnsi="Arial" w:cs="Arial"/>
          <w:sz w:val="24"/>
          <w:szCs w:val="24"/>
        </w:rPr>
        <w:t>V</w:t>
      </w:r>
      <w:r w:rsidRPr="004D0685">
        <w:rPr>
          <w:rFonts w:ascii="Arial" w:hAnsi="Arial" w:cs="Arial"/>
          <w:sz w:val="24"/>
          <w:szCs w:val="24"/>
        </w:rPr>
        <w:t>, 132 fracciones I y II, 133 fracción I</w:t>
      </w:r>
      <w:r w:rsidRPr="007B0581">
        <w:rPr>
          <w:rFonts w:ascii="Arial" w:hAnsi="Arial" w:cs="Arial"/>
          <w:sz w:val="24"/>
          <w:szCs w:val="24"/>
        </w:rPr>
        <w:t xml:space="preserve">, 146 y 147 de la Ley de Procedimiento y Justicia Administrativa para el Estado de Oaxaca. </w:t>
      </w:r>
    </w:p>
    <w:p w:rsidR="00EF405B" w:rsidRPr="007B0581" w:rsidRDefault="00EF405B" w:rsidP="00EF405B">
      <w:pPr>
        <w:spacing w:line="360" w:lineRule="auto"/>
        <w:ind w:hanging="426"/>
        <w:jc w:val="both"/>
        <w:rPr>
          <w:rFonts w:ascii="Arial" w:hAnsi="Arial" w:cs="Arial"/>
          <w:sz w:val="24"/>
          <w:szCs w:val="24"/>
        </w:rPr>
      </w:pPr>
    </w:p>
    <w:p w:rsidR="00EF405B" w:rsidRDefault="00EF405B" w:rsidP="00EF405B">
      <w:pPr>
        <w:spacing w:line="360" w:lineRule="auto"/>
        <w:jc w:val="both"/>
        <w:rPr>
          <w:rFonts w:ascii="Arial" w:hAnsi="Arial" w:cs="Arial"/>
          <w:sz w:val="24"/>
          <w:szCs w:val="24"/>
        </w:rPr>
      </w:pPr>
      <w:r w:rsidRPr="007B0581">
        <w:rPr>
          <w:rFonts w:ascii="Arial" w:hAnsi="Arial" w:cs="Arial"/>
          <w:sz w:val="24"/>
          <w:szCs w:val="24"/>
        </w:rPr>
        <w:t xml:space="preserve"> </w:t>
      </w:r>
      <w:r>
        <w:rPr>
          <w:rFonts w:ascii="Arial" w:hAnsi="Arial" w:cs="Arial"/>
          <w:sz w:val="24"/>
          <w:szCs w:val="24"/>
        </w:rPr>
        <w:tab/>
      </w:r>
      <w:r w:rsidRPr="007B0581">
        <w:rPr>
          <w:rFonts w:ascii="Arial" w:hAnsi="Arial" w:cs="Arial"/>
          <w:b/>
          <w:snapToGrid w:val="0"/>
          <w:sz w:val="24"/>
          <w:szCs w:val="24"/>
        </w:rPr>
        <w:t xml:space="preserve">SEGUNDO. - </w:t>
      </w:r>
      <w:r w:rsidRPr="007B0581">
        <w:rPr>
          <w:rFonts w:ascii="Arial" w:hAnsi="Arial" w:cs="Arial"/>
          <w:sz w:val="24"/>
          <w:szCs w:val="24"/>
        </w:rPr>
        <w:t>La personalidad jurídica de las partes quedó acreditada en autos, en virtud que</w:t>
      </w:r>
      <w:r>
        <w:rPr>
          <w:rFonts w:ascii="Arial" w:hAnsi="Arial" w:cs="Arial"/>
          <w:sz w:val="24"/>
          <w:szCs w:val="24"/>
        </w:rPr>
        <w:t xml:space="preserve"> el actor</w:t>
      </w:r>
      <w:r w:rsidRPr="007B0581">
        <w:rPr>
          <w:rFonts w:ascii="Arial" w:hAnsi="Arial" w:cs="Arial"/>
          <w:sz w:val="24"/>
          <w:szCs w:val="24"/>
        </w:rPr>
        <w:t xml:space="preserve"> </w:t>
      </w:r>
      <w:r>
        <w:rPr>
          <w:rFonts w:ascii="Arial" w:hAnsi="Arial" w:cs="Arial"/>
          <w:sz w:val="24"/>
          <w:szCs w:val="24"/>
        </w:rPr>
        <w:t xml:space="preserve">promueve por su propio derecho </w:t>
      </w:r>
      <w:r w:rsidRPr="007B0581">
        <w:rPr>
          <w:rFonts w:ascii="Arial" w:hAnsi="Arial" w:cs="Arial"/>
          <w:sz w:val="24"/>
          <w:szCs w:val="24"/>
        </w:rPr>
        <w:t>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EF405B" w:rsidRPr="007B0581" w:rsidRDefault="00EF405B" w:rsidP="00EF405B">
      <w:pPr>
        <w:spacing w:line="360" w:lineRule="auto"/>
        <w:ind w:right="51" w:firstLine="709"/>
        <w:jc w:val="both"/>
        <w:rPr>
          <w:rFonts w:ascii="Arial" w:hAnsi="Arial" w:cs="Arial"/>
          <w:sz w:val="24"/>
          <w:szCs w:val="24"/>
        </w:rPr>
      </w:pPr>
    </w:p>
    <w:p w:rsidR="00EF405B" w:rsidRPr="007B0581" w:rsidRDefault="00EF405B" w:rsidP="00EF405B">
      <w:pPr>
        <w:pStyle w:val="corte4fondo"/>
        <w:ind w:right="51" w:firstLine="567"/>
        <w:rPr>
          <w:rFonts w:cs="Arial"/>
          <w:sz w:val="24"/>
          <w:szCs w:val="24"/>
        </w:rPr>
      </w:pPr>
      <w:r w:rsidRPr="00E45598">
        <w:rPr>
          <w:rFonts w:cs="Arial"/>
          <w:b/>
          <w:sz w:val="24"/>
          <w:szCs w:val="24"/>
        </w:rPr>
        <w:t>TERCERO</w:t>
      </w:r>
      <w:r w:rsidRPr="00DD419E">
        <w:rPr>
          <w:rFonts w:cs="Arial"/>
          <w:b/>
          <w:sz w:val="24"/>
          <w:szCs w:val="24"/>
        </w:rPr>
        <w:t>.</w:t>
      </w:r>
      <w:r>
        <w:rPr>
          <w:rFonts w:cs="Arial"/>
          <w:b/>
          <w:sz w:val="24"/>
          <w:szCs w:val="24"/>
        </w:rPr>
        <w:t xml:space="preserve"> -</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w:t>
      </w:r>
      <w:r w:rsidRPr="007B0581">
        <w:rPr>
          <w:rFonts w:cs="Arial"/>
          <w:sz w:val="24"/>
          <w:szCs w:val="24"/>
        </w:rPr>
        <w:lastRenderedPageBreak/>
        <w:t>integral de la demanda</w:t>
      </w:r>
      <w:r>
        <w:rPr>
          <w:rFonts w:cs="Arial"/>
          <w:sz w:val="24"/>
          <w:szCs w:val="24"/>
        </w:rPr>
        <w:t>,</w:t>
      </w:r>
      <w:r w:rsidRPr="007B0581">
        <w:rPr>
          <w:rFonts w:cs="Arial"/>
          <w:sz w:val="24"/>
          <w:szCs w:val="24"/>
        </w:rPr>
        <w:t xml:space="preserve"> se advierte que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EF405B" w:rsidRDefault="00EF405B" w:rsidP="00EF405B">
      <w:pPr>
        <w:spacing w:line="360" w:lineRule="auto"/>
        <w:ind w:right="51" w:firstLine="708"/>
        <w:jc w:val="both"/>
        <w:rPr>
          <w:rFonts w:ascii="Arial" w:hAnsi="Arial" w:cs="Arial"/>
          <w:sz w:val="24"/>
          <w:szCs w:val="24"/>
        </w:rPr>
      </w:pPr>
    </w:p>
    <w:p w:rsidR="00EF405B" w:rsidRDefault="00EF405B" w:rsidP="00EF405B">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w:t>
      </w:r>
      <w:r>
        <w:rPr>
          <w:rFonts w:ascii="Arial" w:hAnsi="Arial" w:cs="Arial"/>
          <w:bCs/>
          <w:sz w:val="24"/>
          <w:szCs w:val="24"/>
        </w:rPr>
        <w:t xml:space="preserve"> </w:t>
      </w:r>
      <w:r w:rsidRPr="007B0581">
        <w:rPr>
          <w:rFonts w:ascii="Arial" w:hAnsi="Arial" w:cs="Arial"/>
          <w:bCs/>
          <w:sz w:val="24"/>
          <w:szCs w:val="24"/>
        </w:rPr>
        <w:t>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EF405B" w:rsidRPr="007B0581" w:rsidRDefault="00EF405B" w:rsidP="00EF405B">
      <w:pPr>
        <w:spacing w:line="360" w:lineRule="auto"/>
        <w:ind w:firstLine="708"/>
        <w:jc w:val="both"/>
        <w:rPr>
          <w:rFonts w:ascii="Arial" w:hAnsi="Arial" w:cs="Arial"/>
          <w:sz w:val="24"/>
          <w:szCs w:val="24"/>
        </w:rPr>
      </w:pPr>
    </w:p>
    <w:p w:rsidR="00EF405B" w:rsidRDefault="00EF405B" w:rsidP="00EF405B">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w:t>
      </w:r>
      <w:bookmarkStart w:id="2" w:name="_GoBack"/>
      <w:bookmarkEnd w:id="2"/>
      <w:r w:rsidRPr="007B0581">
        <w:rPr>
          <w:rFonts w:ascii="Arial" w:hAnsi="Arial" w:cs="Arial"/>
          <w:sz w:val="24"/>
          <w:szCs w:val="24"/>
          <w:lang w:eastAsia="es-MX"/>
        </w:rPr>
        <w:t xml:space="preser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EF405B" w:rsidRDefault="00EF405B" w:rsidP="00EF405B">
      <w:pPr>
        <w:pStyle w:val="Textonotapie"/>
        <w:widowControl w:val="0"/>
        <w:spacing w:line="360" w:lineRule="auto"/>
        <w:ind w:firstLine="708"/>
        <w:jc w:val="both"/>
        <w:rPr>
          <w:rFonts w:ascii="Arial" w:hAnsi="Arial" w:cs="Arial"/>
          <w:sz w:val="24"/>
          <w:szCs w:val="24"/>
          <w:lang w:eastAsia="es-MX"/>
        </w:rPr>
      </w:pPr>
    </w:p>
    <w:p w:rsidR="00EF405B" w:rsidRDefault="00EF405B" w:rsidP="00EF405B">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EF405B" w:rsidRDefault="00EF405B" w:rsidP="00EF405B">
      <w:pPr>
        <w:pStyle w:val="Textonotapie"/>
        <w:widowControl w:val="0"/>
        <w:spacing w:line="360" w:lineRule="auto"/>
        <w:ind w:left="1701" w:right="1469"/>
        <w:jc w:val="both"/>
        <w:rPr>
          <w:rFonts w:ascii="Arial" w:hAnsi="Arial" w:cs="Arial"/>
          <w:b/>
          <w:sz w:val="24"/>
          <w:szCs w:val="24"/>
          <w:lang w:eastAsia="es-MX"/>
        </w:rPr>
      </w:pPr>
    </w:p>
    <w:p w:rsidR="00EF405B" w:rsidRDefault="00EF405B" w:rsidP="00EF405B">
      <w:pPr>
        <w:spacing w:line="360" w:lineRule="auto"/>
        <w:ind w:firstLine="709"/>
        <w:contextualSpacing/>
        <w:jc w:val="both"/>
        <w:rPr>
          <w:rFonts w:ascii="Arial" w:hAnsi="Arial" w:cs="Arial"/>
          <w:sz w:val="24"/>
          <w:szCs w:val="24"/>
        </w:rPr>
      </w:pPr>
      <w:r>
        <w:rPr>
          <w:rFonts w:ascii="Arial" w:hAnsi="Arial" w:cs="Arial"/>
          <w:bCs/>
          <w:sz w:val="24"/>
          <w:szCs w:val="24"/>
          <w:lang w:val="es-MX"/>
        </w:rPr>
        <w:t>El</w:t>
      </w:r>
      <w:r w:rsidRPr="00013C7C">
        <w:rPr>
          <w:rFonts w:ascii="Arial" w:hAnsi="Arial" w:cs="Arial"/>
          <w:bCs/>
          <w:sz w:val="24"/>
          <w:szCs w:val="24"/>
          <w:lang w:val="es-MX"/>
        </w:rPr>
        <w:t xml:space="preserve"> actor</w:t>
      </w:r>
      <w:r w:rsidRPr="00850D23">
        <w:rPr>
          <w:rFonts w:ascii="Arial" w:hAnsi="Arial" w:cs="Arial"/>
          <w:bCs/>
          <w:sz w:val="24"/>
          <w:szCs w:val="24"/>
          <w:lang w:val="es-MX"/>
        </w:rPr>
        <w:t xml:space="preserve"> </w:t>
      </w:r>
      <w:r>
        <w:rPr>
          <w:rFonts w:cs="Arial"/>
          <w:b/>
          <w:sz w:val="24"/>
          <w:szCs w:val="24"/>
        </w:rPr>
        <w:t>**********</w:t>
      </w:r>
      <w:r w:rsidRPr="00221CFA">
        <w:rPr>
          <w:rFonts w:ascii="Arial" w:hAnsi="Arial" w:cs="Arial"/>
          <w:bCs/>
          <w:sz w:val="24"/>
          <w:szCs w:val="24"/>
        </w:rPr>
        <w:t>,</w:t>
      </w:r>
      <w:r w:rsidRPr="00D737F7">
        <w:rPr>
          <w:rFonts w:ascii="Arial" w:hAnsi="Arial" w:cs="Arial"/>
          <w:b/>
          <w:sz w:val="24"/>
          <w:szCs w:val="24"/>
        </w:rPr>
        <w:t xml:space="preserve"> </w:t>
      </w:r>
      <w:bookmarkStart w:id="3" w:name="_Hlk90293366"/>
      <w:r w:rsidRPr="00850D23">
        <w:rPr>
          <w:rFonts w:ascii="Arial" w:hAnsi="Arial" w:cs="Arial"/>
          <w:sz w:val="24"/>
          <w:szCs w:val="24"/>
        </w:rPr>
        <w:t>demandó la nulidad</w:t>
      </w:r>
      <w:r>
        <w:rPr>
          <w:rFonts w:ascii="Arial" w:hAnsi="Arial" w:cs="Arial"/>
          <w:sz w:val="24"/>
          <w:szCs w:val="24"/>
        </w:rPr>
        <w:t xml:space="preserve"> en contra </w:t>
      </w:r>
      <w:r w:rsidRPr="007B0581">
        <w:rPr>
          <w:rFonts w:ascii="Arial" w:hAnsi="Arial" w:cs="Arial"/>
          <w:sz w:val="24"/>
          <w:szCs w:val="24"/>
        </w:rPr>
        <w:t>de</w:t>
      </w:r>
      <w:r>
        <w:rPr>
          <w:rFonts w:ascii="Arial" w:hAnsi="Arial" w:cs="Arial"/>
          <w:sz w:val="24"/>
          <w:szCs w:val="24"/>
        </w:rPr>
        <w:t xml:space="preserve"> la respuesta otorgada vía correo electrónico el día seis de abril de dos mil diecinueve, aparentemente por el Municipio de Santa María </w:t>
      </w:r>
      <w:proofErr w:type="spellStart"/>
      <w:r>
        <w:rPr>
          <w:rFonts w:ascii="Arial" w:hAnsi="Arial" w:cs="Arial"/>
          <w:sz w:val="24"/>
          <w:szCs w:val="24"/>
        </w:rPr>
        <w:t>Tlahuitoltepec</w:t>
      </w:r>
      <w:proofErr w:type="spellEnd"/>
      <w:r>
        <w:rPr>
          <w:rFonts w:ascii="Arial" w:hAnsi="Arial" w:cs="Arial"/>
          <w:sz w:val="24"/>
          <w:szCs w:val="24"/>
        </w:rPr>
        <w:t xml:space="preserve">, Mixe, Oaxaca, por considerar </w:t>
      </w:r>
      <w:r w:rsidRPr="003E7AE8">
        <w:rPr>
          <w:rFonts w:ascii="Arial" w:hAnsi="Arial" w:cs="Arial"/>
          <w:sz w:val="24"/>
          <w:szCs w:val="24"/>
        </w:rPr>
        <w:t>que</w:t>
      </w:r>
      <w:r>
        <w:rPr>
          <w:rFonts w:ascii="Arial" w:hAnsi="Arial" w:cs="Arial"/>
          <w:sz w:val="24"/>
          <w:szCs w:val="24"/>
        </w:rPr>
        <w:t xml:space="preserve"> no cumplió con los requisitos de validez exigidos por el artículo 17 de la ley de Procedimiento y Justicia Administrativa para el Estado de Oaxaca.</w:t>
      </w:r>
    </w:p>
    <w:p w:rsidR="00EF405B" w:rsidRDefault="00EF405B" w:rsidP="00EF405B">
      <w:pPr>
        <w:spacing w:line="360" w:lineRule="auto"/>
        <w:ind w:firstLine="709"/>
        <w:contextualSpacing/>
        <w:jc w:val="both"/>
        <w:rPr>
          <w:rFonts w:ascii="Arial" w:hAnsi="Arial" w:cs="Arial"/>
          <w:sz w:val="24"/>
          <w:szCs w:val="24"/>
        </w:rPr>
      </w:pPr>
    </w:p>
    <w:p w:rsidR="00EF405B" w:rsidRDefault="00EF405B" w:rsidP="00EF405B">
      <w:pPr>
        <w:spacing w:line="360" w:lineRule="auto"/>
        <w:ind w:firstLine="709"/>
        <w:contextualSpacing/>
        <w:jc w:val="both"/>
        <w:rPr>
          <w:rFonts w:ascii="Arial" w:hAnsi="Arial" w:cs="Arial"/>
          <w:sz w:val="24"/>
          <w:szCs w:val="24"/>
        </w:rPr>
      </w:pPr>
      <w:r w:rsidRPr="003E7AE8">
        <w:rPr>
          <w:rFonts w:ascii="Arial" w:hAnsi="Arial" w:cs="Arial"/>
          <w:sz w:val="24"/>
          <w:szCs w:val="24"/>
        </w:rPr>
        <w:t>Por</w:t>
      </w:r>
      <w:r>
        <w:rPr>
          <w:rFonts w:ascii="Arial" w:hAnsi="Arial" w:cs="Arial"/>
          <w:sz w:val="24"/>
          <w:szCs w:val="24"/>
        </w:rPr>
        <w:t xml:space="preserve"> cuanto hace a la autoridad demandada, se le tuvo por precluído su derecho y contestando la demanda en sentido afirmativo, salvo prueba en contrario, en virtud que su contestación de demanda la realizó de manera extemporánea.  </w:t>
      </w:r>
    </w:p>
    <w:p w:rsidR="00EF405B" w:rsidRDefault="00EF405B" w:rsidP="00EF405B">
      <w:pPr>
        <w:spacing w:line="360" w:lineRule="auto"/>
        <w:ind w:firstLine="709"/>
        <w:contextualSpacing/>
        <w:jc w:val="both"/>
        <w:rPr>
          <w:rFonts w:ascii="Arial" w:hAnsi="Arial" w:cs="Arial"/>
          <w:sz w:val="24"/>
          <w:szCs w:val="24"/>
        </w:rPr>
      </w:pPr>
    </w:p>
    <w:bookmarkEnd w:id="3"/>
    <w:p w:rsidR="00EF405B" w:rsidRDefault="00EF405B" w:rsidP="00EF405B">
      <w:pPr>
        <w:spacing w:line="360" w:lineRule="auto"/>
        <w:ind w:firstLine="708"/>
        <w:jc w:val="both"/>
        <w:rPr>
          <w:rFonts w:ascii="Arial" w:hAnsi="Arial" w:cs="Arial"/>
          <w:sz w:val="24"/>
          <w:szCs w:val="24"/>
        </w:rPr>
      </w:pPr>
      <w:r w:rsidRPr="00A626D2">
        <w:rPr>
          <w:rFonts w:ascii="Arial" w:hAnsi="Arial" w:cs="Arial"/>
          <w:sz w:val="24"/>
          <w:szCs w:val="24"/>
        </w:rPr>
        <w:t>Ahora bien</w:t>
      </w:r>
      <w:r w:rsidRPr="007B0581">
        <w:rPr>
          <w:rFonts w:ascii="Arial" w:hAnsi="Arial" w:cs="Arial"/>
          <w:sz w:val="24"/>
          <w:szCs w:val="24"/>
        </w:rPr>
        <w:t>,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 </w:t>
      </w:r>
      <w:r>
        <w:rPr>
          <w:rFonts w:ascii="Arial" w:hAnsi="Arial" w:cs="Arial"/>
          <w:sz w:val="24"/>
          <w:szCs w:val="24"/>
        </w:rPr>
        <w:t xml:space="preserve">la respuesta otorgada vía correo electrónico el día seis de abril de dos mil diecinueve, aparentemente por el Municipio de Santa María </w:t>
      </w:r>
      <w:proofErr w:type="spellStart"/>
      <w:r>
        <w:rPr>
          <w:rFonts w:ascii="Arial" w:hAnsi="Arial" w:cs="Arial"/>
          <w:sz w:val="24"/>
          <w:szCs w:val="24"/>
        </w:rPr>
        <w:t>Tlahuitoltepec</w:t>
      </w:r>
      <w:proofErr w:type="spellEnd"/>
      <w:r>
        <w:rPr>
          <w:rFonts w:ascii="Arial" w:hAnsi="Arial" w:cs="Arial"/>
          <w:sz w:val="24"/>
          <w:szCs w:val="24"/>
        </w:rPr>
        <w:t>, Mixe, Oaxaca,</w:t>
      </w:r>
      <w:r w:rsidRPr="00812150">
        <w:rPr>
          <w:rFonts w:ascii="Arial" w:hAnsi="Arial" w:cs="Arial"/>
          <w:sz w:val="24"/>
          <w:szCs w:val="24"/>
        </w:rPr>
        <w:t xml:space="preserve"> </w:t>
      </w:r>
      <w:r w:rsidRPr="00A8308C">
        <w:rPr>
          <w:rFonts w:ascii="Arial" w:hAnsi="Arial" w:cs="Arial"/>
          <w:sz w:val="24"/>
          <w:szCs w:val="24"/>
        </w:rPr>
        <w:t>advierte que</w:t>
      </w:r>
      <w:r>
        <w:rPr>
          <w:rFonts w:ascii="Arial" w:hAnsi="Arial" w:cs="Arial"/>
          <w:sz w:val="24"/>
          <w:szCs w:val="24"/>
        </w:rPr>
        <w:t>, es</w:t>
      </w:r>
      <w:r w:rsidRPr="00761CFF">
        <w:rPr>
          <w:rFonts w:ascii="Arial" w:hAnsi="Arial" w:cs="Arial"/>
          <w:sz w:val="24"/>
          <w:szCs w:val="24"/>
        </w:rPr>
        <w:t xml:space="preserve"> </w:t>
      </w:r>
      <w:r w:rsidRPr="00761CFF">
        <w:rPr>
          <w:rFonts w:ascii="Arial" w:hAnsi="Arial" w:cs="Arial"/>
          <w:b/>
          <w:sz w:val="24"/>
          <w:szCs w:val="24"/>
        </w:rPr>
        <w:t>fundado</w:t>
      </w:r>
      <w:r w:rsidRPr="00761CFF">
        <w:rPr>
          <w:rFonts w:ascii="Arial" w:hAnsi="Arial" w:cs="Arial"/>
          <w:sz w:val="24"/>
          <w:szCs w:val="24"/>
        </w:rPr>
        <w:t xml:space="preserve"> </w:t>
      </w:r>
      <w:r>
        <w:rPr>
          <w:rFonts w:ascii="Arial" w:hAnsi="Arial" w:cs="Arial"/>
          <w:sz w:val="24"/>
          <w:szCs w:val="24"/>
        </w:rPr>
        <w:t>el</w:t>
      </w:r>
      <w:r w:rsidRPr="00761CFF">
        <w:rPr>
          <w:rFonts w:ascii="Arial" w:hAnsi="Arial" w:cs="Arial"/>
          <w:sz w:val="24"/>
          <w:szCs w:val="24"/>
        </w:rPr>
        <w:t xml:space="preserve"> concepto de impugnación hechos valer por </w:t>
      </w:r>
      <w:r>
        <w:rPr>
          <w:rFonts w:ascii="Arial" w:hAnsi="Arial" w:cs="Arial"/>
          <w:sz w:val="24"/>
          <w:szCs w:val="24"/>
        </w:rPr>
        <w:t>el</w:t>
      </w:r>
      <w:r w:rsidRPr="00761CFF">
        <w:rPr>
          <w:rFonts w:ascii="Arial" w:hAnsi="Arial" w:cs="Arial"/>
          <w:sz w:val="24"/>
          <w:szCs w:val="24"/>
        </w:rPr>
        <w:t xml:space="preserve"> actor</w:t>
      </w:r>
      <w:r>
        <w:rPr>
          <w:rFonts w:ascii="Arial" w:hAnsi="Arial" w:cs="Arial"/>
          <w:sz w:val="24"/>
          <w:szCs w:val="24"/>
        </w:rPr>
        <w:t xml:space="preserve"> en su escrito de demanda</w:t>
      </w:r>
      <w:r w:rsidRPr="00761CFF">
        <w:rPr>
          <w:rFonts w:ascii="Arial" w:hAnsi="Arial" w:cs="Arial"/>
          <w:sz w:val="24"/>
          <w:szCs w:val="24"/>
        </w:rPr>
        <w:t>. Se dice lo anterior, en virtud que</w:t>
      </w:r>
      <w:r>
        <w:rPr>
          <w:rFonts w:ascii="Arial" w:hAnsi="Arial" w:cs="Arial"/>
          <w:sz w:val="24"/>
          <w:szCs w:val="24"/>
        </w:rPr>
        <w:t xml:space="preserve"> el acto impugnado no reúne los elementos y requisitos de validez del acto administrativo, de conformidad con el artículo 17 de la Ley de Procedimiento y Justicia Administrativa para el Estado de Oaxaca, que para mayor ilustración se transcribe:</w:t>
      </w:r>
    </w:p>
    <w:p w:rsidR="00EF405B" w:rsidRDefault="00EF405B" w:rsidP="00EF405B">
      <w:pPr>
        <w:spacing w:line="360" w:lineRule="auto"/>
        <w:ind w:firstLine="708"/>
        <w:jc w:val="both"/>
        <w:rPr>
          <w:rFonts w:ascii="Arial" w:hAnsi="Arial" w:cs="Arial"/>
          <w:sz w:val="24"/>
          <w:szCs w:val="24"/>
        </w:rPr>
      </w:pP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“ARTÍCULO 17.- Son elementos y requisitos de validez del acto administrativo:</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I. Ser expedido por órgano competente, a través de servidor público, y en caso de que dicho órgano fuere colegiado, reúna las formalidades de la ley o decreto en que se funde para emitirlo;</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II. Que el objeto materia del mismo, sea determinado o determinable; preciso en cuanto a las circunstancias de tiempo y lugar, y previsto por la ley;</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III. Cumplir con la finalidad de interés público, regulado por las normas en que se concreta, sin que puedan perseguirse otros fines distintos;</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IV. Constar por escrito y con la firma autógrafa de la autoridad que lo expida, salvo en aquellos casos en que la ley autorice otra forma de expedición o se trate de negativa ficta;</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V. Estar fundado y motivado;</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VI. Ser expedido sujetándose a las disposiciones relativas al procedimiento administrativo previstas en esta Ley;</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VII. Ser expedido sin que medie error sobre el objeto, causa o motivo, o sobre el fin del acto;</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VIII. Ser expedido sin que medie dolo o violencia en su emisión;</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IX. Mencionar el órgano del cual emana;</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X. Ser expedido sin que medie error respecto a la referencia específica de identificación del expediente, documentos o nombre completo de las personas;</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XI. Ser expedido señalando lugar y fecha de emisión;</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XII. Tratándose de actos administrativos que deban notificarse, deberá hacerse mención de la oficina en donde se encuentra y pueda ser consultado el expediente respectivo;</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XIII. Tratándose de actos administrativos recurribles deberá hacerse mención de los recursos que procedan y el plazo de interposición de los mismos;</w:t>
      </w:r>
    </w:p>
    <w:p w:rsidR="00EF405B" w:rsidRPr="00F06032" w:rsidRDefault="00EF405B" w:rsidP="00EF405B">
      <w:pPr>
        <w:spacing w:line="360" w:lineRule="auto"/>
        <w:ind w:firstLine="708"/>
        <w:jc w:val="both"/>
        <w:rPr>
          <w:rFonts w:ascii="Arial" w:hAnsi="Arial" w:cs="Arial"/>
          <w:i/>
          <w:iCs/>
          <w:sz w:val="24"/>
          <w:szCs w:val="24"/>
        </w:rPr>
      </w:pPr>
      <w:r w:rsidRPr="00F06032">
        <w:rPr>
          <w:rFonts w:ascii="Arial" w:hAnsi="Arial" w:cs="Arial"/>
          <w:i/>
          <w:iCs/>
          <w:sz w:val="24"/>
          <w:szCs w:val="24"/>
        </w:rPr>
        <w:t>XIV. Ser expedido mencionando expresamente todos los puntos propuestos por las partes o establecidos por la ley; y</w:t>
      </w:r>
    </w:p>
    <w:p w:rsidR="00EF405B" w:rsidRPr="000B6BF7" w:rsidRDefault="00EF405B" w:rsidP="00EF405B">
      <w:pPr>
        <w:spacing w:line="360" w:lineRule="auto"/>
        <w:ind w:firstLine="709"/>
        <w:contextualSpacing/>
        <w:jc w:val="both"/>
        <w:rPr>
          <w:rFonts w:ascii="Arial" w:hAnsi="Arial" w:cs="Arial"/>
          <w:i/>
          <w:sz w:val="24"/>
          <w:szCs w:val="24"/>
        </w:rPr>
      </w:pPr>
      <w:r w:rsidRPr="00F06032">
        <w:rPr>
          <w:rFonts w:ascii="Arial" w:hAnsi="Arial" w:cs="Arial"/>
          <w:i/>
          <w:iCs/>
          <w:sz w:val="24"/>
          <w:szCs w:val="24"/>
        </w:rPr>
        <w:t>XV. Los demás requisitos y elementos específicos que exijan las leyes o reglamentos aplicables al acto”</w:t>
      </w:r>
      <w:r w:rsidRPr="00FE6BDB">
        <w:rPr>
          <w:rFonts w:ascii="Arial" w:hAnsi="Arial" w:cs="Arial"/>
          <w:sz w:val="24"/>
          <w:szCs w:val="24"/>
        </w:rPr>
        <w:t>.</w:t>
      </w:r>
      <w:r>
        <w:rPr>
          <w:rFonts w:ascii="Arial" w:hAnsi="Arial" w:cs="Arial"/>
          <w:sz w:val="24"/>
          <w:szCs w:val="24"/>
        </w:rPr>
        <w:t xml:space="preserve"> Esto es, entre otras cosas no c</w:t>
      </w:r>
      <w:r w:rsidRPr="00C41D28">
        <w:rPr>
          <w:rFonts w:ascii="Arial" w:hAnsi="Arial" w:cs="Arial"/>
          <w:sz w:val="24"/>
          <w:szCs w:val="24"/>
        </w:rPr>
        <w:t>onsta por escrito</w:t>
      </w:r>
      <w:r>
        <w:rPr>
          <w:rFonts w:ascii="Arial" w:hAnsi="Arial" w:cs="Arial"/>
          <w:sz w:val="24"/>
          <w:szCs w:val="24"/>
        </w:rPr>
        <w:t>,</w:t>
      </w:r>
      <w:r w:rsidRPr="00C41D28">
        <w:rPr>
          <w:rFonts w:ascii="Arial" w:hAnsi="Arial" w:cs="Arial"/>
          <w:sz w:val="24"/>
          <w:szCs w:val="24"/>
        </w:rPr>
        <w:t xml:space="preserve"> con firma autógrafa de la autoridad que lo </w:t>
      </w:r>
      <w:r>
        <w:rPr>
          <w:rFonts w:ascii="Arial" w:hAnsi="Arial" w:cs="Arial"/>
          <w:sz w:val="24"/>
          <w:szCs w:val="24"/>
        </w:rPr>
        <w:t>expidió</w:t>
      </w:r>
      <w:r w:rsidRPr="00C41D28">
        <w:rPr>
          <w:rFonts w:ascii="Arial" w:hAnsi="Arial" w:cs="Arial"/>
          <w:sz w:val="24"/>
          <w:szCs w:val="24"/>
        </w:rPr>
        <w:t>,</w:t>
      </w:r>
      <w:r>
        <w:rPr>
          <w:rFonts w:ascii="Arial" w:hAnsi="Arial" w:cs="Arial"/>
          <w:sz w:val="24"/>
          <w:szCs w:val="24"/>
        </w:rPr>
        <w:t xml:space="preserve"> asimismo, que fuera expedido por órgano competente, a través de servidor público, esto es así, en virtud que </w:t>
      </w:r>
      <w:proofErr w:type="spellStart"/>
      <w:r>
        <w:rPr>
          <w:rFonts w:ascii="Arial" w:hAnsi="Arial" w:cs="Arial"/>
          <w:sz w:val="24"/>
          <w:szCs w:val="24"/>
        </w:rPr>
        <w:t>de</w:t>
      </w:r>
      <w:proofErr w:type="spellEnd"/>
      <w:r>
        <w:rPr>
          <w:rFonts w:ascii="Arial" w:hAnsi="Arial" w:cs="Arial"/>
          <w:sz w:val="24"/>
          <w:szCs w:val="24"/>
        </w:rPr>
        <w:t xml:space="preserve"> la impresión del correo electrónico que obra en autos a foja 18, se advierte que únicamente se hizo del conocimiento al administrado que su trámite que realizó para darse de alta al padrón de contratistas del Municipio de Santa María </w:t>
      </w:r>
      <w:proofErr w:type="spellStart"/>
      <w:r>
        <w:rPr>
          <w:rFonts w:ascii="Arial" w:hAnsi="Arial" w:cs="Arial"/>
          <w:sz w:val="24"/>
          <w:szCs w:val="24"/>
        </w:rPr>
        <w:t>Tlahuitoltepec</w:t>
      </w:r>
      <w:proofErr w:type="spellEnd"/>
      <w:r>
        <w:rPr>
          <w:rFonts w:ascii="Arial" w:hAnsi="Arial" w:cs="Arial"/>
          <w:sz w:val="24"/>
          <w:szCs w:val="24"/>
        </w:rPr>
        <w:t xml:space="preserve">, Mixe, Oaxaca, le fue descartada pero no se observa documento adjunto en el que obre la determinación que se haya dictado y que ésta fuera emitida por la autoridad </w:t>
      </w:r>
      <w:r>
        <w:rPr>
          <w:rFonts w:ascii="Arial" w:hAnsi="Arial" w:cs="Arial"/>
          <w:sz w:val="24"/>
          <w:szCs w:val="24"/>
        </w:rPr>
        <w:lastRenderedPageBreak/>
        <w:t xml:space="preserve">competente y debidamente fundada y motivada, </w:t>
      </w:r>
      <w:r w:rsidRPr="00AC0F2C">
        <w:rPr>
          <w:rFonts w:ascii="Arial" w:hAnsi="Arial" w:cs="Arial"/>
          <w:sz w:val="24"/>
          <w:szCs w:val="24"/>
        </w:rPr>
        <w:t>pues</w:t>
      </w:r>
      <w:r>
        <w:rPr>
          <w:rFonts w:ascii="Arial" w:hAnsi="Arial" w:cs="Arial"/>
          <w:sz w:val="24"/>
          <w:szCs w:val="24"/>
        </w:rPr>
        <w:t xml:space="preserve"> se infiere que quien emitió la determinación fue el Presidente Municipal de Santa María </w:t>
      </w:r>
      <w:proofErr w:type="spellStart"/>
      <w:r>
        <w:rPr>
          <w:rFonts w:ascii="Arial" w:hAnsi="Arial" w:cs="Arial"/>
          <w:sz w:val="24"/>
          <w:szCs w:val="24"/>
        </w:rPr>
        <w:t>Tlahuitoltepec</w:t>
      </w:r>
      <w:proofErr w:type="spellEnd"/>
      <w:r>
        <w:rPr>
          <w:rFonts w:ascii="Arial" w:hAnsi="Arial" w:cs="Arial"/>
          <w:sz w:val="24"/>
          <w:szCs w:val="24"/>
        </w:rPr>
        <w:t xml:space="preserve">, Mixe, Oaxaca, dado que el escrito de solicitud de inscripción al padrón de contratistas del citado municipio, fue dirigido a dicho Presidente Municipal, como se advierte a foja 13 de los presentes autos, aunado a lo anterior,  en la respuesta realizada mediante correo electrónico tampoco se plasma fundamento legal alguno que permita realizarlas por ese medio, por lo que se le </w:t>
      </w:r>
      <w:r>
        <w:rPr>
          <w:rFonts w:ascii="Arial" w:hAnsi="Arial" w:cs="Arial"/>
          <w:bCs/>
          <w:sz w:val="24"/>
          <w:szCs w:val="24"/>
        </w:rPr>
        <w:t xml:space="preserve">dejó en estado de indefensión al administrado al incumplir la autoridad con </w:t>
      </w:r>
      <w:r w:rsidRPr="00BA4D48">
        <w:rPr>
          <w:rFonts w:ascii="Arial" w:hAnsi="Arial" w:cs="Arial"/>
          <w:bCs/>
          <w:sz w:val="24"/>
          <w:szCs w:val="24"/>
        </w:rPr>
        <w:t>l</w:t>
      </w:r>
      <w:r>
        <w:rPr>
          <w:rFonts w:ascii="Arial" w:hAnsi="Arial" w:cs="Arial"/>
          <w:bCs/>
          <w:sz w:val="24"/>
          <w:szCs w:val="24"/>
        </w:rPr>
        <w:t xml:space="preserve">os elementos y requisitos de validez del acto administrativo que le  impone el artículo 17, de la Ley de Procedimiento y Justicia Administrativa para el Estado de Oaxaca. </w:t>
      </w:r>
      <w:r w:rsidRPr="006B3008">
        <w:rPr>
          <w:rFonts w:ascii="Arial" w:hAnsi="Arial" w:cs="Arial"/>
          <w:sz w:val="24"/>
          <w:szCs w:val="24"/>
        </w:rPr>
        <w:t>Sirve</w:t>
      </w:r>
      <w:r w:rsidRPr="000B6BF7">
        <w:rPr>
          <w:rFonts w:ascii="Arial" w:hAnsi="Arial" w:cs="Arial"/>
          <w:sz w:val="24"/>
          <w:szCs w:val="24"/>
        </w:rPr>
        <w:t xml:space="preserve"> de sustento la siguiente Jurisprudencia VI. 2o. J/248v, de la Octava Época, emitida por los Tribunales Colegiados de Circuito, publicada en la Gaceta del Semanario Judicial de la Federación, número 64, abril de 1993, página 43,</w:t>
      </w:r>
      <w:r>
        <w:rPr>
          <w:rFonts w:ascii="Arial" w:hAnsi="Arial" w:cs="Arial"/>
          <w:sz w:val="24"/>
          <w:szCs w:val="24"/>
        </w:rPr>
        <w:t xml:space="preserve"> con número de registro 216534,</w:t>
      </w:r>
      <w:r w:rsidRPr="000B6BF7">
        <w:rPr>
          <w:rFonts w:ascii="Arial" w:hAnsi="Arial" w:cs="Arial"/>
          <w:sz w:val="24"/>
          <w:szCs w:val="24"/>
        </w:rPr>
        <w:t xml:space="preserve"> que al rubro dice: </w:t>
      </w:r>
      <w:r>
        <w:rPr>
          <w:rFonts w:ascii="Arial" w:hAnsi="Arial" w:cs="Arial"/>
          <w:sz w:val="24"/>
          <w:szCs w:val="24"/>
        </w:rPr>
        <w:t>“</w:t>
      </w:r>
      <w:r w:rsidRPr="000B6BF7">
        <w:rPr>
          <w:rFonts w:ascii="Arial" w:hAnsi="Arial" w:cs="Arial"/>
          <w:i/>
          <w:sz w:val="24"/>
          <w:szCs w:val="24"/>
        </w:rPr>
        <w:t>FUNDAMENTACION Y MOTIVACION DE LOS ACTOS ADMINISTRATIVOS.</w:t>
      </w:r>
      <w:r>
        <w:rPr>
          <w:rFonts w:ascii="Arial" w:hAnsi="Arial" w:cs="Arial"/>
          <w:i/>
          <w:sz w:val="24"/>
          <w:szCs w:val="24"/>
        </w:rPr>
        <w:t>”</w:t>
      </w:r>
    </w:p>
    <w:p w:rsidR="00EF405B" w:rsidRDefault="00EF405B" w:rsidP="00EF405B">
      <w:pPr>
        <w:spacing w:line="360" w:lineRule="auto"/>
        <w:ind w:firstLine="708"/>
        <w:jc w:val="both"/>
        <w:rPr>
          <w:rFonts w:ascii="Arial" w:hAnsi="Arial" w:cs="Arial"/>
          <w:sz w:val="24"/>
          <w:szCs w:val="24"/>
        </w:rPr>
      </w:pPr>
    </w:p>
    <w:p w:rsidR="00EF405B" w:rsidRDefault="00EF405B" w:rsidP="00EF405B">
      <w:pPr>
        <w:spacing w:line="360" w:lineRule="auto"/>
        <w:ind w:firstLine="708"/>
        <w:jc w:val="both"/>
        <w:rPr>
          <w:rFonts w:ascii="Calibri" w:hAnsi="Calibri" w:cs="Calibri"/>
          <w:color w:val="212529"/>
          <w:sz w:val="26"/>
          <w:szCs w:val="26"/>
        </w:rPr>
      </w:pPr>
      <w:r>
        <w:rPr>
          <w:rFonts w:ascii="Arial" w:hAnsi="Arial" w:cs="Arial"/>
          <w:sz w:val="24"/>
          <w:szCs w:val="24"/>
        </w:rPr>
        <w:t xml:space="preserve">Por cuanto hace a las pruebas mencionadas y ofrecidas por el Síndico Municipal del Honorable Ayuntamiento Constitucional del Municipio de Santa María </w:t>
      </w:r>
      <w:proofErr w:type="spellStart"/>
      <w:r>
        <w:rPr>
          <w:rFonts w:ascii="Arial" w:hAnsi="Arial" w:cs="Arial"/>
          <w:sz w:val="24"/>
          <w:szCs w:val="24"/>
        </w:rPr>
        <w:t>Tlahuitoltepec</w:t>
      </w:r>
      <w:proofErr w:type="spellEnd"/>
      <w:r>
        <w:rPr>
          <w:rFonts w:ascii="Arial" w:hAnsi="Arial" w:cs="Arial"/>
          <w:sz w:val="24"/>
          <w:szCs w:val="24"/>
        </w:rPr>
        <w:t xml:space="preserve">, Mixe, Oaxaca, mediante su escrito de alegatos, estas resultan inatendibles e inoperantes en virtud que, si bien es cierto que </w:t>
      </w:r>
      <w:r w:rsidRPr="00A20513">
        <w:rPr>
          <w:rFonts w:ascii="Arial" w:hAnsi="Arial" w:cs="Arial"/>
          <w:color w:val="212529"/>
          <w:sz w:val="24"/>
          <w:szCs w:val="24"/>
        </w:rPr>
        <w:t>los alegatos presentados en tiempo deberán ser considerados al dictar sentencia;</w:t>
      </w:r>
      <w:r>
        <w:rPr>
          <w:rFonts w:ascii="Arial" w:hAnsi="Arial" w:cs="Arial"/>
          <w:color w:val="212529"/>
          <w:sz w:val="24"/>
          <w:szCs w:val="24"/>
        </w:rPr>
        <w:t xml:space="preserve"> también lo es que </w:t>
      </w:r>
      <w:r w:rsidRPr="00A20513">
        <w:rPr>
          <w:rFonts w:ascii="Arial" w:hAnsi="Arial" w:cs="Arial"/>
          <w:color w:val="212529"/>
          <w:sz w:val="24"/>
          <w:szCs w:val="24"/>
        </w:rPr>
        <w:t xml:space="preserve">los alegatos son razonamientos por los cuales se pretende convencer al </w:t>
      </w:r>
      <w:r>
        <w:rPr>
          <w:rFonts w:ascii="Arial" w:hAnsi="Arial" w:cs="Arial"/>
          <w:color w:val="212529"/>
          <w:sz w:val="24"/>
          <w:szCs w:val="24"/>
        </w:rPr>
        <w:t>juzgador</w:t>
      </w:r>
      <w:r w:rsidRPr="00A20513">
        <w:rPr>
          <w:rFonts w:ascii="Arial" w:hAnsi="Arial" w:cs="Arial"/>
          <w:color w:val="212529"/>
          <w:sz w:val="24"/>
          <w:szCs w:val="24"/>
        </w:rPr>
        <w:t xml:space="preserve"> de que se tiene la razón, por un lado; y, por otro, son aquellos razonamientos hechos después de que se han rendido las probanzas y antes de citación para sentencia, en los que esencialmente, quien los formula manifiesta las razones por las que las pruebas aportadas al juicio deben dar convicción al juzgador para decidir en su favor, arguyéndose también las incongruencias de la contraparte. En cualquiera de los dos casos los alegatos se agotan en el hecho de ser una especie de reiteración de lo manifestado dentro del juicio y de que las pruebas que obran en autos abonan a la pretensión propia. Precisamente, por estos motivos es por lo que los alegatos no forman parte de la </w:t>
      </w:r>
      <w:proofErr w:type="spellStart"/>
      <w:r w:rsidRPr="00A20513">
        <w:rPr>
          <w:rFonts w:ascii="Arial" w:hAnsi="Arial" w:cs="Arial"/>
          <w:color w:val="212529"/>
          <w:sz w:val="24"/>
          <w:szCs w:val="24"/>
        </w:rPr>
        <w:t>litis</w:t>
      </w:r>
      <w:proofErr w:type="spellEnd"/>
      <w:r w:rsidRPr="00A20513">
        <w:rPr>
          <w:rFonts w:ascii="Arial" w:hAnsi="Arial" w:cs="Arial"/>
          <w:color w:val="212529"/>
          <w:sz w:val="24"/>
          <w:szCs w:val="24"/>
        </w:rPr>
        <w:t>, en virtud de que no tienen por objeto el aportar argumentos ni pruebas nuevas al juicio, sino tan solo el de reiterar que se tiene la razón y hacerle patente al juzgador que con las pruebas aportadas sí se acredita la propia pretensión</w:t>
      </w:r>
      <w:r>
        <w:rPr>
          <w:rFonts w:ascii="Arial" w:hAnsi="Arial" w:cs="Arial"/>
          <w:color w:val="212529"/>
          <w:sz w:val="24"/>
          <w:szCs w:val="24"/>
        </w:rPr>
        <w:t>,</w:t>
      </w:r>
      <w:r w:rsidRPr="00A20513">
        <w:rPr>
          <w:rFonts w:ascii="Arial" w:hAnsi="Arial" w:cs="Arial"/>
          <w:color w:val="212529"/>
          <w:sz w:val="24"/>
          <w:szCs w:val="24"/>
        </w:rPr>
        <w:t xml:space="preserve"> es decir aquellos razonamientos que tienden a ponderar el valor de las pruebas propias ofrecidas y a impugnar las de la contraparte</w:t>
      </w:r>
      <w:r>
        <w:rPr>
          <w:rFonts w:ascii="Arial" w:hAnsi="Arial" w:cs="Arial"/>
          <w:color w:val="212529"/>
          <w:sz w:val="24"/>
          <w:szCs w:val="24"/>
        </w:rPr>
        <w:t>,</w:t>
      </w:r>
      <w:r w:rsidRPr="00A20513">
        <w:rPr>
          <w:rFonts w:ascii="Arial" w:hAnsi="Arial" w:cs="Arial"/>
          <w:color w:val="212529"/>
          <w:sz w:val="24"/>
          <w:szCs w:val="24"/>
        </w:rPr>
        <w:t xml:space="preserve"> </w:t>
      </w:r>
      <w:r w:rsidRPr="00AA3919">
        <w:rPr>
          <w:rFonts w:ascii="Arial" w:hAnsi="Arial" w:cs="Arial"/>
          <w:color w:val="212529"/>
          <w:sz w:val="24"/>
          <w:szCs w:val="24"/>
        </w:rPr>
        <w:t>tal</w:t>
      </w:r>
      <w:r w:rsidRPr="00A20513">
        <w:rPr>
          <w:rFonts w:ascii="Arial" w:hAnsi="Arial" w:cs="Arial"/>
          <w:color w:val="212529"/>
          <w:sz w:val="24"/>
          <w:szCs w:val="24"/>
        </w:rPr>
        <w:t xml:space="preserve"> a</w:t>
      </w:r>
      <w:r>
        <w:rPr>
          <w:rFonts w:ascii="Arial" w:hAnsi="Arial" w:cs="Arial"/>
          <w:color w:val="212529"/>
          <w:sz w:val="24"/>
          <w:szCs w:val="24"/>
        </w:rPr>
        <w:t>firmación</w:t>
      </w:r>
      <w:r w:rsidRPr="00A20513">
        <w:rPr>
          <w:rFonts w:ascii="Arial" w:hAnsi="Arial" w:cs="Arial"/>
          <w:color w:val="212529"/>
          <w:sz w:val="24"/>
          <w:szCs w:val="24"/>
        </w:rPr>
        <w:t xml:space="preserve"> deriva del hecho de que dichos alegatos se presentarán con posterioridad a la sustanciación del juicio y siempre y cuando no exista cuestión pendiente que impida su resolución, es decir, después que se hayan rendido las pruebas y antes de citación para sentencia. Por lo que en este sentido, debe </w:t>
      </w:r>
      <w:r w:rsidRPr="00A20513">
        <w:rPr>
          <w:rFonts w:ascii="Arial" w:hAnsi="Arial" w:cs="Arial"/>
          <w:color w:val="212529"/>
          <w:sz w:val="24"/>
          <w:szCs w:val="24"/>
        </w:rPr>
        <w:lastRenderedPageBreak/>
        <w:t>concluirse que los alegatos deben contener los razonamientos por los cuales cada una de las partes estima que con sus pruebas se abona a la propia pretensión, mientras que las de la contraparte se impugnan en su valor probatorio</w:t>
      </w:r>
      <w:r>
        <w:rPr>
          <w:rFonts w:ascii="Arial" w:hAnsi="Arial" w:cs="Arial"/>
          <w:color w:val="212529"/>
          <w:sz w:val="24"/>
          <w:szCs w:val="24"/>
        </w:rPr>
        <w:t>; c</w:t>
      </w:r>
      <w:r w:rsidRPr="00A20513">
        <w:rPr>
          <w:rFonts w:ascii="Arial" w:hAnsi="Arial" w:cs="Arial"/>
          <w:color w:val="212529"/>
          <w:sz w:val="24"/>
          <w:szCs w:val="24"/>
        </w:rPr>
        <w:t xml:space="preserve">uestión que excluye la consideración de los alegatos en cuanto que señalen nuevos actos impugnados, nuevos argumentos no hechos valer al presentar la demanda, o al contestarla, toda vez que, en primer lugar, el objeto de los alegatos no es el introducir nuevas cuestiones a la controversia, sino ponderar al valor de las probanzas presentadas. Así, </w:t>
      </w:r>
      <w:r>
        <w:rPr>
          <w:rFonts w:ascii="Arial" w:hAnsi="Arial" w:cs="Arial"/>
          <w:color w:val="212529"/>
          <w:sz w:val="24"/>
          <w:szCs w:val="24"/>
        </w:rPr>
        <w:t>esta Sala</w:t>
      </w:r>
      <w:r w:rsidRPr="00A20513">
        <w:rPr>
          <w:rFonts w:ascii="Arial" w:hAnsi="Arial" w:cs="Arial"/>
          <w:color w:val="212529"/>
          <w:sz w:val="24"/>
          <w:szCs w:val="24"/>
        </w:rPr>
        <w:t xml:space="preserve"> sólo estaría obligada a considerar los alegatos siempre y cuando lo en ellos contenido fuese propio de los mismos. Es decir, </w:t>
      </w:r>
      <w:r>
        <w:rPr>
          <w:rFonts w:ascii="Arial" w:hAnsi="Arial" w:cs="Arial"/>
          <w:color w:val="212529"/>
          <w:sz w:val="24"/>
          <w:szCs w:val="24"/>
        </w:rPr>
        <w:t>esta</w:t>
      </w:r>
      <w:r w:rsidRPr="00A20513">
        <w:rPr>
          <w:rFonts w:ascii="Arial" w:hAnsi="Arial" w:cs="Arial"/>
          <w:color w:val="212529"/>
          <w:sz w:val="24"/>
          <w:szCs w:val="24"/>
        </w:rPr>
        <w:t xml:space="preserve"> </w:t>
      </w:r>
      <w:r>
        <w:rPr>
          <w:rFonts w:ascii="Arial" w:hAnsi="Arial" w:cs="Arial"/>
          <w:color w:val="212529"/>
          <w:sz w:val="24"/>
          <w:szCs w:val="24"/>
        </w:rPr>
        <w:t>juzgadora</w:t>
      </w:r>
      <w:r w:rsidRPr="00A20513">
        <w:rPr>
          <w:rFonts w:ascii="Arial" w:hAnsi="Arial" w:cs="Arial"/>
          <w:color w:val="212529"/>
          <w:sz w:val="24"/>
          <w:szCs w:val="24"/>
        </w:rPr>
        <w:t xml:space="preserve"> sólo considerará los alegatos en cuanto se refieran al valor de las probanzas presentadas y los razonamientos en ellos contenidos vayan dirigidos a determinar el alcance de cada una de ellas, m</w:t>
      </w:r>
      <w:r>
        <w:rPr>
          <w:rFonts w:ascii="Arial" w:hAnsi="Arial" w:cs="Arial"/>
          <w:color w:val="212529"/>
          <w:sz w:val="24"/>
          <w:szCs w:val="24"/>
        </w:rPr>
        <w:t>á</w:t>
      </w:r>
      <w:r w:rsidRPr="00A20513">
        <w:rPr>
          <w:rFonts w:ascii="Arial" w:hAnsi="Arial" w:cs="Arial"/>
          <w:color w:val="212529"/>
          <w:sz w:val="24"/>
          <w:szCs w:val="24"/>
        </w:rPr>
        <w:t>s en modo alguno deberán considerar</w:t>
      </w:r>
      <w:r>
        <w:rPr>
          <w:rFonts w:ascii="Arial" w:hAnsi="Arial" w:cs="Arial"/>
          <w:color w:val="212529"/>
          <w:sz w:val="24"/>
          <w:szCs w:val="24"/>
        </w:rPr>
        <w:t>se</w:t>
      </w:r>
      <w:r w:rsidRPr="00A20513">
        <w:rPr>
          <w:rFonts w:ascii="Arial" w:hAnsi="Arial" w:cs="Arial"/>
          <w:color w:val="212529"/>
          <w:sz w:val="24"/>
          <w:szCs w:val="24"/>
        </w:rPr>
        <w:t xml:space="preserve"> en cuanto en ellos se introduzcan nuevos argumentos, ya que tal cuestión no es propia de los alegatos. </w:t>
      </w:r>
      <w:r w:rsidRPr="00AA3919">
        <w:rPr>
          <w:rFonts w:ascii="Arial" w:hAnsi="Arial" w:cs="Arial"/>
          <w:color w:val="212529"/>
          <w:sz w:val="24"/>
          <w:szCs w:val="24"/>
        </w:rPr>
        <w:t>Por</w:t>
      </w:r>
      <w:r w:rsidRPr="00A20513">
        <w:rPr>
          <w:rFonts w:ascii="Arial" w:hAnsi="Arial" w:cs="Arial"/>
          <w:color w:val="212529"/>
          <w:sz w:val="24"/>
          <w:szCs w:val="24"/>
        </w:rPr>
        <w:t xml:space="preserve"> otra parte, si </w:t>
      </w:r>
      <w:r>
        <w:rPr>
          <w:rFonts w:ascii="Arial" w:hAnsi="Arial" w:cs="Arial"/>
          <w:color w:val="212529"/>
          <w:sz w:val="24"/>
          <w:szCs w:val="24"/>
        </w:rPr>
        <w:t>esta</w:t>
      </w:r>
      <w:r w:rsidRPr="00A20513">
        <w:rPr>
          <w:rFonts w:ascii="Arial" w:hAnsi="Arial" w:cs="Arial"/>
          <w:color w:val="212529"/>
          <w:sz w:val="24"/>
          <w:szCs w:val="24"/>
        </w:rPr>
        <w:t xml:space="preserve"> </w:t>
      </w:r>
      <w:r>
        <w:rPr>
          <w:rFonts w:ascii="Arial" w:hAnsi="Arial" w:cs="Arial"/>
          <w:color w:val="212529"/>
          <w:sz w:val="24"/>
          <w:szCs w:val="24"/>
        </w:rPr>
        <w:t>juzgadora</w:t>
      </w:r>
      <w:r w:rsidRPr="00A20513">
        <w:rPr>
          <w:rFonts w:ascii="Arial" w:hAnsi="Arial" w:cs="Arial"/>
          <w:color w:val="212529"/>
          <w:sz w:val="24"/>
          <w:szCs w:val="24"/>
        </w:rPr>
        <w:t xml:space="preserve"> resolviere el juicio en base a un nuevo argumento, o prueba, contenida en los alegatos de una de las partes, automáticamente estaría alterando la </w:t>
      </w:r>
      <w:proofErr w:type="spellStart"/>
      <w:r w:rsidRPr="00A20513">
        <w:rPr>
          <w:rFonts w:ascii="Arial" w:hAnsi="Arial" w:cs="Arial"/>
          <w:color w:val="212529"/>
          <w:sz w:val="24"/>
          <w:szCs w:val="24"/>
        </w:rPr>
        <w:t>litis</w:t>
      </w:r>
      <w:proofErr w:type="spellEnd"/>
      <w:r w:rsidRPr="00A20513">
        <w:rPr>
          <w:rFonts w:ascii="Arial" w:hAnsi="Arial" w:cs="Arial"/>
          <w:color w:val="212529"/>
          <w:sz w:val="24"/>
          <w:szCs w:val="24"/>
        </w:rPr>
        <w:t>.</w:t>
      </w:r>
      <w:r>
        <w:rPr>
          <w:rFonts w:ascii="Arial" w:hAnsi="Arial" w:cs="Arial"/>
          <w:color w:val="212529"/>
          <w:sz w:val="24"/>
          <w:szCs w:val="24"/>
        </w:rPr>
        <w:t xml:space="preserve"> </w:t>
      </w:r>
      <w:r w:rsidRPr="007763B5">
        <w:rPr>
          <w:rFonts w:ascii="Arial" w:hAnsi="Arial" w:cs="Arial"/>
          <w:bCs/>
          <w:sz w:val="24"/>
          <w:szCs w:val="24"/>
        </w:rPr>
        <w:t>Sirva de apoyo a lo antes sustentado</w:t>
      </w:r>
      <w:r w:rsidRPr="009761C8">
        <w:rPr>
          <w:rFonts w:ascii="Arial" w:hAnsi="Arial" w:cs="Arial"/>
          <w:bCs/>
          <w:sz w:val="24"/>
          <w:szCs w:val="24"/>
        </w:rPr>
        <w:t xml:space="preserve"> la Jurisprudencia de la Novena Época</w:t>
      </w:r>
      <w:r>
        <w:rPr>
          <w:rFonts w:ascii="Arial" w:hAnsi="Arial" w:cs="Arial"/>
          <w:bCs/>
          <w:sz w:val="24"/>
          <w:szCs w:val="24"/>
        </w:rPr>
        <w:t xml:space="preserve">, con número de registro 202835, publicada en el Semanario Judicial de la Federación y su Gaceta, Tomo III, Abril de 1996, página 253, de rubro siguiente: </w:t>
      </w:r>
      <w:r w:rsidRPr="00C00DCF">
        <w:rPr>
          <w:rFonts w:ascii="Arial" w:hAnsi="Arial" w:cs="Arial"/>
          <w:bCs/>
          <w:i/>
          <w:iCs/>
          <w:sz w:val="24"/>
          <w:szCs w:val="24"/>
        </w:rPr>
        <w:t>“</w:t>
      </w:r>
      <w:r w:rsidRPr="00C00DCF">
        <w:rPr>
          <w:rFonts w:ascii="Arial" w:hAnsi="Arial" w:cs="Arial"/>
          <w:b/>
          <w:bCs/>
          <w:i/>
          <w:iCs/>
          <w:color w:val="212529"/>
          <w:sz w:val="24"/>
          <w:szCs w:val="24"/>
        </w:rPr>
        <w:t>NULIDAD, JUICIO DE. ALEGATO. NO DEBEN INTRODUCIRSE ELEMENTOS NUEVOS A LA CONTROVERSIA”.</w:t>
      </w:r>
      <w:r w:rsidRPr="00A20513">
        <w:rPr>
          <w:rFonts w:ascii="Arial" w:hAnsi="Arial" w:cs="Arial"/>
          <w:b/>
          <w:bCs/>
          <w:color w:val="212529"/>
          <w:sz w:val="24"/>
          <w:szCs w:val="24"/>
        </w:rPr>
        <w:t xml:space="preserve"> </w:t>
      </w:r>
    </w:p>
    <w:p w:rsidR="00EF405B" w:rsidRDefault="00EF405B" w:rsidP="00EF405B">
      <w:pPr>
        <w:spacing w:line="360" w:lineRule="auto"/>
        <w:ind w:firstLine="709"/>
        <w:contextualSpacing/>
        <w:jc w:val="both"/>
        <w:rPr>
          <w:rFonts w:ascii="Arial" w:hAnsi="Arial" w:cs="Arial"/>
          <w:i/>
          <w:sz w:val="24"/>
          <w:szCs w:val="24"/>
        </w:rPr>
      </w:pPr>
    </w:p>
    <w:p w:rsidR="00EF405B" w:rsidRDefault="00EF405B" w:rsidP="00EF405B">
      <w:pPr>
        <w:spacing w:line="360" w:lineRule="auto"/>
        <w:ind w:firstLine="709"/>
        <w:contextualSpacing/>
        <w:jc w:val="both"/>
        <w:rPr>
          <w:rFonts w:ascii="Arial" w:hAnsi="Arial" w:cs="Arial"/>
          <w:sz w:val="24"/>
          <w:szCs w:val="24"/>
        </w:rPr>
      </w:pPr>
      <w:r w:rsidRPr="00AC0F2C">
        <w:rPr>
          <w:rFonts w:ascii="Arial" w:hAnsi="Arial" w:cs="Arial"/>
          <w:sz w:val="24"/>
          <w:szCs w:val="24"/>
        </w:rPr>
        <w:t>De</w:t>
      </w:r>
      <w:r w:rsidRPr="007B0581">
        <w:rPr>
          <w:rFonts w:ascii="Arial" w:hAnsi="Arial" w:cs="Arial"/>
          <w:sz w:val="24"/>
          <w:szCs w:val="24"/>
        </w:rPr>
        <w:t xml:space="preserve"> lo antes expuesto,</w:t>
      </w:r>
      <w:r>
        <w:rPr>
          <w:rFonts w:ascii="Arial" w:hAnsi="Arial" w:cs="Arial"/>
          <w:sz w:val="24"/>
          <w:szCs w:val="24"/>
        </w:rPr>
        <w:t xml:space="preserve"> al no cumplir el acto impugnado con los elementos y requisitos de validez que todo acto administrativo debe tener </w:t>
      </w:r>
      <w:r>
        <w:rPr>
          <w:rFonts w:ascii="Arial" w:hAnsi="Arial" w:cs="Arial"/>
          <w:bCs/>
          <w:sz w:val="24"/>
          <w:szCs w:val="24"/>
        </w:rPr>
        <w:t xml:space="preserve">de conformidad con lo dispuesto en el artículo 17, de la Ley de Procedimiento y Justicia Administrativa para el Estado de Oaxaca, </w:t>
      </w:r>
      <w:r w:rsidRPr="007B0581">
        <w:rPr>
          <w:rFonts w:ascii="Arial" w:hAnsi="Arial" w:cs="Arial"/>
          <w:sz w:val="24"/>
          <w:szCs w:val="24"/>
        </w:rPr>
        <w:t xml:space="preserve">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 xml:space="preserve">a respuesta otorgada vía correo electrónico el día seis de abril de dos mil diecinueve, aparentemente por el Presidente Municipal de Santa María </w:t>
      </w:r>
      <w:proofErr w:type="spellStart"/>
      <w:r>
        <w:rPr>
          <w:rFonts w:ascii="Arial" w:hAnsi="Arial" w:cs="Arial"/>
          <w:sz w:val="24"/>
          <w:szCs w:val="24"/>
        </w:rPr>
        <w:t>Tlahuitoltepec</w:t>
      </w:r>
      <w:proofErr w:type="spellEnd"/>
      <w:r>
        <w:rPr>
          <w:rFonts w:ascii="Arial" w:hAnsi="Arial" w:cs="Arial"/>
          <w:sz w:val="24"/>
          <w:szCs w:val="24"/>
        </w:rPr>
        <w:t>, Mixe,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Pr>
          <w:rFonts w:ascii="Arial" w:hAnsi="Arial" w:cs="Arial"/>
          <w:sz w:val="24"/>
          <w:szCs w:val="24"/>
        </w:rPr>
        <w:t xml:space="preserve">de </w:t>
      </w:r>
      <w:r w:rsidRPr="007B0581">
        <w:rPr>
          <w:rFonts w:ascii="Arial" w:hAnsi="Arial" w:cs="Arial"/>
          <w:sz w:val="24"/>
          <w:szCs w:val="24"/>
        </w:rPr>
        <w:t xml:space="preserve">que una vez que cause estado la presente resolución, </w:t>
      </w:r>
      <w:r>
        <w:rPr>
          <w:rFonts w:ascii="Arial" w:hAnsi="Arial" w:cs="Arial"/>
          <w:sz w:val="24"/>
          <w:szCs w:val="24"/>
        </w:rPr>
        <w:t xml:space="preserve">el Presidente Municipal de Santa María </w:t>
      </w:r>
      <w:proofErr w:type="spellStart"/>
      <w:r>
        <w:rPr>
          <w:rFonts w:ascii="Arial" w:hAnsi="Arial" w:cs="Arial"/>
          <w:sz w:val="24"/>
          <w:szCs w:val="24"/>
        </w:rPr>
        <w:t>Tlahuitoltepec</w:t>
      </w:r>
      <w:proofErr w:type="spellEnd"/>
      <w:r>
        <w:rPr>
          <w:rFonts w:ascii="Arial" w:hAnsi="Arial" w:cs="Arial"/>
          <w:sz w:val="24"/>
          <w:szCs w:val="24"/>
        </w:rPr>
        <w:t xml:space="preserve">, Mixe, Oaxaca, de ser competente dicte otra debidamente fundada y motivada de conformidad con la fracción V, del artículo 17, de la Ley de la Materia, donde examine la documentación presentada por el actor y de cumplir con todos los requisitos, proceda a inscribir al padrón de contratistas de ese municipio al actor </w:t>
      </w:r>
      <w:r>
        <w:rPr>
          <w:rFonts w:cs="Arial"/>
          <w:b/>
          <w:sz w:val="24"/>
          <w:szCs w:val="24"/>
        </w:rPr>
        <w:t>**********</w:t>
      </w:r>
      <w:r>
        <w:rPr>
          <w:rFonts w:ascii="Arial" w:hAnsi="Arial" w:cs="Arial"/>
          <w:sz w:val="24"/>
          <w:szCs w:val="24"/>
        </w:rPr>
        <w:t xml:space="preserve"> o en su caso la remita a la autoridad competente.</w:t>
      </w:r>
    </w:p>
    <w:p w:rsidR="00EF405B" w:rsidRDefault="00EF405B" w:rsidP="00EF405B">
      <w:pPr>
        <w:spacing w:line="360" w:lineRule="auto"/>
        <w:ind w:firstLine="709"/>
        <w:contextualSpacing/>
        <w:jc w:val="both"/>
        <w:rPr>
          <w:rFonts w:ascii="Arial" w:hAnsi="Arial" w:cs="Arial"/>
          <w:sz w:val="24"/>
          <w:szCs w:val="24"/>
        </w:rPr>
      </w:pPr>
    </w:p>
    <w:p w:rsidR="00EF405B" w:rsidRDefault="00EF405B" w:rsidP="00EF405B">
      <w:pPr>
        <w:spacing w:line="360" w:lineRule="auto"/>
        <w:ind w:firstLine="709"/>
        <w:contextualSpacing/>
        <w:jc w:val="both"/>
        <w:rPr>
          <w:rFonts w:ascii="Arial" w:hAnsi="Arial" w:cs="Arial"/>
          <w:sz w:val="24"/>
          <w:szCs w:val="24"/>
        </w:rPr>
      </w:pPr>
      <w:r>
        <w:rPr>
          <w:rFonts w:ascii="Arial" w:hAnsi="Arial" w:cs="Arial"/>
          <w:sz w:val="24"/>
          <w:szCs w:val="24"/>
        </w:rPr>
        <w:t>En el entendido que la presente resolución se tendrá por cumplida, en tanto se remita constancia de lo antes expuesto.</w:t>
      </w:r>
    </w:p>
    <w:p w:rsidR="00EF405B" w:rsidRDefault="00EF405B" w:rsidP="00EF405B">
      <w:pPr>
        <w:spacing w:line="360" w:lineRule="auto"/>
        <w:ind w:firstLine="709"/>
        <w:contextualSpacing/>
        <w:jc w:val="both"/>
        <w:rPr>
          <w:rFonts w:ascii="Arial" w:hAnsi="Arial" w:cs="Arial"/>
          <w:sz w:val="24"/>
          <w:szCs w:val="24"/>
        </w:rPr>
      </w:pPr>
    </w:p>
    <w:p w:rsidR="00EF405B" w:rsidRPr="00B958C3" w:rsidRDefault="00EF405B" w:rsidP="00EF405B">
      <w:pPr>
        <w:spacing w:line="360" w:lineRule="auto"/>
        <w:ind w:firstLine="709"/>
        <w:contextualSpacing/>
        <w:jc w:val="both"/>
        <w:rPr>
          <w:rFonts w:ascii="Arial" w:hAnsi="Arial" w:cs="Arial"/>
          <w:i/>
          <w:iCs/>
          <w:color w:val="212529"/>
          <w:sz w:val="24"/>
          <w:szCs w:val="24"/>
        </w:rPr>
      </w:pPr>
      <w:r>
        <w:rPr>
          <w:rFonts w:ascii="Arial" w:hAnsi="Arial" w:cs="Arial"/>
          <w:sz w:val="24"/>
          <w:szCs w:val="24"/>
        </w:rPr>
        <w:lastRenderedPageBreak/>
        <w:t xml:space="preserve">Lo anterior es así, toda vez que esta juzgadora se encuentra imposibilitada para pronunciarse de fondo, en razón que no se cuenta con los elementos suficientes que permitan resolver debidamente el fondo de la cuestión debatida. </w:t>
      </w:r>
      <w:r w:rsidRPr="007763B5">
        <w:rPr>
          <w:rFonts w:ascii="Arial" w:hAnsi="Arial" w:cs="Arial"/>
          <w:bCs/>
          <w:sz w:val="24"/>
          <w:szCs w:val="24"/>
        </w:rPr>
        <w:t>Sirva de apoyo a lo antes sustentado</w:t>
      </w:r>
      <w:r w:rsidRPr="009761C8">
        <w:rPr>
          <w:rFonts w:ascii="Arial" w:hAnsi="Arial" w:cs="Arial"/>
          <w:bCs/>
          <w:sz w:val="24"/>
          <w:szCs w:val="24"/>
        </w:rPr>
        <w:t xml:space="preserve"> la </w:t>
      </w:r>
      <w:r>
        <w:rPr>
          <w:rFonts w:ascii="Arial" w:hAnsi="Arial" w:cs="Arial"/>
          <w:bCs/>
          <w:sz w:val="24"/>
          <w:szCs w:val="24"/>
        </w:rPr>
        <w:t xml:space="preserve">tesis </w:t>
      </w:r>
      <w:r w:rsidRPr="009761C8">
        <w:rPr>
          <w:rFonts w:ascii="Arial" w:hAnsi="Arial" w:cs="Arial"/>
          <w:bCs/>
          <w:sz w:val="24"/>
          <w:szCs w:val="24"/>
        </w:rPr>
        <w:t>de la Novena Época</w:t>
      </w:r>
      <w:r>
        <w:rPr>
          <w:rFonts w:ascii="Arial" w:hAnsi="Arial" w:cs="Arial"/>
          <w:bCs/>
          <w:sz w:val="24"/>
          <w:szCs w:val="24"/>
        </w:rPr>
        <w:t>, publicada en el Semanario Judicial de la Federación y su Gaceta, Tomo XXXII, Septiembre 2010, página 1340, con número de registro 163789, de rubro y texto siguiente: “</w:t>
      </w:r>
      <w:r w:rsidRPr="00B958C3">
        <w:rPr>
          <w:rFonts w:ascii="Arial" w:hAnsi="Arial" w:cs="Arial"/>
          <w:b/>
          <w:bCs/>
          <w:i/>
          <w:iCs/>
          <w:color w:val="212529"/>
          <w:sz w:val="24"/>
          <w:szCs w:val="24"/>
        </w:rPr>
        <w:t>LITIS ABIERTA EN EL JUICIO DE NULIDAD. COMO DICHO PRINCIPIO NO ES DE APLICACIÓN ABSOLUTA, SI EL TRIBUNAL FEDERAL DE JUSTICIA FISCAL Y ADMINISTRATIVA NO CUENTA CON LOS ELEMENTOS SUFICIENTES QUE LE PERMITAN RESOLVER DEBIDAMENTE EL FONDO DE LA CUESTIÓN DEBATIDA, DEBE REALIZAR UNA DECLARATORIA DE NULIDAD PARA EFECTOS CON EL OBJETO DE QUE SEA LA AUTORIDAD ADMINISTRATIVA QUIEN LO DEFINA.</w:t>
      </w:r>
      <w:r>
        <w:rPr>
          <w:rFonts w:ascii="Arial" w:hAnsi="Arial" w:cs="Arial"/>
          <w:b/>
          <w:bCs/>
          <w:i/>
          <w:iCs/>
          <w:color w:val="212529"/>
          <w:sz w:val="24"/>
          <w:szCs w:val="24"/>
        </w:rPr>
        <w:t xml:space="preserve"> </w:t>
      </w:r>
      <w:r w:rsidRPr="00B958C3">
        <w:rPr>
          <w:rFonts w:ascii="Arial" w:hAnsi="Arial" w:cs="Arial"/>
          <w:i/>
          <w:iCs/>
          <w:color w:val="212529"/>
          <w:sz w:val="24"/>
          <w:szCs w:val="24"/>
        </w:rPr>
        <w:t>Si bien es cierto que los artículos </w:t>
      </w:r>
      <w:hyperlink r:id="rId6" w:history="1">
        <w:r w:rsidRPr="00B958C3">
          <w:rPr>
            <w:rStyle w:val="Hipervnculo"/>
            <w:rFonts w:ascii="Arial" w:hAnsi="Arial" w:cs="Arial"/>
            <w:i/>
            <w:iCs/>
            <w:color w:val="auto"/>
            <w:sz w:val="24"/>
            <w:szCs w:val="24"/>
            <w:u w:val="none"/>
          </w:rPr>
          <w:t>1o., segundo párrafo y 50, cuarto párrafo, de la Ley Federal de Procedimiento Contencioso Administrativo</w:t>
        </w:r>
      </w:hyperlink>
      <w:r w:rsidRPr="00B958C3">
        <w:rPr>
          <w:rFonts w:ascii="Arial" w:hAnsi="Arial" w:cs="Arial"/>
          <w:i/>
          <w:iCs/>
          <w:color w:val="212529"/>
          <w:sz w:val="24"/>
          <w:szCs w:val="24"/>
        </w:rPr>
        <w:t xml:space="preserve"> consagran el principio de </w:t>
      </w:r>
      <w:proofErr w:type="spellStart"/>
      <w:r w:rsidRPr="00B958C3">
        <w:rPr>
          <w:rFonts w:ascii="Arial" w:hAnsi="Arial" w:cs="Arial"/>
          <w:i/>
          <w:iCs/>
          <w:color w:val="212529"/>
          <w:sz w:val="24"/>
          <w:szCs w:val="24"/>
        </w:rPr>
        <w:t>litis</w:t>
      </w:r>
      <w:proofErr w:type="spellEnd"/>
      <w:r w:rsidRPr="00B958C3">
        <w:rPr>
          <w:rFonts w:ascii="Arial" w:hAnsi="Arial" w:cs="Arial"/>
          <w:i/>
          <w:iCs/>
          <w:color w:val="212529"/>
          <w:sz w:val="24"/>
          <w:szCs w:val="24"/>
        </w:rPr>
        <w:t xml:space="preserve"> abierta que opera en el juicio de nulidad, que esencialmente consiste en que el afectado con la resolución recaída a un recurso en sede administrativa puede expresar conceptos de nulidad tanto respecto de la determinación impugnada en dicho recurso como de la emitida en éste y, además, por lo que toca a la primera, puede introducir argumentos diferentes a los que hizo valer, pudiendo ofrecer las pruebas que estime pertinentes para demostrar la ilegalidad de ambos pronunciamientos, también lo es que como dicho principio no es de aplicación absoluta, si el Tribunal Federal de Justicia Fiscal y Administrativa no cuenta con los elementos suficientes que le permitan resolver debidamente el fondo de la cuestión debatida, debe realizar una declaratoria de nulidad para efectos con el objeto de que sea la autoridad administrativa quien lo defina, por ser ésta la que tiene todos los medios pertinentes para ello</w:t>
      </w:r>
      <w:r>
        <w:rPr>
          <w:rFonts w:ascii="Arial" w:hAnsi="Arial" w:cs="Arial"/>
          <w:i/>
          <w:iCs/>
          <w:color w:val="212529"/>
        </w:rPr>
        <w:t>”</w:t>
      </w:r>
      <w:r w:rsidRPr="00B958C3">
        <w:rPr>
          <w:rFonts w:ascii="Arial" w:hAnsi="Arial" w:cs="Arial"/>
          <w:i/>
          <w:iCs/>
          <w:color w:val="212529"/>
          <w:sz w:val="24"/>
          <w:szCs w:val="24"/>
        </w:rPr>
        <w:t>.</w:t>
      </w:r>
    </w:p>
    <w:p w:rsidR="00EF405B" w:rsidRDefault="00EF405B" w:rsidP="00EF405B">
      <w:pPr>
        <w:spacing w:line="360" w:lineRule="auto"/>
        <w:ind w:firstLine="709"/>
        <w:contextualSpacing/>
        <w:jc w:val="both"/>
        <w:rPr>
          <w:rFonts w:ascii="Arial" w:hAnsi="Arial" w:cs="Arial"/>
          <w:sz w:val="24"/>
          <w:szCs w:val="24"/>
        </w:rPr>
      </w:pPr>
    </w:p>
    <w:p w:rsidR="00EF405B" w:rsidRPr="007B0581" w:rsidRDefault="00EF405B" w:rsidP="00EF405B">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EF405B" w:rsidRDefault="00EF405B" w:rsidP="00EF405B">
      <w:pPr>
        <w:spacing w:line="360" w:lineRule="auto"/>
        <w:ind w:firstLine="708"/>
        <w:jc w:val="both"/>
        <w:rPr>
          <w:rFonts w:ascii="Arial" w:eastAsia="Calibri" w:hAnsi="Arial" w:cs="Arial"/>
          <w:color w:val="000000"/>
          <w:sz w:val="24"/>
          <w:szCs w:val="24"/>
          <w:lang w:val="es-MX" w:eastAsia="en-US"/>
        </w:rPr>
      </w:pPr>
    </w:p>
    <w:p w:rsidR="00EF405B" w:rsidRDefault="00EF405B" w:rsidP="00EF405B">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lastRenderedPageBreak/>
        <w:t xml:space="preserve">Por lo expuesto y con fundamento en los artículos </w:t>
      </w:r>
      <w:r w:rsidRPr="004D0685">
        <w:rPr>
          <w:rFonts w:ascii="Arial" w:eastAsia="Calibri" w:hAnsi="Arial" w:cs="Arial"/>
          <w:color w:val="000000"/>
          <w:sz w:val="24"/>
          <w:szCs w:val="24"/>
          <w:lang w:val="es-MX" w:eastAsia="en-US"/>
        </w:rPr>
        <w:t>207,</w:t>
      </w:r>
      <w:r>
        <w:rPr>
          <w:rFonts w:ascii="Arial" w:eastAsia="Calibri" w:hAnsi="Arial" w:cs="Arial"/>
          <w:color w:val="000000"/>
          <w:sz w:val="24"/>
          <w:szCs w:val="24"/>
          <w:lang w:val="es-MX" w:eastAsia="en-US"/>
        </w:rPr>
        <w:t xml:space="preserve"> 208, fracciones II y VI</w:t>
      </w:r>
      <w:r w:rsidRPr="004D0685">
        <w:rPr>
          <w:rFonts w:ascii="Arial" w:eastAsia="Calibri" w:hAnsi="Arial" w:cs="Arial"/>
          <w:color w:val="000000"/>
          <w:sz w:val="24"/>
          <w:szCs w:val="24"/>
          <w:lang w:val="es-MX" w:eastAsia="en-US"/>
        </w:rPr>
        <w:t xml:space="preserve"> y 209,</w:t>
      </w:r>
      <w:r w:rsidRPr="007B0581">
        <w:rPr>
          <w:rFonts w:ascii="Arial" w:eastAsia="Calibri" w:hAnsi="Arial" w:cs="Arial"/>
          <w:color w:val="000000"/>
          <w:sz w:val="24"/>
          <w:szCs w:val="24"/>
          <w:lang w:val="es-MX" w:eastAsia="en-US"/>
        </w:rPr>
        <w:t xml:space="preserve"> de la Ley de Procedimiento y Justicia Administrativa para el Estado de Oaxaca, se;</w:t>
      </w:r>
    </w:p>
    <w:p w:rsidR="00EF405B" w:rsidRDefault="00EF405B" w:rsidP="00EF405B">
      <w:pPr>
        <w:spacing w:line="360" w:lineRule="auto"/>
        <w:ind w:firstLine="708"/>
        <w:jc w:val="both"/>
        <w:rPr>
          <w:rFonts w:ascii="Arial" w:eastAsia="Calibri" w:hAnsi="Arial" w:cs="Arial"/>
          <w:color w:val="000000"/>
          <w:sz w:val="24"/>
          <w:szCs w:val="24"/>
          <w:lang w:val="es-MX" w:eastAsia="en-US"/>
        </w:rPr>
      </w:pPr>
    </w:p>
    <w:p w:rsidR="00EF405B" w:rsidRDefault="00EF405B" w:rsidP="00EF405B">
      <w:pPr>
        <w:spacing w:line="360" w:lineRule="auto"/>
        <w:ind w:firstLine="708"/>
        <w:jc w:val="both"/>
        <w:rPr>
          <w:rFonts w:ascii="Arial" w:eastAsia="Calibri" w:hAnsi="Arial" w:cs="Arial"/>
          <w:color w:val="000000"/>
          <w:sz w:val="24"/>
          <w:szCs w:val="24"/>
          <w:lang w:val="es-MX" w:eastAsia="en-US"/>
        </w:rPr>
      </w:pPr>
    </w:p>
    <w:p w:rsidR="00EF405B" w:rsidRDefault="00EF405B" w:rsidP="00EF405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EF405B" w:rsidRDefault="00EF405B" w:rsidP="00EF405B">
      <w:pPr>
        <w:tabs>
          <w:tab w:val="left" w:pos="3932"/>
        </w:tabs>
        <w:jc w:val="both"/>
        <w:rPr>
          <w:rFonts w:ascii="Arial" w:hAnsi="Arial" w:cs="Arial"/>
          <w:b/>
          <w:sz w:val="24"/>
          <w:szCs w:val="24"/>
        </w:rPr>
      </w:pPr>
      <w:r w:rsidRPr="007B0581">
        <w:rPr>
          <w:rFonts w:ascii="Arial" w:hAnsi="Arial" w:cs="Arial"/>
          <w:b/>
          <w:sz w:val="24"/>
          <w:szCs w:val="24"/>
        </w:rPr>
        <w:tab/>
      </w:r>
    </w:p>
    <w:p w:rsidR="00EF405B" w:rsidRPr="007B0581" w:rsidRDefault="00EF405B" w:rsidP="00EF405B">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EF405B" w:rsidRPr="007B0581" w:rsidRDefault="00EF405B" w:rsidP="00EF405B">
      <w:pPr>
        <w:pStyle w:val="Textoindependiente"/>
        <w:ind w:firstLine="709"/>
        <w:contextualSpacing/>
        <w:jc w:val="both"/>
        <w:rPr>
          <w:rFonts w:ascii="Arial" w:hAnsi="Arial" w:cs="Arial"/>
          <w:b/>
          <w:sz w:val="24"/>
          <w:szCs w:val="24"/>
        </w:rPr>
      </w:pPr>
    </w:p>
    <w:p w:rsidR="00EF405B" w:rsidRDefault="00EF405B" w:rsidP="00EF405B">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EF405B" w:rsidRDefault="00EF405B" w:rsidP="00EF405B">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EF405B" w:rsidRDefault="00EF405B" w:rsidP="00EF405B">
      <w:pPr>
        <w:spacing w:line="360" w:lineRule="auto"/>
        <w:ind w:right="51" w:firstLine="567"/>
        <w:contextualSpacing/>
        <w:jc w:val="both"/>
        <w:rPr>
          <w:rFonts w:ascii="Arial" w:hAnsi="Arial" w:cs="Arial"/>
          <w:b/>
          <w:bCs/>
          <w:sz w:val="24"/>
          <w:szCs w:val="24"/>
        </w:rPr>
      </w:pPr>
    </w:p>
    <w:p w:rsidR="00EF405B" w:rsidRPr="007B0581" w:rsidRDefault="00EF405B" w:rsidP="00EF405B">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BB5812">
        <w:rPr>
          <w:rFonts w:ascii="Arial" w:hAnsi="Arial" w:cs="Arial"/>
          <w:b/>
          <w:sz w:val="24"/>
          <w:szCs w:val="24"/>
        </w:rPr>
        <w:t xml:space="preserve">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 xml:space="preserve">a respuesta otorgada vía correo electrónico el día seis de abril de dos mil diecinueve, aparentemente por el Presidente Municipal de Santa María </w:t>
      </w:r>
      <w:proofErr w:type="spellStart"/>
      <w:r>
        <w:rPr>
          <w:rFonts w:ascii="Arial" w:hAnsi="Arial" w:cs="Arial"/>
          <w:sz w:val="24"/>
          <w:szCs w:val="24"/>
        </w:rPr>
        <w:t>Tlahuitoltepec</w:t>
      </w:r>
      <w:proofErr w:type="spellEnd"/>
      <w:r>
        <w:rPr>
          <w:rFonts w:ascii="Arial" w:hAnsi="Arial" w:cs="Arial"/>
          <w:sz w:val="24"/>
          <w:szCs w:val="24"/>
        </w:rPr>
        <w:t>, Mixe, Oaxaca</w:t>
      </w:r>
      <w:r>
        <w:rPr>
          <w:rFonts w:ascii="Arial" w:hAnsi="Arial" w:cs="Arial"/>
          <w:bCs/>
          <w:sz w:val="24"/>
          <w:szCs w:val="24"/>
        </w:rPr>
        <w:t>,</w:t>
      </w:r>
      <w:r w:rsidRPr="00BB5812">
        <w:rPr>
          <w:rFonts w:ascii="Arial" w:hAnsi="Arial" w:cs="Arial"/>
          <w:bCs/>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w:t>
      </w:r>
      <w:r>
        <w:rPr>
          <w:rFonts w:ascii="Arial" w:hAnsi="Arial" w:cs="Arial"/>
          <w:sz w:val="24"/>
          <w:szCs w:val="24"/>
        </w:rPr>
        <w:t xml:space="preserve"> en el considerando</w:t>
      </w:r>
      <w:r w:rsidRPr="007B0581">
        <w:rPr>
          <w:rFonts w:ascii="Arial" w:hAnsi="Arial" w:cs="Arial"/>
          <w:sz w:val="24"/>
          <w:szCs w:val="24"/>
        </w:rPr>
        <w:t xml:space="preserve"> CUARTO de la presente sentencia</w:t>
      </w:r>
      <w:r>
        <w:rPr>
          <w:rFonts w:ascii="Arial" w:hAnsi="Arial" w:cs="Arial"/>
          <w:bCs/>
          <w:sz w:val="24"/>
          <w:szCs w:val="24"/>
        </w:rPr>
        <w:t>.</w:t>
      </w:r>
    </w:p>
    <w:p w:rsidR="00EF405B" w:rsidRPr="00781224" w:rsidRDefault="00EF405B" w:rsidP="00EF405B">
      <w:pPr>
        <w:spacing w:line="360" w:lineRule="auto"/>
        <w:ind w:right="51" w:firstLine="567"/>
        <w:jc w:val="both"/>
        <w:rPr>
          <w:rFonts w:ascii="Arial" w:hAnsi="Arial" w:cs="Arial"/>
          <w:sz w:val="24"/>
          <w:szCs w:val="24"/>
          <w:lang w:val="es-MX"/>
        </w:rPr>
      </w:pPr>
    </w:p>
    <w:p w:rsidR="00EF405B" w:rsidRDefault="00EF405B" w:rsidP="00EF405B">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w:t>
      </w:r>
      <w:r w:rsidRPr="007B0581">
        <w:rPr>
          <w:rFonts w:ascii="Arial" w:eastAsia="Calibri" w:hAnsi="Arial" w:cs="Arial"/>
          <w:b/>
          <w:color w:val="000000"/>
          <w:sz w:val="24"/>
          <w:szCs w:val="24"/>
          <w:lang w:val="es-MX" w:eastAsia="en-US"/>
        </w:rPr>
        <w:t>CÚMPLASE.</w:t>
      </w:r>
    </w:p>
    <w:p w:rsidR="00EF405B" w:rsidRDefault="00EF405B" w:rsidP="00EF405B">
      <w:pPr>
        <w:spacing w:line="360" w:lineRule="auto"/>
        <w:ind w:right="51" w:firstLine="567"/>
        <w:jc w:val="both"/>
        <w:rPr>
          <w:rFonts w:ascii="Arial" w:eastAsia="Calibri" w:hAnsi="Arial" w:cs="Arial"/>
          <w:b/>
          <w:color w:val="000000"/>
          <w:sz w:val="24"/>
          <w:szCs w:val="24"/>
          <w:lang w:val="es-MX" w:eastAsia="en-US"/>
        </w:rPr>
      </w:pPr>
    </w:p>
    <w:p w:rsidR="00EF405B" w:rsidRDefault="00EF405B" w:rsidP="00EF405B">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05B" w:rsidRDefault="00EF405B" w:rsidP="00EF405B">
      <w:r>
        <w:separator/>
      </w:r>
    </w:p>
  </w:endnote>
  <w:endnote w:type="continuationSeparator" w:id="0">
    <w:p w:rsidR="00EF405B" w:rsidRDefault="00EF405B" w:rsidP="00EF4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E90B05">
        <w:pPr>
          <w:pStyle w:val="Piedepgina"/>
          <w:jc w:val="center"/>
        </w:pPr>
        <w:r>
          <w:fldChar w:fldCharType="begin"/>
        </w:r>
        <w:r>
          <w:instrText>PAGE   \* MERGEFORMAT</w:instrText>
        </w:r>
        <w:r>
          <w:fldChar w:fldCharType="separate"/>
        </w:r>
        <w:r>
          <w:rPr>
            <w:noProof/>
          </w:rPr>
          <w:t>8</w:t>
        </w:r>
        <w:r>
          <w:fldChar w:fldCharType="end"/>
        </w:r>
      </w:p>
    </w:sdtContent>
  </w:sdt>
  <w:p w:rsidR="009525A3" w:rsidRDefault="00E90B0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05B" w:rsidRDefault="00EF405B" w:rsidP="00EF405B">
      <w:r>
        <w:separator/>
      </w:r>
    </w:p>
  </w:footnote>
  <w:footnote w:type="continuationSeparator" w:id="0">
    <w:p w:rsidR="00EF405B" w:rsidRDefault="00EF405B" w:rsidP="00EF40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E90B05" w:rsidP="00A73AD7">
    <w:pPr>
      <w:pStyle w:val="Encabezado"/>
      <w:jc w:val="right"/>
      <w:rPr>
        <w:rFonts w:ascii="Arial" w:hAnsi="Arial" w:cs="Arial"/>
      </w:rPr>
    </w:pPr>
    <w:r w:rsidRPr="00E90B05">
      <w:rPr>
        <w:rFonts w:eastAsia="Calibri"/>
        <w:noProof/>
        <w:lang w:val="es-MX"/>
      </w:rPr>
      <mc:AlternateContent>
        <mc:Choice Requires="wps">
          <w:drawing>
            <wp:anchor distT="45720" distB="45720" distL="114300" distR="114300" simplePos="0" relativeHeight="251665408" behindDoc="1" locked="0" layoutInCell="1" allowOverlap="1" wp14:anchorId="78890693" wp14:editId="3BCE1F6D">
              <wp:simplePos x="0" y="0"/>
              <wp:positionH relativeFrom="leftMargin">
                <wp:posOffset>305861</wp:posOffset>
              </wp:positionH>
              <wp:positionV relativeFrom="paragraph">
                <wp:posOffset>4038351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90B05" w:rsidRDefault="00E90B05" w:rsidP="00E90B0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890693" id="_x0000_t202" coordsize="21600,21600" o:spt="202" path="m,l,21600r21600,l21600,xe">
              <v:stroke joinstyle="miter"/>
              <v:path gradientshapeok="t" o:connecttype="rect"/>
            </v:shapetype>
            <v:shape id="Cuadro de texto 4" o:spid="_x0000_s1026" type="#_x0000_t202" style="position:absolute;left:0;text-align:left;margin-left:24.1pt;margin-top:318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">
              <v:textbox>
                <w:txbxContent>
                  <w:p w:rsidR="00E90B05" w:rsidRDefault="00E90B05" w:rsidP="00E90B05">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60E6B4DC" wp14:editId="0DB540D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35</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EF405B">
    <w:pPr>
      <w:pStyle w:val="Encabezado"/>
    </w:pPr>
    <w:r w:rsidRPr="00EF405B">
      <w:rPr>
        <w:rFonts w:eastAsia="Calibri"/>
        <w:noProof/>
        <w:lang w:val="es-MX"/>
      </w:rPr>
      <mc:AlternateContent>
        <mc:Choice Requires="wps">
          <w:drawing>
            <wp:anchor distT="45720" distB="45720" distL="114300" distR="114300" simplePos="0" relativeHeight="251663360" behindDoc="1" locked="0" layoutInCell="1" allowOverlap="1" wp14:anchorId="763FDB62" wp14:editId="0AD03E5C">
              <wp:simplePos x="0" y="0"/>
              <wp:positionH relativeFrom="leftMargin">
                <wp:posOffset>294286</wp:posOffset>
              </wp:positionH>
              <wp:positionV relativeFrom="paragraph">
                <wp:posOffset>4825429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F405B" w:rsidRDefault="00EF405B" w:rsidP="00EF405B">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3FDB62" id="_x0000_t202" coordsize="21600,21600" o:spt="202" path="m,l,21600r21600,l21600,xe">
              <v:stroke joinstyle="miter"/>
              <v:path gradientshapeok="t" o:connecttype="rect"/>
            </v:shapetype>
            <v:shape id="Cuadro de texto 5" o:spid="_x0000_s1027" type="#_x0000_t202" style="position:absolute;margin-left:23.15pt;margin-top:379.9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">
              <v:textbox>
                <w:txbxContent>
                  <w:p w:rsidR="00EF405B" w:rsidRDefault="00EF405B" w:rsidP="00EF405B">
                    <w:pPr>
                      <w:jc w:val="center"/>
                    </w:pPr>
                    <w:r>
                      <w:t>DATOS PERSONALES PROTEGIDOS POR EL ART.- 116 DE LA LGTAIP Y EL ART.- 61 DE LA LTAIPEO</w:t>
                    </w:r>
                  </w:p>
                </w:txbxContent>
              </v:textbox>
              <w10:wrap anchorx="margin"/>
            </v:shape>
          </w:pict>
        </mc:Fallback>
      </mc:AlternateContent>
    </w:r>
    <w:r w:rsidR="00E90B05">
      <w:rPr>
        <w:noProof/>
        <w:lang w:val="es-MX"/>
      </w:rPr>
      <w:drawing>
        <wp:anchor distT="0" distB="0" distL="114300" distR="114300" simplePos="0" relativeHeight="251661312" behindDoc="1" locked="0" layoutInCell="1" allowOverlap="1" wp14:anchorId="32FBD5D3" wp14:editId="0246C4BE">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B05">
      <w:rPr>
        <w:noProof/>
        <w:lang w:val="es-MX"/>
      </w:rPr>
      <w:drawing>
        <wp:anchor distT="0" distB="0" distL="114300" distR="114300" simplePos="0" relativeHeight="251660288" behindDoc="1" locked="0" layoutInCell="1" allowOverlap="1" wp14:anchorId="6FF64C44" wp14:editId="56D8C317">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05B"/>
    <w:rsid w:val="00294EC6"/>
    <w:rsid w:val="004B1DB0"/>
    <w:rsid w:val="005223BF"/>
    <w:rsid w:val="00685BC3"/>
    <w:rsid w:val="00AC77AC"/>
    <w:rsid w:val="00E90B05"/>
    <w:rsid w:val="00EF40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4A0E2D-BF62-493C-A10B-0CC1E5D7F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05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EF405B"/>
    <w:pPr>
      <w:spacing w:after="120"/>
    </w:pPr>
    <w:rPr>
      <w:lang w:val="x-none"/>
    </w:rPr>
  </w:style>
  <w:style w:type="character" w:customStyle="1" w:styleId="TextoindependienteCar">
    <w:name w:val="Texto independiente Car"/>
    <w:basedOn w:val="Fuentedeprrafopredeter"/>
    <w:link w:val="Textoindependiente"/>
    <w:uiPriority w:val="99"/>
    <w:rsid w:val="00EF405B"/>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EF405B"/>
    <w:pPr>
      <w:autoSpaceDE w:val="0"/>
      <w:autoSpaceDN w:val="0"/>
    </w:pPr>
    <w:rPr>
      <w:lang w:eastAsia="es-ES"/>
    </w:rPr>
  </w:style>
  <w:style w:type="character" w:customStyle="1" w:styleId="TextonotapieCar">
    <w:name w:val="Texto nota pie Car"/>
    <w:basedOn w:val="Fuentedeprrafopredeter"/>
    <w:link w:val="Textonotapie"/>
    <w:uiPriority w:val="99"/>
    <w:rsid w:val="00EF405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F405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F405B"/>
    <w:rPr>
      <w:rFonts w:ascii="Arial" w:eastAsia="Times New Roman" w:hAnsi="Arial" w:cs="Times New Roman"/>
      <w:sz w:val="30"/>
      <w:szCs w:val="20"/>
      <w:lang w:val="es-ES_tradnl" w:eastAsia="es-ES"/>
    </w:rPr>
  </w:style>
  <w:style w:type="character" w:styleId="Hipervnculo">
    <w:name w:val="Hyperlink"/>
    <w:uiPriority w:val="99"/>
    <w:unhideWhenUsed/>
    <w:rsid w:val="00EF405B"/>
    <w:rPr>
      <w:color w:val="0000FF"/>
      <w:u w:val="single"/>
    </w:rPr>
  </w:style>
  <w:style w:type="paragraph" w:styleId="Encabezado">
    <w:name w:val="header"/>
    <w:basedOn w:val="Normal"/>
    <w:link w:val="EncabezadoCar"/>
    <w:uiPriority w:val="99"/>
    <w:unhideWhenUsed/>
    <w:rsid w:val="00EF405B"/>
    <w:pPr>
      <w:tabs>
        <w:tab w:val="center" w:pos="4419"/>
        <w:tab w:val="right" w:pos="8838"/>
      </w:tabs>
    </w:pPr>
  </w:style>
  <w:style w:type="character" w:customStyle="1" w:styleId="EncabezadoCar">
    <w:name w:val="Encabezado Car"/>
    <w:basedOn w:val="Fuentedeprrafopredeter"/>
    <w:link w:val="Encabezado"/>
    <w:uiPriority w:val="99"/>
    <w:rsid w:val="00EF405B"/>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EF405B"/>
    <w:pPr>
      <w:tabs>
        <w:tab w:val="center" w:pos="4419"/>
        <w:tab w:val="right" w:pos="8838"/>
      </w:tabs>
    </w:pPr>
  </w:style>
  <w:style w:type="character" w:customStyle="1" w:styleId="PiedepginaCar">
    <w:name w:val="Pie de página Car"/>
    <w:basedOn w:val="Fuentedeprrafopredeter"/>
    <w:link w:val="Piedepgina"/>
    <w:uiPriority w:val="99"/>
    <w:rsid w:val="00EF405B"/>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287"/>
    <w:rsid w:val="00EC42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35A3B14FC964D40B5BC4AF5D1175997">
    <w:name w:val="A35A3B14FC964D40B5BC4AF5D1175997"/>
    <w:rsid w:val="00EC42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2869</Words>
  <Characters>15785</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2023-07-12T20:24:00Z</dcterms:created>
  <dcterms:modified xsi:type="dcterms:W3CDTF">2023-07-12T20:37:00Z</dcterms:modified>
</cp:coreProperties>
</file>