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5FE5BA"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2FFCEC36" w14:textId="390DF668"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BA3205">
        <w:rPr>
          <w:rFonts w:ascii="Arial" w:hAnsi="Arial" w:cs="Arial"/>
          <w:b/>
          <w:sz w:val="26"/>
          <w:szCs w:val="26"/>
        </w:rPr>
        <w:t>36</w:t>
      </w:r>
      <w:r w:rsidR="000D6F9B">
        <w:rPr>
          <w:rFonts w:ascii="Arial" w:hAnsi="Arial" w:cs="Arial"/>
          <w:b/>
          <w:sz w:val="26"/>
          <w:szCs w:val="26"/>
        </w:rPr>
        <w:t>1</w:t>
      </w:r>
      <w:r w:rsidRPr="00CB6405">
        <w:rPr>
          <w:rFonts w:ascii="Arial" w:hAnsi="Arial" w:cs="Arial"/>
          <w:b/>
          <w:sz w:val="26"/>
          <w:szCs w:val="26"/>
        </w:rPr>
        <w:t>/201</w:t>
      </w:r>
      <w:r w:rsidR="005A4C18">
        <w:rPr>
          <w:rFonts w:ascii="Arial" w:hAnsi="Arial" w:cs="Arial"/>
          <w:b/>
          <w:sz w:val="26"/>
          <w:szCs w:val="26"/>
        </w:rPr>
        <w:t>9</w:t>
      </w:r>
    </w:p>
    <w:p w14:paraId="14FE9A5A" w14:textId="427FB3B0"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0D6F9B">
        <w:rPr>
          <w:rFonts w:ascii="Arial" w:hAnsi="Arial" w:cs="Arial"/>
          <w:b/>
          <w:sz w:val="26"/>
          <w:szCs w:val="26"/>
        </w:rPr>
        <w:t>50</w:t>
      </w:r>
      <w:r>
        <w:rPr>
          <w:rFonts w:ascii="Arial" w:hAnsi="Arial" w:cs="Arial"/>
          <w:b/>
          <w:sz w:val="26"/>
          <w:szCs w:val="26"/>
        </w:rPr>
        <w:t>/</w:t>
      </w:r>
      <w:r w:rsidRPr="00CB6405">
        <w:rPr>
          <w:rFonts w:ascii="Arial" w:hAnsi="Arial" w:cs="Arial"/>
          <w:b/>
          <w:sz w:val="26"/>
          <w:szCs w:val="26"/>
        </w:rPr>
        <w:t>201</w:t>
      </w:r>
      <w:r w:rsidR="00C5669E">
        <w:rPr>
          <w:rFonts w:ascii="Arial" w:hAnsi="Arial" w:cs="Arial"/>
          <w:b/>
          <w:sz w:val="26"/>
          <w:szCs w:val="26"/>
        </w:rPr>
        <w:t>9</w:t>
      </w:r>
      <w:r w:rsidRPr="00CB6405">
        <w:rPr>
          <w:rFonts w:ascii="Arial" w:hAnsi="Arial" w:cs="Arial"/>
          <w:b/>
          <w:sz w:val="26"/>
          <w:szCs w:val="26"/>
        </w:rPr>
        <w:t xml:space="preserve"> </w:t>
      </w:r>
      <w:r w:rsidR="00BA3205">
        <w:rPr>
          <w:rFonts w:ascii="Arial" w:hAnsi="Arial" w:cs="Arial"/>
          <w:b/>
          <w:sz w:val="26"/>
          <w:szCs w:val="26"/>
        </w:rPr>
        <w:t xml:space="preserve">QUINTA </w:t>
      </w:r>
      <w:r w:rsidRPr="00CB6405">
        <w:rPr>
          <w:rFonts w:ascii="Arial" w:hAnsi="Arial" w:cs="Arial"/>
          <w:b/>
          <w:sz w:val="26"/>
          <w:szCs w:val="26"/>
        </w:rPr>
        <w:t>SALA UNITARIA DE PRIMERA INSTANCIA</w:t>
      </w:r>
    </w:p>
    <w:p w14:paraId="06743428" w14:textId="2029A33E"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w:t>
      </w:r>
      <w:r w:rsidR="009A3BBD">
        <w:rPr>
          <w:rFonts w:ascii="Arial" w:hAnsi="Arial" w:cs="Arial"/>
          <w:b/>
          <w:sz w:val="26"/>
          <w:szCs w:val="26"/>
        </w:rPr>
        <w:t>O MANUEL VELASCO ALCÁNTARA</w:t>
      </w:r>
    </w:p>
    <w:p w14:paraId="3301A49E" w14:textId="77777777" w:rsidR="005770C1" w:rsidRPr="00CB6405" w:rsidRDefault="005770C1" w:rsidP="005770C1">
      <w:pPr>
        <w:spacing w:line="240" w:lineRule="auto"/>
        <w:ind w:left="2124"/>
        <w:jc w:val="both"/>
        <w:rPr>
          <w:rFonts w:ascii="Arial" w:hAnsi="Arial" w:cs="Arial"/>
          <w:b/>
          <w:sz w:val="26"/>
          <w:szCs w:val="26"/>
        </w:rPr>
      </w:pPr>
    </w:p>
    <w:p w14:paraId="6115232E" w14:textId="63A86BEB" w:rsidR="005770C1" w:rsidRPr="00CB6405" w:rsidRDefault="009A3BBD" w:rsidP="005770C1">
      <w:pPr>
        <w:spacing w:line="360" w:lineRule="auto"/>
        <w:jc w:val="both"/>
        <w:rPr>
          <w:rFonts w:ascii="Arial" w:hAnsi="Arial" w:cs="Arial"/>
          <w:b/>
          <w:sz w:val="26"/>
          <w:szCs w:val="26"/>
        </w:rPr>
      </w:pPr>
      <w:r>
        <w:rPr>
          <w:rFonts w:ascii="Arial" w:hAnsi="Arial" w:cs="Arial"/>
          <w:b/>
          <w:sz w:val="26"/>
          <w:szCs w:val="26"/>
        </w:rPr>
        <w:t xml:space="preserve">OAXACA DE JUÁREZ, OAXACA, A UNO DE OCTUBRE </w:t>
      </w:r>
      <w:r w:rsidR="005770C1" w:rsidRPr="00CB6405">
        <w:rPr>
          <w:rFonts w:ascii="Arial" w:hAnsi="Arial" w:cs="Arial"/>
          <w:b/>
          <w:sz w:val="26"/>
          <w:szCs w:val="26"/>
        </w:rPr>
        <w:t xml:space="preserve">DE DOS MIL </w:t>
      </w:r>
      <w:r w:rsidR="00A036C0">
        <w:rPr>
          <w:rFonts w:ascii="Arial" w:hAnsi="Arial" w:cs="Arial"/>
          <w:b/>
          <w:sz w:val="26"/>
          <w:szCs w:val="26"/>
        </w:rPr>
        <w:t>VEINTE</w:t>
      </w:r>
      <w:r w:rsidR="005770C1" w:rsidRPr="00CB6405">
        <w:rPr>
          <w:rFonts w:ascii="Arial" w:hAnsi="Arial" w:cs="Arial"/>
          <w:b/>
          <w:sz w:val="26"/>
          <w:szCs w:val="26"/>
        </w:rPr>
        <w:t>.- - - - - - - - - - - - - - - - - - - - - - - - - - - - -</w:t>
      </w:r>
      <w:r w:rsidR="005770C1">
        <w:rPr>
          <w:rFonts w:ascii="Arial" w:hAnsi="Arial" w:cs="Arial"/>
          <w:b/>
          <w:sz w:val="26"/>
          <w:szCs w:val="26"/>
        </w:rPr>
        <w:t xml:space="preserve"> - - - - - - - - - - </w:t>
      </w:r>
      <w:r>
        <w:rPr>
          <w:rFonts w:ascii="Arial" w:hAnsi="Arial" w:cs="Arial"/>
          <w:b/>
          <w:sz w:val="26"/>
          <w:szCs w:val="26"/>
        </w:rPr>
        <w:t>- - - - - - -</w:t>
      </w:r>
    </w:p>
    <w:p w14:paraId="02F37721" w14:textId="46B54C9F"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BA3205">
        <w:rPr>
          <w:rFonts w:ascii="Arial" w:hAnsi="Arial" w:cs="Arial"/>
          <w:b/>
          <w:sz w:val="26"/>
          <w:szCs w:val="26"/>
        </w:rPr>
        <w:t>36</w:t>
      </w:r>
      <w:r w:rsidR="000D6F9B">
        <w:rPr>
          <w:rFonts w:ascii="Arial" w:hAnsi="Arial" w:cs="Arial"/>
          <w:b/>
          <w:sz w:val="26"/>
          <w:szCs w:val="26"/>
        </w:rPr>
        <w:t>1</w:t>
      </w:r>
      <w:r w:rsidRPr="00CB6405">
        <w:rPr>
          <w:rFonts w:ascii="Arial" w:hAnsi="Arial" w:cs="Arial"/>
          <w:b/>
          <w:sz w:val="26"/>
          <w:szCs w:val="26"/>
        </w:rPr>
        <w:t>/201</w:t>
      </w:r>
      <w:r w:rsidR="005A4C18">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w:t>
      </w:r>
      <w:r w:rsidRPr="00C5669E">
        <w:rPr>
          <w:rFonts w:ascii="Arial" w:hAnsi="Arial" w:cs="Arial"/>
          <w:sz w:val="26"/>
          <w:szCs w:val="26"/>
        </w:rPr>
        <w:t>por</w:t>
      </w:r>
      <w:r w:rsidR="005A4C18" w:rsidRPr="00C5669E">
        <w:rPr>
          <w:rFonts w:ascii="Arial" w:hAnsi="Arial" w:cs="Arial"/>
          <w:sz w:val="26"/>
          <w:szCs w:val="26"/>
        </w:rPr>
        <w:t xml:space="preserve"> </w:t>
      </w:r>
      <w:r w:rsidR="00C5669E" w:rsidRPr="00C5669E">
        <w:rPr>
          <w:rFonts w:ascii="Arial" w:hAnsi="Arial" w:cs="Arial"/>
          <w:sz w:val="26"/>
          <w:szCs w:val="26"/>
        </w:rPr>
        <w:t>la</w:t>
      </w:r>
      <w:r w:rsidR="00C5669E">
        <w:rPr>
          <w:rFonts w:ascii="Arial" w:hAnsi="Arial" w:cs="Arial"/>
          <w:b/>
          <w:sz w:val="26"/>
          <w:szCs w:val="26"/>
        </w:rPr>
        <w:t xml:space="preserve"> DIRECTORA DE LO CONTENCIOSO DE LA PROCURADURÍA FISCAL DEPENDIENTE DE LA SUBSECRETARÍA DE INGRESOS DE LA SECRETARÍA DE FINANZAS DEL PODER EJECUTIVO DEL ESTADO DE OAXACA</w:t>
      </w:r>
      <w:r w:rsidRPr="00CB6405">
        <w:rPr>
          <w:rFonts w:ascii="Arial" w:hAnsi="Arial" w:cs="Arial"/>
          <w:sz w:val="26"/>
          <w:szCs w:val="26"/>
        </w:rPr>
        <w:t>, en contra de</w:t>
      </w:r>
      <w:r>
        <w:rPr>
          <w:rFonts w:ascii="Arial" w:hAnsi="Arial" w:cs="Arial"/>
          <w:sz w:val="26"/>
          <w:szCs w:val="26"/>
        </w:rPr>
        <w:t xml:space="preserve"> la sentencia de</w:t>
      </w:r>
      <w:r w:rsidR="00E327ED">
        <w:rPr>
          <w:rFonts w:ascii="Arial" w:hAnsi="Arial" w:cs="Arial"/>
          <w:sz w:val="26"/>
          <w:szCs w:val="26"/>
        </w:rPr>
        <w:t xml:space="preserve"> </w:t>
      </w:r>
      <w:r w:rsidR="00BA3205">
        <w:rPr>
          <w:rFonts w:ascii="Arial" w:hAnsi="Arial" w:cs="Arial"/>
          <w:sz w:val="26"/>
          <w:szCs w:val="26"/>
        </w:rPr>
        <w:t>veint</w:t>
      </w:r>
      <w:r w:rsidR="000D6F9B">
        <w:rPr>
          <w:rFonts w:ascii="Arial" w:hAnsi="Arial" w:cs="Arial"/>
          <w:sz w:val="26"/>
          <w:szCs w:val="26"/>
        </w:rPr>
        <w:t>e</w:t>
      </w:r>
      <w:r w:rsidR="00BA3205">
        <w:rPr>
          <w:rFonts w:ascii="Arial" w:hAnsi="Arial" w:cs="Arial"/>
          <w:sz w:val="26"/>
          <w:szCs w:val="26"/>
        </w:rPr>
        <w:t xml:space="preserve"> de septiembre </w:t>
      </w:r>
      <w:r w:rsidR="005A4C18">
        <w:rPr>
          <w:rFonts w:ascii="Arial" w:hAnsi="Arial" w:cs="Arial"/>
          <w:sz w:val="26"/>
          <w:szCs w:val="26"/>
        </w:rPr>
        <w:t xml:space="preserve">de </w:t>
      </w:r>
      <w:r w:rsidRPr="00CB6405">
        <w:rPr>
          <w:rFonts w:ascii="Arial" w:hAnsi="Arial" w:cs="Arial"/>
          <w:sz w:val="26"/>
          <w:szCs w:val="26"/>
        </w:rPr>
        <w:t>dos mil diec</w:t>
      </w:r>
      <w:r w:rsidR="005A4C18">
        <w:rPr>
          <w:rFonts w:ascii="Arial" w:hAnsi="Arial" w:cs="Arial"/>
          <w:sz w:val="26"/>
          <w:szCs w:val="26"/>
        </w:rPr>
        <w:t>inueve</w:t>
      </w:r>
      <w:r>
        <w:rPr>
          <w:rFonts w:ascii="Arial" w:hAnsi="Arial" w:cs="Arial"/>
          <w:sz w:val="26"/>
          <w:szCs w:val="26"/>
        </w:rPr>
        <w:t>, dictada</w:t>
      </w:r>
      <w:r w:rsidRPr="00CB6405">
        <w:rPr>
          <w:rFonts w:ascii="Arial" w:hAnsi="Arial" w:cs="Arial"/>
          <w:sz w:val="26"/>
          <w:szCs w:val="26"/>
        </w:rPr>
        <w:t xml:space="preserve"> en el expediente </w:t>
      </w:r>
      <w:r w:rsidR="00DE569E">
        <w:rPr>
          <w:rFonts w:ascii="Arial" w:hAnsi="Arial" w:cs="Arial"/>
          <w:b/>
          <w:sz w:val="26"/>
          <w:szCs w:val="26"/>
        </w:rPr>
        <w:t>0</w:t>
      </w:r>
      <w:r w:rsidR="000D6F9B">
        <w:rPr>
          <w:rFonts w:ascii="Arial" w:hAnsi="Arial" w:cs="Arial"/>
          <w:b/>
          <w:sz w:val="26"/>
          <w:szCs w:val="26"/>
        </w:rPr>
        <w:t>50</w:t>
      </w:r>
      <w:r w:rsidRPr="00CB6405">
        <w:rPr>
          <w:rFonts w:ascii="Arial" w:hAnsi="Arial" w:cs="Arial"/>
          <w:b/>
          <w:sz w:val="26"/>
          <w:szCs w:val="26"/>
        </w:rPr>
        <w:t>/201</w:t>
      </w:r>
      <w:r w:rsidR="00C5669E">
        <w:rPr>
          <w:rFonts w:ascii="Arial" w:hAnsi="Arial" w:cs="Arial"/>
          <w:b/>
          <w:sz w:val="26"/>
          <w:szCs w:val="26"/>
        </w:rPr>
        <w:t>9</w:t>
      </w:r>
      <w:r w:rsidRPr="00CB6405">
        <w:rPr>
          <w:rFonts w:ascii="Arial" w:hAnsi="Arial" w:cs="Arial"/>
          <w:sz w:val="26"/>
          <w:szCs w:val="26"/>
        </w:rPr>
        <w:t xml:space="preserve"> de la </w:t>
      </w:r>
      <w:r w:rsidR="00BA3205">
        <w:rPr>
          <w:rFonts w:ascii="Arial" w:hAnsi="Arial" w:cs="Arial"/>
          <w:sz w:val="26"/>
          <w:szCs w:val="26"/>
        </w:rPr>
        <w:t xml:space="preserve">Quinta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00C5669E">
        <w:rPr>
          <w:rFonts w:ascii="Arial" w:hAnsi="Arial" w:cs="Arial"/>
          <w:sz w:val="26"/>
          <w:szCs w:val="26"/>
        </w:rPr>
        <w:t xml:space="preserve"> </w:t>
      </w:r>
      <w:r w:rsidR="00BE4E5F">
        <w:rPr>
          <w:rFonts w:ascii="Arial" w:hAnsi="Arial" w:cs="Arial"/>
          <w:b/>
          <w:sz w:val="26"/>
          <w:szCs w:val="26"/>
        </w:rPr>
        <w:t>***********</w:t>
      </w:r>
      <w:r w:rsidR="00A644EC">
        <w:rPr>
          <w:rFonts w:ascii="Arial" w:hAnsi="Arial" w:cs="Arial"/>
          <w:b/>
          <w:sz w:val="26"/>
          <w:szCs w:val="26"/>
        </w:rPr>
        <w:t xml:space="preserve">, </w:t>
      </w:r>
      <w:r w:rsidR="00A644EC">
        <w:rPr>
          <w:rFonts w:ascii="Arial" w:hAnsi="Arial" w:cs="Arial"/>
          <w:bCs/>
          <w:sz w:val="26"/>
          <w:szCs w:val="26"/>
        </w:rPr>
        <w:t>en contra de</w:t>
      </w:r>
      <w:r w:rsidR="00764679">
        <w:rPr>
          <w:rFonts w:ascii="Arial" w:hAnsi="Arial" w:cs="Arial"/>
          <w:bCs/>
          <w:sz w:val="26"/>
          <w:szCs w:val="26"/>
        </w:rPr>
        <w:t xml:space="preserve"> </w:t>
      </w:r>
      <w:r w:rsidR="00A644EC">
        <w:rPr>
          <w:rFonts w:ascii="Arial" w:hAnsi="Arial" w:cs="Arial"/>
          <w:bCs/>
          <w:sz w:val="26"/>
          <w:szCs w:val="26"/>
        </w:rPr>
        <w:t>l</w:t>
      </w:r>
      <w:r w:rsidR="00764679">
        <w:rPr>
          <w:rFonts w:ascii="Arial" w:hAnsi="Arial" w:cs="Arial"/>
          <w:bCs/>
          <w:sz w:val="26"/>
          <w:szCs w:val="26"/>
        </w:rPr>
        <w:t>a</w:t>
      </w:r>
      <w:r w:rsidR="00A644EC">
        <w:rPr>
          <w:rFonts w:ascii="Arial" w:hAnsi="Arial" w:cs="Arial"/>
          <w:bCs/>
          <w:sz w:val="26"/>
          <w:szCs w:val="26"/>
        </w:rPr>
        <w:t xml:space="preserve"> </w:t>
      </w:r>
      <w:r w:rsidR="00C5669E" w:rsidRPr="00C5669E">
        <w:rPr>
          <w:rFonts w:ascii="Arial" w:hAnsi="Arial" w:cs="Arial"/>
          <w:b/>
          <w:bCs/>
          <w:sz w:val="26"/>
          <w:szCs w:val="26"/>
        </w:rPr>
        <w:t>DIRECTOR</w:t>
      </w:r>
      <w:r w:rsidR="00764679">
        <w:rPr>
          <w:rFonts w:ascii="Arial" w:hAnsi="Arial" w:cs="Arial"/>
          <w:b/>
          <w:bCs/>
          <w:sz w:val="26"/>
          <w:szCs w:val="26"/>
        </w:rPr>
        <w:t>A</w:t>
      </w:r>
      <w:r w:rsidR="00C5669E" w:rsidRPr="00C5669E">
        <w:rPr>
          <w:rFonts w:ascii="Arial" w:hAnsi="Arial" w:cs="Arial"/>
          <w:b/>
          <w:bCs/>
          <w:sz w:val="26"/>
          <w:szCs w:val="26"/>
        </w:rPr>
        <w:t xml:space="preserve"> DE INGRESOS Y RECAUDACIÓN</w:t>
      </w:r>
      <w:r w:rsidR="00BA3205">
        <w:rPr>
          <w:rFonts w:ascii="Arial" w:hAnsi="Arial" w:cs="Arial"/>
          <w:b/>
          <w:bCs/>
          <w:sz w:val="26"/>
          <w:szCs w:val="26"/>
        </w:rPr>
        <w:t xml:space="preserve"> </w:t>
      </w:r>
      <w:r w:rsidR="000D6F9B">
        <w:rPr>
          <w:rFonts w:ascii="Arial" w:hAnsi="Arial" w:cs="Arial"/>
          <w:b/>
          <w:bCs/>
          <w:sz w:val="26"/>
          <w:szCs w:val="26"/>
        </w:rPr>
        <w:t xml:space="preserve">DEPENDIENTE DE LA SUBSECRETARÍA DE INGRESOS DE LA </w:t>
      </w:r>
      <w:r w:rsidR="00C5669E" w:rsidRPr="00C5669E">
        <w:rPr>
          <w:rFonts w:ascii="Arial" w:hAnsi="Arial" w:cs="Arial"/>
          <w:b/>
          <w:bCs/>
          <w:sz w:val="26"/>
          <w:szCs w:val="26"/>
        </w:rPr>
        <w:t>SECRETARÍA DE FINANZAS DE PODER EJECUTIVO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14:paraId="512DD12E" w14:textId="77777777"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65BEA149" w14:textId="6E1C07C3"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de</w:t>
      </w:r>
      <w:r w:rsidR="005A4C18">
        <w:rPr>
          <w:rFonts w:ascii="Arial" w:hAnsi="Arial" w:cs="Arial"/>
          <w:sz w:val="26"/>
          <w:szCs w:val="26"/>
        </w:rPr>
        <w:t xml:space="preserve"> </w:t>
      </w:r>
      <w:r w:rsidR="00BA3205">
        <w:rPr>
          <w:rFonts w:ascii="Arial" w:hAnsi="Arial" w:cs="Arial"/>
          <w:sz w:val="26"/>
          <w:szCs w:val="26"/>
        </w:rPr>
        <w:t>veint</w:t>
      </w:r>
      <w:r w:rsidR="000D6F9B">
        <w:rPr>
          <w:rFonts w:ascii="Arial" w:hAnsi="Arial" w:cs="Arial"/>
          <w:sz w:val="26"/>
          <w:szCs w:val="26"/>
        </w:rPr>
        <w:t>e</w:t>
      </w:r>
      <w:r w:rsidR="00BA3205">
        <w:rPr>
          <w:rFonts w:ascii="Arial" w:hAnsi="Arial" w:cs="Arial"/>
          <w:sz w:val="26"/>
          <w:szCs w:val="26"/>
        </w:rPr>
        <w:t xml:space="preserve"> de septiembre</w:t>
      </w:r>
      <w:r w:rsidR="00764679">
        <w:rPr>
          <w:rFonts w:ascii="Arial" w:hAnsi="Arial" w:cs="Arial"/>
          <w:sz w:val="26"/>
          <w:szCs w:val="26"/>
        </w:rPr>
        <w:t xml:space="preserve"> de </w:t>
      </w:r>
      <w:r w:rsidR="00764679" w:rsidRPr="00CB6405">
        <w:rPr>
          <w:rFonts w:ascii="Arial" w:hAnsi="Arial" w:cs="Arial"/>
          <w:sz w:val="26"/>
          <w:szCs w:val="26"/>
        </w:rPr>
        <w:t>dos mil diec</w:t>
      </w:r>
      <w:r w:rsidR="00764679">
        <w:rPr>
          <w:rFonts w:ascii="Arial" w:hAnsi="Arial" w:cs="Arial"/>
          <w:sz w:val="26"/>
          <w:szCs w:val="26"/>
        </w:rPr>
        <w:t>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BA3205">
        <w:rPr>
          <w:rFonts w:ascii="Arial" w:hAnsi="Arial" w:cs="Arial"/>
          <w:sz w:val="26"/>
          <w:szCs w:val="26"/>
        </w:rPr>
        <w:t xml:space="preserve">Quinta </w:t>
      </w:r>
      <w:r w:rsidRPr="00CB6405">
        <w:rPr>
          <w:rFonts w:ascii="Arial" w:hAnsi="Arial" w:cs="Arial"/>
          <w:sz w:val="26"/>
          <w:szCs w:val="26"/>
        </w:rPr>
        <w:t xml:space="preserve">Sala Unitaria de Primera Instancia, </w:t>
      </w:r>
      <w:r w:rsidR="00C5669E" w:rsidRPr="00C5669E">
        <w:rPr>
          <w:rFonts w:ascii="Arial" w:hAnsi="Arial" w:cs="Arial"/>
          <w:sz w:val="26"/>
          <w:szCs w:val="26"/>
        </w:rPr>
        <w:t>la</w:t>
      </w:r>
      <w:r w:rsidR="00C5669E">
        <w:rPr>
          <w:rFonts w:ascii="Arial" w:hAnsi="Arial" w:cs="Arial"/>
          <w:b/>
          <w:sz w:val="26"/>
          <w:szCs w:val="26"/>
        </w:rPr>
        <w:t xml:space="preserve"> DIRECTORA DE LO CONTENCIOSO DE LA PROCURADURÍA FISCAL DEPENDIENTE DE LA SUBSECRETARÍA DE INGRESOS DE LA SECRETARÍA DE FINANZAS DEL PODER EJECUTIVO DEL ESTADO DE OAXACA</w:t>
      </w:r>
      <w:r w:rsidR="00DE569E" w:rsidRPr="00CB6405">
        <w:rPr>
          <w:rFonts w:ascii="Arial" w:hAnsi="Arial" w:cs="Arial"/>
          <w:sz w:val="26"/>
          <w:szCs w:val="26"/>
        </w:rPr>
        <w:t xml:space="preserve">, </w:t>
      </w:r>
      <w:r w:rsidRPr="00CB6405">
        <w:rPr>
          <w:rFonts w:ascii="Arial" w:hAnsi="Arial" w:cs="Arial"/>
          <w:sz w:val="26"/>
          <w:szCs w:val="26"/>
        </w:rPr>
        <w:t>interpuso en su contra recurso de revisión.</w:t>
      </w:r>
    </w:p>
    <w:p w14:paraId="5D3E5A9D" w14:textId="77777777" w:rsidR="005770C1" w:rsidRDefault="005770C1" w:rsidP="005770C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3C2724DC" w14:textId="40B8F922" w:rsidR="005770C1" w:rsidRPr="00C06661" w:rsidRDefault="005770C1" w:rsidP="002D2A9D">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lastRenderedPageBreak/>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BA3205">
        <w:rPr>
          <w:rFonts w:ascii="Arial" w:eastAsia="Times New Roman" w:hAnsi="Arial" w:cs="Arial"/>
          <w:bCs/>
          <w:i/>
          <w:iCs/>
          <w:sz w:val="24"/>
          <w:szCs w:val="24"/>
          <w:lang w:eastAsia="es-ES"/>
        </w:rPr>
        <w:t xml:space="preserve">Quinta </w:t>
      </w:r>
      <w:r w:rsidRPr="00C06661">
        <w:rPr>
          <w:rFonts w:ascii="Arial" w:eastAsia="Times New Roman" w:hAnsi="Arial" w:cs="Arial"/>
          <w:bCs/>
          <w:i/>
          <w:iCs/>
          <w:sz w:val="24"/>
          <w:szCs w:val="24"/>
          <w:lang w:eastAsia="es-ES"/>
        </w:rPr>
        <w:t xml:space="preserve">Sala </w:t>
      </w:r>
      <w:r w:rsidR="00BA3205">
        <w:rPr>
          <w:rFonts w:ascii="Arial" w:eastAsia="Times New Roman" w:hAnsi="Arial" w:cs="Arial"/>
          <w:bCs/>
          <w:i/>
          <w:iCs/>
          <w:sz w:val="24"/>
          <w:szCs w:val="24"/>
          <w:lang w:eastAsia="es-ES"/>
        </w:rPr>
        <w:t>Unitaria del Tribunal de Justicia Administrativa del Estado de Oaxaca, es competente para conocer y resolver el presente juicio</w:t>
      </w:r>
      <w:r w:rsidRPr="00C06661">
        <w:rPr>
          <w:rFonts w:ascii="Arial" w:eastAsia="Times New Roman" w:hAnsi="Arial" w:cs="Arial"/>
          <w:bCs/>
          <w:i/>
          <w:iCs/>
          <w:sz w:val="24"/>
          <w:szCs w:val="24"/>
          <w:lang w:eastAsia="es-ES"/>
        </w:rPr>
        <w:t xml:space="preserve">.- - - - </w:t>
      </w:r>
      <w:r w:rsidR="00BA3205">
        <w:rPr>
          <w:rFonts w:ascii="Arial" w:eastAsia="Times New Roman" w:hAnsi="Arial" w:cs="Arial"/>
          <w:bCs/>
          <w:i/>
          <w:iCs/>
          <w:sz w:val="24"/>
          <w:szCs w:val="24"/>
          <w:lang w:eastAsia="es-ES"/>
        </w:rPr>
        <w:t xml:space="preserve">- - - - - - - - - - </w:t>
      </w:r>
      <w:r w:rsidRPr="00C06661">
        <w:rPr>
          <w:rFonts w:ascii="Arial" w:eastAsia="Times New Roman" w:hAnsi="Arial" w:cs="Arial"/>
          <w:b/>
          <w:bCs/>
          <w:i/>
          <w:iCs/>
          <w:sz w:val="24"/>
          <w:szCs w:val="24"/>
          <w:lang w:eastAsia="es-ES"/>
        </w:rPr>
        <w:t xml:space="preserve">SEGUNDO. </w:t>
      </w:r>
      <w:r w:rsidR="004E7657">
        <w:rPr>
          <w:rFonts w:ascii="Arial" w:eastAsia="Times New Roman" w:hAnsi="Arial" w:cs="Arial"/>
          <w:bCs/>
          <w:i/>
          <w:iCs/>
          <w:sz w:val="24"/>
          <w:szCs w:val="24"/>
          <w:lang w:eastAsia="es-ES"/>
        </w:rPr>
        <w:t xml:space="preserve">La personalidad de las partes quedó </w:t>
      </w:r>
      <w:r w:rsidR="00BA3205">
        <w:rPr>
          <w:rFonts w:ascii="Arial" w:eastAsia="Times New Roman" w:hAnsi="Arial" w:cs="Arial"/>
          <w:bCs/>
          <w:i/>
          <w:iCs/>
          <w:sz w:val="24"/>
          <w:szCs w:val="24"/>
          <w:lang w:eastAsia="es-ES"/>
        </w:rPr>
        <w:t>acreditada en autos</w:t>
      </w:r>
      <w:r w:rsidRPr="00C06661">
        <w:rPr>
          <w:rFonts w:ascii="Arial" w:eastAsia="Times New Roman" w:hAnsi="Arial" w:cs="Arial"/>
          <w:bCs/>
          <w:i/>
          <w:iCs/>
          <w:sz w:val="24"/>
          <w:szCs w:val="24"/>
          <w:lang w:eastAsia="es-ES"/>
        </w:rPr>
        <w:t xml:space="preserve">.- - - - - - - - </w:t>
      </w:r>
      <w:r w:rsidR="00BA3205">
        <w:rPr>
          <w:rFonts w:ascii="Arial" w:eastAsia="Times New Roman" w:hAnsi="Arial" w:cs="Arial"/>
          <w:bCs/>
          <w:i/>
          <w:iCs/>
          <w:sz w:val="24"/>
          <w:szCs w:val="24"/>
          <w:lang w:eastAsia="es-ES"/>
        </w:rPr>
        <w:t>-- - - - - - - - - - - - - - - - - - - - - - - - - - - -</w:t>
      </w:r>
      <w:r w:rsidRPr="00C06661">
        <w:rPr>
          <w:rFonts w:ascii="Arial" w:eastAsia="Times New Roman" w:hAnsi="Arial" w:cs="Arial"/>
          <w:b/>
          <w:bCs/>
          <w:i/>
          <w:iCs/>
          <w:sz w:val="24"/>
          <w:szCs w:val="24"/>
          <w:lang w:eastAsia="es-ES"/>
        </w:rPr>
        <w:t xml:space="preserve">TERCERO. </w:t>
      </w:r>
      <w:r w:rsidR="00BA3205">
        <w:rPr>
          <w:rFonts w:ascii="Arial" w:eastAsia="Times New Roman" w:hAnsi="Arial" w:cs="Arial"/>
          <w:bCs/>
          <w:i/>
          <w:iCs/>
          <w:sz w:val="24"/>
          <w:szCs w:val="24"/>
          <w:lang w:eastAsia="es-ES"/>
        </w:rPr>
        <w:t>E</w:t>
      </w:r>
      <w:r w:rsidR="00DB7083">
        <w:rPr>
          <w:rFonts w:ascii="Arial" w:eastAsia="Times New Roman" w:hAnsi="Arial" w:cs="Arial"/>
          <w:bCs/>
          <w:i/>
          <w:iCs/>
          <w:sz w:val="24"/>
          <w:szCs w:val="24"/>
          <w:lang w:eastAsia="es-ES"/>
        </w:rPr>
        <w:t xml:space="preserve">ste Juzgador advierte que, en el presente juicio no se configuran ninguna causal de improcedencia y sobreseimiento contenidas en los numerales 161 y 162 de la Ley de Procedimiento y Justicia Administrativa del Estado de Oaxaca, por tanto, </w:t>
      </w:r>
      <w:r w:rsidR="00DB7083">
        <w:rPr>
          <w:rFonts w:ascii="Arial" w:eastAsia="Times New Roman" w:hAnsi="Arial" w:cs="Arial"/>
          <w:b/>
          <w:i/>
          <w:iCs/>
          <w:sz w:val="24"/>
          <w:szCs w:val="24"/>
          <w:lang w:eastAsia="es-ES"/>
        </w:rPr>
        <w:t xml:space="preserve">NO SE SOBRESEE, </w:t>
      </w:r>
      <w:r w:rsidR="00DB7083">
        <w:rPr>
          <w:rFonts w:ascii="Arial" w:eastAsia="Times New Roman" w:hAnsi="Arial" w:cs="Arial"/>
          <w:bCs/>
          <w:i/>
          <w:iCs/>
          <w:sz w:val="24"/>
          <w:szCs w:val="24"/>
          <w:lang w:eastAsia="es-ES"/>
        </w:rPr>
        <w:t xml:space="preserve">el presente juicio en términos del considerando </w:t>
      </w:r>
      <w:r w:rsidR="00DB7083">
        <w:rPr>
          <w:rFonts w:ascii="Arial" w:eastAsia="Times New Roman" w:hAnsi="Arial" w:cs="Arial"/>
          <w:b/>
          <w:i/>
          <w:iCs/>
          <w:sz w:val="24"/>
          <w:szCs w:val="24"/>
          <w:lang w:eastAsia="es-ES"/>
        </w:rPr>
        <w:t xml:space="preserve">TERCERO </w:t>
      </w:r>
      <w:r w:rsidR="00DB7083">
        <w:rPr>
          <w:rFonts w:ascii="Arial" w:eastAsia="Times New Roman" w:hAnsi="Arial" w:cs="Arial"/>
          <w:bCs/>
          <w:i/>
          <w:iCs/>
          <w:sz w:val="24"/>
          <w:szCs w:val="24"/>
          <w:lang w:eastAsia="es-ES"/>
        </w:rPr>
        <w:t>de este fallo</w:t>
      </w:r>
      <w:r w:rsidR="004E7657" w:rsidRPr="00C5669E">
        <w:rPr>
          <w:rFonts w:ascii="Arial" w:eastAsia="Times New Roman" w:hAnsi="Arial" w:cs="Arial"/>
          <w:bCs/>
          <w:i/>
          <w:iCs/>
          <w:sz w:val="24"/>
          <w:szCs w:val="24"/>
          <w:lang w:eastAsia="es-ES"/>
        </w:rPr>
        <w:t>.</w:t>
      </w:r>
      <w:r w:rsidR="00DE569E">
        <w:rPr>
          <w:rFonts w:ascii="Arial" w:eastAsia="Times New Roman" w:hAnsi="Arial" w:cs="Arial"/>
          <w:bCs/>
          <w:i/>
          <w:iCs/>
          <w:sz w:val="24"/>
          <w:szCs w:val="24"/>
          <w:lang w:eastAsia="es-ES"/>
        </w:rPr>
        <w:t xml:space="preserve">- - - - - - - </w:t>
      </w:r>
      <w:r w:rsidR="004E7657">
        <w:rPr>
          <w:rFonts w:ascii="Arial" w:eastAsia="Times New Roman" w:hAnsi="Arial" w:cs="Arial"/>
          <w:b/>
          <w:bCs/>
          <w:i/>
          <w:iCs/>
          <w:sz w:val="24"/>
          <w:szCs w:val="24"/>
          <w:lang w:eastAsia="es-ES"/>
        </w:rPr>
        <w:t xml:space="preserve">CUARTO.- </w:t>
      </w:r>
      <w:r w:rsidR="00DB7083" w:rsidRPr="00DB7083">
        <w:rPr>
          <w:rFonts w:ascii="Arial" w:eastAsia="Times New Roman" w:hAnsi="Arial" w:cs="Arial"/>
          <w:b/>
          <w:i/>
          <w:iCs/>
          <w:sz w:val="24"/>
          <w:szCs w:val="24"/>
          <w:lang w:eastAsia="es-ES"/>
        </w:rPr>
        <w:t>SE DECLARA LA</w:t>
      </w:r>
      <w:r w:rsidR="00DB7083">
        <w:rPr>
          <w:rFonts w:ascii="Arial" w:eastAsia="Times New Roman" w:hAnsi="Arial" w:cs="Arial"/>
          <w:bCs/>
          <w:i/>
          <w:iCs/>
          <w:sz w:val="24"/>
          <w:szCs w:val="24"/>
          <w:lang w:eastAsia="es-ES"/>
        </w:rPr>
        <w:t xml:space="preserve"> </w:t>
      </w:r>
      <w:r w:rsidR="002D2A9D">
        <w:rPr>
          <w:rFonts w:ascii="Arial" w:eastAsia="Times New Roman" w:hAnsi="Arial" w:cs="Arial"/>
          <w:b/>
          <w:bCs/>
          <w:i/>
          <w:iCs/>
          <w:sz w:val="24"/>
          <w:szCs w:val="24"/>
          <w:lang w:eastAsia="es-ES"/>
        </w:rPr>
        <w:t xml:space="preserve">NULIDAD LISA Y LLANA </w:t>
      </w:r>
      <w:r w:rsidR="00DB7083">
        <w:rPr>
          <w:rFonts w:ascii="Arial" w:eastAsia="Times New Roman" w:hAnsi="Arial" w:cs="Arial"/>
          <w:b/>
          <w:bCs/>
          <w:i/>
          <w:iCs/>
          <w:sz w:val="24"/>
          <w:szCs w:val="24"/>
          <w:lang w:eastAsia="es-ES"/>
        </w:rPr>
        <w:t xml:space="preserve">DEL ACTO </w:t>
      </w:r>
      <w:r w:rsidR="00DB7083">
        <w:rPr>
          <w:rFonts w:ascii="Arial" w:eastAsia="Times New Roman" w:hAnsi="Arial" w:cs="Arial"/>
          <w:i/>
          <w:iCs/>
          <w:sz w:val="24"/>
          <w:szCs w:val="24"/>
          <w:lang w:eastAsia="es-ES"/>
        </w:rPr>
        <w:t>consistente en la M</w:t>
      </w:r>
      <w:r w:rsidR="00461044">
        <w:rPr>
          <w:rFonts w:ascii="Arial" w:eastAsia="Times New Roman" w:hAnsi="Arial" w:cs="Arial"/>
          <w:bCs/>
          <w:i/>
          <w:iCs/>
          <w:sz w:val="24"/>
          <w:szCs w:val="24"/>
          <w:lang w:eastAsia="es-ES"/>
        </w:rPr>
        <w:t xml:space="preserve">ulta por </w:t>
      </w:r>
      <w:r w:rsidR="00DB7083">
        <w:rPr>
          <w:rFonts w:ascii="Arial" w:eastAsia="Times New Roman" w:hAnsi="Arial" w:cs="Arial"/>
          <w:bCs/>
          <w:i/>
          <w:iCs/>
          <w:sz w:val="24"/>
          <w:szCs w:val="24"/>
          <w:lang w:eastAsia="es-ES"/>
        </w:rPr>
        <w:t>I</w:t>
      </w:r>
      <w:r w:rsidR="00461044">
        <w:rPr>
          <w:rFonts w:ascii="Arial" w:eastAsia="Times New Roman" w:hAnsi="Arial" w:cs="Arial"/>
          <w:bCs/>
          <w:i/>
          <w:iCs/>
          <w:sz w:val="24"/>
          <w:szCs w:val="24"/>
          <w:lang w:eastAsia="es-ES"/>
        </w:rPr>
        <w:t xml:space="preserve">nfracción relacionada con la </w:t>
      </w:r>
      <w:r w:rsidR="00DB7083">
        <w:rPr>
          <w:rFonts w:ascii="Arial" w:eastAsia="Times New Roman" w:hAnsi="Arial" w:cs="Arial"/>
          <w:bCs/>
          <w:i/>
          <w:iCs/>
          <w:sz w:val="24"/>
          <w:szCs w:val="24"/>
          <w:lang w:eastAsia="es-ES"/>
        </w:rPr>
        <w:t>P</w:t>
      </w:r>
      <w:r w:rsidR="00461044">
        <w:rPr>
          <w:rFonts w:ascii="Arial" w:eastAsia="Times New Roman" w:hAnsi="Arial" w:cs="Arial"/>
          <w:bCs/>
          <w:i/>
          <w:iCs/>
          <w:sz w:val="24"/>
          <w:szCs w:val="24"/>
          <w:lang w:eastAsia="es-ES"/>
        </w:rPr>
        <w:t xml:space="preserve">resentación de Declaraciones del Impuesto Cedular los Ingresos por el Otorgamiento del Uso o Goce Temporal de Bienes </w:t>
      </w:r>
      <w:r w:rsidR="00DB7083">
        <w:rPr>
          <w:rFonts w:ascii="Arial" w:eastAsia="Times New Roman" w:hAnsi="Arial" w:cs="Arial"/>
          <w:bCs/>
          <w:i/>
          <w:iCs/>
          <w:sz w:val="24"/>
          <w:szCs w:val="24"/>
          <w:lang w:eastAsia="es-ES"/>
        </w:rPr>
        <w:t>I</w:t>
      </w:r>
      <w:r w:rsidR="00461044">
        <w:rPr>
          <w:rFonts w:ascii="Arial" w:eastAsia="Times New Roman" w:hAnsi="Arial" w:cs="Arial"/>
          <w:bCs/>
          <w:i/>
          <w:iCs/>
          <w:sz w:val="24"/>
          <w:szCs w:val="24"/>
          <w:lang w:eastAsia="es-ES"/>
        </w:rPr>
        <w:t xml:space="preserve">nmuebles, </w:t>
      </w:r>
      <w:r w:rsidR="00DB7083">
        <w:rPr>
          <w:rFonts w:ascii="Arial" w:eastAsia="Times New Roman" w:hAnsi="Arial" w:cs="Arial"/>
          <w:bCs/>
          <w:i/>
          <w:iCs/>
          <w:sz w:val="24"/>
          <w:szCs w:val="24"/>
          <w:lang w:eastAsia="es-ES"/>
        </w:rPr>
        <w:t xml:space="preserve">con número de control </w:t>
      </w:r>
      <w:r w:rsidR="00BE4E5F">
        <w:rPr>
          <w:rFonts w:ascii="Arial" w:hAnsi="Arial" w:cs="Arial"/>
          <w:b/>
          <w:sz w:val="26"/>
          <w:szCs w:val="26"/>
        </w:rPr>
        <w:t>***********</w:t>
      </w:r>
      <w:r w:rsidR="00461044">
        <w:rPr>
          <w:rFonts w:ascii="Arial" w:eastAsia="Times New Roman" w:hAnsi="Arial" w:cs="Arial"/>
          <w:bCs/>
          <w:i/>
          <w:iCs/>
          <w:sz w:val="24"/>
          <w:szCs w:val="24"/>
          <w:lang w:eastAsia="es-ES"/>
        </w:rPr>
        <w:t>,</w:t>
      </w:r>
      <w:r w:rsidR="00DB7083">
        <w:rPr>
          <w:rFonts w:ascii="Arial" w:eastAsia="Times New Roman" w:hAnsi="Arial" w:cs="Arial"/>
          <w:bCs/>
          <w:i/>
          <w:iCs/>
          <w:sz w:val="24"/>
          <w:szCs w:val="24"/>
          <w:lang w:eastAsia="es-ES"/>
        </w:rPr>
        <w:t xml:space="preserve"> de veinte de febrero de dos mil diecinueve, emitida por la </w:t>
      </w:r>
      <w:r w:rsidR="00DB7083">
        <w:rPr>
          <w:rFonts w:ascii="Arial" w:eastAsia="Times New Roman" w:hAnsi="Arial" w:cs="Arial"/>
          <w:b/>
          <w:i/>
          <w:iCs/>
          <w:sz w:val="24"/>
          <w:szCs w:val="24"/>
          <w:lang w:eastAsia="es-ES"/>
        </w:rPr>
        <w:t xml:space="preserve">DIRECTORA DE INGRESOS Y RECAUDACIÓN DE LA SECRETARÍA DE FINANZAS DEL ESTADO DE OAXACA </w:t>
      </w:r>
      <w:r w:rsidR="00DB7083">
        <w:rPr>
          <w:rFonts w:ascii="Arial" w:eastAsia="Times New Roman" w:hAnsi="Arial" w:cs="Arial"/>
          <w:bCs/>
          <w:i/>
          <w:iCs/>
          <w:sz w:val="24"/>
          <w:szCs w:val="24"/>
          <w:lang w:eastAsia="es-ES"/>
        </w:rPr>
        <w:t xml:space="preserve">por las razones esgrimidas en el considerando </w:t>
      </w:r>
      <w:r w:rsidR="00DB7083">
        <w:rPr>
          <w:rFonts w:ascii="Arial" w:eastAsia="Times New Roman" w:hAnsi="Arial" w:cs="Arial"/>
          <w:b/>
          <w:i/>
          <w:iCs/>
          <w:sz w:val="24"/>
          <w:szCs w:val="24"/>
          <w:lang w:eastAsia="es-ES"/>
        </w:rPr>
        <w:t xml:space="preserve">CUARTO </w:t>
      </w:r>
      <w:r w:rsidR="00461044">
        <w:rPr>
          <w:rFonts w:ascii="Arial" w:eastAsia="Times New Roman" w:hAnsi="Arial" w:cs="Arial"/>
          <w:bCs/>
          <w:i/>
          <w:iCs/>
          <w:sz w:val="24"/>
          <w:szCs w:val="24"/>
          <w:lang w:eastAsia="es-ES"/>
        </w:rPr>
        <w:t>de esta sentencia</w:t>
      </w:r>
      <w:r w:rsidR="00764679">
        <w:rPr>
          <w:rFonts w:ascii="Arial" w:eastAsia="Times New Roman" w:hAnsi="Arial" w:cs="Arial"/>
          <w:bCs/>
          <w:i/>
          <w:iCs/>
          <w:sz w:val="24"/>
          <w:szCs w:val="24"/>
          <w:lang w:eastAsia="es-ES"/>
        </w:rPr>
        <w:t xml:space="preserve">.- - - - - - - - </w:t>
      </w:r>
      <w:r w:rsidR="00461044">
        <w:rPr>
          <w:rFonts w:ascii="Arial" w:eastAsia="Times New Roman" w:hAnsi="Arial" w:cs="Arial"/>
          <w:bCs/>
          <w:i/>
          <w:iCs/>
          <w:sz w:val="24"/>
          <w:szCs w:val="24"/>
          <w:lang w:eastAsia="es-ES"/>
        </w:rPr>
        <w:t xml:space="preserve">- - - - - - </w:t>
      </w:r>
      <w:r w:rsidR="00764679">
        <w:rPr>
          <w:rFonts w:ascii="Arial" w:eastAsia="Times New Roman" w:hAnsi="Arial" w:cs="Arial"/>
          <w:b/>
          <w:bCs/>
          <w:i/>
          <w:iCs/>
          <w:sz w:val="24"/>
          <w:szCs w:val="24"/>
          <w:lang w:eastAsia="es-ES"/>
        </w:rPr>
        <w:t xml:space="preserve">QUINTO.- </w:t>
      </w:r>
      <w:r w:rsidR="007F3025">
        <w:rPr>
          <w:rFonts w:ascii="Arial" w:eastAsia="Times New Roman" w:hAnsi="Arial" w:cs="Arial"/>
          <w:bCs/>
          <w:i/>
          <w:iCs/>
          <w:sz w:val="24"/>
          <w:szCs w:val="24"/>
          <w:lang w:eastAsia="es-ES"/>
        </w:rPr>
        <w:t>Con</w:t>
      </w:r>
      <w:r w:rsidR="00166BBF">
        <w:rPr>
          <w:rFonts w:ascii="Arial" w:eastAsia="Times New Roman" w:hAnsi="Arial" w:cs="Arial"/>
          <w:bCs/>
          <w:i/>
          <w:iCs/>
          <w:sz w:val="24"/>
          <w:szCs w:val="24"/>
          <w:lang w:eastAsia="es-ES"/>
        </w:rPr>
        <w:t>forme a lo dispuesto</w:t>
      </w:r>
      <w:r w:rsidR="00B17CE7">
        <w:rPr>
          <w:rFonts w:ascii="Arial" w:eastAsia="Times New Roman" w:hAnsi="Arial" w:cs="Arial"/>
          <w:bCs/>
          <w:i/>
          <w:iCs/>
          <w:sz w:val="24"/>
          <w:szCs w:val="24"/>
          <w:lang w:eastAsia="es-ES"/>
        </w:rPr>
        <w:t xml:space="preserve"> en</w:t>
      </w:r>
      <w:r w:rsidR="00166BBF">
        <w:rPr>
          <w:rFonts w:ascii="Arial" w:eastAsia="Times New Roman" w:hAnsi="Arial" w:cs="Arial"/>
          <w:bCs/>
          <w:i/>
          <w:iCs/>
          <w:sz w:val="24"/>
          <w:szCs w:val="24"/>
          <w:lang w:eastAsia="es-ES"/>
        </w:rPr>
        <w:t xml:space="preserve"> l</w:t>
      </w:r>
      <w:r w:rsidR="00664AD1">
        <w:rPr>
          <w:rFonts w:ascii="Arial" w:eastAsia="Times New Roman" w:hAnsi="Arial" w:cs="Arial"/>
          <w:bCs/>
          <w:i/>
          <w:iCs/>
          <w:sz w:val="24"/>
          <w:szCs w:val="24"/>
          <w:lang w:eastAsia="es-ES"/>
        </w:rPr>
        <w:t>os</w:t>
      </w:r>
      <w:r w:rsidR="00166BBF">
        <w:rPr>
          <w:rFonts w:ascii="Arial" w:eastAsia="Times New Roman" w:hAnsi="Arial" w:cs="Arial"/>
          <w:bCs/>
          <w:i/>
          <w:iCs/>
          <w:sz w:val="24"/>
          <w:szCs w:val="24"/>
          <w:lang w:eastAsia="es-ES"/>
        </w:rPr>
        <w:t xml:space="preserve"> artículo</w:t>
      </w:r>
      <w:r w:rsidR="00664AD1">
        <w:rPr>
          <w:rFonts w:ascii="Arial" w:eastAsia="Times New Roman" w:hAnsi="Arial" w:cs="Arial"/>
          <w:bCs/>
          <w:i/>
          <w:iCs/>
          <w:sz w:val="24"/>
          <w:szCs w:val="24"/>
          <w:lang w:eastAsia="es-ES"/>
        </w:rPr>
        <w:t>s</w:t>
      </w:r>
      <w:r w:rsidR="00166BBF">
        <w:rPr>
          <w:rFonts w:ascii="Arial" w:eastAsia="Times New Roman" w:hAnsi="Arial" w:cs="Arial"/>
          <w:bCs/>
          <w:i/>
          <w:iCs/>
          <w:sz w:val="24"/>
          <w:szCs w:val="24"/>
          <w:lang w:eastAsia="es-ES"/>
        </w:rPr>
        <w:t xml:space="preserve"> </w:t>
      </w:r>
      <w:r w:rsidR="00664AD1">
        <w:rPr>
          <w:rFonts w:ascii="Arial" w:eastAsia="Times New Roman" w:hAnsi="Arial" w:cs="Arial"/>
          <w:bCs/>
          <w:i/>
          <w:iCs/>
          <w:sz w:val="24"/>
          <w:szCs w:val="24"/>
          <w:lang w:eastAsia="es-ES"/>
        </w:rPr>
        <w:t>172</w:t>
      </w:r>
      <w:r w:rsidR="00DB7083">
        <w:rPr>
          <w:rFonts w:ascii="Arial" w:eastAsia="Times New Roman" w:hAnsi="Arial" w:cs="Arial"/>
          <w:bCs/>
          <w:i/>
          <w:iCs/>
          <w:sz w:val="24"/>
          <w:szCs w:val="24"/>
          <w:lang w:eastAsia="es-ES"/>
        </w:rPr>
        <w:t>, fracción I, 1</w:t>
      </w:r>
      <w:r w:rsidR="00166BBF">
        <w:rPr>
          <w:rFonts w:ascii="Arial" w:eastAsia="Times New Roman" w:hAnsi="Arial" w:cs="Arial"/>
          <w:bCs/>
          <w:i/>
          <w:iCs/>
          <w:sz w:val="24"/>
          <w:szCs w:val="24"/>
          <w:lang w:eastAsia="es-ES"/>
        </w:rPr>
        <w:t xml:space="preserve">73 </w:t>
      </w:r>
      <w:r w:rsidR="00DB7083">
        <w:rPr>
          <w:rFonts w:ascii="Arial" w:eastAsia="Times New Roman" w:hAnsi="Arial" w:cs="Arial"/>
          <w:bCs/>
          <w:i/>
          <w:iCs/>
          <w:sz w:val="24"/>
          <w:szCs w:val="24"/>
          <w:lang w:eastAsia="es-ES"/>
        </w:rPr>
        <w:t xml:space="preserve">fracciones I y II, </w:t>
      </w:r>
      <w:r>
        <w:rPr>
          <w:rFonts w:ascii="Arial" w:eastAsia="Times New Roman" w:hAnsi="Arial" w:cs="Arial"/>
          <w:bCs/>
          <w:i/>
          <w:iCs/>
          <w:sz w:val="24"/>
          <w:szCs w:val="24"/>
          <w:lang w:eastAsia="es-ES"/>
        </w:rPr>
        <w:t xml:space="preserve">de la </w:t>
      </w:r>
      <w:r w:rsidRPr="00C06661">
        <w:rPr>
          <w:rFonts w:ascii="Arial" w:eastAsia="Times New Roman" w:hAnsi="Arial" w:cs="Arial"/>
          <w:bCs/>
          <w:i/>
          <w:iCs/>
          <w:sz w:val="24"/>
          <w:szCs w:val="24"/>
          <w:lang w:eastAsia="es-ES"/>
        </w:rPr>
        <w:t xml:space="preserve">Ley de </w:t>
      </w:r>
      <w:r w:rsidR="007F3025">
        <w:rPr>
          <w:rFonts w:ascii="Arial" w:eastAsia="Times New Roman" w:hAnsi="Arial" w:cs="Arial"/>
          <w:bCs/>
          <w:i/>
          <w:iCs/>
          <w:sz w:val="24"/>
          <w:szCs w:val="24"/>
          <w:lang w:eastAsia="es-ES"/>
        </w:rPr>
        <w:t xml:space="preserve">Procedimiento y </w:t>
      </w:r>
      <w:r w:rsidRPr="00C06661">
        <w:rPr>
          <w:rFonts w:ascii="Arial" w:eastAsia="Times New Roman" w:hAnsi="Arial" w:cs="Arial"/>
          <w:bCs/>
          <w:i/>
          <w:iCs/>
          <w:sz w:val="24"/>
          <w:szCs w:val="24"/>
          <w:lang w:eastAsia="es-ES"/>
        </w:rPr>
        <w:t>Justicia Administrativa para e</w:t>
      </w:r>
      <w:r>
        <w:rPr>
          <w:rFonts w:ascii="Arial" w:eastAsia="Times New Roman" w:hAnsi="Arial" w:cs="Arial"/>
          <w:bCs/>
          <w:i/>
          <w:iCs/>
          <w:sz w:val="24"/>
          <w:szCs w:val="24"/>
          <w:lang w:eastAsia="es-ES"/>
        </w:rPr>
        <w:t>l Estado</w:t>
      </w:r>
      <w:r w:rsidR="007F3025">
        <w:rPr>
          <w:rFonts w:ascii="Arial" w:eastAsia="Times New Roman" w:hAnsi="Arial" w:cs="Arial"/>
          <w:bCs/>
          <w:i/>
          <w:iCs/>
          <w:sz w:val="24"/>
          <w:szCs w:val="24"/>
          <w:lang w:eastAsia="es-ES"/>
        </w:rPr>
        <w:t xml:space="preserve"> de Oaxaca</w:t>
      </w:r>
      <w:r>
        <w:rPr>
          <w:rFonts w:ascii="Arial" w:eastAsia="Times New Roman" w:hAnsi="Arial" w:cs="Arial"/>
          <w:bCs/>
          <w:i/>
          <w:iCs/>
          <w:sz w:val="24"/>
          <w:szCs w:val="24"/>
          <w:lang w:eastAsia="es-ES"/>
        </w:rPr>
        <w:t xml:space="preserve">, </w:t>
      </w:r>
      <w:r w:rsidRPr="00DB7083">
        <w:rPr>
          <w:rFonts w:ascii="Arial" w:eastAsia="Times New Roman" w:hAnsi="Arial" w:cs="Arial"/>
          <w:i/>
          <w:iCs/>
          <w:sz w:val="24"/>
          <w:szCs w:val="24"/>
          <w:lang w:eastAsia="es-ES"/>
        </w:rPr>
        <w:t>NOTIFÍQUESE</w:t>
      </w:r>
      <w:r w:rsidRPr="00C06661">
        <w:rPr>
          <w:rFonts w:ascii="Arial" w:eastAsia="Times New Roman" w:hAnsi="Arial" w:cs="Arial"/>
          <w:b/>
          <w:bCs/>
          <w:i/>
          <w:iCs/>
          <w:sz w:val="24"/>
          <w:szCs w:val="24"/>
          <w:lang w:eastAsia="es-ES"/>
        </w:rPr>
        <w:t xml:space="preserve"> </w:t>
      </w:r>
      <w:r w:rsidR="00461044">
        <w:rPr>
          <w:rFonts w:ascii="Arial" w:eastAsia="Times New Roman" w:hAnsi="Arial" w:cs="Arial"/>
          <w:bCs/>
          <w:i/>
          <w:iCs/>
          <w:sz w:val="24"/>
          <w:szCs w:val="24"/>
          <w:lang w:eastAsia="es-ES"/>
        </w:rPr>
        <w:t>personalmente a</w:t>
      </w:r>
      <w:r w:rsidR="00DB7083">
        <w:rPr>
          <w:rFonts w:ascii="Arial" w:eastAsia="Times New Roman" w:hAnsi="Arial" w:cs="Arial"/>
          <w:bCs/>
          <w:i/>
          <w:iCs/>
          <w:sz w:val="24"/>
          <w:szCs w:val="24"/>
          <w:lang w:eastAsia="es-ES"/>
        </w:rPr>
        <w:t xml:space="preserve"> </w:t>
      </w:r>
      <w:r w:rsidR="00461044">
        <w:rPr>
          <w:rFonts w:ascii="Arial" w:eastAsia="Times New Roman" w:hAnsi="Arial" w:cs="Arial"/>
          <w:bCs/>
          <w:i/>
          <w:iCs/>
          <w:sz w:val="24"/>
          <w:szCs w:val="24"/>
          <w:lang w:eastAsia="es-ES"/>
        </w:rPr>
        <w:t>l</w:t>
      </w:r>
      <w:r w:rsidR="00DB7083">
        <w:rPr>
          <w:rFonts w:ascii="Arial" w:eastAsia="Times New Roman" w:hAnsi="Arial" w:cs="Arial"/>
          <w:bCs/>
          <w:i/>
          <w:iCs/>
          <w:sz w:val="24"/>
          <w:szCs w:val="24"/>
          <w:lang w:eastAsia="es-ES"/>
        </w:rPr>
        <w:t>a</w:t>
      </w:r>
      <w:r w:rsidR="00461044">
        <w:rPr>
          <w:rFonts w:ascii="Arial" w:eastAsia="Times New Roman" w:hAnsi="Arial" w:cs="Arial"/>
          <w:bCs/>
          <w:i/>
          <w:iCs/>
          <w:sz w:val="24"/>
          <w:szCs w:val="24"/>
          <w:lang w:eastAsia="es-ES"/>
        </w:rPr>
        <w:t xml:space="preserve"> actor</w:t>
      </w:r>
      <w:r w:rsidR="00DB7083">
        <w:rPr>
          <w:rFonts w:ascii="Arial" w:eastAsia="Times New Roman" w:hAnsi="Arial" w:cs="Arial"/>
          <w:bCs/>
          <w:i/>
          <w:iCs/>
          <w:sz w:val="24"/>
          <w:szCs w:val="24"/>
          <w:lang w:eastAsia="es-ES"/>
        </w:rPr>
        <w:t>a</w:t>
      </w:r>
      <w:r w:rsidR="00461044">
        <w:rPr>
          <w:rFonts w:ascii="Arial" w:eastAsia="Times New Roman" w:hAnsi="Arial" w:cs="Arial"/>
          <w:bCs/>
          <w:i/>
          <w:iCs/>
          <w:sz w:val="24"/>
          <w:szCs w:val="24"/>
          <w:lang w:eastAsia="es-ES"/>
        </w:rPr>
        <w:t xml:space="preserve"> y por oficio a la autoridad demandada</w:t>
      </w:r>
      <w:r w:rsidR="00DB7083">
        <w:rPr>
          <w:rFonts w:ascii="Arial" w:eastAsia="Times New Roman" w:hAnsi="Arial" w:cs="Arial"/>
          <w:bCs/>
          <w:i/>
          <w:iCs/>
          <w:sz w:val="24"/>
          <w:szCs w:val="24"/>
          <w:lang w:eastAsia="es-ES"/>
        </w:rPr>
        <w:t xml:space="preserve"> y</w:t>
      </w:r>
      <w:r w:rsidR="00461044">
        <w:rPr>
          <w:rFonts w:ascii="Arial" w:eastAsia="Times New Roman" w:hAnsi="Arial" w:cs="Arial"/>
          <w:bCs/>
          <w:i/>
          <w:iCs/>
          <w:sz w:val="24"/>
          <w:szCs w:val="24"/>
          <w:lang w:eastAsia="es-ES"/>
        </w:rPr>
        <w:t xml:space="preserve"> </w:t>
      </w:r>
      <w:r>
        <w:rPr>
          <w:rFonts w:ascii="Arial" w:eastAsia="Times New Roman" w:hAnsi="Arial" w:cs="Arial"/>
          <w:b/>
          <w:bCs/>
          <w:i/>
          <w:iCs/>
          <w:sz w:val="24"/>
          <w:szCs w:val="24"/>
          <w:lang w:eastAsia="es-ES"/>
        </w:rPr>
        <w:t>CÚMPLASE</w:t>
      </w:r>
      <w:r w:rsidRPr="00C06661">
        <w:rPr>
          <w:rFonts w:ascii="Arial" w:eastAsia="Times New Roman" w:hAnsi="Arial" w:cs="Arial"/>
          <w:bCs/>
          <w:i/>
          <w:iCs/>
          <w:sz w:val="24"/>
          <w:szCs w:val="24"/>
          <w:lang w:eastAsia="es-ES"/>
        </w:rPr>
        <w:t>.</w:t>
      </w:r>
      <w:r w:rsidR="00A036C0">
        <w:rPr>
          <w:rFonts w:ascii="Arial" w:eastAsia="Times New Roman" w:hAnsi="Arial" w:cs="Arial"/>
          <w:bCs/>
          <w:i/>
          <w:iCs/>
          <w:sz w:val="24"/>
          <w:szCs w:val="24"/>
          <w:lang w:eastAsia="es-ES"/>
        </w:rPr>
        <w:t xml:space="preserve">- - - </w:t>
      </w:r>
      <w:r w:rsidR="00664AD1">
        <w:rPr>
          <w:rFonts w:ascii="Arial" w:eastAsia="Times New Roman" w:hAnsi="Arial" w:cs="Arial"/>
          <w:bCs/>
          <w:i/>
          <w:iCs/>
          <w:sz w:val="24"/>
          <w:szCs w:val="24"/>
          <w:lang w:eastAsia="es-ES"/>
        </w:rPr>
        <w:t xml:space="preserve">- - - - </w:t>
      </w:r>
      <w:r w:rsidR="00461044">
        <w:rPr>
          <w:rFonts w:ascii="Arial" w:eastAsia="Times New Roman" w:hAnsi="Arial" w:cs="Arial"/>
          <w:bCs/>
          <w:i/>
          <w:iCs/>
          <w:sz w:val="24"/>
          <w:szCs w:val="24"/>
          <w:lang w:eastAsia="es-ES"/>
        </w:rPr>
        <w:t>- - - - - - - - - -</w:t>
      </w:r>
      <w:r w:rsidRPr="00C06661">
        <w:rPr>
          <w:rFonts w:ascii="Arial" w:eastAsia="Times New Roman" w:hAnsi="Arial" w:cs="Arial"/>
          <w:bCs/>
          <w:i/>
          <w:iCs/>
          <w:sz w:val="24"/>
          <w:szCs w:val="24"/>
          <w:lang w:eastAsia="es-ES"/>
        </w:rPr>
        <w:t>”</w:t>
      </w:r>
    </w:p>
    <w:p w14:paraId="44BDCE02" w14:textId="77777777" w:rsidR="005770C1" w:rsidRPr="00CB6405" w:rsidRDefault="005770C1" w:rsidP="005770C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40950482" w14:textId="74BF58E8" w:rsidR="005770C1" w:rsidRPr="00CB6405" w:rsidRDefault="00A036C0" w:rsidP="005770C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sidR="005770C1">
        <w:rPr>
          <w:rFonts w:ascii="Arial" w:hAnsi="Arial" w:cs="Arial"/>
          <w:bCs/>
          <w:iCs/>
          <w:sz w:val="26"/>
          <w:szCs w:val="26"/>
          <w:lang w:eastAsia="es-ES"/>
        </w:rPr>
        <w:t xml:space="preserve"> 125</w:t>
      </w:r>
      <w:r w:rsidR="005770C1">
        <w:rPr>
          <w:rFonts w:ascii="Arial" w:hAnsi="Arial" w:cs="Arial"/>
          <w:bCs/>
          <w:iCs/>
          <w:sz w:val="26"/>
          <w:szCs w:val="26"/>
        </w:rPr>
        <w:t xml:space="preserve">, 127, 129, 130, fracción I, 131, 231, 236 y 238 de la Ley de Procedimiento y Justicia Administrativa para el Estado de Oaxaca, </w:t>
      </w:r>
      <w:r w:rsidR="005770C1" w:rsidRPr="00CB6405">
        <w:rPr>
          <w:rFonts w:ascii="Arial" w:hAnsi="Arial" w:cs="Arial"/>
          <w:bCs/>
          <w:iCs/>
          <w:sz w:val="26"/>
          <w:szCs w:val="26"/>
        </w:rPr>
        <w:t xml:space="preserve">dado que se trata de un </w:t>
      </w:r>
      <w:r w:rsidR="002D1D1D">
        <w:rPr>
          <w:rFonts w:ascii="Arial" w:hAnsi="Arial" w:cs="Arial"/>
          <w:bCs/>
          <w:iCs/>
          <w:sz w:val="26"/>
          <w:szCs w:val="26"/>
        </w:rPr>
        <w:t>r</w:t>
      </w:r>
      <w:r w:rsidR="005770C1" w:rsidRPr="00CB6405">
        <w:rPr>
          <w:rFonts w:ascii="Arial" w:hAnsi="Arial" w:cs="Arial"/>
          <w:bCs/>
          <w:iCs/>
          <w:sz w:val="26"/>
          <w:szCs w:val="26"/>
        </w:rPr>
        <w:t xml:space="preserve">ecurso de </w:t>
      </w:r>
      <w:r w:rsidR="002D1D1D">
        <w:rPr>
          <w:rFonts w:ascii="Arial" w:hAnsi="Arial" w:cs="Arial"/>
          <w:bCs/>
          <w:iCs/>
          <w:sz w:val="26"/>
          <w:szCs w:val="26"/>
        </w:rPr>
        <w:t>r</w:t>
      </w:r>
      <w:r w:rsidR="005770C1" w:rsidRPr="00CB6405">
        <w:rPr>
          <w:rFonts w:ascii="Arial" w:hAnsi="Arial" w:cs="Arial"/>
          <w:bCs/>
          <w:iCs/>
          <w:sz w:val="26"/>
          <w:szCs w:val="26"/>
        </w:rPr>
        <w:t>evisión interpuesto en contra de</w:t>
      </w:r>
      <w:r w:rsidR="005770C1">
        <w:rPr>
          <w:rFonts w:ascii="Arial" w:hAnsi="Arial" w:cs="Arial"/>
          <w:bCs/>
          <w:iCs/>
          <w:sz w:val="26"/>
          <w:szCs w:val="26"/>
        </w:rPr>
        <w:t xml:space="preserve"> </w:t>
      </w:r>
      <w:r w:rsidR="005770C1" w:rsidRPr="00CB6405">
        <w:rPr>
          <w:rFonts w:ascii="Arial" w:hAnsi="Arial" w:cs="Arial"/>
          <w:bCs/>
          <w:iCs/>
          <w:sz w:val="26"/>
          <w:szCs w:val="26"/>
        </w:rPr>
        <w:t>l</w:t>
      </w:r>
      <w:r w:rsidR="005770C1">
        <w:rPr>
          <w:rFonts w:ascii="Arial" w:hAnsi="Arial" w:cs="Arial"/>
          <w:bCs/>
          <w:iCs/>
          <w:sz w:val="26"/>
          <w:szCs w:val="26"/>
        </w:rPr>
        <w:t xml:space="preserve">a sentencia de </w:t>
      </w:r>
      <w:r w:rsidR="00DB7083">
        <w:rPr>
          <w:rFonts w:ascii="Arial" w:hAnsi="Arial" w:cs="Arial"/>
          <w:bCs/>
          <w:iCs/>
          <w:sz w:val="26"/>
          <w:szCs w:val="26"/>
        </w:rPr>
        <w:t xml:space="preserve">veinte de septiembre </w:t>
      </w:r>
      <w:r w:rsidR="005770C1">
        <w:rPr>
          <w:rFonts w:ascii="Arial" w:hAnsi="Arial" w:cs="Arial"/>
          <w:bCs/>
          <w:iCs/>
          <w:sz w:val="26"/>
          <w:szCs w:val="26"/>
        </w:rPr>
        <w:t>de dos mil dieci</w:t>
      </w:r>
      <w:r w:rsidR="006B5FFF">
        <w:rPr>
          <w:rFonts w:ascii="Arial" w:hAnsi="Arial" w:cs="Arial"/>
          <w:bCs/>
          <w:iCs/>
          <w:sz w:val="26"/>
          <w:szCs w:val="26"/>
        </w:rPr>
        <w:t>nueve</w:t>
      </w:r>
      <w:r w:rsidR="005770C1">
        <w:rPr>
          <w:rFonts w:ascii="Arial" w:hAnsi="Arial" w:cs="Arial"/>
          <w:bCs/>
          <w:iCs/>
          <w:sz w:val="26"/>
          <w:szCs w:val="26"/>
        </w:rPr>
        <w:t xml:space="preserve">, dictada </w:t>
      </w:r>
      <w:r w:rsidR="005770C1" w:rsidRPr="00CB6405">
        <w:rPr>
          <w:rFonts w:ascii="Arial" w:hAnsi="Arial" w:cs="Arial"/>
          <w:bCs/>
          <w:iCs/>
          <w:sz w:val="26"/>
          <w:szCs w:val="26"/>
        </w:rPr>
        <w:t xml:space="preserve">por la </w:t>
      </w:r>
      <w:r w:rsidR="00461044">
        <w:rPr>
          <w:rFonts w:ascii="Arial" w:hAnsi="Arial" w:cs="Arial"/>
          <w:bCs/>
          <w:iCs/>
          <w:sz w:val="26"/>
          <w:szCs w:val="26"/>
        </w:rPr>
        <w:t xml:space="preserve">Quinta </w:t>
      </w:r>
      <w:r w:rsidR="005770C1" w:rsidRPr="00CB6405">
        <w:rPr>
          <w:rFonts w:ascii="Arial" w:hAnsi="Arial" w:cs="Arial"/>
          <w:bCs/>
          <w:iCs/>
          <w:sz w:val="26"/>
          <w:szCs w:val="26"/>
        </w:rPr>
        <w:t xml:space="preserve">Sala Unitaria de Primera Instancia de este Tribunal, en el expediente </w:t>
      </w:r>
      <w:r w:rsidR="00DB7083">
        <w:rPr>
          <w:rFonts w:ascii="Arial" w:hAnsi="Arial" w:cs="Arial"/>
          <w:b/>
          <w:bCs/>
          <w:iCs/>
          <w:sz w:val="26"/>
          <w:szCs w:val="26"/>
        </w:rPr>
        <w:t>050</w:t>
      </w:r>
      <w:r w:rsidR="00664AD1">
        <w:rPr>
          <w:rFonts w:ascii="Arial" w:hAnsi="Arial" w:cs="Arial"/>
          <w:b/>
          <w:bCs/>
          <w:iCs/>
          <w:sz w:val="26"/>
          <w:szCs w:val="26"/>
        </w:rPr>
        <w:t>/2019</w:t>
      </w:r>
      <w:r w:rsidR="005770C1" w:rsidRPr="00CB6405">
        <w:rPr>
          <w:rFonts w:ascii="Arial" w:hAnsi="Arial" w:cs="Arial"/>
          <w:sz w:val="26"/>
          <w:szCs w:val="26"/>
        </w:rPr>
        <w:t>.</w:t>
      </w:r>
    </w:p>
    <w:p w14:paraId="2FDACAA4" w14:textId="77777777" w:rsidR="00227A95" w:rsidRDefault="005770C1" w:rsidP="00EB0FE9">
      <w:pPr>
        <w:spacing w:before="240" w:after="0" w:line="360" w:lineRule="auto"/>
        <w:ind w:firstLine="709"/>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Los agravios hechos valer se encuentran expuestos en el escrito respectivo de</w:t>
      </w:r>
      <w:r w:rsidR="00276858">
        <w:rPr>
          <w:rFonts w:ascii="Arial" w:hAnsi="Arial" w:cs="Arial"/>
          <w:sz w:val="26"/>
          <w:szCs w:val="26"/>
        </w:rPr>
        <w:t xml:space="preserve"> </w:t>
      </w:r>
      <w:r w:rsidRPr="00CB6405">
        <w:rPr>
          <w:rFonts w:ascii="Arial" w:hAnsi="Arial" w:cs="Arial"/>
          <w:sz w:val="26"/>
          <w:szCs w:val="26"/>
        </w:rPr>
        <w:t>l</w:t>
      </w:r>
      <w:r w:rsidR="00276858">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EB0FE9">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779CC021" w14:textId="77777777" w:rsidR="00EB0FE9" w:rsidRDefault="00EB0FE9" w:rsidP="00227A95">
      <w:pPr>
        <w:spacing w:before="240" w:after="0" w:line="360" w:lineRule="auto"/>
        <w:ind w:left="1134" w:right="474"/>
        <w:jc w:val="both"/>
        <w:rPr>
          <w:rFonts w:ascii="Arial" w:hAnsi="Arial" w:cs="Arial"/>
          <w:sz w:val="26"/>
          <w:szCs w:val="26"/>
        </w:rPr>
      </w:pPr>
      <w:r>
        <w:rPr>
          <w:rFonts w:ascii="Arial" w:hAnsi="Arial" w:cs="Arial"/>
          <w:sz w:val="26"/>
          <w:szCs w:val="26"/>
        </w:rPr>
        <w:t>“</w:t>
      </w:r>
      <w:r>
        <w:rPr>
          <w:rFonts w:ascii="Arial" w:hAnsi="Arial" w:cs="Arial"/>
          <w:b/>
          <w:i/>
        </w:rPr>
        <w:t xml:space="preserve">CONCEPTOS DE </w:t>
      </w:r>
      <w:r w:rsidR="009D79D7">
        <w:rPr>
          <w:rFonts w:ascii="Arial" w:hAnsi="Arial" w:cs="Arial"/>
          <w:b/>
          <w:i/>
        </w:rPr>
        <w:t>VIOLACIÓN</w:t>
      </w:r>
      <w:r>
        <w:rPr>
          <w:rFonts w:ascii="Arial" w:hAnsi="Arial" w:cs="Arial"/>
          <w:b/>
          <w:i/>
        </w:rPr>
        <w:t>.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14:paraId="5383A7ED" w14:textId="333D5A23" w:rsidR="007A58F7" w:rsidRDefault="00A036C0" w:rsidP="00A036C0">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
          <w:bCs/>
          <w:sz w:val="26"/>
          <w:szCs w:val="26"/>
          <w:lang w:val="es-MX"/>
        </w:rPr>
        <w:tab/>
      </w:r>
      <w:r>
        <w:rPr>
          <w:rFonts w:ascii="Arial" w:eastAsia="Calibri" w:hAnsi="Arial" w:cs="Arial"/>
          <w:b/>
          <w:bCs/>
          <w:sz w:val="26"/>
          <w:szCs w:val="26"/>
        </w:rPr>
        <w:t>TERCERO.</w:t>
      </w:r>
      <w:r w:rsidR="008B3583">
        <w:rPr>
          <w:rFonts w:ascii="Arial" w:eastAsia="Calibri" w:hAnsi="Arial" w:cs="Arial"/>
          <w:b/>
          <w:bCs/>
          <w:sz w:val="26"/>
          <w:szCs w:val="26"/>
        </w:rPr>
        <w:t xml:space="preserve"> </w:t>
      </w:r>
      <w:r w:rsidR="006318E7">
        <w:rPr>
          <w:rFonts w:ascii="Arial" w:hAnsi="Arial" w:cs="Arial"/>
          <w:bCs/>
          <w:color w:val="000000"/>
          <w:sz w:val="26"/>
          <w:szCs w:val="26"/>
        </w:rPr>
        <w:t>Inicia sus alegaciones precisando</w:t>
      </w:r>
      <w:r w:rsidR="004A0336">
        <w:rPr>
          <w:rFonts w:ascii="Arial" w:hAnsi="Arial" w:cs="Arial"/>
          <w:bCs/>
          <w:color w:val="000000"/>
          <w:sz w:val="26"/>
          <w:szCs w:val="26"/>
        </w:rPr>
        <w:t xml:space="preserve">, </w:t>
      </w:r>
      <w:r w:rsidR="006318E7">
        <w:rPr>
          <w:rFonts w:ascii="Arial" w:hAnsi="Arial" w:cs="Arial"/>
          <w:bCs/>
          <w:color w:val="000000"/>
          <w:sz w:val="26"/>
          <w:szCs w:val="26"/>
        </w:rPr>
        <w:t xml:space="preserve">que la </w:t>
      </w:r>
      <w:r w:rsidR="007A58F7">
        <w:rPr>
          <w:rFonts w:ascii="Arial" w:hAnsi="Arial" w:cs="Arial"/>
          <w:bCs/>
          <w:color w:val="000000"/>
          <w:sz w:val="26"/>
          <w:szCs w:val="26"/>
        </w:rPr>
        <w:t xml:space="preserve">Primera Instancia realizó una variación a los planteamientos expuestos por la parte actora, </w:t>
      </w:r>
      <w:r w:rsidR="006318E7">
        <w:rPr>
          <w:rFonts w:ascii="Arial" w:hAnsi="Arial" w:cs="Arial"/>
          <w:bCs/>
          <w:color w:val="000000"/>
          <w:sz w:val="26"/>
          <w:szCs w:val="26"/>
        </w:rPr>
        <w:t xml:space="preserve">porque analizó </w:t>
      </w:r>
      <w:r w:rsidR="007A58F7">
        <w:rPr>
          <w:rFonts w:ascii="Arial" w:hAnsi="Arial" w:cs="Arial"/>
          <w:bCs/>
          <w:color w:val="000000"/>
          <w:sz w:val="26"/>
          <w:szCs w:val="26"/>
        </w:rPr>
        <w:t xml:space="preserve">el procedimiento estipulado por el artículo 97 del Código Fiscal del Estado de Oaxaca, </w:t>
      </w:r>
      <w:r w:rsidR="00DF4B5C">
        <w:rPr>
          <w:rFonts w:ascii="Arial" w:hAnsi="Arial" w:cs="Arial"/>
          <w:bCs/>
          <w:color w:val="000000"/>
          <w:sz w:val="26"/>
          <w:szCs w:val="26"/>
        </w:rPr>
        <w:t>e</w:t>
      </w:r>
      <w:r w:rsidR="006318E7">
        <w:rPr>
          <w:rFonts w:ascii="Arial" w:hAnsi="Arial" w:cs="Arial"/>
          <w:bCs/>
          <w:color w:val="000000"/>
          <w:sz w:val="26"/>
          <w:szCs w:val="26"/>
        </w:rPr>
        <w:t>l</w:t>
      </w:r>
      <w:r w:rsidR="00DF4B5C">
        <w:rPr>
          <w:rFonts w:ascii="Arial" w:hAnsi="Arial" w:cs="Arial"/>
          <w:bCs/>
          <w:color w:val="000000"/>
          <w:sz w:val="26"/>
          <w:szCs w:val="26"/>
        </w:rPr>
        <w:t xml:space="preserve"> cual dice </w:t>
      </w:r>
      <w:r w:rsidR="006318E7">
        <w:rPr>
          <w:rFonts w:ascii="Arial" w:hAnsi="Arial" w:cs="Arial"/>
          <w:bCs/>
          <w:color w:val="000000"/>
          <w:sz w:val="26"/>
          <w:szCs w:val="26"/>
        </w:rPr>
        <w:t>l</w:t>
      </w:r>
      <w:r w:rsidR="00DF4B5C">
        <w:rPr>
          <w:rFonts w:ascii="Arial" w:hAnsi="Arial" w:cs="Arial"/>
          <w:bCs/>
          <w:color w:val="000000"/>
          <w:sz w:val="26"/>
          <w:szCs w:val="26"/>
        </w:rPr>
        <w:t>a</w:t>
      </w:r>
      <w:r w:rsidR="006318E7">
        <w:rPr>
          <w:rFonts w:ascii="Arial" w:hAnsi="Arial" w:cs="Arial"/>
          <w:bCs/>
          <w:color w:val="000000"/>
          <w:sz w:val="26"/>
          <w:szCs w:val="26"/>
        </w:rPr>
        <w:t xml:space="preserve"> recurrente</w:t>
      </w:r>
      <w:r w:rsidR="004A0336">
        <w:rPr>
          <w:rFonts w:ascii="Arial" w:hAnsi="Arial" w:cs="Arial"/>
          <w:bCs/>
          <w:color w:val="000000"/>
          <w:sz w:val="26"/>
          <w:szCs w:val="26"/>
        </w:rPr>
        <w:t>,</w:t>
      </w:r>
      <w:r w:rsidR="00DF4B5C">
        <w:rPr>
          <w:rFonts w:ascii="Arial" w:hAnsi="Arial" w:cs="Arial"/>
          <w:bCs/>
          <w:color w:val="000000"/>
          <w:sz w:val="26"/>
          <w:szCs w:val="26"/>
        </w:rPr>
        <w:t xml:space="preserve"> no fue planteado</w:t>
      </w:r>
      <w:r w:rsidR="007A58F7">
        <w:rPr>
          <w:rFonts w:ascii="Arial" w:hAnsi="Arial" w:cs="Arial"/>
          <w:bCs/>
          <w:color w:val="000000"/>
          <w:sz w:val="26"/>
          <w:szCs w:val="26"/>
        </w:rPr>
        <w:t xml:space="preserve"> por </w:t>
      </w:r>
      <w:r w:rsidR="006318E7">
        <w:rPr>
          <w:rFonts w:ascii="Arial" w:hAnsi="Arial" w:cs="Arial"/>
          <w:bCs/>
          <w:color w:val="000000"/>
          <w:sz w:val="26"/>
          <w:szCs w:val="26"/>
        </w:rPr>
        <w:t>la</w:t>
      </w:r>
      <w:r w:rsidR="007A58F7">
        <w:rPr>
          <w:rFonts w:ascii="Arial" w:hAnsi="Arial" w:cs="Arial"/>
          <w:bCs/>
          <w:color w:val="000000"/>
          <w:sz w:val="26"/>
          <w:szCs w:val="26"/>
        </w:rPr>
        <w:t xml:space="preserve"> actor</w:t>
      </w:r>
      <w:r w:rsidR="006318E7">
        <w:rPr>
          <w:rFonts w:ascii="Arial" w:hAnsi="Arial" w:cs="Arial"/>
          <w:bCs/>
          <w:color w:val="000000"/>
          <w:sz w:val="26"/>
          <w:szCs w:val="26"/>
        </w:rPr>
        <w:t>a</w:t>
      </w:r>
      <w:r w:rsidR="00463D68">
        <w:rPr>
          <w:rFonts w:ascii="Arial" w:hAnsi="Arial" w:cs="Arial"/>
          <w:bCs/>
          <w:color w:val="000000"/>
          <w:sz w:val="26"/>
          <w:szCs w:val="26"/>
        </w:rPr>
        <w:t>, quebrantando el principio de igualdad procesal de las partes</w:t>
      </w:r>
      <w:r w:rsidR="007A58F7">
        <w:rPr>
          <w:rFonts w:ascii="Arial" w:hAnsi="Arial" w:cs="Arial"/>
          <w:bCs/>
          <w:color w:val="000000"/>
          <w:sz w:val="26"/>
          <w:szCs w:val="26"/>
        </w:rPr>
        <w:t xml:space="preserve">. Cita </w:t>
      </w:r>
      <w:r w:rsidR="006318E7">
        <w:rPr>
          <w:rFonts w:ascii="Arial" w:hAnsi="Arial" w:cs="Arial"/>
          <w:bCs/>
          <w:color w:val="000000"/>
          <w:sz w:val="26"/>
          <w:szCs w:val="26"/>
        </w:rPr>
        <w:t xml:space="preserve">como apoyo a sus alegaciones </w:t>
      </w:r>
      <w:r w:rsidR="002D1D1D">
        <w:rPr>
          <w:rFonts w:ascii="Arial" w:hAnsi="Arial" w:cs="Arial"/>
          <w:bCs/>
          <w:color w:val="000000"/>
          <w:sz w:val="26"/>
          <w:szCs w:val="26"/>
        </w:rPr>
        <w:t>e</w:t>
      </w:r>
      <w:r w:rsidR="007A58F7">
        <w:rPr>
          <w:rFonts w:ascii="Arial" w:hAnsi="Arial" w:cs="Arial"/>
          <w:bCs/>
          <w:color w:val="000000"/>
          <w:sz w:val="26"/>
          <w:szCs w:val="26"/>
        </w:rPr>
        <w:t>l criterio de rubro: “</w:t>
      </w:r>
      <w:r w:rsidR="007A58F7" w:rsidRPr="007A58F7">
        <w:rPr>
          <w:rFonts w:ascii="Arial" w:hAnsi="Arial" w:cs="Arial"/>
          <w:bCs/>
          <w:i/>
          <w:color w:val="000000"/>
        </w:rPr>
        <w:t>DERECHO DE ACCESO AFECTIVO A LA JUSTICIA. ETAPAS Y DERECHOS QUE LE CORRESPONDEN</w:t>
      </w:r>
      <w:r w:rsidR="007A58F7">
        <w:rPr>
          <w:rFonts w:ascii="Arial" w:hAnsi="Arial" w:cs="Arial"/>
          <w:bCs/>
          <w:color w:val="000000"/>
          <w:sz w:val="26"/>
          <w:szCs w:val="26"/>
        </w:rPr>
        <w:t>”.</w:t>
      </w:r>
    </w:p>
    <w:p w14:paraId="7CCE0556" w14:textId="431676D9" w:rsidR="00C448D6" w:rsidRDefault="007A58F7" w:rsidP="002C1524">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Esta </w:t>
      </w:r>
      <w:r w:rsidR="006318E7">
        <w:rPr>
          <w:rFonts w:ascii="Arial" w:hAnsi="Arial" w:cs="Arial"/>
          <w:bCs/>
          <w:color w:val="000000"/>
          <w:sz w:val="26"/>
          <w:szCs w:val="26"/>
        </w:rPr>
        <w:t xml:space="preserve">parte de sus </w:t>
      </w:r>
      <w:r>
        <w:rPr>
          <w:rFonts w:ascii="Arial" w:hAnsi="Arial" w:cs="Arial"/>
          <w:bCs/>
          <w:color w:val="000000"/>
          <w:sz w:val="26"/>
          <w:szCs w:val="26"/>
        </w:rPr>
        <w:t>alegaci</w:t>
      </w:r>
      <w:r w:rsidR="006318E7">
        <w:rPr>
          <w:rFonts w:ascii="Arial" w:hAnsi="Arial" w:cs="Arial"/>
          <w:bCs/>
          <w:color w:val="000000"/>
          <w:sz w:val="26"/>
          <w:szCs w:val="26"/>
        </w:rPr>
        <w:t xml:space="preserve">ones resulta </w:t>
      </w:r>
      <w:r w:rsidR="006318E7">
        <w:rPr>
          <w:rFonts w:ascii="Arial" w:hAnsi="Arial" w:cs="Arial"/>
          <w:b/>
          <w:bCs/>
          <w:color w:val="000000"/>
          <w:sz w:val="26"/>
          <w:szCs w:val="26"/>
        </w:rPr>
        <w:t xml:space="preserve">ineficaz </w:t>
      </w:r>
      <w:r w:rsidR="006318E7" w:rsidRPr="006318E7">
        <w:rPr>
          <w:rFonts w:ascii="Arial" w:hAnsi="Arial" w:cs="Arial"/>
          <w:bCs/>
          <w:color w:val="000000"/>
          <w:sz w:val="26"/>
          <w:szCs w:val="26"/>
        </w:rPr>
        <w:t>porque</w:t>
      </w:r>
      <w:r w:rsidR="006318E7">
        <w:rPr>
          <w:rFonts w:ascii="Arial" w:hAnsi="Arial" w:cs="Arial"/>
          <w:b/>
          <w:bCs/>
          <w:color w:val="000000"/>
          <w:sz w:val="26"/>
          <w:szCs w:val="26"/>
        </w:rPr>
        <w:t xml:space="preserve"> </w:t>
      </w:r>
      <w:r w:rsidR="006318E7">
        <w:rPr>
          <w:rFonts w:ascii="Arial" w:hAnsi="Arial" w:cs="Arial"/>
          <w:bCs/>
          <w:color w:val="000000"/>
          <w:sz w:val="26"/>
          <w:szCs w:val="26"/>
        </w:rPr>
        <w:t xml:space="preserve">si bien como lo indica, lo estipulado por el artículo 97 del Código Fiscal del Estado de Oaxaca, no fue planteado por la actora en su escrito de demanda; </w:t>
      </w:r>
      <w:r w:rsidR="006318E7">
        <w:rPr>
          <w:rFonts w:ascii="Arial" w:hAnsi="Arial" w:cs="Arial"/>
          <w:b/>
          <w:bCs/>
          <w:color w:val="000000"/>
          <w:sz w:val="26"/>
          <w:szCs w:val="26"/>
        </w:rPr>
        <w:t xml:space="preserve">sin embargo, </w:t>
      </w:r>
      <w:r w:rsidR="002F528F" w:rsidRPr="002F528F">
        <w:rPr>
          <w:rFonts w:ascii="Arial" w:hAnsi="Arial" w:cs="Arial"/>
          <w:bCs/>
          <w:color w:val="000000"/>
          <w:sz w:val="26"/>
          <w:szCs w:val="26"/>
        </w:rPr>
        <w:t>d</w:t>
      </w:r>
      <w:r w:rsidR="00C448D6">
        <w:rPr>
          <w:rFonts w:ascii="Arial" w:hAnsi="Arial" w:cs="Arial"/>
          <w:bCs/>
          <w:color w:val="000000"/>
          <w:sz w:val="26"/>
          <w:szCs w:val="26"/>
        </w:rPr>
        <w:t xml:space="preserve">el razonamiento expuesto por la Primera Instancia, se advierte, </w:t>
      </w:r>
      <w:r w:rsidR="002F528F">
        <w:rPr>
          <w:rFonts w:ascii="Arial" w:hAnsi="Arial" w:cs="Arial"/>
          <w:bCs/>
          <w:color w:val="000000"/>
          <w:sz w:val="26"/>
          <w:szCs w:val="26"/>
        </w:rPr>
        <w:t xml:space="preserve">que su conclusión </w:t>
      </w:r>
      <w:r w:rsidR="00C448D6">
        <w:rPr>
          <w:rFonts w:ascii="Arial" w:hAnsi="Arial" w:cs="Arial"/>
          <w:bCs/>
          <w:color w:val="000000"/>
          <w:sz w:val="26"/>
          <w:szCs w:val="26"/>
        </w:rPr>
        <w:t xml:space="preserve">respecto de la falta de cumplimiento de lo dispuesto por el artículo 97 del Código Fiscal del Estado de Oaxaca, se debió a que consideró que la demandada </w:t>
      </w:r>
      <w:r w:rsidR="002F528F">
        <w:rPr>
          <w:rFonts w:ascii="Arial" w:hAnsi="Arial" w:cs="Arial"/>
          <w:bCs/>
          <w:color w:val="000000"/>
          <w:sz w:val="26"/>
          <w:szCs w:val="26"/>
        </w:rPr>
        <w:t xml:space="preserve">fue omisa en </w:t>
      </w:r>
      <w:r w:rsidR="00BC5AA0">
        <w:rPr>
          <w:rFonts w:ascii="Arial" w:hAnsi="Arial" w:cs="Arial"/>
          <w:bCs/>
          <w:color w:val="000000"/>
          <w:sz w:val="26"/>
          <w:szCs w:val="26"/>
        </w:rPr>
        <w:t xml:space="preserve">señalar en la multa impugnada las razones particulares, </w:t>
      </w:r>
      <w:r w:rsidR="00BC5AA0">
        <w:rPr>
          <w:rFonts w:ascii="Arial" w:hAnsi="Arial" w:cs="Arial"/>
          <w:bCs/>
          <w:color w:val="000000"/>
          <w:sz w:val="26"/>
          <w:szCs w:val="26"/>
        </w:rPr>
        <w:lastRenderedPageBreak/>
        <w:t>causas inmediatas y circunstancias especiales, con las que confirmó que la actora era sujeto obligado para presentar de las Declaraciones Bimestrales del Impuesto Cedular</w:t>
      </w:r>
      <w:r w:rsidR="002C1524">
        <w:rPr>
          <w:rFonts w:ascii="Arial" w:hAnsi="Arial" w:cs="Arial"/>
          <w:bCs/>
          <w:color w:val="000000"/>
          <w:sz w:val="26"/>
          <w:szCs w:val="26"/>
        </w:rPr>
        <w:t xml:space="preserve"> a los Ingresos por el Otorgamiento del Uso o Goce Temporal de Bienes Inmuebles, así como indicar los antecedentes específicos que se tenían para considerarla sujeto obligado de ese impuesto</w:t>
      </w:r>
      <w:r w:rsidR="002C1DEC">
        <w:rPr>
          <w:rFonts w:ascii="Arial" w:hAnsi="Arial" w:cs="Arial"/>
          <w:bCs/>
          <w:color w:val="000000"/>
          <w:sz w:val="26"/>
          <w:szCs w:val="26"/>
        </w:rPr>
        <w:t>, porque únicamente se concretó a hacer referencia al de la revisión realizada en el Registro Estatal de Contribuyentes con que cuenta la Secretaría de Finanzas</w:t>
      </w:r>
      <w:r w:rsidR="00C448D6">
        <w:rPr>
          <w:rFonts w:ascii="Arial" w:hAnsi="Arial" w:cs="Arial"/>
          <w:bCs/>
          <w:color w:val="000000"/>
          <w:sz w:val="26"/>
          <w:szCs w:val="26"/>
        </w:rPr>
        <w:t xml:space="preserve">; supuesto que sí fue alegado en la demanda </w:t>
      </w:r>
      <w:r w:rsidR="002C1DEC">
        <w:rPr>
          <w:rFonts w:ascii="Arial" w:hAnsi="Arial" w:cs="Arial"/>
          <w:bCs/>
          <w:color w:val="000000"/>
          <w:sz w:val="26"/>
          <w:szCs w:val="26"/>
        </w:rPr>
        <w:t xml:space="preserve">cuando se arguyo respecto de la falta de fundamentación y motivación de la multa impugnada, al no haberse señalado las </w:t>
      </w:r>
      <w:r w:rsidR="002C1524">
        <w:rPr>
          <w:rFonts w:ascii="Arial" w:hAnsi="Arial" w:cs="Arial"/>
          <w:bCs/>
          <w:color w:val="000000"/>
          <w:sz w:val="26"/>
          <w:szCs w:val="26"/>
        </w:rPr>
        <w:t>causas particulares o razones por las que se estimó que la actora se encontraba omisa en el cumplimiento de sus obligaciones fiscales</w:t>
      </w:r>
      <w:r w:rsidR="005B286A">
        <w:rPr>
          <w:rFonts w:ascii="Arial" w:hAnsi="Arial" w:cs="Arial"/>
          <w:bCs/>
          <w:color w:val="000000"/>
          <w:sz w:val="26"/>
          <w:szCs w:val="26"/>
        </w:rPr>
        <w:t>.</w:t>
      </w:r>
    </w:p>
    <w:p w14:paraId="06AFB712" w14:textId="2C949810" w:rsidR="005B286A" w:rsidRDefault="005B286A" w:rsidP="002C1524">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
          <w:bCs/>
          <w:color w:val="000000"/>
          <w:sz w:val="26"/>
          <w:szCs w:val="26"/>
        </w:rPr>
        <w:tab/>
      </w:r>
      <w:r w:rsidRPr="008C0D28">
        <w:rPr>
          <w:rFonts w:ascii="Arial" w:hAnsi="Arial" w:cs="Arial"/>
          <w:b/>
          <w:bCs/>
          <w:color w:val="000000"/>
          <w:sz w:val="26"/>
          <w:szCs w:val="26"/>
        </w:rPr>
        <w:t>Continúa sus alegaciones</w:t>
      </w:r>
      <w:r>
        <w:rPr>
          <w:rFonts w:ascii="Arial" w:hAnsi="Arial" w:cs="Arial"/>
          <w:bCs/>
          <w:color w:val="000000"/>
          <w:sz w:val="26"/>
          <w:szCs w:val="26"/>
        </w:rPr>
        <w:t xml:space="preserve"> </w:t>
      </w:r>
      <w:r w:rsidR="004A0336">
        <w:rPr>
          <w:rFonts w:ascii="Arial" w:hAnsi="Arial" w:cs="Arial"/>
          <w:bCs/>
          <w:color w:val="000000"/>
          <w:sz w:val="26"/>
          <w:szCs w:val="26"/>
        </w:rPr>
        <w:t xml:space="preserve">refiriendo </w:t>
      </w:r>
      <w:r>
        <w:rPr>
          <w:rFonts w:ascii="Arial" w:hAnsi="Arial" w:cs="Arial"/>
          <w:bCs/>
          <w:color w:val="000000"/>
          <w:sz w:val="26"/>
          <w:szCs w:val="26"/>
        </w:rPr>
        <w:t>que la Primera Instancia, no efectuó un razonamiento lógico-jurídico en los que haya señalado los motivos o circunstancias que apoy</w:t>
      </w:r>
      <w:r w:rsidR="004A0336">
        <w:rPr>
          <w:rFonts w:ascii="Arial" w:hAnsi="Arial" w:cs="Arial"/>
          <w:bCs/>
          <w:color w:val="000000"/>
          <w:sz w:val="26"/>
          <w:szCs w:val="26"/>
        </w:rPr>
        <w:t xml:space="preserve">aron su actuar, </w:t>
      </w:r>
      <w:r>
        <w:rPr>
          <w:rFonts w:ascii="Arial" w:hAnsi="Arial" w:cs="Arial"/>
          <w:bCs/>
          <w:color w:val="000000"/>
          <w:sz w:val="26"/>
          <w:szCs w:val="26"/>
        </w:rPr>
        <w:t>específicamente cuando señala “</w:t>
      </w:r>
      <w:r w:rsidRPr="00A923FC">
        <w:rPr>
          <w:rFonts w:ascii="Arial" w:hAnsi="Arial" w:cs="Arial"/>
          <w:bCs/>
          <w:i/>
          <w:color w:val="000000"/>
          <w:sz w:val="24"/>
          <w:szCs w:val="24"/>
        </w:rPr>
        <w:t xml:space="preserve">la autoridad </w:t>
      </w:r>
      <w:r w:rsidR="002C1DEC">
        <w:rPr>
          <w:rFonts w:ascii="Arial" w:hAnsi="Arial" w:cs="Arial"/>
          <w:bCs/>
          <w:i/>
          <w:color w:val="000000"/>
          <w:sz w:val="24"/>
          <w:szCs w:val="24"/>
        </w:rPr>
        <w:t xml:space="preserve">omitió señalar en la multa impugnada las razones particulares, causas inmediatas y circunstancias especiales </w:t>
      </w:r>
      <w:r w:rsidR="002C1524">
        <w:rPr>
          <w:rFonts w:ascii="Arial" w:hAnsi="Arial" w:cs="Arial"/>
          <w:bCs/>
          <w:i/>
          <w:color w:val="000000"/>
          <w:sz w:val="24"/>
          <w:szCs w:val="24"/>
        </w:rPr>
        <w:t>de qué forma confirmó fehacientemente que la administrada estaba obligada a la Presentación de las Declaraciones Bimestrales del Impuesto Cedular a los Ingresos por el Otorgamiento del Uso o Goce Temporal de Bienes Inmuebles, así como al no indicar los antecedentes específicos que se tenían para considerarlo sujeto de ese impuesto al no señalarlos en el cuerpo del acto de autoridad… y al no haber mediado requerimiento previo de la información omitida lo que provoca que la ilegalidad de la resolución</w:t>
      </w:r>
      <w:r>
        <w:rPr>
          <w:rFonts w:ascii="Arial" w:hAnsi="Arial" w:cs="Arial"/>
          <w:bCs/>
          <w:color w:val="000000"/>
          <w:sz w:val="26"/>
          <w:szCs w:val="26"/>
        </w:rPr>
        <w:t>”.</w:t>
      </w:r>
    </w:p>
    <w:p w14:paraId="1E0EE6B6" w14:textId="4EDD4854" w:rsidR="005B286A" w:rsidRDefault="005B286A" w:rsidP="005B286A">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Pr="009A3BBD">
        <w:rPr>
          <w:rFonts w:ascii="Arial" w:hAnsi="Arial" w:cs="Arial"/>
          <w:bCs/>
          <w:color w:val="000000"/>
          <w:sz w:val="26"/>
          <w:szCs w:val="26"/>
        </w:rPr>
        <w:t xml:space="preserve">Estas referencias son </w:t>
      </w:r>
      <w:r w:rsidRPr="009A3BBD">
        <w:rPr>
          <w:rFonts w:ascii="Arial" w:hAnsi="Arial" w:cs="Arial"/>
          <w:b/>
          <w:bCs/>
          <w:color w:val="000000"/>
          <w:sz w:val="26"/>
          <w:szCs w:val="26"/>
        </w:rPr>
        <w:t xml:space="preserve">infundadas, </w:t>
      </w:r>
      <w:r w:rsidRPr="009A3BBD">
        <w:rPr>
          <w:rFonts w:ascii="Arial" w:hAnsi="Arial" w:cs="Arial"/>
          <w:bCs/>
          <w:color w:val="000000"/>
          <w:sz w:val="26"/>
          <w:szCs w:val="26"/>
        </w:rPr>
        <w:t>porque contrario a su aserción de la falta de razonamiento en los que la resolutora apoyó su determinación, no es cierto, porque de la sent</w:t>
      </w:r>
      <w:r w:rsidR="00DF4B5C" w:rsidRPr="009A3BBD">
        <w:rPr>
          <w:rFonts w:ascii="Arial" w:hAnsi="Arial" w:cs="Arial"/>
          <w:bCs/>
          <w:color w:val="000000"/>
          <w:sz w:val="26"/>
          <w:szCs w:val="26"/>
        </w:rPr>
        <w:t>encia</w:t>
      </w:r>
      <w:r w:rsidRPr="009A3BBD">
        <w:rPr>
          <w:rFonts w:ascii="Arial" w:hAnsi="Arial" w:cs="Arial"/>
          <w:bCs/>
          <w:color w:val="000000"/>
          <w:sz w:val="26"/>
          <w:szCs w:val="26"/>
        </w:rPr>
        <w:t xml:space="preserve"> se puede advertir tal razonamiento y sustento jurídico</w:t>
      </w:r>
      <w:r w:rsidR="00FB0AE1" w:rsidRPr="009A3BBD">
        <w:rPr>
          <w:rFonts w:ascii="Arial" w:hAnsi="Arial" w:cs="Arial"/>
          <w:bCs/>
          <w:color w:val="000000"/>
          <w:sz w:val="26"/>
          <w:szCs w:val="26"/>
        </w:rPr>
        <w:t xml:space="preserve"> en que basó su determinación, consistente </w:t>
      </w:r>
      <w:r w:rsidR="0028345B" w:rsidRPr="009A3BBD">
        <w:rPr>
          <w:rFonts w:ascii="Arial" w:hAnsi="Arial" w:cs="Arial"/>
          <w:bCs/>
          <w:color w:val="000000"/>
          <w:sz w:val="26"/>
          <w:szCs w:val="26"/>
        </w:rPr>
        <w:t xml:space="preserve">esencialmente en la violación al derecho de audiencia y debido procedimiento, al no haberse requerido al contribuyente la información de la documentación omitida y habérsele concedido un plazo para poder manifestar lo que a su derecho conviniera; </w:t>
      </w:r>
      <w:r w:rsidRPr="009A3BBD">
        <w:rPr>
          <w:rFonts w:ascii="Arial" w:hAnsi="Arial" w:cs="Arial"/>
          <w:bCs/>
          <w:color w:val="000000"/>
          <w:sz w:val="26"/>
          <w:szCs w:val="26"/>
        </w:rPr>
        <w:t>como a continuación se ve:</w:t>
      </w:r>
    </w:p>
    <w:p w14:paraId="15BED3B8" w14:textId="721FB813" w:rsidR="00C07363" w:rsidRDefault="005B286A" w:rsidP="005B286A">
      <w:pPr>
        <w:widowControl w:val="0"/>
        <w:tabs>
          <w:tab w:val="left" w:pos="426"/>
          <w:tab w:val="left" w:pos="1134"/>
        </w:tabs>
        <w:spacing w:before="240" w:after="0" w:line="360" w:lineRule="auto"/>
        <w:ind w:left="1134" w:right="616"/>
        <w:jc w:val="both"/>
        <w:rPr>
          <w:rFonts w:ascii="Arial" w:hAnsi="Arial" w:cs="Arial"/>
          <w:bCs/>
          <w:i/>
          <w:color w:val="000000"/>
          <w:sz w:val="24"/>
          <w:szCs w:val="24"/>
        </w:rPr>
      </w:pPr>
      <w:r>
        <w:rPr>
          <w:rFonts w:ascii="Arial" w:hAnsi="Arial" w:cs="Arial"/>
          <w:bCs/>
          <w:color w:val="000000"/>
          <w:sz w:val="26"/>
          <w:szCs w:val="26"/>
        </w:rPr>
        <w:t>“</w:t>
      </w:r>
      <w:r w:rsidR="002C1DEC">
        <w:rPr>
          <w:rFonts w:ascii="Arial" w:hAnsi="Arial" w:cs="Arial"/>
          <w:bCs/>
          <w:i/>
          <w:color w:val="000000"/>
          <w:sz w:val="24"/>
          <w:szCs w:val="24"/>
        </w:rPr>
        <w:t xml:space="preserve">Ahora bien, esta Sala después de haber analizado la </w:t>
      </w:r>
      <w:r w:rsidR="002C1524">
        <w:rPr>
          <w:rFonts w:ascii="Arial" w:hAnsi="Arial" w:cs="Arial"/>
          <w:bCs/>
          <w:i/>
          <w:color w:val="000000"/>
          <w:sz w:val="24"/>
          <w:szCs w:val="24"/>
        </w:rPr>
        <w:t>M</w:t>
      </w:r>
      <w:r w:rsidR="002C1DEC">
        <w:rPr>
          <w:rFonts w:ascii="Arial" w:hAnsi="Arial" w:cs="Arial"/>
          <w:bCs/>
          <w:i/>
          <w:color w:val="000000"/>
          <w:sz w:val="24"/>
          <w:szCs w:val="24"/>
        </w:rPr>
        <w:t xml:space="preserve">ulta </w:t>
      </w:r>
      <w:r w:rsidR="002C1524">
        <w:rPr>
          <w:rFonts w:ascii="Arial" w:hAnsi="Arial" w:cs="Arial"/>
          <w:bCs/>
          <w:i/>
          <w:color w:val="000000"/>
          <w:sz w:val="24"/>
          <w:szCs w:val="24"/>
        </w:rPr>
        <w:t xml:space="preserve">por infracción relacionada con la Presentación de Declaraciones del Impuesto Cedular a los Ingresos por el Otorgamiento del Uso o Goce Temporal de Bienes Inmuebles, con número de control </w:t>
      </w:r>
      <w:r w:rsidR="00BE4E5F">
        <w:rPr>
          <w:rFonts w:ascii="Arial" w:hAnsi="Arial" w:cs="Arial"/>
          <w:b/>
          <w:sz w:val="26"/>
          <w:szCs w:val="26"/>
        </w:rPr>
        <w:t>***********</w:t>
      </w:r>
      <w:r w:rsidR="00C07363">
        <w:rPr>
          <w:rFonts w:ascii="Arial" w:hAnsi="Arial" w:cs="Arial"/>
          <w:bCs/>
          <w:i/>
          <w:color w:val="000000"/>
          <w:sz w:val="24"/>
          <w:szCs w:val="24"/>
        </w:rPr>
        <w:t xml:space="preserve">, de veinte de febrero de dos </w:t>
      </w:r>
      <w:r w:rsidR="00C07363">
        <w:rPr>
          <w:rFonts w:ascii="Arial" w:hAnsi="Arial" w:cs="Arial"/>
          <w:bCs/>
          <w:i/>
          <w:color w:val="000000"/>
          <w:sz w:val="24"/>
          <w:szCs w:val="24"/>
        </w:rPr>
        <w:lastRenderedPageBreak/>
        <w:t xml:space="preserve">mil diecinueve, emitida por la </w:t>
      </w:r>
      <w:r w:rsidR="00C07363">
        <w:rPr>
          <w:rFonts w:ascii="Arial" w:hAnsi="Arial" w:cs="Arial"/>
          <w:b/>
          <w:i/>
          <w:color w:val="000000"/>
          <w:sz w:val="24"/>
          <w:szCs w:val="24"/>
        </w:rPr>
        <w:t xml:space="preserve">DIRECTORA DE INGRESOS Y RECAUDACIÓN DE LA SECRETARÍA DE FINANZAS DEL ESTADO DE OAXACA </w:t>
      </w:r>
      <w:r w:rsidR="00C07363">
        <w:rPr>
          <w:rFonts w:ascii="Arial" w:hAnsi="Arial" w:cs="Arial"/>
          <w:bCs/>
          <w:i/>
          <w:color w:val="000000"/>
          <w:sz w:val="24"/>
          <w:szCs w:val="24"/>
        </w:rPr>
        <w:t>y tomando en consideración los conceptos de impugnación hechos valer por el actor se advierte, que la enjuiciada señaló lo siguientes:</w:t>
      </w:r>
    </w:p>
    <w:p w14:paraId="707AC66C" w14:textId="77777777" w:rsidR="00C07363" w:rsidRDefault="00C07363" w:rsidP="005B286A">
      <w:pPr>
        <w:widowControl w:val="0"/>
        <w:tabs>
          <w:tab w:val="left" w:pos="426"/>
          <w:tab w:val="left" w:pos="1134"/>
        </w:tabs>
        <w:spacing w:before="240" w:after="0" w:line="360" w:lineRule="auto"/>
        <w:ind w:left="1134" w:right="616"/>
        <w:jc w:val="both"/>
        <w:rPr>
          <w:rFonts w:ascii="Arial" w:hAnsi="Arial" w:cs="Arial"/>
          <w:bCs/>
          <w:i/>
          <w:color w:val="000000"/>
          <w:sz w:val="24"/>
          <w:szCs w:val="24"/>
        </w:rPr>
      </w:pPr>
      <w:r>
        <w:rPr>
          <w:rFonts w:ascii="Arial" w:hAnsi="Arial" w:cs="Arial"/>
          <w:bCs/>
          <w:i/>
          <w:color w:val="000000"/>
          <w:sz w:val="24"/>
          <w:szCs w:val="24"/>
        </w:rPr>
        <w:t>…</w:t>
      </w:r>
    </w:p>
    <w:p w14:paraId="402A6FBD" w14:textId="77777777" w:rsidR="00847AC1" w:rsidRDefault="00C07363" w:rsidP="005B286A">
      <w:pPr>
        <w:widowControl w:val="0"/>
        <w:tabs>
          <w:tab w:val="left" w:pos="426"/>
          <w:tab w:val="left" w:pos="1134"/>
        </w:tabs>
        <w:spacing w:before="240" w:after="0" w:line="360" w:lineRule="auto"/>
        <w:ind w:left="1134" w:right="616"/>
        <w:jc w:val="both"/>
        <w:rPr>
          <w:rFonts w:ascii="Arial" w:hAnsi="Arial" w:cs="Arial"/>
          <w:bCs/>
          <w:i/>
          <w:color w:val="000000"/>
          <w:sz w:val="24"/>
          <w:szCs w:val="24"/>
        </w:rPr>
      </w:pPr>
      <w:r>
        <w:rPr>
          <w:rFonts w:ascii="Arial" w:hAnsi="Arial" w:cs="Arial"/>
          <w:bCs/>
          <w:i/>
          <w:color w:val="000000"/>
          <w:sz w:val="24"/>
          <w:szCs w:val="24"/>
        </w:rPr>
        <w:t xml:space="preserve">Y que para determinar lo anterior, la enjuiciada señaló que la multa por infracción establecida en el artículo 269 fracción I, del Código Fiscal para el Estado de Oaxaca vigente, impuesta a la aquí actora derivó de la revisión minuciosa en el Registro Estatal de Contribuyentes con que cuenta la Secretaría de Finanzas del Gobierno del Estado de Oaxaca, advirtiéndose que no ha dado cumplimiento con las obligaciones fiscales, consistentes en la presentación de la declaraciones definitiva correspondiente al 4º, 5º y 6º bimestre 2018 del Impuesto Cedular a los Ingresos por el Otorgamiento del Uso o Goce Temporal de Bienes Inmuebles. Así mismo, se encuentra citando el artículo 27 de la Ley Estatal de Hacienda vigente, para el ejercicio fiscal 2018 y el artículo 123 párrafos segundo y último del Código Fiscal del Estado de Oaxaca vigente, para el ejercicio fiscal 2018, y en dichos numerales se establece la obligación y temporalidad de pago del Impuesto de referencia, a cargo de los contribuyentes que se coloquen en el supuesto jurídico.- - - - - - - - - - - - - - - - - - - - - - - - - - - - - - - - - - - - - - -Así las cosas, se advierte que resultan fundados los conceptos de impugnación hechos valer por la actora, ya que la enjuiciada omitió señalar en la multa impugnada las razones particulares, causas inmediatas y circunstancias especiales, de qué forma confirmó que el accionante era sujeto obligado al pago del Impuesto Sobre Erogaciones por Remuneraciones al Trabajo Personal; es decir, no precisa cuáles fueron los antecedentes por los cuales consideró que el accionante se ubica en la circunstancia que la ley considerada como hecho generador de la obligación fiscal; pues para tales efectos, no basta con el señalamiento de que se le ha identificado </w:t>
      </w:r>
      <w:r w:rsidR="00762C79">
        <w:rPr>
          <w:rFonts w:ascii="Arial" w:hAnsi="Arial" w:cs="Arial"/>
          <w:bCs/>
          <w:i/>
          <w:color w:val="000000"/>
          <w:sz w:val="24"/>
          <w:szCs w:val="24"/>
        </w:rPr>
        <w:t xml:space="preserve">como sujeto obligado, sino que la autoridad debió probar los hechos que la motivaron, y lo ubicaron en la hipótesis normativa para ser considerada sujeta del multicitado impuesto.- - - - - - - - - - - - - - - - - - - - - - </w:t>
      </w:r>
      <w:r w:rsidR="00762C79">
        <w:rPr>
          <w:rFonts w:ascii="Arial" w:hAnsi="Arial" w:cs="Arial"/>
          <w:bCs/>
          <w:i/>
          <w:color w:val="000000"/>
          <w:sz w:val="24"/>
          <w:szCs w:val="24"/>
        </w:rPr>
        <w:lastRenderedPageBreak/>
        <w:t>En ese orden de ideas, la autoridad fiscalizadora en primer término, debió ubicar a la actora como sujeto obligado, señalando los hechos o circunstancias que se generaron para que se actualizara el supuesto jurídico previsto por la ley fiscal vigente</w:t>
      </w:r>
      <w:r w:rsidR="003620BD">
        <w:rPr>
          <w:rFonts w:ascii="Arial" w:hAnsi="Arial" w:cs="Arial"/>
          <w:bCs/>
          <w:i/>
          <w:color w:val="000000"/>
          <w:sz w:val="24"/>
          <w:szCs w:val="24"/>
        </w:rPr>
        <w:t>, del cual deriva la obligación sobre el referido impuesto, ya que des estudio de la multicitada multa no se establece con exactitud la determinación del incumplimiento de la obligación por parte del administrado, así como no señala el expediente, documentos o base de datos</w:t>
      </w:r>
      <w:r w:rsidR="00847AC1">
        <w:rPr>
          <w:rFonts w:ascii="Arial" w:hAnsi="Arial" w:cs="Arial"/>
          <w:bCs/>
          <w:i/>
          <w:color w:val="000000"/>
          <w:sz w:val="24"/>
          <w:szCs w:val="24"/>
        </w:rPr>
        <w:t xml:space="preserve"> que tuvo acceso, para considerar a la aquí parte actora como sujeto a la aplicación del referido impuesto, solamente se limitó a hacer referencia al de la revisión realizada en el Registro Estatal de Contribuyentes con que cuenta la Secretaría de Finanzas del Gobierno del Estado de Oaxaca, sin apegarse a lo dispuesto en el artículo 97 del Código Fiscal del Estado de Oaxaca, vigente, para mayor compresión se transcribe:</w:t>
      </w:r>
    </w:p>
    <w:p w14:paraId="07BD0059" w14:textId="013B2794" w:rsidR="00847AC1" w:rsidRPr="008C0D28" w:rsidRDefault="00847AC1" w:rsidP="00847AC1">
      <w:pPr>
        <w:widowControl w:val="0"/>
        <w:tabs>
          <w:tab w:val="left" w:pos="426"/>
          <w:tab w:val="left" w:pos="1134"/>
        </w:tabs>
        <w:spacing w:before="240" w:after="0" w:line="360" w:lineRule="auto"/>
        <w:ind w:left="1134" w:right="616"/>
        <w:jc w:val="both"/>
        <w:rPr>
          <w:rFonts w:ascii="Arial" w:hAnsi="Arial" w:cs="Arial"/>
          <w:bCs/>
          <w:i/>
          <w:color w:val="000000"/>
          <w:sz w:val="24"/>
          <w:szCs w:val="24"/>
        </w:rPr>
      </w:pPr>
      <w:r>
        <w:rPr>
          <w:rFonts w:ascii="Arial" w:hAnsi="Arial" w:cs="Arial"/>
          <w:bCs/>
          <w:i/>
          <w:color w:val="000000"/>
          <w:sz w:val="24"/>
          <w:szCs w:val="24"/>
        </w:rPr>
        <w:t>…</w:t>
      </w:r>
    </w:p>
    <w:p w14:paraId="21428F02" w14:textId="18F9282E" w:rsidR="009207FF" w:rsidRDefault="009C0C20" w:rsidP="00847AC1">
      <w:pPr>
        <w:widowControl w:val="0"/>
        <w:tabs>
          <w:tab w:val="left" w:pos="426"/>
          <w:tab w:val="left" w:pos="1134"/>
        </w:tabs>
        <w:spacing w:before="240" w:after="0" w:line="360" w:lineRule="auto"/>
        <w:ind w:left="1134" w:right="616"/>
        <w:jc w:val="both"/>
        <w:rPr>
          <w:rFonts w:ascii="Arial" w:hAnsi="Arial" w:cs="Arial"/>
          <w:b/>
          <w:bCs/>
          <w:i/>
          <w:color w:val="000000"/>
          <w:sz w:val="24"/>
          <w:szCs w:val="24"/>
        </w:rPr>
      </w:pPr>
      <w:r>
        <w:rPr>
          <w:rFonts w:ascii="Arial" w:hAnsi="Arial" w:cs="Arial"/>
          <w:bCs/>
          <w:i/>
          <w:color w:val="000000"/>
          <w:sz w:val="24"/>
          <w:szCs w:val="24"/>
        </w:rPr>
        <w:t xml:space="preserve">Ahora bien, la enjuiciada consideró que la actora quedó inscrita en el </w:t>
      </w:r>
      <w:r>
        <w:rPr>
          <w:rFonts w:ascii="Arial" w:hAnsi="Arial" w:cs="Arial"/>
          <w:b/>
          <w:bCs/>
          <w:i/>
          <w:color w:val="000000"/>
          <w:sz w:val="24"/>
          <w:szCs w:val="24"/>
        </w:rPr>
        <w:t>Registro Estatal de Contribuyentes con fecha veinti</w:t>
      </w:r>
      <w:r w:rsidR="00847AC1">
        <w:rPr>
          <w:rFonts w:ascii="Arial" w:hAnsi="Arial" w:cs="Arial"/>
          <w:b/>
          <w:bCs/>
          <w:i/>
          <w:color w:val="000000"/>
          <w:sz w:val="24"/>
          <w:szCs w:val="24"/>
        </w:rPr>
        <w:t xml:space="preserve">siete de junio de dos mil </w:t>
      </w:r>
      <w:r>
        <w:rPr>
          <w:rFonts w:ascii="Arial" w:hAnsi="Arial" w:cs="Arial"/>
          <w:b/>
          <w:bCs/>
          <w:i/>
          <w:color w:val="000000"/>
          <w:sz w:val="24"/>
          <w:szCs w:val="24"/>
        </w:rPr>
        <w:t xml:space="preserve">diecisiete, </w:t>
      </w:r>
      <w:r>
        <w:rPr>
          <w:rFonts w:ascii="Arial" w:hAnsi="Arial" w:cs="Arial"/>
          <w:bCs/>
          <w:i/>
          <w:color w:val="000000"/>
          <w:sz w:val="24"/>
          <w:szCs w:val="24"/>
        </w:rPr>
        <w:t xml:space="preserve">lo anterior por presentar ante la Delegación o Subdelegación Fiscal, formulario múltiple de Registro Estatal de Contribuyentes a fin de quedar inscrito con la obligación al pago </w:t>
      </w:r>
      <w:r w:rsidRPr="00847AC1">
        <w:rPr>
          <w:rFonts w:ascii="Arial" w:hAnsi="Arial" w:cs="Arial"/>
          <w:i/>
          <w:color w:val="000000"/>
          <w:sz w:val="24"/>
          <w:szCs w:val="24"/>
        </w:rPr>
        <w:t>del impuesto Cedular a los Ingresos al otorgamiento del Uso o Goce Temporal de Bienes inmuebles</w:t>
      </w:r>
      <w:r w:rsidR="00847AC1">
        <w:rPr>
          <w:rFonts w:ascii="Arial" w:hAnsi="Arial" w:cs="Arial"/>
          <w:i/>
          <w:color w:val="000000"/>
          <w:sz w:val="24"/>
          <w:szCs w:val="24"/>
        </w:rPr>
        <w:t xml:space="preserve">, de lo anterior se desprende que la autoridad demandada debió de requerir a la administrada para el efecto de que comprobara haber cumplido con su obligación fiscal y con tales comprobaciones la autoridad determinaría el cumplimiento o incumplimiento de la obligación a que la hoy actora tuviera como sujeto obligado, para en su caso proceder o no a la imposición de la multa.- - </w:t>
      </w:r>
    </w:p>
    <w:p w14:paraId="1175129A" w14:textId="32B4125A" w:rsidR="007F7ADE" w:rsidRDefault="009207FF" w:rsidP="005B286A">
      <w:pPr>
        <w:widowControl w:val="0"/>
        <w:tabs>
          <w:tab w:val="left" w:pos="426"/>
          <w:tab w:val="left" w:pos="1134"/>
        </w:tabs>
        <w:spacing w:before="240" w:after="0" w:line="360" w:lineRule="auto"/>
        <w:ind w:left="1134" w:right="616"/>
        <w:jc w:val="both"/>
        <w:rPr>
          <w:rFonts w:ascii="Arial" w:hAnsi="Arial" w:cs="Arial"/>
          <w:bCs/>
          <w:i/>
          <w:color w:val="000000"/>
          <w:sz w:val="24"/>
          <w:szCs w:val="24"/>
        </w:rPr>
      </w:pPr>
      <w:r>
        <w:rPr>
          <w:rFonts w:ascii="Arial" w:hAnsi="Arial" w:cs="Arial"/>
          <w:bCs/>
          <w:i/>
          <w:color w:val="000000"/>
          <w:sz w:val="24"/>
          <w:szCs w:val="24"/>
        </w:rPr>
        <w:t>De lo anterior se puede apreciar que la multicitada autoridad pasó por alto el derecho de audiencia y debido procedimiento en materia administrativa, consagrado en el segundo párrafo del artículo 14 de la Constitución Política de los Estados Unidos Mexicanos, entendiendo éste</w:t>
      </w:r>
      <w:r w:rsidR="00847AC1">
        <w:rPr>
          <w:rFonts w:ascii="Arial" w:hAnsi="Arial" w:cs="Arial"/>
          <w:bCs/>
          <w:i/>
          <w:color w:val="000000"/>
          <w:sz w:val="24"/>
          <w:szCs w:val="24"/>
        </w:rPr>
        <w:t>,</w:t>
      </w:r>
      <w:r>
        <w:rPr>
          <w:rFonts w:ascii="Arial" w:hAnsi="Arial" w:cs="Arial"/>
          <w:bCs/>
          <w:i/>
          <w:color w:val="000000"/>
          <w:sz w:val="24"/>
          <w:szCs w:val="24"/>
        </w:rPr>
        <w:t xml:space="preserve"> el derecho que tiene toda persona para ejercer su defensa</w:t>
      </w:r>
      <w:r w:rsidR="00847AC1">
        <w:rPr>
          <w:rFonts w:ascii="Arial" w:hAnsi="Arial" w:cs="Arial"/>
          <w:bCs/>
          <w:i/>
          <w:color w:val="000000"/>
          <w:sz w:val="24"/>
          <w:szCs w:val="24"/>
        </w:rPr>
        <w:t xml:space="preserve"> y ser oída, con las debidas oportunidades y dentro de un plazo razonable, por la autoridad competente previo al reconocimiento o restricción de sus derechos y obligaciones </w:t>
      </w:r>
      <w:r w:rsidR="00BE39B2">
        <w:rPr>
          <w:rFonts w:ascii="Arial" w:hAnsi="Arial" w:cs="Arial"/>
          <w:bCs/>
          <w:i/>
          <w:color w:val="000000"/>
          <w:sz w:val="24"/>
          <w:szCs w:val="24"/>
        </w:rPr>
        <w:t>el cual deberá contemplar las formalidades que garantizan una defensa adecuada, es decir: a) El</w:t>
      </w:r>
      <w:r>
        <w:rPr>
          <w:rFonts w:ascii="Arial" w:hAnsi="Arial" w:cs="Arial"/>
          <w:bCs/>
          <w:i/>
          <w:color w:val="000000"/>
          <w:sz w:val="24"/>
          <w:szCs w:val="24"/>
        </w:rPr>
        <w:t xml:space="preserve"> aviso de inicio de procedimiento; b) La oportunidad de </w:t>
      </w:r>
      <w:r>
        <w:rPr>
          <w:rFonts w:ascii="Arial" w:hAnsi="Arial" w:cs="Arial"/>
          <w:bCs/>
          <w:i/>
          <w:color w:val="000000"/>
          <w:sz w:val="24"/>
          <w:szCs w:val="24"/>
        </w:rPr>
        <w:lastRenderedPageBreak/>
        <w:t>ofrecer las pruebas y alegar; c) Una resolución que resuelva las cuestiones debatidas, y; d) La posibilidad de reclamar la resolución mediante un recurso eficaz</w:t>
      </w:r>
      <w:r w:rsidR="00BE39B2">
        <w:rPr>
          <w:rFonts w:ascii="Arial" w:hAnsi="Arial" w:cs="Arial"/>
          <w:bCs/>
          <w:i/>
          <w:color w:val="000000"/>
          <w:sz w:val="24"/>
          <w:szCs w:val="24"/>
        </w:rPr>
        <w:t>. S</w:t>
      </w:r>
      <w:r w:rsidR="007F7ADE">
        <w:rPr>
          <w:rFonts w:ascii="Arial" w:hAnsi="Arial" w:cs="Arial"/>
          <w:bCs/>
          <w:i/>
          <w:color w:val="000000"/>
          <w:sz w:val="24"/>
          <w:szCs w:val="24"/>
        </w:rPr>
        <w:t>irve de apoyo la siguiente jurisprudencia P./J.</w:t>
      </w:r>
      <w:r w:rsidR="00BE39B2">
        <w:rPr>
          <w:rFonts w:ascii="Arial" w:hAnsi="Arial" w:cs="Arial"/>
          <w:bCs/>
          <w:i/>
          <w:color w:val="000000"/>
          <w:sz w:val="24"/>
          <w:szCs w:val="24"/>
        </w:rPr>
        <w:t xml:space="preserve"> </w:t>
      </w:r>
      <w:r w:rsidR="007F7ADE">
        <w:rPr>
          <w:rFonts w:ascii="Arial" w:hAnsi="Arial" w:cs="Arial"/>
          <w:bCs/>
          <w:i/>
          <w:color w:val="000000"/>
          <w:sz w:val="24"/>
          <w:szCs w:val="24"/>
        </w:rPr>
        <w:t xml:space="preserve">47/95, publicada en el Semanario Judicial de la Federación y su </w:t>
      </w:r>
      <w:r w:rsidR="00BE39B2">
        <w:rPr>
          <w:rFonts w:ascii="Arial" w:hAnsi="Arial" w:cs="Arial"/>
          <w:bCs/>
          <w:i/>
          <w:color w:val="000000"/>
          <w:sz w:val="24"/>
          <w:szCs w:val="24"/>
        </w:rPr>
        <w:t>G</w:t>
      </w:r>
      <w:r w:rsidR="007F7ADE">
        <w:rPr>
          <w:rFonts w:ascii="Arial" w:hAnsi="Arial" w:cs="Arial"/>
          <w:bCs/>
          <w:i/>
          <w:color w:val="000000"/>
          <w:sz w:val="24"/>
          <w:szCs w:val="24"/>
        </w:rPr>
        <w:t>aceta, Novena Época, Tomo II, diciembre de 1995, página 133, de rubro:</w:t>
      </w:r>
    </w:p>
    <w:p w14:paraId="53574D60" w14:textId="77777777" w:rsidR="009207FF" w:rsidRDefault="007F7ADE" w:rsidP="005B286A">
      <w:pPr>
        <w:widowControl w:val="0"/>
        <w:tabs>
          <w:tab w:val="left" w:pos="426"/>
          <w:tab w:val="left" w:pos="1134"/>
        </w:tabs>
        <w:spacing w:before="240" w:after="0" w:line="360" w:lineRule="auto"/>
        <w:ind w:left="1134" w:right="616"/>
        <w:jc w:val="both"/>
        <w:rPr>
          <w:rFonts w:ascii="Arial" w:hAnsi="Arial" w:cs="Arial"/>
          <w:bCs/>
          <w:i/>
          <w:color w:val="000000"/>
          <w:sz w:val="24"/>
          <w:szCs w:val="24"/>
        </w:rPr>
      </w:pPr>
      <w:r w:rsidRPr="007F7ADE">
        <w:rPr>
          <w:rFonts w:ascii="Arial" w:hAnsi="Arial" w:cs="Arial"/>
          <w:b/>
          <w:bCs/>
          <w:i/>
          <w:color w:val="000000"/>
        </w:rPr>
        <w:t>FORMALIDADES ESENCIALES DEL PROCEDIMIENTO. SON LAS QUE GARANTIZAN UNA ADECUADA Y OPORTUNA DEFENSA PREVIA AL ACTO PRIVATIVO</w:t>
      </w:r>
      <w:r w:rsidR="009207FF">
        <w:rPr>
          <w:rFonts w:ascii="Arial" w:hAnsi="Arial" w:cs="Arial"/>
          <w:bCs/>
          <w:i/>
          <w:color w:val="000000"/>
          <w:sz w:val="24"/>
          <w:szCs w:val="24"/>
        </w:rPr>
        <w:t>…</w:t>
      </w:r>
    </w:p>
    <w:p w14:paraId="574034E4" w14:textId="5DB92D12" w:rsidR="007F7ADE" w:rsidRDefault="009207FF" w:rsidP="007F7ADE">
      <w:pPr>
        <w:widowControl w:val="0"/>
        <w:tabs>
          <w:tab w:val="left" w:pos="426"/>
          <w:tab w:val="left" w:pos="1134"/>
        </w:tabs>
        <w:spacing w:before="240" w:after="0" w:line="360" w:lineRule="auto"/>
        <w:ind w:left="1134" w:right="616"/>
        <w:jc w:val="both"/>
        <w:rPr>
          <w:rFonts w:ascii="Arial" w:hAnsi="Arial" w:cs="Arial"/>
          <w:bCs/>
          <w:i/>
          <w:color w:val="000000"/>
          <w:sz w:val="24"/>
          <w:szCs w:val="24"/>
        </w:rPr>
      </w:pPr>
      <w:r>
        <w:rPr>
          <w:rFonts w:ascii="Arial" w:hAnsi="Arial" w:cs="Arial"/>
          <w:bCs/>
          <w:i/>
          <w:color w:val="000000"/>
          <w:sz w:val="24"/>
          <w:szCs w:val="24"/>
        </w:rPr>
        <w:t>En ese orden de ideas, la enjuiciada una vez que hubiese identificado a</w:t>
      </w:r>
      <w:r w:rsidR="00BE39B2">
        <w:rPr>
          <w:rFonts w:ascii="Arial" w:hAnsi="Arial" w:cs="Arial"/>
          <w:bCs/>
          <w:i/>
          <w:color w:val="000000"/>
          <w:sz w:val="24"/>
          <w:szCs w:val="24"/>
        </w:rPr>
        <w:t xml:space="preserve"> </w:t>
      </w:r>
      <w:r>
        <w:rPr>
          <w:rFonts w:ascii="Arial" w:hAnsi="Arial" w:cs="Arial"/>
          <w:bCs/>
          <w:i/>
          <w:color w:val="000000"/>
          <w:sz w:val="24"/>
          <w:szCs w:val="24"/>
        </w:rPr>
        <w:t>l</w:t>
      </w:r>
      <w:r w:rsidR="00BE39B2">
        <w:rPr>
          <w:rFonts w:ascii="Arial" w:hAnsi="Arial" w:cs="Arial"/>
          <w:bCs/>
          <w:i/>
          <w:color w:val="000000"/>
          <w:sz w:val="24"/>
          <w:szCs w:val="24"/>
        </w:rPr>
        <w:t>a</w:t>
      </w:r>
      <w:r>
        <w:rPr>
          <w:rFonts w:ascii="Arial" w:hAnsi="Arial" w:cs="Arial"/>
          <w:bCs/>
          <w:i/>
          <w:color w:val="000000"/>
          <w:sz w:val="24"/>
          <w:szCs w:val="24"/>
        </w:rPr>
        <w:t xml:space="preserve"> actor</w:t>
      </w:r>
      <w:r w:rsidR="00BE39B2">
        <w:rPr>
          <w:rFonts w:ascii="Arial" w:hAnsi="Arial" w:cs="Arial"/>
          <w:bCs/>
          <w:i/>
          <w:color w:val="000000"/>
          <w:sz w:val="24"/>
          <w:szCs w:val="24"/>
        </w:rPr>
        <w:t>a</w:t>
      </w:r>
      <w:r>
        <w:rPr>
          <w:rFonts w:ascii="Arial" w:hAnsi="Arial" w:cs="Arial"/>
          <w:bCs/>
          <w:i/>
          <w:color w:val="000000"/>
          <w:sz w:val="24"/>
          <w:szCs w:val="24"/>
        </w:rPr>
        <w:t xml:space="preserve"> en los registros contables en materia de declaraciones y pagos como sujeto al referido impuesto debió requerir </w:t>
      </w:r>
      <w:r w:rsidR="00BE39B2">
        <w:rPr>
          <w:rFonts w:ascii="Arial" w:hAnsi="Arial" w:cs="Arial"/>
          <w:bCs/>
          <w:i/>
          <w:color w:val="000000"/>
          <w:sz w:val="24"/>
          <w:szCs w:val="24"/>
        </w:rPr>
        <w:t xml:space="preserve">información </w:t>
      </w:r>
      <w:r>
        <w:rPr>
          <w:rFonts w:ascii="Arial" w:hAnsi="Arial" w:cs="Arial"/>
          <w:bCs/>
          <w:i/>
          <w:color w:val="000000"/>
          <w:sz w:val="24"/>
          <w:szCs w:val="24"/>
        </w:rPr>
        <w:t>a</w:t>
      </w:r>
      <w:r w:rsidR="00BE39B2">
        <w:rPr>
          <w:rFonts w:ascii="Arial" w:hAnsi="Arial" w:cs="Arial"/>
          <w:bCs/>
          <w:i/>
          <w:color w:val="000000"/>
          <w:sz w:val="24"/>
          <w:szCs w:val="24"/>
        </w:rPr>
        <w:t xml:space="preserve"> </w:t>
      </w:r>
      <w:r>
        <w:rPr>
          <w:rFonts w:ascii="Arial" w:hAnsi="Arial" w:cs="Arial"/>
          <w:bCs/>
          <w:i/>
          <w:color w:val="000000"/>
          <w:sz w:val="24"/>
          <w:szCs w:val="24"/>
        </w:rPr>
        <w:t>l</w:t>
      </w:r>
      <w:r w:rsidR="00BE39B2">
        <w:rPr>
          <w:rFonts w:ascii="Arial" w:hAnsi="Arial" w:cs="Arial"/>
          <w:bCs/>
          <w:i/>
          <w:color w:val="000000"/>
          <w:sz w:val="24"/>
          <w:szCs w:val="24"/>
        </w:rPr>
        <w:t>a</w:t>
      </w:r>
      <w:r>
        <w:rPr>
          <w:rFonts w:ascii="Arial" w:hAnsi="Arial" w:cs="Arial"/>
          <w:bCs/>
          <w:i/>
          <w:color w:val="000000"/>
          <w:sz w:val="24"/>
          <w:szCs w:val="24"/>
        </w:rPr>
        <w:t xml:space="preserve"> contribuyente </w:t>
      </w:r>
      <w:r w:rsidR="00BE39B2">
        <w:rPr>
          <w:rFonts w:ascii="Arial" w:hAnsi="Arial" w:cs="Arial"/>
          <w:bCs/>
          <w:i/>
          <w:color w:val="000000"/>
          <w:sz w:val="24"/>
          <w:szCs w:val="24"/>
        </w:rPr>
        <w:t xml:space="preserve">de </w:t>
      </w:r>
      <w:r>
        <w:rPr>
          <w:rFonts w:ascii="Arial" w:hAnsi="Arial" w:cs="Arial"/>
          <w:bCs/>
          <w:i/>
          <w:color w:val="000000"/>
          <w:sz w:val="24"/>
          <w:szCs w:val="24"/>
        </w:rPr>
        <w:t>la supuesta documentación omitida y concederle un plazo legal a efecto de poder manifestar lo que a su derecho conviniera, para así cumplir con la formalidad esencial del procedimiento</w:t>
      </w:r>
      <w:r w:rsidR="00BE39B2">
        <w:rPr>
          <w:rFonts w:ascii="Arial" w:hAnsi="Arial" w:cs="Arial"/>
          <w:bCs/>
          <w:i/>
          <w:color w:val="000000"/>
          <w:sz w:val="24"/>
          <w:szCs w:val="24"/>
        </w:rPr>
        <w:t xml:space="preserve"> cuando se conozcan hechos que consten en expediente, documentos o base de datos como lo marca el </w:t>
      </w:r>
      <w:r>
        <w:rPr>
          <w:rFonts w:ascii="Arial" w:hAnsi="Arial" w:cs="Arial"/>
          <w:bCs/>
          <w:i/>
          <w:color w:val="000000"/>
          <w:sz w:val="24"/>
          <w:szCs w:val="24"/>
        </w:rPr>
        <w:t>artículo 97 del Código Fiscal para el Estado de Oaxaca, pues al hacerlo le otorgaría al gobernado la oportunidad de aclarar, corroborar, desvirtuar, precisar el contenido y alcance de la información que obra en poder de la autoridad fiscalizadora, y al no darle a conocer la ubicación del expediente, los documentos y base de datos donde dedujo la omisión de la información o documentación deja en estado de indefensión al actor, violándole la garantía de audiencia contenida en el artículo 14 de la Constitución Política de los Estados Unidos Mexicanos</w:t>
      </w:r>
      <w:r w:rsidR="007F7ADE">
        <w:rPr>
          <w:rFonts w:ascii="Arial" w:hAnsi="Arial" w:cs="Arial"/>
          <w:bCs/>
          <w:i/>
          <w:color w:val="000000"/>
          <w:sz w:val="24"/>
          <w:szCs w:val="24"/>
        </w:rPr>
        <w:t>. Sirve de sustento la siguiente tesis aislada emitida por los Tribunales Colegiados de Circuito, Semanario Judicial de la Federación y su Gaceta, Época</w:t>
      </w:r>
      <w:r w:rsidR="007F7ADE" w:rsidRPr="007F7ADE">
        <w:rPr>
          <w:rFonts w:ascii="Arial" w:hAnsi="Arial" w:cs="Arial"/>
          <w:bCs/>
          <w:i/>
          <w:color w:val="000000"/>
          <w:sz w:val="24"/>
          <w:szCs w:val="24"/>
        </w:rPr>
        <w:t xml:space="preserve"> </w:t>
      </w:r>
      <w:r w:rsidR="007F7ADE">
        <w:rPr>
          <w:rFonts w:ascii="Arial" w:hAnsi="Arial" w:cs="Arial"/>
          <w:bCs/>
          <w:i/>
          <w:color w:val="000000"/>
          <w:sz w:val="24"/>
          <w:szCs w:val="24"/>
        </w:rPr>
        <w:t>Novena, materia administrativa, Tesis: IV.2º.A.69.A, página 1535.</w:t>
      </w:r>
    </w:p>
    <w:p w14:paraId="5539E093" w14:textId="77777777" w:rsidR="005B286A" w:rsidRDefault="007F7ADE" w:rsidP="007F7ADE">
      <w:pPr>
        <w:widowControl w:val="0"/>
        <w:tabs>
          <w:tab w:val="left" w:pos="426"/>
          <w:tab w:val="left" w:pos="1134"/>
        </w:tabs>
        <w:spacing w:before="240" w:after="0" w:line="360" w:lineRule="auto"/>
        <w:ind w:left="1134" w:right="616"/>
        <w:jc w:val="both"/>
        <w:rPr>
          <w:rFonts w:ascii="Arial" w:hAnsi="Arial" w:cs="Arial"/>
          <w:bCs/>
          <w:color w:val="000000"/>
          <w:sz w:val="26"/>
          <w:szCs w:val="26"/>
        </w:rPr>
      </w:pPr>
      <w:r>
        <w:rPr>
          <w:rFonts w:ascii="Arial" w:hAnsi="Arial" w:cs="Arial"/>
          <w:b/>
          <w:bCs/>
          <w:i/>
          <w:color w:val="000000"/>
        </w:rPr>
        <w:t>CONTRIBUCIONES FEDERALES. PARA MOTIVAR LAS RESOLUCIONES QUE LAS AUTORIDADES FISCALES EMITAN EN ESA MATERIA, ES MENESTER QUE PRECISEN CLARAMENTE CUÁLES SON LOS EXPEDIENTES Y DOCUMENTOS QUE TOMARON EN CUENTA Y LOS HECHOS DE ELLOS ADVERTIDOS</w:t>
      </w:r>
      <w:r w:rsidR="005B286A" w:rsidRPr="008C0D28">
        <w:rPr>
          <w:rFonts w:ascii="Arial" w:hAnsi="Arial" w:cs="Arial"/>
          <w:bCs/>
          <w:i/>
          <w:color w:val="000000"/>
          <w:sz w:val="24"/>
          <w:szCs w:val="24"/>
        </w:rPr>
        <w:t>…</w:t>
      </w:r>
      <w:r w:rsidR="005B286A">
        <w:rPr>
          <w:rFonts w:ascii="Arial" w:hAnsi="Arial" w:cs="Arial"/>
          <w:bCs/>
          <w:color w:val="000000"/>
          <w:sz w:val="26"/>
          <w:szCs w:val="26"/>
        </w:rPr>
        <w:t>”</w:t>
      </w:r>
    </w:p>
    <w:p w14:paraId="1D72A1D8" w14:textId="7F99AAE0" w:rsidR="00A61EE3" w:rsidRDefault="000557C8" w:rsidP="000557C8">
      <w:pPr>
        <w:widowControl w:val="0"/>
        <w:tabs>
          <w:tab w:val="left" w:pos="426"/>
          <w:tab w:val="left" w:pos="1134"/>
          <w:tab w:val="center" w:pos="3827"/>
        </w:tabs>
        <w:spacing w:before="240" w:after="0" w:line="360" w:lineRule="auto"/>
        <w:ind w:right="616" w:firstLine="851"/>
        <w:jc w:val="both"/>
        <w:rPr>
          <w:rFonts w:ascii="Arial" w:hAnsi="Arial" w:cs="Arial"/>
          <w:bCs/>
          <w:color w:val="000000"/>
          <w:sz w:val="26"/>
          <w:szCs w:val="26"/>
        </w:rPr>
      </w:pPr>
      <w:r>
        <w:rPr>
          <w:rFonts w:ascii="Arial" w:hAnsi="Arial" w:cs="Arial"/>
          <w:b/>
          <w:bCs/>
          <w:color w:val="000000"/>
          <w:sz w:val="26"/>
          <w:szCs w:val="26"/>
        </w:rPr>
        <w:t xml:space="preserve">Por otra parte aduce, </w:t>
      </w:r>
      <w:r w:rsidR="009A3BBD">
        <w:rPr>
          <w:rFonts w:ascii="Arial" w:hAnsi="Arial" w:cs="Arial"/>
          <w:bCs/>
          <w:color w:val="000000"/>
          <w:sz w:val="26"/>
          <w:szCs w:val="26"/>
        </w:rPr>
        <w:t>que la A quo se extralimitó</w:t>
      </w:r>
      <w:r>
        <w:rPr>
          <w:rFonts w:ascii="Arial" w:hAnsi="Arial" w:cs="Arial"/>
          <w:bCs/>
          <w:color w:val="000000"/>
          <w:sz w:val="26"/>
          <w:szCs w:val="26"/>
        </w:rPr>
        <w:t xml:space="preserve"> al resolver que en la emisión del acto impugnado no se cumplieron </w:t>
      </w:r>
      <w:r>
        <w:rPr>
          <w:rFonts w:ascii="Arial" w:hAnsi="Arial" w:cs="Arial"/>
          <w:bCs/>
          <w:color w:val="000000"/>
          <w:sz w:val="26"/>
          <w:szCs w:val="26"/>
        </w:rPr>
        <w:lastRenderedPageBreak/>
        <w:t xml:space="preserve">con las garantías de </w:t>
      </w:r>
      <w:r w:rsidR="005350B9">
        <w:rPr>
          <w:rFonts w:ascii="Arial" w:hAnsi="Arial" w:cs="Arial"/>
          <w:bCs/>
          <w:color w:val="000000"/>
          <w:sz w:val="26"/>
          <w:szCs w:val="26"/>
        </w:rPr>
        <w:t xml:space="preserve">seguridad </w:t>
      </w:r>
      <w:r w:rsidR="007F7ADE">
        <w:rPr>
          <w:rFonts w:ascii="Arial" w:hAnsi="Arial" w:cs="Arial"/>
          <w:bCs/>
          <w:color w:val="000000"/>
          <w:sz w:val="26"/>
          <w:szCs w:val="26"/>
        </w:rPr>
        <w:t xml:space="preserve">y </w:t>
      </w:r>
      <w:r w:rsidR="005350B9">
        <w:rPr>
          <w:rFonts w:ascii="Arial" w:hAnsi="Arial" w:cs="Arial"/>
          <w:bCs/>
          <w:color w:val="000000"/>
          <w:sz w:val="26"/>
          <w:szCs w:val="26"/>
        </w:rPr>
        <w:t>audiencia</w:t>
      </w:r>
      <w:r>
        <w:rPr>
          <w:rFonts w:ascii="Arial" w:hAnsi="Arial" w:cs="Arial"/>
          <w:bCs/>
          <w:color w:val="000000"/>
          <w:sz w:val="26"/>
          <w:szCs w:val="26"/>
        </w:rPr>
        <w:t xml:space="preserve">, porque </w:t>
      </w:r>
      <w:r w:rsidR="009545DC">
        <w:rPr>
          <w:rFonts w:ascii="Arial" w:hAnsi="Arial" w:cs="Arial"/>
          <w:bCs/>
          <w:color w:val="000000"/>
          <w:sz w:val="26"/>
          <w:szCs w:val="26"/>
        </w:rPr>
        <w:t xml:space="preserve">la multa impuesta deviene como consecuencia </w:t>
      </w:r>
      <w:r>
        <w:rPr>
          <w:rFonts w:ascii="Arial" w:hAnsi="Arial" w:cs="Arial"/>
          <w:bCs/>
          <w:color w:val="000000"/>
          <w:sz w:val="26"/>
          <w:szCs w:val="26"/>
        </w:rPr>
        <w:t>del incumplimiento por parte de la actora con sus obligaciones fiscales</w:t>
      </w:r>
      <w:r w:rsidR="009545DC">
        <w:rPr>
          <w:rFonts w:ascii="Arial" w:hAnsi="Arial" w:cs="Arial"/>
          <w:bCs/>
          <w:color w:val="000000"/>
          <w:sz w:val="26"/>
          <w:szCs w:val="26"/>
        </w:rPr>
        <w:t xml:space="preserve"> respecto al impuesto cedular a los ingresos por el otorgamiento del uso o goce temporal de bienes inmuebles</w:t>
      </w:r>
      <w:r>
        <w:rPr>
          <w:rFonts w:ascii="Arial" w:hAnsi="Arial" w:cs="Arial"/>
          <w:bCs/>
          <w:color w:val="000000"/>
          <w:sz w:val="26"/>
          <w:szCs w:val="26"/>
        </w:rPr>
        <w:t xml:space="preserve">; siendo así que la autoridad fiscal derivado de una revisión en los registros de su base de datos, arrojó que la </w:t>
      </w:r>
      <w:r w:rsidR="009545DC">
        <w:rPr>
          <w:rFonts w:ascii="Arial" w:hAnsi="Arial" w:cs="Arial"/>
          <w:bCs/>
          <w:color w:val="000000"/>
          <w:sz w:val="26"/>
          <w:szCs w:val="26"/>
        </w:rPr>
        <w:t>actora</w:t>
      </w:r>
      <w:r>
        <w:rPr>
          <w:rFonts w:ascii="Arial" w:hAnsi="Arial" w:cs="Arial"/>
          <w:bCs/>
          <w:color w:val="000000"/>
          <w:sz w:val="26"/>
          <w:szCs w:val="26"/>
        </w:rPr>
        <w:t xml:space="preserve"> a la fecha de la emisión de la multa no había cumpl</w:t>
      </w:r>
      <w:r w:rsidR="009545DC">
        <w:rPr>
          <w:rFonts w:ascii="Arial" w:hAnsi="Arial" w:cs="Arial"/>
          <w:bCs/>
          <w:color w:val="000000"/>
          <w:sz w:val="26"/>
          <w:szCs w:val="26"/>
        </w:rPr>
        <w:t xml:space="preserve">ido con su obligación contraída, </w:t>
      </w:r>
      <w:r>
        <w:rPr>
          <w:rFonts w:ascii="Arial" w:hAnsi="Arial" w:cs="Arial"/>
          <w:bCs/>
          <w:color w:val="000000"/>
          <w:sz w:val="26"/>
          <w:szCs w:val="26"/>
        </w:rPr>
        <w:t>al haber</w:t>
      </w:r>
      <w:r w:rsidR="009545DC">
        <w:rPr>
          <w:rFonts w:ascii="Arial" w:hAnsi="Arial" w:cs="Arial"/>
          <w:bCs/>
          <w:color w:val="000000"/>
          <w:sz w:val="26"/>
          <w:szCs w:val="26"/>
        </w:rPr>
        <w:t xml:space="preserve"> sido la propia contribuyente quien se dio </w:t>
      </w:r>
      <w:r>
        <w:rPr>
          <w:rFonts w:ascii="Arial" w:hAnsi="Arial" w:cs="Arial"/>
          <w:bCs/>
          <w:color w:val="000000"/>
          <w:sz w:val="26"/>
          <w:szCs w:val="26"/>
        </w:rPr>
        <w:t>de alta con la obligación en comento, quien en ejercicio</w:t>
      </w:r>
      <w:r w:rsidR="00245C3D">
        <w:rPr>
          <w:rFonts w:ascii="Arial" w:hAnsi="Arial" w:cs="Arial"/>
          <w:bCs/>
          <w:color w:val="000000"/>
          <w:sz w:val="26"/>
          <w:szCs w:val="26"/>
        </w:rPr>
        <w:t>s</w:t>
      </w:r>
      <w:r>
        <w:rPr>
          <w:rFonts w:ascii="Arial" w:hAnsi="Arial" w:cs="Arial"/>
          <w:bCs/>
          <w:color w:val="000000"/>
          <w:sz w:val="26"/>
          <w:szCs w:val="26"/>
        </w:rPr>
        <w:t xml:space="preserve"> anteriores ya había presentado declaraciones en cumplimiento a la obligación contraída; reitera que la demandada emitió la multa como consecuencia del incumplimiento a la presentación de las declaraciones del impuesto en comento</w:t>
      </w:r>
      <w:r w:rsidR="00A61EE3">
        <w:rPr>
          <w:rFonts w:ascii="Arial" w:hAnsi="Arial" w:cs="Arial"/>
          <w:bCs/>
          <w:color w:val="000000"/>
          <w:sz w:val="26"/>
          <w:szCs w:val="26"/>
        </w:rPr>
        <w:t>, porque el Código Fiscal, en correlación con su Reglamento, expresan que las personas físicas, morales, así como las unidades económicas, que realicen actividades por las que de forma periódico deban pagar contribuciones, continuaran haciendo en tanto no presenten los avisos de suspensión, disminución o cancelación en el Registro Estatal de Contribuyentes</w:t>
      </w:r>
      <w:r w:rsidR="00D15103">
        <w:rPr>
          <w:rFonts w:ascii="Arial" w:hAnsi="Arial" w:cs="Arial"/>
          <w:bCs/>
          <w:color w:val="000000"/>
          <w:sz w:val="26"/>
          <w:szCs w:val="26"/>
        </w:rPr>
        <w:t>, siendo así que la multa impuesta, no es porque su representada de manera arbitraria presumiera que la contribuyentes realiza actividades propias del impuesto aludido</w:t>
      </w:r>
      <w:r w:rsidR="00E83D98">
        <w:rPr>
          <w:rFonts w:ascii="Arial" w:hAnsi="Arial" w:cs="Arial"/>
          <w:bCs/>
          <w:color w:val="000000"/>
          <w:sz w:val="26"/>
          <w:szCs w:val="26"/>
        </w:rPr>
        <w:t>, sino por la falta de presentación de la declaración del impuesto reiteradamente indicado, siendo así procedente la imposición de la multa y la misma se encuentra debidamente fundada y motivada. Cita como apoyo el criterio de rubro: “</w:t>
      </w:r>
      <w:r w:rsidR="00E83D98" w:rsidRPr="00E83D98">
        <w:rPr>
          <w:rFonts w:ascii="Arial" w:hAnsi="Arial" w:cs="Arial"/>
          <w:bCs/>
          <w:i/>
          <w:iCs/>
          <w:color w:val="000000"/>
        </w:rPr>
        <w:t>FUNDAMENTACIÓN Y MOTIVACIÓN</w:t>
      </w:r>
      <w:r w:rsidR="00E83D98">
        <w:rPr>
          <w:rFonts w:ascii="Arial" w:hAnsi="Arial" w:cs="Arial"/>
          <w:bCs/>
          <w:color w:val="000000"/>
          <w:sz w:val="26"/>
          <w:szCs w:val="26"/>
        </w:rPr>
        <w:t>”</w:t>
      </w:r>
    </w:p>
    <w:p w14:paraId="7FD5FA14" w14:textId="77777777" w:rsidR="009A3BBD" w:rsidRDefault="009545DC" w:rsidP="009A3BBD">
      <w:pPr>
        <w:widowControl w:val="0"/>
        <w:tabs>
          <w:tab w:val="left" w:pos="426"/>
          <w:tab w:val="left" w:pos="1134"/>
          <w:tab w:val="center" w:pos="3827"/>
        </w:tabs>
        <w:spacing w:before="240" w:after="0" w:line="360" w:lineRule="auto"/>
        <w:ind w:right="616" w:firstLine="851"/>
        <w:jc w:val="both"/>
        <w:rPr>
          <w:rFonts w:ascii="Arial" w:hAnsi="Arial" w:cs="Arial"/>
          <w:sz w:val="26"/>
          <w:szCs w:val="26"/>
        </w:rPr>
      </w:pPr>
      <w:r>
        <w:rPr>
          <w:rFonts w:ascii="Arial" w:hAnsi="Arial" w:cs="Arial"/>
          <w:bCs/>
          <w:color w:val="000000"/>
          <w:sz w:val="26"/>
          <w:szCs w:val="26"/>
        </w:rPr>
        <w:t>Todas e</w:t>
      </w:r>
      <w:r w:rsidR="000557C8">
        <w:rPr>
          <w:rFonts w:ascii="Arial" w:hAnsi="Arial" w:cs="Arial"/>
          <w:bCs/>
          <w:color w:val="000000"/>
          <w:sz w:val="26"/>
          <w:szCs w:val="26"/>
        </w:rPr>
        <w:t xml:space="preserve">stas alegaciones son </w:t>
      </w:r>
      <w:r w:rsidR="000557C8" w:rsidRPr="006C4589">
        <w:rPr>
          <w:rFonts w:ascii="Arial" w:hAnsi="Arial" w:cs="Arial"/>
          <w:b/>
          <w:bCs/>
          <w:color w:val="000000"/>
          <w:sz w:val="26"/>
          <w:szCs w:val="26"/>
        </w:rPr>
        <w:t>inoperante</w:t>
      </w:r>
      <w:r w:rsidR="000557C8">
        <w:rPr>
          <w:rFonts w:ascii="Arial" w:hAnsi="Arial" w:cs="Arial"/>
          <w:b/>
          <w:bCs/>
          <w:color w:val="000000"/>
          <w:sz w:val="26"/>
          <w:szCs w:val="26"/>
        </w:rPr>
        <w:t>s</w:t>
      </w:r>
      <w:r w:rsidR="000557C8">
        <w:rPr>
          <w:rFonts w:ascii="Arial" w:hAnsi="Arial" w:cs="Arial"/>
          <w:bCs/>
          <w:color w:val="000000"/>
          <w:sz w:val="26"/>
          <w:szCs w:val="26"/>
        </w:rPr>
        <w:t xml:space="preserve">, al no controvertir la consideración sustancial de la Primera Instancia para considerar procedente la nulidad decretada, consistente en que </w:t>
      </w:r>
      <w:r w:rsidR="00E83D98">
        <w:rPr>
          <w:rFonts w:ascii="Arial" w:hAnsi="Arial" w:cs="Arial"/>
          <w:bCs/>
          <w:color w:val="000000"/>
          <w:sz w:val="26"/>
          <w:szCs w:val="26"/>
        </w:rPr>
        <w:t>la demandada omitió señalar las razones particulares, causas inmediatas</w:t>
      </w:r>
      <w:r w:rsidR="00323C26">
        <w:rPr>
          <w:rFonts w:ascii="Arial" w:hAnsi="Arial" w:cs="Arial"/>
          <w:bCs/>
          <w:color w:val="000000"/>
          <w:sz w:val="26"/>
          <w:szCs w:val="26"/>
        </w:rPr>
        <w:t xml:space="preserve"> y circunstancias especiales de la forma en que confirmó que el accionante era sujeto obligado del Impuesto Cedular a los Ingresos por el Otorgamiento del Uso o Goce Temporal de Bienes Inmuebles, al no referir cuáles fueron los antecedente del tal consideración; para</w:t>
      </w:r>
      <w:r w:rsidR="004605C2">
        <w:rPr>
          <w:rFonts w:ascii="Arial" w:hAnsi="Arial" w:cs="Arial"/>
          <w:bCs/>
          <w:color w:val="000000"/>
          <w:sz w:val="26"/>
          <w:szCs w:val="26"/>
        </w:rPr>
        <w:t xml:space="preserve"> </w:t>
      </w:r>
      <w:r w:rsidR="00323C26">
        <w:rPr>
          <w:rFonts w:ascii="Arial" w:hAnsi="Arial" w:cs="Arial"/>
          <w:bCs/>
          <w:color w:val="000000"/>
          <w:sz w:val="26"/>
          <w:szCs w:val="26"/>
        </w:rPr>
        <w:t xml:space="preserve">no pasar por alto el derecho de audiencia y debido procedimiento en materia administrativa y cumplir </w:t>
      </w:r>
      <w:r w:rsidR="003406E9">
        <w:rPr>
          <w:rFonts w:ascii="Arial" w:hAnsi="Arial" w:cs="Arial"/>
          <w:sz w:val="26"/>
          <w:szCs w:val="26"/>
        </w:rPr>
        <w:t xml:space="preserve">con la formalidad esencial del procedimiento, como lo establece el </w:t>
      </w:r>
      <w:r w:rsidR="000557C8">
        <w:rPr>
          <w:rFonts w:ascii="Arial" w:hAnsi="Arial" w:cs="Arial"/>
          <w:sz w:val="26"/>
          <w:szCs w:val="26"/>
        </w:rPr>
        <w:t>artículo 97 del Código Fiscal para el Estado de Oaxaca.</w:t>
      </w:r>
    </w:p>
    <w:p w14:paraId="461741E6" w14:textId="77777777" w:rsidR="009A3BBD" w:rsidRDefault="000557C8" w:rsidP="009A3BBD">
      <w:pPr>
        <w:widowControl w:val="0"/>
        <w:tabs>
          <w:tab w:val="left" w:pos="426"/>
          <w:tab w:val="left" w:pos="1134"/>
          <w:tab w:val="center" w:pos="3827"/>
        </w:tabs>
        <w:spacing w:before="240" w:after="0" w:line="360" w:lineRule="auto"/>
        <w:ind w:right="616" w:firstLine="851"/>
        <w:jc w:val="both"/>
        <w:rPr>
          <w:rFonts w:ascii="Arial" w:hAnsi="Arial" w:cs="Arial"/>
          <w:sz w:val="26"/>
          <w:szCs w:val="26"/>
        </w:rPr>
      </w:pPr>
      <w:r>
        <w:rPr>
          <w:rFonts w:ascii="Arial" w:hAnsi="Arial" w:cs="Arial"/>
          <w:bCs/>
          <w:color w:val="000000" w:themeColor="text1"/>
          <w:sz w:val="26"/>
          <w:szCs w:val="26"/>
          <w:lang w:val="es-MX"/>
        </w:rPr>
        <w:t xml:space="preserve">Sirve de apoyo a lo anterior la jurisprudencia </w:t>
      </w:r>
      <w:r>
        <w:rPr>
          <w:rFonts w:ascii="Arial" w:eastAsia="Times New Roman" w:hAnsi="Arial"/>
          <w:color w:val="000000" w:themeColor="text1"/>
          <w:sz w:val="26"/>
          <w:szCs w:val="26"/>
          <w:lang w:val="es-MX"/>
        </w:rPr>
        <w:t xml:space="preserve">IV.3o. J/12 </w:t>
      </w:r>
      <w:r>
        <w:rPr>
          <w:rFonts w:ascii="Arial" w:eastAsia="Times New Roman" w:hAnsi="Arial"/>
          <w:color w:val="000000" w:themeColor="text1"/>
          <w:sz w:val="26"/>
          <w:szCs w:val="26"/>
          <w:lang w:val="es-MX"/>
        </w:rPr>
        <w:lastRenderedPageBreak/>
        <w:t>dictada por el Tercer Tribunal Colegiado del Cuarto Circuito, publicada en la Gaceta del Semanario Judicial de la Federación, en la Octava Época, Septiembre de 1992, consultable a página 57, cuyo rubro y texto son el siguiente:</w:t>
      </w:r>
    </w:p>
    <w:p w14:paraId="4EEBB56B" w14:textId="6E1210B1" w:rsidR="000557C8" w:rsidRPr="009A3BBD" w:rsidRDefault="000557C8" w:rsidP="009A3BBD">
      <w:pPr>
        <w:widowControl w:val="0"/>
        <w:tabs>
          <w:tab w:val="left" w:pos="426"/>
          <w:tab w:val="left" w:pos="1134"/>
          <w:tab w:val="center" w:pos="3827"/>
        </w:tabs>
        <w:spacing w:before="240" w:after="0" w:line="360" w:lineRule="auto"/>
        <w:ind w:right="616" w:firstLine="851"/>
        <w:jc w:val="both"/>
        <w:rPr>
          <w:rFonts w:ascii="Arial" w:hAnsi="Arial" w:cs="Arial"/>
          <w:sz w:val="26"/>
          <w:szCs w:val="26"/>
        </w:rPr>
      </w:pPr>
      <w:r>
        <w:rPr>
          <w:rFonts w:ascii="Arial" w:eastAsia="Times New Roman" w:hAnsi="Arial"/>
          <w:i/>
          <w:color w:val="000000" w:themeColor="text1"/>
          <w:sz w:val="24"/>
          <w:szCs w:val="24"/>
          <w:lang w:val="es-MX"/>
        </w:rPr>
        <w:t>“</w:t>
      </w:r>
      <w:r>
        <w:rPr>
          <w:rFonts w:ascii="Arial" w:eastAsia="Times New Roman" w:hAnsi="Arial"/>
          <w:b/>
          <w:i/>
          <w:color w:val="000000" w:themeColor="text1"/>
          <w:sz w:val="24"/>
          <w:szCs w:val="24"/>
          <w:lang w:val="es-MX"/>
        </w:rPr>
        <w:t xml:space="preserve">AGRAVIOS. DEBEN DE IMPUGNAR LA ILEGALIDAD DEL FALLO RECURRIDO. </w:t>
      </w:r>
      <w:r>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76DD841D" w14:textId="47BA6B30" w:rsidR="00323C26" w:rsidRDefault="009F683D" w:rsidP="009F683D">
      <w:pPr>
        <w:widowControl w:val="0"/>
        <w:tabs>
          <w:tab w:val="left" w:pos="426"/>
          <w:tab w:val="left" w:pos="1134"/>
          <w:tab w:val="center" w:pos="3827"/>
        </w:tabs>
        <w:spacing w:before="240" w:after="0" w:line="360" w:lineRule="auto"/>
        <w:ind w:right="616" w:firstLine="851"/>
        <w:jc w:val="both"/>
        <w:rPr>
          <w:rFonts w:ascii="Arial" w:hAnsi="Arial" w:cs="Arial"/>
          <w:sz w:val="26"/>
          <w:szCs w:val="26"/>
          <w:lang w:val="es-MX"/>
        </w:rPr>
      </w:pPr>
      <w:r w:rsidRPr="00A34F6E">
        <w:rPr>
          <w:rFonts w:ascii="Arial" w:hAnsi="Arial" w:cs="Arial"/>
          <w:b/>
          <w:sz w:val="26"/>
          <w:szCs w:val="26"/>
          <w:lang w:val="es-MX"/>
        </w:rPr>
        <w:t>También alega</w:t>
      </w:r>
      <w:r>
        <w:rPr>
          <w:rFonts w:ascii="Arial" w:hAnsi="Arial" w:cs="Arial"/>
          <w:b/>
          <w:sz w:val="26"/>
          <w:szCs w:val="26"/>
          <w:lang w:val="es-MX"/>
        </w:rPr>
        <w:t xml:space="preserve">, </w:t>
      </w:r>
      <w:r>
        <w:rPr>
          <w:rFonts w:ascii="Arial" w:hAnsi="Arial" w:cs="Arial"/>
          <w:sz w:val="26"/>
          <w:szCs w:val="26"/>
          <w:lang w:val="es-MX"/>
        </w:rPr>
        <w:t>que resulta extremista la consideración de la Primera Instancia, porque en la fundamentación y motivación de la multa, se señalan las disposiciones que norman los medios, formatos y base de datos y condiciones en que deben presentar sus obligaciones fiscales los contribuyentes</w:t>
      </w:r>
      <w:r w:rsidR="00B82787">
        <w:rPr>
          <w:rFonts w:ascii="Arial" w:hAnsi="Arial" w:cs="Arial"/>
          <w:sz w:val="26"/>
          <w:szCs w:val="26"/>
          <w:lang w:val="es-MX"/>
        </w:rPr>
        <w:t xml:space="preserve">, que ella misma adquirió y por ende le compete, porque ella misma reconoce que realiza actividades propias del </w:t>
      </w:r>
      <w:r w:rsidR="00323C26">
        <w:rPr>
          <w:rFonts w:ascii="Arial" w:hAnsi="Arial" w:cs="Arial"/>
          <w:sz w:val="26"/>
          <w:szCs w:val="26"/>
          <w:lang w:val="es-MX"/>
        </w:rPr>
        <w:t>I</w:t>
      </w:r>
      <w:r w:rsidR="00B82787">
        <w:rPr>
          <w:rFonts w:ascii="Arial" w:hAnsi="Arial" w:cs="Arial"/>
          <w:sz w:val="26"/>
          <w:szCs w:val="26"/>
          <w:lang w:val="es-MX"/>
        </w:rPr>
        <w:t xml:space="preserve">mpuesto </w:t>
      </w:r>
      <w:r w:rsidR="00323C26">
        <w:rPr>
          <w:rFonts w:ascii="Arial" w:hAnsi="Arial" w:cs="Arial"/>
          <w:sz w:val="26"/>
          <w:szCs w:val="26"/>
          <w:lang w:val="es-MX"/>
        </w:rPr>
        <w:t>C</w:t>
      </w:r>
      <w:r w:rsidR="00B82787">
        <w:rPr>
          <w:rFonts w:ascii="Arial" w:hAnsi="Arial" w:cs="Arial"/>
          <w:sz w:val="26"/>
          <w:szCs w:val="26"/>
          <w:lang w:val="es-MX"/>
        </w:rPr>
        <w:t>edular a que refiere</w:t>
      </w:r>
      <w:r w:rsidR="00323C26">
        <w:rPr>
          <w:rFonts w:ascii="Arial" w:hAnsi="Arial" w:cs="Arial"/>
          <w:sz w:val="26"/>
          <w:szCs w:val="26"/>
          <w:lang w:val="es-MX"/>
        </w:rPr>
        <w:t>n los</w:t>
      </w:r>
      <w:r w:rsidR="00B82787">
        <w:rPr>
          <w:rFonts w:ascii="Arial" w:hAnsi="Arial" w:cs="Arial"/>
          <w:sz w:val="26"/>
          <w:szCs w:val="26"/>
          <w:lang w:val="es-MX"/>
        </w:rPr>
        <w:t xml:space="preserve"> artículo</w:t>
      </w:r>
      <w:r w:rsidR="00323C26">
        <w:rPr>
          <w:rFonts w:ascii="Arial" w:hAnsi="Arial" w:cs="Arial"/>
          <w:sz w:val="26"/>
          <w:szCs w:val="26"/>
          <w:lang w:val="es-MX"/>
        </w:rPr>
        <w:t>s</w:t>
      </w:r>
      <w:r w:rsidR="00B82787">
        <w:rPr>
          <w:rFonts w:ascii="Arial" w:hAnsi="Arial" w:cs="Arial"/>
          <w:sz w:val="26"/>
          <w:szCs w:val="26"/>
          <w:lang w:val="es-MX"/>
        </w:rPr>
        <w:t xml:space="preserve"> 22 </w:t>
      </w:r>
      <w:r w:rsidR="00323C26">
        <w:rPr>
          <w:rFonts w:ascii="Arial" w:hAnsi="Arial" w:cs="Arial"/>
          <w:sz w:val="26"/>
          <w:szCs w:val="26"/>
          <w:lang w:val="es-MX"/>
        </w:rPr>
        <w:t xml:space="preserve">y 23 </w:t>
      </w:r>
      <w:r w:rsidR="00B82787">
        <w:rPr>
          <w:rFonts w:ascii="Arial" w:hAnsi="Arial" w:cs="Arial"/>
          <w:sz w:val="26"/>
          <w:szCs w:val="26"/>
          <w:lang w:val="es-MX"/>
        </w:rPr>
        <w:t>de la Ley Estatal de Hacienda, sin que pueda pasar inadvertido que de manera voluntaria acudió ante la Secretaría de Finanzas a inscribirse en el Registro Estatal de Contribuyentes y</w:t>
      </w:r>
      <w:r w:rsidR="00323C26">
        <w:rPr>
          <w:rFonts w:ascii="Arial" w:hAnsi="Arial" w:cs="Arial"/>
          <w:sz w:val="26"/>
          <w:szCs w:val="26"/>
          <w:lang w:val="es-MX"/>
        </w:rPr>
        <w:t xml:space="preserve"> </w:t>
      </w:r>
      <w:r w:rsidR="00B82787">
        <w:rPr>
          <w:rFonts w:ascii="Arial" w:hAnsi="Arial" w:cs="Arial"/>
          <w:sz w:val="26"/>
          <w:szCs w:val="26"/>
          <w:lang w:val="es-MX"/>
        </w:rPr>
        <w:t>al darse de alta es conocedora que adquirió ciertas obligaciones fiscales</w:t>
      </w:r>
      <w:r w:rsidR="00323C26">
        <w:rPr>
          <w:rFonts w:ascii="Arial" w:hAnsi="Arial" w:cs="Arial"/>
          <w:sz w:val="26"/>
          <w:szCs w:val="26"/>
          <w:lang w:val="es-MX"/>
        </w:rPr>
        <w:t xml:space="preserve">. Se </w:t>
      </w:r>
      <w:r w:rsidR="004605C2">
        <w:rPr>
          <w:rFonts w:ascii="Arial" w:hAnsi="Arial" w:cs="Arial"/>
          <w:sz w:val="26"/>
          <w:szCs w:val="26"/>
          <w:lang w:val="es-MX"/>
        </w:rPr>
        <w:t>a</w:t>
      </w:r>
      <w:r w:rsidR="00323C26">
        <w:rPr>
          <w:rFonts w:ascii="Arial" w:hAnsi="Arial" w:cs="Arial"/>
          <w:sz w:val="26"/>
          <w:szCs w:val="26"/>
          <w:lang w:val="es-MX"/>
        </w:rPr>
        <w:t>poya en el criterio de rubro: “</w:t>
      </w:r>
      <w:r w:rsidR="00323C26" w:rsidRPr="00323C26">
        <w:rPr>
          <w:rFonts w:ascii="Arial" w:hAnsi="Arial" w:cs="Arial"/>
          <w:i/>
          <w:iCs/>
          <w:lang w:val="es-MX"/>
        </w:rPr>
        <w:t>RECONOCIMIENTO DE LA FIRMA QUE CALZA EL ESCRITO POR EL QUE SE DESAHOGA LA PREVENSIÓN QUE ACLARA LA DEMANDA DE AMPARO INDIRECTO PROMOVIDA POR QUIEN TIENE LA REPRESENTACIÓN ORGÁNICA DE UNA PERSONA MORAL. NO PUEDE REALIZARLO UN DIVERSO APODERADO LEGAL, AL TRATARSE DE UN ACTO PERSONALÍSIMO.</w:t>
      </w:r>
      <w:r w:rsidR="00323C26">
        <w:rPr>
          <w:rFonts w:ascii="Arial" w:hAnsi="Arial" w:cs="Arial"/>
          <w:sz w:val="26"/>
          <w:szCs w:val="26"/>
          <w:lang w:val="es-MX"/>
        </w:rPr>
        <w:t>”.</w:t>
      </w:r>
    </w:p>
    <w:p w14:paraId="68BC3420" w14:textId="572D1505" w:rsidR="003406FC" w:rsidRDefault="002B2CE2" w:rsidP="003406FC">
      <w:pPr>
        <w:widowControl w:val="0"/>
        <w:tabs>
          <w:tab w:val="left" w:pos="426"/>
          <w:tab w:val="left" w:pos="1134"/>
          <w:tab w:val="center" w:pos="3827"/>
        </w:tabs>
        <w:spacing w:before="240" w:after="0" w:line="360" w:lineRule="auto"/>
        <w:ind w:right="616" w:firstLine="851"/>
        <w:jc w:val="both"/>
        <w:rPr>
          <w:rFonts w:ascii="Arial" w:hAnsi="Arial" w:cs="Arial"/>
          <w:sz w:val="26"/>
          <w:szCs w:val="26"/>
          <w:lang w:val="es-MX"/>
        </w:rPr>
      </w:pPr>
      <w:r>
        <w:rPr>
          <w:rFonts w:ascii="Arial" w:hAnsi="Arial" w:cs="Arial"/>
          <w:sz w:val="26"/>
          <w:szCs w:val="26"/>
          <w:lang w:val="es-MX"/>
        </w:rPr>
        <w:t xml:space="preserve">Sigue diciendo, </w:t>
      </w:r>
      <w:r w:rsidR="00323C26">
        <w:rPr>
          <w:rFonts w:ascii="Arial" w:hAnsi="Arial" w:cs="Arial"/>
          <w:sz w:val="26"/>
          <w:szCs w:val="26"/>
          <w:lang w:val="es-MX"/>
        </w:rPr>
        <w:t xml:space="preserve">que los artículos 19 y 22 del Código Fiscal para el Estado de Oaxaca, </w:t>
      </w:r>
      <w:r w:rsidR="009256D1">
        <w:rPr>
          <w:rFonts w:ascii="Arial" w:hAnsi="Arial" w:cs="Arial"/>
          <w:sz w:val="26"/>
          <w:szCs w:val="26"/>
          <w:lang w:val="es-MX"/>
        </w:rPr>
        <w:t xml:space="preserve">establecen que las contribuciones se causan cuando se actualizan las situaciones jurídicas, así como que </w:t>
      </w:r>
      <w:r w:rsidR="00B82787">
        <w:rPr>
          <w:rFonts w:ascii="Arial" w:hAnsi="Arial" w:cs="Arial"/>
          <w:sz w:val="26"/>
          <w:szCs w:val="26"/>
          <w:lang w:val="es-MX"/>
        </w:rPr>
        <w:t xml:space="preserve">el artículo 64 del Código Fiscal para el Estado de Oaxaca, establece la obligación a cargo de las personas físicas o morales, </w:t>
      </w:r>
      <w:r w:rsidR="00B82787">
        <w:rPr>
          <w:rFonts w:ascii="Arial" w:hAnsi="Arial" w:cs="Arial"/>
          <w:sz w:val="26"/>
          <w:szCs w:val="26"/>
          <w:lang w:val="es-MX"/>
        </w:rPr>
        <w:lastRenderedPageBreak/>
        <w:t>así como las unidades económicas, de realizar su inscripción en el Registro Estatal de Contribuyentes y proporcionar la información relacionada con su identidad y su situación fiscal resulta ser responsabilidad de cada contribuyente. Cita el criterio de rubro: “</w:t>
      </w:r>
      <w:r w:rsidR="00B82787" w:rsidRPr="00B82787">
        <w:rPr>
          <w:rFonts w:ascii="Arial" w:hAnsi="Arial" w:cs="Arial"/>
          <w:i/>
          <w:lang w:val="es-MX"/>
        </w:rPr>
        <w:t>REVISIÓN DE LA INFORMACIÓN Y DOCUMENTACIÓN QUE OBRA EN PODER DE LA AUTORIDAD HACENDARIA PARA CONSTATAR EL CUMPLIMIENTO DE LAS DISPOS</w:t>
      </w:r>
      <w:r w:rsidR="00B82787">
        <w:rPr>
          <w:rFonts w:ascii="Arial" w:hAnsi="Arial" w:cs="Arial"/>
          <w:i/>
          <w:lang w:val="es-MX"/>
        </w:rPr>
        <w:t>I</w:t>
      </w:r>
      <w:r w:rsidR="00B82787" w:rsidRPr="00B82787">
        <w:rPr>
          <w:rFonts w:ascii="Arial" w:hAnsi="Arial" w:cs="Arial"/>
          <w:i/>
          <w:lang w:val="es-MX"/>
        </w:rPr>
        <w:t>CIONES FISCALES, NO ES UN ACTO DE MOLESTIA.</w:t>
      </w:r>
      <w:r w:rsidR="00B82787">
        <w:rPr>
          <w:rFonts w:ascii="Arial" w:hAnsi="Arial" w:cs="Arial"/>
          <w:sz w:val="26"/>
          <w:szCs w:val="26"/>
          <w:lang w:val="es-MX"/>
        </w:rPr>
        <w:t>”</w:t>
      </w:r>
      <w:r w:rsidR="00295704">
        <w:rPr>
          <w:rFonts w:ascii="Arial" w:hAnsi="Arial" w:cs="Arial"/>
          <w:sz w:val="26"/>
          <w:szCs w:val="26"/>
          <w:lang w:val="es-MX"/>
        </w:rPr>
        <w:t>; por lo que la facultad conferida a la autoridad fiscal para revisar la información y documentación que tiene en su poder para constatar acatamiento de las disposiciones fiscales, no es un acto de molestia</w:t>
      </w:r>
      <w:r w:rsidR="00751FB3">
        <w:rPr>
          <w:rFonts w:ascii="Arial" w:hAnsi="Arial" w:cs="Arial"/>
          <w:sz w:val="26"/>
          <w:szCs w:val="26"/>
          <w:lang w:val="es-MX"/>
        </w:rPr>
        <w:t>; además, dentro de la página oficial de internet de la Secretaría, se puede efectuar el cumplimiento de las obligaciones fiscales, como lo dispone el antepenúltimo párrafo del artículo 24 de las Reglas de Carácter General que Facilitan el Cumplimiento de las Obligaciones Fiscales a cargo de los contribuyentes, teniendo así la posibilidad de consultar los servicios en líneas, siendo innecesario la cita del artículo 97 del Código Fiscal para el Estado de Oaxaca, al no vulnerarse derecho alguno, al no ser un asunto de comprobación sino de gestión; que la contribuyente conoce su situación fiscal; que la multa que le fue impuesta deviene de facultades de gestión de control y vigilancia de las obligaciones fiscales</w:t>
      </w:r>
      <w:r w:rsidR="003406FC">
        <w:rPr>
          <w:rFonts w:ascii="Arial" w:hAnsi="Arial" w:cs="Arial"/>
          <w:sz w:val="26"/>
          <w:szCs w:val="26"/>
          <w:lang w:val="es-MX"/>
        </w:rPr>
        <w:t>; por lo que el acto emitido no es un acto de molestia, sin que exista la necesidad de un procedimiento previo, al no tratarse de un acto privativo de derechos, sin que rija el derecho de audiencia previa. Cita los criterios de rubros: “</w:t>
      </w:r>
      <w:r w:rsidR="003406FC" w:rsidRPr="00BE0AF7">
        <w:rPr>
          <w:rFonts w:ascii="Arial" w:hAnsi="Arial" w:cs="Arial"/>
          <w:i/>
          <w:sz w:val="20"/>
          <w:szCs w:val="20"/>
          <w:lang w:val="es-MX"/>
        </w:rPr>
        <w:t>OBLIGACIONES FISCALES. LA FACULTAD DE LA AUTORIDAD FISCAL PARA REQUERIR A LOS CONTRIBUYENTES LA DOCUMENTACIÓN RELATIVA AL CUMPLIMIENTO DE AQUÉLLAS Y SANCIONAR SU INCUMPLIMIENTO EN TÉRMINSO DEL ARTÍCULO 41, FRACCIÓN I, DEL CÓDIGO FISCAL DE LA FEDERACIÓN, NO SE RIGE POR EL DERECHO DE AUDIENCIA PREVIA.</w:t>
      </w:r>
      <w:r w:rsidR="003406FC">
        <w:rPr>
          <w:rFonts w:ascii="Arial" w:hAnsi="Arial" w:cs="Arial"/>
          <w:sz w:val="26"/>
          <w:szCs w:val="26"/>
          <w:lang w:val="es-MX"/>
        </w:rPr>
        <w:t>” y “</w:t>
      </w:r>
      <w:r w:rsidR="003406FC">
        <w:rPr>
          <w:rFonts w:ascii="Arial" w:hAnsi="Arial" w:cs="Arial"/>
          <w:i/>
          <w:sz w:val="20"/>
          <w:szCs w:val="20"/>
          <w:lang w:val="es-MX"/>
        </w:rPr>
        <w:t>MULTAS FISCALES. TRATÁNDOSE DE LAS IMPUESTAS POR EL INCUMPLIMIENTO DE OBLIGACIONES TRIBUTARIAS, TANTO FORMALES COMO SUSTANTIVAS, NO RIGE LA GARANTÍA DE PREVIA AUDIENCIA</w:t>
      </w:r>
      <w:r w:rsidR="003406FC" w:rsidRPr="00BE0AF7">
        <w:rPr>
          <w:rFonts w:ascii="Arial" w:hAnsi="Arial" w:cs="Arial"/>
          <w:i/>
          <w:sz w:val="20"/>
          <w:szCs w:val="20"/>
          <w:lang w:val="es-MX"/>
        </w:rPr>
        <w:t>.</w:t>
      </w:r>
      <w:r w:rsidR="003406FC">
        <w:rPr>
          <w:rFonts w:ascii="Arial" w:hAnsi="Arial" w:cs="Arial"/>
          <w:sz w:val="26"/>
          <w:szCs w:val="26"/>
          <w:lang w:val="es-MX"/>
        </w:rPr>
        <w:t>”</w:t>
      </w:r>
    </w:p>
    <w:p w14:paraId="446014BD" w14:textId="39703664" w:rsidR="009F683D" w:rsidRDefault="00295704" w:rsidP="00C8785B">
      <w:pPr>
        <w:widowControl w:val="0"/>
        <w:tabs>
          <w:tab w:val="left" w:pos="426"/>
          <w:tab w:val="left" w:pos="1134"/>
          <w:tab w:val="center" w:pos="3827"/>
        </w:tabs>
        <w:spacing w:before="240" w:after="0" w:line="360" w:lineRule="auto"/>
        <w:ind w:right="616" w:firstLine="851"/>
        <w:jc w:val="both"/>
        <w:rPr>
          <w:rFonts w:ascii="Arial" w:hAnsi="Arial" w:cs="Arial"/>
          <w:sz w:val="26"/>
          <w:szCs w:val="26"/>
          <w:lang w:val="es-MX"/>
        </w:rPr>
      </w:pPr>
      <w:r>
        <w:rPr>
          <w:rFonts w:ascii="Arial" w:hAnsi="Arial" w:cs="Arial"/>
          <w:sz w:val="26"/>
          <w:szCs w:val="26"/>
          <w:lang w:val="es-MX"/>
        </w:rPr>
        <w:t xml:space="preserve">Estas alegaciones, también son </w:t>
      </w:r>
      <w:r w:rsidR="009F683D" w:rsidRPr="005459A5">
        <w:rPr>
          <w:rFonts w:ascii="Arial" w:hAnsi="Arial" w:cs="Arial"/>
          <w:b/>
          <w:sz w:val="26"/>
          <w:szCs w:val="26"/>
          <w:lang w:val="es-MX"/>
        </w:rPr>
        <w:t>inoperante</w:t>
      </w:r>
      <w:r>
        <w:rPr>
          <w:rFonts w:ascii="Arial" w:hAnsi="Arial" w:cs="Arial"/>
          <w:b/>
          <w:sz w:val="26"/>
          <w:szCs w:val="26"/>
          <w:lang w:val="es-MX"/>
        </w:rPr>
        <w:t>s</w:t>
      </w:r>
      <w:r w:rsidR="009F683D">
        <w:rPr>
          <w:rFonts w:ascii="Arial" w:hAnsi="Arial" w:cs="Arial"/>
          <w:sz w:val="26"/>
          <w:szCs w:val="26"/>
          <w:lang w:val="es-MX"/>
        </w:rPr>
        <w:t>, porque tal</w:t>
      </w:r>
      <w:r>
        <w:rPr>
          <w:rFonts w:ascii="Arial" w:hAnsi="Arial" w:cs="Arial"/>
          <w:sz w:val="26"/>
          <w:szCs w:val="26"/>
          <w:lang w:val="es-MX"/>
        </w:rPr>
        <w:t xml:space="preserve">es manifestaciones que realiza respecto a la obligación de los contribuyentes y como la autoridad fiscal realiza la investigación de omisiones fiscales, </w:t>
      </w:r>
      <w:r w:rsidR="009F683D">
        <w:rPr>
          <w:rFonts w:ascii="Arial" w:hAnsi="Arial" w:cs="Arial"/>
          <w:sz w:val="26"/>
          <w:szCs w:val="26"/>
          <w:lang w:val="es-MX"/>
        </w:rPr>
        <w:t xml:space="preserve">no exime a la demandada de fundar y motivar sus resoluciones, en el caso, </w:t>
      </w:r>
      <w:r w:rsidR="009F683D">
        <w:rPr>
          <w:rFonts w:ascii="Arial" w:hAnsi="Arial" w:cs="Arial"/>
          <w:sz w:val="26"/>
          <w:szCs w:val="26"/>
        </w:rPr>
        <w:t xml:space="preserve">del análisis a las constancias que integran el expediente natural las que por tratarse de actuaciones judiciales, tienen pleno valor probatorio de conformidad con lo </w:t>
      </w:r>
      <w:r w:rsidR="009F683D">
        <w:rPr>
          <w:rFonts w:ascii="Arial" w:hAnsi="Arial" w:cs="Arial"/>
          <w:sz w:val="26"/>
          <w:szCs w:val="26"/>
        </w:rPr>
        <w:lastRenderedPageBreak/>
        <w:t xml:space="preserve">dispuesto por </w:t>
      </w:r>
      <w:r w:rsidR="009F683D" w:rsidRPr="00403CFB">
        <w:rPr>
          <w:rFonts w:ascii="Arial" w:hAnsi="Arial" w:cs="Arial"/>
          <w:bCs/>
          <w:sz w:val="26"/>
          <w:szCs w:val="26"/>
          <w:lang w:val="es-MX"/>
        </w:rPr>
        <w:t>el artículo 203 fracción I</w:t>
      </w:r>
      <w:r w:rsidR="009F683D">
        <w:rPr>
          <w:rStyle w:val="Refdenotaalpie"/>
          <w:rFonts w:ascii="Arial" w:hAnsi="Arial" w:cs="Arial"/>
          <w:bCs/>
          <w:sz w:val="26"/>
          <w:szCs w:val="26"/>
          <w:lang w:val="es-MX"/>
        </w:rPr>
        <w:footnoteReference w:id="1"/>
      </w:r>
      <w:r w:rsidR="009F683D" w:rsidRPr="00403CFB">
        <w:rPr>
          <w:rFonts w:ascii="Arial" w:hAnsi="Arial" w:cs="Arial"/>
          <w:bCs/>
          <w:sz w:val="26"/>
          <w:szCs w:val="26"/>
          <w:lang w:val="es-MX"/>
        </w:rPr>
        <w:t xml:space="preserve"> de la Ley de Procedimiento y Justicia Administ</w:t>
      </w:r>
      <w:r w:rsidR="009F683D">
        <w:rPr>
          <w:rFonts w:ascii="Arial" w:hAnsi="Arial" w:cs="Arial"/>
          <w:bCs/>
          <w:sz w:val="26"/>
          <w:szCs w:val="26"/>
          <w:lang w:val="es-MX"/>
        </w:rPr>
        <w:t>rativa para el Estado de Oaxaca; se obtiene en primer término d</w:t>
      </w:r>
      <w:r w:rsidR="009F683D">
        <w:rPr>
          <w:rFonts w:ascii="Arial" w:hAnsi="Arial" w:cs="Arial"/>
          <w:sz w:val="26"/>
          <w:szCs w:val="26"/>
          <w:lang w:val="es-MX"/>
        </w:rPr>
        <w:t xml:space="preserve">e la lectura integral al contenido de la multa con número de control </w:t>
      </w:r>
      <w:r w:rsidR="00BE4E5F">
        <w:rPr>
          <w:rFonts w:ascii="Arial" w:hAnsi="Arial" w:cs="Arial"/>
          <w:b/>
          <w:sz w:val="26"/>
          <w:szCs w:val="26"/>
        </w:rPr>
        <w:t>***********</w:t>
      </w:r>
      <w:r w:rsidR="009256D1">
        <w:rPr>
          <w:rFonts w:ascii="Arial" w:hAnsi="Arial" w:cs="Arial"/>
          <w:sz w:val="26"/>
          <w:szCs w:val="26"/>
          <w:lang w:val="es-MX"/>
        </w:rPr>
        <w:t xml:space="preserve"> </w:t>
      </w:r>
      <w:r w:rsidR="009F683D">
        <w:rPr>
          <w:rFonts w:ascii="Arial" w:hAnsi="Arial" w:cs="Arial"/>
          <w:sz w:val="26"/>
          <w:szCs w:val="26"/>
          <w:lang w:val="es-MX"/>
        </w:rPr>
        <w:t xml:space="preserve">de </w:t>
      </w:r>
      <w:r>
        <w:rPr>
          <w:rFonts w:ascii="Arial" w:hAnsi="Arial" w:cs="Arial"/>
          <w:sz w:val="26"/>
          <w:szCs w:val="26"/>
          <w:lang w:val="es-MX"/>
        </w:rPr>
        <w:t xml:space="preserve">veinte de febrero </w:t>
      </w:r>
      <w:r w:rsidR="009F683D">
        <w:rPr>
          <w:rFonts w:ascii="Arial" w:hAnsi="Arial" w:cs="Arial"/>
          <w:sz w:val="26"/>
          <w:szCs w:val="26"/>
          <w:lang w:val="es-MX"/>
        </w:rPr>
        <w:t xml:space="preserve">de dos mil diecinueve, (folio </w:t>
      </w:r>
      <w:r w:rsidR="009256D1">
        <w:rPr>
          <w:rFonts w:ascii="Arial" w:hAnsi="Arial" w:cs="Arial"/>
          <w:sz w:val="26"/>
          <w:szCs w:val="26"/>
          <w:lang w:val="es-MX"/>
        </w:rPr>
        <w:t>41</w:t>
      </w:r>
      <w:r>
        <w:rPr>
          <w:rFonts w:ascii="Arial" w:hAnsi="Arial" w:cs="Arial"/>
          <w:sz w:val="26"/>
          <w:szCs w:val="26"/>
          <w:lang w:val="es-MX"/>
        </w:rPr>
        <w:t>)</w:t>
      </w:r>
      <w:r w:rsidR="009F683D">
        <w:rPr>
          <w:rFonts w:ascii="Arial" w:hAnsi="Arial" w:cs="Arial"/>
          <w:sz w:val="26"/>
          <w:szCs w:val="26"/>
          <w:lang w:val="es-MX"/>
        </w:rPr>
        <w:t xml:space="preserve"> que como motivación y sustentó de su determinación la demandada sostuvo: “</w:t>
      </w:r>
      <w:r w:rsidR="009F683D" w:rsidRPr="003C6424">
        <w:rPr>
          <w:rFonts w:ascii="Arial" w:hAnsi="Arial" w:cs="Arial"/>
          <w:i/>
          <w:sz w:val="24"/>
          <w:szCs w:val="24"/>
          <w:lang w:val="es-MX"/>
        </w:rPr>
        <w:t>que con</w:t>
      </w:r>
      <w:r w:rsidR="009F683D">
        <w:rPr>
          <w:rFonts w:ascii="Arial" w:hAnsi="Arial" w:cs="Arial"/>
          <w:i/>
          <w:sz w:val="24"/>
          <w:szCs w:val="24"/>
          <w:lang w:val="es-MX"/>
        </w:rPr>
        <w:t xml:space="preserve"> fecha</w:t>
      </w:r>
      <w:r w:rsidR="009F683D" w:rsidRPr="003C6424">
        <w:rPr>
          <w:rFonts w:ascii="Arial" w:hAnsi="Arial" w:cs="Arial"/>
          <w:i/>
          <w:sz w:val="24"/>
          <w:szCs w:val="24"/>
          <w:lang w:val="es-MX"/>
        </w:rPr>
        <w:t xml:space="preserve"> </w:t>
      </w:r>
      <w:r>
        <w:rPr>
          <w:rFonts w:ascii="Arial" w:hAnsi="Arial" w:cs="Arial"/>
          <w:i/>
          <w:sz w:val="24"/>
          <w:szCs w:val="24"/>
          <w:lang w:val="es-MX"/>
        </w:rPr>
        <w:t>2</w:t>
      </w:r>
      <w:r w:rsidR="009256D1">
        <w:rPr>
          <w:rFonts w:ascii="Arial" w:hAnsi="Arial" w:cs="Arial"/>
          <w:i/>
          <w:sz w:val="24"/>
          <w:szCs w:val="24"/>
          <w:lang w:val="es-MX"/>
        </w:rPr>
        <w:t>7</w:t>
      </w:r>
      <w:r>
        <w:rPr>
          <w:rFonts w:ascii="Arial" w:hAnsi="Arial" w:cs="Arial"/>
          <w:i/>
          <w:sz w:val="24"/>
          <w:szCs w:val="24"/>
          <w:lang w:val="es-MX"/>
        </w:rPr>
        <w:t xml:space="preserve"> de </w:t>
      </w:r>
      <w:r w:rsidR="009256D1">
        <w:rPr>
          <w:rFonts w:ascii="Arial" w:hAnsi="Arial" w:cs="Arial"/>
          <w:i/>
          <w:sz w:val="24"/>
          <w:szCs w:val="24"/>
          <w:lang w:val="es-MX"/>
        </w:rPr>
        <w:t>junio</w:t>
      </w:r>
      <w:r>
        <w:rPr>
          <w:rFonts w:ascii="Arial" w:hAnsi="Arial" w:cs="Arial"/>
          <w:i/>
          <w:sz w:val="24"/>
          <w:szCs w:val="24"/>
          <w:lang w:val="es-MX"/>
        </w:rPr>
        <w:t xml:space="preserve"> </w:t>
      </w:r>
      <w:r w:rsidR="009F683D" w:rsidRPr="003C6424">
        <w:rPr>
          <w:rFonts w:ascii="Arial" w:hAnsi="Arial" w:cs="Arial"/>
          <w:i/>
          <w:sz w:val="24"/>
          <w:szCs w:val="24"/>
          <w:lang w:val="es-MX"/>
        </w:rPr>
        <w:t>de 201</w:t>
      </w:r>
      <w:r>
        <w:rPr>
          <w:rFonts w:ascii="Arial" w:hAnsi="Arial" w:cs="Arial"/>
          <w:i/>
          <w:sz w:val="24"/>
          <w:szCs w:val="24"/>
          <w:lang w:val="es-MX"/>
        </w:rPr>
        <w:t>7</w:t>
      </w:r>
      <w:r w:rsidR="009F683D" w:rsidRPr="003C6424">
        <w:rPr>
          <w:rFonts w:ascii="Arial" w:hAnsi="Arial" w:cs="Arial"/>
          <w:i/>
          <w:sz w:val="24"/>
          <w:szCs w:val="24"/>
          <w:lang w:val="es-MX"/>
        </w:rPr>
        <w:t xml:space="preserve">, usted presentó ante la Delegación o Subdelegación Fiscal actualmente Centros Integrales de Atención a Contribuyentes correspondiente a su domicilio fiscal, formulario múltiple de Registro Estatal de Contribuyente, a fin de quedar inscrito(a) con la obligación del Impuesto </w:t>
      </w:r>
      <w:r>
        <w:rPr>
          <w:rFonts w:ascii="Arial" w:hAnsi="Arial" w:cs="Arial"/>
          <w:i/>
          <w:sz w:val="24"/>
          <w:szCs w:val="24"/>
          <w:lang w:val="es-MX"/>
        </w:rPr>
        <w:t>Cedular a los Ingresos por el Otorgamiento del Uso o Goce Temporal de Bienes Inmuebles</w:t>
      </w:r>
      <w:r w:rsidR="009F683D">
        <w:rPr>
          <w:rFonts w:ascii="Arial" w:hAnsi="Arial" w:cs="Arial"/>
          <w:sz w:val="26"/>
          <w:szCs w:val="26"/>
          <w:lang w:val="es-MX"/>
        </w:rPr>
        <w:t xml:space="preserve">”; y que al dar contestación a la demanda, exhibió como prueba la documental consistente en </w:t>
      </w:r>
      <w:r w:rsidR="00C8785B">
        <w:rPr>
          <w:rFonts w:ascii="Arial" w:hAnsi="Arial" w:cs="Arial"/>
          <w:sz w:val="26"/>
          <w:szCs w:val="26"/>
          <w:lang w:val="es-MX"/>
        </w:rPr>
        <w:t>formato de avisos al registro estatal de contribuyentes</w:t>
      </w:r>
      <w:r w:rsidR="009F683D">
        <w:rPr>
          <w:rFonts w:ascii="Arial" w:hAnsi="Arial" w:cs="Arial"/>
          <w:sz w:val="26"/>
          <w:szCs w:val="26"/>
          <w:lang w:val="es-MX"/>
        </w:rPr>
        <w:t xml:space="preserve">, (folio </w:t>
      </w:r>
      <w:r w:rsidR="009256D1">
        <w:rPr>
          <w:rFonts w:ascii="Arial" w:hAnsi="Arial" w:cs="Arial"/>
          <w:sz w:val="26"/>
          <w:szCs w:val="26"/>
          <w:lang w:val="es-MX"/>
        </w:rPr>
        <w:t>67</w:t>
      </w:r>
      <w:r w:rsidR="009F683D">
        <w:rPr>
          <w:rFonts w:ascii="Arial" w:hAnsi="Arial" w:cs="Arial"/>
          <w:sz w:val="26"/>
          <w:szCs w:val="26"/>
          <w:lang w:val="es-MX"/>
        </w:rPr>
        <w:t xml:space="preserve">) en el que quedó registrado con fecha </w:t>
      </w:r>
      <w:r w:rsidR="009256D1">
        <w:rPr>
          <w:rFonts w:ascii="Arial" w:hAnsi="Arial" w:cs="Arial"/>
          <w:sz w:val="26"/>
          <w:szCs w:val="26"/>
          <w:lang w:val="es-MX"/>
        </w:rPr>
        <w:t xml:space="preserve">veintisiete de junio </w:t>
      </w:r>
      <w:r w:rsidR="009F683D">
        <w:rPr>
          <w:rFonts w:ascii="Arial" w:hAnsi="Arial" w:cs="Arial"/>
          <w:sz w:val="26"/>
          <w:szCs w:val="26"/>
          <w:lang w:val="es-MX"/>
        </w:rPr>
        <w:t xml:space="preserve">de dos mil </w:t>
      </w:r>
      <w:r w:rsidR="0044248B">
        <w:rPr>
          <w:rFonts w:ascii="Arial" w:hAnsi="Arial" w:cs="Arial"/>
          <w:sz w:val="26"/>
          <w:szCs w:val="26"/>
          <w:lang w:val="es-MX"/>
        </w:rPr>
        <w:t>d</w:t>
      </w:r>
      <w:r w:rsidR="009256D1">
        <w:rPr>
          <w:rFonts w:ascii="Arial" w:hAnsi="Arial" w:cs="Arial"/>
          <w:sz w:val="26"/>
          <w:szCs w:val="26"/>
          <w:lang w:val="es-MX"/>
        </w:rPr>
        <w:t>iecisiete</w:t>
      </w:r>
      <w:r w:rsidR="009F683D">
        <w:rPr>
          <w:rFonts w:ascii="Arial" w:hAnsi="Arial" w:cs="Arial"/>
          <w:sz w:val="26"/>
          <w:szCs w:val="26"/>
          <w:lang w:val="es-MX"/>
        </w:rPr>
        <w:t>, que el contribuyente</w:t>
      </w:r>
      <w:r w:rsidR="00C8785B">
        <w:rPr>
          <w:rFonts w:ascii="Arial" w:hAnsi="Arial" w:cs="Arial"/>
          <w:sz w:val="26"/>
          <w:szCs w:val="26"/>
          <w:lang w:val="es-MX"/>
        </w:rPr>
        <w:t xml:space="preserve"> </w:t>
      </w:r>
      <w:r w:rsidR="00BE4E5F">
        <w:rPr>
          <w:rFonts w:ascii="Arial" w:hAnsi="Arial" w:cs="Arial"/>
          <w:b/>
          <w:sz w:val="26"/>
          <w:szCs w:val="26"/>
        </w:rPr>
        <w:t>***********</w:t>
      </w:r>
      <w:r w:rsidR="009256D1">
        <w:rPr>
          <w:rFonts w:ascii="Arial" w:hAnsi="Arial" w:cs="Arial"/>
          <w:sz w:val="26"/>
          <w:szCs w:val="26"/>
          <w:lang w:val="es-MX"/>
        </w:rPr>
        <w:t>, se dio de alta con el impuesto cedular</w:t>
      </w:r>
      <w:r w:rsidR="009F683D">
        <w:rPr>
          <w:rFonts w:ascii="Arial" w:hAnsi="Arial" w:cs="Arial"/>
          <w:sz w:val="26"/>
          <w:szCs w:val="26"/>
          <w:lang w:val="es-MX"/>
        </w:rPr>
        <w:t>.</w:t>
      </w:r>
    </w:p>
    <w:p w14:paraId="35086DCE" w14:textId="0D340AD3" w:rsidR="009F683D" w:rsidRDefault="009F683D" w:rsidP="009F683D">
      <w:pPr>
        <w:widowControl w:val="0"/>
        <w:tabs>
          <w:tab w:val="left" w:pos="426"/>
          <w:tab w:val="left" w:pos="1134"/>
          <w:tab w:val="center" w:pos="3827"/>
        </w:tabs>
        <w:spacing w:before="240" w:after="0" w:line="360" w:lineRule="auto"/>
        <w:ind w:right="616" w:firstLine="851"/>
        <w:jc w:val="both"/>
        <w:rPr>
          <w:rFonts w:ascii="Arial" w:hAnsi="Arial" w:cs="Arial"/>
          <w:sz w:val="26"/>
          <w:szCs w:val="26"/>
          <w:lang w:val="es-MX"/>
        </w:rPr>
      </w:pPr>
      <w:r>
        <w:rPr>
          <w:rFonts w:ascii="Arial" w:hAnsi="Arial" w:cs="Arial"/>
          <w:sz w:val="26"/>
          <w:szCs w:val="26"/>
          <w:lang w:val="es-MX"/>
        </w:rPr>
        <w:t>Por tanto, al haber sido utilizado como sustento de la motivación de su resolución, tal hecho que fue del conocimiento de la autoridad, aun cuando no lo establece puntualmente el artículo 97</w:t>
      </w:r>
      <w:r>
        <w:rPr>
          <w:rStyle w:val="Refdenotaalpie"/>
          <w:rFonts w:ascii="Arial" w:hAnsi="Arial" w:cs="Arial"/>
          <w:sz w:val="26"/>
          <w:szCs w:val="26"/>
          <w:lang w:val="es-MX"/>
        </w:rPr>
        <w:footnoteReference w:id="2"/>
      </w:r>
      <w:r>
        <w:rPr>
          <w:rFonts w:ascii="Arial" w:hAnsi="Arial" w:cs="Arial"/>
          <w:sz w:val="26"/>
          <w:szCs w:val="26"/>
          <w:lang w:val="es-MX"/>
        </w:rPr>
        <w:t xml:space="preserve"> del Código Fiscal del Estado de Oaxaca vigente, con la finalidad de no dejar en estado de indefensión al contribuyente, transgrediendo sus garantías de </w:t>
      </w:r>
      <w:r w:rsidR="009256D1">
        <w:rPr>
          <w:rFonts w:ascii="Arial" w:hAnsi="Arial" w:cs="Arial"/>
          <w:sz w:val="26"/>
          <w:szCs w:val="26"/>
          <w:lang w:val="es-MX"/>
        </w:rPr>
        <w:t>audiencia y debido procedimiento</w:t>
      </w:r>
      <w:r>
        <w:rPr>
          <w:rFonts w:ascii="Arial" w:hAnsi="Arial" w:cs="Arial"/>
          <w:sz w:val="26"/>
          <w:szCs w:val="26"/>
          <w:lang w:val="es-MX"/>
        </w:rPr>
        <w:t>, debió otorgarle la oportunidad de defensa previo a la emisión de la multa de que fue objeto.</w:t>
      </w:r>
    </w:p>
    <w:p w14:paraId="1238BFAA" w14:textId="1F5AB22D" w:rsidR="00FC4A59" w:rsidRPr="009A3BBD" w:rsidRDefault="00A036C0" w:rsidP="009A3BBD">
      <w:pPr>
        <w:tabs>
          <w:tab w:val="left" w:pos="1197"/>
        </w:tabs>
        <w:spacing w:before="240" w:line="360" w:lineRule="auto"/>
        <w:ind w:firstLine="708"/>
        <w:jc w:val="both"/>
        <w:rPr>
          <w:rFonts w:ascii="Arial" w:hAnsi="Arial" w:cs="Arial"/>
          <w:sz w:val="26"/>
          <w:szCs w:val="26"/>
        </w:rPr>
      </w:pPr>
      <w:r>
        <w:rPr>
          <w:rFonts w:ascii="Arial" w:eastAsia="Calibri" w:hAnsi="Arial" w:cs="Arial"/>
          <w:bCs/>
          <w:sz w:val="26"/>
          <w:szCs w:val="26"/>
        </w:rPr>
        <w:t xml:space="preserve">En consecuencia, ante lo </w:t>
      </w:r>
      <w:r>
        <w:rPr>
          <w:rFonts w:ascii="Arial" w:eastAsia="Calibri" w:hAnsi="Arial" w:cs="Arial"/>
          <w:b/>
          <w:bCs/>
          <w:sz w:val="26"/>
          <w:szCs w:val="26"/>
        </w:rPr>
        <w:t>in</w:t>
      </w:r>
      <w:r w:rsidR="007931C4">
        <w:rPr>
          <w:rFonts w:ascii="Arial" w:eastAsia="Calibri" w:hAnsi="Arial" w:cs="Arial"/>
          <w:b/>
          <w:bCs/>
          <w:sz w:val="26"/>
          <w:szCs w:val="26"/>
        </w:rPr>
        <w:t xml:space="preserve">fundado </w:t>
      </w:r>
      <w:r w:rsidR="000065E7">
        <w:rPr>
          <w:rFonts w:ascii="Arial" w:eastAsia="Calibri" w:hAnsi="Arial" w:cs="Arial"/>
          <w:bCs/>
          <w:sz w:val="26"/>
          <w:szCs w:val="26"/>
        </w:rPr>
        <w:t xml:space="preserve">e </w:t>
      </w:r>
      <w:r w:rsidR="000065E7">
        <w:rPr>
          <w:rFonts w:ascii="Arial" w:eastAsia="Calibri" w:hAnsi="Arial" w:cs="Arial"/>
          <w:b/>
          <w:bCs/>
          <w:sz w:val="26"/>
          <w:szCs w:val="26"/>
        </w:rPr>
        <w:t>in</w:t>
      </w:r>
      <w:r w:rsidR="0044248B">
        <w:rPr>
          <w:rFonts w:ascii="Arial" w:eastAsia="Calibri" w:hAnsi="Arial" w:cs="Arial"/>
          <w:b/>
          <w:bCs/>
          <w:sz w:val="26"/>
          <w:szCs w:val="26"/>
        </w:rPr>
        <w:t xml:space="preserve">operante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la sentencia alzada, en</w:t>
      </w:r>
      <w:r>
        <w:rPr>
          <w:rFonts w:ascii="Arial" w:hAnsi="Arial" w:cs="Arial"/>
          <w:sz w:val="26"/>
          <w:szCs w:val="26"/>
        </w:rPr>
        <w:t xml:space="preserve"> mérito de lo anterior, con fundamento en los artículos 237 y 238 de la Ley de Procedimiento y Justicia Administrativa para el Estado, se:</w:t>
      </w:r>
    </w:p>
    <w:p w14:paraId="221C7D50" w14:textId="0031D158" w:rsidR="00A036C0" w:rsidRDefault="00A036C0" w:rsidP="00A036C0">
      <w:pPr>
        <w:pStyle w:val="Sinespaciado"/>
        <w:spacing w:before="240" w:line="360" w:lineRule="auto"/>
        <w:jc w:val="center"/>
        <w:rPr>
          <w:rFonts w:ascii="Arial" w:hAnsi="Arial" w:cs="Arial"/>
          <w:b/>
          <w:sz w:val="24"/>
          <w:szCs w:val="24"/>
        </w:rPr>
      </w:pPr>
      <w:r>
        <w:rPr>
          <w:rFonts w:ascii="Arial" w:hAnsi="Arial" w:cs="Arial"/>
          <w:b/>
          <w:sz w:val="24"/>
          <w:szCs w:val="24"/>
        </w:rPr>
        <w:t>R E S U E L V E</w:t>
      </w:r>
    </w:p>
    <w:p w14:paraId="3A0026CD" w14:textId="6307E722" w:rsidR="00A036C0" w:rsidRDefault="00A036C0" w:rsidP="00A036C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lastRenderedPageBreak/>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w:t>
      </w:r>
      <w:r w:rsidR="009A3BBD">
        <w:rPr>
          <w:rFonts w:ascii="Arial" w:hAnsi="Arial" w:cs="Arial"/>
          <w:color w:val="000000"/>
          <w:sz w:val="26"/>
          <w:szCs w:val="26"/>
          <w:lang w:val="es-MX"/>
        </w:rPr>
        <w:t>ecede.- - - - - - - - - - - - - - - - - - - -</w:t>
      </w:r>
    </w:p>
    <w:p w14:paraId="32DD5DEA" w14:textId="1204AFE3" w:rsidR="00A036C0" w:rsidRDefault="00A036C0" w:rsidP="00A036C0">
      <w:pPr>
        <w:pStyle w:val="Sinespaciado"/>
        <w:spacing w:before="240"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remítase copia certificada de la presente resolución a la </w:t>
      </w:r>
      <w:r w:rsidR="002B2CE2">
        <w:rPr>
          <w:rFonts w:ascii="Arial" w:hAnsi="Arial" w:cs="Arial"/>
          <w:sz w:val="26"/>
          <w:szCs w:val="26"/>
        </w:rPr>
        <w:t xml:space="preserve">Quinta </w:t>
      </w:r>
      <w:r>
        <w:rPr>
          <w:rFonts w:ascii="Arial" w:hAnsi="Arial" w:cs="Arial"/>
          <w:sz w:val="26"/>
          <w:szCs w:val="26"/>
        </w:rPr>
        <w:t xml:space="preserve">Sala Unitaria de Primera Instancia de este Tribunal y en su oportunidad archívese el presente cuaderno de revisión como asunto </w:t>
      </w:r>
      <w:r w:rsidR="009A3BBD">
        <w:rPr>
          <w:rFonts w:ascii="Arial" w:hAnsi="Arial" w:cs="Arial"/>
          <w:sz w:val="26"/>
          <w:szCs w:val="26"/>
        </w:rPr>
        <w:t>concluido. -</w:t>
      </w:r>
      <w:r w:rsidR="00A05B89">
        <w:rPr>
          <w:rFonts w:ascii="Arial" w:hAnsi="Arial" w:cs="Arial"/>
          <w:sz w:val="26"/>
          <w:szCs w:val="26"/>
        </w:rPr>
        <w:t xml:space="preserve"> - - - - - - - - - - - </w:t>
      </w:r>
      <w:r w:rsidR="009A3BBD">
        <w:rPr>
          <w:rFonts w:ascii="Arial" w:hAnsi="Arial" w:cs="Arial"/>
          <w:sz w:val="26"/>
          <w:szCs w:val="26"/>
        </w:rPr>
        <w:t>- - - - - - -</w:t>
      </w:r>
    </w:p>
    <w:p w14:paraId="0D123B80" w14:textId="3537F9DE" w:rsidR="00FC4A59" w:rsidRDefault="00FC4A59" w:rsidP="00FC4A59">
      <w:pPr>
        <w:spacing w:before="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Pr>
          <w:rFonts w:ascii="Arial" w:hAnsi="Arial" w:cs="Arial"/>
          <w:sz w:val="26"/>
          <w:szCs w:val="26"/>
        </w:rPr>
        <w:t>integrantes de la Sala Superior</w:t>
      </w:r>
      <w:r w:rsidR="009A3BBD">
        <w:rPr>
          <w:rFonts w:ascii="Arial" w:hAnsi="Arial" w:cs="Arial"/>
          <w:sz w:val="26"/>
          <w:szCs w:val="26"/>
        </w:rPr>
        <w:t>,</w:t>
      </w:r>
      <w:r>
        <w:rPr>
          <w:rFonts w:ascii="Arial" w:hAnsi="Arial" w:cs="Arial"/>
          <w:sz w:val="26"/>
          <w:szCs w:val="26"/>
        </w:rPr>
        <w:t xml:space="preserve"> quienes</w:t>
      </w:r>
      <w:r w:rsidRPr="00CB6405">
        <w:rPr>
          <w:rFonts w:ascii="Arial" w:hAnsi="Arial" w:cs="Arial"/>
          <w:sz w:val="26"/>
          <w:szCs w:val="26"/>
        </w:rPr>
        <w:t xml:space="preserve"> actúan con </w:t>
      </w:r>
      <w:r>
        <w:rPr>
          <w:rFonts w:ascii="Arial" w:hAnsi="Arial" w:cs="Arial"/>
          <w:sz w:val="26"/>
          <w:szCs w:val="26"/>
        </w:rPr>
        <w:t>el Licenciado Juan Edy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Tribunal, que autoriza y da fe.- </w:t>
      </w:r>
      <w:r>
        <w:rPr>
          <w:rFonts w:ascii="Arial" w:hAnsi="Arial" w:cs="Arial"/>
          <w:sz w:val="26"/>
          <w:szCs w:val="26"/>
        </w:rPr>
        <w:t xml:space="preserve">- - - - - - - - - - - - - - - - - - - - - - - - - - - - - - - - - - - - - </w:t>
      </w:r>
    </w:p>
    <w:p w14:paraId="0F814F1B" w14:textId="2334EF89" w:rsidR="00FC4A59" w:rsidRDefault="00FC4A59" w:rsidP="00FC4A59">
      <w:pPr>
        <w:spacing w:before="240" w:line="360" w:lineRule="auto"/>
        <w:ind w:firstLine="708"/>
        <w:jc w:val="both"/>
        <w:rPr>
          <w:rFonts w:ascii="Arial" w:hAnsi="Arial" w:cs="Arial"/>
          <w:sz w:val="26"/>
          <w:szCs w:val="26"/>
        </w:rPr>
      </w:pPr>
    </w:p>
    <w:p w14:paraId="40D619A2" w14:textId="6D631197" w:rsidR="009A3BBD" w:rsidRDefault="009A3BBD" w:rsidP="00FC4A59">
      <w:pPr>
        <w:spacing w:before="240" w:line="360" w:lineRule="auto"/>
        <w:ind w:firstLine="708"/>
        <w:jc w:val="both"/>
        <w:rPr>
          <w:rFonts w:ascii="Arial" w:hAnsi="Arial" w:cs="Arial"/>
          <w:sz w:val="26"/>
          <w:szCs w:val="26"/>
        </w:rPr>
      </w:pPr>
    </w:p>
    <w:p w14:paraId="0CA6C478" w14:textId="77777777" w:rsidR="009A3BBD" w:rsidRPr="00CB6405" w:rsidRDefault="009A3BBD" w:rsidP="00FC4A59">
      <w:pPr>
        <w:spacing w:before="240" w:line="360" w:lineRule="auto"/>
        <w:ind w:firstLine="708"/>
        <w:jc w:val="both"/>
        <w:rPr>
          <w:rFonts w:ascii="Arial" w:hAnsi="Arial" w:cs="Arial"/>
          <w:sz w:val="26"/>
          <w:szCs w:val="26"/>
        </w:rPr>
      </w:pPr>
    </w:p>
    <w:p w14:paraId="6EC47BB9" w14:textId="77777777" w:rsidR="00FC4A59" w:rsidRDefault="00FC4A59" w:rsidP="00FC4A59">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02CB5BE6" w14:textId="77777777" w:rsidR="00FC4A59" w:rsidRDefault="00FC4A59" w:rsidP="00FC4A59">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4E914B6A" w14:textId="66D8C5DD" w:rsidR="00FC4A59" w:rsidRDefault="00FC4A59" w:rsidP="00FC4A59">
      <w:pPr>
        <w:spacing w:after="0" w:line="360" w:lineRule="auto"/>
        <w:jc w:val="center"/>
        <w:rPr>
          <w:rFonts w:ascii="Arial" w:hAnsi="Arial" w:cs="Arial"/>
          <w:sz w:val="26"/>
          <w:szCs w:val="26"/>
        </w:rPr>
      </w:pPr>
    </w:p>
    <w:p w14:paraId="252BA334" w14:textId="7E205B11" w:rsidR="009A3BBD" w:rsidRDefault="009A3BBD" w:rsidP="00FC4A59">
      <w:pPr>
        <w:spacing w:after="0" w:line="360" w:lineRule="auto"/>
        <w:jc w:val="center"/>
        <w:rPr>
          <w:rFonts w:ascii="Arial" w:hAnsi="Arial" w:cs="Arial"/>
          <w:sz w:val="26"/>
          <w:szCs w:val="26"/>
        </w:rPr>
      </w:pPr>
    </w:p>
    <w:p w14:paraId="3A52A21F" w14:textId="6D5C222D" w:rsidR="009A3BBD" w:rsidRDefault="009A3BBD" w:rsidP="00FC4A59">
      <w:pPr>
        <w:spacing w:after="0" w:line="360" w:lineRule="auto"/>
        <w:jc w:val="center"/>
        <w:rPr>
          <w:rFonts w:ascii="Arial" w:hAnsi="Arial" w:cs="Arial"/>
          <w:sz w:val="26"/>
          <w:szCs w:val="26"/>
        </w:rPr>
      </w:pPr>
    </w:p>
    <w:p w14:paraId="029806A5" w14:textId="197A815B" w:rsidR="009A3BBD" w:rsidRDefault="009A3BBD" w:rsidP="00FC4A59">
      <w:pPr>
        <w:spacing w:after="0" w:line="360" w:lineRule="auto"/>
        <w:jc w:val="center"/>
        <w:rPr>
          <w:rFonts w:ascii="Arial" w:hAnsi="Arial" w:cs="Arial"/>
          <w:sz w:val="26"/>
          <w:szCs w:val="26"/>
        </w:rPr>
      </w:pPr>
    </w:p>
    <w:p w14:paraId="0BC13509" w14:textId="77777777" w:rsidR="009A3BBD" w:rsidRDefault="009A3BBD" w:rsidP="00FC4A59">
      <w:pPr>
        <w:spacing w:after="0" w:line="360" w:lineRule="auto"/>
        <w:jc w:val="center"/>
        <w:rPr>
          <w:rFonts w:ascii="Arial" w:hAnsi="Arial" w:cs="Arial"/>
          <w:sz w:val="26"/>
          <w:szCs w:val="26"/>
        </w:rPr>
      </w:pPr>
    </w:p>
    <w:p w14:paraId="3706F894" w14:textId="77777777" w:rsidR="00FC4A59" w:rsidRDefault="00FC4A59" w:rsidP="00FC4A59">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217B12CB" w14:textId="2D75A34A" w:rsidR="00FC4A59" w:rsidRDefault="00FC4A59" w:rsidP="00FC4A59">
      <w:pPr>
        <w:tabs>
          <w:tab w:val="center" w:pos="4135"/>
          <w:tab w:val="left" w:pos="7515"/>
        </w:tabs>
        <w:spacing w:after="0" w:line="360" w:lineRule="auto"/>
        <w:jc w:val="center"/>
        <w:rPr>
          <w:rFonts w:ascii="Arial" w:hAnsi="Arial" w:cs="Arial"/>
          <w:sz w:val="26"/>
          <w:szCs w:val="26"/>
        </w:rPr>
      </w:pPr>
    </w:p>
    <w:p w14:paraId="150607A8" w14:textId="4700BB64" w:rsidR="009A3BBD" w:rsidRDefault="009A3BBD" w:rsidP="00FC4A59">
      <w:pPr>
        <w:tabs>
          <w:tab w:val="center" w:pos="4135"/>
          <w:tab w:val="left" w:pos="7515"/>
        </w:tabs>
        <w:spacing w:after="0" w:line="360" w:lineRule="auto"/>
        <w:jc w:val="center"/>
        <w:rPr>
          <w:rFonts w:ascii="Arial" w:hAnsi="Arial" w:cs="Arial"/>
          <w:sz w:val="26"/>
          <w:szCs w:val="26"/>
        </w:rPr>
      </w:pPr>
    </w:p>
    <w:p w14:paraId="0221D714" w14:textId="7D69171F" w:rsidR="009A3BBD" w:rsidRDefault="009A3BBD" w:rsidP="00FC4A59">
      <w:pPr>
        <w:tabs>
          <w:tab w:val="center" w:pos="4135"/>
          <w:tab w:val="left" w:pos="7515"/>
        </w:tabs>
        <w:spacing w:after="0" w:line="360" w:lineRule="auto"/>
        <w:jc w:val="center"/>
        <w:rPr>
          <w:rFonts w:ascii="Arial" w:hAnsi="Arial" w:cs="Arial"/>
          <w:sz w:val="26"/>
          <w:szCs w:val="26"/>
        </w:rPr>
      </w:pPr>
    </w:p>
    <w:p w14:paraId="43A8E93D" w14:textId="77777777" w:rsidR="009A3BBD" w:rsidRDefault="009A3BBD" w:rsidP="00FC4A59">
      <w:pPr>
        <w:tabs>
          <w:tab w:val="center" w:pos="4135"/>
          <w:tab w:val="left" w:pos="7515"/>
        </w:tabs>
        <w:spacing w:after="0" w:line="360" w:lineRule="auto"/>
        <w:jc w:val="center"/>
        <w:rPr>
          <w:rFonts w:ascii="Arial" w:hAnsi="Arial" w:cs="Arial"/>
          <w:sz w:val="26"/>
          <w:szCs w:val="26"/>
        </w:rPr>
      </w:pPr>
    </w:p>
    <w:p w14:paraId="618CCC9C" w14:textId="77777777" w:rsidR="009A3BBD" w:rsidRDefault="009A3BBD" w:rsidP="00FC4A59">
      <w:pPr>
        <w:tabs>
          <w:tab w:val="center" w:pos="4135"/>
          <w:tab w:val="left" w:pos="7515"/>
        </w:tabs>
        <w:spacing w:after="0" w:line="360" w:lineRule="auto"/>
        <w:jc w:val="center"/>
        <w:rPr>
          <w:rFonts w:ascii="Arial" w:hAnsi="Arial" w:cs="Arial"/>
          <w:sz w:val="26"/>
          <w:szCs w:val="26"/>
        </w:rPr>
      </w:pPr>
    </w:p>
    <w:p w14:paraId="098CC519" w14:textId="77777777" w:rsidR="00FC4A59" w:rsidRDefault="00FC4A59" w:rsidP="00FC4A59">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78721144" w14:textId="32ABC91A" w:rsidR="00FC4A59" w:rsidRDefault="00FC4A59" w:rsidP="00FC4A59">
      <w:pPr>
        <w:tabs>
          <w:tab w:val="center" w:pos="4135"/>
          <w:tab w:val="left" w:pos="7515"/>
        </w:tabs>
        <w:spacing w:after="0" w:line="360" w:lineRule="auto"/>
        <w:jc w:val="center"/>
        <w:rPr>
          <w:rFonts w:ascii="Arial" w:hAnsi="Arial" w:cs="Arial"/>
          <w:sz w:val="26"/>
          <w:szCs w:val="26"/>
        </w:rPr>
      </w:pPr>
    </w:p>
    <w:p w14:paraId="034ECB55" w14:textId="036C196C" w:rsidR="009A3BBD" w:rsidRDefault="009A3BBD" w:rsidP="00FC4A59">
      <w:pPr>
        <w:tabs>
          <w:tab w:val="center" w:pos="4135"/>
          <w:tab w:val="left" w:pos="7515"/>
        </w:tabs>
        <w:spacing w:after="0" w:line="360" w:lineRule="auto"/>
        <w:jc w:val="center"/>
        <w:rPr>
          <w:rFonts w:ascii="Arial" w:hAnsi="Arial" w:cs="Arial"/>
          <w:sz w:val="26"/>
          <w:szCs w:val="26"/>
        </w:rPr>
      </w:pPr>
    </w:p>
    <w:p w14:paraId="6517FE01" w14:textId="63B7E4A3" w:rsidR="009A3BBD" w:rsidRDefault="009A3BBD" w:rsidP="00FC4A59">
      <w:pPr>
        <w:tabs>
          <w:tab w:val="center" w:pos="4135"/>
          <w:tab w:val="left" w:pos="7515"/>
        </w:tabs>
        <w:spacing w:after="0" w:line="360" w:lineRule="auto"/>
        <w:jc w:val="center"/>
        <w:rPr>
          <w:rFonts w:ascii="Arial" w:hAnsi="Arial" w:cs="Arial"/>
          <w:sz w:val="26"/>
          <w:szCs w:val="26"/>
        </w:rPr>
      </w:pPr>
    </w:p>
    <w:p w14:paraId="4DC28309" w14:textId="64E93CFA" w:rsidR="009A3BBD" w:rsidRDefault="009A3BBD" w:rsidP="00FC4A59">
      <w:pPr>
        <w:tabs>
          <w:tab w:val="center" w:pos="4135"/>
          <w:tab w:val="left" w:pos="7515"/>
        </w:tabs>
        <w:spacing w:after="0" w:line="360" w:lineRule="auto"/>
        <w:jc w:val="center"/>
        <w:rPr>
          <w:rFonts w:ascii="Arial" w:hAnsi="Arial" w:cs="Arial"/>
          <w:sz w:val="26"/>
          <w:szCs w:val="26"/>
        </w:rPr>
      </w:pPr>
    </w:p>
    <w:p w14:paraId="7B0C8B2A" w14:textId="77777777" w:rsidR="009A3BBD" w:rsidRDefault="009A3BBD" w:rsidP="00FC4A59">
      <w:pPr>
        <w:tabs>
          <w:tab w:val="center" w:pos="4135"/>
          <w:tab w:val="left" w:pos="7515"/>
        </w:tabs>
        <w:spacing w:after="0" w:line="360" w:lineRule="auto"/>
        <w:jc w:val="center"/>
        <w:rPr>
          <w:rFonts w:ascii="Arial" w:hAnsi="Arial" w:cs="Arial"/>
          <w:sz w:val="26"/>
          <w:szCs w:val="26"/>
        </w:rPr>
      </w:pPr>
    </w:p>
    <w:p w14:paraId="4B0D5EF4" w14:textId="77777777" w:rsidR="00FC4A59" w:rsidRDefault="00FC4A59" w:rsidP="00FC4A59">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5B009D37" w14:textId="77777777" w:rsidR="00FC4A59" w:rsidRDefault="00FC4A59" w:rsidP="00FC4A59">
      <w:pPr>
        <w:spacing w:after="0"/>
        <w:jc w:val="center"/>
        <w:rPr>
          <w:sz w:val="26"/>
          <w:szCs w:val="26"/>
        </w:rPr>
      </w:pPr>
      <w:r>
        <w:rPr>
          <w:rFonts w:ascii="Arial" w:hAnsi="Arial" w:cs="Arial"/>
          <w:sz w:val="26"/>
          <w:szCs w:val="26"/>
        </w:rPr>
        <w:t>SECRETARIO GENERAL DE ACUERDOS</w:t>
      </w:r>
    </w:p>
    <w:p w14:paraId="419C3A5F" w14:textId="77777777" w:rsidR="00FC4A59" w:rsidRDefault="00FC4A59" w:rsidP="00FC4A59">
      <w:pPr>
        <w:spacing w:before="240" w:after="0" w:line="360" w:lineRule="auto"/>
        <w:ind w:firstLine="708"/>
        <w:jc w:val="both"/>
        <w:rPr>
          <w:sz w:val="26"/>
          <w:szCs w:val="26"/>
        </w:rPr>
      </w:pPr>
    </w:p>
    <w:p w14:paraId="04B70F70" w14:textId="1ADF8C33" w:rsidR="00C8785B" w:rsidRDefault="00C8785B" w:rsidP="00FC4A59">
      <w:pPr>
        <w:spacing w:before="240" w:line="360" w:lineRule="auto"/>
        <w:ind w:firstLine="708"/>
        <w:jc w:val="both"/>
        <w:rPr>
          <w:sz w:val="26"/>
          <w:szCs w:val="26"/>
        </w:rPr>
      </w:pPr>
    </w:p>
    <w:sectPr w:rsidR="00C8785B" w:rsidSect="00C343BF">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80C45F" w14:textId="77777777" w:rsidR="00046599" w:rsidRDefault="00046599">
      <w:pPr>
        <w:spacing w:after="0" w:line="240" w:lineRule="auto"/>
      </w:pPr>
      <w:r>
        <w:separator/>
      </w:r>
    </w:p>
  </w:endnote>
  <w:endnote w:type="continuationSeparator" w:id="0">
    <w:p w14:paraId="46403BB1" w14:textId="77777777" w:rsidR="00046599" w:rsidRDefault="00046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23632" w14:textId="77777777" w:rsidR="009A3BBD" w:rsidRDefault="009A3BB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774158" w14:textId="77777777" w:rsidR="009A3BBD" w:rsidRDefault="009A3BB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140F6" w14:textId="77777777" w:rsidR="009A3BBD" w:rsidRDefault="009A3BB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75F922" w14:textId="77777777" w:rsidR="00046599" w:rsidRDefault="00046599">
      <w:pPr>
        <w:spacing w:after="0" w:line="240" w:lineRule="auto"/>
      </w:pPr>
      <w:r>
        <w:separator/>
      </w:r>
    </w:p>
  </w:footnote>
  <w:footnote w:type="continuationSeparator" w:id="0">
    <w:p w14:paraId="1375D7E5" w14:textId="77777777" w:rsidR="00046599" w:rsidRDefault="00046599">
      <w:pPr>
        <w:spacing w:after="0" w:line="240" w:lineRule="auto"/>
      </w:pPr>
      <w:r>
        <w:continuationSeparator/>
      </w:r>
    </w:p>
  </w:footnote>
  <w:footnote w:id="1">
    <w:p w14:paraId="6ED6B4DC" w14:textId="77777777" w:rsidR="00B82787" w:rsidRDefault="00B82787" w:rsidP="009F683D">
      <w:pPr>
        <w:pStyle w:val="Textonotapie"/>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14:paraId="3DE557B4" w14:textId="77777777" w:rsidR="00B82787" w:rsidRDefault="00B82787" w:rsidP="009F683D">
      <w:pPr>
        <w:pStyle w:val="Textonotapie"/>
        <w:jc w:val="both"/>
        <w:rPr>
          <w:lang w:val="es-MX"/>
        </w:rPr>
      </w:pPr>
      <w:r>
        <w:rPr>
          <w:lang w:val="es-MX"/>
        </w:rPr>
        <w:t xml:space="preserve">   I. Harán prueba plena las confesión expresa de las partes y los actos contenidos en documentos públicos, si en éstos últimos se contienen declaraciones de verdad o manifestaciones de hechos de particulares; y</w:t>
      </w:r>
    </w:p>
    <w:p w14:paraId="226270EE" w14:textId="77777777" w:rsidR="00B82787" w:rsidRPr="00CE4666" w:rsidRDefault="00B82787" w:rsidP="009F683D">
      <w:pPr>
        <w:pStyle w:val="Textonotapie"/>
        <w:jc w:val="both"/>
        <w:rPr>
          <w:lang w:val="es-MX"/>
        </w:rPr>
      </w:pPr>
      <w:r>
        <w:rPr>
          <w:lang w:val="es-MX"/>
        </w:rPr>
        <w:t xml:space="preserve">   …”</w:t>
      </w:r>
    </w:p>
  </w:footnote>
  <w:footnote w:id="2">
    <w:p w14:paraId="35931A73" w14:textId="77777777" w:rsidR="00B82787" w:rsidRPr="00A85B29" w:rsidRDefault="00B82787" w:rsidP="009F683D">
      <w:pPr>
        <w:pStyle w:val="Textonotapie"/>
        <w:jc w:val="both"/>
        <w:rPr>
          <w:lang w:val="es-MX"/>
        </w:rPr>
      </w:pPr>
      <w:r>
        <w:rPr>
          <w:rStyle w:val="Refdenotaalpie"/>
        </w:rPr>
        <w:footnoteRef/>
      </w:r>
      <w:r>
        <w:t xml:space="preserve"> “</w:t>
      </w:r>
      <w:r>
        <w:rPr>
          <w:b/>
        </w:rPr>
        <w:t xml:space="preserve">ARTÍCULO 97. </w:t>
      </w:r>
      <w:r>
        <w:t>Los hechos que las autoridades fiscales conozcan con motivo del ejercicio de sus facultades de comprobación, o bien que consten en los expediente, documentos o bases de datos que tengan en su poder o a las que tengan acceso, así como los proporcionados por otras autoridades, podrán utilizarse como sustento de la motivación de las resoluciones que emitan.”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380DBAB6" w14:textId="091BE6EC" w:rsidR="00B82787" w:rsidRDefault="005C69C8" w:rsidP="00D25099">
        <w:pPr>
          <w:pStyle w:val="Encabezado"/>
          <w:jc w:val="center"/>
        </w:pPr>
        <w:r>
          <w:rPr>
            <w:noProof/>
            <w:lang w:val="es-MX" w:eastAsia="es-MX"/>
          </w:rPr>
          <w:pict w14:anchorId="2365DF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11985" o:spid="_x0000_s4098" type="#_x0000_t75" style="position:absolute;left:0;text-align:left;margin-left:0;margin-top:0;width:413.4pt;height:413.4pt;z-index:-251651072;mso-position-horizontal:center;mso-position-horizontal-relative:margin;mso-position-vertical:center;mso-position-vertical-relative:margin" o:allowincell="f">
              <v:imagedata r:id="rId1" o:title="TJAO" gain="19661f" blacklevel="22938f"/>
              <w10:wrap anchorx="margin" anchory="margin"/>
            </v:shape>
          </w:pict>
        </w:r>
        <w:r w:rsidR="00C15F9C">
          <w:fldChar w:fldCharType="begin"/>
        </w:r>
        <w:r w:rsidR="00C15F9C">
          <w:instrText>PAGE   \* MERGEFORMAT</w:instrText>
        </w:r>
        <w:r w:rsidR="00C15F9C">
          <w:fldChar w:fldCharType="separate"/>
        </w:r>
        <w:r>
          <w:rPr>
            <w:noProof/>
          </w:rPr>
          <w:t>12</w:t>
        </w:r>
        <w:r w:rsidR="00C15F9C">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343F13" w14:textId="3AA3AE99" w:rsidR="005C69C8" w:rsidRDefault="005C69C8" w:rsidP="00206B99">
    <w:pPr>
      <w:pStyle w:val="Encabezado"/>
      <w:jc w:val="center"/>
    </w:pPr>
  </w:p>
  <w:sdt>
    <w:sdtPr>
      <w:id w:val="-1748483066"/>
      <w:docPartObj>
        <w:docPartGallery w:val="Page Numbers (Top of Page)"/>
        <w:docPartUnique/>
      </w:docPartObj>
    </w:sdtPr>
    <w:sdtEndPr/>
    <w:sdtContent>
      <w:p w14:paraId="59BF86EE" w14:textId="1A778084" w:rsidR="00B82787" w:rsidRDefault="005C69C8" w:rsidP="00206B99">
        <w:pPr>
          <w:pStyle w:val="Encabezado"/>
          <w:jc w:val="center"/>
          <w:rPr>
            <w:noProof/>
          </w:rPr>
        </w:pPr>
        <w:r>
          <w:rPr>
            <w:noProof/>
            <w:lang w:val="es-MX" w:eastAsia="es-MX"/>
          </w:rPr>
          <w:pict w14:anchorId="788062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11986" o:spid="_x0000_s4099" type="#_x0000_t75" style="position:absolute;left:0;text-align:left;margin-left:0;margin-top:0;width:413.4pt;height:413.4pt;z-index:-251650048;mso-position-horizontal:center;mso-position-horizontal-relative:margin;mso-position-vertical:center;mso-position-vertical-relative:margin" o:allowincell="f">
              <v:imagedata r:id="rId1" o:title="TJAO" gain="19661f" blacklevel="22938f"/>
              <w10:wrap anchorx="margin" anchory="margin"/>
            </v:shape>
          </w:pict>
        </w:r>
        <w:r w:rsidR="00C15F9C">
          <w:fldChar w:fldCharType="begin"/>
        </w:r>
        <w:r w:rsidR="00C15F9C">
          <w:instrText xml:space="preserve"> PAGE   \* MERGEFORMAT </w:instrText>
        </w:r>
        <w:r w:rsidR="00C15F9C">
          <w:fldChar w:fldCharType="separate"/>
        </w:r>
        <w:r>
          <w:rPr>
            <w:noProof/>
          </w:rPr>
          <w:t>1</w:t>
        </w:r>
        <w:r w:rsidR="00C15F9C">
          <w:rPr>
            <w:noProof/>
          </w:rPr>
          <w:fldChar w:fldCharType="end"/>
        </w:r>
      </w:p>
      <w:p w14:paraId="23A84EC7" w14:textId="7F65ED46" w:rsidR="00B82787" w:rsidRDefault="005C69C8" w:rsidP="008C74CA">
        <w:pPr>
          <w:pStyle w:val="Encabezado"/>
          <w:jc w:val="center"/>
        </w:pPr>
      </w:p>
    </w:sdtContent>
  </w:sdt>
  <w:p w14:paraId="0AE2EB82" w14:textId="218C6534" w:rsidR="00B82787" w:rsidRDefault="00B82787" w:rsidP="00256B01">
    <w:pPr>
      <w:pStyle w:val="Encabezado"/>
      <w:jc w:val="center"/>
    </w:pPr>
  </w:p>
  <w:p w14:paraId="3E718B15" w14:textId="71E8815E" w:rsidR="00B82787" w:rsidRDefault="005C69C8" w:rsidP="009A3BBD">
    <w:pPr>
      <w:pStyle w:val="Encabezado"/>
      <w:jc w:val="center"/>
    </w:pPr>
    <w:r>
      <w:rPr>
        <w:noProof/>
      </w:rPr>
      <mc:AlternateContent>
        <mc:Choice Requires="wps">
          <w:drawing>
            <wp:anchor distT="45720" distB="45720" distL="114300" distR="114300" simplePos="0" relativeHeight="251668480" behindDoc="0" locked="0" layoutInCell="1" allowOverlap="1" wp14:anchorId="6B40B5A7" wp14:editId="45C5B22C">
              <wp:simplePos x="0" y="0"/>
              <wp:positionH relativeFrom="column">
                <wp:posOffset>-1513840</wp:posOffset>
              </wp:positionH>
              <wp:positionV relativeFrom="paragraph">
                <wp:posOffset>5201285</wp:posOffset>
              </wp:positionV>
              <wp:extent cx="1146175" cy="805180"/>
              <wp:effectExtent l="0" t="0" r="15875" b="139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805180"/>
                      </a:xfrm>
                      <a:prstGeom prst="rect">
                        <a:avLst/>
                      </a:prstGeom>
                      <a:solidFill>
                        <a:srgbClr val="FFFFFF"/>
                      </a:solidFill>
                      <a:ln w="9525">
                        <a:solidFill>
                          <a:srgbClr val="000000"/>
                        </a:solidFill>
                        <a:miter lim="800000"/>
                        <a:headEnd/>
                        <a:tailEnd/>
                      </a:ln>
                    </wps:spPr>
                    <wps:txbx>
                      <w:txbxContent>
                        <w:p w14:paraId="334D1C24" w14:textId="42A32034" w:rsidR="005C69C8" w:rsidRDefault="005C69C8" w:rsidP="005C69C8">
                          <w:pPr>
                            <w:rPr>
                              <w:sz w:val="16"/>
                              <w:szCs w:val="16"/>
                            </w:rPr>
                          </w:pPr>
                          <w:bookmarkStart w:id="0" w:name="_GoBack"/>
                          <w:r>
                            <w:rPr>
                              <w:sz w:val="16"/>
                              <w:szCs w:val="16"/>
                            </w:rPr>
                            <w:t>Los datos personales están protegidos por el art.116 de la LGTAIP y el art. 56 de la LTAIPEO</w:t>
                          </w:r>
                        </w:p>
                        <w:bookmarkEnd w:id="0"/>
                        <w:p w14:paraId="7D826AFC" w14:textId="3DECDB3A" w:rsidR="005C69C8" w:rsidRDefault="005C69C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40B5A7" id="_x0000_t202" coordsize="21600,21600" o:spt="202" path="m,l,21600r21600,l21600,xe">
              <v:stroke joinstyle="miter"/>
              <v:path gradientshapeok="t" o:connecttype="rect"/>
            </v:shapetype>
            <v:shape id="Cuadro de texto 2" o:spid="_x0000_s1026" type="#_x0000_t202" style="position:absolute;left:0;text-align:left;margin-left:-119.2pt;margin-top:409.55pt;width:90.25pt;height:63.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">
              <v:textbox>
                <w:txbxContent>
                  <w:p w14:paraId="334D1C24" w14:textId="42A32034" w:rsidR="005C69C8" w:rsidRDefault="005C69C8" w:rsidP="005C69C8">
                    <w:pPr>
                      <w:rPr>
                        <w:sz w:val="16"/>
                        <w:szCs w:val="16"/>
                      </w:rPr>
                    </w:pPr>
                    <w:bookmarkStart w:id="1" w:name="_GoBack"/>
                    <w:r>
                      <w:rPr>
                        <w:sz w:val="16"/>
                        <w:szCs w:val="16"/>
                      </w:rPr>
                      <w:t>Los datos personales están protegidos por el art.116 de la LGTAIP y el art. 56 de la LTAIPEO</w:t>
                    </w:r>
                  </w:p>
                  <w:bookmarkEnd w:id="1"/>
                  <w:p w14:paraId="7D826AFC" w14:textId="3DECDB3A" w:rsidR="005C69C8" w:rsidRDefault="005C69C8"/>
                </w:txbxContent>
              </v:textbox>
              <w10:wrap type="square"/>
            </v:shape>
          </w:pict>
        </mc:Fallback>
      </mc:AlternateContent>
    </w:r>
    <w:r w:rsidR="009A3BBD">
      <w:rPr>
        <w:noProof/>
        <w:lang w:val="es-MX" w:eastAsia="es-MX"/>
      </w:rPr>
      <mc:AlternateContent>
        <mc:Choice Requires="wpg">
          <w:drawing>
            <wp:anchor distT="0" distB="0" distL="114300" distR="114300" simplePos="0" relativeHeight="251663360" behindDoc="0" locked="0" layoutInCell="1" allowOverlap="1" wp14:anchorId="157674F6" wp14:editId="78584CC5">
              <wp:simplePos x="0" y="0"/>
              <wp:positionH relativeFrom="column">
                <wp:posOffset>-1371600</wp:posOffset>
              </wp:positionH>
              <wp:positionV relativeFrom="paragraph">
                <wp:posOffset>4076065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70106D5" id="Grupo 3" o:spid="_x0000_s1026" style="position:absolute;margin-left:-108pt;margin-top:320.95pt;width:90pt;height:63.6pt;z-index:25166336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">
              <v:group id="Group 4" o:spid="_x0000_s1027" style="position:absolute;width:9043;height:3265"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top:2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892;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01;top:252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0F210" w14:textId="079F51B3" w:rsidR="009A3BBD" w:rsidRDefault="005C69C8">
    <w:pPr>
      <w:pStyle w:val="Encabezado"/>
    </w:pPr>
    <w:r>
      <w:rPr>
        <w:noProof/>
        <w:lang w:val="es-MX" w:eastAsia="es-MX"/>
      </w:rPr>
      <w:pict w14:anchorId="060DEC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11984" o:spid="_x0000_s4097" type="#_x0000_t75" style="position:absolute;margin-left:0;margin-top:0;width:413.4pt;height:413.4pt;z-index:-251652096;mso-position-horizontal:center;mso-position-horizontal-relative:margin;mso-position-vertical:center;mso-position-vertical-relative:margin" o:allowincell="f">
          <v:imagedata r:id="rId1" o:title="TJA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8"/>
  <w:hyphenationZone w:val="425"/>
  <w:evenAndOddHeaders/>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65E7"/>
    <w:rsid w:val="0000725B"/>
    <w:rsid w:val="00011594"/>
    <w:rsid w:val="000145B7"/>
    <w:rsid w:val="000169A3"/>
    <w:rsid w:val="00017C09"/>
    <w:rsid w:val="00021DF1"/>
    <w:rsid w:val="0002236D"/>
    <w:rsid w:val="00024019"/>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46599"/>
    <w:rsid w:val="00050B7F"/>
    <w:rsid w:val="00053617"/>
    <w:rsid w:val="00053C13"/>
    <w:rsid w:val="000557C8"/>
    <w:rsid w:val="00055CE8"/>
    <w:rsid w:val="0005701D"/>
    <w:rsid w:val="00057174"/>
    <w:rsid w:val="00057817"/>
    <w:rsid w:val="000579EA"/>
    <w:rsid w:val="00057DB1"/>
    <w:rsid w:val="000612E4"/>
    <w:rsid w:val="000616B5"/>
    <w:rsid w:val="00061CE8"/>
    <w:rsid w:val="00067E31"/>
    <w:rsid w:val="00070777"/>
    <w:rsid w:val="000737BF"/>
    <w:rsid w:val="0007458B"/>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02"/>
    <w:rsid w:val="000B3B3B"/>
    <w:rsid w:val="000B4122"/>
    <w:rsid w:val="000B45F8"/>
    <w:rsid w:val="000C1F7C"/>
    <w:rsid w:val="000C2197"/>
    <w:rsid w:val="000C313C"/>
    <w:rsid w:val="000C3DBF"/>
    <w:rsid w:val="000D0E1D"/>
    <w:rsid w:val="000D1BD0"/>
    <w:rsid w:val="000D29A1"/>
    <w:rsid w:val="000D2FDE"/>
    <w:rsid w:val="000D595D"/>
    <w:rsid w:val="000D6A90"/>
    <w:rsid w:val="000D6F9B"/>
    <w:rsid w:val="000E0AB1"/>
    <w:rsid w:val="000E12D3"/>
    <w:rsid w:val="000E218B"/>
    <w:rsid w:val="000E2E24"/>
    <w:rsid w:val="000E322A"/>
    <w:rsid w:val="000E3C08"/>
    <w:rsid w:val="000E505F"/>
    <w:rsid w:val="000F00A6"/>
    <w:rsid w:val="000F018A"/>
    <w:rsid w:val="000F0F6A"/>
    <w:rsid w:val="000F3C98"/>
    <w:rsid w:val="000F3FF9"/>
    <w:rsid w:val="000F54B0"/>
    <w:rsid w:val="000F5D12"/>
    <w:rsid w:val="000F61E2"/>
    <w:rsid w:val="000F62C3"/>
    <w:rsid w:val="000F7CF6"/>
    <w:rsid w:val="0010098C"/>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0CBC"/>
    <w:rsid w:val="00121600"/>
    <w:rsid w:val="0012217B"/>
    <w:rsid w:val="00122F5E"/>
    <w:rsid w:val="00124FA7"/>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1D48"/>
    <w:rsid w:val="00152A17"/>
    <w:rsid w:val="00152D3F"/>
    <w:rsid w:val="00152EF4"/>
    <w:rsid w:val="0015351E"/>
    <w:rsid w:val="00154584"/>
    <w:rsid w:val="00154C09"/>
    <w:rsid w:val="00154CD8"/>
    <w:rsid w:val="0015751B"/>
    <w:rsid w:val="00161CC0"/>
    <w:rsid w:val="00164061"/>
    <w:rsid w:val="00164782"/>
    <w:rsid w:val="00164BAD"/>
    <w:rsid w:val="00166BBF"/>
    <w:rsid w:val="00171831"/>
    <w:rsid w:val="00172205"/>
    <w:rsid w:val="00172B29"/>
    <w:rsid w:val="001761CB"/>
    <w:rsid w:val="00180F55"/>
    <w:rsid w:val="001827CF"/>
    <w:rsid w:val="001843E8"/>
    <w:rsid w:val="00184B23"/>
    <w:rsid w:val="00185B10"/>
    <w:rsid w:val="00186F84"/>
    <w:rsid w:val="00190DE9"/>
    <w:rsid w:val="00191A27"/>
    <w:rsid w:val="00192287"/>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59DA"/>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A09"/>
    <w:rsid w:val="001E6F05"/>
    <w:rsid w:val="001F03C6"/>
    <w:rsid w:val="001F4D20"/>
    <w:rsid w:val="001F72DF"/>
    <w:rsid w:val="00200843"/>
    <w:rsid w:val="00200BE6"/>
    <w:rsid w:val="0020247E"/>
    <w:rsid w:val="00202A65"/>
    <w:rsid w:val="00203FD3"/>
    <w:rsid w:val="00206222"/>
    <w:rsid w:val="00206B99"/>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27A95"/>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5C3D"/>
    <w:rsid w:val="00246862"/>
    <w:rsid w:val="00246915"/>
    <w:rsid w:val="00246F70"/>
    <w:rsid w:val="00247875"/>
    <w:rsid w:val="00247D11"/>
    <w:rsid w:val="00254ED2"/>
    <w:rsid w:val="00256B01"/>
    <w:rsid w:val="00261CC6"/>
    <w:rsid w:val="00262666"/>
    <w:rsid w:val="00263720"/>
    <w:rsid w:val="00263BD5"/>
    <w:rsid w:val="0026762A"/>
    <w:rsid w:val="00267A88"/>
    <w:rsid w:val="00271A24"/>
    <w:rsid w:val="002729E4"/>
    <w:rsid w:val="00273171"/>
    <w:rsid w:val="002731E8"/>
    <w:rsid w:val="0027339B"/>
    <w:rsid w:val="00274366"/>
    <w:rsid w:val="00274ECB"/>
    <w:rsid w:val="00276858"/>
    <w:rsid w:val="002802EC"/>
    <w:rsid w:val="002805AC"/>
    <w:rsid w:val="002811D0"/>
    <w:rsid w:val="0028174E"/>
    <w:rsid w:val="0028299E"/>
    <w:rsid w:val="0028345B"/>
    <w:rsid w:val="00283967"/>
    <w:rsid w:val="00283B3F"/>
    <w:rsid w:val="0028420C"/>
    <w:rsid w:val="002844AF"/>
    <w:rsid w:val="002870CA"/>
    <w:rsid w:val="002908C0"/>
    <w:rsid w:val="00291333"/>
    <w:rsid w:val="00292316"/>
    <w:rsid w:val="00292C7D"/>
    <w:rsid w:val="0029542B"/>
    <w:rsid w:val="00295704"/>
    <w:rsid w:val="00296748"/>
    <w:rsid w:val="002A0B1C"/>
    <w:rsid w:val="002A28E5"/>
    <w:rsid w:val="002A2985"/>
    <w:rsid w:val="002A4088"/>
    <w:rsid w:val="002A411F"/>
    <w:rsid w:val="002A5510"/>
    <w:rsid w:val="002A6EF0"/>
    <w:rsid w:val="002A72DF"/>
    <w:rsid w:val="002B2AF4"/>
    <w:rsid w:val="002B2CE2"/>
    <w:rsid w:val="002B3CD7"/>
    <w:rsid w:val="002B5C82"/>
    <w:rsid w:val="002B73F3"/>
    <w:rsid w:val="002B7422"/>
    <w:rsid w:val="002B79C4"/>
    <w:rsid w:val="002C01EA"/>
    <w:rsid w:val="002C0324"/>
    <w:rsid w:val="002C03B4"/>
    <w:rsid w:val="002C0C96"/>
    <w:rsid w:val="002C1524"/>
    <w:rsid w:val="002C1DEC"/>
    <w:rsid w:val="002C291C"/>
    <w:rsid w:val="002C6B6A"/>
    <w:rsid w:val="002C7363"/>
    <w:rsid w:val="002D1979"/>
    <w:rsid w:val="002D1D1D"/>
    <w:rsid w:val="002D2A9D"/>
    <w:rsid w:val="002D2BC6"/>
    <w:rsid w:val="002D3B49"/>
    <w:rsid w:val="002D7BCE"/>
    <w:rsid w:val="002E07CB"/>
    <w:rsid w:val="002E26EB"/>
    <w:rsid w:val="002E796C"/>
    <w:rsid w:val="002F19AF"/>
    <w:rsid w:val="002F2487"/>
    <w:rsid w:val="002F45B6"/>
    <w:rsid w:val="002F4F72"/>
    <w:rsid w:val="002F528F"/>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3C26"/>
    <w:rsid w:val="003253CA"/>
    <w:rsid w:val="0032745F"/>
    <w:rsid w:val="003312FD"/>
    <w:rsid w:val="003313AD"/>
    <w:rsid w:val="00331836"/>
    <w:rsid w:val="00333481"/>
    <w:rsid w:val="0033426E"/>
    <w:rsid w:val="00335EF4"/>
    <w:rsid w:val="00337583"/>
    <w:rsid w:val="0033784A"/>
    <w:rsid w:val="003406E9"/>
    <w:rsid w:val="003406FC"/>
    <w:rsid w:val="0034180B"/>
    <w:rsid w:val="00342CE5"/>
    <w:rsid w:val="003462AA"/>
    <w:rsid w:val="003505C2"/>
    <w:rsid w:val="00354A57"/>
    <w:rsid w:val="00355E72"/>
    <w:rsid w:val="0035772D"/>
    <w:rsid w:val="00360A0B"/>
    <w:rsid w:val="003620BD"/>
    <w:rsid w:val="00362E0E"/>
    <w:rsid w:val="003633B9"/>
    <w:rsid w:val="003646B9"/>
    <w:rsid w:val="003708D3"/>
    <w:rsid w:val="00370EAE"/>
    <w:rsid w:val="00371AB7"/>
    <w:rsid w:val="003731F5"/>
    <w:rsid w:val="00375176"/>
    <w:rsid w:val="00377328"/>
    <w:rsid w:val="003779D8"/>
    <w:rsid w:val="00380776"/>
    <w:rsid w:val="00380BAC"/>
    <w:rsid w:val="003818BD"/>
    <w:rsid w:val="00381DC3"/>
    <w:rsid w:val="00382FD0"/>
    <w:rsid w:val="00383A19"/>
    <w:rsid w:val="00386D6B"/>
    <w:rsid w:val="003873E7"/>
    <w:rsid w:val="00387C97"/>
    <w:rsid w:val="00395802"/>
    <w:rsid w:val="003965ED"/>
    <w:rsid w:val="00397369"/>
    <w:rsid w:val="003A0ACC"/>
    <w:rsid w:val="003A1F55"/>
    <w:rsid w:val="003A3A38"/>
    <w:rsid w:val="003A7001"/>
    <w:rsid w:val="003B1512"/>
    <w:rsid w:val="003B20F0"/>
    <w:rsid w:val="003B26C0"/>
    <w:rsid w:val="003B2E9F"/>
    <w:rsid w:val="003B2FF4"/>
    <w:rsid w:val="003B373B"/>
    <w:rsid w:val="003B4AF5"/>
    <w:rsid w:val="003B4BAF"/>
    <w:rsid w:val="003B5D64"/>
    <w:rsid w:val="003B619E"/>
    <w:rsid w:val="003B68EA"/>
    <w:rsid w:val="003B6C7E"/>
    <w:rsid w:val="003B7C7A"/>
    <w:rsid w:val="003C0AC1"/>
    <w:rsid w:val="003C289C"/>
    <w:rsid w:val="003C3C72"/>
    <w:rsid w:val="003C4A93"/>
    <w:rsid w:val="003C522D"/>
    <w:rsid w:val="003C63BE"/>
    <w:rsid w:val="003C6424"/>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17DE2"/>
    <w:rsid w:val="00423A9D"/>
    <w:rsid w:val="00424229"/>
    <w:rsid w:val="00427081"/>
    <w:rsid w:val="00433FAD"/>
    <w:rsid w:val="00435B66"/>
    <w:rsid w:val="004365BF"/>
    <w:rsid w:val="004407BC"/>
    <w:rsid w:val="00441D6B"/>
    <w:rsid w:val="0044248B"/>
    <w:rsid w:val="004426E6"/>
    <w:rsid w:val="00444733"/>
    <w:rsid w:val="004503A6"/>
    <w:rsid w:val="00454494"/>
    <w:rsid w:val="004547D3"/>
    <w:rsid w:val="004567C7"/>
    <w:rsid w:val="00457592"/>
    <w:rsid w:val="00457CC7"/>
    <w:rsid w:val="004605C2"/>
    <w:rsid w:val="00461044"/>
    <w:rsid w:val="004610B7"/>
    <w:rsid w:val="004633DC"/>
    <w:rsid w:val="00463D68"/>
    <w:rsid w:val="004647A3"/>
    <w:rsid w:val="00467A8D"/>
    <w:rsid w:val="004715AF"/>
    <w:rsid w:val="00472E19"/>
    <w:rsid w:val="00474E30"/>
    <w:rsid w:val="004774DD"/>
    <w:rsid w:val="0047763B"/>
    <w:rsid w:val="00481411"/>
    <w:rsid w:val="00485388"/>
    <w:rsid w:val="004870D8"/>
    <w:rsid w:val="00491DA5"/>
    <w:rsid w:val="00493195"/>
    <w:rsid w:val="004961AD"/>
    <w:rsid w:val="004963BC"/>
    <w:rsid w:val="00496E71"/>
    <w:rsid w:val="00497AD8"/>
    <w:rsid w:val="00497E3B"/>
    <w:rsid w:val="004A0336"/>
    <w:rsid w:val="004A2326"/>
    <w:rsid w:val="004A234C"/>
    <w:rsid w:val="004A319F"/>
    <w:rsid w:val="004A399A"/>
    <w:rsid w:val="004A4ECC"/>
    <w:rsid w:val="004A54A3"/>
    <w:rsid w:val="004A7AC3"/>
    <w:rsid w:val="004B3512"/>
    <w:rsid w:val="004B3921"/>
    <w:rsid w:val="004B3A33"/>
    <w:rsid w:val="004B3D2E"/>
    <w:rsid w:val="004B4161"/>
    <w:rsid w:val="004B483F"/>
    <w:rsid w:val="004B6F87"/>
    <w:rsid w:val="004B748E"/>
    <w:rsid w:val="004B74CE"/>
    <w:rsid w:val="004B7A3D"/>
    <w:rsid w:val="004C10F3"/>
    <w:rsid w:val="004C1D17"/>
    <w:rsid w:val="004C20AC"/>
    <w:rsid w:val="004C3E7C"/>
    <w:rsid w:val="004C4306"/>
    <w:rsid w:val="004C456C"/>
    <w:rsid w:val="004C489E"/>
    <w:rsid w:val="004C57A9"/>
    <w:rsid w:val="004D29EE"/>
    <w:rsid w:val="004D316A"/>
    <w:rsid w:val="004D3AC9"/>
    <w:rsid w:val="004D3ADD"/>
    <w:rsid w:val="004D5713"/>
    <w:rsid w:val="004D5934"/>
    <w:rsid w:val="004D6FEE"/>
    <w:rsid w:val="004D7564"/>
    <w:rsid w:val="004E154D"/>
    <w:rsid w:val="004E16A4"/>
    <w:rsid w:val="004E4197"/>
    <w:rsid w:val="004E4D67"/>
    <w:rsid w:val="004E5474"/>
    <w:rsid w:val="004E56E0"/>
    <w:rsid w:val="004E661E"/>
    <w:rsid w:val="004E7657"/>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10956"/>
    <w:rsid w:val="00510C9F"/>
    <w:rsid w:val="00510FE5"/>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50B9"/>
    <w:rsid w:val="00536750"/>
    <w:rsid w:val="0053715D"/>
    <w:rsid w:val="005410B3"/>
    <w:rsid w:val="00541ACF"/>
    <w:rsid w:val="00541B18"/>
    <w:rsid w:val="00542671"/>
    <w:rsid w:val="005443FC"/>
    <w:rsid w:val="00544A76"/>
    <w:rsid w:val="005459A5"/>
    <w:rsid w:val="00545D35"/>
    <w:rsid w:val="00546203"/>
    <w:rsid w:val="005478F9"/>
    <w:rsid w:val="00551263"/>
    <w:rsid w:val="00551897"/>
    <w:rsid w:val="00553578"/>
    <w:rsid w:val="00557727"/>
    <w:rsid w:val="005609AA"/>
    <w:rsid w:val="00563B9C"/>
    <w:rsid w:val="00565465"/>
    <w:rsid w:val="00566567"/>
    <w:rsid w:val="00567E8E"/>
    <w:rsid w:val="0057003C"/>
    <w:rsid w:val="0057052D"/>
    <w:rsid w:val="005707BD"/>
    <w:rsid w:val="00571B02"/>
    <w:rsid w:val="005720EB"/>
    <w:rsid w:val="0057216C"/>
    <w:rsid w:val="005758AC"/>
    <w:rsid w:val="005770C1"/>
    <w:rsid w:val="005770F4"/>
    <w:rsid w:val="005776B9"/>
    <w:rsid w:val="00580F64"/>
    <w:rsid w:val="005817AB"/>
    <w:rsid w:val="00584047"/>
    <w:rsid w:val="005864C3"/>
    <w:rsid w:val="005903F7"/>
    <w:rsid w:val="005913ED"/>
    <w:rsid w:val="00593333"/>
    <w:rsid w:val="00594670"/>
    <w:rsid w:val="00595186"/>
    <w:rsid w:val="005962B6"/>
    <w:rsid w:val="00597C5A"/>
    <w:rsid w:val="005A0A32"/>
    <w:rsid w:val="005A0D5F"/>
    <w:rsid w:val="005A1C28"/>
    <w:rsid w:val="005A3800"/>
    <w:rsid w:val="005A415D"/>
    <w:rsid w:val="005A493F"/>
    <w:rsid w:val="005A4C18"/>
    <w:rsid w:val="005B13A7"/>
    <w:rsid w:val="005B2365"/>
    <w:rsid w:val="005B286A"/>
    <w:rsid w:val="005B6F41"/>
    <w:rsid w:val="005B74A1"/>
    <w:rsid w:val="005C0B46"/>
    <w:rsid w:val="005C2C8E"/>
    <w:rsid w:val="005C32A7"/>
    <w:rsid w:val="005C3AA7"/>
    <w:rsid w:val="005C414F"/>
    <w:rsid w:val="005C69C8"/>
    <w:rsid w:val="005C770C"/>
    <w:rsid w:val="005C7C2F"/>
    <w:rsid w:val="005D01DC"/>
    <w:rsid w:val="005D1684"/>
    <w:rsid w:val="005D3EFA"/>
    <w:rsid w:val="005D3F0B"/>
    <w:rsid w:val="005D4300"/>
    <w:rsid w:val="005D536A"/>
    <w:rsid w:val="005D62CD"/>
    <w:rsid w:val="005D65FC"/>
    <w:rsid w:val="005D74CC"/>
    <w:rsid w:val="005D751A"/>
    <w:rsid w:val="005E18B0"/>
    <w:rsid w:val="005E3275"/>
    <w:rsid w:val="005E40A8"/>
    <w:rsid w:val="005E499E"/>
    <w:rsid w:val="005E5273"/>
    <w:rsid w:val="005E6E22"/>
    <w:rsid w:val="005E76E1"/>
    <w:rsid w:val="005F0B76"/>
    <w:rsid w:val="005F1575"/>
    <w:rsid w:val="005F23E0"/>
    <w:rsid w:val="005F35AE"/>
    <w:rsid w:val="005F602F"/>
    <w:rsid w:val="006012BD"/>
    <w:rsid w:val="00602086"/>
    <w:rsid w:val="0060295E"/>
    <w:rsid w:val="006031D7"/>
    <w:rsid w:val="006031E8"/>
    <w:rsid w:val="0060326D"/>
    <w:rsid w:val="0060423E"/>
    <w:rsid w:val="00604EE6"/>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18E7"/>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64AD1"/>
    <w:rsid w:val="00670A3B"/>
    <w:rsid w:val="00671447"/>
    <w:rsid w:val="006735F6"/>
    <w:rsid w:val="00674D05"/>
    <w:rsid w:val="00674F8D"/>
    <w:rsid w:val="00675661"/>
    <w:rsid w:val="00676DFB"/>
    <w:rsid w:val="00677BEF"/>
    <w:rsid w:val="00681387"/>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6616"/>
    <w:rsid w:val="00696F11"/>
    <w:rsid w:val="00697ECB"/>
    <w:rsid w:val="006A141D"/>
    <w:rsid w:val="006A4C24"/>
    <w:rsid w:val="006A5548"/>
    <w:rsid w:val="006A5F24"/>
    <w:rsid w:val="006A6FE7"/>
    <w:rsid w:val="006B0915"/>
    <w:rsid w:val="006B0B08"/>
    <w:rsid w:val="006B10A8"/>
    <w:rsid w:val="006B119B"/>
    <w:rsid w:val="006B26D3"/>
    <w:rsid w:val="006B3BEA"/>
    <w:rsid w:val="006B4FD6"/>
    <w:rsid w:val="006B52CD"/>
    <w:rsid w:val="006B5FFF"/>
    <w:rsid w:val="006B6381"/>
    <w:rsid w:val="006B78C5"/>
    <w:rsid w:val="006C1383"/>
    <w:rsid w:val="006C2BAC"/>
    <w:rsid w:val="006C2F23"/>
    <w:rsid w:val="006C31AF"/>
    <w:rsid w:val="006C3540"/>
    <w:rsid w:val="006C4589"/>
    <w:rsid w:val="006D1203"/>
    <w:rsid w:val="006D173E"/>
    <w:rsid w:val="006D4142"/>
    <w:rsid w:val="006D4B71"/>
    <w:rsid w:val="006D7AAA"/>
    <w:rsid w:val="006E04EF"/>
    <w:rsid w:val="006E19FC"/>
    <w:rsid w:val="006E1B16"/>
    <w:rsid w:val="006E2197"/>
    <w:rsid w:val="006E22F2"/>
    <w:rsid w:val="006E27BA"/>
    <w:rsid w:val="006E2F9F"/>
    <w:rsid w:val="006E43D3"/>
    <w:rsid w:val="006E44A9"/>
    <w:rsid w:val="006E6519"/>
    <w:rsid w:val="006E6C97"/>
    <w:rsid w:val="006F0897"/>
    <w:rsid w:val="006F0D29"/>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4033"/>
    <w:rsid w:val="00727231"/>
    <w:rsid w:val="00727C09"/>
    <w:rsid w:val="00733866"/>
    <w:rsid w:val="00735B78"/>
    <w:rsid w:val="007372AF"/>
    <w:rsid w:val="007372F0"/>
    <w:rsid w:val="00737CB4"/>
    <w:rsid w:val="007402AF"/>
    <w:rsid w:val="00742461"/>
    <w:rsid w:val="00742758"/>
    <w:rsid w:val="0074315B"/>
    <w:rsid w:val="007445DB"/>
    <w:rsid w:val="00745C96"/>
    <w:rsid w:val="00745F93"/>
    <w:rsid w:val="00747AB7"/>
    <w:rsid w:val="00750F50"/>
    <w:rsid w:val="00751FB3"/>
    <w:rsid w:val="00752052"/>
    <w:rsid w:val="00752B02"/>
    <w:rsid w:val="00752F7E"/>
    <w:rsid w:val="00755251"/>
    <w:rsid w:val="007568F4"/>
    <w:rsid w:val="007569A2"/>
    <w:rsid w:val="0075724E"/>
    <w:rsid w:val="007573DC"/>
    <w:rsid w:val="00762C79"/>
    <w:rsid w:val="00764679"/>
    <w:rsid w:val="0076494C"/>
    <w:rsid w:val="00766389"/>
    <w:rsid w:val="007674BC"/>
    <w:rsid w:val="0077356E"/>
    <w:rsid w:val="007737E8"/>
    <w:rsid w:val="00773DC9"/>
    <w:rsid w:val="007758EE"/>
    <w:rsid w:val="00776E5E"/>
    <w:rsid w:val="0077739D"/>
    <w:rsid w:val="007806D4"/>
    <w:rsid w:val="0078132A"/>
    <w:rsid w:val="00782019"/>
    <w:rsid w:val="0078202A"/>
    <w:rsid w:val="00785325"/>
    <w:rsid w:val="007863FD"/>
    <w:rsid w:val="00787152"/>
    <w:rsid w:val="00790C1A"/>
    <w:rsid w:val="00790E52"/>
    <w:rsid w:val="00792E46"/>
    <w:rsid w:val="007931B7"/>
    <w:rsid w:val="007931C4"/>
    <w:rsid w:val="007936F6"/>
    <w:rsid w:val="00793C97"/>
    <w:rsid w:val="00794B18"/>
    <w:rsid w:val="00795CE3"/>
    <w:rsid w:val="007A0DD5"/>
    <w:rsid w:val="007A1ABA"/>
    <w:rsid w:val="007A25A8"/>
    <w:rsid w:val="007A2B3C"/>
    <w:rsid w:val="007A3ECB"/>
    <w:rsid w:val="007A452B"/>
    <w:rsid w:val="007A4CC0"/>
    <w:rsid w:val="007A5576"/>
    <w:rsid w:val="007A58F7"/>
    <w:rsid w:val="007B0E0D"/>
    <w:rsid w:val="007B29E4"/>
    <w:rsid w:val="007B448D"/>
    <w:rsid w:val="007B5135"/>
    <w:rsid w:val="007B6958"/>
    <w:rsid w:val="007C0D88"/>
    <w:rsid w:val="007C4D7C"/>
    <w:rsid w:val="007C4FC7"/>
    <w:rsid w:val="007C5134"/>
    <w:rsid w:val="007C65BA"/>
    <w:rsid w:val="007C6CD3"/>
    <w:rsid w:val="007C7AD1"/>
    <w:rsid w:val="007D1DBD"/>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025"/>
    <w:rsid w:val="007F3488"/>
    <w:rsid w:val="007F4057"/>
    <w:rsid w:val="007F43B4"/>
    <w:rsid w:val="007F4ED0"/>
    <w:rsid w:val="007F566C"/>
    <w:rsid w:val="007F5AE4"/>
    <w:rsid w:val="007F64F9"/>
    <w:rsid w:val="007F7ADE"/>
    <w:rsid w:val="007F7B65"/>
    <w:rsid w:val="007F7F91"/>
    <w:rsid w:val="0080043A"/>
    <w:rsid w:val="00800CD0"/>
    <w:rsid w:val="00801F35"/>
    <w:rsid w:val="0080399F"/>
    <w:rsid w:val="00805360"/>
    <w:rsid w:val="00805A06"/>
    <w:rsid w:val="00805C67"/>
    <w:rsid w:val="00807736"/>
    <w:rsid w:val="00807D70"/>
    <w:rsid w:val="008127A4"/>
    <w:rsid w:val="00815878"/>
    <w:rsid w:val="00816BA3"/>
    <w:rsid w:val="0082010D"/>
    <w:rsid w:val="00820FA9"/>
    <w:rsid w:val="00821C04"/>
    <w:rsid w:val="00825B25"/>
    <w:rsid w:val="0083002A"/>
    <w:rsid w:val="00830884"/>
    <w:rsid w:val="00831537"/>
    <w:rsid w:val="00832757"/>
    <w:rsid w:val="00832BFA"/>
    <w:rsid w:val="00832FE5"/>
    <w:rsid w:val="0084114B"/>
    <w:rsid w:val="00841573"/>
    <w:rsid w:val="00841CA9"/>
    <w:rsid w:val="00842ED4"/>
    <w:rsid w:val="00845EA4"/>
    <w:rsid w:val="00847A1D"/>
    <w:rsid w:val="00847AC1"/>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3583"/>
    <w:rsid w:val="008B4B2E"/>
    <w:rsid w:val="008B4EBC"/>
    <w:rsid w:val="008B5E35"/>
    <w:rsid w:val="008C0259"/>
    <w:rsid w:val="008C0D28"/>
    <w:rsid w:val="008C0FF3"/>
    <w:rsid w:val="008C297E"/>
    <w:rsid w:val="008C380D"/>
    <w:rsid w:val="008C508D"/>
    <w:rsid w:val="008C74CA"/>
    <w:rsid w:val="008D04B8"/>
    <w:rsid w:val="008D1236"/>
    <w:rsid w:val="008D38EC"/>
    <w:rsid w:val="008E20B4"/>
    <w:rsid w:val="008E215F"/>
    <w:rsid w:val="008E4231"/>
    <w:rsid w:val="008E586E"/>
    <w:rsid w:val="008E5A8E"/>
    <w:rsid w:val="008F05C2"/>
    <w:rsid w:val="008F203A"/>
    <w:rsid w:val="008F52F4"/>
    <w:rsid w:val="008F6A42"/>
    <w:rsid w:val="008F7D31"/>
    <w:rsid w:val="009000E7"/>
    <w:rsid w:val="00900115"/>
    <w:rsid w:val="009007FC"/>
    <w:rsid w:val="00900A88"/>
    <w:rsid w:val="00901DE3"/>
    <w:rsid w:val="0090282D"/>
    <w:rsid w:val="009031EC"/>
    <w:rsid w:val="00903BE5"/>
    <w:rsid w:val="009049BE"/>
    <w:rsid w:val="009057CB"/>
    <w:rsid w:val="009073DD"/>
    <w:rsid w:val="00907FE3"/>
    <w:rsid w:val="009111EA"/>
    <w:rsid w:val="0091170B"/>
    <w:rsid w:val="00912837"/>
    <w:rsid w:val="0091304F"/>
    <w:rsid w:val="009133A9"/>
    <w:rsid w:val="009142FD"/>
    <w:rsid w:val="009159DA"/>
    <w:rsid w:val="009207FF"/>
    <w:rsid w:val="00920D15"/>
    <w:rsid w:val="009210A6"/>
    <w:rsid w:val="009233B3"/>
    <w:rsid w:val="00925281"/>
    <w:rsid w:val="009256D1"/>
    <w:rsid w:val="00926FCD"/>
    <w:rsid w:val="009273CD"/>
    <w:rsid w:val="00927607"/>
    <w:rsid w:val="00930FEF"/>
    <w:rsid w:val="00931E3D"/>
    <w:rsid w:val="0094005B"/>
    <w:rsid w:val="0094041C"/>
    <w:rsid w:val="00942A46"/>
    <w:rsid w:val="00943709"/>
    <w:rsid w:val="00943B62"/>
    <w:rsid w:val="009443A6"/>
    <w:rsid w:val="0094607A"/>
    <w:rsid w:val="00947785"/>
    <w:rsid w:val="009545DC"/>
    <w:rsid w:val="00956CD1"/>
    <w:rsid w:val="00962084"/>
    <w:rsid w:val="009623FA"/>
    <w:rsid w:val="00962A6C"/>
    <w:rsid w:val="00963968"/>
    <w:rsid w:val="00964069"/>
    <w:rsid w:val="00964969"/>
    <w:rsid w:val="00964A87"/>
    <w:rsid w:val="00964EDF"/>
    <w:rsid w:val="00965794"/>
    <w:rsid w:val="00965870"/>
    <w:rsid w:val="00970BC4"/>
    <w:rsid w:val="0097228A"/>
    <w:rsid w:val="00973D8D"/>
    <w:rsid w:val="00974D4D"/>
    <w:rsid w:val="009752F6"/>
    <w:rsid w:val="009758DB"/>
    <w:rsid w:val="009768B5"/>
    <w:rsid w:val="0097768E"/>
    <w:rsid w:val="00983201"/>
    <w:rsid w:val="009837FD"/>
    <w:rsid w:val="00983827"/>
    <w:rsid w:val="00984197"/>
    <w:rsid w:val="00986534"/>
    <w:rsid w:val="00991B75"/>
    <w:rsid w:val="00991F69"/>
    <w:rsid w:val="00993688"/>
    <w:rsid w:val="00995692"/>
    <w:rsid w:val="00996B6C"/>
    <w:rsid w:val="00997217"/>
    <w:rsid w:val="00997F96"/>
    <w:rsid w:val="009A33AC"/>
    <w:rsid w:val="009A33BE"/>
    <w:rsid w:val="009A3714"/>
    <w:rsid w:val="009A3BBD"/>
    <w:rsid w:val="009A3FFF"/>
    <w:rsid w:val="009A5AE2"/>
    <w:rsid w:val="009A5D8D"/>
    <w:rsid w:val="009A6537"/>
    <w:rsid w:val="009B1106"/>
    <w:rsid w:val="009B1EAF"/>
    <w:rsid w:val="009B38C8"/>
    <w:rsid w:val="009B3FAA"/>
    <w:rsid w:val="009B4DEF"/>
    <w:rsid w:val="009C0C20"/>
    <w:rsid w:val="009C2394"/>
    <w:rsid w:val="009C4221"/>
    <w:rsid w:val="009D04F3"/>
    <w:rsid w:val="009D0710"/>
    <w:rsid w:val="009D1ED8"/>
    <w:rsid w:val="009D4A0A"/>
    <w:rsid w:val="009D56DE"/>
    <w:rsid w:val="009D6659"/>
    <w:rsid w:val="009D7058"/>
    <w:rsid w:val="009D70CC"/>
    <w:rsid w:val="009D79D7"/>
    <w:rsid w:val="009E0336"/>
    <w:rsid w:val="009E10EC"/>
    <w:rsid w:val="009E3A9A"/>
    <w:rsid w:val="009E42B9"/>
    <w:rsid w:val="009E5841"/>
    <w:rsid w:val="009F230B"/>
    <w:rsid w:val="009F3F92"/>
    <w:rsid w:val="009F50FA"/>
    <w:rsid w:val="009F683D"/>
    <w:rsid w:val="00A022D9"/>
    <w:rsid w:val="00A033BB"/>
    <w:rsid w:val="00A0357E"/>
    <w:rsid w:val="00A036C0"/>
    <w:rsid w:val="00A045F4"/>
    <w:rsid w:val="00A05B4F"/>
    <w:rsid w:val="00A05B89"/>
    <w:rsid w:val="00A063DF"/>
    <w:rsid w:val="00A10387"/>
    <w:rsid w:val="00A1146D"/>
    <w:rsid w:val="00A14A52"/>
    <w:rsid w:val="00A21B13"/>
    <w:rsid w:val="00A23A1B"/>
    <w:rsid w:val="00A2508C"/>
    <w:rsid w:val="00A2572E"/>
    <w:rsid w:val="00A25FC0"/>
    <w:rsid w:val="00A262B6"/>
    <w:rsid w:val="00A26D41"/>
    <w:rsid w:val="00A27138"/>
    <w:rsid w:val="00A30F61"/>
    <w:rsid w:val="00A3359F"/>
    <w:rsid w:val="00A33A89"/>
    <w:rsid w:val="00A34F6E"/>
    <w:rsid w:val="00A367AB"/>
    <w:rsid w:val="00A3709C"/>
    <w:rsid w:val="00A3728F"/>
    <w:rsid w:val="00A3744D"/>
    <w:rsid w:val="00A4105D"/>
    <w:rsid w:val="00A442A4"/>
    <w:rsid w:val="00A4466C"/>
    <w:rsid w:val="00A450A9"/>
    <w:rsid w:val="00A4628E"/>
    <w:rsid w:val="00A51216"/>
    <w:rsid w:val="00A51623"/>
    <w:rsid w:val="00A5314A"/>
    <w:rsid w:val="00A53C4F"/>
    <w:rsid w:val="00A57F60"/>
    <w:rsid w:val="00A61A6E"/>
    <w:rsid w:val="00A61EE3"/>
    <w:rsid w:val="00A644EC"/>
    <w:rsid w:val="00A65B8D"/>
    <w:rsid w:val="00A67424"/>
    <w:rsid w:val="00A703CE"/>
    <w:rsid w:val="00A7188F"/>
    <w:rsid w:val="00A71896"/>
    <w:rsid w:val="00A7216C"/>
    <w:rsid w:val="00A7309B"/>
    <w:rsid w:val="00A7622C"/>
    <w:rsid w:val="00A77949"/>
    <w:rsid w:val="00A8007D"/>
    <w:rsid w:val="00A80B43"/>
    <w:rsid w:val="00A8244C"/>
    <w:rsid w:val="00A83D36"/>
    <w:rsid w:val="00A85B29"/>
    <w:rsid w:val="00A85B97"/>
    <w:rsid w:val="00A86899"/>
    <w:rsid w:val="00A870FA"/>
    <w:rsid w:val="00A87174"/>
    <w:rsid w:val="00A879B5"/>
    <w:rsid w:val="00A923D9"/>
    <w:rsid w:val="00A923FC"/>
    <w:rsid w:val="00A93F22"/>
    <w:rsid w:val="00A94D13"/>
    <w:rsid w:val="00A94E2C"/>
    <w:rsid w:val="00A977D1"/>
    <w:rsid w:val="00AA0100"/>
    <w:rsid w:val="00AA0A4A"/>
    <w:rsid w:val="00AA0D46"/>
    <w:rsid w:val="00AA27AB"/>
    <w:rsid w:val="00AA29E9"/>
    <w:rsid w:val="00AA38C5"/>
    <w:rsid w:val="00AA3DF2"/>
    <w:rsid w:val="00AA512C"/>
    <w:rsid w:val="00AB00F1"/>
    <w:rsid w:val="00AB0764"/>
    <w:rsid w:val="00AB10A6"/>
    <w:rsid w:val="00AB19C6"/>
    <w:rsid w:val="00AB1E66"/>
    <w:rsid w:val="00AB1E7B"/>
    <w:rsid w:val="00AB4741"/>
    <w:rsid w:val="00AB4950"/>
    <w:rsid w:val="00AB5339"/>
    <w:rsid w:val="00AB628D"/>
    <w:rsid w:val="00AB641E"/>
    <w:rsid w:val="00AB689C"/>
    <w:rsid w:val="00AB6F46"/>
    <w:rsid w:val="00AB7A11"/>
    <w:rsid w:val="00AC1530"/>
    <w:rsid w:val="00AC1D64"/>
    <w:rsid w:val="00AC2BA3"/>
    <w:rsid w:val="00AD1C75"/>
    <w:rsid w:val="00AD1E25"/>
    <w:rsid w:val="00AD38ED"/>
    <w:rsid w:val="00AD4282"/>
    <w:rsid w:val="00AD4671"/>
    <w:rsid w:val="00AD77FD"/>
    <w:rsid w:val="00AD7D17"/>
    <w:rsid w:val="00AE038A"/>
    <w:rsid w:val="00AE1A7A"/>
    <w:rsid w:val="00AE4894"/>
    <w:rsid w:val="00AE5AC8"/>
    <w:rsid w:val="00AF107D"/>
    <w:rsid w:val="00AF1ED3"/>
    <w:rsid w:val="00AF30AF"/>
    <w:rsid w:val="00AF3A91"/>
    <w:rsid w:val="00AF6667"/>
    <w:rsid w:val="00AF6B54"/>
    <w:rsid w:val="00AF6F6A"/>
    <w:rsid w:val="00AF75DD"/>
    <w:rsid w:val="00AF7C5B"/>
    <w:rsid w:val="00B02093"/>
    <w:rsid w:val="00B049EC"/>
    <w:rsid w:val="00B04DD6"/>
    <w:rsid w:val="00B078A6"/>
    <w:rsid w:val="00B10264"/>
    <w:rsid w:val="00B10FF6"/>
    <w:rsid w:val="00B1153A"/>
    <w:rsid w:val="00B1212B"/>
    <w:rsid w:val="00B14213"/>
    <w:rsid w:val="00B15800"/>
    <w:rsid w:val="00B173E2"/>
    <w:rsid w:val="00B177F2"/>
    <w:rsid w:val="00B17CE7"/>
    <w:rsid w:val="00B216FE"/>
    <w:rsid w:val="00B219F8"/>
    <w:rsid w:val="00B2378C"/>
    <w:rsid w:val="00B244A4"/>
    <w:rsid w:val="00B26CCB"/>
    <w:rsid w:val="00B305FF"/>
    <w:rsid w:val="00B31114"/>
    <w:rsid w:val="00B31B5C"/>
    <w:rsid w:val="00B34D98"/>
    <w:rsid w:val="00B35503"/>
    <w:rsid w:val="00B37077"/>
    <w:rsid w:val="00B37C1A"/>
    <w:rsid w:val="00B37E5F"/>
    <w:rsid w:val="00B40233"/>
    <w:rsid w:val="00B408F8"/>
    <w:rsid w:val="00B4357A"/>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7DB"/>
    <w:rsid w:val="00B8098C"/>
    <w:rsid w:val="00B81A09"/>
    <w:rsid w:val="00B82787"/>
    <w:rsid w:val="00B83381"/>
    <w:rsid w:val="00B8390D"/>
    <w:rsid w:val="00B860B7"/>
    <w:rsid w:val="00B87E72"/>
    <w:rsid w:val="00B87E94"/>
    <w:rsid w:val="00B90D57"/>
    <w:rsid w:val="00B90ED9"/>
    <w:rsid w:val="00B91207"/>
    <w:rsid w:val="00B93F08"/>
    <w:rsid w:val="00B94DC9"/>
    <w:rsid w:val="00B95F1A"/>
    <w:rsid w:val="00B96729"/>
    <w:rsid w:val="00BA05BF"/>
    <w:rsid w:val="00BA0DB3"/>
    <w:rsid w:val="00BA0E31"/>
    <w:rsid w:val="00BA1726"/>
    <w:rsid w:val="00BA212A"/>
    <w:rsid w:val="00BA2D8E"/>
    <w:rsid w:val="00BA2FEE"/>
    <w:rsid w:val="00BA3205"/>
    <w:rsid w:val="00BA42E0"/>
    <w:rsid w:val="00BA6F5F"/>
    <w:rsid w:val="00BB1D5F"/>
    <w:rsid w:val="00BB1EC2"/>
    <w:rsid w:val="00BB2686"/>
    <w:rsid w:val="00BB62D7"/>
    <w:rsid w:val="00BB7BCF"/>
    <w:rsid w:val="00BC05E2"/>
    <w:rsid w:val="00BC0C9A"/>
    <w:rsid w:val="00BC1E29"/>
    <w:rsid w:val="00BC2BF5"/>
    <w:rsid w:val="00BC3F2F"/>
    <w:rsid w:val="00BC5AA0"/>
    <w:rsid w:val="00BC6D43"/>
    <w:rsid w:val="00BC788B"/>
    <w:rsid w:val="00BC7BD0"/>
    <w:rsid w:val="00BD08FE"/>
    <w:rsid w:val="00BD12B6"/>
    <w:rsid w:val="00BD249F"/>
    <w:rsid w:val="00BD4175"/>
    <w:rsid w:val="00BD5CAE"/>
    <w:rsid w:val="00BD7208"/>
    <w:rsid w:val="00BD7C52"/>
    <w:rsid w:val="00BE01B0"/>
    <w:rsid w:val="00BE0AF7"/>
    <w:rsid w:val="00BE1BBE"/>
    <w:rsid w:val="00BE32C7"/>
    <w:rsid w:val="00BE33D2"/>
    <w:rsid w:val="00BE39B2"/>
    <w:rsid w:val="00BE4652"/>
    <w:rsid w:val="00BE4A75"/>
    <w:rsid w:val="00BE4E5F"/>
    <w:rsid w:val="00BE4FDC"/>
    <w:rsid w:val="00BE5C36"/>
    <w:rsid w:val="00BF01B4"/>
    <w:rsid w:val="00BF0DCB"/>
    <w:rsid w:val="00BF1EC0"/>
    <w:rsid w:val="00BF298F"/>
    <w:rsid w:val="00BF2AD9"/>
    <w:rsid w:val="00BF2F98"/>
    <w:rsid w:val="00BF399D"/>
    <w:rsid w:val="00C00D17"/>
    <w:rsid w:val="00C021E6"/>
    <w:rsid w:val="00C02A64"/>
    <w:rsid w:val="00C02B83"/>
    <w:rsid w:val="00C06278"/>
    <w:rsid w:val="00C06502"/>
    <w:rsid w:val="00C06661"/>
    <w:rsid w:val="00C07363"/>
    <w:rsid w:val="00C11344"/>
    <w:rsid w:val="00C11B8E"/>
    <w:rsid w:val="00C123FE"/>
    <w:rsid w:val="00C1297D"/>
    <w:rsid w:val="00C14017"/>
    <w:rsid w:val="00C148AE"/>
    <w:rsid w:val="00C14B07"/>
    <w:rsid w:val="00C1506F"/>
    <w:rsid w:val="00C15F9C"/>
    <w:rsid w:val="00C21D1B"/>
    <w:rsid w:val="00C22D01"/>
    <w:rsid w:val="00C22D64"/>
    <w:rsid w:val="00C25EBF"/>
    <w:rsid w:val="00C25ED1"/>
    <w:rsid w:val="00C27CF3"/>
    <w:rsid w:val="00C31741"/>
    <w:rsid w:val="00C31CFE"/>
    <w:rsid w:val="00C33CFB"/>
    <w:rsid w:val="00C343BF"/>
    <w:rsid w:val="00C34493"/>
    <w:rsid w:val="00C35B04"/>
    <w:rsid w:val="00C35CE7"/>
    <w:rsid w:val="00C362F6"/>
    <w:rsid w:val="00C37A09"/>
    <w:rsid w:val="00C412FF"/>
    <w:rsid w:val="00C41357"/>
    <w:rsid w:val="00C4233C"/>
    <w:rsid w:val="00C42EFC"/>
    <w:rsid w:val="00C446B2"/>
    <w:rsid w:val="00C448D6"/>
    <w:rsid w:val="00C45315"/>
    <w:rsid w:val="00C46DE0"/>
    <w:rsid w:val="00C5010B"/>
    <w:rsid w:val="00C52510"/>
    <w:rsid w:val="00C539E3"/>
    <w:rsid w:val="00C55168"/>
    <w:rsid w:val="00C5669E"/>
    <w:rsid w:val="00C56885"/>
    <w:rsid w:val="00C57680"/>
    <w:rsid w:val="00C57997"/>
    <w:rsid w:val="00C57C9F"/>
    <w:rsid w:val="00C57DE8"/>
    <w:rsid w:val="00C607C9"/>
    <w:rsid w:val="00C60EB1"/>
    <w:rsid w:val="00C6230B"/>
    <w:rsid w:val="00C625C8"/>
    <w:rsid w:val="00C644BE"/>
    <w:rsid w:val="00C669B9"/>
    <w:rsid w:val="00C7039E"/>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8785B"/>
    <w:rsid w:val="00C904A0"/>
    <w:rsid w:val="00C9115E"/>
    <w:rsid w:val="00C9167C"/>
    <w:rsid w:val="00C926A1"/>
    <w:rsid w:val="00C9405A"/>
    <w:rsid w:val="00C94220"/>
    <w:rsid w:val="00C94AA0"/>
    <w:rsid w:val="00C95207"/>
    <w:rsid w:val="00C962CF"/>
    <w:rsid w:val="00CA15FF"/>
    <w:rsid w:val="00CA1B76"/>
    <w:rsid w:val="00CA4E8C"/>
    <w:rsid w:val="00CA6573"/>
    <w:rsid w:val="00CA7887"/>
    <w:rsid w:val="00CB27A4"/>
    <w:rsid w:val="00CB621B"/>
    <w:rsid w:val="00CB65EC"/>
    <w:rsid w:val="00CB6E8A"/>
    <w:rsid w:val="00CB7070"/>
    <w:rsid w:val="00CC18F6"/>
    <w:rsid w:val="00CC1DB1"/>
    <w:rsid w:val="00CC7CEF"/>
    <w:rsid w:val="00CD0468"/>
    <w:rsid w:val="00CD1491"/>
    <w:rsid w:val="00CD3C69"/>
    <w:rsid w:val="00CD64DE"/>
    <w:rsid w:val="00CD6EC0"/>
    <w:rsid w:val="00CE4666"/>
    <w:rsid w:val="00CE50AD"/>
    <w:rsid w:val="00CE5195"/>
    <w:rsid w:val="00CE51E4"/>
    <w:rsid w:val="00CF0579"/>
    <w:rsid w:val="00CF10FC"/>
    <w:rsid w:val="00CF1E45"/>
    <w:rsid w:val="00CF5631"/>
    <w:rsid w:val="00CF6971"/>
    <w:rsid w:val="00CF7993"/>
    <w:rsid w:val="00D00AC1"/>
    <w:rsid w:val="00D014AF"/>
    <w:rsid w:val="00D03926"/>
    <w:rsid w:val="00D03B93"/>
    <w:rsid w:val="00D076E9"/>
    <w:rsid w:val="00D12214"/>
    <w:rsid w:val="00D12D3B"/>
    <w:rsid w:val="00D13225"/>
    <w:rsid w:val="00D15103"/>
    <w:rsid w:val="00D1615A"/>
    <w:rsid w:val="00D16225"/>
    <w:rsid w:val="00D16547"/>
    <w:rsid w:val="00D17B9E"/>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654"/>
    <w:rsid w:val="00D35A50"/>
    <w:rsid w:val="00D35BF1"/>
    <w:rsid w:val="00D3635F"/>
    <w:rsid w:val="00D378CF"/>
    <w:rsid w:val="00D434D5"/>
    <w:rsid w:val="00D44218"/>
    <w:rsid w:val="00D44849"/>
    <w:rsid w:val="00D4494B"/>
    <w:rsid w:val="00D45394"/>
    <w:rsid w:val="00D45843"/>
    <w:rsid w:val="00D47287"/>
    <w:rsid w:val="00D5482F"/>
    <w:rsid w:val="00D564D9"/>
    <w:rsid w:val="00D566F5"/>
    <w:rsid w:val="00D56752"/>
    <w:rsid w:val="00D56F54"/>
    <w:rsid w:val="00D5720A"/>
    <w:rsid w:val="00D62375"/>
    <w:rsid w:val="00D63A6F"/>
    <w:rsid w:val="00D6556D"/>
    <w:rsid w:val="00D65FB7"/>
    <w:rsid w:val="00D70AB8"/>
    <w:rsid w:val="00D7104A"/>
    <w:rsid w:val="00D718E2"/>
    <w:rsid w:val="00D722CD"/>
    <w:rsid w:val="00D73B5B"/>
    <w:rsid w:val="00D74FDC"/>
    <w:rsid w:val="00D77684"/>
    <w:rsid w:val="00D81429"/>
    <w:rsid w:val="00D82506"/>
    <w:rsid w:val="00D831CE"/>
    <w:rsid w:val="00D871A9"/>
    <w:rsid w:val="00D90931"/>
    <w:rsid w:val="00D9122C"/>
    <w:rsid w:val="00D9154A"/>
    <w:rsid w:val="00D91AF2"/>
    <w:rsid w:val="00D927CA"/>
    <w:rsid w:val="00D93271"/>
    <w:rsid w:val="00D96319"/>
    <w:rsid w:val="00DA0CA2"/>
    <w:rsid w:val="00DA158D"/>
    <w:rsid w:val="00DA2B06"/>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B7083"/>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09F0"/>
    <w:rsid w:val="00DD1BAF"/>
    <w:rsid w:val="00DD4CC6"/>
    <w:rsid w:val="00DD4E98"/>
    <w:rsid w:val="00DD53DA"/>
    <w:rsid w:val="00DD58A6"/>
    <w:rsid w:val="00DD58B8"/>
    <w:rsid w:val="00DD664B"/>
    <w:rsid w:val="00DE06FD"/>
    <w:rsid w:val="00DE2129"/>
    <w:rsid w:val="00DE28BF"/>
    <w:rsid w:val="00DE2C51"/>
    <w:rsid w:val="00DE44E9"/>
    <w:rsid w:val="00DE5048"/>
    <w:rsid w:val="00DE569E"/>
    <w:rsid w:val="00DE6690"/>
    <w:rsid w:val="00DE7637"/>
    <w:rsid w:val="00DF09B8"/>
    <w:rsid w:val="00DF15EE"/>
    <w:rsid w:val="00DF2313"/>
    <w:rsid w:val="00DF4B5C"/>
    <w:rsid w:val="00DF53EA"/>
    <w:rsid w:val="00DF61CB"/>
    <w:rsid w:val="00E006B6"/>
    <w:rsid w:val="00E013E9"/>
    <w:rsid w:val="00E02840"/>
    <w:rsid w:val="00E02932"/>
    <w:rsid w:val="00E07A5F"/>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7ED"/>
    <w:rsid w:val="00E32EEE"/>
    <w:rsid w:val="00E33520"/>
    <w:rsid w:val="00E3623E"/>
    <w:rsid w:val="00E37775"/>
    <w:rsid w:val="00E40BC0"/>
    <w:rsid w:val="00E41A8D"/>
    <w:rsid w:val="00E427DF"/>
    <w:rsid w:val="00E43435"/>
    <w:rsid w:val="00E475A6"/>
    <w:rsid w:val="00E47828"/>
    <w:rsid w:val="00E52305"/>
    <w:rsid w:val="00E57113"/>
    <w:rsid w:val="00E57493"/>
    <w:rsid w:val="00E60ED0"/>
    <w:rsid w:val="00E61AB6"/>
    <w:rsid w:val="00E61CDE"/>
    <w:rsid w:val="00E65459"/>
    <w:rsid w:val="00E66951"/>
    <w:rsid w:val="00E67D3C"/>
    <w:rsid w:val="00E67EC9"/>
    <w:rsid w:val="00E7006D"/>
    <w:rsid w:val="00E705F5"/>
    <w:rsid w:val="00E74076"/>
    <w:rsid w:val="00E75BB5"/>
    <w:rsid w:val="00E77490"/>
    <w:rsid w:val="00E808D6"/>
    <w:rsid w:val="00E80E37"/>
    <w:rsid w:val="00E8107F"/>
    <w:rsid w:val="00E8196A"/>
    <w:rsid w:val="00E82D30"/>
    <w:rsid w:val="00E83450"/>
    <w:rsid w:val="00E8389D"/>
    <w:rsid w:val="00E83D98"/>
    <w:rsid w:val="00E86739"/>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0FE9"/>
    <w:rsid w:val="00EB3042"/>
    <w:rsid w:val="00EB37B1"/>
    <w:rsid w:val="00EB4DFF"/>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2230"/>
    <w:rsid w:val="00EF34F4"/>
    <w:rsid w:val="00EF4015"/>
    <w:rsid w:val="00EF724F"/>
    <w:rsid w:val="00EF76DE"/>
    <w:rsid w:val="00EF7AC5"/>
    <w:rsid w:val="00F0156D"/>
    <w:rsid w:val="00F02DE0"/>
    <w:rsid w:val="00F0430C"/>
    <w:rsid w:val="00F053FC"/>
    <w:rsid w:val="00F059C8"/>
    <w:rsid w:val="00F06CB3"/>
    <w:rsid w:val="00F079CC"/>
    <w:rsid w:val="00F07A83"/>
    <w:rsid w:val="00F07F37"/>
    <w:rsid w:val="00F07FC2"/>
    <w:rsid w:val="00F123A4"/>
    <w:rsid w:val="00F13BBE"/>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1926"/>
    <w:rsid w:val="00F82010"/>
    <w:rsid w:val="00F82312"/>
    <w:rsid w:val="00F824B2"/>
    <w:rsid w:val="00F83C99"/>
    <w:rsid w:val="00F841EA"/>
    <w:rsid w:val="00F8426B"/>
    <w:rsid w:val="00F85615"/>
    <w:rsid w:val="00F8623A"/>
    <w:rsid w:val="00F8652F"/>
    <w:rsid w:val="00F90B7E"/>
    <w:rsid w:val="00F90CCF"/>
    <w:rsid w:val="00F92334"/>
    <w:rsid w:val="00F93506"/>
    <w:rsid w:val="00F95634"/>
    <w:rsid w:val="00F96CB0"/>
    <w:rsid w:val="00F972BF"/>
    <w:rsid w:val="00FA0211"/>
    <w:rsid w:val="00FA0F1F"/>
    <w:rsid w:val="00FA17DB"/>
    <w:rsid w:val="00FA26F7"/>
    <w:rsid w:val="00FA3C84"/>
    <w:rsid w:val="00FA4E53"/>
    <w:rsid w:val="00FB0AE1"/>
    <w:rsid w:val="00FB0E2A"/>
    <w:rsid w:val="00FB1E09"/>
    <w:rsid w:val="00FB4039"/>
    <w:rsid w:val="00FB409B"/>
    <w:rsid w:val="00FB47EF"/>
    <w:rsid w:val="00FB4892"/>
    <w:rsid w:val="00FB6C65"/>
    <w:rsid w:val="00FB6DF3"/>
    <w:rsid w:val="00FC0ED3"/>
    <w:rsid w:val="00FC1289"/>
    <w:rsid w:val="00FC15D5"/>
    <w:rsid w:val="00FC3D06"/>
    <w:rsid w:val="00FC479D"/>
    <w:rsid w:val="00FC4A59"/>
    <w:rsid w:val="00FC7940"/>
    <w:rsid w:val="00FD0A86"/>
    <w:rsid w:val="00FD0C4D"/>
    <w:rsid w:val="00FD0CFA"/>
    <w:rsid w:val="00FD0F89"/>
    <w:rsid w:val="00FD41C0"/>
    <w:rsid w:val="00FD424A"/>
    <w:rsid w:val="00FD4382"/>
    <w:rsid w:val="00FD46BA"/>
    <w:rsid w:val="00FD5D4A"/>
    <w:rsid w:val="00FD7489"/>
    <w:rsid w:val="00FE016C"/>
    <w:rsid w:val="00FE09B0"/>
    <w:rsid w:val="00FE0F9D"/>
    <w:rsid w:val="00FE1046"/>
    <w:rsid w:val="00FE10E6"/>
    <w:rsid w:val="00FE1705"/>
    <w:rsid w:val="00FE48CB"/>
    <w:rsid w:val="00FE6F33"/>
    <w:rsid w:val="00FE7214"/>
    <w:rsid w:val="00FF1D19"/>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ocId w14:val="28885327"/>
  <w15:docId w15:val="{7FCE7462-6CEF-4400-AA87-A3DE44D7A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80822503">
      <w:bodyDiv w:val="1"/>
      <w:marLeft w:val="0"/>
      <w:marRight w:val="0"/>
      <w:marTop w:val="0"/>
      <w:marBottom w:val="0"/>
      <w:divBdr>
        <w:top w:val="none" w:sz="0" w:space="0" w:color="auto"/>
        <w:left w:val="none" w:sz="0" w:space="0" w:color="auto"/>
        <w:bottom w:val="none" w:sz="0" w:space="0" w:color="auto"/>
        <w:right w:val="none" w:sz="0" w:space="0" w:color="auto"/>
      </w:divBdr>
    </w:div>
    <w:div w:id="1217276184">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FA889-1226-41CF-A7A1-A378B53ED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12</Pages>
  <Words>3920</Words>
  <Characters>21563</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22</cp:revision>
  <cp:lastPrinted>2020-02-10T21:24:00Z</cp:lastPrinted>
  <dcterms:created xsi:type="dcterms:W3CDTF">2020-05-15T00:02:00Z</dcterms:created>
  <dcterms:modified xsi:type="dcterms:W3CDTF">2021-01-25T19:42:00Z</dcterms:modified>
</cp:coreProperties>
</file>