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263" w:rsidRDefault="00502263" w:rsidP="00502263">
      <w:pPr>
        <w:spacing w:line="360" w:lineRule="auto"/>
        <w:jc w:val="both"/>
        <w:rPr>
          <w:rFonts w:ascii="Arial" w:hAnsi="Arial" w:cs="Arial"/>
          <w:b/>
          <w:sz w:val="24"/>
          <w:szCs w:val="24"/>
        </w:rPr>
      </w:pPr>
      <w:r>
        <w:rPr>
          <w:rFonts w:ascii="Arial" w:hAnsi="Arial" w:cs="Arial"/>
          <w:b/>
          <w:sz w:val="24"/>
          <w:szCs w:val="24"/>
        </w:rPr>
        <w:t xml:space="preserve">OAXACA DE JUÁREZ, OAXACA, A </w:t>
      </w:r>
      <w:r w:rsidR="002F0657">
        <w:rPr>
          <w:rFonts w:ascii="Arial" w:hAnsi="Arial" w:cs="Arial"/>
          <w:b/>
          <w:sz w:val="24"/>
          <w:szCs w:val="24"/>
        </w:rPr>
        <w:t xml:space="preserve">CUATRO DE SEPTIEMBRE </w:t>
      </w:r>
      <w:r>
        <w:rPr>
          <w:rFonts w:ascii="Arial" w:hAnsi="Arial" w:cs="Arial"/>
          <w:b/>
          <w:sz w:val="24"/>
          <w:szCs w:val="24"/>
        </w:rPr>
        <w:t xml:space="preserve">DE DOS MIL VEINTE. - - - - - - - - - - - - - - - - - - - - - - - - - - - - - - - - - - - - - - - - - - - - - - - - - - - - - - </w:t>
      </w: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b/>
          <w:bCs/>
          <w:sz w:val="24"/>
          <w:szCs w:val="24"/>
          <w:lang w:eastAsia="es-ES"/>
        </w:rPr>
        <w:t>VISTOS</w:t>
      </w:r>
      <w:r>
        <w:rPr>
          <w:rFonts w:ascii="Arial" w:eastAsia="Times New Roman" w:hAnsi="Arial" w:cs="Arial"/>
          <w:bCs/>
          <w:sz w:val="24"/>
          <w:szCs w:val="24"/>
          <w:lang w:eastAsia="es-ES"/>
        </w:rPr>
        <w:t>,</w:t>
      </w:r>
      <w:r>
        <w:rPr>
          <w:rFonts w:ascii="Arial" w:eastAsia="Times New Roman" w:hAnsi="Arial" w:cs="Arial"/>
          <w:sz w:val="24"/>
          <w:szCs w:val="24"/>
          <w:lang w:eastAsia="es-ES"/>
        </w:rPr>
        <w:t xml:space="preserve"> para resolver los autos del juicio de nulidad número </w:t>
      </w:r>
      <w:r>
        <w:rPr>
          <w:rFonts w:ascii="Arial" w:eastAsia="Times New Roman" w:hAnsi="Arial" w:cs="Arial"/>
          <w:b/>
          <w:bCs/>
          <w:sz w:val="24"/>
          <w:szCs w:val="24"/>
          <w:lang w:eastAsia="es-ES"/>
        </w:rPr>
        <w:t>0037/20019</w:t>
      </w:r>
      <w:r>
        <w:rPr>
          <w:rFonts w:ascii="Arial" w:eastAsia="Times New Roman" w:hAnsi="Arial" w:cs="Arial"/>
          <w:sz w:val="24"/>
          <w:szCs w:val="24"/>
          <w:lang w:eastAsia="es-ES"/>
        </w:rPr>
        <w:t xml:space="preserve">, promovido por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xml:space="preserve">, en contra </w:t>
      </w:r>
      <w:r>
        <w:rPr>
          <w:rFonts w:ascii="Arial" w:eastAsia="Times New Roman" w:hAnsi="Arial" w:cs="Arial"/>
          <w:sz w:val="24"/>
          <w:szCs w:val="24"/>
          <w:lang w:val="es-ES_tradnl" w:eastAsia="es-ES"/>
        </w:rPr>
        <w:t xml:space="preserve">del contenido </w:t>
      </w:r>
      <w:r>
        <w:rPr>
          <w:rFonts w:ascii="Arial" w:eastAsia="Times New Roman" w:hAnsi="Arial" w:cs="Arial"/>
          <w:sz w:val="24"/>
          <w:szCs w:val="24"/>
          <w:lang w:val="es-ES"/>
        </w:rPr>
        <w:t xml:space="preserve">en el oficio número </w:t>
      </w:r>
      <w:r w:rsidR="00CF5059">
        <w:rPr>
          <w:rFonts w:ascii="Arial" w:eastAsia="Times New Roman" w:hAnsi="Arial" w:cs="Arial"/>
          <w:bCs/>
          <w:iCs/>
          <w:caps/>
          <w:kern w:val="2"/>
          <w:sz w:val="21"/>
          <w:szCs w:val="21"/>
          <w:lang w:val="es-ES_tradnl" w:eastAsia="es-ES"/>
        </w:rPr>
        <w:t>**********</w:t>
      </w:r>
      <w:r>
        <w:rPr>
          <w:rFonts w:ascii="Arial" w:eastAsia="Times New Roman" w:hAnsi="Arial" w:cs="Arial"/>
          <w:b/>
          <w:bCs/>
          <w:sz w:val="24"/>
          <w:szCs w:val="24"/>
          <w:lang w:val="es-ES"/>
        </w:rPr>
        <w:t xml:space="preserve"> </w:t>
      </w:r>
      <w:r>
        <w:rPr>
          <w:rFonts w:ascii="Arial" w:eastAsia="Times New Roman" w:hAnsi="Arial" w:cs="Arial"/>
          <w:sz w:val="24"/>
          <w:szCs w:val="24"/>
          <w:lang w:val="es-ES"/>
        </w:rPr>
        <w:t xml:space="preserve">de diecinueve de febrero de dos mil diecinueve, </w:t>
      </w:r>
      <w:r>
        <w:rPr>
          <w:rFonts w:ascii="Arial" w:eastAsia="Times New Roman" w:hAnsi="Arial" w:cs="Arial"/>
          <w:sz w:val="24"/>
          <w:szCs w:val="24"/>
          <w:lang w:val="es-ES_tradnl" w:eastAsia="es-ES"/>
        </w:rPr>
        <w:t xml:space="preserve">emitido por la </w:t>
      </w:r>
      <w:r>
        <w:rPr>
          <w:rFonts w:ascii="Arial" w:hAnsi="Arial" w:cs="Arial"/>
          <w:b/>
          <w:sz w:val="24"/>
          <w:szCs w:val="24"/>
        </w:rPr>
        <w:t>DIRECTORA DE INGRESOS Y RECAUDACIÓN DE LA SECRETARÍA DE FINANZAS DEL PODER EJECUTIVO DEL ESTADO</w:t>
      </w:r>
      <w:r>
        <w:rPr>
          <w:rFonts w:ascii="Arial" w:hAnsi="Arial" w:cs="Arial"/>
          <w:sz w:val="24"/>
          <w:szCs w:val="24"/>
        </w:rPr>
        <w:t xml:space="preserve">, </w:t>
      </w:r>
      <w:r>
        <w:rPr>
          <w:rFonts w:ascii="Arial" w:eastAsia="Times New Roman" w:hAnsi="Arial" w:cs="Arial"/>
          <w:bCs/>
          <w:sz w:val="24"/>
          <w:szCs w:val="24"/>
          <w:lang w:eastAsia="es-ES"/>
        </w:rPr>
        <w:t xml:space="preserve">y; - - - - - - - - - - - - - - - - - - - </w:t>
      </w:r>
    </w:p>
    <w:p w:rsidR="00502263" w:rsidRDefault="00502263" w:rsidP="00502263">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rsidR="00502263" w:rsidRDefault="00502263" w:rsidP="0050226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bCs/>
          <w:sz w:val="24"/>
          <w:szCs w:val="24"/>
          <w:lang w:val="es-ES" w:eastAsia="es-ES"/>
        </w:rPr>
        <w:t xml:space="preserve">Por auto de seis de mayo de dos mil diecinueve, </w:t>
      </w:r>
      <w:r>
        <w:rPr>
          <w:rFonts w:ascii="Arial" w:eastAsia="Times New Roman" w:hAnsi="Arial" w:cs="Arial"/>
          <w:b/>
          <w:bCs/>
          <w:sz w:val="24"/>
          <w:szCs w:val="24"/>
          <w:lang w:val="es-ES" w:eastAsia="es-ES"/>
        </w:rPr>
        <w:t xml:space="preserve">se </w:t>
      </w:r>
      <w:r>
        <w:rPr>
          <w:rFonts w:ascii="Arial" w:eastAsia="Times New Roman" w:hAnsi="Arial" w:cs="Arial"/>
          <w:b/>
          <w:sz w:val="24"/>
          <w:szCs w:val="24"/>
          <w:lang w:val="es-ES" w:eastAsia="es-ES"/>
        </w:rPr>
        <w:t xml:space="preserve">admitió </w:t>
      </w:r>
      <w:r>
        <w:rPr>
          <w:rFonts w:ascii="Arial" w:eastAsia="Times New Roman" w:hAnsi="Arial" w:cs="Arial"/>
          <w:sz w:val="24"/>
          <w:szCs w:val="24"/>
          <w:lang w:val="es-ES" w:eastAsia="es-ES"/>
        </w:rPr>
        <w:t xml:space="preserve">a trámite la demanda de nulidad, interpuesta por </w:t>
      </w:r>
      <w:r w:rsidR="00CF5059">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eastAsia="es-ES"/>
        </w:rPr>
        <w:t xml:space="preserve">, en contra de la resolución contenida en el oficio número </w:t>
      </w:r>
      <w:r w:rsidR="00CF5059">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eastAsia="es-ES"/>
        </w:rPr>
        <w:t xml:space="preserve">, de </w:t>
      </w:r>
      <w:r>
        <w:rPr>
          <w:rFonts w:ascii="Arial" w:eastAsia="Times New Roman" w:hAnsi="Arial" w:cs="Arial"/>
          <w:bCs/>
          <w:sz w:val="24"/>
          <w:szCs w:val="24"/>
          <w:lang w:val="es-ES"/>
        </w:rPr>
        <w:t xml:space="preserve">diecinueve de febrero de dos mil diecinueve, </w:t>
      </w:r>
      <w:r>
        <w:rPr>
          <w:rFonts w:ascii="Arial" w:eastAsia="Times New Roman" w:hAnsi="Arial" w:cs="Arial"/>
          <w:sz w:val="24"/>
          <w:szCs w:val="24"/>
          <w:lang w:val="es-ES_tradnl" w:eastAsia="es-ES"/>
        </w:rPr>
        <w:t xml:space="preserve">emitido por la </w:t>
      </w:r>
      <w:r>
        <w:rPr>
          <w:rFonts w:ascii="Arial" w:hAnsi="Arial" w:cs="Arial"/>
          <w:b/>
          <w:sz w:val="24"/>
          <w:szCs w:val="24"/>
        </w:rPr>
        <w:t>Directora de Ingresos y Recaudación de la Secretaría de Finanzas del Poder Ejecutivo del Estado</w:t>
      </w:r>
      <w:r>
        <w:rPr>
          <w:rFonts w:ascii="Arial" w:eastAsia="Times New Roman" w:hAnsi="Arial" w:cs="Arial"/>
          <w:sz w:val="24"/>
          <w:szCs w:val="24"/>
          <w:lang w:val="es-ES_tradnl" w:eastAsia="es-ES"/>
        </w:rPr>
        <w:t xml:space="preserve">; ordenándose notificar, emplazar y correr traslado a la autoridad demandada, para que dentro del término de ley la contestara, </w:t>
      </w:r>
      <w:r>
        <w:rPr>
          <w:rFonts w:ascii="Arial" w:eastAsia="Times New Roman" w:hAnsi="Arial" w:cs="Arial"/>
          <w:b/>
          <w:sz w:val="24"/>
          <w:szCs w:val="24"/>
          <w:lang w:val="es-ES_tradnl" w:eastAsia="es-ES"/>
        </w:rPr>
        <w:t>apercibida</w:t>
      </w:r>
      <w:r>
        <w:rPr>
          <w:rFonts w:ascii="Arial" w:eastAsia="Times New Roman" w:hAnsi="Arial" w:cs="Arial"/>
          <w:sz w:val="24"/>
          <w:szCs w:val="24"/>
          <w:lang w:val="es-ES_tradnl" w:eastAsia="es-ES"/>
        </w:rPr>
        <w:t xml:space="preserve"> que para el caso de no hacerlo se declararía </w:t>
      </w:r>
      <w:r w:rsidR="001D45A1">
        <w:rPr>
          <w:rFonts w:ascii="Arial" w:eastAsia="Times New Roman" w:hAnsi="Arial" w:cs="Arial"/>
          <w:sz w:val="24"/>
          <w:szCs w:val="24"/>
          <w:lang w:val="es-ES_tradnl" w:eastAsia="es-ES"/>
        </w:rPr>
        <w:t>precluído</w:t>
      </w:r>
      <w:r>
        <w:rPr>
          <w:rFonts w:ascii="Arial" w:eastAsia="Times New Roman" w:hAnsi="Arial" w:cs="Arial"/>
          <w:sz w:val="24"/>
          <w:szCs w:val="24"/>
          <w:lang w:val="es-ES_tradnl" w:eastAsia="es-ES"/>
        </w:rPr>
        <w:t xml:space="preserve"> su derecho y se le tendría contestando la demanda en sentido afirmativo, salvo prueba en contrario </w:t>
      </w:r>
      <w:r>
        <w:rPr>
          <w:rFonts w:ascii="Arial" w:eastAsia="Times New Roman" w:hAnsi="Arial" w:cs="Arial"/>
          <w:sz w:val="24"/>
          <w:szCs w:val="24"/>
          <w:lang w:val="es-ES" w:eastAsia="es-ES"/>
        </w:rPr>
        <w:t>(fojas 76 y 77).</w:t>
      </w:r>
    </w:p>
    <w:p w:rsidR="00502263" w:rsidRDefault="00502263" w:rsidP="00502263">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dieciocho de junio de dos mil diecinueve, se tuvo a la </w:t>
      </w:r>
      <w:r>
        <w:rPr>
          <w:rFonts w:ascii="Arial" w:eastAsia="Times New Roman" w:hAnsi="Arial" w:cs="Arial"/>
          <w:b/>
          <w:sz w:val="24"/>
          <w:szCs w:val="24"/>
          <w:lang w:val="es-ES" w:eastAsia="es-ES"/>
        </w:rPr>
        <w:t xml:space="preserve">autoridad demandada </w:t>
      </w:r>
      <w:r>
        <w:rPr>
          <w:rFonts w:ascii="Arial" w:eastAsia="Times New Roman" w:hAnsi="Arial" w:cs="Arial"/>
          <w:bCs/>
          <w:sz w:val="24"/>
          <w:szCs w:val="24"/>
          <w:lang w:val="es-ES" w:eastAsia="es-ES"/>
        </w:rPr>
        <w:t xml:space="preserve">Directora de lo Contencioso de la Procuraduría Fiscal de la Subsecretaría de Ingresos de la Secretaría de Fianzas del Poder Ejecutivo del Estado, </w:t>
      </w:r>
      <w:r>
        <w:rPr>
          <w:rFonts w:ascii="Arial" w:eastAsia="Times New Roman" w:hAnsi="Arial" w:cs="Arial"/>
          <w:b/>
          <w:bCs/>
          <w:sz w:val="24"/>
          <w:szCs w:val="24"/>
          <w:lang w:val="es-ES" w:eastAsia="es-ES"/>
        </w:rPr>
        <w:t>contestando la demanda de nulidad</w:t>
      </w:r>
      <w:r>
        <w:rPr>
          <w:rFonts w:ascii="Arial" w:eastAsia="Times New Roman" w:hAnsi="Arial" w:cs="Arial"/>
          <w:bCs/>
          <w:sz w:val="24"/>
          <w:szCs w:val="24"/>
          <w:lang w:val="es-ES" w:eastAsia="es-ES"/>
        </w:rPr>
        <w:t>, haciendo</w:t>
      </w:r>
      <w:r>
        <w:rPr>
          <w:rFonts w:ascii="Arial" w:eastAsia="Times New Roman" w:hAnsi="Arial" w:cs="Arial"/>
          <w:sz w:val="24"/>
          <w:szCs w:val="24"/>
          <w:lang w:val="es-ES" w:eastAsia="es-ES"/>
        </w:rPr>
        <w:t xml:space="preserve"> valer sus excepciones y defensas, </w:t>
      </w:r>
      <w:r>
        <w:rPr>
          <w:rFonts w:ascii="Arial" w:eastAsia="Times New Roman" w:hAnsi="Arial" w:cs="Arial"/>
          <w:sz w:val="24"/>
          <w:szCs w:val="24"/>
          <w:lang w:val="es-ES_tradnl" w:eastAsia="es-ES"/>
        </w:rPr>
        <w:t>y por ofrecidas y admitidas sus pruebas, ordenándose correr traslado a la parte actora; y se fijó fecha y hora para la celebración de la Audiencia de Ley (foja 113 a 114).</w:t>
      </w:r>
    </w:p>
    <w:p w:rsidR="00502263" w:rsidRDefault="00502263" w:rsidP="0050226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El ocho de julio de dos mil diecinueve, se </w:t>
      </w:r>
      <w:r>
        <w:rPr>
          <w:rFonts w:ascii="Arial" w:eastAsia="Times New Roman" w:hAnsi="Arial" w:cs="Arial"/>
          <w:snapToGrid w:val="0"/>
          <w:sz w:val="24"/>
          <w:szCs w:val="24"/>
          <w:lang w:val="es-ES_tradnl" w:eastAsia="es-ES"/>
        </w:rPr>
        <w:t>declaró</w:t>
      </w:r>
      <w:r>
        <w:rPr>
          <w:rFonts w:ascii="Arial" w:eastAsia="Times New Roman" w:hAnsi="Arial" w:cs="Arial"/>
          <w:sz w:val="24"/>
          <w:szCs w:val="24"/>
          <w:lang w:eastAsia="es-ES"/>
        </w:rPr>
        <w:t xml:space="preserve"> abierta la audiencia de Ley, sin embargo, se suspendió la misma, toda vez que se hizo constar que el día cinco de julio del año próximo pasado, se recibieron dos escritos de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xml:space="preserve">, </w:t>
      </w:r>
      <w:r>
        <w:rPr>
          <w:rFonts w:ascii="Arial" w:eastAsia="Times New Roman" w:hAnsi="Arial" w:cs="Arial"/>
          <w:b/>
          <w:sz w:val="24"/>
          <w:szCs w:val="24"/>
          <w:lang w:eastAsia="es-ES"/>
        </w:rPr>
        <w:t xml:space="preserve">parte actora </w:t>
      </w:r>
      <w:r>
        <w:rPr>
          <w:rFonts w:ascii="Arial" w:eastAsia="Times New Roman" w:hAnsi="Arial" w:cs="Arial"/>
          <w:sz w:val="24"/>
          <w:szCs w:val="24"/>
          <w:lang w:eastAsia="es-ES"/>
        </w:rPr>
        <w:t xml:space="preserve"> en el presente juicio, por medio de los cuales, en el primer escrito interpuso recurso de revisión en contra del auto de dieciocho de junio de dos mil diecinueve, por lo que se ordenó mandar formar el cuaderno de </w:t>
      </w:r>
      <w:r>
        <w:rPr>
          <w:rFonts w:ascii="Arial" w:eastAsia="Times New Roman" w:hAnsi="Arial" w:cs="Arial"/>
          <w:sz w:val="24"/>
          <w:szCs w:val="24"/>
          <w:lang w:eastAsia="es-ES"/>
        </w:rPr>
        <w:lastRenderedPageBreak/>
        <w:t>revisión por separado, conforme a lo establecido en los artículos 236, fracción VIII, y 237, párrafos segundo y tercero de la Ley de Procedimiento y Justicia Administrativa para el Estado.</w:t>
      </w:r>
    </w:p>
    <w:p w:rsidR="00502263" w:rsidRDefault="00502263" w:rsidP="0050226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Respecto al segundo escrito de la </w:t>
      </w:r>
      <w:r>
        <w:rPr>
          <w:rFonts w:ascii="Arial" w:eastAsia="Times New Roman" w:hAnsi="Arial" w:cs="Arial"/>
          <w:b/>
          <w:sz w:val="24"/>
          <w:szCs w:val="24"/>
          <w:lang w:eastAsia="es-ES"/>
        </w:rPr>
        <w:t xml:space="preserve">parte actora </w:t>
      </w:r>
      <w:r>
        <w:rPr>
          <w:rFonts w:ascii="Arial" w:eastAsia="Times New Roman" w:hAnsi="Arial" w:cs="Arial"/>
          <w:sz w:val="24"/>
          <w:szCs w:val="24"/>
          <w:lang w:eastAsia="es-ES"/>
        </w:rPr>
        <w:t xml:space="preserve">se ordenó reservar la ampliación de su demanda de nulidad, hasta en tanto fuera resuelto el recurso de revisión </w:t>
      </w:r>
      <w:r w:rsidR="00A8250A">
        <w:rPr>
          <w:rFonts w:ascii="Arial" w:eastAsia="Times New Roman" w:hAnsi="Arial" w:cs="Arial"/>
          <w:sz w:val="24"/>
          <w:szCs w:val="24"/>
          <w:lang w:eastAsia="es-ES"/>
        </w:rPr>
        <w:t xml:space="preserve">por la Sala Superior de este Tribunal </w:t>
      </w:r>
      <w:r>
        <w:rPr>
          <w:rFonts w:ascii="Arial" w:eastAsia="Times New Roman" w:hAnsi="Arial" w:cs="Arial"/>
          <w:sz w:val="24"/>
          <w:szCs w:val="24"/>
          <w:lang w:eastAsia="es-ES"/>
        </w:rPr>
        <w:t>(foja 156).</w:t>
      </w:r>
    </w:p>
    <w:p w:rsidR="00502263"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Mediante proveído de dieciséis de enero de dos mil veinte, se recibió el oficio número </w:t>
      </w:r>
      <w:r>
        <w:rPr>
          <w:rFonts w:ascii="Arial" w:eastAsia="Times New Roman" w:hAnsi="Arial" w:cs="Arial"/>
          <w:b/>
          <w:sz w:val="24"/>
          <w:szCs w:val="24"/>
          <w:lang w:val="es-ES_tradnl" w:eastAsia="es-ES"/>
        </w:rPr>
        <w:t>TJAO/SGA/82/2020</w:t>
      </w:r>
      <w:r>
        <w:rPr>
          <w:rFonts w:ascii="Arial" w:eastAsia="Times New Roman" w:hAnsi="Arial" w:cs="Arial"/>
          <w:sz w:val="24"/>
          <w:szCs w:val="24"/>
          <w:lang w:val="es-ES_tradnl" w:eastAsia="es-ES"/>
        </w:rPr>
        <w:t xml:space="preserve">, suscrito por la Secretaria General de Acuerdos de este Tribunal, mediante el cual remitió copia simple del acuerdo de cuatro de diciembre de dos mil diecinueve, en el que la entonces Magistrada Presidenta de este Tribunal, determinó sobreseer el recurso de revisión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toda vez que la </w:t>
      </w:r>
      <w:r>
        <w:rPr>
          <w:rFonts w:ascii="Arial" w:eastAsia="Times New Roman" w:hAnsi="Arial" w:cs="Arial"/>
          <w:b/>
          <w:sz w:val="24"/>
          <w:szCs w:val="24"/>
          <w:lang w:val="es-ES_tradnl" w:eastAsia="es-ES"/>
        </w:rPr>
        <w:t>parte actora</w:t>
      </w:r>
      <w:r>
        <w:rPr>
          <w:rFonts w:ascii="Arial" w:eastAsia="Times New Roman" w:hAnsi="Arial" w:cs="Arial"/>
          <w:sz w:val="24"/>
          <w:szCs w:val="24"/>
          <w:lang w:val="es-ES_tradnl" w:eastAsia="es-ES"/>
        </w:rPr>
        <w:t>, ratificó su escrito de desistimiento, en el que manifestó su deseo de no continuar con el trámite del citado recurso de revisión.</w:t>
      </w:r>
    </w:p>
    <w:p w:rsidR="00502263"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en cumplimiento al auto de ocho de julio de dos mil diecinueve, se tuvo a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 en tiempo ampliando su demanda de nulidad, respecto de la contestación de demanda de la autoridad demandada; motivo por el cual, se ordenó correrle traslado a la Directora de lo Contencioso de la Procuraduría Fiscal de la Subsecretaría de Ingresos de la Secretaría de Finanzas del Poder Ejecutivo del Estado, para que en el término de cinco días hábiles contados a partir del día hábil siguiente aquel en que surtiera efectos su notificación, diera contestación a la ampliación de la demanda de nulidad, apercibida, que para el caso de omisión, se declararía precluído su derecho; lo anterior, de conformidad con lo establecido por los artículos 183, cuarto párrafo y 187 de la Ley de Procedimiento y Justicia Administrativa para el Estado (foja 161).</w:t>
      </w:r>
    </w:p>
    <w:p w:rsidR="00502263"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1D45A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Por auto de catorce de febrero de dos mil veinte, se tuvo al director de lo Contencioso de la Procuraduría Fiscal, dependiente de la Subsecretaría de Ingresos de la Secretaría de Finanzas del Poder Ejecutivo del Estado, en tiempo contestando la ampliación de la demanda de nulidad de la parte actora, haciendo valer sus argumentos y defensas, sin ofrecer prueba alguna de su parte; por lo tanto, se fijaron las once horas del día veinticuatro de marzo de dos mil veinte, para que tuviera verificativo la audiencia de ley  (foja 173).</w:t>
      </w:r>
    </w:p>
    <w:p w:rsidR="00502263"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Por auto de diez de agosto dos mil veinte, en cumplimiento acuerdos generales </w:t>
      </w:r>
      <w:r>
        <w:rPr>
          <w:rFonts w:ascii="Arial" w:eastAsia="Times New Roman" w:hAnsi="Arial" w:cs="Arial"/>
          <w:b/>
          <w:sz w:val="24"/>
          <w:szCs w:val="24"/>
          <w:lang w:val="es-ES_tradnl" w:eastAsia="es-ES"/>
        </w:rPr>
        <w:t>AG/TJA/04/2020, AG/TJA/05/2020</w:t>
      </w:r>
      <w:r>
        <w:rPr>
          <w:rFonts w:ascii="Arial" w:eastAsia="Times New Roman" w:hAnsi="Arial" w:cs="Arial"/>
          <w:sz w:val="24"/>
          <w:szCs w:val="24"/>
          <w:lang w:val="es-ES_tradnl" w:eastAsia="es-ES"/>
        </w:rPr>
        <w:t xml:space="preserve">, y </w:t>
      </w:r>
      <w:r>
        <w:rPr>
          <w:rFonts w:ascii="Arial" w:eastAsia="Times New Roman" w:hAnsi="Arial" w:cs="Arial"/>
          <w:b/>
          <w:sz w:val="24"/>
          <w:szCs w:val="24"/>
          <w:lang w:val="es-ES_tradnl" w:eastAsia="es-ES"/>
        </w:rPr>
        <w:t>AG/TJA/06/2020</w:t>
      </w:r>
      <w:r>
        <w:rPr>
          <w:rFonts w:ascii="Arial" w:eastAsia="Times New Roman" w:hAnsi="Arial" w:cs="Arial"/>
          <w:sz w:val="24"/>
          <w:szCs w:val="24"/>
          <w:lang w:val="es-ES_tradnl" w:eastAsia="es-ES"/>
        </w:rPr>
        <w:t xml:space="preserve">, emitidos por el Pleno de este Tribunal, se ordenó la suspensión de las labores del diecinueve de marzo al treinta y uno de mayo de dos mil veinte, con motivo de la emergencia sanitaria generada por el SARS-Cov-2 (COVID-19); </w:t>
      </w:r>
      <w:r w:rsidR="00B46298">
        <w:rPr>
          <w:rFonts w:ascii="Arial" w:eastAsia="Times New Roman" w:hAnsi="Arial" w:cs="Arial"/>
          <w:sz w:val="24"/>
          <w:szCs w:val="24"/>
          <w:lang w:val="es-ES_tradnl" w:eastAsia="es-ES"/>
        </w:rPr>
        <w:t>ordenándose</w:t>
      </w:r>
      <w:r>
        <w:rPr>
          <w:rFonts w:ascii="Arial" w:eastAsia="Times New Roman" w:hAnsi="Arial" w:cs="Arial"/>
          <w:sz w:val="24"/>
          <w:szCs w:val="24"/>
          <w:lang w:val="es-ES_tradnl" w:eastAsia="es-ES"/>
        </w:rPr>
        <w:t xml:space="preserve"> la suspensión de la audiencia de ley señalada para las once horas del día veinticuatro de dos mil veinte; señalándose como nueva fecha y hora el uno de septiembre del presente año, para la celebración de la Audiencia de Ley (177).</w:t>
      </w:r>
    </w:p>
    <w:p w:rsidR="001D45A1"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 xml:space="preserve">SÉPTIMO. </w:t>
      </w:r>
      <w:r>
        <w:rPr>
          <w:rFonts w:ascii="Arial" w:eastAsia="Times New Roman" w:hAnsi="Arial" w:cs="Arial"/>
          <w:sz w:val="24"/>
          <w:szCs w:val="24"/>
          <w:lang w:val="es-ES_tradnl" w:eastAsia="es-ES"/>
        </w:rPr>
        <w:t xml:space="preserve">El uno de septiembre de dos mil veinte, se </w:t>
      </w:r>
      <w:r>
        <w:rPr>
          <w:rFonts w:ascii="Arial" w:eastAsia="Times New Roman" w:hAnsi="Arial" w:cs="Arial"/>
          <w:snapToGrid w:val="0"/>
          <w:sz w:val="24"/>
          <w:szCs w:val="24"/>
          <w:lang w:val="es-ES_tradnl" w:eastAsia="es-ES"/>
        </w:rPr>
        <w:t>declaró</w:t>
      </w:r>
      <w:r>
        <w:rPr>
          <w:rFonts w:ascii="Arial" w:eastAsia="Times New Roman" w:hAnsi="Arial" w:cs="Arial"/>
          <w:sz w:val="24"/>
          <w:szCs w:val="24"/>
          <w:lang w:eastAsia="es-ES"/>
        </w:rPr>
        <w:t xml:space="preserve"> abierta la </w:t>
      </w:r>
      <w:r w:rsidRPr="001D45A1">
        <w:rPr>
          <w:rFonts w:ascii="Arial" w:eastAsia="Times New Roman" w:hAnsi="Arial" w:cs="Arial"/>
          <w:sz w:val="24"/>
          <w:szCs w:val="24"/>
          <w:lang w:eastAsia="es-ES"/>
        </w:rPr>
        <w:t>audiencia de Ley, en la que no comparecieron las partes, ni persona alguna que</w:t>
      </w:r>
      <w:r>
        <w:rPr>
          <w:rFonts w:ascii="Arial" w:eastAsia="Times New Roman" w:hAnsi="Arial" w:cs="Arial"/>
          <w:sz w:val="24"/>
          <w:szCs w:val="24"/>
          <w:lang w:eastAsia="es-ES"/>
        </w:rPr>
        <w:t xml:space="preserve"> legalmente las representara, ni se formularon alegatos, por lo que se citó a las partes p</w:t>
      </w:r>
      <w:r>
        <w:rPr>
          <w:rFonts w:ascii="Arial" w:eastAsia="Times New Roman" w:hAnsi="Arial" w:cs="Arial"/>
          <w:sz w:val="24"/>
          <w:szCs w:val="24"/>
          <w:lang w:val="es-ES_tradnl" w:eastAsia="es-ES"/>
        </w:rPr>
        <w:t xml:space="preserve">ara oír sentencia, misma que se dicta dentro del término que establece el artículo 205 de la Ley de Procedimiento y Justicia Administrativa para el Estado (foja </w:t>
      </w:r>
      <w:r w:rsidR="007E2808">
        <w:rPr>
          <w:rFonts w:ascii="Arial" w:eastAsia="Times New Roman" w:hAnsi="Arial" w:cs="Arial"/>
          <w:sz w:val="24"/>
          <w:szCs w:val="24"/>
          <w:lang w:val="es-ES_tradnl" w:eastAsia="es-ES"/>
        </w:rPr>
        <w:t>184</w:t>
      </w:r>
      <w:r>
        <w:rPr>
          <w:rFonts w:ascii="Arial" w:eastAsia="Times New Roman" w:hAnsi="Arial" w:cs="Arial"/>
          <w:sz w:val="24"/>
          <w:szCs w:val="24"/>
          <w:lang w:val="es-ES_tradnl" w:eastAsia="es-ES"/>
        </w:rPr>
        <w:t>)</w:t>
      </w:r>
      <w:r w:rsidR="00654933">
        <w:rPr>
          <w:rFonts w:ascii="Arial" w:eastAsia="Times New Roman" w:hAnsi="Arial" w:cs="Arial"/>
          <w:sz w:val="24"/>
          <w:szCs w:val="24"/>
          <w:lang w:val="es-ES_tradnl" w:eastAsia="es-ES"/>
        </w:rPr>
        <w:t>, y:</w:t>
      </w:r>
      <w:r>
        <w:rPr>
          <w:rFonts w:ascii="Arial" w:eastAsia="Times New Roman" w:hAnsi="Arial" w:cs="Arial"/>
          <w:sz w:val="24"/>
          <w:szCs w:val="24"/>
          <w:lang w:val="es-ES_tradnl" w:eastAsia="es-ES"/>
        </w:rPr>
        <w:t xml:space="preserve"> - - - - - - - - </w:t>
      </w:r>
      <w:r w:rsidR="001D45A1">
        <w:rPr>
          <w:rFonts w:ascii="Arial" w:eastAsia="Times New Roman" w:hAnsi="Arial" w:cs="Arial"/>
          <w:sz w:val="24"/>
          <w:szCs w:val="24"/>
          <w:lang w:val="es-ES_tradnl" w:eastAsia="es-ES"/>
        </w:rPr>
        <w:t>- - - - - - - - - - - - - - - - - - - - - - - - - - - - -</w:t>
      </w:r>
      <w:r w:rsidR="00654933">
        <w:rPr>
          <w:rFonts w:ascii="Arial" w:eastAsia="Times New Roman" w:hAnsi="Arial" w:cs="Arial"/>
          <w:sz w:val="24"/>
          <w:szCs w:val="24"/>
          <w:lang w:val="es-ES_tradnl" w:eastAsia="es-ES"/>
        </w:rPr>
        <w:t xml:space="preserve"> - - - - - - - - - - - - - - </w:t>
      </w:r>
    </w:p>
    <w:p w:rsidR="00502263" w:rsidRDefault="00502263" w:rsidP="00502263">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rsidR="00502263" w:rsidRDefault="00502263" w:rsidP="00502263">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02263" w:rsidRDefault="00502263" w:rsidP="005022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Ahora bien, en virtud de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este juzgador procede a su estudio, que es preferente, de orden público y de análisis oficioso.</w:t>
      </w:r>
    </w:p>
    <w:p w:rsidR="00502263" w:rsidRDefault="00502263" w:rsidP="00502263">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rsidR="00502263" w:rsidRDefault="00502263" w:rsidP="00502263">
      <w:pPr>
        <w:spacing w:after="0" w:line="240" w:lineRule="auto"/>
        <w:ind w:left="851" w:right="283"/>
        <w:jc w:val="both"/>
        <w:rPr>
          <w:rFonts w:ascii="Arial" w:hAnsi="Arial" w:cs="Arial"/>
          <w:i/>
          <w:sz w:val="21"/>
          <w:szCs w:val="21"/>
        </w:rPr>
      </w:pPr>
      <w:r>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Pr>
          <w:rFonts w:ascii="Arial" w:hAnsi="Arial" w:cs="Arial"/>
          <w:i/>
          <w:sz w:val="21"/>
          <w:szCs w:val="21"/>
        </w:rPr>
        <w:lastRenderedPageBreak/>
        <w:t>autoridad demandada sí tenía competencia para emitir la resolución o acto impugnado en el juicio de nulidad.”</w:t>
      </w:r>
    </w:p>
    <w:p w:rsidR="00502263" w:rsidRDefault="00502263" w:rsidP="00502263">
      <w:pPr>
        <w:spacing w:after="0" w:line="240" w:lineRule="auto"/>
        <w:ind w:left="851" w:right="283"/>
        <w:jc w:val="both"/>
        <w:rPr>
          <w:rFonts w:ascii="Arial" w:hAnsi="Arial" w:cs="Arial"/>
          <w:i/>
          <w:sz w:val="21"/>
          <w:szCs w:val="21"/>
        </w:rPr>
      </w:pPr>
    </w:p>
    <w:p w:rsidR="00502263" w:rsidRDefault="00502263" w:rsidP="00502263">
      <w:pPr>
        <w:spacing w:line="360" w:lineRule="auto"/>
        <w:ind w:right="51" w:firstLine="567"/>
        <w:jc w:val="both"/>
        <w:rPr>
          <w:rFonts w:ascii="Arial" w:eastAsia="Times New Roman" w:hAnsi="Arial" w:cs="Arial"/>
          <w:sz w:val="24"/>
          <w:szCs w:val="24"/>
          <w:lang w:val="es-ES"/>
        </w:rPr>
      </w:pPr>
      <w:r>
        <w:rPr>
          <w:rFonts w:ascii="Arial" w:hAnsi="Arial" w:cs="Arial"/>
          <w:sz w:val="24"/>
          <w:szCs w:val="24"/>
        </w:rPr>
        <w:t xml:space="preserve">En cumplimiento a la jurisprudencia citada, este órgano jurisdiccional procede al análisis del acto impugnado, consistente en la resolución contenida </w:t>
      </w:r>
      <w:r>
        <w:rPr>
          <w:rFonts w:ascii="Arial" w:eastAsia="Times New Roman" w:hAnsi="Arial" w:cs="Arial"/>
          <w:sz w:val="24"/>
          <w:szCs w:val="24"/>
          <w:lang w:val="es-ES"/>
        </w:rPr>
        <w:t xml:space="preserve">en el oficio con número de control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de diecinueve de febrero de dos mil diecinueve, </w:t>
      </w:r>
      <w:r>
        <w:rPr>
          <w:rFonts w:ascii="Arial" w:hAnsi="Arial" w:cs="Arial"/>
          <w:sz w:val="24"/>
        </w:rPr>
        <w:t xml:space="preserve">en la cual se le impone a la parte actora una multa por el importe de $4,224.00 (cuatro mil doscientos veinticuatro 00/100 m.n.), </w:t>
      </w:r>
      <w:r>
        <w:rPr>
          <w:rFonts w:ascii="Arial" w:hAnsi="Arial" w:cs="Arial"/>
          <w:b/>
          <w:bCs/>
          <w:sz w:val="24"/>
        </w:rPr>
        <w:t>al haber omitido presentar las declaraciones del impuesto sobre erogaciones por remuneraciones al trabajo personal</w:t>
      </w:r>
      <w:r>
        <w:rPr>
          <w:rFonts w:ascii="Arial" w:hAnsi="Arial" w:cs="Arial"/>
          <w:bCs/>
          <w:sz w:val="24"/>
        </w:rPr>
        <w:t>, en los términos del artículo 269 fracción I, del Código Fiscal para el Estado.</w:t>
      </w:r>
    </w:p>
    <w:p w:rsidR="00502263" w:rsidRDefault="00502263" w:rsidP="00502263">
      <w:pPr>
        <w:spacing w:line="360" w:lineRule="auto"/>
        <w:ind w:right="51" w:firstLine="567"/>
        <w:jc w:val="both"/>
        <w:rPr>
          <w:rFonts w:ascii="Arial" w:hAnsi="Arial" w:cs="Arial"/>
          <w:sz w:val="24"/>
        </w:rPr>
      </w:pPr>
      <w:r>
        <w:rPr>
          <w:rFonts w:ascii="Arial" w:hAnsi="Arial" w:cs="Arial"/>
          <w:sz w:val="24"/>
        </w:rPr>
        <w:t>Por lo que se transcribe la parte del acto impugnado que aquí interesa:</w:t>
      </w:r>
    </w:p>
    <w:p w:rsidR="00502263" w:rsidRDefault="00502263" w:rsidP="00502263">
      <w:pPr>
        <w:pStyle w:val="Textoindependienteprimerasangra"/>
        <w:spacing w:line="240" w:lineRule="auto"/>
        <w:ind w:left="567" w:firstLine="567"/>
        <w:jc w:val="center"/>
        <w:rPr>
          <w:rFonts w:ascii="Arial" w:hAnsi="Arial" w:cs="Arial"/>
          <w:i/>
          <w:sz w:val="20"/>
          <w:szCs w:val="20"/>
        </w:rPr>
      </w:pPr>
      <w:r>
        <w:rPr>
          <w:rFonts w:ascii="Arial" w:hAnsi="Arial" w:cs="Arial"/>
          <w:i/>
          <w:sz w:val="20"/>
          <w:szCs w:val="20"/>
        </w:rPr>
        <w:t>“…MULTA POR INFRACCIÓN RELACIONADA CON LA PRESENTACIÓN DE DECLARACIONES DEL IMPUESTO SOBRE EROGACIONES POR REMUNERACIONES AL TRABAJO PERSONAL</w:t>
      </w:r>
    </w:p>
    <w:p w:rsidR="00502263" w:rsidRDefault="00502263" w:rsidP="00502263">
      <w:pPr>
        <w:pStyle w:val="Textoindependienteprimerasangra"/>
        <w:spacing w:line="240" w:lineRule="auto"/>
        <w:ind w:left="567" w:firstLine="567"/>
        <w:jc w:val="center"/>
        <w:rPr>
          <w:rFonts w:ascii="Arial" w:hAnsi="Arial" w:cs="Arial"/>
          <w:i/>
          <w:sz w:val="20"/>
          <w:szCs w:val="20"/>
        </w:rPr>
      </w:pPr>
    </w:p>
    <w:p w:rsidR="00502263" w:rsidRDefault="00502263" w:rsidP="00502263">
      <w:pPr>
        <w:pStyle w:val="Textoindependienteprimerasangra"/>
        <w:spacing w:line="360" w:lineRule="auto"/>
        <w:ind w:left="567" w:firstLine="567"/>
        <w:jc w:val="right"/>
        <w:rPr>
          <w:rFonts w:ascii="Arial" w:hAnsi="Arial" w:cs="Arial"/>
          <w:i/>
          <w:sz w:val="20"/>
          <w:szCs w:val="20"/>
        </w:rPr>
      </w:pPr>
      <w:r>
        <w:rPr>
          <w:rFonts w:ascii="Arial" w:hAnsi="Arial" w:cs="Arial"/>
          <w:i/>
          <w:sz w:val="20"/>
          <w:szCs w:val="20"/>
        </w:rPr>
        <w:t xml:space="preserve">Reyes Mantecón, San Bartolo Coyotepec, Oax., a 19 de febrero de 2019 </w:t>
      </w:r>
    </w:p>
    <w:p w:rsidR="00502263" w:rsidRDefault="00502263" w:rsidP="00502263">
      <w:pPr>
        <w:pStyle w:val="Sinespaciado"/>
        <w:ind w:left="567"/>
        <w:jc w:val="right"/>
        <w:rPr>
          <w:rFonts w:ascii="Arial" w:hAnsi="Arial" w:cs="Arial"/>
          <w:b/>
          <w:i/>
          <w:sz w:val="20"/>
          <w:szCs w:val="20"/>
        </w:rPr>
      </w:pPr>
      <w:r>
        <w:rPr>
          <w:rFonts w:ascii="Arial" w:hAnsi="Arial" w:cs="Arial"/>
          <w:i/>
          <w:sz w:val="20"/>
          <w:szCs w:val="20"/>
        </w:rPr>
        <w:t xml:space="preserve">Número de control: </w:t>
      </w:r>
      <w:r w:rsidR="00CF5059">
        <w:rPr>
          <w:rFonts w:ascii="Arial" w:eastAsia="Times New Roman" w:hAnsi="Arial" w:cs="Arial"/>
          <w:bCs/>
          <w:iCs/>
          <w:caps/>
          <w:kern w:val="2"/>
          <w:sz w:val="21"/>
          <w:szCs w:val="21"/>
          <w:lang w:val="es-ES_tradnl" w:eastAsia="es-ES"/>
        </w:rPr>
        <w:t>**********</w:t>
      </w:r>
    </w:p>
    <w:p w:rsidR="00502263" w:rsidRDefault="00502263" w:rsidP="00502263">
      <w:pPr>
        <w:pStyle w:val="Sinespaciado"/>
        <w:ind w:left="567"/>
        <w:jc w:val="right"/>
        <w:rPr>
          <w:rFonts w:ascii="Arial" w:hAnsi="Arial" w:cs="Arial"/>
          <w:i/>
          <w:sz w:val="20"/>
          <w:szCs w:val="20"/>
        </w:rPr>
      </w:pPr>
    </w:p>
    <w:p w:rsidR="00502263" w:rsidRDefault="00502263" w:rsidP="00502263">
      <w:pPr>
        <w:pStyle w:val="Sinespaciado"/>
        <w:ind w:left="567"/>
        <w:rPr>
          <w:rFonts w:ascii="Arial" w:hAnsi="Arial" w:cs="Arial"/>
          <w:b/>
          <w:i/>
          <w:sz w:val="20"/>
          <w:szCs w:val="20"/>
        </w:rPr>
      </w:pPr>
    </w:p>
    <w:p w:rsidR="00502263" w:rsidRDefault="00502263" w:rsidP="00502263">
      <w:pPr>
        <w:pStyle w:val="Sinespaciado"/>
        <w:ind w:left="567"/>
        <w:rPr>
          <w:rFonts w:ascii="Arial" w:hAnsi="Arial" w:cs="Arial"/>
          <w:i/>
          <w:sz w:val="20"/>
          <w:szCs w:val="20"/>
        </w:rPr>
      </w:pPr>
      <w:r>
        <w:rPr>
          <w:rFonts w:ascii="Arial" w:hAnsi="Arial" w:cs="Arial"/>
          <w:b/>
          <w:i/>
          <w:sz w:val="20"/>
          <w:szCs w:val="20"/>
        </w:rPr>
        <w:t>Nombre:</w:t>
      </w:r>
      <w:r>
        <w:rPr>
          <w:rFonts w:ascii="Arial" w:hAnsi="Arial" w:cs="Arial"/>
          <w:i/>
          <w:sz w:val="20"/>
          <w:szCs w:val="20"/>
        </w:rPr>
        <w:t xml:space="preserve"> </w:t>
      </w:r>
      <w:r w:rsidR="00CF5059">
        <w:rPr>
          <w:rFonts w:ascii="Arial" w:eastAsia="Times New Roman" w:hAnsi="Arial" w:cs="Arial"/>
          <w:bCs/>
          <w:iCs/>
          <w:caps/>
          <w:kern w:val="2"/>
          <w:sz w:val="21"/>
          <w:szCs w:val="21"/>
          <w:lang w:val="es-ES_tradnl" w:eastAsia="es-ES"/>
        </w:rPr>
        <w:t>**********</w:t>
      </w:r>
    </w:p>
    <w:p w:rsidR="00502263" w:rsidRDefault="00502263" w:rsidP="00502263">
      <w:pPr>
        <w:pStyle w:val="Sinespaciado"/>
        <w:ind w:left="567"/>
        <w:rPr>
          <w:rFonts w:ascii="Arial" w:hAnsi="Arial" w:cs="Arial"/>
          <w:i/>
          <w:sz w:val="20"/>
          <w:szCs w:val="20"/>
        </w:rPr>
      </w:pPr>
      <w:r>
        <w:rPr>
          <w:rFonts w:ascii="Arial" w:hAnsi="Arial" w:cs="Arial"/>
          <w:b/>
          <w:i/>
          <w:sz w:val="20"/>
          <w:szCs w:val="20"/>
        </w:rPr>
        <w:t>R.F.C</w:t>
      </w:r>
      <w:r>
        <w:rPr>
          <w:rFonts w:ascii="Arial" w:hAnsi="Arial" w:cs="Arial"/>
          <w:i/>
          <w:sz w:val="20"/>
          <w:szCs w:val="20"/>
        </w:rPr>
        <w:t xml:space="preserve">. </w:t>
      </w:r>
    </w:p>
    <w:p w:rsidR="00502263" w:rsidRDefault="00502263" w:rsidP="00502263">
      <w:pPr>
        <w:pStyle w:val="Sinespaciado"/>
        <w:ind w:left="567"/>
        <w:rPr>
          <w:rFonts w:ascii="Arial" w:hAnsi="Arial" w:cs="Arial"/>
          <w:i/>
          <w:sz w:val="20"/>
          <w:szCs w:val="20"/>
        </w:rPr>
      </w:pPr>
      <w:r>
        <w:rPr>
          <w:rFonts w:ascii="Arial" w:hAnsi="Arial" w:cs="Arial"/>
          <w:b/>
          <w:i/>
          <w:sz w:val="20"/>
          <w:szCs w:val="20"/>
        </w:rPr>
        <w:t>Domicilio:</w:t>
      </w:r>
      <w:r>
        <w:rPr>
          <w:rFonts w:ascii="Arial" w:hAnsi="Arial" w:cs="Arial"/>
          <w:i/>
          <w:sz w:val="20"/>
          <w:szCs w:val="20"/>
        </w:rPr>
        <w:t xml:space="preserve"> </w:t>
      </w:r>
      <w:r w:rsidR="00CF5059">
        <w:rPr>
          <w:rFonts w:ascii="Arial" w:eastAsia="Times New Roman" w:hAnsi="Arial" w:cs="Arial"/>
          <w:bCs/>
          <w:iCs/>
          <w:caps/>
          <w:kern w:val="2"/>
          <w:sz w:val="21"/>
          <w:szCs w:val="21"/>
          <w:lang w:val="es-ES_tradnl" w:eastAsia="es-ES"/>
        </w:rPr>
        <w:t>**********</w:t>
      </w:r>
      <w:r w:rsidR="00CF5059">
        <w:rPr>
          <w:rFonts w:ascii="Arial" w:eastAsia="Times New Roman" w:hAnsi="Arial" w:cs="Arial"/>
          <w:bCs/>
          <w:iCs/>
          <w:caps/>
          <w:kern w:val="2"/>
          <w:sz w:val="21"/>
          <w:szCs w:val="21"/>
          <w:lang w:val="es-ES_tradnl" w:eastAsia="es-ES"/>
        </w:rPr>
        <w:t xml:space="preserve"> </w:t>
      </w:r>
      <w:r>
        <w:rPr>
          <w:rFonts w:ascii="Arial" w:hAnsi="Arial" w:cs="Arial"/>
          <w:i/>
          <w:sz w:val="20"/>
          <w:szCs w:val="20"/>
        </w:rPr>
        <w:t xml:space="preserve">Núm. Ext. </w:t>
      </w:r>
      <w:r w:rsidR="00CF5059">
        <w:rPr>
          <w:rFonts w:ascii="Arial" w:eastAsia="Times New Roman" w:hAnsi="Arial" w:cs="Arial"/>
          <w:bCs/>
          <w:iCs/>
          <w:caps/>
          <w:kern w:val="2"/>
          <w:sz w:val="21"/>
          <w:szCs w:val="21"/>
          <w:lang w:val="es-ES_tradnl" w:eastAsia="es-ES"/>
        </w:rPr>
        <w:t>**********</w:t>
      </w:r>
    </w:p>
    <w:p w:rsidR="00502263" w:rsidRDefault="00502263" w:rsidP="00502263">
      <w:pPr>
        <w:pStyle w:val="Sinespaciado"/>
        <w:ind w:left="567"/>
        <w:rPr>
          <w:rFonts w:ascii="Arial" w:hAnsi="Arial" w:cs="Arial"/>
          <w:i/>
          <w:sz w:val="20"/>
          <w:szCs w:val="20"/>
        </w:rPr>
      </w:pPr>
      <w:r>
        <w:rPr>
          <w:rFonts w:ascii="Arial" w:hAnsi="Arial" w:cs="Arial"/>
          <w:b/>
          <w:i/>
          <w:sz w:val="20"/>
          <w:szCs w:val="20"/>
        </w:rPr>
        <w:t>Colonia:</w:t>
      </w:r>
      <w:r>
        <w:rPr>
          <w:rFonts w:ascii="Arial" w:hAnsi="Arial" w:cs="Arial"/>
          <w:i/>
          <w:sz w:val="20"/>
          <w:szCs w:val="20"/>
        </w:rPr>
        <w:t xml:space="preserve"> CENTRO/ </w:t>
      </w:r>
      <w:r>
        <w:rPr>
          <w:rFonts w:ascii="Arial" w:hAnsi="Arial" w:cs="Arial"/>
          <w:b/>
          <w:i/>
          <w:sz w:val="20"/>
          <w:szCs w:val="20"/>
        </w:rPr>
        <w:t>Localidad:</w:t>
      </w:r>
      <w:r>
        <w:rPr>
          <w:rFonts w:ascii="Arial" w:hAnsi="Arial" w:cs="Arial"/>
          <w:i/>
          <w:sz w:val="20"/>
          <w:szCs w:val="20"/>
        </w:rPr>
        <w:t xml:space="preserve"> OAXACA DE JUÁREZ </w:t>
      </w:r>
      <w:r>
        <w:rPr>
          <w:rFonts w:ascii="Arial" w:hAnsi="Arial" w:cs="Arial"/>
          <w:b/>
          <w:i/>
          <w:sz w:val="20"/>
          <w:szCs w:val="20"/>
        </w:rPr>
        <w:t>Municipio:</w:t>
      </w:r>
      <w:r>
        <w:rPr>
          <w:rFonts w:ascii="Arial" w:hAnsi="Arial" w:cs="Arial"/>
          <w:i/>
          <w:sz w:val="20"/>
          <w:szCs w:val="20"/>
        </w:rPr>
        <w:t xml:space="preserve"> OAXACA DE JUÁREZ. | </w:t>
      </w:r>
      <w:r>
        <w:rPr>
          <w:rFonts w:ascii="Arial" w:hAnsi="Arial" w:cs="Arial"/>
          <w:b/>
          <w:i/>
          <w:sz w:val="20"/>
          <w:szCs w:val="20"/>
        </w:rPr>
        <w:t xml:space="preserve">C.P.: </w:t>
      </w:r>
      <w:r>
        <w:rPr>
          <w:rFonts w:ascii="Arial" w:hAnsi="Arial" w:cs="Arial"/>
          <w:i/>
          <w:sz w:val="20"/>
          <w:szCs w:val="20"/>
        </w:rPr>
        <w:t>68000</w:t>
      </w:r>
    </w:p>
    <w:p w:rsidR="00502263" w:rsidRDefault="00502263" w:rsidP="00502263">
      <w:pPr>
        <w:pStyle w:val="Sinespaciado"/>
        <w:ind w:left="567"/>
        <w:rPr>
          <w:rFonts w:ascii="Arial" w:hAnsi="Arial" w:cs="Arial"/>
          <w:bCs/>
          <w:i/>
          <w:sz w:val="20"/>
          <w:szCs w:val="20"/>
        </w:rPr>
      </w:pPr>
    </w:p>
    <w:p w:rsidR="00502263" w:rsidRDefault="00502263" w:rsidP="00502263">
      <w:pPr>
        <w:pStyle w:val="Textoindependienteprimerasangra"/>
        <w:spacing w:after="0" w:line="360" w:lineRule="auto"/>
        <w:ind w:left="567" w:firstLine="567"/>
        <w:jc w:val="both"/>
        <w:rPr>
          <w:rFonts w:ascii="Arial" w:hAnsi="Arial" w:cs="Arial"/>
          <w:i/>
          <w:sz w:val="20"/>
          <w:szCs w:val="20"/>
        </w:rPr>
      </w:pPr>
      <w:r>
        <w:rPr>
          <w:rFonts w:ascii="Arial" w:hAnsi="Arial" w:cs="Arial"/>
          <w:i/>
          <w:sz w:val="20"/>
          <w:szCs w:val="20"/>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3 fracción I, 27 fracción XII, 45 fracciones XI, XIII, XX, XXI, XXVIII, XXXVII y LIX de la Ley Orgánica del Poder Ejecutivo del Estado de Oaxaca vigente; 1 primer párrafo, 3, 4, 5 fracciones II y VII, 7 fracción VI, 19, 32, 39, 61 primer párrafo, 64 primer y quinto párrafos, 122 y 268 fracción I del Código Fiscal para el Estado de Oaxaca vigente; 59, 60 y 61 del Reglamento del Código Fiscal para el Estado de Oaxaca vigente, 63, 64, 65 y 66 de la Ley Estatal de Hacienda vigente;  1, 2, 4 fracción III inciso a), 5, 31 fracciones VI, VIII y XLII del Reglamento Interno de la Secretaría de Finanzas del Poder Ejecutivo del Estado vigente (…)”</w:t>
      </w:r>
    </w:p>
    <w:p w:rsidR="00502263" w:rsidRDefault="00502263" w:rsidP="00502263">
      <w:pPr>
        <w:pStyle w:val="Textoindependienteprimerasangra"/>
        <w:spacing w:after="0" w:line="360" w:lineRule="auto"/>
        <w:ind w:firstLine="567"/>
        <w:jc w:val="both"/>
        <w:rPr>
          <w:rFonts w:ascii="Arial" w:hAnsi="Arial" w:cs="Arial"/>
          <w:i/>
          <w:sz w:val="20"/>
          <w:szCs w:val="20"/>
        </w:rPr>
      </w:pP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se advierte que la autoridad demandada fundó su competencia en las disposiciones contenidas en la Constitución Política del Estado Libre y Soberano de Oaxaca, en la Ley Orgánica del Poder Ejecutivo del Estado, en el Código Fiscal para el Estado, en el Reglamento del Código Fiscal para el Estado, en la Ley Estatal de Hacienda y en el Reglamento Interno de la Secretaría de Finanzas del Poder Ejecutivo. </w:t>
      </w: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artículo 1 primero primer y segundo párrafo, fracción XXIX, inciso a), del acuerdo por el que se establece la circunscripción territorial de la Secretaría de Finanzas del Poder Ejecutivo del Estado, de sus centros integrales y sus módulos de atención al contribuyente en el Estado, </w:t>
      </w:r>
      <w:r>
        <w:rPr>
          <w:rFonts w:ascii="Arial" w:eastAsia="Times New Roman" w:hAnsi="Arial" w:cs="Arial"/>
          <w:b/>
          <w:sz w:val="24"/>
          <w:szCs w:val="24"/>
          <w:lang w:val="es-ES"/>
        </w:rPr>
        <w:t xml:space="preserve">publicado el día treinta </w:t>
      </w:r>
      <w:r>
        <w:rPr>
          <w:rFonts w:ascii="Arial" w:eastAsia="Times New Roman" w:hAnsi="Arial" w:cs="Arial"/>
          <w:b/>
          <w:sz w:val="24"/>
          <w:szCs w:val="24"/>
          <w:lang w:val="es-ES"/>
        </w:rPr>
        <w:lastRenderedPageBreak/>
        <w:t>de junio de dos mil dieciocho, en el Extra del Periódico Oficial del Estado</w:t>
      </w:r>
      <w:r>
        <w:rPr>
          <w:rFonts w:ascii="Arial" w:eastAsia="Times New Roman" w:hAnsi="Arial" w:cs="Arial"/>
          <w:sz w:val="24"/>
          <w:szCs w:val="24"/>
          <w:lang w:val="es-ES"/>
        </w:rPr>
        <w:t>, que para su mejor comprensión se transcribe:</w:t>
      </w:r>
    </w:p>
    <w:p w:rsidR="00502263" w:rsidRDefault="00502263" w:rsidP="00502263">
      <w:pPr>
        <w:spacing w:after="0" w:line="276" w:lineRule="auto"/>
        <w:ind w:left="851" w:right="283" w:firstLine="567"/>
        <w:jc w:val="both"/>
        <w:rPr>
          <w:rFonts w:ascii="Arial" w:hAnsi="Arial" w:cs="Arial"/>
          <w:i/>
          <w:sz w:val="21"/>
          <w:szCs w:val="21"/>
        </w:rPr>
      </w:pPr>
      <w:r>
        <w:rPr>
          <w:rFonts w:ascii="Arial" w:hAnsi="Arial" w:cs="Arial"/>
          <w:i/>
          <w:sz w:val="21"/>
          <w:szCs w:val="21"/>
          <w:lang w:val="es-ES"/>
        </w:rPr>
        <w:t xml:space="preserve"> </w:t>
      </w:r>
      <w:r>
        <w:rPr>
          <w:rFonts w:ascii="Arial" w:hAnsi="Arial" w:cs="Arial"/>
          <w:i/>
          <w:sz w:val="21"/>
          <w:szCs w:val="21"/>
        </w:rPr>
        <w:t xml:space="preserve"> “</w:t>
      </w:r>
      <w:r>
        <w:rPr>
          <w:rFonts w:ascii="Arial" w:hAnsi="Arial" w:cs="Arial"/>
          <w:b/>
          <w:i/>
          <w:sz w:val="21"/>
          <w:szCs w:val="21"/>
        </w:rPr>
        <w:t>Artículo Primero</w:t>
      </w:r>
      <w:r>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502263" w:rsidRDefault="00502263" w:rsidP="00502263">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presente Acuerdo se presentan en Mapas, y que les corresponda conforme a las siguientes fracciones e incisos: </w:t>
      </w:r>
    </w:p>
    <w:p w:rsidR="00502263" w:rsidRDefault="00502263" w:rsidP="00502263">
      <w:pPr>
        <w:spacing w:line="276" w:lineRule="auto"/>
        <w:ind w:left="851" w:right="283" w:firstLine="567"/>
        <w:jc w:val="both"/>
        <w:rPr>
          <w:rFonts w:ascii="Arial" w:hAnsi="Arial" w:cs="Arial"/>
          <w:i/>
          <w:sz w:val="21"/>
          <w:szCs w:val="21"/>
        </w:rPr>
      </w:pPr>
      <w:r>
        <w:rPr>
          <w:rFonts w:ascii="Arial" w:hAnsi="Arial" w:cs="Arial"/>
          <w:i/>
          <w:sz w:val="21"/>
          <w:szCs w:val="21"/>
        </w:rPr>
        <w:t xml:space="preserve"> (…)</w:t>
      </w:r>
    </w:p>
    <w:p w:rsidR="00502263" w:rsidRDefault="00502263" w:rsidP="00502263">
      <w:pPr>
        <w:spacing w:line="276" w:lineRule="auto"/>
        <w:ind w:left="851" w:right="283" w:firstLine="567"/>
        <w:jc w:val="both"/>
        <w:rPr>
          <w:rFonts w:ascii="Arial" w:hAnsi="Arial" w:cs="Arial"/>
          <w:i/>
          <w:sz w:val="21"/>
          <w:szCs w:val="21"/>
        </w:rPr>
      </w:pPr>
      <w:r>
        <w:rPr>
          <w:rFonts w:ascii="Arial" w:hAnsi="Arial" w:cs="Arial"/>
          <w:b/>
          <w:bCs/>
          <w:i/>
          <w:sz w:val="21"/>
          <w:szCs w:val="21"/>
        </w:rPr>
        <w:t xml:space="preserve">XXIX. </w:t>
      </w:r>
      <w:r>
        <w:rPr>
          <w:rFonts w:ascii="Arial" w:hAnsi="Arial" w:cs="Arial"/>
          <w:i/>
          <w:sz w:val="21"/>
          <w:szCs w:val="21"/>
        </w:rPr>
        <w:t xml:space="preserve">Centro Integral de Atención al Contribuyente de Santa Cruz </w:t>
      </w:r>
      <w:proofErr w:type="spellStart"/>
      <w:r>
        <w:rPr>
          <w:rFonts w:ascii="Arial" w:hAnsi="Arial" w:cs="Arial"/>
          <w:i/>
          <w:sz w:val="21"/>
          <w:szCs w:val="21"/>
        </w:rPr>
        <w:t>Amilpas</w:t>
      </w:r>
      <w:proofErr w:type="spellEnd"/>
      <w:r>
        <w:rPr>
          <w:rFonts w:ascii="Arial" w:hAnsi="Arial" w:cs="Arial"/>
          <w:i/>
          <w:sz w:val="21"/>
          <w:szCs w:val="21"/>
        </w:rPr>
        <w:t xml:space="preserve">: Con sede en el Municipio de Santa Cruz </w:t>
      </w:r>
      <w:proofErr w:type="spellStart"/>
      <w:r>
        <w:rPr>
          <w:rFonts w:ascii="Arial" w:hAnsi="Arial" w:cs="Arial"/>
          <w:i/>
          <w:sz w:val="21"/>
          <w:szCs w:val="21"/>
        </w:rPr>
        <w:t>Amilpas</w:t>
      </w:r>
      <w:proofErr w:type="spellEnd"/>
      <w:r>
        <w:rPr>
          <w:rFonts w:ascii="Arial" w:hAnsi="Arial" w:cs="Arial"/>
          <w:i/>
          <w:sz w:val="21"/>
          <w:szCs w:val="21"/>
        </w:rPr>
        <w:t xml:space="preserve">, Oaxaca, que comprende los siguientes municipios: San Agustín </w:t>
      </w:r>
      <w:proofErr w:type="spellStart"/>
      <w:r>
        <w:rPr>
          <w:rFonts w:ascii="Arial" w:hAnsi="Arial" w:cs="Arial"/>
          <w:i/>
          <w:sz w:val="21"/>
          <w:szCs w:val="21"/>
        </w:rPr>
        <w:t>Yatareni</w:t>
      </w:r>
      <w:proofErr w:type="spellEnd"/>
      <w:r>
        <w:rPr>
          <w:rFonts w:ascii="Arial" w:hAnsi="Arial" w:cs="Arial"/>
          <w:i/>
          <w:sz w:val="21"/>
          <w:szCs w:val="21"/>
        </w:rPr>
        <w:t xml:space="preserve">, San Andrés </w:t>
      </w:r>
      <w:proofErr w:type="spellStart"/>
      <w:r>
        <w:rPr>
          <w:rFonts w:ascii="Arial" w:hAnsi="Arial" w:cs="Arial"/>
          <w:i/>
          <w:sz w:val="21"/>
          <w:szCs w:val="21"/>
        </w:rPr>
        <w:t>Huayápam</w:t>
      </w:r>
      <w:proofErr w:type="spellEnd"/>
      <w:r>
        <w:rPr>
          <w:rFonts w:ascii="Arial" w:hAnsi="Arial" w:cs="Arial"/>
          <w:i/>
          <w:sz w:val="21"/>
          <w:szCs w:val="21"/>
        </w:rPr>
        <w:t xml:space="preserve">, Santa Cruz </w:t>
      </w:r>
      <w:proofErr w:type="spellStart"/>
      <w:r>
        <w:rPr>
          <w:rFonts w:ascii="Arial" w:hAnsi="Arial" w:cs="Arial"/>
          <w:i/>
          <w:sz w:val="21"/>
          <w:szCs w:val="21"/>
        </w:rPr>
        <w:t>Amilpas</w:t>
      </w:r>
      <w:proofErr w:type="spellEnd"/>
      <w:r>
        <w:rPr>
          <w:rFonts w:ascii="Arial" w:hAnsi="Arial" w:cs="Arial"/>
          <w:i/>
          <w:sz w:val="21"/>
          <w:szCs w:val="21"/>
        </w:rPr>
        <w:t xml:space="preserve">, Santo Domingo </w:t>
      </w:r>
      <w:proofErr w:type="spellStart"/>
      <w:r>
        <w:rPr>
          <w:rFonts w:ascii="Arial" w:hAnsi="Arial" w:cs="Arial"/>
          <w:i/>
          <w:sz w:val="21"/>
          <w:szCs w:val="21"/>
        </w:rPr>
        <w:t>Tomaltepec</w:t>
      </w:r>
      <w:proofErr w:type="spellEnd"/>
      <w:r>
        <w:rPr>
          <w:rFonts w:ascii="Arial" w:hAnsi="Arial" w:cs="Arial"/>
          <w:i/>
          <w:sz w:val="21"/>
          <w:szCs w:val="21"/>
        </w:rPr>
        <w:t xml:space="preserve">, Santa María el Tule, Santa Lucía del Camino, San Sebastián </w:t>
      </w:r>
      <w:proofErr w:type="spellStart"/>
      <w:r>
        <w:rPr>
          <w:rFonts w:ascii="Arial" w:hAnsi="Arial" w:cs="Arial"/>
          <w:i/>
          <w:sz w:val="21"/>
          <w:szCs w:val="21"/>
        </w:rPr>
        <w:t>Tutla</w:t>
      </w:r>
      <w:proofErr w:type="spellEnd"/>
      <w:r>
        <w:rPr>
          <w:rFonts w:ascii="Arial" w:hAnsi="Arial" w:cs="Arial"/>
          <w:i/>
          <w:sz w:val="21"/>
          <w:szCs w:val="21"/>
        </w:rPr>
        <w:t xml:space="preserve">, y </w:t>
      </w:r>
      <w:proofErr w:type="spellStart"/>
      <w:r>
        <w:rPr>
          <w:rFonts w:ascii="Arial" w:hAnsi="Arial" w:cs="Arial"/>
          <w:i/>
          <w:sz w:val="21"/>
          <w:szCs w:val="21"/>
        </w:rPr>
        <w:t>Tlalixtac</w:t>
      </w:r>
      <w:proofErr w:type="spellEnd"/>
      <w:r>
        <w:rPr>
          <w:rFonts w:ascii="Arial" w:hAnsi="Arial" w:cs="Arial"/>
          <w:i/>
          <w:sz w:val="21"/>
          <w:szCs w:val="21"/>
        </w:rPr>
        <w:t xml:space="preserve"> de Cabrera. </w:t>
      </w:r>
    </w:p>
    <w:p w:rsidR="00502263" w:rsidRDefault="00502263" w:rsidP="00502263">
      <w:pPr>
        <w:spacing w:after="0" w:line="276" w:lineRule="auto"/>
        <w:ind w:left="709" w:right="283" w:firstLine="567"/>
        <w:jc w:val="both"/>
        <w:rPr>
          <w:rFonts w:ascii="Arial" w:hAnsi="Arial" w:cs="Arial"/>
          <w:i/>
          <w:sz w:val="21"/>
          <w:szCs w:val="21"/>
        </w:rPr>
      </w:pPr>
      <w:proofErr w:type="gramStart"/>
      <w:r>
        <w:rPr>
          <w:rFonts w:ascii="Arial" w:hAnsi="Arial" w:cs="Arial"/>
          <w:b/>
          <w:bCs/>
          <w:i/>
          <w:sz w:val="21"/>
          <w:szCs w:val="21"/>
        </w:rPr>
        <w:t>a</w:t>
      </w:r>
      <w:proofErr w:type="gramEnd"/>
      <w:r>
        <w:rPr>
          <w:rFonts w:ascii="Arial" w:hAnsi="Arial" w:cs="Arial"/>
          <w:b/>
          <w:bCs/>
          <w:i/>
          <w:sz w:val="21"/>
          <w:szCs w:val="21"/>
        </w:rPr>
        <w:t xml:space="preserve">) </w:t>
      </w:r>
      <w:r>
        <w:rPr>
          <w:rFonts w:ascii="Arial" w:hAnsi="Arial" w:cs="Arial"/>
          <w:i/>
          <w:sz w:val="21"/>
          <w:szCs w:val="21"/>
        </w:rPr>
        <w:t>Módulo de Atención al Contribuyente de Oaxaca de Juárez:</w:t>
      </w:r>
      <w:r>
        <w:rPr>
          <w:rFonts w:ascii="Arial" w:hAnsi="Arial" w:cs="Arial"/>
          <w:b/>
          <w:bCs/>
          <w:i/>
          <w:sz w:val="21"/>
          <w:szCs w:val="21"/>
        </w:rPr>
        <w:t xml:space="preserve"> </w:t>
      </w:r>
      <w:r>
        <w:rPr>
          <w:rFonts w:ascii="Arial" w:hAnsi="Arial" w:cs="Arial"/>
          <w:i/>
          <w:sz w:val="21"/>
          <w:szCs w:val="21"/>
        </w:rPr>
        <w:t xml:space="preserve">Con sede en el Municipio de Oaxaca de Juárez, Oaxaca, que comprende los siguientes municipios: </w:t>
      </w:r>
      <w:r>
        <w:rPr>
          <w:rFonts w:ascii="Arial" w:hAnsi="Arial" w:cs="Arial"/>
          <w:b/>
          <w:bCs/>
          <w:i/>
          <w:sz w:val="21"/>
          <w:szCs w:val="21"/>
        </w:rPr>
        <w:t>Oaxaca de Juárez</w:t>
      </w:r>
      <w:r>
        <w:rPr>
          <w:rFonts w:ascii="Arial" w:hAnsi="Arial" w:cs="Arial"/>
          <w:i/>
          <w:sz w:val="21"/>
          <w:szCs w:val="21"/>
        </w:rPr>
        <w:t xml:space="preserve">, San Andrés Ixtlahuaca, San Pedro Ixtlahuaca, Santa María </w:t>
      </w:r>
      <w:proofErr w:type="spellStart"/>
      <w:r>
        <w:rPr>
          <w:rFonts w:ascii="Arial" w:hAnsi="Arial" w:cs="Arial"/>
          <w:i/>
          <w:sz w:val="21"/>
          <w:szCs w:val="21"/>
        </w:rPr>
        <w:t>Atzompa</w:t>
      </w:r>
      <w:proofErr w:type="spellEnd"/>
      <w:r>
        <w:rPr>
          <w:rFonts w:ascii="Arial" w:hAnsi="Arial" w:cs="Arial"/>
          <w:i/>
          <w:sz w:val="21"/>
          <w:szCs w:val="21"/>
        </w:rPr>
        <w:t xml:space="preserve"> y San Jacinto </w:t>
      </w:r>
      <w:proofErr w:type="spellStart"/>
      <w:r>
        <w:rPr>
          <w:rFonts w:ascii="Arial" w:hAnsi="Arial" w:cs="Arial"/>
          <w:i/>
          <w:sz w:val="21"/>
          <w:szCs w:val="21"/>
        </w:rPr>
        <w:t>Amilpas</w:t>
      </w:r>
      <w:proofErr w:type="spellEnd"/>
      <w:r>
        <w:rPr>
          <w:rFonts w:ascii="Arial" w:hAnsi="Arial" w:cs="Arial"/>
          <w:i/>
          <w:sz w:val="21"/>
          <w:szCs w:val="21"/>
        </w:rPr>
        <w:t>.”</w:t>
      </w:r>
    </w:p>
    <w:p w:rsidR="00502263" w:rsidRDefault="00502263" w:rsidP="00502263">
      <w:pPr>
        <w:spacing w:after="0" w:line="276" w:lineRule="auto"/>
        <w:ind w:left="851" w:right="283" w:firstLine="567"/>
        <w:jc w:val="both"/>
        <w:rPr>
          <w:rFonts w:ascii="Arial" w:hAnsi="Arial" w:cs="Arial"/>
          <w:i/>
          <w:sz w:val="21"/>
          <w:szCs w:val="21"/>
        </w:rPr>
      </w:pPr>
    </w:p>
    <w:p w:rsidR="00502263" w:rsidRDefault="00502263" w:rsidP="00502263">
      <w:pPr>
        <w:spacing w:after="0" w:line="276" w:lineRule="auto"/>
        <w:ind w:left="851" w:right="283" w:firstLine="567"/>
        <w:jc w:val="both"/>
        <w:rPr>
          <w:rFonts w:ascii="Arial" w:hAnsi="Arial" w:cs="Arial"/>
          <w:i/>
          <w:sz w:val="21"/>
          <w:szCs w:val="21"/>
        </w:rPr>
      </w:pP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Luego si, del acto administrativo impugnado número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de diecinueve de febrero de dos mil diecinueve, tiene su domicilio en la calle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número </w:t>
      </w:r>
      <w:r w:rsidR="00CF505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Centro, </w:t>
      </w:r>
      <w:r>
        <w:rPr>
          <w:rFonts w:ascii="Arial" w:eastAsia="Times New Roman" w:hAnsi="Arial" w:cs="Arial"/>
          <w:b/>
          <w:sz w:val="24"/>
          <w:szCs w:val="24"/>
          <w:lang w:val="es-ES"/>
        </w:rPr>
        <w:t>Oaxaca de Juárez, Oaxaca</w:t>
      </w:r>
      <w:r>
        <w:rPr>
          <w:rFonts w:ascii="Arial" w:eastAsia="Times New Roman" w:hAnsi="Arial" w:cs="Arial"/>
          <w:sz w:val="24"/>
          <w:szCs w:val="24"/>
          <w:lang w:val="es-ES"/>
        </w:rPr>
        <w:t>, la autoridad demandada debió hacer constar en el cuerpo del acto su competencia territorial, de ahí que al no señalarla resulta ilegal su determinación y con ello se viola el artículo 16 Constitucional, en relación con el artículo 17 fracciones I y V de la Ley de la Materia.</w:t>
      </w: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Materia(s): Administrativa, Tesis: 2a./J. 115/2005, Página: 310, con el rubro y texto siguientes:</w:t>
      </w:r>
    </w:p>
    <w:p w:rsidR="00502263" w:rsidRDefault="00502263" w:rsidP="00502263">
      <w:pPr>
        <w:pStyle w:val="Sinespaciado"/>
        <w:spacing w:after="240"/>
        <w:ind w:left="851" w:right="283"/>
        <w:jc w:val="both"/>
        <w:rPr>
          <w:rFonts w:ascii="Arial" w:hAnsi="Arial" w:cs="Arial"/>
          <w:i/>
          <w:sz w:val="21"/>
          <w:szCs w:val="21"/>
          <w:lang w:val="es-ES"/>
        </w:rPr>
      </w:pPr>
      <w:r>
        <w:rPr>
          <w:rFonts w:ascii="Arial" w:hAnsi="Arial" w:cs="Arial"/>
          <w:i/>
          <w:sz w:val="21"/>
          <w:szCs w:val="21"/>
          <w:lang w:val="es-ES"/>
        </w:rPr>
        <w:t>“</w:t>
      </w:r>
      <w:r>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i/>
          <w:sz w:val="21"/>
          <w:szCs w:val="21"/>
          <w:lang w:val="es-ES"/>
        </w:rPr>
        <w:t>. De lo dispuesto en la tesis de jurisprudencia P</w:t>
      </w:r>
      <w:proofErr w:type="gramStart"/>
      <w:r>
        <w:rPr>
          <w:rFonts w:ascii="Arial" w:hAnsi="Arial" w:cs="Arial"/>
          <w:i/>
          <w:sz w:val="21"/>
          <w:szCs w:val="21"/>
          <w:lang w:val="es-ES"/>
        </w:rPr>
        <w:t>./</w:t>
      </w:r>
      <w:proofErr w:type="gramEnd"/>
      <w:r>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w:t>
      </w:r>
      <w:r>
        <w:rPr>
          <w:rFonts w:ascii="Arial" w:hAnsi="Arial" w:cs="Arial"/>
          <w:i/>
          <w:sz w:val="21"/>
          <w:szCs w:val="21"/>
          <w:lang w:val="es-ES"/>
        </w:rPr>
        <w:lastRenderedPageBreak/>
        <w:t>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502263" w:rsidRDefault="00502263" w:rsidP="00502263">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val="es-ES"/>
        </w:rPr>
        <w:t xml:space="preserve">Al igual que la tesis aislada con número de registro 243637, de la séptima época, </w:t>
      </w:r>
      <w:r>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502263" w:rsidRDefault="00502263" w:rsidP="00502263">
      <w:pPr>
        <w:pStyle w:val="Sinespaciado"/>
        <w:tabs>
          <w:tab w:val="left" w:pos="7371"/>
        </w:tabs>
        <w:ind w:left="851" w:right="283"/>
        <w:jc w:val="both"/>
        <w:rPr>
          <w:rFonts w:ascii="Arial" w:hAnsi="Arial" w:cs="Arial"/>
          <w:i/>
          <w:sz w:val="21"/>
          <w:szCs w:val="21"/>
        </w:rPr>
      </w:pPr>
      <w:r>
        <w:rPr>
          <w:rFonts w:ascii="Arial" w:hAnsi="Arial" w:cs="Arial"/>
          <w:i/>
          <w:sz w:val="21"/>
          <w:szCs w:val="21"/>
        </w:rPr>
        <w:t>“</w:t>
      </w:r>
      <w:r>
        <w:rPr>
          <w:rFonts w:ascii="Arial" w:hAnsi="Arial" w:cs="Arial"/>
          <w:b/>
          <w:i/>
          <w:sz w:val="21"/>
          <w:szCs w:val="21"/>
        </w:rPr>
        <w:t>COMPETENCIA DE LA AUTORIDAD ADMINISTRATIVA EMISORA DE UNA RESOLUCION. DEBE FUNDARSE EN EL CUERPO MISMO DEL DOCUMENTO</w:t>
      </w:r>
      <w:r>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w:t>
      </w:r>
      <w:r>
        <w:rPr>
          <w:rFonts w:ascii="Arial" w:hAnsi="Arial" w:cs="Arial"/>
          <w:i/>
          <w:sz w:val="21"/>
          <w:szCs w:val="21"/>
        </w:rPr>
        <w:lastRenderedPageBreak/>
        <w:t>al particular de la aptitud enteramente legítima de conocer al menos la norma legal que permite a la autoridad molestarlo en su esfera jurídica y en su caso, de controvertir su actuación si no se halla ajustada a derecho.”</w:t>
      </w:r>
    </w:p>
    <w:p w:rsidR="00502263" w:rsidRDefault="00502263" w:rsidP="00502263">
      <w:pPr>
        <w:pStyle w:val="Sinespaciado"/>
        <w:tabs>
          <w:tab w:val="left" w:pos="7371"/>
        </w:tabs>
        <w:ind w:left="567" w:right="283"/>
        <w:jc w:val="both"/>
        <w:rPr>
          <w:rFonts w:ascii="Arial" w:hAnsi="Arial" w:cs="Arial"/>
          <w:i/>
          <w:sz w:val="21"/>
          <w:szCs w:val="21"/>
        </w:rPr>
      </w:pPr>
    </w:p>
    <w:p w:rsidR="00502263" w:rsidRDefault="00502263" w:rsidP="00502263">
      <w:pPr>
        <w:pStyle w:val="Sinespaciado"/>
        <w:tabs>
          <w:tab w:val="left" w:pos="7371"/>
        </w:tabs>
        <w:ind w:left="567" w:right="283"/>
        <w:jc w:val="both"/>
        <w:rPr>
          <w:rFonts w:ascii="Arial" w:hAnsi="Arial" w:cs="Arial"/>
          <w:i/>
          <w:sz w:val="21"/>
          <w:szCs w:val="21"/>
        </w:rPr>
      </w:pP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 </w:t>
      </w:r>
      <w:r w:rsidR="00905B3B">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de diecinueve de febrero de dos mil diecinueve, emitida por </w:t>
      </w:r>
      <w:r>
        <w:rPr>
          <w:rFonts w:ascii="Arial" w:eastAsia="Times New Roman" w:hAnsi="Arial" w:cs="Arial"/>
          <w:sz w:val="24"/>
          <w:szCs w:val="24"/>
          <w:lang w:val="es-ES_tradnl" w:eastAsia="es-ES"/>
        </w:rPr>
        <w:t xml:space="preserve">la </w:t>
      </w:r>
      <w:r>
        <w:rPr>
          <w:rFonts w:ascii="Arial" w:hAnsi="Arial" w:cs="Arial"/>
          <w:sz w:val="24"/>
          <w:szCs w:val="24"/>
        </w:rPr>
        <w:t>Directora de Ingresos y Recaudación de la Secretaría de Finanzas del Gobierno del Estado.</w:t>
      </w:r>
    </w:p>
    <w:p w:rsidR="00502263" w:rsidRDefault="00502263" w:rsidP="00502263">
      <w:pPr>
        <w:spacing w:line="360" w:lineRule="auto"/>
        <w:ind w:firstLine="567"/>
        <w:jc w:val="both"/>
        <w:rPr>
          <w:rFonts w:ascii="Arial" w:eastAsia="Times New Roman" w:hAnsi="Arial" w:cs="Arial"/>
          <w:bCs/>
          <w:sz w:val="24"/>
          <w:szCs w:val="24"/>
          <w:lang w:val="es-ES_tradnl"/>
        </w:rPr>
      </w:pPr>
      <w:r>
        <w:rPr>
          <w:rFonts w:ascii="Arial" w:eastAsia="Times New Roman" w:hAnsi="Arial" w:cs="Arial"/>
          <w:bCs/>
          <w:sz w:val="24"/>
          <w:szCs w:val="24"/>
          <w:lang w:val="es-ES_tradnl"/>
        </w:rPr>
        <w:t>Tiene aplicación la Jurisprudencia sustentada por la Segunda Sala de la Suprema Corte de Justicia de la Nación, consultable con el registro 172182, del Semanario Judicial</w:t>
      </w:r>
      <w:r w:rsidR="005C472F">
        <w:rPr>
          <w:rFonts w:ascii="Arial" w:eastAsia="Times New Roman" w:hAnsi="Arial" w:cs="Arial"/>
          <w:bCs/>
          <w:sz w:val="24"/>
          <w:szCs w:val="24"/>
          <w:lang w:val="es-ES_tradnl"/>
        </w:rPr>
        <w:t xml:space="preserve"> de la Federación y su Gaceta, t</w:t>
      </w:r>
      <w:r>
        <w:rPr>
          <w:rFonts w:ascii="Arial" w:eastAsia="Times New Roman" w:hAnsi="Arial" w:cs="Arial"/>
          <w:bCs/>
          <w:sz w:val="24"/>
          <w:szCs w:val="24"/>
          <w:lang w:val="es-ES_tradnl"/>
        </w:rPr>
        <w:t xml:space="preserve">omo XXV, junio de 2007, </w:t>
      </w:r>
      <w:r w:rsidR="005C472F">
        <w:rPr>
          <w:rFonts w:ascii="Arial" w:eastAsia="Times New Roman" w:hAnsi="Arial" w:cs="Arial"/>
          <w:bCs/>
          <w:sz w:val="24"/>
          <w:szCs w:val="24"/>
          <w:lang w:val="es-ES_tradnl"/>
        </w:rPr>
        <w:t>novena época, materia administrativa</w:t>
      </w:r>
      <w:r>
        <w:rPr>
          <w:rFonts w:ascii="Arial" w:eastAsia="Times New Roman" w:hAnsi="Arial" w:cs="Arial"/>
          <w:bCs/>
          <w:sz w:val="24"/>
          <w:szCs w:val="24"/>
          <w:lang w:val="es-ES_tradnl"/>
        </w:rPr>
        <w:t xml:space="preserve">, bajo el rubro y texto siguientes: </w:t>
      </w:r>
    </w:p>
    <w:p w:rsidR="00502263" w:rsidRDefault="00502263" w:rsidP="00502263">
      <w:pPr>
        <w:spacing w:after="0"/>
        <w:ind w:left="851" w:right="283"/>
        <w:jc w:val="both"/>
        <w:rPr>
          <w:rFonts w:ascii="Arial" w:hAnsi="Arial"/>
          <w:color w:val="000000"/>
          <w:sz w:val="21"/>
          <w:szCs w:val="21"/>
        </w:rPr>
      </w:pPr>
      <w:r>
        <w:rPr>
          <w:rFonts w:ascii="Arial" w:hAnsi="Arial"/>
          <w:i/>
          <w:color w:val="000000"/>
          <w:sz w:val="21"/>
          <w:szCs w:val="21"/>
        </w:rPr>
        <w:t>“</w:t>
      </w:r>
      <w:r>
        <w:rPr>
          <w:rFonts w:ascii="Arial" w:hAnsi="Arial"/>
          <w:b/>
          <w:i/>
          <w:color w:val="000000"/>
          <w:sz w:val="21"/>
          <w:szCs w:val="21"/>
        </w:rPr>
        <w:t xml:space="preserve">NULIDAD. LA DECRETADA POR INSUFICIENCIA EN LA FUNDAMENTACIÓN DE LA COMPETENCIA DE LA AUTORIDAD ADMINISTRATIVA, DEBE SER LISA Y LLANA. </w:t>
      </w:r>
      <w:r>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1"/>
          <w:szCs w:val="21"/>
        </w:rPr>
        <w:t>.</w:t>
      </w:r>
    </w:p>
    <w:p w:rsidR="00502263" w:rsidRDefault="00502263" w:rsidP="00502263">
      <w:pPr>
        <w:spacing w:after="0"/>
        <w:ind w:left="851" w:right="141"/>
        <w:jc w:val="both"/>
        <w:rPr>
          <w:rFonts w:ascii="Arial" w:hAnsi="Arial"/>
          <w:color w:val="000000"/>
          <w:sz w:val="21"/>
          <w:szCs w:val="21"/>
        </w:rPr>
      </w:pPr>
    </w:p>
    <w:p w:rsidR="00502263" w:rsidRDefault="00502263" w:rsidP="00502263">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w:t>
      </w:r>
      <w:r w:rsidR="005C472F">
        <w:rPr>
          <w:rFonts w:ascii="Arial" w:eastAsia="Times New Roman" w:hAnsi="Arial" w:cs="Arial"/>
          <w:sz w:val="24"/>
          <w:szCs w:val="24"/>
          <w:lang w:val="es-ES"/>
        </w:rPr>
        <w:t xml:space="preserve">tomo </w:t>
      </w:r>
      <w:r>
        <w:rPr>
          <w:rFonts w:ascii="Arial" w:eastAsia="Times New Roman" w:hAnsi="Arial" w:cs="Arial"/>
          <w:sz w:val="24"/>
          <w:szCs w:val="24"/>
          <w:lang w:val="es-ES"/>
        </w:rPr>
        <w:t xml:space="preserve">XV, mayo de 2002, Materia(s): Administrativa, </w:t>
      </w:r>
      <w:r w:rsidR="00C42DCB">
        <w:rPr>
          <w:rFonts w:ascii="Arial" w:eastAsia="Times New Roman" w:hAnsi="Arial" w:cs="Arial"/>
          <w:sz w:val="24"/>
          <w:szCs w:val="24"/>
          <w:lang w:val="es-ES"/>
        </w:rPr>
        <w:t>tesis</w:t>
      </w:r>
      <w:r>
        <w:rPr>
          <w:rFonts w:ascii="Arial" w:eastAsia="Times New Roman" w:hAnsi="Arial" w:cs="Arial"/>
          <w:sz w:val="24"/>
          <w:szCs w:val="24"/>
          <w:lang w:val="es-ES"/>
        </w:rPr>
        <w:t xml:space="preserve"> VI.2o.A. J/2, página: 928, con el rubro y texto siguientes: </w:t>
      </w:r>
    </w:p>
    <w:p w:rsidR="00502263" w:rsidRDefault="00502263" w:rsidP="00502263">
      <w:pPr>
        <w:spacing w:line="240" w:lineRule="auto"/>
        <w:ind w:left="851" w:right="283"/>
        <w:jc w:val="both"/>
        <w:rPr>
          <w:rFonts w:ascii="Arial" w:eastAsia="Times New Roman" w:hAnsi="Arial" w:cs="Arial"/>
          <w:sz w:val="21"/>
          <w:szCs w:val="21"/>
          <w:lang w:val="es-ES"/>
        </w:rPr>
      </w:pPr>
      <w:r>
        <w:rPr>
          <w:rFonts w:ascii="Arial" w:eastAsia="Times New Roman" w:hAnsi="Arial" w:cs="Arial"/>
          <w:i/>
          <w:sz w:val="21"/>
          <w:szCs w:val="21"/>
          <w:lang w:val="es-ES"/>
        </w:rPr>
        <w:t>“</w:t>
      </w:r>
      <w:r>
        <w:rPr>
          <w:rFonts w:ascii="Arial" w:eastAsia="Times New Roman" w:hAnsi="Arial" w:cs="Arial"/>
          <w:b/>
          <w:i/>
          <w:sz w:val="21"/>
          <w:szCs w:val="21"/>
          <w:lang w:val="es-ES"/>
        </w:rPr>
        <w:t>CONCEPTOS DE IMPUGNACIÓN. CUANDO RESULTA FUNDADO ALGUNO DE NATURALEZA PROCEDIMENTAL, ES INNECESARIO EL ESTUDIO DE LOS RESTANTES</w:t>
      </w:r>
      <w:r>
        <w:rPr>
          <w:rFonts w:ascii="Arial" w:eastAsia="Times New Roman" w:hAnsi="Arial" w:cs="Arial"/>
          <w:i/>
          <w:sz w:val="21"/>
          <w:szCs w:val="21"/>
          <w:lang w:val="es-ES"/>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w:t>
      </w:r>
      <w:r>
        <w:rPr>
          <w:rFonts w:ascii="Arial" w:eastAsia="Times New Roman" w:hAnsi="Arial" w:cs="Arial"/>
          <w:i/>
          <w:sz w:val="21"/>
          <w:szCs w:val="21"/>
          <w:lang w:val="es-ES"/>
        </w:rPr>
        <w:lastRenderedPageBreak/>
        <w:t>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1"/>
          <w:szCs w:val="21"/>
          <w:lang w:val="es-ES"/>
        </w:rPr>
        <w:t>”</w:t>
      </w:r>
    </w:p>
    <w:p w:rsidR="00502263" w:rsidRDefault="00502263" w:rsidP="00502263">
      <w:pPr>
        <w:spacing w:line="360" w:lineRule="auto"/>
        <w:ind w:right="51" w:firstLine="567"/>
        <w:jc w:val="both"/>
        <w:rPr>
          <w:rFonts w:cs="Arial"/>
          <w:bCs/>
          <w:color w:val="000000"/>
          <w:szCs w:val="24"/>
        </w:rPr>
      </w:pPr>
      <w:r>
        <w:rPr>
          <w:rFonts w:ascii="Arial" w:hAnsi="Arial" w:cs="Arial"/>
          <w:sz w:val="24"/>
          <w:szCs w:val="25"/>
        </w:rPr>
        <w:t>En mérito de lo expuesto y con fundamento en los artículos 207 fracciones I, II y III, 208 fracción VI y 209 de la Ley de Procedimiento y Justicia Administrativa para el Estado de Oaxaca, se; - - - - - - - - - - - - - - - - - - - - - - - - - - - - - - - - - - - - - -</w:t>
      </w:r>
    </w:p>
    <w:p w:rsidR="00502263" w:rsidRDefault="00502263" w:rsidP="00502263">
      <w:pPr>
        <w:pStyle w:val="corte4fondo"/>
        <w:spacing w:after="240"/>
        <w:ind w:left="709" w:firstLine="0"/>
        <w:jc w:val="center"/>
        <w:rPr>
          <w:rFonts w:cs="Arial"/>
          <w:b/>
          <w:sz w:val="24"/>
          <w:szCs w:val="24"/>
        </w:rPr>
      </w:pPr>
      <w:r>
        <w:rPr>
          <w:rFonts w:cs="Arial"/>
          <w:b/>
          <w:sz w:val="24"/>
          <w:szCs w:val="24"/>
        </w:rPr>
        <w:t>R E S U E L V E:</w:t>
      </w:r>
    </w:p>
    <w:p w:rsidR="00502263" w:rsidRDefault="00502263" w:rsidP="00502263">
      <w:pPr>
        <w:pStyle w:val="Textoindependienteprimerasangra"/>
        <w:spacing w:line="360" w:lineRule="auto"/>
        <w:ind w:firstLine="567"/>
        <w:jc w:val="both"/>
        <w:rPr>
          <w:rFonts w:ascii="Arial" w:hAnsi="Arial" w:cs="Arial"/>
          <w:sz w:val="24"/>
          <w:szCs w:val="24"/>
          <w:lang w:eastAsia="ar-SA"/>
        </w:rPr>
      </w:pPr>
      <w:r>
        <w:rPr>
          <w:rFonts w:ascii="Arial" w:hAnsi="Arial" w:cs="Arial"/>
          <w:b/>
          <w:bCs/>
          <w:sz w:val="24"/>
          <w:szCs w:val="24"/>
        </w:rPr>
        <w:t xml:space="preserve">PRIMERO. </w:t>
      </w:r>
      <w:r>
        <w:rPr>
          <w:rFonts w:ascii="Arial" w:hAnsi="Arial" w:cs="Arial"/>
          <w:sz w:val="24"/>
          <w:szCs w:val="24"/>
          <w:lang w:eastAsia="ar-SA"/>
        </w:rPr>
        <w:t xml:space="preserve">Esta Cuarta Sala Unitaria fue </w:t>
      </w:r>
      <w:r>
        <w:rPr>
          <w:rFonts w:ascii="Arial" w:hAnsi="Arial" w:cs="Arial"/>
          <w:b/>
          <w:sz w:val="24"/>
          <w:szCs w:val="24"/>
          <w:lang w:eastAsia="ar-SA"/>
        </w:rPr>
        <w:t xml:space="preserve">competente </w:t>
      </w:r>
      <w:r>
        <w:rPr>
          <w:rFonts w:ascii="Arial" w:hAnsi="Arial" w:cs="Arial"/>
          <w:sz w:val="24"/>
          <w:szCs w:val="24"/>
          <w:lang w:eastAsia="ar-SA"/>
        </w:rPr>
        <w:t xml:space="preserve">para conocer y resolver del presente asunto. - - - - - - - - - - - - - - - - - - - - - - - - - - - - - - - - - - - - - </w:t>
      </w:r>
      <w:r>
        <w:rPr>
          <w:rFonts w:ascii="Arial" w:hAnsi="Arial" w:cs="Arial"/>
          <w:sz w:val="24"/>
          <w:szCs w:val="25"/>
        </w:rPr>
        <w:t>- - - - - - - - -</w:t>
      </w:r>
    </w:p>
    <w:p w:rsidR="00502263" w:rsidRDefault="00502263" w:rsidP="00502263">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SEGUNDO. </w:t>
      </w:r>
      <w:r>
        <w:rPr>
          <w:rFonts w:ascii="Arial" w:hAnsi="Arial" w:cs="Arial"/>
          <w:b/>
          <w:bCs/>
          <w:sz w:val="24"/>
          <w:szCs w:val="24"/>
          <w:lang w:eastAsia="es-ES"/>
        </w:rPr>
        <w:t xml:space="preserve">SE DECLARA LA NULIDAD LISA Y LLANA </w:t>
      </w:r>
      <w:r>
        <w:rPr>
          <w:rFonts w:ascii="Arial" w:eastAsia="Times New Roman" w:hAnsi="Arial" w:cs="Arial"/>
          <w:sz w:val="24"/>
          <w:szCs w:val="24"/>
          <w:lang w:val="es-ES"/>
        </w:rPr>
        <w:t>de la resolución contenida en el</w:t>
      </w:r>
      <w:r w:rsidR="00474B1D">
        <w:rPr>
          <w:rFonts w:ascii="Arial" w:eastAsia="Times New Roman" w:hAnsi="Arial" w:cs="Arial"/>
          <w:sz w:val="24"/>
          <w:szCs w:val="24"/>
          <w:lang w:val="es-ES"/>
        </w:rPr>
        <w:t xml:space="preserve"> oficio con</w:t>
      </w:r>
      <w:r>
        <w:rPr>
          <w:rFonts w:ascii="Arial" w:eastAsia="Times New Roman" w:hAnsi="Arial" w:cs="Arial"/>
          <w:sz w:val="24"/>
          <w:szCs w:val="24"/>
          <w:lang w:val="es-ES"/>
        </w:rPr>
        <w:t xml:space="preserve"> número de control </w:t>
      </w:r>
      <w:r w:rsidR="00905B3B">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rPr>
        <w:t xml:space="preserve">, de diecinueve de febrero de dos mil diecinueve, </w:t>
      </w:r>
      <w:r>
        <w:rPr>
          <w:rFonts w:ascii="Arial" w:eastAsia="Times New Roman" w:hAnsi="Arial" w:cs="Arial"/>
          <w:sz w:val="24"/>
          <w:szCs w:val="24"/>
          <w:lang w:val="es-ES_tradnl" w:eastAsia="es-ES"/>
        </w:rPr>
        <w:t xml:space="preserve">emitido por la </w:t>
      </w:r>
      <w:r>
        <w:rPr>
          <w:rFonts w:ascii="Arial" w:hAnsi="Arial" w:cs="Arial"/>
          <w:sz w:val="24"/>
          <w:szCs w:val="24"/>
        </w:rPr>
        <w:t>Directora de Ingresos y Recaudación de la Secretaría de Finanzas del Gobierno del Estado,</w:t>
      </w:r>
      <w:r>
        <w:rPr>
          <w:rFonts w:ascii="Arial" w:eastAsia="Times New Roman" w:hAnsi="Arial" w:cs="Arial"/>
          <w:sz w:val="24"/>
          <w:szCs w:val="24"/>
        </w:rPr>
        <w:t xml:space="preserve"> </w:t>
      </w:r>
      <w:r>
        <w:rPr>
          <w:rFonts w:ascii="Arial" w:hAnsi="Arial" w:cs="Arial"/>
          <w:sz w:val="24"/>
          <w:szCs w:val="24"/>
        </w:rPr>
        <w:t xml:space="preserve">como quedo precisado en el considerando segundo de esta sentencia. - - - - - - - - - - - - - - - - - - - - - - - - - - - - - - </w:t>
      </w:r>
    </w:p>
    <w:p w:rsidR="00502263" w:rsidRDefault="00502263" w:rsidP="00502263">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restantes puntos controvertidos. - - - - -</w:t>
      </w:r>
    </w:p>
    <w:p w:rsidR="007670C3" w:rsidRDefault="00502263" w:rsidP="007670C3">
      <w:pPr>
        <w:pStyle w:val="Textoindependienteprimerasangra"/>
        <w:spacing w:line="360" w:lineRule="auto"/>
        <w:ind w:firstLine="567"/>
        <w:jc w:val="both"/>
        <w:rPr>
          <w:rFonts w:ascii="Arial" w:eastAsia="Arial Unicode MS" w:hAnsi="Arial" w:cs="Arial"/>
          <w:kern w:val="2"/>
          <w:sz w:val="24"/>
          <w:szCs w:val="24"/>
          <w:lang w:eastAsia="ar-SA"/>
        </w:rPr>
      </w:pPr>
      <w:r>
        <w:rPr>
          <w:rFonts w:ascii="Arial" w:hAnsi="Arial" w:cs="Arial"/>
          <w:b/>
          <w:sz w:val="25"/>
          <w:szCs w:val="25"/>
        </w:rPr>
        <w:t xml:space="preserve">CUARTO. </w:t>
      </w:r>
      <w:r w:rsidR="007670C3">
        <w:rPr>
          <w:rFonts w:ascii="Arial" w:eastAsia="Arial Unicode MS" w:hAnsi="Arial" w:cs="Arial"/>
          <w:b/>
          <w:kern w:val="2"/>
          <w:sz w:val="24"/>
          <w:szCs w:val="24"/>
          <w:lang w:eastAsia="ar-SA"/>
        </w:rPr>
        <w:t>NOTIFÍQUESE PERSONALMENTE A LA PARTE ACTORA Y POR CORREO ELECTRÓNICO A LA AUTORIDAD DEMANDADA</w:t>
      </w:r>
      <w:r w:rsidR="007670C3">
        <w:rPr>
          <w:rFonts w:ascii="Arial" w:eastAsia="Arial Unicode MS" w:hAnsi="Arial" w:cs="Arial"/>
          <w:kern w:val="2"/>
          <w:sz w:val="24"/>
          <w:szCs w:val="24"/>
          <w:lang w:eastAsia="ar-SA"/>
        </w:rPr>
        <w:t xml:space="preserve">, con fundamento en los artículos 170, 172 fracción I y 173 fracciones I y II, de la Ley de Procedimiento y Justicia Administrativa para el Estado de Oaxaca; artículo 107 del Código de Procedimientos Civiles del Estado; artículo 50 y 57 del Acuerdo General AG/TJAO/12/2020 del Pleno del Tribunal de Justicia Administrativa del Estado. - - - </w:t>
      </w:r>
    </w:p>
    <w:p w:rsidR="00502263" w:rsidRDefault="00502263" w:rsidP="007670C3">
      <w:pPr>
        <w:pStyle w:val="Textoindependienteprimerasangra"/>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w:t>
      </w:r>
      <w:r w:rsidR="00976155">
        <w:rPr>
          <w:rFonts w:ascii="Arial" w:hAnsi="Arial" w:cs="Arial"/>
          <w:sz w:val="24"/>
          <w:szCs w:val="24"/>
        </w:rPr>
        <w:t>s de esta Sala, quien autoriza y</w:t>
      </w:r>
      <w:r>
        <w:rPr>
          <w:rFonts w:ascii="Arial" w:hAnsi="Arial" w:cs="Arial"/>
          <w:sz w:val="24"/>
          <w:szCs w:val="24"/>
        </w:rPr>
        <w:t xml:space="preserve"> da fe. - - - - - - - - - - - - - - - - - - - - - - - - - - - - - - - - - - - - - - - - - - - - - - - - - - - - - - - </w:t>
      </w:r>
      <w:bookmarkStart w:id="0" w:name="_GoBack"/>
      <w:bookmarkEnd w:id="0"/>
    </w:p>
    <w:sectPr w:rsidR="00502263" w:rsidSect="00990F5A">
      <w:footerReference w:type="default" r:id="rId7"/>
      <w:headerReference w:type="first" r:id="rId8"/>
      <w:footerReference w:type="first" r:id="rId9"/>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A7D" w:rsidRDefault="007B2A7D" w:rsidP="000802F9">
      <w:pPr>
        <w:spacing w:after="0" w:line="240" w:lineRule="auto"/>
      </w:pPr>
      <w:r>
        <w:separator/>
      </w:r>
    </w:p>
  </w:endnote>
  <w:endnote w:type="continuationSeparator" w:id="0">
    <w:p w:rsidR="007B2A7D" w:rsidRDefault="007B2A7D"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059" w:rsidRDefault="00CF5059">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-1009650</wp:posOffset>
              </wp:positionH>
              <wp:positionV relativeFrom="paragraph">
                <wp:posOffset>-4898390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F5059" w:rsidRDefault="00CF5059" w:rsidP="00CF505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79.5pt;margin-top:-385.7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JRc0TrjAAAADgEAAA8AAABkcnMv&#10;ZG93bnJldi54bWxMj81OwzAQhO9IvIO1SFxQ6rh/aUKcCiGB6A0KgqubuEmEvQ62m4a3ZznBbUY7&#10;mv2m3E7WsFH70DuUIGYpMI21a3psJby9PiQbYCEqbJRxqCV86wDb6vKiVEXjzviix31sGZVgKJSE&#10;Lsah4DzUnbYqzNygkW5H562KZH3LG6/OVG4Nn6fpmlvVI33o1KDvO11/7k9Wwmb5NH6E3eL5vV4f&#10;TR5vsvHxy0t5fTXd3QKLeop/YfjFJ3SoiOngTtgEZiQkYpXTmEgqy8QSGGWSeS6AHUisxCIFXpX8&#10;/4zqBwAA//8DAFBLAQItABQABgAIAAAAIQC2gziS/gAAAOEBAAATAAAAAAAAAAAAAAAAAAAAAABb&#10;Q29udGVudF9UeXBlc10ueG1sUEsBAi0AFAAGAAgAAAAhADj9If/WAAAAlAEAAAsAAAAAAAAAAAAA&#10;AAAALwEAAF9yZWxzLy5yZWxzUEsBAi0AFAAGAAgAAAAhAMLqi/0xAgAAVwQAAA4AAAAAAAAAAAAA&#10;AAAALgIAAGRycy9lMm9Eb2MueG1sUEsBAi0AFAAGAAgAAAAhAJRc0TrjAAAADgEAAA8AAAAAAAAA&#10;AAAAAAAAiwQAAGRycy9kb3ducmV2LnhtbFBLBQYAAAAABAAEAPMAAACbBQAAAAA=&#10;">
              <v:textbox>
                <w:txbxContent>
                  <w:p w:rsidR="00CF5059" w:rsidRDefault="00CF5059" w:rsidP="00CF505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059" w:rsidRDefault="00CF5059">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-991235</wp:posOffset>
              </wp:positionH>
              <wp:positionV relativeFrom="paragraph">
                <wp:posOffset>-4040505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F5059" w:rsidRDefault="00CF5059" w:rsidP="00CF505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6" o:spid="_x0000_s1027" type="#_x0000_t202" style="position:absolute;margin-left:-78.05pt;margin-top:-318.1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Hbz05zjAAAADgEAAA8AAABkcnMv&#10;ZG93bnJldi54bWxMj8tOwzAQRfdI/IM1SGxQ6jzAaUOcCiGB6A7aCrZu7CYRfgTbTcPfM6xgd0dz&#10;dOdMvZ6NJpPyYXCWQ7ZIgSjbOjnYjsN+95QsgYQorBTaWcXhWwVYN5cXtaikO9s3NW1jR7DEhkpw&#10;6GMcK0pD2ysjwsKNyuLu6LwREUffUenFGcuNpnmaMmrEYPFCL0b12Kv2c3syHJa3L9NH2BSv7y07&#10;6lW8KafnL8/59dX8cA8kqjn+wfCrj+rQoNPBnawMRHNIsjuWIYuJFawAgkySsxzIAUNRliugTU3/&#10;v9H8AAAA//8DAFBLAQItABQABgAIAAAAIQC2gziS/gAAAOEBAAATAAAAAAAAAAAAAAAAAAAAAABb&#10;Q29udGVudF9UeXBlc10ueG1sUEsBAi0AFAAGAAgAAAAhADj9If/WAAAAlAEAAAsAAAAAAAAAAAAA&#10;AAAALwEAAF9yZWxzLy5yZWxzUEsBAi0AFAAGAAgAAAAhAIMmwMYxAgAAXgQAAA4AAAAAAAAAAAAA&#10;AAAALgIAAGRycy9lMm9Eb2MueG1sUEsBAi0AFAAGAAgAAAAhAHbz05zjAAAADgEAAA8AAAAAAAAA&#10;AAAAAAAAiwQAAGRycy9kb3ducmV2LnhtbFBLBQYAAAAABAAEAPMAAACbBQAAAAA=&#10;">
              <v:textbox>
                <w:txbxContent>
                  <w:p w:rsidR="00CF5059" w:rsidRDefault="00CF5059" w:rsidP="00CF505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A7D" w:rsidRDefault="007B2A7D" w:rsidP="000802F9">
      <w:pPr>
        <w:spacing w:after="0" w:line="240" w:lineRule="auto"/>
      </w:pPr>
      <w:r>
        <w:separator/>
      </w:r>
    </w:p>
  </w:footnote>
  <w:footnote w:type="continuationSeparator" w:id="0">
    <w:p w:rsidR="007B2A7D" w:rsidRDefault="007B2A7D"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764"/>
      <w:gridCol w:w="3338"/>
    </w:tblGrid>
    <w:tr w:rsidR="00C51C01" w:rsidRPr="00442AB4" w:rsidTr="00442AB4">
      <w:trPr>
        <w:trHeight w:val="141"/>
      </w:trPr>
      <w:tc>
        <w:tcPr>
          <w:tcW w:w="6102" w:type="dxa"/>
          <w:gridSpan w:val="2"/>
        </w:tcPr>
        <w:p w:rsidR="00C51C01" w:rsidRPr="00442AB4" w:rsidRDefault="00C51C01" w:rsidP="00AC6A85">
          <w:pPr>
            <w:pStyle w:val="Encabezado"/>
            <w:spacing w:line="276" w:lineRule="auto"/>
            <w:ind w:left="548"/>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rsidR="00990F5A" w:rsidRPr="00442AB4" w:rsidRDefault="00990F5A" w:rsidP="00AC6A85">
          <w:pPr>
            <w:pStyle w:val="Encabezado"/>
            <w:spacing w:line="276" w:lineRule="auto"/>
            <w:ind w:left="548"/>
            <w:jc w:val="both"/>
            <w:rPr>
              <w:rFonts w:ascii="Arial" w:hAnsi="Arial" w:cs="Arial"/>
              <w:b/>
              <w:sz w:val="21"/>
              <w:szCs w:val="21"/>
            </w:rPr>
          </w:pPr>
        </w:p>
      </w:tc>
    </w:tr>
    <w:tr w:rsidR="00C51C01" w:rsidRPr="00442AB4" w:rsidTr="00442AB4">
      <w:trPr>
        <w:trHeight w:val="305"/>
      </w:trPr>
      <w:tc>
        <w:tcPr>
          <w:tcW w:w="2764" w:type="dxa"/>
          <w:hideMark/>
        </w:tcPr>
        <w:p w:rsidR="00C51C01" w:rsidRPr="00442AB4" w:rsidRDefault="00C51C01" w:rsidP="00AC6A85">
          <w:pPr>
            <w:tabs>
              <w:tab w:val="center" w:pos="4419"/>
              <w:tab w:val="right" w:pos="8838"/>
            </w:tabs>
            <w:suppressAutoHyphens/>
            <w:spacing w:after="0" w:line="100" w:lineRule="atLeast"/>
            <w:ind w:left="548"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338" w:type="dxa"/>
          <w:hideMark/>
        </w:tcPr>
        <w:p w:rsidR="00C51C01" w:rsidRPr="00442AB4" w:rsidRDefault="00CB17A6" w:rsidP="00442AB4">
          <w:pPr>
            <w:tabs>
              <w:tab w:val="center" w:pos="4419"/>
              <w:tab w:val="right" w:pos="8838"/>
            </w:tabs>
            <w:suppressAutoHyphens/>
            <w:spacing w:after="0" w:line="100" w:lineRule="atLeast"/>
            <w:ind w:left="105" w:right="-391" w:hanging="102"/>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0</w:t>
          </w:r>
          <w:r w:rsidR="00502263">
            <w:rPr>
              <w:rFonts w:ascii="Arial" w:eastAsia="Times New Roman" w:hAnsi="Arial" w:cs="Arial"/>
              <w:bCs/>
              <w:iCs/>
              <w:caps/>
              <w:kern w:val="2"/>
              <w:sz w:val="21"/>
              <w:szCs w:val="21"/>
              <w:lang w:val="es-ES_tradnl" w:eastAsia="es-ES"/>
            </w:rPr>
            <w:t>037</w:t>
          </w:r>
          <w:r w:rsidRPr="00442AB4">
            <w:rPr>
              <w:rFonts w:ascii="Arial" w:eastAsia="Times New Roman" w:hAnsi="Arial" w:cs="Arial"/>
              <w:bCs/>
              <w:iCs/>
              <w:caps/>
              <w:kern w:val="2"/>
              <w:sz w:val="21"/>
              <w:szCs w:val="21"/>
              <w:lang w:val="es-ES_tradnl" w:eastAsia="es-ES"/>
            </w:rPr>
            <w:t>/201</w:t>
          </w:r>
          <w:r w:rsidR="00502263">
            <w:rPr>
              <w:rFonts w:ascii="Arial" w:eastAsia="Times New Roman" w:hAnsi="Arial" w:cs="Arial"/>
              <w:bCs/>
              <w:iCs/>
              <w:caps/>
              <w:kern w:val="2"/>
              <w:sz w:val="21"/>
              <w:szCs w:val="21"/>
              <w:lang w:val="es-ES_tradnl" w:eastAsia="es-ES"/>
            </w:rPr>
            <w:t>9</w:t>
          </w:r>
        </w:p>
        <w:p w:rsidR="00C51C01" w:rsidRPr="00442AB4" w:rsidRDefault="00C51C01" w:rsidP="00442AB4">
          <w:pPr>
            <w:tabs>
              <w:tab w:val="center" w:pos="4419"/>
              <w:tab w:val="right" w:pos="8838"/>
            </w:tabs>
            <w:suppressAutoHyphens/>
            <w:spacing w:after="0" w:line="100" w:lineRule="atLeast"/>
            <w:ind w:left="105" w:right="-391"/>
            <w:jc w:val="both"/>
            <w:rPr>
              <w:rFonts w:ascii="Arial" w:eastAsia="Times New Roman" w:hAnsi="Arial" w:cs="Arial"/>
              <w:bCs/>
              <w:iCs/>
              <w:caps/>
              <w:kern w:val="2"/>
              <w:sz w:val="21"/>
              <w:szCs w:val="21"/>
              <w:lang w:val="es-ES_tradnl" w:eastAsia="es-ES"/>
            </w:rPr>
          </w:pPr>
        </w:p>
      </w:tc>
    </w:tr>
    <w:tr w:rsidR="00C51C01" w:rsidRPr="00442AB4" w:rsidTr="00442AB4">
      <w:trPr>
        <w:trHeight w:val="15"/>
      </w:trPr>
      <w:tc>
        <w:tcPr>
          <w:tcW w:w="2764" w:type="dxa"/>
          <w:hideMark/>
        </w:tcPr>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338" w:type="dxa"/>
          <w:hideMark/>
        </w:tcPr>
        <w:p w:rsidR="00C51C01" w:rsidRPr="00442AB4" w:rsidRDefault="00CF5059"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C51C01" w:rsidRPr="00442AB4" w:rsidTr="00442AB4">
      <w:trPr>
        <w:trHeight w:val="346"/>
      </w:trPr>
      <w:tc>
        <w:tcPr>
          <w:tcW w:w="2764" w:type="dxa"/>
        </w:tcPr>
        <w:p w:rsidR="00990F5A" w:rsidRPr="00442AB4" w:rsidRDefault="00990F5A" w:rsidP="00990F5A">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w:t>
          </w:r>
          <w:r w:rsidR="00502263">
            <w:rPr>
              <w:rFonts w:ascii="Arial" w:eastAsia="Times New Roman" w:hAnsi="Arial" w:cs="Arial"/>
              <w:b/>
              <w:bCs/>
              <w:iCs/>
              <w:caps/>
              <w:kern w:val="2"/>
              <w:sz w:val="21"/>
              <w:szCs w:val="21"/>
              <w:lang w:val="es-ES_tradnl" w:eastAsia="es-ES"/>
            </w:rPr>
            <w:t>A</w:t>
          </w:r>
          <w:r w:rsidRPr="00442AB4">
            <w:rPr>
              <w:rFonts w:ascii="Arial" w:eastAsia="Times New Roman" w:hAnsi="Arial" w:cs="Arial"/>
              <w:b/>
              <w:bCs/>
              <w:iCs/>
              <w:caps/>
              <w:kern w:val="2"/>
              <w:sz w:val="21"/>
              <w:szCs w:val="21"/>
              <w:lang w:val="es-ES_tradnl" w:eastAsia="es-ES"/>
            </w:rPr>
            <w:t>:</w:t>
          </w: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990F5A" w:rsidRPr="00442AB4" w:rsidRDefault="00990F5A"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C51C01" w:rsidRPr="00442AB4"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C51C01" w:rsidRPr="00442AB4" w:rsidRDefault="00C51C01" w:rsidP="00AC6A85">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338" w:type="dxa"/>
        </w:tcPr>
        <w:p w:rsidR="00C51C01" w:rsidRPr="00442AB4" w:rsidRDefault="00C51C01"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C51C01" w:rsidRPr="00442AB4" w:rsidRDefault="00502263"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INGRESOS DE LA SECRETARÍA DE FINANZAS DEL ESTADO</w:t>
          </w:r>
        </w:p>
        <w:p w:rsidR="007E6ADB" w:rsidRPr="00442AB4" w:rsidRDefault="007E6ADB"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C51C01" w:rsidRPr="00442AB4" w:rsidRDefault="00C51C01"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rsidR="00C51C01" w:rsidRPr="00442AB4" w:rsidRDefault="00C51C01"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C51C01" w:rsidRPr="00442AB4" w:rsidRDefault="00C51C01" w:rsidP="00442AB4">
          <w:pPr>
            <w:suppressAutoHyphens/>
            <w:spacing w:after="0" w:line="100" w:lineRule="atLeast"/>
            <w:ind w:right="51"/>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rsidR="00C51C01" w:rsidRDefault="00C51C01" w:rsidP="0055436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33A3"/>
    <w:rsid w:val="00005B95"/>
    <w:rsid w:val="00010A4C"/>
    <w:rsid w:val="00010DD6"/>
    <w:rsid w:val="00010E73"/>
    <w:rsid w:val="0001231F"/>
    <w:rsid w:val="00020210"/>
    <w:rsid w:val="000213B5"/>
    <w:rsid w:val="00022A3D"/>
    <w:rsid w:val="00023BD6"/>
    <w:rsid w:val="0002592C"/>
    <w:rsid w:val="00032476"/>
    <w:rsid w:val="00036D9A"/>
    <w:rsid w:val="00046574"/>
    <w:rsid w:val="00050051"/>
    <w:rsid w:val="00057C92"/>
    <w:rsid w:val="000602FA"/>
    <w:rsid w:val="000607F6"/>
    <w:rsid w:val="00062FDE"/>
    <w:rsid w:val="0007126F"/>
    <w:rsid w:val="000802F9"/>
    <w:rsid w:val="00084826"/>
    <w:rsid w:val="000866C2"/>
    <w:rsid w:val="00087947"/>
    <w:rsid w:val="00087C89"/>
    <w:rsid w:val="000918FF"/>
    <w:rsid w:val="0009274E"/>
    <w:rsid w:val="00094779"/>
    <w:rsid w:val="000A0E23"/>
    <w:rsid w:val="000A16A0"/>
    <w:rsid w:val="000A2FF2"/>
    <w:rsid w:val="000A30AF"/>
    <w:rsid w:val="000A3193"/>
    <w:rsid w:val="000A3431"/>
    <w:rsid w:val="000A49A2"/>
    <w:rsid w:val="000A4F7A"/>
    <w:rsid w:val="000B373F"/>
    <w:rsid w:val="000B41D8"/>
    <w:rsid w:val="000B76BA"/>
    <w:rsid w:val="000C4FE1"/>
    <w:rsid w:val="000C7480"/>
    <w:rsid w:val="000C7B67"/>
    <w:rsid w:val="000E3BC2"/>
    <w:rsid w:val="000E723F"/>
    <w:rsid w:val="000F1EBA"/>
    <w:rsid w:val="00101CC7"/>
    <w:rsid w:val="00102452"/>
    <w:rsid w:val="0010251C"/>
    <w:rsid w:val="00104AC8"/>
    <w:rsid w:val="001061C8"/>
    <w:rsid w:val="0010754A"/>
    <w:rsid w:val="00107BEF"/>
    <w:rsid w:val="0011341D"/>
    <w:rsid w:val="001138D0"/>
    <w:rsid w:val="00126BAC"/>
    <w:rsid w:val="00131A9B"/>
    <w:rsid w:val="00132094"/>
    <w:rsid w:val="00132AB5"/>
    <w:rsid w:val="00133336"/>
    <w:rsid w:val="001349AA"/>
    <w:rsid w:val="00134E63"/>
    <w:rsid w:val="00135A39"/>
    <w:rsid w:val="00137D0D"/>
    <w:rsid w:val="00143147"/>
    <w:rsid w:val="0014746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3BFB"/>
    <w:rsid w:val="001A4503"/>
    <w:rsid w:val="001A6C41"/>
    <w:rsid w:val="001B0226"/>
    <w:rsid w:val="001B12D5"/>
    <w:rsid w:val="001B36F8"/>
    <w:rsid w:val="001C1604"/>
    <w:rsid w:val="001C41AA"/>
    <w:rsid w:val="001C45C8"/>
    <w:rsid w:val="001D25C9"/>
    <w:rsid w:val="001D348E"/>
    <w:rsid w:val="001D45A1"/>
    <w:rsid w:val="001D6088"/>
    <w:rsid w:val="001D6696"/>
    <w:rsid w:val="001E098E"/>
    <w:rsid w:val="001E0A2F"/>
    <w:rsid w:val="001E1D99"/>
    <w:rsid w:val="001E57CA"/>
    <w:rsid w:val="001F0533"/>
    <w:rsid w:val="001F474A"/>
    <w:rsid w:val="001F4CDE"/>
    <w:rsid w:val="001F78DA"/>
    <w:rsid w:val="002017F7"/>
    <w:rsid w:val="00201C7C"/>
    <w:rsid w:val="00207776"/>
    <w:rsid w:val="002112BE"/>
    <w:rsid w:val="0021263A"/>
    <w:rsid w:val="002146CF"/>
    <w:rsid w:val="00220AB3"/>
    <w:rsid w:val="00221220"/>
    <w:rsid w:val="00223237"/>
    <w:rsid w:val="00223700"/>
    <w:rsid w:val="00223D1E"/>
    <w:rsid w:val="0022510D"/>
    <w:rsid w:val="002256B3"/>
    <w:rsid w:val="002264B2"/>
    <w:rsid w:val="002375EF"/>
    <w:rsid w:val="00241902"/>
    <w:rsid w:val="002465D4"/>
    <w:rsid w:val="0025161A"/>
    <w:rsid w:val="0025463B"/>
    <w:rsid w:val="00256507"/>
    <w:rsid w:val="00256C3C"/>
    <w:rsid w:val="00260926"/>
    <w:rsid w:val="00264E1A"/>
    <w:rsid w:val="002701C7"/>
    <w:rsid w:val="002736F4"/>
    <w:rsid w:val="00277826"/>
    <w:rsid w:val="00282187"/>
    <w:rsid w:val="00286CA4"/>
    <w:rsid w:val="002901A1"/>
    <w:rsid w:val="00296F40"/>
    <w:rsid w:val="002A150B"/>
    <w:rsid w:val="002A7E02"/>
    <w:rsid w:val="002B5687"/>
    <w:rsid w:val="002B73D9"/>
    <w:rsid w:val="002C210A"/>
    <w:rsid w:val="002C5A03"/>
    <w:rsid w:val="002C6881"/>
    <w:rsid w:val="002C7209"/>
    <w:rsid w:val="002C78E3"/>
    <w:rsid w:val="002D42EA"/>
    <w:rsid w:val="002D6443"/>
    <w:rsid w:val="002E412A"/>
    <w:rsid w:val="002E4411"/>
    <w:rsid w:val="002F0657"/>
    <w:rsid w:val="002F167D"/>
    <w:rsid w:val="002F3138"/>
    <w:rsid w:val="002F3479"/>
    <w:rsid w:val="002F348E"/>
    <w:rsid w:val="002F4D02"/>
    <w:rsid w:val="002F54D6"/>
    <w:rsid w:val="002F56C1"/>
    <w:rsid w:val="002F77BF"/>
    <w:rsid w:val="003003E6"/>
    <w:rsid w:val="0030264A"/>
    <w:rsid w:val="00302FD0"/>
    <w:rsid w:val="00304F7F"/>
    <w:rsid w:val="00306F2E"/>
    <w:rsid w:val="0032072A"/>
    <w:rsid w:val="00321025"/>
    <w:rsid w:val="003211C7"/>
    <w:rsid w:val="00324B16"/>
    <w:rsid w:val="00327725"/>
    <w:rsid w:val="00331BD9"/>
    <w:rsid w:val="00336488"/>
    <w:rsid w:val="0034247F"/>
    <w:rsid w:val="0034628E"/>
    <w:rsid w:val="003527F4"/>
    <w:rsid w:val="00352A14"/>
    <w:rsid w:val="003547EF"/>
    <w:rsid w:val="00357852"/>
    <w:rsid w:val="00370F2F"/>
    <w:rsid w:val="00371525"/>
    <w:rsid w:val="003757E2"/>
    <w:rsid w:val="003840CD"/>
    <w:rsid w:val="003858E2"/>
    <w:rsid w:val="003912C5"/>
    <w:rsid w:val="003919E4"/>
    <w:rsid w:val="00392651"/>
    <w:rsid w:val="0039522E"/>
    <w:rsid w:val="003A39E6"/>
    <w:rsid w:val="003A71C0"/>
    <w:rsid w:val="003B111B"/>
    <w:rsid w:val="003B287E"/>
    <w:rsid w:val="003B5BFC"/>
    <w:rsid w:val="003C0C03"/>
    <w:rsid w:val="003C103B"/>
    <w:rsid w:val="003C3330"/>
    <w:rsid w:val="003C45CD"/>
    <w:rsid w:val="003D28C2"/>
    <w:rsid w:val="003D4270"/>
    <w:rsid w:val="003D56BD"/>
    <w:rsid w:val="003E196E"/>
    <w:rsid w:val="003E4E4E"/>
    <w:rsid w:val="003F0FB5"/>
    <w:rsid w:val="003F3A23"/>
    <w:rsid w:val="003F4409"/>
    <w:rsid w:val="003F6CC0"/>
    <w:rsid w:val="004015FF"/>
    <w:rsid w:val="00411095"/>
    <w:rsid w:val="00416DF5"/>
    <w:rsid w:val="00416FBC"/>
    <w:rsid w:val="0042377A"/>
    <w:rsid w:val="00423957"/>
    <w:rsid w:val="00426E95"/>
    <w:rsid w:val="004400D3"/>
    <w:rsid w:val="004420FA"/>
    <w:rsid w:val="00442AB4"/>
    <w:rsid w:val="00443A41"/>
    <w:rsid w:val="00446AAE"/>
    <w:rsid w:val="00450F4F"/>
    <w:rsid w:val="00452662"/>
    <w:rsid w:val="00452FAF"/>
    <w:rsid w:val="00453A0F"/>
    <w:rsid w:val="004543E0"/>
    <w:rsid w:val="00462BBC"/>
    <w:rsid w:val="0046494A"/>
    <w:rsid w:val="004659FE"/>
    <w:rsid w:val="00470CF3"/>
    <w:rsid w:val="00471A59"/>
    <w:rsid w:val="00474B1D"/>
    <w:rsid w:val="004764E3"/>
    <w:rsid w:val="00476F7F"/>
    <w:rsid w:val="004772EE"/>
    <w:rsid w:val="0048049C"/>
    <w:rsid w:val="00481C2C"/>
    <w:rsid w:val="004846FC"/>
    <w:rsid w:val="00491C0F"/>
    <w:rsid w:val="004922E9"/>
    <w:rsid w:val="00497F7B"/>
    <w:rsid w:val="004A58C7"/>
    <w:rsid w:val="004A63DD"/>
    <w:rsid w:val="004B01C2"/>
    <w:rsid w:val="004B3D0A"/>
    <w:rsid w:val="004B5190"/>
    <w:rsid w:val="004B74E0"/>
    <w:rsid w:val="004C1801"/>
    <w:rsid w:val="004C7D94"/>
    <w:rsid w:val="004D0EA5"/>
    <w:rsid w:val="004D0FD6"/>
    <w:rsid w:val="004D257F"/>
    <w:rsid w:val="004E3CEE"/>
    <w:rsid w:val="004E3D66"/>
    <w:rsid w:val="004E4252"/>
    <w:rsid w:val="004E7CB7"/>
    <w:rsid w:val="004F638E"/>
    <w:rsid w:val="004F6703"/>
    <w:rsid w:val="004F7F5E"/>
    <w:rsid w:val="00500D12"/>
    <w:rsid w:val="005017D2"/>
    <w:rsid w:val="00502263"/>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2B48"/>
    <w:rsid w:val="0054688D"/>
    <w:rsid w:val="00552029"/>
    <w:rsid w:val="00553B2F"/>
    <w:rsid w:val="00554367"/>
    <w:rsid w:val="00555E26"/>
    <w:rsid w:val="00557E22"/>
    <w:rsid w:val="0056431A"/>
    <w:rsid w:val="0056556E"/>
    <w:rsid w:val="005666BA"/>
    <w:rsid w:val="00570D25"/>
    <w:rsid w:val="0057251E"/>
    <w:rsid w:val="005748F8"/>
    <w:rsid w:val="00576CEF"/>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C0670"/>
    <w:rsid w:val="005C0E7B"/>
    <w:rsid w:val="005C472F"/>
    <w:rsid w:val="005C6A2E"/>
    <w:rsid w:val="005C7531"/>
    <w:rsid w:val="005E0976"/>
    <w:rsid w:val="005E37C8"/>
    <w:rsid w:val="005E48A0"/>
    <w:rsid w:val="005F08FE"/>
    <w:rsid w:val="005F28BA"/>
    <w:rsid w:val="005F6B3F"/>
    <w:rsid w:val="005F6F64"/>
    <w:rsid w:val="006025FA"/>
    <w:rsid w:val="006042A6"/>
    <w:rsid w:val="006064BF"/>
    <w:rsid w:val="0060796F"/>
    <w:rsid w:val="006112CF"/>
    <w:rsid w:val="00612DF2"/>
    <w:rsid w:val="0061535E"/>
    <w:rsid w:val="0062146A"/>
    <w:rsid w:val="00632DDD"/>
    <w:rsid w:val="006337A6"/>
    <w:rsid w:val="00645ECC"/>
    <w:rsid w:val="0064770F"/>
    <w:rsid w:val="006506C5"/>
    <w:rsid w:val="00651996"/>
    <w:rsid w:val="00652F4A"/>
    <w:rsid w:val="00654933"/>
    <w:rsid w:val="00654FAB"/>
    <w:rsid w:val="0065673F"/>
    <w:rsid w:val="00660888"/>
    <w:rsid w:val="00661008"/>
    <w:rsid w:val="00664FAB"/>
    <w:rsid w:val="006666A7"/>
    <w:rsid w:val="00673721"/>
    <w:rsid w:val="00674147"/>
    <w:rsid w:val="006851D9"/>
    <w:rsid w:val="00686F05"/>
    <w:rsid w:val="00694D2B"/>
    <w:rsid w:val="006A3A4C"/>
    <w:rsid w:val="006A4208"/>
    <w:rsid w:val="006A4517"/>
    <w:rsid w:val="006A4DCF"/>
    <w:rsid w:val="006A7982"/>
    <w:rsid w:val="006B2756"/>
    <w:rsid w:val="006B2F7E"/>
    <w:rsid w:val="006B545D"/>
    <w:rsid w:val="006B6C7A"/>
    <w:rsid w:val="006C00E0"/>
    <w:rsid w:val="006C24D9"/>
    <w:rsid w:val="006D19C3"/>
    <w:rsid w:val="006D795B"/>
    <w:rsid w:val="006E2B87"/>
    <w:rsid w:val="006E63B6"/>
    <w:rsid w:val="006E7AEB"/>
    <w:rsid w:val="006F122D"/>
    <w:rsid w:val="006F610A"/>
    <w:rsid w:val="006F7D7A"/>
    <w:rsid w:val="00700293"/>
    <w:rsid w:val="0070289B"/>
    <w:rsid w:val="00710383"/>
    <w:rsid w:val="00713133"/>
    <w:rsid w:val="00717D6F"/>
    <w:rsid w:val="00734B5B"/>
    <w:rsid w:val="00734EDF"/>
    <w:rsid w:val="00737091"/>
    <w:rsid w:val="00740890"/>
    <w:rsid w:val="00744C47"/>
    <w:rsid w:val="00751FCA"/>
    <w:rsid w:val="00753A87"/>
    <w:rsid w:val="0075795D"/>
    <w:rsid w:val="00763134"/>
    <w:rsid w:val="0076372F"/>
    <w:rsid w:val="007642E2"/>
    <w:rsid w:val="0076434E"/>
    <w:rsid w:val="007664FA"/>
    <w:rsid w:val="007670C3"/>
    <w:rsid w:val="00772CA0"/>
    <w:rsid w:val="00773591"/>
    <w:rsid w:val="00773C9C"/>
    <w:rsid w:val="007809E2"/>
    <w:rsid w:val="007901D2"/>
    <w:rsid w:val="00791B94"/>
    <w:rsid w:val="00791D2C"/>
    <w:rsid w:val="007A05B7"/>
    <w:rsid w:val="007A476D"/>
    <w:rsid w:val="007B0208"/>
    <w:rsid w:val="007B2A7D"/>
    <w:rsid w:val="007B5ECE"/>
    <w:rsid w:val="007C784B"/>
    <w:rsid w:val="007C7F70"/>
    <w:rsid w:val="007D1151"/>
    <w:rsid w:val="007D4323"/>
    <w:rsid w:val="007D4A8A"/>
    <w:rsid w:val="007D58C2"/>
    <w:rsid w:val="007E127F"/>
    <w:rsid w:val="007E2808"/>
    <w:rsid w:val="007E5879"/>
    <w:rsid w:val="007E6ADB"/>
    <w:rsid w:val="007E73B7"/>
    <w:rsid w:val="007F0FEA"/>
    <w:rsid w:val="007F21CD"/>
    <w:rsid w:val="00802BB5"/>
    <w:rsid w:val="00802FB1"/>
    <w:rsid w:val="00803159"/>
    <w:rsid w:val="0080433D"/>
    <w:rsid w:val="00811801"/>
    <w:rsid w:val="00817A48"/>
    <w:rsid w:val="008226E1"/>
    <w:rsid w:val="00823E0D"/>
    <w:rsid w:val="00834BD3"/>
    <w:rsid w:val="008356B4"/>
    <w:rsid w:val="00836E4B"/>
    <w:rsid w:val="00843BF6"/>
    <w:rsid w:val="008465D0"/>
    <w:rsid w:val="00847815"/>
    <w:rsid w:val="00851193"/>
    <w:rsid w:val="0086440A"/>
    <w:rsid w:val="008657DF"/>
    <w:rsid w:val="00867A7F"/>
    <w:rsid w:val="00867F9C"/>
    <w:rsid w:val="00874888"/>
    <w:rsid w:val="00875097"/>
    <w:rsid w:val="008812FC"/>
    <w:rsid w:val="0088685D"/>
    <w:rsid w:val="0089415A"/>
    <w:rsid w:val="00894971"/>
    <w:rsid w:val="008A050F"/>
    <w:rsid w:val="008A13FB"/>
    <w:rsid w:val="008A356B"/>
    <w:rsid w:val="008B25F7"/>
    <w:rsid w:val="008B2CB6"/>
    <w:rsid w:val="008B423A"/>
    <w:rsid w:val="008B6F66"/>
    <w:rsid w:val="008C108A"/>
    <w:rsid w:val="008C3427"/>
    <w:rsid w:val="008D04B1"/>
    <w:rsid w:val="008D3E85"/>
    <w:rsid w:val="008D5832"/>
    <w:rsid w:val="008D7AC0"/>
    <w:rsid w:val="008E36E7"/>
    <w:rsid w:val="008E548F"/>
    <w:rsid w:val="008E5A6F"/>
    <w:rsid w:val="008E6C3D"/>
    <w:rsid w:val="00905B3B"/>
    <w:rsid w:val="00907C28"/>
    <w:rsid w:val="00910358"/>
    <w:rsid w:val="00916DAB"/>
    <w:rsid w:val="00923533"/>
    <w:rsid w:val="00925CE9"/>
    <w:rsid w:val="00926F07"/>
    <w:rsid w:val="00927818"/>
    <w:rsid w:val="00931791"/>
    <w:rsid w:val="009321B2"/>
    <w:rsid w:val="009345C3"/>
    <w:rsid w:val="009376A7"/>
    <w:rsid w:val="009435C2"/>
    <w:rsid w:val="00944D16"/>
    <w:rsid w:val="0094663F"/>
    <w:rsid w:val="00950C2C"/>
    <w:rsid w:val="0095291A"/>
    <w:rsid w:val="00966AD2"/>
    <w:rsid w:val="0096789A"/>
    <w:rsid w:val="0097090A"/>
    <w:rsid w:val="0097093B"/>
    <w:rsid w:val="00972C1E"/>
    <w:rsid w:val="00974650"/>
    <w:rsid w:val="00976155"/>
    <w:rsid w:val="0098210D"/>
    <w:rsid w:val="00986F7E"/>
    <w:rsid w:val="00990F5A"/>
    <w:rsid w:val="0099509F"/>
    <w:rsid w:val="0099587F"/>
    <w:rsid w:val="009A010F"/>
    <w:rsid w:val="009A1420"/>
    <w:rsid w:val="009A3AD1"/>
    <w:rsid w:val="009A5DAF"/>
    <w:rsid w:val="009B14DC"/>
    <w:rsid w:val="009C2D10"/>
    <w:rsid w:val="009C3B0B"/>
    <w:rsid w:val="009C3C6E"/>
    <w:rsid w:val="009D0F9E"/>
    <w:rsid w:val="009D6CF5"/>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348DB"/>
    <w:rsid w:val="00A36C58"/>
    <w:rsid w:val="00A36DB6"/>
    <w:rsid w:val="00A4061C"/>
    <w:rsid w:val="00A458DB"/>
    <w:rsid w:val="00A517DA"/>
    <w:rsid w:val="00A535D1"/>
    <w:rsid w:val="00A56AE3"/>
    <w:rsid w:val="00A61B2A"/>
    <w:rsid w:val="00A64023"/>
    <w:rsid w:val="00A65083"/>
    <w:rsid w:val="00A67072"/>
    <w:rsid w:val="00A81822"/>
    <w:rsid w:val="00A81B6E"/>
    <w:rsid w:val="00A8250A"/>
    <w:rsid w:val="00A84079"/>
    <w:rsid w:val="00A8536C"/>
    <w:rsid w:val="00A95FAB"/>
    <w:rsid w:val="00AA35A7"/>
    <w:rsid w:val="00AB17BD"/>
    <w:rsid w:val="00AB29C3"/>
    <w:rsid w:val="00AB377E"/>
    <w:rsid w:val="00AB4447"/>
    <w:rsid w:val="00AB639F"/>
    <w:rsid w:val="00AB75D7"/>
    <w:rsid w:val="00AB7874"/>
    <w:rsid w:val="00AC3B45"/>
    <w:rsid w:val="00AC3EEA"/>
    <w:rsid w:val="00AC6A85"/>
    <w:rsid w:val="00AD12FE"/>
    <w:rsid w:val="00AF09C7"/>
    <w:rsid w:val="00AF4893"/>
    <w:rsid w:val="00B01DC6"/>
    <w:rsid w:val="00B056F5"/>
    <w:rsid w:val="00B05A68"/>
    <w:rsid w:val="00B05AD9"/>
    <w:rsid w:val="00B13672"/>
    <w:rsid w:val="00B166FF"/>
    <w:rsid w:val="00B17689"/>
    <w:rsid w:val="00B26E58"/>
    <w:rsid w:val="00B36603"/>
    <w:rsid w:val="00B37299"/>
    <w:rsid w:val="00B42A87"/>
    <w:rsid w:val="00B44059"/>
    <w:rsid w:val="00B46298"/>
    <w:rsid w:val="00B47B8B"/>
    <w:rsid w:val="00B50CBA"/>
    <w:rsid w:val="00B535D5"/>
    <w:rsid w:val="00B54C7D"/>
    <w:rsid w:val="00B5502A"/>
    <w:rsid w:val="00B55BBA"/>
    <w:rsid w:val="00B609BB"/>
    <w:rsid w:val="00B655B7"/>
    <w:rsid w:val="00B667B2"/>
    <w:rsid w:val="00B668FB"/>
    <w:rsid w:val="00B706E3"/>
    <w:rsid w:val="00B70FC2"/>
    <w:rsid w:val="00B72283"/>
    <w:rsid w:val="00B750B0"/>
    <w:rsid w:val="00B77DDF"/>
    <w:rsid w:val="00B842B8"/>
    <w:rsid w:val="00BA3979"/>
    <w:rsid w:val="00BA4832"/>
    <w:rsid w:val="00BA64AA"/>
    <w:rsid w:val="00BB0F86"/>
    <w:rsid w:val="00BB1319"/>
    <w:rsid w:val="00BB1DDD"/>
    <w:rsid w:val="00BB6180"/>
    <w:rsid w:val="00BB6C80"/>
    <w:rsid w:val="00BC70AF"/>
    <w:rsid w:val="00BD486B"/>
    <w:rsid w:val="00BD61D2"/>
    <w:rsid w:val="00BD7028"/>
    <w:rsid w:val="00BD737F"/>
    <w:rsid w:val="00BE1386"/>
    <w:rsid w:val="00BE265D"/>
    <w:rsid w:val="00BE3B1F"/>
    <w:rsid w:val="00BE7444"/>
    <w:rsid w:val="00BF06D6"/>
    <w:rsid w:val="00BF47E9"/>
    <w:rsid w:val="00C02416"/>
    <w:rsid w:val="00C02C2E"/>
    <w:rsid w:val="00C03DD5"/>
    <w:rsid w:val="00C068C1"/>
    <w:rsid w:val="00C07FFA"/>
    <w:rsid w:val="00C12F13"/>
    <w:rsid w:val="00C13A94"/>
    <w:rsid w:val="00C14C23"/>
    <w:rsid w:val="00C16467"/>
    <w:rsid w:val="00C223FD"/>
    <w:rsid w:val="00C27564"/>
    <w:rsid w:val="00C33F8E"/>
    <w:rsid w:val="00C41DBF"/>
    <w:rsid w:val="00C42DCB"/>
    <w:rsid w:val="00C506E3"/>
    <w:rsid w:val="00C51C01"/>
    <w:rsid w:val="00C51F13"/>
    <w:rsid w:val="00C54751"/>
    <w:rsid w:val="00C57DBA"/>
    <w:rsid w:val="00C61EC1"/>
    <w:rsid w:val="00C65510"/>
    <w:rsid w:val="00C65653"/>
    <w:rsid w:val="00C67FC7"/>
    <w:rsid w:val="00C73C9A"/>
    <w:rsid w:val="00C76837"/>
    <w:rsid w:val="00C80EAA"/>
    <w:rsid w:val="00C81805"/>
    <w:rsid w:val="00C92DD0"/>
    <w:rsid w:val="00C93BDF"/>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F4868"/>
    <w:rsid w:val="00CF5059"/>
    <w:rsid w:val="00D01C42"/>
    <w:rsid w:val="00D06BAD"/>
    <w:rsid w:val="00D164F6"/>
    <w:rsid w:val="00D3777D"/>
    <w:rsid w:val="00D40015"/>
    <w:rsid w:val="00D426A8"/>
    <w:rsid w:val="00D429D1"/>
    <w:rsid w:val="00D5077E"/>
    <w:rsid w:val="00D519B6"/>
    <w:rsid w:val="00D5212C"/>
    <w:rsid w:val="00D5596E"/>
    <w:rsid w:val="00D56A68"/>
    <w:rsid w:val="00D60819"/>
    <w:rsid w:val="00D60967"/>
    <w:rsid w:val="00D616DC"/>
    <w:rsid w:val="00D67B78"/>
    <w:rsid w:val="00D70E88"/>
    <w:rsid w:val="00D82A6A"/>
    <w:rsid w:val="00D9007B"/>
    <w:rsid w:val="00D90CB7"/>
    <w:rsid w:val="00D9112A"/>
    <w:rsid w:val="00D96CB8"/>
    <w:rsid w:val="00DA20D4"/>
    <w:rsid w:val="00DA40AE"/>
    <w:rsid w:val="00DA79DC"/>
    <w:rsid w:val="00DB004A"/>
    <w:rsid w:val="00DB2C1E"/>
    <w:rsid w:val="00DB3987"/>
    <w:rsid w:val="00DB5D37"/>
    <w:rsid w:val="00DB6AB9"/>
    <w:rsid w:val="00DB7469"/>
    <w:rsid w:val="00DB7564"/>
    <w:rsid w:val="00DC4600"/>
    <w:rsid w:val="00DC4712"/>
    <w:rsid w:val="00DC7E12"/>
    <w:rsid w:val="00DE1B41"/>
    <w:rsid w:val="00DE308F"/>
    <w:rsid w:val="00DE7983"/>
    <w:rsid w:val="00DF3F3C"/>
    <w:rsid w:val="00DF49A0"/>
    <w:rsid w:val="00DF62AD"/>
    <w:rsid w:val="00DF7050"/>
    <w:rsid w:val="00DF78A7"/>
    <w:rsid w:val="00E0571C"/>
    <w:rsid w:val="00E07372"/>
    <w:rsid w:val="00E113A5"/>
    <w:rsid w:val="00E177A3"/>
    <w:rsid w:val="00E20603"/>
    <w:rsid w:val="00E247F3"/>
    <w:rsid w:val="00E25E13"/>
    <w:rsid w:val="00E34830"/>
    <w:rsid w:val="00E34CD2"/>
    <w:rsid w:val="00E373B8"/>
    <w:rsid w:val="00E42E6A"/>
    <w:rsid w:val="00E4496F"/>
    <w:rsid w:val="00E5057D"/>
    <w:rsid w:val="00E5391E"/>
    <w:rsid w:val="00E53B6B"/>
    <w:rsid w:val="00E54166"/>
    <w:rsid w:val="00E5608D"/>
    <w:rsid w:val="00E56D68"/>
    <w:rsid w:val="00E61638"/>
    <w:rsid w:val="00E63963"/>
    <w:rsid w:val="00E67336"/>
    <w:rsid w:val="00E67351"/>
    <w:rsid w:val="00E67F40"/>
    <w:rsid w:val="00E83A47"/>
    <w:rsid w:val="00E8465E"/>
    <w:rsid w:val="00E85411"/>
    <w:rsid w:val="00E871C2"/>
    <w:rsid w:val="00E91482"/>
    <w:rsid w:val="00E91EE6"/>
    <w:rsid w:val="00E95930"/>
    <w:rsid w:val="00EA17A9"/>
    <w:rsid w:val="00EA7FB3"/>
    <w:rsid w:val="00EB5FD6"/>
    <w:rsid w:val="00EB7AA7"/>
    <w:rsid w:val="00EC311D"/>
    <w:rsid w:val="00EC68F8"/>
    <w:rsid w:val="00ED01BF"/>
    <w:rsid w:val="00ED414F"/>
    <w:rsid w:val="00ED56E5"/>
    <w:rsid w:val="00EE0507"/>
    <w:rsid w:val="00EE220A"/>
    <w:rsid w:val="00EE2CE9"/>
    <w:rsid w:val="00EE36F7"/>
    <w:rsid w:val="00EE4753"/>
    <w:rsid w:val="00EE503B"/>
    <w:rsid w:val="00EE5476"/>
    <w:rsid w:val="00EE5DF0"/>
    <w:rsid w:val="00EE7CEB"/>
    <w:rsid w:val="00EF03E0"/>
    <w:rsid w:val="00EF1415"/>
    <w:rsid w:val="00EF2BFB"/>
    <w:rsid w:val="00EF4FF0"/>
    <w:rsid w:val="00F012DA"/>
    <w:rsid w:val="00F02470"/>
    <w:rsid w:val="00F10DD4"/>
    <w:rsid w:val="00F14796"/>
    <w:rsid w:val="00F15264"/>
    <w:rsid w:val="00F16BBC"/>
    <w:rsid w:val="00F16DA3"/>
    <w:rsid w:val="00F20426"/>
    <w:rsid w:val="00F252BE"/>
    <w:rsid w:val="00F25F6F"/>
    <w:rsid w:val="00F27CC6"/>
    <w:rsid w:val="00F4367D"/>
    <w:rsid w:val="00F46B4F"/>
    <w:rsid w:val="00F50F8B"/>
    <w:rsid w:val="00F54DF3"/>
    <w:rsid w:val="00F55BE3"/>
    <w:rsid w:val="00F616CB"/>
    <w:rsid w:val="00F66155"/>
    <w:rsid w:val="00F67634"/>
    <w:rsid w:val="00F67DA4"/>
    <w:rsid w:val="00F7412F"/>
    <w:rsid w:val="00F75E09"/>
    <w:rsid w:val="00F760D3"/>
    <w:rsid w:val="00F766EF"/>
    <w:rsid w:val="00F83753"/>
    <w:rsid w:val="00F8513E"/>
    <w:rsid w:val="00F869C9"/>
    <w:rsid w:val="00F87F2B"/>
    <w:rsid w:val="00F968A6"/>
    <w:rsid w:val="00FA3F7B"/>
    <w:rsid w:val="00FA5A43"/>
    <w:rsid w:val="00FA5F9A"/>
    <w:rsid w:val="00FB5AB2"/>
    <w:rsid w:val="00FC0BB9"/>
    <w:rsid w:val="00FC3A41"/>
    <w:rsid w:val="00FD084C"/>
    <w:rsid w:val="00FD10FC"/>
    <w:rsid w:val="00FE2049"/>
    <w:rsid w:val="00FE38D8"/>
    <w:rsid w:val="00FE486F"/>
    <w:rsid w:val="00FE4F3E"/>
    <w:rsid w:val="00FE6C4E"/>
    <w:rsid w:val="00FF0B87"/>
    <w:rsid w:val="00FF3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263"/>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 w:id="209316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F860D-FAA9-4F65-B637-FC2353B39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2562</TotalTime>
  <Pages>8</Pages>
  <Words>4146</Words>
  <Characters>22805</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708</cp:revision>
  <cp:lastPrinted>2020-08-19T21:48:00Z</cp:lastPrinted>
  <dcterms:created xsi:type="dcterms:W3CDTF">2018-05-14T18:33:00Z</dcterms:created>
  <dcterms:modified xsi:type="dcterms:W3CDTF">2022-06-23T15:44:00Z</dcterms:modified>
</cp:coreProperties>
</file>