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8B5F0" w14:textId="77777777" w:rsidR="002A5A74" w:rsidRDefault="002A5A74" w:rsidP="002A5A74">
      <w:pPr>
        <w:spacing w:line="240" w:lineRule="auto"/>
        <w:ind w:left="2832"/>
        <w:jc w:val="both"/>
        <w:rPr>
          <w:rFonts w:ascii="Arial" w:hAnsi="Arial" w:cs="Arial"/>
          <w:b/>
          <w:sz w:val="26"/>
          <w:szCs w:val="26"/>
        </w:rPr>
      </w:pPr>
      <w:r>
        <w:rPr>
          <w:rFonts w:ascii="Arial" w:hAnsi="Arial" w:cs="Arial"/>
          <w:b/>
          <w:sz w:val="26"/>
          <w:szCs w:val="26"/>
        </w:rPr>
        <w:t>SALA SUPERIOR DEL TRIBUNAL DE JUSTICIA ADMINISTRATIVA DEL ESTADO DE OAXACA.</w:t>
      </w:r>
    </w:p>
    <w:p w14:paraId="422885F7" w14:textId="3C656614" w:rsidR="002A5A74" w:rsidRDefault="002A5A74" w:rsidP="002A5A74">
      <w:pPr>
        <w:spacing w:line="240" w:lineRule="auto"/>
        <w:ind w:left="2124" w:firstLine="708"/>
        <w:jc w:val="both"/>
        <w:rPr>
          <w:rFonts w:ascii="Arial" w:hAnsi="Arial" w:cs="Arial"/>
          <w:b/>
          <w:sz w:val="26"/>
          <w:szCs w:val="26"/>
        </w:rPr>
      </w:pPr>
      <w:r>
        <w:rPr>
          <w:rFonts w:ascii="Arial" w:hAnsi="Arial" w:cs="Arial"/>
          <w:b/>
          <w:sz w:val="26"/>
          <w:szCs w:val="26"/>
        </w:rPr>
        <w:t>RECURSO DE REVISIÓN: 0370/2019.</w:t>
      </w:r>
    </w:p>
    <w:p w14:paraId="27A81D0A" w14:textId="6775C77D" w:rsidR="002A5A74" w:rsidRDefault="002A5A74" w:rsidP="00AE3921">
      <w:pPr>
        <w:spacing w:after="0" w:line="240" w:lineRule="auto"/>
        <w:ind w:left="2832"/>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0083/2020 DE LA SEXTA SALA UNITARIA DE PRIMERA INSTANCIA.</w:t>
      </w:r>
    </w:p>
    <w:p w14:paraId="2C72FE5F" w14:textId="2C24BE51" w:rsidR="00AE3921" w:rsidRPr="00AE3921" w:rsidRDefault="00AE3921" w:rsidP="00AE3921">
      <w:pPr>
        <w:spacing w:line="240" w:lineRule="auto"/>
        <w:ind w:left="2832"/>
        <w:jc w:val="both"/>
        <w:rPr>
          <w:rFonts w:ascii="Arial" w:hAnsi="Arial" w:cs="Arial"/>
          <w:bCs/>
          <w:sz w:val="26"/>
          <w:szCs w:val="26"/>
        </w:rPr>
      </w:pPr>
      <w:r w:rsidRPr="00AE3921">
        <w:rPr>
          <w:rFonts w:ascii="Arial" w:hAnsi="Arial" w:cs="Arial"/>
          <w:bCs/>
          <w:sz w:val="26"/>
          <w:szCs w:val="26"/>
        </w:rPr>
        <w:t>(ANTES 104/2018 DE LA S</w:t>
      </w:r>
      <w:r w:rsidR="008B7DE7">
        <w:rPr>
          <w:rFonts w:ascii="Arial" w:hAnsi="Arial" w:cs="Arial"/>
          <w:bCs/>
          <w:sz w:val="26"/>
          <w:szCs w:val="26"/>
        </w:rPr>
        <w:t>É</w:t>
      </w:r>
      <w:r w:rsidRPr="00AE3921">
        <w:rPr>
          <w:rFonts w:ascii="Arial" w:hAnsi="Arial" w:cs="Arial"/>
          <w:bCs/>
          <w:sz w:val="26"/>
          <w:szCs w:val="26"/>
        </w:rPr>
        <w:t>PTIMA SALA UNITARIA DE PRIMERA INSTANCIA)</w:t>
      </w:r>
    </w:p>
    <w:p w14:paraId="776EC6F8" w14:textId="77777777" w:rsidR="002A5A74" w:rsidRDefault="002A5A74" w:rsidP="00AE3921">
      <w:pPr>
        <w:spacing w:line="240" w:lineRule="auto"/>
        <w:ind w:left="2832"/>
        <w:jc w:val="both"/>
        <w:rPr>
          <w:rFonts w:ascii="Arial" w:hAnsi="Arial" w:cs="Arial"/>
          <w:b/>
          <w:sz w:val="26"/>
          <w:szCs w:val="26"/>
        </w:rPr>
      </w:pPr>
      <w:r>
        <w:rPr>
          <w:rFonts w:ascii="Arial" w:hAnsi="Arial" w:cs="Arial"/>
          <w:b/>
          <w:sz w:val="26"/>
          <w:szCs w:val="26"/>
        </w:rPr>
        <w:t>PONENTE: MAGISTRADO MANUEL VELASCO ALCÁNTARA.</w:t>
      </w:r>
    </w:p>
    <w:p w14:paraId="6FD41D17" w14:textId="77777777" w:rsidR="002A5A74" w:rsidRDefault="002A5A74" w:rsidP="002A5A74">
      <w:pPr>
        <w:spacing w:before="240" w:line="360" w:lineRule="auto"/>
        <w:jc w:val="both"/>
        <w:rPr>
          <w:rFonts w:ascii="Arial" w:hAnsi="Arial" w:cs="Arial"/>
          <w:b/>
          <w:sz w:val="26"/>
          <w:szCs w:val="26"/>
        </w:rPr>
      </w:pPr>
    </w:p>
    <w:p w14:paraId="376CE515" w14:textId="55329D8E" w:rsidR="002A5A74" w:rsidRDefault="002A5A74" w:rsidP="002A5A74">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95A82">
        <w:rPr>
          <w:rFonts w:ascii="Arial" w:hAnsi="Arial" w:cs="Arial"/>
          <w:b/>
          <w:sz w:val="26"/>
          <w:szCs w:val="26"/>
        </w:rPr>
        <w:t>ONCE</w:t>
      </w:r>
      <w:r>
        <w:rPr>
          <w:rFonts w:ascii="Arial" w:hAnsi="Arial" w:cs="Arial"/>
          <w:b/>
          <w:sz w:val="26"/>
          <w:szCs w:val="26"/>
        </w:rPr>
        <w:t xml:space="preserve"> DE </w:t>
      </w:r>
      <w:r w:rsidR="00095A82">
        <w:rPr>
          <w:rFonts w:ascii="Arial" w:hAnsi="Arial" w:cs="Arial"/>
          <w:b/>
          <w:sz w:val="26"/>
          <w:szCs w:val="26"/>
        </w:rPr>
        <w:t>NOVIEMBRE</w:t>
      </w:r>
      <w:r>
        <w:rPr>
          <w:rFonts w:ascii="Arial" w:hAnsi="Arial" w:cs="Arial"/>
          <w:b/>
          <w:sz w:val="26"/>
          <w:szCs w:val="26"/>
        </w:rPr>
        <w:t xml:space="preserve"> DE DOS MIL VEINTIUNO. - - - - - - - - - - - - - - - - - - - - - - - - - - - - - - - - - - - - - - - </w:t>
      </w:r>
    </w:p>
    <w:p w14:paraId="679D157E" w14:textId="5F7357BE" w:rsidR="002A5A74" w:rsidRDefault="002A5A74" w:rsidP="00C673B9">
      <w:pPr>
        <w:spacing w:line="360" w:lineRule="auto"/>
        <w:ind w:firstLine="708"/>
        <w:jc w:val="both"/>
        <w:rPr>
          <w:rFonts w:ascii="Arial" w:hAnsi="Arial" w:cs="Arial"/>
          <w:sz w:val="26"/>
          <w:szCs w:val="26"/>
        </w:rPr>
      </w:pPr>
      <w:r>
        <w:rPr>
          <w:rFonts w:ascii="Arial" w:hAnsi="Arial" w:cs="Arial"/>
          <w:sz w:val="26"/>
          <w:szCs w:val="26"/>
        </w:rPr>
        <w:t xml:space="preserve">Se tiene por recibido el cuaderno de recurso de revisión </w:t>
      </w:r>
      <w:r>
        <w:rPr>
          <w:rFonts w:ascii="Arial" w:hAnsi="Arial" w:cs="Arial"/>
          <w:b/>
          <w:bCs/>
          <w:sz w:val="26"/>
          <w:szCs w:val="26"/>
        </w:rPr>
        <w:t>0370</w:t>
      </w:r>
      <w:r>
        <w:rPr>
          <w:rFonts w:ascii="Arial" w:hAnsi="Arial" w:cs="Arial"/>
          <w:b/>
          <w:sz w:val="26"/>
          <w:szCs w:val="26"/>
        </w:rPr>
        <w:t>/2019</w:t>
      </w:r>
      <w:r>
        <w:rPr>
          <w:rFonts w:ascii="Arial" w:hAnsi="Arial" w:cs="Arial"/>
          <w:sz w:val="26"/>
          <w:szCs w:val="26"/>
        </w:rPr>
        <w:t xml:space="preserve">, turnado por la Secretaría General de Acuerdos, con motivo del recurso de revisión interpuesto por </w:t>
      </w:r>
      <w:r w:rsidR="00C673B9">
        <w:rPr>
          <w:rFonts w:ascii="Arial" w:hAnsi="Arial" w:cs="Arial"/>
          <w:b/>
          <w:sz w:val="26"/>
          <w:szCs w:val="26"/>
        </w:rPr>
        <w:t xml:space="preserve">MAIRA CORTÉS REYNA, DIRECTORA DE LO CONTENCIOSO DE LA PROCURADURÍA  FISCAL DE LA SUBSECRETARÍA DE INGRESOS DE LA SECRETARÍA DE FINANZAS DEL </w:t>
      </w:r>
      <w:r w:rsidR="00C673B9" w:rsidRPr="00C673B9">
        <w:rPr>
          <w:rFonts w:ascii="Arial" w:hAnsi="Arial" w:cs="Arial"/>
          <w:b/>
          <w:sz w:val="26"/>
          <w:szCs w:val="26"/>
        </w:rPr>
        <w:t>PODER EJECUTIVO</w:t>
      </w:r>
      <w:r w:rsidR="00C673B9">
        <w:rPr>
          <w:rFonts w:ascii="Arial" w:hAnsi="Arial" w:cs="Arial"/>
          <w:b/>
          <w:sz w:val="26"/>
          <w:szCs w:val="26"/>
        </w:rPr>
        <w:t xml:space="preserve"> DEL ESTADO</w:t>
      </w:r>
      <w:r>
        <w:rPr>
          <w:rFonts w:ascii="Arial" w:hAnsi="Arial" w:cs="Arial"/>
          <w:b/>
          <w:sz w:val="26"/>
          <w:szCs w:val="26"/>
        </w:rPr>
        <w:t>,</w:t>
      </w:r>
      <w:r>
        <w:rPr>
          <w:rFonts w:ascii="Arial" w:hAnsi="Arial" w:cs="Arial"/>
          <w:sz w:val="26"/>
          <w:szCs w:val="26"/>
        </w:rPr>
        <w:t xml:space="preserve"> </w:t>
      </w:r>
      <w:r w:rsidR="008B7DE7">
        <w:rPr>
          <w:rFonts w:ascii="Arial" w:hAnsi="Arial" w:cs="Arial"/>
          <w:sz w:val="26"/>
          <w:szCs w:val="26"/>
        </w:rPr>
        <w:t xml:space="preserve">en contra de la sentencia de diecinueve de septiembre de dos mil diecinueve, dictada en el </w:t>
      </w:r>
      <w:r w:rsidR="0064330A">
        <w:rPr>
          <w:rFonts w:ascii="Arial" w:hAnsi="Arial" w:cs="Arial"/>
          <w:sz w:val="26"/>
          <w:szCs w:val="26"/>
        </w:rPr>
        <w:t>juicio de nulidad</w:t>
      </w:r>
      <w:r w:rsidR="008B7DE7">
        <w:rPr>
          <w:rFonts w:ascii="Arial" w:hAnsi="Arial" w:cs="Arial"/>
          <w:sz w:val="26"/>
          <w:szCs w:val="26"/>
        </w:rPr>
        <w:t xml:space="preserve"> </w:t>
      </w:r>
      <w:r w:rsidR="008B7DE7" w:rsidRPr="00734985">
        <w:rPr>
          <w:rFonts w:ascii="Arial" w:hAnsi="Arial" w:cs="Arial"/>
          <w:sz w:val="26"/>
          <w:szCs w:val="26"/>
        </w:rPr>
        <w:t xml:space="preserve">104/2018 </w:t>
      </w:r>
      <w:r w:rsidR="0064330A">
        <w:rPr>
          <w:rFonts w:ascii="Arial" w:hAnsi="Arial" w:cs="Arial"/>
          <w:sz w:val="26"/>
          <w:szCs w:val="26"/>
        </w:rPr>
        <w:t xml:space="preserve"> por la entonces </w:t>
      </w:r>
      <w:r w:rsidR="008B7DE7" w:rsidRPr="00734985">
        <w:rPr>
          <w:rFonts w:ascii="Arial" w:hAnsi="Arial" w:cs="Arial"/>
          <w:sz w:val="26"/>
          <w:szCs w:val="26"/>
        </w:rPr>
        <w:t>Séptima</w:t>
      </w:r>
      <w:r w:rsidR="008B7DE7">
        <w:rPr>
          <w:rFonts w:ascii="Arial" w:hAnsi="Arial" w:cs="Arial"/>
          <w:sz w:val="26"/>
          <w:szCs w:val="26"/>
        </w:rPr>
        <w:t xml:space="preserve"> Sala Unitaria de Primera Instancia</w:t>
      </w:r>
      <w:r w:rsidR="008B7DE7" w:rsidRPr="00A979D7">
        <w:rPr>
          <w:rFonts w:ascii="Arial" w:eastAsia="Calibri" w:hAnsi="Arial" w:cs="Arial"/>
          <w:sz w:val="26"/>
          <w:szCs w:val="26"/>
        </w:rPr>
        <w:t xml:space="preserve">, </w:t>
      </w:r>
      <w:r w:rsidR="00B01229">
        <w:rPr>
          <w:rFonts w:ascii="Arial" w:eastAsia="Calibri" w:hAnsi="Arial" w:cs="Arial"/>
          <w:sz w:val="26"/>
          <w:szCs w:val="26"/>
        </w:rPr>
        <w:t>actualmente 0083/2020 del índice de la Sexta Sala Unitaria de Primera Instancia</w:t>
      </w:r>
      <w:r w:rsidR="0098599D">
        <w:rPr>
          <w:rFonts w:ascii="Arial" w:eastAsia="Calibri" w:hAnsi="Arial" w:cs="Arial"/>
          <w:sz w:val="26"/>
          <w:szCs w:val="26"/>
        </w:rPr>
        <w:t xml:space="preserve">, </w:t>
      </w:r>
      <w:r w:rsidR="008B7DE7">
        <w:rPr>
          <w:rFonts w:ascii="Arial" w:eastAsia="Calibri" w:hAnsi="Arial" w:cs="Arial"/>
          <w:sz w:val="26"/>
          <w:szCs w:val="26"/>
        </w:rPr>
        <w:t xml:space="preserve">acorde a lo dispuesto en el Acuerdo General AG/TJAO/13/2020, del Pleno de este Tribunal, en el que se determinó </w:t>
      </w:r>
      <w:r w:rsidR="00D01E3E">
        <w:rPr>
          <w:rFonts w:ascii="Arial" w:eastAsia="Calibri" w:hAnsi="Arial" w:cs="Arial"/>
          <w:sz w:val="26"/>
          <w:szCs w:val="26"/>
        </w:rPr>
        <w:t xml:space="preserve">la reasignación del presente expediente </w:t>
      </w:r>
      <w:r>
        <w:rPr>
          <w:rFonts w:ascii="Arial" w:hAnsi="Arial" w:cs="Arial"/>
          <w:sz w:val="26"/>
          <w:szCs w:val="26"/>
        </w:rPr>
        <w:t xml:space="preserve">relativo al </w:t>
      </w:r>
      <w:r w:rsidR="00734985">
        <w:rPr>
          <w:rFonts w:ascii="Arial" w:hAnsi="Arial" w:cs="Arial"/>
          <w:sz w:val="26"/>
          <w:szCs w:val="26"/>
        </w:rPr>
        <w:t>J</w:t>
      </w:r>
      <w:r>
        <w:rPr>
          <w:rFonts w:ascii="Arial" w:hAnsi="Arial" w:cs="Arial"/>
          <w:sz w:val="26"/>
          <w:szCs w:val="26"/>
        </w:rPr>
        <w:t xml:space="preserve">uicio de </w:t>
      </w:r>
      <w:r w:rsidR="00734985">
        <w:rPr>
          <w:rFonts w:ascii="Arial" w:hAnsi="Arial" w:cs="Arial"/>
          <w:sz w:val="26"/>
          <w:szCs w:val="26"/>
        </w:rPr>
        <w:t>N</w:t>
      </w:r>
      <w:r>
        <w:rPr>
          <w:rFonts w:ascii="Arial" w:hAnsi="Arial" w:cs="Arial"/>
          <w:sz w:val="26"/>
          <w:szCs w:val="26"/>
        </w:rPr>
        <w:t>ulidad promovido por</w:t>
      </w:r>
      <w:r>
        <w:rPr>
          <w:rFonts w:ascii="Arial" w:hAnsi="Arial" w:cs="Arial"/>
          <w:b/>
          <w:sz w:val="26"/>
          <w:szCs w:val="26"/>
        </w:rPr>
        <w:t xml:space="preserve"> </w:t>
      </w:r>
      <w:r w:rsidR="00DF30F7">
        <w:rPr>
          <w:rFonts w:ascii="Arial" w:eastAsia="Calibri" w:hAnsi="Arial" w:cs="Arial"/>
          <w:b/>
          <w:sz w:val="26"/>
          <w:szCs w:val="26"/>
        </w:rPr>
        <w:t>***********</w:t>
      </w:r>
      <w:r>
        <w:rPr>
          <w:rFonts w:ascii="Arial" w:hAnsi="Arial" w:cs="Arial"/>
          <w:b/>
          <w:sz w:val="26"/>
          <w:szCs w:val="26"/>
        </w:rPr>
        <w:t xml:space="preserve">, </w:t>
      </w:r>
      <w:r>
        <w:rPr>
          <w:rFonts w:ascii="Arial" w:hAnsi="Arial" w:cs="Arial"/>
          <w:sz w:val="26"/>
          <w:szCs w:val="26"/>
        </w:rPr>
        <w:t xml:space="preserve">en contra de </w:t>
      </w:r>
      <w:r w:rsidR="00D01E3E">
        <w:rPr>
          <w:rFonts w:ascii="Arial" w:hAnsi="Arial" w:cs="Arial"/>
          <w:b/>
          <w:sz w:val="26"/>
          <w:szCs w:val="26"/>
        </w:rPr>
        <w:t>MAIRA CORTÉS REYNA, DIRECTORA DE LO CONTENCIOSO DE LA PROCURADURÍA  FISCAL DE LA SUBSECRETARÍA DE INGRESOS DE LA SECRETARÍA DE FINANZAS DEL PODER EJECUTIVO DEL ESTADO</w:t>
      </w:r>
      <w:r>
        <w:rPr>
          <w:rFonts w:ascii="Arial" w:hAnsi="Arial" w:cs="Arial"/>
          <w:b/>
          <w:sz w:val="26"/>
          <w:szCs w:val="26"/>
        </w:rPr>
        <w:t>;</w:t>
      </w:r>
      <w:r>
        <w:rPr>
          <w:rFonts w:ascii="Arial" w:hAnsi="Arial" w:cs="Arial"/>
          <w:sz w:val="26"/>
          <w:szCs w:val="26"/>
        </w:rPr>
        <w:t xml:space="preserve"> por lo que, con fundamento en los artículos 237 y 238 de la Ley de y Justicia Administrativa para el Estado de Oaxaca</w:t>
      </w:r>
      <w:r w:rsidR="00AB3B92">
        <w:rPr>
          <w:rFonts w:ascii="Arial" w:hAnsi="Arial" w:cs="Arial"/>
          <w:sz w:val="26"/>
          <w:szCs w:val="26"/>
        </w:rPr>
        <w:t>,</w:t>
      </w:r>
      <w:r>
        <w:rPr>
          <w:rFonts w:ascii="Arial" w:hAnsi="Arial" w:cs="Arial"/>
          <w:sz w:val="26"/>
          <w:szCs w:val="26"/>
        </w:rPr>
        <w:t xml:space="preserve"> vigente, se admite. Por consiguiente, se procede a dictar resolución en los siguientes </w:t>
      </w:r>
      <w:r w:rsidR="00515DD4">
        <w:rPr>
          <w:rFonts w:ascii="Arial" w:hAnsi="Arial" w:cs="Arial"/>
          <w:sz w:val="26"/>
          <w:szCs w:val="26"/>
        </w:rPr>
        <w:t xml:space="preserve">términos: </w:t>
      </w:r>
    </w:p>
    <w:p w14:paraId="104E6BD3" w14:textId="77777777" w:rsidR="002A5A74" w:rsidRDefault="002A5A74" w:rsidP="002A5A74">
      <w:pPr>
        <w:spacing w:line="360" w:lineRule="auto"/>
        <w:jc w:val="center"/>
        <w:rPr>
          <w:rFonts w:ascii="Arial" w:hAnsi="Arial" w:cs="Arial"/>
          <w:b/>
          <w:bCs/>
          <w:sz w:val="26"/>
          <w:szCs w:val="26"/>
        </w:rPr>
      </w:pPr>
      <w:r>
        <w:rPr>
          <w:rFonts w:ascii="Arial" w:hAnsi="Arial" w:cs="Arial"/>
          <w:b/>
          <w:bCs/>
          <w:sz w:val="26"/>
          <w:szCs w:val="26"/>
        </w:rPr>
        <w:t>R E S U L T A N D O</w:t>
      </w:r>
    </w:p>
    <w:p w14:paraId="2B8B4A75" w14:textId="6F0878DE" w:rsidR="002A5A74" w:rsidRDefault="002A5A74" w:rsidP="002A5A7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 diecinueve de septiembre de dos mil diecinueve, dictada por la S</w:t>
      </w:r>
      <w:r w:rsidR="0093294F">
        <w:rPr>
          <w:rFonts w:ascii="Arial" w:hAnsi="Arial" w:cs="Arial"/>
          <w:sz w:val="26"/>
          <w:szCs w:val="26"/>
        </w:rPr>
        <w:t xml:space="preserve">éptima Sala </w:t>
      </w:r>
      <w:r>
        <w:rPr>
          <w:rFonts w:ascii="Arial" w:hAnsi="Arial" w:cs="Arial"/>
          <w:sz w:val="26"/>
          <w:szCs w:val="26"/>
        </w:rPr>
        <w:t xml:space="preserve">Unitaria de Primera Instancia, </w:t>
      </w:r>
      <w:r w:rsidR="007C3289">
        <w:rPr>
          <w:rFonts w:ascii="Arial" w:hAnsi="Arial" w:cs="Arial"/>
          <w:b/>
          <w:sz w:val="26"/>
          <w:szCs w:val="26"/>
        </w:rPr>
        <w:t xml:space="preserve">MAIRA CORTÉS REYNA, DIRECTORA DE LO </w:t>
      </w:r>
      <w:r w:rsidR="007C3289">
        <w:rPr>
          <w:rFonts w:ascii="Arial" w:hAnsi="Arial" w:cs="Arial"/>
          <w:b/>
          <w:sz w:val="26"/>
          <w:szCs w:val="26"/>
        </w:rPr>
        <w:lastRenderedPageBreak/>
        <w:t xml:space="preserve">CONTENCIOSO DE LA PROCURADURÍA FISCAL DE LA SUBSECRETARÍA DE INGRESOS DE LA SECRETARÍA DE FINANZAS DEL PODER EJECUTIVO DEL ESTADO </w:t>
      </w:r>
      <w:r>
        <w:rPr>
          <w:rFonts w:ascii="Arial" w:hAnsi="Arial" w:cs="Arial"/>
          <w:sz w:val="26"/>
          <w:szCs w:val="26"/>
        </w:rPr>
        <w:t xml:space="preserve">interpuso en su contra </w:t>
      </w:r>
      <w:r w:rsidR="007E1A6E">
        <w:rPr>
          <w:rFonts w:ascii="Arial" w:hAnsi="Arial" w:cs="Arial"/>
          <w:sz w:val="26"/>
          <w:szCs w:val="26"/>
        </w:rPr>
        <w:t>R</w:t>
      </w:r>
      <w:r>
        <w:rPr>
          <w:rFonts w:ascii="Arial" w:hAnsi="Arial" w:cs="Arial"/>
          <w:sz w:val="26"/>
          <w:szCs w:val="26"/>
        </w:rPr>
        <w:t xml:space="preserve">ecurso de </w:t>
      </w:r>
      <w:r w:rsidR="007E1A6E">
        <w:rPr>
          <w:rFonts w:ascii="Arial" w:hAnsi="Arial" w:cs="Arial"/>
          <w:sz w:val="26"/>
          <w:szCs w:val="26"/>
        </w:rPr>
        <w:t>R</w:t>
      </w:r>
      <w:r>
        <w:rPr>
          <w:rFonts w:ascii="Arial" w:hAnsi="Arial" w:cs="Arial"/>
          <w:sz w:val="26"/>
          <w:szCs w:val="26"/>
        </w:rPr>
        <w:t>evisión.</w:t>
      </w:r>
      <w:r w:rsidR="00734985">
        <w:rPr>
          <w:rFonts w:ascii="Arial" w:hAnsi="Arial" w:cs="Arial"/>
          <w:sz w:val="26"/>
          <w:szCs w:val="26"/>
        </w:rPr>
        <w:t xml:space="preserve"> </w:t>
      </w:r>
      <w:r w:rsidR="00734985">
        <w:rPr>
          <w:rFonts w:ascii="Arial" w:hAnsi="Arial" w:cs="Arial"/>
          <w:bCs/>
          <w:iCs/>
          <w:sz w:val="26"/>
          <w:szCs w:val="26"/>
        </w:rPr>
        <w:t xml:space="preserve">- - - - - - - - - - - - - - </w:t>
      </w:r>
      <w:r w:rsidR="00E50D7D">
        <w:rPr>
          <w:rFonts w:ascii="Arial" w:hAnsi="Arial" w:cs="Arial"/>
          <w:bCs/>
          <w:iCs/>
          <w:sz w:val="26"/>
          <w:szCs w:val="26"/>
        </w:rPr>
        <w:t xml:space="preserve">- - - - - - - - - - - - - - - - - </w:t>
      </w:r>
    </w:p>
    <w:p w14:paraId="19B424F3" w14:textId="1F4DEDF6" w:rsidR="002A5A74" w:rsidRDefault="002A5A74" w:rsidP="002A5A74">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los siguientes:</w:t>
      </w:r>
      <w:r w:rsidR="00734985">
        <w:rPr>
          <w:rFonts w:ascii="Arial" w:hAnsi="Arial" w:cs="Arial"/>
          <w:bCs/>
          <w:sz w:val="26"/>
          <w:szCs w:val="26"/>
        </w:rPr>
        <w:t xml:space="preserve"> </w:t>
      </w:r>
      <w:r w:rsidR="00734985">
        <w:rPr>
          <w:rFonts w:ascii="Arial" w:hAnsi="Arial" w:cs="Arial"/>
          <w:bCs/>
          <w:iCs/>
          <w:sz w:val="26"/>
          <w:szCs w:val="26"/>
        </w:rPr>
        <w:t xml:space="preserve">- - - - - - - - - - - - - - - - - - - - - - - - - - - - - - - - - - - - - - - - - - </w:t>
      </w:r>
    </w:p>
    <w:p w14:paraId="2EFA4BD4" w14:textId="0007A502" w:rsidR="002A5A74" w:rsidRPr="00734985" w:rsidRDefault="002A5A74" w:rsidP="0093294F">
      <w:pPr>
        <w:ind w:left="567" w:right="616"/>
        <w:jc w:val="both"/>
        <w:rPr>
          <w:rFonts w:ascii="Arial" w:hAnsi="Arial" w:cs="Arial"/>
          <w:i/>
          <w:iCs/>
          <w:sz w:val="24"/>
          <w:szCs w:val="24"/>
        </w:rPr>
      </w:pPr>
      <w:r w:rsidRPr="00734985">
        <w:rPr>
          <w:rFonts w:ascii="Arial" w:hAnsi="Arial" w:cs="Arial"/>
          <w:b/>
          <w:bCs/>
          <w:i/>
          <w:iCs/>
          <w:sz w:val="24"/>
          <w:szCs w:val="24"/>
          <w:lang w:eastAsia="es-ES"/>
        </w:rPr>
        <w:t>“</w:t>
      </w:r>
      <w:r w:rsidR="00431BEE" w:rsidRPr="00734985">
        <w:rPr>
          <w:rFonts w:ascii="Arial" w:hAnsi="Arial" w:cs="Arial"/>
          <w:b/>
          <w:i/>
          <w:iCs/>
          <w:sz w:val="24"/>
          <w:szCs w:val="24"/>
        </w:rPr>
        <w:t>PRIMERO. -</w:t>
      </w:r>
      <w:r w:rsidRPr="00734985">
        <w:rPr>
          <w:rFonts w:ascii="Arial" w:hAnsi="Arial" w:cs="Arial"/>
          <w:b/>
          <w:i/>
          <w:iCs/>
          <w:sz w:val="24"/>
          <w:szCs w:val="24"/>
        </w:rPr>
        <w:t xml:space="preserve"> </w:t>
      </w:r>
      <w:r w:rsidRPr="00734985">
        <w:rPr>
          <w:rFonts w:ascii="Arial" w:hAnsi="Arial" w:cs="Arial"/>
          <w:i/>
          <w:iCs/>
          <w:sz w:val="24"/>
          <w:szCs w:val="24"/>
        </w:rPr>
        <w:t>Esta Séptima Sala Unitaria de Primera Instancia del Tribunal de Justicia Administrativa del Estado de Oaxaca, es legalmente competente para conocer y resolver del presente Juicio de Nulidad</w:t>
      </w:r>
      <w:r w:rsidR="0093294F" w:rsidRPr="00734985">
        <w:rPr>
          <w:rFonts w:ascii="Arial" w:hAnsi="Arial" w:cs="Arial"/>
          <w:i/>
          <w:iCs/>
          <w:sz w:val="24"/>
          <w:szCs w:val="24"/>
        </w:rPr>
        <w:t xml:space="preserve"> (sic)</w:t>
      </w:r>
      <w:r w:rsidRPr="00734985">
        <w:rPr>
          <w:rFonts w:ascii="Arial" w:hAnsi="Arial" w:cs="Arial"/>
          <w:i/>
          <w:iCs/>
          <w:sz w:val="24"/>
          <w:szCs w:val="24"/>
        </w:rPr>
        <w:t xml:space="preserve">. - - - - - - - - - - - - - - - - - - - </w:t>
      </w:r>
      <w:r w:rsidR="00CC3F23">
        <w:rPr>
          <w:rFonts w:ascii="Arial" w:hAnsi="Arial" w:cs="Arial"/>
          <w:i/>
          <w:iCs/>
          <w:sz w:val="24"/>
          <w:szCs w:val="24"/>
        </w:rPr>
        <w:t xml:space="preserve">- - - - - - - - - - - - - - - - - </w:t>
      </w:r>
    </w:p>
    <w:p w14:paraId="533BDDC7" w14:textId="1222F0A7" w:rsidR="002A5A74" w:rsidRPr="00734985" w:rsidRDefault="00431BEE" w:rsidP="0093294F">
      <w:pPr>
        <w:ind w:left="567" w:right="616"/>
        <w:jc w:val="both"/>
        <w:rPr>
          <w:rFonts w:ascii="Arial" w:hAnsi="Arial" w:cs="Arial"/>
          <w:i/>
          <w:iCs/>
          <w:sz w:val="24"/>
          <w:szCs w:val="24"/>
        </w:rPr>
      </w:pPr>
      <w:r w:rsidRPr="00734985">
        <w:rPr>
          <w:rFonts w:ascii="Arial" w:hAnsi="Arial" w:cs="Arial"/>
          <w:b/>
          <w:i/>
          <w:iCs/>
          <w:sz w:val="24"/>
          <w:szCs w:val="24"/>
        </w:rPr>
        <w:t>SEGUNDO. -</w:t>
      </w:r>
      <w:r w:rsidR="002A5A74" w:rsidRPr="00734985">
        <w:rPr>
          <w:rFonts w:ascii="Arial" w:hAnsi="Arial" w:cs="Arial"/>
          <w:i/>
          <w:iCs/>
          <w:sz w:val="24"/>
          <w:szCs w:val="24"/>
        </w:rPr>
        <w:t xml:space="preserve"> No se actualizó causal de improcedencia alguna, por lo que </w:t>
      </w:r>
      <w:r w:rsidR="002A5A74" w:rsidRPr="00734985">
        <w:rPr>
          <w:rFonts w:ascii="Arial" w:hAnsi="Arial" w:cs="Arial"/>
          <w:b/>
          <w:i/>
          <w:iCs/>
          <w:sz w:val="24"/>
          <w:szCs w:val="24"/>
        </w:rPr>
        <w:t xml:space="preserve">NO SE SOBRESEE EL JUICIO, </w:t>
      </w:r>
      <w:r w:rsidR="002A5A74" w:rsidRPr="00734985">
        <w:rPr>
          <w:rFonts w:ascii="Arial" w:hAnsi="Arial" w:cs="Arial"/>
          <w:i/>
          <w:iCs/>
          <w:sz w:val="24"/>
          <w:szCs w:val="24"/>
        </w:rPr>
        <w:t>lo anterior en términos del considerando QUINTO de esta resolución. -</w:t>
      </w:r>
      <w:r w:rsidR="0093294F" w:rsidRPr="00734985">
        <w:rPr>
          <w:rFonts w:ascii="Arial" w:hAnsi="Arial" w:cs="Arial"/>
          <w:i/>
          <w:iCs/>
          <w:sz w:val="24"/>
          <w:szCs w:val="24"/>
        </w:rPr>
        <w:t xml:space="preserve"> - - - - - - - - - - - - - - - - </w:t>
      </w:r>
    </w:p>
    <w:p w14:paraId="3AB80C5C" w14:textId="1C30349F" w:rsidR="002A5A74" w:rsidRPr="00734985" w:rsidRDefault="002A5A74" w:rsidP="0093294F">
      <w:pPr>
        <w:ind w:left="567" w:right="616"/>
        <w:jc w:val="both"/>
        <w:rPr>
          <w:rFonts w:ascii="Arial" w:hAnsi="Arial" w:cs="Arial"/>
          <w:i/>
          <w:iCs/>
          <w:sz w:val="24"/>
          <w:szCs w:val="24"/>
        </w:rPr>
      </w:pPr>
      <w:r w:rsidRPr="00734985">
        <w:rPr>
          <w:rFonts w:ascii="Arial" w:hAnsi="Arial" w:cs="Arial"/>
          <w:b/>
          <w:i/>
          <w:iCs/>
          <w:sz w:val="24"/>
          <w:szCs w:val="24"/>
        </w:rPr>
        <w:t xml:space="preserve">TERCERO.- </w:t>
      </w:r>
      <w:r w:rsidRPr="00734985">
        <w:rPr>
          <w:rFonts w:ascii="Arial" w:hAnsi="Arial" w:cs="Arial"/>
          <w:i/>
          <w:iCs/>
          <w:sz w:val="24"/>
          <w:szCs w:val="24"/>
        </w:rPr>
        <w:t>Se declara la</w:t>
      </w:r>
      <w:r w:rsidRPr="00734985">
        <w:rPr>
          <w:rFonts w:ascii="Arial" w:hAnsi="Arial" w:cs="Arial"/>
          <w:b/>
          <w:i/>
          <w:iCs/>
          <w:sz w:val="24"/>
          <w:szCs w:val="24"/>
        </w:rPr>
        <w:t xml:space="preserve"> NULIDAD </w:t>
      </w:r>
      <w:r w:rsidRPr="00734985">
        <w:rPr>
          <w:rFonts w:ascii="Arial" w:hAnsi="Arial" w:cs="Arial"/>
          <w:i/>
          <w:iCs/>
          <w:sz w:val="24"/>
          <w:szCs w:val="24"/>
        </w:rPr>
        <w:t>de la resolución con número de control 01MO49ER180901, expedida con fecha veintisiete de julio de dos mil dieciocho (27/07/2018), por la Directora de Ingresos y Recaudación de la Secretaría de Finanzas del Poder Ejecutivo del Estado, así como de la notificación de la misma efectuada a través del servicio postal mexicano (sic), y la multa impues</w:t>
      </w:r>
      <w:r w:rsidR="00DF30F7">
        <w:rPr>
          <w:rFonts w:ascii="Arial" w:hAnsi="Arial" w:cs="Arial"/>
          <w:i/>
          <w:iCs/>
          <w:sz w:val="24"/>
          <w:szCs w:val="24"/>
        </w:rPr>
        <w:t xml:space="preserve">ta a la actora, consistente en </w:t>
      </w:r>
      <w:r w:rsidR="00DF30F7">
        <w:rPr>
          <w:rFonts w:ascii="Arial" w:eastAsia="Calibri" w:hAnsi="Arial" w:cs="Arial"/>
          <w:b/>
          <w:sz w:val="26"/>
          <w:szCs w:val="26"/>
        </w:rPr>
        <w:t>***********</w:t>
      </w:r>
      <w:r w:rsidRPr="00734985">
        <w:rPr>
          <w:rFonts w:ascii="Arial" w:hAnsi="Arial" w:cs="Arial"/>
          <w:i/>
          <w:iCs/>
          <w:sz w:val="24"/>
          <w:szCs w:val="24"/>
        </w:rPr>
        <w:t xml:space="preserve">; lo anterior en términos precisados en el considerando SEXTO de esta resolución. - </w:t>
      </w:r>
    </w:p>
    <w:p w14:paraId="41BF02EF" w14:textId="285EB591" w:rsidR="002A5A74" w:rsidRPr="00734985" w:rsidRDefault="002A5A74" w:rsidP="0093294F">
      <w:pPr>
        <w:pStyle w:val="NormalWeb"/>
        <w:spacing w:before="0" w:beforeAutospacing="0" w:after="160" w:afterAutospacing="0"/>
        <w:ind w:left="567" w:right="616"/>
        <w:jc w:val="both"/>
        <w:rPr>
          <w:rFonts w:ascii="Arial" w:hAnsi="Arial" w:cs="Arial"/>
          <w:i/>
          <w:iCs/>
        </w:rPr>
      </w:pPr>
      <w:r w:rsidRPr="00734985">
        <w:rPr>
          <w:rFonts w:ascii="Arial" w:hAnsi="Arial" w:cs="Arial"/>
          <w:b/>
          <w:i/>
          <w:iCs/>
        </w:rPr>
        <w:t xml:space="preserve">CUARTO.- </w:t>
      </w:r>
      <w:r w:rsidRPr="00734985">
        <w:rPr>
          <w:rFonts w:ascii="Arial" w:hAnsi="Arial" w:cs="Arial"/>
          <w:i/>
          <w:iCs/>
        </w:rPr>
        <w:t xml:space="preserve">Conforme a lo dispuesto en el artículo 172 fracción I y 173 fracciones I y II, de la Ley de Procedimiento y Justicia Administrativa para el Estado de Oaxaca, </w:t>
      </w:r>
      <w:r w:rsidRPr="00734985">
        <w:rPr>
          <w:rFonts w:ascii="Arial" w:hAnsi="Arial" w:cs="Arial"/>
          <w:b/>
          <w:i/>
          <w:iCs/>
        </w:rPr>
        <w:t>NOTIFIQUESE PERSONALMENTE A LA PARTE ACTORA Y POR OFICIO A LA AUTORIDAD DEMANDADA. CÚMPLA</w:t>
      </w:r>
      <w:r w:rsidR="00C46F03" w:rsidRPr="00734985">
        <w:rPr>
          <w:rFonts w:ascii="Arial" w:hAnsi="Arial" w:cs="Arial"/>
          <w:b/>
          <w:i/>
          <w:iCs/>
        </w:rPr>
        <w:t>S</w:t>
      </w:r>
      <w:r w:rsidRPr="00734985">
        <w:rPr>
          <w:rFonts w:ascii="Arial" w:hAnsi="Arial" w:cs="Arial"/>
          <w:b/>
          <w:i/>
          <w:iCs/>
        </w:rPr>
        <w:t>E</w:t>
      </w:r>
      <w:r w:rsidRPr="00734985">
        <w:rPr>
          <w:rFonts w:ascii="Arial" w:hAnsi="Arial" w:cs="Arial"/>
          <w:b/>
          <w:bCs/>
          <w:i/>
          <w:iCs/>
          <w:color w:val="000000"/>
        </w:rPr>
        <w:t>.</w:t>
      </w:r>
      <w:r w:rsidR="00C46F03" w:rsidRPr="00734985">
        <w:rPr>
          <w:rFonts w:ascii="Arial" w:hAnsi="Arial" w:cs="Arial"/>
          <w:b/>
          <w:bCs/>
          <w:i/>
          <w:iCs/>
          <w:color w:val="000000"/>
        </w:rPr>
        <w:t xml:space="preserve"> - - - - - - - - - - - - - - - -</w:t>
      </w:r>
      <w:r w:rsidRPr="00734985">
        <w:rPr>
          <w:rFonts w:ascii="Arial" w:hAnsi="Arial" w:cs="Arial"/>
          <w:b/>
          <w:bCs/>
          <w:i/>
          <w:iCs/>
          <w:color w:val="000000"/>
        </w:rPr>
        <w:t>”</w:t>
      </w:r>
    </w:p>
    <w:p w14:paraId="57E058AC" w14:textId="323061CD" w:rsidR="002A5A74" w:rsidRDefault="002A5A74" w:rsidP="002A5A74">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54B6B41F" w14:textId="702B02D7" w:rsidR="002A5A74" w:rsidRPr="006C031E" w:rsidRDefault="002A5A74" w:rsidP="002A5A74">
      <w:pPr>
        <w:spacing w:before="240" w:line="360" w:lineRule="auto"/>
        <w:ind w:firstLine="708"/>
        <w:jc w:val="both"/>
        <w:rPr>
          <w:rFonts w:ascii="Arial" w:hAnsi="Arial" w:cs="Arial"/>
          <w:iCs/>
          <w:sz w:val="26"/>
          <w:szCs w:val="26"/>
        </w:rPr>
      </w:pP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conforme a lo dispuesto por los artículos 114 QUÁTER de la Constitución Política del Estado Libre y Soberano de Oaxaca; 1</w:t>
      </w:r>
      <w:r w:rsidR="00F208D3">
        <w:rPr>
          <w:rFonts w:ascii="Arial" w:hAnsi="Arial" w:cs="Arial"/>
          <w:bCs/>
          <w:iCs/>
          <w:sz w:val="26"/>
          <w:szCs w:val="26"/>
        </w:rPr>
        <w:t xml:space="preserve">, </w:t>
      </w:r>
      <w:r>
        <w:rPr>
          <w:rFonts w:ascii="Arial" w:hAnsi="Arial" w:cs="Arial"/>
          <w:bCs/>
          <w:iCs/>
          <w:sz w:val="26"/>
          <w:szCs w:val="26"/>
        </w:rPr>
        <w:t>párrafo segundo, 2, 4</w:t>
      </w:r>
      <w:r w:rsidR="00F208D3">
        <w:rPr>
          <w:rFonts w:ascii="Arial" w:hAnsi="Arial" w:cs="Arial"/>
          <w:bCs/>
          <w:iCs/>
          <w:sz w:val="26"/>
          <w:szCs w:val="26"/>
        </w:rPr>
        <w:t xml:space="preserve">, </w:t>
      </w:r>
      <w:r>
        <w:rPr>
          <w:rFonts w:ascii="Arial" w:hAnsi="Arial" w:cs="Arial"/>
          <w:bCs/>
          <w:iCs/>
          <w:sz w:val="26"/>
          <w:szCs w:val="26"/>
        </w:rPr>
        <w:t>fracción VIII, 23, 24</w:t>
      </w:r>
      <w:r w:rsidR="00F208D3">
        <w:rPr>
          <w:rFonts w:ascii="Arial" w:hAnsi="Arial" w:cs="Arial"/>
          <w:bCs/>
          <w:iCs/>
          <w:sz w:val="26"/>
          <w:szCs w:val="26"/>
        </w:rPr>
        <w:t>,</w:t>
      </w:r>
      <w:r>
        <w:rPr>
          <w:rFonts w:ascii="Arial" w:hAnsi="Arial" w:cs="Arial"/>
          <w:bCs/>
          <w:iCs/>
          <w:sz w:val="26"/>
          <w:szCs w:val="26"/>
        </w:rPr>
        <w:t xml:space="preserve"> fracción I, 25</w:t>
      </w:r>
      <w:r w:rsidR="00F208D3">
        <w:rPr>
          <w:rFonts w:ascii="Arial" w:hAnsi="Arial" w:cs="Arial"/>
          <w:bCs/>
          <w:iCs/>
          <w:sz w:val="26"/>
          <w:szCs w:val="26"/>
        </w:rPr>
        <w:t>,</w:t>
      </w:r>
      <w:r>
        <w:rPr>
          <w:rFonts w:ascii="Arial" w:hAnsi="Arial" w:cs="Arial"/>
          <w:bCs/>
          <w:iCs/>
          <w:sz w:val="26"/>
          <w:szCs w:val="26"/>
        </w:rPr>
        <w:t xml:space="preserve"> fracción I y 27 de la Ley Orgánica del Tribunal de Justicia Administrativa del Estado de Oaxaca, publicada en el Periódico Oficial del Estado de Oaxaca el siete de noviembre de dos mil diecinueve; 120</w:t>
      </w:r>
      <w:r>
        <w:rPr>
          <w:rFonts w:ascii="Arial" w:hAnsi="Arial" w:cs="Arial"/>
          <w:bCs/>
          <w:iCs/>
          <w:sz w:val="26"/>
          <w:szCs w:val="26"/>
          <w:lang w:eastAsia="es-ES"/>
        </w:rPr>
        <w:t>, 125, 127, 129,130</w:t>
      </w:r>
      <w:r w:rsidR="00F208D3">
        <w:rPr>
          <w:rFonts w:ascii="Arial" w:hAnsi="Arial" w:cs="Arial"/>
          <w:bCs/>
          <w:iCs/>
          <w:sz w:val="26"/>
          <w:szCs w:val="26"/>
          <w:lang w:eastAsia="es-ES"/>
        </w:rPr>
        <w:t>,</w:t>
      </w:r>
      <w:r>
        <w:rPr>
          <w:rFonts w:ascii="Arial" w:hAnsi="Arial" w:cs="Arial"/>
          <w:bCs/>
          <w:iCs/>
          <w:sz w:val="26"/>
          <w:szCs w:val="26"/>
          <w:lang w:eastAsia="es-ES"/>
        </w:rPr>
        <w:t xml:space="preserve"> fracción l, 131,231, 236</w:t>
      </w:r>
      <w:r w:rsidR="00F208D3">
        <w:rPr>
          <w:rFonts w:ascii="Arial" w:hAnsi="Arial" w:cs="Arial"/>
          <w:bCs/>
          <w:iCs/>
          <w:sz w:val="26"/>
          <w:szCs w:val="26"/>
          <w:lang w:eastAsia="es-ES"/>
        </w:rPr>
        <w:t>,</w:t>
      </w:r>
      <w:r>
        <w:rPr>
          <w:rFonts w:ascii="Arial" w:hAnsi="Arial" w:cs="Arial"/>
          <w:bCs/>
          <w:iCs/>
          <w:sz w:val="26"/>
          <w:szCs w:val="26"/>
          <w:lang w:eastAsia="es-ES"/>
        </w:rPr>
        <w:t xml:space="preserve"> </w:t>
      </w:r>
      <w:r w:rsidR="00F208D3">
        <w:rPr>
          <w:rFonts w:ascii="Arial" w:hAnsi="Arial" w:cs="Arial"/>
          <w:bCs/>
          <w:iCs/>
          <w:sz w:val="26"/>
          <w:szCs w:val="26"/>
          <w:lang w:eastAsia="es-ES"/>
        </w:rPr>
        <w:t xml:space="preserve">fracción VII </w:t>
      </w:r>
      <w:r>
        <w:rPr>
          <w:rFonts w:ascii="Arial" w:hAnsi="Arial" w:cs="Arial"/>
          <w:bCs/>
          <w:iCs/>
          <w:sz w:val="26"/>
          <w:szCs w:val="26"/>
          <w:lang w:eastAsia="es-ES"/>
        </w:rPr>
        <w:t xml:space="preserve">y 238 </w:t>
      </w:r>
      <w:r>
        <w:rPr>
          <w:rFonts w:ascii="Arial" w:hAnsi="Arial" w:cs="Arial"/>
          <w:bCs/>
          <w:iCs/>
          <w:sz w:val="26"/>
          <w:szCs w:val="26"/>
        </w:rPr>
        <w:t>de la Ley de Procedimiento y Justicia Administrativa para el Estado de Oaxaca</w:t>
      </w:r>
      <w:r w:rsidR="008F6A0D">
        <w:rPr>
          <w:rFonts w:ascii="Arial" w:hAnsi="Arial" w:cs="Arial"/>
          <w:bCs/>
          <w:iCs/>
          <w:sz w:val="26"/>
          <w:szCs w:val="26"/>
        </w:rPr>
        <w:t>;</w:t>
      </w:r>
      <w:r>
        <w:rPr>
          <w:rFonts w:ascii="Arial" w:hAnsi="Arial" w:cs="Arial"/>
          <w:bCs/>
          <w:iCs/>
          <w:sz w:val="26"/>
          <w:szCs w:val="26"/>
        </w:rPr>
        <w:t xml:space="preserve"> dado que se trata de un recurso de revisión interpuesto en contra de la sentencia de diecinueve de septiembre de dos mil diecinueve</w:t>
      </w:r>
      <w:r>
        <w:rPr>
          <w:rFonts w:ascii="Arial" w:hAnsi="Arial" w:cs="Arial"/>
          <w:sz w:val="26"/>
          <w:szCs w:val="26"/>
        </w:rPr>
        <w:t xml:space="preserve">, </w:t>
      </w:r>
      <w:r>
        <w:rPr>
          <w:rFonts w:ascii="Arial" w:hAnsi="Arial" w:cs="Arial"/>
          <w:bCs/>
          <w:iCs/>
          <w:sz w:val="26"/>
          <w:szCs w:val="26"/>
        </w:rPr>
        <w:t>dictada por la S</w:t>
      </w:r>
      <w:r w:rsidR="006C031E">
        <w:rPr>
          <w:rFonts w:ascii="Arial" w:hAnsi="Arial" w:cs="Arial"/>
          <w:bCs/>
          <w:iCs/>
          <w:sz w:val="26"/>
          <w:szCs w:val="26"/>
        </w:rPr>
        <w:t xml:space="preserve">éptima </w:t>
      </w:r>
      <w:r>
        <w:rPr>
          <w:rFonts w:ascii="Arial" w:hAnsi="Arial" w:cs="Arial"/>
          <w:bCs/>
          <w:iCs/>
          <w:sz w:val="26"/>
          <w:szCs w:val="26"/>
        </w:rPr>
        <w:t>Sala Unitaria de Primera Instancia de este Tribunal, en el juicio de nulidad</w:t>
      </w:r>
      <w:r w:rsidR="006C031E">
        <w:rPr>
          <w:rFonts w:ascii="Arial" w:hAnsi="Arial" w:cs="Arial"/>
          <w:bCs/>
          <w:iCs/>
          <w:sz w:val="26"/>
          <w:szCs w:val="26"/>
        </w:rPr>
        <w:t xml:space="preserve"> 104/2018, ahora </w:t>
      </w:r>
      <w:r>
        <w:rPr>
          <w:rFonts w:ascii="Arial" w:hAnsi="Arial" w:cs="Arial"/>
          <w:b/>
          <w:bCs/>
          <w:iCs/>
          <w:sz w:val="26"/>
          <w:szCs w:val="26"/>
        </w:rPr>
        <w:t>0083/2020</w:t>
      </w:r>
      <w:r w:rsidR="006C031E">
        <w:rPr>
          <w:rFonts w:ascii="Arial" w:hAnsi="Arial" w:cs="Arial"/>
          <w:b/>
          <w:bCs/>
          <w:iCs/>
          <w:sz w:val="26"/>
          <w:szCs w:val="26"/>
        </w:rPr>
        <w:t xml:space="preserve"> </w:t>
      </w:r>
      <w:r w:rsidR="006C031E" w:rsidRPr="006C031E">
        <w:rPr>
          <w:rFonts w:ascii="Arial" w:hAnsi="Arial" w:cs="Arial"/>
          <w:iCs/>
          <w:sz w:val="26"/>
          <w:szCs w:val="26"/>
        </w:rPr>
        <w:t>de la Sexta Sala Unitaria de Primera Instancia.</w:t>
      </w:r>
      <w:r w:rsidR="00D838A1">
        <w:rPr>
          <w:rFonts w:ascii="Arial" w:hAnsi="Arial" w:cs="Arial"/>
          <w:iCs/>
          <w:sz w:val="26"/>
          <w:szCs w:val="26"/>
        </w:rPr>
        <w:t xml:space="preserve"> </w:t>
      </w:r>
      <w:r w:rsidR="00D838A1">
        <w:rPr>
          <w:rFonts w:ascii="Arial" w:hAnsi="Arial" w:cs="Arial"/>
          <w:bCs/>
          <w:iCs/>
          <w:sz w:val="26"/>
          <w:szCs w:val="26"/>
        </w:rPr>
        <w:t xml:space="preserve">- - - - - - - - - - - - - - - - - - - - - - - - - - - - - - - - - - - - - - - - - - - - - </w:t>
      </w:r>
    </w:p>
    <w:p w14:paraId="0028E9D9" w14:textId="5A85EBD0" w:rsidR="002A5A74" w:rsidRDefault="002A5A74" w:rsidP="002A5A74">
      <w:pPr>
        <w:shd w:val="clear" w:color="auto" w:fill="FFFFFF"/>
        <w:spacing w:line="360" w:lineRule="auto"/>
        <w:ind w:firstLine="567"/>
        <w:jc w:val="both"/>
        <w:rPr>
          <w:rFonts w:ascii="Arial" w:hAnsi="Arial" w:cs="Arial"/>
          <w:sz w:val="26"/>
          <w:szCs w:val="26"/>
        </w:rPr>
      </w:pPr>
      <w:r>
        <w:rPr>
          <w:rFonts w:ascii="Arial" w:hAnsi="Arial" w:cs="Arial"/>
          <w:b/>
          <w:sz w:val="26"/>
          <w:szCs w:val="26"/>
        </w:rPr>
        <w:lastRenderedPageBreak/>
        <w:t>SEGUNDO</w:t>
      </w:r>
      <w:r>
        <w:rPr>
          <w:rFonts w:ascii="Arial" w:hAnsi="Arial" w:cs="Arial"/>
          <w:sz w:val="26"/>
          <w:szCs w:val="26"/>
        </w:rPr>
        <w:t xml:space="preserve">. </w:t>
      </w:r>
      <w:r w:rsidR="00616098">
        <w:rPr>
          <w:rFonts w:ascii="Arial" w:hAnsi="Arial" w:cs="Arial"/>
          <w:sz w:val="26"/>
          <w:szCs w:val="26"/>
        </w:rPr>
        <w:t xml:space="preserve">Los agravios </w:t>
      </w:r>
      <w:r>
        <w:rPr>
          <w:rFonts w:ascii="Arial" w:hAnsi="Arial" w:cs="Arial"/>
          <w:sz w:val="26"/>
          <w:szCs w:val="26"/>
        </w:rPr>
        <w:t>hecho</w:t>
      </w:r>
      <w:r w:rsidR="00616098">
        <w:rPr>
          <w:rFonts w:ascii="Arial" w:hAnsi="Arial" w:cs="Arial"/>
          <w:sz w:val="26"/>
          <w:szCs w:val="26"/>
        </w:rPr>
        <w:t>s</w:t>
      </w:r>
      <w:r>
        <w:rPr>
          <w:rFonts w:ascii="Arial" w:hAnsi="Arial" w:cs="Arial"/>
          <w:sz w:val="26"/>
          <w:szCs w:val="26"/>
        </w:rPr>
        <w:t xml:space="preserve"> valer se encuentra</w:t>
      </w:r>
      <w:r w:rsidR="00616098">
        <w:rPr>
          <w:rFonts w:ascii="Arial" w:hAnsi="Arial" w:cs="Arial"/>
          <w:sz w:val="26"/>
          <w:szCs w:val="26"/>
        </w:rPr>
        <w:t>n</w:t>
      </w:r>
      <w:r>
        <w:rPr>
          <w:rFonts w:ascii="Arial" w:hAnsi="Arial" w:cs="Arial"/>
          <w:sz w:val="26"/>
          <w:szCs w:val="26"/>
        </w:rPr>
        <w:t xml:space="preserve"> expuesto</w:t>
      </w:r>
      <w:r w:rsidR="00616098">
        <w:rPr>
          <w:rFonts w:ascii="Arial" w:hAnsi="Arial" w:cs="Arial"/>
          <w:sz w:val="26"/>
          <w:szCs w:val="26"/>
        </w:rPr>
        <w:t>s</w:t>
      </w:r>
      <w:r>
        <w:rPr>
          <w:rFonts w:ascii="Arial" w:hAnsi="Arial" w:cs="Arial"/>
          <w:sz w:val="26"/>
          <w:szCs w:val="26"/>
        </w:rPr>
        <w:t xml:space="preserve"> en el escrito respectivo de la recurrente, por lo que no existe necesidad de transcribirlo</w:t>
      </w:r>
      <w:r w:rsidR="00616098">
        <w:rPr>
          <w:rFonts w:ascii="Arial" w:hAnsi="Arial" w:cs="Arial"/>
          <w:sz w:val="26"/>
          <w:szCs w:val="26"/>
        </w:rPr>
        <w:t>s</w:t>
      </w:r>
      <w:r>
        <w:rPr>
          <w:rFonts w:ascii="Arial" w:hAnsi="Arial" w:cs="Arial"/>
          <w:sz w:val="26"/>
          <w:szCs w:val="26"/>
        </w:rPr>
        <w:t xml:space="preserve">, al no transgredírsele derecho alguno, como tampoco se vulnera disposición expresa que imponga tal obligación. </w:t>
      </w:r>
      <w:r w:rsidR="00DE07A2">
        <w:rPr>
          <w:rFonts w:ascii="Arial" w:hAnsi="Arial" w:cs="Arial"/>
          <w:bCs/>
          <w:iCs/>
          <w:sz w:val="26"/>
          <w:szCs w:val="26"/>
        </w:rPr>
        <w:t xml:space="preserve">- - - - - - - - - - - </w:t>
      </w:r>
    </w:p>
    <w:p w14:paraId="3C9FE27A" w14:textId="5672F7F4" w:rsidR="002A5A74" w:rsidRDefault="002A5A74" w:rsidP="002A5A74">
      <w:pPr>
        <w:shd w:val="clear" w:color="auto" w:fill="FFFFFF"/>
        <w:spacing w:line="360" w:lineRule="auto"/>
        <w:ind w:firstLine="567"/>
        <w:jc w:val="both"/>
        <w:rPr>
          <w:rFonts w:ascii="Arial" w:hAnsi="Arial" w:cs="Arial"/>
          <w:bCs/>
          <w:sz w:val="26"/>
          <w:szCs w:val="26"/>
        </w:rPr>
      </w:pPr>
      <w:r>
        <w:rPr>
          <w:rFonts w:ascii="Arial" w:hAnsi="Arial" w:cs="Arial"/>
          <w:bCs/>
          <w:sz w:val="26"/>
          <w:szCs w:val="26"/>
        </w:rPr>
        <w:t xml:space="preserve">Se invoca en apoyo a lo anterior,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B87087">
        <w:rPr>
          <w:rFonts w:ascii="Arial" w:hAnsi="Arial" w:cs="Arial"/>
          <w:bCs/>
          <w:iCs/>
          <w:sz w:val="26"/>
          <w:szCs w:val="26"/>
        </w:rPr>
        <w:t xml:space="preserve">- - - - - - - - - - - - - - - - - - - - - </w:t>
      </w:r>
    </w:p>
    <w:p w14:paraId="5CC04873" w14:textId="3CEE11B9" w:rsidR="002A5A74" w:rsidRPr="004D55B0" w:rsidRDefault="002A5A74" w:rsidP="002A5A74">
      <w:pPr>
        <w:spacing w:before="240" w:after="0" w:line="240" w:lineRule="auto"/>
        <w:ind w:left="709" w:right="616"/>
        <w:jc w:val="both"/>
        <w:rPr>
          <w:rFonts w:ascii="Arial" w:eastAsia="Times New Roman" w:hAnsi="Arial" w:cs="Arial"/>
          <w:i/>
          <w:iCs/>
          <w:sz w:val="24"/>
          <w:szCs w:val="24"/>
        </w:rPr>
      </w:pPr>
      <w:r w:rsidRPr="004D55B0">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4D55B0">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D55B0">
        <w:rPr>
          <w:rFonts w:ascii="Arial" w:eastAsia="Times New Roman" w:hAnsi="Arial" w:cs="Arial"/>
          <w:i/>
          <w:iCs/>
          <w:sz w:val="24"/>
          <w:szCs w:val="24"/>
        </w:rPr>
        <w:t xml:space="preserve"> </w:t>
      </w:r>
      <w:r w:rsidR="004D55B0">
        <w:rPr>
          <w:rFonts w:ascii="Arial" w:hAnsi="Arial" w:cs="Arial"/>
          <w:bCs/>
          <w:iCs/>
          <w:sz w:val="26"/>
          <w:szCs w:val="26"/>
        </w:rPr>
        <w:t xml:space="preserve">- - - - - - - - - - - - - - - - - - - - - - - - - - - - - - - - - - - </w:t>
      </w:r>
    </w:p>
    <w:p w14:paraId="367C7812" w14:textId="5F497F8E" w:rsidR="00F62312" w:rsidRDefault="002A5A74" w:rsidP="002A5A74">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Arguye la inconforme, </w:t>
      </w:r>
      <w:r w:rsidR="00E77984">
        <w:rPr>
          <w:rFonts w:ascii="Arial" w:eastAsia="Calibri" w:hAnsi="Arial" w:cs="Arial"/>
          <w:bCs/>
          <w:sz w:val="26"/>
          <w:szCs w:val="26"/>
        </w:rPr>
        <w:t xml:space="preserve">en la primera parte de su único agravio, </w:t>
      </w:r>
      <w:r>
        <w:rPr>
          <w:rFonts w:ascii="Arial" w:eastAsia="Calibri" w:hAnsi="Arial" w:cs="Arial"/>
          <w:bCs/>
          <w:sz w:val="26"/>
          <w:szCs w:val="26"/>
        </w:rPr>
        <w:t xml:space="preserve">que la sentencia que combate </w:t>
      </w:r>
      <w:r w:rsidR="00810507">
        <w:rPr>
          <w:rFonts w:ascii="Arial" w:eastAsia="Calibri" w:hAnsi="Arial" w:cs="Arial"/>
          <w:bCs/>
          <w:sz w:val="26"/>
          <w:szCs w:val="26"/>
        </w:rPr>
        <w:t>es</w:t>
      </w:r>
      <w:r>
        <w:rPr>
          <w:rFonts w:ascii="Arial" w:eastAsia="Calibri" w:hAnsi="Arial" w:cs="Arial"/>
          <w:bCs/>
          <w:sz w:val="26"/>
          <w:szCs w:val="26"/>
        </w:rPr>
        <w:t xml:space="preserve"> ilegal, </w:t>
      </w:r>
      <w:r w:rsidR="00810507">
        <w:rPr>
          <w:rFonts w:ascii="Arial" w:eastAsia="Calibri" w:hAnsi="Arial" w:cs="Arial"/>
          <w:bCs/>
          <w:sz w:val="26"/>
          <w:szCs w:val="26"/>
        </w:rPr>
        <w:t>al considerar que no se encuentra debidamente fundada y motivada</w:t>
      </w:r>
      <w:r w:rsidR="003F57A9">
        <w:rPr>
          <w:rFonts w:ascii="Arial" w:eastAsia="Calibri" w:hAnsi="Arial" w:cs="Arial"/>
          <w:bCs/>
          <w:sz w:val="26"/>
          <w:szCs w:val="26"/>
        </w:rPr>
        <w:t xml:space="preserve">; </w:t>
      </w:r>
      <w:r w:rsidR="00F62312">
        <w:rPr>
          <w:rFonts w:ascii="Arial" w:eastAsia="Calibri" w:hAnsi="Arial" w:cs="Arial"/>
          <w:bCs/>
          <w:sz w:val="26"/>
          <w:szCs w:val="26"/>
        </w:rPr>
        <w:t>además</w:t>
      </w:r>
      <w:r w:rsidR="00C61BDC">
        <w:rPr>
          <w:rFonts w:ascii="Arial" w:eastAsia="Calibri" w:hAnsi="Arial" w:cs="Arial"/>
          <w:bCs/>
          <w:sz w:val="26"/>
          <w:szCs w:val="26"/>
        </w:rPr>
        <w:t xml:space="preserve">, menciona que </w:t>
      </w:r>
      <w:r w:rsidR="003F57A9">
        <w:rPr>
          <w:rFonts w:ascii="Arial" w:eastAsia="Calibri" w:hAnsi="Arial" w:cs="Arial"/>
          <w:bCs/>
          <w:sz w:val="26"/>
          <w:szCs w:val="26"/>
        </w:rPr>
        <w:t>la resolutora</w:t>
      </w:r>
      <w:r w:rsidR="00390A54">
        <w:rPr>
          <w:rFonts w:ascii="Arial" w:eastAsia="Calibri" w:hAnsi="Arial" w:cs="Arial"/>
          <w:bCs/>
          <w:sz w:val="26"/>
          <w:szCs w:val="26"/>
        </w:rPr>
        <w:t xml:space="preserve"> </w:t>
      </w:r>
      <w:r w:rsidR="00F62312">
        <w:rPr>
          <w:rFonts w:ascii="Arial" w:eastAsia="Calibri" w:hAnsi="Arial" w:cs="Arial"/>
          <w:bCs/>
          <w:sz w:val="26"/>
          <w:szCs w:val="26"/>
        </w:rPr>
        <w:t>varió los planteamientos de la parte actora</w:t>
      </w:r>
      <w:r w:rsidR="00C61BDC">
        <w:rPr>
          <w:rFonts w:ascii="Arial" w:eastAsia="Calibri" w:hAnsi="Arial" w:cs="Arial"/>
          <w:bCs/>
          <w:sz w:val="26"/>
          <w:szCs w:val="26"/>
        </w:rPr>
        <w:t xml:space="preserve">, </w:t>
      </w:r>
      <w:r w:rsidR="00F62312">
        <w:rPr>
          <w:rFonts w:ascii="Arial" w:eastAsia="Calibri" w:hAnsi="Arial" w:cs="Arial"/>
          <w:bCs/>
          <w:sz w:val="26"/>
          <w:szCs w:val="26"/>
        </w:rPr>
        <w:t xml:space="preserve">por lo </w:t>
      </w:r>
      <w:r w:rsidR="00390A54">
        <w:rPr>
          <w:rFonts w:ascii="Arial" w:eastAsia="Calibri" w:hAnsi="Arial" w:cs="Arial"/>
          <w:bCs/>
          <w:sz w:val="26"/>
          <w:szCs w:val="26"/>
        </w:rPr>
        <w:t xml:space="preserve">cual </w:t>
      </w:r>
      <w:r w:rsidR="00F62312">
        <w:rPr>
          <w:rFonts w:ascii="Arial" w:eastAsia="Calibri" w:hAnsi="Arial" w:cs="Arial"/>
          <w:bCs/>
          <w:sz w:val="26"/>
          <w:szCs w:val="26"/>
        </w:rPr>
        <w:t xml:space="preserve">incumplió el principio de congruencia, </w:t>
      </w:r>
      <w:r w:rsidR="00C61BDC">
        <w:rPr>
          <w:rFonts w:ascii="Arial" w:eastAsia="Calibri" w:hAnsi="Arial" w:cs="Arial"/>
          <w:bCs/>
          <w:sz w:val="26"/>
          <w:szCs w:val="26"/>
        </w:rPr>
        <w:t xml:space="preserve">y se </w:t>
      </w:r>
      <w:r w:rsidR="00F62312">
        <w:rPr>
          <w:rFonts w:ascii="Arial" w:eastAsia="Calibri" w:hAnsi="Arial" w:cs="Arial"/>
          <w:bCs/>
          <w:sz w:val="26"/>
          <w:szCs w:val="26"/>
        </w:rPr>
        <w:t>extralimitó al analiza</w:t>
      </w:r>
      <w:r w:rsidR="00C13F71">
        <w:rPr>
          <w:rFonts w:ascii="Arial" w:eastAsia="Calibri" w:hAnsi="Arial" w:cs="Arial"/>
          <w:bCs/>
          <w:sz w:val="26"/>
          <w:szCs w:val="26"/>
        </w:rPr>
        <w:t>r</w:t>
      </w:r>
      <w:r w:rsidR="00F62312">
        <w:rPr>
          <w:rFonts w:ascii="Arial" w:eastAsia="Calibri" w:hAnsi="Arial" w:cs="Arial"/>
          <w:bCs/>
          <w:sz w:val="26"/>
          <w:szCs w:val="26"/>
        </w:rPr>
        <w:t xml:space="preserve"> el procedimiento estipulado en el artículo 113 del Código Fiscal para el Estado de Oaxaca, </w:t>
      </w:r>
      <w:r w:rsidR="00C61BDC">
        <w:rPr>
          <w:rFonts w:ascii="Arial" w:eastAsia="Calibri" w:hAnsi="Arial" w:cs="Arial"/>
          <w:bCs/>
          <w:sz w:val="26"/>
          <w:szCs w:val="26"/>
        </w:rPr>
        <w:t>que no fue</w:t>
      </w:r>
      <w:r w:rsidR="00F62312">
        <w:rPr>
          <w:rFonts w:ascii="Arial" w:eastAsia="Calibri" w:hAnsi="Arial" w:cs="Arial"/>
          <w:bCs/>
          <w:sz w:val="26"/>
          <w:szCs w:val="26"/>
        </w:rPr>
        <w:t xml:space="preserve"> planteado por la actora</w:t>
      </w:r>
      <w:r w:rsidR="00C61BDC">
        <w:rPr>
          <w:rFonts w:ascii="Arial" w:eastAsia="Calibri" w:hAnsi="Arial" w:cs="Arial"/>
          <w:bCs/>
          <w:sz w:val="26"/>
          <w:szCs w:val="26"/>
        </w:rPr>
        <w:t xml:space="preserve"> en su demanda.</w:t>
      </w:r>
      <w:r w:rsidR="00300FF7">
        <w:rPr>
          <w:rFonts w:ascii="Arial" w:eastAsia="Calibri" w:hAnsi="Arial" w:cs="Arial"/>
          <w:bCs/>
          <w:sz w:val="26"/>
          <w:szCs w:val="26"/>
        </w:rPr>
        <w:t xml:space="preserve">- </w:t>
      </w:r>
    </w:p>
    <w:p w14:paraId="2223AAEB" w14:textId="51A2C817" w:rsidR="00782D39" w:rsidRDefault="00782D39" w:rsidP="00782D39">
      <w:pPr>
        <w:spacing w:before="240" w:after="240" w:line="360" w:lineRule="auto"/>
        <w:ind w:firstLine="708"/>
        <w:jc w:val="both"/>
        <w:rPr>
          <w:rFonts w:ascii="Arial" w:hAnsi="Arial" w:cs="Arial"/>
          <w:sz w:val="26"/>
          <w:szCs w:val="26"/>
        </w:rPr>
      </w:pPr>
      <w:r>
        <w:rPr>
          <w:rFonts w:ascii="Arial" w:eastAsia="Calibri" w:hAnsi="Arial" w:cs="Arial"/>
          <w:bCs/>
          <w:sz w:val="26"/>
          <w:szCs w:val="26"/>
        </w:rPr>
        <w:t xml:space="preserve">Es </w:t>
      </w:r>
      <w:r w:rsidRPr="00782D39">
        <w:rPr>
          <w:rFonts w:ascii="Arial" w:eastAsia="Calibri" w:hAnsi="Arial" w:cs="Arial"/>
          <w:b/>
          <w:sz w:val="26"/>
          <w:szCs w:val="26"/>
        </w:rPr>
        <w:t>infundado</w:t>
      </w:r>
      <w:r>
        <w:rPr>
          <w:rFonts w:ascii="Arial" w:eastAsia="Calibri" w:hAnsi="Arial" w:cs="Arial"/>
          <w:bCs/>
          <w:sz w:val="26"/>
          <w:szCs w:val="26"/>
        </w:rPr>
        <w:t xml:space="preserve"> el agravio expresado por la autoridad recurrente</w:t>
      </w:r>
      <w:r w:rsidR="00B432C1">
        <w:rPr>
          <w:rFonts w:ascii="Arial" w:eastAsia="Calibri" w:hAnsi="Arial" w:cs="Arial"/>
          <w:bCs/>
          <w:sz w:val="26"/>
          <w:szCs w:val="26"/>
        </w:rPr>
        <w:t>,</w:t>
      </w:r>
      <w:r w:rsidRPr="00782D39">
        <w:rPr>
          <w:rFonts w:ascii="Arial" w:hAnsi="Arial" w:cs="Arial"/>
          <w:sz w:val="26"/>
          <w:szCs w:val="26"/>
        </w:rPr>
        <w:t xml:space="preserve"> </w:t>
      </w:r>
      <w:r>
        <w:rPr>
          <w:rFonts w:ascii="Arial" w:hAnsi="Arial" w:cs="Arial"/>
          <w:sz w:val="26"/>
          <w:szCs w:val="26"/>
        </w:rPr>
        <w:t xml:space="preserve">tomando en consideración que, de las constancias de autos que fueron remitidas para la substanciación del presente asunto, que hacen prueba plena en términos del artículo 203, fracción I, de la Ley de Procedimiento </w:t>
      </w:r>
      <w:r>
        <w:rPr>
          <w:rFonts w:ascii="Arial" w:hAnsi="Arial" w:cs="Arial"/>
          <w:sz w:val="26"/>
          <w:szCs w:val="26"/>
        </w:rPr>
        <w:lastRenderedPageBreak/>
        <w:t>y Justicia Administrativa para el Estado de Oaxaca, por tratarse de actuaciones judiciales; a fojas cuarenta y nueve a cincuenta y tres, se advierte la sentencia impugnada</w:t>
      </w:r>
      <w:r w:rsidR="003F57A9">
        <w:rPr>
          <w:rFonts w:ascii="Arial" w:hAnsi="Arial" w:cs="Arial"/>
          <w:sz w:val="26"/>
          <w:szCs w:val="26"/>
        </w:rPr>
        <w:t>,</w:t>
      </w:r>
      <w:r>
        <w:rPr>
          <w:rFonts w:ascii="Arial" w:hAnsi="Arial" w:cs="Arial"/>
          <w:sz w:val="26"/>
          <w:szCs w:val="26"/>
        </w:rPr>
        <w:t xml:space="preserve"> en cuyo considerando sexto la </w:t>
      </w:r>
      <w:r w:rsidR="003F57A9">
        <w:rPr>
          <w:rFonts w:ascii="Arial" w:hAnsi="Arial" w:cs="Arial"/>
          <w:sz w:val="26"/>
          <w:szCs w:val="26"/>
        </w:rPr>
        <w:t>S</w:t>
      </w:r>
      <w:r>
        <w:rPr>
          <w:rFonts w:ascii="Arial" w:hAnsi="Arial" w:cs="Arial"/>
          <w:sz w:val="26"/>
          <w:szCs w:val="26"/>
        </w:rPr>
        <w:t xml:space="preserve">ala Unitaria determinó lo siguiente: </w:t>
      </w:r>
      <w:r w:rsidR="001F2A38">
        <w:rPr>
          <w:rFonts w:ascii="Arial" w:hAnsi="Arial" w:cs="Arial"/>
          <w:bCs/>
          <w:iCs/>
          <w:sz w:val="26"/>
          <w:szCs w:val="26"/>
        </w:rPr>
        <w:t xml:space="preserve">- - - - - - - - - - - - - - - - - - - - - - - - - - - - - </w:t>
      </w:r>
    </w:p>
    <w:p w14:paraId="4D60B4B7" w14:textId="77777777" w:rsidR="00782D39" w:rsidRPr="00EE27E6" w:rsidRDefault="00782D39" w:rsidP="00782D39">
      <w:pPr>
        <w:ind w:left="567" w:right="616" w:firstLine="141"/>
        <w:jc w:val="both"/>
        <w:rPr>
          <w:rFonts w:ascii="Arial" w:hAnsi="Arial" w:cs="Arial"/>
          <w:i/>
          <w:iCs/>
          <w:sz w:val="24"/>
          <w:szCs w:val="24"/>
        </w:rPr>
      </w:pPr>
      <w:r w:rsidRPr="00EE27E6">
        <w:rPr>
          <w:rFonts w:ascii="Arial" w:hAnsi="Arial" w:cs="Arial"/>
          <w:i/>
          <w:iCs/>
          <w:sz w:val="24"/>
          <w:szCs w:val="24"/>
        </w:rPr>
        <w:t>“</w:t>
      </w:r>
      <w:r w:rsidRPr="00EE27E6">
        <w:rPr>
          <w:rFonts w:ascii="Arial" w:hAnsi="Arial" w:cs="Arial"/>
          <w:b/>
          <w:i/>
          <w:iCs/>
          <w:sz w:val="24"/>
          <w:szCs w:val="24"/>
        </w:rPr>
        <w:t xml:space="preserve">SEXTO.- </w:t>
      </w:r>
      <w:r w:rsidRPr="00EE27E6">
        <w:rPr>
          <w:rFonts w:ascii="Arial" w:hAnsi="Arial" w:cs="Arial"/>
          <w:i/>
          <w:iCs/>
          <w:sz w:val="24"/>
          <w:szCs w:val="24"/>
        </w:rPr>
        <w:t xml:space="preserve">Esta Juzgadora toma en cuenta las pruebas aportadas en este Juicio, así como la postura de las partes, datos con los que es posible concluir que son </w:t>
      </w:r>
      <w:r w:rsidRPr="00EE27E6">
        <w:rPr>
          <w:rFonts w:ascii="Arial" w:hAnsi="Arial" w:cs="Arial"/>
          <w:b/>
          <w:i/>
          <w:iCs/>
          <w:sz w:val="24"/>
          <w:szCs w:val="24"/>
        </w:rPr>
        <w:t xml:space="preserve">fundados los agravios </w:t>
      </w:r>
      <w:r w:rsidRPr="00EE27E6">
        <w:rPr>
          <w:rFonts w:ascii="Arial" w:hAnsi="Arial" w:cs="Arial"/>
          <w:i/>
          <w:iCs/>
          <w:sz w:val="24"/>
          <w:szCs w:val="24"/>
        </w:rPr>
        <w:t xml:space="preserve">expuestos por la actora. </w:t>
      </w:r>
    </w:p>
    <w:p w14:paraId="1201A4EE" w14:textId="1F63A909" w:rsidR="00782D39" w:rsidRPr="00EE27E6" w:rsidRDefault="00782D39" w:rsidP="00782D39">
      <w:pPr>
        <w:ind w:left="567" w:right="616" w:firstLine="141"/>
        <w:jc w:val="both"/>
        <w:rPr>
          <w:rFonts w:ascii="Arial" w:hAnsi="Arial" w:cs="Arial"/>
          <w:i/>
          <w:iCs/>
          <w:sz w:val="24"/>
          <w:szCs w:val="24"/>
        </w:rPr>
      </w:pPr>
      <w:r w:rsidRPr="00EE27E6">
        <w:rPr>
          <w:rFonts w:ascii="Arial" w:hAnsi="Arial" w:cs="Arial"/>
          <w:i/>
          <w:iCs/>
          <w:sz w:val="24"/>
          <w:szCs w:val="24"/>
        </w:rPr>
        <w:t xml:space="preserve">Lo anterior es así, porque en la resolución impugnada, la autoridad demandada identificó dos actos que atribuye a la actora </w:t>
      </w:r>
      <w:r w:rsidR="00DF30F7">
        <w:rPr>
          <w:rFonts w:ascii="Arial" w:eastAsia="Calibri" w:hAnsi="Arial" w:cs="Arial"/>
          <w:b/>
          <w:sz w:val="26"/>
          <w:szCs w:val="26"/>
        </w:rPr>
        <w:t>***********</w:t>
      </w:r>
      <w:r w:rsidR="00DF30F7" w:rsidRPr="00EE27E6">
        <w:rPr>
          <w:rFonts w:ascii="Arial" w:hAnsi="Arial" w:cs="Arial"/>
          <w:i/>
          <w:iCs/>
          <w:sz w:val="24"/>
          <w:szCs w:val="24"/>
        </w:rPr>
        <w:t xml:space="preserve"> </w:t>
      </w:r>
      <w:r w:rsidR="00DF30F7">
        <w:rPr>
          <w:rFonts w:ascii="Arial" w:hAnsi="Arial" w:cs="Arial"/>
          <w:i/>
          <w:iCs/>
          <w:sz w:val="24"/>
          <w:szCs w:val="24"/>
        </w:rPr>
        <w:t xml:space="preserve"> </w:t>
      </w:r>
      <w:r w:rsidRPr="00EE27E6">
        <w:rPr>
          <w:rFonts w:ascii="Arial" w:hAnsi="Arial" w:cs="Arial"/>
          <w:i/>
          <w:iCs/>
          <w:sz w:val="24"/>
          <w:szCs w:val="24"/>
        </w:rPr>
        <w:t xml:space="preserve">(SIC), el </w:t>
      </w:r>
      <w:r w:rsidRPr="00EE27E6">
        <w:rPr>
          <w:rFonts w:ascii="Arial" w:hAnsi="Arial" w:cs="Arial"/>
          <w:b/>
          <w:i/>
          <w:iCs/>
          <w:sz w:val="24"/>
          <w:szCs w:val="24"/>
        </w:rPr>
        <w:t xml:space="preserve">primero, </w:t>
      </w:r>
      <w:r w:rsidRPr="00EE27E6">
        <w:rPr>
          <w:rFonts w:ascii="Arial" w:hAnsi="Arial" w:cs="Arial"/>
          <w:i/>
          <w:iCs/>
          <w:sz w:val="24"/>
          <w:szCs w:val="24"/>
        </w:rPr>
        <w:t xml:space="preserve">consistente en que es sujeto obligado al pago del Impuesto sobre erogaciones por remuneraciones al trabajo personal (sic), y el </w:t>
      </w:r>
      <w:r w:rsidRPr="00EE27E6">
        <w:rPr>
          <w:rFonts w:ascii="Arial" w:hAnsi="Arial" w:cs="Arial"/>
          <w:b/>
          <w:i/>
          <w:iCs/>
          <w:sz w:val="24"/>
          <w:szCs w:val="24"/>
        </w:rPr>
        <w:t xml:space="preserve">segundo, </w:t>
      </w:r>
      <w:r w:rsidRPr="00EE27E6">
        <w:rPr>
          <w:rFonts w:ascii="Arial" w:hAnsi="Arial" w:cs="Arial"/>
          <w:i/>
          <w:iCs/>
          <w:sz w:val="24"/>
          <w:szCs w:val="24"/>
        </w:rPr>
        <w:t xml:space="preserve">que con motivo de esa obligación, omitió presentar las declaraciones bimestrales a las que se encuentra sujeto. </w:t>
      </w:r>
    </w:p>
    <w:p w14:paraId="6420E6C5" w14:textId="77777777" w:rsidR="00782D39" w:rsidRPr="00EE27E6" w:rsidRDefault="00782D39" w:rsidP="00782D39">
      <w:pPr>
        <w:ind w:left="567" w:right="616" w:firstLine="141"/>
        <w:jc w:val="both"/>
        <w:rPr>
          <w:rFonts w:ascii="Arial" w:hAnsi="Arial" w:cs="Arial"/>
          <w:i/>
          <w:sz w:val="24"/>
          <w:szCs w:val="24"/>
        </w:rPr>
      </w:pPr>
      <w:r w:rsidRPr="00EE27E6">
        <w:rPr>
          <w:rFonts w:ascii="Arial" w:hAnsi="Arial" w:cs="Arial"/>
          <w:b/>
          <w:i/>
          <w:iCs/>
          <w:sz w:val="24"/>
          <w:szCs w:val="24"/>
        </w:rPr>
        <w:t xml:space="preserve">Por lo que respecta al primer acto, </w:t>
      </w:r>
      <w:r w:rsidRPr="00EE27E6">
        <w:rPr>
          <w:rFonts w:ascii="Arial" w:hAnsi="Arial" w:cs="Arial"/>
          <w:i/>
          <w:iCs/>
          <w:sz w:val="24"/>
          <w:szCs w:val="24"/>
        </w:rPr>
        <w:t xml:space="preserve">en las constancias de autos </w:t>
      </w:r>
      <w:r w:rsidRPr="00EE27E6">
        <w:rPr>
          <w:rFonts w:ascii="Arial" w:hAnsi="Arial" w:cs="Arial"/>
          <w:b/>
          <w:i/>
          <w:iCs/>
          <w:sz w:val="24"/>
          <w:szCs w:val="24"/>
        </w:rPr>
        <w:t xml:space="preserve">no se advierte </w:t>
      </w:r>
      <w:r w:rsidRPr="00EE27E6">
        <w:rPr>
          <w:rFonts w:ascii="Arial" w:hAnsi="Arial" w:cs="Arial"/>
          <w:i/>
          <w:iCs/>
          <w:sz w:val="24"/>
          <w:szCs w:val="24"/>
        </w:rPr>
        <w:t xml:space="preserve">cual es la actividad concreta que realiza dicha persona, para que la demandada considerara esa vinculación al pago del Impuesto que describe; máxime, que el impuesto al que se refiere (Erogaciones por Remuneraciones al Trabajo Personal), se establece en el artículo 63 de la Ley Estatal de Hacienda, y esta contiene dos fracciones, con supuestos distintos, además, identifica otros conceptos que comprenden las remuneraciones al trabajo personal, al prescribir: </w:t>
      </w:r>
      <w:r w:rsidRPr="00EE27E6">
        <w:rPr>
          <w:rFonts w:ascii="Arial" w:hAnsi="Arial" w:cs="Arial"/>
          <w:b/>
          <w:i/>
          <w:iCs/>
          <w:sz w:val="24"/>
          <w:szCs w:val="24"/>
        </w:rPr>
        <w:t xml:space="preserve">“ARTÍCULO 63. </w:t>
      </w:r>
      <w:r w:rsidRPr="00EE27E6">
        <w:rPr>
          <w:rFonts w:ascii="Arial" w:hAnsi="Arial" w:cs="Arial"/>
          <w:i/>
          <w:iCs/>
          <w:sz w:val="24"/>
          <w:szCs w:val="24"/>
        </w:rPr>
        <w:t xml:space="preserve">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aún (sic) cuando los prestadores del servicio o los beneficiarios del mismo, o ambos, tengan su domicilio fiscal fuera de éste. Para los efectos de este impuesto quedan comprendidas en el concepto de 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w:t>
      </w:r>
      <w:r w:rsidRPr="00EE27E6">
        <w:rPr>
          <w:rFonts w:ascii="Arial" w:hAnsi="Arial" w:cs="Arial"/>
          <w:i/>
          <w:sz w:val="24"/>
          <w:szCs w:val="24"/>
        </w:rPr>
        <w:t>contraprestaciones contractuales, cuando el contrato tenga como objeto la prestación de un servicio; los pagos a los administradores, comisarios o miembros de los consejos directivos, de vigilancia o de</w:t>
      </w:r>
      <w:r>
        <w:rPr>
          <w:i/>
        </w:rPr>
        <w:t xml:space="preserve"> </w:t>
      </w:r>
      <w:r w:rsidRPr="00EE27E6">
        <w:rPr>
          <w:rFonts w:ascii="Arial" w:hAnsi="Arial" w:cs="Arial"/>
          <w:i/>
          <w:sz w:val="24"/>
          <w:szCs w:val="24"/>
        </w:rPr>
        <w:t xml:space="preserve">administración de sociedades o asociaciones como remuneración a dichos cargos; los pagos realizados a fiduciarios como remuneración a sus servicios; los </w:t>
      </w:r>
      <w:r w:rsidRPr="00EE27E6">
        <w:rPr>
          <w:rFonts w:ascii="Arial" w:hAnsi="Arial" w:cs="Arial"/>
          <w:i/>
          <w:sz w:val="24"/>
          <w:szCs w:val="24"/>
        </w:rPr>
        <w:lastRenderedPageBreak/>
        <w:t xml:space="preserve">pagos por concepto de servicios personales; y cualquier otra de la misma naturaleza que las anteriores, con independencia de la denominación que reciba. …”; luego entonces, ante las diversas hipótesis contenidas, no basta que la autoridad demandada cite sólo el artículo, para considerar que con ello motivó el acto emitido, pues es necesario establecer que esa norma se actualizaba con la conducta realizada por la parte actora, de ahí la falta de motivación y de la configuración en la hipótesis normativa, por lo que al primer acto se refiere. </w:t>
      </w:r>
    </w:p>
    <w:p w14:paraId="5D420921" w14:textId="6E31BAE7" w:rsidR="00782D39" w:rsidRPr="00EE27E6" w:rsidRDefault="00782D39" w:rsidP="00782D39">
      <w:pPr>
        <w:ind w:left="567" w:right="616" w:firstLine="141"/>
        <w:jc w:val="both"/>
        <w:rPr>
          <w:rFonts w:ascii="Arial" w:hAnsi="Arial" w:cs="Arial"/>
          <w:i/>
          <w:iCs/>
          <w:sz w:val="24"/>
          <w:szCs w:val="24"/>
        </w:rPr>
      </w:pPr>
      <w:r w:rsidRPr="00EE27E6">
        <w:rPr>
          <w:rFonts w:ascii="Arial" w:hAnsi="Arial" w:cs="Arial"/>
          <w:i/>
          <w:iCs/>
          <w:sz w:val="24"/>
          <w:szCs w:val="24"/>
        </w:rPr>
        <w:t xml:space="preserve">Por lo que respecta al </w:t>
      </w:r>
      <w:r w:rsidRPr="00EE27E6">
        <w:rPr>
          <w:rFonts w:ascii="Arial" w:hAnsi="Arial" w:cs="Arial"/>
          <w:b/>
          <w:i/>
          <w:iCs/>
          <w:sz w:val="24"/>
          <w:szCs w:val="24"/>
        </w:rPr>
        <w:t xml:space="preserve">segundo acto, </w:t>
      </w:r>
      <w:r w:rsidRPr="00EE27E6">
        <w:rPr>
          <w:rFonts w:ascii="Arial" w:hAnsi="Arial" w:cs="Arial"/>
          <w:i/>
          <w:iCs/>
          <w:sz w:val="24"/>
          <w:szCs w:val="24"/>
        </w:rPr>
        <w:t xml:space="preserve">esta Juzgadora toma en cuenta que en el artículo 113 del Código Fiscal para el Estado de Oaxaca, se establece el derecho del administrado a ser oído, previo a la emisión del acto privativo, al prescribir: “ARTÍCULO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EE27E6">
        <w:rPr>
          <w:rFonts w:ascii="Arial" w:hAnsi="Arial" w:cs="Arial"/>
          <w:b/>
          <w:i/>
          <w:iCs/>
          <w:sz w:val="24"/>
          <w:szCs w:val="24"/>
        </w:rPr>
        <w:t xml:space="preserve">Cuando las autoridades fiscales emitan resoluciones con base a la información señalada </w:t>
      </w:r>
      <w:r w:rsidRPr="00EE27E6">
        <w:rPr>
          <w:rFonts w:ascii="Arial" w:hAnsi="Arial" w:cs="Arial"/>
          <w:i/>
          <w:iCs/>
          <w:sz w:val="24"/>
          <w:szCs w:val="24"/>
        </w:rPr>
        <w:t xml:space="preserve">en el párrafo anterior; excepto tratándose de hechos conocidos en el ejercicio directo ante el contribuyente de sus facultades de comprobación, y </w:t>
      </w:r>
      <w:r w:rsidRPr="00EE27E6">
        <w:rPr>
          <w:rFonts w:ascii="Arial" w:hAnsi="Arial" w:cs="Arial"/>
          <w:b/>
          <w:i/>
          <w:iCs/>
          <w:sz w:val="24"/>
          <w:szCs w:val="24"/>
        </w:rPr>
        <w:t xml:space="preserve">previamente a la emisión de la resolución </w:t>
      </w:r>
      <w:r w:rsidRPr="00EE27E6">
        <w:rPr>
          <w:rFonts w:ascii="Arial" w:hAnsi="Arial" w:cs="Arial"/>
          <w:i/>
          <w:iCs/>
          <w:sz w:val="24"/>
          <w:szCs w:val="24"/>
        </w:rPr>
        <w:t xml:space="preserve">que corresponda, </w:t>
      </w:r>
      <w:r w:rsidRPr="00EE27E6">
        <w:rPr>
          <w:rFonts w:ascii="Arial" w:hAnsi="Arial" w:cs="Arial"/>
          <w:b/>
          <w:i/>
          <w:iCs/>
          <w:sz w:val="24"/>
          <w:szCs w:val="24"/>
        </w:rPr>
        <w:t xml:space="preserve">deberán correr traslado al interesado de los elementos que integren el expediente respectivo, </w:t>
      </w:r>
      <w:r w:rsidRPr="00EE27E6">
        <w:rPr>
          <w:rFonts w:ascii="Arial" w:hAnsi="Arial" w:cs="Arial"/>
          <w:i/>
          <w:iCs/>
          <w:sz w:val="24"/>
          <w:szCs w:val="24"/>
        </w:rPr>
        <w:t>concediendo un plazo de quince días al contribuyente para que manifieste lo que a su derecho corresponda, lo cual deberá formar parte del expediente respectivo.” (Lo resaltado no es de origen). De lo transcrito se advierte, que la propia ley fiscal (sic),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 segundo párrafo de la Constitución Política de los Estados Unidos Mexicanos, que impone a toda autoridades (sic) la obligación de interpretar los derechos humanos, buscando siempre la protección más amplia en beneficio de los administrados, de ahí que la autoridad violent</w:t>
      </w:r>
      <w:r w:rsidR="00B432C1" w:rsidRPr="00EE27E6">
        <w:rPr>
          <w:rFonts w:ascii="Arial" w:hAnsi="Arial" w:cs="Arial"/>
          <w:i/>
          <w:iCs/>
          <w:sz w:val="24"/>
          <w:szCs w:val="24"/>
        </w:rPr>
        <w:t>ó</w:t>
      </w:r>
      <w:r w:rsidRPr="00EE27E6">
        <w:rPr>
          <w:rFonts w:ascii="Arial" w:hAnsi="Arial" w:cs="Arial"/>
          <w:i/>
          <w:iCs/>
          <w:sz w:val="24"/>
          <w:szCs w:val="24"/>
        </w:rPr>
        <w:t xml:space="preserve"> normas del procedimiento en perjuicio de la parte actora.   </w:t>
      </w:r>
    </w:p>
    <w:p w14:paraId="4965109A" w14:textId="77777777" w:rsidR="00782D39" w:rsidRPr="00EE27E6" w:rsidRDefault="00782D39" w:rsidP="00782D39">
      <w:pPr>
        <w:ind w:left="567" w:right="616" w:firstLine="141"/>
        <w:jc w:val="both"/>
        <w:rPr>
          <w:rFonts w:ascii="Arial" w:hAnsi="Arial" w:cs="Arial"/>
          <w:i/>
          <w:iCs/>
          <w:sz w:val="24"/>
          <w:szCs w:val="24"/>
        </w:rPr>
      </w:pPr>
      <w:r w:rsidRPr="00EE27E6">
        <w:rPr>
          <w:rFonts w:ascii="Arial" w:hAnsi="Arial" w:cs="Arial"/>
          <w:i/>
          <w:iCs/>
          <w:sz w:val="24"/>
          <w:szCs w:val="24"/>
        </w:rPr>
        <w:lastRenderedPageBreak/>
        <w:t>Además con el actuar de la demandada violentó el derecho de defensa de la parte actora, tal como lo dispone el artículo 49 fracciones IV y XXI, y 127, ambos del Código Fiscal referido, vulnerando también la garantía de audiencia prevista a su favor en el artículo 14 de la Constitución Política de los Estados Unidos Mexicanos, pues negó al gobernado la oportunidad de defensa previamente al acto privativo. Sirve de apoyo a lo anterior la Jurisprudencia con datos de identificación: Semanario Judicial de la Federación y su Gaceta, Tomo II, Diciembre de 1995, Novena Época, pág. 133, registro 200234, Jurisprudencia Constitucional, Común, Pleno, y de rubro: “FORMALIDADES ESENCIALES DEL PROCEDIMIENTO. SON LAS QUE GARANTIZAN UNA ADECUADA Y OPORTUNA DEFENSA PREVIA AL ACTO PRIVATIVO.”</w:t>
      </w:r>
    </w:p>
    <w:p w14:paraId="453AC713" w14:textId="37DCE107" w:rsidR="00782D39" w:rsidRPr="00EE27E6" w:rsidRDefault="00782D39" w:rsidP="00782D39">
      <w:pPr>
        <w:spacing w:line="240" w:lineRule="auto"/>
        <w:ind w:left="567" w:right="616" w:firstLine="141"/>
        <w:jc w:val="both"/>
        <w:rPr>
          <w:rFonts w:ascii="Arial" w:eastAsia="Times New Roman" w:hAnsi="Arial" w:cs="Arial"/>
          <w:i/>
          <w:iCs/>
          <w:color w:val="000000"/>
          <w:sz w:val="24"/>
          <w:szCs w:val="24"/>
        </w:rPr>
      </w:pPr>
      <w:r w:rsidRPr="00EE27E6">
        <w:rPr>
          <w:rFonts w:ascii="Arial" w:hAnsi="Arial" w:cs="Arial"/>
          <w:i/>
          <w:iCs/>
          <w:sz w:val="24"/>
          <w:szCs w:val="24"/>
        </w:rPr>
        <w:t xml:space="preserve">Con las anteriores consideraciones, se determina la falta de fundamentación y motivación del acto impugnado, además de la violación a normas del procedimiento en contra de la parte actora, razones todas ellas por las que se declara la </w:t>
      </w:r>
      <w:r w:rsidRPr="00EE27E6">
        <w:rPr>
          <w:rFonts w:ascii="Arial" w:hAnsi="Arial" w:cs="Arial"/>
          <w:b/>
          <w:i/>
          <w:iCs/>
          <w:sz w:val="24"/>
          <w:szCs w:val="24"/>
        </w:rPr>
        <w:t xml:space="preserve">NULIDAD </w:t>
      </w:r>
      <w:r w:rsidRPr="00EE27E6">
        <w:rPr>
          <w:rFonts w:ascii="Arial" w:hAnsi="Arial" w:cs="Arial"/>
          <w:i/>
          <w:iCs/>
          <w:sz w:val="24"/>
          <w:szCs w:val="24"/>
        </w:rPr>
        <w:t xml:space="preserve">de la resolución con número de control 01MO49ER180901, expedida con fecha veintisiete de julio de dos mil dieciocho (27/07/2018), por la Directora de Ingresos y Recaudación de la Secretaría de Finanzas del Poder Ejecutivo del Estado, así como de la notificación de la misma efectuada a través del servicio postal mexicano (sic), incluso la multa impuesta por la actora, consistente en </w:t>
      </w:r>
      <w:r w:rsidR="00DF30F7">
        <w:rPr>
          <w:rFonts w:ascii="Arial" w:eastAsia="Calibri" w:hAnsi="Arial" w:cs="Arial"/>
          <w:b/>
          <w:sz w:val="26"/>
          <w:szCs w:val="26"/>
        </w:rPr>
        <w:t>***********</w:t>
      </w:r>
      <w:bookmarkStart w:id="0" w:name="_GoBack"/>
      <w:bookmarkEnd w:id="0"/>
      <w:r w:rsidRPr="00EE27E6">
        <w:rPr>
          <w:rFonts w:ascii="Arial" w:hAnsi="Arial" w:cs="Arial"/>
          <w:i/>
          <w:iCs/>
          <w:sz w:val="24"/>
          <w:szCs w:val="24"/>
        </w:rPr>
        <w:t>,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“MULTAS DERIVADAS DE LA VERIFICACIÓN DEL CUMPLIMIENTO DE OBLIGACIONES FISCALES DE LOS CONTRIBUYENTES. SU NULIDAD POR VICIOS FORMALES DEBE SER LISA Y LLANA, AL HABER ORIGINADO CON MOTIVO DEL EJERCICIO DE FACULTADES DISCRECIONALES DE LA AUTORIDAD.”</w:t>
      </w:r>
    </w:p>
    <w:p w14:paraId="7AF409A7" w14:textId="605367D0" w:rsidR="00782D39" w:rsidRPr="00EE27E6" w:rsidRDefault="00782D39" w:rsidP="00782D39">
      <w:pPr>
        <w:spacing w:line="240" w:lineRule="auto"/>
        <w:ind w:right="616" w:firstLine="567"/>
        <w:jc w:val="both"/>
        <w:rPr>
          <w:rFonts w:ascii="Arial" w:hAnsi="Arial" w:cs="Arial"/>
          <w:i/>
          <w:iCs/>
          <w:sz w:val="24"/>
          <w:szCs w:val="24"/>
        </w:rPr>
      </w:pPr>
      <w:r w:rsidRPr="00EE27E6">
        <w:rPr>
          <w:rFonts w:ascii="Arial" w:hAnsi="Arial" w:cs="Arial"/>
          <w:i/>
          <w:iCs/>
          <w:sz w:val="24"/>
          <w:szCs w:val="24"/>
        </w:rPr>
        <w:t>…</w:t>
      </w:r>
      <w:r w:rsidRPr="00EE27E6">
        <w:rPr>
          <w:rFonts w:ascii="Arial" w:hAnsi="Arial" w:cs="Arial"/>
          <w:b/>
          <w:i/>
          <w:iCs/>
          <w:sz w:val="24"/>
          <w:szCs w:val="24"/>
        </w:rPr>
        <w:t>”</w:t>
      </w:r>
      <w:r w:rsidR="00C25459">
        <w:rPr>
          <w:rFonts w:ascii="Arial" w:hAnsi="Arial" w:cs="Arial"/>
          <w:b/>
          <w:i/>
          <w:iCs/>
          <w:sz w:val="24"/>
          <w:szCs w:val="24"/>
        </w:rPr>
        <w:t xml:space="preserve"> </w:t>
      </w:r>
      <w:r w:rsidR="00C25459">
        <w:rPr>
          <w:rFonts w:ascii="Arial" w:hAnsi="Arial" w:cs="Arial"/>
          <w:bCs/>
          <w:iCs/>
          <w:sz w:val="26"/>
          <w:szCs w:val="26"/>
        </w:rPr>
        <w:t xml:space="preserve">- - - - - - - - - - - - - - - - - - - - - - - - - - - - - - - - - - - - - - - - - - </w:t>
      </w:r>
    </w:p>
    <w:p w14:paraId="3F5C174B" w14:textId="5D270407" w:rsidR="00782D39" w:rsidRPr="006D3DC5" w:rsidRDefault="003F57A9" w:rsidP="006D3DC5">
      <w:pPr>
        <w:spacing w:line="360" w:lineRule="auto"/>
        <w:ind w:firstLine="708"/>
        <w:jc w:val="both"/>
        <w:rPr>
          <w:rFonts w:ascii="Arial" w:hAnsi="Arial" w:cs="Arial"/>
          <w:sz w:val="26"/>
          <w:szCs w:val="26"/>
          <w:shd w:val="clear" w:color="auto" w:fill="FFFFFF"/>
        </w:rPr>
      </w:pPr>
      <w:r>
        <w:rPr>
          <w:rFonts w:ascii="Arial" w:hAnsi="Arial" w:cs="Arial"/>
          <w:sz w:val="26"/>
          <w:szCs w:val="26"/>
        </w:rPr>
        <w:t>D</w:t>
      </w:r>
      <w:r w:rsidR="00782D39">
        <w:rPr>
          <w:rFonts w:ascii="Arial" w:hAnsi="Arial" w:cs="Arial"/>
          <w:sz w:val="26"/>
          <w:szCs w:val="26"/>
        </w:rPr>
        <w:t>el considerando transcrito se advierte</w:t>
      </w:r>
      <w:r>
        <w:rPr>
          <w:rFonts w:ascii="Arial" w:hAnsi="Arial" w:cs="Arial"/>
          <w:sz w:val="26"/>
          <w:szCs w:val="26"/>
        </w:rPr>
        <w:t>,</w:t>
      </w:r>
      <w:r w:rsidR="00782D39">
        <w:rPr>
          <w:rFonts w:ascii="Arial" w:hAnsi="Arial" w:cs="Arial"/>
          <w:sz w:val="26"/>
          <w:szCs w:val="26"/>
        </w:rPr>
        <w:t xml:space="preserve"> que la </w:t>
      </w:r>
      <w:r w:rsidR="00CF35C6">
        <w:rPr>
          <w:rFonts w:ascii="Arial" w:hAnsi="Arial" w:cs="Arial"/>
          <w:sz w:val="26"/>
          <w:szCs w:val="26"/>
        </w:rPr>
        <w:t>P</w:t>
      </w:r>
      <w:r w:rsidR="00782D39">
        <w:rPr>
          <w:rFonts w:ascii="Arial" w:hAnsi="Arial" w:cs="Arial"/>
          <w:sz w:val="26"/>
          <w:szCs w:val="26"/>
        </w:rPr>
        <w:t xml:space="preserve">rimera </w:t>
      </w:r>
      <w:r w:rsidR="00CF35C6">
        <w:rPr>
          <w:rFonts w:ascii="Arial" w:hAnsi="Arial" w:cs="Arial"/>
          <w:sz w:val="26"/>
          <w:szCs w:val="26"/>
        </w:rPr>
        <w:t>I</w:t>
      </w:r>
      <w:r w:rsidR="00782D39">
        <w:rPr>
          <w:rFonts w:ascii="Arial" w:hAnsi="Arial" w:cs="Arial"/>
          <w:sz w:val="26"/>
          <w:szCs w:val="26"/>
        </w:rPr>
        <w:t>nstancia efectuó el análisis del acto impugnado</w:t>
      </w:r>
      <w:r>
        <w:rPr>
          <w:rFonts w:ascii="Arial" w:hAnsi="Arial" w:cs="Arial"/>
          <w:sz w:val="26"/>
          <w:szCs w:val="26"/>
        </w:rPr>
        <w:t xml:space="preserve">, en el que </w:t>
      </w:r>
      <w:r w:rsidR="00782D39">
        <w:rPr>
          <w:rFonts w:ascii="Arial" w:eastAsia="Calibri" w:hAnsi="Arial" w:cs="Arial"/>
          <w:bCs/>
          <w:sz w:val="26"/>
          <w:szCs w:val="26"/>
        </w:rPr>
        <w:t xml:space="preserve">vertió </w:t>
      </w:r>
      <w:r w:rsidR="00782D39" w:rsidRPr="000523ED">
        <w:rPr>
          <w:rFonts w:ascii="Arial" w:hAnsi="Arial" w:cs="Arial"/>
          <w:sz w:val="26"/>
          <w:szCs w:val="26"/>
        </w:rPr>
        <w:t>razonamientos lógico</w:t>
      </w:r>
      <w:r w:rsidR="00782D39">
        <w:rPr>
          <w:rFonts w:ascii="Arial" w:hAnsi="Arial" w:cs="Arial"/>
          <w:sz w:val="26"/>
          <w:szCs w:val="26"/>
        </w:rPr>
        <w:t>-</w:t>
      </w:r>
      <w:r w:rsidR="00782D39" w:rsidRPr="000523ED">
        <w:rPr>
          <w:rFonts w:ascii="Arial" w:hAnsi="Arial" w:cs="Arial"/>
          <w:sz w:val="26"/>
          <w:szCs w:val="26"/>
        </w:rPr>
        <w:t xml:space="preserve">jurídicos, </w:t>
      </w:r>
      <w:r w:rsidR="00782D39">
        <w:rPr>
          <w:rFonts w:ascii="Arial" w:hAnsi="Arial" w:cs="Arial"/>
          <w:sz w:val="26"/>
          <w:szCs w:val="26"/>
        </w:rPr>
        <w:t xml:space="preserve">que la </w:t>
      </w:r>
      <w:r w:rsidR="00782D39" w:rsidRPr="000523ED">
        <w:rPr>
          <w:rFonts w:ascii="Arial" w:hAnsi="Arial" w:cs="Arial"/>
          <w:sz w:val="26"/>
          <w:szCs w:val="26"/>
        </w:rPr>
        <w:t>llev</w:t>
      </w:r>
      <w:r w:rsidR="00782D39">
        <w:rPr>
          <w:rFonts w:ascii="Arial" w:hAnsi="Arial" w:cs="Arial"/>
          <w:sz w:val="26"/>
          <w:szCs w:val="26"/>
        </w:rPr>
        <w:t>a</w:t>
      </w:r>
      <w:r w:rsidR="00782D39" w:rsidRPr="000523ED">
        <w:rPr>
          <w:rFonts w:ascii="Arial" w:hAnsi="Arial" w:cs="Arial"/>
          <w:sz w:val="26"/>
          <w:szCs w:val="26"/>
        </w:rPr>
        <w:t xml:space="preserve">ron a determinar la nulidad </w:t>
      </w:r>
      <w:r w:rsidR="00782D39">
        <w:rPr>
          <w:rFonts w:ascii="Arial" w:hAnsi="Arial" w:cs="Arial"/>
          <w:sz w:val="26"/>
          <w:szCs w:val="26"/>
        </w:rPr>
        <w:t xml:space="preserve">de </w:t>
      </w:r>
      <w:r w:rsidR="00782D39">
        <w:rPr>
          <w:rFonts w:ascii="Arial" w:eastAsia="Calibri" w:hAnsi="Arial" w:cs="Arial"/>
          <w:bCs/>
          <w:sz w:val="26"/>
          <w:szCs w:val="26"/>
        </w:rPr>
        <w:t xml:space="preserve">la multa </w:t>
      </w:r>
      <w:r w:rsidR="00D80239">
        <w:rPr>
          <w:rFonts w:ascii="Arial" w:eastAsia="Calibri" w:hAnsi="Arial" w:cs="Arial"/>
          <w:bCs/>
          <w:sz w:val="26"/>
          <w:szCs w:val="26"/>
        </w:rPr>
        <w:t xml:space="preserve">contenida en el oficio con </w:t>
      </w:r>
      <w:r w:rsidR="00782D39">
        <w:rPr>
          <w:rFonts w:ascii="Arial" w:eastAsia="Calibri" w:hAnsi="Arial" w:cs="Arial"/>
          <w:bCs/>
          <w:sz w:val="26"/>
          <w:szCs w:val="26"/>
        </w:rPr>
        <w:t xml:space="preserve">número de control 01MO49ER180901, de veintisiete de julio de dos mil dieciocho, suscrita por la </w:t>
      </w:r>
      <w:r w:rsidR="00CF35C6">
        <w:rPr>
          <w:rFonts w:ascii="Arial" w:eastAsia="Calibri" w:hAnsi="Arial" w:cs="Arial"/>
          <w:bCs/>
          <w:sz w:val="26"/>
          <w:szCs w:val="26"/>
        </w:rPr>
        <w:t>D</w:t>
      </w:r>
      <w:r w:rsidR="00782D39">
        <w:rPr>
          <w:rFonts w:ascii="Arial" w:eastAsia="Calibri" w:hAnsi="Arial" w:cs="Arial"/>
          <w:bCs/>
          <w:sz w:val="26"/>
          <w:szCs w:val="26"/>
        </w:rPr>
        <w:t xml:space="preserve">irectora de </w:t>
      </w:r>
      <w:r w:rsidR="00CF35C6">
        <w:rPr>
          <w:rFonts w:ascii="Arial" w:eastAsia="Calibri" w:hAnsi="Arial" w:cs="Arial"/>
          <w:bCs/>
          <w:sz w:val="26"/>
          <w:szCs w:val="26"/>
        </w:rPr>
        <w:t>I</w:t>
      </w:r>
      <w:r w:rsidR="00782D39">
        <w:rPr>
          <w:rFonts w:ascii="Arial" w:eastAsia="Calibri" w:hAnsi="Arial" w:cs="Arial"/>
          <w:bCs/>
          <w:sz w:val="26"/>
          <w:szCs w:val="26"/>
        </w:rPr>
        <w:t xml:space="preserve">ngresos y </w:t>
      </w:r>
      <w:r w:rsidR="00CF35C6">
        <w:rPr>
          <w:rFonts w:ascii="Arial" w:eastAsia="Calibri" w:hAnsi="Arial" w:cs="Arial"/>
          <w:bCs/>
          <w:sz w:val="26"/>
          <w:szCs w:val="26"/>
        </w:rPr>
        <w:t>R</w:t>
      </w:r>
      <w:r w:rsidR="00782D39">
        <w:rPr>
          <w:rFonts w:ascii="Arial" w:eastAsia="Calibri" w:hAnsi="Arial" w:cs="Arial"/>
          <w:bCs/>
          <w:sz w:val="26"/>
          <w:szCs w:val="26"/>
        </w:rPr>
        <w:t>ecaudación de la Secretaría de Finanzas del Poder Ejecutivo del Estado</w:t>
      </w:r>
      <w:r w:rsidR="00D80239">
        <w:rPr>
          <w:rFonts w:ascii="Arial" w:eastAsia="Calibri" w:hAnsi="Arial" w:cs="Arial"/>
          <w:bCs/>
          <w:sz w:val="26"/>
          <w:szCs w:val="26"/>
        </w:rPr>
        <w:t>, así como de la notificación de ese oficio</w:t>
      </w:r>
      <w:r w:rsidR="003243B4">
        <w:rPr>
          <w:rFonts w:ascii="Arial" w:eastAsia="Calibri" w:hAnsi="Arial" w:cs="Arial"/>
          <w:bCs/>
          <w:sz w:val="26"/>
          <w:szCs w:val="26"/>
        </w:rPr>
        <w:t xml:space="preserve">, con fundamento en </w:t>
      </w:r>
      <w:r w:rsidR="009214D7">
        <w:rPr>
          <w:rFonts w:ascii="Arial" w:hAnsi="Arial" w:cs="Arial"/>
          <w:sz w:val="26"/>
          <w:szCs w:val="26"/>
        </w:rPr>
        <w:t xml:space="preserve">el artículo 208, fracción II, de la Ley de la materia, para fundamentar </w:t>
      </w:r>
      <w:r w:rsidR="003243B4">
        <w:rPr>
          <w:rFonts w:ascii="Arial" w:hAnsi="Arial" w:cs="Arial"/>
          <w:sz w:val="26"/>
          <w:szCs w:val="26"/>
        </w:rPr>
        <w:t xml:space="preserve">y motivar debidamente </w:t>
      </w:r>
      <w:r w:rsidR="009214D7">
        <w:rPr>
          <w:rFonts w:ascii="Arial" w:hAnsi="Arial" w:cs="Arial"/>
          <w:sz w:val="26"/>
          <w:szCs w:val="26"/>
        </w:rPr>
        <w:t>su fallo. P</w:t>
      </w:r>
      <w:r w:rsidR="00AF71C0">
        <w:rPr>
          <w:rFonts w:ascii="Arial" w:eastAsia="Calibri" w:hAnsi="Arial" w:cs="Arial"/>
          <w:bCs/>
          <w:sz w:val="26"/>
          <w:szCs w:val="26"/>
        </w:rPr>
        <w:t xml:space="preserve">or lo que no </w:t>
      </w:r>
      <w:r w:rsidR="00782D39" w:rsidRPr="00203476">
        <w:rPr>
          <w:rFonts w:ascii="Arial" w:eastAsia="Calibri" w:hAnsi="Arial" w:cs="Arial"/>
          <w:bCs/>
          <w:sz w:val="26"/>
          <w:szCs w:val="26"/>
        </w:rPr>
        <w:t>basta</w:t>
      </w:r>
      <w:r w:rsidR="00782D39" w:rsidRPr="00A24DD9">
        <w:rPr>
          <w:rFonts w:ascii="Arial" w:eastAsia="Calibri" w:hAnsi="Arial" w:cs="Arial"/>
          <w:bCs/>
          <w:sz w:val="26"/>
          <w:szCs w:val="26"/>
        </w:rPr>
        <w:t xml:space="preserve"> que </w:t>
      </w:r>
      <w:r w:rsidR="00782D39">
        <w:rPr>
          <w:rFonts w:ascii="Arial" w:eastAsia="Calibri" w:hAnsi="Arial" w:cs="Arial"/>
          <w:bCs/>
          <w:sz w:val="26"/>
          <w:szCs w:val="26"/>
        </w:rPr>
        <w:t>la autoridad inconforme</w:t>
      </w:r>
      <w:r w:rsidR="00782D39" w:rsidRPr="00A24DD9">
        <w:rPr>
          <w:rFonts w:ascii="Arial" w:eastAsia="Calibri" w:hAnsi="Arial" w:cs="Arial"/>
          <w:bCs/>
          <w:sz w:val="26"/>
          <w:szCs w:val="26"/>
        </w:rPr>
        <w:t xml:space="preserve"> exprese de forma genérica y abstracta, que en la sentencia</w:t>
      </w:r>
      <w:r w:rsidR="00782D39">
        <w:rPr>
          <w:rFonts w:ascii="Arial" w:eastAsia="Calibri" w:hAnsi="Arial" w:cs="Arial"/>
          <w:bCs/>
          <w:sz w:val="26"/>
          <w:szCs w:val="26"/>
        </w:rPr>
        <w:t xml:space="preserve"> en estudio se </w:t>
      </w:r>
      <w:r w:rsidR="00782D39" w:rsidRPr="00431BEE">
        <w:rPr>
          <w:rFonts w:ascii="Arial" w:eastAsia="Calibri" w:hAnsi="Arial" w:cs="Arial"/>
          <w:bCs/>
          <w:sz w:val="26"/>
          <w:szCs w:val="26"/>
        </w:rPr>
        <w:t>incurrió en indebida</w:t>
      </w:r>
      <w:r w:rsidR="00782D39">
        <w:rPr>
          <w:rFonts w:ascii="Arial" w:eastAsia="Calibri" w:hAnsi="Arial" w:cs="Arial"/>
          <w:bCs/>
          <w:sz w:val="26"/>
          <w:szCs w:val="26"/>
        </w:rPr>
        <w:t xml:space="preserve"> fundamentación y motivación, </w:t>
      </w:r>
      <w:r w:rsidR="003243B4">
        <w:rPr>
          <w:rFonts w:ascii="Arial" w:eastAsia="Calibri" w:hAnsi="Arial" w:cs="Arial"/>
          <w:bCs/>
          <w:sz w:val="26"/>
          <w:szCs w:val="26"/>
        </w:rPr>
        <w:t xml:space="preserve">además que la juzgadora varió </w:t>
      </w:r>
      <w:r w:rsidR="00782D39">
        <w:rPr>
          <w:rFonts w:ascii="Arial" w:eastAsia="Calibri" w:hAnsi="Arial" w:cs="Arial"/>
          <w:bCs/>
          <w:sz w:val="26"/>
          <w:szCs w:val="26"/>
        </w:rPr>
        <w:t xml:space="preserve">los planteamientos de la </w:t>
      </w:r>
      <w:r w:rsidR="00782D39">
        <w:rPr>
          <w:rFonts w:ascii="Arial" w:eastAsia="Calibri" w:hAnsi="Arial" w:cs="Arial"/>
          <w:bCs/>
          <w:sz w:val="26"/>
          <w:szCs w:val="26"/>
        </w:rPr>
        <w:lastRenderedPageBreak/>
        <w:t>parte actora</w:t>
      </w:r>
      <w:r>
        <w:rPr>
          <w:rFonts w:ascii="Arial" w:eastAsia="Calibri" w:hAnsi="Arial" w:cs="Arial"/>
          <w:bCs/>
          <w:sz w:val="26"/>
          <w:szCs w:val="26"/>
        </w:rPr>
        <w:t>,</w:t>
      </w:r>
      <w:r w:rsidR="00782D39">
        <w:rPr>
          <w:rFonts w:ascii="Arial" w:eastAsia="Calibri" w:hAnsi="Arial" w:cs="Arial"/>
          <w:bCs/>
          <w:sz w:val="26"/>
          <w:szCs w:val="26"/>
        </w:rPr>
        <w:t xml:space="preserve"> si no </w:t>
      </w:r>
      <w:r w:rsidR="00782D39">
        <w:rPr>
          <w:rFonts w:ascii="Arial" w:hAnsi="Arial" w:cs="Arial"/>
          <w:sz w:val="26"/>
          <w:szCs w:val="26"/>
        </w:rPr>
        <w:t xml:space="preserve">expone de forma precisa y razonada los motivos concretos en los que explique el porqué de sus aseveraciones; es decir, debe </w:t>
      </w:r>
      <w:r w:rsidR="00782D39">
        <w:rPr>
          <w:rFonts w:ascii="Arial" w:eastAsia="Calibri" w:hAnsi="Arial" w:cs="Arial"/>
          <w:bCs/>
          <w:sz w:val="26"/>
          <w:szCs w:val="26"/>
        </w:rPr>
        <w:t xml:space="preserve">señalar cual es el pronunciamiento específico de la sentencia en </w:t>
      </w:r>
      <w:r>
        <w:rPr>
          <w:rFonts w:ascii="Arial" w:eastAsia="Calibri" w:hAnsi="Arial" w:cs="Arial"/>
          <w:bCs/>
          <w:sz w:val="26"/>
          <w:szCs w:val="26"/>
        </w:rPr>
        <w:t xml:space="preserve">el </w:t>
      </w:r>
      <w:r w:rsidR="00782D39">
        <w:rPr>
          <w:rFonts w:ascii="Arial" w:eastAsia="Calibri" w:hAnsi="Arial" w:cs="Arial"/>
          <w:bCs/>
          <w:sz w:val="26"/>
          <w:szCs w:val="26"/>
        </w:rPr>
        <w:t xml:space="preserve">que </w:t>
      </w:r>
      <w:r>
        <w:rPr>
          <w:rFonts w:ascii="Arial" w:eastAsia="Calibri" w:hAnsi="Arial" w:cs="Arial"/>
          <w:bCs/>
          <w:sz w:val="26"/>
          <w:szCs w:val="26"/>
        </w:rPr>
        <w:t xml:space="preserve">la resolutora </w:t>
      </w:r>
      <w:r w:rsidR="00782D39">
        <w:rPr>
          <w:rFonts w:ascii="Arial" w:eastAsia="Calibri" w:hAnsi="Arial" w:cs="Arial"/>
          <w:bCs/>
          <w:sz w:val="26"/>
          <w:szCs w:val="26"/>
        </w:rPr>
        <w:t xml:space="preserve">incurrió en indebida fundamentación y motivación, e indicar donde </w:t>
      </w:r>
      <w:r>
        <w:rPr>
          <w:rFonts w:ascii="Arial" w:eastAsia="Calibri" w:hAnsi="Arial" w:cs="Arial"/>
          <w:bCs/>
          <w:sz w:val="26"/>
          <w:szCs w:val="26"/>
        </w:rPr>
        <w:t xml:space="preserve">varió </w:t>
      </w:r>
      <w:r w:rsidR="00782D39">
        <w:rPr>
          <w:rFonts w:ascii="Arial" w:eastAsia="Calibri" w:hAnsi="Arial" w:cs="Arial"/>
          <w:bCs/>
          <w:sz w:val="26"/>
          <w:szCs w:val="26"/>
        </w:rPr>
        <w:t xml:space="preserve">los planteamientos de </w:t>
      </w:r>
      <w:r>
        <w:rPr>
          <w:rFonts w:ascii="Arial" w:eastAsia="Calibri" w:hAnsi="Arial" w:cs="Arial"/>
          <w:bCs/>
          <w:sz w:val="26"/>
          <w:szCs w:val="26"/>
        </w:rPr>
        <w:t>la demandante</w:t>
      </w:r>
      <w:r w:rsidR="00782D39">
        <w:rPr>
          <w:rFonts w:ascii="Arial" w:eastAsia="Calibri" w:hAnsi="Arial" w:cs="Arial"/>
          <w:bCs/>
          <w:sz w:val="26"/>
          <w:szCs w:val="26"/>
        </w:rPr>
        <w:t>, debiendo relacionar tales razones con el perjuicio que se le cause</w:t>
      </w:r>
      <w:r>
        <w:rPr>
          <w:rFonts w:ascii="Arial" w:eastAsia="Calibri" w:hAnsi="Arial" w:cs="Arial"/>
          <w:bCs/>
          <w:sz w:val="26"/>
          <w:szCs w:val="26"/>
        </w:rPr>
        <w:t xml:space="preserve">; </w:t>
      </w:r>
      <w:r w:rsidR="00782D39">
        <w:rPr>
          <w:rFonts w:ascii="Arial" w:hAnsi="Arial" w:cs="Arial"/>
          <w:sz w:val="26"/>
          <w:szCs w:val="26"/>
          <w:shd w:val="clear" w:color="auto" w:fill="FFFFFF"/>
        </w:rPr>
        <w:t>pues es obvio que a</w:t>
      </w:r>
      <w:r>
        <w:rPr>
          <w:rFonts w:ascii="Arial" w:hAnsi="Arial" w:cs="Arial"/>
          <w:sz w:val="26"/>
          <w:szCs w:val="26"/>
          <w:shd w:val="clear" w:color="auto" w:fill="FFFFFF"/>
        </w:rPr>
        <w:t xml:space="preserve"> </w:t>
      </w:r>
      <w:r w:rsidR="00782D39">
        <w:rPr>
          <w:rFonts w:ascii="Arial" w:hAnsi="Arial" w:cs="Arial"/>
          <w:sz w:val="26"/>
          <w:szCs w:val="26"/>
          <w:shd w:val="clear" w:color="auto" w:fill="FFFFFF"/>
        </w:rPr>
        <w:t>l</w:t>
      </w:r>
      <w:r>
        <w:rPr>
          <w:rFonts w:ascii="Arial" w:hAnsi="Arial" w:cs="Arial"/>
          <w:sz w:val="26"/>
          <w:szCs w:val="26"/>
          <w:shd w:val="clear" w:color="auto" w:fill="FFFFFF"/>
        </w:rPr>
        <w:t>a</w:t>
      </w:r>
      <w:r w:rsidR="00782D39">
        <w:rPr>
          <w:rFonts w:ascii="Arial" w:hAnsi="Arial" w:cs="Arial"/>
          <w:sz w:val="26"/>
          <w:szCs w:val="26"/>
          <w:shd w:val="clear" w:color="auto" w:fill="FFFFFF"/>
        </w:rPr>
        <w:t xml:space="preserve"> hoy recurrente, como autoridad demandada en el juicio natural, le corresponde exponer razonadamente, </w:t>
      </w:r>
      <w:r w:rsidR="00782D39" w:rsidRPr="006C64B6">
        <w:rPr>
          <w:rFonts w:ascii="Arial" w:hAnsi="Arial" w:cs="Arial"/>
          <w:sz w:val="26"/>
          <w:szCs w:val="26"/>
          <w:shd w:val="clear" w:color="auto" w:fill="FFFFFF"/>
        </w:rPr>
        <w:t>porqué</w:t>
      </w:r>
      <w:r w:rsidR="00782D39">
        <w:rPr>
          <w:rFonts w:ascii="Arial" w:hAnsi="Arial" w:cs="Arial"/>
          <w:sz w:val="26"/>
          <w:szCs w:val="26"/>
          <w:shd w:val="clear" w:color="auto" w:fill="FFFFFF"/>
        </w:rPr>
        <w:t xml:space="preserve"> estima ilegal el acto que recurre, </w:t>
      </w:r>
      <w:r w:rsidR="003243B4">
        <w:rPr>
          <w:rFonts w:ascii="Arial" w:hAnsi="Arial" w:cs="Arial"/>
          <w:sz w:val="26"/>
          <w:szCs w:val="26"/>
          <w:shd w:val="clear" w:color="auto" w:fill="FFFFFF"/>
        </w:rPr>
        <w:t xml:space="preserve">y </w:t>
      </w:r>
      <w:r w:rsidR="00782D39">
        <w:rPr>
          <w:rFonts w:ascii="Arial" w:hAnsi="Arial" w:cs="Arial"/>
          <w:sz w:val="26"/>
          <w:szCs w:val="26"/>
          <w:shd w:val="clear" w:color="auto" w:fill="FFFFFF"/>
        </w:rPr>
        <w:t xml:space="preserve">señalar la parte de la sentencia </w:t>
      </w:r>
      <w:r w:rsidR="006D3DC5">
        <w:rPr>
          <w:rFonts w:ascii="Arial" w:hAnsi="Arial" w:cs="Arial"/>
          <w:sz w:val="26"/>
          <w:szCs w:val="26"/>
          <w:shd w:val="clear" w:color="auto" w:fill="FFFFFF"/>
        </w:rPr>
        <w:t>a la que está dirigido su agravio</w:t>
      </w:r>
      <w:r w:rsidR="00D124EA">
        <w:rPr>
          <w:rFonts w:ascii="Arial" w:hAnsi="Arial" w:cs="Arial"/>
          <w:sz w:val="26"/>
          <w:szCs w:val="26"/>
          <w:shd w:val="clear" w:color="auto" w:fill="FFFFFF"/>
        </w:rPr>
        <w:t xml:space="preserve">. Tomando en consideración que la autoridad recurrente no controvierte </w:t>
      </w:r>
      <w:r w:rsidR="00782D39">
        <w:rPr>
          <w:rFonts w:ascii="Arial" w:eastAsia="Calibri" w:hAnsi="Arial" w:cs="Arial"/>
          <w:bCs/>
          <w:sz w:val="26"/>
          <w:szCs w:val="26"/>
        </w:rPr>
        <w:t>de forma</w:t>
      </w:r>
      <w:r w:rsidR="00782D39" w:rsidRPr="005E796D">
        <w:rPr>
          <w:rFonts w:ascii="Arial" w:eastAsia="Calibri" w:hAnsi="Arial" w:cs="Arial"/>
          <w:bCs/>
          <w:sz w:val="26"/>
          <w:szCs w:val="26"/>
        </w:rPr>
        <w:t xml:space="preserve"> </w:t>
      </w:r>
      <w:r w:rsidR="00782D39">
        <w:rPr>
          <w:rFonts w:ascii="Arial" w:eastAsia="Calibri" w:hAnsi="Arial" w:cs="Arial"/>
          <w:bCs/>
          <w:sz w:val="26"/>
          <w:szCs w:val="26"/>
        </w:rPr>
        <w:t xml:space="preserve">adecuada los fundamentos legales y las consideraciones de la Primera Instancia plasmadas en la sentencia impugnada, es que </w:t>
      </w:r>
      <w:r w:rsidR="00D124EA">
        <w:rPr>
          <w:rFonts w:ascii="Arial" w:eastAsia="Calibri" w:hAnsi="Arial" w:cs="Arial"/>
          <w:bCs/>
          <w:sz w:val="26"/>
          <w:szCs w:val="26"/>
        </w:rPr>
        <w:t xml:space="preserve">se advierte </w:t>
      </w:r>
      <w:r w:rsidR="00782D39" w:rsidRPr="00AF47DE">
        <w:rPr>
          <w:rFonts w:ascii="Arial" w:eastAsia="Calibri" w:hAnsi="Arial" w:cs="Arial"/>
          <w:b/>
          <w:sz w:val="26"/>
          <w:szCs w:val="26"/>
        </w:rPr>
        <w:t>in</w:t>
      </w:r>
      <w:r w:rsidR="00782D39">
        <w:rPr>
          <w:rFonts w:ascii="Arial" w:eastAsia="Calibri" w:hAnsi="Arial" w:cs="Arial"/>
          <w:b/>
          <w:sz w:val="26"/>
          <w:szCs w:val="26"/>
        </w:rPr>
        <w:t>fundado</w:t>
      </w:r>
      <w:r w:rsidR="00782D39">
        <w:rPr>
          <w:rFonts w:ascii="Arial" w:eastAsia="Calibri" w:hAnsi="Arial" w:cs="Arial"/>
          <w:bCs/>
          <w:sz w:val="26"/>
          <w:szCs w:val="26"/>
        </w:rPr>
        <w:t xml:space="preserve"> </w:t>
      </w:r>
      <w:r w:rsidR="00AF71C0">
        <w:rPr>
          <w:rFonts w:ascii="Arial" w:eastAsia="Calibri" w:hAnsi="Arial" w:cs="Arial"/>
          <w:bCs/>
          <w:sz w:val="26"/>
          <w:szCs w:val="26"/>
        </w:rPr>
        <w:t>e</w:t>
      </w:r>
      <w:r w:rsidR="00782D39">
        <w:rPr>
          <w:rFonts w:ascii="Arial" w:eastAsia="Calibri" w:hAnsi="Arial" w:cs="Arial"/>
          <w:bCs/>
          <w:sz w:val="26"/>
          <w:szCs w:val="26"/>
        </w:rPr>
        <w:t>l agravio exp</w:t>
      </w:r>
      <w:r w:rsidR="00AF71C0">
        <w:rPr>
          <w:rFonts w:ascii="Arial" w:eastAsia="Calibri" w:hAnsi="Arial" w:cs="Arial"/>
          <w:bCs/>
          <w:sz w:val="26"/>
          <w:szCs w:val="26"/>
        </w:rPr>
        <w:t>uesto</w:t>
      </w:r>
      <w:r w:rsidR="009214D7">
        <w:rPr>
          <w:rFonts w:ascii="Arial" w:eastAsia="Calibri" w:hAnsi="Arial" w:cs="Arial"/>
          <w:bCs/>
          <w:sz w:val="26"/>
          <w:szCs w:val="26"/>
        </w:rPr>
        <w:t xml:space="preserve">. </w:t>
      </w:r>
      <w:r w:rsidR="00CF35C6">
        <w:rPr>
          <w:rFonts w:ascii="Arial" w:eastAsia="Calibri" w:hAnsi="Arial" w:cs="Arial"/>
          <w:bCs/>
          <w:sz w:val="26"/>
          <w:szCs w:val="26"/>
        </w:rPr>
        <w:t xml:space="preserve">- - - - - - </w:t>
      </w:r>
    </w:p>
    <w:p w14:paraId="4AF67528" w14:textId="7242F5AD" w:rsidR="00782D39" w:rsidRPr="006C64B6" w:rsidRDefault="00782D39" w:rsidP="00782D39">
      <w:pPr>
        <w:spacing w:before="240" w:line="360" w:lineRule="auto"/>
        <w:ind w:firstLine="708"/>
        <w:jc w:val="both"/>
        <w:rPr>
          <w:rFonts w:ascii="Arial" w:eastAsia="Calibri" w:hAnsi="Arial" w:cs="Arial"/>
          <w:bCs/>
          <w:sz w:val="26"/>
          <w:szCs w:val="26"/>
        </w:rPr>
      </w:pPr>
      <w:r w:rsidRPr="006C64B6">
        <w:rPr>
          <w:rFonts w:ascii="Arial" w:eastAsia="Calibri" w:hAnsi="Arial" w:cs="Arial"/>
          <w:bCs/>
          <w:sz w:val="26"/>
          <w:szCs w:val="26"/>
        </w:rPr>
        <w:t>Es aplicable al caso, la jurisprudencia</w:t>
      </w:r>
      <w:r w:rsidR="00E6323C">
        <w:rPr>
          <w:rFonts w:ascii="Arial" w:eastAsia="Calibri" w:hAnsi="Arial" w:cs="Arial"/>
          <w:bCs/>
          <w:sz w:val="26"/>
          <w:szCs w:val="26"/>
        </w:rPr>
        <w:t xml:space="preserve"> en materia común, número </w:t>
      </w:r>
      <w:r w:rsidRPr="006C64B6">
        <w:rPr>
          <w:rFonts w:ascii="Arial" w:eastAsia="Calibri" w:hAnsi="Arial" w:cs="Arial"/>
          <w:bCs/>
          <w:sz w:val="26"/>
          <w:szCs w:val="26"/>
        </w:rPr>
        <w:t>IV.3o.J/12</w:t>
      </w:r>
      <w:r w:rsidR="00E6323C">
        <w:rPr>
          <w:rFonts w:ascii="Arial" w:eastAsia="Calibri" w:hAnsi="Arial" w:cs="Arial"/>
          <w:bCs/>
          <w:sz w:val="26"/>
          <w:szCs w:val="26"/>
        </w:rPr>
        <w:t xml:space="preserve">, con número de registro digital 218411, de la octava época, </w:t>
      </w:r>
      <w:r w:rsidRPr="006C64B6">
        <w:rPr>
          <w:rFonts w:ascii="Arial" w:eastAsia="Calibri" w:hAnsi="Arial" w:cs="Arial"/>
          <w:bCs/>
          <w:sz w:val="26"/>
          <w:szCs w:val="26"/>
        </w:rPr>
        <w:t xml:space="preserve">emitida por el Tercer Tribunal Colegiado del Cuarto Circuito, </w:t>
      </w:r>
      <w:r w:rsidR="00E6323C">
        <w:rPr>
          <w:rFonts w:ascii="Arial" w:eastAsia="Calibri" w:hAnsi="Arial" w:cs="Arial"/>
          <w:bCs/>
          <w:sz w:val="26"/>
          <w:szCs w:val="26"/>
        </w:rPr>
        <w:t xml:space="preserve">publicada en </w:t>
      </w:r>
      <w:r w:rsidRPr="006C64B6">
        <w:rPr>
          <w:rFonts w:ascii="Arial" w:eastAsia="Calibri" w:hAnsi="Arial" w:cs="Arial"/>
          <w:bCs/>
          <w:sz w:val="26"/>
          <w:szCs w:val="26"/>
        </w:rPr>
        <w:t xml:space="preserve">la Gaceta del Semanario Judicial de la Federación, </w:t>
      </w:r>
      <w:r w:rsidR="00E6323C">
        <w:rPr>
          <w:rFonts w:ascii="Arial" w:eastAsia="Calibri" w:hAnsi="Arial" w:cs="Arial"/>
          <w:bCs/>
          <w:sz w:val="26"/>
          <w:szCs w:val="26"/>
        </w:rPr>
        <w:t xml:space="preserve">núm. 57, </w:t>
      </w:r>
      <w:r w:rsidRPr="006C64B6">
        <w:rPr>
          <w:rFonts w:ascii="Arial" w:eastAsia="Calibri" w:hAnsi="Arial" w:cs="Arial"/>
          <w:bCs/>
          <w:sz w:val="26"/>
          <w:szCs w:val="26"/>
        </w:rPr>
        <w:t xml:space="preserve">Septiembre de 1992, </w:t>
      </w:r>
      <w:r w:rsidR="00E6323C">
        <w:rPr>
          <w:rFonts w:ascii="Arial" w:eastAsia="Calibri" w:hAnsi="Arial" w:cs="Arial"/>
          <w:bCs/>
          <w:sz w:val="26"/>
          <w:szCs w:val="26"/>
        </w:rPr>
        <w:t xml:space="preserve">visible </w:t>
      </w:r>
      <w:r w:rsidRPr="006C64B6">
        <w:rPr>
          <w:rFonts w:ascii="Arial" w:eastAsia="Calibri" w:hAnsi="Arial" w:cs="Arial"/>
          <w:bCs/>
          <w:sz w:val="26"/>
          <w:szCs w:val="26"/>
        </w:rPr>
        <w:t>a página 57, de rubro y texto siguientes:</w:t>
      </w:r>
    </w:p>
    <w:p w14:paraId="6BF9625C" w14:textId="6FC1855A" w:rsidR="00782D39" w:rsidRPr="001769FA" w:rsidRDefault="00782D39" w:rsidP="00782D39">
      <w:pPr>
        <w:spacing w:before="240" w:line="240" w:lineRule="auto"/>
        <w:ind w:left="567" w:right="616"/>
        <w:jc w:val="both"/>
        <w:rPr>
          <w:rFonts w:ascii="Arial" w:eastAsia="Calibri" w:hAnsi="Arial" w:cs="Arial"/>
          <w:bCs/>
          <w:i/>
          <w:sz w:val="24"/>
          <w:szCs w:val="24"/>
        </w:rPr>
      </w:pPr>
      <w:r w:rsidRPr="001769FA">
        <w:rPr>
          <w:rFonts w:ascii="Arial" w:eastAsia="Calibri" w:hAnsi="Arial" w:cs="Arial"/>
          <w:bCs/>
          <w:i/>
          <w:sz w:val="24"/>
          <w:szCs w:val="24"/>
        </w:rPr>
        <w:t>“</w:t>
      </w:r>
      <w:r w:rsidRPr="001769FA">
        <w:rPr>
          <w:rFonts w:ascii="Arial" w:eastAsia="Calibri" w:hAnsi="Arial" w:cs="Arial"/>
          <w:b/>
          <w:bCs/>
          <w:i/>
          <w:sz w:val="24"/>
          <w:szCs w:val="24"/>
        </w:rPr>
        <w:t>AGRAVIOS. DEBEN DE IMPUGNAR LA ILEGALIDAD DEL FALLO RECURRIDO.</w:t>
      </w:r>
      <w:r w:rsidRPr="001769FA">
        <w:rPr>
          <w:rFonts w:ascii="Arial" w:eastAsia="Calibri" w:hAnsi="Arial" w:cs="Arial"/>
          <w:bCs/>
          <w:i/>
          <w:sz w:val="24"/>
          <w:szCs w:val="24"/>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1769FA">
        <w:rPr>
          <w:rFonts w:ascii="Arial" w:eastAsia="Calibri" w:hAnsi="Arial" w:cs="Arial"/>
          <w:bCs/>
          <w:i/>
          <w:sz w:val="24"/>
          <w:szCs w:val="24"/>
        </w:rPr>
        <w:t xml:space="preserve"> </w:t>
      </w:r>
      <w:r w:rsidR="001769FA">
        <w:rPr>
          <w:rFonts w:ascii="Arial" w:hAnsi="Arial" w:cs="Arial"/>
          <w:bCs/>
          <w:iCs/>
          <w:sz w:val="26"/>
          <w:szCs w:val="26"/>
        </w:rPr>
        <w:t xml:space="preserve">- - - - - - - - - - - - - - - - - - - - - - - - - - - - - - - - - - - - - - </w:t>
      </w:r>
    </w:p>
    <w:p w14:paraId="11884358" w14:textId="58BDB4D0" w:rsidR="00F62312" w:rsidRDefault="00AF71C0" w:rsidP="002A5A74">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Continuando con </w:t>
      </w:r>
      <w:r w:rsidR="003963D6">
        <w:rPr>
          <w:rFonts w:ascii="Arial" w:eastAsia="Calibri" w:hAnsi="Arial" w:cs="Arial"/>
          <w:bCs/>
          <w:sz w:val="26"/>
          <w:szCs w:val="26"/>
        </w:rPr>
        <w:t xml:space="preserve">el estudio de </w:t>
      </w:r>
      <w:r>
        <w:rPr>
          <w:rFonts w:ascii="Arial" w:eastAsia="Calibri" w:hAnsi="Arial" w:cs="Arial"/>
          <w:bCs/>
          <w:sz w:val="26"/>
          <w:szCs w:val="26"/>
        </w:rPr>
        <w:t>los agravios de la autoridad recurrente</w:t>
      </w:r>
      <w:r w:rsidR="003963D6">
        <w:rPr>
          <w:rFonts w:ascii="Arial" w:eastAsia="Calibri" w:hAnsi="Arial" w:cs="Arial"/>
          <w:bCs/>
          <w:sz w:val="26"/>
          <w:szCs w:val="26"/>
        </w:rPr>
        <w:t>,</w:t>
      </w:r>
      <w:r>
        <w:rPr>
          <w:rFonts w:ascii="Arial" w:eastAsia="Calibri" w:hAnsi="Arial" w:cs="Arial"/>
          <w:bCs/>
          <w:sz w:val="26"/>
          <w:szCs w:val="26"/>
        </w:rPr>
        <w:t xml:space="preserve"> </w:t>
      </w:r>
      <w:r w:rsidR="003963D6">
        <w:rPr>
          <w:rFonts w:ascii="Arial" w:eastAsia="Calibri" w:hAnsi="Arial" w:cs="Arial"/>
          <w:bCs/>
          <w:sz w:val="26"/>
          <w:szCs w:val="26"/>
        </w:rPr>
        <w:t xml:space="preserve">esta </w:t>
      </w:r>
      <w:r w:rsidR="00481D61">
        <w:rPr>
          <w:rFonts w:ascii="Arial" w:eastAsia="Calibri" w:hAnsi="Arial" w:cs="Arial"/>
          <w:bCs/>
          <w:sz w:val="26"/>
          <w:szCs w:val="26"/>
        </w:rPr>
        <w:t>r</w:t>
      </w:r>
      <w:r w:rsidR="00F62312">
        <w:rPr>
          <w:rFonts w:ascii="Arial" w:eastAsia="Calibri" w:hAnsi="Arial" w:cs="Arial"/>
          <w:bCs/>
          <w:sz w:val="26"/>
          <w:szCs w:val="26"/>
        </w:rPr>
        <w:t xml:space="preserve">efiere que la sentencia que refuta es ambigua, ya que </w:t>
      </w:r>
      <w:r w:rsidR="00481D61">
        <w:rPr>
          <w:rFonts w:ascii="Arial" w:eastAsia="Calibri" w:hAnsi="Arial" w:cs="Arial"/>
          <w:bCs/>
          <w:sz w:val="26"/>
          <w:szCs w:val="26"/>
        </w:rPr>
        <w:t xml:space="preserve">la Sala Unitaria </w:t>
      </w:r>
      <w:r w:rsidR="00F62312">
        <w:rPr>
          <w:rFonts w:ascii="Arial" w:eastAsia="Calibri" w:hAnsi="Arial" w:cs="Arial"/>
          <w:bCs/>
          <w:sz w:val="26"/>
          <w:szCs w:val="26"/>
        </w:rPr>
        <w:t xml:space="preserve">declaró fundados los agravios expuestos por la </w:t>
      </w:r>
      <w:r w:rsidR="007838D5">
        <w:rPr>
          <w:rFonts w:ascii="Arial" w:eastAsia="Calibri" w:hAnsi="Arial" w:cs="Arial"/>
          <w:bCs/>
          <w:sz w:val="26"/>
          <w:szCs w:val="26"/>
        </w:rPr>
        <w:t xml:space="preserve">parte </w:t>
      </w:r>
      <w:r w:rsidR="00F62312">
        <w:rPr>
          <w:rFonts w:ascii="Arial" w:eastAsia="Calibri" w:hAnsi="Arial" w:cs="Arial"/>
          <w:bCs/>
          <w:sz w:val="26"/>
          <w:szCs w:val="26"/>
        </w:rPr>
        <w:t>actora</w:t>
      </w:r>
      <w:r w:rsidR="007838D5">
        <w:rPr>
          <w:rFonts w:ascii="Arial" w:eastAsia="Calibri" w:hAnsi="Arial" w:cs="Arial"/>
          <w:bCs/>
          <w:sz w:val="26"/>
          <w:szCs w:val="26"/>
        </w:rPr>
        <w:t>,</w:t>
      </w:r>
      <w:r w:rsidR="00F62312">
        <w:rPr>
          <w:rFonts w:ascii="Arial" w:eastAsia="Calibri" w:hAnsi="Arial" w:cs="Arial"/>
          <w:bCs/>
          <w:sz w:val="26"/>
          <w:szCs w:val="26"/>
        </w:rPr>
        <w:t xml:space="preserve"> sin especificar </w:t>
      </w:r>
      <w:r w:rsidR="007838D5">
        <w:rPr>
          <w:rFonts w:ascii="Arial" w:eastAsia="Calibri" w:hAnsi="Arial" w:cs="Arial"/>
          <w:bCs/>
          <w:sz w:val="26"/>
          <w:szCs w:val="26"/>
        </w:rPr>
        <w:t>a qu</w:t>
      </w:r>
      <w:r w:rsidR="008079FE">
        <w:rPr>
          <w:rFonts w:ascii="Arial" w:eastAsia="Calibri" w:hAnsi="Arial" w:cs="Arial"/>
          <w:bCs/>
          <w:sz w:val="26"/>
          <w:szCs w:val="26"/>
        </w:rPr>
        <w:t>é</w:t>
      </w:r>
      <w:r w:rsidR="007838D5">
        <w:rPr>
          <w:rFonts w:ascii="Arial" w:eastAsia="Calibri" w:hAnsi="Arial" w:cs="Arial"/>
          <w:bCs/>
          <w:sz w:val="26"/>
          <w:szCs w:val="26"/>
        </w:rPr>
        <w:t xml:space="preserve"> </w:t>
      </w:r>
      <w:r w:rsidR="00F62312">
        <w:rPr>
          <w:rFonts w:ascii="Arial" w:eastAsia="Calibri" w:hAnsi="Arial" w:cs="Arial"/>
          <w:bCs/>
          <w:sz w:val="26"/>
          <w:szCs w:val="26"/>
        </w:rPr>
        <w:t>conceptos de impugnación</w:t>
      </w:r>
      <w:r w:rsidR="007838D5">
        <w:rPr>
          <w:rFonts w:ascii="Arial" w:eastAsia="Calibri" w:hAnsi="Arial" w:cs="Arial"/>
          <w:bCs/>
          <w:sz w:val="26"/>
          <w:szCs w:val="26"/>
        </w:rPr>
        <w:t xml:space="preserve"> </w:t>
      </w:r>
      <w:r w:rsidR="00F62312">
        <w:rPr>
          <w:rFonts w:ascii="Arial" w:eastAsia="Calibri" w:hAnsi="Arial" w:cs="Arial"/>
          <w:bCs/>
          <w:sz w:val="26"/>
          <w:szCs w:val="26"/>
        </w:rPr>
        <w:t>se refirió</w:t>
      </w:r>
      <w:r w:rsidR="00637B31">
        <w:rPr>
          <w:rFonts w:ascii="Arial" w:eastAsia="Calibri" w:hAnsi="Arial" w:cs="Arial"/>
          <w:bCs/>
          <w:sz w:val="26"/>
          <w:szCs w:val="26"/>
        </w:rPr>
        <w:t>.</w:t>
      </w:r>
      <w:r w:rsidR="00BC7074">
        <w:rPr>
          <w:rFonts w:ascii="Arial" w:eastAsia="Calibri" w:hAnsi="Arial" w:cs="Arial"/>
          <w:bCs/>
          <w:sz w:val="26"/>
          <w:szCs w:val="26"/>
        </w:rPr>
        <w:t xml:space="preserve"> - - - - </w:t>
      </w:r>
    </w:p>
    <w:p w14:paraId="596BCFCA" w14:textId="38124DEC" w:rsidR="00637B31" w:rsidRDefault="00865016" w:rsidP="002A5A74">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Debate </w:t>
      </w:r>
      <w:r w:rsidR="00637B31">
        <w:rPr>
          <w:rFonts w:ascii="Arial" w:eastAsia="Calibri" w:hAnsi="Arial" w:cs="Arial"/>
          <w:bCs/>
          <w:sz w:val="26"/>
          <w:szCs w:val="26"/>
        </w:rPr>
        <w:t xml:space="preserve">que </w:t>
      </w:r>
      <w:r w:rsidR="00AF71C0">
        <w:rPr>
          <w:rFonts w:ascii="Arial" w:eastAsia="Calibri" w:hAnsi="Arial" w:cs="Arial"/>
          <w:bCs/>
          <w:sz w:val="26"/>
          <w:szCs w:val="26"/>
        </w:rPr>
        <w:t xml:space="preserve">su representada </w:t>
      </w:r>
      <w:r w:rsidR="00637B31">
        <w:rPr>
          <w:rFonts w:ascii="Arial" w:eastAsia="Calibri" w:hAnsi="Arial" w:cs="Arial"/>
          <w:bCs/>
          <w:sz w:val="26"/>
          <w:szCs w:val="26"/>
        </w:rPr>
        <w:t xml:space="preserve">no está obligada a requerir al contribuyente previamente a la emisión del acto impugnado, porque no realizó ninguna de las facultades de asistencia, control o vigilancia, </w:t>
      </w:r>
      <w:r w:rsidR="00294C3D">
        <w:rPr>
          <w:rFonts w:ascii="Arial" w:eastAsia="Calibri" w:hAnsi="Arial" w:cs="Arial"/>
          <w:bCs/>
          <w:sz w:val="26"/>
          <w:szCs w:val="26"/>
        </w:rPr>
        <w:t xml:space="preserve">y porque </w:t>
      </w:r>
      <w:r w:rsidR="00AF71C0">
        <w:rPr>
          <w:rFonts w:ascii="Arial" w:eastAsia="Calibri" w:hAnsi="Arial" w:cs="Arial"/>
          <w:bCs/>
          <w:sz w:val="26"/>
          <w:szCs w:val="26"/>
        </w:rPr>
        <w:t xml:space="preserve">la actora </w:t>
      </w:r>
      <w:r w:rsidR="00294C3D">
        <w:rPr>
          <w:rFonts w:ascii="Arial" w:eastAsia="Calibri" w:hAnsi="Arial" w:cs="Arial"/>
          <w:bCs/>
          <w:sz w:val="26"/>
          <w:szCs w:val="26"/>
        </w:rPr>
        <w:t xml:space="preserve">conoce su situación fiscal, ya que con fecha diecisiete de noviembre de dos mil dieciséis, presentó su solicitud a fin de quedar inscrita en el Registro Estatal de Contribuyentes, máxime que la multa identificada con el número de control 01MO49ER180901, de veintisiete </w:t>
      </w:r>
      <w:r w:rsidR="00294C3D">
        <w:rPr>
          <w:rFonts w:ascii="Arial" w:eastAsia="Calibri" w:hAnsi="Arial" w:cs="Arial"/>
          <w:bCs/>
          <w:sz w:val="26"/>
          <w:szCs w:val="26"/>
        </w:rPr>
        <w:lastRenderedPageBreak/>
        <w:t xml:space="preserve">de julio de dos mil dieciocho, le fue impuesta </w:t>
      </w:r>
      <w:r w:rsidR="00B432C1">
        <w:rPr>
          <w:rFonts w:ascii="Arial" w:eastAsia="Calibri" w:hAnsi="Arial" w:cs="Arial"/>
          <w:bCs/>
          <w:sz w:val="26"/>
          <w:szCs w:val="26"/>
        </w:rPr>
        <w:t xml:space="preserve">por </w:t>
      </w:r>
      <w:r w:rsidR="00294C3D">
        <w:rPr>
          <w:rFonts w:ascii="Arial" w:eastAsia="Calibri" w:hAnsi="Arial" w:cs="Arial"/>
          <w:bCs/>
          <w:sz w:val="26"/>
          <w:szCs w:val="26"/>
        </w:rPr>
        <w:t xml:space="preserve">omisión a una obligación sustantiva cometida por la contribuyente, relacionada con la presentación de declaraciones del </w:t>
      </w:r>
      <w:r w:rsidR="00224A38">
        <w:rPr>
          <w:rFonts w:ascii="Arial" w:eastAsia="Calibri" w:hAnsi="Arial" w:cs="Arial"/>
          <w:bCs/>
          <w:sz w:val="26"/>
          <w:szCs w:val="26"/>
        </w:rPr>
        <w:t>impuesto sobre erogaciones por remuneraciones al trabajo personal</w:t>
      </w:r>
      <w:r w:rsidR="00294C3D">
        <w:rPr>
          <w:rFonts w:ascii="Arial" w:eastAsia="Calibri" w:hAnsi="Arial" w:cs="Arial"/>
          <w:bCs/>
          <w:sz w:val="26"/>
          <w:szCs w:val="26"/>
        </w:rPr>
        <w:t xml:space="preserve">, misma que deviene de las facultades de control y vigilancia de las obligaciones fiscales de los contribuyentes, por lo que al realizar una revisión minuciosa en el Registro Estatal de Contribuyentes con que cuenta esa Secretaría de Finanzas, se identificó a la contribuyente como sujeto obligado que ha incurrido en incumplimiento de la obligación correspondiente al segundo bimestre del ejercicio fiscal de dos mil dieciocho, por lo que su representada no se encuentra obligada a concederle un plazo a la contribuyente porque el presente caso no es un procedimiento de fiscalización, y para mejor comprensión transcribe el artículo 113 del Código Fiscal </w:t>
      </w:r>
      <w:r w:rsidR="0067309A">
        <w:rPr>
          <w:rFonts w:ascii="Arial" w:eastAsia="Calibri" w:hAnsi="Arial" w:cs="Arial"/>
          <w:bCs/>
          <w:sz w:val="26"/>
          <w:szCs w:val="26"/>
        </w:rPr>
        <w:t>para el Estado de Oaxaca.</w:t>
      </w:r>
      <w:r w:rsidR="00BC7074">
        <w:rPr>
          <w:rFonts w:ascii="Arial" w:eastAsia="Calibri" w:hAnsi="Arial" w:cs="Arial"/>
          <w:bCs/>
          <w:sz w:val="26"/>
          <w:szCs w:val="26"/>
        </w:rPr>
        <w:t xml:space="preserve"> </w:t>
      </w:r>
      <w:r w:rsidR="00BC7074">
        <w:rPr>
          <w:rFonts w:ascii="Arial" w:hAnsi="Arial" w:cs="Arial"/>
          <w:bCs/>
          <w:iCs/>
          <w:sz w:val="26"/>
          <w:szCs w:val="26"/>
        </w:rPr>
        <w:t xml:space="preserve">- - - - - - - - - - - - - - - - - - - - - - </w:t>
      </w:r>
    </w:p>
    <w:p w14:paraId="3AC4DE37" w14:textId="17B79A15" w:rsidR="0067309A" w:rsidRDefault="0067309A" w:rsidP="002A5A74">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Alega que en la emisión del acto impugnado no era necesaria la existencia de un procedimiento previo al ejercicio de las facultades de control y vigilancia, en el que se cumpla con las formalidades esenciales del procedimiento, ya que no se trata de un acto de privación de derechos de la contribuyente, porque en la imposición de multas formales y materiales no rige el derecho de audiencia previa</w:t>
      </w:r>
      <w:r w:rsidR="007F3468">
        <w:rPr>
          <w:rFonts w:ascii="Arial" w:eastAsia="Calibri" w:hAnsi="Arial" w:cs="Arial"/>
          <w:bCs/>
          <w:sz w:val="26"/>
          <w:szCs w:val="26"/>
        </w:rPr>
        <w:t xml:space="preserve"> porque no hay privación de derecho alguno al </w:t>
      </w:r>
      <w:r w:rsidR="00616098">
        <w:rPr>
          <w:rFonts w:ascii="Arial" w:eastAsia="Calibri" w:hAnsi="Arial" w:cs="Arial"/>
          <w:bCs/>
          <w:sz w:val="26"/>
          <w:szCs w:val="26"/>
        </w:rPr>
        <w:t xml:space="preserve">contribuyente; que con posterioridad a la cuantificación de la sanción a la contribuyente, ésta tuvo un plazo de  quince días para promover el recurso de revocación ante la autoridad emisora o treinta días para accionar el juicio contencioso administrativo ante este Tribunal. </w:t>
      </w:r>
      <w:r w:rsidR="00591C82">
        <w:rPr>
          <w:rFonts w:ascii="Arial" w:hAnsi="Arial" w:cs="Arial"/>
          <w:bCs/>
          <w:iCs/>
          <w:sz w:val="26"/>
          <w:szCs w:val="26"/>
        </w:rPr>
        <w:t xml:space="preserve">- - - - - - - - - - - - - - - - - - - - - - - - - - - - - - - - - - - - - - </w:t>
      </w:r>
    </w:p>
    <w:p w14:paraId="6B31712D" w14:textId="4F2AD70D" w:rsidR="00616098" w:rsidRDefault="00616098" w:rsidP="002A5A74">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Por último, solicita que se revoque la sentencia que impugnó a fin de que se emita una nueva sentencia apegada a derecho, en la que se cumpla con una precisa fijación de los puntos controvertidos.</w:t>
      </w:r>
      <w:r w:rsidR="005270FE">
        <w:rPr>
          <w:rFonts w:ascii="Arial" w:eastAsia="Calibri" w:hAnsi="Arial" w:cs="Arial"/>
          <w:bCs/>
          <w:sz w:val="26"/>
          <w:szCs w:val="26"/>
        </w:rPr>
        <w:t xml:space="preserve"> </w:t>
      </w:r>
      <w:r w:rsidR="005270FE">
        <w:rPr>
          <w:rFonts w:ascii="Arial" w:hAnsi="Arial" w:cs="Arial"/>
          <w:bCs/>
          <w:iCs/>
          <w:sz w:val="26"/>
          <w:szCs w:val="26"/>
        </w:rPr>
        <w:t>- - - - - - - -</w:t>
      </w:r>
    </w:p>
    <w:p w14:paraId="6501A184" w14:textId="669D93C9" w:rsidR="00264C99" w:rsidRDefault="00632443" w:rsidP="002F46C4">
      <w:pPr>
        <w:spacing w:before="240" w:after="240" w:line="360" w:lineRule="auto"/>
        <w:ind w:firstLine="708"/>
        <w:jc w:val="both"/>
        <w:rPr>
          <w:rFonts w:ascii="Arial" w:hAnsi="Arial" w:cs="Arial"/>
          <w:bCs/>
          <w:color w:val="000000"/>
          <w:sz w:val="26"/>
          <w:szCs w:val="26"/>
        </w:rPr>
      </w:pPr>
      <w:r>
        <w:rPr>
          <w:rFonts w:ascii="Arial" w:hAnsi="Arial" w:cs="Arial"/>
          <w:sz w:val="26"/>
          <w:szCs w:val="26"/>
        </w:rPr>
        <w:t>Le asiste la razón a la autoridad recurrente; sin embargo</w:t>
      </w:r>
      <w:r w:rsidR="009214D7">
        <w:rPr>
          <w:rFonts w:ascii="Arial" w:hAnsi="Arial" w:cs="Arial"/>
          <w:sz w:val="26"/>
          <w:szCs w:val="26"/>
        </w:rPr>
        <w:t>,</w:t>
      </w:r>
      <w:r>
        <w:rPr>
          <w:rFonts w:ascii="Arial" w:hAnsi="Arial" w:cs="Arial"/>
          <w:sz w:val="26"/>
          <w:szCs w:val="26"/>
        </w:rPr>
        <w:t xml:space="preserve"> sus agravios expuestos devienen </w:t>
      </w:r>
      <w:r w:rsidRPr="00632443">
        <w:rPr>
          <w:rFonts w:ascii="Arial" w:hAnsi="Arial" w:cs="Arial"/>
          <w:b/>
          <w:bCs/>
          <w:sz w:val="26"/>
          <w:szCs w:val="26"/>
        </w:rPr>
        <w:t>inoperantes</w:t>
      </w:r>
      <w:r>
        <w:rPr>
          <w:rFonts w:ascii="Arial" w:hAnsi="Arial" w:cs="Arial"/>
          <w:sz w:val="26"/>
          <w:szCs w:val="26"/>
        </w:rPr>
        <w:t xml:space="preserve">, </w:t>
      </w:r>
      <w:r w:rsidR="002F46C4">
        <w:rPr>
          <w:rFonts w:ascii="Arial" w:hAnsi="Arial" w:cs="Arial"/>
          <w:sz w:val="26"/>
          <w:szCs w:val="26"/>
        </w:rPr>
        <w:t xml:space="preserve">en razón de que, </w:t>
      </w:r>
      <w:r w:rsidR="00264C99">
        <w:rPr>
          <w:rFonts w:ascii="Arial" w:hAnsi="Arial" w:cs="Arial"/>
          <w:bCs/>
          <w:color w:val="000000"/>
          <w:sz w:val="26"/>
          <w:szCs w:val="26"/>
        </w:rPr>
        <w:t xml:space="preserve">del análisis del considerando </w:t>
      </w:r>
      <w:r w:rsidR="002F46C4">
        <w:rPr>
          <w:rFonts w:ascii="Arial" w:hAnsi="Arial" w:cs="Arial"/>
          <w:bCs/>
          <w:color w:val="000000"/>
          <w:sz w:val="26"/>
          <w:szCs w:val="26"/>
        </w:rPr>
        <w:t xml:space="preserve">sexto </w:t>
      </w:r>
      <w:r w:rsidR="00264C99">
        <w:rPr>
          <w:rFonts w:ascii="Arial" w:hAnsi="Arial" w:cs="Arial"/>
          <w:bCs/>
          <w:color w:val="000000"/>
          <w:sz w:val="26"/>
          <w:szCs w:val="26"/>
        </w:rPr>
        <w:t xml:space="preserve">transcrito, se advierte que fueron acertados los razonamientos vertidos por la </w:t>
      </w:r>
      <w:r w:rsidR="00A165CA">
        <w:rPr>
          <w:rFonts w:ascii="Arial" w:hAnsi="Arial" w:cs="Arial"/>
          <w:bCs/>
          <w:color w:val="000000"/>
          <w:sz w:val="26"/>
          <w:szCs w:val="26"/>
        </w:rPr>
        <w:t>P</w:t>
      </w:r>
      <w:r w:rsidR="00264C99">
        <w:rPr>
          <w:rFonts w:ascii="Arial" w:hAnsi="Arial" w:cs="Arial"/>
          <w:bCs/>
          <w:color w:val="000000"/>
          <w:sz w:val="26"/>
          <w:szCs w:val="26"/>
        </w:rPr>
        <w:t xml:space="preserve">rimera </w:t>
      </w:r>
      <w:r w:rsidR="00A165CA">
        <w:rPr>
          <w:rFonts w:ascii="Arial" w:hAnsi="Arial" w:cs="Arial"/>
          <w:bCs/>
          <w:color w:val="000000"/>
          <w:sz w:val="26"/>
          <w:szCs w:val="26"/>
        </w:rPr>
        <w:t>I</w:t>
      </w:r>
      <w:r w:rsidR="00264C99">
        <w:rPr>
          <w:rFonts w:ascii="Arial" w:hAnsi="Arial" w:cs="Arial"/>
          <w:bCs/>
          <w:color w:val="000000"/>
          <w:sz w:val="26"/>
          <w:szCs w:val="26"/>
        </w:rPr>
        <w:t>nstancia en la sentencia en estudio</w:t>
      </w:r>
      <w:r w:rsidR="002F46C4">
        <w:rPr>
          <w:rFonts w:ascii="Arial" w:hAnsi="Arial" w:cs="Arial"/>
          <w:bCs/>
          <w:color w:val="000000"/>
          <w:sz w:val="26"/>
          <w:szCs w:val="26"/>
        </w:rPr>
        <w:t>.</w:t>
      </w:r>
      <w:r w:rsidR="00BA30B1">
        <w:rPr>
          <w:rFonts w:ascii="Arial" w:hAnsi="Arial" w:cs="Arial"/>
          <w:bCs/>
          <w:color w:val="000000"/>
          <w:sz w:val="26"/>
          <w:szCs w:val="26"/>
        </w:rPr>
        <w:t xml:space="preserve"> </w:t>
      </w:r>
      <w:r w:rsidR="00BA30B1">
        <w:rPr>
          <w:rFonts w:ascii="Arial" w:hAnsi="Arial" w:cs="Arial"/>
          <w:bCs/>
          <w:iCs/>
          <w:sz w:val="26"/>
          <w:szCs w:val="26"/>
        </w:rPr>
        <w:t xml:space="preserve">- - - - - - - - - - - - - - - - - - - - - - - - - - - - - - - - - - - - - - - - - - - - - - </w:t>
      </w:r>
    </w:p>
    <w:p w14:paraId="51895583" w14:textId="44577A6A" w:rsidR="007C4D0B" w:rsidRDefault="00865016" w:rsidP="00C13F71">
      <w:pPr>
        <w:spacing w:line="360" w:lineRule="auto"/>
        <w:ind w:firstLine="708"/>
        <w:jc w:val="both"/>
        <w:rPr>
          <w:rFonts w:ascii="Arial" w:hAnsi="Arial" w:cs="Arial"/>
          <w:bCs/>
          <w:color w:val="000000"/>
          <w:sz w:val="26"/>
          <w:szCs w:val="26"/>
        </w:rPr>
      </w:pPr>
      <w:r>
        <w:rPr>
          <w:rFonts w:ascii="Arial" w:hAnsi="Arial" w:cs="Arial"/>
          <w:bCs/>
          <w:color w:val="000000"/>
          <w:sz w:val="26"/>
          <w:szCs w:val="26"/>
        </w:rPr>
        <w:t>Lo</w:t>
      </w:r>
      <w:r w:rsidR="007C4D0B">
        <w:rPr>
          <w:rFonts w:ascii="Arial" w:hAnsi="Arial" w:cs="Arial"/>
          <w:bCs/>
          <w:color w:val="000000"/>
          <w:sz w:val="26"/>
          <w:szCs w:val="26"/>
        </w:rPr>
        <w:t xml:space="preserve"> anterior, en virtud </w:t>
      </w:r>
      <w:r w:rsidR="00757B8A">
        <w:rPr>
          <w:rFonts w:ascii="Arial" w:hAnsi="Arial" w:cs="Arial"/>
          <w:bCs/>
          <w:color w:val="000000"/>
          <w:sz w:val="26"/>
          <w:szCs w:val="26"/>
        </w:rPr>
        <w:t xml:space="preserve">de que, </w:t>
      </w:r>
      <w:r w:rsidR="007C4D0B">
        <w:rPr>
          <w:rFonts w:ascii="Arial" w:hAnsi="Arial" w:cs="Arial"/>
          <w:bCs/>
          <w:color w:val="000000"/>
          <w:sz w:val="26"/>
          <w:szCs w:val="26"/>
        </w:rPr>
        <w:t xml:space="preserve">la </w:t>
      </w:r>
      <w:r w:rsidR="00757B8A">
        <w:rPr>
          <w:rFonts w:ascii="Arial" w:hAnsi="Arial" w:cs="Arial"/>
          <w:bCs/>
          <w:color w:val="000000"/>
          <w:sz w:val="26"/>
          <w:szCs w:val="26"/>
        </w:rPr>
        <w:t xml:space="preserve">resolutora </w:t>
      </w:r>
      <w:r w:rsidR="002F46C4">
        <w:rPr>
          <w:rFonts w:ascii="Arial" w:hAnsi="Arial" w:cs="Arial"/>
          <w:bCs/>
          <w:color w:val="000000"/>
          <w:sz w:val="26"/>
          <w:szCs w:val="26"/>
        </w:rPr>
        <w:t>al</w:t>
      </w:r>
      <w:r w:rsidR="007C4D0B">
        <w:rPr>
          <w:rFonts w:ascii="Arial" w:hAnsi="Arial" w:cs="Arial"/>
          <w:bCs/>
          <w:color w:val="000000"/>
          <w:sz w:val="26"/>
          <w:szCs w:val="26"/>
        </w:rPr>
        <w:t xml:space="preserve"> dictar</w:t>
      </w:r>
      <w:r w:rsidR="002F46C4">
        <w:rPr>
          <w:rFonts w:ascii="Arial" w:hAnsi="Arial" w:cs="Arial"/>
          <w:bCs/>
          <w:color w:val="000000"/>
          <w:sz w:val="26"/>
          <w:szCs w:val="26"/>
        </w:rPr>
        <w:t xml:space="preserve"> la</w:t>
      </w:r>
      <w:r w:rsidR="007C4D0B">
        <w:rPr>
          <w:rFonts w:ascii="Arial" w:hAnsi="Arial" w:cs="Arial"/>
          <w:bCs/>
          <w:color w:val="000000"/>
          <w:sz w:val="26"/>
          <w:szCs w:val="26"/>
        </w:rPr>
        <w:t xml:space="preserve"> sentencia en el juicio de nulidad </w:t>
      </w:r>
      <w:r w:rsidR="00BD44D1">
        <w:rPr>
          <w:rFonts w:ascii="Arial" w:hAnsi="Arial" w:cs="Arial"/>
          <w:bCs/>
          <w:color w:val="000000"/>
          <w:sz w:val="26"/>
          <w:szCs w:val="26"/>
        </w:rPr>
        <w:t xml:space="preserve">declaró fundado lo reclamado por la actora, no </w:t>
      </w:r>
      <w:r w:rsidR="00A700D6">
        <w:rPr>
          <w:rFonts w:ascii="Arial" w:hAnsi="Arial" w:cs="Arial"/>
          <w:bCs/>
          <w:color w:val="000000"/>
          <w:sz w:val="26"/>
          <w:szCs w:val="26"/>
        </w:rPr>
        <w:t xml:space="preserve">con </w:t>
      </w:r>
      <w:r w:rsidR="00A700D6">
        <w:rPr>
          <w:rFonts w:ascii="Arial" w:hAnsi="Arial" w:cs="Arial"/>
          <w:bCs/>
          <w:color w:val="000000"/>
          <w:sz w:val="26"/>
          <w:szCs w:val="26"/>
        </w:rPr>
        <w:lastRenderedPageBreak/>
        <w:t xml:space="preserve">base en </w:t>
      </w:r>
      <w:r w:rsidR="00BD44D1">
        <w:rPr>
          <w:rFonts w:ascii="Arial" w:hAnsi="Arial" w:cs="Arial"/>
          <w:bCs/>
          <w:color w:val="000000"/>
          <w:sz w:val="26"/>
          <w:szCs w:val="26"/>
        </w:rPr>
        <w:t xml:space="preserve">los conceptos de impugnación expresados en la demanda, sino porque se encuentra facultado para </w:t>
      </w:r>
      <w:r w:rsidR="00AC174C">
        <w:rPr>
          <w:rFonts w:ascii="Arial" w:hAnsi="Arial" w:cs="Arial"/>
          <w:bCs/>
          <w:color w:val="000000"/>
          <w:sz w:val="26"/>
          <w:szCs w:val="26"/>
        </w:rPr>
        <w:t xml:space="preserve">analizar </w:t>
      </w:r>
      <w:r w:rsidR="0075000A">
        <w:rPr>
          <w:rFonts w:ascii="Arial" w:hAnsi="Arial" w:cs="Arial"/>
          <w:bCs/>
          <w:color w:val="000000"/>
          <w:sz w:val="26"/>
          <w:szCs w:val="26"/>
        </w:rPr>
        <w:t>la omisión de requisitos formales exigidos</w:t>
      </w:r>
      <w:r w:rsidR="00BB121A">
        <w:rPr>
          <w:rFonts w:ascii="Arial" w:hAnsi="Arial" w:cs="Arial"/>
          <w:bCs/>
          <w:color w:val="000000"/>
          <w:sz w:val="26"/>
          <w:szCs w:val="26"/>
        </w:rPr>
        <w:t xml:space="preserve"> por </w:t>
      </w:r>
      <w:r w:rsidR="0075000A">
        <w:rPr>
          <w:rFonts w:ascii="Arial" w:hAnsi="Arial" w:cs="Arial"/>
          <w:bCs/>
          <w:color w:val="000000"/>
          <w:sz w:val="26"/>
          <w:szCs w:val="26"/>
        </w:rPr>
        <w:t xml:space="preserve">la leyes que afecten las defensas del particular, así como </w:t>
      </w:r>
      <w:r w:rsidR="007C4D0B">
        <w:rPr>
          <w:rFonts w:ascii="Arial" w:hAnsi="Arial" w:cs="Arial"/>
          <w:bCs/>
          <w:color w:val="000000"/>
          <w:sz w:val="26"/>
          <w:szCs w:val="26"/>
        </w:rPr>
        <w:t>hacer valer de oficio, por ser de orden público, la ausencia total o parcial de fundamentación o motivación de la resolución contenida en el acto administrativo que se declare ilegal</w:t>
      </w:r>
      <w:r w:rsidR="007542D8">
        <w:rPr>
          <w:rFonts w:ascii="Arial" w:hAnsi="Arial" w:cs="Arial"/>
          <w:bCs/>
          <w:color w:val="000000"/>
          <w:sz w:val="26"/>
          <w:szCs w:val="26"/>
        </w:rPr>
        <w:t xml:space="preserve">, como así lo establece el artículo 208, </w:t>
      </w:r>
      <w:r w:rsidR="0075000A">
        <w:rPr>
          <w:rFonts w:ascii="Arial" w:hAnsi="Arial" w:cs="Arial"/>
          <w:bCs/>
          <w:color w:val="000000"/>
          <w:sz w:val="26"/>
          <w:szCs w:val="26"/>
        </w:rPr>
        <w:t xml:space="preserve">fracción II, y </w:t>
      </w:r>
      <w:r w:rsidR="00A700D6">
        <w:rPr>
          <w:rFonts w:ascii="Arial" w:hAnsi="Arial" w:cs="Arial"/>
          <w:bCs/>
          <w:color w:val="000000"/>
          <w:sz w:val="26"/>
          <w:szCs w:val="26"/>
        </w:rPr>
        <w:t>último</w:t>
      </w:r>
      <w:r w:rsidR="007542D8">
        <w:rPr>
          <w:rFonts w:ascii="Arial" w:hAnsi="Arial" w:cs="Arial"/>
          <w:bCs/>
          <w:color w:val="000000"/>
          <w:sz w:val="26"/>
          <w:szCs w:val="26"/>
        </w:rPr>
        <w:t xml:space="preserve"> párrafo, de la Ley de Procedimiento y Justicia Administrativa para el Estado de Oaxaca, </w:t>
      </w:r>
      <w:r w:rsidR="00BE5AA6">
        <w:rPr>
          <w:rFonts w:ascii="Arial" w:hAnsi="Arial" w:cs="Arial"/>
          <w:bCs/>
          <w:color w:val="000000"/>
          <w:sz w:val="26"/>
          <w:szCs w:val="26"/>
        </w:rPr>
        <w:t>que establece:</w:t>
      </w:r>
      <w:r w:rsidR="00A165CA">
        <w:rPr>
          <w:rFonts w:ascii="Arial" w:hAnsi="Arial" w:cs="Arial"/>
          <w:bCs/>
          <w:color w:val="000000"/>
          <w:sz w:val="26"/>
          <w:szCs w:val="26"/>
        </w:rPr>
        <w:t xml:space="preserve"> - - - - - </w:t>
      </w:r>
    </w:p>
    <w:p w14:paraId="34360535" w14:textId="2FFBECC4" w:rsidR="00BE5AA6" w:rsidRPr="00A165CA" w:rsidRDefault="00BD0CBD" w:rsidP="00BD0CBD">
      <w:pPr>
        <w:spacing w:line="240" w:lineRule="auto"/>
        <w:ind w:left="567" w:right="616"/>
        <w:jc w:val="both"/>
        <w:rPr>
          <w:rFonts w:ascii="Arial" w:hAnsi="Arial" w:cs="Arial"/>
          <w:i/>
          <w:iCs/>
          <w:sz w:val="24"/>
          <w:szCs w:val="24"/>
        </w:rPr>
      </w:pPr>
      <w:r w:rsidRPr="00A165CA">
        <w:rPr>
          <w:rFonts w:ascii="Arial" w:hAnsi="Arial" w:cs="Arial"/>
          <w:i/>
          <w:iCs/>
          <w:sz w:val="24"/>
          <w:szCs w:val="24"/>
        </w:rPr>
        <w:t>“ARTÍCULO 208.- Se declarará que un acto administrativo es ilegal si de esa ilegalidad nace su nulidad relativa o absoluta, cuando se demuestre alguna de las siguientes causales:</w:t>
      </w:r>
    </w:p>
    <w:p w14:paraId="6EB6EA53" w14:textId="77D1BF95" w:rsidR="00BD0CBD" w:rsidRPr="00A165CA" w:rsidRDefault="00BD0CBD" w:rsidP="00BD0CBD">
      <w:pPr>
        <w:spacing w:line="240" w:lineRule="auto"/>
        <w:ind w:left="567" w:right="616"/>
        <w:jc w:val="both"/>
        <w:rPr>
          <w:rFonts w:ascii="Arial" w:hAnsi="Arial" w:cs="Arial"/>
          <w:i/>
          <w:iCs/>
          <w:sz w:val="24"/>
          <w:szCs w:val="24"/>
        </w:rPr>
      </w:pPr>
      <w:r w:rsidRPr="00A165CA">
        <w:rPr>
          <w:rFonts w:ascii="Arial" w:hAnsi="Arial" w:cs="Arial"/>
          <w:i/>
          <w:iCs/>
          <w:sz w:val="24"/>
          <w:szCs w:val="24"/>
        </w:rPr>
        <w:t>…</w:t>
      </w:r>
    </w:p>
    <w:p w14:paraId="44AFA1E7" w14:textId="49B1887E" w:rsidR="0075000A" w:rsidRPr="00A165CA" w:rsidRDefault="0075000A" w:rsidP="00BD0CBD">
      <w:pPr>
        <w:spacing w:line="240" w:lineRule="auto"/>
        <w:ind w:left="567" w:right="616"/>
        <w:jc w:val="both"/>
        <w:rPr>
          <w:rFonts w:ascii="Arial" w:hAnsi="Arial" w:cs="Arial"/>
          <w:i/>
          <w:iCs/>
          <w:sz w:val="24"/>
          <w:szCs w:val="24"/>
        </w:rPr>
      </w:pPr>
      <w:r w:rsidRPr="00A165CA">
        <w:rPr>
          <w:rFonts w:ascii="Arial" w:hAnsi="Arial" w:cs="Arial"/>
          <w:i/>
          <w:iCs/>
          <w:sz w:val="24"/>
          <w:szCs w:val="24"/>
        </w:rPr>
        <w:t>II. Omisión de los requisitos formales exigidos por las leyes que afecten las defensas del particular y trasciendan al sentido de la resolución impugnada, inclusive la ausencia de fundamento o motivación, en su caso;</w:t>
      </w:r>
    </w:p>
    <w:p w14:paraId="3ACE31C6" w14:textId="358F9EAC" w:rsidR="0075000A" w:rsidRPr="00A165CA" w:rsidRDefault="0075000A" w:rsidP="00BD0CBD">
      <w:pPr>
        <w:spacing w:line="240" w:lineRule="auto"/>
        <w:ind w:left="567" w:right="616"/>
        <w:jc w:val="both"/>
        <w:rPr>
          <w:rFonts w:ascii="Arial" w:hAnsi="Arial" w:cs="Arial"/>
          <w:i/>
          <w:iCs/>
          <w:sz w:val="24"/>
          <w:szCs w:val="24"/>
        </w:rPr>
      </w:pPr>
      <w:r w:rsidRPr="00A165CA">
        <w:rPr>
          <w:rFonts w:ascii="Arial" w:hAnsi="Arial" w:cs="Arial"/>
          <w:i/>
          <w:iCs/>
          <w:sz w:val="24"/>
          <w:szCs w:val="24"/>
        </w:rPr>
        <w:t>…</w:t>
      </w:r>
    </w:p>
    <w:p w14:paraId="0E562E95" w14:textId="49D029EB" w:rsidR="00BD0CBD" w:rsidRPr="00A165CA" w:rsidRDefault="00BD0CBD" w:rsidP="00BD0CBD">
      <w:pPr>
        <w:spacing w:line="240" w:lineRule="auto"/>
        <w:ind w:left="567" w:right="616"/>
        <w:jc w:val="both"/>
        <w:rPr>
          <w:rFonts w:ascii="Arial" w:hAnsi="Arial" w:cs="Arial"/>
          <w:i/>
          <w:iCs/>
          <w:sz w:val="24"/>
          <w:szCs w:val="24"/>
        </w:rPr>
      </w:pPr>
      <w:r w:rsidRPr="00A165CA">
        <w:rPr>
          <w:rFonts w:ascii="Arial" w:hAnsi="Arial" w:cs="Arial"/>
          <w:i/>
          <w:iCs/>
          <w:sz w:val="24"/>
          <w:szCs w:val="24"/>
        </w:rPr>
        <w:t>El Tribunal podrá hacer valer de oficio, por ser de orden público, la incompetencia de la autoridad para dictar la resolución impugnada y la ausencia total o parcial de fundamentación o motivación en dicha resolución.”</w:t>
      </w:r>
    </w:p>
    <w:p w14:paraId="3B2A17FC" w14:textId="7BC0432C" w:rsidR="006C23C1" w:rsidRPr="00320DB7" w:rsidRDefault="002F46C4" w:rsidP="006C23C1">
      <w:pPr>
        <w:spacing w:line="360" w:lineRule="auto"/>
        <w:ind w:right="49" w:firstLine="567"/>
        <w:jc w:val="both"/>
        <w:rPr>
          <w:rFonts w:ascii="Arial" w:eastAsia="Times New Roman" w:hAnsi="Arial" w:cs="Arial"/>
          <w:sz w:val="26"/>
          <w:szCs w:val="26"/>
        </w:rPr>
      </w:pPr>
      <w:r>
        <w:rPr>
          <w:rFonts w:ascii="Arial" w:hAnsi="Arial" w:cs="Arial"/>
          <w:bCs/>
          <w:sz w:val="26"/>
          <w:szCs w:val="26"/>
        </w:rPr>
        <w:t>Además, l</w:t>
      </w:r>
      <w:r w:rsidR="00EC72E4">
        <w:rPr>
          <w:rFonts w:ascii="Arial" w:hAnsi="Arial" w:cs="Arial"/>
          <w:bCs/>
          <w:sz w:val="26"/>
          <w:szCs w:val="26"/>
        </w:rPr>
        <w:t xml:space="preserve">a Sala Unitaria </w:t>
      </w:r>
      <w:r>
        <w:rPr>
          <w:rFonts w:ascii="Arial" w:hAnsi="Arial" w:cs="Arial"/>
          <w:bCs/>
          <w:sz w:val="26"/>
          <w:szCs w:val="26"/>
        </w:rPr>
        <w:t>se</w:t>
      </w:r>
      <w:r w:rsidR="006C23C1">
        <w:rPr>
          <w:rFonts w:ascii="Arial" w:hAnsi="Arial" w:cs="Arial"/>
          <w:bCs/>
          <w:sz w:val="26"/>
          <w:szCs w:val="26"/>
        </w:rPr>
        <w:t xml:space="preserve"> encuentra facultad</w:t>
      </w:r>
      <w:r w:rsidR="00865016">
        <w:rPr>
          <w:rFonts w:ascii="Arial" w:hAnsi="Arial" w:cs="Arial"/>
          <w:bCs/>
          <w:sz w:val="26"/>
          <w:szCs w:val="26"/>
        </w:rPr>
        <w:t>a</w:t>
      </w:r>
      <w:r w:rsidR="006C23C1">
        <w:rPr>
          <w:rFonts w:ascii="Arial" w:hAnsi="Arial" w:cs="Arial"/>
          <w:bCs/>
          <w:sz w:val="26"/>
          <w:szCs w:val="26"/>
        </w:rPr>
        <w:t xml:space="preserve"> para </w:t>
      </w:r>
      <w:r w:rsidR="006C23C1" w:rsidRPr="006C23C1">
        <w:rPr>
          <w:rFonts w:ascii="Arial" w:hAnsi="Arial" w:cs="Arial"/>
          <w:bCs/>
          <w:sz w:val="26"/>
          <w:szCs w:val="26"/>
        </w:rPr>
        <w:t xml:space="preserve">analizar el acto impugnado </w:t>
      </w:r>
      <w:r w:rsidR="006C23C1">
        <w:rPr>
          <w:rFonts w:ascii="Arial" w:hAnsi="Arial" w:cs="Arial"/>
          <w:bCs/>
          <w:sz w:val="26"/>
          <w:szCs w:val="26"/>
        </w:rPr>
        <w:t xml:space="preserve">bajo el principio de litis abierta, </w:t>
      </w:r>
      <w:r w:rsidR="00BB121A">
        <w:rPr>
          <w:rFonts w:ascii="Arial" w:hAnsi="Arial" w:cs="Arial"/>
          <w:bCs/>
          <w:sz w:val="26"/>
          <w:szCs w:val="26"/>
        </w:rPr>
        <w:t xml:space="preserve">con el cual </w:t>
      </w:r>
      <w:r w:rsidR="006C23C1" w:rsidRPr="006C23C1">
        <w:rPr>
          <w:rFonts w:ascii="Arial" w:eastAsia="Times New Roman" w:hAnsi="Arial" w:cs="Arial"/>
          <w:sz w:val="26"/>
          <w:szCs w:val="26"/>
        </w:rPr>
        <w:t>puede pronunciarse</w:t>
      </w:r>
      <w:r w:rsidR="00BB121A">
        <w:rPr>
          <w:rFonts w:ascii="Arial" w:eastAsia="Times New Roman" w:hAnsi="Arial" w:cs="Arial"/>
          <w:sz w:val="26"/>
          <w:szCs w:val="26"/>
        </w:rPr>
        <w:t>,</w:t>
      </w:r>
      <w:r w:rsidR="006C23C1" w:rsidRPr="006C23C1">
        <w:rPr>
          <w:rFonts w:ascii="Arial" w:eastAsia="Times New Roman" w:hAnsi="Arial" w:cs="Arial"/>
          <w:sz w:val="26"/>
          <w:szCs w:val="26"/>
        </w:rPr>
        <w:t xml:space="preserve"> </w:t>
      </w:r>
      <w:r w:rsidR="00BB121A">
        <w:rPr>
          <w:rFonts w:ascii="Arial" w:eastAsia="Times New Roman" w:hAnsi="Arial" w:cs="Arial"/>
          <w:sz w:val="26"/>
          <w:szCs w:val="26"/>
        </w:rPr>
        <w:t xml:space="preserve">en la sentencia, </w:t>
      </w:r>
      <w:r w:rsidR="006C23C1" w:rsidRPr="006C23C1">
        <w:rPr>
          <w:rFonts w:ascii="Arial" w:eastAsia="Times New Roman" w:hAnsi="Arial" w:cs="Arial"/>
          <w:sz w:val="26"/>
          <w:szCs w:val="26"/>
        </w:rPr>
        <w:t>no sólo respecto de las pretensiones de las partes, sino de los elementos de validez del acto o resolución impugnado, como es la competencia</w:t>
      </w:r>
      <w:r w:rsidR="00865016">
        <w:rPr>
          <w:rFonts w:ascii="Arial" w:eastAsia="Times New Roman" w:hAnsi="Arial" w:cs="Arial"/>
          <w:sz w:val="26"/>
          <w:szCs w:val="26"/>
        </w:rPr>
        <w:t>,</w:t>
      </w:r>
      <w:r w:rsidR="006C23C1" w:rsidRPr="006C23C1">
        <w:rPr>
          <w:rFonts w:ascii="Arial" w:eastAsia="Times New Roman" w:hAnsi="Arial" w:cs="Arial"/>
          <w:sz w:val="26"/>
          <w:szCs w:val="26"/>
        </w:rPr>
        <w:t xml:space="preserve"> la fundamentación y motivación</w:t>
      </w:r>
      <w:r w:rsidR="006C23C1">
        <w:rPr>
          <w:rFonts w:ascii="Arial" w:eastAsia="Times New Roman" w:hAnsi="Arial" w:cs="Arial"/>
          <w:sz w:val="26"/>
          <w:szCs w:val="26"/>
        </w:rPr>
        <w:t xml:space="preserve">, </w:t>
      </w:r>
      <w:r w:rsidR="00EC72E4">
        <w:rPr>
          <w:rFonts w:ascii="Arial" w:eastAsia="Times New Roman" w:hAnsi="Arial" w:cs="Arial"/>
          <w:sz w:val="26"/>
          <w:szCs w:val="26"/>
        </w:rPr>
        <w:t xml:space="preserve">para </w:t>
      </w:r>
      <w:r w:rsidR="006C23C1" w:rsidRPr="006C23C1">
        <w:rPr>
          <w:rFonts w:ascii="Arial" w:eastAsia="Times New Roman" w:hAnsi="Arial" w:cs="Arial"/>
          <w:sz w:val="26"/>
          <w:szCs w:val="26"/>
        </w:rPr>
        <w:t>logra</w:t>
      </w:r>
      <w:r w:rsidR="00EC72E4">
        <w:rPr>
          <w:rFonts w:ascii="Arial" w:eastAsia="Times New Roman" w:hAnsi="Arial" w:cs="Arial"/>
          <w:sz w:val="26"/>
          <w:szCs w:val="26"/>
        </w:rPr>
        <w:t>r</w:t>
      </w:r>
      <w:r w:rsidR="006C23C1" w:rsidRPr="006C23C1">
        <w:rPr>
          <w:rFonts w:ascii="Arial" w:eastAsia="Times New Roman" w:hAnsi="Arial" w:cs="Arial"/>
          <w:sz w:val="26"/>
          <w:szCs w:val="26"/>
        </w:rPr>
        <w:t xml:space="preserve"> un pronunciamiento no sólo de aspectos formales del acto o de la </w:t>
      </w:r>
      <w:r w:rsidR="006C23C1" w:rsidRPr="00A37B13">
        <w:rPr>
          <w:rFonts w:ascii="Arial" w:eastAsia="Times New Roman" w:hAnsi="Arial" w:cs="Arial"/>
          <w:sz w:val="26"/>
          <w:szCs w:val="26"/>
        </w:rPr>
        <w:t>resolución impugnado</w:t>
      </w:r>
      <w:r w:rsidR="00EC72E4" w:rsidRPr="00A37B13">
        <w:rPr>
          <w:rFonts w:ascii="Arial" w:eastAsia="Times New Roman" w:hAnsi="Arial" w:cs="Arial"/>
          <w:sz w:val="26"/>
          <w:szCs w:val="26"/>
        </w:rPr>
        <w:t>s</w:t>
      </w:r>
      <w:r w:rsidR="006C23C1" w:rsidRPr="00A37B13">
        <w:rPr>
          <w:rFonts w:ascii="Arial" w:eastAsia="Times New Roman" w:hAnsi="Arial" w:cs="Arial"/>
          <w:sz w:val="26"/>
          <w:szCs w:val="26"/>
        </w:rPr>
        <w:t>,</w:t>
      </w:r>
      <w:r w:rsidR="006C23C1" w:rsidRPr="006C23C1">
        <w:rPr>
          <w:rFonts w:ascii="Arial" w:eastAsia="Times New Roman" w:hAnsi="Arial" w:cs="Arial"/>
          <w:sz w:val="26"/>
          <w:szCs w:val="26"/>
        </w:rPr>
        <w:t xml:space="preserve"> sino </w:t>
      </w:r>
      <w:r w:rsidR="00BB121A">
        <w:rPr>
          <w:rFonts w:ascii="Arial" w:eastAsia="Times New Roman" w:hAnsi="Arial" w:cs="Arial"/>
          <w:sz w:val="26"/>
          <w:szCs w:val="26"/>
        </w:rPr>
        <w:t xml:space="preserve">resolver de fondo la </w:t>
      </w:r>
      <w:r w:rsidR="006C23C1" w:rsidRPr="006C23C1">
        <w:rPr>
          <w:rFonts w:ascii="Arial" w:eastAsia="Times New Roman" w:hAnsi="Arial" w:cs="Arial"/>
          <w:sz w:val="26"/>
          <w:szCs w:val="26"/>
        </w:rPr>
        <w:t>controversia</w:t>
      </w:r>
      <w:r w:rsidR="006C23C1" w:rsidRPr="00320DB7">
        <w:rPr>
          <w:rFonts w:ascii="Arial" w:eastAsia="Times New Roman" w:hAnsi="Arial" w:cs="Arial"/>
          <w:sz w:val="26"/>
          <w:szCs w:val="26"/>
        </w:rPr>
        <w:t>.</w:t>
      </w:r>
    </w:p>
    <w:p w14:paraId="6F81E934" w14:textId="1CB8F98C" w:rsidR="006C23C1" w:rsidRPr="005445EA" w:rsidRDefault="006C23C1" w:rsidP="001C17E6">
      <w:pPr>
        <w:shd w:val="clear" w:color="auto" w:fill="FFFFFF"/>
        <w:spacing w:line="360" w:lineRule="auto"/>
        <w:ind w:firstLine="567"/>
        <w:jc w:val="both"/>
        <w:rPr>
          <w:rFonts w:ascii="Arial" w:eastAsia="Times New Roman" w:hAnsi="Arial" w:cs="Arial"/>
          <w:sz w:val="26"/>
          <w:szCs w:val="26"/>
        </w:rPr>
      </w:pPr>
      <w:r w:rsidRPr="005445EA">
        <w:rPr>
          <w:rFonts w:ascii="Arial" w:eastAsia="Times New Roman" w:hAnsi="Arial" w:cs="Arial"/>
          <w:sz w:val="26"/>
          <w:szCs w:val="26"/>
        </w:rPr>
        <w:t xml:space="preserve">Como así lo establece la </w:t>
      </w:r>
      <w:r w:rsidRPr="005445EA">
        <w:rPr>
          <w:rFonts w:ascii="Arial" w:hAnsi="Arial" w:cs="Arial"/>
          <w:bCs/>
          <w:sz w:val="26"/>
          <w:szCs w:val="26"/>
        </w:rPr>
        <w:t xml:space="preserve">jurisprudencia en materia administrativa número </w:t>
      </w:r>
      <w:r w:rsidRPr="005445EA">
        <w:rPr>
          <w:rFonts w:ascii="Arial" w:eastAsia="Times New Roman" w:hAnsi="Arial" w:cs="Arial"/>
          <w:sz w:val="26"/>
          <w:szCs w:val="26"/>
        </w:rPr>
        <w:t>PC.</w:t>
      </w:r>
      <w:r w:rsidR="00320DB7" w:rsidRPr="005445EA">
        <w:rPr>
          <w:rFonts w:ascii="Arial" w:eastAsia="Times New Roman" w:hAnsi="Arial" w:cs="Arial"/>
          <w:sz w:val="26"/>
          <w:szCs w:val="26"/>
        </w:rPr>
        <w:t xml:space="preserve"> </w:t>
      </w:r>
      <w:r w:rsidRPr="005445EA">
        <w:rPr>
          <w:rFonts w:ascii="Arial" w:eastAsia="Times New Roman" w:hAnsi="Arial" w:cs="Arial"/>
          <w:sz w:val="26"/>
          <w:szCs w:val="26"/>
        </w:rPr>
        <w:t xml:space="preserve">XXVII. </w:t>
      </w:r>
      <w:r w:rsidR="00320DB7" w:rsidRPr="005445EA">
        <w:rPr>
          <w:rFonts w:ascii="Arial" w:eastAsia="Times New Roman" w:hAnsi="Arial" w:cs="Arial"/>
          <w:sz w:val="26"/>
          <w:szCs w:val="26"/>
        </w:rPr>
        <w:t xml:space="preserve"> </w:t>
      </w:r>
      <w:r w:rsidRPr="005445EA">
        <w:rPr>
          <w:rFonts w:ascii="Arial" w:eastAsia="Times New Roman" w:hAnsi="Arial" w:cs="Arial"/>
          <w:sz w:val="26"/>
          <w:szCs w:val="26"/>
        </w:rPr>
        <w:t>J/11 A (10a.)</w:t>
      </w:r>
      <w:r w:rsidRPr="005445EA">
        <w:rPr>
          <w:rFonts w:ascii="Arial" w:hAnsi="Arial" w:cs="Arial"/>
          <w:bCs/>
          <w:sz w:val="26"/>
          <w:szCs w:val="26"/>
        </w:rPr>
        <w:t xml:space="preserve">, con número de registro digital </w:t>
      </w:r>
      <w:r w:rsidRPr="005445EA">
        <w:rPr>
          <w:rFonts w:ascii="Arial" w:eastAsia="Times New Roman" w:hAnsi="Arial" w:cs="Arial"/>
          <w:sz w:val="26"/>
          <w:szCs w:val="26"/>
        </w:rPr>
        <w:t>2015884</w:t>
      </w:r>
      <w:r w:rsidRPr="005445EA">
        <w:rPr>
          <w:rFonts w:ascii="Arial" w:hAnsi="Arial" w:cs="Arial"/>
          <w:bCs/>
          <w:sz w:val="26"/>
          <w:szCs w:val="26"/>
        </w:rPr>
        <w:t xml:space="preserve">, </w:t>
      </w:r>
      <w:r w:rsidRPr="005445EA">
        <w:rPr>
          <w:rFonts w:ascii="Arial" w:eastAsia="Times New Roman" w:hAnsi="Arial" w:cs="Arial"/>
          <w:sz w:val="26"/>
          <w:szCs w:val="26"/>
        </w:rPr>
        <w:t xml:space="preserve">de la Décima Época, emitida por los Plenos de Circuito, publicada en la Gaceta del Semanario Judicial de la Federación, Libro 49, Diciembre de 2017, Tomo III, visible a página 1504, </w:t>
      </w:r>
      <w:r w:rsidRPr="005445EA">
        <w:rPr>
          <w:rFonts w:ascii="Arial" w:hAnsi="Arial" w:cs="Arial"/>
          <w:bCs/>
          <w:sz w:val="26"/>
          <w:szCs w:val="26"/>
        </w:rPr>
        <w:t xml:space="preserve">bajo el rubro y texto siguiente: </w:t>
      </w:r>
      <w:r w:rsidR="00A165CA">
        <w:rPr>
          <w:rFonts w:ascii="Arial" w:hAnsi="Arial" w:cs="Arial"/>
          <w:bCs/>
          <w:iCs/>
          <w:sz w:val="26"/>
          <w:szCs w:val="26"/>
        </w:rPr>
        <w:t xml:space="preserve">- - - - - - - - - - - - - - - - - - - - - - - - - - - - - - - - - - - - - - - - - </w:t>
      </w:r>
    </w:p>
    <w:p w14:paraId="6F861328" w14:textId="6FEF0924" w:rsidR="006C23C1" w:rsidRPr="00A165CA" w:rsidRDefault="006C23C1" w:rsidP="001C17E6">
      <w:pPr>
        <w:shd w:val="clear" w:color="auto" w:fill="FFFFFF"/>
        <w:spacing w:line="240" w:lineRule="auto"/>
        <w:ind w:left="567" w:right="616"/>
        <w:jc w:val="both"/>
        <w:rPr>
          <w:rFonts w:ascii="Arial" w:eastAsia="Times New Roman" w:hAnsi="Arial" w:cs="Arial"/>
          <w:sz w:val="24"/>
          <w:szCs w:val="24"/>
        </w:rPr>
      </w:pPr>
      <w:r w:rsidRPr="00A165CA">
        <w:rPr>
          <w:rFonts w:ascii="Arial" w:eastAsia="Times New Roman" w:hAnsi="Arial" w:cs="Arial"/>
          <w:b/>
          <w:bCs/>
          <w:i/>
          <w:iCs/>
          <w:sz w:val="24"/>
          <w:szCs w:val="24"/>
        </w:rPr>
        <w:t xml:space="preserve">“LITIS ABIERTA. ESTE PRINCIPIO ES APLICABLE EN EL PROCEDIMIENTO CONTENCIOSO ADMINISTRATIVO REGULADO POR LA LEY DE JUSTICIA ADMINISTRATIVA DEL ESTADO DE QUINTANA ROO. </w:t>
      </w:r>
      <w:r w:rsidRPr="00A165CA">
        <w:rPr>
          <w:rFonts w:ascii="Arial" w:eastAsia="Times New Roman" w:hAnsi="Arial" w:cs="Arial"/>
          <w:i/>
          <w:iCs/>
          <w:sz w:val="24"/>
          <w:szCs w:val="24"/>
        </w:rPr>
        <w:t xml:space="preserve">El procedimiento contencioso administrativo en el Estado de Quintana Roo, posee rasgos de un procedimiento inquisitivo, en la medida en que el legislador lo estableció como de orden público e interés social, con facultades de la Sala Constitucional y Administrativa del Tribunal Superior de </w:t>
      </w:r>
      <w:r w:rsidRPr="00A165CA">
        <w:rPr>
          <w:rFonts w:ascii="Arial" w:eastAsia="Times New Roman" w:hAnsi="Arial" w:cs="Arial"/>
          <w:i/>
          <w:iCs/>
          <w:sz w:val="24"/>
          <w:szCs w:val="24"/>
        </w:rPr>
        <w:lastRenderedPageBreak/>
        <w:t>Justicia de la entidad para indagar la verdad, a través del requerimiento de pruebas y del libre interrogatorio; en el que puede pronunciarse en la sentencia, no sólo respecto de las pretensiones de las partes, sino de los elementos de validez del acto o resolución impugnado, como es la competencia y la fundamentación y motivación. Así, cuando la pretensión del actor en la demanda de nulidad consiste en que se aborden aspectos de la resolución controvertida en sede administrativa, por haber mejorado los argumentos expuestos ante la enjuiciada, o expuesto incluso otros novedosos, la Sala puede realizar su estudio, bajo el principio de litis abierta, en caso de proceder, precisamente porque la pretensión del actor es obtener un pronunciamiento sobre ello, otorgándose a la autoridad demandada la oportunidad de defenderse, al formular su contestación; además, porque con ello se logra un pronunciamiento no sólo de aspectos formales del acto o de la resolución impugnado, sino que se procura una resolución de fondo de la controversia, lo que deriva de los artículos </w:t>
      </w:r>
      <w:hyperlink r:id="rId8" w:history="1">
        <w:r w:rsidRPr="00A165CA">
          <w:rPr>
            <w:rFonts w:ascii="Arial" w:eastAsia="Times New Roman" w:hAnsi="Arial" w:cs="Arial"/>
            <w:i/>
            <w:iCs/>
            <w:sz w:val="24"/>
            <w:szCs w:val="24"/>
          </w:rPr>
          <w:t>193 a 196 de la Ley de Justicia Administrativa del Estado de Quintana Roo</w:t>
        </w:r>
      </w:hyperlink>
      <w:r w:rsidRPr="00A165CA">
        <w:rPr>
          <w:rFonts w:ascii="Arial" w:eastAsia="Times New Roman" w:hAnsi="Arial" w:cs="Arial"/>
          <w:i/>
          <w:iCs/>
          <w:sz w:val="24"/>
          <w:szCs w:val="24"/>
        </w:rPr>
        <w:t>, aplicados conforme al derecho a la tutela judicial efectiva, reconocido en los artículos </w:t>
      </w:r>
      <w:hyperlink r:id="rId9" w:history="1">
        <w:r w:rsidRPr="00A165CA">
          <w:rPr>
            <w:rFonts w:ascii="Arial" w:eastAsia="Times New Roman" w:hAnsi="Arial" w:cs="Arial"/>
            <w:i/>
            <w:iCs/>
            <w:sz w:val="24"/>
            <w:szCs w:val="24"/>
          </w:rPr>
          <w:t>1o. y 17 de la Constitución Política de los Estados Unidos Mexicanos</w:t>
        </w:r>
      </w:hyperlink>
      <w:r w:rsidRPr="00A165CA">
        <w:rPr>
          <w:rFonts w:ascii="Arial" w:eastAsia="Times New Roman" w:hAnsi="Arial" w:cs="Arial"/>
          <w:i/>
          <w:iCs/>
          <w:sz w:val="24"/>
          <w:szCs w:val="24"/>
        </w:rPr>
        <w:t>, </w:t>
      </w:r>
      <w:hyperlink r:id="rId10" w:history="1">
        <w:r w:rsidRPr="00A165CA">
          <w:rPr>
            <w:rFonts w:ascii="Arial" w:eastAsia="Times New Roman" w:hAnsi="Arial" w:cs="Arial"/>
            <w:i/>
            <w:iCs/>
            <w:sz w:val="24"/>
            <w:szCs w:val="24"/>
          </w:rPr>
          <w:t>8, numeral 1, y 25, numeral 1, de la Convención Americana sobre Derechos Humanos</w:t>
        </w:r>
      </w:hyperlink>
      <w:r w:rsidRPr="00A165CA">
        <w:rPr>
          <w:rFonts w:ascii="Arial" w:eastAsia="Times New Roman" w:hAnsi="Arial" w:cs="Arial"/>
          <w:i/>
          <w:iCs/>
          <w:sz w:val="24"/>
          <w:szCs w:val="24"/>
        </w:rPr>
        <w:t>, pues es la resolución de fondo, bajo el principio de litis abierta, la que otorga la máxima aplicación de dicho derecho fundamental, bajo la perspectiva de acceso a una justicia completa.”</w:t>
      </w:r>
      <w:r w:rsidR="00A165CA" w:rsidRPr="00A165CA">
        <w:rPr>
          <w:rFonts w:ascii="Arial" w:eastAsia="Times New Roman" w:hAnsi="Arial" w:cs="Arial"/>
          <w:i/>
          <w:iCs/>
          <w:sz w:val="24"/>
          <w:szCs w:val="24"/>
        </w:rPr>
        <w:t xml:space="preserve"> </w:t>
      </w:r>
      <w:r w:rsidR="00A165CA" w:rsidRPr="00A165CA">
        <w:rPr>
          <w:rFonts w:ascii="Arial" w:hAnsi="Arial" w:cs="Arial"/>
          <w:bCs/>
          <w:i/>
          <w:iCs/>
          <w:sz w:val="26"/>
          <w:szCs w:val="26"/>
        </w:rPr>
        <w:t xml:space="preserve">- - - - - - - - - - - - - </w:t>
      </w:r>
    </w:p>
    <w:p w14:paraId="549D2293" w14:textId="4C0A4F59" w:rsidR="008C1013" w:rsidRDefault="00EC72E4" w:rsidP="00C13F71">
      <w:pPr>
        <w:spacing w:line="360" w:lineRule="auto"/>
        <w:ind w:firstLine="708"/>
        <w:jc w:val="both"/>
        <w:rPr>
          <w:rFonts w:ascii="Arial" w:hAnsi="Arial" w:cs="Arial"/>
          <w:sz w:val="26"/>
          <w:szCs w:val="26"/>
        </w:rPr>
      </w:pPr>
      <w:r>
        <w:rPr>
          <w:rFonts w:ascii="Arial" w:hAnsi="Arial" w:cs="Arial"/>
          <w:bCs/>
          <w:color w:val="000000"/>
          <w:sz w:val="26"/>
          <w:szCs w:val="26"/>
        </w:rPr>
        <w:t xml:space="preserve">En este sentido, </w:t>
      </w:r>
      <w:r w:rsidR="00A700D6">
        <w:rPr>
          <w:rFonts w:ascii="Arial" w:hAnsi="Arial" w:cs="Arial"/>
          <w:bCs/>
          <w:color w:val="000000"/>
          <w:sz w:val="26"/>
          <w:szCs w:val="26"/>
        </w:rPr>
        <w:t xml:space="preserve">la Sala Unitaria estuvo en lo correcto </w:t>
      </w:r>
      <w:r w:rsidR="002F46C4">
        <w:rPr>
          <w:rFonts w:ascii="Arial" w:hAnsi="Arial" w:cs="Arial"/>
          <w:bCs/>
          <w:color w:val="000000"/>
          <w:sz w:val="26"/>
          <w:szCs w:val="26"/>
        </w:rPr>
        <w:t xml:space="preserve">al </w:t>
      </w:r>
      <w:r w:rsidR="00D602DF">
        <w:rPr>
          <w:rFonts w:ascii="Arial" w:hAnsi="Arial" w:cs="Arial"/>
          <w:bCs/>
          <w:color w:val="000000"/>
          <w:sz w:val="26"/>
          <w:szCs w:val="26"/>
        </w:rPr>
        <w:t xml:space="preserve">haber analizado </w:t>
      </w:r>
      <w:r w:rsidR="00A700D6">
        <w:rPr>
          <w:rFonts w:ascii="Arial" w:hAnsi="Arial" w:cs="Arial"/>
          <w:bCs/>
          <w:color w:val="000000"/>
          <w:sz w:val="26"/>
          <w:szCs w:val="26"/>
        </w:rPr>
        <w:t>de inicio</w:t>
      </w:r>
      <w:r w:rsidR="00D602DF">
        <w:rPr>
          <w:rFonts w:ascii="Arial" w:hAnsi="Arial" w:cs="Arial"/>
          <w:bCs/>
          <w:color w:val="000000"/>
          <w:sz w:val="26"/>
          <w:szCs w:val="26"/>
        </w:rPr>
        <w:t xml:space="preserve">, por ser de orden público, </w:t>
      </w:r>
      <w:r w:rsidR="00A700D6">
        <w:rPr>
          <w:rFonts w:ascii="Arial" w:hAnsi="Arial" w:cs="Arial"/>
          <w:bCs/>
          <w:color w:val="000000"/>
          <w:sz w:val="26"/>
          <w:szCs w:val="26"/>
        </w:rPr>
        <w:t>la legalidad de</w:t>
      </w:r>
      <w:r w:rsidR="00D602DF">
        <w:rPr>
          <w:rFonts w:ascii="Arial" w:hAnsi="Arial" w:cs="Arial"/>
          <w:bCs/>
          <w:color w:val="000000"/>
          <w:sz w:val="26"/>
          <w:szCs w:val="26"/>
        </w:rPr>
        <w:t xml:space="preserve"> </w:t>
      </w:r>
      <w:r w:rsidR="00C13F71">
        <w:rPr>
          <w:rFonts w:ascii="Arial" w:hAnsi="Arial" w:cs="Arial"/>
          <w:bCs/>
          <w:sz w:val="26"/>
          <w:szCs w:val="26"/>
        </w:rPr>
        <w:t xml:space="preserve">la </w:t>
      </w:r>
      <w:r w:rsidR="00C13F71">
        <w:rPr>
          <w:rFonts w:ascii="Arial" w:eastAsia="Calibri" w:hAnsi="Arial" w:cs="Arial"/>
          <w:bCs/>
          <w:sz w:val="26"/>
          <w:szCs w:val="26"/>
        </w:rPr>
        <w:t>multa con</w:t>
      </w:r>
      <w:r w:rsidR="005C36D9">
        <w:rPr>
          <w:rFonts w:ascii="Arial" w:eastAsia="Calibri" w:hAnsi="Arial" w:cs="Arial"/>
          <w:bCs/>
          <w:sz w:val="26"/>
          <w:szCs w:val="26"/>
        </w:rPr>
        <w:t>tenid</w:t>
      </w:r>
      <w:r w:rsidR="00155A0E">
        <w:rPr>
          <w:rFonts w:ascii="Arial" w:eastAsia="Calibri" w:hAnsi="Arial" w:cs="Arial"/>
          <w:bCs/>
          <w:sz w:val="26"/>
          <w:szCs w:val="26"/>
        </w:rPr>
        <w:t>a</w:t>
      </w:r>
      <w:r w:rsidR="005C36D9">
        <w:rPr>
          <w:rFonts w:ascii="Arial" w:eastAsia="Calibri" w:hAnsi="Arial" w:cs="Arial"/>
          <w:bCs/>
          <w:sz w:val="26"/>
          <w:szCs w:val="26"/>
        </w:rPr>
        <w:t xml:space="preserve"> en el oficio con </w:t>
      </w:r>
      <w:r w:rsidR="00C13F71">
        <w:rPr>
          <w:rFonts w:ascii="Arial" w:eastAsia="Calibri" w:hAnsi="Arial" w:cs="Arial"/>
          <w:bCs/>
          <w:sz w:val="26"/>
          <w:szCs w:val="26"/>
        </w:rPr>
        <w:t xml:space="preserve">número de control 01MO49ER180901, de veintisiete de julio de dos mil dieciocho, emitida por la Directora de Ingresos y Recaudación de la Secretaría de Finanzas del Poder Ejecutivo del Estado de Oaxaca, </w:t>
      </w:r>
      <w:r w:rsidR="005445EA">
        <w:rPr>
          <w:rFonts w:ascii="Arial" w:eastAsia="Calibri" w:hAnsi="Arial" w:cs="Arial"/>
          <w:bCs/>
          <w:sz w:val="26"/>
          <w:szCs w:val="26"/>
        </w:rPr>
        <w:t xml:space="preserve">estudio que evidenció </w:t>
      </w:r>
      <w:r w:rsidR="0099092F">
        <w:rPr>
          <w:rFonts w:ascii="Arial" w:eastAsia="Calibri" w:hAnsi="Arial" w:cs="Arial"/>
          <w:bCs/>
          <w:sz w:val="26"/>
          <w:szCs w:val="26"/>
        </w:rPr>
        <w:t xml:space="preserve">las irregularidades en que incurrió la </w:t>
      </w:r>
      <w:r w:rsidR="005445EA">
        <w:rPr>
          <w:rFonts w:ascii="Arial" w:eastAsia="Calibri" w:hAnsi="Arial" w:cs="Arial"/>
          <w:bCs/>
          <w:sz w:val="26"/>
          <w:szCs w:val="26"/>
        </w:rPr>
        <w:t>autoridad demandada</w:t>
      </w:r>
      <w:r w:rsidR="0099092F">
        <w:rPr>
          <w:rFonts w:ascii="Arial" w:eastAsia="Calibri" w:hAnsi="Arial" w:cs="Arial"/>
          <w:bCs/>
          <w:sz w:val="26"/>
          <w:szCs w:val="26"/>
        </w:rPr>
        <w:t xml:space="preserve"> al imponer la multa</w:t>
      </w:r>
      <w:r w:rsidR="005445EA">
        <w:rPr>
          <w:rFonts w:ascii="Arial" w:eastAsia="Calibri" w:hAnsi="Arial" w:cs="Arial"/>
          <w:bCs/>
          <w:sz w:val="26"/>
          <w:szCs w:val="26"/>
        </w:rPr>
        <w:t xml:space="preserve"> a la actora</w:t>
      </w:r>
      <w:r w:rsidR="0099092F">
        <w:rPr>
          <w:rFonts w:ascii="Arial" w:eastAsia="Calibri" w:hAnsi="Arial" w:cs="Arial"/>
          <w:bCs/>
          <w:sz w:val="26"/>
          <w:szCs w:val="26"/>
        </w:rPr>
        <w:t xml:space="preserve">, </w:t>
      </w:r>
      <w:r w:rsidR="005445EA">
        <w:rPr>
          <w:rFonts w:ascii="Arial" w:eastAsia="Calibri" w:hAnsi="Arial" w:cs="Arial"/>
          <w:bCs/>
          <w:sz w:val="26"/>
          <w:szCs w:val="26"/>
        </w:rPr>
        <w:t xml:space="preserve">motivo por el cual la juzgadora declaró la </w:t>
      </w:r>
      <w:r w:rsidR="00D602DF">
        <w:rPr>
          <w:rFonts w:ascii="Arial" w:eastAsia="Calibri" w:hAnsi="Arial" w:cs="Arial"/>
          <w:bCs/>
          <w:sz w:val="26"/>
          <w:szCs w:val="26"/>
        </w:rPr>
        <w:t>nulidad de</w:t>
      </w:r>
      <w:r w:rsidR="0099092F">
        <w:rPr>
          <w:rFonts w:ascii="Arial" w:eastAsia="Calibri" w:hAnsi="Arial" w:cs="Arial"/>
          <w:bCs/>
          <w:sz w:val="26"/>
          <w:szCs w:val="26"/>
        </w:rPr>
        <w:t xml:space="preserve">l acto </w:t>
      </w:r>
      <w:r w:rsidR="005445EA">
        <w:rPr>
          <w:rFonts w:ascii="Arial" w:eastAsia="Calibri" w:hAnsi="Arial" w:cs="Arial"/>
          <w:bCs/>
          <w:sz w:val="26"/>
          <w:szCs w:val="26"/>
        </w:rPr>
        <w:t>impugnado</w:t>
      </w:r>
      <w:r w:rsidR="008C1013">
        <w:rPr>
          <w:rFonts w:ascii="Arial" w:hAnsi="Arial" w:cs="Arial"/>
          <w:sz w:val="26"/>
          <w:szCs w:val="26"/>
        </w:rPr>
        <w:t>.</w:t>
      </w:r>
      <w:r w:rsidR="00A165CA">
        <w:rPr>
          <w:rFonts w:ascii="Arial" w:hAnsi="Arial" w:cs="Arial"/>
          <w:sz w:val="26"/>
          <w:szCs w:val="26"/>
        </w:rPr>
        <w:t xml:space="preserve"> </w:t>
      </w:r>
      <w:r w:rsidR="00A165CA">
        <w:rPr>
          <w:rFonts w:ascii="Arial" w:hAnsi="Arial" w:cs="Arial"/>
          <w:bCs/>
          <w:iCs/>
          <w:sz w:val="26"/>
          <w:szCs w:val="26"/>
        </w:rPr>
        <w:t xml:space="preserve">- - - - - - - - - - - - - - - - - - - - - - - - - - - - - - - - - - - - - - - - </w:t>
      </w:r>
    </w:p>
    <w:p w14:paraId="36E3EAEA" w14:textId="554D053F" w:rsidR="00C509DB" w:rsidRPr="007C2E8A" w:rsidRDefault="00B555B1" w:rsidP="00C13F71">
      <w:pPr>
        <w:spacing w:line="360" w:lineRule="auto"/>
        <w:ind w:firstLine="708"/>
        <w:jc w:val="both"/>
        <w:rPr>
          <w:rFonts w:ascii="Arial" w:hAnsi="Arial" w:cs="Arial"/>
          <w:b/>
          <w:bCs/>
          <w:sz w:val="26"/>
          <w:szCs w:val="26"/>
        </w:rPr>
      </w:pPr>
      <w:r>
        <w:rPr>
          <w:rFonts w:ascii="Arial" w:hAnsi="Arial" w:cs="Arial"/>
          <w:sz w:val="26"/>
          <w:szCs w:val="26"/>
        </w:rPr>
        <w:t>Es así que, de lo expuesto</w:t>
      </w:r>
      <w:r w:rsidR="008C1013">
        <w:rPr>
          <w:rFonts w:ascii="Arial" w:hAnsi="Arial" w:cs="Arial"/>
          <w:sz w:val="26"/>
          <w:szCs w:val="26"/>
        </w:rPr>
        <w:t xml:space="preserve">, se advierte que </w:t>
      </w:r>
      <w:r w:rsidR="00320DB7">
        <w:rPr>
          <w:rFonts w:ascii="Arial" w:hAnsi="Arial" w:cs="Arial"/>
          <w:sz w:val="26"/>
          <w:szCs w:val="26"/>
        </w:rPr>
        <w:t>l</w:t>
      </w:r>
      <w:r w:rsidR="008C1013">
        <w:rPr>
          <w:rFonts w:ascii="Arial" w:hAnsi="Arial" w:cs="Arial"/>
          <w:sz w:val="26"/>
          <w:szCs w:val="26"/>
        </w:rPr>
        <w:t xml:space="preserve">os agravios de </w:t>
      </w:r>
      <w:r w:rsidR="00C509DB">
        <w:rPr>
          <w:rFonts w:ascii="Arial" w:hAnsi="Arial" w:cs="Arial"/>
          <w:sz w:val="26"/>
          <w:szCs w:val="26"/>
        </w:rPr>
        <w:t>la autoridad recurrente dev</w:t>
      </w:r>
      <w:r>
        <w:rPr>
          <w:rFonts w:ascii="Arial" w:hAnsi="Arial" w:cs="Arial"/>
          <w:sz w:val="26"/>
          <w:szCs w:val="26"/>
        </w:rPr>
        <w:t xml:space="preserve">ienen </w:t>
      </w:r>
      <w:r w:rsidR="00C509DB">
        <w:rPr>
          <w:rFonts w:ascii="Arial" w:hAnsi="Arial" w:cs="Arial"/>
          <w:b/>
          <w:bCs/>
          <w:sz w:val="26"/>
          <w:szCs w:val="26"/>
        </w:rPr>
        <w:t>inoperante</w:t>
      </w:r>
      <w:r>
        <w:rPr>
          <w:rFonts w:ascii="Arial" w:hAnsi="Arial" w:cs="Arial"/>
          <w:b/>
          <w:bCs/>
          <w:sz w:val="26"/>
          <w:szCs w:val="26"/>
        </w:rPr>
        <w:t>s</w:t>
      </w:r>
      <w:r w:rsidR="00C509DB">
        <w:rPr>
          <w:rFonts w:ascii="Arial" w:hAnsi="Arial" w:cs="Arial"/>
          <w:b/>
          <w:bCs/>
          <w:sz w:val="26"/>
          <w:szCs w:val="26"/>
        </w:rPr>
        <w:t xml:space="preserve">, </w:t>
      </w:r>
      <w:r w:rsidR="007C2E8A" w:rsidRPr="007C2E8A">
        <w:rPr>
          <w:rFonts w:ascii="Arial" w:hAnsi="Arial" w:cs="Arial"/>
          <w:sz w:val="26"/>
          <w:szCs w:val="26"/>
        </w:rPr>
        <w:t>en virtud de que</w:t>
      </w:r>
      <w:r>
        <w:rPr>
          <w:rFonts w:ascii="Arial" w:hAnsi="Arial" w:cs="Arial"/>
          <w:sz w:val="26"/>
          <w:szCs w:val="26"/>
        </w:rPr>
        <w:t xml:space="preserve"> la recurrente,</w:t>
      </w:r>
      <w:r w:rsidR="007C2E8A" w:rsidRPr="007C2E8A">
        <w:rPr>
          <w:rFonts w:ascii="Arial" w:hAnsi="Arial" w:cs="Arial"/>
          <w:sz w:val="26"/>
          <w:szCs w:val="26"/>
        </w:rPr>
        <w:t xml:space="preserve"> </w:t>
      </w:r>
      <w:r w:rsidR="007C2E8A">
        <w:rPr>
          <w:rFonts w:ascii="Arial" w:eastAsia="Times New Roman" w:hAnsi="Arial" w:cs="Arial"/>
          <w:sz w:val="26"/>
          <w:szCs w:val="26"/>
        </w:rPr>
        <w:t xml:space="preserve">carece </w:t>
      </w:r>
      <w:r w:rsidR="007C2E8A" w:rsidRPr="00C509DB">
        <w:rPr>
          <w:rFonts w:ascii="Arial" w:eastAsia="Times New Roman" w:hAnsi="Arial" w:cs="Arial"/>
          <w:sz w:val="26"/>
          <w:szCs w:val="26"/>
        </w:rPr>
        <w:t xml:space="preserve">de razón, </w:t>
      </w:r>
      <w:r w:rsidR="008C1013">
        <w:rPr>
          <w:rFonts w:ascii="Arial" w:eastAsia="Times New Roman" w:hAnsi="Arial" w:cs="Arial"/>
          <w:sz w:val="26"/>
          <w:szCs w:val="26"/>
        </w:rPr>
        <w:t xml:space="preserve">además, </w:t>
      </w:r>
      <w:r w:rsidR="007C2E8A" w:rsidRPr="00C509DB">
        <w:rPr>
          <w:rFonts w:ascii="Arial" w:eastAsia="Times New Roman" w:hAnsi="Arial" w:cs="Arial"/>
          <w:sz w:val="26"/>
          <w:szCs w:val="26"/>
        </w:rPr>
        <w:t xml:space="preserve">ninguna utilidad le reportaría </w:t>
      </w:r>
      <w:r w:rsidR="00EC72E4">
        <w:rPr>
          <w:rFonts w:ascii="Arial" w:eastAsia="Times New Roman" w:hAnsi="Arial" w:cs="Arial"/>
          <w:sz w:val="26"/>
          <w:szCs w:val="26"/>
        </w:rPr>
        <w:t>la revocación de</w:t>
      </w:r>
      <w:r w:rsidR="007C2E8A" w:rsidRPr="00C509DB">
        <w:rPr>
          <w:rFonts w:ascii="Arial" w:eastAsia="Times New Roman" w:hAnsi="Arial" w:cs="Arial"/>
          <w:sz w:val="26"/>
          <w:szCs w:val="26"/>
        </w:rPr>
        <w:t xml:space="preserve"> la sentencia si</w:t>
      </w:r>
      <w:r w:rsidR="00EC72E4">
        <w:rPr>
          <w:rFonts w:ascii="Arial" w:eastAsia="Times New Roman" w:hAnsi="Arial" w:cs="Arial"/>
          <w:sz w:val="26"/>
          <w:szCs w:val="26"/>
        </w:rPr>
        <w:t xml:space="preserve"> </w:t>
      </w:r>
      <w:r w:rsidR="007C2E8A" w:rsidRPr="00C509DB">
        <w:rPr>
          <w:rFonts w:ascii="Arial" w:eastAsia="Times New Roman" w:hAnsi="Arial" w:cs="Arial"/>
          <w:sz w:val="26"/>
          <w:szCs w:val="26"/>
        </w:rPr>
        <w:t xml:space="preserve">el asunto </w:t>
      </w:r>
      <w:r w:rsidR="007C2E8A">
        <w:rPr>
          <w:rFonts w:ascii="Arial" w:eastAsia="Times New Roman" w:hAnsi="Arial" w:cs="Arial"/>
          <w:sz w:val="26"/>
          <w:szCs w:val="26"/>
        </w:rPr>
        <w:t xml:space="preserve">nuevamente </w:t>
      </w:r>
      <w:r w:rsidR="007C2E8A" w:rsidRPr="00C509DB">
        <w:rPr>
          <w:rFonts w:ascii="Arial" w:eastAsia="Times New Roman" w:hAnsi="Arial" w:cs="Arial"/>
          <w:sz w:val="26"/>
          <w:szCs w:val="26"/>
        </w:rPr>
        <w:t>se resolverá en su contr</w:t>
      </w:r>
      <w:r w:rsidR="007C2E8A">
        <w:rPr>
          <w:rFonts w:ascii="Arial" w:eastAsia="Times New Roman" w:hAnsi="Arial" w:cs="Arial"/>
          <w:sz w:val="26"/>
          <w:szCs w:val="26"/>
        </w:rPr>
        <w:t xml:space="preserve">a. </w:t>
      </w:r>
      <w:r w:rsidR="005A3D7A">
        <w:rPr>
          <w:rFonts w:ascii="Arial" w:hAnsi="Arial" w:cs="Arial"/>
          <w:bCs/>
          <w:iCs/>
          <w:sz w:val="26"/>
          <w:szCs w:val="26"/>
        </w:rPr>
        <w:t xml:space="preserve">- - - - - - - - - - - - - - - - - - - - - - - - - - - - - - - - - - - - - - - - - - - - - - - </w:t>
      </w:r>
    </w:p>
    <w:p w14:paraId="7885CC7A" w14:textId="71BC0F30" w:rsidR="00C509DB" w:rsidRPr="00C509DB" w:rsidRDefault="00C509DB" w:rsidP="00A74FB5">
      <w:pPr>
        <w:shd w:val="clear" w:color="auto" w:fill="FFFFFF"/>
        <w:spacing w:line="360" w:lineRule="auto"/>
        <w:ind w:firstLine="567"/>
        <w:jc w:val="both"/>
        <w:rPr>
          <w:rFonts w:ascii="Calibri" w:eastAsia="Times New Roman" w:hAnsi="Calibri" w:cs="Calibri"/>
          <w:color w:val="212529"/>
          <w:sz w:val="26"/>
          <w:szCs w:val="26"/>
        </w:rPr>
      </w:pPr>
      <w:r>
        <w:rPr>
          <w:rFonts w:ascii="Arial" w:hAnsi="Arial" w:cs="Arial"/>
          <w:bCs/>
          <w:sz w:val="26"/>
          <w:szCs w:val="26"/>
        </w:rPr>
        <w:t xml:space="preserve">Se invoca en apoyo a lo anterior, la jurisprudencia en materia </w:t>
      </w:r>
      <w:r w:rsidR="00A74FB5">
        <w:rPr>
          <w:rFonts w:ascii="Arial" w:hAnsi="Arial" w:cs="Arial"/>
          <w:bCs/>
          <w:sz w:val="26"/>
          <w:szCs w:val="26"/>
        </w:rPr>
        <w:t>administrativa</w:t>
      </w:r>
      <w:r>
        <w:rPr>
          <w:rFonts w:ascii="Arial" w:hAnsi="Arial" w:cs="Arial"/>
          <w:bCs/>
          <w:sz w:val="26"/>
          <w:szCs w:val="26"/>
        </w:rPr>
        <w:t xml:space="preserve"> número </w:t>
      </w:r>
      <w:r w:rsidR="00A74FB5">
        <w:rPr>
          <w:rFonts w:ascii="Arial" w:hAnsi="Arial" w:cs="Arial"/>
          <w:bCs/>
          <w:sz w:val="26"/>
          <w:szCs w:val="26"/>
        </w:rPr>
        <w:t xml:space="preserve">VI.3o.A. J/18, con número de registro digital 186131, </w:t>
      </w:r>
      <w:r>
        <w:rPr>
          <w:rFonts w:ascii="Arial" w:eastAsia="Times New Roman" w:hAnsi="Arial" w:cs="Arial"/>
          <w:sz w:val="26"/>
          <w:szCs w:val="26"/>
        </w:rPr>
        <w:t xml:space="preserve">de la Novena Época, emitida por </w:t>
      </w:r>
      <w:r w:rsidR="00A74FB5">
        <w:rPr>
          <w:rFonts w:ascii="Arial" w:eastAsia="Times New Roman" w:hAnsi="Arial" w:cs="Arial"/>
          <w:sz w:val="26"/>
          <w:szCs w:val="26"/>
        </w:rPr>
        <w:t xml:space="preserve">los Tribunales Colegiados de Circuito, </w:t>
      </w:r>
      <w:r>
        <w:rPr>
          <w:rFonts w:ascii="Arial" w:eastAsia="Times New Roman" w:hAnsi="Arial" w:cs="Arial"/>
          <w:sz w:val="26"/>
          <w:szCs w:val="26"/>
        </w:rPr>
        <w:t>publicada en el Semanario Judicial de la Federación y su Gaceta</w:t>
      </w:r>
      <w:r w:rsidR="00A74FB5">
        <w:rPr>
          <w:rFonts w:ascii="Arial" w:eastAsia="Times New Roman" w:hAnsi="Arial" w:cs="Arial"/>
          <w:sz w:val="26"/>
          <w:szCs w:val="26"/>
        </w:rPr>
        <w:t>, T</w:t>
      </w:r>
      <w:r>
        <w:rPr>
          <w:rFonts w:ascii="Arial" w:eastAsia="Times New Roman" w:hAnsi="Arial" w:cs="Arial"/>
          <w:sz w:val="26"/>
          <w:szCs w:val="26"/>
        </w:rPr>
        <w:t>omo X</w:t>
      </w:r>
      <w:r w:rsidR="00A74FB5">
        <w:rPr>
          <w:rFonts w:ascii="Arial" w:eastAsia="Times New Roman" w:hAnsi="Arial" w:cs="Arial"/>
          <w:sz w:val="26"/>
          <w:szCs w:val="26"/>
        </w:rPr>
        <w:t>VI</w:t>
      </w:r>
      <w:r>
        <w:rPr>
          <w:rFonts w:ascii="Arial" w:eastAsia="Times New Roman" w:hAnsi="Arial" w:cs="Arial"/>
          <w:sz w:val="26"/>
          <w:szCs w:val="26"/>
        </w:rPr>
        <w:t xml:space="preserve">, </w:t>
      </w:r>
      <w:r w:rsidR="00A74FB5">
        <w:rPr>
          <w:rFonts w:ascii="Arial" w:eastAsia="Times New Roman" w:hAnsi="Arial" w:cs="Arial"/>
          <w:sz w:val="26"/>
          <w:szCs w:val="26"/>
        </w:rPr>
        <w:t xml:space="preserve">Agosto </w:t>
      </w:r>
      <w:r>
        <w:rPr>
          <w:rFonts w:ascii="Arial" w:eastAsia="Times New Roman" w:hAnsi="Arial" w:cs="Arial"/>
          <w:sz w:val="26"/>
          <w:szCs w:val="26"/>
        </w:rPr>
        <w:t>de 20</w:t>
      </w:r>
      <w:r w:rsidR="00A74FB5">
        <w:rPr>
          <w:rFonts w:ascii="Arial" w:eastAsia="Times New Roman" w:hAnsi="Arial" w:cs="Arial"/>
          <w:sz w:val="26"/>
          <w:szCs w:val="26"/>
        </w:rPr>
        <w:t>02</w:t>
      </w:r>
      <w:r>
        <w:rPr>
          <w:rFonts w:ascii="Arial" w:eastAsia="Times New Roman" w:hAnsi="Arial" w:cs="Arial"/>
          <w:sz w:val="26"/>
          <w:szCs w:val="26"/>
        </w:rPr>
        <w:t xml:space="preserve">, visible a página </w:t>
      </w:r>
      <w:r w:rsidR="00A74FB5">
        <w:rPr>
          <w:rFonts w:ascii="Arial" w:eastAsia="Times New Roman" w:hAnsi="Arial" w:cs="Arial"/>
          <w:sz w:val="26"/>
          <w:szCs w:val="26"/>
        </w:rPr>
        <w:t>1213</w:t>
      </w:r>
      <w:r>
        <w:rPr>
          <w:rFonts w:ascii="Arial" w:eastAsia="Times New Roman" w:hAnsi="Arial" w:cs="Arial"/>
          <w:sz w:val="26"/>
          <w:szCs w:val="26"/>
        </w:rPr>
        <w:t xml:space="preserve">, </w:t>
      </w:r>
      <w:r>
        <w:rPr>
          <w:rFonts w:ascii="Arial" w:hAnsi="Arial" w:cs="Arial"/>
          <w:bCs/>
          <w:sz w:val="26"/>
          <w:szCs w:val="26"/>
        </w:rPr>
        <w:t xml:space="preserve">bajo el rubro y texto siguiente: </w:t>
      </w:r>
      <w:r w:rsidR="002B23A0">
        <w:rPr>
          <w:rFonts w:ascii="Arial" w:hAnsi="Arial" w:cs="Arial"/>
          <w:bCs/>
          <w:iCs/>
          <w:sz w:val="26"/>
          <w:szCs w:val="26"/>
        </w:rPr>
        <w:t xml:space="preserve">- - - - - - - - - - - - - - - - - - - - - - - - - - - - - - - - - - - - - - - - </w:t>
      </w:r>
    </w:p>
    <w:p w14:paraId="0058A2CB" w14:textId="33CC7F4F" w:rsidR="00C509DB" w:rsidRPr="002B23A0" w:rsidRDefault="00C509DB" w:rsidP="00C509DB">
      <w:pPr>
        <w:shd w:val="clear" w:color="auto" w:fill="FFFFFF"/>
        <w:spacing w:after="0" w:line="240" w:lineRule="auto"/>
        <w:ind w:left="567" w:right="616"/>
        <w:jc w:val="both"/>
        <w:rPr>
          <w:rFonts w:ascii="Arial" w:eastAsia="Times New Roman" w:hAnsi="Arial" w:cs="Arial"/>
          <w:i/>
          <w:iCs/>
          <w:sz w:val="24"/>
          <w:szCs w:val="24"/>
        </w:rPr>
      </w:pPr>
      <w:r w:rsidRPr="002B23A0">
        <w:rPr>
          <w:rFonts w:ascii="Arial" w:eastAsia="Times New Roman" w:hAnsi="Arial" w:cs="Arial"/>
          <w:b/>
          <w:bCs/>
          <w:i/>
          <w:iCs/>
          <w:sz w:val="24"/>
          <w:szCs w:val="24"/>
        </w:rPr>
        <w:lastRenderedPageBreak/>
        <w:t>“REVISIÓN FISCAL</w:t>
      </w:r>
      <w:r w:rsidR="00D034FD" w:rsidRPr="002B23A0">
        <w:rPr>
          <w:rFonts w:ascii="Arial" w:eastAsia="Times New Roman" w:hAnsi="Arial" w:cs="Arial"/>
          <w:b/>
          <w:bCs/>
          <w:i/>
          <w:iCs/>
          <w:sz w:val="24"/>
          <w:szCs w:val="24"/>
        </w:rPr>
        <w:t>, AGRAVIOS</w:t>
      </w:r>
      <w:r w:rsidRPr="002B23A0">
        <w:rPr>
          <w:rFonts w:ascii="Arial" w:eastAsia="Times New Roman" w:hAnsi="Arial" w:cs="Arial"/>
          <w:b/>
          <w:bCs/>
          <w:i/>
          <w:iCs/>
          <w:sz w:val="24"/>
          <w:szCs w:val="24"/>
        </w:rPr>
        <w:t> FUNDADOS PERO</w:t>
      </w:r>
      <w:r w:rsidR="00D034FD" w:rsidRPr="002B23A0">
        <w:rPr>
          <w:rFonts w:ascii="Arial" w:eastAsia="Times New Roman" w:hAnsi="Arial" w:cs="Arial"/>
          <w:b/>
          <w:bCs/>
          <w:i/>
          <w:iCs/>
          <w:sz w:val="24"/>
          <w:szCs w:val="24"/>
        </w:rPr>
        <w:t xml:space="preserve"> INOPERANTES</w:t>
      </w:r>
      <w:r w:rsidRPr="002B23A0">
        <w:rPr>
          <w:rFonts w:ascii="Arial" w:eastAsia="Times New Roman" w:hAnsi="Arial" w:cs="Arial"/>
          <w:b/>
          <w:bCs/>
          <w:i/>
          <w:iCs/>
          <w:sz w:val="24"/>
          <w:szCs w:val="24"/>
        </w:rPr>
        <w:t xml:space="preserve"> EN LA. </w:t>
      </w:r>
      <w:r w:rsidRPr="002B23A0">
        <w:rPr>
          <w:rFonts w:ascii="Arial" w:eastAsia="Times New Roman" w:hAnsi="Arial" w:cs="Arial"/>
          <w:i/>
          <w:iCs/>
          <w:sz w:val="24"/>
          <w:szCs w:val="24"/>
        </w:rPr>
        <w:t>Conforme a la jurisprudencia que sostuvo la otrora Tercera Sala de la Suprema Corte de Justicia de la Nación, publicada en la página ciento catorce del Tomo VI,</w:t>
      </w:r>
      <w:r w:rsidR="00D034FD" w:rsidRPr="002B23A0">
        <w:rPr>
          <w:rFonts w:ascii="Arial" w:eastAsia="Times New Roman" w:hAnsi="Arial" w:cs="Arial"/>
          <w:i/>
          <w:iCs/>
          <w:sz w:val="24"/>
          <w:szCs w:val="24"/>
        </w:rPr>
        <w:t xml:space="preserve"> Materia</w:t>
      </w:r>
      <w:r w:rsidRPr="002B23A0">
        <w:rPr>
          <w:rFonts w:ascii="Arial" w:eastAsia="Times New Roman" w:hAnsi="Arial" w:cs="Arial"/>
          <w:i/>
          <w:iCs/>
          <w:sz w:val="24"/>
          <w:szCs w:val="24"/>
        </w:rPr>
        <w:t> Común, del Apéndice al Semanario Judicial de la Federación 1917-1995, de rubro: "</w:t>
      </w:r>
      <w:hyperlink r:id="rId11" w:tgtFrame="_blank" w:history="1">
        <w:r w:rsidRPr="002B23A0">
          <w:rPr>
            <w:rFonts w:ascii="Arial" w:eastAsia="Times New Roman" w:hAnsi="Arial" w:cs="Arial"/>
            <w:i/>
            <w:iCs/>
            <w:sz w:val="24"/>
            <w:szCs w:val="24"/>
          </w:rPr>
          <w:t>CONCEPTOS DE VIOLACIÓN FUNDADOS, PERO</w:t>
        </w:r>
        <w:r w:rsidR="00D034FD" w:rsidRPr="002B23A0">
          <w:rPr>
            <w:rFonts w:ascii="Arial" w:eastAsia="Times New Roman" w:hAnsi="Arial" w:cs="Arial"/>
            <w:i/>
            <w:iCs/>
            <w:sz w:val="24"/>
            <w:szCs w:val="24"/>
          </w:rPr>
          <w:t xml:space="preserve"> INOPERANTES</w:t>
        </w:r>
      </w:hyperlink>
      <w:r w:rsidR="00D034FD" w:rsidRPr="002B23A0">
        <w:rPr>
          <w:rFonts w:ascii="Arial" w:eastAsia="Times New Roman" w:hAnsi="Arial" w:cs="Arial"/>
          <w:i/>
          <w:iCs/>
          <w:sz w:val="24"/>
          <w:szCs w:val="24"/>
        </w:rPr>
        <w:t>.</w:t>
      </w:r>
      <w:r w:rsidRPr="002B23A0">
        <w:rPr>
          <w:rFonts w:ascii="Arial" w:eastAsia="Times New Roman" w:hAnsi="Arial" w:cs="Arial"/>
          <w:i/>
          <w:iCs/>
          <w:sz w:val="24"/>
          <w:szCs w:val="24"/>
        </w:rPr>
        <w:t>", es correcto que el tribunal de amparo se pronuncie sobre puntos que no fueron abordados por la autoridad de instancia</w:t>
      </w:r>
      <w:r w:rsidRPr="002B23A0">
        <w:rPr>
          <w:rFonts w:ascii="Arial" w:eastAsia="Times New Roman" w:hAnsi="Arial" w:cs="Arial"/>
          <w:i/>
          <w:iCs/>
          <w:sz w:val="24"/>
          <w:szCs w:val="24"/>
          <w:u w:val="single"/>
        </w:rPr>
        <w:t xml:space="preserve">, cuando el quejoso tiene razón en los planteamientos vertidos en sus conceptos de violación por omisiones de la responsable, pero carece de ella en lo que ve al fondo del asunto; en esa virtud, cabe decir que lo mismo sucede respecto </w:t>
      </w:r>
      <w:r w:rsidR="00126C34" w:rsidRPr="002B23A0">
        <w:rPr>
          <w:rFonts w:ascii="Arial" w:eastAsia="Times New Roman" w:hAnsi="Arial" w:cs="Arial"/>
          <w:i/>
          <w:iCs/>
          <w:sz w:val="24"/>
          <w:szCs w:val="24"/>
          <w:u w:val="single"/>
        </w:rPr>
        <w:t>d</w:t>
      </w:r>
      <w:r w:rsidR="00352ED4" w:rsidRPr="002B23A0">
        <w:rPr>
          <w:rFonts w:ascii="Arial" w:eastAsia="Times New Roman" w:hAnsi="Arial" w:cs="Arial"/>
          <w:i/>
          <w:iCs/>
          <w:sz w:val="24"/>
          <w:szCs w:val="24"/>
          <w:u w:val="single"/>
        </w:rPr>
        <w:t xml:space="preserve">e agravios </w:t>
      </w:r>
      <w:r w:rsidRPr="002B23A0">
        <w:rPr>
          <w:rFonts w:ascii="Arial" w:eastAsia="Times New Roman" w:hAnsi="Arial" w:cs="Arial"/>
          <w:i/>
          <w:iCs/>
          <w:sz w:val="24"/>
          <w:szCs w:val="24"/>
          <w:u w:val="single"/>
        </w:rPr>
        <w:t>en la revisión fiscal, donde igualmente deben declararse fundados pero</w:t>
      </w:r>
      <w:r w:rsidR="00352ED4" w:rsidRPr="002B23A0">
        <w:rPr>
          <w:rFonts w:ascii="Arial" w:eastAsia="Times New Roman" w:hAnsi="Arial" w:cs="Arial"/>
          <w:i/>
          <w:iCs/>
          <w:sz w:val="24"/>
          <w:szCs w:val="24"/>
          <w:u w:val="single"/>
        </w:rPr>
        <w:t xml:space="preserve"> inoperantes </w:t>
      </w:r>
      <w:r w:rsidRPr="002B23A0">
        <w:rPr>
          <w:rFonts w:ascii="Arial" w:eastAsia="Times New Roman" w:hAnsi="Arial" w:cs="Arial"/>
          <w:i/>
          <w:iCs/>
          <w:sz w:val="24"/>
          <w:szCs w:val="24"/>
          <w:u w:val="single"/>
        </w:rPr>
        <w:t>tales</w:t>
      </w:r>
      <w:r w:rsidR="00352ED4" w:rsidRPr="002B23A0">
        <w:rPr>
          <w:rFonts w:ascii="Arial" w:eastAsia="Times New Roman" w:hAnsi="Arial" w:cs="Arial"/>
          <w:i/>
          <w:iCs/>
          <w:sz w:val="24"/>
          <w:szCs w:val="24"/>
          <w:u w:val="single"/>
        </w:rPr>
        <w:t xml:space="preserve"> agravios</w:t>
      </w:r>
      <w:r w:rsidRPr="002B23A0">
        <w:rPr>
          <w:rFonts w:ascii="Arial" w:eastAsia="Times New Roman" w:hAnsi="Arial" w:cs="Arial"/>
          <w:i/>
          <w:iCs/>
          <w:sz w:val="24"/>
          <w:szCs w:val="24"/>
          <w:u w:val="single"/>
        </w:rPr>
        <w:t> cuando se advierta con toda claridad, y sin necesidad de hacer uso del arbitrio jurisdiccional, que la autoridad recurrente carece en el fondo de razón, pues ninguna utilidad le reportaría que se revocara la sentencia del Tribunal Fiscal si, a fin de cuentas, el asunto a la postre se resolverá en su contra, incluso, llegado el caso, en ulterior revisión fiscal; de manera entonces que, en aras del principio de pronta y expedita administración de justicia que se contiene en el artículo </w:t>
      </w:r>
      <w:hyperlink r:id="rId12" w:history="1">
        <w:r w:rsidRPr="002B23A0">
          <w:rPr>
            <w:rFonts w:ascii="Arial" w:eastAsia="Times New Roman" w:hAnsi="Arial" w:cs="Arial"/>
            <w:i/>
            <w:iCs/>
            <w:sz w:val="24"/>
            <w:szCs w:val="24"/>
            <w:u w:val="single"/>
          </w:rPr>
          <w:t>17 constitucional</w:t>
        </w:r>
        <w:r w:rsidRPr="002B23A0">
          <w:rPr>
            <w:rFonts w:ascii="Arial" w:eastAsia="Times New Roman" w:hAnsi="Arial" w:cs="Arial"/>
            <w:b/>
            <w:bCs/>
            <w:i/>
            <w:iCs/>
            <w:sz w:val="24"/>
            <w:szCs w:val="24"/>
            <w:u w:val="single"/>
          </w:rPr>
          <w:t>,</w:t>
        </w:r>
      </w:hyperlink>
      <w:r w:rsidRPr="002B23A0">
        <w:rPr>
          <w:rFonts w:ascii="Arial" w:eastAsia="Times New Roman" w:hAnsi="Arial" w:cs="Arial"/>
          <w:i/>
          <w:iCs/>
          <w:sz w:val="24"/>
          <w:szCs w:val="24"/>
          <w:u w:val="single"/>
        </w:rPr>
        <w:t> en casos como éste conviene de una vez desestimar los</w:t>
      </w:r>
      <w:r w:rsidR="00352ED4" w:rsidRPr="002B23A0">
        <w:rPr>
          <w:rFonts w:ascii="Arial" w:eastAsia="Times New Roman" w:hAnsi="Arial" w:cs="Arial"/>
          <w:i/>
          <w:iCs/>
          <w:sz w:val="24"/>
          <w:szCs w:val="24"/>
          <w:u w:val="single"/>
        </w:rPr>
        <w:t xml:space="preserve"> agravios </w:t>
      </w:r>
      <w:r w:rsidRPr="002B23A0">
        <w:rPr>
          <w:rFonts w:ascii="Arial" w:eastAsia="Times New Roman" w:hAnsi="Arial" w:cs="Arial"/>
          <w:i/>
          <w:iCs/>
          <w:sz w:val="24"/>
          <w:szCs w:val="24"/>
          <w:u w:val="single"/>
        </w:rPr>
        <w:t>relativos,</w:t>
      </w:r>
      <w:r w:rsidRPr="002B23A0">
        <w:rPr>
          <w:rFonts w:ascii="Arial" w:eastAsia="Times New Roman" w:hAnsi="Arial" w:cs="Arial"/>
          <w:i/>
          <w:iCs/>
          <w:sz w:val="24"/>
          <w:szCs w:val="24"/>
        </w:rPr>
        <w:t xml:space="preserve"> en la inteligencia de que no sucede lo mismo cuando el punto en debate no resulta tan claro y sí, en cambio, es menester hacer uso del señalado arbitrio jurisdiccional, pues en dicha hipótesis, corresponderá de origen a la instancia común pronunciarse en ejercicio de sus facultades.”</w:t>
      </w:r>
      <w:r w:rsidR="00126C34" w:rsidRPr="002B23A0">
        <w:rPr>
          <w:rFonts w:ascii="Arial" w:eastAsia="Times New Roman" w:hAnsi="Arial" w:cs="Arial"/>
          <w:i/>
          <w:iCs/>
          <w:sz w:val="24"/>
          <w:szCs w:val="24"/>
        </w:rPr>
        <w:t xml:space="preserve"> (lo subrayado en propio)</w:t>
      </w:r>
      <w:r w:rsidR="002B23A0">
        <w:rPr>
          <w:rFonts w:ascii="Arial" w:eastAsia="Times New Roman" w:hAnsi="Arial" w:cs="Arial"/>
          <w:i/>
          <w:iCs/>
          <w:sz w:val="24"/>
          <w:szCs w:val="24"/>
        </w:rPr>
        <w:t xml:space="preserve">. </w:t>
      </w:r>
      <w:r w:rsidR="002B23A0">
        <w:rPr>
          <w:rFonts w:ascii="Arial" w:hAnsi="Arial" w:cs="Arial"/>
          <w:bCs/>
          <w:iCs/>
          <w:sz w:val="26"/>
          <w:szCs w:val="26"/>
        </w:rPr>
        <w:t xml:space="preserve">- - - - - - - - - - - - - - - - - - - - - - - - - - - - - - </w:t>
      </w:r>
    </w:p>
    <w:p w14:paraId="4AADF34C" w14:textId="0E5B7491" w:rsidR="00C30D7A" w:rsidRDefault="00C30D7A" w:rsidP="00C509DB">
      <w:pPr>
        <w:shd w:val="clear" w:color="auto" w:fill="FFFFFF"/>
        <w:spacing w:after="0" w:line="240" w:lineRule="auto"/>
        <w:ind w:left="567" w:right="616"/>
        <w:jc w:val="both"/>
        <w:rPr>
          <w:rFonts w:ascii="Calibri" w:eastAsia="Times New Roman" w:hAnsi="Calibri" w:cs="Calibri"/>
        </w:rPr>
      </w:pPr>
    </w:p>
    <w:p w14:paraId="65939CDD" w14:textId="6AF5C158" w:rsidR="00C30D7A" w:rsidRDefault="00C30D7A" w:rsidP="00C509DB">
      <w:pPr>
        <w:shd w:val="clear" w:color="auto" w:fill="FFFFFF"/>
        <w:spacing w:after="0" w:line="240" w:lineRule="auto"/>
        <w:ind w:left="567" w:right="616"/>
        <w:jc w:val="both"/>
        <w:rPr>
          <w:rFonts w:ascii="Calibri" w:eastAsia="Times New Roman" w:hAnsi="Calibri" w:cs="Calibri"/>
        </w:rPr>
      </w:pPr>
    </w:p>
    <w:p w14:paraId="1CD66C55" w14:textId="2D5E2945" w:rsidR="00BA2D87" w:rsidRPr="00167FA5" w:rsidRDefault="00BA2D87" w:rsidP="00BA2D87">
      <w:pPr>
        <w:pStyle w:val="Sinespaciado"/>
        <w:spacing w:after="120" w:line="360" w:lineRule="auto"/>
        <w:ind w:right="51" w:firstLine="709"/>
        <w:jc w:val="both"/>
      </w:pPr>
      <w:r>
        <w:rPr>
          <w:rFonts w:ascii="Arial" w:eastAsia="Calibri" w:hAnsi="Arial" w:cs="Arial"/>
          <w:sz w:val="26"/>
          <w:szCs w:val="26"/>
        </w:rPr>
        <w:t>P</w:t>
      </w:r>
      <w:r w:rsidRPr="003250BF">
        <w:rPr>
          <w:rFonts w:ascii="Arial" w:eastAsia="Calibri" w:hAnsi="Arial" w:cs="Arial"/>
          <w:sz w:val="26"/>
          <w:szCs w:val="26"/>
        </w:rPr>
        <w:t xml:space="preserve">or </w:t>
      </w:r>
      <w:r>
        <w:rPr>
          <w:rFonts w:ascii="Arial" w:eastAsia="Calibri" w:hAnsi="Arial" w:cs="Arial"/>
          <w:sz w:val="26"/>
          <w:szCs w:val="26"/>
        </w:rPr>
        <w:t>último</w:t>
      </w:r>
      <w:r w:rsidRPr="003250BF">
        <w:rPr>
          <w:rFonts w:ascii="Arial" w:eastAsia="Calibri" w:hAnsi="Arial" w:cs="Arial"/>
          <w:sz w:val="26"/>
          <w:szCs w:val="26"/>
        </w:rPr>
        <w:t xml:space="preserve">, </w:t>
      </w:r>
      <w:r>
        <w:rPr>
          <w:rFonts w:ascii="Arial" w:eastAsia="Calibri" w:hAnsi="Arial" w:cs="Arial"/>
          <w:sz w:val="26"/>
          <w:szCs w:val="26"/>
        </w:rPr>
        <w:t xml:space="preserve">resulta oportuno </w:t>
      </w:r>
      <w:r w:rsidRPr="002C2A5B">
        <w:rPr>
          <w:rFonts w:ascii="Arial" w:eastAsia="Calibri" w:hAnsi="Arial" w:cs="Arial"/>
          <w:b/>
          <w:sz w:val="26"/>
          <w:szCs w:val="26"/>
        </w:rPr>
        <w:t>exhortar</w:t>
      </w:r>
      <w:r>
        <w:rPr>
          <w:rFonts w:ascii="Arial" w:eastAsia="Calibri" w:hAnsi="Arial" w:cs="Arial"/>
          <w:sz w:val="26"/>
          <w:szCs w:val="26"/>
        </w:rPr>
        <w:t xml:space="preserve"> a la Sexta Sala Unitaria de Primera Instancia, para que en lo sucesivo sustancie de manera pronta los recursos de revisión interpuestos ante su Sala, en contra de actos dictados por su autoridad; ya que de las constancias que conforman el presente recurso de revisión, se advierte que fue interpuesto por el </w:t>
      </w:r>
      <w:r w:rsidRPr="00C34103">
        <w:rPr>
          <w:rFonts w:ascii="Arial" w:eastAsia="Calibri" w:hAnsi="Arial" w:cs="Arial"/>
          <w:sz w:val="26"/>
          <w:szCs w:val="26"/>
        </w:rPr>
        <w:t xml:space="preserve">recurrente el </w:t>
      </w:r>
      <w:r>
        <w:rPr>
          <w:rFonts w:ascii="Arial" w:eastAsia="Calibri" w:hAnsi="Arial" w:cs="Arial"/>
          <w:sz w:val="26"/>
          <w:szCs w:val="26"/>
        </w:rPr>
        <w:t>dieciséis de octubre de dos mil diecinueve</w:t>
      </w:r>
      <w:r w:rsidRPr="00C34103">
        <w:rPr>
          <w:rFonts w:ascii="Arial" w:eastAsia="Calibri" w:hAnsi="Arial" w:cs="Arial"/>
          <w:sz w:val="26"/>
          <w:szCs w:val="26"/>
        </w:rPr>
        <w:t>,</w:t>
      </w:r>
      <w:r>
        <w:rPr>
          <w:rFonts w:ascii="Arial" w:eastAsia="Calibri" w:hAnsi="Arial" w:cs="Arial"/>
          <w:sz w:val="26"/>
          <w:szCs w:val="26"/>
        </w:rPr>
        <w:t xml:space="preserve"> y una vez sustanciado conforme a lo establecido en el artículo 237 de la Ley de Procedimiento y  Justicia Administrativa para el Estado de Oaxaca, fue remitido a la Secretaría General de Acuerdos de este Tribunal, para turnar a la Sala Superior para su </w:t>
      </w:r>
      <w:r w:rsidRPr="00C34103">
        <w:rPr>
          <w:rFonts w:ascii="Arial" w:eastAsia="Calibri" w:hAnsi="Arial" w:cs="Arial"/>
          <w:sz w:val="26"/>
          <w:szCs w:val="26"/>
        </w:rPr>
        <w:t>resolución</w:t>
      </w:r>
      <w:r>
        <w:rPr>
          <w:rFonts w:ascii="Arial" w:eastAsia="Calibri" w:hAnsi="Arial" w:cs="Arial"/>
          <w:sz w:val="26"/>
          <w:szCs w:val="26"/>
        </w:rPr>
        <w:t>,</w:t>
      </w:r>
      <w:r w:rsidR="00C46199">
        <w:rPr>
          <w:rFonts w:ascii="Arial" w:eastAsia="Calibri" w:hAnsi="Arial" w:cs="Arial"/>
          <w:sz w:val="26"/>
          <w:szCs w:val="26"/>
        </w:rPr>
        <w:t xml:space="preserve"> </w:t>
      </w:r>
      <w:r w:rsidRPr="00C34103">
        <w:rPr>
          <w:rFonts w:ascii="Arial" w:eastAsia="Calibri" w:hAnsi="Arial" w:cs="Arial"/>
          <w:sz w:val="26"/>
          <w:szCs w:val="26"/>
        </w:rPr>
        <w:t xml:space="preserve">el </w:t>
      </w:r>
      <w:r>
        <w:rPr>
          <w:rFonts w:ascii="Arial" w:eastAsia="Calibri" w:hAnsi="Arial" w:cs="Arial"/>
          <w:sz w:val="26"/>
          <w:szCs w:val="26"/>
        </w:rPr>
        <w:t>uno de junio de dos mil veintiuno</w:t>
      </w:r>
      <w:r w:rsidR="00C46199">
        <w:rPr>
          <w:rFonts w:ascii="Arial" w:eastAsia="Calibri" w:hAnsi="Arial" w:cs="Arial"/>
          <w:sz w:val="26"/>
          <w:szCs w:val="26"/>
        </w:rPr>
        <w:t xml:space="preserve"> </w:t>
      </w:r>
      <w:r w:rsidR="00C46199" w:rsidRPr="005A4D70">
        <w:rPr>
          <w:rFonts w:ascii="Arial" w:hAnsi="Arial" w:cs="Arial"/>
          <w:sz w:val="26"/>
          <w:szCs w:val="26"/>
        </w:rPr>
        <w:t>(</w:t>
      </w:r>
      <w:r w:rsidR="00C46199">
        <w:rPr>
          <w:rFonts w:ascii="Arial" w:hAnsi="Arial" w:cs="Arial"/>
          <w:sz w:val="26"/>
          <w:szCs w:val="26"/>
        </w:rPr>
        <w:t xml:space="preserve">después de siete </w:t>
      </w:r>
      <w:r w:rsidR="00C46199" w:rsidRPr="005A4D70">
        <w:rPr>
          <w:rFonts w:ascii="Arial" w:hAnsi="Arial" w:cs="Arial"/>
          <w:sz w:val="26"/>
          <w:szCs w:val="26"/>
        </w:rPr>
        <w:t xml:space="preserve">meses con </w:t>
      </w:r>
      <w:r w:rsidR="00C46199">
        <w:rPr>
          <w:rFonts w:ascii="Arial" w:hAnsi="Arial" w:cs="Arial"/>
          <w:sz w:val="26"/>
          <w:szCs w:val="26"/>
        </w:rPr>
        <w:t>diecinueve</w:t>
      </w:r>
      <w:r w:rsidR="00C46199" w:rsidRPr="005A4D70">
        <w:rPr>
          <w:rFonts w:ascii="Arial" w:hAnsi="Arial" w:cs="Arial"/>
          <w:sz w:val="26"/>
          <w:szCs w:val="26"/>
        </w:rPr>
        <w:t xml:space="preserve"> días)</w:t>
      </w:r>
      <w:r>
        <w:rPr>
          <w:rFonts w:ascii="Arial" w:eastAsia="Calibri" w:hAnsi="Arial" w:cs="Arial"/>
          <w:sz w:val="26"/>
          <w:szCs w:val="26"/>
        </w:rPr>
        <w:t>, lo que da como resultado, el retraso a la impartición de justicia y una franca violación a lo previsto en el artículo 17 de la Constitución Política de los Estados Unidos Mexicanos.</w:t>
      </w:r>
      <w:r w:rsidR="00167FA5">
        <w:rPr>
          <w:rFonts w:ascii="Arial" w:eastAsia="Calibri" w:hAnsi="Arial" w:cs="Arial"/>
          <w:sz w:val="26"/>
          <w:szCs w:val="26"/>
        </w:rPr>
        <w:t xml:space="preserve"> </w:t>
      </w:r>
      <w:r w:rsidR="00167FA5">
        <w:rPr>
          <w:rFonts w:ascii="Arial" w:hAnsi="Arial" w:cs="Arial"/>
          <w:bCs/>
          <w:iCs/>
          <w:sz w:val="26"/>
          <w:szCs w:val="26"/>
        </w:rPr>
        <w:t>- - - - - - - - - - - - -</w:t>
      </w:r>
      <w:r w:rsidR="00167FA5">
        <w:t xml:space="preserve"> </w:t>
      </w:r>
      <w:r w:rsidR="00167FA5">
        <w:rPr>
          <w:rFonts w:ascii="Arial" w:hAnsi="Arial" w:cs="Arial"/>
          <w:bCs/>
          <w:iCs/>
          <w:sz w:val="26"/>
          <w:szCs w:val="26"/>
        </w:rPr>
        <w:t>- - - - - - - - - - - - -</w:t>
      </w:r>
      <w:r w:rsidR="00167FA5">
        <w:t xml:space="preserve"> </w:t>
      </w:r>
      <w:r w:rsidR="00167FA5">
        <w:rPr>
          <w:rFonts w:ascii="Arial" w:hAnsi="Arial" w:cs="Arial"/>
          <w:bCs/>
          <w:iCs/>
          <w:sz w:val="26"/>
          <w:szCs w:val="26"/>
        </w:rPr>
        <w:t xml:space="preserve">- - - - - - - - - - - - </w:t>
      </w:r>
    </w:p>
    <w:p w14:paraId="4217CF33" w14:textId="02DB614F" w:rsidR="0099292D" w:rsidRPr="0099292D" w:rsidRDefault="00C30D7A" w:rsidP="0099292D">
      <w:pPr>
        <w:widowControl w:val="0"/>
        <w:autoSpaceDE w:val="0"/>
        <w:autoSpaceDN w:val="0"/>
        <w:adjustRightInd w:val="0"/>
        <w:spacing w:before="240" w:after="0" w:line="360" w:lineRule="auto"/>
        <w:ind w:firstLine="708"/>
        <w:jc w:val="both"/>
        <w:rPr>
          <w:rFonts w:ascii="Arial" w:eastAsiaTheme="minorHAnsi" w:hAnsi="Arial" w:cs="Arial"/>
          <w:sz w:val="26"/>
          <w:szCs w:val="26"/>
          <w:lang w:eastAsia="en-US"/>
        </w:rPr>
      </w:pPr>
      <w:r>
        <w:rPr>
          <w:rFonts w:ascii="Arial" w:eastAsiaTheme="minorHAnsi" w:hAnsi="Arial" w:cs="Arial"/>
          <w:bCs/>
          <w:sz w:val="26"/>
          <w:szCs w:val="26"/>
          <w:lang w:val="es-ES" w:eastAsia="en-US"/>
        </w:rPr>
        <w:t>A</w:t>
      </w:r>
      <w:r w:rsidR="0099292D">
        <w:rPr>
          <w:rFonts w:ascii="Arial" w:eastAsiaTheme="minorHAnsi" w:hAnsi="Arial" w:cs="Arial"/>
          <w:bCs/>
          <w:sz w:val="26"/>
          <w:szCs w:val="26"/>
          <w:lang w:val="es-ES" w:eastAsia="en-US"/>
        </w:rPr>
        <w:t xml:space="preserve">nte </w:t>
      </w:r>
      <w:r w:rsidR="0099292D" w:rsidRPr="0099292D">
        <w:rPr>
          <w:rFonts w:ascii="Arial" w:eastAsiaTheme="minorHAnsi" w:hAnsi="Arial" w:cs="Arial"/>
          <w:bCs/>
          <w:sz w:val="26"/>
          <w:szCs w:val="26"/>
          <w:lang w:val="es-ES" w:eastAsia="en-US"/>
        </w:rPr>
        <w:t xml:space="preserve">lo </w:t>
      </w:r>
      <w:r w:rsidR="0099292D">
        <w:rPr>
          <w:rFonts w:ascii="Arial" w:eastAsiaTheme="minorHAnsi" w:hAnsi="Arial" w:cs="Arial"/>
          <w:b/>
          <w:sz w:val="26"/>
          <w:szCs w:val="26"/>
          <w:lang w:val="es-ES" w:eastAsia="en-US"/>
        </w:rPr>
        <w:t xml:space="preserve">infundado e inoperante </w:t>
      </w:r>
      <w:r w:rsidR="0099292D">
        <w:rPr>
          <w:rFonts w:ascii="Arial" w:eastAsiaTheme="minorHAnsi" w:hAnsi="Arial" w:cs="Arial"/>
          <w:bCs/>
          <w:sz w:val="26"/>
          <w:szCs w:val="26"/>
          <w:lang w:val="es-ES" w:eastAsia="en-US"/>
        </w:rPr>
        <w:t xml:space="preserve">de los agravios planteados en el recurso de revisión, </w:t>
      </w:r>
      <w:r w:rsidR="0099292D" w:rsidRPr="0099292D">
        <w:rPr>
          <w:rFonts w:ascii="Arial" w:eastAsiaTheme="minorHAnsi" w:hAnsi="Arial" w:cs="Arial"/>
          <w:bCs/>
          <w:sz w:val="26"/>
          <w:szCs w:val="26"/>
          <w:lang w:val="es-ES" w:eastAsia="en-US"/>
        </w:rPr>
        <w:t xml:space="preserve">lo procedente es </w:t>
      </w:r>
      <w:r w:rsidR="008F6A0D" w:rsidRPr="0099292D">
        <w:rPr>
          <w:rFonts w:ascii="Arial" w:eastAsiaTheme="minorHAnsi" w:hAnsi="Arial" w:cs="Arial"/>
          <w:b/>
          <w:bCs/>
          <w:sz w:val="26"/>
          <w:szCs w:val="26"/>
          <w:lang w:val="es-ES" w:eastAsia="en-US"/>
        </w:rPr>
        <w:t>confirmar</w:t>
      </w:r>
      <w:r w:rsidR="0099292D" w:rsidRPr="0099292D">
        <w:rPr>
          <w:rFonts w:ascii="Arial" w:eastAsiaTheme="minorHAnsi" w:hAnsi="Arial" w:cs="Arial"/>
          <w:b/>
          <w:bCs/>
          <w:sz w:val="26"/>
          <w:szCs w:val="26"/>
          <w:lang w:val="es-ES" w:eastAsia="en-US"/>
        </w:rPr>
        <w:t xml:space="preserve"> </w:t>
      </w:r>
      <w:r w:rsidR="0099292D" w:rsidRPr="0099292D">
        <w:rPr>
          <w:rFonts w:ascii="Arial" w:eastAsiaTheme="minorHAnsi" w:hAnsi="Arial" w:cs="Arial"/>
          <w:bCs/>
          <w:sz w:val="26"/>
          <w:szCs w:val="26"/>
          <w:lang w:val="es-ES" w:eastAsia="en-US"/>
        </w:rPr>
        <w:t>la sentencia recurrida</w:t>
      </w:r>
      <w:r w:rsidR="0099292D">
        <w:rPr>
          <w:rFonts w:ascii="Arial" w:eastAsiaTheme="minorHAnsi" w:hAnsi="Arial" w:cs="Arial"/>
          <w:bCs/>
          <w:sz w:val="26"/>
          <w:szCs w:val="26"/>
          <w:lang w:val="es-ES" w:eastAsia="en-US"/>
        </w:rPr>
        <w:t xml:space="preserve">, en consecuencia, </w:t>
      </w:r>
      <w:r w:rsidR="0099292D" w:rsidRPr="0099292D">
        <w:rPr>
          <w:rFonts w:ascii="Arial" w:eastAsiaTheme="minorHAnsi" w:hAnsi="Arial" w:cs="Arial"/>
          <w:sz w:val="26"/>
          <w:szCs w:val="26"/>
          <w:lang w:val="es-ES" w:eastAsia="en-US"/>
        </w:rPr>
        <w:t>con fundamento en los artículos 237 y 238 de la Ley de Procedimiento y Justicia Administrativa para el Estado de Oaxaca, se</w:t>
      </w:r>
      <w:r w:rsidR="0099292D" w:rsidRPr="0099292D">
        <w:rPr>
          <w:rFonts w:ascii="Arial" w:eastAsiaTheme="minorHAnsi" w:hAnsi="Arial" w:cs="Arial"/>
          <w:sz w:val="26"/>
          <w:szCs w:val="26"/>
          <w:lang w:eastAsia="en-US"/>
        </w:rPr>
        <w:t>:</w:t>
      </w:r>
      <w:r w:rsidR="00A53CC9">
        <w:rPr>
          <w:rFonts w:ascii="Arial" w:eastAsiaTheme="minorHAnsi" w:hAnsi="Arial" w:cs="Arial"/>
          <w:sz w:val="26"/>
          <w:szCs w:val="26"/>
          <w:lang w:eastAsia="en-US"/>
        </w:rPr>
        <w:t xml:space="preserve"> </w:t>
      </w:r>
      <w:r w:rsidR="00A53CC9">
        <w:rPr>
          <w:rFonts w:ascii="Arial" w:hAnsi="Arial" w:cs="Arial"/>
          <w:bCs/>
          <w:iCs/>
          <w:sz w:val="26"/>
          <w:szCs w:val="26"/>
        </w:rPr>
        <w:t xml:space="preserve">- - - - - - - - - - - - - - - - - - - - - - - - - - - - - - - - - - - - - - - - - - - - - - - - - - </w:t>
      </w:r>
    </w:p>
    <w:p w14:paraId="206E0FB1" w14:textId="77777777" w:rsidR="002A5A74" w:rsidRPr="00F5519E" w:rsidRDefault="002A5A74" w:rsidP="002A5A74">
      <w:pPr>
        <w:spacing w:before="240" w:after="0" w:line="360" w:lineRule="auto"/>
        <w:jc w:val="center"/>
        <w:rPr>
          <w:rFonts w:ascii="Arial" w:hAnsi="Arial" w:cs="Arial"/>
          <w:b/>
          <w:sz w:val="26"/>
          <w:szCs w:val="26"/>
          <w:lang w:val="es-ES"/>
        </w:rPr>
      </w:pPr>
      <w:r w:rsidRPr="00F5519E">
        <w:rPr>
          <w:rFonts w:ascii="Arial" w:hAnsi="Arial" w:cs="Arial"/>
          <w:b/>
          <w:sz w:val="26"/>
          <w:szCs w:val="26"/>
          <w:lang w:val="es-ES"/>
        </w:rPr>
        <w:lastRenderedPageBreak/>
        <w:t>R E S U E L V E</w:t>
      </w:r>
    </w:p>
    <w:p w14:paraId="395CC80D" w14:textId="4FEEE576" w:rsidR="002A5A74" w:rsidRDefault="002A5A74" w:rsidP="002A5A74">
      <w:pPr>
        <w:spacing w:before="240" w:after="0" w:line="360" w:lineRule="auto"/>
        <w:ind w:firstLine="708"/>
        <w:jc w:val="both"/>
        <w:rPr>
          <w:rFonts w:ascii="Arial" w:hAnsi="Arial" w:cs="Arial"/>
          <w:color w:val="000000"/>
          <w:sz w:val="26"/>
          <w:szCs w:val="26"/>
        </w:rPr>
      </w:pPr>
      <w:r>
        <w:rPr>
          <w:rFonts w:ascii="Arial" w:hAnsi="Arial" w:cs="Arial"/>
          <w:b/>
          <w:color w:val="000000"/>
          <w:sz w:val="26"/>
          <w:szCs w:val="26"/>
          <w:lang w:val="es-ES"/>
        </w:rPr>
        <w:t>PRIMERO</w:t>
      </w:r>
      <w:r>
        <w:rPr>
          <w:rFonts w:ascii="Arial" w:hAnsi="Arial" w:cs="Arial"/>
          <w:color w:val="000000"/>
          <w:sz w:val="26"/>
          <w:szCs w:val="26"/>
          <w:lang w:val="es-ES"/>
        </w:rPr>
        <w:t xml:space="preserve">. </w:t>
      </w:r>
      <w:r>
        <w:rPr>
          <w:rFonts w:ascii="Arial" w:hAnsi="Arial" w:cs="Arial"/>
          <w:color w:val="000000"/>
          <w:sz w:val="26"/>
          <w:szCs w:val="26"/>
        </w:rPr>
        <w:t xml:space="preserve">Se </w:t>
      </w:r>
      <w:r w:rsidR="000904CA">
        <w:rPr>
          <w:rFonts w:ascii="Arial" w:hAnsi="Arial" w:cs="Arial"/>
          <w:b/>
          <w:color w:val="000000"/>
          <w:sz w:val="26"/>
          <w:szCs w:val="26"/>
        </w:rPr>
        <w:t>CONFIRMA</w:t>
      </w:r>
      <w:r w:rsidR="008F6A0D">
        <w:rPr>
          <w:rFonts w:ascii="Arial" w:hAnsi="Arial" w:cs="Arial"/>
          <w:b/>
          <w:color w:val="000000"/>
          <w:sz w:val="26"/>
          <w:szCs w:val="26"/>
        </w:rPr>
        <w:t xml:space="preserve"> </w:t>
      </w:r>
      <w:r w:rsidR="008F6A0D" w:rsidRPr="0099292D">
        <w:rPr>
          <w:rFonts w:ascii="Arial" w:hAnsi="Arial" w:cs="Arial"/>
          <w:bCs/>
          <w:color w:val="000000"/>
          <w:sz w:val="26"/>
          <w:szCs w:val="26"/>
        </w:rPr>
        <w:t>l</w:t>
      </w:r>
      <w:r>
        <w:rPr>
          <w:rFonts w:ascii="Arial" w:hAnsi="Arial" w:cs="Arial"/>
          <w:color w:val="000000"/>
          <w:sz w:val="26"/>
          <w:szCs w:val="26"/>
        </w:rPr>
        <w:t xml:space="preserve">a sentencia recurrida, por las razones expuestas </w:t>
      </w:r>
      <w:r w:rsidR="0099292D">
        <w:rPr>
          <w:rFonts w:ascii="Arial" w:hAnsi="Arial" w:cs="Arial"/>
          <w:color w:val="000000"/>
          <w:sz w:val="26"/>
          <w:szCs w:val="26"/>
        </w:rPr>
        <w:t>en el considerando que antecede</w:t>
      </w:r>
      <w:r>
        <w:rPr>
          <w:rFonts w:ascii="Arial" w:hAnsi="Arial" w:cs="Arial"/>
          <w:color w:val="000000"/>
          <w:sz w:val="26"/>
          <w:szCs w:val="26"/>
        </w:rPr>
        <w:t>. - - - - - - - - - - - - - - - - - - -</w:t>
      </w:r>
      <w:r w:rsidR="0099292D">
        <w:rPr>
          <w:rFonts w:ascii="Arial" w:hAnsi="Arial" w:cs="Arial"/>
          <w:color w:val="000000"/>
          <w:sz w:val="26"/>
          <w:szCs w:val="26"/>
        </w:rPr>
        <w:t xml:space="preserve"> </w:t>
      </w:r>
    </w:p>
    <w:p w14:paraId="4A884F9F" w14:textId="5AB25409" w:rsidR="00E349E3" w:rsidRPr="00E349E3" w:rsidRDefault="00E349E3" w:rsidP="002F2DB7">
      <w:pPr>
        <w:spacing w:before="240" w:line="360" w:lineRule="auto"/>
        <w:ind w:firstLine="708"/>
        <w:jc w:val="both"/>
        <w:rPr>
          <w:rFonts w:ascii="Arial" w:eastAsiaTheme="minorHAnsi" w:hAnsi="Arial" w:cs="Arial"/>
          <w:sz w:val="26"/>
          <w:szCs w:val="26"/>
          <w:lang w:eastAsia="en-US"/>
        </w:rPr>
      </w:pPr>
      <w:r w:rsidRPr="00E349E3">
        <w:rPr>
          <w:rFonts w:ascii="Arial" w:eastAsiaTheme="minorHAnsi" w:hAnsi="Arial" w:cs="Arial"/>
          <w:b/>
          <w:bCs/>
          <w:sz w:val="26"/>
          <w:szCs w:val="26"/>
          <w:lang w:val="es-ES" w:eastAsia="en-US"/>
        </w:rPr>
        <w:t>SEGUNDO.</w:t>
      </w:r>
      <w:r w:rsidRPr="00E349E3">
        <w:rPr>
          <w:rFonts w:ascii="Arial" w:eastAsiaTheme="minorHAnsi" w:hAnsi="Arial" w:cs="Arial"/>
          <w:bCs/>
          <w:sz w:val="26"/>
          <w:szCs w:val="26"/>
          <w:lang w:val="es-ES" w:eastAsia="en-US"/>
        </w:rPr>
        <w:t xml:space="preserve"> </w:t>
      </w:r>
      <w:r w:rsidR="000904CA" w:rsidRPr="00C46199">
        <w:rPr>
          <w:rFonts w:ascii="Arial" w:eastAsiaTheme="minorHAnsi" w:hAnsi="Arial" w:cs="Arial"/>
          <w:b/>
          <w:sz w:val="26"/>
          <w:szCs w:val="26"/>
          <w:lang w:val="es-ES" w:eastAsia="en-US"/>
        </w:rPr>
        <w:t>N</w:t>
      </w:r>
      <w:r w:rsidR="000904CA">
        <w:rPr>
          <w:rFonts w:ascii="Arial" w:eastAsiaTheme="minorHAnsi" w:hAnsi="Arial" w:cs="Arial"/>
          <w:b/>
          <w:sz w:val="26"/>
          <w:szCs w:val="26"/>
          <w:lang w:val="es-ES" w:eastAsia="en-US"/>
        </w:rPr>
        <w:t xml:space="preserve">OTIFÍQUESE </w:t>
      </w:r>
      <w:r w:rsidR="000904CA" w:rsidRPr="00E349E3">
        <w:rPr>
          <w:rFonts w:ascii="Arial" w:eastAsiaTheme="minorHAnsi" w:hAnsi="Arial" w:cs="Arial"/>
          <w:b/>
          <w:sz w:val="26"/>
          <w:szCs w:val="26"/>
          <w:lang w:eastAsia="en-US"/>
        </w:rPr>
        <w:t>Y CÚMPLASE</w:t>
      </w:r>
      <w:r w:rsidRPr="00E349E3">
        <w:rPr>
          <w:rFonts w:ascii="Arial" w:eastAsiaTheme="minorHAnsi" w:hAnsi="Arial" w:cs="Arial"/>
          <w:b/>
          <w:sz w:val="26"/>
          <w:szCs w:val="26"/>
          <w:lang w:eastAsia="en-US"/>
        </w:rPr>
        <w:t>,</w:t>
      </w:r>
      <w:r w:rsidRPr="00E349E3">
        <w:rPr>
          <w:rFonts w:ascii="Arial" w:eastAsiaTheme="minorHAnsi" w:hAnsi="Arial" w:cs="Arial"/>
          <w:sz w:val="26"/>
          <w:szCs w:val="26"/>
          <w:lang w:eastAsia="en-US"/>
        </w:rPr>
        <w:t xml:space="preserve"> remítase copia certificada de la presente resolución a la </w:t>
      </w:r>
      <w:r w:rsidR="002F2DB7">
        <w:rPr>
          <w:rFonts w:ascii="Arial" w:eastAsiaTheme="minorHAnsi" w:hAnsi="Arial" w:cs="Arial"/>
          <w:sz w:val="26"/>
          <w:szCs w:val="26"/>
          <w:lang w:eastAsia="en-US"/>
        </w:rPr>
        <w:t>s</w:t>
      </w:r>
      <w:r w:rsidRPr="00E349E3">
        <w:rPr>
          <w:rFonts w:ascii="Arial" w:eastAsiaTheme="minorHAnsi" w:hAnsi="Arial" w:cs="Arial"/>
          <w:sz w:val="26"/>
          <w:szCs w:val="26"/>
          <w:lang w:eastAsia="en-US"/>
        </w:rPr>
        <w:t>ala de origen para los efectos legales a que haya lugar</w:t>
      </w:r>
      <w:r w:rsidR="002F2DB7">
        <w:rPr>
          <w:rFonts w:ascii="Arial" w:eastAsiaTheme="minorHAnsi" w:hAnsi="Arial" w:cs="Arial"/>
          <w:sz w:val="26"/>
          <w:szCs w:val="26"/>
          <w:lang w:eastAsia="en-US"/>
        </w:rPr>
        <w:t>;</w:t>
      </w:r>
      <w:r w:rsidRPr="00E349E3">
        <w:rPr>
          <w:rFonts w:ascii="Arial" w:eastAsiaTheme="minorHAnsi" w:hAnsi="Arial" w:cs="Arial"/>
          <w:sz w:val="26"/>
          <w:szCs w:val="26"/>
          <w:lang w:eastAsia="en-US"/>
        </w:rPr>
        <w:t xml:space="preserve"> en su oportunidad archívese el presente cuaderno de revisión como asunto concluido. - - - - -  - - - - - - - - - - - - - - </w:t>
      </w:r>
      <w:r w:rsidR="004977F8">
        <w:rPr>
          <w:rFonts w:ascii="Arial" w:eastAsiaTheme="minorHAnsi" w:hAnsi="Arial" w:cs="Arial"/>
          <w:sz w:val="26"/>
          <w:szCs w:val="26"/>
          <w:lang w:eastAsia="en-US"/>
        </w:rPr>
        <w:t xml:space="preserve"> </w:t>
      </w:r>
    </w:p>
    <w:p w14:paraId="487F1D4B" w14:textId="5122E98C" w:rsidR="002A5A74" w:rsidRDefault="002F2DB7" w:rsidP="002A5A74">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3D29CF">
        <w:rPr>
          <w:rFonts w:ascii="Arial" w:hAnsi="Arial" w:cs="Arial"/>
          <w:sz w:val="26"/>
          <w:szCs w:val="26"/>
        </w:rPr>
        <w:t xml:space="preserve">  Así p</w:t>
      </w:r>
      <w:r w:rsidR="002A5A74">
        <w:rPr>
          <w:rFonts w:ascii="Arial" w:hAnsi="Arial" w:cs="Arial"/>
          <w:sz w:val="26"/>
          <w:szCs w:val="26"/>
        </w:rPr>
        <w:t xml:space="preserve">or unanimidad de votos, lo resolvieron y firmaron los Magistrados integrantes de la Sala Superior, Manuel Velasco Alcántara </w:t>
      </w:r>
      <w:r w:rsidR="002A5A74">
        <w:rPr>
          <w:rFonts w:ascii="Arial" w:hAnsi="Arial" w:cs="Arial"/>
          <w:b/>
          <w:bCs/>
          <w:sz w:val="26"/>
          <w:szCs w:val="26"/>
        </w:rPr>
        <w:t>(ponente)</w:t>
      </w:r>
      <w:r w:rsidR="002A5A74">
        <w:rPr>
          <w:rFonts w:ascii="Arial" w:hAnsi="Arial" w:cs="Arial"/>
          <w:sz w:val="26"/>
          <w:szCs w:val="26"/>
        </w:rPr>
        <w:t>, Abraham Santiago Soriano, Raúl Palomares Palomino, Gloria del Carmen Camacho Meza</w:t>
      </w:r>
      <w:r w:rsidR="00484A74">
        <w:rPr>
          <w:rFonts w:ascii="Arial" w:hAnsi="Arial" w:cs="Arial"/>
          <w:sz w:val="26"/>
          <w:szCs w:val="26"/>
        </w:rPr>
        <w:t xml:space="preserve"> y</w:t>
      </w:r>
      <w:r w:rsidR="002A5A74">
        <w:rPr>
          <w:rFonts w:ascii="Arial" w:hAnsi="Arial" w:cs="Arial"/>
          <w:sz w:val="26"/>
          <w:szCs w:val="26"/>
        </w:rPr>
        <w:t xml:space="preserve"> Paulo José Luis Tapia Palacios, quienes actúan con el Licenciado Juan Edy García Coronado, Secretario General de Acuerdos de este Tribunal, que autoriza y da fe. - - - - - - - - - </w:t>
      </w:r>
    </w:p>
    <w:p w14:paraId="09DA6756" w14:textId="43EEFBC9" w:rsidR="003D29CF" w:rsidRDefault="003D29CF" w:rsidP="004977F8">
      <w:pPr>
        <w:spacing w:line="360" w:lineRule="auto"/>
        <w:rPr>
          <w:rFonts w:ascii="Arial" w:hAnsi="Arial" w:cs="Arial"/>
          <w:sz w:val="26"/>
          <w:szCs w:val="26"/>
        </w:rPr>
      </w:pPr>
    </w:p>
    <w:p w14:paraId="1132990E" w14:textId="77777777" w:rsidR="003D29CF" w:rsidRDefault="003D29CF" w:rsidP="002A5A74">
      <w:pPr>
        <w:spacing w:line="360" w:lineRule="auto"/>
        <w:jc w:val="center"/>
        <w:rPr>
          <w:rFonts w:ascii="Arial" w:hAnsi="Arial" w:cs="Arial"/>
          <w:sz w:val="26"/>
          <w:szCs w:val="26"/>
        </w:rPr>
      </w:pPr>
    </w:p>
    <w:p w14:paraId="6EB32F2D" w14:textId="77777777" w:rsidR="002A5A74" w:rsidRPr="004977F8" w:rsidRDefault="002A5A74" w:rsidP="004977F8">
      <w:pPr>
        <w:pStyle w:val="Sinespaciado"/>
        <w:jc w:val="center"/>
        <w:rPr>
          <w:rFonts w:ascii="Arial" w:hAnsi="Arial" w:cs="Arial"/>
          <w:sz w:val="26"/>
          <w:szCs w:val="26"/>
        </w:rPr>
      </w:pPr>
      <w:r w:rsidRPr="004977F8">
        <w:rPr>
          <w:rFonts w:ascii="Arial" w:hAnsi="Arial" w:cs="Arial"/>
          <w:sz w:val="26"/>
          <w:szCs w:val="26"/>
        </w:rPr>
        <w:t>MAGISTRADO MANUEL VELASCO ALCÁNTARA</w:t>
      </w:r>
    </w:p>
    <w:p w14:paraId="24A5A2D1" w14:textId="239BC964" w:rsidR="002A5A74" w:rsidRPr="004977F8" w:rsidRDefault="003D29CF" w:rsidP="004977F8">
      <w:pPr>
        <w:pStyle w:val="Sinespaciado"/>
        <w:jc w:val="center"/>
        <w:rPr>
          <w:rFonts w:ascii="Arial" w:hAnsi="Arial" w:cs="Arial"/>
          <w:sz w:val="26"/>
          <w:szCs w:val="26"/>
        </w:rPr>
      </w:pPr>
      <w:r w:rsidRPr="004977F8">
        <w:rPr>
          <w:rFonts w:ascii="Arial" w:hAnsi="Arial" w:cs="Arial"/>
          <w:sz w:val="26"/>
          <w:szCs w:val="26"/>
        </w:rPr>
        <w:t>(</w:t>
      </w:r>
      <w:r w:rsidR="002A5A74" w:rsidRPr="004977F8">
        <w:rPr>
          <w:rFonts w:ascii="Arial" w:hAnsi="Arial" w:cs="Arial"/>
          <w:sz w:val="26"/>
          <w:szCs w:val="26"/>
        </w:rPr>
        <w:t>PRESIDENTE</w:t>
      </w:r>
      <w:r w:rsidR="004977F8" w:rsidRPr="004977F8">
        <w:rPr>
          <w:rFonts w:ascii="Arial" w:hAnsi="Arial" w:cs="Arial"/>
          <w:sz w:val="26"/>
          <w:szCs w:val="26"/>
        </w:rPr>
        <w:t>)</w:t>
      </w:r>
    </w:p>
    <w:p w14:paraId="2792FF4B" w14:textId="4D58A0C2" w:rsidR="003D29CF" w:rsidRDefault="003D29CF" w:rsidP="002A5A74">
      <w:pPr>
        <w:tabs>
          <w:tab w:val="center" w:pos="4135"/>
          <w:tab w:val="left" w:pos="7515"/>
        </w:tabs>
        <w:spacing w:line="360" w:lineRule="auto"/>
        <w:jc w:val="center"/>
        <w:rPr>
          <w:rFonts w:ascii="Arial" w:hAnsi="Arial" w:cs="Arial"/>
          <w:sz w:val="26"/>
          <w:szCs w:val="26"/>
        </w:rPr>
      </w:pPr>
    </w:p>
    <w:p w14:paraId="5C1C1B60" w14:textId="4FECEB05" w:rsidR="003D29CF" w:rsidRDefault="003D29CF" w:rsidP="002A5A74">
      <w:pPr>
        <w:tabs>
          <w:tab w:val="center" w:pos="4135"/>
          <w:tab w:val="left" w:pos="7515"/>
        </w:tabs>
        <w:spacing w:line="360" w:lineRule="auto"/>
        <w:jc w:val="center"/>
        <w:rPr>
          <w:rFonts w:ascii="Arial" w:hAnsi="Arial" w:cs="Arial"/>
          <w:sz w:val="26"/>
          <w:szCs w:val="26"/>
        </w:rPr>
      </w:pPr>
    </w:p>
    <w:p w14:paraId="4F010D1C" w14:textId="77777777" w:rsidR="004977F8" w:rsidRDefault="004977F8" w:rsidP="002A5A74">
      <w:pPr>
        <w:tabs>
          <w:tab w:val="center" w:pos="4135"/>
          <w:tab w:val="left" w:pos="7515"/>
        </w:tabs>
        <w:spacing w:line="360" w:lineRule="auto"/>
        <w:jc w:val="center"/>
        <w:rPr>
          <w:rFonts w:ascii="Arial" w:hAnsi="Arial" w:cs="Arial"/>
          <w:sz w:val="26"/>
          <w:szCs w:val="26"/>
        </w:rPr>
      </w:pPr>
    </w:p>
    <w:p w14:paraId="086AF207" w14:textId="77777777" w:rsidR="003D29CF" w:rsidRDefault="003D29CF" w:rsidP="002A5A74">
      <w:pPr>
        <w:tabs>
          <w:tab w:val="center" w:pos="4135"/>
          <w:tab w:val="left" w:pos="7515"/>
        </w:tabs>
        <w:spacing w:line="360" w:lineRule="auto"/>
        <w:jc w:val="center"/>
        <w:rPr>
          <w:rFonts w:ascii="Arial" w:hAnsi="Arial" w:cs="Arial"/>
          <w:sz w:val="26"/>
          <w:szCs w:val="26"/>
        </w:rPr>
      </w:pPr>
    </w:p>
    <w:p w14:paraId="0163F3F0" w14:textId="3D53171B" w:rsidR="002A5A74" w:rsidRDefault="002A5A74" w:rsidP="002A5A7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7AA297F" w14:textId="09D3B650" w:rsidR="003D29CF" w:rsidRDefault="003D29CF" w:rsidP="002A5A74">
      <w:pPr>
        <w:tabs>
          <w:tab w:val="center" w:pos="4135"/>
          <w:tab w:val="left" w:pos="7515"/>
        </w:tabs>
        <w:spacing w:line="360" w:lineRule="auto"/>
        <w:jc w:val="center"/>
        <w:rPr>
          <w:rFonts w:ascii="Arial" w:hAnsi="Arial" w:cs="Arial"/>
          <w:sz w:val="26"/>
          <w:szCs w:val="26"/>
        </w:rPr>
      </w:pPr>
    </w:p>
    <w:p w14:paraId="1A05BE48" w14:textId="7660D365" w:rsidR="003D29CF" w:rsidRDefault="003D29CF" w:rsidP="002A5A74">
      <w:pPr>
        <w:tabs>
          <w:tab w:val="center" w:pos="4135"/>
          <w:tab w:val="left" w:pos="7515"/>
        </w:tabs>
        <w:spacing w:line="360" w:lineRule="auto"/>
        <w:jc w:val="center"/>
        <w:rPr>
          <w:rFonts w:ascii="Arial" w:hAnsi="Arial" w:cs="Arial"/>
          <w:sz w:val="26"/>
          <w:szCs w:val="26"/>
        </w:rPr>
      </w:pPr>
    </w:p>
    <w:p w14:paraId="7B9ABCEE" w14:textId="77777777" w:rsidR="004977F8" w:rsidRDefault="004977F8" w:rsidP="002A5A74">
      <w:pPr>
        <w:tabs>
          <w:tab w:val="center" w:pos="4135"/>
          <w:tab w:val="left" w:pos="7515"/>
        </w:tabs>
        <w:spacing w:line="360" w:lineRule="auto"/>
        <w:jc w:val="center"/>
        <w:rPr>
          <w:rFonts w:ascii="Arial" w:hAnsi="Arial" w:cs="Arial"/>
          <w:sz w:val="26"/>
          <w:szCs w:val="26"/>
        </w:rPr>
      </w:pPr>
    </w:p>
    <w:p w14:paraId="1B180CFF" w14:textId="77777777" w:rsidR="003D29CF" w:rsidRDefault="003D29CF" w:rsidP="002A5A74">
      <w:pPr>
        <w:tabs>
          <w:tab w:val="center" w:pos="4135"/>
          <w:tab w:val="left" w:pos="7515"/>
        </w:tabs>
        <w:spacing w:line="360" w:lineRule="auto"/>
        <w:jc w:val="center"/>
        <w:rPr>
          <w:rFonts w:ascii="Arial" w:hAnsi="Arial" w:cs="Arial"/>
          <w:sz w:val="26"/>
          <w:szCs w:val="26"/>
        </w:rPr>
      </w:pPr>
    </w:p>
    <w:p w14:paraId="616455C9" w14:textId="04B76031" w:rsidR="002A5A74" w:rsidRDefault="002A5A74" w:rsidP="002A5A7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723EA4FC" w14:textId="77777777" w:rsidR="004977F8" w:rsidRDefault="004977F8" w:rsidP="003D29CF">
      <w:pPr>
        <w:tabs>
          <w:tab w:val="center" w:pos="4135"/>
          <w:tab w:val="left" w:pos="7515"/>
        </w:tabs>
        <w:spacing w:line="360" w:lineRule="auto"/>
        <w:rPr>
          <w:rFonts w:ascii="Arial" w:hAnsi="Arial" w:cs="Arial"/>
          <w:b/>
          <w:bCs/>
          <w:sz w:val="20"/>
          <w:szCs w:val="20"/>
        </w:rPr>
      </w:pPr>
    </w:p>
    <w:p w14:paraId="09F1EB35" w14:textId="684C3C2C" w:rsidR="003D29CF" w:rsidRPr="004977F8" w:rsidRDefault="004977F8" w:rsidP="003D29CF">
      <w:pPr>
        <w:tabs>
          <w:tab w:val="center" w:pos="4135"/>
          <w:tab w:val="left" w:pos="7515"/>
        </w:tabs>
        <w:spacing w:line="360" w:lineRule="auto"/>
        <w:rPr>
          <w:rFonts w:ascii="Arial" w:hAnsi="Arial" w:cs="Arial"/>
          <w:b/>
          <w:bCs/>
          <w:sz w:val="20"/>
          <w:szCs w:val="20"/>
        </w:rPr>
      </w:pPr>
      <w:r w:rsidRPr="004977F8">
        <w:rPr>
          <w:rFonts w:ascii="Arial" w:hAnsi="Arial" w:cs="Arial"/>
          <w:b/>
          <w:bCs/>
          <w:sz w:val="20"/>
          <w:szCs w:val="20"/>
        </w:rPr>
        <w:t xml:space="preserve">LAS PRESENTES FIRMAS CORRESPONDEN AL RECURSO DE REVISIÓN </w:t>
      </w:r>
      <w:r>
        <w:rPr>
          <w:rFonts w:ascii="Arial" w:hAnsi="Arial" w:cs="Arial"/>
          <w:b/>
          <w:bCs/>
          <w:sz w:val="20"/>
          <w:szCs w:val="20"/>
        </w:rPr>
        <w:t>0</w:t>
      </w:r>
      <w:r w:rsidRPr="004977F8">
        <w:rPr>
          <w:rFonts w:ascii="Arial" w:hAnsi="Arial" w:cs="Arial"/>
          <w:b/>
          <w:bCs/>
          <w:sz w:val="20"/>
          <w:szCs w:val="20"/>
        </w:rPr>
        <w:t>370/2019</w:t>
      </w:r>
    </w:p>
    <w:p w14:paraId="6D35A726" w14:textId="3E5A3CA3" w:rsidR="003D29CF" w:rsidRDefault="003D29CF" w:rsidP="003D29CF">
      <w:pPr>
        <w:tabs>
          <w:tab w:val="center" w:pos="4135"/>
          <w:tab w:val="left" w:pos="7515"/>
        </w:tabs>
        <w:spacing w:line="360" w:lineRule="auto"/>
        <w:rPr>
          <w:rFonts w:ascii="Arial" w:hAnsi="Arial" w:cs="Arial"/>
          <w:sz w:val="26"/>
          <w:szCs w:val="26"/>
        </w:rPr>
      </w:pPr>
    </w:p>
    <w:p w14:paraId="26D51F58" w14:textId="59203C8C" w:rsidR="003D29CF" w:rsidRDefault="003D29CF" w:rsidP="003D29CF">
      <w:pPr>
        <w:tabs>
          <w:tab w:val="center" w:pos="4135"/>
          <w:tab w:val="left" w:pos="7515"/>
        </w:tabs>
        <w:spacing w:line="360" w:lineRule="auto"/>
        <w:rPr>
          <w:rFonts w:ascii="Arial" w:hAnsi="Arial" w:cs="Arial"/>
          <w:sz w:val="26"/>
          <w:szCs w:val="26"/>
        </w:rPr>
      </w:pPr>
    </w:p>
    <w:p w14:paraId="44BFAEEF" w14:textId="77777777" w:rsidR="003D29CF" w:rsidRDefault="003D29CF" w:rsidP="003D29CF">
      <w:pPr>
        <w:tabs>
          <w:tab w:val="center" w:pos="4135"/>
          <w:tab w:val="left" w:pos="7515"/>
        </w:tabs>
        <w:spacing w:line="360" w:lineRule="auto"/>
        <w:rPr>
          <w:rFonts w:ascii="Arial" w:hAnsi="Arial" w:cs="Arial"/>
          <w:sz w:val="26"/>
          <w:szCs w:val="26"/>
        </w:rPr>
      </w:pPr>
    </w:p>
    <w:p w14:paraId="3E2C48BB" w14:textId="77777777" w:rsidR="003D29CF" w:rsidRDefault="003D29CF" w:rsidP="002A5A74">
      <w:pPr>
        <w:tabs>
          <w:tab w:val="center" w:pos="4135"/>
          <w:tab w:val="left" w:pos="7515"/>
        </w:tabs>
        <w:spacing w:line="360" w:lineRule="auto"/>
        <w:jc w:val="center"/>
        <w:rPr>
          <w:rFonts w:ascii="Arial" w:hAnsi="Arial" w:cs="Arial"/>
          <w:sz w:val="26"/>
          <w:szCs w:val="26"/>
        </w:rPr>
      </w:pPr>
    </w:p>
    <w:p w14:paraId="540431D9" w14:textId="77777777" w:rsidR="002A5A74" w:rsidRDefault="002A5A74" w:rsidP="002A5A7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6BD77A6" w14:textId="77777777" w:rsidR="003D29CF" w:rsidRDefault="003D29CF" w:rsidP="002A5A74">
      <w:pPr>
        <w:tabs>
          <w:tab w:val="left" w:pos="1925"/>
          <w:tab w:val="center" w:pos="4135"/>
        </w:tabs>
        <w:jc w:val="center"/>
        <w:rPr>
          <w:rFonts w:ascii="Arial" w:hAnsi="Arial" w:cs="Arial"/>
          <w:sz w:val="26"/>
          <w:szCs w:val="26"/>
        </w:rPr>
      </w:pPr>
    </w:p>
    <w:p w14:paraId="7DAE5DF1" w14:textId="77777777" w:rsidR="003D29CF" w:rsidRDefault="003D29CF" w:rsidP="002A5A74">
      <w:pPr>
        <w:tabs>
          <w:tab w:val="left" w:pos="1925"/>
          <w:tab w:val="center" w:pos="4135"/>
        </w:tabs>
        <w:jc w:val="center"/>
        <w:rPr>
          <w:rFonts w:ascii="Arial" w:hAnsi="Arial" w:cs="Arial"/>
          <w:sz w:val="26"/>
          <w:szCs w:val="26"/>
        </w:rPr>
      </w:pPr>
    </w:p>
    <w:p w14:paraId="0F80C713" w14:textId="77777777" w:rsidR="003D29CF" w:rsidRDefault="003D29CF" w:rsidP="002A5A74">
      <w:pPr>
        <w:tabs>
          <w:tab w:val="left" w:pos="1925"/>
          <w:tab w:val="center" w:pos="4135"/>
        </w:tabs>
        <w:jc w:val="center"/>
        <w:rPr>
          <w:rFonts w:ascii="Arial" w:hAnsi="Arial" w:cs="Arial"/>
          <w:sz w:val="26"/>
          <w:szCs w:val="26"/>
        </w:rPr>
      </w:pPr>
    </w:p>
    <w:p w14:paraId="5404C30E" w14:textId="2556D6F2" w:rsidR="002A5A74" w:rsidRDefault="002A5A74" w:rsidP="002A5A7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5BBC4FB" w14:textId="5A61F07A" w:rsidR="002A5A74" w:rsidRDefault="002A5A74" w:rsidP="002A5A74">
      <w:pPr>
        <w:tabs>
          <w:tab w:val="left" w:pos="1925"/>
          <w:tab w:val="center" w:pos="4135"/>
        </w:tabs>
        <w:jc w:val="center"/>
        <w:rPr>
          <w:rFonts w:ascii="Arial" w:hAnsi="Arial" w:cs="Arial"/>
          <w:sz w:val="26"/>
          <w:szCs w:val="26"/>
        </w:rPr>
      </w:pPr>
    </w:p>
    <w:p w14:paraId="7A536A95" w14:textId="23C0163A" w:rsidR="003D29CF" w:rsidRDefault="003D29CF" w:rsidP="002A5A74">
      <w:pPr>
        <w:tabs>
          <w:tab w:val="left" w:pos="1925"/>
          <w:tab w:val="center" w:pos="4135"/>
        </w:tabs>
        <w:jc w:val="center"/>
        <w:rPr>
          <w:rFonts w:ascii="Arial" w:hAnsi="Arial" w:cs="Arial"/>
          <w:sz w:val="26"/>
          <w:szCs w:val="26"/>
        </w:rPr>
      </w:pPr>
    </w:p>
    <w:p w14:paraId="1B21634C" w14:textId="77777777" w:rsidR="004977F8" w:rsidRDefault="004977F8" w:rsidP="002A5A74">
      <w:pPr>
        <w:tabs>
          <w:tab w:val="left" w:pos="1925"/>
          <w:tab w:val="center" w:pos="4135"/>
        </w:tabs>
        <w:jc w:val="center"/>
        <w:rPr>
          <w:rFonts w:ascii="Arial" w:hAnsi="Arial" w:cs="Arial"/>
          <w:sz w:val="26"/>
          <w:szCs w:val="26"/>
        </w:rPr>
      </w:pPr>
    </w:p>
    <w:p w14:paraId="6C2A2C6B" w14:textId="77777777" w:rsidR="003D29CF" w:rsidRDefault="003D29CF" w:rsidP="002A5A74">
      <w:pPr>
        <w:tabs>
          <w:tab w:val="left" w:pos="1925"/>
          <w:tab w:val="center" w:pos="4135"/>
        </w:tabs>
        <w:jc w:val="center"/>
        <w:rPr>
          <w:rFonts w:ascii="Arial" w:hAnsi="Arial" w:cs="Arial"/>
          <w:sz w:val="26"/>
          <w:szCs w:val="26"/>
        </w:rPr>
      </w:pPr>
    </w:p>
    <w:p w14:paraId="1F80A34F" w14:textId="3F4A62E1" w:rsidR="002A5A74" w:rsidRPr="004977F8" w:rsidRDefault="002A5A74" w:rsidP="004977F8">
      <w:pPr>
        <w:pStyle w:val="Sinespaciado"/>
        <w:jc w:val="center"/>
        <w:rPr>
          <w:rFonts w:ascii="Arial" w:hAnsi="Arial" w:cs="Arial"/>
          <w:sz w:val="26"/>
          <w:szCs w:val="26"/>
        </w:rPr>
      </w:pPr>
      <w:r w:rsidRPr="004977F8">
        <w:rPr>
          <w:rFonts w:ascii="Arial" w:hAnsi="Arial" w:cs="Arial"/>
          <w:sz w:val="26"/>
          <w:szCs w:val="26"/>
        </w:rPr>
        <w:t>LIC</w:t>
      </w:r>
      <w:r w:rsidR="004977F8">
        <w:rPr>
          <w:rFonts w:ascii="Arial" w:hAnsi="Arial" w:cs="Arial"/>
          <w:sz w:val="26"/>
          <w:szCs w:val="26"/>
        </w:rPr>
        <w:t>ENCIADO</w:t>
      </w:r>
      <w:r w:rsidRPr="004977F8">
        <w:rPr>
          <w:rFonts w:ascii="Arial" w:hAnsi="Arial" w:cs="Arial"/>
          <w:sz w:val="26"/>
          <w:szCs w:val="26"/>
        </w:rPr>
        <w:t xml:space="preserve"> JUAN EDY GARCÍA CORONADO</w:t>
      </w:r>
    </w:p>
    <w:p w14:paraId="2505C42D" w14:textId="77777777" w:rsidR="002A5A74" w:rsidRPr="004977F8" w:rsidRDefault="002A5A74" w:rsidP="004977F8">
      <w:pPr>
        <w:pStyle w:val="Sinespaciado"/>
        <w:jc w:val="center"/>
        <w:rPr>
          <w:rFonts w:ascii="Arial" w:hAnsi="Arial" w:cs="Arial"/>
          <w:sz w:val="26"/>
          <w:szCs w:val="26"/>
        </w:rPr>
      </w:pPr>
      <w:r w:rsidRPr="004977F8">
        <w:rPr>
          <w:rFonts w:ascii="Arial" w:hAnsi="Arial" w:cs="Arial"/>
          <w:sz w:val="26"/>
          <w:szCs w:val="26"/>
        </w:rPr>
        <w:t>SECRETARIO GENERAL DE ACUERDOS</w:t>
      </w:r>
    </w:p>
    <w:sectPr w:rsidR="002A5A74" w:rsidRPr="004977F8" w:rsidSect="0024672A">
      <w:headerReference w:type="even" r:id="rId13"/>
      <w:headerReference w:type="default" r:id="rId14"/>
      <w:footerReference w:type="even" r:id="rId15"/>
      <w:footerReference w:type="default" r:id="rId16"/>
      <w:headerReference w:type="first" r:id="rId17"/>
      <w:footerReference w:type="first" r:id="rId18"/>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58A97C" w14:textId="77777777" w:rsidR="001679C6" w:rsidRDefault="001679C6">
      <w:pPr>
        <w:spacing w:after="0" w:line="240" w:lineRule="auto"/>
      </w:pPr>
      <w:r>
        <w:separator/>
      </w:r>
    </w:p>
  </w:endnote>
  <w:endnote w:type="continuationSeparator" w:id="0">
    <w:p w14:paraId="64D0D751" w14:textId="77777777" w:rsidR="001679C6" w:rsidRDefault="00167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705610" w14:textId="77777777" w:rsidR="001679C6" w:rsidRDefault="001679C6">
      <w:pPr>
        <w:spacing w:after="0" w:line="240" w:lineRule="auto"/>
      </w:pPr>
      <w:r>
        <w:separator/>
      </w:r>
    </w:p>
  </w:footnote>
  <w:footnote w:type="continuationSeparator" w:id="0">
    <w:p w14:paraId="7C45E92B" w14:textId="77777777" w:rsidR="001679C6" w:rsidRDefault="00167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DF30F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F30F7">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DF30F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F30F7">
          <w:rPr>
            <w:noProof/>
            <w:lang w:val="es-ES"/>
          </w:rPr>
          <w:t>11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F30F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853321"/>
    <w:multiLevelType w:val="hybridMultilevel"/>
    <w:tmpl w:val="A9329462"/>
    <w:lvl w:ilvl="0" w:tplc="F9BE6F48">
      <w:start w:val="42"/>
      <w:numFmt w:val="upperRoman"/>
      <w:lvlText w:val="%1."/>
      <w:lvlJc w:val="left"/>
      <w:pPr>
        <w:ind w:left="1287" w:hanging="720"/>
      </w:pPr>
    </w:lvl>
    <w:lvl w:ilvl="1" w:tplc="080A0019">
      <w:start w:val="1"/>
      <w:numFmt w:val="lowerLetter"/>
      <w:lvlText w:val="%2."/>
      <w:lvlJc w:val="left"/>
      <w:pPr>
        <w:ind w:left="1647" w:hanging="360"/>
      </w:pPr>
    </w:lvl>
    <w:lvl w:ilvl="2" w:tplc="080A001B">
      <w:start w:val="1"/>
      <w:numFmt w:val="lowerRoman"/>
      <w:lvlText w:val="%3."/>
      <w:lvlJc w:val="right"/>
      <w:pPr>
        <w:ind w:left="2367" w:hanging="180"/>
      </w:pPr>
    </w:lvl>
    <w:lvl w:ilvl="3" w:tplc="080A000F">
      <w:start w:val="1"/>
      <w:numFmt w:val="decimal"/>
      <w:lvlText w:val="%4."/>
      <w:lvlJc w:val="left"/>
      <w:pPr>
        <w:ind w:left="3087" w:hanging="360"/>
      </w:pPr>
    </w:lvl>
    <w:lvl w:ilvl="4" w:tplc="080A0019">
      <w:start w:val="1"/>
      <w:numFmt w:val="lowerLetter"/>
      <w:lvlText w:val="%5."/>
      <w:lvlJc w:val="left"/>
      <w:pPr>
        <w:ind w:left="3807" w:hanging="360"/>
      </w:pPr>
    </w:lvl>
    <w:lvl w:ilvl="5" w:tplc="080A001B">
      <w:start w:val="1"/>
      <w:numFmt w:val="lowerRoman"/>
      <w:lvlText w:val="%6."/>
      <w:lvlJc w:val="right"/>
      <w:pPr>
        <w:ind w:left="4527" w:hanging="180"/>
      </w:pPr>
    </w:lvl>
    <w:lvl w:ilvl="6" w:tplc="080A000F">
      <w:start w:val="1"/>
      <w:numFmt w:val="decimal"/>
      <w:lvlText w:val="%7."/>
      <w:lvlJc w:val="left"/>
      <w:pPr>
        <w:ind w:left="5247" w:hanging="360"/>
      </w:pPr>
    </w:lvl>
    <w:lvl w:ilvl="7" w:tplc="080A0019">
      <w:start w:val="1"/>
      <w:numFmt w:val="lowerLetter"/>
      <w:lvlText w:val="%8."/>
      <w:lvlJc w:val="left"/>
      <w:pPr>
        <w:ind w:left="5967" w:hanging="360"/>
      </w:pPr>
    </w:lvl>
    <w:lvl w:ilvl="8" w:tplc="080A001B">
      <w:start w:val="1"/>
      <w:numFmt w:val="lowerRoman"/>
      <w:lvlText w:val="%9."/>
      <w:lvlJc w:val="right"/>
      <w:pPr>
        <w:ind w:left="6687" w:hanging="180"/>
      </w:pPr>
    </w:lvl>
  </w:abstractNum>
  <w:abstractNum w:abstractNumId="6">
    <w:nsid w:val="20C320FF"/>
    <w:multiLevelType w:val="hybridMultilevel"/>
    <w:tmpl w:val="CE146A98"/>
    <w:lvl w:ilvl="0" w:tplc="5C489620">
      <w:start w:val="1"/>
      <w:numFmt w:val="upperRoman"/>
      <w:lvlText w:val="%1."/>
      <w:lvlJc w:val="left"/>
      <w:pPr>
        <w:ind w:left="1440" w:hanging="72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10"/>
  </w:num>
  <w:num w:numId="5">
    <w:abstractNumId w:val="12"/>
  </w:num>
  <w:num w:numId="6">
    <w:abstractNumId w:val="7"/>
  </w:num>
  <w:num w:numId="7">
    <w:abstractNumId w:val="4"/>
  </w:num>
  <w:num w:numId="8">
    <w:abstractNumId w:val="1"/>
  </w:num>
  <w:num w:numId="9">
    <w:abstractNumId w:val="3"/>
  </w:num>
  <w:num w:numId="10">
    <w:abstractNumId w:val="9"/>
  </w:num>
  <w:num w:numId="11">
    <w:abstractNumId w:val="11"/>
  </w:num>
  <w:num w:numId="12">
    <w:abstractNumId w:va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4CA"/>
    <w:rsid w:val="0009077C"/>
    <w:rsid w:val="00090D7D"/>
    <w:rsid w:val="000910E0"/>
    <w:rsid w:val="00091B93"/>
    <w:rsid w:val="000939DB"/>
    <w:rsid w:val="00093C95"/>
    <w:rsid w:val="00094EB2"/>
    <w:rsid w:val="00095419"/>
    <w:rsid w:val="00095A82"/>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91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6FF"/>
    <w:rsid w:val="000F0C84"/>
    <w:rsid w:val="000F0D7B"/>
    <w:rsid w:val="000F2020"/>
    <w:rsid w:val="000F2949"/>
    <w:rsid w:val="000F2B5A"/>
    <w:rsid w:val="000F2D32"/>
    <w:rsid w:val="000F3EF7"/>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0A9"/>
    <w:rsid w:val="00114AC5"/>
    <w:rsid w:val="001162E0"/>
    <w:rsid w:val="00116579"/>
    <w:rsid w:val="0011786C"/>
    <w:rsid w:val="00121DE8"/>
    <w:rsid w:val="00122F5E"/>
    <w:rsid w:val="001237B4"/>
    <w:rsid w:val="001239B6"/>
    <w:rsid w:val="001244EC"/>
    <w:rsid w:val="00126C34"/>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D1F"/>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A0E"/>
    <w:rsid w:val="00156250"/>
    <w:rsid w:val="00156F22"/>
    <w:rsid w:val="001570E1"/>
    <w:rsid w:val="00161661"/>
    <w:rsid w:val="0016171F"/>
    <w:rsid w:val="00161F6F"/>
    <w:rsid w:val="001621EF"/>
    <w:rsid w:val="00163EBF"/>
    <w:rsid w:val="00164BCE"/>
    <w:rsid w:val="001659D0"/>
    <w:rsid w:val="0016604B"/>
    <w:rsid w:val="0016700D"/>
    <w:rsid w:val="001679C6"/>
    <w:rsid w:val="00167ADD"/>
    <w:rsid w:val="00167FA5"/>
    <w:rsid w:val="001702C6"/>
    <w:rsid w:val="001711A1"/>
    <w:rsid w:val="00172205"/>
    <w:rsid w:val="0017260E"/>
    <w:rsid w:val="001729D0"/>
    <w:rsid w:val="00172B51"/>
    <w:rsid w:val="00172C89"/>
    <w:rsid w:val="0017568D"/>
    <w:rsid w:val="00175C14"/>
    <w:rsid w:val="001761CB"/>
    <w:rsid w:val="0017651E"/>
    <w:rsid w:val="001769FA"/>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4EA6"/>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7E6"/>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0AEC"/>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A38"/>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4A38"/>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4348"/>
    <w:rsid w:val="00264C99"/>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C3D"/>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5A74"/>
    <w:rsid w:val="002A657D"/>
    <w:rsid w:val="002A6B3D"/>
    <w:rsid w:val="002A6E86"/>
    <w:rsid w:val="002A6EF0"/>
    <w:rsid w:val="002B0967"/>
    <w:rsid w:val="002B1C2A"/>
    <w:rsid w:val="002B23A0"/>
    <w:rsid w:val="002B2706"/>
    <w:rsid w:val="002B3BA3"/>
    <w:rsid w:val="002B4040"/>
    <w:rsid w:val="002B5C09"/>
    <w:rsid w:val="002B5C82"/>
    <w:rsid w:val="002B6893"/>
    <w:rsid w:val="002B6B9D"/>
    <w:rsid w:val="002B6C19"/>
    <w:rsid w:val="002B6D0D"/>
    <w:rsid w:val="002B7677"/>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3FAF"/>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DB7"/>
    <w:rsid w:val="002F32F4"/>
    <w:rsid w:val="002F3B18"/>
    <w:rsid w:val="002F3DC5"/>
    <w:rsid w:val="002F46C4"/>
    <w:rsid w:val="002F4F72"/>
    <w:rsid w:val="002F511C"/>
    <w:rsid w:val="002F5E12"/>
    <w:rsid w:val="002F67C7"/>
    <w:rsid w:val="002F6EC3"/>
    <w:rsid w:val="002F7173"/>
    <w:rsid w:val="002F7484"/>
    <w:rsid w:val="002F77C3"/>
    <w:rsid w:val="00300FF7"/>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0DB7"/>
    <w:rsid w:val="00321643"/>
    <w:rsid w:val="00321A91"/>
    <w:rsid w:val="00322486"/>
    <w:rsid w:val="00323295"/>
    <w:rsid w:val="00323848"/>
    <w:rsid w:val="00323FF5"/>
    <w:rsid w:val="003243B4"/>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2ED4"/>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A54"/>
    <w:rsid w:val="00390CDE"/>
    <w:rsid w:val="00392B20"/>
    <w:rsid w:val="00394516"/>
    <w:rsid w:val="003961E1"/>
    <w:rsid w:val="003963D6"/>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29CF"/>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548"/>
    <w:rsid w:val="003F3E65"/>
    <w:rsid w:val="003F42FC"/>
    <w:rsid w:val="003F4833"/>
    <w:rsid w:val="003F4B68"/>
    <w:rsid w:val="003F532D"/>
    <w:rsid w:val="003F57A9"/>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BEE"/>
    <w:rsid w:val="0043209C"/>
    <w:rsid w:val="004322A6"/>
    <w:rsid w:val="00433351"/>
    <w:rsid w:val="004340BA"/>
    <w:rsid w:val="004348C5"/>
    <w:rsid w:val="00436B6F"/>
    <w:rsid w:val="00437D5A"/>
    <w:rsid w:val="0044044F"/>
    <w:rsid w:val="00441489"/>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130"/>
    <w:rsid w:val="00461308"/>
    <w:rsid w:val="00461FB3"/>
    <w:rsid w:val="0046279F"/>
    <w:rsid w:val="00463325"/>
    <w:rsid w:val="00463D48"/>
    <w:rsid w:val="00464148"/>
    <w:rsid w:val="004647B9"/>
    <w:rsid w:val="00464F06"/>
    <w:rsid w:val="004652D5"/>
    <w:rsid w:val="00465BF5"/>
    <w:rsid w:val="00466042"/>
    <w:rsid w:val="004668E6"/>
    <w:rsid w:val="004673D5"/>
    <w:rsid w:val="00467711"/>
    <w:rsid w:val="004705A4"/>
    <w:rsid w:val="0047274B"/>
    <w:rsid w:val="00472B3D"/>
    <w:rsid w:val="00472D90"/>
    <w:rsid w:val="00473EB5"/>
    <w:rsid w:val="0047647A"/>
    <w:rsid w:val="004771E5"/>
    <w:rsid w:val="00477357"/>
    <w:rsid w:val="00477E07"/>
    <w:rsid w:val="00480A69"/>
    <w:rsid w:val="004813E0"/>
    <w:rsid w:val="00481D61"/>
    <w:rsid w:val="004826CB"/>
    <w:rsid w:val="00483B0E"/>
    <w:rsid w:val="00484A74"/>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7F8"/>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5B0"/>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1B14"/>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5DD4"/>
    <w:rsid w:val="00517079"/>
    <w:rsid w:val="00520023"/>
    <w:rsid w:val="005201C4"/>
    <w:rsid w:val="00520569"/>
    <w:rsid w:val="005212AE"/>
    <w:rsid w:val="005229B8"/>
    <w:rsid w:val="00522C1A"/>
    <w:rsid w:val="00523091"/>
    <w:rsid w:val="005242CB"/>
    <w:rsid w:val="00524D42"/>
    <w:rsid w:val="00526DC4"/>
    <w:rsid w:val="005270FE"/>
    <w:rsid w:val="005274E0"/>
    <w:rsid w:val="00527F7B"/>
    <w:rsid w:val="005300DF"/>
    <w:rsid w:val="00531B2A"/>
    <w:rsid w:val="00531B72"/>
    <w:rsid w:val="00531C8C"/>
    <w:rsid w:val="005324A4"/>
    <w:rsid w:val="00532D69"/>
    <w:rsid w:val="00532E56"/>
    <w:rsid w:val="00533758"/>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5EA"/>
    <w:rsid w:val="0054479C"/>
    <w:rsid w:val="00544E43"/>
    <w:rsid w:val="00546E22"/>
    <w:rsid w:val="00547361"/>
    <w:rsid w:val="00547395"/>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0CE1"/>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06"/>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1C82"/>
    <w:rsid w:val="00592360"/>
    <w:rsid w:val="00593333"/>
    <w:rsid w:val="005960D3"/>
    <w:rsid w:val="005973A7"/>
    <w:rsid w:val="005A0825"/>
    <w:rsid w:val="005A09A3"/>
    <w:rsid w:val="005A1FEE"/>
    <w:rsid w:val="005A273F"/>
    <w:rsid w:val="005A3583"/>
    <w:rsid w:val="005A3D7A"/>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B7F38"/>
    <w:rsid w:val="005C08BA"/>
    <w:rsid w:val="005C0DC0"/>
    <w:rsid w:val="005C194D"/>
    <w:rsid w:val="005C21B5"/>
    <w:rsid w:val="005C3179"/>
    <w:rsid w:val="005C36D9"/>
    <w:rsid w:val="005C464F"/>
    <w:rsid w:val="005C565F"/>
    <w:rsid w:val="005C5B71"/>
    <w:rsid w:val="005C615E"/>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39C"/>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280"/>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098"/>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443"/>
    <w:rsid w:val="0063273E"/>
    <w:rsid w:val="00633242"/>
    <w:rsid w:val="00633FA0"/>
    <w:rsid w:val="00634534"/>
    <w:rsid w:val="00634EF5"/>
    <w:rsid w:val="00636401"/>
    <w:rsid w:val="00636905"/>
    <w:rsid w:val="00636A93"/>
    <w:rsid w:val="0063772A"/>
    <w:rsid w:val="00637B31"/>
    <w:rsid w:val="006418C8"/>
    <w:rsid w:val="006427D9"/>
    <w:rsid w:val="00642BAE"/>
    <w:rsid w:val="00642CAD"/>
    <w:rsid w:val="0064330A"/>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BBB"/>
    <w:rsid w:val="0065228A"/>
    <w:rsid w:val="00653BE1"/>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9A"/>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31E"/>
    <w:rsid w:val="006C1371"/>
    <w:rsid w:val="006C1F9E"/>
    <w:rsid w:val="006C23C1"/>
    <w:rsid w:val="006C2F23"/>
    <w:rsid w:val="006C408C"/>
    <w:rsid w:val="006C44AE"/>
    <w:rsid w:val="006C456A"/>
    <w:rsid w:val="006C564D"/>
    <w:rsid w:val="006C64B6"/>
    <w:rsid w:val="006C671F"/>
    <w:rsid w:val="006C6F3C"/>
    <w:rsid w:val="006C6FB7"/>
    <w:rsid w:val="006D007C"/>
    <w:rsid w:val="006D06F5"/>
    <w:rsid w:val="006D120B"/>
    <w:rsid w:val="006D1DB2"/>
    <w:rsid w:val="006D3DC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4985"/>
    <w:rsid w:val="00736F71"/>
    <w:rsid w:val="00740D93"/>
    <w:rsid w:val="007426D1"/>
    <w:rsid w:val="00743E50"/>
    <w:rsid w:val="00743F9C"/>
    <w:rsid w:val="00744BFA"/>
    <w:rsid w:val="00744DC2"/>
    <w:rsid w:val="00744E48"/>
    <w:rsid w:val="00744EED"/>
    <w:rsid w:val="00746015"/>
    <w:rsid w:val="00746730"/>
    <w:rsid w:val="0075000A"/>
    <w:rsid w:val="00751760"/>
    <w:rsid w:val="00751950"/>
    <w:rsid w:val="00752C85"/>
    <w:rsid w:val="00752CFC"/>
    <w:rsid w:val="007542D8"/>
    <w:rsid w:val="007562AF"/>
    <w:rsid w:val="00756771"/>
    <w:rsid w:val="00756A0B"/>
    <w:rsid w:val="00757070"/>
    <w:rsid w:val="0075716B"/>
    <w:rsid w:val="00757251"/>
    <w:rsid w:val="007573A2"/>
    <w:rsid w:val="00757B8A"/>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D39"/>
    <w:rsid w:val="007838D5"/>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E8A"/>
    <w:rsid w:val="007C313D"/>
    <w:rsid w:val="007C3289"/>
    <w:rsid w:val="007C3B2E"/>
    <w:rsid w:val="007C405D"/>
    <w:rsid w:val="007C4D0B"/>
    <w:rsid w:val="007C4D7C"/>
    <w:rsid w:val="007C5545"/>
    <w:rsid w:val="007C587A"/>
    <w:rsid w:val="007C79F5"/>
    <w:rsid w:val="007C7A6B"/>
    <w:rsid w:val="007C7F4C"/>
    <w:rsid w:val="007D0A0F"/>
    <w:rsid w:val="007D131D"/>
    <w:rsid w:val="007D1719"/>
    <w:rsid w:val="007D303D"/>
    <w:rsid w:val="007D3939"/>
    <w:rsid w:val="007D3BCC"/>
    <w:rsid w:val="007D3CE0"/>
    <w:rsid w:val="007D404D"/>
    <w:rsid w:val="007D45CB"/>
    <w:rsid w:val="007D4645"/>
    <w:rsid w:val="007D5692"/>
    <w:rsid w:val="007D6461"/>
    <w:rsid w:val="007D7816"/>
    <w:rsid w:val="007E1A6E"/>
    <w:rsid w:val="007E3210"/>
    <w:rsid w:val="007E32FC"/>
    <w:rsid w:val="007E4266"/>
    <w:rsid w:val="007E4EA5"/>
    <w:rsid w:val="007E5A5C"/>
    <w:rsid w:val="007E7A9C"/>
    <w:rsid w:val="007F0BA9"/>
    <w:rsid w:val="007F14CC"/>
    <w:rsid w:val="007F17A3"/>
    <w:rsid w:val="007F1A1A"/>
    <w:rsid w:val="007F1ECE"/>
    <w:rsid w:val="007F2DD4"/>
    <w:rsid w:val="007F3272"/>
    <w:rsid w:val="007F3468"/>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9FE"/>
    <w:rsid w:val="00807D76"/>
    <w:rsid w:val="00810507"/>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65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50B"/>
    <w:rsid w:val="00854886"/>
    <w:rsid w:val="00855029"/>
    <w:rsid w:val="0085507C"/>
    <w:rsid w:val="0085563E"/>
    <w:rsid w:val="008601DA"/>
    <w:rsid w:val="00860C6A"/>
    <w:rsid w:val="00861653"/>
    <w:rsid w:val="00861978"/>
    <w:rsid w:val="008625C0"/>
    <w:rsid w:val="00863418"/>
    <w:rsid w:val="008634C5"/>
    <w:rsid w:val="00863FB1"/>
    <w:rsid w:val="00864F72"/>
    <w:rsid w:val="00865016"/>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DE7"/>
    <w:rsid w:val="008C02B6"/>
    <w:rsid w:val="008C0623"/>
    <w:rsid w:val="008C101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6A0D"/>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E1D"/>
    <w:rsid w:val="00920287"/>
    <w:rsid w:val="00920947"/>
    <w:rsid w:val="0092099A"/>
    <w:rsid w:val="00920C90"/>
    <w:rsid w:val="009214D7"/>
    <w:rsid w:val="00921E9D"/>
    <w:rsid w:val="009220E0"/>
    <w:rsid w:val="0092244D"/>
    <w:rsid w:val="00922FD0"/>
    <w:rsid w:val="0092383C"/>
    <w:rsid w:val="00923E83"/>
    <w:rsid w:val="00923FD8"/>
    <w:rsid w:val="009250CB"/>
    <w:rsid w:val="00926AC7"/>
    <w:rsid w:val="00926FCD"/>
    <w:rsid w:val="00927607"/>
    <w:rsid w:val="00931D14"/>
    <w:rsid w:val="009322BE"/>
    <w:rsid w:val="0093294F"/>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599D"/>
    <w:rsid w:val="009868FC"/>
    <w:rsid w:val="00986D6A"/>
    <w:rsid w:val="00990013"/>
    <w:rsid w:val="0099092F"/>
    <w:rsid w:val="00990D44"/>
    <w:rsid w:val="00991E94"/>
    <w:rsid w:val="00992712"/>
    <w:rsid w:val="0099292D"/>
    <w:rsid w:val="00993E7E"/>
    <w:rsid w:val="0099690A"/>
    <w:rsid w:val="00997136"/>
    <w:rsid w:val="009971A7"/>
    <w:rsid w:val="009A33BE"/>
    <w:rsid w:val="009A3F67"/>
    <w:rsid w:val="009A44F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CA"/>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37B13"/>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3CC9"/>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0D6"/>
    <w:rsid w:val="00A703F5"/>
    <w:rsid w:val="00A70A25"/>
    <w:rsid w:val="00A71119"/>
    <w:rsid w:val="00A72E3D"/>
    <w:rsid w:val="00A72EE1"/>
    <w:rsid w:val="00A73B00"/>
    <w:rsid w:val="00A746E4"/>
    <w:rsid w:val="00A74FB5"/>
    <w:rsid w:val="00A761F4"/>
    <w:rsid w:val="00A77448"/>
    <w:rsid w:val="00A77B65"/>
    <w:rsid w:val="00A77C59"/>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3B92"/>
    <w:rsid w:val="00AB45BF"/>
    <w:rsid w:val="00AB511E"/>
    <w:rsid w:val="00AB5C16"/>
    <w:rsid w:val="00AB5C8E"/>
    <w:rsid w:val="00AB628D"/>
    <w:rsid w:val="00AC00B1"/>
    <w:rsid w:val="00AC0229"/>
    <w:rsid w:val="00AC12CF"/>
    <w:rsid w:val="00AC154D"/>
    <w:rsid w:val="00AC174C"/>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921"/>
    <w:rsid w:val="00AE3DF5"/>
    <w:rsid w:val="00AE4CFF"/>
    <w:rsid w:val="00AE4E46"/>
    <w:rsid w:val="00AE52B0"/>
    <w:rsid w:val="00AE54F8"/>
    <w:rsid w:val="00AE5C7F"/>
    <w:rsid w:val="00AF1500"/>
    <w:rsid w:val="00AF1629"/>
    <w:rsid w:val="00AF2172"/>
    <w:rsid w:val="00AF3B8C"/>
    <w:rsid w:val="00AF3E80"/>
    <w:rsid w:val="00AF4CB2"/>
    <w:rsid w:val="00AF4E0C"/>
    <w:rsid w:val="00AF4E17"/>
    <w:rsid w:val="00AF5B71"/>
    <w:rsid w:val="00AF67FD"/>
    <w:rsid w:val="00AF6C6B"/>
    <w:rsid w:val="00AF6E07"/>
    <w:rsid w:val="00AF71C0"/>
    <w:rsid w:val="00AF72B1"/>
    <w:rsid w:val="00B0093A"/>
    <w:rsid w:val="00B00AAC"/>
    <w:rsid w:val="00B01229"/>
    <w:rsid w:val="00B02152"/>
    <w:rsid w:val="00B0229E"/>
    <w:rsid w:val="00B02BB1"/>
    <w:rsid w:val="00B02FB6"/>
    <w:rsid w:val="00B03ACC"/>
    <w:rsid w:val="00B04123"/>
    <w:rsid w:val="00B049EC"/>
    <w:rsid w:val="00B04B6B"/>
    <w:rsid w:val="00B04DD6"/>
    <w:rsid w:val="00B050D6"/>
    <w:rsid w:val="00B0768C"/>
    <w:rsid w:val="00B10264"/>
    <w:rsid w:val="00B10CF1"/>
    <w:rsid w:val="00B1212B"/>
    <w:rsid w:val="00B125A0"/>
    <w:rsid w:val="00B13177"/>
    <w:rsid w:val="00B13E8D"/>
    <w:rsid w:val="00B13EB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2C1"/>
    <w:rsid w:val="00B438BE"/>
    <w:rsid w:val="00B453AD"/>
    <w:rsid w:val="00B45776"/>
    <w:rsid w:val="00B462D1"/>
    <w:rsid w:val="00B50446"/>
    <w:rsid w:val="00B51B10"/>
    <w:rsid w:val="00B523E5"/>
    <w:rsid w:val="00B528A3"/>
    <w:rsid w:val="00B52E31"/>
    <w:rsid w:val="00B5349D"/>
    <w:rsid w:val="00B534E9"/>
    <w:rsid w:val="00B54BDD"/>
    <w:rsid w:val="00B5501D"/>
    <w:rsid w:val="00B555B1"/>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087"/>
    <w:rsid w:val="00B876BF"/>
    <w:rsid w:val="00B87BE7"/>
    <w:rsid w:val="00B87E94"/>
    <w:rsid w:val="00B90116"/>
    <w:rsid w:val="00B90ED9"/>
    <w:rsid w:val="00B91714"/>
    <w:rsid w:val="00B923B6"/>
    <w:rsid w:val="00B9293A"/>
    <w:rsid w:val="00B93021"/>
    <w:rsid w:val="00B93BE3"/>
    <w:rsid w:val="00B95FE2"/>
    <w:rsid w:val="00B962EE"/>
    <w:rsid w:val="00B971C4"/>
    <w:rsid w:val="00B97246"/>
    <w:rsid w:val="00B9725F"/>
    <w:rsid w:val="00B972B2"/>
    <w:rsid w:val="00B97390"/>
    <w:rsid w:val="00BA03EE"/>
    <w:rsid w:val="00BA1836"/>
    <w:rsid w:val="00BA18D4"/>
    <w:rsid w:val="00BA224E"/>
    <w:rsid w:val="00BA258A"/>
    <w:rsid w:val="00BA2A3D"/>
    <w:rsid w:val="00BA2D87"/>
    <w:rsid w:val="00BA30B1"/>
    <w:rsid w:val="00BA31EF"/>
    <w:rsid w:val="00BA3973"/>
    <w:rsid w:val="00BA42E0"/>
    <w:rsid w:val="00BA5246"/>
    <w:rsid w:val="00BA59AD"/>
    <w:rsid w:val="00BA5DAD"/>
    <w:rsid w:val="00BA63BB"/>
    <w:rsid w:val="00BA65C8"/>
    <w:rsid w:val="00BA6A89"/>
    <w:rsid w:val="00BA6F7A"/>
    <w:rsid w:val="00BA735D"/>
    <w:rsid w:val="00BA79B7"/>
    <w:rsid w:val="00BB0D35"/>
    <w:rsid w:val="00BB121A"/>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074"/>
    <w:rsid w:val="00BC7112"/>
    <w:rsid w:val="00BD0C00"/>
    <w:rsid w:val="00BD0CBD"/>
    <w:rsid w:val="00BD0DA0"/>
    <w:rsid w:val="00BD1F9D"/>
    <w:rsid w:val="00BD3693"/>
    <w:rsid w:val="00BD438C"/>
    <w:rsid w:val="00BD44D1"/>
    <w:rsid w:val="00BD492B"/>
    <w:rsid w:val="00BD4F9A"/>
    <w:rsid w:val="00BD5E19"/>
    <w:rsid w:val="00BD6D4E"/>
    <w:rsid w:val="00BD71F1"/>
    <w:rsid w:val="00BD74CF"/>
    <w:rsid w:val="00BE1BBE"/>
    <w:rsid w:val="00BE2C9F"/>
    <w:rsid w:val="00BE36D5"/>
    <w:rsid w:val="00BE4FDC"/>
    <w:rsid w:val="00BE5AA6"/>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3F71"/>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59"/>
    <w:rsid w:val="00C25A02"/>
    <w:rsid w:val="00C268F6"/>
    <w:rsid w:val="00C27D1A"/>
    <w:rsid w:val="00C30D7A"/>
    <w:rsid w:val="00C31200"/>
    <w:rsid w:val="00C31A08"/>
    <w:rsid w:val="00C31BE7"/>
    <w:rsid w:val="00C32229"/>
    <w:rsid w:val="00C32DE7"/>
    <w:rsid w:val="00C32F73"/>
    <w:rsid w:val="00C32FD3"/>
    <w:rsid w:val="00C341CB"/>
    <w:rsid w:val="00C34D18"/>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199"/>
    <w:rsid w:val="00C46708"/>
    <w:rsid w:val="00C46F03"/>
    <w:rsid w:val="00C474EF"/>
    <w:rsid w:val="00C500D2"/>
    <w:rsid w:val="00C50922"/>
    <w:rsid w:val="00C509DB"/>
    <w:rsid w:val="00C51440"/>
    <w:rsid w:val="00C52089"/>
    <w:rsid w:val="00C53E87"/>
    <w:rsid w:val="00C55CDE"/>
    <w:rsid w:val="00C56885"/>
    <w:rsid w:val="00C56AE3"/>
    <w:rsid w:val="00C56D20"/>
    <w:rsid w:val="00C57069"/>
    <w:rsid w:val="00C57680"/>
    <w:rsid w:val="00C57997"/>
    <w:rsid w:val="00C6124E"/>
    <w:rsid w:val="00C613CF"/>
    <w:rsid w:val="00C61BDC"/>
    <w:rsid w:val="00C6230B"/>
    <w:rsid w:val="00C6257D"/>
    <w:rsid w:val="00C632FA"/>
    <w:rsid w:val="00C635D0"/>
    <w:rsid w:val="00C64273"/>
    <w:rsid w:val="00C65B9B"/>
    <w:rsid w:val="00C67249"/>
    <w:rsid w:val="00C673B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23"/>
    <w:rsid w:val="00CC3FEE"/>
    <w:rsid w:val="00CC416D"/>
    <w:rsid w:val="00CC45E5"/>
    <w:rsid w:val="00CC466F"/>
    <w:rsid w:val="00CC55E8"/>
    <w:rsid w:val="00CC5DF0"/>
    <w:rsid w:val="00CC71C6"/>
    <w:rsid w:val="00CC757C"/>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5C6"/>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E3E"/>
    <w:rsid w:val="00D0267B"/>
    <w:rsid w:val="00D032B4"/>
    <w:rsid w:val="00D034FD"/>
    <w:rsid w:val="00D03AC3"/>
    <w:rsid w:val="00D040A2"/>
    <w:rsid w:val="00D055E6"/>
    <w:rsid w:val="00D05CAF"/>
    <w:rsid w:val="00D05E39"/>
    <w:rsid w:val="00D065AD"/>
    <w:rsid w:val="00D06BB8"/>
    <w:rsid w:val="00D072EF"/>
    <w:rsid w:val="00D07394"/>
    <w:rsid w:val="00D07A9C"/>
    <w:rsid w:val="00D106AA"/>
    <w:rsid w:val="00D10A14"/>
    <w:rsid w:val="00D113FF"/>
    <w:rsid w:val="00D11E7B"/>
    <w:rsid w:val="00D124EA"/>
    <w:rsid w:val="00D12C52"/>
    <w:rsid w:val="00D12D84"/>
    <w:rsid w:val="00D14E13"/>
    <w:rsid w:val="00D157D1"/>
    <w:rsid w:val="00D16547"/>
    <w:rsid w:val="00D20368"/>
    <w:rsid w:val="00D209D8"/>
    <w:rsid w:val="00D20B6C"/>
    <w:rsid w:val="00D20DAB"/>
    <w:rsid w:val="00D210E8"/>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E2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2DF"/>
    <w:rsid w:val="00D60503"/>
    <w:rsid w:val="00D6079D"/>
    <w:rsid w:val="00D62605"/>
    <w:rsid w:val="00D63073"/>
    <w:rsid w:val="00D6362A"/>
    <w:rsid w:val="00D63DA5"/>
    <w:rsid w:val="00D641C8"/>
    <w:rsid w:val="00D64B3A"/>
    <w:rsid w:val="00D64D09"/>
    <w:rsid w:val="00D6587E"/>
    <w:rsid w:val="00D65C48"/>
    <w:rsid w:val="00D67C48"/>
    <w:rsid w:val="00D70CA3"/>
    <w:rsid w:val="00D714D4"/>
    <w:rsid w:val="00D718E2"/>
    <w:rsid w:val="00D719E5"/>
    <w:rsid w:val="00D72097"/>
    <w:rsid w:val="00D73167"/>
    <w:rsid w:val="00D7322F"/>
    <w:rsid w:val="00D73481"/>
    <w:rsid w:val="00D73C07"/>
    <w:rsid w:val="00D743AB"/>
    <w:rsid w:val="00D74799"/>
    <w:rsid w:val="00D74FDC"/>
    <w:rsid w:val="00D7536B"/>
    <w:rsid w:val="00D75AD5"/>
    <w:rsid w:val="00D80239"/>
    <w:rsid w:val="00D81033"/>
    <w:rsid w:val="00D81136"/>
    <w:rsid w:val="00D82C07"/>
    <w:rsid w:val="00D82CE9"/>
    <w:rsid w:val="00D8317A"/>
    <w:rsid w:val="00D838A1"/>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7A2"/>
    <w:rsid w:val="00DE1132"/>
    <w:rsid w:val="00DE1E31"/>
    <w:rsid w:val="00DE2C26"/>
    <w:rsid w:val="00DE2CFB"/>
    <w:rsid w:val="00DE414D"/>
    <w:rsid w:val="00DE466D"/>
    <w:rsid w:val="00DE5048"/>
    <w:rsid w:val="00DE68DD"/>
    <w:rsid w:val="00DE77DC"/>
    <w:rsid w:val="00DF0FAE"/>
    <w:rsid w:val="00DF1506"/>
    <w:rsid w:val="00DF1F74"/>
    <w:rsid w:val="00DF2FA1"/>
    <w:rsid w:val="00DF30F7"/>
    <w:rsid w:val="00DF5862"/>
    <w:rsid w:val="00DF5E93"/>
    <w:rsid w:val="00DF66BB"/>
    <w:rsid w:val="00DF7D55"/>
    <w:rsid w:val="00E00E3A"/>
    <w:rsid w:val="00E013E9"/>
    <w:rsid w:val="00E013EF"/>
    <w:rsid w:val="00E017F2"/>
    <w:rsid w:val="00E01B2C"/>
    <w:rsid w:val="00E0267C"/>
    <w:rsid w:val="00E02932"/>
    <w:rsid w:val="00E02CE1"/>
    <w:rsid w:val="00E02DDC"/>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9E3"/>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D7D"/>
    <w:rsid w:val="00E50E09"/>
    <w:rsid w:val="00E540CA"/>
    <w:rsid w:val="00E54462"/>
    <w:rsid w:val="00E54583"/>
    <w:rsid w:val="00E55F46"/>
    <w:rsid w:val="00E5633C"/>
    <w:rsid w:val="00E56E97"/>
    <w:rsid w:val="00E56EE4"/>
    <w:rsid w:val="00E60A17"/>
    <w:rsid w:val="00E621FE"/>
    <w:rsid w:val="00E62CBA"/>
    <w:rsid w:val="00E6323C"/>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984"/>
    <w:rsid w:val="00E77C72"/>
    <w:rsid w:val="00E801F8"/>
    <w:rsid w:val="00E8167D"/>
    <w:rsid w:val="00E81BCF"/>
    <w:rsid w:val="00E8217A"/>
    <w:rsid w:val="00E82708"/>
    <w:rsid w:val="00E82BDE"/>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2E4"/>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27E6"/>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8A3"/>
    <w:rsid w:val="00F06302"/>
    <w:rsid w:val="00F079CC"/>
    <w:rsid w:val="00F13509"/>
    <w:rsid w:val="00F1360C"/>
    <w:rsid w:val="00F1390D"/>
    <w:rsid w:val="00F151EA"/>
    <w:rsid w:val="00F15595"/>
    <w:rsid w:val="00F156A1"/>
    <w:rsid w:val="00F208B7"/>
    <w:rsid w:val="00F208D3"/>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3A3"/>
    <w:rsid w:val="00F53860"/>
    <w:rsid w:val="00F54021"/>
    <w:rsid w:val="00F542AA"/>
    <w:rsid w:val="00F543D3"/>
    <w:rsid w:val="00F5519E"/>
    <w:rsid w:val="00F551B0"/>
    <w:rsid w:val="00F55452"/>
    <w:rsid w:val="00F55CC1"/>
    <w:rsid w:val="00F56A49"/>
    <w:rsid w:val="00F60D33"/>
    <w:rsid w:val="00F61136"/>
    <w:rsid w:val="00F6166A"/>
    <w:rsid w:val="00F62312"/>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2FB"/>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4B5F"/>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link w:val="SinespaciadoCar"/>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uiPriority w:val="99"/>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uiPriority w:val="99"/>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Textoindependienteprimerasangra">
    <w:name w:val="Body Text First Indent"/>
    <w:basedOn w:val="Textoindependiente"/>
    <w:link w:val="TextoindependienteprimerasangraCar"/>
    <w:uiPriority w:val="99"/>
    <w:semiHidden/>
    <w:unhideWhenUsed/>
    <w:rsid w:val="002A5A74"/>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semiHidden/>
    <w:rsid w:val="002A5A74"/>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2A5A74"/>
    <w:pPr>
      <w:spacing w:after="120"/>
      <w:ind w:left="283"/>
    </w:pPr>
  </w:style>
  <w:style w:type="character" w:customStyle="1" w:styleId="SangradetextonormalCar">
    <w:name w:val="Sangría de texto normal Car"/>
    <w:basedOn w:val="Fuentedeprrafopredeter"/>
    <w:link w:val="Sangradetextonormal"/>
    <w:uiPriority w:val="99"/>
    <w:semiHidden/>
    <w:rsid w:val="002A5A74"/>
  </w:style>
  <w:style w:type="paragraph" w:styleId="Textoindependienteprimerasangra2">
    <w:name w:val="Body Text First Indent 2"/>
    <w:basedOn w:val="Sangradetextonormal"/>
    <w:link w:val="Textoindependienteprimerasangra2Car"/>
    <w:uiPriority w:val="99"/>
    <w:semiHidden/>
    <w:unhideWhenUsed/>
    <w:rsid w:val="002A5A74"/>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2A5A74"/>
    <w:rPr>
      <w:rFonts w:ascii="Calibri" w:eastAsia="Calibri" w:hAnsi="Calibri" w:cs="Times New Roman"/>
      <w:lang w:eastAsia="en-US"/>
    </w:rPr>
  </w:style>
  <w:style w:type="character" w:customStyle="1" w:styleId="SinespaciadoCar">
    <w:name w:val="Sin espaciado Car"/>
    <w:link w:val="Sinespaciado"/>
    <w:uiPriority w:val="1"/>
    <w:locked/>
    <w:rsid w:val="002A5A7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8028420">
      <w:bodyDiv w:val="1"/>
      <w:marLeft w:val="0"/>
      <w:marRight w:val="0"/>
      <w:marTop w:val="0"/>
      <w:marBottom w:val="0"/>
      <w:divBdr>
        <w:top w:val="none" w:sz="0" w:space="0" w:color="auto"/>
        <w:left w:val="none" w:sz="0" w:space="0" w:color="auto"/>
        <w:bottom w:val="none" w:sz="0" w:space="0" w:color="auto"/>
        <w:right w:val="none" w:sz="0" w:space="0" w:color="auto"/>
      </w:divBdr>
      <w:divsChild>
        <w:div w:id="57677074">
          <w:marLeft w:val="0"/>
          <w:marRight w:val="0"/>
          <w:marTop w:val="0"/>
          <w:marBottom w:val="0"/>
          <w:divBdr>
            <w:top w:val="none" w:sz="0" w:space="0" w:color="auto"/>
            <w:left w:val="none" w:sz="0" w:space="0" w:color="auto"/>
            <w:bottom w:val="none" w:sz="0" w:space="0" w:color="auto"/>
            <w:right w:val="none" w:sz="0" w:space="0" w:color="auto"/>
          </w:divBdr>
          <w:divsChild>
            <w:div w:id="545214253">
              <w:marLeft w:val="0"/>
              <w:marRight w:val="0"/>
              <w:marTop w:val="0"/>
              <w:marBottom w:val="0"/>
              <w:divBdr>
                <w:top w:val="none" w:sz="0" w:space="0" w:color="auto"/>
                <w:left w:val="none" w:sz="0" w:space="0" w:color="auto"/>
                <w:bottom w:val="none" w:sz="0" w:space="0" w:color="auto"/>
                <w:right w:val="none" w:sz="0" w:space="0" w:color="auto"/>
              </w:divBdr>
            </w:div>
          </w:divsChild>
        </w:div>
        <w:div w:id="2103255550">
          <w:marLeft w:val="0"/>
          <w:marRight w:val="0"/>
          <w:marTop w:val="0"/>
          <w:marBottom w:val="0"/>
          <w:divBdr>
            <w:top w:val="none" w:sz="0" w:space="0" w:color="auto"/>
            <w:left w:val="none" w:sz="0" w:space="0" w:color="auto"/>
            <w:bottom w:val="none" w:sz="0" w:space="0" w:color="auto"/>
            <w:right w:val="none" w:sz="0" w:space="0" w:color="auto"/>
          </w:divBdr>
          <w:divsChild>
            <w:div w:id="1363944719">
              <w:marLeft w:val="0"/>
              <w:marRight w:val="0"/>
              <w:marTop w:val="0"/>
              <w:marBottom w:val="0"/>
              <w:divBdr>
                <w:top w:val="none" w:sz="0" w:space="0" w:color="auto"/>
                <w:left w:val="none" w:sz="0" w:space="0" w:color="auto"/>
                <w:bottom w:val="none" w:sz="0" w:space="0" w:color="auto"/>
                <w:right w:val="none" w:sz="0" w:space="0" w:color="auto"/>
              </w:divBdr>
            </w:div>
            <w:div w:id="876895031">
              <w:marLeft w:val="0"/>
              <w:marRight w:val="0"/>
              <w:marTop w:val="0"/>
              <w:marBottom w:val="0"/>
              <w:divBdr>
                <w:top w:val="none" w:sz="0" w:space="0" w:color="auto"/>
                <w:left w:val="none" w:sz="0" w:space="0" w:color="auto"/>
                <w:bottom w:val="none" w:sz="0" w:space="0" w:color="auto"/>
                <w:right w:val="none" w:sz="0" w:space="0" w:color="auto"/>
              </w:divBdr>
            </w:div>
            <w:div w:id="1586113836">
              <w:marLeft w:val="0"/>
              <w:marRight w:val="0"/>
              <w:marTop w:val="0"/>
              <w:marBottom w:val="0"/>
              <w:divBdr>
                <w:top w:val="none" w:sz="0" w:space="0" w:color="auto"/>
                <w:left w:val="none" w:sz="0" w:space="0" w:color="auto"/>
                <w:bottom w:val="none" w:sz="0" w:space="0" w:color="auto"/>
                <w:right w:val="none" w:sz="0" w:space="0" w:color="auto"/>
              </w:divBdr>
            </w:div>
          </w:divsChild>
        </w:div>
        <w:div w:id="2090887223">
          <w:marLeft w:val="0"/>
          <w:marRight w:val="0"/>
          <w:marTop w:val="0"/>
          <w:marBottom w:val="0"/>
          <w:divBdr>
            <w:top w:val="none" w:sz="0" w:space="0" w:color="auto"/>
            <w:left w:val="none" w:sz="0" w:space="0" w:color="auto"/>
            <w:bottom w:val="none" w:sz="0" w:space="0" w:color="auto"/>
            <w:right w:val="none" w:sz="0" w:space="0" w:color="auto"/>
          </w:divBdr>
          <w:divsChild>
            <w:div w:id="515391830">
              <w:marLeft w:val="0"/>
              <w:marRight w:val="0"/>
              <w:marTop w:val="0"/>
              <w:marBottom w:val="0"/>
              <w:divBdr>
                <w:top w:val="none" w:sz="0" w:space="0" w:color="auto"/>
                <w:left w:val="none" w:sz="0" w:space="0" w:color="auto"/>
                <w:bottom w:val="none" w:sz="0" w:space="0" w:color="auto"/>
                <w:right w:val="none" w:sz="0" w:space="0" w:color="auto"/>
              </w:divBdr>
            </w:div>
            <w:div w:id="323289890">
              <w:marLeft w:val="0"/>
              <w:marRight w:val="0"/>
              <w:marTop w:val="0"/>
              <w:marBottom w:val="0"/>
              <w:divBdr>
                <w:top w:val="none" w:sz="0" w:space="0" w:color="auto"/>
                <w:left w:val="none" w:sz="0" w:space="0" w:color="auto"/>
                <w:bottom w:val="none" w:sz="0" w:space="0" w:color="auto"/>
                <w:right w:val="none" w:sz="0" w:space="0" w:color="auto"/>
              </w:divBdr>
            </w:div>
            <w:div w:id="1033919287">
              <w:marLeft w:val="0"/>
              <w:marRight w:val="0"/>
              <w:marTop w:val="0"/>
              <w:marBottom w:val="0"/>
              <w:divBdr>
                <w:top w:val="none" w:sz="0" w:space="0" w:color="auto"/>
                <w:left w:val="none" w:sz="0" w:space="0" w:color="auto"/>
                <w:bottom w:val="none" w:sz="0" w:space="0" w:color="auto"/>
                <w:right w:val="none" w:sz="0" w:space="0" w:color="auto"/>
              </w:divBdr>
            </w:div>
          </w:divsChild>
        </w:div>
        <w:div w:id="454062993">
          <w:marLeft w:val="0"/>
          <w:marRight w:val="0"/>
          <w:marTop w:val="0"/>
          <w:marBottom w:val="0"/>
          <w:divBdr>
            <w:top w:val="none" w:sz="0" w:space="0" w:color="auto"/>
            <w:left w:val="none" w:sz="0" w:space="0" w:color="auto"/>
            <w:bottom w:val="none" w:sz="0" w:space="0" w:color="auto"/>
            <w:right w:val="none" w:sz="0" w:space="0" w:color="auto"/>
          </w:divBdr>
        </w:div>
        <w:div w:id="1014378820">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927889273">
      <w:bodyDiv w:val="1"/>
      <w:marLeft w:val="0"/>
      <w:marRight w:val="0"/>
      <w:marTop w:val="0"/>
      <w:marBottom w:val="0"/>
      <w:divBdr>
        <w:top w:val="none" w:sz="0" w:space="0" w:color="auto"/>
        <w:left w:val="none" w:sz="0" w:space="0" w:color="auto"/>
        <w:bottom w:val="none" w:sz="0" w:space="0" w:color="auto"/>
        <w:right w:val="none" w:sz="0" w:space="0" w:color="auto"/>
      </w:divBdr>
      <w:divsChild>
        <w:div w:id="1855915735">
          <w:marLeft w:val="0"/>
          <w:marRight w:val="0"/>
          <w:marTop w:val="0"/>
          <w:marBottom w:val="0"/>
          <w:divBdr>
            <w:top w:val="none" w:sz="0" w:space="0" w:color="auto"/>
            <w:left w:val="none" w:sz="0" w:space="0" w:color="auto"/>
            <w:bottom w:val="none" w:sz="0" w:space="0" w:color="auto"/>
            <w:right w:val="none" w:sz="0" w:space="0" w:color="auto"/>
          </w:divBdr>
          <w:divsChild>
            <w:div w:id="2009861677">
              <w:marLeft w:val="0"/>
              <w:marRight w:val="0"/>
              <w:marTop w:val="0"/>
              <w:marBottom w:val="0"/>
              <w:divBdr>
                <w:top w:val="none" w:sz="0" w:space="0" w:color="auto"/>
                <w:left w:val="none" w:sz="0" w:space="0" w:color="auto"/>
                <w:bottom w:val="none" w:sz="0" w:space="0" w:color="auto"/>
                <w:right w:val="none" w:sz="0" w:space="0" w:color="auto"/>
              </w:divBdr>
            </w:div>
          </w:divsChild>
        </w:div>
        <w:div w:id="963655213">
          <w:marLeft w:val="0"/>
          <w:marRight w:val="0"/>
          <w:marTop w:val="0"/>
          <w:marBottom w:val="0"/>
          <w:divBdr>
            <w:top w:val="none" w:sz="0" w:space="0" w:color="auto"/>
            <w:left w:val="none" w:sz="0" w:space="0" w:color="auto"/>
            <w:bottom w:val="none" w:sz="0" w:space="0" w:color="auto"/>
            <w:right w:val="none" w:sz="0" w:space="0" w:color="auto"/>
          </w:divBdr>
          <w:divsChild>
            <w:div w:id="1558739529">
              <w:marLeft w:val="0"/>
              <w:marRight w:val="0"/>
              <w:marTop w:val="0"/>
              <w:marBottom w:val="0"/>
              <w:divBdr>
                <w:top w:val="none" w:sz="0" w:space="0" w:color="auto"/>
                <w:left w:val="none" w:sz="0" w:space="0" w:color="auto"/>
                <w:bottom w:val="none" w:sz="0" w:space="0" w:color="auto"/>
                <w:right w:val="none" w:sz="0" w:space="0" w:color="auto"/>
              </w:divBdr>
            </w:div>
            <w:div w:id="2044015889">
              <w:marLeft w:val="0"/>
              <w:marRight w:val="0"/>
              <w:marTop w:val="0"/>
              <w:marBottom w:val="0"/>
              <w:divBdr>
                <w:top w:val="none" w:sz="0" w:space="0" w:color="auto"/>
                <w:left w:val="none" w:sz="0" w:space="0" w:color="auto"/>
                <w:bottom w:val="none" w:sz="0" w:space="0" w:color="auto"/>
                <w:right w:val="none" w:sz="0" w:space="0" w:color="auto"/>
              </w:divBdr>
            </w:div>
            <w:div w:id="1873377727">
              <w:marLeft w:val="0"/>
              <w:marRight w:val="0"/>
              <w:marTop w:val="0"/>
              <w:marBottom w:val="0"/>
              <w:divBdr>
                <w:top w:val="none" w:sz="0" w:space="0" w:color="auto"/>
                <w:left w:val="none" w:sz="0" w:space="0" w:color="auto"/>
                <w:bottom w:val="none" w:sz="0" w:space="0" w:color="auto"/>
                <w:right w:val="none" w:sz="0" w:space="0" w:color="auto"/>
              </w:divBdr>
            </w:div>
          </w:divsChild>
        </w:div>
        <w:div w:id="1898785955">
          <w:marLeft w:val="0"/>
          <w:marRight w:val="0"/>
          <w:marTop w:val="0"/>
          <w:marBottom w:val="0"/>
          <w:divBdr>
            <w:top w:val="none" w:sz="0" w:space="0" w:color="auto"/>
            <w:left w:val="none" w:sz="0" w:space="0" w:color="auto"/>
            <w:bottom w:val="none" w:sz="0" w:space="0" w:color="auto"/>
            <w:right w:val="none" w:sz="0" w:space="0" w:color="auto"/>
          </w:divBdr>
          <w:divsChild>
            <w:div w:id="10642845">
              <w:marLeft w:val="0"/>
              <w:marRight w:val="0"/>
              <w:marTop w:val="0"/>
              <w:marBottom w:val="0"/>
              <w:divBdr>
                <w:top w:val="none" w:sz="0" w:space="0" w:color="auto"/>
                <w:left w:val="none" w:sz="0" w:space="0" w:color="auto"/>
                <w:bottom w:val="none" w:sz="0" w:space="0" w:color="auto"/>
                <w:right w:val="none" w:sz="0" w:space="0" w:color="auto"/>
              </w:divBdr>
            </w:div>
            <w:div w:id="1276789285">
              <w:marLeft w:val="0"/>
              <w:marRight w:val="0"/>
              <w:marTop w:val="0"/>
              <w:marBottom w:val="0"/>
              <w:divBdr>
                <w:top w:val="none" w:sz="0" w:space="0" w:color="auto"/>
                <w:left w:val="none" w:sz="0" w:space="0" w:color="auto"/>
                <w:bottom w:val="none" w:sz="0" w:space="0" w:color="auto"/>
                <w:right w:val="none" w:sz="0" w:space="0" w:color="auto"/>
              </w:divBdr>
            </w:div>
            <w:div w:id="814376003">
              <w:marLeft w:val="0"/>
              <w:marRight w:val="0"/>
              <w:marTop w:val="0"/>
              <w:marBottom w:val="0"/>
              <w:divBdr>
                <w:top w:val="none" w:sz="0" w:space="0" w:color="auto"/>
                <w:left w:val="none" w:sz="0" w:space="0" w:color="auto"/>
                <w:bottom w:val="none" w:sz="0" w:space="0" w:color="auto"/>
                <w:right w:val="none" w:sz="0" w:space="0" w:color="auto"/>
              </w:divBdr>
            </w:div>
          </w:divsChild>
        </w:div>
        <w:div w:id="1878542647">
          <w:marLeft w:val="0"/>
          <w:marRight w:val="0"/>
          <w:marTop w:val="0"/>
          <w:marBottom w:val="0"/>
          <w:divBdr>
            <w:top w:val="none" w:sz="0" w:space="0" w:color="auto"/>
            <w:left w:val="none" w:sz="0" w:space="0" w:color="auto"/>
            <w:bottom w:val="none" w:sz="0" w:space="0" w:color="auto"/>
            <w:right w:val="none" w:sz="0" w:space="0" w:color="auto"/>
          </w:divBdr>
        </w:div>
        <w:div w:id="136959980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16125932">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f2.scjn.gob.mx/detalle/tesis/39412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25665-736A-49DC-82C2-AD78CCD18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13</Pages>
  <Words>4940</Words>
  <Characters>27171</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138</cp:revision>
  <cp:lastPrinted>2021-11-22T16:24:00Z</cp:lastPrinted>
  <dcterms:created xsi:type="dcterms:W3CDTF">2021-02-25T18:35:00Z</dcterms:created>
  <dcterms:modified xsi:type="dcterms:W3CDTF">2022-02-08T20:40:00Z</dcterms:modified>
</cp:coreProperties>
</file>