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8CF" w:rsidRDefault="008238CF" w:rsidP="00E456F0">
      <w:pPr>
        <w:spacing w:after="0" w:line="360" w:lineRule="auto"/>
        <w:jc w:val="both"/>
        <w:rPr>
          <w:rFonts w:ascii="Arial" w:hAnsi="Arial" w:cs="Arial"/>
          <w:b/>
          <w:iCs/>
          <w:caps/>
          <w:sz w:val="26"/>
          <w:szCs w:val="26"/>
        </w:rPr>
      </w:pPr>
    </w:p>
    <w:p w:rsidR="00B336AC" w:rsidRDefault="00B336AC" w:rsidP="00B336AC">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336AC" w:rsidRDefault="00B336AC" w:rsidP="00B336A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0396/2018</w:t>
      </w:r>
    </w:p>
    <w:p w:rsidR="00B336AC" w:rsidRDefault="00B336AC" w:rsidP="00B336A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0054/2018 SEGUNDA SALA UNITARIA DE PRIMERA INSTANCIA</w:t>
      </w:r>
    </w:p>
    <w:p w:rsidR="00B336AC" w:rsidRDefault="00B336AC" w:rsidP="00B336AC">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B336AC" w:rsidRDefault="00B336AC" w:rsidP="00B336AC">
      <w:pPr>
        <w:spacing w:line="240" w:lineRule="auto"/>
        <w:ind w:left="2124"/>
        <w:jc w:val="both"/>
        <w:rPr>
          <w:rFonts w:ascii="Arial" w:hAnsi="Arial" w:cs="Arial"/>
          <w:b/>
          <w:sz w:val="26"/>
          <w:szCs w:val="26"/>
        </w:rPr>
      </w:pPr>
    </w:p>
    <w:p w:rsidR="00B336AC" w:rsidRDefault="00B336AC" w:rsidP="00B336AC">
      <w:pPr>
        <w:spacing w:before="240" w:line="360" w:lineRule="auto"/>
        <w:jc w:val="both"/>
        <w:rPr>
          <w:rFonts w:ascii="Arial" w:hAnsi="Arial" w:cs="Arial"/>
          <w:b/>
          <w:sz w:val="26"/>
          <w:szCs w:val="26"/>
        </w:rPr>
      </w:pPr>
      <w:r>
        <w:rPr>
          <w:rFonts w:ascii="Arial" w:hAnsi="Arial" w:cs="Arial"/>
          <w:b/>
          <w:sz w:val="26"/>
          <w:szCs w:val="26"/>
        </w:rPr>
        <w:t>OAXACA DE JUÁREZ, OAXACA, DIECISÉIS DE MAYO DE DOS MIL DIECINUEVE.</w:t>
      </w:r>
    </w:p>
    <w:p w:rsidR="00B336AC" w:rsidRPr="00CB6405" w:rsidRDefault="00B336AC" w:rsidP="00B336AC">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396</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183E97">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del acuerdo de cinco de septiembre de dos mil dieciocho, dictado en el expediente </w:t>
      </w:r>
      <w:r>
        <w:rPr>
          <w:rFonts w:ascii="Arial" w:hAnsi="Arial" w:cs="Arial"/>
          <w:b/>
          <w:sz w:val="26"/>
          <w:szCs w:val="26"/>
        </w:rPr>
        <w:t>0054</w:t>
      </w:r>
      <w:r w:rsidRPr="005540FC">
        <w:rPr>
          <w:rFonts w:ascii="Arial" w:hAnsi="Arial" w:cs="Arial"/>
          <w:b/>
          <w:sz w:val="26"/>
          <w:szCs w:val="26"/>
        </w:rPr>
        <w:t>/201</w:t>
      </w:r>
      <w:r>
        <w:rPr>
          <w:rFonts w:ascii="Arial" w:hAnsi="Arial" w:cs="Arial"/>
          <w:b/>
          <w:sz w:val="26"/>
          <w:szCs w:val="26"/>
        </w:rPr>
        <w:t xml:space="preserve">8 </w:t>
      </w:r>
      <w:r>
        <w:rPr>
          <w:rFonts w:ascii="Arial" w:hAnsi="Arial" w:cs="Arial"/>
          <w:sz w:val="26"/>
          <w:szCs w:val="26"/>
        </w:rPr>
        <w:t xml:space="preserve">de la Segunda Sala Unitaria de Primera Instancia, relativo al juicio de nulidad promovido por el </w:t>
      </w:r>
      <w:r w:rsidRPr="009E7117">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GENERAL DE LA OFICINA DE PENSIONES DEL ESTADO DE OAXACA</w:t>
      </w:r>
      <w:r w:rsidRPr="005D4677">
        <w:rPr>
          <w:rFonts w:ascii="Arial" w:hAnsi="Arial" w:cs="Arial"/>
          <w:sz w:val="26"/>
          <w:szCs w:val="26"/>
        </w:rPr>
        <w:t>;</w:t>
      </w:r>
      <w:r>
        <w:rPr>
          <w:rFonts w:ascii="Arial" w:hAnsi="Arial" w:cs="Arial"/>
          <w:b/>
          <w:sz w:val="26"/>
          <w:szCs w:val="26"/>
        </w:rPr>
        <w:t xml:space="preserve"> </w:t>
      </w:r>
      <w:r w:rsidRPr="00CB6405">
        <w:rPr>
          <w:rFonts w:ascii="Arial" w:hAnsi="Arial" w:cs="Arial"/>
          <w:sz w:val="26"/>
          <w:szCs w:val="26"/>
        </w:rPr>
        <w:t xml:space="preserve">por lo que con fundamento en los </w:t>
      </w:r>
      <w:r>
        <w:rPr>
          <w:rFonts w:ascii="Arial" w:hAnsi="Arial" w:cs="Arial"/>
          <w:sz w:val="26"/>
          <w:szCs w:val="26"/>
        </w:rPr>
        <w:t>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B336AC" w:rsidRDefault="00B336AC" w:rsidP="00B336AC">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336AC" w:rsidRDefault="00B336AC" w:rsidP="00B336A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cinco de septiembre de dos mil dieciocho, dictado por la Segunda Sala Unitaria de Primera Instancia, </w:t>
      </w:r>
      <w:r w:rsidR="00183E97">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B336AC" w:rsidRDefault="00B336AC" w:rsidP="00B336AC">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El acuerdo </w:t>
      </w:r>
      <w:r>
        <w:rPr>
          <w:rFonts w:ascii="Arial" w:hAnsi="Arial" w:cs="Arial"/>
          <w:sz w:val="26"/>
          <w:szCs w:val="26"/>
        </w:rPr>
        <w:t>recurrido es el siguiente:</w:t>
      </w:r>
    </w:p>
    <w:p w:rsidR="00B336AC" w:rsidRDefault="00B336AC" w:rsidP="00B336AC">
      <w:pPr>
        <w:spacing w:before="240"/>
        <w:ind w:left="1134" w:right="566"/>
        <w:jc w:val="both"/>
        <w:rPr>
          <w:rFonts w:ascii="Arial" w:eastAsia="Calibri" w:hAnsi="Arial" w:cs="Arial"/>
          <w:b/>
          <w:bCs/>
          <w:i/>
          <w:color w:val="000000" w:themeColor="text1"/>
          <w:sz w:val="24"/>
          <w:szCs w:val="24"/>
        </w:rPr>
      </w:pPr>
      <w:r w:rsidRPr="008A3D91">
        <w:rPr>
          <w:rFonts w:ascii="Arial" w:eastAsia="Calibri" w:hAnsi="Arial" w:cs="Arial"/>
          <w:bCs/>
          <w:color w:val="000000" w:themeColor="text1"/>
          <w:sz w:val="24"/>
          <w:szCs w:val="24"/>
        </w:rPr>
        <w:t>“</w:t>
      </w:r>
      <w:r>
        <w:rPr>
          <w:rFonts w:ascii="Arial" w:eastAsia="Calibri" w:hAnsi="Arial" w:cs="Arial"/>
          <w:b/>
          <w:bCs/>
          <w:i/>
          <w:color w:val="000000" w:themeColor="text1"/>
          <w:sz w:val="24"/>
          <w:szCs w:val="24"/>
        </w:rPr>
        <w:t>OAXACA DE JUÁREZ, OAXACA, A CINCO DE SEPTIEMBRE DE DOS MIL DIECIOCHO.</w:t>
      </w:r>
    </w:p>
    <w:p w:rsidR="00B336AC" w:rsidRDefault="00B336AC" w:rsidP="00B336AC">
      <w:pPr>
        <w:spacing w:before="240"/>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Agréguese el escrito de </w:t>
      </w:r>
      <w:r w:rsidR="00183E97">
        <w:rPr>
          <w:rFonts w:ascii="Arial" w:hAnsi="Arial" w:cs="Arial"/>
          <w:b/>
          <w:i/>
        </w:rPr>
        <w:t>**********</w:t>
      </w:r>
      <w:r w:rsidRPr="009E7117">
        <w:rPr>
          <w:rFonts w:ascii="Arial" w:hAnsi="Arial" w:cs="Arial"/>
          <w:i/>
          <w:sz w:val="24"/>
          <w:szCs w:val="24"/>
        </w:rPr>
        <w:t>,</w:t>
      </w:r>
      <w:r w:rsidRPr="009E7117">
        <w:rPr>
          <w:rFonts w:ascii="Arial" w:eastAsia="Calibri" w:hAnsi="Arial" w:cs="Arial"/>
          <w:bCs/>
          <w:i/>
          <w:color w:val="000000" w:themeColor="text1"/>
          <w:sz w:val="24"/>
          <w:szCs w:val="24"/>
        </w:rPr>
        <w:t xml:space="preserve"> </w:t>
      </w:r>
      <w:r>
        <w:rPr>
          <w:rFonts w:ascii="Arial" w:eastAsia="Calibri" w:hAnsi="Arial" w:cs="Arial"/>
          <w:bCs/>
          <w:i/>
          <w:color w:val="000000" w:themeColor="text1"/>
          <w:sz w:val="24"/>
          <w:szCs w:val="24"/>
        </w:rPr>
        <w:t xml:space="preserve">presentado el cuatro de septiembre de dos mil dieciocho, con copias simples como anexos, mediante el cual promueve el incidente de nulidad de notificaciones, respecto el auto de </w:t>
      </w:r>
      <w:r>
        <w:rPr>
          <w:rFonts w:ascii="Arial" w:eastAsia="Calibri" w:hAnsi="Arial" w:cs="Arial"/>
          <w:b/>
          <w:bCs/>
          <w:i/>
          <w:color w:val="000000" w:themeColor="text1"/>
          <w:sz w:val="24"/>
          <w:szCs w:val="24"/>
        </w:rPr>
        <w:t xml:space="preserve">veintitrés de agosto de dos mil dieciocho, </w:t>
      </w:r>
      <w:r>
        <w:rPr>
          <w:rFonts w:ascii="Arial" w:eastAsia="Calibri" w:hAnsi="Arial" w:cs="Arial"/>
          <w:bCs/>
          <w:i/>
          <w:color w:val="000000" w:themeColor="text1"/>
          <w:sz w:val="24"/>
          <w:szCs w:val="24"/>
        </w:rPr>
        <w:t>y reitera se autorice a las asesoras que ahí menciona para oír, recibir notificaciones y recoger documentos.</w:t>
      </w:r>
    </w:p>
    <w:p w:rsidR="00B336AC" w:rsidRDefault="00B336AC" w:rsidP="00B336AC">
      <w:pPr>
        <w:spacing w:before="240"/>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Con fundamento en los artículos 175, párrafos primero, segundo; y 224 última parte, Ley de Procedimiento y Justicia </w:t>
      </w:r>
      <w:r>
        <w:rPr>
          <w:rFonts w:ascii="Arial" w:eastAsia="Calibri" w:hAnsi="Arial" w:cs="Arial"/>
          <w:bCs/>
          <w:i/>
          <w:color w:val="000000" w:themeColor="text1"/>
          <w:sz w:val="24"/>
          <w:szCs w:val="24"/>
        </w:rPr>
        <w:lastRenderedPageBreak/>
        <w:t>Administrativa para el Estado de Oaxaca, se desecha el incidente de notificaciones promovido por notoriamente improcedente.</w:t>
      </w:r>
    </w:p>
    <w:p w:rsidR="00B336AC" w:rsidRDefault="00B336AC" w:rsidP="00B336AC">
      <w:pPr>
        <w:spacing w:before="240"/>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w:t>
      </w:r>
    </w:p>
    <w:p w:rsidR="00B336AC" w:rsidRDefault="00B336AC" w:rsidP="00B336AC">
      <w:pPr>
        <w:spacing w:before="240"/>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Lo anterior es así, por las siguientes razones, que la nulidad la debe promover </w:t>
      </w:r>
      <w:r w:rsidRPr="002578FE">
        <w:rPr>
          <w:rFonts w:ascii="Arial" w:eastAsia="Calibri" w:hAnsi="Arial" w:cs="Arial"/>
          <w:b/>
          <w:bCs/>
          <w:i/>
          <w:color w:val="000000" w:themeColor="text1"/>
          <w:sz w:val="24"/>
          <w:szCs w:val="24"/>
          <w:u w:val="single"/>
        </w:rPr>
        <w:t>la parte afectada</w:t>
      </w:r>
      <w:r>
        <w:rPr>
          <w:rFonts w:ascii="Arial" w:eastAsia="Calibri" w:hAnsi="Arial" w:cs="Arial"/>
          <w:bCs/>
          <w:i/>
          <w:color w:val="000000" w:themeColor="text1"/>
          <w:sz w:val="24"/>
          <w:szCs w:val="24"/>
        </w:rPr>
        <w:t xml:space="preserve"> y en el presente caso, no se advierte que la notificación del acuerdo por instructivo de notificación realizado por el actuario adscrito a ésta Sala Unitaria, le afecte ya que en esencia su demanda fue admitida a trámite.</w:t>
      </w:r>
    </w:p>
    <w:p w:rsidR="00B336AC" w:rsidRDefault="00B336AC" w:rsidP="00B336AC">
      <w:pPr>
        <w:spacing w:before="240"/>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Es un hecho notorio que en el local que dejó citatorio y el instructivo de notificación es la oficina que ocupan los asesores de éste Tribunal. Que no entendió la notificación personal con los mismos en forma directa, ni le dejó que firmaran el citatorio ni el instructivo de notificación con los mismos ya que en el acuerdo de inicio no se les autorizó como lo solicitó, es decir únicamente para los efectos del artículo 140, de la Ley de PROCEDIMIENTO Y Justicia Administrativa para el Estado de Oaxaca, </w:t>
      </w:r>
      <w:r w:rsidRPr="00BF05DB">
        <w:rPr>
          <w:rFonts w:ascii="Arial" w:eastAsia="Calibri" w:hAnsi="Arial" w:cs="Arial"/>
          <w:b/>
          <w:bCs/>
          <w:i/>
          <w:color w:val="000000" w:themeColor="text1"/>
          <w:sz w:val="24"/>
          <w:szCs w:val="24"/>
          <w:u w:val="single"/>
        </w:rPr>
        <w:t>cuyas funciones están delimitadas como servidores públicos; es decir, no encuadran en la generalidad de cualquier persona como si fueran particulares</w:t>
      </w:r>
      <w:r>
        <w:rPr>
          <w:rFonts w:ascii="Arial" w:eastAsia="Calibri" w:hAnsi="Arial" w:cs="Arial"/>
          <w:bCs/>
          <w:i/>
          <w:color w:val="000000" w:themeColor="text1"/>
          <w:sz w:val="24"/>
          <w:szCs w:val="24"/>
        </w:rPr>
        <w:t>. El fedatario público utilizó en forma supletoria el Código de Procedimientos Civiles para el Estado de Oaxaca, para realizar su notificación, ya que la ley de la materia no prevé todos los supuestos que puedan acontecer al realizar las notificaciones ordenadas.</w:t>
      </w:r>
    </w:p>
    <w:p w:rsidR="00B336AC" w:rsidRPr="00496E28" w:rsidRDefault="00B336AC" w:rsidP="00B336AC">
      <w:pPr>
        <w:spacing w:before="240"/>
        <w:ind w:left="1134" w:right="566"/>
        <w:jc w:val="both"/>
        <w:rPr>
          <w:rFonts w:ascii="Arial" w:eastAsia="Calibri" w:hAnsi="Arial" w:cs="Arial"/>
          <w:bCs/>
          <w:color w:val="000000" w:themeColor="text1"/>
          <w:sz w:val="24"/>
          <w:szCs w:val="24"/>
        </w:rPr>
      </w:pPr>
      <w:r>
        <w:rPr>
          <w:rFonts w:ascii="Arial" w:eastAsia="Calibri" w:hAnsi="Arial" w:cs="Arial"/>
          <w:bCs/>
          <w:i/>
          <w:color w:val="000000" w:themeColor="text1"/>
          <w:sz w:val="24"/>
          <w:szCs w:val="24"/>
        </w:rPr>
        <w:t>Además sin prejuzgar sobre la irregularidad o no de la notificación del acuerdo de veintitrés de agosto de dos mil dieciocho, la parte actora se ostenta sabedora de su contenido desde el veintinueve de agosto de dos mil dieciocho, la cual se entiende legalmente hecha, conforme a la última parte del artículo 175, de la Ley de Procedimiento y Justicia Administrativa para el Estado de Oaxaca…</w:t>
      </w:r>
      <w:r>
        <w:rPr>
          <w:rFonts w:ascii="Arial" w:eastAsia="Calibri" w:hAnsi="Arial" w:cs="Arial"/>
          <w:bCs/>
          <w:color w:val="000000" w:themeColor="text1"/>
          <w:sz w:val="24"/>
          <w:szCs w:val="24"/>
        </w:rPr>
        <w:t>”</w:t>
      </w:r>
    </w:p>
    <w:p w:rsidR="00B336AC" w:rsidRPr="00126E20" w:rsidRDefault="00B336AC" w:rsidP="00B336AC">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B336AC" w:rsidRPr="00CB6405" w:rsidRDefault="00B336AC" w:rsidP="00B336A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w:t>
      </w:r>
      <w:r>
        <w:rPr>
          <w:rFonts w:ascii="Arial" w:hAnsi="Arial" w:cs="Arial"/>
          <w:bCs/>
          <w:iCs/>
          <w:sz w:val="26"/>
          <w:szCs w:val="26"/>
          <w:lang w:eastAsia="es-ES"/>
        </w:rPr>
        <w:t xml:space="preserve">conformidad con lo dispuesto por los </w:t>
      </w:r>
      <w:r>
        <w:rPr>
          <w:rFonts w:ascii="Arial" w:hAnsi="Arial" w:cs="Arial"/>
          <w:bCs/>
          <w:iCs/>
          <w:sz w:val="26"/>
          <w:szCs w:val="26"/>
        </w:rPr>
        <w:t>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del</w:t>
      </w:r>
      <w:r>
        <w:rPr>
          <w:rFonts w:ascii="Arial" w:hAnsi="Arial" w:cs="Arial"/>
          <w:bCs/>
          <w:iCs/>
          <w:sz w:val="26"/>
          <w:szCs w:val="26"/>
        </w:rPr>
        <w:t xml:space="preserve"> auto de cinco de septiembre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Segunda Sala </w:t>
      </w:r>
      <w:r w:rsidRPr="00CB6405">
        <w:rPr>
          <w:rFonts w:ascii="Arial" w:hAnsi="Arial" w:cs="Arial"/>
          <w:bCs/>
          <w:iCs/>
          <w:sz w:val="26"/>
          <w:szCs w:val="26"/>
        </w:rPr>
        <w:t xml:space="preserve">Unitaria de Primera Instancia de este Tribunal, en el expediente </w:t>
      </w:r>
      <w:r>
        <w:rPr>
          <w:rFonts w:ascii="Arial" w:hAnsi="Arial" w:cs="Arial"/>
          <w:b/>
          <w:bCs/>
          <w:iCs/>
          <w:sz w:val="26"/>
          <w:szCs w:val="26"/>
        </w:rPr>
        <w:t>0054/2018</w:t>
      </w:r>
      <w:r w:rsidRPr="00CB6405">
        <w:rPr>
          <w:rFonts w:ascii="Arial" w:hAnsi="Arial" w:cs="Arial"/>
          <w:sz w:val="26"/>
          <w:szCs w:val="26"/>
        </w:rPr>
        <w:t>.</w:t>
      </w:r>
    </w:p>
    <w:p w:rsidR="00B336AC" w:rsidRDefault="00B336AC" w:rsidP="00B336AC">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lastRenderedPageBreak/>
        <w:t>SEGUNDO.</w:t>
      </w:r>
      <w:r w:rsidRPr="006E349D">
        <w:rPr>
          <w:rFonts w:ascii="Arial" w:hAnsi="Arial" w:cs="Arial"/>
          <w:bCs/>
          <w:sz w:val="26"/>
          <w:szCs w:val="26"/>
        </w:rPr>
        <w:t xml:space="preserve"> </w:t>
      </w:r>
      <w:r>
        <w:rPr>
          <w:rFonts w:ascii="Arial" w:hAnsi="Arial" w:cs="Arial"/>
          <w:color w:val="000000"/>
          <w:sz w:val="26"/>
          <w:szCs w:val="26"/>
        </w:rPr>
        <w:t>El recurrente se inconforma del acuerdo de cinco de septiembre de dos mil dieciocho, en el que la Primera Instancia, desecho el incidente de notificación que promovió.</w:t>
      </w:r>
    </w:p>
    <w:p w:rsidR="00B336AC" w:rsidRDefault="00B336AC" w:rsidP="00B336AC">
      <w:pPr>
        <w:spacing w:before="240" w:line="360" w:lineRule="auto"/>
        <w:ind w:firstLine="708"/>
        <w:jc w:val="both"/>
        <w:rPr>
          <w:rFonts w:ascii="Arial" w:hAnsi="Arial" w:cs="Arial"/>
          <w:sz w:val="26"/>
          <w:szCs w:val="26"/>
        </w:rPr>
      </w:pPr>
      <w:r>
        <w:rPr>
          <w:rFonts w:ascii="Arial" w:hAnsi="Arial" w:cs="Arial"/>
          <w:sz w:val="26"/>
          <w:szCs w:val="26"/>
        </w:rPr>
        <w:t>El artículo 236 de la Ley de Procedimiento y Justicia Administrativa para el Estado de Oaxaca, establece:</w:t>
      </w:r>
    </w:p>
    <w:p w:rsidR="00B336AC" w:rsidRPr="00852732" w:rsidRDefault="00B336AC" w:rsidP="0088442E">
      <w:pPr>
        <w:spacing w:after="0"/>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w:t>
      </w:r>
      <w:r>
        <w:rPr>
          <w:rFonts w:ascii="Arial" w:hAnsi="Arial" w:cs="Arial"/>
          <w:b/>
          <w:i/>
          <w:sz w:val="24"/>
          <w:szCs w:val="24"/>
        </w:rPr>
        <w:t>3</w:t>
      </w:r>
      <w:r w:rsidRPr="00852732">
        <w:rPr>
          <w:rFonts w:ascii="Arial" w:hAnsi="Arial" w:cs="Arial"/>
          <w:b/>
          <w:i/>
          <w:sz w:val="24"/>
          <w:szCs w:val="24"/>
        </w:rPr>
        <w:t>6</w:t>
      </w:r>
      <w:r w:rsidRPr="00852732">
        <w:rPr>
          <w:rFonts w:ascii="Arial" w:hAnsi="Arial" w:cs="Arial"/>
          <w:i/>
          <w:sz w:val="24"/>
          <w:szCs w:val="24"/>
        </w:rPr>
        <w:t>.- Contra los acuerdos y resoluciones dictados por l</w:t>
      </w:r>
      <w:r>
        <w:rPr>
          <w:rFonts w:ascii="Arial" w:hAnsi="Arial" w:cs="Arial"/>
          <w:i/>
          <w:sz w:val="24"/>
          <w:szCs w:val="24"/>
        </w:rPr>
        <w:t xml:space="preserve">as Salas Unitarias de </w:t>
      </w:r>
      <w:r w:rsidRPr="00852732">
        <w:rPr>
          <w:rFonts w:ascii="Arial" w:hAnsi="Arial" w:cs="Arial"/>
          <w:i/>
          <w:sz w:val="24"/>
          <w:szCs w:val="24"/>
        </w:rPr>
        <w:t>Primera Instancia, procede el recurso de revisión, cuyo conocimiento y resolución corresponde a la Sala Superior.</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I. Los acuerdos que admitan o desechen la demanda, su contestación o ampliación;</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II. El acuerdo que deseche pruebas;</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III. El acuerdo que rechace la intervención del tercero;</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IV. Los acuerdos que decreten, nieguen o revoquen la suspensión;</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V. Las resoluciones que decidan incidentes</w:t>
      </w:r>
      <w:r>
        <w:rPr>
          <w:rFonts w:ascii="Arial" w:hAnsi="Arial" w:cs="Arial"/>
          <w:i/>
          <w:sz w:val="24"/>
          <w:szCs w:val="24"/>
        </w:rPr>
        <w:t xml:space="preserve"> a que se refiere el artículo 224 de esta Ley</w:t>
      </w:r>
      <w:r w:rsidRPr="00852732">
        <w:rPr>
          <w:rFonts w:ascii="Arial" w:hAnsi="Arial" w:cs="Arial"/>
          <w:i/>
          <w:sz w:val="24"/>
          <w:szCs w:val="24"/>
        </w:rPr>
        <w:t>;</w:t>
      </w:r>
    </w:p>
    <w:p w:rsidR="00B336AC" w:rsidRPr="00852732"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VI. Las resoluciones que decreten o nieguen el sobreseimiento;</w:t>
      </w:r>
    </w:p>
    <w:p w:rsidR="00B336AC" w:rsidRDefault="00B336AC" w:rsidP="0088442E">
      <w:pPr>
        <w:spacing w:after="0"/>
        <w:ind w:left="851" w:right="778"/>
        <w:jc w:val="both"/>
        <w:rPr>
          <w:rFonts w:ascii="Arial" w:hAnsi="Arial" w:cs="Arial"/>
          <w:i/>
          <w:sz w:val="24"/>
          <w:szCs w:val="24"/>
        </w:rPr>
      </w:pPr>
      <w:r w:rsidRPr="00852732">
        <w:rPr>
          <w:rFonts w:ascii="Arial" w:hAnsi="Arial" w:cs="Arial"/>
          <w:i/>
          <w:sz w:val="24"/>
          <w:szCs w:val="24"/>
        </w:rPr>
        <w:t>VII. Las sentencias que decidan la cuestión planteada</w:t>
      </w:r>
      <w:r>
        <w:rPr>
          <w:rFonts w:ascii="Arial" w:hAnsi="Arial" w:cs="Arial"/>
          <w:i/>
          <w:sz w:val="24"/>
          <w:szCs w:val="24"/>
        </w:rPr>
        <w:t>;</w:t>
      </w:r>
    </w:p>
    <w:p w:rsidR="00B336AC" w:rsidRPr="00852732" w:rsidRDefault="00B336AC" w:rsidP="0088442E">
      <w:pPr>
        <w:spacing w:after="0"/>
        <w:ind w:left="851" w:right="778"/>
        <w:jc w:val="both"/>
        <w:rPr>
          <w:rFonts w:ascii="Arial" w:hAnsi="Arial" w:cs="Arial"/>
          <w:i/>
          <w:sz w:val="24"/>
          <w:szCs w:val="24"/>
        </w:rPr>
      </w:pPr>
      <w:r>
        <w:rPr>
          <w:rFonts w:ascii="Arial" w:hAnsi="Arial" w:cs="Arial"/>
          <w:i/>
          <w:sz w:val="24"/>
          <w:szCs w:val="24"/>
        </w:rPr>
        <w:t>VIII</w:t>
      </w:r>
      <w:r w:rsidRPr="00852732">
        <w:rPr>
          <w:rFonts w:ascii="Arial" w:hAnsi="Arial" w:cs="Arial"/>
          <w:i/>
          <w:sz w:val="24"/>
          <w:szCs w:val="24"/>
        </w:rPr>
        <w:t>. Por violaciones cometidas durante el procedimiento del juicio, cuando hayan dejado sin defensa al recurrente y trasciendan al sentido de la sentencia; y</w:t>
      </w:r>
    </w:p>
    <w:p w:rsidR="00B336AC" w:rsidRDefault="00B336AC" w:rsidP="0088442E">
      <w:pPr>
        <w:spacing w:after="0"/>
        <w:ind w:left="851" w:right="778"/>
        <w:jc w:val="both"/>
        <w:rPr>
          <w:rFonts w:ascii="Arial" w:hAnsi="Arial" w:cs="Arial"/>
          <w:sz w:val="24"/>
          <w:szCs w:val="24"/>
        </w:rPr>
      </w:pPr>
      <w:r>
        <w:rPr>
          <w:rFonts w:ascii="Arial" w:hAnsi="Arial" w:cs="Arial"/>
          <w:i/>
          <w:sz w:val="24"/>
          <w:szCs w:val="24"/>
        </w:rPr>
        <w:t>IX</w:t>
      </w:r>
      <w:r w:rsidRPr="00852732">
        <w:rPr>
          <w:rFonts w:ascii="Arial" w:hAnsi="Arial" w:cs="Arial"/>
          <w:i/>
          <w:sz w:val="24"/>
          <w:szCs w:val="24"/>
        </w:rPr>
        <w:t>. Las resoluciones que pongan fin al procedimiento de ejecución de la sentencia.</w:t>
      </w:r>
      <w:r>
        <w:rPr>
          <w:rFonts w:ascii="Arial" w:hAnsi="Arial" w:cs="Arial"/>
          <w:sz w:val="24"/>
          <w:szCs w:val="24"/>
        </w:rPr>
        <w:t>”</w:t>
      </w:r>
    </w:p>
    <w:p w:rsidR="0088442E" w:rsidRDefault="0088442E" w:rsidP="0088442E">
      <w:pPr>
        <w:spacing w:after="0"/>
        <w:ind w:left="851" w:right="778"/>
        <w:jc w:val="both"/>
        <w:rPr>
          <w:rFonts w:ascii="Arial" w:hAnsi="Arial" w:cs="Arial"/>
          <w:sz w:val="24"/>
          <w:szCs w:val="24"/>
        </w:rPr>
      </w:pPr>
    </w:p>
    <w:p w:rsidR="00B336AC" w:rsidRDefault="00B336AC" w:rsidP="00B336AC">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como ya se apuntó consistente en el desechamiento del incidente de notificación que promovió en Primera Instancia</w:t>
      </w:r>
      <w:r>
        <w:rPr>
          <w:rFonts w:ascii="Arial" w:hAnsi="Arial" w:cs="Arial"/>
          <w:color w:val="000000"/>
          <w:sz w:val="26"/>
          <w:szCs w:val="26"/>
        </w:rPr>
        <w:t xml:space="preserve">; el cual </w:t>
      </w:r>
      <w:r>
        <w:rPr>
          <w:rFonts w:ascii="Arial" w:hAnsi="Arial" w:cs="Arial"/>
          <w:bCs/>
          <w:sz w:val="26"/>
          <w:szCs w:val="26"/>
        </w:rPr>
        <w:t>no encuadra en ninguna de las hipótesis previstas en el mencionado artículo para su revisión en esta instancia; pues si bien se desechó incidente de notificación, no se trata de una resolución que haya resuelto dicho incidente, para que en todo caso encuadrará en la fracción V, del artículo citado.</w:t>
      </w:r>
    </w:p>
    <w:p w:rsidR="00B336AC" w:rsidRDefault="00B336AC" w:rsidP="00B336AC">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236 y diverso 238 de la Ley de Procedimiento y Justicia Administrativa para el Estado de Oaxaca,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183E97">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del acuerdo de cinco de septiembre de dos mil dieciocho.</w:t>
      </w:r>
    </w:p>
    <w:p w:rsidR="00B336AC" w:rsidRDefault="00B336AC" w:rsidP="00B336AC">
      <w:pPr>
        <w:spacing w:line="360" w:lineRule="auto"/>
        <w:ind w:firstLine="708"/>
        <w:jc w:val="both"/>
        <w:rPr>
          <w:rFonts w:ascii="Arial" w:hAnsi="Arial" w:cs="Arial"/>
          <w:sz w:val="26"/>
          <w:szCs w:val="26"/>
        </w:rPr>
      </w:pPr>
      <w:r>
        <w:rPr>
          <w:rFonts w:ascii="Arial" w:hAnsi="Arial" w:cs="Arial"/>
          <w:sz w:val="26"/>
          <w:szCs w:val="26"/>
        </w:rPr>
        <w:lastRenderedPageBreak/>
        <w:t>En mérito de lo anterior, con fundamento en los artículos 237 y 238 de la Ley de Procedimiento y Justicia Administrativa para el Estado, se:</w:t>
      </w:r>
    </w:p>
    <w:p w:rsidR="00B336AC" w:rsidRDefault="00B336AC" w:rsidP="00B336AC">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B336AC" w:rsidRDefault="00B336AC" w:rsidP="00B336AC">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B336AC" w:rsidRDefault="00B336AC" w:rsidP="00B336AC">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B336AC" w:rsidRPr="00B336AC" w:rsidRDefault="00B336AC" w:rsidP="00B336AC">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69242C" w:rsidRPr="0088442E" w:rsidRDefault="0069242C" w:rsidP="0088442E">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88442E" w:rsidRDefault="0088442E"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Default="0069242C" w:rsidP="0088442E">
      <w:pPr>
        <w:spacing w:after="0"/>
        <w:jc w:val="center"/>
        <w:rPr>
          <w:rFonts w:ascii="Arial" w:hAnsi="Arial" w:cs="Arial"/>
          <w:sz w:val="26"/>
          <w:szCs w:val="26"/>
        </w:rPr>
      </w:pPr>
      <w:r w:rsidRPr="009B6852">
        <w:rPr>
          <w:rFonts w:ascii="Arial" w:hAnsi="Arial" w:cs="Arial"/>
          <w:sz w:val="26"/>
          <w:szCs w:val="26"/>
        </w:rPr>
        <w:t>PRESIDENTE</w:t>
      </w:r>
    </w:p>
    <w:p w:rsidR="0088442E" w:rsidRDefault="0088442E" w:rsidP="0088442E">
      <w:pPr>
        <w:spacing w:after="0"/>
        <w:jc w:val="center"/>
        <w:rPr>
          <w:rFonts w:ascii="Arial" w:hAnsi="Arial" w:cs="Arial"/>
          <w:sz w:val="26"/>
          <w:szCs w:val="26"/>
        </w:rPr>
      </w:pPr>
    </w:p>
    <w:p w:rsidR="003B4A29" w:rsidRPr="009B6852" w:rsidRDefault="003B4A29"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Default="0088442E" w:rsidP="0069242C">
      <w:pPr>
        <w:jc w:val="center"/>
        <w:rPr>
          <w:rFonts w:ascii="Arial" w:hAnsi="Arial" w:cs="Arial"/>
          <w:b/>
          <w:sz w:val="14"/>
          <w:szCs w:val="26"/>
        </w:rPr>
      </w:pPr>
      <w:r w:rsidRPr="0088442E">
        <w:rPr>
          <w:rFonts w:ascii="Arial" w:hAnsi="Arial" w:cs="Arial"/>
          <w:b/>
          <w:sz w:val="14"/>
          <w:szCs w:val="26"/>
        </w:rPr>
        <w:t>LAS PRESENTES FIRMAS CORRESPONDEN AL RECURSO DE REVISIÓN 396/2018</w:t>
      </w:r>
    </w:p>
    <w:p w:rsidR="0088442E" w:rsidRDefault="0088442E" w:rsidP="0069242C">
      <w:pPr>
        <w:jc w:val="center"/>
        <w:rPr>
          <w:rFonts w:ascii="Arial" w:hAnsi="Arial" w:cs="Arial"/>
          <w:b/>
          <w:sz w:val="14"/>
          <w:szCs w:val="26"/>
        </w:rPr>
      </w:pPr>
    </w:p>
    <w:p w:rsidR="0088442E" w:rsidRDefault="0088442E" w:rsidP="0069242C">
      <w:pPr>
        <w:jc w:val="center"/>
        <w:rPr>
          <w:rFonts w:ascii="Arial" w:hAnsi="Arial" w:cs="Arial"/>
          <w:b/>
          <w:sz w:val="14"/>
          <w:szCs w:val="26"/>
        </w:rPr>
      </w:pPr>
    </w:p>
    <w:p w:rsidR="0088442E" w:rsidRDefault="0088442E" w:rsidP="0069242C">
      <w:pPr>
        <w:jc w:val="center"/>
        <w:rPr>
          <w:rFonts w:ascii="Arial" w:hAnsi="Arial" w:cs="Arial"/>
          <w:b/>
          <w:sz w:val="14"/>
          <w:szCs w:val="26"/>
        </w:rPr>
      </w:pPr>
    </w:p>
    <w:p w:rsidR="0088442E" w:rsidRDefault="0088442E" w:rsidP="0069242C">
      <w:pPr>
        <w:jc w:val="center"/>
        <w:rPr>
          <w:rFonts w:ascii="Arial" w:hAnsi="Arial" w:cs="Arial"/>
          <w:b/>
          <w:sz w:val="14"/>
          <w:szCs w:val="26"/>
        </w:rPr>
      </w:pPr>
    </w:p>
    <w:p w:rsidR="0088442E" w:rsidRPr="0088442E" w:rsidRDefault="0088442E" w:rsidP="0069242C">
      <w:pPr>
        <w:jc w:val="center"/>
        <w:rPr>
          <w:rFonts w:ascii="Arial" w:hAnsi="Arial" w:cs="Arial"/>
          <w:b/>
          <w:sz w:val="14"/>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967" w:rsidRDefault="00657967">
      <w:pPr>
        <w:spacing w:after="0" w:line="240" w:lineRule="auto"/>
      </w:pPr>
      <w:r>
        <w:separator/>
      </w:r>
    </w:p>
  </w:endnote>
  <w:endnote w:type="continuationSeparator" w:id="0">
    <w:p w:rsidR="00657967" w:rsidRDefault="00657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40" w:rsidRDefault="00FC504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40" w:rsidRDefault="00FC5040">
    <w:pPr>
      <w:pStyle w:val="Piedepgina"/>
    </w:pPr>
    <w:r>
      <w:rPr>
        <w:noProof/>
      </w:rPr>
      <w:drawing>
        <wp:anchor distT="0" distB="0" distL="114300" distR="114300" simplePos="0" relativeHeight="251663360" behindDoc="0" locked="0" layoutInCell="1" allowOverlap="1" wp14:anchorId="56D13279" wp14:editId="328A2D24">
          <wp:simplePos x="0" y="0"/>
          <wp:positionH relativeFrom="column">
            <wp:posOffset>-1182034</wp:posOffset>
          </wp:positionH>
          <wp:positionV relativeFrom="paragraph">
            <wp:posOffset>-5403252</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40" w:rsidRDefault="00FC504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967" w:rsidRDefault="00657967">
      <w:pPr>
        <w:spacing w:after="0" w:line="240" w:lineRule="auto"/>
      </w:pPr>
      <w:r>
        <w:separator/>
      </w:r>
    </w:p>
  </w:footnote>
  <w:footnote w:type="continuationSeparator" w:id="0">
    <w:p w:rsidR="00657967" w:rsidRDefault="00657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FC5040">
          <w:rPr>
            <w:noProof/>
          </w:rPr>
          <w:t>2</w:t>
        </w:r>
        <w:r>
          <w:fldChar w:fldCharType="end"/>
        </w:r>
      </w:p>
    </w:sdtContent>
  </w:sdt>
  <w:p w:rsidR="00126798" w:rsidRDefault="00FC5040">
    <w:pPr>
      <w:pStyle w:val="Encabezado"/>
    </w:pPr>
    <w:bookmarkStart w:id="0" w:name="_GoBack"/>
    <w:r>
      <w:rPr>
        <w:noProof/>
      </w:rPr>
      <w:drawing>
        <wp:anchor distT="0" distB="0" distL="114300" distR="114300" simplePos="0" relativeHeight="251672576" behindDoc="0" locked="0" layoutInCell="1" allowOverlap="1" wp14:anchorId="26B313B5" wp14:editId="3F07BEF3">
          <wp:simplePos x="0" y="0"/>
          <wp:positionH relativeFrom="column">
            <wp:posOffset>5249918</wp:posOffset>
          </wp:positionH>
          <wp:positionV relativeFrom="paragraph">
            <wp:posOffset>4161678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FC5040">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461794A8" wp14:editId="11AED510">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072" behindDoc="1" locked="0" layoutInCell="1" allowOverlap="1" wp14:anchorId="7B308D18" wp14:editId="10A1BA19">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040" w:rsidRDefault="00FC504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83E97"/>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8252C"/>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967"/>
    <w:rsid w:val="00657C11"/>
    <w:rsid w:val="00684DD2"/>
    <w:rsid w:val="00685F46"/>
    <w:rsid w:val="0069242C"/>
    <w:rsid w:val="006938B1"/>
    <w:rsid w:val="00694FE2"/>
    <w:rsid w:val="006A69F9"/>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8442E"/>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07D0"/>
    <w:rsid w:val="00AB1944"/>
    <w:rsid w:val="00AB3054"/>
    <w:rsid w:val="00AB71BD"/>
    <w:rsid w:val="00AC63EE"/>
    <w:rsid w:val="00AC6BFF"/>
    <w:rsid w:val="00AD0B0A"/>
    <w:rsid w:val="00AE3A36"/>
    <w:rsid w:val="00AE3B0F"/>
    <w:rsid w:val="00AE4326"/>
    <w:rsid w:val="00AF0926"/>
    <w:rsid w:val="00B13F19"/>
    <w:rsid w:val="00B27E60"/>
    <w:rsid w:val="00B33640"/>
    <w:rsid w:val="00B336AC"/>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38CA"/>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73E98"/>
    <w:rsid w:val="00D8265B"/>
    <w:rsid w:val="00D838B9"/>
    <w:rsid w:val="00D86D0B"/>
    <w:rsid w:val="00D91377"/>
    <w:rsid w:val="00D94092"/>
    <w:rsid w:val="00DB42EB"/>
    <w:rsid w:val="00DC4D7A"/>
    <w:rsid w:val="00DD76A5"/>
    <w:rsid w:val="00E03F45"/>
    <w:rsid w:val="00E14A1A"/>
    <w:rsid w:val="00E16D22"/>
    <w:rsid w:val="00E249FF"/>
    <w:rsid w:val="00E30BF5"/>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C5040"/>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CA748F-4006-4B3A-B3A5-4F320B7A4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A7467-A1B5-4336-A16F-5AE4575A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5</Pages>
  <Words>1234</Words>
  <Characters>6791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30</cp:revision>
  <cp:lastPrinted>2019-04-05T19:19:00Z</cp:lastPrinted>
  <dcterms:created xsi:type="dcterms:W3CDTF">2019-04-12T01:57:00Z</dcterms:created>
  <dcterms:modified xsi:type="dcterms:W3CDTF">2019-07-01T18:39:00Z</dcterms:modified>
</cp:coreProperties>
</file>