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0" w:type="dxa"/>
        <w:tblInd w:w="-1602" w:type="dxa"/>
        <w:tblLayout w:type="fixed"/>
        <w:tblCellMar>
          <w:left w:w="70" w:type="dxa"/>
          <w:right w:w="70" w:type="dxa"/>
        </w:tblCellMar>
        <w:tblLook w:val="04A0" w:firstRow="1" w:lastRow="0" w:firstColumn="1" w:lastColumn="0" w:noHBand="0" w:noVBand="1"/>
      </w:tblPr>
      <w:tblGrid>
        <w:gridCol w:w="2356"/>
        <w:gridCol w:w="7424"/>
      </w:tblGrid>
      <w:tr w:rsidR="00A11343" w:rsidRPr="00A11343" w:rsidTr="00A11343">
        <w:tc>
          <w:tcPr>
            <w:tcW w:w="2356" w:type="dxa"/>
            <w:hideMark/>
          </w:tcPr>
          <w:p w:rsidR="00A11343" w:rsidRPr="00A11343" w:rsidRDefault="00A11343">
            <w:pPr>
              <w:spacing w:after="0" w:line="240" w:lineRule="auto"/>
              <w:rPr>
                <w:rFonts w:ascii="Arial" w:hAnsi="Arial" w:cs="Arial"/>
                <w:b/>
                <w:sz w:val="26"/>
                <w:szCs w:val="26"/>
              </w:rPr>
            </w:pPr>
            <w:bookmarkStart w:id="0" w:name="_GoBack"/>
            <w:bookmarkEnd w:id="0"/>
            <w:r w:rsidRPr="00A11343">
              <w:rPr>
                <w:rFonts w:ascii="Arial" w:hAnsi="Arial" w:cs="Arial"/>
                <w:b/>
                <w:sz w:val="26"/>
                <w:szCs w:val="26"/>
              </w:rPr>
              <w:t xml:space="preserve">     </w:t>
            </w:r>
          </w:p>
        </w:tc>
        <w:tc>
          <w:tcPr>
            <w:tcW w:w="7424" w:type="dxa"/>
          </w:tcPr>
          <w:p w:rsidR="00A11343" w:rsidRPr="00A11343" w:rsidRDefault="00A11343">
            <w:pPr>
              <w:tabs>
                <w:tab w:val="left" w:pos="3103"/>
              </w:tabs>
              <w:spacing w:after="0" w:line="240" w:lineRule="auto"/>
              <w:ind w:left="2394"/>
              <w:jc w:val="both"/>
              <w:rPr>
                <w:rFonts w:ascii="Arial" w:hAnsi="Arial" w:cs="Arial"/>
                <w:b/>
                <w:i/>
                <w:iCs/>
                <w:caps/>
                <w:sz w:val="26"/>
                <w:szCs w:val="26"/>
              </w:rPr>
            </w:pPr>
            <w:r w:rsidRPr="00A11343">
              <w:rPr>
                <w:rFonts w:ascii="Arial" w:hAnsi="Arial" w:cs="Arial"/>
                <w:b/>
                <w:i/>
                <w:iCs/>
                <w:caps/>
                <w:sz w:val="26"/>
                <w:szCs w:val="26"/>
              </w:rPr>
              <w:t xml:space="preserve">                       </w:t>
            </w:r>
          </w:p>
          <w:p w:rsidR="00A11343" w:rsidRPr="00A11343" w:rsidRDefault="00A11343">
            <w:pPr>
              <w:tabs>
                <w:tab w:val="left" w:pos="3103"/>
              </w:tabs>
              <w:spacing w:after="0" w:line="240" w:lineRule="auto"/>
              <w:ind w:left="2394"/>
              <w:jc w:val="both"/>
              <w:rPr>
                <w:rFonts w:ascii="Arial" w:hAnsi="Arial" w:cs="Arial"/>
                <w:b/>
                <w:iCs/>
                <w:caps/>
                <w:sz w:val="26"/>
                <w:szCs w:val="26"/>
              </w:rPr>
            </w:pPr>
            <w:r w:rsidRPr="00A11343">
              <w:rPr>
                <w:rFonts w:ascii="Arial" w:hAnsi="Arial" w:cs="Arial"/>
                <w:b/>
                <w:iCs/>
                <w:caps/>
                <w:sz w:val="26"/>
                <w:szCs w:val="26"/>
              </w:rPr>
              <w:t>SALA SUPERIOR DEL TRIBUNAL DE JUSTICIA ADMINISTRATIVA DEL ESTADO DE OAXACA.</w:t>
            </w:r>
          </w:p>
          <w:p w:rsidR="00A11343" w:rsidRPr="00A11343" w:rsidRDefault="00A11343">
            <w:pPr>
              <w:pStyle w:val="Encabezado"/>
              <w:tabs>
                <w:tab w:val="clear" w:pos="4252"/>
              </w:tabs>
              <w:spacing w:line="256" w:lineRule="auto"/>
              <w:ind w:left="2394" w:right="51"/>
              <w:jc w:val="both"/>
              <w:rPr>
                <w:rFonts w:ascii="Arial" w:hAnsi="Arial" w:cs="Arial"/>
                <w:b/>
                <w:iCs/>
                <w:caps/>
                <w:sz w:val="26"/>
                <w:szCs w:val="26"/>
                <w:lang w:val="es-PE"/>
              </w:rPr>
            </w:pPr>
            <w:r w:rsidRPr="00A11343">
              <w:rPr>
                <w:rFonts w:ascii="Arial" w:hAnsi="Arial" w:cs="Arial"/>
                <w:b/>
                <w:iCs/>
                <w:caps/>
                <w:sz w:val="26"/>
                <w:szCs w:val="26"/>
                <w:lang w:val="es-PE"/>
              </w:rPr>
              <w:t xml:space="preserve">               </w:t>
            </w:r>
          </w:p>
          <w:p w:rsidR="00A11343" w:rsidRPr="00A11343" w:rsidRDefault="00A11343">
            <w:pPr>
              <w:pStyle w:val="Encabezado"/>
              <w:tabs>
                <w:tab w:val="clear" w:pos="4252"/>
              </w:tabs>
              <w:spacing w:line="256" w:lineRule="auto"/>
              <w:ind w:left="2394" w:right="51"/>
              <w:jc w:val="both"/>
              <w:rPr>
                <w:rFonts w:ascii="Arial" w:hAnsi="Arial" w:cs="Arial"/>
                <w:b/>
                <w:iCs/>
                <w:caps/>
                <w:sz w:val="26"/>
                <w:szCs w:val="26"/>
                <w:lang w:val="es-PE"/>
              </w:rPr>
            </w:pPr>
            <w:r w:rsidRPr="00A11343">
              <w:rPr>
                <w:rFonts w:ascii="Arial" w:hAnsi="Arial" w:cs="Arial"/>
                <w:b/>
                <w:iCs/>
                <w:caps/>
                <w:sz w:val="26"/>
                <w:szCs w:val="26"/>
                <w:lang w:val="es-PE"/>
              </w:rPr>
              <w:t xml:space="preserve">RECURSO DE REVISIÓN:   0403/2018 </w:t>
            </w:r>
          </w:p>
          <w:p w:rsidR="00A11343" w:rsidRPr="00A11343" w:rsidRDefault="00A11343">
            <w:pPr>
              <w:pStyle w:val="Encabezado"/>
              <w:tabs>
                <w:tab w:val="clear" w:pos="4252"/>
              </w:tabs>
              <w:spacing w:line="256" w:lineRule="auto"/>
              <w:ind w:left="2394" w:right="51"/>
              <w:jc w:val="both"/>
              <w:rPr>
                <w:rFonts w:ascii="Arial" w:hAnsi="Arial" w:cs="Arial"/>
                <w:b/>
                <w:iCs/>
                <w:caps/>
                <w:sz w:val="26"/>
                <w:szCs w:val="26"/>
                <w:lang w:val="es-PE"/>
              </w:rPr>
            </w:pPr>
          </w:p>
          <w:p w:rsidR="00A11343" w:rsidRPr="00A11343" w:rsidRDefault="00A11343">
            <w:pPr>
              <w:pStyle w:val="Encabezado"/>
              <w:tabs>
                <w:tab w:val="clear" w:pos="4252"/>
              </w:tabs>
              <w:spacing w:line="256" w:lineRule="auto"/>
              <w:ind w:left="2394" w:right="51"/>
              <w:jc w:val="both"/>
              <w:rPr>
                <w:rFonts w:ascii="Arial" w:hAnsi="Arial" w:cs="Arial"/>
                <w:b/>
                <w:iCs/>
                <w:caps/>
                <w:sz w:val="26"/>
                <w:szCs w:val="26"/>
                <w:lang w:val="es-PE"/>
              </w:rPr>
            </w:pPr>
            <w:r w:rsidRPr="00A11343">
              <w:rPr>
                <w:rFonts w:ascii="Arial" w:hAnsi="Arial" w:cs="Arial"/>
                <w:b/>
                <w:iCs/>
                <w:caps/>
                <w:sz w:val="26"/>
                <w:szCs w:val="26"/>
                <w:lang w:val="es-PE"/>
              </w:rPr>
              <w:t>EXPEDIENTE: 007/2018 DE LA PRIMERA  SALA UNITARIA DE PRIMERA INSTANCIA</w:t>
            </w:r>
          </w:p>
          <w:p w:rsidR="00A11343" w:rsidRPr="00A11343" w:rsidRDefault="00A11343">
            <w:pPr>
              <w:pStyle w:val="Encabezado"/>
              <w:tabs>
                <w:tab w:val="clear" w:pos="4252"/>
              </w:tabs>
              <w:spacing w:line="256" w:lineRule="auto"/>
              <w:ind w:left="2394" w:right="51"/>
              <w:jc w:val="both"/>
              <w:rPr>
                <w:rFonts w:ascii="Arial" w:hAnsi="Arial" w:cs="Arial"/>
                <w:b/>
                <w:iCs/>
                <w:caps/>
                <w:sz w:val="26"/>
                <w:szCs w:val="26"/>
                <w:lang w:val="es-PE"/>
              </w:rPr>
            </w:pPr>
            <w:r w:rsidRPr="00A11343">
              <w:rPr>
                <w:rFonts w:ascii="Arial" w:hAnsi="Arial" w:cs="Arial"/>
                <w:b/>
                <w:iCs/>
                <w:caps/>
                <w:sz w:val="26"/>
                <w:szCs w:val="26"/>
                <w:lang w:val="es-PE"/>
              </w:rPr>
              <w:t xml:space="preserve">       </w:t>
            </w:r>
          </w:p>
          <w:p w:rsidR="00A11343" w:rsidRPr="00A11343" w:rsidRDefault="00A11343">
            <w:pPr>
              <w:pStyle w:val="Encabezado"/>
              <w:tabs>
                <w:tab w:val="clear" w:pos="4252"/>
              </w:tabs>
              <w:spacing w:line="256" w:lineRule="auto"/>
              <w:ind w:left="2394" w:right="51"/>
              <w:jc w:val="both"/>
              <w:rPr>
                <w:rFonts w:ascii="Arial" w:hAnsi="Arial" w:cs="Arial"/>
                <w:b/>
                <w:iCs/>
                <w:caps/>
                <w:sz w:val="26"/>
                <w:szCs w:val="26"/>
                <w:lang w:val="es-PE"/>
              </w:rPr>
            </w:pPr>
            <w:r w:rsidRPr="00A11343">
              <w:rPr>
                <w:rFonts w:ascii="Arial" w:hAnsi="Arial" w:cs="Arial"/>
                <w:b/>
                <w:iCs/>
                <w:caps/>
                <w:sz w:val="26"/>
                <w:szCs w:val="26"/>
                <w:lang w:val="es-PE"/>
              </w:rPr>
              <w:t>ponente: magistrado HUGO VILLEGAS AQUINO</w:t>
            </w:r>
          </w:p>
        </w:tc>
      </w:tr>
      <w:tr w:rsidR="00A11343" w:rsidRPr="00A11343" w:rsidTr="00A11343">
        <w:tc>
          <w:tcPr>
            <w:tcW w:w="2356" w:type="dxa"/>
          </w:tcPr>
          <w:p w:rsidR="00A11343" w:rsidRPr="00A11343" w:rsidRDefault="00A11343">
            <w:pPr>
              <w:spacing w:after="0" w:line="240" w:lineRule="auto"/>
              <w:rPr>
                <w:rFonts w:ascii="Arial" w:hAnsi="Arial" w:cs="Arial"/>
                <w:b/>
                <w:sz w:val="26"/>
                <w:szCs w:val="26"/>
              </w:rPr>
            </w:pPr>
          </w:p>
        </w:tc>
        <w:tc>
          <w:tcPr>
            <w:tcW w:w="7424" w:type="dxa"/>
            <w:hideMark/>
          </w:tcPr>
          <w:p w:rsidR="00A11343" w:rsidRPr="00A11343" w:rsidRDefault="00A11343">
            <w:pPr>
              <w:tabs>
                <w:tab w:val="left" w:pos="3103"/>
              </w:tabs>
              <w:spacing w:after="0" w:line="240" w:lineRule="auto"/>
              <w:ind w:left="2678" w:hanging="2961"/>
              <w:jc w:val="both"/>
              <w:rPr>
                <w:rFonts w:ascii="Arial" w:hAnsi="Arial" w:cs="Arial"/>
                <w:b/>
                <w:iCs/>
                <w:caps/>
                <w:sz w:val="26"/>
                <w:szCs w:val="26"/>
              </w:rPr>
            </w:pPr>
            <w:r w:rsidRPr="00A11343">
              <w:rPr>
                <w:rFonts w:ascii="Arial" w:hAnsi="Arial" w:cs="Arial"/>
                <w:b/>
                <w:i/>
                <w:iCs/>
                <w:caps/>
                <w:sz w:val="26"/>
                <w:szCs w:val="26"/>
              </w:rPr>
              <w:t xml:space="preserve">                                          </w:t>
            </w:r>
          </w:p>
        </w:tc>
      </w:tr>
      <w:tr w:rsidR="00A11343" w:rsidRPr="00A11343" w:rsidTr="00A11343">
        <w:tc>
          <w:tcPr>
            <w:tcW w:w="2356" w:type="dxa"/>
          </w:tcPr>
          <w:p w:rsidR="00A11343" w:rsidRPr="00A11343" w:rsidRDefault="00A11343">
            <w:pPr>
              <w:spacing w:after="0" w:line="240" w:lineRule="auto"/>
              <w:rPr>
                <w:rFonts w:ascii="Arial" w:hAnsi="Arial" w:cs="Arial"/>
                <w:b/>
                <w:sz w:val="26"/>
                <w:szCs w:val="26"/>
              </w:rPr>
            </w:pPr>
          </w:p>
        </w:tc>
        <w:tc>
          <w:tcPr>
            <w:tcW w:w="7424" w:type="dxa"/>
          </w:tcPr>
          <w:p w:rsidR="00A11343" w:rsidRPr="00A11343" w:rsidRDefault="00A11343">
            <w:pPr>
              <w:tabs>
                <w:tab w:val="left" w:pos="3103"/>
              </w:tabs>
              <w:spacing w:after="0" w:line="240" w:lineRule="auto"/>
              <w:ind w:left="2961" w:hanging="2961"/>
              <w:jc w:val="both"/>
              <w:rPr>
                <w:rFonts w:ascii="Arial" w:hAnsi="Arial" w:cs="Arial"/>
                <w:b/>
                <w:i/>
                <w:iCs/>
                <w:caps/>
                <w:sz w:val="26"/>
                <w:szCs w:val="26"/>
              </w:rPr>
            </w:pPr>
          </w:p>
        </w:tc>
      </w:tr>
    </w:tbl>
    <w:p w:rsidR="00A11343" w:rsidRPr="00A11343" w:rsidRDefault="00A11343" w:rsidP="00A11343">
      <w:pPr>
        <w:spacing w:line="360" w:lineRule="auto"/>
        <w:jc w:val="both"/>
        <w:rPr>
          <w:rFonts w:ascii="Arial" w:hAnsi="Arial" w:cs="Arial"/>
          <w:b/>
          <w:sz w:val="26"/>
          <w:szCs w:val="26"/>
          <w:lang w:val="es-MX"/>
        </w:rPr>
      </w:pPr>
      <w:r w:rsidRPr="00A11343">
        <w:rPr>
          <w:rFonts w:ascii="Arial" w:hAnsi="Arial" w:cs="Arial"/>
          <w:b/>
          <w:sz w:val="26"/>
          <w:szCs w:val="26"/>
          <w:lang w:val="es-MX"/>
        </w:rPr>
        <w:t xml:space="preserve">OAXACA DE JUÁREZ, OAXACA, CATORCE  DE MARZO DE DOS MIL DIECINUEVE. </w:t>
      </w:r>
    </w:p>
    <w:p w:rsidR="00A11343" w:rsidRPr="00A11343" w:rsidRDefault="00A11343" w:rsidP="00A11343">
      <w:pPr>
        <w:spacing w:line="360" w:lineRule="auto"/>
        <w:ind w:firstLine="708"/>
        <w:jc w:val="both"/>
        <w:rPr>
          <w:rFonts w:ascii="Arial" w:hAnsi="Arial" w:cs="Arial"/>
          <w:sz w:val="26"/>
          <w:szCs w:val="26"/>
          <w:lang w:val="es-MX"/>
        </w:rPr>
      </w:pPr>
      <w:r w:rsidRPr="00A11343">
        <w:rPr>
          <w:rFonts w:ascii="Arial" w:hAnsi="Arial" w:cs="Arial"/>
          <w:sz w:val="26"/>
          <w:szCs w:val="26"/>
          <w:lang w:val="es-MX"/>
        </w:rPr>
        <w:t xml:space="preserve">Por recibido el Cuaderno de Revisión </w:t>
      </w:r>
      <w:r w:rsidRPr="00A11343">
        <w:rPr>
          <w:rFonts w:ascii="Arial" w:hAnsi="Arial" w:cs="Arial"/>
          <w:b/>
          <w:sz w:val="26"/>
          <w:szCs w:val="26"/>
          <w:lang w:val="es-MX"/>
        </w:rPr>
        <w:t>403/2018</w:t>
      </w:r>
      <w:r w:rsidRPr="00A11343">
        <w:rPr>
          <w:rFonts w:ascii="Arial" w:hAnsi="Arial" w:cs="Arial"/>
          <w:sz w:val="26"/>
          <w:szCs w:val="26"/>
          <w:lang w:val="es-MX"/>
        </w:rPr>
        <w:t xml:space="preserve">, que remite la Secretaría General de Acuerdos, con motivo del recurso de revisión interpuesto por </w:t>
      </w:r>
      <w:r w:rsidR="00AD52F6">
        <w:rPr>
          <w:rFonts w:ascii="Arial" w:hAnsi="Arial" w:cs="Arial"/>
          <w:b/>
          <w:sz w:val="26"/>
          <w:szCs w:val="26"/>
          <w:lang w:val="es-MX"/>
        </w:rPr>
        <w:t>**********</w:t>
      </w:r>
      <w:r w:rsidRPr="00A11343">
        <w:rPr>
          <w:rFonts w:ascii="Arial" w:hAnsi="Arial" w:cs="Arial"/>
          <w:sz w:val="26"/>
          <w:szCs w:val="26"/>
          <w:lang w:val="es-MX"/>
        </w:rPr>
        <w:t>como parte actora del juicio natural en contra de la resolución de sobreseimiento de 10 diez de septiembre de 2018 dos mil dieciocho</w:t>
      </w:r>
      <w:r>
        <w:rPr>
          <w:rFonts w:ascii="Arial" w:hAnsi="Arial" w:cs="Arial"/>
          <w:sz w:val="26"/>
          <w:szCs w:val="26"/>
          <w:lang w:val="es-MX"/>
        </w:rPr>
        <w:t>,</w:t>
      </w:r>
      <w:r w:rsidRPr="00A11343">
        <w:rPr>
          <w:rFonts w:ascii="Arial" w:hAnsi="Arial" w:cs="Arial"/>
          <w:sz w:val="26"/>
          <w:szCs w:val="26"/>
          <w:lang w:val="es-MX"/>
        </w:rPr>
        <w:t xml:space="preserve"> dictada por la Primera Sala Unitaria de Primera Instancia en el expediente </w:t>
      </w:r>
      <w:r w:rsidRPr="00A11343">
        <w:rPr>
          <w:rFonts w:ascii="Arial" w:hAnsi="Arial" w:cs="Arial"/>
          <w:b/>
          <w:sz w:val="26"/>
          <w:szCs w:val="26"/>
          <w:lang w:val="es-MX"/>
        </w:rPr>
        <w:t xml:space="preserve">007/2018 </w:t>
      </w:r>
      <w:r w:rsidRPr="00A11343">
        <w:rPr>
          <w:rFonts w:ascii="Arial" w:hAnsi="Arial" w:cs="Arial"/>
          <w:sz w:val="26"/>
          <w:szCs w:val="26"/>
          <w:lang w:val="es-MX"/>
        </w:rPr>
        <w:t xml:space="preserve">de su índice, relativo al juicio de nulidad promovido por el </w:t>
      </w:r>
      <w:r w:rsidRPr="00A11343">
        <w:rPr>
          <w:rFonts w:ascii="Arial" w:hAnsi="Arial" w:cs="Arial"/>
          <w:b/>
          <w:sz w:val="26"/>
          <w:szCs w:val="26"/>
          <w:lang w:val="es-MX"/>
        </w:rPr>
        <w:t xml:space="preserve">RECURRENTE </w:t>
      </w:r>
      <w:r w:rsidRPr="00A11343">
        <w:rPr>
          <w:rFonts w:ascii="Arial" w:hAnsi="Arial" w:cs="Arial"/>
          <w:sz w:val="26"/>
          <w:szCs w:val="26"/>
          <w:lang w:val="es-MX"/>
        </w:rPr>
        <w:t xml:space="preserve">en contra del </w:t>
      </w:r>
      <w:r w:rsidRPr="00A11343">
        <w:rPr>
          <w:rFonts w:ascii="Arial" w:hAnsi="Arial" w:cs="Arial"/>
          <w:b/>
          <w:sz w:val="26"/>
          <w:szCs w:val="26"/>
          <w:lang w:val="es-MX"/>
        </w:rPr>
        <w:t xml:space="preserve">FISCAL GENERAL DEL ESTADO y otras autoridades, </w:t>
      </w:r>
      <w:r w:rsidRPr="00A11343">
        <w:rPr>
          <w:rFonts w:ascii="Arial" w:hAnsi="Arial" w:cs="Arial"/>
          <w:sz w:val="26"/>
          <w:szCs w:val="26"/>
          <w:lang w:val="es-MX"/>
        </w:rPr>
        <w:t>por lo que, con fundamento en lo dispuesto por los artículos 236 y 237 de la Ley de Procedimiento y Justicia Administrativa para el Estado de Oaxaca, se admite.  En consecuencia, se procede a dictar resolución en los siguientes términos:</w:t>
      </w:r>
    </w:p>
    <w:p w:rsidR="00A11343" w:rsidRPr="00A11343" w:rsidRDefault="00A11343" w:rsidP="00A11343">
      <w:pPr>
        <w:spacing w:line="360" w:lineRule="auto"/>
        <w:jc w:val="center"/>
        <w:rPr>
          <w:rFonts w:ascii="Arial" w:hAnsi="Arial" w:cs="Arial"/>
          <w:b/>
          <w:bCs/>
          <w:sz w:val="26"/>
          <w:szCs w:val="26"/>
          <w:lang w:val="es-MX"/>
        </w:rPr>
      </w:pPr>
      <w:r w:rsidRPr="00A11343">
        <w:rPr>
          <w:rFonts w:ascii="Arial" w:hAnsi="Arial" w:cs="Arial"/>
          <w:b/>
          <w:bCs/>
          <w:sz w:val="26"/>
          <w:szCs w:val="26"/>
          <w:lang w:val="es-MX"/>
        </w:rPr>
        <w:t>R E S U L T A N D O</w:t>
      </w:r>
    </w:p>
    <w:p w:rsidR="00A11343" w:rsidRPr="00A11343" w:rsidRDefault="00A11343" w:rsidP="00A11343">
      <w:pPr>
        <w:spacing w:line="360" w:lineRule="auto"/>
        <w:ind w:firstLine="709"/>
        <w:jc w:val="both"/>
        <w:rPr>
          <w:rFonts w:ascii="Arial" w:hAnsi="Arial" w:cs="Arial"/>
          <w:sz w:val="26"/>
          <w:szCs w:val="26"/>
          <w:lang w:val="es-MX"/>
        </w:rPr>
      </w:pPr>
      <w:r w:rsidRPr="00A11343">
        <w:rPr>
          <w:rFonts w:ascii="Arial" w:hAnsi="Arial" w:cs="Arial"/>
          <w:b/>
          <w:bCs/>
          <w:sz w:val="26"/>
          <w:szCs w:val="26"/>
          <w:lang w:val="es-MX"/>
        </w:rPr>
        <w:t xml:space="preserve">PRIMERO. </w:t>
      </w:r>
      <w:r w:rsidRPr="00A11343">
        <w:rPr>
          <w:rFonts w:ascii="Arial" w:hAnsi="Arial" w:cs="Arial"/>
          <w:sz w:val="26"/>
          <w:szCs w:val="26"/>
          <w:lang w:val="es-MX"/>
        </w:rPr>
        <w:t>Inconforme con la resolución de sobreseimiento de 10 diez de septiembre de 2018 dos mil dieciocho pronunciada por la Primera Sala de Prime</w:t>
      </w:r>
      <w:r>
        <w:rPr>
          <w:rFonts w:ascii="Arial" w:hAnsi="Arial" w:cs="Arial"/>
          <w:sz w:val="26"/>
          <w:szCs w:val="26"/>
          <w:lang w:val="es-MX"/>
        </w:rPr>
        <w:t xml:space="preserve">ra Instancia de este Tribunal, </w:t>
      </w:r>
      <w:r w:rsidR="00AD52F6">
        <w:rPr>
          <w:rFonts w:ascii="Arial" w:hAnsi="Arial" w:cs="Arial"/>
          <w:b/>
          <w:sz w:val="26"/>
          <w:szCs w:val="26"/>
          <w:lang w:val="es-MX"/>
        </w:rPr>
        <w:t>**********</w:t>
      </w:r>
      <w:r w:rsidRPr="00A11343">
        <w:rPr>
          <w:rFonts w:ascii="Arial" w:hAnsi="Arial" w:cs="Arial"/>
          <w:sz w:val="26"/>
          <w:szCs w:val="26"/>
          <w:lang w:val="es-MX"/>
        </w:rPr>
        <w:t xml:space="preserve">actor del juicio natural, interpone en su contra recurso de revisión. </w:t>
      </w:r>
    </w:p>
    <w:p w:rsidR="00A11343" w:rsidRPr="00A11343" w:rsidRDefault="00A11343" w:rsidP="00A11343">
      <w:pPr>
        <w:spacing w:after="0" w:line="360" w:lineRule="auto"/>
        <w:jc w:val="both"/>
        <w:rPr>
          <w:rFonts w:ascii="Arial" w:eastAsia="Calibri" w:hAnsi="Arial" w:cs="Arial"/>
          <w:sz w:val="26"/>
          <w:szCs w:val="26"/>
        </w:rPr>
      </w:pPr>
      <w:r w:rsidRPr="00A11343">
        <w:rPr>
          <w:rFonts w:ascii="Arial" w:hAnsi="Arial" w:cs="Arial"/>
          <w:b/>
          <w:bCs/>
          <w:sz w:val="26"/>
          <w:szCs w:val="26"/>
          <w:lang w:val="es-MX"/>
        </w:rPr>
        <w:tab/>
        <w:t xml:space="preserve">SEGUNDO.- </w:t>
      </w:r>
      <w:r w:rsidRPr="00A11343">
        <w:rPr>
          <w:rFonts w:ascii="Arial" w:eastAsia="Calibri" w:hAnsi="Arial" w:cs="Arial"/>
          <w:sz w:val="26"/>
          <w:szCs w:val="26"/>
        </w:rPr>
        <w:t xml:space="preserve">Los puntos resolutivos de la resolución recurrida son como siguen:               </w:t>
      </w:r>
    </w:p>
    <w:p w:rsidR="00A11343" w:rsidRDefault="00A11343" w:rsidP="00A11343">
      <w:pPr>
        <w:spacing w:after="0" w:line="360" w:lineRule="auto"/>
        <w:ind w:left="1134" w:right="902"/>
        <w:jc w:val="both"/>
        <w:rPr>
          <w:rFonts w:ascii="Arial" w:hAnsi="Arial" w:cs="Arial"/>
          <w:bCs/>
          <w:i/>
          <w:iCs/>
        </w:rPr>
      </w:pPr>
      <w:r>
        <w:rPr>
          <w:rFonts w:ascii="Arial" w:hAnsi="Arial" w:cs="Arial"/>
          <w:b/>
          <w:bCs/>
          <w:i/>
          <w:iCs/>
        </w:rPr>
        <w:t>“PRIMERO</w:t>
      </w:r>
      <w:r>
        <w:rPr>
          <w:rFonts w:ascii="Arial" w:hAnsi="Arial" w:cs="Arial"/>
          <w:bCs/>
          <w:i/>
          <w:iCs/>
        </w:rPr>
        <w:t xml:space="preserve">. Esta Primera Sala Unitaria del Tribunal de Justicia Administrativa del Estado de Oaxaca, es competente para conocer y resolver el presente juicio. </w:t>
      </w:r>
    </w:p>
    <w:p w:rsidR="00A11343" w:rsidRDefault="00A11343" w:rsidP="00A11343">
      <w:pPr>
        <w:spacing w:after="0" w:line="360" w:lineRule="auto"/>
        <w:ind w:left="1134"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La personalidad de las partes quedó acreditada en autos. </w:t>
      </w:r>
    </w:p>
    <w:p w:rsidR="00A11343" w:rsidRDefault="00A11343" w:rsidP="00A11343">
      <w:pPr>
        <w:spacing w:after="0" w:line="360" w:lineRule="auto"/>
        <w:ind w:left="1134" w:right="902"/>
        <w:jc w:val="both"/>
        <w:rPr>
          <w:rFonts w:ascii="Arial" w:hAnsi="Arial" w:cs="Arial"/>
          <w:bCs/>
          <w:i/>
          <w:iCs/>
        </w:rPr>
      </w:pPr>
      <w:r>
        <w:rPr>
          <w:rFonts w:ascii="Arial" w:hAnsi="Arial" w:cs="Arial"/>
          <w:b/>
          <w:bCs/>
          <w:i/>
          <w:iCs/>
        </w:rPr>
        <w:lastRenderedPageBreak/>
        <w:t xml:space="preserve">TERCERO. </w:t>
      </w:r>
      <w:r>
        <w:rPr>
          <w:rFonts w:ascii="Arial" w:hAnsi="Arial" w:cs="Arial"/>
          <w:bCs/>
          <w:i/>
          <w:iCs/>
        </w:rPr>
        <w:t xml:space="preserve">Esta Sala advierte que, en el presente juicio se configuraron las causales de improcedencia y sobreseimiento contenidas en los artículos 161 fracción VI, y 162 fracción II de la Ley de Procedimiento y Justicia Administrativa para el Estado de Oaxaca, por lo tanto, </w:t>
      </w:r>
      <w:r>
        <w:rPr>
          <w:rFonts w:ascii="Arial" w:hAnsi="Arial" w:cs="Arial"/>
          <w:b/>
          <w:bCs/>
          <w:i/>
          <w:iCs/>
        </w:rPr>
        <w:t xml:space="preserve">SE SOBRESEE EL PRESENTE JUICIO, </w:t>
      </w:r>
      <w:r>
        <w:rPr>
          <w:rFonts w:ascii="Arial" w:hAnsi="Arial" w:cs="Arial"/>
          <w:bCs/>
          <w:i/>
          <w:iCs/>
        </w:rPr>
        <w:t xml:space="preserve">por las consideraciones expuestas en el considerando TERCERO de esta resolución. </w:t>
      </w:r>
    </w:p>
    <w:p w:rsidR="00A11343" w:rsidRDefault="00A11343" w:rsidP="00A11343">
      <w:pPr>
        <w:spacing w:after="0" w:line="360" w:lineRule="auto"/>
        <w:ind w:left="1134" w:right="902"/>
        <w:jc w:val="both"/>
        <w:rPr>
          <w:rFonts w:ascii="Arial" w:hAnsi="Arial" w:cs="Arial"/>
          <w:b/>
          <w:bCs/>
          <w:i/>
          <w:iCs/>
        </w:rPr>
      </w:pPr>
      <w:r>
        <w:rPr>
          <w:rFonts w:ascii="Arial" w:hAnsi="Arial" w:cs="Arial"/>
          <w:b/>
          <w:bCs/>
          <w:i/>
          <w:iCs/>
        </w:rPr>
        <w:t xml:space="preserve">CUARTO. </w:t>
      </w:r>
      <w:r>
        <w:rPr>
          <w:rFonts w:ascii="Arial" w:hAnsi="Arial" w:cs="Arial"/>
          <w:bCs/>
          <w:i/>
          <w:iCs/>
        </w:rPr>
        <w:t xml:space="preserve">Conforme a lo dispuesto en los artículos 172 y 173 de la Ley de Procedimiento y Justicia Administrativa para el Estado de Oaxaca, </w:t>
      </w:r>
      <w:r>
        <w:rPr>
          <w:rFonts w:ascii="Arial" w:hAnsi="Arial" w:cs="Arial"/>
          <w:b/>
          <w:bCs/>
          <w:i/>
          <w:iCs/>
        </w:rPr>
        <w:t xml:space="preserve">NOTIFÍQUESE </w:t>
      </w:r>
      <w:r>
        <w:rPr>
          <w:rFonts w:ascii="Arial" w:hAnsi="Arial" w:cs="Arial"/>
          <w:bCs/>
          <w:i/>
          <w:iCs/>
        </w:rPr>
        <w:t xml:space="preserve">personalmente a la parte actora, por oficio a la autoridad demandada y </w:t>
      </w:r>
      <w:r>
        <w:rPr>
          <w:rFonts w:ascii="Arial" w:hAnsi="Arial" w:cs="Arial"/>
          <w:b/>
          <w:bCs/>
          <w:i/>
          <w:iCs/>
        </w:rPr>
        <w:t xml:space="preserve">CÚMPLASE. </w:t>
      </w:r>
    </w:p>
    <w:p w:rsidR="00A11343" w:rsidRDefault="00A11343" w:rsidP="00A11343">
      <w:pPr>
        <w:spacing w:after="0" w:line="360" w:lineRule="auto"/>
        <w:ind w:left="1134" w:right="902"/>
        <w:jc w:val="both"/>
        <w:rPr>
          <w:rFonts w:ascii="Arial" w:hAnsi="Arial" w:cs="Arial"/>
          <w:bCs/>
          <w:i/>
          <w:iCs/>
        </w:rPr>
      </w:pPr>
      <w:r>
        <w:rPr>
          <w:rFonts w:ascii="Arial" w:hAnsi="Arial" w:cs="Arial"/>
          <w:b/>
          <w:bCs/>
          <w:i/>
          <w:iCs/>
        </w:rPr>
        <w:t>…</w:t>
      </w:r>
      <w:r>
        <w:rPr>
          <w:rFonts w:ascii="Arial" w:hAnsi="Arial" w:cs="Arial"/>
          <w:bCs/>
          <w:i/>
          <w:iCs/>
        </w:rPr>
        <w:t>”</w:t>
      </w:r>
    </w:p>
    <w:p w:rsidR="00A11343" w:rsidRPr="00A11343" w:rsidRDefault="00A11343" w:rsidP="00A11343">
      <w:pPr>
        <w:spacing w:before="240" w:line="360" w:lineRule="auto"/>
        <w:jc w:val="center"/>
        <w:rPr>
          <w:rFonts w:ascii="Arial" w:hAnsi="Arial" w:cs="Arial"/>
          <w:b/>
          <w:bCs/>
          <w:sz w:val="26"/>
          <w:szCs w:val="26"/>
          <w:lang w:val="es-MX"/>
        </w:rPr>
      </w:pPr>
      <w:r w:rsidRPr="00A11343">
        <w:rPr>
          <w:rFonts w:ascii="Arial" w:hAnsi="Arial" w:cs="Arial"/>
          <w:b/>
          <w:bCs/>
          <w:sz w:val="26"/>
          <w:szCs w:val="26"/>
          <w:lang w:val="es-MX"/>
        </w:rPr>
        <w:t>C O N S I D E R A N D O</w:t>
      </w:r>
    </w:p>
    <w:p w:rsidR="00A11343" w:rsidRPr="00A11343" w:rsidRDefault="00A11343" w:rsidP="00A11343">
      <w:pPr>
        <w:widowControl w:val="0"/>
        <w:tabs>
          <w:tab w:val="left" w:pos="7938"/>
        </w:tabs>
        <w:spacing w:before="240" w:line="360" w:lineRule="auto"/>
        <w:ind w:right="18" w:firstLine="709"/>
        <w:jc w:val="both"/>
        <w:rPr>
          <w:rFonts w:ascii="Arial" w:hAnsi="Arial" w:cs="Arial"/>
          <w:b/>
          <w:bCs/>
          <w:iCs/>
          <w:sz w:val="26"/>
          <w:szCs w:val="26"/>
          <w:lang w:eastAsia="es-ES"/>
        </w:rPr>
      </w:pPr>
      <w:r w:rsidRPr="00A11343">
        <w:rPr>
          <w:rFonts w:ascii="Arial" w:hAnsi="Arial" w:cs="Arial"/>
          <w:b/>
          <w:bCs/>
          <w:iCs/>
          <w:sz w:val="26"/>
          <w:szCs w:val="26"/>
        </w:rPr>
        <w:t xml:space="preserve">PRIMERO. </w:t>
      </w:r>
      <w:r w:rsidRPr="00A11343">
        <w:rPr>
          <w:rFonts w:ascii="Arial" w:hAnsi="Arial" w:cs="Arial"/>
          <w:bCs/>
          <w:iCs/>
          <w:sz w:val="26"/>
          <w:szCs w:val="26"/>
          <w:lang w:eastAsia="es-ES"/>
        </w:rPr>
        <w:t xml:space="preserve">Esta Sala Superior es competente para conocer del presente asunto, de conformidad con lo dispuesto por los artículos 114 </w:t>
      </w:r>
      <w:proofErr w:type="spellStart"/>
      <w:r w:rsidRPr="00A11343">
        <w:rPr>
          <w:rFonts w:ascii="Arial" w:hAnsi="Arial" w:cs="Arial"/>
          <w:bCs/>
          <w:iCs/>
          <w:sz w:val="26"/>
          <w:szCs w:val="26"/>
          <w:lang w:eastAsia="es-ES"/>
        </w:rPr>
        <w:t>Quater</w:t>
      </w:r>
      <w:proofErr w:type="spellEnd"/>
      <w:r w:rsidRPr="00A11343">
        <w:rPr>
          <w:rFonts w:ascii="Arial" w:hAnsi="Arial" w:cs="Arial"/>
          <w:bCs/>
          <w:iCs/>
          <w:sz w:val="26"/>
          <w:szCs w:val="26"/>
          <w:lang w:eastAsia="es-ES"/>
        </w:rPr>
        <w:t xml:space="preserve"> de la Constitución Política del Estado Libre y Soberano de Oaxaca; 1, 118, 119, 120, 125, 129 y 130 fracción I de la Ley de Procedimiento y Justicia Administrativa para el Estado de Oaxaca, dado que se trata de un Recurso de Revisión interpuesto en contra de la resolución de sobreseimiento de 10 diez de septiembre de 2018 dos mil dieciocho</w:t>
      </w:r>
      <w:r>
        <w:rPr>
          <w:rFonts w:ascii="Arial" w:hAnsi="Arial" w:cs="Arial"/>
          <w:bCs/>
          <w:iCs/>
          <w:sz w:val="26"/>
          <w:szCs w:val="26"/>
          <w:lang w:eastAsia="es-ES"/>
        </w:rPr>
        <w:t>, dictada</w:t>
      </w:r>
      <w:r w:rsidRPr="00A11343">
        <w:rPr>
          <w:rFonts w:ascii="Arial" w:hAnsi="Arial" w:cs="Arial"/>
          <w:bCs/>
          <w:iCs/>
          <w:sz w:val="26"/>
          <w:szCs w:val="26"/>
          <w:lang w:eastAsia="es-ES"/>
        </w:rPr>
        <w:t xml:space="preserve"> por la Primera Sala Unitaria de Primera Instancia en el juicio </w:t>
      </w:r>
      <w:r w:rsidRPr="00A11343">
        <w:rPr>
          <w:rFonts w:ascii="Arial" w:hAnsi="Arial" w:cs="Arial"/>
          <w:b/>
          <w:bCs/>
          <w:iCs/>
          <w:sz w:val="26"/>
          <w:szCs w:val="26"/>
          <w:lang w:eastAsia="es-ES"/>
        </w:rPr>
        <w:t>007/2018.</w:t>
      </w:r>
    </w:p>
    <w:p w:rsidR="00A11343" w:rsidRPr="00A11343" w:rsidRDefault="00A11343" w:rsidP="00A11343">
      <w:pPr>
        <w:widowControl w:val="0"/>
        <w:tabs>
          <w:tab w:val="left" w:pos="7938"/>
        </w:tabs>
        <w:spacing w:before="240" w:line="360" w:lineRule="auto"/>
        <w:ind w:right="18" w:firstLine="709"/>
        <w:jc w:val="both"/>
        <w:rPr>
          <w:rFonts w:ascii="Arial" w:hAnsi="Arial" w:cs="Arial"/>
          <w:bCs/>
          <w:sz w:val="26"/>
          <w:szCs w:val="26"/>
        </w:rPr>
      </w:pPr>
      <w:r w:rsidRPr="00A11343">
        <w:rPr>
          <w:rFonts w:ascii="Arial" w:hAnsi="Arial" w:cs="Arial"/>
          <w:b/>
          <w:bCs/>
          <w:sz w:val="26"/>
          <w:szCs w:val="26"/>
          <w:lang w:val="es-MX"/>
        </w:rPr>
        <w:t xml:space="preserve"> SEGUNDO.</w:t>
      </w:r>
      <w:r w:rsidRPr="00A11343">
        <w:rPr>
          <w:rFonts w:ascii="Arial" w:hAnsi="Arial" w:cs="Arial"/>
          <w:bCs/>
          <w:sz w:val="26"/>
          <w:szCs w:val="26"/>
          <w:lang w:val="es-MX"/>
        </w:rPr>
        <w:t xml:space="preserve"> </w:t>
      </w:r>
      <w:r w:rsidRPr="00A11343">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A11343">
        <w:rPr>
          <w:rFonts w:ascii="Arial" w:hAnsi="Arial" w:cs="Arial"/>
          <w:sz w:val="26"/>
          <w:szCs w:val="26"/>
        </w:rPr>
        <w:t>.</w:t>
      </w:r>
    </w:p>
    <w:p w:rsidR="00A11343" w:rsidRPr="00A11343" w:rsidRDefault="00A11343" w:rsidP="00A11343">
      <w:pPr>
        <w:spacing w:line="360" w:lineRule="auto"/>
        <w:ind w:firstLine="709"/>
        <w:jc w:val="both"/>
        <w:rPr>
          <w:rFonts w:ascii="Arial" w:hAnsi="Arial" w:cs="Arial"/>
          <w:bCs/>
          <w:sz w:val="26"/>
          <w:szCs w:val="26"/>
          <w:lang w:val="es-MX"/>
        </w:rPr>
      </w:pPr>
      <w:r w:rsidRPr="00A11343">
        <w:rPr>
          <w:rFonts w:ascii="Arial" w:hAnsi="Arial" w:cs="Arial"/>
          <w:b/>
          <w:bCs/>
          <w:sz w:val="26"/>
          <w:szCs w:val="26"/>
          <w:lang w:val="es-MX"/>
        </w:rPr>
        <w:t xml:space="preserve">TERCERO. </w:t>
      </w:r>
      <w:r w:rsidRPr="00A11343">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A11343" w:rsidRPr="00A11343" w:rsidRDefault="00A11343" w:rsidP="00A11343">
      <w:pPr>
        <w:spacing w:line="360" w:lineRule="auto"/>
        <w:ind w:firstLine="709"/>
        <w:jc w:val="both"/>
        <w:rPr>
          <w:sz w:val="26"/>
          <w:szCs w:val="26"/>
        </w:rPr>
      </w:pPr>
      <w:r w:rsidRPr="00A11343">
        <w:rPr>
          <w:rFonts w:ascii="Arial" w:eastAsia="Calibri" w:hAnsi="Arial" w:cs="Arial"/>
          <w:b/>
          <w:bCs/>
          <w:sz w:val="26"/>
          <w:szCs w:val="26"/>
          <w:lang w:val="es-MX"/>
        </w:rPr>
        <w:lastRenderedPageBreak/>
        <w:t xml:space="preserve">CUARTO.- </w:t>
      </w:r>
      <w:r w:rsidRPr="00A11343">
        <w:rPr>
          <w:rFonts w:ascii="Arial" w:eastAsia="Calibri" w:hAnsi="Arial" w:cs="Arial"/>
          <w:bCs/>
          <w:sz w:val="26"/>
          <w:szCs w:val="26"/>
          <w:lang w:val="es-MX"/>
        </w:rPr>
        <w:t>Previo al análisis de los motivos de disenso es pertinente indicar que este Tribunal por definición de la ley es un órgano de control de legalidad</w:t>
      </w:r>
      <w:r w:rsidRPr="00A11343">
        <w:rPr>
          <w:rStyle w:val="Refdenotaalpie"/>
          <w:rFonts w:ascii="Arial" w:eastAsia="Calibri" w:hAnsi="Arial" w:cs="Arial"/>
          <w:bCs/>
          <w:sz w:val="26"/>
          <w:szCs w:val="26"/>
          <w:lang w:val="es-MX"/>
        </w:rPr>
        <w:footnoteReference w:id="1"/>
      </w:r>
      <w:r w:rsidRPr="00A11343">
        <w:rPr>
          <w:rFonts w:ascii="Arial" w:eastAsia="Calibri" w:hAnsi="Arial" w:cs="Arial"/>
          <w:bCs/>
          <w:sz w:val="26"/>
          <w:szCs w:val="26"/>
          <w:lang w:val="es-MX"/>
        </w:rPr>
        <w:t xml:space="preserve">, en este sentido, para estar en condiciones de cumplir con su finalidad es imperativo que se verifiquen si se han colmado los presupuestos procesales, debido a que el aseguramiento de su cumplimiento garantiza que, con independencia del sentido de la sentencia que se llegue a dictar en el fondo de la cuestión planteada, se han respeto las formalidades esenciales del procedimiento y por ende que el dictado del fallo final estará sustentado en un proceso legal. </w:t>
      </w:r>
      <w:r w:rsidRPr="00A11343">
        <w:rPr>
          <w:rFonts w:ascii="Arial" w:eastAsia="Calibri" w:hAnsi="Arial" w:cs="Arial"/>
          <w:b/>
          <w:bCs/>
          <w:sz w:val="26"/>
          <w:szCs w:val="26"/>
          <w:lang w:val="es-MX"/>
        </w:rPr>
        <w:t xml:space="preserve">Por esto, </w:t>
      </w:r>
      <w:r w:rsidRPr="00A11343">
        <w:rPr>
          <w:rFonts w:ascii="Arial" w:eastAsia="Calibri" w:hAnsi="Arial" w:cs="Arial"/>
          <w:bCs/>
          <w:sz w:val="26"/>
          <w:szCs w:val="26"/>
          <w:lang w:val="es-MX"/>
        </w:rPr>
        <w:t xml:space="preserve">y debido a que sólo la garantía de un procedimiento donde se hayan seguido y respetado los derechos elementales de las partes a tener un trámite en el que se sigan las reglas básicas procesales que al efecto establece la Ley de Procedimiento y Justicia Administrativa, permitirá que el dictado de la sentencia sea igualmente legal, aunado al hecho, desde luego, que el cumplimiento de tales normas procedimentales constituye una cuestión de orden público que debe ser analizado, aún de oficio por los Juzgadores. Estas consideraciones encuentran apoyo en la jurisprudencia </w:t>
      </w:r>
      <w:r w:rsidRPr="00A11343">
        <w:rPr>
          <w:rFonts w:ascii="Arial" w:hAnsi="Arial" w:cs="Arial"/>
          <w:sz w:val="26"/>
          <w:szCs w:val="26"/>
        </w:rPr>
        <w:t>XIX.1o.P.T. J/14 del Primer Tribunal Colegiado en Materia Penal y de Trabajo del Décimo Noveno Circuito, la cual fue dictada en la novena época y está publicada en la página 3103 del Semanario Judicial de la Federación y su Gaceta, en el Tomo XXXIII, de enero de 2011,  con el rubro y texto del tenor literal siguientes</w:t>
      </w:r>
      <w:r w:rsidRPr="00A11343">
        <w:rPr>
          <w:sz w:val="26"/>
          <w:szCs w:val="26"/>
        </w:rPr>
        <w:t>:</w:t>
      </w:r>
    </w:p>
    <w:p w:rsidR="00A11343" w:rsidRDefault="00A11343" w:rsidP="00A11343">
      <w:pPr>
        <w:spacing w:after="0" w:line="360" w:lineRule="auto"/>
        <w:ind w:left="851" w:right="778"/>
        <w:jc w:val="both"/>
        <w:rPr>
          <w:rFonts w:ascii="Arial" w:hAnsi="Arial" w:cs="Arial"/>
          <w:i/>
        </w:rPr>
      </w:pPr>
      <w:r>
        <w:rPr>
          <w:rFonts w:ascii="Arial" w:hAnsi="Arial" w:cs="Arial"/>
          <w:b/>
          <w:i/>
        </w:rPr>
        <w:lastRenderedPageBreak/>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Pr>
          <w:rFonts w:ascii="Arial" w:hAnsi="Arial" w:cs="Arial"/>
          <w:i/>
        </w:rPr>
        <w:t xml:space="preserve">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A11343" w:rsidRDefault="00A11343" w:rsidP="00A11343">
      <w:pPr>
        <w:spacing w:after="0" w:line="360" w:lineRule="auto"/>
        <w:ind w:right="778"/>
        <w:jc w:val="both"/>
        <w:rPr>
          <w:rFonts w:ascii="Arial" w:hAnsi="Arial" w:cs="Arial"/>
        </w:rPr>
      </w:pPr>
    </w:p>
    <w:p w:rsidR="00A11343" w:rsidRPr="00A11343" w:rsidRDefault="00A11343" w:rsidP="00A11343">
      <w:pPr>
        <w:spacing w:after="0" w:line="360" w:lineRule="auto"/>
        <w:ind w:right="778"/>
        <w:jc w:val="both"/>
        <w:rPr>
          <w:rFonts w:ascii="Arial" w:hAnsi="Arial" w:cs="Arial"/>
          <w:sz w:val="26"/>
          <w:szCs w:val="26"/>
        </w:rPr>
      </w:pPr>
      <w:r>
        <w:rPr>
          <w:rFonts w:ascii="Arial" w:hAnsi="Arial" w:cs="Arial"/>
        </w:rPr>
        <w:tab/>
      </w:r>
      <w:r w:rsidRPr="00A11343">
        <w:rPr>
          <w:rFonts w:ascii="Arial" w:hAnsi="Arial" w:cs="Arial"/>
          <w:sz w:val="26"/>
          <w:szCs w:val="26"/>
        </w:rPr>
        <w:t>En este orden de ideas, al estudio de las constancias de autos remitidas para la solución del presente asunto que tienen pleno valor probatorio en términos del artículo 203 fracción I de la Ley de Procedimiento y Justicia Administrativa para el Estado de Oaxaca por tratarse de actuaciones judiciales se tiene lo siguiente:</w:t>
      </w:r>
    </w:p>
    <w:p w:rsidR="00A11343" w:rsidRPr="00A11343" w:rsidRDefault="00A11343" w:rsidP="00A11343">
      <w:pPr>
        <w:spacing w:after="0" w:line="360" w:lineRule="auto"/>
        <w:ind w:right="778"/>
        <w:jc w:val="both"/>
        <w:rPr>
          <w:rFonts w:ascii="Arial" w:hAnsi="Arial" w:cs="Arial"/>
          <w:sz w:val="26"/>
          <w:szCs w:val="26"/>
        </w:rPr>
      </w:pPr>
    </w:p>
    <w:p w:rsidR="00A11343" w:rsidRPr="00A11343" w:rsidRDefault="00A11343" w:rsidP="00A11343">
      <w:pPr>
        <w:pStyle w:val="Prrafodelista"/>
        <w:numPr>
          <w:ilvl w:val="0"/>
          <w:numId w:val="16"/>
        </w:numPr>
        <w:spacing w:after="0" w:line="360" w:lineRule="auto"/>
        <w:ind w:right="778"/>
        <w:jc w:val="both"/>
        <w:rPr>
          <w:rFonts w:ascii="Arial" w:hAnsi="Arial" w:cs="Arial"/>
          <w:b/>
          <w:sz w:val="26"/>
          <w:szCs w:val="26"/>
        </w:rPr>
      </w:pPr>
      <w:r w:rsidRPr="00A11343">
        <w:rPr>
          <w:rFonts w:ascii="Arial" w:hAnsi="Arial" w:cs="Arial"/>
          <w:sz w:val="26"/>
          <w:szCs w:val="26"/>
        </w:rPr>
        <w:lastRenderedPageBreak/>
        <w:t xml:space="preserve">Escrito de demanda presentado en la Oficialía de Partes Común de este Tribunal el 17 diecisiete de enero de 2018 dos mil dieciocho en el que se desprende que el actor del juicio indicó que BAJO PROTESTA DE DECIR VERDAD que conoció del acto impugnado el 1 uno de diciembre de 2017 dos mil diecisiete y </w:t>
      </w:r>
      <w:r w:rsidRPr="00A11343">
        <w:rPr>
          <w:rFonts w:ascii="Arial" w:hAnsi="Arial" w:cs="Arial"/>
          <w:b/>
          <w:sz w:val="26"/>
          <w:szCs w:val="26"/>
        </w:rPr>
        <w:t xml:space="preserve">por el contrario </w:t>
      </w:r>
      <w:r w:rsidRPr="00A11343">
        <w:rPr>
          <w:rFonts w:ascii="Arial" w:hAnsi="Arial" w:cs="Arial"/>
          <w:sz w:val="26"/>
          <w:szCs w:val="26"/>
        </w:rPr>
        <w:t>afirma que la notificación de 31 treinta y uno de agosto de 2011 dos mil once que presenta la autoridad es ilegal, tan es así que en el inciso A) del apartado intitulado PRETENSIÓN QUE SE DEDUCE EN EL JUICIO de su libelo de acción, apunta que solicita la nulidad de la notificación de 31 treinta y uno de agosto de 2011 dos mil once por considerarla ilegal (folio 4 cuatro) y</w:t>
      </w:r>
    </w:p>
    <w:p w:rsidR="00A11343" w:rsidRPr="00A11343" w:rsidRDefault="00A11343" w:rsidP="00A11343">
      <w:pPr>
        <w:pStyle w:val="Prrafodelista"/>
        <w:numPr>
          <w:ilvl w:val="0"/>
          <w:numId w:val="16"/>
        </w:numPr>
        <w:spacing w:after="0" w:line="360" w:lineRule="auto"/>
        <w:ind w:right="778"/>
        <w:jc w:val="both"/>
        <w:rPr>
          <w:rFonts w:ascii="Arial" w:hAnsi="Arial" w:cs="Arial"/>
          <w:b/>
          <w:sz w:val="26"/>
          <w:szCs w:val="26"/>
        </w:rPr>
      </w:pPr>
      <w:r w:rsidRPr="00A11343">
        <w:rPr>
          <w:rFonts w:ascii="Arial" w:hAnsi="Arial" w:cs="Arial"/>
          <w:sz w:val="26"/>
          <w:szCs w:val="26"/>
        </w:rPr>
        <w:t>Luego en la contestación de demanda la enjuiciada en su capítulo intitulado de excepciones y defensas, adujo como causal de improcedencia la contenida en el artículo 161 fracción VI de la Ley de Procedimiento y Justicia Administrativa para el Estado de Oaxaca consistente en que bajo su consideración el juicio es improcedente por consentimiento expreso, al no haberse interpuesto la demanda, dice, dentro del plazo de treinta días. Para abundar en su argumento transcribe los artículos 161 fracción VI, 166 y 162 fracciones II y VI de la Ley de Procedimiento y Justicia Administrativa para el Estado de Oaxaca, por lo que solicitó el sobreseimiento del juicio. (folio 85 ochenta y cinco).</w:t>
      </w:r>
    </w:p>
    <w:p w:rsidR="00A11343" w:rsidRPr="00A11343" w:rsidRDefault="00A11343" w:rsidP="00A11343">
      <w:pPr>
        <w:spacing w:after="0" w:line="360" w:lineRule="auto"/>
        <w:ind w:right="778"/>
        <w:jc w:val="both"/>
        <w:rPr>
          <w:rFonts w:ascii="Arial" w:hAnsi="Arial" w:cs="Arial"/>
          <w:b/>
          <w:sz w:val="26"/>
          <w:szCs w:val="26"/>
        </w:rPr>
      </w:pPr>
    </w:p>
    <w:p w:rsidR="00A11343" w:rsidRPr="00A11343" w:rsidRDefault="00A11343" w:rsidP="00A11343">
      <w:pPr>
        <w:spacing w:after="0" w:line="360" w:lineRule="auto"/>
        <w:ind w:right="69" w:firstLine="705"/>
        <w:jc w:val="both"/>
        <w:rPr>
          <w:rFonts w:ascii="Arial" w:hAnsi="Arial" w:cs="Arial"/>
          <w:sz w:val="26"/>
          <w:szCs w:val="26"/>
        </w:rPr>
      </w:pPr>
      <w:r w:rsidRPr="00A11343">
        <w:rPr>
          <w:rFonts w:ascii="Arial" w:hAnsi="Arial" w:cs="Arial"/>
          <w:sz w:val="26"/>
          <w:szCs w:val="26"/>
        </w:rPr>
        <w:t>Conforme a lo descrito en estos incisos se tiene que se configura un debate respecto a la diligencia de notificación, ya que, por un lado el actor del juicio alega ilegalidad de la notificación y por su parte la autoridad demandada alega que la improcedencia del juicio por consentimiento del acto impugnado al no haberlo controvertido. Este supuesto está contenido en el artículo 180 de la Ley de Procedimiento y Justicia Administrativa para el Estado de Oaxaca y, en dicho numeral se establece el derecho procesal a la parte actora para que formule ampliación de demanda, como sigue.</w:t>
      </w:r>
    </w:p>
    <w:p w:rsidR="00A11343" w:rsidRPr="00A11343" w:rsidRDefault="00A11343" w:rsidP="00A11343">
      <w:pPr>
        <w:spacing w:after="0" w:line="360" w:lineRule="auto"/>
        <w:ind w:right="69" w:firstLine="705"/>
        <w:jc w:val="both"/>
        <w:rPr>
          <w:rFonts w:ascii="Arial" w:hAnsi="Arial" w:cs="Arial"/>
          <w:sz w:val="26"/>
          <w:szCs w:val="26"/>
        </w:rPr>
      </w:pPr>
    </w:p>
    <w:p w:rsidR="00A11343" w:rsidRDefault="00A11343" w:rsidP="00A11343">
      <w:pPr>
        <w:spacing w:after="0" w:line="360" w:lineRule="auto"/>
        <w:ind w:left="851" w:right="778"/>
        <w:jc w:val="both"/>
        <w:rPr>
          <w:rFonts w:ascii="Arial" w:hAnsi="Arial" w:cs="Arial"/>
          <w:i/>
          <w:sz w:val="24"/>
          <w:szCs w:val="24"/>
        </w:rPr>
      </w:pPr>
      <w:r>
        <w:rPr>
          <w:rFonts w:ascii="Arial" w:hAnsi="Arial" w:cs="Arial"/>
          <w:i/>
          <w:sz w:val="24"/>
          <w:szCs w:val="24"/>
        </w:rPr>
        <w:t>“</w:t>
      </w:r>
      <w:r>
        <w:rPr>
          <w:rFonts w:ascii="Arial" w:hAnsi="Arial" w:cs="Arial"/>
          <w:b/>
          <w:i/>
          <w:sz w:val="24"/>
          <w:szCs w:val="24"/>
        </w:rPr>
        <w:t xml:space="preserve">Artículo 180.- </w:t>
      </w:r>
      <w:r>
        <w:rPr>
          <w:rFonts w:ascii="Arial" w:hAnsi="Arial" w:cs="Arial"/>
          <w:i/>
          <w:sz w:val="24"/>
          <w:szCs w:val="24"/>
        </w:rPr>
        <w:t xml:space="preserve">El actor tendrá derecho a ampliar la demanda dentro de cinco días hábiles contados a partir del siguiente a aquel en que surta efectos la notificación del acuerdo recaído a la contestación, cuando se impugne una resolución negativa ficta. </w:t>
      </w:r>
      <w:r>
        <w:rPr>
          <w:rFonts w:ascii="Arial" w:hAnsi="Arial" w:cs="Arial"/>
          <w:i/>
          <w:sz w:val="24"/>
          <w:szCs w:val="24"/>
          <w:u w:val="single"/>
        </w:rPr>
        <w:t>También podrá ampliar la demanda cuando en la contestación se sostenga que el juicio es improcedente por consentimiento tácito y el actor considere que la notificación del acto impugnado se practicó ilegalmente.</w:t>
      </w:r>
      <w:r>
        <w:rPr>
          <w:rFonts w:ascii="Arial" w:hAnsi="Arial" w:cs="Arial"/>
          <w:i/>
          <w:sz w:val="24"/>
          <w:szCs w:val="24"/>
        </w:rPr>
        <w:t xml:space="preserve"> En este último caso si al dictarse sentencia se decide que la notificación fue correcta se sobreseerá el juicio y en caso de contrario se decidirá sobre el fondo del negocio.”</w:t>
      </w:r>
    </w:p>
    <w:p w:rsidR="00A11343" w:rsidRDefault="00A11343" w:rsidP="00A11343">
      <w:pPr>
        <w:spacing w:after="0" w:line="360" w:lineRule="auto"/>
        <w:ind w:right="778"/>
        <w:jc w:val="both"/>
        <w:rPr>
          <w:rFonts w:ascii="Arial" w:hAnsi="Arial" w:cs="Arial"/>
          <w:sz w:val="24"/>
          <w:szCs w:val="24"/>
        </w:rPr>
      </w:pPr>
    </w:p>
    <w:p w:rsidR="00A11343" w:rsidRDefault="00A11343" w:rsidP="00A11343">
      <w:pPr>
        <w:spacing w:line="360" w:lineRule="auto"/>
        <w:ind w:firstLine="709"/>
        <w:jc w:val="both"/>
        <w:rPr>
          <w:rFonts w:ascii="Arial" w:eastAsia="Calibri" w:hAnsi="Arial" w:cs="Arial"/>
          <w:bCs/>
          <w:sz w:val="24"/>
          <w:szCs w:val="24"/>
        </w:rPr>
      </w:pPr>
      <w:r>
        <w:rPr>
          <w:rFonts w:ascii="Arial" w:eastAsia="Calibri" w:hAnsi="Arial" w:cs="Arial"/>
          <w:bCs/>
          <w:sz w:val="24"/>
          <w:szCs w:val="24"/>
        </w:rPr>
        <w:t>(</w:t>
      </w:r>
      <w:proofErr w:type="gramStart"/>
      <w:r>
        <w:rPr>
          <w:rFonts w:ascii="Arial" w:eastAsia="Calibri" w:hAnsi="Arial" w:cs="Arial"/>
          <w:bCs/>
          <w:sz w:val="24"/>
          <w:szCs w:val="24"/>
        </w:rPr>
        <w:t>subrayado</w:t>
      </w:r>
      <w:proofErr w:type="gramEnd"/>
      <w:r>
        <w:rPr>
          <w:rFonts w:ascii="Arial" w:eastAsia="Calibri" w:hAnsi="Arial" w:cs="Arial"/>
          <w:bCs/>
          <w:sz w:val="24"/>
          <w:szCs w:val="24"/>
        </w:rPr>
        <w:t xml:space="preserve"> nuestro)</w:t>
      </w:r>
    </w:p>
    <w:p w:rsidR="00A11343" w:rsidRPr="00A11343" w:rsidRDefault="00A11343" w:rsidP="00A11343">
      <w:pPr>
        <w:spacing w:line="360" w:lineRule="auto"/>
        <w:ind w:firstLine="709"/>
        <w:jc w:val="both"/>
        <w:rPr>
          <w:rFonts w:ascii="Arial" w:eastAsia="Calibri" w:hAnsi="Arial" w:cs="Arial"/>
          <w:bCs/>
          <w:sz w:val="26"/>
          <w:szCs w:val="26"/>
        </w:rPr>
      </w:pPr>
      <w:r w:rsidRPr="00A11343">
        <w:rPr>
          <w:rFonts w:ascii="Arial" w:eastAsia="Calibri" w:hAnsi="Arial" w:cs="Arial"/>
          <w:b/>
          <w:bCs/>
          <w:sz w:val="26"/>
          <w:szCs w:val="26"/>
        </w:rPr>
        <w:t xml:space="preserve">Luego, </w:t>
      </w:r>
      <w:r w:rsidRPr="00A11343">
        <w:rPr>
          <w:rFonts w:ascii="Arial" w:eastAsia="Calibri" w:hAnsi="Arial" w:cs="Arial"/>
          <w:bCs/>
          <w:sz w:val="26"/>
          <w:szCs w:val="26"/>
        </w:rPr>
        <w:t xml:space="preserve">en términos de este precepto legal la parte actora en al actual juicio tiene derecho a realizar ampliación de demanda </w:t>
      </w:r>
      <w:r w:rsidRPr="00A11343">
        <w:rPr>
          <w:rFonts w:ascii="Arial" w:eastAsia="Calibri" w:hAnsi="Arial" w:cs="Arial"/>
          <w:b/>
          <w:bCs/>
          <w:sz w:val="26"/>
          <w:szCs w:val="26"/>
        </w:rPr>
        <w:t xml:space="preserve">y, </w:t>
      </w:r>
      <w:r w:rsidRPr="00A11343">
        <w:rPr>
          <w:rFonts w:ascii="Arial" w:eastAsia="Calibri" w:hAnsi="Arial" w:cs="Arial"/>
          <w:bCs/>
          <w:sz w:val="26"/>
          <w:szCs w:val="26"/>
        </w:rPr>
        <w:t xml:space="preserve">esto resalta porque al examinar los autos del juicio se llega a la convicción de que posterior a la contestación de demanda se llevó a cabo la audiencia de ley (folio 604) y finalmente se dictó la resolución que hoy es motivo de impugnación (folio 607) en este sentido, se soslayó el contenido del texto legal recién invocado y con ello se tramitó un procedimiento apartado de las formalidades establecidas en la Ley de Procedimiento y Justicia Administrativa, de donde es posible decir que con independencia de los agravios expuestos por el hoy recurrente, la resolución alzada es ilegal al estar basada en un procedimiento que desatendió las formas jurídicas que regulan su trámite,  </w:t>
      </w:r>
      <w:r w:rsidRPr="00A11343">
        <w:rPr>
          <w:rFonts w:ascii="Arial" w:eastAsia="Calibri" w:hAnsi="Arial" w:cs="Arial"/>
          <w:b/>
          <w:bCs/>
          <w:sz w:val="26"/>
          <w:szCs w:val="26"/>
        </w:rPr>
        <w:t xml:space="preserve">máxime </w:t>
      </w:r>
      <w:r w:rsidRPr="00A11343">
        <w:rPr>
          <w:rFonts w:ascii="Arial" w:eastAsia="Calibri" w:hAnsi="Arial" w:cs="Arial"/>
          <w:bCs/>
          <w:sz w:val="26"/>
          <w:szCs w:val="26"/>
        </w:rPr>
        <w:t xml:space="preserve">que el sobreseimiento hoy reclamado tuvo por verdaderas las afirmaciones de la demandada y está basado en ellas, pues la primera instancia resolvió </w:t>
      </w:r>
      <w:r w:rsidRPr="00A11343">
        <w:rPr>
          <w:rFonts w:ascii="Arial" w:eastAsia="Calibri" w:hAnsi="Arial" w:cs="Arial"/>
          <w:bCs/>
          <w:i/>
          <w:sz w:val="26"/>
          <w:szCs w:val="26"/>
        </w:rPr>
        <w:t xml:space="preserve">“…luego entonces resulta evidente que la demanda de nulidad fue presentada de forma extemporánea entendiéndose como un consentimiento tácito pro parte del accionante al no haber sido impugnado el acto dentro del término de treinta días a través del Juicio de Nulidad ante el Tribunal de lo Contencioso Administrativo, hoy Tribunal de Justicia Administrativa del Estado de Oaxaca. Por las consideraciones anteriormente expuestas, esta Sala estima actualizadas las hipótesis  prevista en los artículos 161 fracción VI y 162 fracción II de la Ley de Procedimiento y Justicia Administrativa para el Estado de Oaxaca y, en consecuencia se </w:t>
      </w:r>
      <w:r w:rsidRPr="00A11343">
        <w:rPr>
          <w:rFonts w:ascii="Arial" w:eastAsia="Calibri" w:hAnsi="Arial" w:cs="Arial"/>
          <w:b/>
          <w:bCs/>
          <w:i/>
          <w:sz w:val="26"/>
          <w:szCs w:val="26"/>
        </w:rPr>
        <w:t>SOBRESEE EL PRESENTE JUICIO…”</w:t>
      </w:r>
      <w:r w:rsidRPr="00A11343">
        <w:rPr>
          <w:rFonts w:ascii="Arial" w:eastAsia="Calibri" w:hAnsi="Arial" w:cs="Arial"/>
          <w:bCs/>
          <w:sz w:val="26"/>
          <w:szCs w:val="26"/>
        </w:rPr>
        <w:t>.</w:t>
      </w:r>
    </w:p>
    <w:p w:rsidR="00A11343" w:rsidRPr="00A11343" w:rsidRDefault="00A11343" w:rsidP="00A11343">
      <w:pPr>
        <w:spacing w:line="360" w:lineRule="auto"/>
        <w:ind w:firstLine="709"/>
        <w:jc w:val="both"/>
        <w:rPr>
          <w:rFonts w:ascii="Arial" w:eastAsia="Calibri" w:hAnsi="Arial" w:cs="Arial"/>
          <w:bCs/>
          <w:sz w:val="26"/>
          <w:szCs w:val="26"/>
        </w:rPr>
      </w:pPr>
      <w:r w:rsidRPr="00A11343">
        <w:rPr>
          <w:rFonts w:ascii="Arial" w:eastAsia="Calibri" w:hAnsi="Arial" w:cs="Arial"/>
          <w:bCs/>
          <w:sz w:val="26"/>
          <w:szCs w:val="26"/>
        </w:rPr>
        <w:lastRenderedPageBreak/>
        <w:t xml:space="preserve">Se agrega, que el haber impedido el derecho procesal de ampliación de demanda a la parte actora constituye una violación procesal y por tanto una contravención al dispositivo 17 de la Constitución Política de los Estados Unidos Mexicanos que prevé la impartición de justicia pronta, </w:t>
      </w:r>
      <w:r w:rsidRPr="00A11343">
        <w:rPr>
          <w:rFonts w:ascii="Arial" w:eastAsia="Calibri" w:hAnsi="Arial" w:cs="Arial"/>
          <w:b/>
          <w:bCs/>
          <w:sz w:val="26"/>
          <w:szCs w:val="26"/>
        </w:rPr>
        <w:t xml:space="preserve">completa </w:t>
      </w:r>
      <w:r w:rsidRPr="00A11343">
        <w:rPr>
          <w:rFonts w:ascii="Arial" w:eastAsia="Calibri" w:hAnsi="Arial" w:cs="Arial"/>
          <w:bCs/>
          <w:sz w:val="26"/>
          <w:szCs w:val="26"/>
        </w:rPr>
        <w:t xml:space="preserve">e imparcial. Entonces. </w:t>
      </w:r>
      <w:proofErr w:type="gramStart"/>
      <w:r w:rsidRPr="00A11343">
        <w:rPr>
          <w:rFonts w:ascii="Arial" w:eastAsia="Calibri" w:hAnsi="Arial" w:cs="Arial"/>
          <w:bCs/>
          <w:sz w:val="26"/>
          <w:szCs w:val="26"/>
        </w:rPr>
        <w:t>la</w:t>
      </w:r>
      <w:proofErr w:type="gramEnd"/>
      <w:r w:rsidRPr="00A11343">
        <w:rPr>
          <w:rFonts w:ascii="Arial" w:eastAsia="Calibri" w:hAnsi="Arial" w:cs="Arial"/>
          <w:bCs/>
          <w:sz w:val="26"/>
          <w:szCs w:val="26"/>
        </w:rPr>
        <w:t xml:space="preserve"> omisión en el agotamiento del trámite procesal como está proscrito en la Ley de Procedimiento y Justicia Administrativa para el Estado de Oaxaca que dispone la posibilidad de ampliar la demanda cuando el actor del juicio alegue ilegalidad en la constancia de notificación del acto impugnado y la demandada arguya la improcedencia del juicio por consentimiento tácito, es además una franca violación al principio constitucional de completitud.</w:t>
      </w:r>
    </w:p>
    <w:p w:rsidR="00A11343" w:rsidRPr="00A11343" w:rsidRDefault="00A11343" w:rsidP="00A11343">
      <w:pPr>
        <w:spacing w:line="360" w:lineRule="auto"/>
        <w:ind w:firstLine="709"/>
        <w:jc w:val="both"/>
        <w:rPr>
          <w:rFonts w:ascii="Arial" w:eastAsia="Calibri" w:hAnsi="Arial" w:cs="Arial"/>
          <w:bCs/>
          <w:sz w:val="26"/>
          <w:szCs w:val="26"/>
        </w:rPr>
      </w:pPr>
      <w:r w:rsidRPr="00A11343">
        <w:rPr>
          <w:rFonts w:ascii="Arial" w:eastAsia="Calibri" w:hAnsi="Arial" w:cs="Arial"/>
          <w:b/>
          <w:bCs/>
          <w:sz w:val="26"/>
          <w:szCs w:val="26"/>
        </w:rPr>
        <w:t>Ante las anotadas consideraciones,</w:t>
      </w:r>
      <w:r w:rsidRPr="00A11343">
        <w:rPr>
          <w:rFonts w:ascii="Arial" w:eastAsia="Calibri" w:hAnsi="Arial" w:cs="Arial"/>
          <w:bCs/>
          <w:sz w:val="26"/>
          <w:szCs w:val="26"/>
        </w:rPr>
        <w:t xml:space="preserve"> esta Sala Superior no puede ni siquiera hacer un estudio de dicha resolución ni convalidar el ilegal proceso, pues existe disposición expresa en la ley que rige el proceso contencioso administrativo que prevé que la parte actora goza del derecho procesal de ampliación de demanda </w:t>
      </w:r>
      <w:r w:rsidRPr="00A11343">
        <w:rPr>
          <w:rFonts w:ascii="Arial" w:eastAsia="Calibri" w:hAnsi="Arial" w:cs="Arial"/>
          <w:b/>
          <w:bCs/>
          <w:sz w:val="26"/>
          <w:szCs w:val="26"/>
        </w:rPr>
        <w:t xml:space="preserve">y, </w:t>
      </w:r>
      <w:r w:rsidRPr="00A11343">
        <w:rPr>
          <w:rFonts w:ascii="Arial" w:eastAsia="Calibri" w:hAnsi="Arial" w:cs="Arial"/>
          <w:bCs/>
          <w:sz w:val="26"/>
          <w:szCs w:val="26"/>
        </w:rPr>
        <w:t xml:space="preserve">al no haberlo aplicado la primera instancia es ilegal su actuación y procede en consecuencia ordenar la reposición del procedimiento a fin que se reconfigure legalmente al trámite del procedimiento, se garanticen los derechos procesales de las partes y se cumplan con las formalidades procedimentales previstas en la norma. Estas consideraciones encuentran sustento en la tesis </w:t>
      </w:r>
      <w:r w:rsidRPr="00A11343">
        <w:rPr>
          <w:rFonts w:ascii="Arial" w:eastAsia="Times New Roman" w:hAnsi="Arial" w:cs="Arial"/>
          <w:sz w:val="26"/>
          <w:szCs w:val="26"/>
          <w:lang w:eastAsia="es-MX"/>
        </w:rPr>
        <w:t>XVII.3o.15 A del Tercer Tribunal Colegiado del Décimo Séptimo Circuito dictada en la Séptima Época, la cual está publicada en la página 1206 del Tomo XVII de mayo de 2003 del Semanario Judicial de la Federación y su Gaceta cuyo rubro y texto son del tenor literal siguiente:</w:t>
      </w:r>
      <w:r w:rsidRPr="00A11343">
        <w:rPr>
          <w:rFonts w:ascii="Arial" w:eastAsia="Calibri" w:hAnsi="Arial" w:cs="Arial"/>
          <w:bCs/>
          <w:sz w:val="26"/>
          <w:szCs w:val="26"/>
        </w:rPr>
        <w:t xml:space="preserve"> </w:t>
      </w:r>
    </w:p>
    <w:p w:rsidR="00A11343" w:rsidRDefault="00A11343" w:rsidP="00A11343">
      <w:pPr>
        <w:spacing w:line="360" w:lineRule="auto"/>
        <w:ind w:left="851" w:right="778"/>
        <w:jc w:val="both"/>
        <w:rPr>
          <w:rFonts w:ascii="Arial" w:eastAsia="Times New Roman" w:hAnsi="Arial" w:cs="Arial"/>
          <w:i/>
          <w:lang w:eastAsia="es-MX"/>
        </w:rPr>
      </w:pPr>
      <w:r>
        <w:rPr>
          <w:rFonts w:ascii="Arial" w:eastAsia="Times New Roman" w:hAnsi="Arial" w:cs="Arial"/>
          <w:b/>
          <w:bCs/>
          <w:i/>
          <w:lang w:eastAsia="es-MX"/>
        </w:rPr>
        <w:t>“AMPLIACIÓN DE DEMANDA EN EL JUICIO DE NULIDAD. CUANDO LA SALA REGIONAL DEL TRIBUNAL FEDERAL DE JUSTICIA FISCAL Y ADMINISTRATIVA NO CONCEDE A LA PARTE ACTORA EL TÉRMINO LEGAL PARA REALIZARLA, ELLO CONSTITUYE UNA VIOLACIÓN AL PROCEDIMIENTO QUE AMERITA SU REPOSICIÓN</w:t>
      </w:r>
      <w:r>
        <w:rPr>
          <w:rFonts w:ascii="Arial" w:eastAsia="Times New Roman" w:hAnsi="Arial" w:cs="Arial"/>
          <w:bCs/>
          <w:i/>
          <w:lang w:eastAsia="es-MX"/>
        </w:rPr>
        <w:t xml:space="preserve">. </w:t>
      </w:r>
      <w:r>
        <w:rPr>
          <w:rFonts w:ascii="Arial" w:eastAsia="Times New Roman" w:hAnsi="Arial" w:cs="Arial"/>
          <w:i/>
          <w:lang w:eastAsia="es-MX"/>
        </w:rPr>
        <w:t>Si en la </w:t>
      </w:r>
      <w:r>
        <w:rPr>
          <w:rFonts w:ascii="Arial" w:eastAsia="Times New Roman" w:hAnsi="Arial" w:cs="Arial"/>
          <w:bCs/>
          <w:i/>
          <w:lang w:eastAsia="es-MX"/>
        </w:rPr>
        <w:t>demanda</w:t>
      </w:r>
      <w:r>
        <w:rPr>
          <w:rFonts w:ascii="Arial" w:eastAsia="Times New Roman" w:hAnsi="Arial" w:cs="Arial"/>
          <w:i/>
          <w:lang w:eastAsia="es-MX"/>
        </w:rPr>
        <w:t> de nulidad el actor niega tanto la existencia de la resolución que rectificó la prima del seguro de riesgos de trabajo, como la interposición del recurso de inconformidad en su contra y la demandada al dar contestación acompañó tales documentos, de conformidad con el artículo </w:t>
      </w:r>
      <w:hyperlink r:id="rId9" w:history="1">
        <w:r>
          <w:rPr>
            <w:rStyle w:val="Hipervnculo"/>
            <w:rFonts w:ascii="Arial" w:eastAsia="Times New Roman" w:hAnsi="Arial" w:cs="Arial"/>
            <w:i/>
            <w:lang w:eastAsia="es-MX"/>
          </w:rPr>
          <w:t>210, fracción IV, del Código Fiscal de la Federación</w:t>
        </w:r>
      </w:hyperlink>
      <w:r>
        <w:rPr>
          <w:rFonts w:ascii="Arial" w:eastAsia="Times New Roman" w:hAnsi="Arial" w:cs="Arial"/>
          <w:i/>
          <w:lang w:eastAsia="es-MX"/>
        </w:rPr>
        <w:t>, la parte actora puede ampliar su </w:t>
      </w:r>
      <w:r>
        <w:rPr>
          <w:rFonts w:ascii="Arial" w:eastAsia="Times New Roman" w:hAnsi="Arial" w:cs="Arial"/>
          <w:bCs/>
          <w:i/>
          <w:lang w:eastAsia="es-MX"/>
        </w:rPr>
        <w:t>demanda</w:t>
      </w:r>
      <w:r>
        <w:rPr>
          <w:rFonts w:ascii="Arial" w:eastAsia="Times New Roman" w:hAnsi="Arial" w:cs="Arial"/>
          <w:i/>
          <w:lang w:eastAsia="es-MX"/>
        </w:rPr>
        <w:t xml:space="preserve">, pero si la </w:t>
      </w:r>
      <w:r>
        <w:rPr>
          <w:rFonts w:ascii="Arial" w:eastAsia="Times New Roman" w:hAnsi="Arial" w:cs="Arial"/>
          <w:i/>
          <w:lang w:eastAsia="es-MX"/>
        </w:rPr>
        <w:lastRenderedPageBreak/>
        <w:t>Sala Fiscal se limitó a admitir la contestación de </w:t>
      </w:r>
      <w:r>
        <w:rPr>
          <w:rFonts w:ascii="Arial" w:eastAsia="Times New Roman" w:hAnsi="Arial" w:cs="Arial"/>
          <w:bCs/>
          <w:i/>
          <w:lang w:eastAsia="es-MX"/>
        </w:rPr>
        <w:t>demanda</w:t>
      </w:r>
      <w:r>
        <w:rPr>
          <w:rFonts w:ascii="Arial" w:eastAsia="Times New Roman" w:hAnsi="Arial" w:cs="Arial"/>
          <w:i/>
          <w:lang w:eastAsia="es-MX"/>
        </w:rPr>
        <w:t>, otorgó a las partes un término para que formularan alegatos y omitió realizar pronunciamiento alguno en cuanto a la </w:t>
      </w:r>
      <w:r>
        <w:rPr>
          <w:rFonts w:ascii="Arial" w:eastAsia="Times New Roman" w:hAnsi="Arial" w:cs="Arial"/>
          <w:bCs/>
          <w:i/>
          <w:lang w:eastAsia="es-MX"/>
        </w:rPr>
        <w:t>ampliación</w:t>
      </w:r>
      <w:r>
        <w:rPr>
          <w:rFonts w:ascii="Arial" w:eastAsia="Times New Roman" w:hAnsi="Arial" w:cs="Arial"/>
          <w:i/>
          <w:lang w:eastAsia="es-MX"/>
        </w:rPr>
        <w:t>, dicha omisión constituye una violación a las leyes del </w:t>
      </w:r>
      <w:r>
        <w:rPr>
          <w:rFonts w:ascii="Arial" w:eastAsia="Times New Roman" w:hAnsi="Arial" w:cs="Arial"/>
          <w:bCs/>
          <w:i/>
          <w:lang w:eastAsia="es-MX"/>
        </w:rPr>
        <w:t>procedimiento</w:t>
      </w:r>
      <w:r>
        <w:rPr>
          <w:rFonts w:ascii="Arial" w:eastAsia="Times New Roman" w:hAnsi="Arial" w:cs="Arial"/>
          <w:i/>
          <w:lang w:eastAsia="es-MX"/>
        </w:rPr>
        <w:t> que dan lugar a su </w:t>
      </w:r>
      <w:r>
        <w:rPr>
          <w:rFonts w:ascii="Arial" w:eastAsia="Times New Roman" w:hAnsi="Arial" w:cs="Arial"/>
          <w:bCs/>
          <w:i/>
          <w:lang w:eastAsia="es-MX"/>
        </w:rPr>
        <w:t>reposición</w:t>
      </w:r>
      <w:r>
        <w:rPr>
          <w:rFonts w:ascii="Arial" w:eastAsia="Times New Roman" w:hAnsi="Arial" w:cs="Arial"/>
          <w:i/>
          <w:lang w:eastAsia="es-MX"/>
        </w:rPr>
        <w:t>, en términos de la </w:t>
      </w:r>
      <w:hyperlink r:id="rId10" w:history="1">
        <w:r>
          <w:rPr>
            <w:rStyle w:val="Hipervnculo"/>
            <w:rFonts w:ascii="Arial" w:eastAsia="Times New Roman" w:hAnsi="Arial" w:cs="Arial"/>
            <w:i/>
            <w:lang w:eastAsia="es-MX"/>
          </w:rPr>
          <w:t>fracción IV del artículo 159 de la Ley de Amparo</w:t>
        </w:r>
      </w:hyperlink>
      <w:r>
        <w:rPr>
          <w:rFonts w:ascii="Arial" w:eastAsia="Times New Roman" w:hAnsi="Arial" w:cs="Arial"/>
          <w:i/>
          <w:lang w:eastAsia="es-MX"/>
        </w:rPr>
        <w:t xml:space="preserve">. </w:t>
      </w:r>
    </w:p>
    <w:p w:rsidR="00A11343" w:rsidRPr="00A11343" w:rsidRDefault="00A11343" w:rsidP="00A11343">
      <w:pPr>
        <w:spacing w:line="360" w:lineRule="auto"/>
        <w:ind w:left="142" w:right="69" w:firstLine="566"/>
        <w:jc w:val="both"/>
        <w:rPr>
          <w:rFonts w:ascii="Arial" w:eastAsia="Times New Roman" w:hAnsi="Arial" w:cs="Arial"/>
          <w:bCs/>
          <w:sz w:val="26"/>
          <w:szCs w:val="26"/>
          <w:lang w:eastAsia="es-MX"/>
        </w:rPr>
      </w:pPr>
      <w:r w:rsidRPr="00A11343">
        <w:rPr>
          <w:rFonts w:ascii="Arial" w:eastAsia="Times New Roman" w:hAnsi="Arial" w:cs="Arial"/>
          <w:bCs/>
          <w:sz w:val="26"/>
          <w:szCs w:val="26"/>
          <w:lang w:eastAsia="es-MX"/>
        </w:rPr>
        <w:t xml:space="preserve">También es relativa la tesis </w:t>
      </w:r>
      <w:r w:rsidRPr="00A11343">
        <w:rPr>
          <w:rFonts w:ascii="Arial" w:eastAsia="Times New Roman" w:hAnsi="Arial" w:cs="Arial"/>
          <w:color w:val="000000"/>
          <w:sz w:val="26"/>
          <w:szCs w:val="26"/>
          <w:lang w:eastAsia="es-MX"/>
        </w:rPr>
        <w:t xml:space="preserve">XXI.1o.P.A.118 A del Primer Tribunal Colegiado en Materias Penal y Administrativa del Vigésimo Primer Circuito la cual aparece </w:t>
      </w:r>
      <w:r w:rsidRPr="00A11343">
        <w:rPr>
          <w:rFonts w:ascii="Arial" w:eastAsia="Times New Roman" w:hAnsi="Arial" w:cs="Arial"/>
          <w:sz w:val="26"/>
          <w:szCs w:val="26"/>
          <w:lang w:eastAsia="es-MX"/>
        </w:rPr>
        <w:t xml:space="preserve">publicada en la página 2787 del Semanario Judicial de la Federación y su Gaceta a Tomo XXXI de Febrero de 2010, con el título y texto siguientes: </w:t>
      </w:r>
    </w:p>
    <w:p w:rsidR="00A11343" w:rsidRDefault="00A11343" w:rsidP="00A11343">
      <w:pPr>
        <w:spacing w:after="0" w:line="360" w:lineRule="auto"/>
        <w:ind w:left="851" w:right="636"/>
        <w:jc w:val="both"/>
        <w:rPr>
          <w:rFonts w:ascii="Calibri" w:eastAsia="Times New Roman" w:hAnsi="Calibri" w:cs="Calibri"/>
          <w:color w:val="000000"/>
          <w:sz w:val="26"/>
          <w:szCs w:val="26"/>
          <w:lang w:eastAsia="es-MX"/>
        </w:rPr>
      </w:pPr>
      <w:r>
        <w:rPr>
          <w:rFonts w:ascii="Arial" w:eastAsia="Times New Roman" w:hAnsi="Arial" w:cs="Arial"/>
          <w:b/>
          <w:bCs/>
          <w:i/>
          <w:lang w:eastAsia="es-MX"/>
        </w:rPr>
        <w:t xml:space="preserve">“AMPLIACIÓN DE LA DEMANDA EN EL JUICIO CONTENCIOSO ADMINISTRATIVO. SI EL TRIBUNAL DE LA MATERIA DEL ESTADO DE GUERRERO OMITE PREVENIR AL ACTOR PARA QUE LA FORMULE CUANDO DEL INFORME DE LAS DEMANDADAS ADVIERTA LA EXISTENCIA DE ACTOS DISTINTOS A LOS IMPUGNADOS O LA PARTICIPACIÓN DE AUTORIDADES DIVERSAS A LAS INICIALMENTE SEÑALADAS Y, POR ELLO SOBRESEYÓ EN AQUÉL, SE ACTUALIZA UNA VIOLACIÓN PROCESAL ANÁLOGA A LA PREVISTA EN EL ARTÍCULO 159, FRACCIÓN VI, DE LA LEY DE AMPARO, AUN CUANDO NO EXISTA DISPOSICIÓN EN EL CITADO CÓDIGO QUE ESTABLEZCA OBLIGACIÓN AL RESPECTO. </w:t>
      </w:r>
      <w:r>
        <w:rPr>
          <w:rFonts w:ascii="Arial" w:eastAsia="Times New Roman" w:hAnsi="Arial" w:cs="Arial"/>
          <w:i/>
          <w:lang w:eastAsia="es-MX"/>
        </w:rPr>
        <w:t>En el Código de Procedimientos Contenciosos Administrativos del Estado de Guerrero no existe disposición alguna que establezca la obligación del tribunal de la materia de prevenir al actor para que amplíe su </w:t>
      </w:r>
      <w:r>
        <w:rPr>
          <w:rFonts w:ascii="Arial" w:eastAsia="Times New Roman" w:hAnsi="Arial" w:cs="Arial"/>
          <w:bCs/>
          <w:i/>
          <w:lang w:eastAsia="es-MX"/>
        </w:rPr>
        <w:t>demanda</w:t>
      </w:r>
      <w:r>
        <w:rPr>
          <w:rFonts w:ascii="Arial" w:eastAsia="Times New Roman" w:hAnsi="Arial" w:cs="Arial"/>
          <w:i/>
          <w:lang w:eastAsia="es-MX"/>
        </w:rPr>
        <w:t xml:space="preserve"> cuando del informe de las demandadas advierta la existencia de actos distintos a los impugnados o la participación de autoridades diversas a las inicialmente señaladas; sin embargo, ha sido criterio de la Suprema Corte de Justicia de la Nación </w:t>
      </w:r>
      <w:r>
        <w:rPr>
          <w:rFonts w:ascii="Arial" w:eastAsia="Times New Roman" w:hAnsi="Arial" w:cs="Arial"/>
          <w:i/>
          <w:u w:val="single"/>
          <w:lang w:eastAsia="es-MX"/>
        </w:rPr>
        <w:t>que la </w:t>
      </w:r>
      <w:r>
        <w:rPr>
          <w:rFonts w:ascii="Arial" w:eastAsia="Times New Roman" w:hAnsi="Arial" w:cs="Arial"/>
          <w:bCs/>
          <w:i/>
          <w:u w:val="single"/>
          <w:lang w:eastAsia="es-MX"/>
        </w:rPr>
        <w:t>ampliación</w:t>
      </w:r>
      <w:r>
        <w:rPr>
          <w:rFonts w:ascii="Arial" w:eastAsia="Times New Roman" w:hAnsi="Arial" w:cs="Arial"/>
          <w:i/>
          <w:u w:val="single"/>
          <w:lang w:eastAsia="es-MX"/>
        </w:rPr>
        <w:t> del escrito inicial constituye una formalidad esencial del </w:t>
      </w:r>
      <w:r>
        <w:rPr>
          <w:rFonts w:ascii="Arial" w:eastAsia="Times New Roman" w:hAnsi="Arial" w:cs="Arial"/>
          <w:bCs/>
          <w:i/>
          <w:u w:val="single"/>
          <w:lang w:eastAsia="es-MX"/>
        </w:rPr>
        <w:t>procedimiento</w:t>
      </w:r>
      <w:r>
        <w:rPr>
          <w:rFonts w:ascii="Arial" w:eastAsia="Times New Roman" w:hAnsi="Arial" w:cs="Arial"/>
          <w:i/>
          <w:lang w:eastAsia="es-MX"/>
        </w:rPr>
        <w:t xml:space="preserve"> y que su ejercicio no debe ser negado de plano. En tales condiciones, </w:t>
      </w:r>
      <w:r>
        <w:rPr>
          <w:rFonts w:ascii="Arial" w:eastAsia="Times New Roman" w:hAnsi="Arial" w:cs="Arial"/>
          <w:i/>
          <w:u w:val="single"/>
          <w:lang w:eastAsia="es-MX"/>
        </w:rPr>
        <w:t>si el mencionado tribunal omite actuar en los términos descritos</w:t>
      </w:r>
      <w:r>
        <w:rPr>
          <w:rFonts w:ascii="Arial" w:eastAsia="Times New Roman" w:hAnsi="Arial" w:cs="Arial"/>
          <w:i/>
          <w:lang w:eastAsia="es-MX"/>
        </w:rPr>
        <w:t xml:space="preserve">, y </w:t>
      </w:r>
      <w:r>
        <w:rPr>
          <w:rFonts w:ascii="Arial" w:eastAsia="Times New Roman" w:hAnsi="Arial" w:cs="Arial"/>
          <w:i/>
          <w:u w:val="single"/>
          <w:lang w:eastAsia="es-MX"/>
        </w:rPr>
        <w:t xml:space="preserve">con base en los datos de los referidos informes sobresee en el juicio por considerar que se trata de actos consentidos ante su falta de impugnación, lo que además lo lleva a declarar la inexistencia de los primeramente combatidos, se actualiza una violación procesal </w:t>
      </w:r>
      <w:r>
        <w:rPr>
          <w:rFonts w:ascii="Arial" w:eastAsia="Times New Roman" w:hAnsi="Arial" w:cs="Arial"/>
          <w:i/>
          <w:lang w:eastAsia="es-MX"/>
        </w:rPr>
        <w:t>análoga a la prevista en el artículo </w:t>
      </w:r>
      <w:hyperlink r:id="rId11" w:history="1">
        <w:r>
          <w:rPr>
            <w:rStyle w:val="Hipervnculo"/>
            <w:rFonts w:ascii="Arial" w:eastAsia="Times New Roman" w:hAnsi="Arial" w:cs="Arial"/>
            <w:i/>
            <w:lang w:eastAsia="es-MX"/>
          </w:rPr>
          <w:t>159, fracción VI, de la Ley de Amparo</w:t>
        </w:r>
      </w:hyperlink>
      <w:r>
        <w:rPr>
          <w:rFonts w:ascii="Arial" w:eastAsia="Times New Roman" w:hAnsi="Arial" w:cs="Arial"/>
          <w:i/>
          <w:lang w:eastAsia="es-MX"/>
        </w:rPr>
        <w:t>, pues si bien es cierto que dicho proceder no constituye una negativa a conceder algún término o prórroga a que tuviera derecho el actor, también lo es que se traduce en una cuestión similar, en atención a que implica la negativa a otorgarle el plazo de diez días para ampliar su </w:t>
      </w:r>
      <w:r>
        <w:rPr>
          <w:rFonts w:ascii="Arial" w:eastAsia="Times New Roman" w:hAnsi="Arial" w:cs="Arial"/>
          <w:bCs/>
          <w:i/>
          <w:lang w:eastAsia="es-MX"/>
        </w:rPr>
        <w:t>demanda</w:t>
      </w:r>
      <w:r>
        <w:rPr>
          <w:rFonts w:ascii="Arial" w:eastAsia="Times New Roman" w:hAnsi="Arial" w:cs="Arial"/>
          <w:i/>
          <w:lang w:eastAsia="es-MX"/>
        </w:rPr>
        <w:t> establecido en su favor en el artículo </w:t>
      </w:r>
      <w:hyperlink r:id="rId12" w:history="1">
        <w:r>
          <w:rPr>
            <w:rStyle w:val="Hipervnculo"/>
            <w:rFonts w:ascii="Arial" w:eastAsia="Times New Roman" w:hAnsi="Arial" w:cs="Arial"/>
            <w:i/>
            <w:lang w:eastAsia="es-MX"/>
          </w:rPr>
          <w:t>63</w:t>
        </w:r>
      </w:hyperlink>
      <w:r>
        <w:rPr>
          <w:rFonts w:ascii="Arial" w:eastAsia="Times New Roman" w:hAnsi="Arial" w:cs="Arial"/>
          <w:i/>
          <w:lang w:eastAsia="es-MX"/>
        </w:rPr>
        <w:t xml:space="preserve"> del indicado código, lo que </w:t>
      </w:r>
      <w:r>
        <w:rPr>
          <w:rFonts w:ascii="Arial" w:eastAsia="Times New Roman" w:hAnsi="Arial" w:cs="Arial"/>
          <w:i/>
          <w:u w:val="single"/>
          <w:lang w:eastAsia="es-MX"/>
        </w:rPr>
        <w:t>amerita la </w:t>
      </w:r>
      <w:r>
        <w:rPr>
          <w:rFonts w:ascii="Arial" w:eastAsia="Times New Roman" w:hAnsi="Arial" w:cs="Arial"/>
          <w:bCs/>
          <w:i/>
          <w:u w:val="single"/>
          <w:lang w:eastAsia="es-MX"/>
        </w:rPr>
        <w:t>reposición</w:t>
      </w:r>
      <w:r>
        <w:rPr>
          <w:rFonts w:ascii="Arial" w:eastAsia="Times New Roman" w:hAnsi="Arial" w:cs="Arial"/>
          <w:i/>
          <w:u w:val="single"/>
          <w:lang w:eastAsia="es-MX"/>
        </w:rPr>
        <w:t> del </w:t>
      </w:r>
      <w:r>
        <w:rPr>
          <w:rFonts w:ascii="Arial" w:eastAsia="Times New Roman" w:hAnsi="Arial" w:cs="Arial"/>
          <w:bCs/>
          <w:i/>
          <w:u w:val="single"/>
          <w:lang w:eastAsia="es-MX"/>
        </w:rPr>
        <w:t>procedimiento</w:t>
      </w:r>
      <w:r>
        <w:rPr>
          <w:rFonts w:ascii="Arial" w:eastAsia="Times New Roman" w:hAnsi="Arial" w:cs="Arial"/>
          <w:i/>
          <w:u w:val="single"/>
          <w:lang w:eastAsia="es-MX"/>
        </w:rPr>
        <w:t xml:space="preserve">, dada su trascendencia al resultado </w:t>
      </w:r>
      <w:r>
        <w:rPr>
          <w:rFonts w:ascii="Arial" w:eastAsia="Times New Roman" w:hAnsi="Arial" w:cs="Arial"/>
          <w:i/>
          <w:u w:val="single"/>
          <w:lang w:eastAsia="es-MX"/>
        </w:rPr>
        <w:lastRenderedPageBreak/>
        <w:t>del fallo</w:t>
      </w:r>
      <w:r>
        <w:rPr>
          <w:rFonts w:ascii="Arial" w:eastAsia="Times New Roman" w:hAnsi="Arial" w:cs="Arial"/>
          <w:i/>
          <w:lang w:eastAsia="es-MX"/>
        </w:rPr>
        <w:t>, sin que sea necesario que al proveer sobre la </w:t>
      </w:r>
      <w:r>
        <w:rPr>
          <w:rFonts w:ascii="Arial" w:eastAsia="Times New Roman" w:hAnsi="Arial" w:cs="Arial"/>
          <w:bCs/>
          <w:i/>
          <w:lang w:eastAsia="es-MX"/>
        </w:rPr>
        <w:t>ampliación</w:t>
      </w:r>
      <w:r>
        <w:rPr>
          <w:rFonts w:ascii="Arial" w:eastAsia="Times New Roman" w:hAnsi="Arial" w:cs="Arial"/>
          <w:i/>
          <w:lang w:eastAsia="es-MX"/>
        </w:rPr>
        <w:t> el órgano jurisdiccional esté obligado a informar expresamente a la parte accionante que cuenta con el plazo precisado para formularla, toda vez que éste está consignado en la ley</w:t>
      </w:r>
      <w:r>
        <w:rPr>
          <w:rFonts w:ascii="Calibri" w:eastAsia="Times New Roman" w:hAnsi="Calibri" w:cs="Calibri"/>
          <w:color w:val="000000"/>
          <w:sz w:val="26"/>
          <w:szCs w:val="26"/>
          <w:lang w:eastAsia="es-MX"/>
        </w:rPr>
        <w:t>.”</w:t>
      </w:r>
    </w:p>
    <w:p w:rsidR="00A11343" w:rsidRDefault="00A11343" w:rsidP="00A11343">
      <w:pPr>
        <w:spacing w:after="0" w:line="360" w:lineRule="auto"/>
        <w:ind w:left="851" w:right="636"/>
        <w:jc w:val="both"/>
        <w:rPr>
          <w:rFonts w:ascii="Arial" w:eastAsia="Times New Roman" w:hAnsi="Arial" w:cs="Arial"/>
          <w:bCs/>
          <w:sz w:val="24"/>
          <w:szCs w:val="24"/>
          <w:lang w:eastAsia="es-MX"/>
        </w:rPr>
      </w:pPr>
      <w:r>
        <w:rPr>
          <w:rFonts w:ascii="Arial" w:eastAsia="Times New Roman" w:hAnsi="Arial" w:cs="Arial"/>
          <w:bCs/>
          <w:sz w:val="24"/>
          <w:szCs w:val="24"/>
          <w:lang w:eastAsia="es-MX"/>
        </w:rPr>
        <w:t>(</w:t>
      </w:r>
      <w:proofErr w:type="gramStart"/>
      <w:r>
        <w:rPr>
          <w:rFonts w:ascii="Arial" w:eastAsia="Times New Roman" w:hAnsi="Arial" w:cs="Arial"/>
          <w:bCs/>
          <w:sz w:val="24"/>
          <w:szCs w:val="24"/>
          <w:lang w:eastAsia="es-MX"/>
        </w:rPr>
        <w:t>subrayado</w:t>
      </w:r>
      <w:proofErr w:type="gramEnd"/>
      <w:r>
        <w:rPr>
          <w:rFonts w:ascii="Arial" w:eastAsia="Times New Roman" w:hAnsi="Arial" w:cs="Arial"/>
          <w:bCs/>
          <w:sz w:val="24"/>
          <w:szCs w:val="24"/>
          <w:lang w:eastAsia="es-MX"/>
        </w:rPr>
        <w:t xml:space="preserve"> nuestro)</w:t>
      </w:r>
    </w:p>
    <w:p w:rsidR="00A11343" w:rsidRPr="00A11343" w:rsidRDefault="00A11343" w:rsidP="00A11343">
      <w:pPr>
        <w:spacing w:after="0" w:line="360" w:lineRule="auto"/>
        <w:ind w:left="851" w:right="636"/>
        <w:jc w:val="both"/>
        <w:rPr>
          <w:rFonts w:ascii="Calibri" w:eastAsia="Times New Roman" w:hAnsi="Calibri" w:cs="Calibri"/>
          <w:color w:val="000000"/>
          <w:sz w:val="24"/>
          <w:szCs w:val="24"/>
          <w:lang w:eastAsia="es-MX"/>
        </w:rPr>
      </w:pPr>
    </w:p>
    <w:p w:rsidR="00A11343" w:rsidRPr="00A11343" w:rsidRDefault="00A11343" w:rsidP="00A11343">
      <w:pPr>
        <w:spacing w:line="360" w:lineRule="auto"/>
        <w:ind w:firstLine="709"/>
        <w:jc w:val="both"/>
        <w:rPr>
          <w:rFonts w:ascii="Arial" w:hAnsi="Arial" w:cs="Arial"/>
          <w:sz w:val="26"/>
          <w:szCs w:val="26"/>
        </w:rPr>
      </w:pPr>
      <w:r w:rsidRPr="00A11343">
        <w:rPr>
          <w:rFonts w:ascii="Arial" w:eastAsia="Calibri" w:hAnsi="Arial" w:cs="Arial"/>
          <w:bCs/>
          <w:sz w:val="26"/>
          <w:szCs w:val="26"/>
        </w:rPr>
        <w:t xml:space="preserve">Y, al respecto de la justicia completa, es observable la jurisprudencia </w:t>
      </w:r>
      <w:r w:rsidRPr="00A11343">
        <w:rPr>
          <w:rStyle w:val="lbl-encabezado-negro"/>
          <w:rFonts w:ascii="Arial" w:hAnsi="Arial" w:cs="Arial"/>
          <w:color w:val="000000"/>
          <w:sz w:val="26"/>
          <w:szCs w:val="26"/>
        </w:rPr>
        <w:t xml:space="preserve">2a./J. 163/2016 (10a.) de la Segunda Sala de la Suprema Corte de Justicia de la Nación, misma que está visible a página </w:t>
      </w:r>
      <w:r w:rsidRPr="00A11343">
        <w:rPr>
          <w:rFonts w:ascii="Arial" w:hAnsi="Arial" w:cs="Arial"/>
          <w:sz w:val="26"/>
          <w:szCs w:val="26"/>
        </w:rPr>
        <w:t>1482 de la Gaceta del Semanario Judicial de la Federación a Tomo II, Libro 36 de noviembre de 2016 con el rubro y texto siguientes:</w:t>
      </w:r>
    </w:p>
    <w:p w:rsidR="00A11343" w:rsidRDefault="00A11343" w:rsidP="00A11343">
      <w:pPr>
        <w:spacing w:after="0"/>
        <w:ind w:left="851" w:right="777"/>
        <w:jc w:val="both"/>
        <w:rPr>
          <w:rFonts w:ascii="Arial" w:eastAsia="Times New Roman" w:hAnsi="Arial" w:cs="Arial"/>
          <w:i/>
          <w:color w:val="000000"/>
          <w:lang w:eastAsia="es-MX"/>
        </w:rPr>
      </w:pPr>
      <w:r>
        <w:rPr>
          <w:rFonts w:ascii="Arial" w:eastAsia="Times New Roman" w:hAnsi="Arial" w:cs="Arial"/>
          <w:b/>
          <w:bCs/>
          <w:i/>
          <w:lang w:eastAsia="es-MX"/>
        </w:rPr>
        <w:t>“PROCEDIMIENTO CONTENCIOSO ADMINISTRATIVO. CONFORME AL TERCER PÁRRAFO DEL ARTÍCULO 50 DE LA LEY FEDERAL RELATIVA, LA SALA DEL CONOCIMIENTO, AL EMITIR SU SENTENCIA, DEBE EXAMINAR TODOS LOS ARGUMENTOS DE LAS PARTES, CON LAS SALVEDADES CORRESPONDIENTES</w:t>
      </w:r>
      <w:r>
        <w:rPr>
          <w:rFonts w:ascii="Arial" w:eastAsia="Times New Roman" w:hAnsi="Arial" w:cs="Arial"/>
          <w:bCs/>
          <w:i/>
          <w:lang w:eastAsia="es-MX"/>
        </w:rPr>
        <w:t xml:space="preserve">. </w:t>
      </w:r>
      <w:r>
        <w:rPr>
          <w:rFonts w:ascii="Arial" w:eastAsia="Times New Roman" w:hAnsi="Arial" w:cs="Arial"/>
          <w:i/>
          <w:lang w:eastAsia="es-MX"/>
        </w:rPr>
        <w:t>El precepto citado dispone, en lo conducente, que las sentencias del Tribunal Federal de </w:t>
      </w:r>
      <w:r>
        <w:rPr>
          <w:rFonts w:ascii="Arial" w:eastAsia="Times New Roman" w:hAnsi="Arial" w:cs="Arial"/>
          <w:bCs/>
          <w:i/>
          <w:lang w:eastAsia="es-MX"/>
        </w:rPr>
        <w:t>Justicia</w:t>
      </w:r>
      <w:r>
        <w:rPr>
          <w:rFonts w:ascii="Arial" w:eastAsia="Times New Roman" w:hAnsi="Arial" w:cs="Arial"/>
          <w:i/>
          <w:lang w:eastAsia="es-MX"/>
        </w:rPr>
        <w:t> Fiscal y Administrativa se fundarán en derecho y resolverán sobre la pretensión del actor, y que las Salas podrán corregir los errores que adviertan en la cita de los preceptos que se consideren violados y examinar en su conjunto los agravios y causales de ilegalidad, así como los demás razonamientos de las partes, a fin de resolver la cuestión efectivamente planteada, pero sin cambiar los hechos expuestos en la </w:t>
      </w:r>
      <w:r>
        <w:rPr>
          <w:rFonts w:ascii="Arial" w:eastAsia="Times New Roman" w:hAnsi="Arial" w:cs="Arial"/>
          <w:bCs/>
          <w:i/>
          <w:lang w:eastAsia="es-MX"/>
        </w:rPr>
        <w:t>demanda</w:t>
      </w:r>
      <w:r>
        <w:rPr>
          <w:rFonts w:ascii="Arial" w:eastAsia="Times New Roman" w:hAnsi="Arial" w:cs="Arial"/>
          <w:i/>
          <w:lang w:eastAsia="es-MX"/>
        </w:rPr>
        <w:t> y en la contestación. De modo que en seguimiento del artículo </w:t>
      </w:r>
      <w:hyperlink r:id="rId13" w:history="1">
        <w:r>
          <w:rPr>
            <w:rStyle w:val="Hipervnculo"/>
            <w:rFonts w:ascii="Arial" w:eastAsia="Times New Roman" w:hAnsi="Arial" w:cs="Arial"/>
            <w:i/>
            <w:lang w:eastAsia="es-MX"/>
          </w:rPr>
          <w:t>351 del Código Federal de Procedimientos Civiles</w:t>
        </w:r>
      </w:hyperlink>
      <w:r>
        <w:rPr>
          <w:rFonts w:ascii="Arial" w:eastAsia="Times New Roman" w:hAnsi="Arial" w:cs="Arial"/>
          <w:i/>
          <w:lang w:eastAsia="es-MX"/>
        </w:rPr>
        <w:t>, de aplicación supletoria conforme al artículo </w:t>
      </w:r>
      <w:hyperlink r:id="rId14" w:history="1">
        <w:r>
          <w:rPr>
            <w:rStyle w:val="Hipervnculo"/>
            <w:rFonts w:ascii="Arial" w:eastAsia="Times New Roman" w:hAnsi="Arial" w:cs="Arial"/>
            <w:i/>
            <w:lang w:eastAsia="es-MX"/>
          </w:rPr>
          <w:t>1o. de la Ley Federal de Procedimiento Contencioso Administrativo</w:t>
        </w:r>
      </w:hyperlink>
      <w:r>
        <w:rPr>
          <w:rFonts w:ascii="Arial" w:eastAsia="Times New Roman" w:hAnsi="Arial" w:cs="Arial"/>
          <w:i/>
          <w:lang w:eastAsia="es-MX"/>
        </w:rPr>
        <w:t>, en el sentido de que las sentencias dictadas por los órganos jurisdiccionales deben examinar y solucionar todas las cuestiones controvertidas que sean necesarias para emitir la decisión, se concluye que conforme al </w:t>
      </w:r>
      <w:hyperlink r:id="rId15" w:history="1">
        <w:r>
          <w:rPr>
            <w:rStyle w:val="Hipervnculo"/>
            <w:rFonts w:ascii="Arial" w:eastAsia="Times New Roman" w:hAnsi="Arial" w:cs="Arial"/>
            <w:i/>
            <w:lang w:eastAsia="es-MX"/>
          </w:rPr>
          <w:t>tercer párrafo del artículo 50</w:t>
        </w:r>
      </w:hyperlink>
      <w:r>
        <w:rPr>
          <w:rFonts w:ascii="Arial" w:eastAsia="Times New Roman" w:hAnsi="Arial" w:cs="Arial"/>
          <w:i/>
          <w:lang w:eastAsia="es-MX"/>
        </w:rPr>
        <w:t> de este último ordenamiento, las Salas del Tribunal Federal de </w:t>
      </w:r>
      <w:r>
        <w:rPr>
          <w:rFonts w:ascii="Arial" w:eastAsia="Times New Roman" w:hAnsi="Arial" w:cs="Arial"/>
          <w:bCs/>
          <w:i/>
          <w:lang w:eastAsia="es-MX"/>
        </w:rPr>
        <w:t>Justicia</w:t>
      </w:r>
      <w:r>
        <w:rPr>
          <w:rFonts w:ascii="Arial" w:eastAsia="Times New Roman" w:hAnsi="Arial" w:cs="Arial"/>
          <w:i/>
          <w:lang w:eastAsia="es-MX"/>
        </w:rPr>
        <w:t> Fiscal y Administrativa, al emitir las sentencias que correspondan, deben considerar todas las causas de nulidad propuestas en la </w:t>
      </w:r>
      <w:r>
        <w:rPr>
          <w:rFonts w:ascii="Arial" w:eastAsia="Times New Roman" w:hAnsi="Arial" w:cs="Arial"/>
          <w:bCs/>
          <w:i/>
          <w:lang w:eastAsia="es-MX"/>
        </w:rPr>
        <w:t>demanda</w:t>
      </w:r>
      <w:r>
        <w:rPr>
          <w:rFonts w:ascii="Arial" w:eastAsia="Times New Roman" w:hAnsi="Arial" w:cs="Arial"/>
          <w:i/>
          <w:lang w:eastAsia="es-MX"/>
        </w:rPr>
        <w:t> y su </w:t>
      </w:r>
      <w:r>
        <w:rPr>
          <w:rFonts w:ascii="Arial" w:eastAsia="Times New Roman" w:hAnsi="Arial" w:cs="Arial"/>
          <w:bCs/>
          <w:i/>
          <w:lang w:eastAsia="es-MX"/>
        </w:rPr>
        <w:t>ampliación</w:t>
      </w:r>
      <w:r>
        <w:rPr>
          <w:rFonts w:ascii="Arial" w:eastAsia="Times New Roman" w:hAnsi="Arial" w:cs="Arial"/>
          <w:i/>
          <w:lang w:eastAsia="es-MX"/>
        </w:rPr>
        <w:t>, así como todas las razones hechas valer por las autoridades en la contestación y, en su caso, en la contestación a la </w:t>
      </w:r>
      <w:r>
        <w:rPr>
          <w:rFonts w:ascii="Arial" w:eastAsia="Times New Roman" w:hAnsi="Arial" w:cs="Arial"/>
          <w:bCs/>
          <w:i/>
          <w:lang w:eastAsia="es-MX"/>
        </w:rPr>
        <w:t xml:space="preserve">ampliación </w:t>
      </w:r>
      <w:r>
        <w:rPr>
          <w:rFonts w:ascii="Arial" w:eastAsia="Times New Roman" w:hAnsi="Arial" w:cs="Arial"/>
          <w:i/>
          <w:lang w:eastAsia="es-MX"/>
        </w:rPr>
        <w:t>de aquélla y, en general, las formuladas por todas las partes, con el fin de cumplir con los principios de congruencia y exhaustividad que prevé el referido numeral, así como garantizar a los gobernados una tutela congruente, </w:t>
      </w:r>
      <w:r>
        <w:rPr>
          <w:rFonts w:ascii="Arial" w:eastAsia="Times New Roman" w:hAnsi="Arial" w:cs="Arial"/>
          <w:bCs/>
          <w:i/>
          <w:lang w:eastAsia="es-MX"/>
        </w:rPr>
        <w:t>completa</w:t>
      </w:r>
      <w:r>
        <w:rPr>
          <w:rFonts w:ascii="Arial" w:eastAsia="Times New Roman" w:hAnsi="Arial" w:cs="Arial"/>
          <w:i/>
          <w:lang w:eastAsia="es-MX"/>
        </w:rPr>
        <w:t> y eficaz de sus derechos, con las salvedades que la propia Sala pueda advertir, por ejemplo, cuando se estimen fundados los argumentos de la parte actora que conduzcan a la determinación de una nulidad lisa y llana de la resolución combatida o, en general, cuando no pueda invalidarse un acto legalmente destruido, así como en aquellos casos en que la Sala considere innecesario el estudio de los argumentos de las partes, supuesto este último en que aquélla quedará obligada a razonar por qué ya no tendrá lugar el examen del resto de la argumentación de las partes.”</w:t>
      </w:r>
    </w:p>
    <w:p w:rsidR="00A11343" w:rsidRPr="00A11343" w:rsidRDefault="00A11343" w:rsidP="00A11343">
      <w:pPr>
        <w:spacing w:after="0" w:line="360" w:lineRule="auto"/>
        <w:ind w:left="851" w:right="777"/>
        <w:jc w:val="both"/>
        <w:rPr>
          <w:rFonts w:ascii="Arial" w:eastAsia="Times New Roman" w:hAnsi="Arial" w:cs="Arial"/>
          <w:i/>
          <w:color w:val="000000"/>
          <w:lang w:eastAsia="es-MX"/>
        </w:rPr>
      </w:pPr>
    </w:p>
    <w:p w:rsidR="00A11343" w:rsidRDefault="00A11343" w:rsidP="00A11343">
      <w:pPr>
        <w:spacing w:line="360" w:lineRule="auto"/>
        <w:ind w:firstLine="709"/>
        <w:jc w:val="both"/>
        <w:rPr>
          <w:rFonts w:ascii="Arial" w:eastAsia="Calibri" w:hAnsi="Arial" w:cs="Arial"/>
          <w:sz w:val="26"/>
          <w:szCs w:val="26"/>
        </w:rPr>
      </w:pPr>
      <w:r w:rsidRPr="00A11343">
        <w:rPr>
          <w:rFonts w:ascii="Arial" w:eastAsia="Calibri" w:hAnsi="Arial" w:cs="Arial"/>
          <w:bCs/>
          <w:sz w:val="26"/>
          <w:szCs w:val="26"/>
        </w:rPr>
        <w:lastRenderedPageBreak/>
        <w:t xml:space="preserve">En consecuencia, debido a la violación procesal comentada, se dejan sin efectos las actuaciones procesales del expediente 07/2018 incluso hasta el proveído de 29 veintinueve de mayo de 2018 dos mil dieciocho y se ordena su reposición a fin que la primera instancia, provea respecto a contestación de demanda de la enjuiciada y conceda a la parte actora el plazo de 5 días hábiles para que formule su ampliación de demanda respecto a la manifestación de improcedencia del juicio por consentimiento expreso, esto en términos del artículo 180 de la Ley de Procedimiento y Justicia Administrativa para el Estado de Oaxaca </w:t>
      </w:r>
      <w:r w:rsidRPr="00A11343">
        <w:rPr>
          <w:rFonts w:ascii="Arial" w:eastAsia="Calibri" w:hAnsi="Arial" w:cs="Arial"/>
          <w:b/>
          <w:bCs/>
          <w:sz w:val="26"/>
          <w:szCs w:val="26"/>
        </w:rPr>
        <w:t xml:space="preserve">y, </w:t>
      </w:r>
      <w:r w:rsidRPr="00A11343">
        <w:rPr>
          <w:rFonts w:ascii="Arial" w:eastAsia="Calibri" w:hAnsi="Arial" w:cs="Arial"/>
          <w:sz w:val="26"/>
          <w:szCs w:val="26"/>
        </w:rPr>
        <w:t>con fundamento en los artículos 237 y 238 de la Ley de Procedimiento y Justicia Administrativa para el Estado, se:</w:t>
      </w:r>
    </w:p>
    <w:p w:rsidR="00A11343" w:rsidRPr="00A11343" w:rsidRDefault="00A11343" w:rsidP="00A11343">
      <w:pPr>
        <w:spacing w:line="360" w:lineRule="auto"/>
        <w:ind w:firstLine="709"/>
        <w:jc w:val="both"/>
        <w:rPr>
          <w:rFonts w:ascii="Arial" w:eastAsia="Calibri" w:hAnsi="Arial" w:cs="Arial"/>
          <w:sz w:val="26"/>
          <w:szCs w:val="26"/>
        </w:rPr>
      </w:pPr>
    </w:p>
    <w:p w:rsidR="00A11343" w:rsidRPr="00A11343" w:rsidRDefault="00A11343" w:rsidP="00A11343">
      <w:pPr>
        <w:spacing w:line="360" w:lineRule="auto"/>
        <w:ind w:firstLine="709"/>
        <w:jc w:val="center"/>
        <w:rPr>
          <w:rFonts w:ascii="Arial" w:eastAsia="Calibri" w:hAnsi="Arial" w:cs="Arial"/>
          <w:b/>
          <w:sz w:val="26"/>
          <w:szCs w:val="26"/>
        </w:rPr>
      </w:pPr>
      <w:r w:rsidRPr="00A11343">
        <w:rPr>
          <w:rFonts w:ascii="Arial" w:eastAsia="Calibri" w:hAnsi="Arial" w:cs="Arial"/>
          <w:b/>
          <w:sz w:val="26"/>
          <w:szCs w:val="26"/>
        </w:rPr>
        <w:t>R E S U E L V E:</w:t>
      </w:r>
    </w:p>
    <w:p w:rsidR="00A11343" w:rsidRPr="00A11343" w:rsidRDefault="00A11343" w:rsidP="00A11343">
      <w:pPr>
        <w:spacing w:line="360" w:lineRule="auto"/>
        <w:ind w:firstLine="709"/>
        <w:jc w:val="both"/>
        <w:rPr>
          <w:rFonts w:ascii="Arial" w:eastAsia="Calibri" w:hAnsi="Arial" w:cs="Arial"/>
          <w:sz w:val="26"/>
          <w:szCs w:val="26"/>
        </w:rPr>
      </w:pPr>
      <w:r w:rsidRPr="00A11343">
        <w:rPr>
          <w:rFonts w:ascii="Arial" w:eastAsia="Calibri" w:hAnsi="Arial" w:cs="Arial"/>
          <w:b/>
          <w:sz w:val="26"/>
          <w:szCs w:val="26"/>
        </w:rPr>
        <w:t>PRIMERO</w:t>
      </w:r>
      <w:r w:rsidRPr="00A11343">
        <w:rPr>
          <w:rFonts w:ascii="Arial" w:eastAsia="Calibri" w:hAnsi="Arial" w:cs="Arial"/>
          <w:sz w:val="26"/>
          <w:szCs w:val="26"/>
        </w:rPr>
        <w:t xml:space="preserve">. Se </w:t>
      </w:r>
      <w:r w:rsidRPr="00A11343">
        <w:rPr>
          <w:rFonts w:ascii="Arial" w:eastAsia="Calibri" w:hAnsi="Arial" w:cs="Arial"/>
          <w:b/>
          <w:sz w:val="26"/>
          <w:szCs w:val="26"/>
        </w:rPr>
        <w:t xml:space="preserve">REVOCA </w:t>
      </w:r>
      <w:r w:rsidRPr="00A11343">
        <w:rPr>
          <w:rFonts w:ascii="Arial" w:eastAsia="Calibri" w:hAnsi="Arial" w:cs="Arial"/>
          <w:sz w:val="26"/>
          <w:szCs w:val="26"/>
        </w:rPr>
        <w:t xml:space="preserve">la Resolución impugnada y se dejan insubsistentes las actuaciones del juicio 07/2018 del índice de la Primera Sala de Primera Instancia, en los términos precisados en el </w:t>
      </w:r>
      <w:r w:rsidRPr="00A11343">
        <w:rPr>
          <w:rFonts w:ascii="Arial" w:eastAsia="Calibri" w:hAnsi="Arial" w:cs="Arial"/>
          <w:sz w:val="26"/>
          <w:szCs w:val="26"/>
          <w:lang w:eastAsia="es-ES"/>
        </w:rPr>
        <w:t>considerando que antecede</w:t>
      </w:r>
      <w:r w:rsidRPr="00A11343">
        <w:rPr>
          <w:rFonts w:ascii="Arial" w:eastAsia="Calibri" w:hAnsi="Arial" w:cs="Arial"/>
          <w:sz w:val="26"/>
          <w:szCs w:val="26"/>
        </w:rPr>
        <w:t xml:space="preserve">. </w:t>
      </w:r>
    </w:p>
    <w:p w:rsidR="00A11343" w:rsidRPr="00A11343" w:rsidRDefault="00A11343" w:rsidP="00A11343">
      <w:pPr>
        <w:spacing w:line="360" w:lineRule="auto"/>
        <w:ind w:firstLine="709"/>
        <w:jc w:val="both"/>
        <w:rPr>
          <w:rFonts w:ascii="Arial" w:eastAsia="Calibri" w:hAnsi="Arial" w:cs="Arial"/>
          <w:sz w:val="26"/>
          <w:szCs w:val="26"/>
        </w:rPr>
      </w:pPr>
      <w:r w:rsidRPr="00A11343">
        <w:rPr>
          <w:rFonts w:ascii="Arial" w:hAnsi="Arial" w:cs="Arial"/>
          <w:b/>
          <w:sz w:val="26"/>
          <w:szCs w:val="26"/>
        </w:rPr>
        <w:t xml:space="preserve">SEGUNDO. NOTIFÍQUESE </w:t>
      </w:r>
      <w:r w:rsidRPr="00A11343">
        <w:rPr>
          <w:rFonts w:ascii="Arial" w:hAnsi="Arial" w:cs="Arial"/>
          <w:sz w:val="26"/>
          <w:szCs w:val="26"/>
        </w:rPr>
        <w:t>en los términos precisados en el considerando TERCERO de la presente resolución</w:t>
      </w:r>
      <w:r>
        <w:rPr>
          <w:rFonts w:ascii="Arial" w:hAnsi="Arial" w:cs="Arial"/>
          <w:b/>
          <w:sz w:val="26"/>
          <w:szCs w:val="26"/>
        </w:rPr>
        <w:t xml:space="preserve"> Y CÚ</w:t>
      </w:r>
      <w:r w:rsidRPr="00A11343">
        <w:rPr>
          <w:rFonts w:ascii="Arial" w:hAnsi="Arial" w:cs="Arial"/>
          <w:b/>
          <w:sz w:val="26"/>
          <w:szCs w:val="26"/>
        </w:rPr>
        <w:t>MPLASE,</w:t>
      </w:r>
      <w:r w:rsidRPr="00A11343">
        <w:rPr>
          <w:rFonts w:ascii="Arial" w:hAnsi="Arial" w:cs="Arial"/>
          <w:sz w:val="26"/>
          <w:szCs w:val="26"/>
        </w:rPr>
        <w:t xml:space="preserve"> con copia certificada de la presente resolución, vuelvan las constancias remitidas a la Primera Sala Unitaria de Primera Instancia, </w:t>
      </w:r>
      <w:r w:rsidRPr="00A11343">
        <w:rPr>
          <w:rFonts w:ascii="Arial" w:eastAsia="Calibri" w:hAnsi="Arial" w:cs="Arial"/>
          <w:sz w:val="26"/>
          <w:szCs w:val="26"/>
        </w:rPr>
        <w:t>y en su oportunidad archívese el cuaderno de revisión como concluid</w:t>
      </w:r>
      <w:r>
        <w:rPr>
          <w:rFonts w:ascii="Arial" w:eastAsia="Calibri" w:hAnsi="Arial" w:cs="Arial"/>
          <w:sz w:val="26"/>
          <w:szCs w:val="26"/>
        </w:rPr>
        <w:t>o.</w:t>
      </w:r>
    </w:p>
    <w:p w:rsidR="001B1F0B" w:rsidRPr="005735C3" w:rsidRDefault="001B1F0B" w:rsidP="001B1F0B">
      <w:pPr>
        <w:spacing w:after="0" w:line="360" w:lineRule="auto"/>
        <w:ind w:firstLine="708"/>
        <w:jc w:val="both"/>
        <w:rPr>
          <w:rFonts w:ascii="Arial" w:eastAsia="Times New Roman" w:hAnsi="Arial" w:cs="Arial"/>
          <w:sz w:val="26"/>
          <w:szCs w:val="26"/>
          <w:lang w:eastAsia="es-MX"/>
        </w:rPr>
      </w:pPr>
      <w:r w:rsidRPr="005735C3">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5735C3" w:rsidRDefault="005735C3"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A11343" w:rsidRDefault="00A11343" w:rsidP="001B1F0B">
      <w:pPr>
        <w:spacing w:after="0" w:line="240" w:lineRule="auto"/>
        <w:jc w:val="center"/>
        <w:rPr>
          <w:rFonts w:ascii="Arial" w:hAnsi="Arial" w:cs="Arial"/>
          <w:sz w:val="26"/>
          <w:szCs w:val="26"/>
        </w:rPr>
      </w:pPr>
    </w:p>
    <w:p w:rsidR="00A11343" w:rsidRDefault="00A11343" w:rsidP="001B1F0B">
      <w:pPr>
        <w:spacing w:after="0" w:line="240" w:lineRule="auto"/>
        <w:jc w:val="center"/>
        <w:rPr>
          <w:rFonts w:ascii="Arial" w:hAnsi="Arial" w:cs="Arial"/>
          <w:sz w:val="26"/>
          <w:szCs w:val="26"/>
        </w:rPr>
      </w:pPr>
    </w:p>
    <w:p w:rsidR="00A11343" w:rsidRDefault="00A11343"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Pr="008F10B1" w:rsidRDefault="007E4ECE" w:rsidP="007E4ECE">
      <w:pPr>
        <w:spacing w:after="0" w:line="360" w:lineRule="auto"/>
        <w:jc w:val="center"/>
        <w:rPr>
          <w:rFonts w:ascii="Arial" w:hAnsi="Arial" w:cs="Arial"/>
          <w:b/>
          <w:sz w:val="14"/>
          <w:szCs w:val="26"/>
        </w:rPr>
      </w:pPr>
      <w:r w:rsidRPr="008F10B1">
        <w:rPr>
          <w:rFonts w:ascii="Arial" w:hAnsi="Arial" w:cs="Arial"/>
          <w:b/>
          <w:sz w:val="14"/>
          <w:szCs w:val="26"/>
        </w:rPr>
        <w:lastRenderedPageBreak/>
        <w:t xml:space="preserve">LAS PRESENTES FIRMAS CORRESPONDEN </w:t>
      </w:r>
      <w:r w:rsidR="00A11343">
        <w:rPr>
          <w:rFonts w:ascii="Arial" w:hAnsi="Arial" w:cs="Arial"/>
          <w:b/>
          <w:sz w:val="14"/>
          <w:szCs w:val="26"/>
        </w:rPr>
        <w:t>AL RECURSO DE REVISIÓN 403/</w:t>
      </w:r>
      <w:r>
        <w:rPr>
          <w:rFonts w:ascii="Arial" w:hAnsi="Arial" w:cs="Arial"/>
          <w:b/>
          <w:sz w:val="14"/>
          <w:szCs w:val="26"/>
        </w:rPr>
        <w:t>2018</w:t>
      </w: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1B1F0B" w:rsidRDefault="001B1F0B"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A11343" w:rsidRDefault="00A11343"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1B1F0B">
      <w:pPr>
        <w:spacing w:after="0" w:line="360" w:lineRule="auto"/>
        <w:rPr>
          <w:rFonts w:ascii="Arial" w:hAnsi="Arial" w:cs="Arial"/>
          <w:sz w:val="26"/>
          <w:szCs w:val="26"/>
        </w:rPr>
      </w:pPr>
    </w:p>
    <w:p w:rsidR="008F10B1" w:rsidRDefault="008F10B1" w:rsidP="007E4ECE">
      <w:pPr>
        <w:spacing w:after="0" w:line="360" w:lineRule="auto"/>
        <w:rPr>
          <w:rFonts w:ascii="Arial" w:hAnsi="Arial" w:cs="Arial"/>
          <w:sz w:val="26"/>
          <w:szCs w:val="26"/>
        </w:rPr>
      </w:pPr>
    </w:p>
    <w:p w:rsidR="00A11343" w:rsidRDefault="00A11343" w:rsidP="007E4ECE">
      <w:pPr>
        <w:spacing w:after="0" w:line="360" w:lineRule="auto"/>
        <w:rPr>
          <w:rFonts w:ascii="Arial" w:hAnsi="Arial" w:cs="Arial"/>
          <w:sz w:val="26"/>
          <w:szCs w:val="26"/>
        </w:rPr>
      </w:pPr>
    </w:p>
    <w:p w:rsidR="008F10B1" w:rsidRDefault="008F10B1"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8F10B1" w:rsidRDefault="008F10B1" w:rsidP="001B1F0B">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A11343" w:rsidRDefault="00A11343" w:rsidP="001B1F0B">
      <w:pPr>
        <w:spacing w:after="0"/>
        <w:jc w:val="center"/>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1B1F0B" w:rsidRPr="0031002D" w:rsidRDefault="001B1F0B" w:rsidP="001B1F0B">
      <w:pPr>
        <w:spacing w:after="0" w:line="240" w:lineRule="auto"/>
        <w:jc w:val="center"/>
        <w:rPr>
          <w:rFonts w:ascii="Arial" w:hAnsi="Arial" w:cs="Arial"/>
          <w:sz w:val="26"/>
          <w:szCs w:val="26"/>
        </w:rPr>
      </w:pPr>
      <w:r>
        <w:rPr>
          <w:rFonts w:ascii="Arial" w:hAnsi="Arial" w:cs="Arial"/>
          <w:sz w:val="26"/>
          <w:szCs w:val="26"/>
        </w:rPr>
        <w:t xml:space="preserve">  SECRETARIA GENERAL DE ACUERDOS.</w:t>
      </w:r>
    </w:p>
    <w:p w:rsidR="00AB454A" w:rsidRDefault="00AB454A" w:rsidP="001B1F0B">
      <w:pPr>
        <w:spacing w:before="240" w:line="360" w:lineRule="auto"/>
        <w:ind w:right="49" w:firstLine="708"/>
        <w:jc w:val="both"/>
        <w:rPr>
          <w:rFonts w:ascii="Arial" w:hAnsi="Arial" w:cs="Arial"/>
          <w:sz w:val="26"/>
          <w:szCs w:val="26"/>
        </w:rPr>
      </w:pPr>
    </w:p>
    <w:sectPr w:rsidR="00AB454A" w:rsidSect="00BE0682">
      <w:headerReference w:type="even" r:id="rId16"/>
      <w:headerReference w:type="default" r:id="rId17"/>
      <w:footerReference w:type="even" r:id="rId18"/>
      <w:footerReference w:type="default" r:id="rId19"/>
      <w:headerReference w:type="first" r:id="rId20"/>
      <w:footerReference w:type="first" r:id="rId2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FBC" w:rsidRDefault="003C6FBC">
      <w:pPr>
        <w:spacing w:after="0" w:line="240" w:lineRule="auto"/>
      </w:pPr>
      <w:r>
        <w:separator/>
      </w:r>
    </w:p>
  </w:endnote>
  <w:endnote w:type="continuationSeparator" w:id="0">
    <w:p w:rsidR="003C6FBC" w:rsidRDefault="003C6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E82" w:rsidRDefault="00C66E8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E82" w:rsidRDefault="00C66E82">
    <w:pPr>
      <w:pStyle w:val="Piedepgina"/>
    </w:pPr>
    <w:r>
      <w:rPr>
        <w:noProof/>
        <w:lang w:val="es-MX" w:eastAsia="es-MX"/>
      </w:rPr>
      <w:drawing>
        <wp:anchor distT="0" distB="0" distL="114300" distR="114300" simplePos="0" relativeHeight="251668480" behindDoc="0" locked="0" layoutInCell="1" allowOverlap="1" wp14:anchorId="751B7A04" wp14:editId="3A24E7AF">
          <wp:simplePos x="0" y="0"/>
          <wp:positionH relativeFrom="column">
            <wp:posOffset>-1388745</wp:posOffset>
          </wp:positionH>
          <wp:positionV relativeFrom="paragraph">
            <wp:posOffset>-4316730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E82" w:rsidRDefault="00C66E8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FBC" w:rsidRDefault="003C6FBC">
      <w:pPr>
        <w:spacing w:after="0" w:line="240" w:lineRule="auto"/>
      </w:pPr>
      <w:r>
        <w:separator/>
      </w:r>
    </w:p>
  </w:footnote>
  <w:footnote w:type="continuationSeparator" w:id="0">
    <w:p w:rsidR="003C6FBC" w:rsidRDefault="003C6FBC">
      <w:pPr>
        <w:spacing w:after="0" w:line="240" w:lineRule="auto"/>
      </w:pPr>
      <w:r>
        <w:continuationSeparator/>
      </w:r>
    </w:p>
  </w:footnote>
  <w:footnote w:id="1">
    <w:p w:rsidR="00A11343" w:rsidRDefault="00A11343" w:rsidP="00A11343">
      <w:pPr>
        <w:pStyle w:val="Textonotapie"/>
        <w:spacing w:line="360" w:lineRule="auto"/>
        <w:jc w:val="both"/>
        <w:rPr>
          <w:rFonts w:ascii="Arial" w:hAnsi="Arial" w:cs="Arial"/>
        </w:rPr>
      </w:pPr>
      <w:r>
        <w:rPr>
          <w:rStyle w:val="Refdenotaalpie"/>
        </w:rPr>
        <w:footnoteRef/>
      </w:r>
      <w:r>
        <w:t xml:space="preserve"> </w:t>
      </w:r>
      <w:r>
        <w:rPr>
          <w:rFonts w:ascii="Arial" w:hAnsi="Arial" w:cs="Arial"/>
        </w:rPr>
        <w:t>Ley de Procedimiento y Justicia Administrativa para el Estado de Oaxaca, publicada en el Periódico Oficial de Gobierno del Estado el 20 veinte de octubre de 2017 dos mil diecisiete.</w:t>
      </w:r>
    </w:p>
    <w:p w:rsidR="00A11343" w:rsidRDefault="00A11343" w:rsidP="00A11343">
      <w:pPr>
        <w:pStyle w:val="Textonotapie"/>
        <w:spacing w:line="360" w:lineRule="auto"/>
        <w:jc w:val="both"/>
        <w:rPr>
          <w:rFonts w:ascii="Arial" w:hAnsi="Arial" w:cs="Arial"/>
          <w:lang w:val="es-MX"/>
        </w:rPr>
      </w:pPr>
      <w:r>
        <w:rPr>
          <w:rFonts w:ascii="Arial" w:hAnsi="Arial" w:cs="Arial"/>
          <w:b/>
          <w:lang w:val="es-MX"/>
        </w:rPr>
        <w:t xml:space="preserve">“Artículo 119.- </w:t>
      </w:r>
      <w:r>
        <w:rPr>
          <w:rFonts w:ascii="Arial" w:hAnsi="Arial" w:cs="Arial"/>
          <w:lang w:val="es-MX"/>
        </w:rPr>
        <w:t>La jurisdicción administrativa la ejercerá el Tribunal de lo Contencioso Administrativo y de Cuentas, Tribunal Especializado del Poder Judicial, órgano permanente, autónomo en su funcionamiento e independiente en sus decisiones, que ejerce el control de legalidad. Dotado de plena jurisdicción para dictar sus resoluciones e imperio para hacerlas cumplir; con facultad para interpretar la Ley de Procedimiento y Justicia Administrativa a través de sus resoluciones.</w:t>
      </w:r>
    </w:p>
    <w:p w:rsidR="00A11343" w:rsidRDefault="00A11343" w:rsidP="00A11343">
      <w:pPr>
        <w:pStyle w:val="Textonotapie"/>
        <w:spacing w:line="360" w:lineRule="auto"/>
        <w:jc w:val="both"/>
        <w:rPr>
          <w:rFonts w:ascii="Arial" w:hAnsi="Arial" w:cs="Arial"/>
          <w:lang w:val="es-MX"/>
        </w:rPr>
      </w:pPr>
      <w:r>
        <w:rPr>
          <w:rFonts w:ascii="Arial" w:hAnsi="Arial" w:cs="Arial"/>
          <w:lang w:val="es-MX"/>
        </w:rPr>
        <w:t>…”</w:t>
      </w:r>
    </w:p>
    <w:p w:rsidR="00A11343" w:rsidRDefault="00A11343" w:rsidP="00A11343">
      <w:pPr>
        <w:pStyle w:val="Textonotapie"/>
        <w:spacing w:line="360" w:lineRule="auto"/>
        <w:jc w:val="both"/>
        <w:rPr>
          <w:rFonts w:ascii="Arial" w:hAnsi="Arial" w:cs="Arial"/>
          <w:lang w:val="es-MX"/>
        </w:rPr>
      </w:pPr>
      <w:r>
        <w:rPr>
          <w:rFonts w:ascii="Arial" w:hAnsi="Arial" w:cs="Arial"/>
          <w:lang w:val="es-MX"/>
        </w:rPr>
        <w:t xml:space="preserve">Decreto 786 del a LXIII Legislatura Constitucional del Estado, Libre y Soberano de Oaxaca, publicado en el Extra del Periódico Oficial de Gobierno del Estado el 16 dieciséis de enero de 2018 dos mil dieciocho conforme al cual se adiciona el artículo 114 QUATER de la Constitución Política del Estado Libre y Soberano de Oaxaca conforme al cual se crea el Tribunal de Justicia Administrativa del Estado de Oaxaca, y que establece en el artículo TRANSITORIO OCTAVO.- Cuando en diversas disposiciones legales, se haga referencia al Tribunal de lo Contencioso Administrativo y de Cuentas, se entenderá que se refiere al Tribunal de Justicia Administrativa del Estado de Oaxaca.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C66E82" w:rsidP="00D25099">
        <w:pPr>
          <w:pStyle w:val="Encabezado"/>
          <w:jc w:val="center"/>
        </w:pPr>
        <w:r>
          <w:rPr>
            <w:noProof/>
            <w:lang w:val="es-MX" w:eastAsia="es-MX"/>
          </w:rPr>
          <w:drawing>
            <wp:anchor distT="0" distB="0" distL="114300" distR="114300" simplePos="0" relativeHeight="251670528" behindDoc="0" locked="0" layoutInCell="1" allowOverlap="1" wp14:anchorId="28898C3B" wp14:editId="3FD580FC">
              <wp:simplePos x="0" y="0"/>
              <wp:positionH relativeFrom="column">
                <wp:posOffset>5574030</wp:posOffset>
              </wp:positionH>
              <wp:positionV relativeFrom="paragraph">
                <wp:posOffset>5295265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BE10B2">
          <w:rPr>
            <w:noProof/>
          </w:rPr>
          <w:t>10</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BE10B2">
          <w:rPr>
            <w:noProof/>
          </w:rPr>
          <w:t>1</w:t>
        </w:r>
        <w:r>
          <w:rPr>
            <w:noProof/>
          </w:rPr>
          <w:fldChar w:fldCharType="end"/>
        </w:r>
      </w:p>
      <w:p w:rsidR="00A45DEB" w:rsidRDefault="00BE10B2" w:rsidP="008C74CA">
        <w:pPr>
          <w:pStyle w:val="Encabezado"/>
          <w:jc w:val="center"/>
        </w:pPr>
      </w:p>
    </w:sdtContent>
  </w:sdt>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4384" behindDoc="1" locked="0" layoutInCell="1" allowOverlap="1" wp14:anchorId="21209D18" wp14:editId="7B376B3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4144" behindDoc="0" locked="0" layoutInCell="1" allowOverlap="1" wp14:anchorId="18194AD1" wp14:editId="1D57F6FD">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E82" w:rsidRDefault="00C66E8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2EA82999"/>
    <w:multiLevelType w:val="hybridMultilevel"/>
    <w:tmpl w:val="787A81FA"/>
    <w:lvl w:ilvl="0" w:tplc="0AEA268E">
      <w:start w:val="1"/>
      <w:numFmt w:val="lowerLetter"/>
      <w:lvlText w:val="%1)"/>
      <w:lvlJc w:val="left"/>
      <w:pPr>
        <w:ind w:left="1065"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4"/>
  </w:num>
  <w:num w:numId="2">
    <w:abstractNumId w:val="1"/>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4"/>
  </w:num>
  <w:num w:numId="8">
    <w:abstractNumId w:val="11"/>
  </w:num>
  <w:num w:numId="9">
    <w:abstractNumId w:val="8"/>
  </w:num>
  <w:num w:numId="10">
    <w:abstractNumId w:val="9"/>
  </w:num>
  <w:num w:numId="11">
    <w:abstractNumId w:val="15"/>
  </w:num>
  <w:num w:numId="12">
    <w:abstractNumId w:val="2"/>
  </w:num>
  <w:num w:numId="13">
    <w:abstractNumId w:val="3"/>
  </w:num>
  <w:num w:numId="14">
    <w:abstractNumId w:val="10"/>
  </w:num>
  <w:num w:numId="15">
    <w:abstractNumId w:val="5"/>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26C"/>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9786A"/>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C6FBC"/>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1ABE"/>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5C3"/>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2D55"/>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4ECE"/>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0B1"/>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0622"/>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1343"/>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52F6"/>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4F0D"/>
    <w:rsid w:val="00BD5CAE"/>
    <w:rsid w:val="00BD7208"/>
    <w:rsid w:val="00BD7C52"/>
    <w:rsid w:val="00BE01B0"/>
    <w:rsid w:val="00BE0682"/>
    <w:rsid w:val="00BE08A5"/>
    <w:rsid w:val="00BE10B2"/>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66E82"/>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6A2"/>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1044"/>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66997477">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425867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 w:id="1854801078">
      <w:bodyDiv w:val="1"/>
      <w:marLeft w:val="0"/>
      <w:marRight w:val="0"/>
      <w:marTop w:val="0"/>
      <w:marBottom w:val="0"/>
      <w:divBdr>
        <w:top w:val="none" w:sz="0" w:space="0" w:color="auto"/>
        <w:left w:val="none" w:sz="0" w:space="0" w:color="auto"/>
        <w:bottom w:val="none" w:sz="0" w:space="0" w:color="auto"/>
        <w:right w:val="none" w:sz="0" w:space="0" w:color="auto"/>
      </w:divBdr>
    </w:div>
    <w:div w:id="189492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AbrirModal(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javascript:AbrirModal(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AbrirModal(1)" TargetMode="External"/><Relationship Id="rId5" Type="http://schemas.openxmlformats.org/officeDocument/2006/relationships/settings" Target="settings.xml"/><Relationship Id="rId15" Type="http://schemas.openxmlformats.org/officeDocument/2006/relationships/hyperlink" Target="javascript:AbrirModal(3)" TargetMode="External"/><Relationship Id="rId23" Type="http://schemas.openxmlformats.org/officeDocument/2006/relationships/theme" Target="theme/theme1.xml"/><Relationship Id="rId10" Type="http://schemas.openxmlformats.org/officeDocument/2006/relationships/hyperlink" Target="javascript:AbrirModal(2)"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hyperlink" Target="javascript:AbrirModal(2)"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E7EA5-7672-4D3C-A304-F343169ED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5096</TotalTime>
  <Pages>11</Pages>
  <Words>3490</Words>
  <Characters>19198</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412</cp:revision>
  <cp:lastPrinted>2019-04-09T16:20:00Z</cp:lastPrinted>
  <dcterms:created xsi:type="dcterms:W3CDTF">2017-09-05T18:57:00Z</dcterms:created>
  <dcterms:modified xsi:type="dcterms:W3CDTF">2019-04-09T16:20:00Z</dcterms:modified>
</cp:coreProperties>
</file>