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D2740"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SALA SUPERIOR DEL TRIBUNAL DE JUSTICIA ADMINISTRATIVA DEL ESTADO DE OAXACA</w:t>
      </w:r>
    </w:p>
    <w:p w14:paraId="39378A08"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RECURSO DE REVISIÓN:</w:t>
      </w:r>
      <w:r w:rsidRPr="00AA4698">
        <w:rPr>
          <w:rFonts w:ascii="Arial" w:eastAsiaTheme="minorHAnsi" w:hAnsi="Arial" w:cs="Arial"/>
          <w:b/>
          <w:sz w:val="26"/>
          <w:szCs w:val="26"/>
          <w:lang w:val="es-ES" w:eastAsia="en-US"/>
        </w:rPr>
        <w:tab/>
        <w:t>0403/2019</w:t>
      </w:r>
    </w:p>
    <w:p w14:paraId="22B72F32"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EXPEDIENTE:</w:t>
      </w:r>
      <w:r w:rsidRPr="00AA4698">
        <w:rPr>
          <w:rFonts w:ascii="Arial" w:eastAsiaTheme="minorHAnsi" w:hAnsi="Arial" w:cs="Arial"/>
          <w:b/>
          <w:sz w:val="26"/>
          <w:szCs w:val="26"/>
          <w:lang w:val="es-ES" w:eastAsia="en-US"/>
        </w:rPr>
        <w:tab/>
        <w:t>0488/2016 DE LA SEGUNDA SALA UNITARIA DE PRIMERA INSTANCIA</w:t>
      </w:r>
    </w:p>
    <w:p w14:paraId="689A6648"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PONENTE: MAGISTRADO MANUEL VELASCO ALCÁNTARA.</w:t>
      </w:r>
    </w:p>
    <w:p w14:paraId="0652BF30" w14:textId="77777777" w:rsidR="00AA4698" w:rsidRPr="00AA4698" w:rsidRDefault="00AA4698" w:rsidP="00AA4698">
      <w:pPr>
        <w:spacing w:line="240" w:lineRule="auto"/>
        <w:ind w:left="2124"/>
        <w:jc w:val="both"/>
        <w:rPr>
          <w:rFonts w:ascii="Arial" w:eastAsiaTheme="minorHAnsi" w:hAnsi="Arial" w:cs="Arial"/>
          <w:b/>
          <w:sz w:val="26"/>
          <w:szCs w:val="26"/>
          <w:lang w:val="es-ES" w:eastAsia="en-US"/>
        </w:rPr>
      </w:pPr>
    </w:p>
    <w:p w14:paraId="2F7D3E8C" w14:textId="53574F58" w:rsidR="00AA4698" w:rsidRPr="00AA4698" w:rsidRDefault="00AA4698" w:rsidP="00AA4698">
      <w:pPr>
        <w:spacing w:line="360" w:lineRule="auto"/>
        <w:jc w:val="both"/>
        <w:rPr>
          <w:rFonts w:ascii="Arial" w:eastAsiaTheme="minorHAnsi" w:hAnsi="Arial" w:cs="Arial"/>
          <w:b/>
          <w:sz w:val="26"/>
          <w:szCs w:val="26"/>
          <w:lang w:val="es-ES" w:eastAsia="en-US"/>
        </w:rPr>
      </w:pPr>
      <w:r w:rsidRPr="00AA4698">
        <w:rPr>
          <w:rFonts w:ascii="Arial" w:eastAsiaTheme="minorHAnsi" w:hAnsi="Arial" w:cs="Arial"/>
          <w:b/>
          <w:sz w:val="26"/>
          <w:szCs w:val="26"/>
          <w:lang w:val="es-ES" w:eastAsia="en-US"/>
        </w:rPr>
        <w:t>OAXACA DE JUÁREZ, OAXACA</w:t>
      </w:r>
      <w:r w:rsidR="00C06012">
        <w:rPr>
          <w:rFonts w:ascii="Arial" w:eastAsiaTheme="minorHAnsi" w:hAnsi="Arial" w:cs="Arial"/>
          <w:b/>
          <w:sz w:val="26"/>
          <w:szCs w:val="26"/>
          <w:lang w:val="es-ES" w:eastAsia="en-US"/>
        </w:rPr>
        <w:t xml:space="preserve">, A VEINTINUEVE DE SEPTIEMBRE </w:t>
      </w:r>
      <w:r w:rsidRPr="00AA4698">
        <w:rPr>
          <w:rFonts w:ascii="Arial" w:eastAsiaTheme="minorHAnsi" w:hAnsi="Arial" w:cs="Arial"/>
          <w:b/>
          <w:sz w:val="26"/>
          <w:szCs w:val="26"/>
          <w:lang w:val="es-ES" w:eastAsia="en-US"/>
        </w:rPr>
        <w:t xml:space="preserve">DE DOS MIL VEINTIUNO. - - - - - - - - - - - - - - - - - - - - - - - - - - - - - - - - - </w:t>
      </w:r>
    </w:p>
    <w:p w14:paraId="0D677924" w14:textId="78344F60" w:rsidR="000B4326" w:rsidRPr="004866AA" w:rsidRDefault="00AA4698" w:rsidP="000B4326">
      <w:pPr>
        <w:spacing w:line="360" w:lineRule="auto"/>
        <w:ind w:firstLine="360"/>
        <w:jc w:val="both"/>
        <w:rPr>
          <w:rFonts w:ascii="Arial" w:eastAsiaTheme="minorHAnsi" w:hAnsi="Arial" w:cs="Arial"/>
          <w:bCs/>
          <w:sz w:val="26"/>
          <w:szCs w:val="26"/>
          <w:lang w:val="es-ES" w:eastAsia="en-US"/>
        </w:rPr>
      </w:pPr>
      <w:r w:rsidRPr="00AA4698">
        <w:rPr>
          <w:rFonts w:ascii="Arial" w:eastAsiaTheme="minorHAnsi" w:hAnsi="Arial" w:cs="Arial"/>
          <w:sz w:val="26"/>
          <w:szCs w:val="26"/>
          <w:lang w:val="es-ES" w:eastAsia="en-US"/>
        </w:rPr>
        <w:t xml:space="preserve">Por recibido el Cuaderno de Revisión </w:t>
      </w:r>
      <w:r w:rsidRPr="00AA4698">
        <w:rPr>
          <w:rFonts w:ascii="Arial" w:eastAsiaTheme="minorHAnsi" w:hAnsi="Arial" w:cs="Arial"/>
          <w:b/>
          <w:sz w:val="26"/>
          <w:szCs w:val="26"/>
          <w:lang w:val="es-ES" w:eastAsia="en-US"/>
        </w:rPr>
        <w:t>0403/2019</w:t>
      </w:r>
      <w:r w:rsidRPr="00AA4698">
        <w:rPr>
          <w:rFonts w:ascii="Arial" w:eastAsiaTheme="minorHAnsi" w:hAnsi="Arial" w:cs="Arial"/>
          <w:sz w:val="26"/>
          <w:szCs w:val="26"/>
          <w:lang w:val="es-ES" w:eastAsia="en-US"/>
        </w:rPr>
        <w:t xml:space="preserve">, que remite la Secretaría General de Acuerdos, con motivo del recurso de revisión interpuesto por </w:t>
      </w:r>
      <w:r w:rsidR="006301A3">
        <w:rPr>
          <w:rFonts w:ascii="Arial" w:hAnsi="Arial" w:cs="Arial"/>
          <w:b/>
          <w:sz w:val="26"/>
          <w:szCs w:val="26"/>
        </w:rPr>
        <w:t>***********</w:t>
      </w:r>
      <w:r w:rsidRPr="00AA4698">
        <w:rPr>
          <w:rFonts w:ascii="Arial" w:eastAsiaTheme="minorHAnsi" w:hAnsi="Arial" w:cs="Arial"/>
          <w:b/>
          <w:sz w:val="26"/>
          <w:szCs w:val="26"/>
          <w:lang w:val="es-ES" w:eastAsia="en-US"/>
        </w:rPr>
        <w:t>,</w:t>
      </w:r>
      <w:r w:rsidRPr="00AA4698">
        <w:rPr>
          <w:rFonts w:ascii="Arial" w:eastAsiaTheme="minorHAnsi" w:hAnsi="Arial" w:cs="Arial"/>
          <w:sz w:val="26"/>
          <w:szCs w:val="26"/>
          <w:lang w:val="es-ES" w:eastAsia="en-US"/>
        </w:rPr>
        <w:t xml:space="preserve"> en contra de la resolución de fecha 30 treinta de abril de 2019 dos mil diecinueve, dictada en el expediente </w:t>
      </w:r>
      <w:r w:rsidRPr="00AA4698">
        <w:rPr>
          <w:rFonts w:ascii="Arial" w:eastAsiaTheme="minorHAnsi" w:hAnsi="Arial" w:cs="Arial"/>
          <w:b/>
          <w:sz w:val="26"/>
          <w:szCs w:val="26"/>
          <w:lang w:val="es-ES" w:eastAsia="en-US"/>
        </w:rPr>
        <w:t>0488/2016</w:t>
      </w:r>
      <w:r w:rsidRPr="00AA4698">
        <w:rPr>
          <w:rFonts w:ascii="Arial" w:eastAsiaTheme="minorHAnsi" w:hAnsi="Arial" w:cs="Arial"/>
          <w:sz w:val="26"/>
          <w:szCs w:val="26"/>
          <w:lang w:val="es-ES" w:eastAsia="en-US"/>
        </w:rPr>
        <w:t xml:space="preserve"> de la Segunda Sala Unitaria de Primera Instancia, relativo al juicio de nulidad promovido por</w:t>
      </w:r>
      <w:r w:rsidRPr="00AA4698">
        <w:rPr>
          <w:rFonts w:ascii="Arial" w:eastAsiaTheme="minorHAnsi" w:hAnsi="Arial" w:cs="Arial"/>
          <w:b/>
          <w:bCs/>
          <w:sz w:val="26"/>
          <w:szCs w:val="26"/>
          <w:lang w:val="es-ES" w:eastAsia="en-US"/>
        </w:rPr>
        <w:t xml:space="preserve"> </w:t>
      </w:r>
      <w:r w:rsidR="006301A3">
        <w:rPr>
          <w:rFonts w:ascii="Arial" w:hAnsi="Arial" w:cs="Arial"/>
          <w:b/>
          <w:sz w:val="26"/>
          <w:szCs w:val="26"/>
        </w:rPr>
        <w:t>***********</w:t>
      </w:r>
      <w:r w:rsidRPr="00AA4698">
        <w:rPr>
          <w:rFonts w:ascii="Arial" w:eastAsiaTheme="minorHAnsi" w:hAnsi="Arial" w:cs="Arial"/>
          <w:b/>
          <w:sz w:val="26"/>
          <w:szCs w:val="26"/>
          <w:lang w:val="es-ES" w:eastAsia="en-US"/>
        </w:rPr>
        <w:t xml:space="preserve">, </w:t>
      </w:r>
      <w:r w:rsidRPr="00AA4698">
        <w:rPr>
          <w:rFonts w:ascii="Arial" w:eastAsiaTheme="minorHAnsi" w:hAnsi="Arial" w:cs="Arial"/>
          <w:bCs/>
          <w:sz w:val="26"/>
          <w:szCs w:val="26"/>
          <w:lang w:val="es-ES" w:eastAsia="en-US"/>
        </w:rPr>
        <w:t xml:space="preserve">en contra del </w:t>
      </w:r>
      <w:r w:rsidRPr="00AA4698">
        <w:rPr>
          <w:rFonts w:ascii="Arial" w:eastAsiaTheme="minorHAnsi" w:hAnsi="Arial" w:cs="Arial"/>
          <w:b/>
          <w:sz w:val="26"/>
          <w:szCs w:val="26"/>
          <w:lang w:val="es-ES" w:eastAsia="en-US"/>
        </w:rPr>
        <w:t>JEFE DE LA UNIDAD AUXILIAR Y DE RECURSOS DE LA SUBSECRETAR</w:t>
      </w:r>
      <w:r w:rsidRPr="00D67174">
        <w:rPr>
          <w:rFonts w:ascii="Arial" w:eastAsiaTheme="minorHAnsi" w:hAnsi="Arial" w:cs="Arial"/>
          <w:b/>
          <w:sz w:val="26"/>
          <w:szCs w:val="26"/>
          <w:lang w:val="es-ES" w:eastAsia="en-US"/>
        </w:rPr>
        <w:t>Í</w:t>
      </w:r>
      <w:r w:rsidRPr="00AA4698">
        <w:rPr>
          <w:rFonts w:ascii="Arial" w:eastAsiaTheme="minorHAnsi" w:hAnsi="Arial" w:cs="Arial"/>
          <w:b/>
          <w:sz w:val="26"/>
          <w:szCs w:val="26"/>
          <w:lang w:val="es-ES" w:eastAsia="en-US"/>
        </w:rPr>
        <w:t>A DE RESPONSABILIDADES Y TRANSPARENCIA DE LA SECRETAR</w:t>
      </w:r>
      <w:r w:rsidRPr="00D67174">
        <w:rPr>
          <w:rFonts w:ascii="Arial" w:eastAsiaTheme="minorHAnsi" w:hAnsi="Arial" w:cs="Arial"/>
          <w:b/>
          <w:sz w:val="26"/>
          <w:szCs w:val="26"/>
          <w:lang w:val="es-ES" w:eastAsia="en-US"/>
        </w:rPr>
        <w:t>Í</w:t>
      </w:r>
      <w:r w:rsidRPr="00AA4698">
        <w:rPr>
          <w:rFonts w:ascii="Arial" w:eastAsiaTheme="minorHAnsi" w:hAnsi="Arial" w:cs="Arial"/>
          <w:b/>
          <w:sz w:val="26"/>
          <w:szCs w:val="26"/>
          <w:lang w:val="es-ES" w:eastAsia="en-US"/>
        </w:rPr>
        <w:t>A DE LA CONTRALOR</w:t>
      </w:r>
      <w:r w:rsidRPr="00D67174">
        <w:rPr>
          <w:rFonts w:ascii="Arial" w:eastAsiaTheme="minorHAnsi" w:hAnsi="Arial" w:cs="Arial"/>
          <w:b/>
          <w:sz w:val="26"/>
          <w:szCs w:val="26"/>
          <w:lang w:val="es-ES" w:eastAsia="en-US"/>
        </w:rPr>
        <w:t>Í</w:t>
      </w:r>
      <w:r w:rsidRPr="00AA4698">
        <w:rPr>
          <w:rFonts w:ascii="Arial" w:eastAsiaTheme="minorHAnsi" w:hAnsi="Arial" w:cs="Arial"/>
          <w:b/>
          <w:sz w:val="26"/>
          <w:szCs w:val="26"/>
          <w:lang w:val="es-ES" w:eastAsia="en-US"/>
        </w:rPr>
        <w:t>A Y TRANSPARENCIA GUBERNAMENTAL DEL PODER EJECUTIVO DEL ESTADO DE OAXACA</w:t>
      </w:r>
      <w:r w:rsidRPr="00AA4698">
        <w:rPr>
          <w:rFonts w:ascii="Arial" w:eastAsiaTheme="minorHAnsi" w:hAnsi="Arial" w:cs="Arial"/>
          <w:bCs/>
          <w:sz w:val="26"/>
          <w:szCs w:val="26"/>
          <w:lang w:val="es-ES" w:eastAsia="en-US"/>
        </w:rPr>
        <w:t>;</w:t>
      </w:r>
      <w:r w:rsidRPr="00AA4698">
        <w:rPr>
          <w:rFonts w:ascii="Arial" w:eastAsiaTheme="minorHAnsi" w:hAnsi="Arial" w:cs="Arial"/>
          <w:b/>
          <w:sz w:val="26"/>
          <w:szCs w:val="26"/>
          <w:lang w:val="es-ES" w:eastAsia="en-US"/>
        </w:rPr>
        <w:t xml:space="preserve"> </w:t>
      </w:r>
      <w:r w:rsidRPr="00AA4698">
        <w:rPr>
          <w:rFonts w:ascii="Arial" w:eastAsiaTheme="minorHAnsi" w:hAnsi="Arial" w:cs="Arial"/>
          <w:sz w:val="26"/>
          <w:szCs w:val="26"/>
          <w:lang w:val="es-ES" w:eastAsia="en-US"/>
        </w:rPr>
        <w:t>por lo que con fundamento en los artículos 206 y 208 de la Ley de Justicia Administrativa para el Estado de Oaxaca</w:t>
      </w:r>
      <w:r w:rsidR="00736AC3">
        <w:rPr>
          <w:rFonts w:ascii="Arial" w:eastAsiaTheme="minorHAnsi" w:hAnsi="Arial" w:cs="Arial"/>
          <w:sz w:val="26"/>
          <w:szCs w:val="26"/>
          <w:lang w:val="es-ES" w:eastAsia="en-US"/>
        </w:rPr>
        <w:t xml:space="preserve">, </w:t>
      </w:r>
      <w:bookmarkStart w:id="0" w:name="_Hlk84240324"/>
      <w:r w:rsidR="000B4326" w:rsidRPr="004866AA">
        <w:rPr>
          <w:rFonts w:ascii="Arial" w:eastAsiaTheme="minorHAnsi" w:hAnsi="Arial" w:cs="Arial"/>
          <w:bCs/>
          <w:sz w:val="26"/>
          <w:szCs w:val="26"/>
          <w:lang w:val="es-ES" w:eastAsia="en-US"/>
        </w:rPr>
        <w:t>vigente al inicio del juicio</w:t>
      </w:r>
      <w:bookmarkEnd w:id="0"/>
      <w:r w:rsidR="000B4326" w:rsidRPr="004866AA">
        <w:rPr>
          <w:rFonts w:ascii="Arial" w:eastAsiaTheme="minorHAnsi" w:hAnsi="Arial" w:cs="Arial"/>
          <w:bCs/>
          <w:sz w:val="26"/>
          <w:szCs w:val="26"/>
          <w:lang w:val="es-ES" w:eastAsia="en-US"/>
        </w:rPr>
        <w:t>, se admite. En consecuencia</w:t>
      </w:r>
      <w:r w:rsidR="000B4326">
        <w:rPr>
          <w:rFonts w:ascii="Arial" w:eastAsiaTheme="minorHAnsi" w:hAnsi="Arial" w:cs="Arial"/>
          <w:bCs/>
          <w:sz w:val="26"/>
          <w:szCs w:val="26"/>
          <w:lang w:val="es-ES" w:eastAsia="en-US"/>
        </w:rPr>
        <w:t>,</w:t>
      </w:r>
      <w:r w:rsidR="000B4326" w:rsidRPr="004866AA">
        <w:rPr>
          <w:rFonts w:ascii="Arial" w:eastAsiaTheme="minorHAnsi" w:hAnsi="Arial" w:cs="Arial"/>
          <w:bCs/>
          <w:sz w:val="26"/>
          <w:szCs w:val="26"/>
          <w:lang w:val="es-ES" w:eastAsia="en-US"/>
        </w:rPr>
        <w:t xml:space="preserve"> se procede a dictar resolución en los siguientes términos:</w:t>
      </w:r>
      <w:r w:rsidR="00D71D96">
        <w:rPr>
          <w:rFonts w:ascii="Arial" w:eastAsiaTheme="minorHAnsi" w:hAnsi="Arial" w:cs="Arial"/>
          <w:bCs/>
          <w:sz w:val="26"/>
          <w:szCs w:val="26"/>
          <w:lang w:val="es-ES" w:eastAsia="en-US"/>
        </w:rPr>
        <w:t xml:space="preserve"> - - - - - - - - - - - - - - - - - - - - - - - - - - - - - - - - - - -</w:t>
      </w:r>
    </w:p>
    <w:p w14:paraId="7E7E1144" w14:textId="72EE31CE" w:rsidR="00AA4698" w:rsidRPr="00AA4698" w:rsidRDefault="00AA4698" w:rsidP="000B4326">
      <w:pPr>
        <w:spacing w:line="360" w:lineRule="auto"/>
        <w:ind w:firstLine="360"/>
        <w:jc w:val="center"/>
        <w:rPr>
          <w:rFonts w:ascii="Arial" w:eastAsiaTheme="majorEastAsia" w:hAnsi="Arial" w:cs="Arial"/>
          <w:b/>
          <w:bCs/>
          <w:sz w:val="26"/>
          <w:szCs w:val="26"/>
          <w:lang w:val="es-ES" w:eastAsia="en-US"/>
        </w:rPr>
      </w:pPr>
      <w:r w:rsidRPr="00AA4698">
        <w:rPr>
          <w:rFonts w:ascii="Arial" w:eastAsiaTheme="majorEastAsia" w:hAnsi="Arial" w:cs="Arial"/>
          <w:b/>
          <w:bCs/>
          <w:sz w:val="26"/>
          <w:szCs w:val="26"/>
          <w:lang w:val="es-ES" w:eastAsia="en-US"/>
        </w:rPr>
        <w:t>R E S U L T A N D O</w:t>
      </w:r>
    </w:p>
    <w:p w14:paraId="456949D3" w14:textId="03D3E3B3" w:rsidR="00AA4698" w:rsidRPr="00AA4698" w:rsidRDefault="00AA4698" w:rsidP="00AA4698">
      <w:pPr>
        <w:spacing w:line="360" w:lineRule="auto"/>
        <w:ind w:firstLine="360"/>
        <w:jc w:val="both"/>
        <w:rPr>
          <w:rFonts w:ascii="Arial" w:eastAsiaTheme="minorHAnsi" w:hAnsi="Arial" w:cs="Arial"/>
          <w:sz w:val="26"/>
          <w:szCs w:val="26"/>
          <w:lang w:val="es-ES" w:eastAsia="en-US"/>
        </w:rPr>
      </w:pPr>
      <w:r w:rsidRPr="00AA4698">
        <w:rPr>
          <w:rFonts w:ascii="Arial" w:eastAsiaTheme="minorHAnsi" w:hAnsi="Arial" w:cs="Arial"/>
          <w:b/>
          <w:bCs/>
          <w:sz w:val="26"/>
          <w:szCs w:val="26"/>
          <w:lang w:val="es-ES" w:eastAsia="en-US"/>
        </w:rPr>
        <w:t xml:space="preserve">PRIMERO. </w:t>
      </w:r>
      <w:r w:rsidRPr="00AA4698">
        <w:rPr>
          <w:rFonts w:ascii="Arial" w:eastAsiaTheme="minorHAnsi" w:hAnsi="Arial" w:cs="Arial"/>
          <w:sz w:val="26"/>
          <w:szCs w:val="26"/>
          <w:lang w:val="es-ES" w:eastAsia="en-US"/>
        </w:rPr>
        <w:t xml:space="preserve">Inconforme con la resolución de fecha 30 treinta de abril de 2019 dos mil diecinueve, dictada por la Segunda Sala Unitaria de Primera Instancia, </w:t>
      </w:r>
      <w:r w:rsidR="006301A3">
        <w:rPr>
          <w:rFonts w:ascii="Arial" w:hAnsi="Arial" w:cs="Arial"/>
          <w:b/>
          <w:sz w:val="26"/>
          <w:szCs w:val="26"/>
        </w:rPr>
        <w:t>***********</w:t>
      </w:r>
      <w:r w:rsidRPr="00AA4698">
        <w:rPr>
          <w:rFonts w:ascii="Arial" w:eastAsiaTheme="minorHAnsi" w:hAnsi="Arial" w:cs="Arial"/>
          <w:b/>
          <w:sz w:val="26"/>
          <w:szCs w:val="26"/>
          <w:lang w:val="es-ES" w:eastAsia="en-US"/>
        </w:rPr>
        <w:t>,</w:t>
      </w:r>
      <w:r w:rsidRPr="00AA4698">
        <w:rPr>
          <w:rFonts w:ascii="Arial" w:eastAsiaTheme="minorHAnsi" w:hAnsi="Arial" w:cs="Arial"/>
          <w:sz w:val="26"/>
          <w:szCs w:val="26"/>
          <w:lang w:val="es-ES" w:eastAsia="en-US"/>
        </w:rPr>
        <w:t xml:space="preserve"> interpuso en su contra recurso de revisión.</w:t>
      </w:r>
      <w:r w:rsidR="004A3209">
        <w:rPr>
          <w:rFonts w:ascii="Arial" w:eastAsiaTheme="minorHAnsi" w:hAnsi="Arial" w:cs="Arial"/>
          <w:sz w:val="26"/>
          <w:szCs w:val="26"/>
          <w:lang w:val="es-ES" w:eastAsia="en-US"/>
        </w:rPr>
        <w:t xml:space="preserve"> </w:t>
      </w:r>
      <w:r w:rsidR="006301A3">
        <w:rPr>
          <w:rFonts w:ascii="Arial" w:eastAsiaTheme="minorHAnsi" w:hAnsi="Arial" w:cs="Arial"/>
          <w:sz w:val="26"/>
          <w:szCs w:val="26"/>
          <w:lang w:val="es-ES" w:eastAsia="en-US"/>
        </w:rPr>
        <w:t xml:space="preserve"> </w:t>
      </w:r>
    </w:p>
    <w:p w14:paraId="734201AF" w14:textId="3020E3A4" w:rsidR="00AA4698" w:rsidRPr="00AA4698" w:rsidRDefault="00AA4698" w:rsidP="00AA4698">
      <w:pPr>
        <w:spacing w:line="360" w:lineRule="auto"/>
        <w:ind w:firstLine="360"/>
        <w:jc w:val="both"/>
        <w:rPr>
          <w:rFonts w:ascii="Arial" w:eastAsiaTheme="minorHAnsi" w:hAnsi="Arial" w:cs="Arial"/>
          <w:sz w:val="26"/>
          <w:szCs w:val="26"/>
          <w:lang w:val="es-ES" w:eastAsia="en-US"/>
        </w:rPr>
      </w:pPr>
      <w:r w:rsidRPr="00AA4698">
        <w:rPr>
          <w:rFonts w:ascii="Arial" w:eastAsiaTheme="minorHAnsi" w:hAnsi="Arial" w:cs="Arial"/>
          <w:b/>
          <w:sz w:val="26"/>
          <w:szCs w:val="26"/>
          <w:lang w:eastAsia="en-US"/>
        </w:rPr>
        <w:t xml:space="preserve">SEGUNDO. </w:t>
      </w:r>
      <w:r w:rsidRPr="00AA4698">
        <w:rPr>
          <w:rFonts w:ascii="Arial" w:eastAsiaTheme="minorHAnsi" w:hAnsi="Arial" w:cs="Arial"/>
          <w:sz w:val="26"/>
          <w:szCs w:val="26"/>
          <w:lang w:val="es-ES" w:eastAsia="en-US"/>
        </w:rPr>
        <w:t>Los puntos resolutivos de la sentencia recurrida son los siguientes:</w:t>
      </w:r>
      <w:r w:rsidR="004A3209">
        <w:rPr>
          <w:rFonts w:ascii="Arial" w:eastAsiaTheme="minorHAnsi" w:hAnsi="Arial" w:cs="Arial"/>
          <w:sz w:val="26"/>
          <w:szCs w:val="26"/>
          <w:lang w:val="es-ES" w:eastAsia="en-US"/>
        </w:rPr>
        <w:t xml:space="preserve"> - - - - - - - - - - - - - - - - - - - - - - - - - - - - - - - - - - - - - - - - - - - - </w:t>
      </w:r>
    </w:p>
    <w:p w14:paraId="46479534" w14:textId="77777777" w:rsidR="00AA4698" w:rsidRPr="0046419F" w:rsidRDefault="00AA4698" w:rsidP="00AA4698">
      <w:pPr>
        <w:ind w:left="708" w:right="616" w:firstLine="708"/>
        <w:jc w:val="both"/>
        <w:rPr>
          <w:rFonts w:ascii="Arial" w:eastAsiaTheme="minorHAnsi" w:hAnsi="Arial" w:cs="Arial"/>
          <w:i/>
          <w:sz w:val="24"/>
          <w:szCs w:val="24"/>
          <w:lang w:val="es-ES" w:eastAsia="en-US"/>
        </w:rPr>
      </w:pPr>
      <w:r w:rsidRPr="0046419F">
        <w:rPr>
          <w:rFonts w:ascii="Arial" w:eastAsiaTheme="minorHAnsi" w:hAnsi="Arial" w:cs="Arial"/>
          <w:i/>
          <w:sz w:val="24"/>
          <w:szCs w:val="24"/>
          <w:lang w:val="es-ES" w:eastAsia="es-ES"/>
        </w:rPr>
        <w:t>“</w:t>
      </w:r>
      <w:r w:rsidRPr="0046419F">
        <w:rPr>
          <w:rFonts w:ascii="Arial" w:eastAsiaTheme="minorHAnsi" w:hAnsi="Arial" w:cs="Arial"/>
          <w:b/>
          <w:i/>
          <w:sz w:val="24"/>
          <w:szCs w:val="24"/>
          <w:lang w:val="es-ES" w:eastAsia="en-US"/>
        </w:rPr>
        <w:t xml:space="preserve">PRIMERO. - </w:t>
      </w:r>
      <w:r w:rsidRPr="0046419F">
        <w:rPr>
          <w:rFonts w:ascii="Arial" w:eastAsiaTheme="minorHAnsi" w:hAnsi="Arial" w:cs="Arial"/>
          <w:i/>
          <w:sz w:val="24"/>
          <w:szCs w:val="24"/>
          <w:lang w:val="es-ES" w:eastAsia="en-US"/>
        </w:rPr>
        <w:t>Esta Segunda Sala de Primera Instancia del Tribunal de Justicia Administrativa del Estado de Oaxaca, es legalmente competente para conocer y resolver del presente Juicio de Nulidad.</w:t>
      </w:r>
    </w:p>
    <w:p w14:paraId="4333C4D5" w14:textId="77777777" w:rsidR="00AA4698" w:rsidRPr="0046419F" w:rsidRDefault="00AA4698" w:rsidP="00AA4698">
      <w:pPr>
        <w:ind w:left="708" w:right="616" w:firstLine="708"/>
        <w:jc w:val="both"/>
        <w:rPr>
          <w:rFonts w:ascii="Arial" w:eastAsiaTheme="minorHAnsi" w:hAnsi="Arial" w:cs="Arial"/>
          <w:i/>
          <w:sz w:val="24"/>
          <w:szCs w:val="24"/>
          <w:lang w:val="es-ES" w:eastAsia="en-US"/>
        </w:rPr>
      </w:pPr>
      <w:r w:rsidRPr="0046419F">
        <w:rPr>
          <w:rFonts w:ascii="Arial" w:eastAsiaTheme="minorHAnsi" w:hAnsi="Arial" w:cs="Arial"/>
          <w:b/>
          <w:i/>
          <w:sz w:val="24"/>
          <w:szCs w:val="24"/>
          <w:lang w:val="es-ES" w:eastAsia="en-US"/>
        </w:rPr>
        <w:t>SEGUNDO.</w:t>
      </w:r>
      <w:r w:rsidRPr="0046419F">
        <w:rPr>
          <w:rFonts w:ascii="Arial" w:eastAsiaTheme="minorHAnsi" w:hAnsi="Arial" w:cs="Arial"/>
          <w:i/>
          <w:sz w:val="24"/>
          <w:szCs w:val="24"/>
          <w:lang w:val="es-ES" w:eastAsia="en-US"/>
        </w:rPr>
        <w:t xml:space="preserve"> - Al no actualizarse causal de improcedencia alguna, NO SE SOBRESEE EL JUICIO, de conformidad con el considerando QUINTO de esta resolución.</w:t>
      </w:r>
    </w:p>
    <w:p w14:paraId="3412EA29" w14:textId="77777777" w:rsidR="00AA4698" w:rsidRPr="0046419F" w:rsidRDefault="00AA4698" w:rsidP="00AA4698">
      <w:pPr>
        <w:ind w:left="708" w:right="616" w:firstLine="708"/>
        <w:jc w:val="both"/>
        <w:rPr>
          <w:rFonts w:ascii="Arial" w:eastAsiaTheme="minorHAnsi" w:hAnsi="Arial" w:cs="Arial"/>
          <w:i/>
          <w:sz w:val="24"/>
          <w:szCs w:val="24"/>
          <w:lang w:val="es-ES" w:eastAsia="en-US"/>
        </w:rPr>
      </w:pPr>
      <w:r w:rsidRPr="0046419F">
        <w:rPr>
          <w:rFonts w:ascii="Arial" w:eastAsiaTheme="minorHAnsi" w:hAnsi="Arial" w:cs="Arial"/>
          <w:b/>
          <w:i/>
          <w:sz w:val="24"/>
          <w:szCs w:val="24"/>
          <w:lang w:val="es-ES" w:eastAsia="en-US"/>
        </w:rPr>
        <w:lastRenderedPageBreak/>
        <w:t>TERCERO.</w:t>
      </w:r>
      <w:r w:rsidRPr="0046419F">
        <w:rPr>
          <w:rFonts w:ascii="Arial" w:eastAsiaTheme="minorHAnsi" w:hAnsi="Arial" w:cs="Arial"/>
          <w:i/>
          <w:sz w:val="24"/>
          <w:szCs w:val="24"/>
          <w:lang w:val="es-ES" w:eastAsia="en-US"/>
        </w:rPr>
        <w:t xml:space="preserve"> - Se declara la </w:t>
      </w:r>
      <w:r w:rsidRPr="0046419F">
        <w:rPr>
          <w:rFonts w:ascii="Arial" w:eastAsiaTheme="minorHAnsi" w:hAnsi="Arial" w:cs="Arial"/>
          <w:b/>
          <w:i/>
          <w:sz w:val="24"/>
          <w:szCs w:val="24"/>
          <w:lang w:val="es-ES" w:eastAsia="en-US"/>
        </w:rPr>
        <w:t xml:space="preserve">LEGALIDAD y VALIDEZ </w:t>
      </w:r>
      <w:r w:rsidRPr="0046419F">
        <w:rPr>
          <w:rFonts w:ascii="Arial" w:eastAsiaTheme="minorHAnsi" w:hAnsi="Arial" w:cs="Arial"/>
          <w:i/>
          <w:sz w:val="24"/>
          <w:szCs w:val="24"/>
          <w:lang w:val="es-ES" w:eastAsia="en-US"/>
        </w:rPr>
        <w:t>de la resolución de fecha quince de julio de dos mil dieciséis, dictada en el Recurso de Revocación 26/2014, por el Jefe de la Unidad Auxiliar y de Recursos de la Subsecretaría de Responsabilidades y Transparencia Gubernamental del Poder Ejecutivo del Estado de Oaxaca, en los términos precisados en el considerando SEXTO de esta resolución.</w:t>
      </w:r>
    </w:p>
    <w:p w14:paraId="54ADE502" w14:textId="77777777" w:rsidR="00AA4698" w:rsidRPr="00AA4698" w:rsidRDefault="00AA4698" w:rsidP="00AA4698">
      <w:pPr>
        <w:ind w:left="708" w:right="616" w:firstLine="708"/>
        <w:jc w:val="both"/>
        <w:rPr>
          <w:rFonts w:eastAsiaTheme="minorHAnsi"/>
          <w:i/>
          <w:lang w:val="es-ES" w:eastAsia="en-US"/>
        </w:rPr>
      </w:pPr>
      <w:r w:rsidRPr="00AA4698">
        <w:rPr>
          <w:rFonts w:eastAsiaTheme="minorHAnsi"/>
          <w:b/>
          <w:i/>
          <w:lang w:val="es-ES" w:eastAsia="en-US"/>
        </w:rPr>
        <w:t>…</w:t>
      </w:r>
      <w:r w:rsidRPr="00AA4698">
        <w:rPr>
          <w:rFonts w:eastAsiaTheme="minorHAnsi"/>
          <w:i/>
          <w:lang w:val="es-ES" w:eastAsia="en-US"/>
        </w:rPr>
        <w:t>”</w:t>
      </w:r>
    </w:p>
    <w:p w14:paraId="2E376DD2" w14:textId="1EF11CBE" w:rsidR="00AA4698" w:rsidRPr="00AA4698" w:rsidRDefault="00AA4698" w:rsidP="00AA4698">
      <w:pPr>
        <w:spacing w:before="240" w:after="0" w:line="360" w:lineRule="auto"/>
        <w:ind w:left="708"/>
        <w:jc w:val="center"/>
        <w:rPr>
          <w:rFonts w:ascii="Arial" w:eastAsia="Calibri" w:hAnsi="Arial" w:cs="Arial"/>
          <w:b/>
          <w:bCs/>
          <w:sz w:val="26"/>
          <w:szCs w:val="26"/>
          <w:lang w:val="es-ES" w:eastAsia="en-US"/>
        </w:rPr>
      </w:pPr>
      <w:r w:rsidRPr="00AA4698">
        <w:rPr>
          <w:rFonts w:ascii="Arial" w:eastAsia="Calibri" w:hAnsi="Arial" w:cs="Arial"/>
          <w:b/>
          <w:bCs/>
          <w:sz w:val="26"/>
          <w:szCs w:val="26"/>
          <w:lang w:val="es-ES" w:eastAsia="en-US"/>
        </w:rPr>
        <w:t>C O N S I D E R A N D O</w:t>
      </w:r>
    </w:p>
    <w:p w14:paraId="1F7CE0F1" w14:textId="28494E52" w:rsidR="00AA4698" w:rsidRPr="00AA4698" w:rsidRDefault="00AA4698" w:rsidP="00AA4698">
      <w:pPr>
        <w:spacing w:before="240" w:line="360" w:lineRule="auto"/>
        <w:ind w:firstLine="708"/>
        <w:jc w:val="both"/>
        <w:rPr>
          <w:rFonts w:ascii="Arial" w:eastAsiaTheme="minorHAnsi" w:hAnsi="Arial" w:cs="Arial"/>
          <w:bCs/>
          <w:iCs/>
          <w:sz w:val="26"/>
          <w:szCs w:val="26"/>
          <w:lang w:val="es-ES" w:eastAsia="en-US"/>
        </w:rPr>
      </w:pPr>
      <w:r w:rsidRPr="00AA4698">
        <w:rPr>
          <w:rFonts w:ascii="Arial" w:eastAsiaTheme="minorHAnsi" w:hAnsi="Arial" w:cs="Arial"/>
          <w:b/>
          <w:bCs/>
          <w:iCs/>
          <w:sz w:val="26"/>
          <w:szCs w:val="26"/>
          <w:lang w:val="es-ES" w:eastAsia="es-ES"/>
        </w:rPr>
        <w:t>PRIMERO.</w:t>
      </w:r>
      <w:r w:rsidRPr="00AA4698">
        <w:rPr>
          <w:rFonts w:ascii="Arial" w:eastAsiaTheme="minorHAnsi" w:hAnsi="Arial" w:cs="Arial"/>
          <w:b/>
          <w:bCs/>
          <w:iCs/>
          <w:sz w:val="26"/>
          <w:szCs w:val="26"/>
          <w:lang w:val="es-ES" w:eastAsia="en-US"/>
        </w:rPr>
        <w:t xml:space="preserve"> </w:t>
      </w:r>
      <w:r w:rsidRPr="00AA4698">
        <w:rPr>
          <w:rFonts w:ascii="Arial" w:eastAsiaTheme="minorHAnsi" w:hAnsi="Arial" w:cs="Arial"/>
          <w:bCs/>
          <w:iCs/>
          <w:sz w:val="26"/>
          <w:szCs w:val="26"/>
          <w:lang w:val="es-ES" w:eastAsia="en-US"/>
        </w:rPr>
        <w:t xml:space="preserve">Esta Sala Superior es competente para conocer del presente asunto, de conformidad con lo dispuesto por los artículos 114 </w:t>
      </w:r>
      <w:r w:rsidR="00495852" w:rsidRPr="00AA4698">
        <w:rPr>
          <w:rFonts w:ascii="Arial" w:eastAsiaTheme="minorHAnsi" w:hAnsi="Arial" w:cs="Arial"/>
          <w:bCs/>
          <w:iCs/>
          <w:sz w:val="26"/>
          <w:szCs w:val="26"/>
          <w:lang w:val="es-ES" w:eastAsia="en-US"/>
        </w:rPr>
        <w:t xml:space="preserve">QUÁTER </w:t>
      </w:r>
      <w:r w:rsidRPr="00AA4698">
        <w:rPr>
          <w:rFonts w:ascii="Arial" w:eastAsiaTheme="minorHAnsi" w:hAnsi="Arial" w:cs="Arial"/>
          <w:bCs/>
          <w:iCs/>
          <w:sz w:val="26"/>
          <w:szCs w:val="26"/>
          <w:lang w:val="es-ES" w:eastAsia="en-US"/>
        </w:rPr>
        <w:t xml:space="preserve">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w:t>
      </w:r>
      <w:r w:rsidR="002F1F85">
        <w:rPr>
          <w:rFonts w:ascii="Arial" w:eastAsiaTheme="minorHAnsi" w:hAnsi="Arial" w:cs="Arial"/>
          <w:bCs/>
          <w:iCs/>
          <w:sz w:val="26"/>
          <w:szCs w:val="26"/>
          <w:lang w:val="es-ES" w:eastAsia="en-US"/>
        </w:rPr>
        <w:t xml:space="preserve">07 </w:t>
      </w:r>
      <w:r w:rsidRPr="00AA4698">
        <w:rPr>
          <w:rFonts w:ascii="Arial" w:eastAsiaTheme="minorHAnsi" w:hAnsi="Arial" w:cs="Arial"/>
          <w:bCs/>
          <w:iCs/>
          <w:sz w:val="26"/>
          <w:szCs w:val="26"/>
          <w:lang w:val="es-ES" w:eastAsia="en-US"/>
        </w:rPr>
        <w:t xml:space="preserve">siete de noviembre de </w:t>
      </w:r>
      <w:r w:rsidR="002F1F85">
        <w:rPr>
          <w:rFonts w:ascii="Arial" w:eastAsiaTheme="minorHAnsi" w:hAnsi="Arial" w:cs="Arial"/>
          <w:bCs/>
          <w:iCs/>
          <w:sz w:val="26"/>
          <w:szCs w:val="26"/>
          <w:lang w:val="es-ES" w:eastAsia="en-US"/>
        </w:rPr>
        <w:t xml:space="preserve">2019 </w:t>
      </w:r>
      <w:r w:rsidRPr="00AA4698">
        <w:rPr>
          <w:rFonts w:ascii="Arial" w:eastAsiaTheme="minorHAnsi" w:hAnsi="Arial" w:cs="Arial"/>
          <w:bCs/>
          <w:iCs/>
          <w:sz w:val="26"/>
          <w:szCs w:val="26"/>
          <w:lang w:val="es-ES" w:eastAsia="en-US"/>
        </w:rPr>
        <w:t>dos mil diecinueve; así como los diversos</w:t>
      </w:r>
      <w:r w:rsidRPr="00AA4698">
        <w:rPr>
          <w:rFonts w:ascii="Arial" w:eastAsiaTheme="minorHAnsi" w:hAnsi="Arial" w:cs="Arial"/>
          <w:bCs/>
          <w:iCs/>
          <w:sz w:val="26"/>
          <w:szCs w:val="26"/>
          <w:lang w:val="es-ES" w:eastAsia="es-ES"/>
        </w:rPr>
        <w:t xml:space="preserve"> </w:t>
      </w:r>
      <w:r w:rsidRPr="00AA4698">
        <w:rPr>
          <w:rFonts w:ascii="Arial" w:eastAsiaTheme="minorHAnsi" w:hAnsi="Arial" w:cs="Arial"/>
          <w:sz w:val="26"/>
          <w:szCs w:val="26"/>
          <w:lang w:val="es-ES" w:eastAsia="en-US"/>
        </w:rPr>
        <w:t>82, fracción I, 86, 88, 92, 93, fracción I, 94, 201, 206 y 208</w:t>
      </w:r>
      <w:r w:rsidRPr="00AA4698">
        <w:rPr>
          <w:rFonts w:ascii="Arial" w:eastAsiaTheme="minorHAnsi" w:hAnsi="Arial" w:cs="Arial"/>
          <w:bCs/>
          <w:iCs/>
          <w:sz w:val="26"/>
          <w:szCs w:val="26"/>
          <w:lang w:val="es-ES" w:eastAsia="en-US"/>
        </w:rPr>
        <w:t xml:space="preserve"> de la Ley de Justicia Administrativa para el Estado de Oaxaca, dado que se trata de un Recurso de Revisión interpuesto en contra de la resolución de 30 treinta de abril de 2019 </w:t>
      </w:r>
      <w:r w:rsidRPr="00AA4698">
        <w:rPr>
          <w:rFonts w:ascii="Arial" w:eastAsiaTheme="minorHAnsi" w:hAnsi="Arial" w:cs="Arial"/>
          <w:sz w:val="26"/>
          <w:szCs w:val="26"/>
          <w:lang w:val="es-ES" w:eastAsia="en-US"/>
        </w:rPr>
        <w:t>dos mil diecinueve</w:t>
      </w:r>
      <w:r w:rsidRPr="00AA4698">
        <w:rPr>
          <w:rFonts w:ascii="Arial" w:eastAsiaTheme="minorHAnsi" w:hAnsi="Arial" w:cs="Arial"/>
          <w:bCs/>
          <w:iCs/>
          <w:sz w:val="26"/>
          <w:szCs w:val="26"/>
          <w:lang w:val="es-ES" w:eastAsia="en-US"/>
        </w:rPr>
        <w:t>, dictada por la Segunda Sala Unitaria de Primera Instancia de este Tribunal, en el expediente 0488/2016</w:t>
      </w:r>
      <w:r w:rsidRPr="00AA4698">
        <w:rPr>
          <w:rFonts w:ascii="Arial" w:eastAsiaTheme="minorHAnsi" w:hAnsi="Arial" w:cs="Arial"/>
          <w:sz w:val="26"/>
          <w:szCs w:val="26"/>
          <w:lang w:val="es-ES" w:eastAsia="en-US"/>
        </w:rPr>
        <w:t>.</w:t>
      </w:r>
      <w:r w:rsidR="002F1F85">
        <w:rPr>
          <w:rFonts w:ascii="Arial" w:eastAsiaTheme="minorHAnsi" w:hAnsi="Arial" w:cs="Arial"/>
          <w:sz w:val="26"/>
          <w:szCs w:val="26"/>
          <w:lang w:val="es-ES" w:eastAsia="en-US"/>
        </w:rPr>
        <w:t xml:space="preserve"> - - - - - - - - - - - - - - - - - - - - - - - -</w:t>
      </w:r>
    </w:p>
    <w:p w14:paraId="14CE3440" w14:textId="78435BF3" w:rsidR="00AA4698" w:rsidRPr="00AA4698" w:rsidRDefault="00AA4698" w:rsidP="00AA4698">
      <w:pPr>
        <w:spacing w:line="360" w:lineRule="auto"/>
        <w:ind w:firstLine="708"/>
        <w:jc w:val="both"/>
        <w:rPr>
          <w:rFonts w:ascii="Arial" w:eastAsiaTheme="minorHAnsi" w:hAnsi="Arial" w:cs="Arial"/>
          <w:sz w:val="26"/>
          <w:szCs w:val="26"/>
          <w:lang w:val="es-ES" w:eastAsia="en-US"/>
        </w:rPr>
      </w:pPr>
      <w:r w:rsidRPr="00AA4698">
        <w:rPr>
          <w:rFonts w:ascii="Arial" w:eastAsiaTheme="minorHAnsi" w:hAnsi="Arial" w:cs="Arial"/>
          <w:b/>
          <w:sz w:val="26"/>
          <w:szCs w:val="26"/>
          <w:lang w:val="es-ES" w:eastAsia="en-US"/>
        </w:rPr>
        <w:t>SEGUNDO</w:t>
      </w:r>
      <w:r w:rsidRPr="00AA4698">
        <w:rPr>
          <w:rFonts w:ascii="Arial" w:eastAsiaTheme="minorHAnsi" w:hAnsi="Arial" w:cs="Arial"/>
          <w:sz w:val="26"/>
          <w:szCs w:val="26"/>
          <w:lang w:val="es-ES" w:eastAsia="en-US"/>
        </w:rPr>
        <w:t xml:space="preserve">. </w:t>
      </w:r>
      <w:r w:rsidRPr="00AA4698">
        <w:rPr>
          <w:rFonts w:ascii="Arial" w:eastAsiaTheme="minorHAnsi" w:hAnsi="Arial" w:cs="Arial"/>
          <w:bCs/>
          <w:sz w:val="26"/>
          <w:szCs w:val="26"/>
          <w:lang w:val="es-ES" w:eastAsia="en-US"/>
        </w:rPr>
        <w:t>Los agravios hechos valer se encuentran expuestos en el escrito respectivo de la parte recurrente, por lo que no existe necesidad de transcribirlos, virtud a que ello no implica transgresión a derecho alguno de la recurrente, como tampoco se vulnera disposición expresa que imponga tal obligación</w:t>
      </w:r>
      <w:r w:rsidRPr="00AA4698">
        <w:rPr>
          <w:rFonts w:ascii="Arial" w:eastAsiaTheme="minorHAnsi" w:hAnsi="Arial" w:cs="Arial"/>
          <w:sz w:val="26"/>
          <w:szCs w:val="26"/>
          <w:lang w:val="es-ES" w:eastAsia="en-US"/>
        </w:rPr>
        <w:t>.</w:t>
      </w:r>
      <w:r w:rsidR="00BD6B75">
        <w:rPr>
          <w:rFonts w:ascii="Arial" w:eastAsiaTheme="minorHAnsi" w:hAnsi="Arial" w:cs="Arial"/>
          <w:sz w:val="26"/>
          <w:szCs w:val="26"/>
          <w:lang w:val="es-ES" w:eastAsia="en-US"/>
        </w:rPr>
        <w:t xml:space="preserve"> - - - - - - - - - - - - - - - - - - - - - - - - - -</w:t>
      </w:r>
    </w:p>
    <w:p w14:paraId="45B745A7" w14:textId="6677A9BF" w:rsidR="00AA4698" w:rsidRPr="00D67174" w:rsidRDefault="00AA4698" w:rsidP="00AA4698">
      <w:pPr>
        <w:shd w:val="clear" w:color="auto" w:fill="FFFFFF"/>
        <w:spacing w:line="360" w:lineRule="auto"/>
        <w:ind w:firstLine="567"/>
        <w:jc w:val="both"/>
        <w:rPr>
          <w:rFonts w:ascii="Arial" w:hAnsi="Arial" w:cs="Arial"/>
          <w:bCs/>
          <w:sz w:val="26"/>
          <w:szCs w:val="26"/>
        </w:rPr>
      </w:pPr>
      <w:r w:rsidRPr="00AA4698">
        <w:rPr>
          <w:rFonts w:ascii="Arial" w:eastAsiaTheme="minorHAnsi" w:hAnsi="Arial" w:cs="Arial"/>
          <w:bCs/>
          <w:color w:val="000000"/>
          <w:sz w:val="26"/>
          <w:szCs w:val="26"/>
          <w:lang w:eastAsia="en-US"/>
        </w:rPr>
        <w:t xml:space="preserve"> </w:t>
      </w:r>
      <w:r w:rsidRPr="00D67174">
        <w:rPr>
          <w:rFonts w:ascii="Arial" w:hAnsi="Arial" w:cs="Arial"/>
          <w:bCs/>
          <w:sz w:val="26"/>
          <w:szCs w:val="26"/>
        </w:rPr>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bajo el rubro y texto siguiente</w:t>
      </w:r>
      <w:proofErr w:type="gramStart"/>
      <w:r w:rsidRPr="00D67174">
        <w:rPr>
          <w:rFonts w:ascii="Arial" w:hAnsi="Arial" w:cs="Arial"/>
          <w:bCs/>
          <w:sz w:val="26"/>
          <w:szCs w:val="26"/>
        </w:rPr>
        <w:t xml:space="preserve">: </w:t>
      </w:r>
      <w:r w:rsidR="00BD6B75">
        <w:rPr>
          <w:rFonts w:ascii="Arial" w:hAnsi="Arial" w:cs="Arial"/>
          <w:bCs/>
          <w:sz w:val="26"/>
          <w:szCs w:val="26"/>
        </w:rPr>
        <w:t xml:space="preserve"> -</w:t>
      </w:r>
      <w:proofErr w:type="gramEnd"/>
      <w:r w:rsidR="00BD6B75">
        <w:rPr>
          <w:rFonts w:ascii="Arial" w:hAnsi="Arial" w:cs="Arial"/>
          <w:bCs/>
          <w:sz w:val="26"/>
          <w:szCs w:val="26"/>
        </w:rPr>
        <w:t xml:space="preserve"> - - - - - - - - - - - - - - - - - - - -</w:t>
      </w:r>
    </w:p>
    <w:p w14:paraId="22F7FFAC" w14:textId="77777777" w:rsidR="00AA4698" w:rsidRPr="00BD6B75" w:rsidRDefault="00AA4698" w:rsidP="00BD6B75">
      <w:pPr>
        <w:spacing w:before="240" w:line="240" w:lineRule="auto"/>
        <w:ind w:left="567" w:right="616"/>
        <w:jc w:val="both"/>
        <w:rPr>
          <w:rFonts w:ascii="Arial" w:eastAsia="Times New Roman" w:hAnsi="Arial" w:cs="Arial"/>
          <w:i/>
          <w:iCs/>
        </w:rPr>
      </w:pPr>
      <w:r w:rsidRPr="00BD6B7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BD6B75">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w:t>
      </w:r>
      <w:r w:rsidRPr="00BD6B75">
        <w:rPr>
          <w:rFonts w:ascii="Arial" w:eastAsia="Times New Roman" w:hAnsi="Arial" w:cs="Arial"/>
          <w:i/>
          <w:iCs/>
        </w:rPr>
        <w:lastRenderedPageBreak/>
        <w:t>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69CCE8E" w14:textId="4351345E" w:rsidR="00C12A0F" w:rsidRPr="006964F3" w:rsidRDefault="00AA4698" w:rsidP="00D67174">
      <w:pPr>
        <w:shd w:val="clear" w:color="auto" w:fill="FFFFFF"/>
        <w:spacing w:after="0" w:line="360" w:lineRule="auto"/>
        <w:ind w:firstLine="567"/>
        <w:jc w:val="both"/>
        <w:rPr>
          <w:rFonts w:ascii="Arial" w:eastAsia="Times New Roman" w:hAnsi="Arial" w:cs="Arial"/>
          <w:color w:val="212529"/>
          <w:sz w:val="26"/>
          <w:szCs w:val="26"/>
        </w:rPr>
      </w:pPr>
      <w:r w:rsidRPr="00E571CA">
        <w:rPr>
          <w:rFonts w:ascii="Arial" w:eastAsiaTheme="minorHAnsi" w:hAnsi="Arial" w:cs="Arial"/>
          <w:b/>
          <w:bCs/>
          <w:sz w:val="26"/>
          <w:szCs w:val="26"/>
          <w:lang w:val="es-ES" w:eastAsia="en-US"/>
        </w:rPr>
        <w:t xml:space="preserve">TERCERO. </w:t>
      </w:r>
      <w:r w:rsidR="00C12A0F" w:rsidRPr="006964F3">
        <w:rPr>
          <w:rFonts w:ascii="Arial" w:eastAsiaTheme="minorHAnsi" w:hAnsi="Arial" w:cs="Arial"/>
          <w:sz w:val="26"/>
          <w:szCs w:val="26"/>
          <w:lang w:val="es-ES" w:eastAsia="en-US"/>
        </w:rPr>
        <w:t xml:space="preserve">Por cuestión de método, los agravios se analizarán de forma diversa a como los expuso el recurrente en su escrito de impugnación, como así lo permite la jurisprudencia en materia común número </w:t>
      </w:r>
      <w:r w:rsidR="00C12A0F" w:rsidRPr="006964F3">
        <w:rPr>
          <w:rFonts w:ascii="Arial" w:eastAsia="Times New Roman" w:hAnsi="Arial" w:cs="Arial"/>
          <w:color w:val="212529"/>
          <w:sz w:val="26"/>
          <w:szCs w:val="26"/>
        </w:rPr>
        <w:t xml:space="preserve">(IV Región) 2o. J/5 (10a.), con número de registro digital 2011406, de la Décima Época, emitida por los Tribunales Colegiados de Circuito, publicada en la Gaceta del Semanario Judicial de la Federación; en el Libro 29, de Abril de 2016, Tomo III, visible a página 2018, de rubro y texto siguientes: </w:t>
      </w:r>
      <w:r w:rsidR="001C1E2D">
        <w:rPr>
          <w:rFonts w:ascii="Arial" w:eastAsia="Times New Roman" w:hAnsi="Arial" w:cs="Arial"/>
          <w:color w:val="212529"/>
          <w:sz w:val="26"/>
          <w:szCs w:val="26"/>
        </w:rPr>
        <w:t xml:space="preserve"> - - - - - - - - - - - - - - - - - - - - - - - - - - - </w:t>
      </w:r>
    </w:p>
    <w:p w14:paraId="68762C49" w14:textId="7670740A" w:rsidR="00C12A0F" w:rsidRPr="00092C13" w:rsidRDefault="00C12A0F" w:rsidP="00C12A0F">
      <w:pPr>
        <w:shd w:val="clear" w:color="auto" w:fill="FFFFFF"/>
        <w:spacing w:before="100" w:beforeAutospacing="1" w:after="100" w:afterAutospacing="1" w:line="240" w:lineRule="auto"/>
        <w:ind w:left="567" w:right="616"/>
        <w:jc w:val="both"/>
        <w:rPr>
          <w:rFonts w:ascii="Arial" w:eastAsia="Times New Roman" w:hAnsi="Arial" w:cs="Arial"/>
          <w:i/>
          <w:iCs/>
        </w:rPr>
      </w:pPr>
      <w:r w:rsidRPr="00092C13">
        <w:rPr>
          <w:rFonts w:ascii="Arial" w:eastAsia="Times New Roman" w:hAnsi="Arial" w:cs="Arial"/>
          <w:b/>
          <w:bCs/>
          <w:i/>
          <w:iCs/>
        </w:rPr>
        <w:t>“CONCEPTOS DE VIOLACIÓN O AGRAVIOS. PROCEDE SU ANÁLISIS DE MANERA INDIVIDUAL, CONJUNTA O POR GRUPOS Y EN EL ORDEN PROPUESTO O EN UNO DIVERSO.</w:t>
      </w:r>
      <w:r w:rsidRPr="00092C13">
        <w:rPr>
          <w:rFonts w:ascii="Arial" w:eastAsia="Times New Roman" w:hAnsi="Arial" w:cs="Arial"/>
          <w:i/>
          <w:iCs/>
        </w:rPr>
        <w:t xml:space="preserve"> El artículo </w:t>
      </w:r>
      <w:hyperlink r:id="rId8" w:history="1">
        <w:r w:rsidRPr="00092C13">
          <w:rPr>
            <w:rFonts w:ascii="Arial" w:eastAsia="Times New Roman" w:hAnsi="Arial" w:cs="Arial"/>
            <w:i/>
            <w:iCs/>
          </w:rPr>
          <w:t>76 de la Ley de Amparo</w:t>
        </w:r>
      </w:hyperlink>
      <w:r w:rsidRPr="00092C13">
        <w:rPr>
          <w:rFonts w:ascii="Arial" w:eastAsia="Times New Roman" w:hAnsi="Arial" w:cs="Arial"/>
          <w:i/>
          <w:iCs/>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1F182175" w14:textId="19CDE3D9" w:rsidR="00AA4698" w:rsidRPr="00883CA6" w:rsidRDefault="00136A05" w:rsidP="00AA4698">
      <w:pPr>
        <w:spacing w:line="360" w:lineRule="auto"/>
        <w:ind w:firstLine="709"/>
        <w:jc w:val="both"/>
        <w:rPr>
          <w:rFonts w:ascii="Arial" w:eastAsiaTheme="minorHAnsi" w:hAnsi="Arial" w:cs="Arial"/>
          <w:sz w:val="26"/>
          <w:szCs w:val="26"/>
          <w:lang w:val="es-ES" w:eastAsia="en-US"/>
        </w:rPr>
      </w:pPr>
      <w:r w:rsidRPr="00883CA6">
        <w:rPr>
          <w:rFonts w:ascii="Arial" w:eastAsiaTheme="minorHAnsi" w:hAnsi="Arial" w:cs="Arial"/>
          <w:sz w:val="26"/>
          <w:szCs w:val="26"/>
          <w:lang w:val="es-ES" w:eastAsia="en-US"/>
        </w:rPr>
        <w:t>A</w:t>
      </w:r>
      <w:r w:rsidR="00AA4698" w:rsidRPr="00883CA6">
        <w:rPr>
          <w:rFonts w:ascii="Arial" w:eastAsiaTheme="minorHAnsi" w:hAnsi="Arial" w:cs="Arial"/>
          <w:sz w:val="26"/>
          <w:szCs w:val="26"/>
          <w:lang w:val="es-ES" w:eastAsia="en-US"/>
        </w:rPr>
        <w:t>rguye</w:t>
      </w:r>
      <w:r w:rsidR="00EC636E" w:rsidRPr="00883CA6">
        <w:rPr>
          <w:rFonts w:ascii="Arial" w:eastAsiaTheme="minorHAnsi" w:hAnsi="Arial" w:cs="Arial"/>
          <w:sz w:val="26"/>
          <w:szCs w:val="26"/>
          <w:lang w:val="es-ES" w:eastAsia="en-US"/>
        </w:rPr>
        <w:t xml:space="preserve"> </w:t>
      </w:r>
      <w:r w:rsidRPr="00883CA6">
        <w:rPr>
          <w:rFonts w:ascii="Arial" w:eastAsiaTheme="minorHAnsi" w:hAnsi="Arial" w:cs="Arial"/>
          <w:sz w:val="26"/>
          <w:szCs w:val="26"/>
          <w:lang w:val="es-ES" w:eastAsia="en-US"/>
        </w:rPr>
        <w:t>el recurrente</w:t>
      </w:r>
      <w:r w:rsidR="00E6139B" w:rsidRPr="00883CA6">
        <w:rPr>
          <w:rFonts w:ascii="Arial" w:eastAsiaTheme="minorHAnsi" w:hAnsi="Arial" w:cs="Arial"/>
          <w:sz w:val="26"/>
          <w:szCs w:val="26"/>
          <w:lang w:val="es-ES" w:eastAsia="en-US"/>
        </w:rPr>
        <w:t>,</w:t>
      </w:r>
      <w:r w:rsidR="00EC636E" w:rsidRPr="00883CA6">
        <w:rPr>
          <w:rFonts w:ascii="Arial" w:eastAsiaTheme="minorHAnsi" w:hAnsi="Arial" w:cs="Arial"/>
          <w:sz w:val="26"/>
          <w:szCs w:val="26"/>
          <w:lang w:val="es-ES" w:eastAsia="en-US"/>
        </w:rPr>
        <w:t xml:space="preserve"> q</w:t>
      </w:r>
      <w:r w:rsidR="00AA4698" w:rsidRPr="00883CA6">
        <w:rPr>
          <w:rFonts w:ascii="Arial" w:eastAsiaTheme="minorHAnsi" w:hAnsi="Arial" w:cs="Arial"/>
          <w:sz w:val="26"/>
          <w:szCs w:val="26"/>
          <w:lang w:val="es-ES" w:eastAsia="en-US"/>
        </w:rPr>
        <w:t xml:space="preserve">ue la sentencia que impugna le causa agravio, </w:t>
      </w:r>
      <w:r w:rsidR="007C6BD1" w:rsidRPr="00883CA6">
        <w:rPr>
          <w:rFonts w:ascii="Arial" w:eastAsiaTheme="minorHAnsi" w:hAnsi="Arial" w:cs="Arial"/>
          <w:sz w:val="26"/>
          <w:szCs w:val="26"/>
          <w:lang w:val="es-ES" w:eastAsia="en-US"/>
        </w:rPr>
        <w:t>al</w:t>
      </w:r>
      <w:r w:rsidR="00AA4698" w:rsidRPr="00883CA6">
        <w:rPr>
          <w:rFonts w:ascii="Arial" w:eastAsiaTheme="minorHAnsi" w:hAnsi="Arial" w:cs="Arial"/>
          <w:sz w:val="26"/>
          <w:szCs w:val="26"/>
          <w:lang w:val="es-ES" w:eastAsia="en-US"/>
        </w:rPr>
        <w:t xml:space="preserve"> considera</w:t>
      </w:r>
      <w:r w:rsidR="007C6BD1" w:rsidRPr="00883CA6">
        <w:rPr>
          <w:rFonts w:ascii="Arial" w:eastAsiaTheme="minorHAnsi" w:hAnsi="Arial" w:cs="Arial"/>
          <w:sz w:val="26"/>
          <w:szCs w:val="26"/>
          <w:lang w:val="es-ES" w:eastAsia="en-US"/>
        </w:rPr>
        <w:t>r</w:t>
      </w:r>
      <w:r w:rsidR="00AA4698" w:rsidRPr="00883CA6">
        <w:rPr>
          <w:rFonts w:ascii="Arial" w:eastAsiaTheme="minorHAnsi" w:hAnsi="Arial" w:cs="Arial"/>
          <w:sz w:val="26"/>
          <w:szCs w:val="26"/>
          <w:lang w:val="es-ES" w:eastAsia="en-US"/>
        </w:rPr>
        <w:t xml:space="preserve"> no se aplicó en su caso</w:t>
      </w:r>
      <w:r w:rsidR="004C0245" w:rsidRPr="00883CA6">
        <w:rPr>
          <w:rFonts w:ascii="Arial" w:eastAsiaTheme="minorHAnsi" w:hAnsi="Arial" w:cs="Arial"/>
          <w:sz w:val="26"/>
          <w:szCs w:val="26"/>
          <w:lang w:val="es-ES" w:eastAsia="en-US"/>
        </w:rPr>
        <w:t>,</w:t>
      </w:r>
      <w:r w:rsidR="00AA4698" w:rsidRPr="00883CA6">
        <w:rPr>
          <w:rFonts w:ascii="Arial" w:eastAsiaTheme="minorHAnsi" w:hAnsi="Arial" w:cs="Arial"/>
          <w:sz w:val="26"/>
          <w:szCs w:val="26"/>
          <w:lang w:val="es-ES" w:eastAsia="en-US"/>
        </w:rPr>
        <w:t xml:space="preserve"> el artículo 23 de la Constitución Política de los Estados Unidos Mexicanos, extendida</w:t>
      </w:r>
      <w:r w:rsidR="004C0245" w:rsidRPr="00883CA6">
        <w:rPr>
          <w:rFonts w:ascii="Arial" w:eastAsiaTheme="minorHAnsi" w:hAnsi="Arial" w:cs="Arial"/>
          <w:sz w:val="26"/>
          <w:szCs w:val="26"/>
          <w:lang w:val="es-ES" w:eastAsia="en-US"/>
        </w:rPr>
        <w:t xml:space="preserve"> a </w:t>
      </w:r>
      <w:r w:rsidR="00AA4698" w:rsidRPr="00883CA6">
        <w:rPr>
          <w:rFonts w:ascii="Arial" w:eastAsiaTheme="minorHAnsi" w:hAnsi="Arial" w:cs="Arial"/>
          <w:sz w:val="26"/>
          <w:szCs w:val="26"/>
          <w:lang w:val="es-ES" w:eastAsia="en-US"/>
        </w:rPr>
        <w:t>los tipos administrativos y sus sanciones</w:t>
      </w:r>
      <w:r w:rsidR="007C6BD1" w:rsidRPr="00883CA6">
        <w:rPr>
          <w:rFonts w:ascii="Arial" w:eastAsiaTheme="minorHAnsi" w:hAnsi="Arial" w:cs="Arial"/>
          <w:sz w:val="26"/>
          <w:szCs w:val="26"/>
          <w:lang w:val="es-ES" w:eastAsia="en-US"/>
        </w:rPr>
        <w:t>, al</w:t>
      </w:r>
      <w:r w:rsidR="00AA4698" w:rsidRPr="00883CA6">
        <w:rPr>
          <w:rFonts w:ascii="Arial" w:eastAsiaTheme="minorHAnsi" w:hAnsi="Arial" w:cs="Arial"/>
          <w:sz w:val="26"/>
          <w:szCs w:val="26"/>
          <w:lang w:val="es-ES" w:eastAsia="en-US"/>
        </w:rPr>
        <w:t xml:space="preserve"> pretende</w:t>
      </w:r>
      <w:r w:rsidR="007C6BD1" w:rsidRPr="00883CA6">
        <w:rPr>
          <w:rFonts w:ascii="Arial" w:eastAsiaTheme="minorHAnsi" w:hAnsi="Arial" w:cs="Arial"/>
          <w:sz w:val="26"/>
          <w:szCs w:val="26"/>
          <w:lang w:val="es-ES" w:eastAsia="en-US"/>
        </w:rPr>
        <w:t>r</w:t>
      </w:r>
      <w:r w:rsidR="00AA4698" w:rsidRPr="00883CA6">
        <w:rPr>
          <w:rFonts w:ascii="Arial" w:eastAsiaTheme="minorHAnsi" w:hAnsi="Arial" w:cs="Arial"/>
          <w:sz w:val="26"/>
          <w:szCs w:val="26"/>
          <w:lang w:val="es-ES" w:eastAsia="en-US"/>
        </w:rPr>
        <w:t xml:space="preserve"> </w:t>
      </w:r>
      <w:proofErr w:type="spellStart"/>
      <w:r w:rsidR="00AA4698" w:rsidRPr="00883CA6">
        <w:rPr>
          <w:rFonts w:ascii="Arial" w:eastAsiaTheme="minorHAnsi" w:hAnsi="Arial" w:cs="Arial"/>
          <w:sz w:val="26"/>
          <w:szCs w:val="26"/>
          <w:lang w:val="es-ES" w:eastAsia="en-US"/>
        </w:rPr>
        <w:t>juzgar</w:t>
      </w:r>
      <w:r w:rsidR="007C6BD1" w:rsidRPr="00883CA6">
        <w:rPr>
          <w:rFonts w:ascii="Arial" w:eastAsiaTheme="minorHAnsi" w:hAnsi="Arial" w:cs="Arial"/>
          <w:sz w:val="26"/>
          <w:szCs w:val="26"/>
          <w:lang w:val="es-ES" w:eastAsia="en-US"/>
        </w:rPr>
        <w:t>sele</w:t>
      </w:r>
      <w:proofErr w:type="spellEnd"/>
      <w:r w:rsidR="00AA4698" w:rsidRPr="00883CA6">
        <w:rPr>
          <w:rFonts w:ascii="Arial" w:eastAsiaTheme="minorHAnsi" w:hAnsi="Arial" w:cs="Arial"/>
          <w:sz w:val="26"/>
          <w:szCs w:val="26"/>
          <w:lang w:val="es-ES" w:eastAsia="en-US"/>
        </w:rPr>
        <w:t xml:space="preserve"> dos veces por el mismo delito, violentando en su contra el principio </w:t>
      </w:r>
      <w:r w:rsidR="00AA4698" w:rsidRPr="00883CA6">
        <w:rPr>
          <w:rFonts w:ascii="Arial" w:eastAsiaTheme="minorHAnsi" w:hAnsi="Arial" w:cs="Arial"/>
          <w:i/>
          <w:sz w:val="26"/>
          <w:szCs w:val="26"/>
          <w:lang w:val="es-ES" w:eastAsia="en-US"/>
        </w:rPr>
        <w:t xml:space="preserve">non bis </w:t>
      </w:r>
      <w:r w:rsidR="00E571CA" w:rsidRPr="00883CA6">
        <w:rPr>
          <w:rFonts w:ascii="Arial" w:eastAsiaTheme="minorHAnsi" w:hAnsi="Arial" w:cs="Arial"/>
          <w:i/>
          <w:sz w:val="26"/>
          <w:szCs w:val="26"/>
          <w:lang w:val="es-ES" w:eastAsia="en-US"/>
        </w:rPr>
        <w:t xml:space="preserve">in </w:t>
      </w:r>
      <w:r w:rsidR="00AA4698" w:rsidRPr="00883CA6">
        <w:rPr>
          <w:rFonts w:ascii="Arial" w:eastAsiaTheme="minorHAnsi" w:hAnsi="Arial" w:cs="Arial"/>
          <w:i/>
          <w:sz w:val="26"/>
          <w:szCs w:val="26"/>
          <w:lang w:val="es-ES" w:eastAsia="en-US"/>
        </w:rPr>
        <w:t xml:space="preserve">ídem, </w:t>
      </w:r>
      <w:r w:rsidR="00AA4698" w:rsidRPr="00883CA6">
        <w:rPr>
          <w:rFonts w:ascii="Arial" w:eastAsiaTheme="minorHAnsi" w:hAnsi="Arial" w:cs="Arial"/>
          <w:sz w:val="26"/>
          <w:szCs w:val="26"/>
          <w:lang w:val="es-ES" w:eastAsia="en-US"/>
        </w:rPr>
        <w:t xml:space="preserve">pues </w:t>
      </w:r>
      <w:r w:rsidR="007C6BD1" w:rsidRPr="00883CA6">
        <w:rPr>
          <w:rFonts w:ascii="Arial" w:eastAsiaTheme="minorHAnsi" w:hAnsi="Arial" w:cs="Arial"/>
          <w:sz w:val="26"/>
          <w:szCs w:val="26"/>
          <w:lang w:val="es-ES" w:eastAsia="en-US"/>
        </w:rPr>
        <w:t>consider</w:t>
      </w:r>
      <w:r w:rsidR="00AA4698" w:rsidRPr="00883CA6">
        <w:rPr>
          <w:rFonts w:ascii="Arial" w:eastAsiaTheme="minorHAnsi" w:hAnsi="Arial" w:cs="Arial"/>
          <w:sz w:val="26"/>
          <w:szCs w:val="26"/>
          <w:lang w:val="es-ES" w:eastAsia="en-US"/>
        </w:rPr>
        <w:t xml:space="preserve">a </w:t>
      </w:r>
      <w:r w:rsidR="007C6BD1" w:rsidRPr="00883CA6">
        <w:rPr>
          <w:rFonts w:ascii="Arial" w:eastAsiaTheme="minorHAnsi" w:hAnsi="Arial" w:cs="Arial"/>
          <w:sz w:val="26"/>
          <w:szCs w:val="26"/>
          <w:lang w:val="es-ES" w:eastAsia="en-US"/>
        </w:rPr>
        <w:t xml:space="preserve">que </w:t>
      </w:r>
      <w:r w:rsidR="00AA4698" w:rsidRPr="00883CA6">
        <w:rPr>
          <w:rFonts w:ascii="Arial" w:eastAsiaTheme="minorHAnsi" w:hAnsi="Arial" w:cs="Arial"/>
          <w:sz w:val="26"/>
          <w:szCs w:val="26"/>
          <w:lang w:val="es-ES" w:eastAsia="en-US"/>
        </w:rPr>
        <w:t>ya se le sancionó en el expediente</w:t>
      </w:r>
      <w:r w:rsidR="007C6BD1" w:rsidRPr="00883CA6">
        <w:rPr>
          <w:rFonts w:ascii="Arial" w:eastAsiaTheme="minorHAnsi" w:hAnsi="Arial" w:cs="Arial"/>
          <w:sz w:val="26"/>
          <w:szCs w:val="26"/>
          <w:lang w:val="es-ES" w:eastAsia="en-US"/>
        </w:rPr>
        <w:t xml:space="preserve"> administrativo</w:t>
      </w:r>
      <w:r w:rsidR="00AA4698" w:rsidRPr="00883CA6">
        <w:rPr>
          <w:rFonts w:ascii="Arial" w:eastAsiaTheme="minorHAnsi" w:hAnsi="Arial" w:cs="Arial"/>
          <w:sz w:val="26"/>
          <w:szCs w:val="26"/>
          <w:lang w:val="es-ES" w:eastAsia="en-US"/>
        </w:rPr>
        <w:t xml:space="preserve"> número 4/2010, aun cuando el Director de Responsabilidades y Situación Patrimonial de la Secretaría de la Contraloría y Trasparencia Gubernamental, quiso sorprender a </w:t>
      </w:r>
      <w:r w:rsidR="007C6BD1" w:rsidRPr="00883CA6">
        <w:rPr>
          <w:rFonts w:ascii="Arial" w:eastAsiaTheme="minorHAnsi" w:hAnsi="Arial" w:cs="Arial"/>
          <w:sz w:val="26"/>
          <w:szCs w:val="26"/>
          <w:lang w:val="es-ES" w:eastAsia="en-US"/>
        </w:rPr>
        <w:t xml:space="preserve">la </w:t>
      </w:r>
      <w:r w:rsidR="00AA4698" w:rsidRPr="00883CA6">
        <w:rPr>
          <w:rFonts w:ascii="Arial" w:eastAsiaTheme="minorHAnsi" w:hAnsi="Arial" w:cs="Arial"/>
          <w:sz w:val="26"/>
          <w:szCs w:val="26"/>
          <w:lang w:val="es-ES" w:eastAsia="en-US"/>
        </w:rPr>
        <w:t xml:space="preserve">autoridad </w:t>
      </w:r>
      <w:r w:rsidR="007C6BD1" w:rsidRPr="00883CA6">
        <w:rPr>
          <w:rFonts w:ascii="Arial" w:eastAsiaTheme="minorHAnsi" w:hAnsi="Arial" w:cs="Arial"/>
          <w:sz w:val="26"/>
          <w:szCs w:val="26"/>
          <w:lang w:val="es-ES" w:eastAsia="en-US"/>
        </w:rPr>
        <w:t xml:space="preserve">juzgadora </w:t>
      </w:r>
      <w:r w:rsidR="00AA4698" w:rsidRPr="00883CA6">
        <w:rPr>
          <w:rFonts w:ascii="Arial" w:eastAsiaTheme="minorHAnsi" w:hAnsi="Arial" w:cs="Arial"/>
          <w:sz w:val="26"/>
          <w:szCs w:val="26"/>
          <w:lang w:val="es-ES" w:eastAsia="en-US"/>
        </w:rPr>
        <w:t xml:space="preserve">señalando que en ese expediente </w:t>
      </w:r>
      <w:r w:rsidR="007C6BD1" w:rsidRPr="00883CA6">
        <w:rPr>
          <w:rFonts w:ascii="Arial" w:eastAsiaTheme="minorHAnsi" w:hAnsi="Arial" w:cs="Arial"/>
          <w:sz w:val="26"/>
          <w:szCs w:val="26"/>
          <w:lang w:val="es-ES" w:eastAsia="en-US"/>
        </w:rPr>
        <w:t xml:space="preserve">administrativo </w:t>
      </w:r>
      <w:r w:rsidR="00AA4698" w:rsidRPr="00883CA6">
        <w:rPr>
          <w:rFonts w:ascii="Arial" w:eastAsiaTheme="minorHAnsi" w:hAnsi="Arial" w:cs="Arial"/>
          <w:sz w:val="26"/>
          <w:szCs w:val="26"/>
          <w:lang w:val="es-ES" w:eastAsia="en-US"/>
        </w:rPr>
        <w:t>el recurrente no fue parte</w:t>
      </w:r>
      <w:r w:rsidR="007C6BD1" w:rsidRPr="00883CA6">
        <w:rPr>
          <w:rFonts w:ascii="Arial" w:eastAsiaTheme="minorHAnsi" w:hAnsi="Arial" w:cs="Arial"/>
          <w:sz w:val="26"/>
          <w:szCs w:val="26"/>
          <w:lang w:val="es-ES" w:eastAsia="en-US"/>
        </w:rPr>
        <w:t xml:space="preserve">; </w:t>
      </w:r>
      <w:r w:rsidR="00AA4698" w:rsidRPr="00883CA6">
        <w:rPr>
          <w:rFonts w:ascii="Arial" w:eastAsiaTheme="minorHAnsi" w:hAnsi="Arial" w:cs="Arial"/>
          <w:sz w:val="26"/>
          <w:szCs w:val="26"/>
          <w:lang w:val="es-ES" w:eastAsia="en-US"/>
        </w:rPr>
        <w:t xml:space="preserve">por tanto no fue sancionado, </w:t>
      </w:r>
      <w:r w:rsidR="007C6BD1" w:rsidRPr="00883CA6">
        <w:rPr>
          <w:rFonts w:ascii="Arial" w:eastAsiaTheme="minorHAnsi" w:hAnsi="Arial" w:cs="Arial"/>
          <w:sz w:val="26"/>
          <w:szCs w:val="26"/>
          <w:lang w:val="es-ES" w:eastAsia="en-US"/>
        </w:rPr>
        <w:t xml:space="preserve">sin embargo, </w:t>
      </w:r>
      <w:r w:rsidR="00AA4698" w:rsidRPr="00883CA6">
        <w:rPr>
          <w:rFonts w:ascii="Arial" w:eastAsiaTheme="minorHAnsi" w:hAnsi="Arial" w:cs="Arial"/>
          <w:sz w:val="26"/>
          <w:szCs w:val="26"/>
          <w:lang w:val="es-ES" w:eastAsia="en-US"/>
        </w:rPr>
        <w:t xml:space="preserve">sí se le impuso una amonestación privada, de lo que se aprecia una manifestación con dolo pretendiendo negar al revisionista una defensa adecuada y el acceso a la justicia efectiva, desvirtuando y mintiendo sobre la existencia del recurrente en </w:t>
      </w:r>
      <w:r w:rsidR="00AA4698" w:rsidRPr="00883CA6">
        <w:rPr>
          <w:rFonts w:ascii="Arial" w:eastAsiaTheme="minorHAnsi" w:hAnsi="Arial" w:cs="Arial"/>
          <w:sz w:val="26"/>
          <w:szCs w:val="26"/>
          <w:lang w:val="es-ES" w:eastAsia="en-US"/>
        </w:rPr>
        <w:lastRenderedPageBreak/>
        <w:t>el expediente 4/2010, en el cual fue sancionado por los mismos hechos; por lo que al existir identidad entre lo imputado, los hechos de la demanda</w:t>
      </w:r>
      <w:r w:rsidR="007C6BD1" w:rsidRPr="00883CA6">
        <w:rPr>
          <w:rFonts w:ascii="Arial" w:eastAsiaTheme="minorHAnsi" w:hAnsi="Arial" w:cs="Arial"/>
          <w:sz w:val="26"/>
          <w:szCs w:val="26"/>
          <w:lang w:val="es-ES" w:eastAsia="en-US"/>
        </w:rPr>
        <w:t xml:space="preserve">, </w:t>
      </w:r>
      <w:r w:rsidR="00AA4698" w:rsidRPr="00883CA6">
        <w:rPr>
          <w:rFonts w:ascii="Arial" w:eastAsiaTheme="minorHAnsi" w:hAnsi="Arial" w:cs="Arial"/>
          <w:sz w:val="26"/>
          <w:szCs w:val="26"/>
          <w:lang w:val="es-ES" w:eastAsia="en-US"/>
        </w:rPr>
        <w:t xml:space="preserve">la materia, y haber recibido una sanción por la Secretaría de la Contraloría en ese expediente administrativo, la Sala Unitaria atentó contra los principios de legalidad y exhaustividad en el juicio de nulidad, pues las pruebas que aportó nunca fueron valoradas por el Magistrado de Primera Instancia. </w:t>
      </w:r>
      <w:r w:rsidR="008E5ADC">
        <w:rPr>
          <w:rFonts w:ascii="Arial" w:eastAsiaTheme="minorHAnsi" w:hAnsi="Arial" w:cs="Arial"/>
          <w:sz w:val="26"/>
          <w:szCs w:val="26"/>
          <w:lang w:val="es-ES" w:eastAsia="en-US"/>
        </w:rPr>
        <w:t xml:space="preserve"> - - - - - - - - - - - - - - - - - - - - - - - - - - - - - - - - - - - -</w:t>
      </w:r>
    </w:p>
    <w:p w14:paraId="396A4D0D" w14:textId="47CD72BB" w:rsidR="009B7D2E" w:rsidRPr="00883CA6" w:rsidRDefault="002C7628" w:rsidP="00AA4698">
      <w:pPr>
        <w:spacing w:line="360" w:lineRule="auto"/>
        <w:ind w:firstLine="709"/>
        <w:jc w:val="both"/>
        <w:rPr>
          <w:rFonts w:ascii="Arial" w:eastAsiaTheme="minorHAnsi" w:hAnsi="Arial" w:cs="Arial"/>
          <w:sz w:val="26"/>
          <w:szCs w:val="26"/>
          <w:lang w:val="es-ES" w:eastAsia="en-US"/>
        </w:rPr>
      </w:pPr>
      <w:r w:rsidRPr="00883CA6">
        <w:rPr>
          <w:rFonts w:ascii="Arial" w:eastAsiaTheme="minorHAnsi" w:hAnsi="Arial" w:cs="Arial"/>
          <w:sz w:val="26"/>
          <w:szCs w:val="26"/>
          <w:lang w:val="es-ES" w:eastAsia="en-US"/>
        </w:rPr>
        <w:t>Alega el re</w:t>
      </w:r>
      <w:r w:rsidR="007C6BD1" w:rsidRPr="00883CA6">
        <w:rPr>
          <w:rFonts w:ascii="Arial" w:eastAsiaTheme="minorHAnsi" w:hAnsi="Arial" w:cs="Arial"/>
          <w:sz w:val="26"/>
          <w:szCs w:val="26"/>
          <w:lang w:val="es-ES" w:eastAsia="en-US"/>
        </w:rPr>
        <w:t>currente</w:t>
      </w:r>
      <w:r w:rsidR="00E6139B" w:rsidRPr="00883CA6">
        <w:rPr>
          <w:rFonts w:ascii="Arial" w:eastAsiaTheme="minorHAnsi" w:hAnsi="Arial" w:cs="Arial"/>
          <w:sz w:val="26"/>
          <w:szCs w:val="26"/>
          <w:lang w:val="es-ES" w:eastAsia="en-US"/>
        </w:rPr>
        <w:t>,</w:t>
      </w:r>
      <w:r w:rsidR="009B7D2E" w:rsidRPr="00883CA6">
        <w:rPr>
          <w:rFonts w:ascii="Arial" w:eastAsiaTheme="minorHAnsi" w:hAnsi="Arial" w:cs="Arial"/>
          <w:sz w:val="26"/>
          <w:szCs w:val="26"/>
          <w:lang w:val="es-ES" w:eastAsia="en-US"/>
        </w:rPr>
        <w:t xml:space="preserve"> </w:t>
      </w:r>
      <w:r w:rsidR="00E6139B" w:rsidRPr="00883CA6">
        <w:rPr>
          <w:rFonts w:ascii="Arial" w:eastAsiaTheme="minorHAnsi" w:hAnsi="Arial" w:cs="Arial"/>
          <w:sz w:val="26"/>
          <w:szCs w:val="26"/>
          <w:lang w:val="es-ES" w:eastAsia="en-US"/>
        </w:rPr>
        <w:t xml:space="preserve">que </w:t>
      </w:r>
      <w:r w:rsidRPr="00883CA6">
        <w:rPr>
          <w:rFonts w:ascii="Arial" w:eastAsiaTheme="minorHAnsi" w:hAnsi="Arial" w:cs="Arial"/>
          <w:sz w:val="26"/>
          <w:szCs w:val="26"/>
          <w:lang w:val="es-ES" w:eastAsia="en-US"/>
        </w:rPr>
        <w:t xml:space="preserve">el inicio del </w:t>
      </w:r>
      <w:r w:rsidR="001C7C2C" w:rsidRPr="00883CA6">
        <w:rPr>
          <w:rFonts w:ascii="Arial" w:eastAsiaTheme="minorHAnsi" w:hAnsi="Arial" w:cs="Arial"/>
          <w:sz w:val="26"/>
          <w:szCs w:val="26"/>
          <w:lang w:val="es-ES" w:eastAsia="en-US"/>
        </w:rPr>
        <w:t>expediente 357/RA/2012</w:t>
      </w:r>
      <w:r w:rsidRPr="00883CA6">
        <w:rPr>
          <w:rFonts w:ascii="Arial" w:eastAsiaTheme="minorHAnsi" w:hAnsi="Arial" w:cs="Arial"/>
          <w:sz w:val="26"/>
          <w:szCs w:val="26"/>
          <w:lang w:val="es-ES" w:eastAsia="en-US"/>
        </w:rPr>
        <w:t xml:space="preserve">, en su contra, no le fue notificado de manera personal, </w:t>
      </w:r>
      <w:r w:rsidR="00A3083A" w:rsidRPr="00883CA6">
        <w:rPr>
          <w:rFonts w:ascii="Arial" w:eastAsiaTheme="minorHAnsi" w:hAnsi="Arial" w:cs="Arial"/>
          <w:sz w:val="26"/>
          <w:szCs w:val="26"/>
          <w:lang w:val="es-ES" w:eastAsia="en-US"/>
        </w:rPr>
        <w:t xml:space="preserve">como lo señala el artículo 70, fracción I, de la Ley de Responsabilidades de los Servidores Públicos, y los artículos 24 fracción I, 25 de la Ley de Justicia Administrativa para el Estado de Oaxaca, así como el artículo 112 del Código de Procedimientos Civiles; </w:t>
      </w:r>
      <w:r w:rsidRPr="00883CA6">
        <w:rPr>
          <w:rFonts w:ascii="Arial" w:eastAsiaTheme="minorHAnsi" w:hAnsi="Arial" w:cs="Arial"/>
          <w:sz w:val="26"/>
          <w:szCs w:val="26"/>
          <w:lang w:val="es-ES" w:eastAsia="en-US"/>
        </w:rPr>
        <w:t xml:space="preserve">pues menciona que en dicho expediente, no existe razón hecha por el notificador, que señale que dejó cita de espera en su domicilio el once de noviembre dos mil trece, </w:t>
      </w:r>
      <w:r w:rsidR="00A3083A" w:rsidRPr="00883CA6">
        <w:rPr>
          <w:rFonts w:ascii="Arial" w:eastAsiaTheme="minorHAnsi" w:hAnsi="Arial" w:cs="Arial"/>
          <w:sz w:val="26"/>
          <w:szCs w:val="26"/>
          <w:lang w:val="es-ES" w:eastAsia="en-US"/>
        </w:rPr>
        <w:t xml:space="preserve">para efectuar </w:t>
      </w:r>
      <w:r w:rsidRPr="00883CA6">
        <w:rPr>
          <w:rFonts w:ascii="Arial" w:eastAsiaTheme="minorHAnsi" w:hAnsi="Arial" w:cs="Arial"/>
          <w:sz w:val="26"/>
          <w:szCs w:val="26"/>
          <w:lang w:val="es-ES" w:eastAsia="en-US"/>
        </w:rPr>
        <w:t xml:space="preserve">la notificación el siguiente día, doce de noviembre de ese mismo año, </w:t>
      </w:r>
      <w:r w:rsidR="00A3083A" w:rsidRPr="00883CA6">
        <w:rPr>
          <w:rFonts w:ascii="Arial" w:eastAsiaTheme="minorHAnsi" w:hAnsi="Arial" w:cs="Arial"/>
          <w:sz w:val="26"/>
          <w:szCs w:val="26"/>
          <w:lang w:val="es-ES" w:eastAsia="en-US"/>
        </w:rPr>
        <w:t>c</w:t>
      </w:r>
      <w:r w:rsidRPr="00883CA6">
        <w:rPr>
          <w:rFonts w:ascii="Arial" w:eastAsiaTheme="minorHAnsi" w:hAnsi="Arial" w:cs="Arial"/>
          <w:sz w:val="26"/>
          <w:szCs w:val="26"/>
          <w:lang w:val="es-ES" w:eastAsia="en-US"/>
        </w:rPr>
        <w:t xml:space="preserve">on una persona </w:t>
      </w:r>
      <w:r w:rsidR="00A3083A" w:rsidRPr="00883CA6">
        <w:rPr>
          <w:rFonts w:ascii="Arial" w:eastAsiaTheme="minorHAnsi" w:hAnsi="Arial" w:cs="Arial"/>
          <w:sz w:val="26"/>
          <w:szCs w:val="26"/>
          <w:lang w:val="es-ES" w:eastAsia="en-US"/>
        </w:rPr>
        <w:t>por él desconocida; acto que señaló y que nunca se valoró en plenitud para que pudiera acceder a dicho procedimiento, así como a la audiencia inicial en plenitud de goce de sus garantías individuales, como tampoco existe anexa a la notificación la credencial de quien supuestamente la atendió, para que desde el inicio del procedimiento administrativo hubiera acudido, es decir, dicha actuación de notificación carece de legalidad, viola sus derechos constitucionales, así como sus derecho de legalidad y audiencia</w:t>
      </w:r>
      <w:r w:rsidR="00753C7F" w:rsidRPr="00883CA6">
        <w:rPr>
          <w:rFonts w:ascii="Arial" w:eastAsiaTheme="minorHAnsi" w:hAnsi="Arial" w:cs="Arial"/>
          <w:sz w:val="26"/>
          <w:szCs w:val="26"/>
          <w:lang w:val="es-ES" w:eastAsia="en-US"/>
        </w:rPr>
        <w:t>; pues al privarlo del desahogo y valoración del expediente 4/2010 en el cual se le aplicó la sanción de amonestación privada, por los mismo</w:t>
      </w:r>
      <w:r w:rsidR="003D3617" w:rsidRPr="00883CA6">
        <w:rPr>
          <w:rFonts w:ascii="Arial" w:eastAsiaTheme="minorHAnsi" w:hAnsi="Arial" w:cs="Arial"/>
          <w:sz w:val="26"/>
          <w:szCs w:val="26"/>
          <w:lang w:val="es-ES" w:eastAsia="en-US"/>
        </w:rPr>
        <w:t>s</w:t>
      </w:r>
      <w:r w:rsidR="00753C7F" w:rsidRPr="00883CA6">
        <w:rPr>
          <w:rFonts w:ascii="Arial" w:eastAsiaTheme="minorHAnsi" w:hAnsi="Arial" w:cs="Arial"/>
          <w:sz w:val="26"/>
          <w:szCs w:val="26"/>
          <w:lang w:val="es-ES" w:eastAsia="en-US"/>
        </w:rPr>
        <w:t xml:space="preserve"> hechos que en el expediente 357/RA/2012, </w:t>
      </w:r>
      <w:r w:rsidR="00176FFC" w:rsidRPr="00883CA6">
        <w:rPr>
          <w:rFonts w:ascii="Arial" w:eastAsiaTheme="minorHAnsi" w:hAnsi="Arial" w:cs="Arial"/>
          <w:sz w:val="26"/>
          <w:szCs w:val="26"/>
          <w:lang w:val="es-ES" w:eastAsia="en-US"/>
        </w:rPr>
        <w:t>ello</w:t>
      </w:r>
      <w:r w:rsidR="00753C7F" w:rsidRPr="00883CA6">
        <w:rPr>
          <w:rFonts w:ascii="Arial" w:eastAsiaTheme="minorHAnsi" w:hAnsi="Arial" w:cs="Arial"/>
          <w:sz w:val="26"/>
          <w:szCs w:val="26"/>
          <w:lang w:val="es-ES" w:eastAsia="en-US"/>
        </w:rPr>
        <w:t xml:space="preserve"> lo dejó en estado de indefensión</w:t>
      </w:r>
      <w:r w:rsidR="003D3617" w:rsidRPr="00883CA6">
        <w:rPr>
          <w:rFonts w:ascii="Arial" w:eastAsiaTheme="minorHAnsi" w:hAnsi="Arial" w:cs="Arial"/>
          <w:sz w:val="26"/>
          <w:szCs w:val="26"/>
          <w:lang w:val="es-ES" w:eastAsia="en-US"/>
        </w:rPr>
        <w:t xml:space="preserve">, por trasgredir sus derechos fundamentales, </w:t>
      </w:r>
      <w:r w:rsidR="00176FFC" w:rsidRPr="00883CA6">
        <w:rPr>
          <w:rFonts w:ascii="Arial" w:eastAsiaTheme="minorHAnsi" w:hAnsi="Arial" w:cs="Arial"/>
          <w:sz w:val="26"/>
          <w:szCs w:val="26"/>
          <w:lang w:val="es-ES" w:eastAsia="en-US"/>
        </w:rPr>
        <w:t>vulnerando e</w:t>
      </w:r>
      <w:r w:rsidR="003D3617" w:rsidRPr="00883CA6">
        <w:rPr>
          <w:rFonts w:ascii="Arial" w:eastAsiaTheme="minorHAnsi" w:hAnsi="Arial" w:cs="Arial"/>
          <w:sz w:val="26"/>
          <w:szCs w:val="26"/>
          <w:lang w:val="es-ES" w:eastAsia="en-US"/>
        </w:rPr>
        <w:t>l principio de legalidad que todo proceso debe tener.</w:t>
      </w:r>
      <w:r w:rsidR="00753C7F" w:rsidRPr="00883CA6">
        <w:rPr>
          <w:rFonts w:ascii="Arial" w:eastAsiaTheme="minorHAnsi" w:hAnsi="Arial" w:cs="Arial"/>
          <w:sz w:val="26"/>
          <w:szCs w:val="26"/>
          <w:lang w:val="es-ES" w:eastAsia="en-US"/>
        </w:rPr>
        <w:t xml:space="preserve"> </w:t>
      </w:r>
      <w:r w:rsidR="00D521B9">
        <w:rPr>
          <w:rFonts w:ascii="Arial" w:eastAsiaTheme="minorHAnsi" w:hAnsi="Arial" w:cs="Arial"/>
          <w:sz w:val="26"/>
          <w:szCs w:val="26"/>
          <w:lang w:val="es-ES" w:eastAsia="en-US"/>
        </w:rPr>
        <w:t xml:space="preserve"> - - - - - - - - - - - - - - - - - - - - - - -</w:t>
      </w:r>
    </w:p>
    <w:p w14:paraId="3BDC7CF0" w14:textId="030460CC" w:rsidR="00273378" w:rsidRPr="00883CA6" w:rsidRDefault="00176FFC" w:rsidP="00AA4698">
      <w:pPr>
        <w:spacing w:line="360" w:lineRule="auto"/>
        <w:ind w:firstLine="709"/>
        <w:jc w:val="both"/>
        <w:rPr>
          <w:rFonts w:ascii="Arial" w:eastAsiaTheme="minorHAnsi" w:hAnsi="Arial" w:cs="Arial"/>
          <w:sz w:val="26"/>
          <w:szCs w:val="26"/>
          <w:lang w:val="es-ES" w:eastAsia="en-US"/>
        </w:rPr>
      </w:pPr>
      <w:r w:rsidRPr="00883CA6">
        <w:rPr>
          <w:rFonts w:ascii="Arial" w:eastAsiaTheme="minorHAnsi" w:hAnsi="Arial" w:cs="Arial"/>
          <w:sz w:val="26"/>
          <w:szCs w:val="26"/>
          <w:lang w:val="es-ES" w:eastAsia="en-US"/>
        </w:rPr>
        <w:t>Refiere</w:t>
      </w:r>
      <w:r w:rsidR="00954059" w:rsidRPr="00883CA6">
        <w:rPr>
          <w:rFonts w:ascii="Arial" w:eastAsiaTheme="minorHAnsi" w:hAnsi="Arial" w:cs="Arial"/>
          <w:sz w:val="26"/>
          <w:szCs w:val="26"/>
          <w:lang w:val="es-ES" w:eastAsia="en-US"/>
        </w:rPr>
        <w:t xml:space="preserve"> </w:t>
      </w:r>
      <w:r w:rsidR="008133C9" w:rsidRPr="00883CA6">
        <w:rPr>
          <w:rFonts w:ascii="Arial" w:eastAsiaTheme="minorHAnsi" w:hAnsi="Arial" w:cs="Arial"/>
          <w:sz w:val="26"/>
          <w:szCs w:val="26"/>
          <w:lang w:val="es-ES" w:eastAsia="en-US"/>
        </w:rPr>
        <w:t xml:space="preserve">el inconforme </w:t>
      </w:r>
      <w:r w:rsidR="00954059" w:rsidRPr="00883CA6">
        <w:rPr>
          <w:rFonts w:ascii="Arial" w:eastAsiaTheme="minorHAnsi" w:hAnsi="Arial" w:cs="Arial"/>
          <w:sz w:val="26"/>
          <w:szCs w:val="26"/>
          <w:lang w:val="es-ES" w:eastAsia="en-US"/>
        </w:rPr>
        <w:t xml:space="preserve">que </w:t>
      </w:r>
      <w:r w:rsidR="00C71426" w:rsidRPr="00883CA6">
        <w:rPr>
          <w:rFonts w:ascii="Arial" w:eastAsiaTheme="minorHAnsi" w:hAnsi="Arial" w:cs="Arial"/>
          <w:sz w:val="26"/>
          <w:szCs w:val="26"/>
          <w:lang w:val="es-ES" w:eastAsia="en-US"/>
        </w:rPr>
        <w:t xml:space="preserve">de la resolución emitida en el procedimiento administrativo 357/RA/2012, de </w:t>
      </w:r>
      <w:r w:rsidR="00C06EDD">
        <w:rPr>
          <w:rFonts w:ascii="Arial" w:eastAsiaTheme="minorHAnsi" w:hAnsi="Arial" w:cs="Arial"/>
          <w:sz w:val="26"/>
          <w:szCs w:val="26"/>
          <w:lang w:val="es-ES" w:eastAsia="en-US"/>
        </w:rPr>
        <w:t xml:space="preserve">15 </w:t>
      </w:r>
      <w:r w:rsidR="00C71426" w:rsidRPr="00883CA6">
        <w:rPr>
          <w:rFonts w:ascii="Arial" w:eastAsiaTheme="minorHAnsi" w:hAnsi="Arial" w:cs="Arial"/>
          <w:sz w:val="26"/>
          <w:szCs w:val="26"/>
          <w:lang w:val="es-ES" w:eastAsia="en-US"/>
        </w:rPr>
        <w:t xml:space="preserve">quince de agosto de </w:t>
      </w:r>
      <w:r w:rsidR="00C06EDD">
        <w:rPr>
          <w:rFonts w:ascii="Arial" w:eastAsiaTheme="minorHAnsi" w:hAnsi="Arial" w:cs="Arial"/>
          <w:sz w:val="26"/>
          <w:szCs w:val="26"/>
          <w:lang w:val="es-ES" w:eastAsia="en-US"/>
        </w:rPr>
        <w:t xml:space="preserve">2015 </w:t>
      </w:r>
      <w:r w:rsidR="00C71426" w:rsidRPr="00883CA6">
        <w:rPr>
          <w:rFonts w:ascii="Arial" w:eastAsiaTheme="minorHAnsi" w:hAnsi="Arial" w:cs="Arial"/>
          <w:sz w:val="26"/>
          <w:szCs w:val="26"/>
          <w:lang w:val="es-ES" w:eastAsia="en-US"/>
        </w:rPr>
        <w:t xml:space="preserve">dos mil quince, las faltas administrativas </w:t>
      </w:r>
      <w:r w:rsidRPr="00883CA6">
        <w:rPr>
          <w:rFonts w:ascii="Arial" w:eastAsiaTheme="minorHAnsi" w:hAnsi="Arial" w:cs="Arial"/>
          <w:sz w:val="26"/>
          <w:szCs w:val="26"/>
          <w:lang w:val="es-ES" w:eastAsia="en-US"/>
        </w:rPr>
        <w:t xml:space="preserve">que le imputaron </w:t>
      </w:r>
      <w:r w:rsidR="00C71426" w:rsidRPr="00883CA6">
        <w:rPr>
          <w:rFonts w:ascii="Arial" w:eastAsiaTheme="minorHAnsi" w:hAnsi="Arial" w:cs="Arial"/>
          <w:sz w:val="26"/>
          <w:szCs w:val="26"/>
          <w:lang w:val="es-ES" w:eastAsia="en-US"/>
        </w:rPr>
        <w:t>fueron plasmadas en la sentencia que impugna</w:t>
      </w:r>
      <w:r w:rsidR="00E571CA" w:rsidRPr="00883CA6">
        <w:rPr>
          <w:rFonts w:ascii="Arial" w:eastAsiaTheme="minorHAnsi" w:hAnsi="Arial" w:cs="Arial"/>
          <w:sz w:val="26"/>
          <w:szCs w:val="26"/>
          <w:lang w:val="es-ES" w:eastAsia="en-US"/>
        </w:rPr>
        <w:t xml:space="preserve"> d</w:t>
      </w:r>
      <w:r w:rsidR="00C71426" w:rsidRPr="00883CA6">
        <w:rPr>
          <w:rFonts w:ascii="Arial" w:eastAsiaTheme="minorHAnsi" w:hAnsi="Arial" w:cs="Arial"/>
          <w:sz w:val="26"/>
          <w:szCs w:val="26"/>
          <w:lang w:val="es-ES" w:eastAsia="en-US"/>
        </w:rPr>
        <w:t xml:space="preserve">el expediente </w:t>
      </w:r>
      <w:r w:rsidR="006C252C">
        <w:rPr>
          <w:rFonts w:ascii="Arial" w:eastAsiaTheme="minorHAnsi" w:hAnsi="Arial" w:cs="Arial"/>
          <w:sz w:val="26"/>
          <w:szCs w:val="26"/>
          <w:lang w:val="es-ES" w:eastAsia="en-US"/>
        </w:rPr>
        <w:t>0</w:t>
      </w:r>
      <w:r w:rsidR="00C71426" w:rsidRPr="00883CA6">
        <w:rPr>
          <w:rFonts w:ascii="Arial" w:eastAsiaTheme="minorHAnsi" w:hAnsi="Arial" w:cs="Arial"/>
          <w:sz w:val="26"/>
          <w:szCs w:val="26"/>
          <w:lang w:val="es-ES" w:eastAsia="en-US"/>
        </w:rPr>
        <w:t>4/2010,</w:t>
      </w:r>
      <w:r w:rsidR="00592073" w:rsidRPr="00883CA6">
        <w:rPr>
          <w:rFonts w:ascii="Arial" w:eastAsiaTheme="minorHAnsi" w:hAnsi="Arial" w:cs="Arial"/>
          <w:sz w:val="26"/>
          <w:szCs w:val="26"/>
          <w:lang w:val="es-ES" w:eastAsia="en-US"/>
        </w:rPr>
        <w:t xml:space="preserve"> cuyos considerandos segundo, tercero y cuarto de la resolución que originó su amonestación privada, quedó firme, pues en ningún momento fue recurrida, por lo que no se le puede imponer la sanción y la inhabilitación de ejercer nuevamente un cargo público por hechos que ya fueron </w:t>
      </w:r>
      <w:r w:rsidR="006964F3" w:rsidRPr="00883CA6">
        <w:rPr>
          <w:rFonts w:ascii="Arial" w:eastAsiaTheme="minorHAnsi" w:hAnsi="Arial" w:cs="Arial"/>
          <w:sz w:val="26"/>
          <w:szCs w:val="26"/>
          <w:lang w:val="es-ES" w:eastAsia="en-US"/>
        </w:rPr>
        <w:lastRenderedPageBreak/>
        <w:t xml:space="preserve">sancionados </w:t>
      </w:r>
      <w:r w:rsidR="00592073" w:rsidRPr="00883CA6">
        <w:rPr>
          <w:rFonts w:ascii="Arial" w:eastAsiaTheme="minorHAnsi" w:hAnsi="Arial" w:cs="Arial"/>
          <w:sz w:val="26"/>
          <w:szCs w:val="26"/>
          <w:lang w:val="es-ES" w:eastAsia="en-US"/>
        </w:rPr>
        <w:t>en el año dos mil diez, lo cual fue ignorado en el juicio de nulidad, así como en todo el procedimiento que dio origen al juicio, por lo que solicita que se modifique la sentencia</w:t>
      </w:r>
      <w:r w:rsidR="00B244E2" w:rsidRPr="00883CA6">
        <w:rPr>
          <w:rFonts w:ascii="Arial" w:eastAsiaTheme="minorHAnsi" w:hAnsi="Arial" w:cs="Arial"/>
          <w:sz w:val="26"/>
          <w:szCs w:val="26"/>
          <w:lang w:val="es-ES" w:eastAsia="en-US"/>
        </w:rPr>
        <w:t xml:space="preserve"> por una nueva que determine su nulidad.</w:t>
      </w:r>
      <w:r w:rsidR="006C252C">
        <w:rPr>
          <w:rFonts w:ascii="Arial" w:eastAsiaTheme="minorHAnsi" w:hAnsi="Arial" w:cs="Arial"/>
          <w:sz w:val="26"/>
          <w:szCs w:val="26"/>
          <w:lang w:val="es-ES" w:eastAsia="en-US"/>
        </w:rPr>
        <w:t xml:space="preserve"> - - - - - - - - - - - - - - - - - - - - - - - - - - - - - - - - - - - -</w:t>
      </w:r>
    </w:p>
    <w:p w14:paraId="2C788CB3" w14:textId="222C0C7A" w:rsidR="003C2677" w:rsidRPr="00883CA6" w:rsidRDefault="00273378" w:rsidP="00AA4698">
      <w:pPr>
        <w:spacing w:line="360" w:lineRule="auto"/>
        <w:ind w:firstLine="709"/>
        <w:jc w:val="both"/>
        <w:rPr>
          <w:rFonts w:ascii="Arial" w:hAnsi="Arial" w:cs="Arial"/>
          <w:color w:val="000000"/>
          <w:sz w:val="26"/>
          <w:szCs w:val="26"/>
        </w:rPr>
      </w:pPr>
      <w:r w:rsidRPr="00883CA6">
        <w:rPr>
          <w:rFonts w:ascii="Arial" w:hAnsi="Arial" w:cs="Arial"/>
          <w:color w:val="000000"/>
          <w:sz w:val="26"/>
          <w:szCs w:val="26"/>
        </w:rPr>
        <w:t>Son</w:t>
      </w:r>
      <w:r w:rsidR="00AA4698" w:rsidRPr="00883CA6">
        <w:rPr>
          <w:rFonts w:ascii="Arial" w:hAnsi="Arial" w:cs="Arial"/>
          <w:color w:val="000000"/>
          <w:sz w:val="26"/>
          <w:szCs w:val="26"/>
        </w:rPr>
        <w:t xml:space="preserve"> </w:t>
      </w:r>
      <w:r w:rsidR="00AA4698" w:rsidRPr="00883CA6">
        <w:rPr>
          <w:rFonts w:ascii="Arial" w:hAnsi="Arial" w:cs="Arial"/>
          <w:b/>
          <w:bCs/>
          <w:color w:val="000000"/>
          <w:sz w:val="26"/>
          <w:szCs w:val="26"/>
        </w:rPr>
        <w:t>INATENDIBLE</w:t>
      </w:r>
      <w:r w:rsidRPr="00883CA6">
        <w:rPr>
          <w:rFonts w:ascii="Arial" w:hAnsi="Arial" w:cs="Arial"/>
          <w:b/>
          <w:bCs/>
          <w:color w:val="000000"/>
          <w:sz w:val="26"/>
          <w:szCs w:val="26"/>
        </w:rPr>
        <w:t>S</w:t>
      </w:r>
      <w:r w:rsidR="00AA4698" w:rsidRPr="00883CA6">
        <w:rPr>
          <w:rFonts w:ascii="Arial" w:hAnsi="Arial" w:cs="Arial"/>
          <w:b/>
          <w:bCs/>
          <w:color w:val="000000"/>
          <w:sz w:val="26"/>
          <w:szCs w:val="26"/>
        </w:rPr>
        <w:t xml:space="preserve"> </w:t>
      </w:r>
      <w:r w:rsidR="00AA4698" w:rsidRPr="00883CA6">
        <w:rPr>
          <w:rFonts w:ascii="Arial" w:hAnsi="Arial" w:cs="Arial"/>
          <w:color w:val="000000"/>
          <w:sz w:val="26"/>
          <w:szCs w:val="26"/>
        </w:rPr>
        <w:t>l</w:t>
      </w:r>
      <w:r w:rsidRPr="00883CA6">
        <w:rPr>
          <w:rFonts w:ascii="Arial" w:hAnsi="Arial" w:cs="Arial"/>
          <w:color w:val="000000"/>
          <w:sz w:val="26"/>
          <w:szCs w:val="26"/>
        </w:rPr>
        <w:t>os</w:t>
      </w:r>
      <w:r w:rsidR="00AA4698" w:rsidRPr="00883CA6">
        <w:rPr>
          <w:rFonts w:ascii="Arial" w:hAnsi="Arial" w:cs="Arial"/>
          <w:color w:val="000000"/>
          <w:sz w:val="26"/>
          <w:szCs w:val="26"/>
        </w:rPr>
        <w:t xml:space="preserve"> agravio</w:t>
      </w:r>
      <w:r w:rsidRPr="00883CA6">
        <w:rPr>
          <w:rFonts w:ascii="Arial" w:hAnsi="Arial" w:cs="Arial"/>
          <w:color w:val="000000"/>
          <w:sz w:val="26"/>
          <w:szCs w:val="26"/>
        </w:rPr>
        <w:t>s</w:t>
      </w:r>
      <w:r w:rsidR="00AA4698" w:rsidRPr="00883CA6">
        <w:rPr>
          <w:rFonts w:ascii="Arial" w:hAnsi="Arial" w:cs="Arial"/>
          <w:color w:val="000000"/>
          <w:sz w:val="26"/>
          <w:szCs w:val="26"/>
        </w:rPr>
        <w:t xml:space="preserve"> descrito</w:t>
      </w:r>
      <w:r w:rsidRPr="00883CA6">
        <w:rPr>
          <w:rFonts w:ascii="Arial" w:hAnsi="Arial" w:cs="Arial"/>
          <w:color w:val="000000"/>
          <w:sz w:val="26"/>
          <w:szCs w:val="26"/>
        </w:rPr>
        <w:t>s</w:t>
      </w:r>
      <w:r w:rsidR="00AA4698" w:rsidRPr="00883CA6">
        <w:rPr>
          <w:rFonts w:ascii="Arial" w:hAnsi="Arial" w:cs="Arial"/>
          <w:color w:val="000000"/>
          <w:sz w:val="26"/>
          <w:szCs w:val="26"/>
        </w:rPr>
        <w:t xml:space="preserve"> </w:t>
      </w:r>
      <w:r w:rsidRPr="00883CA6">
        <w:rPr>
          <w:rFonts w:ascii="Arial" w:hAnsi="Arial" w:cs="Arial"/>
          <w:color w:val="000000"/>
          <w:sz w:val="26"/>
          <w:szCs w:val="26"/>
        </w:rPr>
        <w:t>por el revisionista</w:t>
      </w:r>
      <w:r w:rsidR="00AA4698" w:rsidRPr="00883CA6">
        <w:rPr>
          <w:rFonts w:ascii="Arial" w:hAnsi="Arial" w:cs="Arial"/>
          <w:color w:val="000000"/>
          <w:sz w:val="26"/>
          <w:szCs w:val="26"/>
        </w:rPr>
        <w:t>, en virtud de que ést</w:t>
      </w:r>
      <w:r w:rsidR="004B3948" w:rsidRPr="00883CA6">
        <w:rPr>
          <w:rFonts w:ascii="Arial" w:hAnsi="Arial" w:cs="Arial"/>
          <w:color w:val="000000"/>
          <w:sz w:val="26"/>
          <w:szCs w:val="26"/>
        </w:rPr>
        <w:t xml:space="preserve">os </w:t>
      </w:r>
      <w:r w:rsidR="00AA4698" w:rsidRPr="00883CA6">
        <w:rPr>
          <w:rFonts w:ascii="Arial" w:hAnsi="Arial" w:cs="Arial"/>
          <w:color w:val="000000"/>
          <w:sz w:val="26"/>
          <w:szCs w:val="26"/>
        </w:rPr>
        <w:t>en esencia, ya fue</w:t>
      </w:r>
      <w:r w:rsidR="00E571CA" w:rsidRPr="00883CA6">
        <w:rPr>
          <w:rFonts w:ascii="Arial" w:hAnsi="Arial" w:cs="Arial"/>
          <w:color w:val="000000"/>
          <w:sz w:val="26"/>
          <w:szCs w:val="26"/>
        </w:rPr>
        <w:t>ron</w:t>
      </w:r>
      <w:r w:rsidR="00AA4698" w:rsidRPr="00883CA6">
        <w:rPr>
          <w:rFonts w:ascii="Arial" w:hAnsi="Arial" w:cs="Arial"/>
          <w:color w:val="000000"/>
          <w:sz w:val="26"/>
          <w:szCs w:val="26"/>
        </w:rPr>
        <w:t xml:space="preserve"> expuesto</w:t>
      </w:r>
      <w:r w:rsidR="00E571CA" w:rsidRPr="00883CA6">
        <w:rPr>
          <w:rFonts w:ascii="Arial" w:hAnsi="Arial" w:cs="Arial"/>
          <w:color w:val="000000"/>
          <w:sz w:val="26"/>
          <w:szCs w:val="26"/>
        </w:rPr>
        <w:t>s</w:t>
      </w:r>
      <w:r w:rsidR="00AA4698" w:rsidRPr="00883CA6">
        <w:rPr>
          <w:rFonts w:ascii="Arial" w:hAnsi="Arial" w:cs="Arial"/>
          <w:color w:val="000000"/>
          <w:sz w:val="26"/>
          <w:szCs w:val="26"/>
        </w:rPr>
        <w:t xml:space="preserve"> en </w:t>
      </w:r>
      <w:r w:rsidR="00D81C8E" w:rsidRPr="00883CA6">
        <w:rPr>
          <w:rFonts w:ascii="Arial" w:hAnsi="Arial" w:cs="Arial"/>
          <w:color w:val="000000"/>
          <w:sz w:val="26"/>
          <w:szCs w:val="26"/>
        </w:rPr>
        <w:t xml:space="preserve">el primer concepto de violación y en los </w:t>
      </w:r>
      <w:r w:rsidR="004B3948" w:rsidRPr="00883CA6">
        <w:rPr>
          <w:rFonts w:ascii="Arial" w:hAnsi="Arial" w:cs="Arial"/>
          <w:color w:val="000000"/>
          <w:sz w:val="26"/>
          <w:szCs w:val="26"/>
        </w:rPr>
        <w:t>puntos segundo y tercero de</w:t>
      </w:r>
      <w:r w:rsidR="00D81C8E" w:rsidRPr="00883CA6">
        <w:rPr>
          <w:rFonts w:ascii="Arial" w:hAnsi="Arial" w:cs="Arial"/>
          <w:color w:val="000000"/>
          <w:sz w:val="26"/>
          <w:szCs w:val="26"/>
        </w:rPr>
        <w:t xml:space="preserve"> los</w:t>
      </w:r>
      <w:r w:rsidR="004B3948" w:rsidRPr="00883CA6">
        <w:rPr>
          <w:rFonts w:ascii="Arial" w:hAnsi="Arial" w:cs="Arial"/>
          <w:color w:val="000000"/>
          <w:sz w:val="26"/>
          <w:szCs w:val="26"/>
        </w:rPr>
        <w:t xml:space="preserve"> antecedentes del acto reclamado de su demanda</w:t>
      </w:r>
      <w:r w:rsidR="00AA4698" w:rsidRPr="00883CA6">
        <w:rPr>
          <w:rFonts w:ascii="Arial" w:hAnsi="Arial" w:cs="Arial"/>
          <w:color w:val="000000"/>
          <w:sz w:val="26"/>
          <w:szCs w:val="26"/>
        </w:rPr>
        <w:t xml:space="preserve">, motivo del juicio de nulidad, </w:t>
      </w:r>
      <w:r w:rsidR="004B3948" w:rsidRPr="00883CA6">
        <w:rPr>
          <w:rFonts w:ascii="Arial" w:hAnsi="Arial" w:cs="Arial"/>
          <w:color w:val="000000"/>
          <w:sz w:val="26"/>
          <w:szCs w:val="26"/>
        </w:rPr>
        <w:t xml:space="preserve">los cuales </w:t>
      </w:r>
      <w:r w:rsidR="00AA4698" w:rsidRPr="00883CA6">
        <w:rPr>
          <w:rFonts w:ascii="Arial" w:hAnsi="Arial" w:cs="Arial"/>
          <w:color w:val="000000"/>
          <w:sz w:val="26"/>
          <w:szCs w:val="26"/>
        </w:rPr>
        <w:t>ya fue</w:t>
      </w:r>
      <w:r w:rsidR="004B3948" w:rsidRPr="00883CA6">
        <w:rPr>
          <w:rFonts w:ascii="Arial" w:hAnsi="Arial" w:cs="Arial"/>
          <w:color w:val="000000"/>
          <w:sz w:val="26"/>
          <w:szCs w:val="26"/>
        </w:rPr>
        <w:t>ron</w:t>
      </w:r>
      <w:r w:rsidR="00AA4698" w:rsidRPr="00883CA6">
        <w:rPr>
          <w:rFonts w:ascii="Arial" w:hAnsi="Arial" w:cs="Arial"/>
          <w:color w:val="000000"/>
          <w:sz w:val="26"/>
          <w:szCs w:val="26"/>
        </w:rPr>
        <w:t xml:space="preserve"> analizado</w:t>
      </w:r>
      <w:r w:rsidR="004B3948" w:rsidRPr="00883CA6">
        <w:rPr>
          <w:rFonts w:ascii="Arial" w:hAnsi="Arial" w:cs="Arial"/>
          <w:color w:val="000000"/>
          <w:sz w:val="26"/>
          <w:szCs w:val="26"/>
        </w:rPr>
        <w:t>s</w:t>
      </w:r>
      <w:r w:rsidR="00AA4698" w:rsidRPr="00883CA6">
        <w:rPr>
          <w:rFonts w:ascii="Arial" w:hAnsi="Arial" w:cs="Arial"/>
          <w:color w:val="000000"/>
          <w:sz w:val="26"/>
          <w:szCs w:val="26"/>
        </w:rPr>
        <w:t xml:space="preserve"> y resuelto</w:t>
      </w:r>
      <w:r w:rsidR="004B3948" w:rsidRPr="00883CA6">
        <w:rPr>
          <w:rFonts w:ascii="Arial" w:hAnsi="Arial" w:cs="Arial"/>
          <w:color w:val="000000"/>
          <w:sz w:val="26"/>
          <w:szCs w:val="26"/>
        </w:rPr>
        <w:t>s</w:t>
      </w:r>
      <w:r w:rsidR="00AA4698" w:rsidRPr="00883CA6">
        <w:rPr>
          <w:rFonts w:ascii="Arial" w:hAnsi="Arial" w:cs="Arial"/>
          <w:color w:val="000000"/>
          <w:sz w:val="26"/>
          <w:szCs w:val="26"/>
        </w:rPr>
        <w:t xml:space="preserve"> por la Primera Instancia en la sentencia que impugnó</w:t>
      </w:r>
      <w:r w:rsidR="003C2677" w:rsidRPr="00883CA6">
        <w:rPr>
          <w:rFonts w:ascii="Arial" w:hAnsi="Arial" w:cs="Arial"/>
          <w:color w:val="000000"/>
          <w:sz w:val="26"/>
          <w:szCs w:val="26"/>
        </w:rPr>
        <w:t>;</w:t>
      </w:r>
      <w:r w:rsidR="00D81C8E" w:rsidRPr="00883CA6">
        <w:rPr>
          <w:rFonts w:ascii="Arial" w:hAnsi="Arial" w:cs="Arial"/>
          <w:color w:val="000000"/>
          <w:sz w:val="26"/>
          <w:szCs w:val="26"/>
        </w:rPr>
        <w:t xml:space="preserve"> </w:t>
      </w:r>
      <w:r w:rsidR="00AA4698" w:rsidRPr="00883CA6">
        <w:rPr>
          <w:rFonts w:ascii="Arial" w:hAnsi="Arial" w:cs="Arial"/>
          <w:color w:val="000000"/>
          <w:sz w:val="26"/>
          <w:szCs w:val="26"/>
        </w:rPr>
        <w:t xml:space="preserve">tomando en consideración que con </w:t>
      </w:r>
      <w:r w:rsidR="003C2677" w:rsidRPr="00883CA6">
        <w:rPr>
          <w:rFonts w:ascii="Arial" w:hAnsi="Arial" w:cs="Arial"/>
          <w:color w:val="000000"/>
          <w:sz w:val="26"/>
          <w:szCs w:val="26"/>
        </w:rPr>
        <w:t>los agravios esgrimidos,</w:t>
      </w:r>
      <w:r w:rsidR="00AA4698" w:rsidRPr="00883CA6">
        <w:rPr>
          <w:rFonts w:ascii="Arial" w:hAnsi="Arial" w:cs="Arial"/>
          <w:color w:val="000000"/>
          <w:sz w:val="26"/>
          <w:szCs w:val="26"/>
        </w:rPr>
        <w:t xml:space="preserve"> el recurrente no combate los razonamientos torales de la sentencia que no lo beneficia, siendo este el momento procesal oportuno para refutar la ilegalidad de dicho fallo, sin que lo hubiera hecho, pues solo se concreta a reiterar un argumento</w:t>
      </w:r>
      <w:r w:rsidR="003C2677" w:rsidRPr="00883CA6">
        <w:rPr>
          <w:rFonts w:ascii="Arial" w:hAnsi="Arial" w:cs="Arial"/>
          <w:color w:val="000000"/>
          <w:sz w:val="26"/>
          <w:szCs w:val="26"/>
        </w:rPr>
        <w:t xml:space="preserve"> </w:t>
      </w:r>
      <w:r w:rsidR="00AA4698" w:rsidRPr="00883CA6">
        <w:rPr>
          <w:rFonts w:ascii="Arial" w:hAnsi="Arial" w:cs="Arial"/>
          <w:color w:val="000000"/>
          <w:sz w:val="26"/>
          <w:szCs w:val="26"/>
        </w:rPr>
        <w:t>que ya fue examinado</w:t>
      </w:r>
      <w:r w:rsidR="003C2677" w:rsidRPr="00883CA6">
        <w:rPr>
          <w:rFonts w:ascii="Arial" w:hAnsi="Arial" w:cs="Arial"/>
          <w:color w:val="000000"/>
          <w:sz w:val="26"/>
          <w:szCs w:val="26"/>
        </w:rPr>
        <w:t xml:space="preserve">. </w:t>
      </w:r>
      <w:r w:rsidR="00315219">
        <w:rPr>
          <w:rFonts w:ascii="Arial" w:hAnsi="Arial" w:cs="Arial"/>
          <w:color w:val="000000"/>
          <w:sz w:val="26"/>
          <w:szCs w:val="26"/>
        </w:rPr>
        <w:t xml:space="preserve">- - - - - - - - - - - - - - - - - - - - - - - - - - - - - - - - - - - - - - - - - - - </w:t>
      </w:r>
    </w:p>
    <w:p w14:paraId="2829CABD" w14:textId="09B789F0" w:rsidR="00F13955" w:rsidRPr="006964F3" w:rsidRDefault="00F13955" w:rsidP="00F13955">
      <w:pPr>
        <w:widowControl w:val="0"/>
        <w:autoSpaceDE w:val="0"/>
        <w:autoSpaceDN w:val="0"/>
        <w:adjustRightInd w:val="0"/>
        <w:spacing w:before="240" w:after="0" w:line="360" w:lineRule="auto"/>
        <w:ind w:right="49" w:firstLine="708"/>
        <w:jc w:val="both"/>
        <w:rPr>
          <w:rFonts w:ascii="Arial" w:hAnsi="Arial" w:cs="Arial"/>
          <w:color w:val="000000"/>
          <w:sz w:val="26"/>
          <w:szCs w:val="26"/>
        </w:rPr>
      </w:pPr>
      <w:r w:rsidRPr="00883CA6">
        <w:rPr>
          <w:rFonts w:ascii="Arial" w:hAnsi="Arial" w:cs="Arial"/>
          <w:color w:val="000000"/>
          <w:sz w:val="26"/>
          <w:szCs w:val="26"/>
        </w:rPr>
        <w:t>Por similitud, resulta aplicable al caso la jurisprudencia en materia común, número VI.1o. J/32, con número de registro digital 226436, de</w:t>
      </w:r>
      <w:r w:rsidRPr="006964F3">
        <w:rPr>
          <w:rFonts w:ascii="Arial" w:hAnsi="Arial" w:cs="Arial"/>
          <w:color w:val="000000"/>
          <w:sz w:val="26"/>
          <w:szCs w:val="26"/>
        </w:rPr>
        <w:t xml:space="preserve"> la Octava Época, emitido por los Tribunales Colegiados de Circuito, publicada en el Semanario Judicial de la Federación, en el Tomo V, Segunda Parte-2, de Enero-Junio de 1990, visible a página 663, de rubro y texto siguientes: </w:t>
      </w:r>
      <w:r w:rsidR="003B339E">
        <w:rPr>
          <w:rFonts w:ascii="Arial" w:hAnsi="Arial" w:cs="Arial"/>
          <w:color w:val="000000"/>
          <w:sz w:val="26"/>
          <w:szCs w:val="26"/>
        </w:rPr>
        <w:t xml:space="preserve"> - - - - - - - - - - - - - - - - - - - - - - - - - - - - - - - - - -</w:t>
      </w:r>
    </w:p>
    <w:p w14:paraId="66538A00" w14:textId="77777777" w:rsidR="00F13955" w:rsidRPr="00DC3100" w:rsidRDefault="00F13955" w:rsidP="00F13955">
      <w:pPr>
        <w:widowControl w:val="0"/>
        <w:autoSpaceDE w:val="0"/>
        <w:autoSpaceDN w:val="0"/>
        <w:adjustRightInd w:val="0"/>
        <w:spacing w:before="240" w:line="240" w:lineRule="auto"/>
        <w:ind w:left="567" w:right="616"/>
        <w:jc w:val="both"/>
        <w:rPr>
          <w:rFonts w:ascii="Arial" w:eastAsia="Times New Roman" w:hAnsi="Arial" w:cs="Arial"/>
          <w:i/>
          <w:iCs/>
        </w:rPr>
      </w:pPr>
      <w:r w:rsidRPr="00DC3100">
        <w:rPr>
          <w:rFonts w:ascii="Arial" w:hAnsi="Arial" w:cs="Arial"/>
          <w:b/>
          <w:bCs/>
          <w:i/>
          <w:iCs/>
        </w:rPr>
        <w:t>“</w:t>
      </w:r>
      <w:r w:rsidRPr="00DC3100">
        <w:rPr>
          <w:rFonts w:ascii="Arial" w:eastAsia="Times New Roman" w:hAnsi="Arial" w:cs="Arial"/>
          <w:b/>
          <w:bCs/>
          <w:i/>
          <w:iCs/>
        </w:rPr>
        <w:t>AGRAVIOS INATENDIBLES. SON AQUELLOS QUE REPITEN ALGUN CONCEPTO DE VIOLACION DESESTIMADO POR EL JUEZ DE DISTRITO.</w:t>
      </w:r>
      <w:r w:rsidRPr="00DC3100">
        <w:rPr>
          <w:rFonts w:ascii="Arial" w:eastAsia="Times New Roman" w:hAnsi="Arial" w:cs="Arial"/>
          <w:i/>
          <w:iCs/>
        </w:rPr>
        <w:t xml:space="preserve"> Si en el recurso de revisión, sólo se reproduce esencialmente un concepto de violación que fue examinado y declarado infundado por el Juez de Distrito, sin expresarse argumentos para impugnar la legalidad de la sentencia, mediante la demostración de violaciones a la ley, la consideración del Juez Federal debe prevalecer por sus propios fundamentos y consideraciones en que se sustenta.”</w:t>
      </w:r>
    </w:p>
    <w:p w14:paraId="473A2DD2" w14:textId="161BC2A1" w:rsidR="003C2677" w:rsidRPr="006964F3" w:rsidRDefault="003C2677" w:rsidP="00AA4698">
      <w:pPr>
        <w:spacing w:line="360" w:lineRule="auto"/>
        <w:ind w:firstLine="709"/>
        <w:jc w:val="both"/>
        <w:rPr>
          <w:rFonts w:ascii="Arial" w:hAnsi="Arial" w:cs="Arial"/>
          <w:color w:val="000000"/>
          <w:sz w:val="26"/>
          <w:szCs w:val="26"/>
        </w:rPr>
      </w:pPr>
      <w:r w:rsidRPr="006964F3">
        <w:rPr>
          <w:rFonts w:ascii="Arial" w:hAnsi="Arial" w:cs="Arial"/>
          <w:color w:val="000000"/>
          <w:sz w:val="26"/>
          <w:szCs w:val="26"/>
        </w:rPr>
        <w:t xml:space="preserve">Cabe resaltar que </w:t>
      </w:r>
      <w:r w:rsidR="00CB7FBD" w:rsidRPr="006964F3">
        <w:rPr>
          <w:rFonts w:ascii="Arial" w:hAnsi="Arial" w:cs="Arial"/>
          <w:color w:val="000000"/>
          <w:sz w:val="26"/>
          <w:szCs w:val="26"/>
        </w:rPr>
        <w:t xml:space="preserve">también resulta </w:t>
      </w:r>
      <w:r w:rsidR="00CB7FBD" w:rsidRPr="006964F3">
        <w:rPr>
          <w:rFonts w:ascii="Arial" w:hAnsi="Arial" w:cs="Arial"/>
          <w:b/>
          <w:bCs/>
          <w:color w:val="000000"/>
          <w:sz w:val="26"/>
          <w:szCs w:val="26"/>
        </w:rPr>
        <w:t>INOPERANTE</w:t>
      </w:r>
      <w:r w:rsidR="00CB7FBD" w:rsidRPr="006964F3">
        <w:rPr>
          <w:rFonts w:ascii="Arial" w:hAnsi="Arial" w:cs="Arial"/>
          <w:color w:val="000000"/>
          <w:sz w:val="26"/>
          <w:szCs w:val="26"/>
        </w:rPr>
        <w:t xml:space="preserve"> </w:t>
      </w:r>
      <w:r w:rsidRPr="006964F3">
        <w:rPr>
          <w:rFonts w:ascii="Arial" w:hAnsi="Arial" w:cs="Arial"/>
          <w:color w:val="000000"/>
          <w:sz w:val="26"/>
          <w:szCs w:val="26"/>
        </w:rPr>
        <w:t>l</w:t>
      </w:r>
      <w:r w:rsidR="00CB7FBD" w:rsidRPr="006964F3">
        <w:rPr>
          <w:rFonts w:ascii="Arial" w:hAnsi="Arial" w:cs="Arial"/>
          <w:color w:val="000000"/>
          <w:sz w:val="26"/>
          <w:szCs w:val="26"/>
        </w:rPr>
        <w:t xml:space="preserve">o que el </w:t>
      </w:r>
      <w:r w:rsidRPr="006964F3">
        <w:rPr>
          <w:rFonts w:ascii="Arial" w:hAnsi="Arial" w:cs="Arial"/>
          <w:color w:val="000000"/>
          <w:sz w:val="26"/>
          <w:szCs w:val="26"/>
        </w:rPr>
        <w:t xml:space="preserve">recurrente </w:t>
      </w:r>
      <w:r w:rsidR="00CB7FBD" w:rsidRPr="006964F3">
        <w:rPr>
          <w:rFonts w:ascii="Arial" w:hAnsi="Arial" w:cs="Arial"/>
          <w:color w:val="000000"/>
          <w:sz w:val="26"/>
          <w:szCs w:val="26"/>
        </w:rPr>
        <w:t xml:space="preserve">menciona </w:t>
      </w:r>
      <w:r w:rsidRPr="006964F3">
        <w:rPr>
          <w:rFonts w:ascii="Arial" w:hAnsi="Arial" w:cs="Arial"/>
          <w:color w:val="000000"/>
          <w:sz w:val="26"/>
          <w:szCs w:val="26"/>
        </w:rPr>
        <w:t>en sus agravios</w:t>
      </w:r>
      <w:r w:rsidR="00CB7FBD" w:rsidRPr="006964F3">
        <w:rPr>
          <w:rFonts w:ascii="Arial" w:hAnsi="Arial" w:cs="Arial"/>
          <w:color w:val="000000"/>
          <w:sz w:val="26"/>
          <w:szCs w:val="26"/>
        </w:rPr>
        <w:t>,</w:t>
      </w:r>
      <w:r w:rsidRPr="006964F3">
        <w:rPr>
          <w:rFonts w:ascii="Arial" w:hAnsi="Arial" w:cs="Arial"/>
          <w:color w:val="000000"/>
          <w:sz w:val="26"/>
          <w:szCs w:val="26"/>
        </w:rPr>
        <w:t xml:space="preserve"> </w:t>
      </w:r>
      <w:r w:rsidR="00CB7FBD" w:rsidRPr="006964F3">
        <w:rPr>
          <w:rFonts w:ascii="Arial" w:hAnsi="Arial" w:cs="Arial"/>
          <w:color w:val="000000"/>
          <w:sz w:val="26"/>
          <w:szCs w:val="26"/>
        </w:rPr>
        <w:t>referente a</w:t>
      </w:r>
      <w:r w:rsidRPr="006964F3">
        <w:rPr>
          <w:rFonts w:ascii="Arial" w:hAnsi="Arial" w:cs="Arial"/>
          <w:color w:val="000000"/>
          <w:sz w:val="26"/>
          <w:szCs w:val="26"/>
        </w:rPr>
        <w:t xml:space="preserve"> que ya fue sancionado anteriormente con amonestación privada, en el expediente número </w:t>
      </w:r>
      <w:bookmarkStart w:id="1" w:name="_Hlk76122846"/>
      <w:r w:rsidR="00B308D9">
        <w:rPr>
          <w:rFonts w:ascii="Arial" w:hAnsi="Arial" w:cs="Arial"/>
          <w:color w:val="000000"/>
          <w:sz w:val="26"/>
          <w:szCs w:val="26"/>
        </w:rPr>
        <w:t>0</w:t>
      </w:r>
      <w:r w:rsidRPr="006964F3">
        <w:rPr>
          <w:rFonts w:ascii="Arial" w:hAnsi="Arial" w:cs="Arial"/>
          <w:color w:val="000000"/>
          <w:sz w:val="26"/>
          <w:szCs w:val="26"/>
        </w:rPr>
        <w:t>4/2010</w:t>
      </w:r>
      <w:bookmarkEnd w:id="1"/>
      <w:r w:rsidRPr="006964F3">
        <w:rPr>
          <w:rFonts w:ascii="Arial" w:hAnsi="Arial" w:cs="Arial"/>
          <w:color w:val="000000"/>
          <w:sz w:val="26"/>
          <w:szCs w:val="26"/>
        </w:rPr>
        <w:t xml:space="preserve">, por los mismos hechos por los que se le sancionó en el procedimiento primigenio número </w:t>
      </w:r>
      <w:r w:rsidRPr="006964F3">
        <w:rPr>
          <w:rFonts w:ascii="Arial" w:eastAsiaTheme="minorHAnsi" w:hAnsi="Arial" w:cs="Arial"/>
          <w:sz w:val="26"/>
          <w:szCs w:val="26"/>
          <w:lang w:val="es-ES" w:eastAsia="en-US"/>
        </w:rPr>
        <w:t xml:space="preserve">357/RA/2012; sin </w:t>
      </w:r>
      <w:r w:rsidR="005215C4" w:rsidRPr="006964F3">
        <w:rPr>
          <w:rFonts w:ascii="Arial" w:eastAsiaTheme="minorHAnsi" w:hAnsi="Arial" w:cs="Arial"/>
          <w:sz w:val="26"/>
          <w:szCs w:val="26"/>
          <w:lang w:val="es-ES" w:eastAsia="en-US"/>
        </w:rPr>
        <w:t xml:space="preserve">que lo demostrara </w:t>
      </w:r>
      <w:r w:rsidRPr="006964F3">
        <w:rPr>
          <w:rFonts w:ascii="Arial" w:hAnsi="Arial" w:cs="Arial"/>
          <w:color w:val="000000"/>
          <w:sz w:val="26"/>
          <w:szCs w:val="26"/>
        </w:rPr>
        <w:t xml:space="preserve">en esa </w:t>
      </w:r>
      <w:r w:rsidR="005215C4" w:rsidRPr="006964F3">
        <w:rPr>
          <w:rFonts w:ascii="Arial" w:hAnsi="Arial" w:cs="Arial"/>
          <w:color w:val="000000"/>
          <w:sz w:val="26"/>
          <w:szCs w:val="26"/>
        </w:rPr>
        <w:t>Primera I</w:t>
      </w:r>
      <w:r w:rsidRPr="006964F3">
        <w:rPr>
          <w:rFonts w:ascii="Arial" w:hAnsi="Arial" w:cs="Arial"/>
          <w:color w:val="000000"/>
          <w:sz w:val="26"/>
          <w:szCs w:val="26"/>
        </w:rPr>
        <w:t>nstancia</w:t>
      </w:r>
      <w:r w:rsidR="005215C4" w:rsidRPr="006964F3">
        <w:rPr>
          <w:rFonts w:ascii="Arial" w:hAnsi="Arial" w:cs="Arial"/>
          <w:color w:val="000000"/>
          <w:sz w:val="26"/>
          <w:szCs w:val="26"/>
        </w:rPr>
        <w:t xml:space="preserve">, </w:t>
      </w:r>
      <w:r w:rsidR="007A0749" w:rsidRPr="006964F3">
        <w:rPr>
          <w:rFonts w:ascii="Arial" w:hAnsi="Arial" w:cs="Arial"/>
          <w:color w:val="000000"/>
          <w:sz w:val="26"/>
          <w:szCs w:val="26"/>
        </w:rPr>
        <w:t xml:space="preserve">siendo ocioso que el recurrente acompañe a su recurso de revisión, la copia certificada de lo actuado en el expediente administrativo número </w:t>
      </w:r>
      <w:r w:rsidR="00744BC8">
        <w:rPr>
          <w:rFonts w:ascii="Arial" w:hAnsi="Arial" w:cs="Arial"/>
          <w:color w:val="000000"/>
          <w:sz w:val="26"/>
          <w:szCs w:val="26"/>
        </w:rPr>
        <w:t>0</w:t>
      </w:r>
      <w:r w:rsidR="007A0749" w:rsidRPr="006964F3">
        <w:rPr>
          <w:rFonts w:ascii="Arial" w:hAnsi="Arial" w:cs="Arial"/>
          <w:color w:val="000000"/>
          <w:sz w:val="26"/>
          <w:szCs w:val="26"/>
        </w:rPr>
        <w:t>4/2010 de la Secretaría de la Contraloría del Gobierno</w:t>
      </w:r>
      <w:r w:rsidR="00CB7FBD" w:rsidRPr="006964F3">
        <w:rPr>
          <w:rFonts w:ascii="Arial" w:hAnsi="Arial" w:cs="Arial"/>
          <w:color w:val="000000"/>
          <w:sz w:val="26"/>
          <w:szCs w:val="26"/>
        </w:rPr>
        <w:t xml:space="preserve"> </w:t>
      </w:r>
      <w:r w:rsidR="007A0749" w:rsidRPr="006964F3">
        <w:rPr>
          <w:rFonts w:ascii="Arial" w:hAnsi="Arial" w:cs="Arial"/>
          <w:color w:val="000000"/>
          <w:sz w:val="26"/>
          <w:szCs w:val="26"/>
        </w:rPr>
        <w:t xml:space="preserve">del Estado de Oaxaca, </w:t>
      </w:r>
      <w:r w:rsidR="00F13955" w:rsidRPr="006964F3">
        <w:rPr>
          <w:rFonts w:ascii="Arial" w:hAnsi="Arial" w:cs="Arial"/>
          <w:color w:val="000000"/>
          <w:sz w:val="26"/>
          <w:szCs w:val="26"/>
        </w:rPr>
        <w:t xml:space="preserve">pues </w:t>
      </w:r>
      <w:r w:rsidR="007A0749" w:rsidRPr="006964F3">
        <w:rPr>
          <w:rFonts w:ascii="Arial" w:hAnsi="Arial" w:cs="Arial"/>
          <w:color w:val="000000"/>
          <w:sz w:val="26"/>
          <w:szCs w:val="26"/>
        </w:rPr>
        <w:t xml:space="preserve">con ello </w:t>
      </w:r>
      <w:r w:rsidR="00F13955" w:rsidRPr="006964F3">
        <w:rPr>
          <w:rFonts w:ascii="Arial" w:hAnsi="Arial" w:cs="Arial"/>
          <w:color w:val="000000"/>
          <w:sz w:val="26"/>
          <w:szCs w:val="26"/>
        </w:rPr>
        <w:t xml:space="preserve">sólo </w:t>
      </w:r>
      <w:r w:rsidR="001F3B0B" w:rsidRPr="006964F3">
        <w:rPr>
          <w:rFonts w:ascii="Arial" w:hAnsi="Arial" w:cs="Arial"/>
          <w:color w:val="000000"/>
          <w:sz w:val="26"/>
          <w:szCs w:val="26"/>
        </w:rPr>
        <w:t>pretende complementar los conceptos de impugnación de su demanda de juicio de nulidad, sin combatir las consideraciones de la sentencia recurrida</w:t>
      </w:r>
      <w:r w:rsidR="00F13955" w:rsidRPr="006964F3">
        <w:rPr>
          <w:rFonts w:ascii="Arial" w:hAnsi="Arial" w:cs="Arial"/>
          <w:color w:val="000000"/>
          <w:sz w:val="26"/>
          <w:szCs w:val="26"/>
        </w:rPr>
        <w:t xml:space="preserve">, </w:t>
      </w:r>
      <w:r w:rsidR="00F13955" w:rsidRPr="006964F3">
        <w:rPr>
          <w:rFonts w:ascii="Arial" w:hAnsi="Arial" w:cs="Arial"/>
          <w:color w:val="000000"/>
          <w:sz w:val="26"/>
          <w:szCs w:val="26"/>
        </w:rPr>
        <w:lastRenderedPageBreak/>
        <w:t xml:space="preserve">siendo este el </w:t>
      </w:r>
      <w:r w:rsidR="00CB7FBD" w:rsidRPr="006964F3">
        <w:rPr>
          <w:rFonts w:ascii="Arial" w:hAnsi="Arial" w:cs="Arial"/>
          <w:color w:val="000000"/>
          <w:sz w:val="26"/>
          <w:szCs w:val="26"/>
        </w:rPr>
        <w:t xml:space="preserve">momento oportuno </w:t>
      </w:r>
      <w:r w:rsidR="00F13955" w:rsidRPr="006964F3">
        <w:rPr>
          <w:rFonts w:ascii="Arial" w:hAnsi="Arial" w:cs="Arial"/>
          <w:color w:val="000000"/>
          <w:sz w:val="26"/>
          <w:szCs w:val="26"/>
        </w:rPr>
        <w:t>para refutarla, sin que lo hiciera</w:t>
      </w:r>
      <w:r w:rsidR="001F3B0B" w:rsidRPr="006964F3">
        <w:rPr>
          <w:rFonts w:ascii="Arial" w:hAnsi="Arial" w:cs="Arial"/>
          <w:color w:val="000000"/>
          <w:sz w:val="26"/>
          <w:szCs w:val="26"/>
        </w:rPr>
        <w:t>, motivo por el cual, sus alegatos en ese sentido devienen</w:t>
      </w:r>
      <w:r w:rsidR="009574AE" w:rsidRPr="006964F3">
        <w:rPr>
          <w:rFonts w:ascii="Arial" w:hAnsi="Arial" w:cs="Arial"/>
          <w:color w:val="000000"/>
          <w:sz w:val="26"/>
          <w:szCs w:val="26"/>
        </w:rPr>
        <w:t xml:space="preserve"> </w:t>
      </w:r>
      <w:r w:rsidR="001F3B0B" w:rsidRPr="006964F3">
        <w:rPr>
          <w:rFonts w:ascii="Arial" w:hAnsi="Arial" w:cs="Arial"/>
          <w:b/>
          <w:bCs/>
          <w:sz w:val="26"/>
          <w:szCs w:val="26"/>
        </w:rPr>
        <w:t>INOPERANTES</w:t>
      </w:r>
      <w:r w:rsidR="001F3B0B" w:rsidRPr="006964F3">
        <w:rPr>
          <w:rFonts w:ascii="Arial" w:hAnsi="Arial" w:cs="Arial"/>
          <w:sz w:val="26"/>
          <w:szCs w:val="26"/>
        </w:rPr>
        <w:t>.</w:t>
      </w:r>
      <w:r w:rsidR="001F3B0B" w:rsidRPr="006964F3">
        <w:rPr>
          <w:rFonts w:ascii="Arial" w:hAnsi="Arial" w:cs="Arial"/>
          <w:color w:val="000000"/>
          <w:sz w:val="26"/>
          <w:szCs w:val="26"/>
        </w:rPr>
        <w:t xml:space="preserve"> </w:t>
      </w:r>
      <w:r w:rsidR="00F3094F">
        <w:rPr>
          <w:rFonts w:ascii="Arial" w:hAnsi="Arial" w:cs="Arial"/>
          <w:color w:val="000000"/>
          <w:sz w:val="26"/>
          <w:szCs w:val="26"/>
        </w:rPr>
        <w:t xml:space="preserve">- - - - - - - - - - - - - - - - - - - - - - - - - - - - - - - - - - - - - - - </w:t>
      </w:r>
    </w:p>
    <w:p w14:paraId="1BEAB88E" w14:textId="67F898B1" w:rsidR="00F13955" w:rsidRPr="006964F3" w:rsidRDefault="00F13955" w:rsidP="00F13955">
      <w:pPr>
        <w:shd w:val="clear" w:color="auto" w:fill="FFFFFF"/>
        <w:spacing w:after="0" w:line="360" w:lineRule="auto"/>
        <w:ind w:firstLine="567"/>
        <w:jc w:val="both"/>
        <w:rPr>
          <w:rFonts w:ascii="Arial" w:hAnsi="Arial" w:cs="Arial"/>
          <w:color w:val="000000"/>
          <w:sz w:val="26"/>
          <w:szCs w:val="26"/>
        </w:rPr>
      </w:pPr>
      <w:r w:rsidRPr="006964F3">
        <w:rPr>
          <w:rFonts w:ascii="Arial" w:hAnsi="Arial" w:cs="Arial"/>
          <w:color w:val="000000"/>
          <w:sz w:val="26"/>
          <w:szCs w:val="26"/>
        </w:rPr>
        <w:t xml:space="preserve">Siendo aplicable al caso la jurisprudencia en materia común, número </w:t>
      </w:r>
      <w:r w:rsidRPr="006964F3">
        <w:rPr>
          <w:rFonts w:ascii="Arial" w:eastAsia="Times New Roman" w:hAnsi="Arial" w:cs="Arial"/>
          <w:color w:val="212529"/>
          <w:sz w:val="26"/>
          <w:szCs w:val="26"/>
        </w:rPr>
        <w:t>2a./J. 109/2009</w:t>
      </w:r>
      <w:r w:rsidRPr="006964F3">
        <w:rPr>
          <w:rFonts w:ascii="Arial" w:hAnsi="Arial" w:cs="Arial"/>
          <w:color w:val="000000"/>
          <w:sz w:val="26"/>
          <w:szCs w:val="26"/>
        </w:rPr>
        <w:t xml:space="preserve">, con número de registro digital </w:t>
      </w:r>
      <w:r w:rsidRPr="006964F3">
        <w:rPr>
          <w:rFonts w:ascii="Arial" w:eastAsia="Times New Roman" w:hAnsi="Arial" w:cs="Arial"/>
          <w:color w:val="212529"/>
          <w:sz w:val="26"/>
          <w:szCs w:val="26"/>
        </w:rPr>
        <w:t>166748</w:t>
      </w:r>
      <w:r w:rsidRPr="006964F3">
        <w:rPr>
          <w:rFonts w:ascii="Arial" w:hAnsi="Arial" w:cs="Arial"/>
          <w:color w:val="000000"/>
          <w:sz w:val="26"/>
          <w:szCs w:val="26"/>
        </w:rPr>
        <w:t xml:space="preserve">, de la </w:t>
      </w:r>
      <w:r w:rsidRPr="006964F3">
        <w:rPr>
          <w:rFonts w:ascii="Arial" w:eastAsia="Times New Roman" w:hAnsi="Arial" w:cs="Arial"/>
          <w:color w:val="212529"/>
          <w:sz w:val="26"/>
          <w:szCs w:val="26"/>
        </w:rPr>
        <w:t>Novena Época</w:t>
      </w:r>
      <w:r w:rsidRPr="006964F3">
        <w:rPr>
          <w:rFonts w:ascii="Arial" w:hAnsi="Arial" w:cs="Arial"/>
          <w:color w:val="000000"/>
          <w:sz w:val="26"/>
          <w:szCs w:val="26"/>
        </w:rPr>
        <w:t xml:space="preserve">, emitido por la </w:t>
      </w:r>
      <w:r w:rsidRPr="006964F3">
        <w:rPr>
          <w:rFonts w:ascii="Arial" w:eastAsia="Times New Roman" w:hAnsi="Arial" w:cs="Arial"/>
          <w:color w:val="212529"/>
          <w:sz w:val="26"/>
          <w:szCs w:val="26"/>
        </w:rPr>
        <w:t>Segunda Sala de la Suprema Corte de Justicia de la Nación</w:t>
      </w:r>
      <w:r w:rsidRPr="006964F3">
        <w:rPr>
          <w:rFonts w:ascii="Arial" w:hAnsi="Arial" w:cs="Arial"/>
          <w:color w:val="000000"/>
          <w:sz w:val="26"/>
          <w:szCs w:val="26"/>
        </w:rPr>
        <w:t xml:space="preserve">, publicada en el </w:t>
      </w:r>
      <w:r w:rsidRPr="006964F3">
        <w:rPr>
          <w:rFonts w:ascii="Arial" w:eastAsia="Times New Roman" w:hAnsi="Arial" w:cs="Arial"/>
          <w:color w:val="212529"/>
          <w:sz w:val="26"/>
          <w:szCs w:val="26"/>
        </w:rPr>
        <w:t>Semanario Judicial de la Federación y su Gaceta</w:t>
      </w:r>
      <w:r w:rsidRPr="006964F3">
        <w:rPr>
          <w:rFonts w:ascii="Arial" w:hAnsi="Arial" w:cs="Arial"/>
          <w:color w:val="000000"/>
          <w:sz w:val="26"/>
          <w:szCs w:val="26"/>
        </w:rPr>
        <w:t xml:space="preserve">, en el </w:t>
      </w:r>
      <w:r w:rsidRPr="006964F3">
        <w:rPr>
          <w:rFonts w:ascii="Arial" w:eastAsia="Times New Roman" w:hAnsi="Arial" w:cs="Arial"/>
          <w:color w:val="212529"/>
          <w:sz w:val="26"/>
          <w:szCs w:val="26"/>
        </w:rPr>
        <w:t>Tomo XXX, de Agosto de 2009, visible a página 77</w:t>
      </w:r>
      <w:r w:rsidRPr="006964F3">
        <w:rPr>
          <w:rFonts w:ascii="Arial" w:hAnsi="Arial" w:cs="Arial"/>
          <w:color w:val="000000"/>
          <w:sz w:val="26"/>
          <w:szCs w:val="26"/>
        </w:rPr>
        <w:t xml:space="preserve">, de rubro y texto siguientes: </w:t>
      </w:r>
      <w:r w:rsidR="00C378F5">
        <w:rPr>
          <w:rFonts w:ascii="Arial" w:hAnsi="Arial" w:cs="Arial"/>
          <w:color w:val="000000"/>
          <w:sz w:val="26"/>
          <w:szCs w:val="26"/>
        </w:rPr>
        <w:t xml:space="preserve">- - - - - - - - - - - - - - - - - - - - - - - - </w:t>
      </w:r>
    </w:p>
    <w:p w14:paraId="0F1ED024" w14:textId="07505CFF" w:rsidR="007A0749" w:rsidRPr="00F3094F" w:rsidRDefault="00F13955" w:rsidP="00F13955">
      <w:pPr>
        <w:shd w:val="clear" w:color="auto" w:fill="FFFFFF"/>
        <w:spacing w:before="100" w:beforeAutospacing="1" w:after="100" w:afterAutospacing="1" w:line="240" w:lineRule="auto"/>
        <w:ind w:left="567" w:right="616"/>
        <w:jc w:val="both"/>
        <w:rPr>
          <w:rFonts w:ascii="Arial" w:eastAsia="Times New Roman" w:hAnsi="Arial" w:cs="Arial"/>
          <w:i/>
          <w:iCs/>
          <w:color w:val="212529"/>
        </w:rPr>
      </w:pPr>
      <w:r w:rsidRPr="00F3094F">
        <w:rPr>
          <w:rFonts w:ascii="Arial" w:eastAsia="Times New Roman" w:hAnsi="Arial" w:cs="Arial"/>
          <w:b/>
          <w:bCs/>
          <w:i/>
          <w:iCs/>
          <w:color w:val="212529"/>
        </w:rPr>
        <w:t>“</w:t>
      </w:r>
      <w:r w:rsidR="007A0749" w:rsidRPr="00F3094F">
        <w:rPr>
          <w:rFonts w:ascii="Arial" w:eastAsia="Times New Roman" w:hAnsi="Arial" w:cs="Arial"/>
          <w:b/>
          <w:bCs/>
          <w:i/>
          <w:iCs/>
          <w:color w:val="212529"/>
        </w:rPr>
        <w:t>AGRAVIOS INOPERANTES EN LA REVISIÓN. SON AQUELLOS QUE REITERAN LOS CONCEPTOS DE VIOLACIÓN, ABUNDAN SOBRE ELLOS O LOS COMPLEMENTAN, SIN COMBATIR LAS CONSIDERACIONES DE LA SENTENCIA RECURRIDA</w:t>
      </w:r>
      <w:r w:rsidR="007A0749" w:rsidRPr="00F3094F">
        <w:rPr>
          <w:rFonts w:ascii="Arial" w:eastAsia="Times New Roman" w:hAnsi="Arial" w:cs="Arial"/>
          <w:i/>
          <w:iCs/>
          <w:color w:val="212529"/>
        </w:rPr>
        <w:t>.</w:t>
      </w:r>
      <w:r w:rsidRPr="00F3094F">
        <w:rPr>
          <w:rFonts w:ascii="Arial" w:eastAsia="Times New Roman" w:hAnsi="Arial" w:cs="Arial"/>
          <w:i/>
          <w:iCs/>
          <w:color w:val="212529"/>
        </w:rPr>
        <w:t xml:space="preserve"> </w:t>
      </w:r>
      <w:r w:rsidR="007A0749" w:rsidRPr="00F3094F">
        <w:rPr>
          <w:rFonts w:ascii="Arial" w:eastAsia="Times New Roman" w:hAnsi="Arial" w:cs="Arial"/>
          <w:i/>
          <w:iCs/>
          <w:color w:val="212529"/>
        </w:rPr>
        <w:t>Conforme al artículo </w:t>
      </w:r>
      <w:hyperlink r:id="rId9" w:history="1">
        <w:r w:rsidR="007A0749" w:rsidRPr="00F3094F">
          <w:rPr>
            <w:rFonts w:ascii="Arial" w:eastAsia="Times New Roman" w:hAnsi="Arial" w:cs="Arial"/>
            <w:i/>
            <w:iCs/>
          </w:rPr>
          <w:t>88 de la Ley de Amparo</w:t>
        </w:r>
      </w:hyperlink>
      <w:r w:rsidR="007A0749" w:rsidRPr="00F3094F">
        <w:rPr>
          <w:rFonts w:ascii="Arial" w:eastAsia="Times New Roman" w:hAnsi="Arial" w:cs="Arial"/>
          <w:i/>
          <w:iCs/>
        </w:rPr>
        <w:t>,</w:t>
      </w:r>
      <w:r w:rsidR="007A0749" w:rsidRPr="00F3094F">
        <w:rPr>
          <w:rFonts w:ascii="Arial" w:eastAsia="Times New Roman" w:hAnsi="Arial" w:cs="Arial"/>
          <w:i/>
          <w:iCs/>
          <w:color w:val="212529"/>
        </w:rPr>
        <w:t xml:space="preserve"> el recurrente debe expresar los agravios que le causa la sentencia impugnada, lo que se traduce en que tenga la carga, en los casos en que no deba suplirse la queja deficiente en términos del artículo </w:t>
      </w:r>
      <w:hyperlink r:id="rId10" w:history="1">
        <w:r w:rsidR="007A0749" w:rsidRPr="00F3094F">
          <w:rPr>
            <w:rFonts w:ascii="Arial" w:eastAsia="Times New Roman" w:hAnsi="Arial" w:cs="Arial"/>
            <w:i/>
            <w:iCs/>
          </w:rPr>
          <w:t>76 Bis</w:t>
        </w:r>
      </w:hyperlink>
      <w:r w:rsidR="007A0749" w:rsidRPr="00F3094F">
        <w:rPr>
          <w:rFonts w:ascii="Arial" w:eastAsia="Times New Roman" w:hAnsi="Arial" w:cs="Arial"/>
          <w:i/>
          <w:iCs/>
          <w:color w:val="212529"/>
        </w:rPr>
        <w:t>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sidRPr="00F3094F">
        <w:rPr>
          <w:rFonts w:ascii="Arial" w:eastAsia="Times New Roman" w:hAnsi="Arial" w:cs="Arial"/>
          <w:i/>
          <w:iCs/>
          <w:color w:val="212529"/>
        </w:rPr>
        <w:t>”</w:t>
      </w:r>
    </w:p>
    <w:p w14:paraId="422A878A" w14:textId="04DC98C0" w:rsidR="00773C9E" w:rsidRDefault="00F13955" w:rsidP="00AA4698">
      <w:pPr>
        <w:spacing w:line="360" w:lineRule="auto"/>
        <w:ind w:firstLine="709"/>
        <w:jc w:val="both"/>
        <w:rPr>
          <w:rFonts w:ascii="Arial" w:eastAsiaTheme="minorHAnsi" w:hAnsi="Arial" w:cs="Arial"/>
          <w:sz w:val="26"/>
          <w:szCs w:val="26"/>
          <w:highlight w:val="cyan"/>
          <w:lang w:val="es-ES" w:eastAsia="en-US"/>
        </w:rPr>
      </w:pPr>
      <w:r w:rsidRPr="006964F3">
        <w:rPr>
          <w:rFonts w:ascii="Arial" w:eastAsiaTheme="minorHAnsi" w:hAnsi="Arial" w:cs="Arial"/>
          <w:sz w:val="26"/>
          <w:szCs w:val="26"/>
          <w:lang w:val="es-ES" w:eastAsia="en-US"/>
        </w:rPr>
        <w:t xml:space="preserve">No obstante lo anterior, el revisionista en la </w:t>
      </w:r>
      <w:r w:rsidR="00A73379" w:rsidRPr="006964F3">
        <w:rPr>
          <w:rFonts w:ascii="Arial" w:eastAsiaTheme="minorHAnsi" w:hAnsi="Arial" w:cs="Arial"/>
          <w:sz w:val="26"/>
          <w:szCs w:val="26"/>
          <w:lang w:val="es-ES" w:eastAsia="en-US"/>
        </w:rPr>
        <w:t xml:space="preserve">segunda parte de su primer agravio </w:t>
      </w:r>
      <w:r w:rsidR="00773C9E" w:rsidRPr="006964F3">
        <w:rPr>
          <w:rFonts w:ascii="Arial" w:eastAsiaTheme="minorHAnsi" w:hAnsi="Arial" w:cs="Arial"/>
          <w:sz w:val="26"/>
          <w:szCs w:val="26"/>
          <w:lang w:val="es-ES" w:eastAsia="en-US"/>
        </w:rPr>
        <w:t>refiere,</w:t>
      </w:r>
      <w:r w:rsidR="00773C9E" w:rsidRPr="00E571CA">
        <w:rPr>
          <w:rFonts w:ascii="Arial" w:eastAsiaTheme="minorHAnsi" w:hAnsi="Arial" w:cs="Arial"/>
          <w:sz w:val="26"/>
          <w:szCs w:val="26"/>
          <w:lang w:val="es-ES" w:eastAsia="en-US"/>
        </w:rPr>
        <w:t xml:space="preserve"> </w:t>
      </w:r>
      <w:r w:rsidR="00AA4698" w:rsidRPr="00773C9E">
        <w:rPr>
          <w:rFonts w:ascii="Arial" w:eastAsiaTheme="minorHAnsi" w:hAnsi="Arial" w:cs="Arial"/>
          <w:sz w:val="26"/>
          <w:szCs w:val="26"/>
          <w:lang w:val="es-ES" w:eastAsia="en-US"/>
        </w:rPr>
        <w:t>que si los derechos fundamentales forman parte de nuestra base Constitucional y Convencional, lógico es que, durante los procedimientos e investigaciones que dieron origen al procedimiento administrativo instaurado en su contra, que dieron lugar al juicio de nulidad, debieron estar revestidos de la tutela de esos derechos fundamentales para no omitir sus intereses legítimos, algún tipo de actuación por parte de la Contraloría</w:t>
      </w:r>
      <w:r w:rsidR="004C0245" w:rsidRPr="00773C9E">
        <w:rPr>
          <w:rFonts w:ascii="Arial" w:eastAsiaTheme="minorHAnsi" w:hAnsi="Arial" w:cs="Arial"/>
          <w:sz w:val="26"/>
          <w:szCs w:val="26"/>
          <w:lang w:val="es-ES" w:eastAsia="en-US"/>
        </w:rPr>
        <w:t>,</w:t>
      </w:r>
      <w:r w:rsidR="00AA4698" w:rsidRPr="00773C9E">
        <w:rPr>
          <w:rFonts w:ascii="Arial" w:eastAsiaTheme="minorHAnsi" w:hAnsi="Arial" w:cs="Arial"/>
          <w:sz w:val="26"/>
          <w:szCs w:val="26"/>
          <w:lang w:val="es-ES" w:eastAsia="en-US"/>
        </w:rPr>
        <w:t xml:space="preserve"> y vigilar que no se omitieran dichos derechos contra actos de la administración pública, y que la tutela de esa jurisdicción efectiva, cumpliera con todos los elementos de defensa a que él tiene derecho, por ello en el juicio de nulidad debió contar con un trato justo, igualitario, valorando sus pruebas para acceder a una justicia plena y no obstruida, pues el juicio de nulidad está plagado de irregularidades que trastocan sus derechos fundamentales, entre ellos el de una defensa óptima, para obtener una resolución apegada a derecho.</w:t>
      </w:r>
      <w:r w:rsidR="008A006F">
        <w:rPr>
          <w:rFonts w:ascii="Arial" w:eastAsiaTheme="minorHAnsi" w:hAnsi="Arial" w:cs="Arial"/>
          <w:sz w:val="26"/>
          <w:szCs w:val="26"/>
          <w:lang w:val="es-ES" w:eastAsia="en-US"/>
        </w:rPr>
        <w:t>- - - - - - - - - - - - - - - - - - - - - - - - - - - - - - - - - - - - - - - - - - - - - -</w:t>
      </w:r>
    </w:p>
    <w:p w14:paraId="67658506" w14:textId="3F1D1D35" w:rsidR="00AA4698" w:rsidRPr="00AA4698" w:rsidRDefault="00AA4698" w:rsidP="00AA4698">
      <w:pPr>
        <w:spacing w:line="360" w:lineRule="auto"/>
        <w:ind w:firstLine="709"/>
        <w:jc w:val="both"/>
        <w:rPr>
          <w:rFonts w:ascii="Arial" w:eastAsiaTheme="minorHAnsi" w:hAnsi="Arial" w:cs="Arial"/>
          <w:sz w:val="24"/>
          <w:szCs w:val="24"/>
          <w:lang w:val="es-ES" w:eastAsia="en-US"/>
        </w:rPr>
      </w:pPr>
      <w:r w:rsidRPr="00773C9E">
        <w:rPr>
          <w:rFonts w:ascii="Arial" w:eastAsiaTheme="minorHAnsi" w:hAnsi="Arial" w:cs="Arial"/>
          <w:sz w:val="26"/>
          <w:szCs w:val="26"/>
          <w:lang w:val="es-ES" w:eastAsia="en-US"/>
        </w:rPr>
        <w:t xml:space="preserve">Es </w:t>
      </w:r>
      <w:r w:rsidRPr="00773C9E">
        <w:rPr>
          <w:rFonts w:ascii="Arial" w:eastAsiaTheme="minorHAnsi" w:hAnsi="Arial" w:cs="Arial"/>
          <w:b/>
          <w:sz w:val="26"/>
          <w:szCs w:val="26"/>
          <w:lang w:val="es-ES" w:eastAsia="en-US"/>
        </w:rPr>
        <w:t>SUSTANCIALMENTE FUNDADO</w:t>
      </w:r>
      <w:r w:rsidRPr="00773C9E">
        <w:rPr>
          <w:rFonts w:ascii="Arial" w:eastAsiaTheme="minorHAnsi" w:hAnsi="Arial" w:cs="Arial"/>
          <w:sz w:val="26"/>
          <w:szCs w:val="26"/>
          <w:lang w:val="es-ES" w:eastAsia="en-US"/>
        </w:rPr>
        <w:t xml:space="preserve"> el agravio expresado por el recurrente, dado que, de las constancias de autos que fueron remitidas para la substanciación del presente asunto, mismas que tienen valor </w:t>
      </w:r>
      <w:r w:rsidRPr="00773C9E">
        <w:rPr>
          <w:rFonts w:ascii="Arial" w:eastAsiaTheme="minorHAnsi" w:hAnsi="Arial" w:cs="Arial"/>
          <w:sz w:val="26"/>
          <w:szCs w:val="26"/>
          <w:lang w:val="es-ES" w:eastAsia="en-US"/>
        </w:rPr>
        <w:lastRenderedPageBreak/>
        <w:t>probatorio pleno, acorde a lo dispuesto por el artículo 173, fracción</w:t>
      </w:r>
      <w:r w:rsidRPr="00AA4698">
        <w:rPr>
          <w:rFonts w:ascii="Arial" w:eastAsiaTheme="minorHAnsi" w:hAnsi="Arial" w:cs="Arial"/>
          <w:sz w:val="26"/>
          <w:szCs w:val="26"/>
          <w:lang w:val="es-ES" w:eastAsia="en-US"/>
        </w:rPr>
        <w:t xml:space="preserve"> I, de la Ley de Justicia Administrativa para el Estado de Oaxaca, por tratarse de actuaciones judiciales; se advierte que en la parte que interesa de la sentencia impugnada se consideró lo siguiente:</w:t>
      </w:r>
      <w:r w:rsidRPr="00AA4698">
        <w:rPr>
          <w:rFonts w:ascii="Arial" w:eastAsiaTheme="minorHAnsi" w:hAnsi="Arial" w:cs="Arial"/>
          <w:sz w:val="24"/>
          <w:szCs w:val="24"/>
          <w:lang w:val="es-ES" w:eastAsia="en-US"/>
        </w:rPr>
        <w:t xml:space="preserve"> </w:t>
      </w:r>
      <w:r w:rsidR="00231C41">
        <w:rPr>
          <w:rFonts w:ascii="Arial" w:eastAsiaTheme="minorHAnsi" w:hAnsi="Arial" w:cs="Arial"/>
          <w:sz w:val="24"/>
          <w:szCs w:val="24"/>
          <w:lang w:val="es-ES" w:eastAsia="en-US"/>
        </w:rPr>
        <w:t xml:space="preserve"> - - - - - - - - - - - - - - - - - - </w:t>
      </w:r>
    </w:p>
    <w:p w14:paraId="3CAD15D1" w14:textId="77777777" w:rsidR="00AA4698" w:rsidRPr="00AA4698" w:rsidRDefault="00AA4698" w:rsidP="00AA4698">
      <w:pPr>
        <w:ind w:firstLine="709"/>
        <w:jc w:val="both"/>
        <w:rPr>
          <w:rFonts w:eastAsiaTheme="minorHAnsi"/>
          <w:b/>
          <w:i/>
          <w:lang w:val="es-ES" w:eastAsia="en-US"/>
        </w:rPr>
      </w:pPr>
      <w:r w:rsidRPr="00AA4698">
        <w:rPr>
          <w:rFonts w:eastAsiaTheme="minorHAnsi"/>
          <w:b/>
          <w:i/>
          <w:lang w:val="es-ES" w:eastAsia="en-US"/>
        </w:rPr>
        <w:t>“…</w:t>
      </w:r>
    </w:p>
    <w:p w14:paraId="572AB636" w14:textId="77777777" w:rsidR="00AA4698" w:rsidRPr="00231C41" w:rsidRDefault="00AA4698" w:rsidP="00AA4698">
      <w:pPr>
        <w:ind w:firstLine="709"/>
        <w:jc w:val="both"/>
        <w:rPr>
          <w:rFonts w:ascii="Arial" w:eastAsiaTheme="minorHAnsi" w:hAnsi="Arial" w:cs="Arial"/>
          <w:i/>
          <w:lang w:val="es-ES" w:eastAsia="en-US"/>
        </w:rPr>
      </w:pPr>
      <w:r w:rsidRPr="00231C41">
        <w:rPr>
          <w:rFonts w:ascii="Arial" w:eastAsiaTheme="minorHAnsi" w:hAnsi="Arial" w:cs="Arial"/>
          <w:b/>
          <w:i/>
          <w:lang w:val="es-ES" w:eastAsia="en-US"/>
        </w:rPr>
        <w:t xml:space="preserve">SEXTO.- </w:t>
      </w:r>
      <w:r w:rsidRPr="00231C41">
        <w:rPr>
          <w:rFonts w:ascii="Arial" w:eastAsiaTheme="minorHAnsi" w:hAnsi="Arial" w:cs="Arial"/>
          <w:i/>
          <w:lang w:val="es-ES" w:eastAsia="en-US"/>
        </w:rPr>
        <w:t>El actor refiere violaciones en el procedimiento administrativo 357/RA/2012, iniciado en su contra, consistentes en la falta de notificación del inicio del mismo, y que no le fue admitida una prueba que resultaba fundamental para su defensa; además, que en el Recurso de Revocación 26/2014, no le fueron admitidas todas las pruebas que ofreció; dichas premisas resultan infundadas, esto es así, porque el actor no probó sus acciones, atendiendo a que los artículos 147 fracción IX y 159 de la Ley de Justicia Administrativa para el Estado, imponen al actor la carga procesal de ofrecer pruebas con las que sustente los hechos narrados en la demanda, lo que en el presente asunto no ocurrió, pues el actor fue omiso en ofrecer como prueba en este asunto, las constancias que integran el expediente administrativo 357/RA/2012, y del Recurso de Revisión 26/2014, incluso, si no contaba con dichas probanzas, estuvo en aptitud de solicitar copia certificada de ellas, previo a la interposición del presente Juicio, y con ello posibilitar que esta autoridad requiriera a la demanda su remisión, tal como lo prevé el artículo 161 de la Ley de Justicia Administrativa para el Estado de Oaxaca, sin embargo, al no realizarlo, provocó que sus argumentaciones respecto a las violaciones  procesales que alude, resulten aisladas por carecer de sustento probatorio, aunado a esto, se toma en cuenta que ha sido criterio de la Sala Superior de este Tribunal, que la suplencia de la queja que prevé el artículo 118 de la Ley de la Materia, no es aplicable a las pruebas, tal como se observa en la tesis emitida por la Sala Superior de este Tribunal, bajo los datos de identificación: Primera Época, Boletín número 1 del Tribunal de lo Contencioso Administrativo del Estado de Oaxaca, Tomo I, Enero de 2011, Tesis TCASS0005/2011TO, 1AD, Página 5, Número de registro 5 Materia AD., y bajo el rubro “SUPLENCIA DE LA QUEJA. LA QUE PREVÉ EL ARTÍCULO 118 DE LA LEY DE JUSTICIA ADMINISTRATIVA NO ES APLICABLE A LAS PRUEBAS”, consecuentemente, resultan infundados los agravios expuestos por el actor, en lo que refiere a las violaciones procesales en el expediente administrativo 357/RA/2012 y en el Recurso de Revocación 26/2014, subsistiendo lo resuelto el día quince de agosto de dos mil catorce, en el expediente administrativo 357/RA/2012 y lo determinado en el Recurso de Revocación 26/2014, el día quince de julio de dos mil dieciséis, respecto a que el actor fue debidamente notificado del inicio del procedimiento administrativo, y que le fueron admitidas las pruebas que aportó en ambos procedimientos.</w:t>
      </w:r>
    </w:p>
    <w:p w14:paraId="1C9D13CE" w14:textId="77777777" w:rsidR="00AA4698" w:rsidRPr="00231C41" w:rsidRDefault="00AA4698" w:rsidP="00AA4698">
      <w:pPr>
        <w:ind w:firstLine="709"/>
        <w:jc w:val="both"/>
        <w:rPr>
          <w:rFonts w:ascii="Arial" w:eastAsiaTheme="minorHAnsi" w:hAnsi="Arial" w:cs="Arial"/>
          <w:i/>
          <w:lang w:val="es-ES" w:eastAsia="en-US"/>
        </w:rPr>
      </w:pPr>
      <w:r w:rsidRPr="00231C41">
        <w:rPr>
          <w:rFonts w:ascii="Arial" w:eastAsiaTheme="minorHAnsi" w:hAnsi="Arial" w:cs="Arial"/>
          <w:i/>
          <w:lang w:val="es-ES" w:eastAsia="en-US"/>
        </w:rPr>
        <w:t xml:space="preserve">En cuanto al agravio que alude a que fue violentado en su contra el principio “Non Bis In </w:t>
      </w:r>
      <w:proofErr w:type="spellStart"/>
      <w:r w:rsidRPr="00231C41">
        <w:rPr>
          <w:rFonts w:ascii="Arial" w:eastAsiaTheme="minorHAnsi" w:hAnsi="Arial" w:cs="Arial"/>
          <w:i/>
          <w:lang w:val="es-ES" w:eastAsia="en-US"/>
        </w:rPr>
        <w:t>Idem</w:t>
      </w:r>
      <w:proofErr w:type="spellEnd"/>
      <w:r w:rsidRPr="00231C41">
        <w:rPr>
          <w:rFonts w:ascii="Arial" w:eastAsiaTheme="minorHAnsi" w:hAnsi="Arial" w:cs="Arial"/>
          <w:i/>
          <w:lang w:val="es-ES" w:eastAsia="en-US"/>
        </w:rPr>
        <w:t xml:space="preserve">”, pues refiere que ya había sido juzgado y sancionado por los mismos hechos, en el diverso expediente administrativo 04/2010, del índice de la propia Secretaría de la Contraloría y Transparencia Gubernamental del Poder Ejecutivo del Estado; a este respecto, se considera que no se actualiza dicha premisa, esto es así, pues primeramente se toma en cuenta, que si bien es cierto el actor remitió copia certificada por Notario Público de la resolución dictada en el expediente administrativo 04/2010, (fojas 54-68); lo cierto es, que del informe rendido por el Director de Responsabilidades y Situación Patrimonial de la Secretaría de la Contraloría y Transparencia Gubernamental (foja 49), se advierte que efectivamente en esa dependencia existe el expediente administrativo 04/2010, pero fue iniciado y concluido en contra de diversas personas, como son Enrique Cuevas Gómez y Adolfo Peña Castro, Subdirector de Administración y Finanzas del Organismo Desconcentrado Régimen Estatal de Protección Social en Salud y Director de Infraestructura, Mantenimiento y Servicios Generales de los Servicios de Salud de Oaxaca, respectivamente, circunstancia que se confirma con la copia certificada de </w:t>
      </w:r>
      <w:r w:rsidRPr="00231C41">
        <w:rPr>
          <w:rFonts w:ascii="Arial" w:eastAsiaTheme="minorHAnsi" w:hAnsi="Arial" w:cs="Arial"/>
          <w:i/>
          <w:lang w:val="es-ES" w:eastAsia="en-US"/>
        </w:rPr>
        <w:lastRenderedPageBreak/>
        <w:t>las constancias que integran el citado expediente administrativo, remitidas para justificar la información rendida, de ahí que se desvirtúe la premisa propuesta por el actor, pues tampoco remitió alguna otra probanza que evidenciara y reforzara la existencia del expediente administrativo 04/2010, iniciado en su contra, del que derivó la resolución que remitió; empero, suponiendo sin conceder, que exista el expediente administrativo que refiere el actor, contrastadas las resoluciones remitidas por éste, se advierte que tampoco se actualiza la violación al principio Non Bis In Ídem en su contra, esto es así, pues de acuerdo a la resolución que remitió del expediente administrativo 04/2010, (fojas 54-68), se tiene que la responsabilidad administrativa que se atribuyó, consisten en:</w:t>
      </w:r>
    </w:p>
    <w:p w14:paraId="510D85AD" w14:textId="77777777" w:rsidR="00AA4698" w:rsidRPr="00231C41" w:rsidRDefault="00AA4698" w:rsidP="00AA4698">
      <w:pPr>
        <w:ind w:firstLine="709"/>
        <w:jc w:val="both"/>
        <w:rPr>
          <w:rFonts w:ascii="Arial" w:eastAsiaTheme="minorHAnsi" w:hAnsi="Arial" w:cs="Arial"/>
          <w:i/>
          <w:lang w:val="es-ES" w:eastAsia="en-US"/>
        </w:rPr>
      </w:pPr>
      <w:r w:rsidRPr="00231C41">
        <w:rPr>
          <w:rFonts w:ascii="Arial" w:eastAsiaTheme="minorHAnsi" w:hAnsi="Arial" w:cs="Arial"/>
          <w:i/>
          <w:lang w:val="es-ES" w:eastAsia="en-US"/>
        </w:rPr>
        <w:t>No observar y/o cumplir con los rangos establecidos para la contratación por adjudicación directa, que establece el numeral 15 de la normatividad para el Ejercicio del presupuesto de Egresos para los ejercicios dos mil seis, dos mil siete y dos mil ocho, y para el ejercicio del presupuesto de Egresos de dos mil diez, numeral 14; derivada de la solicitud de revisión a la documentación integrada con motivo de los procedimientos de contratación de los servicios de transporte llevada a cabo por la Coordinación General del Transporte (foja 59).</w:t>
      </w:r>
    </w:p>
    <w:p w14:paraId="0ECE0E66" w14:textId="77777777" w:rsidR="00AA4698" w:rsidRPr="00231C41" w:rsidRDefault="00AA4698" w:rsidP="00AA4698">
      <w:pPr>
        <w:ind w:firstLine="709"/>
        <w:jc w:val="both"/>
        <w:rPr>
          <w:rFonts w:ascii="Arial" w:eastAsiaTheme="minorHAnsi" w:hAnsi="Arial" w:cs="Arial"/>
          <w:i/>
          <w:lang w:val="es-ES" w:eastAsia="en-US"/>
        </w:rPr>
      </w:pPr>
      <w:r w:rsidRPr="00231C41">
        <w:rPr>
          <w:rFonts w:ascii="Arial" w:eastAsiaTheme="minorHAnsi" w:hAnsi="Arial" w:cs="Arial"/>
          <w:i/>
          <w:lang w:val="es-ES" w:eastAsia="en-US"/>
        </w:rPr>
        <w:t>Y de la resolución emitida dentro del procedimiento administrativo 357/RA/2012, de fecha quince de agosto de dos mil catorce (fojas 14-21), se advierte que las faltas administrativas imputadas al actor fueron:</w:t>
      </w:r>
    </w:p>
    <w:p w14:paraId="120B1CA6" w14:textId="77777777"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No haber ejecutado legalmente los recursos otorgados a la Coordinación General del Transporte al haber autorizado y realizado la adjudicación directa, excediendo los rangos autorizados, en vez de apegarse a los procesos de contratación establecidos en la normatividad;</w:t>
      </w:r>
    </w:p>
    <w:p w14:paraId="4F56CB9E" w14:textId="77777777"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Incumplimiento a la normatividad, al haber formalizado acuerdos y contratos para cubrir servicios de transporte prestados en los ejercicios 2008 y 2009, con presupuesto del ejercicio 2010;</w:t>
      </w:r>
    </w:p>
    <w:p w14:paraId="4FCE58E5" w14:textId="20FE4438"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Incumplimiento de la normatividad, al haber autorizado y efectuado pagos por servicios de transporte prestados en los ejercicios 2008 y 2009, con recursos del ejercicio 20</w:t>
      </w:r>
      <w:r w:rsidR="006301A3">
        <w:rPr>
          <w:rFonts w:ascii="Arial" w:eastAsiaTheme="minorHAnsi" w:hAnsi="Arial" w:cs="Arial"/>
          <w:i/>
          <w:lang w:val="es-ES" w:eastAsia="en-US"/>
        </w:rPr>
        <w:t xml:space="preserve">10, por un monto de </w:t>
      </w:r>
      <w:r w:rsidR="006301A3">
        <w:rPr>
          <w:rFonts w:ascii="Arial" w:hAnsi="Arial" w:cs="Arial"/>
          <w:b/>
          <w:sz w:val="26"/>
          <w:szCs w:val="26"/>
        </w:rPr>
        <w:t>***********</w:t>
      </w:r>
      <w:r w:rsidRPr="00231C41">
        <w:rPr>
          <w:rFonts w:ascii="Arial" w:eastAsiaTheme="minorHAnsi" w:hAnsi="Arial" w:cs="Arial"/>
          <w:i/>
          <w:lang w:val="es-ES" w:eastAsia="en-US"/>
        </w:rPr>
        <w:t>;</w:t>
      </w:r>
    </w:p>
    <w:p w14:paraId="3A3523A1" w14:textId="7456FAFF"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Causar daños al erario público por un monto de </w:t>
      </w:r>
      <w:r w:rsidR="006301A3">
        <w:rPr>
          <w:rFonts w:ascii="Arial" w:hAnsi="Arial" w:cs="Arial"/>
          <w:b/>
          <w:sz w:val="26"/>
          <w:szCs w:val="26"/>
        </w:rPr>
        <w:t>***********</w:t>
      </w:r>
      <w:r w:rsidRPr="00231C41">
        <w:rPr>
          <w:rFonts w:ascii="Arial" w:eastAsiaTheme="minorHAnsi" w:hAnsi="Arial" w:cs="Arial"/>
          <w:i/>
          <w:lang w:val="es-ES" w:eastAsia="en-US"/>
        </w:rPr>
        <w:t>; al haber formalizado acuerdos y contratos, así como autorizado y realizado pagos para cubrir servicios de transporte prestados en los ejercicios 2008 y 2009;</w:t>
      </w:r>
    </w:p>
    <w:p w14:paraId="23A4BA8C" w14:textId="59EF385A"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Incumplimiento de la normatividad al autorizar y efectuar el pago de facturas que contratan con la descripción de la cantidad y servicios que amparan por un monto de </w:t>
      </w:r>
      <w:r w:rsidR="006301A3">
        <w:rPr>
          <w:rFonts w:ascii="Arial" w:hAnsi="Arial" w:cs="Arial"/>
          <w:b/>
          <w:sz w:val="26"/>
          <w:szCs w:val="26"/>
        </w:rPr>
        <w:t>***********</w:t>
      </w:r>
      <w:r w:rsidRPr="00231C41">
        <w:rPr>
          <w:rFonts w:ascii="Arial" w:eastAsiaTheme="minorHAnsi" w:hAnsi="Arial" w:cs="Arial"/>
          <w:i/>
          <w:lang w:val="es-ES" w:eastAsia="en-US"/>
        </w:rPr>
        <w:t>;</w:t>
      </w:r>
    </w:p>
    <w:p w14:paraId="01954549" w14:textId="547DC46C"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Causar daños por un monto </w:t>
      </w:r>
      <w:r w:rsidR="006301A3">
        <w:rPr>
          <w:rFonts w:ascii="Arial" w:hAnsi="Arial" w:cs="Arial"/>
          <w:b/>
          <w:sz w:val="26"/>
          <w:szCs w:val="26"/>
        </w:rPr>
        <w:t>***********</w:t>
      </w:r>
      <w:r w:rsidRPr="00231C41">
        <w:rPr>
          <w:rFonts w:ascii="Arial" w:eastAsiaTheme="minorHAnsi" w:hAnsi="Arial" w:cs="Arial"/>
          <w:i/>
          <w:lang w:val="es-ES" w:eastAsia="en-US"/>
        </w:rPr>
        <w:t>; al autorizado y efectuado el pago de facturas sin que contaran con la descripción de la cantidad y servicios que amparan;</w:t>
      </w:r>
    </w:p>
    <w:p w14:paraId="568FAC61" w14:textId="4F8F10A7"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Incumplimiento de la normatividad al haber autorizado y efectuado el pago de facturas sin que contaran con el contrato de prestación de servicios por un monto de </w:t>
      </w:r>
      <w:r w:rsidR="006301A3">
        <w:rPr>
          <w:rFonts w:ascii="Arial" w:hAnsi="Arial" w:cs="Arial"/>
          <w:b/>
          <w:sz w:val="26"/>
          <w:szCs w:val="26"/>
        </w:rPr>
        <w:t>***********</w:t>
      </w:r>
    </w:p>
    <w:p w14:paraId="60D4DB2E" w14:textId="37D5E9E6"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Causar daños al erario público por un monto de </w:t>
      </w:r>
      <w:r w:rsidR="006301A3">
        <w:rPr>
          <w:rFonts w:ascii="Arial" w:hAnsi="Arial" w:cs="Arial"/>
          <w:b/>
          <w:sz w:val="26"/>
          <w:szCs w:val="26"/>
        </w:rPr>
        <w:t>***********</w:t>
      </w:r>
      <w:r w:rsidRPr="00231C41">
        <w:rPr>
          <w:rFonts w:ascii="Arial" w:eastAsiaTheme="minorHAnsi" w:hAnsi="Arial" w:cs="Arial"/>
          <w:i/>
          <w:lang w:val="es-ES" w:eastAsia="en-US"/>
        </w:rPr>
        <w:t>; al haber autorizado y efectuado el pago de facturas sin que contaran con el contrato de prestación de servicios;</w:t>
      </w:r>
    </w:p>
    <w:p w14:paraId="60E96620" w14:textId="27505CD7"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Incumplimiento de la normatividad ante la omisión de informar a la secretaria de finanzas, el monto y características de su pasivo circulante al fin del año anterior, para así cubrir el pago por el factoraje financiero por el importe de </w:t>
      </w:r>
      <w:r w:rsidR="006301A3">
        <w:rPr>
          <w:rFonts w:ascii="Arial" w:hAnsi="Arial" w:cs="Arial"/>
          <w:b/>
          <w:sz w:val="26"/>
          <w:szCs w:val="26"/>
        </w:rPr>
        <w:t>***********</w:t>
      </w:r>
      <w:r w:rsidRPr="00231C41">
        <w:rPr>
          <w:rFonts w:ascii="Arial" w:eastAsiaTheme="minorHAnsi" w:hAnsi="Arial" w:cs="Arial"/>
          <w:i/>
          <w:lang w:val="es-ES" w:eastAsia="en-US"/>
        </w:rPr>
        <w:t>;</w:t>
      </w:r>
    </w:p>
    <w:p w14:paraId="74FFC179" w14:textId="453A879F" w:rsidR="00AA4698" w:rsidRPr="00231C41" w:rsidRDefault="00AA4698" w:rsidP="00AA4698">
      <w:pPr>
        <w:numPr>
          <w:ilvl w:val="0"/>
          <w:numId w:val="13"/>
        </w:numPr>
        <w:spacing w:after="160" w:line="259" w:lineRule="auto"/>
        <w:contextualSpacing/>
        <w:jc w:val="both"/>
        <w:rPr>
          <w:rFonts w:ascii="Arial" w:eastAsiaTheme="minorHAnsi" w:hAnsi="Arial" w:cs="Arial"/>
          <w:i/>
          <w:lang w:val="es-ES" w:eastAsia="en-US"/>
        </w:rPr>
      </w:pPr>
      <w:r w:rsidRPr="00231C41">
        <w:rPr>
          <w:rFonts w:ascii="Arial" w:eastAsiaTheme="minorHAnsi" w:hAnsi="Arial" w:cs="Arial"/>
          <w:i/>
          <w:lang w:val="es-ES" w:eastAsia="en-US"/>
        </w:rPr>
        <w:t xml:space="preserve">Causar daños al erario público por el importe de </w:t>
      </w:r>
      <w:r w:rsidR="006301A3">
        <w:rPr>
          <w:rFonts w:ascii="Arial" w:hAnsi="Arial" w:cs="Arial"/>
          <w:b/>
          <w:sz w:val="26"/>
          <w:szCs w:val="26"/>
        </w:rPr>
        <w:t>***********</w:t>
      </w:r>
      <w:bookmarkStart w:id="2" w:name="_GoBack"/>
      <w:bookmarkEnd w:id="2"/>
      <w:r w:rsidRPr="00231C41">
        <w:rPr>
          <w:rFonts w:ascii="Arial" w:eastAsiaTheme="minorHAnsi" w:hAnsi="Arial" w:cs="Arial"/>
          <w:i/>
          <w:lang w:val="es-ES" w:eastAsia="en-US"/>
        </w:rPr>
        <w:t xml:space="preserve"> ante la omisión de informar a la Secretar</w:t>
      </w:r>
      <w:r w:rsidR="00773C9E" w:rsidRPr="00231C41">
        <w:rPr>
          <w:rFonts w:ascii="Arial" w:eastAsiaTheme="minorHAnsi" w:hAnsi="Arial" w:cs="Arial"/>
          <w:i/>
          <w:lang w:val="es-ES" w:eastAsia="en-US"/>
        </w:rPr>
        <w:t>í</w:t>
      </w:r>
      <w:r w:rsidRPr="00231C41">
        <w:rPr>
          <w:rFonts w:ascii="Arial" w:eastAsiaTheme="minorHAnsi" w:hAnsi="Arial" w:cs="Arial"/>
          <w:i/>
          <w:lang w:val="es-ES" w:eastAsia="en-US"/>
        </w:rPr>
        <w:t>a de Finanzas el monto y características de su pasivo circulante al fin de año anterior, para sí cubrir el pago por el factoraje financiero (foja 14 reverso y 15 frente).</w:t>
      </w:r>
    </w:p>
    <w:p w14:paraId="12AE35B9" w14:textId="77777777" w:rsidR="00AA4698" w:rsidRPr="00231C41" w:rsidRDefault="00AA4698" w:rsidP="00AA4698">
      <w:pPr>
        <w:ind w:left="1429"/>
        <w:contextualSpacing/>
        <w:jc w:val="both"/>
        <w:rPr>
          <w:rFonts w:ascii="Arial" w:eastAsiaTheme="minorHAnsi" w:hAnsi="Arial" w:cs="Arial"/>
          <w:i/>
          <w:lang w:val="es-ES" w:eastAsia="en-US"/>
        </w:rPr>
      </w:pPr>
    </w:p>
    <w:p w14:paraId="404FA9F0" w14:textId="77777777" w:rsidR="00AA4698" w:rsidRPr="00231C41" w:rsidRDefault="00AA4698" w:rsidP="00AA4698">
      <w:pPr>
        <w:ind w:left="708" w:firstLine="361"/>
        <w:jc w:val="both"/>
        <w:rPr>
          <w:rFonts w:ascii="Arial" w:eastAsiaTheme="minorHAnsi" w:hAnsi="Arial" w:cs="Arial"/>
          <w:i/>
          <w:lang w:val="es-ES" w:eastAsia="en-US"/>
        </w:rPr>
      </w:pPr>
      <w:r w:rsidRPr="00231C41">
        <w:rPr>
          <w:rFonts w:ascii="Arial" w:eastAsiaTheme="minorHAnsi" w:hAnsi="Arial" w:cs="Arial"/>
          <w:i/>
          <w:lang w:val="es-ES" w:eastAsia="en-US"/>
        </w:rPr>
        <w:lastRenderedPageBreak/>
        <w:t>De lo antes transcrito se advierte, que las faltas administrativas imputadas al actor en los expedientes administrativos 04/2010 (resolución que obra a fojas 54-68) y 357/RA/2012 no resulta idénticas, tan es así, que en el último de los mencionados, se encuentran identificados montos considerados como daños al erario público, de ahí la magnitud de la sanción impuesta al actor, mientras que en el primero de referencia la sanción fue mínima; en consecuencia, no se violentó en perjuicio del actor, el artículo 23 de la Constitución Política de los Estados Unidos Mexicanos, que establece la garantía de seguridad jurídica, de no ser doblemente enjuiciado por los mismos hechos.</w:t>
      </w:r>
    </w:p>
    <w:p w14:paraId="4B372AB6" w14:textId="1F90F454" w:rsidR="00AA4698" w:rsidRPr="00231C41" w:rsidRDefault="00AA4698" w:rsidP="00AA4698">
      <w:pPr>
        <w:ind w:left="708"/>
        <w:jc w:val="both"/>
        <w:rPr>
          <w:rFonts w:ascii="Arial" w:eastAsiaTheme="minorHAnsi" w:hAnsi="Arial" w:cs="Arial"/>
          <w:i/>
          <w:lang w:val="es-ES" w:eastAsia="en-US"/>
        </w:rPr>
      </w:pPr>
      <w:r w:rsidRPr="00231C41">
        <w:rPr>
          <w:rFonts w:ascii="Arial" w:eastAsiaTheme="minorHAnsi" w:hAnsi="Arial" w:cs="Arial"/>
          <w:i/>
          <w:lang w:val="es-ES" w:eastAsia="en-US"/>
        </w:rPr>
        <w:tab/>
        <w:t xml:space="preserve">Por otra parte, el actor también refiere que la autoridad demandada no aplicó en su beneficio el principio de buena fe, previsto en el artículo 13 de la Ley Federal de Procedimiento Administrativo, agravio que resulta improcedente, pues dicha normatividad corresponde al ámbito federal, jurisdicción que escapa de esta autoridad, así como de la autoridad demandada, pues se trata de una autoridad de carácter estatal, </w:t>
      </w:r>
      <w:r w:rsidR="00773C9E" w:rsidRPr="00231C41">
        <w:rPr>
          <w:rFonts w:ascii="Arial" w:eastAsiaTheme="minorHAnsi" w:hAnsi="Arial" w:cs="Arial"/>
          <w:i/>
          <w:lang w:val="es-ES" w:eastAsia="en-US"/>
        </w:rPr>
        <w:t>auna</w:t>
      </w:r>
      <w:r w:rsidRPr="00231C41">
        <w:rPr>
          <w:rFonts w:ascii="Arial" w:eastAsiaTheme="minorHAnsi" w:hAnsi="Arial" w:cs="Arial"/>
          <w:i/>
          <w:lang w:val="es-ES" w:eastAsia="en-US"/>
        </w:rPr>
        <w:t>do a que las faltas administrativas que se imputaron al actor corresponden al fuero local, resultando inaplicable dicha normatividad.</w:t>
      </w:r>
    </w:p>
    <w:p w14:paraId="1E6E6FBF" w14:textId="77777777" w:rsidR="00AA4698" w:rsidRPr="00231C41" w:rsidRDefault="00AA4698" w:rsidP="00AA4698">
      <w:pPr>
        <w:ind w:left="708"/>
        <w:jc w:val="both"/>
        <w:rPr>
          <w:rFonts w:ascii="Arial" w:eastAsiaTheme="minorHAnsi" w:hAnsi="Arial" w:cs="Arial"/>
          <w:i/>
          <w:lang w:val="es-ES" w:eastAsia="en-US"/>
        </w:rPr>
      </w:pPr>
      <w:r w:rsidRPr="00231C41">
        <w:rPr>
          <w:rFonts w:ascii="Arial" w:eastAsiaTheme="minorHAnsi" w:hAnsi="Arial" w:cs="Arial"/>
          <w:i/>
          <w:lang w:val="es-ES" w:eastAsia="en-US"/>
        </w:rPr>
        <w:tab/>
        <w:t>También alude el actor, que la resolución impugnada no se encuentra fundada ni motivada, éste agravio también resulta infundado, pues de la resolución en estudio, dictada en el Recurso de Revisión 26/2014, se advierte que la autoridad demandada resolvió que los agravios expresados por el actor resultaban infundados e inoperantes, haciendo un análisis del porque no se vulneró el derecho de defensa del actor, además, hizo una relación de los hechos contenidos en el expediente administrativo 357/RA/2012, con los que llegó a la conclusión que sí fue notificado oportunamente del procedimiento iniciado en su contra, sustentando su actuar en la Jurisprudencia de rubro: “PERSONA EXTRAÑA AL JUICIO POR EQUIPAPARACIÓN. NO TIENE ESA CALIDAD EL QUEJOSO QUE CONOCE DE MANERA COMPLETA Y EXACTA LA EXISTENCIA DEL JUICIO AL QUE PRETENDE SER LLAMADO, AUNQUE HAYA COMPARECIDO A AQUEL (ALCANCE DE LA JURISPRUDENCIA 3</w:t>
      </w:r>
      <w:r w:rsidRPr="00231C41">
        <w:rPr>
          <w:rFonts w:ascii="Arial" w:eastAsiaTheme="minorHAnsi" w:hAnsi="Arial" w:cs="Arial"/>
          <w:i/>
          <w:vertAlign w:val="superscript"/>
          <w:lang w:val="es-ES" w:eastAsia="en-US"/>
        </w:rPr>
        <w:t>a</w:t>
      </w:r>
      <w:r w:rsidRPr="00231C41">
        <w:rPr>
          <w:rFonts w:ascii="Arial" w:eastAsiaTheme="minorHAnsi" w:hAnsi="Arial" w:cs="Arial"/>
          <w:i/>
          <w:lang w:val="es-ES" w:eastAsia="en-US"/>
        </w:rPr>
        <w:t>./J. 18/92).”; además, expuso que los agravios identificados con los números II, III, IV, V, VI y VII, resultaron ambiguos y superficiales, pues no expuso un razonamiento jurídico capaz de ser analizado, justificando ese hecho en la Jurisprudencia de rubro “CONCEPTOS DE VIOLACIÓN O AGRAVIOS. SON INOPERANTES CUANDO LOS ARGUMENTOS EXPUESTOS POR EL QUEJOSO O EL RECURRENTE SON AMBIGUOS Y SUPERFICIALES”; y a propósito de ello, el actor tampoco ofreció como prueba es este Juicio, el escrito con el cual interpuso el citado Recurso de Revocación, circunstancia que impide a este Juzgador contrastar lo pedido por aquel y lo resuelto por la autoridad demandada, cuando, como se dijo al inicio de este considerando, la carga procesal de probar sus acciones, corresponde al actor, de conformidad con los artículos 147 fracción IX y 159 de la Ley de Justicia Administrativa para el Estado.</w:t>
      </w:r>
    </w:p>
    <w:p w14:paraId="0DC1ADE2" w14:textId="77777777" w:rsidR="00AA4698" w:rsidRPr="00231C41" w:rsidRDefault="00AA4698" w:rsidP="00AA4698">
      <w:pPr>
        <w:ind w:left="708"/>
        <w:jc w:val="both"/>
        <w:rPr>
          <w:rFonts w:ascii="Arial" w:eastAsiaTheme="minorHAnsi" w:hAnsi="Arial" w:cs="Arial"/>
          <w:i/>
          <w:lang w:val="es-ES" w:eastAsia="en-US"/>
        </w:rPr>
      </w:pPr>
      <w:r w:rsidRPr="00231C41">
        <w:rPr>
          <w:rFonts w:ascii="Arial" w:eastAsiaTheme="minorHAnsi" w:hAnsi="Arial" w:cs="Arial"/>
          <w:i/>
          <w:lang w:val="es-ES" w:eastAsia="en-US"/>
        </w:rPr>
        <w:tab/>
        <w:t>Sirve de apoyo a lo anterior la Jurisprudencia publicada en la Gaceta del Semanario Judicial de la Federación, Libro 40, Marzo de 2017, Tomo IV, Décima Época, pág. 2368, registro 2014020, Jurisprudencia Constitucional, Tribunales Colegiados de Circuito, y de rubro. “CARGA DE LA PRUEBA Y DERECHO A PROBAR. SUS DIFERENCIAS.”; así como de las tesis:</w:t>
      </w:r>
    </w:p>
    <w:p w14:paraId="5A38731E" w14:textId="77777777" w:rsidR="00AA4698" w:rsidRPr="00231C41" w:rsidRDefault="00AA4698" w:rsidP="00AA4698">
      <w:pPr>
        <w:ind w:left="708"/>
        <w:jc w:val="both"/>
        <w:rPr>
          <w:rFonts w:ascii="Arial" w:eastAsiaTheme="minorHAnsi" w:hAnsi="Arial" w:cs="Arial"/>
          <w:i/>
          <w:lang w:val="es-ES" w:eastAsia="en-US"/>
        </w:rPr>
      </w:pPr>
      <w:r w:rsidRPr="00231C41">
        <w:rPr>
          <w:rFonts w:ascii="Arial" w:eastAsiaTheme="minorHAnsi" w:hAnsi="Arial" w:cs="Arial"/>
          <w:i/>
          <w:lang w:val="es-ES" w:eastAsia="en-US"/>
        </w:rPr>
        <w:tab/>
        <w:t>Semanario Judicial de la Federación, Tomo XII, septiembre de 1993, Octava Época, pág. 291, registro 215051, Tesis Aislada Civil, Tribunales Colegiados de Circuito, y de rubro: “PRUEBA CARGA DE LA.”; y.</w:t>
      </w:r>
    </w:p>
    <w:p w14:paraId="42A532B2" w14:textId="77777777" w:rsidR="00AA4698" w:rsidRPr="00231C41" w:rsidRDefault="00AA4698" w:rsidP="00AA4698">
      <w:pPr>
        <w:ind w:left="708"/>
        <w:jc w:val="both"/>
        <w:rPr>
          <w:rFonts w:ascii="Arial" w:eastAsiaTheme="minorHAnsi" w:hAnsi="Arial" w:cs="Arial"/>
          <w:i/>
          <w:lang w:val="es-ES" w:eastAsia="en-US"/>
        </w:rPr>
      </w:pPr>
      <w:r w:rsidRPr="00231C41">
        <w:rPr>
          <w:rFonts w:ascii="Arial" w:eastAsiaTheme="minorHAnsi" w:hAnsi="Arial" w:cs="Arial"/>
          <w:i/>
          <w:lang w:val="es-ES" w:eastAsia="en-US"/>
        </w:rPr>
        <w:tab/>
        <w:t xml:space="preserve">Gaceta del Semanario Judicial de la Federación, Libro 29, Abril de 2016, T9omo (sic) II, Décima Época, pág. 2515, registro 2011656, Tesis Aislada Constitucional, Administrativa, Tribunales Colegiados de Circuito, y de </w:t>
      </w:r>
      <w:r w:rsidRPr="00231C41">
        <w:rPr>
          <w:rFonts w:ascii="Arial" w:eastAsiaTheme="minorHAnsi" w:hAnsi="Arial" w:cs="Arial"/>
          <w:i/>
          <w:lang w:val="es-ES" w:eastAsia="en-US"/>
        </w:rPr>
        <w:lastRenderedPageBreak/>
        <w:t>rubro:                                                                                                                       “NON BIS IN ÍDEM. ESTE PRINCIPIO ES APLICABLE, POR EXTENSIÓN AL DERECHO ADMINISTRATIVO SANCIONADOR.”</w:t>
      </w:r>
    </w:p>
    <w:p w14:paraId="5696A69D" w14:textId="77777777" w:rsidR="00AA4698" w:rsidRPr="00231C41" w:rsidRDefault="00AA4698" w:rsidP="00AA4698">
      <w:pPr>
        <w:ind w:left="708" w:firstLine="708"/>
        <w:jc w:val="both"/>
        <w:rPr>
          <w:rFonts w:ascii="Arial" w:eastAsiaTheme="minorHAnsi" w:hAnsi="Arial" w:cs="Arial"/>
          <w:i/>
          <w:lang w:val="es-ES" w:eastAsia="en-US"/>
        </w:rPr>
      </w:pPr>
      <w:r w:rsidRPr="00231C41">
        <w:rPr>
          <w:rFonts w:ascii="Arial" w:eastAsiaTheme="minorHAnsi" w:hAnsi="Arial" w:cs="Arial"/>
          <w:i/>
          <w:lang w:val="es-ES" w:eastAsia="en-US"/>
        </w:rPr>
        <w:t xml:space="preserve">En las relatadas consideraciones, al no haber probado el actor sus acciones, y habiendo resultado infundados sus agravios, lo procedente es declarar y como en efecto se declara la </w:t>
      </w:r>
      <w:r w:rsidRPr="00231C41">
        <w:rPr>
          <w:rFonts w:ascii="Arial" w:eastAsiaTheme="minorHAnsi" w:hAnsi="Arial" w:cs="Arial"/>
          <w:b/>
          <w:i/>
          <w:lang w:val="es-ES" w:eastAsia="en-US"/>
        </w:rPr>
        <w:t xml:space="preserve">LEGALIDAD y VALIDEZ </w:t>
      </w:r>
      <w:r w:rsidRPr="00231C41">
        <w:rPr>
          <w:rFonts w:ascii="Arial" w:eastAsiaTheme="minorHAnsi" w:hAnsi="Arial" w:cs="Arial"/>
          <w:i/>
          <w:lang w:val="es-ES" w:eastAsia="en-US"/>
        </w:rPr>
        <w:t>de la resolución de fecha quince de julio de dos mil dieciséis, dictada en el Recurso de Revocación 26/2014, por el Jefe de la Unidad Auxiliar y de Recursos de la Subsecretaría de Responsabilidades y Transparencia de la Secretaria de Contraloría y Transparencia Gubernamental del Poder Ejecutivo del Estado de Oaxaca, lo anterior de conformidad con lo dispuesto en el artículo 179 de la Ley de Justicia Administrativa para el Estado de Oaxaca.</w:t>
      </w:r>
    </w:p>
    <w:p w14:paraId="6C82A79B" w14:textId="128EBEDB" w:rsidR="00AA4698" w:rsidRPr="00AA4698" w:rsidRDefault="00AA4698" w:rsidP="002707FA">
      <w:pPr>
        <w:tabs>
          <w:tab w:val="left" w:pos="3828"/>
        </w:tabs>
        <w:spacing w:before="240" w:line="360" w:lineRule="auto"/>
        <w:ind w:firstLine="709"/>
        <w:jc w:val="both"/>
        <w:rPr>
          <w:rFonts w:ascii="Arial" w:eastAsiaTheme="minorHAnsi" w:hAnsi="Arial" w:cs="Arial"/>
          <w:sz w:val="26"/>
          <w:szCs w:val="26"/>
          <w:lang w:val="es-ES" w:eastAsia="en-US"/>
        </w:rPr>
      </w:pPr>
      <w:r w:rsidRPr="00AA4698">
        <w:rPr>
          <w:rFonts w:ascii="Arial" w:eastAsiaTheme="minorHAnsi" w:hAnsi="Arial" w:cs="Arial"/>
          <w:sz w:val="26"/>
          <w:szCs w:val="26"/>
          <w:lang w:val="es-ES" w:eastAsia="en-US"/>
        </w:rPr>
        <w:t>De lo anteriormente transcrito, se advierte que el Magistrado de Primera Instancia, incurrió en la sentencia en falta de congruencia y exhaustividad señalada por el recurrente al otorgarle indebidamente legalidad y validez a los actos impugnados, en los términos en que lo hizo en la resolución emitida en el juicio de nulidad; lo anterior es así, dado que la Primera Instancia únicamente centró su atención en que el actor en el juicio natural fue omiso al no ofrecer pruebas para demostrar las violaciones procesales que argumentó dentro del expediente de responsabilidad administrativa número 357/RA/2012 y su recurso de revocación número 26/2014, como consecuencia de ello, consideró que no evidenció haber sido juzgado y sancionado por los mismos hechos investigados en el expediente administrativo ante</w:t>
      </w:r>
      <w:r w:rsidRPr="00773C9E">
        <w:rPr>
          <w:rFonts w:ascii="Arial" w:eastAsiaTheme="minorHAnsi" w:hAnsi="Arial" w:cs="Arial"/>
          <w:sz w:val="26"/>
          <w:szCs w:val="26"/>
          <w:lang w:val="es-ES" w:eastAsia="en-US"/>
        </w:rPr>
        <w:t>s</w:t>
      </w:r>
      <w:r w:rsidRPr="00AA4698">
        <w:rPr>
          <w:rFonts w:ascii="Arial" w:eastAsiaTheme="minorHAnsi" w:hAnsi="Arial" w:cs="Arial"/>
          <w:sz w:val="26"/>
          <w:szCs w:val="26"/>
          <w:lang w:val="es-ES" w:eastAsia="en-US"/>
        </w:rPr>
        <w:t xml:space="preserve"> señalado y en el diverso </w:t>
      </w:r>
      <w:r w:rsidR="00977D9E">
        <w:rPr>
          <w:rFonts w:ascii="Arial" w:eastAsiaTheme="minorHAnsi" w:hAnsi="Arial" w:cs="Arial"/>
          <w:sz w:val="26"/>
          <w:szCs w:val="26"/>
          <w:lang w:val="es-ES" w:eastAsia="en-US"/>
        </w:rPr>
        <w:t>0</w:t>
      </w:r>
      <w:r w:rsidRPr="00AA4698">
        <w:rPr>
          <w:rFonts w:ascii="Arial" w:eastAsiaTheme="minorHAnsi" w:hAnsi="Arial" w:cs="Arial"/>
          <w:sz w:val="26"/>
          <w:szCs w:val="26"/>
          <w:lang w:val="es-ES" w:eastAsia="en-US"/>
        </w:rPr>
        <w:t xml:space="preserve">4/2010, dado que se le sancionó por faltas administrativas distintas. </w:t>
      </w:r>
      <w:r w:rsidR="00977D9E">
        <w:rPr>
          <w:rFonts w:ascii="Arial" w:eastAsiaTheme="minorHAnsi" w:hAnsi="Arial" w:cs="Arial"/>
          <w:sz w:val="26"/>
          <w:szCs w:val="26"/>
          <w:lang w:val="es-ES" w:eastAsia="en-US"/>
        </w:rPr>
        <w:t xml:space="preserve">- - - - - - - - - - - - - - - - - - - - - - - - - - - - - - - - - - - - - - - - - - - - - </w:t>
      </w:r>
    </w:p>
    <w:p w14:paraId="156157BD" w14:textId="5C710A5E" w:rsidR="00D67174" w:rsidRDefault="00AA4698" w:rsidP="00AA4698">
      <w:pPr>
        <w:tabs>
          <w:tab w:val="left" w:pos="3828"/>
        </w:tabs>
        <w:spacing w:line="360" w:lineRule="auto"/>
        <w:ind w:firstLine="709"/>
        <w:jc w:val="both"/>
        <w:rPr>
          <w:rFonts w:ascii="Arial" w:eastAsiaTheme="minorHAnsi" w:hAnsi="Arial" w:cs="Arial"/>
          <w:sz w:val="26"/>
          <w:szCs w:val="26"/>
          <w:lang w:val="es-ES" w:eastAsia="en-US"/>
        </w:rPr>
      </w:pPr>
      <w:r w:rsidRPr="00AA4698">
        <w:rPr>
          <w:rFonts w:ascii="Arial" w:eastAsiaTheme="minorHAnsi" w:hAnsi="Arial" w:cs="Arial"/>
          <w:sz w:val="26"/>
          <w:szCs w:val="26"/>
          <w:lang w:val="es-ES" w:eastAsia="en-US"/>
        </w:rPr>
        <w:t xml:space="preserve">Advirtiéndose de ello, la existencia del agravio expresado por el recurrente en relación a que el Magistrado de primera instancia, no tomó en consideración las pruebas aportadas por el actor en el juicio natural, mismas que constan glosadas a fojas 22 a 27, consistentes en copias certificadas de la resolución dictada en el recurso de revocación 26/2014, derivada del expediente de responsabilidad administrativa número 357/RA/2012, siendo esta resolución la que contiene el acto de autoridad motivo del juicio de nulidad, prueba documental esencial para demostrar la procedencia o improcedencia de la acción ejercitada, misma que sin ser analizada por el titular de la Segunda Sala Unitaria declaró su legalidad y validez; soslayando que por ser de orden público, de oficio el juzgador debió avocarse al análisis del acto, en relación con la fundamentación y motivación respecto de la competencia de la autoridad emisora, que al no haberlo realizado, afectó el derecho de defensa en perjuicio del hoy recurrente, por haber omitido el análisis de </w:t>
      </w:r>
      <w:r w:rsidRPr="00AA4698">
        <w:rPr>
          <w:rFonts w:ascii="Arial" w:eastAsiaTheme="minorHAnsi" w:hAnsi="Arial" w:cs="Arial"/>
          <w:sz w:val="26"/>
          <w:szCs w:val="26"/>
          <w:lang w:val="es-ES" w:eastAsia="en-US"/>
        </w:rPr>
        <w:lastRenderedPageBreak/>
        <w:t xml:space="preserve">la prueba mencionada. De ahí que resulte </w:t>
      </w:r>
      <w:r w:rsidRPr="00AA4698">
        <w:rPr>
          <w:rFonts w:ascii="Arial" w:eastAsiaTheme="minorHAnsi" w:hAnsi="Arial" w:cs="Arial"/>
          <w:b/>
          <w:sz w:val="26"/>
          <w:szCs w:val="26"/>
          <w:lang w:val="es-ES" w:eastAsia="en-US"/>
        </w:rPr>
        <w:t>SUSTANCIALMENTE FUNDADO</w:t>
      </w:r>
      <w:r w:rsidRPr="00AA4698">
        <w:rPr>
          <w:rFonts w:ascii="Arial" w:eastAsiaTheme="minorHAnsi" w:hAnsi="Arial" w:cs="Arial"/>
          <w:sz w:val="26"/>
          <w:szCs w:val="26"/>
          <w:lang w:val="es-ES" w:eastAsia="en-US"/>
        </w:rPr>
        <w:t xml:space="preserve"> el agravio expresado por el recurrente</w:t>
      </w:r>
      <w:r w:rsidR="00D67174">
        <w:rPr>
          <w:rFonts w:ascii="Arial" w:eastAsiaTheme="minorHAnsi" w:hAnsi="Arial" w:cs="Arial"/>
          <w:sz w:val="26"/>
          <w:szCs w:val="26"/>
          <w:lang w:val="es-ES" w:eastAsia="en-US"/>
        </w:rPr>
        <w:t>.</w:t>
      </w:r>
      <w:r w:rsidR="001409E2">
        <w:rPr>
          <w:rFonts w:ascii="Arial" w:eastAsiaTheme="minorHAnsi" w:hAnsi="Arial" w:cs="Arial"/>
          <w:sz w:val="26"/>
          <w:szCs w:val="26"/>
          <w:lang w:val="es-ES" w:eastAsia="en-US"/>
        </w:rPr>
        <w:t>- - - - - - - - - - - - - - - -</w:t>
      </w:r>
    </w:p>
    <w:p w14:paraId="70122240" w14:textId="3086FA45" w:rsidR="00AA4698" w:rsidRPr="00AA4698" w:rsidRDefault="00D67174" w:rsidP="00AA4698">
      <w:pPr>
        <w:tabs>
          <w:tab w:val="left" w:pos="3828"/>
        </w:tabs>
        <w:spacing w:line="360" w:lineRule="auto"/>
        <w:ind w:firstLine="709"/>
        <w:jc w:val="both"/>
        <w:rPr>
          <w:rFonts w:ascii="Arial" w:eastAsiaTheme="minorHAnsi" w:hAnsi="Arial" w:cs="Arial"/>
          <w:sz w:val="26"/>
          <w:szCs w:val="26"/>
          <w:lang w:val="es-ES" w:eastAsia="en-US"/>
        </w:rPr>
      </w:pPr>
      <w:r w:rsidRPr="001409E2">
        <w:rPr>
          <w:rFonts w:ascii="Arial" w:eastAsiaTheme="minorHAnsi" w:hAnsi="Arial" w:cs="Arial"/>
          <w:b/>
          <w:bCs/>
          <w:sz w:val="26"/>
          <w:szCs w:val="26"/>
          <w:lang w:val="es-ES" w:eastAsia="en-US"/>
        </w:rPr>
        <w:t>CUARTO.</w:t>
      </w:r>
      <w:r w:rsidRPr="001409E2">
        <w:rPr>
          <w:rFonts w:ascii="Arial" w:eastAsiaTheme="minorHAnsi" w:hAnsi="Arial" w:cs="Arial"/>
          <w:sz w:val="26"/>
          <w:szCs w:val="26"/>
          <w:lang w:val="es-ES" w:eastAsia="en-US"/>
        </w:rPr>
        <w:t xml:space="preserve"> D</w:t>
      </w:r>
      <w:r w:rsidR="00AA4698" w:rsidRPr="001409E2">
        <w:rPr>
          <w:rFonts w:ascii="Arial" w:eastAsiaTheme="minorHAnsi" w:hAnsi="Arial" w:cs="Arial"/>
          <w:sz w:val="26"/>
          <w:szCs w:val="26"/>
          <w:lang w:val="es-ES" w:eastAsia="en-US"/>
        </w:rPr>
        <w:t>ado</w:t>
      </w:r>
      <w:r w:rsidR="00AA4698" w:rsidRPr="00AA4698">
        <w:rPr>
          <w:rFonts w:ascii="Arial" w:eastAsiaTheme="minorHAnsi" w:hAnsi="Arial" w:cs="Arial"/>
          <w:sz w:val="26"/>
          <w:szCs w:val="26"/>
          <w:lang w:val="es-ES" w:eastAsia="en-US"/>
        </w:rPr>
        <w:t xml:space="preserve"> que la primera instancia le irrogó </w:t>
      </w:r>
      <w:r>
        <w:rPr>
          <w:rFonts w:ascii="Arial" w:eastAsiaTheme="minorHAnsi" w:hAnsi="Arial" w:cs="Arial"/>
          <w:sz w:val="26"/>
          <w:szCs w:val="26"/>
          <w:lang w:val="es-ES" w:eastAsia="en-US"/>
        </w:rPr>
        <w:t xml:space="preserve">al recurrente </w:t>
      </w:r>
      <w:r w:rsidR="00AA4698" w:rsidRPr="00AA4698">
        <w:rPr>
          <w:rFonts w:ascii="Arial" w:eastAsiaTheme="minorHAnsi" w:hAnsi="Arial" w:cs="Arial"/>
          <w:sz w:val="26"/>
          <w:szCs w:val="26"/>
          <w:lang w:val="es-ES" w:eastAsia="en-US"/>
        </w:rPr>
        <w:t>el agravio expresado, ilegalidad que debe ser repara</w:t>
      </w:r>
      <w:r w:rsidR="00AA4698" w:rsidRPr="00773C9E">
        <w:rPr>
          <w:rFonts w:ascii="Arial" w:eastAsiaTheme="minorHAnsi" w:hAnsi="Arial" w:cs="Arial"/>
          <w:sz w:val="26"/>
          <w:szCs w:val="26"/>
          <w:lang w:val="es-ES" w:eastAsia="en-US"/>
        </w:rPr>
        <w:t>da</w:t>
      </w:r>
      <w:r>
        <w:rPr>
          <w:rFonts w:ascii="Arial" w:eastAsiaTheme="minorHAnsi" w:hAnsi="Arial" w:cs="Arial"/>
          <w:sz w:val="26"/>
          <w:szCs w:val="26"/>
          <w:lang w:val="es-ES" w:eastAsia="en-US"/>
        </w:rPr>
        <w:t xml:space="preserve">; </w:t>
      </w:r>
      <w:r w:rsidR="00AA4698" w:rsidRPr="00AA4698">
        <w:rPr>
          <w:rFonts w:ascii="Arial" w:eastAsiaTheme="minorHAnsi" w:hAnsi="Arial" w:cs="Arial"/>
          <w:sz w:val="26"/>
          <w:szCs w:val="26"/>
          <w:lang w:val="es-ES" w:eastAsia="en-US"/>
        </w:rPr>
        <w:t xml:space="preserve">tomando en consideración que la primera instancia ya se pronunció respecto al fondo del asunto en sus términos, es por lo que esta </w:t>
      </w:r>
      <w:r w:rsidR="00AA4698" w:rsidRPr="00773C9E">
        <w:rPr>
          <w:rFonts w:ascii="Arial" w:eastAsiaTheme="minorHAnsi" w:hAnsi="Arial" w:cs="Arial"/>
          <w:sz w:val="26"/>
          <w:szCs w:val="26"/>
          <w:lang w:val="es-ES" w:eastAsia="en-US"/>
        </w:rPr>
        <w:t>S</w:t>
      </w:r>
      <w:r w:rsidR="00AA4698" w:rsidRPr="00AA4698">
        <w:rPr>
          <w:rFonts w:ascii="Arial" w:eastAsiaTheme="minorHAnsi" w:hAnsi="Arial" w:cs="Arial"/>
          <w:sz w:val="26"/>
          <w:szCs w:val="26"/>
          <w:lang w:val="es-ES" w:eastAsia="en-US"/>
        </w:rPr>
        <w:t xml:space="preserve">ala </w:t>
      </w:r>
      <w:r w:rsidR="00AA4698" w:rsidRPr="00773C9E">
        <w:rPr>
          <w:rFonts w:ascii="Arial" w:eastAsiaTheme="minorHAnsi" w:hAnsi="Arial" w:cs="Arial"/>
          <w:sz w:val="26"/>
          <w:szCs w:val="26"/>
          <w:lang w:val="es-ES" w:eastAsia="en-US"/>
        </w:rPr>
        <w:t>S</w:t>
      </w:r>
      <w:r w:rsidR="00AA4698" w:rsidRPr="00AA4698">
        <w:rPr>
          <w:rFonts w:ascii="Arial" w:eastAsiaTheme="minorHAnsi" w:hAnsi="Arial" w:cs="Arial"/>
          <w:sz w:val="26"/>
          <w:szCs w:val="26"/>
          <w:lang w:val="es-ES" w:eastAsia="en-US"/>
        </w:rPr>
        <w:t xml:space="preserve">uperior procede a </w:t>
      </w:r>
      <w:r w:rsidR="00AA4698" w:rsidRPr="00AA4698">
        <w:rPr>
          <w:rFonts w:ascii="Arial" w:eastAsiaTheme="minorHAnsi" w:hAnsi="Arial" w:cs="Arial"/>
          <w:b/>
          <w:sz w:val="26"/>
          <w:szCs w:val="26"/>
          <w:lang w:val="es-ES" w:eastAsia="en-US"/>
        </w:rPr>
        <w:t>REASUMIR JURISDICCIÓN</w:t>
      </w:r>
      <w:r w:rsidR="00AA4698" w:rsidRPr="00AA4698">
        <w:rPr>
          <w:rFonts w:ascii="Arial" w:eastAsiaTheme="minorHAnsi" w:hAnsi="Arial" w:cs="Arial"/>
          <w:sz w:val="26"/>
          <w:szCs w:val="26"/>
          <w:lang w:val="es-ES" w:eastAsia="en-US"/>
        </w:rPr>
        <w:t>, para pronunciarse respecto a la validez o ilegalidad del acto impugnado, que constituye una de las pretensiones del recurrente</w:t>
      </w:r>
      <w:r w:rsidR="00AA4698" w:rsidRPr="00773C9E">
        <w:rPr>
          <w:rFonts w:ascii="Arial" w:eastAsiaTheme="minorHAnsi" w:hAnsi="Arial" w:cs="Arial"/>
          <w:sz w:val="26"/>
          <w:szCs w:val="26"/>
          <w:lang w:val="es-ES" w:eastAsia="en-US"/>
        </w:rPr>
        <w:t>; por lo que de conformidad con lo dispuesto en el artículo 178, último párrafo, de la Ley de Justicia Administrativa para el Estado de Oaxaca, esta Superioridad</w:t>
      </w:r>
      <w:r w:rsidR="00E6139B">
        <w:rPr>
          <w:rFonts w:ascii="Arial" w:eastAsiaTheme="minorHAnsi" w:hAnsi="Arial" w:cs="Arial"/>
          <w:sz w:val="26"/>
          <w:szCs w:val="26"/>
          <w:lang w:val="es-ES" w:eastAsia="en-US"/>
        </w:rPr>
        <w:t>,</w:t>
      </w:r>
      <w:r w:rsidR="00AA4698" w:rsidRPr="00773C9E">
        <w:rPr>
          <w:rFonts w:ascii="Arial" w:eastAsiaTheme="minorHAnsi" w:hAnsi="Arial" w:cs="Arial"/>
          <w:sz w:val="26"/>
          <w:szCs w:val="26"/>
          <w:lang w:val="es-ES" w:eastAsia="en-US"/>
        </w:rPr>
        <w:t xml:space="preserve"> de oficio, por ser de orden público, procede a analizar de manera prioritaria la competencia de la autoridad que emitió la </w:t>
      </w:r>
      <w:r w:rsidR="00AA4698" w:rsidRPr="00A816B3">
        <w:rPr>
          <w:rFonts w:ascii="Arial" w:eastAsiaTheme="minorHAnsi" w:hAnsi="Arial" w:cs="Arial"/>
          <w:sz w:val="26"/>
          <w:szCs w:val="26"/>
          <w:lang w:val="es-ES" w:eastAsia="en-US"/>
        </w:rPr>
        <w:t xml:space="preserve">resolución impugnada en el juicio de nulidad, </w:t>
      </w:r>
      <w:r w:rsidR="00176FFC" w:rsidRPr="00A816B3">
        <w:rPr>
          <w:rFonts w:ascii="Arial" w:eastAsiaTheme="minorHAnsi" w:hAnsi="Arial" w:cs="Arial"/>
          <w:sz w:val="26"/>
          <w:szCs w:val="26"/>
          <w:lang w:val="es-ES" w:eastAsia="en-US"/>
        </w:rPr>
        <w:t>para determinar si el acto impugnado se encuentra debidamente fundado y motivado</w:t>
      </w:r>
      <w:r w:rsidR="00AA4698" w:rsidRPr="00A816B3">
        <w:rPr>
          <w:rFonts w:ascii="Arial" w:eastAsiaTheme="minorHAnsi" w:hAnsi="Arial" w:cs="Arial"/>
          <w:sz w:val="26"/>
          <w:szCs w:val="26"/>
          <w:lang w:val="es-ES" w:eastAsia="en-US"/>
        </w:rPr>
        <w:t>.</w:t>
      </w:r>
      <w:r w:rsidR="00AA4698" w:rsidRPr="00AA4698">
        <w:rPr>
          <w:rFonts w:ascii="Arial" w:eastAsiaTheme="minorHAnsi" w:hAnsi="Arial" w:cs="Arial"/>
          <w:sz w:val="26"/>
          <w:szCs w:val="26"/>
          <w:lang w:val="es-ES" w:eastAsia="en-US"/>
        </w:rPr>
        <w:t xml:space="preserve"> </w:t>
      </w:r>
      <w:r w:rsidR="00A816B3">
        <w:rPr>
          <w:rFonts w:ascii="Arial" w:eastAsiaTheme="minorHAnsi" w:hAnsi="Arial" w:cs="Arial"/>
          <w:sz w:val="26"/>
          <w:szCs w:val="26"/>
          <w:lang w:val="es-ES" w:eastAsia="en-US"/>
        </w:rPr>
        <w:t>- - - - - - - - - - - - - - - - - - - - - - - - - - - - - - - - - - - - - - - - - - - - -</w:t>
      </w:r>
    </w:p>
    <w:p w14:paraId="02B8E28C" w14:textId="5C4AC293" w:rsidR="00AA4698" w:rsidRPr="00AA4698" w:rsidRDefault="00AA4698" w:rsidP="00AA4698">
      <w:pPr>
        <w:tabs>
          <w:tab w:val="left" w:pos="3828"/>
        </w:tabs>
        <w:spacing w:line="360" w:lineRule="auto"/>
        <w:ind w:firstLine="709"/>
        <w:jc w:val="both"/>
        <w:rPr>
          <w:rFonts w:ascii="Arial" w:eastAsiaTheme="minorHAnsi" w:hAnsi="Arial" w:cs="Arial"/>
          <w:sz w:val="24"/>
          <w:szCs w:val="24"/>
          <w:lang w:val="es-ES" w:eastAsia="en-US"/>
        </w:rPr>
      </w:pPr>
      <w:r w:rsidRPr="00AA4698">
        <w:rPr>
          <w:rFonts w:ascii="Arial" w:eastAsiaTheme="minorHAnsi" w:hAnsi="Arial" w:cs="Arial"/>
          <w:sz w:val="26"/>
          <w:szCs w:val="26"/>
          <w:lang w:val="es-ES" w:eastAsia="en-US"/>
        </w:rPr>
        <w:t xml:space="preserve">De las constancias de autos que integran el juicio natural, con valor probatorio pleno en términos de la fracción I, del artículo 173, de la Ley de Justicia Administrativa para el Estado de Oaxaca, por tratarse de actuaciones judiciales, consta a fojas 22 a 27 del expediente de primera instancia, resolución del recurso de revocación dictada en el expediente 26/2014, por el Jefe de la Unidad Auxiliar y de Recursos de la Subsecretaría de Responsabilidades y Transparencia de la Secretaría de la Contraloría y Transparencia Gubernamental del Poder Ejecutivo del Estado de Oaxaca, </w:t>
      </w:r>
      <w:r w:rsidRPr="00773C9E">
        <w:rPr>
          <w:rFonts w:ascii="Arial" w:eastAsiaTheme="minorHAnsi" w:hAnsi="Arial" w:cs="Arial"/>
          <w:sz w:val="26"/>
          <w:szCs w:val="26"/>
          <w:lang w:val="es-ES" w:eastAsia="en-US"/>
        </w:rPr>
        <w:t>de</w:t>
      </w:r>
      <w:r w:rsidRPr="00AA4698">
        <w:rPr>
          <w:rFonts w:ascii="Arial" w:eastAsiaTheme="minorHAnsi" w:hAnsi="Arial" w:cs="Arial"/>
          <w:sz w:val="26"/>
          <w:szCs w:val="26"/>
          <w:lang w:val="es-ES" w:eastAsia="en-US"/>
        </w:rPr>
        <w:t xml:space="preserve"> 15 quince de julio de 2016 dos mil dieciséis, misma que constituye el acto de autoridad en estudio, la cual en su considerando primero determinó lo siguiente:</w:t>
      </w:r>
      <w:r w:rsidRPr="00AA4698">
        <w:rPr>
          <w:rFonts w:ascii="Arial" w:eastAsiaTheme="minorHAnsi" w:hAnsi="Arial" w:cs="Arial"/>
          <w:sz w:val="24"/>
          <w:szCs w:val="24"/>
          <w:lang w:val="es-ES" w:eastAsia="en-US"/>
        </w:rPr>
        <w:t xml:space="preserve"> </w:t>
      </w:r>
      <w:r w:rsidR="00A816B3">
        <w:rPr>
          <w:rFonts w:ascii="Arial" w:eastAsiaTheme="minorHAnsi" w:hAnsi="Arial" w:cs="Arial"/>
          <w:sz w:val="24"/>
          <w:szCs w:val="24"/>
          <w:lang w:val="es-ES" w:eastAsia="en-US"/>
        </w:rPr>
        <w:t>- - - - - - - - - - - - - - - - - - - - -</w:t>
      </w:r>
    </w:p>
    <w:p w14:paraId="09D7BA8D" w14:textId="77777777" w:rsidR="00AA4698" w:rsidRPr="00A816B3" w:rsidRDefault="00AA4698" w:rsidP="00AA4698">
      <w:pPr>
        <w:tabs>
          <w:tab w:val="left" w:pos="3828"/>
        </w:tabs>
        <w:spacing w:line="240" w:lineRule="auto"/>
        <w:ind w:left="709" w:right="616" w:firstLine="360"/>
        <w:jc w:val="both"/>
        <w:rPr>
          <w:rFonts w:ascii="Arial" w:eastAsiaTheme="minorHAnsi" w:hAnsi="Arial" w:cs="Arial"/>
          <w:i/>
          <w:lang w:val="es-ES" w:eastAsia="en-US"/>
        </w:rPr>
      </w:pPr>
      <w:r w:rsidRPr="00A816B3">
        <w:rPr>
          <w:rFonts w:ascii="Arial" w:eastAsiaTheme="minorHAnsi" w:hAnsi="Arial" w:cs="Arial"/>
          <w:i/>
          <w:lang w:val="es-ES" w:eastAsia="en-US"/>
        </w:rPr>
        <w:t>“</w:t>
      </w:r>
      <w:r w:rsidRPr="00A816B3">
        <w:rPr>
          <w:rFonts w:ascii="Arial" w:eastAsiaTheme="minorHAnsi" w:hAnsi="Arial" w:cs="Arial"/>
          <w:b/>
          <w:i/>
          <w:lang w:val="es-ES" w:eastAsia="en-US"/>
        </w:rPr>
        <w:t xml:space="preserve">PRIMERO.- </w:t>
      </w:r>
      <w:r w:rsidRPr="00A816B3">
        <w:rPr>
          <w:rFonts w:ascii="Arial" w:eastAsiaTheme="minorHAnsi" w:hAnsi="Arial" w:cs="Arial"/>
          <w:i/>
          <w:lang w:val="es-ES" w:eastAsia="en-US"/>
        </w:rPr>
        <w:t xml:space="preserve">Esta autoridad es competente para conocer y resolver el presente recurso de revocación, de conformidad con los artículos 1.2. 3 fracción II, 55 y 79  fracción III, in fine, de la Ley de Responsabilidades de los Servidores Públicos del Estado y Municipios de Oaxaca, vigentes hasta antes del veintiséis de diciembre del dos mil quince, que eran los aplicables cuando se incurrió en la falta administrativa, por la que fue sancionado el recurrente, toda vez que esa ley tuvo diversas adiciones, reformas y derogaciones, según decreto número 2055, publicado en el Extra del Periódico Oficial del Gobierno del Estado, el dieciocho de octubre de dos mil trece; así como los numerales 1, 2, 34, fracción XIII, y 35 fracciones I, II, del Reglamento Interno de la Secretaría de la Contraloría y Transparencia Gubernamental; por impugnarse una resolución dictada por el Director de Procedimientos Jurídicos, cuyo conocimiento y resolución se encuentran en las atribuciones de esta Subsecretaría, de la cual el suscrito Jefe de la Unidad Auxiliar y de Recursos se encuentra supliendo la ausencia temporal de la titular, en términos del artículo 65 del citado Reglamento Interno, como así se precisa en el oficio número SCTG/15BIS/2016, de fecha once de julio de dos mil dieciséis, signado por el Maestro en Derecho LUIS FELIPE </w:t>
      </w:r>
      <w:r w:rsidRPr="00A816B3">
        <w:rPr>
          <w:rFonts w:ascii="Arial" w:eastAsiaTheme="minorHAnsi" w:hAnsi="Arial" w:cs="Arial"/>
          <w:i/>
          <w:lang w:val="es-ES" w:eastAsia="en-US"/>
        </w:rPr>
        <w:lastRenderedPageBreak/>
        <w:t>CRUZ LOPEZ, en su calidad de Secretario de la Contraloría y de Transparencia Gubernamental del Poder Ejecutivo del Estado de Oaxaca, en donde se hace del conocimiento la suplencia temporal a partir de esta fecha de la Licenciada  SARA IDANIA MARTINEZ LOPEZ, Titular de esta Subsecretaría de Responsabilidades y Transparencia, mismo que obra glosado en autos del presente expediente de revocación.”</w:t>
      </w:r>
    </w:p>
    <w:p w14:paraId="341C74B7" w14:textId="4A525776" w:rsidR="00AA4698" w:rsidRPr="00AA4698" w:rsidRDefault="00AA4698" w:rsidP="00AA4698">
      <w:pPr>
        <w:tabs>
          <w:tab w:val="left" w:pos="3828"/>
        </w:tabs>
        <w:spacing w:line="360" w:lineRule="auto"/>
        <w:ind w:firstLine="709"/>
        <w:jc w:val="both"/>
        <w:rPr>
          <w:rFonts w:ascii="Arial" w:eastAsiaTheme="minorHAnsi" w:hAnsi="Arial" w:cs="Arial"/>
          <w:sz w:val="26"/>
          <w:szCs w:val="26"/>
          <w:lang w:val="es-ES" w:eastAsia="en-US"/>
        </w:rPr>
      </w:pPr>
      <w:r w:rsidRPr="00AA4698">
        <w:rPr>
          <w:rFonts w:ascii="Arial" w:eastAsiaTheme="minorHAnsi" w:hAnsi="Arial" w:cs="Arial"/>
          <w:sz w:val="26"/>
          <w:szCs w:val="26"/>
          <w:lang w:val="es-ES" w:eastAsia="en-US"/>
        </w:rPr>
        <w:t xml:space="preserve">De lo anteriormente transcrito, se advierte que el Jefe de la Unidad Auxiliar y de Recursos de la Subsecretaría de Responsabilidades y Transparencia de la Secretaría de la Contraloría y Transparencia Gubernamental del Poder Ejecutivo del Estado de Oaxaca, pretendió fundar su competencia en los artículos 1, 2, 3, fracción III, 55 y 79, fracción III, in fine de la Ley de Responsabilidades de los Servidores Públicos del Estado y Municipios de Oaxaca; vigentes hasta antes del veintiséis de diciembre de dos mil quince, aplicables cuando se incurrió en la falta administrativa, así como con los numerales 1, 2, 34, fracción XIII, y 35, fracciones I, II, del Reglamento Interno de la Secretaría de la Contraloría y Transparencia Gubernamental; sin embargo, dichos preceptos legales invocados, no regulan la facultad de suplencia </w:t>
      </w:r>
      <w:r w:rsidRPr="00866318">
        <w:rPr>
          <w:rFonts w:ascii="Arial" w:eastAsiaTheme="minorHAnsi" w:hAnsi="Arial" w:cs="Arial"/>
          <w:sz w:val="26"/>
          <w:szCs w:val="26"/>
          <w:lang w:val="es-ES" w:eastAsia="en-US"/>
        </w:rPr>
        <w:t xml:space="preserve">o </w:t>
      </w:r>
      <w:r w:rsidR="005E1D08" w:rsidRPr="00866318">
        <w:rPr>
          <w:rFonts w:ascii="Arial" w:eastAsiaTheme="minorHAnsi" w:hAnsi="Arial" w:cs="Arial"/>
          <w:sz w:val="26"/>
          <w:szCs w:val="26"/>
          <w:lang w:val="es-ES" w:eastAsia="en-US"/>
        </w:rPr>
        <w:t xml:space="preserve">la de </w:t>
      </w:r>
      <w:r w:rsidRPr="00866318">
        <w:rPr>
          <w:rFonts w:ascii="Arial" w:eastAsiaTheme="minorHAnsi" w:hAnsi="Arial" w:cs="Arial"/>
          <w:sz w:val="26"/>
          <w:szCs w:val="26"/>
          <w:lang w:val="es-ES" w:eastAsia="en-US"/>
        </w:rPr>
        <w:t>delegar atribuciones para dictar la resolución en comento; dado que, si bien es cierto, hace alusión al oficio número SCTG/OS/015BIS/2016, de fecha 11 once de julio de 2016 dos mil dieciséis, signado por el Secretario de la Contraloría y Transparencia Gubernamental del P</w:t>
      </w:r>
      <w:r w:rsidRPr="00AA4698">
        <w:rPr>
          <w:rFonts w:ascii="Arial" w:eastAsiaTheme="minorHAnsi" w:hAnsi="Arial" w:cs="Arial"/>
          <w:sz w:val="26"/>
          <w:szCs w:val="26"/>
          <w:lang w:val="es-ES" w:eastAsia="en-US"/>
        </w:rPr>
        <w:t xml:space="preserve">oder Ejecutivo del Estado de Oaxaca, que </w:t>
      </w:r>
      <w:r w:rsidRPr="00E77A35">
        <w:rPr>
          <w:rFonts w:ascii="Arial" w:eastAsiaTheme="minorHAnsi" w:hAnsi="Arial" w:cs="Arial"/>
          <w:sz w:val="26"/>
          <w:szCs w:val="26"/>
          <w:lang w:val="es-ES" w:eastAsia="en-US"/>
        </w:rPr>
        <w:t xml:space="preserve">dice contiene la autorización de suplencia temporal de la titular de la Subsecretaría de Responsabilidades y Transparencia, sin que especifique el sustento jurídico, la Ley o Reglamento por el cual se le delegó la facultad para suplir a su superior jerárquico y dictar la resolución motivo del </w:t>
      </w:r>
      <w:r w:rsidR="005E1D08" w:rsidRPr="00E77A35">
        <w:rPr>
          <w:rFonts w:ascii="Arial" w:eastAsiaTheme="minorHAnsi" w:hAnsi="Arial" w:cs="Arial"/>
          <w:sz w:val="26"/>
          <w:szCs w:val="26"/>
          <w:lang w:val="es-ES" w:eastAsia="en-US"/>
        </w:rPr>
        <w:t xml:space="preserve">análisis en el </w:t>
      </w:r>
      <w:r w:rsidRPr="00E77A35">
        <w:rPr>
          <w:rFonts w:ascii="Arial" w:eastAsiaTheme="minorHAnsi" w:hAnsi="Arial" w:cs="Arial"/>
          <w:sz w:val="26"/>
          <w:szCs w:val="26"/>
          <w:lang w:val="es-ES" w:eastAsia="en-US"/>
        </w:rPr>
        <w:t>juicio de nulidad; es decir, que para fundar y motivar apropiadamente su competencia, era menester</w:t>
      </w:r>
      <w:r w:rsidRPr="00AA4698">
        <w:rPr>
          <w:rFonts w:ascii="Arial" w:eastAsiaTheme="minorHAnsi" w:hAnsi="Arial" w:cs="Arial"/>
          <w:sz w:val="26"/>
          <w:szCs w:val="26"/>
          <w:lang w:val="es-ES" w:eastAsia="en-US"/>
        </w:rPr>
        <w:t xml:space="preserve"> que la autoridad especificara el artículo, la fracción, inciso, sub</w:t>
      </w:r>
      <w:r w:rsidR="00652C24">
        <w:rPr>
          <w:rFonts w:ascii="Arial" w:eastAsiaTheme="minorHAnsi" w:hAnsi="Arial" w:cs="Arial"/>
          <w:sz w:val="26"/>
          <w:szCs w:val="26"/>
          <w:lang w:val="es-ES" w:eastAsia="en-US"/>
        </w:rPr>
        <w:t xml:space="preserve"> </w:t>
      </w:r>
      <w:r w:rsidRPr="00AA4698">
        <w:rPr>
          <w:rFonts w:ascii="Arial" w:eastAsiaTheme="minorHAnsi" w:hAnsi="Arial" w:cs="Arial"/>
          <w:sz w:val="26"/>
          <w:szCs w:val="26"/>
          <w:lang w:val="es-ES" w:eastAsia="en-US"/>
        </w:rPr>
        <w:t>inciso, apartado o sub</w:t>
      </w:r>
      <w:r w:rsidR="00652C24">
        <w:rPr>
          <w:rFonts w:ascii="Arial" w:eastAsiaTheme="minorHAnsi" w:hAnsi="Arial" w:cs="Arial"/>
          <w:sz w:val="26"/>
          <w:szCs w:val="26"/>
          <w:lang w:val="es-ES" w:eastAsia="en-US"/>
        </w:rPr>
        <w:t xml:space="preserve"> </w:t>
      </w:r>
      <w:r w:rsidRPr="00AA4698">
        <w:rPr>
          <w:rFonts w:ascii="Arial" w:eastAsiaTheme="minorHAnsi" w:hAnsi="Arial" w:cs="Arial"/>
          <w:sz w:val="26"/>
          <w:szCs w:val="26"/>
          <w:lang w:val="es-ES" w:eastAsia="en-US"/>
        </w:rPr>
        <w:t>apartado del precepto legal por el cual le delegaron las atribuciones correspondientes a su superior jerárquico, así como motivarla, relacionándolo con los artículos que al efecto señale, sin que baste que haga referencia del texto del documento delegatorio, ya que su sola mención es insuficiente para considerarlo como fundamentación y motivación de su actuación; por tanto, el fundamento legal por el cual se le delegó la facultad para resolver, debe constar en el cuerpo de la resolución en estudio y no en documento diverso, lo cual es imprescindible para la validez del acto.</w:t>
      </w:r>
      <w:r w:rsidR="00E7515E">
        <w:rPr>
          <w:rFonts w:ascii="Arial" w:eastAsiaTheme="minorHAnsi" w:hAnsi="Arial" w:cs="Arial"/>
          <w:sz w:val="26"/>
          <w:szCs w:val="26"/>
          <w:lang w:val="es-ES" w:eastAsia="en-US"/>
        </w:rPr>
        <w:t xml:space="preserve">- - - - - - - - - - - - - - - - - - - - - - - - </w:t>
      </w:r>
    </w:p>
    <w:p w14:paraId="42B65182" w14:textId="0036DA68" w:rsidR="00AA4698" w:rsidRPr="00AA4698" w:rsidRDefault="00AA4698" w:rsidP="00AA4698">
      <w:pPr>
        <w:tabs>
          <w:tab w:val="left" w:pos="3828"/>
        </w:tabs>
        <w:spacing w:line="360" w:lineRule="auto"/>
        <w:ind w:firstLine="709"/>
        <w:jc w:val="both"/>
        <w:rPr>
          <w:rFonts w:ascii="Arial" w:eastAsiaTheme="minorHAnsi" w:hAnsi="Arial" w:cs="Arial"/>
          <w:sz w:val="24"/>
          <w:szCs w:val="24"/>
          <w:lang w:val="es-ES" w:eastAsia="en-US"/>
        </w:rPr>
      </w:pPr>
      <w:r w:rsidRPr="00AA4698">
        <w:rPr>
          <w:rFonts w:ascii="Arial" w:eastAsiaTheme="minorHAnsi" w:hAnsi="Arial" w:cs="Arial"/>
          <w:sz w:val="26"/>
          <w:szCs w:val="26"/>
          <w:lang w:val="es-ES" w:eastAsia="en-US"/>
        </w:rPr>
        <w:lastRenderedPageBreak/>
        <w:t>Sirve de apoyo a lo anterior la jurisprudencia publicada en la Gaceta del Semanario Judicial de la Federación, libro 78, Marzo de 2017, Tomo XXI. 2º. J/4, Octava Época, pág. 83, registro 212133, Jurisprudencia en materia común, Tribunales Colegiados de Circuito, y de rubro y texto siguiente:</w:t>
      </w:r>
      <w:r w:rsidRPr="00AA4698">
        <w:rPr>
          <w:rFonts w:ascii="Arial" w:eastAsiaTheme="minorHAnsi" w:hAnsi="Arial" w:cs="Arial"/>
          <w:sz w:val="24"/>
          <w:szCs w:val="24"/>
          <w:lang w:val="es-ES" w:eastAsia="en-US"/>
        </w:rPr>
        <w:t xml:space="preserve"> </w:t>
      </w:r>
      <w:r w:rsidR="00E7515E">
        <w:rPr>
          <w:rFonts w:ascii="Arial" w:eastAsiaTheme="minorHAnsi" w:hAnsi="Arial" w:cs="Arial"/>
          <w:sz w:val="24"/>
          <w:szCs w:val="24"/>
          <w:lang w:val="es-ES" w:eastAsia="en-US"/>
        </w:rPr>
        <w:t xml:space="preserve"> - - - - - - - - - - - - - - - - - - - - - - - - - - - - - - - - - - - </w:t>
      </w:r>
    </w:p>
    <w:p w14:paraId="6761CC4B" w14:textId="0FABE95D" w:rsidR="00AA4698" w:rsidRPr="00E7515E" w:rsidRDefault="00AA4698" w:rsidP="00AA4698">
      <w:pPr>
        <w:tabs>
          <w:tab w:val="left" w:pos="3828"/>
        </w:tabs>
        <w:ind w:left="709" w:right="616"/>
        <w:jc w:val="both"/>
        <w:rPr>
          <w:rFonts w:ascii="Arial" w:eastAsiaTheme="minorHAnsi" w:hAnsi="Arial" w:cs="Arial"/>
          <w:i/>
          <w:lang w:val="es-ES" w:eastAsia="en-US"/>
        </w:rPr>
      </w:pPr>
      <w:r w:rsidRPr="00E7515E">
        <w:rPr>
          <w:rFonts w:ascii="Arial" w:eastAsiaTheme="minorHAnsi" w:hAnsi="Arial" w:cs="Arial"/>
          <w:b/>
          <w:bCs/>
          <w:i/>
          <w:lang w:val="es-ES" w:eastAsia="en-US"/>
        </w:rPr>
        <w:t>“ACTO RECLAMADO, FUNDAMENTACION Y MOTIVACION DEL.</w:t>
      </w:r>
      <w:r w:rsidRPr="00E7515E">
        <w:rPr>
          <w:rFonts w:ascii="Arial" w:eastAsiaTheme="minorHAnsi" w:hAnsi="Arial" w:cs="Arial"/>
          <w:i/>
          <w:lang w:val="es-ES" w:eastAsia="en-US"/>
        </w:rPr>
        <w:t xml:space="preserve"> No basta  que en el documento señalado como acto reclamado, la autoridad hacendaria responsable alegue que citó preceptos relativos a su competencia para que cumpla con el requisito constitucional de fundamentación a su acto, sino que es necesario, además, que dicho documento contenga la expresión del precepto legal aplicable al caso  que sirva de apoyo al mandamiento reclamado, cuyo presupuesto normativo revele que la conducta del gobernado encuadra en el mismo, y. por ende, que se encuentra obligado al pago de la multa impugnada; igualmente, si de los propios argumentos de inconformidad se advierte que por cuanto hace a motivación del acto reclamado, la autoridad hacendaria se remite a lo que ya había expuesto como argumento de esa motivación, en diverso oficio en el que también había negado al quejoso la condonación de la multa solicitada, ello es insuficiente para que su mandamiento reúna el requisito de motivación del artículo 16 constitucional, toda vez que este debe constar en el cuerpo mismo del documento constitutivo del acto de molestia y no en diverso.”</w:t>
      </w:r>
    </w:p>
    <w:p w14:paraId="2DE73629" w14:textId="242C52A3" w:rsidR="00AA4698" w:rsidRPr="00AA4698" w:rsidRDefault="00AA4698" w:rsidP="00AA4698">
      <w:pPr>
        <w:tabs>
          <w:tab w:val="left" w:pos="3828"/>
        </w:tabs>
        <w:spacing w:line="360" w:lineRule="auto"/>
        <w:ind w:firstLine="709"/>
        <w:jc w:val="both"/>
        <w:rPr>
          <w:rFonts w:ascii="Arial" w:eastAsiaTheme="minorHAnsi" w:hAnsi="Arial" w:cs="Arial"/>
          <w:sz w:val="26"/>
          <w:szCs w:val="26"/>
          <w:lang w:val="es-ES" w:eastAsia="en-US"/>
        </w:rPr>
      </w:pPr>
      <w:r w:rsidRPr="00AA4698">
        <w:rPr>
          <w:rFonts w:ascii="Arial" w:eastAsiaTheme="minorHAnsi" w:hAnsi="Arial" w:cs="Arial"/>
          <w:sz w:val="26"/>
          <w:szCs w:val="26"/>
          <w:lang w:val="es-ES" w:eastAsia="en-US"/>
        </w:rPr>
        <w:t xml:space="preserve">Por tanto, al carecer de la </w:t>
      </w:r>
      <w:r w:rsidR="00773C9E">
        <w:rPr>
          <w:rFonts w:ascii="Arial" w:eastAsiaTheme="minorHAnsi" w:hAnsi="Arial" w:cs="Arial"/>
          <w:sz w:val="26"/>
          <w:szCs w:val="26"/>
          <w:lang w:val="es-ES" w:eastAsia="en-US"/>
        </w:rPr>
        <w:t xml:space="preserve">debida </w:t>
      </w:r>
      <w:r w:rsidRPr="00AA4698">
        <w:rPr>
          <w:rFonts w:ascii="Arial" w:eastAsiaTheme="minorHAnsi" w:hAnsi="Arial" w:cs="Arial"/>
          <w:sz w:val="26"/>
          <w:szCs w:val="26"/>
          <w:lang w:val="es-ES" w:eastAsia="en-US"/>
        </w:rPr>
        <w:t xml:space="preserve">fundamentación y motivación de la competencia de la autoridad que resolvió el recurso de revocación número 26/2014; resulta procedente </w:t>
      </w:r>
      <w:r w:rsidRPr="00AA4698">
        <w:rPr>
          <w:rFonts w:ascii="Arial" w:eastAsiaTheme="minorHAnsi" w:hAnsi="Arial" w:cs="Arial"/>
          <w:b/>
          <w:sz w:val="26"/>
          <w:szCs w:val="26"/>
          <w:lang w:val="es-ES" w:eastAsia="en-US"/>
        </w:rPr>
        <w:t xml:space="preserve">REVOCAR </w:t>
      </w:r>
      <w:r w:rsidRPr="00AA4698">
        <w:rPr>
          <w:rFonts w:ascii="Arial" w:eastAsiaTheme="minorHAnsi" w:hAnsi="Arial" w:cs="Arial"/>
          <w:sz w:val="26"/>
          <w:szCs w:val="26"/>
          <w:lang w:val="es-ES" w:eastAsia="en-US"/>
        </w:rPr>
        <w:t xml:space="preserve">la </w:t>
      </w:r>
      <w:r w:rsidR="00773C9E">
        <w:rPr>
          <w:rFonts w:ascii="Arial" w:eastAsiaTheme="minorHAnsi" w:hAnsi="Arial" w:cs="Arial"/>
          <w:sz w:val="26"/>
          <w:szCs w:val="26"/>
          <w:lang w:val="es-ES" w:eastAsia="en-US"/>
        </w:rPr>
        <w:t xml:space="preserve">sentencia impugnada siendo </w:t>
      </w:r>
      <w:r w:rsidRPr="00AA4698">
        <w:rPr>
          <w:rFonts w:ascii="Arial" w:eastAsiaTheme="minorHAnsi" w:hAnsi="Arial" w:cs="Arial"/>
          <w:sz w:val="26"/>
          <w:szCs w:val="26"/>
          <w:lang w:val="es-ES" w:eastAsia="en-US"/>
        </w:rPr>
        <w:t xml:space="preserve">procedente declarar </w:t>
      </w:r>
      <w:r w:rsidR="00773C9E">
        <w:rPr>
          <w:rFonts w:ascii="Arial" w:eastAsiaTheme="minorHAnsi" w:hAnsi="Arial" w:cs="Arial"/>
          <w:sz w:val="26"/>
          <w:szCs w:val="26"/>
          <w:lang w:val="es-ES" w:eastAsia="en-US"/>
        </w:rPr>
        <w:t xml:space="preserve">la </w:t>
      </w:r>
      <w:r w:rsidRPr="00AA4698">
        <w:rPr>
          <w:rFonts w:ascii="Arial" w:eastAsiaTheme="minorHAnsi" w:hAnsi="Arial" w:cs="Arial"/>
          <w:b/>
          <w:sz w:val="26"/>
          <w:szCs w:val="26"/>
          <w:lang w:val="es-ES" w:eastAsia="en-US"/>
        </w:rPr>
        <w:t>NULIDAD</w:t>
      </w:r>
      <w:r w:rsidR="00773C9E">
        <w:rPr>
          <w:rFonts w:ascii="Arial" w:eastAsiaTheme="minorHAnsi" w:hAnsi="Arial" w:cs="Arial"/>
          <w:b/>
          <w:sz w:val="26"/>
          <w:szCs w:val="26"/>
          <w:lang w:val="es-ES" w:eastAsia="en-US"/>
        </w:rPr>
        <w:t xml:space="preserve"> LISA Y LLANA </w:t>
      </w:r>
      <w:r w:rsidR="00773C9E">
        <w:rPr>
          <w:rFonts w:ascii="Arial" w:eastAsiaTheme="minorHAnsi" w:hAnsi="Arial" w:cs="Arial"/>
          <w:bCs/>
          <w:sz w:val="26"/>
          <w:szCs w:val="26"/>
          <w:lang w:val="es-ES" w:eastAsia="en-US"/>
        </w:rPr>
        <w:t xml:space="preserve">de la resolución de fecha </w:t>
      </w:r>
      <w:r w:rsidR="00F61E49">
        <w:rPr>
          <w:rFonts w:ascii="Arial" w:eastAsiaTheme="minorHAnsi" w:hAnsi="Arial" w:cs="Arial"/>
          <w:bCs/>
          <w:sz w:val="26"/>
          <w:szCs w:val="26"/>
          <w:lang w:val="es-ES" w:eastAsia="en-US"/>
        </w:rPr>
        <w:t xml:space="preserve">15 </w:t>
      </w:r>
      <w:r w:rsidR="00773C9E">
        <w:rPr>
          <w:rFonts w:ascii="Arial" w:eastAsiaTheme="minorHAnsi" w:hAnsi="Arial" w:cs="Arial"/>
          <w:bCs/>
          <w:sz w:val="26"/>
          <w:szCs w:val="26"/>
          <w:lang w:val="es-ES" w:eastAsia="en-US"/>
        </w:rPr>
        <w:t xml:space="preserve">quince de julio de </w:t>
      </w:r>
      <w:r w:rsidR="00F61E49">
        <w:rPr>
          <w:rFonts w:ascii="Arial" w:eastAsiaTheme="minorHAnsi" w:hAnsi="Arial" w:cs="Arial"/>
          <w:bCs/>
          <w:sz w:val="26"/>
          <w:szCs w:val="26"/>
          <w:lang w:val="es-ES" w:eastAsia="en-US"/>
        </w:rPr>
        <w:t xml:space="preserve">2016 </w:t>
      </w:r>
      <w:r w:rsidR="00773C9E">
        <w:rPr>
          <w:rFonts w:ascii="Arial" w:eastAsiaTheme="minorHAnsi" w:hAnsi="Arial" w:cs="Arial"/>
          <w:bCs/>
          <w:sz w:val="26"/>
          <w:szCs w:val="26"/>
          <w:lang w:val="es-ES" w:eastAsia="en-US"/>
        </w:rPr>
        <w:t xml:space="preserve">dos mil dieciséis, dictada en el recurso de Revocación número 26/2014, por el Jefe de la Unidad Auxiliar y de Recurso de la Subsecretaría de Responsabilidades y Transparencia de la Secretaría de la Contraloría y Transparencias Gubernamental del Poder Ejecutivo del estado de Oaxaca, </w:t>
      </w:r>
      <w:r w:rsidR="00E17646">
        <w:rPr>
          <w:rFonts w:ascii="Arial" w:eastAsiaTheme="minorHAnsi" w:hAnsi="Arial" w:cs="Arial"/>
          <w:bCs/>
          <w:sz w:val="26"/>
          <w:szCs w:val="26"/>
          <w:lang w:val="es-ES" w:eastAsia="en-US"/>
        </w:rPr>
        <w:t xml:space="preserve">y, dado que, al impugnarse la resolución recaída al recurso, </w:t>
      </w:r>
      <w:r w:rsidR="00E17646" w:rsidRPr="00E17646">
        <w:rPr>
          <w:rFonts w:ascii="Arial" w:eastAsiaTheme="minorHAnsi" w:hAnsi="Arial" w:cs="Arial"/>
          <w:bCs/>
          <w:sz w:val="26"/>
          <w:szCs w:val="26"/>
          <w:lang w:val="es-ES" w:eastAsia="en-US"/>
        </w:rPr>
        <w:t>debe</w:t>
      </w:r>
      <w:r w:rsidR="00E17646">
        <w:rPr>
          <w:rFonts w:ascii="Arial" w:eastAsiaTheme="minorHAnsi" w:hAnsi="Arial" w:cs="Arial"/>
          <w:bCs/>
          <w:sz w:val="26"/>
          <w:szCs w:val="26"/>
          <w:lang w:val="es-ES" w:eastAsia="en-US"/>
        </w:rPr>
        <w:t xml:space="preserve"> entenderse que también se </w:t>
      </w:r>
      <w:r w:rsidR="00E17646" w:rsidRPr="00E17646">
        <w:rPr>
          <w:rFonts w:ascii="Arial" w:eastAsiaTheme="minorHAnsi" w:hAnsi="Arial" w:cs="Arial"/>
          <w:bCs/>
          <w:sz w:val="26"/>
          <w:szCs w:val="26"/>
          <w:lang w:val="es-ES" w:eastAsia="en-US"/>
        </w:rPr>
        <w:t>controvierte</w:t>
      </w:r>
      <w:r w:rsidR="00E17646">
        <w:rPr>
          <w:rFonts w:ascii="Arial" w:eastAsiaTheme="minorHAnsi" w:hAnsi="Arial" w:cs="Arial"/>
          <w:bCs/>
          <w:sz w:val="26"/>
          <w:szCs w:val="26"/>
          <w:lang w:val="es-ES" w:eastAsia="en-US"/>
        </w:rPr>
        <w:t xml:space="preserve"> la recurrida, consecuentemente también se declara la nulidad lisa y llana de la resolución de quince de agosto de dos mil catorce emitida en el expediente </w:t>
      </w:r>
      <w:r w:rsidR="00E17646" w:rsidRPr="00E17646">
        <w:rPr>
          <w:rFonts w:ascii="Arial" w:eastAsiaTheme="minorHAnsi" w:hAnsi="Arial" w:cs="Arial"/>
          <w:bCs/>
          <w:sz w:val="26"/>
          <w:szCs w:val="26"/>
          <w:lang w:val="es-ES" w:eastAsia="en-US"/>
        </w:rPr>
        <w:t>administrativo</w:t>
      </w:r>
      <w:r w:rsidR="00E17646">
        <w:rPr>
          <w:rFonts w:ascii="Arial" w:eastAsiaTheme="minorHAnsi" w:hAnsi="Arial" w:cs="Arial"/>
          <w:bCs/>
          <w:sz w:val="26"/>
          <w:szCs w:val="26"/>
          <w:lang w:val="es-ES" w:eastAsia="en-US"/>
        </w:rPr>
        <w:t xml:space="preserve"> de responsabilidad administrativa disciplinaria número 357/RA/2012, por el Director de Procedimiento </w:t>
      </w:r>
      <w:r w:rsidR="00AB70CA">
        <w:rPr>
          <w:rFonts w:ascii="Arial" w:eastAsiaTheme="minorHAnsi" w:hAnsi="Arial" w:cs="Arial"/>
          <w:bCs/>
          <w:sz w:val="26"/>
          <w:szCs w:val="26"/>
          <w:lang w:val="es-ES" w:eastAsia="en-US"/>
        </w:rPr>
        <w:t>J</w:t>
      </w:r>
      <w:r w:rsidR="00E17646">
        <w:rPr>
          <w:rFonts w:ascii="Arial" w:eastAsiaTheme="minorHAnsi" w:hAnsi="Arial" w:cs="Arial"/>
          <w:bCs/>
          <w:sz w:val="26"/>
          <w:szCs w:val="26"/>
          <w:lang w:val="es-ES" w:eastAsia="en-US"/>
        </w:rPr>
        <w:t>urídico de la misma Secretar</w:t>
      </w:r>
      <w:r w:rsidR="00D70511">
        <w:rPr>
          <w:rFonts w:ascii="Arial" w:eastAsiaTheme="minorHAnsi" w:hAnsi="Arial" w:cs="Arial"/>
          <w:bCs/>
          <w:sz w:val="26"/>
          <w:szCs w:val="26"/>
          <w:lang w:val="es-ES" w:eastAsia="en-US"/>
        </w:rPr>
        <w:t>í</w:t>
      </w:r>
      <w:r w:rsidR="00E17646">
        <w:rPr>
          <w:rFonts w:ascii="Arial" w:eastAsiaTheme="minorHAnsi" w:hAnsi="Arial" w:cs="Arial"/>
          <w:bCs/>
          <w:sz w:val="26"/>
          <w:szCs w:val="26"/>
          <w:lang w:val="es-ES" w:eastAsia="en-US"/>
        </w:rPr>
        <w:t>a de la Contraloría y Transparencia Gubernamental del Estado de Oaxaca, por las consideraciones expuestas en párrafos que anteceden</w:t>
      </w:r>
      <w:r w:rsidRPr="00AA4698">
        <w:rPr>
          <w:rFonts w:ascii="Arial" w:eastAsiaTheme="minorHAnsi" w:hAnsi="Arial" w:cs="Arial"/>
          <w:sz w:val="26"/>
          <w:szCs w:val="26"/>
          <w:lang w:val="es-ES" w:eastAsia="en-US"/>
        </w:rPr>
        <w:t xml:space="preserve">. </w:t>
      </w:r>
      <w:r w:rsidR="00F61E49">
        <w:rPr>
          <w:rFonts w:ascii="Arial" w:eastAsiaTheme="minorHAnsi" w:hAnsi="Arial" w:cs="Arial"/>
          <w:sz w:val="26"/>
          <w:szCs w:val="26"/>
          <w:lang w:val="es-ES" w:eastAsia="en-US"/>
        </w:rPr>
        <w:t xml:space="preserve">- - - - - - - - - - - - </w:t>
      </w:r>
    </w:p>
    <w:p w14:paraId="1A157F5D" w14:textId="5CDEBDC2" w:rsidR="00AA4698" w:rsidRPr="00AA4698" w:rsidRDefault="00AA4698" w:rsidP="00AA4698">
      <w:pPr>
        <w:spacing w:after="0" w:line="360" w:lineRule="auto"/>
        <w:ind w:firstLine="708"/>
        <w:jc w:val="both"/>
        <w:rPr>
          <w:rFonts w:ascii="Arial" w:eastAsiaTheme="minorHAnsi" w:hAnsi="Arial" w:cs="Arial"/>
          <w:bCs/>
          <w:sz w:val="26"/>
          <w:szCs w:val="26"/>
          <w:lang w:val="es-ES" w:eastAsia="en-US"/>
        </w:rPr>
      </w:pPr>
      <w:r w:rsidRPr="00AA4698">
        <w:rPr>
          <w:rFonts w:ascii="Arial" w:eastAsiaTheme="minorHAnsi" w:hAnsi="Arial" w:cs="Arial"/>
          <w:bCs/>
          <w:color w:val="000000"/>
          <w:sz w:val="26"/>
          <w:szCs w:val="26"/>
          <w:lang w:val="es-ES" w:eastAsia="en-US"/>
        </w:rPr>
        <w:t>Se invoca en apoyo, la Jurisprudencia, Novena Época, con número de registro 177347, publicada en la Gaceta del Semanario Judicial de la Federación, Tomo XXII, Septiembre 2005, página 310, materia administrativa, bajo el rubro y texto siguiente:</w:t>
      </w:r>
      <w:r w:rsidRPr="00AA4698">
        <w:rPr>
          <w:rFonts w:ascii="Arial" w:eastAsiaTheme="minorHAnsi" w:hAnsi="Arial" w:cs="Arial"/>
          <w:bCs/>
          <w:sz w:val="26"/>
          <w:szCs w:val="26"/>
          <w:lang w:val="es-ES" w:eastAsia="en-US"/>
        </w:rPr>
        <w:t xml:space="preserve"> </w:t>
      </w:r>
      <w:r w:rsidR="004138DC">
        <w:rPr>
          <w:rFonts w:ascii="Arial" w:eastAsiaTheme="minorHAnsi" w:hAnsi="Arial" w:cs="Arial"/>
          <w:bCs/>
          <w:sz w:val="26"/>
          <w:szCs w:val="26"/>
          <w:lang w:val="es-ES" w:eastAsia="en-US"/>
        </w:rPr>
        <w:t xml:space="preserve">- - - - - - - - - - - - - </w:t>
      </w:r>
    </w:p>
    <w:p w14:paraId="45C3DCAA" w14:textId="77777777" w:rsidR="00AA4698" w:rsidRPr="00AA4698" w:rsidRDefault="00AA4698" w:rsidP="00AA4698">
      <w:pPr>
        <w:spacing w:after="0" w:line="240" w:lineRule="auto"/>
        <w:ind w:left="851" w:right="900"/>
        <w:jc w:val="both"/>
        <w:rPr>
          <w:rFonts w:ascii="Arial" w:eastAsiaTheme="minorHAnsi" w:hAnsi="Arial" w:cs="Arial"/>
          <w:bCs/>
          <w:sz w:val="26"/>
          <w:szCs w:val="26"/>
          <w:lang w:val="es-ES" w:eastAsia="en-US"/>
        </w:rPr>
      </w:pPr>
    </w:p>
    <w:p w14:paraId="37958F79" w14:textId="77777777" w:rsidR="002A797D" w:rsidRDefault="002A797D" w:rsidP="00AA4698">
      <w:pPr>
        <w:widowControl w:val="0"/>
        <w:autoSpaceDE w:val="0"/>
        <w:autoSpaceDN w:val="0"/>
        <w:adjustRightInd w:val="0"/>
        <w:spacing w:after="0" w:line="240" w:lineRule="auto"/>
        <w:ind w:left="851"/>
        <w:jc w:val="both"/>
        <w:rPr>
          <w:rFonts w:ascii="Arial" w:eastAsiaTheme="minorHAnsi" w:hAnsi="Arial" w:cs="Arial"/>
          <w:b/>
          <w:i/>
          <w:color w:val="000000"/>
          <w:lang w:val="es-ES" w:eastAsia="en-US"/>
        </w:rPr>
      </w:pPr>
    </w:p>
    <w:p w14:paraId="05F54359" w14:textId="0C912719" w:rsidR="00AA4698" w:rsidRPr="004138DC" w:rsidRDefault="00AA4698" w:rsidP="00AA4698">
      <w:pPr>
        <w:widowControl w:val="0"/>
        <w:autoSpaceDE w:val="0"/>
        <w:autoSpaceDN w:val="0"/>
        <w:adjustRightInd w:val="0"/>
        <w:spacing w:after="0" w:line="240" w:lineRule="auto"/>
        <w:ind w:left="851"/>
        <w:jc w:val="both"/>
        <w:rPr>
          <w:rFonts w:ascii="Arial" w:eastAsiaTheme="minorHAnsi" w:hAnsi="Arial" w:cs="Arial"/>
          <w:i/>
          <w:color w:val="000000"/>
          <w:lang w:val="es-ES" w:eastAsia="en-US"/>
        </w:rPr>
      </w:pPr>
      <w:r w:rsidRPr="004138DC">
        <w:rPr>
          <w:rFonts w:ascii="Arial" w:eastAsiaTheme="minorHAnsi" w:hAnsi="Arial" w:cs="Arial"/>
          <w:b/>
          <w:i/>
          <w:color w:val="000000"/>
          <w:lang w:val="es-ES"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4138DC">
        <w:rPr>
          <w:rFonts w:ascii="Arial" w:eastAsiaTheme="minorHAnsi" w:hAnsi="Arial" w:cs="Arial"/>
          <w:i/>
          <w:color w:val="000000"/>
          <w:lang w:val="es-ES" w:eastAsia="en-US"/>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4138DC">
        <w:rPr>
          <w:rFonts w:ascii="Arial" w:eastAsiaTheme="minorHAnsi" w:hAnsi="Arial" w:cs="Arial"/>
          <w:i/>
          <w:color w:val="000000"/>
          <w:lang w:val="es-ES" w:eastAsia="en-US"/>
        </w:rPr>
        <w:t>subinciso</w:t>
      </w:r>
      <w:proofErr w:type="spellEnd"/>
      <w:r w:rsidRPr="004138DC">
        <w:rPr>
          <w:rFonts w:ascii="Arial" w:eastAsiaTheme="minorHAnsi" w:hAnsi="Arial" w:cs="Arial"/>
          <w:i/>
          <w:color w:val="000000"/>
          <w:lang w:val="es-ES" w:eastAsia="en-US"/>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D255BCA" w14:textId="77777777" w:rsidR="00AA4698" w:rsidRPr="00AA4698" w:rsidRDefault="00AA4698" w:rsidP="00AA4698">
      <w:pPr>
        <w:spacing w:after="0" w:line="360" w:lineRule="auto"/>
        <w:ind w:left="851" w:right="900"/>
        <w:jc w:val="both"/>
        <w:rPr>
          <w:rFonts w:ascii="Arial" w:eastAsiaTheme="minorHAnsi" w:hAnsi="Arial" w:cs="Arial"/>
          <w:bCs/>
          <w:sz w:val="24"/>
          <w:szCs w:val="24"/>
          <w:lang w:val="es-ES" w:eastAsia="en-US"/>
        </w:rPr>
      </w:pPr>
    </w:p>
    <w:p w14:paraId="578CAF8B" w14:textId="5B31C1ED" w:rsidR="00284F91" w:rsidRDefault="00284F91" w:rsidP="00284F91">
      <w:pPr>
        <w:spacing w:line="360" w:lineRule="auto"/>
        <w:ind w:firstLine="360"/>
        <w:jc w:val="both"/>
        <w:rPr>
          <w:rFonts w:ascii="Arial" w:eastAsia="Calibri" w:hAnsi="Arial" w:cs="Arial"/>
          <w:sz w:val="26"/>
          <w:szCs w:val="26"/>
          <w:lang w:eastAsia="en-US"/>
        </w:rPr>
      </w:pPr>
      <w:r w:rsidRPr="00284F91">
        <w:rPr>
          <w:rFonts w:ascii="Arial" w:eastAsia="Calibri" w:hAnsi="Arial" w:cs="Arial"/>
          <w:sz w:val="26"/>
          <w:szCs w:val="26"/>
          <w:lang w:eastAsia="en-US"/>
        </w:rPr>
        <w:t xml:space="preserve">De igual forma sirve de apoyo al caso en estudio, la jurisprudencia </w:t>
      </w:r>
      <w:r>
        <w:rPr>
          <w:rFonts w:ascii="Arial" w:eastAsia="Calibri" w:hAnsi="Arial" w:cs="Arial"/>
          <w:sz w:val="26"/>
          <w:szCs w:val="26"/>
          <w:lang w:eastAsia="en-US"/>
        </w:rPr>
        <w:t xml:space="preserve">en materia común, número </w:t>
      </w:r>
      <w:r w:rsidRPr="00284F91">
        <w:rPr>
          <w:rFonts w:ascii="Arial" w:eastAsia="Calibri" w:hAnsi="Arial" w:cs="Arial"/>
          <w:sz w:val="26"/>
          <w:szCs w:val="26"/>
          <w:lang w:eastAsia="en-US"/>
        </w:rPr>
        <w:t>I.3º.C. J/47</w:t>
      </w:r>
      <w:r>
        <w:rPr>
          <w:rFonts w:ascii="Arial" w:eastAsia="Calibri" w:hAnsi="Arial" w:cs="Arial"/>
          <w:sz w:val="26"/>
          <w:szCs w:val="26"/>
          <w:lang w:eastAsia="en-US"/>
        </w:rPr>
        <w:t xml:space="preserve">, con número e registro digital 170307, de los Tribunales </w:t>
      </w:r>
      <w:r w:rsidRPr="00284F91">
        <w:rPr>
          <w:rFonts w:ascii="Arial" w:eastAsia="Calibri" w:hAnsi="Arial" w:cs="Arial"/>
          <w:sz w:val="26"/>
          <w:szCs w:val="26"/>
          <w:lang w:eastAsia="en-US"/>
        </w:rPr>
        <w:t>Colegiado</w:t>
      </w:r>
      <w:r>
        <w:rPr>
          <w:rFonts w:ascii="Arial" w:eastAsia="Calibri" w:hAnsi="Arial" w:cs="Arial"/>
          <w:sz w:val="26"/>
          <w:szCs w:val="26"/>
          <w:lang w:eastAsia="en-US"/>
        </w:rPr>
        <w:t>s</w:t>
      </w:r>
      <w:r w:rsidRPr="00284F91">
        <w:rPr>
          <w:rFonts w:ascii="Arial" w:eastAsia="Calibri" w:hAnsi="Arial" w:cs="Arial"/>
          <w:sz w:val="26"/>
          <w:szCs w:val="26"/>
          <w:lang w:eastAsia="en-US"/>
        </w:rPr>
        <w:t xml:space="preserve"> </w:t>
      </w:r>
      <w:r>
        <w:rPr>
          <w:rFonts w:ascii="Arial" w:eastAsia="Calibri" w:hAnsi="Arial" w:cs="Arial"/>
          <w:sz w:val="26"/>
          <w:szCs w:val="26"/>
          <w:lang w:eastAsia="en-US"/>
        </w:rPr>
        <w:t>de Circuito,</w:t>
      </w:r>
      <w:r w:rsidRPr="00284F91">
        <w:rPr>
          <w:rFonts w:ascii="Arial" w:eastAsia="Calibri" w:hAnsi="Arial" w:cs="Arial"/>
          <w:sz w:val="26"/>
          <w:szCs w:val="26"/>
          <w:lang w:eastAsia="en-US"/>
        </w:rPr>
        <w:t xml:space="preserve"> emitida en la </w:t>
      </w:r>
      <w:r>
        <w:rPr>
          <w:rFonts w:ascii="Arial" w:eastAsia="Calibri" w:hAnsi="Arial" w:cs="Arial"/>
          <w:sz w:val="26"/>
          <w:szCs w:val="26"/>
          <w:lang w:eastAsia="en-US"/>
        </w:rPr>
        <w:t>N</w:t>
      </w:r>
      <w:r w:rsidRPr="00284F91">
        <w:rPr>
          <w:rFonts w:ascii="Arial" w:eastAsia="Calibri" w:hAnsi="Arial" w:cs="Arial"/>
          <w:sz w:val="26"/>
          <w:szCs w:val="26"/>
          <w:lang w:eastAsia="en-US"/>
        </w:rPr>
        <w:t xml:space="preserve">ovena </w:t>
      </w:r>
      <w:r>
        <w:rPr>
          <w:rFonts w:ascii="Arial" w:eastAsia="Calibri" w:hAnsi="Arial" w:cs="Arial"/>
          <w:sz w:val="26"/>
          <w:szCs w:val="26"/>
          <w:lang w:eastAsia="en-US"/>
        </w:rPr>
        <w:t>É</w:t>
      </w:r>
      <w:r w:rsidRPr="00284F91">
        <w:rPr>
          <w:rFonts w:ascii="Arial" w:eastAsia="Calibri" w:hAnsi="Arial" w:cs="Arial"/>
          <w:sz w:val="26"/>
          <w:szCs w:val="26"/>
          <w:lang w:eastAsia="en-US"/>
        </w:rPr>
        <w:t xml:space="preserve">poca, publicada en el Semanario Judicial de la Federación y su Gaceta </w:t>
      </w:r>
      <w:r>
        <w:rPr>
          <w:rFonts w:ascii="Arial" w:eastAsia="Calibri" w:hAnsi="Arial" w:cs="Arial"/>
          <w:sz w:val="26"/>
          <w:szCs w:val="26"/>
          <w:lang w:eastAsia="en-US"/>
        </w:rPr>
        <w:t xml:space="preserve">en el </w:t>
      </w:r>
      <w:r w:rsidRPr="00284F91">
        <w:rPr>
          <w:rFonts w:ascii="Arial" w:eastAsia="Calibri" w:hAnsi="Arial" w:cs="Arial"/>
          <w:sz w:val="26"/>
          <w:szCs w:val="26"/>
          <w:lang w:eastAsia="en-US"/>
        </w:rPr>
        <w:t>Tomo XXVII</w:t>
      </w:r>
      <w:r>
        <w:rPr>
          <w:rFonts w:ascii="Arial" w:eastAsia="Calibri" w:hAnsi="Arial" w:cs="Arial"/>
          <w:sz w:val="26"/>
          <w:szCs w:val="26"/>
          <w:lang w:eastAsia="en-US"/>
        </w:rPr>
        <w:t>,</w:t>
      </w:r>
      <w:r w:rsidRPr="00284F91">
        <w:rPr>
          <w:rFonts w:ascii="Arial" w:eastAsia="Calibri" w:hAnsi="Arial" w:cs="Arial"/>
          <w:sz w:val="26"/>
          <w:szCs w:val="26"/>
          <w:lang w:eastAsia="en-US"/>
        </w:rPr>
        <w:t xml:space="preserve"> de </w:t>
      </w:r>
      <w:r>
        <w:rPr>
          <w:rFonts w:ascii="Arial" w:eastAsia="Calibri" w:hAnsi="Arial" w:cs="Arial"/>
          <w:sz w:val="26"/>
          <w:szCs w:val="26"/>
          <w:lang w:eastAsia="en-US"/>
        </w:rPr>
        <w:t>F</w:t>
      </w:r>
      <w:r w:rsidRPr="00284F91">
        <w:rPr>
          <w:rFonts w:ascii="Arial" w:eastAsia="Calibri" w:hAnsi="Arial" w:cs="Arial"/>
          <w:sz w:val="26"/>
          <w:szCs w:val="26"/>
          <w:lang w:eastAsia="en-US"/>
        </w:rPr>
        <w:t>ebrero de 2008, consultable a página 1964 bajo el rubro y texto del tenor literal siguientes:</w:t>
      </w:r>
      <w:r w:rsidR="00C34101">
        <w:rPr>
          <w:rFonts w:ascii="Arial" w:eastAsia="Calibri" w:hAnsi="Arial" w:cs="Arial"/>
          <w:sz w:val="26"/>
          <w:szCs w:val="26"/>
          <w:lang w:eastAsia="en-US"/>
        </w:rPr>
        <w:t xml:space="preserve"> - - - - - - - - - - - - - - - - - - - - - -</w:t>
      </w:r>
    </w:p>
    <w:p w14:paraId="46D9A3BE" w14:textId="5BE85DD4" w:rsidR="00284F91" w:rsidRPr="00C34101" w:rsidRDefault="00284F91" w:rsidP="00284F91">
      <w:pPr>
        <w:shd w:val="clear" w:color="auto" w:fill="FFFFFF"/>
        <w:spacing w:before="100" w:beforeAutospacing="1" w:after="100" w:afterAutospacing="1" w:line="240" w:lineRule="auto"/>
        <w:ind w:left="567" w:right="616"/>
        <w:jc w:val="both"/>
        <w:rPr>
          <w:rFonts w:ascii="Arial" w:eastAsia="Times New Roman" w:hAnsi="Arial" w:cs="Arial"/>
          <w:i/>
          <w:iCs/>
        </w:rPr>
      </w:pPr>
      <w:r w:rsidRPr="00C34101">
        <w:rPr>
          <w:rFonts w:ascii="Arial" w:eastAsia="Times New Roman" w:hAnsi="Arial" w:cs="Arial"/>
          <w:b/>
          <w:bCs/>
          <w:i/>
          <w:iCs/>
        </w:rPr>
        <w:t xml:space="preserve">“FUNDAMENTACIÓN Y MOTIVACIÓN. LA DIFERENCIA ENTRE LA FALTA Y LA INDEBIDA SATISFACCIÓN DE AMBOS REQUISITOS CONSTITUCIONALES TRASCIENDE AL ORDEN EN QUE DEBEN ESTUDIARSE LOS CONCEPTOS DE VIOLACIÓN Y A LOS EFECTOS DEL FALLO PROTECTOR. </w:t>
      </w:r>
      <w:r w:rsidRPr="00C34101">
        <w:rPr>
          <w:rFonts w:ascii="Arial" w:eastAsia="Times New Roman" w:hAnsi="Arial" w:cs="Arial"/>
          <w:i/>
          <w:iCs/>
        </w:rPr>
        <w:t xml:space="preserve">La falta de fundamentación y motivación es una violación formal diversa a la indebida o incorrecta fundamentación y motivación, que es una violación material o de fondo, siendo distintos los efectos que genera la </w:t>
      </w:r>
      <w:r w:rsidRPr="00C34101">
        <w:rPr>
          <w:rFonts w:ascii="Arial" w:eastAsia="Times New Roman" w:hAnsi="Arial" w:cs="Arial"/>
          <w:i/>
          <w:iCs/>
        </w:rPr>
        <w:lastRenderedPageBreak/>
        <w:t>existencia de una u otra, por lo que el estudio de aquella omisión debe hacerse de manera previa. En efecto, el artículo </w:t>
      </w:r>
      <w:hyperlink r:id="rId11" w:history="1">
        <w:r w:rsidRPr="00C34101">
          <w:rPr>
            <w:rFonts w:ascii="Arial" w:eastAsia="Times New Roman" w:hAnsi="Arial" w:cs="Arial"/>
            <w:i/>
            <w:iCs/>
          </w:rPr>
          <w:t>16 constitucional</w:t>
        </w:r>
      </w:hyperlink>
      <w:r w:rsidRPr="00C34101">
        <w:rPr>
          <w:rFonts w:ascii="Arial" w:eastAsia="Times New Roman" w:hAnsi="Arial" w:cs="Arial"/>
          <w:i/>
          <w:iCs/>
        </w:rPr>
        <w:t>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34E22A3B" w14:textId="09B2196F" w:rsidR="00AA4698" w:rsidRPr="00AA4698" w:rsidRDefault="00AA4698" w:rsidP="00AA4698">
      <w:pPr>
        <w:tabs>
          <w:tab w:val="left" w:pos="3828"/>
        </w:tabs>
        <w:spacing w:line="360" w:lineRule="auto"/>
        <w:ind w:firstLine="709"/>
        <w:jc w:val="both"/>
        <w:rPr>
          <w:rFonts w:ascii="Arial" w:eastAsiaTheme="minorHAnsi" w:hAnsi="Arial" w:cs="Arial"/>
          <w:sz w:val="26"/>
          <w:szCs w:val="26"/>
          <w:lang w:eastAsia="en-US"/>
        </w:rPr>
      </w:pPr>
      <w:r w:rsidRPr="00AA4698">
        <w:rPr>
          <w:rFonts w:ascii="Arial" w:eastAsiaTheme="minorHAnsi" w:hAnsi="Arial" w:cs="Arial"/>
          <w:sz w:val="26"/>
          <w:szCs w:val="26"/>
          <w:lang w:eastAsia="en-US"/>
        </w:rPr>
        <w:t xml:space="preserve">En mérito de lo anterior, lo procedente es </w:t>
      </w:r>
      <w:r w:rsidRPr="00AA4698">
        <w:rPr>
          <w:rFonts w:ascii="Arial" w:eastAsiaTheme="minorHAnsi" w:hAnsi="Arial" w:cs="Arial"/>
          <w:b/>
          <w:color w:val="000000"/>
          <w:sz w:val="26"/>
          <w:szCs w:val="26"/>
          <w:lang w:eastAsia="en-US"/>
        </w:rPr>
        <w:t>REVOCAR</w:t>
      </w:r>
      <w:r w:rsidRPr="00AA4698">
        <w:rPr>
          <w:rFonts w:ascii="Arial" w:eastAsiaTheme="minorHAnsi" w:hAnsi="Arial" w:cs="Arial"/>
          <w:color w:val="000000"/>
          <w:sz w:val="26"/>
          <w:szCs w:val="26"/>
          <w:lang w:eastAsia="en-US"/>
        </w:rPr>
        <w:t xml:space="preserve"> la sentencia sujeta a revisión, en los términos precisados por esta Sala Superior, por tanto, </w:t>
      </w:r>
      <w:r w:rsidRPr="00AA4698">
        <w:rPr>
          <w:rFonts w:ascii="Arial" w:eastAsiaTheme="minorHAnsi" w:hAnsi="Arial" w:cs="Arial"/>
          <w:sz w:val="26"/>
          <w:szCs w:val="26"/>
          <w:lang w:eastAsia="en-US"/>
        </w:rPr>
        <w:t>con fundamento en lo dispuesto por los artículos 207 y 208 de la Ley de Justicia Administrativa para el Estado de Oaxaca,</w:t>
      </w:r>
      <w:r w:rsidR="00C110D3" w:rsidRPr="00C110D3">
        <w:rPr>
          <w:rFonts w:ascii="Arial" w:eastAsiaTheme="minorHAnsi" w:hAnsi="Arial" w:cs="Arial"/>
          <w:bCs/>
          <w:sz w:val="26"/>
          <w:szCs w:val="26"/>
          <w:lang w:val="es-ES" w:eastAsia="en-US"/>
        </w:rPr>
        <w:t xml:space="preserve"> vigente al inicio del juicio</w:t>
      </w:r>
      <w:r w:rsidR="00C110D3" w:rsidRPr="00C110D3">
        <w:rPr>
          <w:rFonts w:ascii="Arial" w:eastAsiaTheme="minorHAnsi" w:hAnsi="Arial" w:cs="Arial"/>
          <w:sz w:val="26"/>
          <w:szCs w:val="26"/>
          <w:lang w:eastAsia="en-US"/>
        </w:rPr>
        <w:t xml:space="preserve"> </w:t>
      </w:r>
      <w:r w:rsidRPr="00AA4698">
        <w:rPr>
          <w:rFonts w:ascii="Arial" w:eastAsiaTheme="minorHAnsi" w:hAnsi="Arial" w:cs="Arial"/>
          <w:sz w:val="26"/>
          <w:szCs w:val="26"/>
          <w:lang w:eastAsia="en-US"/>
        </w:rPr>
        <w:t>se:</w:t>
      </w:r>
      <w:r w:rsidR="001D2051">
        <w:rPr>
          <w:rFonts w:ascii="Arial" w:eastAsiaTheme="minorHAnsi" w:hAnsi="Arial" w:cs="Arial"/>
          <w:sz w:val="26"/>
          <w:szCs w:val="26"/>
          <w:lang w:eastAsia="en-US"/>
        </w:rPr>
        <w:t xml:space="preserve"> - - - - - - - - - - - - - - - - - - - - - - - - - - - - - - - - - - - - - - - - - - -</w:t>
      </w:r>
    </w:p>
    <w:p w14:paraId="637ADDC5" w14:textId="77777777" w:rsidR="00AA4698" w:rsidRPr="00AA4698" w:rsidRDefault="00AA4698" w:rsidP="00AA4698">
      <w:pPr>
        <w:keepNext/>
        <w:keepLines/>
        <w:spacing w:after="0" w:line="360" w:lineRule="auto"/>
        <w:jc w:val="center"/>
        <w:outlineLvl w:val="0"/>
        <w:rPr>
          <w:rFonts w:ascii="Arial" w:eastAsiaTheme="majorEastAsia" w:hAnsi="Arial" w:cs="Arial"/>
          <w:b/>
          <w:bCs/>
          <w:sz w:val="26"/>
          <w:szCs w:val="26"/>
          <w:lang w:eastAsia="en-US"/>
        </w:rPr>
      </w:pPr>
      <w:r w:rsidRPr="00AA4698">
        <w:rPr>
          <w:rFonts w:ascii="Arial" w:eastAsiaTheme="majorEastAsia" w:hAnsi="Arial" w:cs="Arial"/>
          <w:b/>
          <w:bCs/>
          <w:sz w:val="26"/>
          <w:szCs w:val="26"/>
          <w:lang w:eastAsia="en-US"/>
        </w:rPr>
        <w:t>R E S U E L V E</w:t>
      </w:r>
    </w:p>
    <w:p w14:paraId="7B9AA99A" w14:textId="12841ADD" w:rsidR="00AA4698" w:rsidRPr="00E571CA" w:rsidRDefault="00AA4698" w:rsidP="00AA4698">
      <w:pPr>
        <w:spacing w:before="240" w:line="360" w:lineRule="auto"/>
        <w:ind w:firstLine="709"/>
        <w:jc w:val="both"/>
        <w:rPr>
          <w:rFonts w:ascii="Arial" w:eastAsiaTheme="minorHAnsi" w:hAnsi="Arial" w:cs="Arial"/>
          <w:b/>
          <w:sz w:val="26"/>
          <w:szCs w:val="26"/>
          <w:lang w:eastAsia="en-US"/>
        </w:rPr>
      </w:pPr>
      <w:r w:rsidRPr="00AA4698">
        <w:rPr>
          <w:rFonts w:ascii="Arial" w:eastAsiaTheme="minorHAnsi" w:hAnsi="Arial" w:cs="Arial"/>
          <w:b/>
          <w:sz w:val="26"/>
          <w:szCs w:val="26"/>
          <w:lang w:eastAsia="en-US"/>
        </w:rPr>
        <w:t xml:space="preserve">PRIMERO. </w:t>
      </w:r>
      <w:r w:rsidRPr="00AA4698">
        <w:rPr>
          <w:rFonts w:ascii="Arial" w:eastAsiaTheme="minorHAnsi" w:hAnsi="Arial" w:cs="Arial"/>
          <w:sz w:val="26"/>
          <w:szCs w:val="26"/>
          <w:lang w:eastAsia="en-US"/>
        </w:rPr>
        <w:t xml:space="preserve">Se </w:t>
      </w:r>
      <w:r w:rsidRPr="00AA4698">
        <w:rPr>
          <w:rFonts w:ascii="Arial" w:eastAsiaTheme="minorHAnsi" w:hAnsi="Arial" w:cs="Arial"/>
          <w:b/>
          <w:sz w:val="26"/>
          <w:szCs w:val="26"/>
          <w:lang w:eastAsia="en-US"/>
        </w:rPr>
        <w:t xml:space="preserve">REVOCA </w:t>
      </w:r>
      <w:r w:rsidRPr="00AA4698">
        <w:rPr>
          <w:rFonts w:ascii="Arial" w:eastAsiaTheme="minorHAnsi" w:hAnsi="Arial" w:cs="Arial"/>
          <w:sz w:val="26"/>
          <w:szCs w:val="26"/>
          <w:lang w:val="es-ES" w:eastAsia="en-US"/>
        </w:rPr>
        <w:t xml:space="preserve">la sentencia </w:t>
      </w:r>
      <w:r w:rsidR="00652C24" w:rsidRPr="00284F91">
        <w:rPr>
          <w:rFonts w:ascii="Arial" w:eastAsiaTheme="minorHAnsi" w:hAnsi="Arial" w:cs="Arial"/>
          <w:sz w:val="26"/>
          <w:szCs w:val="26"/>
          <w:lang w:val="es-ES" w:eastAsia="en-US"/>
        </w:rPr>
        <w:t>alzada</w:t>
      </w:r>
      <w:r w:rsidR="00652C24">
        <w:rPr>
          <w:rFonts w:ascii="Arial" w:eastAsiaTheme="minorHAnsi" w:hAnsi="Arial" w:cs="Arial"/>
          <w:sz w:val="26"/>
          <w:szCs w:val="26"/>
          <w:lang w:val="es-ES" w:eastAsia="en-US"/>
        </w:rPr>
        <w:t>,</w:t>
      </w:r>
      <w:r w:rsidRPr="00AA4698">
        <w:rPr>
          <w:rFonts w:ascii="Arial" w:eastAsiaTheme="minorHAnsi" w:hAnsi="Arial" w:cs="Arial"/>
          <w:b/>
          <w:bCs/>
          <w:color w:val="000000"/>
          <w:sz w:val="26"/>
          <w:szCs w:val="26"/>
          <w:lang w:val="es-ES" w:eastAsia="en-US"/>
        </w:rPr>
        <w:t xml:space="preserve"> </w:t>
      </w:r>
      <w:r w:rsidRPr="00AA4698">
        <w:rPr>
          <w:rFonts w:ascii="Arial" w:eastAsiaTheme="minorHAnsi" w:hAnsi="Arial" w:cs="Arial"/>
          <w:bCs/>
          <w:color w:val="000000"/>
          <w:sz w:val="26"/>
          <w:szCs w:val="26"/>
          <w:lang w:val="es-ES" w:eastAsia="en-US"/>
        </w:rPr>
        <w:t xml:space="preserve">por las razones expuestas en el considerando </w:t>
      </w:r>
      <w:r w:rsidR="00E6139B" w:rsidRPr="00E571CA">
        <w:rPr>
          <w:rFonts w:ascii="Arial" w:eastAsiaTheme="minorHAnsi" w:hAnsi="Arial" w:cs="Arial"/>
          <w:b/>
          <w:color w:val="000000"/>
          <w:sz w:val="26"/>
          <w:szCs w:val="26"/>
          <w:lang w:val="es-ES" w:eastAsia="en-US"/>
        </w:rPr>
        <w:t>cuart</w:t>
      </w:r>
      <w:r w:rsidRPr="00E571CA">
        <w:rPr>
          <w:rFonts w:ascii="Arial" w:eastAsiaTheme="minorHAnsi" w:hAnsi="Arial" w:cs="Arial"/>
          <w:b/>
          <w:color w:val="000000"/>
          <w:sz w:val="26"/>
          <w:szCs w:val="26"/>
          <w:lang w:val="es-ES" w:eastAsia="en-US"/>
        </w:rPr>
        <w:t xml:space="preserve">o. </w:t>
      </w:r>
      <w:r w:rsidRPr="00E571CA">
        <w:rPr>
          <w:rFonts w:ascii="Arial" w:eastAsiaTheme="minorHAnsi" w:hAnsi="Arial" w:cs="Arial"/>
          <w:b/>
          <w:sz w:val="26"/>
          <w:szCs w:val="26"/>
          <w:lang w:val="es-ES" w:eastAsia="en-US"/>
        </w:rPr>
        <w:t>- - - - - - - - - - - - - - - - - - - - - -</w:t>
      </w:r>
    </w:p>
    <w:p w14:paraId="77696D61" w14:textId="27C04048" w:rsidR="00AA4698" w:rsidRPr="00AA4698" w:rsidRDefault="00AA4698" w:rsidP="005B308C">
      <w:pPr>
        <w:tabs>
          <w:tab w:val="left" w:pos="3828"/>
        </w:tabs>
        <w:spacing w:line="360" w:lineRule="auto"/>
        <w:ind w:firstLine="709"/>
        <w:jc w:val="both"/>
        <w:rPr>
          <w:rFonts w:ascii="Arial" w:eastAsiaTheme="minorHAnsi" w:hAnsi="Arial" w:cs="Arial"/>
          <w:sz w:val="26"/>
          <w:szCs w:val="26"/>
          <w:lang w:val="es-ES" w:eastAsia="en-US"/>
        </w:rPr>
      </w:pPr>
      <w:r w:rsidRPr="00E571CA">
        <w:rPr>
          <w:rFonts w:ascii="Arial" w:eastAsiaTheme="minorHAnsi" w:hAnsi="Arial" w:cs="Arial"/>
          <w:b/>
          <w:sz w:val="26"/>
          <w:szCs w:val="26"/>
          <w:lang w:val="es-ES" w:eastAsia="en-US"/>
        </w:rPr>
        <w:lastRenderedPageBreak/>
        <w:t xml:space="preserve">SEGUNDO. </w:t>
      </w:r>
      <w:r w:rsidRPr="00E571CA">
        <w:rPr>
          <w:rFonts w:ascii="Arial" w:eastAsiaTheme="minorHAnsi" w:hAnsi="Arial" w:cs="Arial"/>
          <w:b/>
          <w:sz w:val="26"/>
          <w:szCs w:val="26"/>
          <w:lang w:eastAsia="en-US"/>
        </w:rPr>
        <w:t xml:space="preserve">Se declara </w:t>
      </w:r>
      <w:r w:rsidR="00284F91" w:rsidRPr="00E571CA">
        <w:rPr>
          <w:rFonts w:ascii="Arial" w:eastAsiaTheme="minorHAnsi" w:hAnsi="Arial" w:cs="Arial"/>
          <w:b/>
          <w:sz w:val="26"/>
          <w:szCs w:val="26"/>
          <w:lang w:val="es-ES" w:eastAsia="en-US"/>
        </w:rPr>
        <w:t xml:space="preserve">la NULIDAD LISA Y LLANA </w:t>
      </w:r>
      <w:r w:rsidR="00284F91" w:rsidRPr="001272C3">
        <w:rPr>
          <w:rFonts w:ascii="Arial" w:eastAsiaTheme="minorHAnsi" w:hAnsi="Arial" w:cs="Arial"/>
          <w:bCs/>
          <w:sz w:val="26"/>
          <w:szCs w:val="26"/>
          <w:lang w:val="es-ES" w:eastAsia="en-US"/>
        </w:rPr>
        <w:t xml:space="preserve">de la resolución de fecha </w:t>
      </w:r>
      <w:r w:rsidR="00E53F02" w:rsidRPr="001272C3">
        <w:rPr>
          <w:rFonts w:ascii="Arial" w:eastAsiaTheme="minorHAnsi" w:hAnsi="Arial" w:cs="Arial"/>
          <w:bCs/>
          <w:sz w:val="26"/>
          <w:szCs w:val="26"/>
          <w:lang w:val="es-ES" w:eastAsia="en-US"/>
        </w:rPr>
        <w:t xml:space="preserve">15 </w:t>
      </w:r>
      <w:r w:rsidR="00284F91" w:rsidRPr="001272C3">
        <w:rPr>
          <w:rFonts w:ascii="Arial" w:eastAsiaTheme="minorHAnsi" w:hAnsi="Arial" w:cs="Arial"/>
          <w:bCs/>
          <w:sz w:val="26"/>
          <w:szCs w:val="26"/>
          <w:lang w:val="es-ES" w:eastAsia="en-US"/>
        </w:rPr>
        <w:t xml:space="preserve">quince de julio de </w:t>
      </w:r>
      <w:r w:rsidR="00E53F02" w:rsidRPr="001272C3">
        <w:rPr>
          <w:rFonts w:ascii="Arial" w:eastAsiaTheme="minorHAnsi" w:hAnsi="Arial" w:cs="Arial"/>
          <w:bCs/>
          <w:sz w:val="26"/>
          <w:szCs w:val="26"/>
          <w:lang w:val="es-ES" w:eastAsia="en-US"/>
        </w:rPr>
        <w:t xml:space="preserve">2016 </w:t>
      </w:r>
      <w:r w:rsidR="00284F91" w:rsidRPr="001272C3">
        <w:rPr>
          <w:rFonts w:ascii="Arial" w:eastAsiaTheme="minorHAnsi" w:hAnsi="Arial" w:cs="Arial"/>
          <w:bCs/>
          <w:sz w:val="26"/>
          <w:szCs w:val="26"/>
          <w:lang w:val="es-ES" w:eastAsia="en-US"/>
        </w:rPr>
        <w:t xml:space="preserve">dos mil dieciséis, dictada en el Recurso de Revocación número 26/2014, por el Jefe de la Unidad Auxiliar y de Recurso de la Subsecretaría de Responsabilidades y Transparencia de la Secretaría de la Contraloría y Transparencias Gubernamental del Poder Ejecutivo del estado de Oaxaca, por las consideraciones expuestas </w:t>
      </w:r>
      <w:r w:rsidR="00E6139B" w:rsidRPr="001272C3">
        <w:rPr>
          <w:rFonts w:ascii="Arial" w:eastAsiaTheme="minorHAnsi" w:hAnsi="Arial" w:cs="Arial"/>
          <w:bCs/>
          <w:sz w:val="26"/>
          <w:szCs w:val="26"/>
          <w:lang w:val="es-ES" w:eastAsia="en-US"/>
        </w:rPr>
        <w:t>por esta Sala Superior</w:t>
      </w:r>
      <w:r w:rsidR="001272C3" w:rsidRPr="001272C3">
        <w:rPr>
          <w:rFonts w:ascii="Arial" w:eastAsiaTheme="minorHAnsi" w:hAnsi="Arial" w:cs="Arial"/>
          <w:bCs/>
          <w:sz w:val="26"/>
          <w:szCs w:val="26"/>
          <w:lang w:val="es-ES" w:eastAsia="en-US"/>
        </w:rPr>
        <w:t xml:space="preserve"> </w:t>
      </w:r>
      <w:r w:rsidR="001272C3">
        <w:rPr>
          <w:rFonts w:ascii="Arial" w:eastAsiaTheme="minorHAnsi" w:hAnsi="Arial" w:cs="Arial"/>
          <w:bCs/>
          <w:sz w:val="26"/>
          <w:szCs w:val="26"/>
          <w:lang w:val="es-ES" w:eastAsia="en-US"/>
        </w:rPr>
        <w:t xml:space="preserve">y, dado que, al impugnarse la resolución recaída al recurso, </w:t>
      </w:r>
      <w:r w:rsidR="001272C3" w:rsidRPr="00E17646">
        <w:rPr>
          <w:rFonts w:ascii="Arial" w:eastAsiaTheme="minorHAnsi" w:hAnsi="Arial" w:cs="Arial"/>
          <w:bCs/>
          <w:sz w:val="26"/>
          <w:szCs w:val="26"/>
          <w:lang w:val="es-ES" w:eastAsia="en-US"/>
        </w:rPr>
        <w:t>debe</w:t>
      </w:r>
      <w:r w:rsidR="001272C3">
        <w:rPr>
          <w:rFonts w:ascii="Arial" w:eastAsiaTheme="minorHAnsi" w:hAnsi="Arial" w:cs="Arial"/>
          <w:bCs/>
          <w:sz w:val="26"/>
          <w:szCs w:val="26"/>
          <w:lang w:val="es-ES" w:eastAsia="en-US"/>
        </w:rPr>
        <w:t xml:space="preserve"> entenderse que también se </w:t>
      </w:r>
      <w:r w:rsidR="001272C3" w:rsidRPr="00E17646">
        <w:rPr>
          <w:rFonts w:ascii="Arial" w:eastAsiaTheme="minorHAnsi" w:hAnsi="Arial" w:cs="Arial"/>
          <w:bCs/>
          <w:sz w:val="26"/>
          <w:szCs w:val="26"/>
          <w:lang w:val="es-ES" w:eastAsia="en-US"/>
        </w:rPr>
        <w:t>controvierte</w:t>
      </w:r>
      <w:r w:rsidR="001272C3">
        <w:rPr>
          <w:rFonts w:ascii="Arial" w:eastAsiaTheme="minorHAnsi" w:hAnsi="Arial" w:cs="Arial"/>
          <w:bCs/>
          <w:sz w:val="26"/>
          <w:szCs w:val="26"/>
          <w:lang w:val="es-ES" w:eastAsia="en-US"/>
        </w:rPr>
        <w:t xml:space="preserve"> la recurrida, consecuentemente también se declara la nulidad lisa y llana de la resolución de quince de agosto de dos mil catorce emitida en el expediente </w:t>
      </w:r>
      <w:r w:rsidR="001272C3" w:rsidRPr="00E17646">
        <w:rPr>
          <w:rFonts w:ascii="Arial" w:eastAsiaTheme="minorHAnsi" w:hAnsi="Arial" w:cs="Arial"/>
          <w:bCs/>
          <w:sz w:val="26"/>
          <w:szCs w:val="26"/>
          <w:lang w:val="es-ES" w:eastAsia="en-US"/>
        </w:rPr>
        <w:t>administrativo</w:t>
      </w:r>
      <w:r w:rsidR="001272C3">
        <w:rPr>
          <w:rFonts w:ascii="Arial" w:eastAsiaTheme="minorHAnsi" w:hAnsi="Arial" w:cs="Arial"/>
          <w:bCs/>
          <w:sz w:val="26"/>
          <w:szCs w:val="26"/>
          <w:lang w:val="es-ES" w:eastAsia="en-US"/>
        </w:rPr>
        <w:t xml:space="preserve"> de responsabilidad administrativa disciplinaria número 357/RA/2012, por el Director de Procedimiento Jurídico de la misma Secretaría de la Contraloría y Transparencia Gubernamental del Estado de Oaxaca, por las consideraciones expuestas en párrafos que anteceden</w:t>
      </w:r>
      <w:r w:rsidR="001272C3" w:rsidRPr="00AA4698">
        <w:rPr>
          <w:rFonts w:ascii="Arial" w:eastAsiaTheme="minorHAnsi" w:hAnsi="Arial" w:cs="Arial"/>
          <w:sz w:val="26"/>
          <w:szCs w:val="26"/>
          <w:lang w:val="es-ES" w:eastAsia="en-US"/>
        </w:rPr>
        <w:t xml:space="preserve">. </w:t>
      </w:r>
      <w:r w:rsidR="001272C3">
        <w:rPr>
          <w:rFonts w:ascii="Arial" w:eastAsiaTheme="minorHAnsi" w:hAnsi="Arial" w:cs="Arial"/>
          <w:sz w:val="26"/>
          <w:szCs w:val="26"/>
          <w:lang w:val="es-ES" w:eastAsia="en-US"/>
        </w:rPr>
        <w:t xml:space="preserve">- - - - - - - - - </w:t>
      </w:r>
    </w:p>
    <w:p w14:paraId="22962CEF" w14:textId="0569992B" w:rsidR="00AA4698" w:rsidRPr="00AA4698" w:rsidRDefault="00AA4698" w:rsidP="00AA4698">
      <w:pPr>
        <w:spacing w:line="360" w:lineRule="auto"/>
        <w:ind w:firstLine="709"/>
        <w:jc w:val="both"/>
        <w:rPr>
          <w:rFonts w:ascii="Arial" w:eastAsiaTheme="minorHAnsi" w:hAnsi="Arial" w:cs="Arial"/>
          <w:sz w:val="26"/>
          <w:szCs w:val="26"/>
          <w:lang w:val="es-ES" w:eastAsia="en-US"/>
        </w:rPr>
      </w:pPr>
      <w:r w:rsidRPr="00AA4698">
        <w:rPr>
          <w:rFonts w:ascii="Arial" w:eastAsiaTheme="minorHAnsi" w:hAnsi="Arial" w:cs="Arial"/>
          <w:b/>
          <w:sz w:val="26"/>
          <w:szCs w:val="26"/>
          <w:lang w:val="es-ES" w:eastAsia="en-US"/>
        </w:rPr>
        <w:t>TERCERO. NOTIFIQUESE Y CÚMPLASE,</w:t>
      </w:r>
      <w:r w:rsidRPr="00AA4698">
        <w:rPr>
          <w:rFonts w:ascii="Arial" w:eastAsiaTheme="minorHAnsi" w:hAnsi="Arial" w:cs="Arial"/>
          <w:sz w:val="26"/>
          <w:szCs w:val="26"/>
          <w:lang w:val="es-ES" w:eastAsia="en-US"/>
        </w:rPr>
        <w:t xml:space="preserve"> con copia certificada de la presente resolución, vuelvan las constancias remitidas, a la Sala de Origen y, en su oportunidad archívese el presente cuaderno de revisión como asunto concluido. - - - - - - - - - - - - - - - - - - - - - - - - - - - - </w:t>
      </w:r>
    </w:p>
    <w:p w14:paraId="62AFFE03" w14:textId="087F41AD" w:rsidR="00827794" w:rsidRPr="00B47849" w:rsidRDefault="00AA4698" w:rsidP="00827794">
      <w:pPr>
        <w:spacing w:after="120" w:line="360" w:lineRule="auto"/>
        <w:ind w:firstLine="567"/>
        <w:jc w:val="both"/>
        <w:rPr>
          <w:rFonts w:ascii="Arial" w:eastAsia="Times New Roman" w:hAnsi="Arial" w:cs="Arial"/>
          <w:sz w:val="26"/>
          <w:szCs w:val="26"/>
        </w:rPr>
      </w:pPr>
      <w:r>
        <w:rPr>
          <w:rFonts w:ascii="Arial" w:hAnsi="Arial" w:cs="Arial"/>
          <w:sz w:val="26"/>
          <w:szCs w:val="26"/>
        </w:rPr>
        <w:t xml:space="preserve"> </w:t>
      </w:r>
      <w:r w:rsidR="00827794" w:rsidRPr="00B47849">
        <w:rPr>
          <w:rFonts w:ascii="Arial" w:hAnsi="Arial" w:cs="Arial"/>
          <w:sz w:val="26"/>
          <w:szCs w:val="26"/>
        </w:rPr>
        <w:t>Por unanimidad de votos, lo resolvieron y firmaron los Magistrados integrantes de la Sala Superior, Manuel Velasco Alcántara</w:t>
      </w:r>
      <w:r w:rsidR="00827794">
        <w:rPr>
          <w:rFonts w:ascii="Arial" w:hAnsi="Arial" w:cs="Arial"/>
          <w:sz w:val="26"/>
          <w:szCs w:val="26"/>
        </w:rPr>
        <w:t xml:space="preserve"> </w:t>
      </w:r>
      <w:r w:rsidR="00827794" w:rsidRPr="00B47849">
        <w:rPr>
          <w:rFonts w:ascii="Arial" w:hAnsi="Arial" w:cs="Arial"/>
          <w:b/>
          <w:bCs/>
          <w:sz w:val="26"/>
          <w:szCs w:val="26"/>
        </w:rPr>
        <w:t>(ponente)</w:t>
      </w:r>
      <w:r w:rsidR="00827794" w:rsidRPr="00B47849">
        <w:rPr>
          <w:rFonts w:ascii="Arial" w:hAnsi="Arial" w:cs="Arial"/>
          <w:sz w:val="26"/>
          <w:szCs w:val="26"/>
        </w:rPr>
        <w:t>,</w:t>
      </w:r>
      <w:r w:rsidR="00827794">
        <w:rPr>
          <w:rFonts w:ascii="Arial" w:hAnsi="Arial" w:cs="Arial"/>
          <w:sz w:val="26"/>
          <w:szCs w:val="26"/>
        </w:rPr>
        <w:t xml:space="preserve"> Abraham Santiago Soriano, </w:t>
      </w:r>
      <w:r w:rsidR="00827794" w:rsidRPr="00B47849">
        <w:rPr>
          <w:rFonts w:ascii="Arial" w:hAnsi="Arial" w:cs="Arial"/>
          <w:sz w:val="26"/>
          <w:szCs w:val="26"/>
        </w:rPr>
        <w:t>Gloria del Carmen Camacho Meza</w:t>
      </w:r>
      <w:r w:rsidR="00827794">
        <w:rPr>
          <w:rFonts w:ascii="Arial" w:hAnsi="Arial" w:cs="Arial"/>
          <w:sz w:val="26"/>
          <w:szCs w:val="26"/>
        </w:rPr>
        <w:t xml:space="preserve"> y</w:t>
      </w:r>
      <w:r w:rsidR="00827794" w:rsidRPr="00B47849">
        <w:rPr>
          <w:rFonts w:ascii="Arial" w:hAnsi="Arial" w:cs="Arial"/>
          <w:sz w:val="26"/>
          <w:szCs w:val="26"/>
        </w:rPr>
        <w:t xml:space="preserve"> Paulo José Luis Tapia Palacios</w:t>
      </w:r>
      <w:r w:rsidR="00827794">
        <w:rPr>
          <w:rFonts w:ascii="Arial" w:hAnsi="Arial" w:cs="Arial"/>
          <w:sz w:val="26"/>
          <w:szCs w:val="26"/>
        </w:rPr>
        <w:t xml:space="preserve">, </w:t>
      </w:r>
      <w:r w:rsidR="00827794" w:rsidRPr="00B47849">
        <w:rPr>
          <w:rFonts w:ascii="Arial" w:hAnsi="Arial" w:cs="Arial"/>
          <w:sz w:val="26"/>
          <w:szCs w:val="26"/>
        </w:rPr>
        <w:t>con excusa aprobada del Magistrado Raúl Palomares Palomino, para conocer, discutir y resolver en la presente resolución; quienes actúan con el Licenciado Juan Edy García Coronado, Secretario General de Acuerdos de este Tribunal, que autoriza y da fe. - - - - - - - - - - - - - - - - -  - - - - - - - - - - - - - - - - - - - - - - -</w:t>
      </w:r>
    </w:p>
    <w:p w14:paraId="15C57598" w14:textId="14B0B21A" w:rsidR="00691017" w:rsidRDefault="00691017" w:rsidP="00827794">
      <w:pPr>
        <w:pStyle w:val="Sinespaciado"/>
        <w:spacing w:before="240" w:line="360" w:lineRule="auto"/>
        <w:jc w:val="both"/>
        <w:rPr>
          <w:rFonts w:ascii="Arial" w:eastAsia="Calibri" w:hAnsi="Arial" w:cs="Arial"/>
          <w:bCs/>
          <w:sz w:val="26"/>
          <w:szCs w:val="26"/>
        </w:rPr>
      </w:pPr>
    </w:p>
    <w:p w14:paraId="310CE4B4" w14:textId="77777777" w:rsidR="00691017" w:rsidRDefault="00691017" w:rsidP="00827794">
      <w:pPr>
        <w:spacing w:after="0" w:line="240" w:lineRule="auto"/>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6AEA44E" w14:textId="77777777" w:rsidR="00691017" w:rsidRDefault="00691017" w:rsidP="00827794">
      <w:pPr>
        <w:spacing w:after="0" w:line="240" w:lineRule="auto"/>
        <w:ind w:firstLine="567"/>
        <w:jc w:val="center"/>
        <w:rPr>
          <w:rFonts w:ascii="Arial" w:hAnsi="Arial" w:cs="Arial"/>
          <w:sz w:val="26"/>
          <w:szCs w:val="26"/>
        </w:rPr>
      </w:pPr>
      <w:r>
        <w:rPr>
          <w:rFonts w:ascii="Arial" w:hAnsi="Arial" w:cs="Arial"/>
          <w:sz w:val="26"/>
          <w:szCs w:val="26"/>
        </w:rPr>
        <w:t>PRESIDENTE</w:t>
      </w:r>
    </w:p>
    <w:p w14:paraId="2730B7CB" w14:textId="77777777" w:rsidR="005B308C" w:rsidRPr="00691017" w:rsidRDefault="005B308C" w:rsidP="00827794">
      <w:pPr>
        <w:tabs>
          <w:tab w:val="left" w:pos="1680"/>
          <w:tab w:val="center" w:pos="4277"/>
        </w:tabs>
        <w:spacing w:line="360" w:lineRule="auto"/>
        <w:rPr>
          <w:rFonts w:ascii="Arial" w:hAnsi="Arial" w:cs="Arial"/>
          <w:b/>
          <w:bCs/>
          <w:sz w:val="20"/>
          <w:szCs w:val="20"/>
        </w:rPr>
      </w:pPr>
      <w:r w:rsidRPr="00691017">
        <w:rPr>
          <w:rFonts w:ascii="Arial" w:hAnsi="Arial" w:cs="Arial"/>
          <w:b/>
          <w:bCs/>
          <w:sz w:val="20"/>
          <w:szCs w:val="20"/>
        </w:rPr>
        <w:t>LAS PRESENTES FIRMAS CORRESPONDEN AL RECURSO DE REVISIÓN 0403/2019</w:t>
      </w:r>
    </w:p>
    <w:p w14:paraId="777C6B20" w14:textId="77777777" w:rsidR="00691017" w:rsidRDefault="00691017" w:rsidP="00691017">
      <w:pPr>
        <w:rPr>
          <w:rFonts w:ascii="Arial" w:hAnsi="Arial" w:cs="Arial"/>
          <w:sz w:val="26"/>
          <w:szCs w:val="26"/>
        </w:rPr>
      </w:pPr>
    </w:p>
    <w:p w14:paraId="3492C38D" w14:textId="33578175" w:rsidR="00691017" w:rsidRDefault="00691017" w:rsidP="00691017">
      <w:pPr>
        <w:jc w:val="center"/>
        <w:rPr>
          <w:rFonts w:ascii="Arial" w:hAnsi="Arial" w:cs="Arial"/>
          <w:sz w:val="26"/>
          <w:szCs w:val="26"/>
        </w:rPr>
      </w:pPr>
    </w:p>
    <w:p w14:paraId="3F0E2651" w14:textId="77777777" w:rsidR="00827794" w:rsidRDefault="00827794" w:rsidP="00691017">
      <w:pPr>
        <w:jc w:val="center"/>
        <w:rPr>
          <w:rFonts w:ascii="Arial" w:hAnsi="Arial" w:cs="Arial"/>
          <w:sz w:val="26"/>
          <w:szCs w:val="26"/>
        </w:rPr>
      </w:pPr>
    </w:p>
    <w:p w14:paraId="33576484" w14:textId="77777777" w:rsidR="005B308C" w:rsidRDefault="005B308C" w:rsidP="00691017">
      <w:pPr>
        <w:jc w:val="center"/>
        <w:rPr>
          <w:rFonts w:ascii="Arial" w:hAnsi="Arial" w:cs="Arial"/>
          <w:sz w:val="26"/>
          <w:szCs w:val="26"/>
        </w:rPr>
      </w:pPr>
    </w:p>
    <w:p w14:paraId="7D64C924" w14:textId="77777777" w:rsidR="00691017" w:rsidRDefault="00691017" w:rsidP="0069101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1E8570E0" w14:textId="77777777" w:rsidR="00691017" w:rsidRDefault="00691017" w:rsidP="00691017">
      <w:pPr>
        <w:jc w:val="center"/>
        <w:rPr>
          <w:rFonts w:ascii="Arial" w:hAnsi="Arial" w:cs="Arial"/>
          <w:sz w:val="26"/>
          <w:szCs w:val="26"/>
        </w:rPr>
      </w:pPr>
    </w:p>
    <w:p w14:paraId="45FD3DEF" w14:textId="3AB7E1DD" w:rsidR="00691017" w:rsidRDefault="00691017" w:rsidP="00827794">
      <w:pPr>
        <w:rPr>
          <w:rFonts w:ascii="Arial" w:hAnsi="Arial" w:cs="Arial"/>
          <w:sz w:val="26"/>
          <w:szCs w:val="26"/>
        </w:rPr>
      </w:pPr>
    </w:p>
    <w:p w14:paraId="3B60AC52" w14:textId="77777777" w:rsidR="005B308C" w:rsidRDefault="005B308C" w:rsidP="00691017">
      <w:pPr>
        <w:jc w:val="center"/>
        <w:rPr>
          <w:rFonts w:ascii="Arial" w:hAnsi="Arial" w:cs="Arial"/>
          <w:sz w:val="26"/>
          <w:szCs w:val="26"/>
        </w:rPr>
      </w:pPr>
    </w:p>
    <w:p w14:paraId="09CBF7F8" w14:textId="77777777" w:rsidR="00691017" w:rsidRDefault="00691017" w:rsidP="00691017">
      <w:pPr>
        <w:jc w:val="center"/>
        <w:rPr>
          <w:rFonts w:ascii="Arial" w:hAnsi="Arial" w:cs="Arial"/>
          <w:sz w:val="26"/>
          <w:szCs w:val="26"/>
        </w:rPr>
      </w:pPr>
    </w:p>
    <w:p w14:paraId="00478DC4" w14:textId="77777777" w:rsidR="00691017" w:rsidRDefault="00691017" w:rsidP="0069101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735A06CD" w14:textId="77777777" w:rsidR="00691017" w:rsidRDefault="00691017" w:rsidP="00691017">
      <w:pPr>
        <w:tabs>
          <w:tab w:val="left" w:pos="1680"/>
          <w:tab w:val="center" w:pos="4277"/>
        </w:tabs>
        <w:spacing w:line="360" w:lineRule="auto"/>
        <w:jc w:val="center"/>
        <w:rPr>
          <w:rFonts w:ascii="Arial" w:hAnsi="Arial" w:cs="Arial"/>
          <w:sz w:val="26"/>
          <w:szCs w:val="26"/>
        </w:rPr>
      </w:pPr>
    </w:p>
    <w:p w14:paraId="5FC3CE66" w14:textId="2BD0CC43" w:rsidR="00691017" w:rsidRDefault="00691017" w:rsidP="00691017">
      <w:pPr>
        <w:tabs>
          <w:tab w:val="left" w:pos="1680"/>
          <w:tab w:val="center" w:pos="4277"/>
        </w:tabs>
        <w:spacing w:line="360" w:lineRule="auto"/>
        <w:jc w:val="center"/>
        <w:rPr>
          <w:rFonts w:ascii="Arial" w:hAnsi="Arial" w:cs="Arial"/>
          <w:sz w:val="26"/>
          <w:szCs w:val="26"/>
        </w:rPr>
      </w:pPr>
    </w:p>
    <w:p w14:paraId="0438F3D2" w14:textId="77777777" w:rsidR="00691017" w:rsidRDefault="00691017" w:rsidP="00691017">
      <w:pPr>
        <w:tabs>
          <w:tab w:val="left" w:pos="1680"/>
          <w:tab w:val="center" w:pos="4277"/>
        </w:tabs>
        <w:spacing w:line="360" w:lineRule="auto"/>
        <w:jc w:val="center"/>
        <w:rPr>
          <w:rFonts w:ascii="Arial" w:hAnsi="Arial" w:cs="Arial"/>
          <w:sz w:val="26"/>
          <w:szCs w:val="26"/>
        </w:rPr>
      </w:pPr>
    </w:p>
    <w:p w14:paraId="75D1F67E" w14:textId="77777777" w:rsidR="00691017" w:rsidRDefault="00691017" w:rsidP="0069101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2EA3F01" w14:textId="17EE6BB9" w:rsidR="00691017" w:rsidRDefault="00691017" w:rsidP="00691017">
      <w:pPr>
        <w:tabs>
          <w:tab w:val="left" w:pos="1680"/>
          <w:tab w:val="center" w:pos="4277"/>
        </w:tabs>
        <w:spacing w:line="360" w:lineRule="auto"/>
        <w:jc w:val="center"/>
        <w:rPr>
          <w:rFonts w:ascii="Arial" w:hAnsi="Arial" w:cs="Arial"/>
          <w:sz w:val="26"/>
          <w:szCs w:val="26"/>
        </w:rPr>
      </w:pPr>
    </w:p>
    <w:p w14:paraId="30A76708" w14:textId="77777777" w:rsidR="00691017" w:rsidRDefault="00691017" w:rsidP="00691017">
      <w:pPr>
        <w:tabs>
          <w:tab w:val="left" w:pos="1680"/>
          <w:tab w:val="center" w:pos="4277"/>
        </w:tabs>
        <w:spacing w:line="360" w:lineRule="auto"/>
        <w:jc w:val="center"/>
        <w:rPr>
          <w:rFonts w:ascii="Arial" w:hAnsi="Arial" w:cs="Arial"/>
          <w:sz w:val="26"/>
          <w:szCs w:val="26"/>
        </w:rPr>
      </w:pPr>
    </w:p>
    <w:p w14:paraId="3F7FCD53" w14:textId="77777777" w:rsidR="00691017" w:rsidRDefault="00691017" w:rsidP="00691017">
      <w:pPr>
        <w:tabs>
          <w:tab w:val="left" w:pos="1680"/>
          <w:tab w:val="center" w:pos="4277"/>
        </w:tabs>
        <w:spacing w:line="360" w:lineRule="auto"/>
        <w:jc w:val="center"/>
        <w:rPr>
          <w:rFonts w:ascii="Arial" w:hAnsi="Arial" w:cs="Arial"/>
          <w:sz w:val="26"/>
          <w:szCs w:val="26"/>
        </w:rPr>
      </w:pPr>
    </w:p>
    <w:p w14:paraId="24F4B954" w14:textId="77777777" w:rsidR="00691017" w:rsidRDefault="00691017" w:rsidP="00691017">
      <w:pPr>
        <w:spacing w:after="0" w:line="240" w:lineRule="auto"/>
        <w:jc w:val="center"/>
        <w:rPr>
          <w:rFonts w:ascii="Arial" w:hAnsi="Arial" w:cs="Arial"/>
          <w:sz w:val="26"/>
          <w:szCs w:val="26"/>
        </w:rPr>
      </w:pPr>
      <w:r>
        <w:rPr>
          <w:rFonts w:ascii="Arial" w:hAnsi="Arial" w:cs="Arial"/>
          <w:sz w:val="26"/>
          <w:szCs w:val="26"/>
        </w:rPr>
        <w:t>LIC. JUAN EDY GARCÍA CORONADO.</w:t>
      </w:r>
    </w:p>
    <w:p w14:paraId="5B768CA1" w14:textId="77777777" w:rsidR="00691017" w:rsidRDefault="00691017" w:rsidP="00691017">
      <w:pPr>
        <w:spacing w:after="0" w:line="240" w:lineRule="auto"/>
        <w:jc w:val="center"/>
      </w:pPr>
      <w:r>
        <w:rPr>
          <w:rFonts w:ascii="Arial" w:hAnsi="Arial" w:cs="Arial"/>
          <w:sz w:val="26"/>
          <w:szCs w:val="26"/>
        </w:rPr>
        <w:t>SECRETARIO GENERAL DE ACUERDOS</w:t>
      </w:r>
    </w:p>
    <w:p w14:paraId="6DFDD068" w14:textId="77777777" w:rsidR="00691017" w:rsidRDefault="00691017" w:rsidP="00691017">
      <w:pPr>
        <w:rPr>
          <w:lang w:val="es-ES"/>
        </w:rPr>
      </w:pPr>
      <w:r>
        <w:tab/>
        <w:t xml:space="preserve">  </w:t>
      </w:r>
    </w:p>
    <w:p w14:paraId="414BA248" w14:textId="3D311068" w:rsidR="00B16301" w:rsidRPr="00E5261F" w:rsidRDefault="00B16301" w:rsidP="00691017">
      <w:pPr>
        <w:tabs>
          <w:tab w:val="left" w:pos="1925"/>
          <w:tab w:val="center" w:pos="4135"/>
        </w:tabs>
        <w:spacing w:line="360" w:lineRule="auto"/>
        <w:jc w:val="both"/>
        <w:rPr>
          <w:sz w:val="26"/>
          <w:szCs w:val="26"/>
        </w:rPr>
      </w:pPr>
    </w:p>
    <w:sectPr w:rsidR="00B16301" w:rsidRPr="00E5261F" w:rsidSect="002707FA">
      <w:headerReference w:type="even" r:id="rId12"/>
      <w:headerReference w:type="default" r:id="rId13"/>
      <w:footerReference w:type="even" r:id="rId14"/>
      <w:footerReference w:type="default" r:id="rId15"/>
      <w:headerReference w:type="first" r:id="rId16"/>
      <w:footerReference w:type="first" r:id="rId17"/>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B36DF" w14:textId="77777777" w:rsidR="0022521F" w:rsidRDefault="0022521F">
      <w:pPr>
        <w:spacing w:after="0" w:line="240" w:lineRule="auto"/>
      </w:pPr>
      <w:r>
        <w:separator/>
      </w:r>
    </w:p>
  </w:endnote>
  <w:endnote w:type="continuationSeparator" w:id="0">
    <w:p w14:paraId="380B41DC" w14:textId="77777777" w:rsidR="0022521F" w:rsidRDefault="00225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F0248" w14:textId="77777777" w:rsidR="0022521F" w:rsidRDefault="0022521F">
      <w:pPr>
        <w:spacing w:after="0" w:line="240" w:lineRule="auto"/>
      </w:pPr>
      <w:r>
        <w:separator/>
      </w:r>
    </w:p>
  </w:footnote>
  <w:footnote w:type="continuationSeparator" w:id="0">
    <w:p w14:paraId="32EC1BDC" w14:textId="77777777" w:rsidR="0022521F" w:rsidRDefault="002252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6301A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301A3">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6301A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301A3">
          <w:rPr>
            <w:noProof/>
            <w:lang w:val="es-ES"/>
          </w:rPr>
          <w:t>17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301A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C335AE3"/>
    <w:multiLevelType w:val="hybridMultilevel"/>
    <w:tmpl w:val="1A2205D4"/>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8F9"/>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228"/>
    <w:rsid w:val="000525F8"/>
    <w:rsid w:val="0005285F"/>
    <w:rsid w:val="00053207"/>
    <w:rsid w:val="0005370C"/>
    <w:rsid w:val="000540E8"/>
    <w:rsid w:val="00054705"/>
    <w:rsid w:val="00054D3C"/>
    <w:rsid w:val="00054E31"/>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C1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982"/>
    <w:rsid w:val="000A6C87"/>
    <w:rsid w:val="000A6CAE"/>
    <w:rsid w:val="000B01A0"/>
    <w:rsid w:val="000B0351"/>
    <w:rsid w:val="000B03B9"/>
    <w:rsid w:val="000B0431"/>
    <w:rsid w:val="000B1A06"/>
    <w:rsid w:val="000B1F22"/>
    <w:rsid w:val="000B227E"/>
    <w:rsid w:val="000B2866"/>
    <w:rsid w:val="000B31B3"/>
    <w:rsid w:val="000B35EE"/>
    <w:rsid w:val="000B36E5"/>
    <w:rsid w:val="000B39C8"/>
    <w:rsid w:val="000B3B3B"/>
    <w:rsid w:val="000B40FA"/>
    <w:rsid w:val="000B4326"/>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2C3"/>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A05"/>
    <w:rsid w:val="00136FB8"/>
    <w:rsid w:val="00137C86"/>
    <w:rsid w:val="0014043C"/>
    <w:rsid w:val="001409E2"/>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052"/>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6FFC"/>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8B2"/>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E2D"/>
    <w:rsid w:val="001C1FDF"/>
    <w:rsid w:val="001C2557"/>
    <w:rsid w:val="001C2644"/>
    <w:rsid w:val="001C2B0B"/>
    <w:rsid w:val="001C2B81"/>
    <w:rsid w:val="001C36D8"/>
    <w:rsid w:val="001C39B4"/>
    <w:rsid w:val="001C3A80"/>
    <w:rsid w:val="001C421F"/>
    <w:rsid w:val="001C422B"/>
    <w:rsid w:val="001C502D"/>
    <w:rsid w:val="001C53B0"/>
    <w:rsid w:val="001C7C2C"/>
    <w:rsid w:val="001C7EC3"/>
    <w:rsid w:val="001D07F6"/>
    <w:rsid w:val="001D0DCF"/>
    <w:rsid w:val="001D2051"/>
    <w:rsid w:val="001D31A6"/>
    <w:rsid w:val="001D3B81"/>
    <w:rsid w:val="001D3E9A"/>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B0B"/>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521F"/>
    <w:rsid w:val="00227445"/>
    <w:rsid w:val="00227471"/>
    <w:rsid w:val="00230D10"/>
    <w:rsid w:val="00231036"/>
    <w:rsid w:val="00231C41"/>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2E43"/>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7FA"/>
    <w:rsid w:val="00270831"/>
    <w:rsid w:val="0027275E"/>
    <w:rsid w:val="00272A7D"/>
    <w:rsid w:val="00273171"/>
    <w:rsid w:val="00273378"/>
    <w:rsid w:val="002748AA"/>
    <w:rsid w:val="00275418"/>
    <w:rsid w:val="002805AC"/>
    <w:rsid w:val="00280919"/>
    <w:rsid w:val="00281661"/>
    <w:rsid w:val="00282C81"/>
    <w:rsid w:val="00283B3F"/>
    <w:rsid w:val="002841EE"/>
    <w:rsid w:val="002844AF"/>
    <w:rsid w:val="00284891"/>
    <w:rsid w:val="00284F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97D"/>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628"/>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85"/>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219"/>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EB9"/>
    <w:rsid w:val="003A6262"/>
    <w:rsid w:val="003A645D"/>
    <w:rsid w:val="003A6480"/>
    <w:rsid w:val="003B0033"/>
    <w:rsid w:val="003B0A5E"/>
    <w:rsid w:val="003B0AA1"/>
    <w:rsid w:val="003B0AB6"/>
    <w:rsid w:val="003B0AD5"/>
    <w:rsid w:val="003B0B21"/>
    <w:rsid w:val="003B16F0"/>
    <w:rsid w:val="003B1C3E"/>
    <w:rsid w:val="003B210B"/>
    <w:rsid w:val="003B2F00"/>
    <w:rsid w:val="003B339E"/>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77"/>
    <w:rsid w:val="003C268F"/>
    <w:rsid w:val="003C32DC"/>
    <w:rsid w:val="003C32FC"/>
    <w:rsid w:val="003C42AD"/>
    <w:rsid w:val="003C4C9F"/>
    <w:rsid w:val="003C5D9D"/>
    <w:rsid w:val="003C7036"/>
    <w:rsid w:val="003C7781"/>
    <w:rsid w:val="003C7FA5"/>
    <w:rsid w:val="003D0C96"/>
    <w:rsid w:val="003D1CAA"/>
    <w:rsid w:val="003D3617"/>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8DC"/>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234"/>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19F"/>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5852"/>
    <w:rsid w:val="004961AD"/>
    <w:rsid w:val="00496339"/>
    <w:rsid w:val="004967A0"/>
    <w:rsid w:val="00496C40"/>
    <w:rsid w:val="00497059"/>
    <w:rsid w:val="00497082"/>
    <w:rsid w:val="004973EC"/>
    <w:rsid w:val="00497B15"/>
    <w:rsid w:val="004A0617"/>
    <w:rsid w:val="004A1A63"/>
    <w:rsid w:val="004A2326"/>
    <w:rsid w:val="004A2A39"/>
    <w:rsid w:val="004A319F"/>
    <w:rsid w:val="004A3209"/>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3948"/>
    <w:rsid w:val="004B4654"/>
    <w:rsid w:val="004B5540"/>
    <w:rsid w:val="004B5F62"/>
    <w:rsid w:val="004B6800"/>
    <w:rsid w:val="004B69CB"/>
    <w:rsid w:val="004B6B98"/>
    <w:rsid w:val="004B748E"/>
    <w:rsid w:val="004B7C5E"/>
    <w:rsid w:val="004C0245"/>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45A"/>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15C4"/>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2F45"/>
    <w:rsid w:val="00533888"/>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388C"/>
    <w:rsid w:val="00584BAB"/>
    <w:rsid w:val="00584EFB"/>
    <w:rsid w:val="0058621D"/>
    <w:rsid w:val="00586D72"/>
    <w:rsid w:val="00586E4F"/>
    <w:rsid w:val="00587330"/>
    <w:rsid w:val="00587984"/>
    <w:rsid w:val="00587A84"/>
    <w:rsid w:val="00590AF7"/>
    <w:rsid w:val="00592073"/>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08C"/>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D08"/>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1A3"/>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C2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0D1"/>
    <w:rsid w:val="00676465"/>
    <w:rsid w:val="006775C4"/>
    <w:rsid w:val="0068056E"/>
    <w:rsid w:val="00681AC1"/>
    <w:rsid w:val="00681EE7"/>
    <w:rsid w:val="00682165"/>
    <w:rsid w:val="00683178"/>
    <w:rsid w:val="0068325D"/>
    <w:rsid w:val="00684F50"/>
    <w:rsid w:val="00685785"/>
    <w:rsid w:val="00686F6A"/>
    <w:rsid w:val="00687828"/>
    <w:rsid w:val="00687BEB"/>
    <w:rsid w:val="00691017"/>
    <w:rsid w:val="00691515"/>
    <w:rsid w:val="00692778"/>
    <w:rsid w:val="00692B2A"/>
    <w:rsid w:val="006937A1"/>
    <w:rsid w:val="00693CC2"/>
    <w:rsid w:val="00693F50"/>
    <w:rsid w:val="00694688"/>
    <w:rsid w:val="00694863"/>
    <w:rsid w:val="006948AC"/>
    <w:rsid w:val="00694C91"/>
    <w:rsid w:val="00694D2F"/>
    <w:rsid w:val="00695D24"/>
    <w:rsid w:val="00696139"/>
    <w:rsid w:val="006964F3"/>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211C"/>
    <w:rsid w:val="006B3C7A"/>
    <w:rsid w:val="006B454E"/>
    <w:rsid w:val="006B462B"/>
    <w:rsid w:val="006B46C9"/>
    <w:rsid w:val="006B4FD6"/>
    <w:rsid w:val="006B511B"/>
    <w:rsid w:val="006B5508"/>
    <w:rsid w:val="006B6282"/>
    <w:rsid w:val="006B7267"/>
    <w:rsid w:val="006C1371"/>
    <w:rsid w:val="006C1F9E"/>
    <w:rsid w:val="006C252C"/>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AC3"/>
    <w:rsid w:val="00736F71"/>
    <w:rsid w:val="00740D93"/>
    <w:rsid w:val="007426D1"/>
    <w:rsid w:val="00743E50"/>
    <w:rsid w:val="00743F9C"/>
    <w:rsid w:val="00744BC8"/>
    <w:rsid w:val="00744BFA"/>
    <w:rsid w:val="00744DC2"/>
    <w:rsid w:val="00744E48"/>
    <w:rsid w:val="00744EED"/>
    <w:rsid w:val="00746015"/>
    <w:rsid w:val="00746730"/>
    <w:rsid w:val="00751760"/>
    <w:rsid w:val="00751950"/>
    <w:rsid w:val="00752C85"/>
    <w:rsid w:val="00752CFC"/>
    <w:rsid w:val="00753C7F"/>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3C9E"/>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749"/>
    <w:rsid w:val="007A0C87"/>
    <w:rsid w:val="007A0DD5"/>
    <w:rsid w:val="007A1877"/>
    <w:rsid w:val="007A1A79"/>
    <w:rsid w:val="007A367E"/>
    <w:rsid w:val="007A3681"/>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BD1"/>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3C9"/>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27794"/>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F6C"/>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AA5"/>
    <w:rsid w:val="00863FB1"/>
    <w:rsid w:val="00864F72"/>
    <w:rsid w:val="00865B42"/>
    <w:rsid w:val="0086631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CA6"/>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06F"/>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ADC"/>
    <w:rsid w:val="008E72C8"/>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688"/>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059"/>
    <w:rsid w:val="00954F7D"/>
    <w:rsid w:val="00955095"/>
    <w:rsid w:val="00955D30"/>
    <w:rsid w:val="00956727"/>
    <w:rsid w:val="009574AE"/>
    <w:rsid w:val="00957E51"/>
    <w:rsid w:val="009608E8"/>
    <w:rsid w:val="00960E04"/>
    <w:rsid w:val="0096112B"/>
    <w:rsid w:val="009629EE"/>
    <w:rsid w:val="0096309B"/>
    <w:rsid w:val="00964A87"/>
    <w:rsid w:val="00964CE3"/>
    <w:rsid w:val="00965204"/>
    <w:rsid w:val="00965931"/>
    <w:rsid w:val="00965DB7"/>
    <w:rsid w:val="009663A9"/>
    <w:rsid w:val="00966C28"/>
    <w:rsid w:val="00967C72"/>
    <w:rsid w:val="009700BB"/>
    <w:rsid w:val="00971321"/>
    <w:rsid w:val="00972B61"/>
    <w:rsid w:val="009730F2"/>
    <w:rsid w:val="00974250"/>
    <w:rsid w:val="00974F50"/>
    <w:rsid w:val="009756EC"/>
    <w:rsid w:val="009757EE"/>
    <w:rsid w:val="0097584C"/>
    <w:rsid w:val="00976FCC"/>
    <w:rsid w:val="0097768E"/>
    <w:rsid w:val="00977D9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D2E"/>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8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83A"/>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379"/>
    <w:rsid w:val="00A73B00"/>
    <w:rsid w:val="00A746E4"/>
    <w:rsid w:val="00A761F4"/>
    <w:rsid w:val="00A77448"/>
    <w:rsid w:val="00A77B65"/>
    <w:rsid w:val="00A77EC2"/>
    <w:rsid w:val="00A8007D"/>
    <w:rsid w:val="00A80761"/>
    <w:rsid w:val="00A80DC8"/>
    <w:rsid w:val="00A812F5"/>
    <w:rsid w:val="00A814C5"/>
    <w:rsid w:val="00A816B3"/>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4698"/>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70CA"/>
    <w:rsid w:val="00AC00B1"/>
    <w:rsid w:val="00AC0229"/>
    <w:rsid w:val="00AC12CF"/>
    <w:rsid w:val="00AC154D"/>
    <w:rsid w:val="00AC2548"/>
    <w:rsid w:val="00AC3C32"/>
    <w:rsid w:val="00AC3DB8"/>
    <w:rsid w:val="00AD089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AF74DA"/>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4E2"/>
    <w:rsid w:val="00B2459C"/>
    <w:rsid w:val="00B25FA6"/>
    <w:rsid w:val="00B26009"/>
    <w:rsid w:val="00B26215"/>
    <w:rsid w:val="00B26918"/>
    <w:rsid w:val="00B26C44"/>
    <w:rsid w:val="00B27702"/>
    <w:rsid w:val="00B30025"/>
    <w:rsid w:val="00B308D9"/>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2CEC"/>
    <w:rsid w:val="00BD3693"/>
    <w:rsid w:val="00BD438C"/>
    <w:rsid w:val="00BD492B"/>
    <w:rsid w:val="00BD4F9A"/>
    <w:rsid w:val="00BD5E19"/>
    <w:rsid w:val="00BD6B75"/>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12"/>
    <w:rsid w:val="00C060AE"/>
    <w:rsid w:val="00C06237"/>
    <w:rsid w:val="00C06404"/>
    <w:rsid w:val="00C06502"/>
    <w:rsid w:val="00C067A6"/>
    <w:rsid w:val="00C06EDD"/>
    <w:rsid w:val="00C0780B"/>
    <w:rsid w:val="00C07BB8"/>
    <w:rsid w:val="00C07CCB"/>
    <w:rsid w:val="00C1015F"/>
    <w:rsid w:val="00C1063F"/>
    <w:rsid w:val="00C110D3"/>
    <w:rsid w:val="00C11D9D"/>
    <w:rsid w:val="00C1296A"/>
    <w:rsid w:val="00C12A0F"/>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01"/>
    <w:rsid w:val="00C341CB"/>
    <w:rsid w:val="00C3542E"/>
    <w:rsid w:val="00C35B5E"/>
    <w:rsid w:val="00C370A0"/>
    <w:rsid w:val="00C378F5"/>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1426"/>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D5"/>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B7FBD"/>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B4B"/>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1B9"/>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174"/>
    <w:rsid w:val="00D67C48"/>
    <w:rsid w:val="00D70511"/>
    <w:rsid w:val="00D70CA3"/>
    <w:rsid w:val="00D718E2"/>
    <w:rsid w:val="00D719E5"/>
    <w:rsid w:val="00D71D96"/>
    <w:rsid w:val="00D72097"/>
    <w:rsid w:val="00D73167"/>
    <w:rsid w:val="00D7322F"/>
    <w:rsid w:val="00D73481"/>
    <w:rsid w:val="00D73C07"/>
    <w:rsid w:val="00D743AB"/>
    <w:rsid w:val="00D74799"/>
    <w:rsid w:val="00D74FDC"/>
    <w:rsid w:val="00D7536B"/>
    <w:rsid w:val="00D75AD5"/>
    <w:rsid w:val="00D81033"/>
    <w:rsid w:val="00D81136"/>
    <w:rsid w:val="00D81C8E"/>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10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E2C"/>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646"/>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632"/>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3F02"/>
    <w:rsid w:val="00E540CA"/>
    <w:rsid w:val="00E54462"/>
    <w:rsid w:val="00E54583"/>
    <w:rsid w:val="00E55F46"/>
    <w:rsid w:val="00E5633C"/>
    <w:rsid w:val="00E56E97"/>
    <w:rsid w:val="00E56EE4"/>
    <w:rsid w:val="00E571CA"/>
    <w:rsid w:val="00E60A17"/>
    <w:rsid w:val="00E6139B"/>
    <w:rsid w:val="00E621FE"/>
    <w:rsid w:val="00E62CBA"/>
    <w:rsid w:val="00E648F7"/>
    <w:rsid w:val="00E64CC9"/>
    <w:rsid w:val="00E65E40"/>
    <w:rsid w:val="00E6690D"/>
    <w:rsid w:val="00E67861"/>
    <w:rsid w:val="00E67D3C"/>
    <w:rsid w:val="00E702B9"/>
    <w:rsid w:val="00E71269"/>
    <w:rsid w:val="00E71EAE"/>
    <w:rsid w:val="00E75146"/>
    <w:rsid w:val="00E7515E"/>
    <w:rsid w:val="00E755AB"/>
    <w:rsid w:val="00E75B19"/>
    <w:rsid w:val="00E75BB5"/>
    <w:rsid w:val="00E7676F"/>
    <w:rsid w:val="00E7767C"/>
    <w:rsid w:val="00E77805"/>
    <w:rsid w:val="00E77A3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5D47"/>
    <w:rsid w:val="00EC636E"/>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3955"/>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094F"/>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1E49"/>
    <w:rsid w:val="00F624A5"/>
    <w:rsid w:val="00F62D15"/>
    <w:rsid w:val="00F6398A"/>
    <w:rsid w:val="00F63C51"/>
    <w:rsid w:val="00F64795"/>
    <w:rsid w:val="00F64C5A"/>
    <w:rsid w:val="00F66D81"/>
    <w:rsid w:val="00F67C3E"/>
    <w:rsid w:val="00F70281"/>
    <w:rsid w:val="00F707C2"/>
    <w:rsid w:val="00F707EE"/>
    <w:rsid w:val="00F710EA"/>
    <w:rsid w:val="00F73249"/>
    <w:rsid w:val="00F73BC3"/>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D4D"/>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25329357">
      <w:bodyDiv w:val="1"/>
      <w:marLeft w:val="0"/>
      <w:marRight w:val="0"/>
      <w:marTop w:val="0"/>
      <w:marBottom w:val="0"/>
      <w:divBdr>
        <w:top w:val="none" w:sz="0" w:space="0" w:color="auto"/>
        <w:left w:val="none" w:sz="0" w:space="0" w:color="auto"/>
        <w:bottom w:val="none" w:sz="0" w:space="0" w:color="auto"/>
        <w:right w:val="none" w:sz="0" w:space="0" w:color="auto"/>
      </w:divBdr>
      <w:divsChild>
        <w:div w:id="236550664">
          <w:marLeft w:val="0"/>
          <w:marRight w:val="0"/>
          <w:marTop w:val="0"/>
          <w:marBottom w:val="0"/>
          <w:divBdr>
            <w:top w:val="none" w:sz="0" w:space="0" w:color="auto"/>
            <w:left w:val="none" w:sz="0" w:space="0" w:color="auto"/>
            <w:bottom w:val="none" w:sz="0" w:space="0" w:color="auto"/>
            <w:right w:val="none" w:sz="0" w:space="0" w:color="auto"/>
          </w:divBdr>
          <w:divsChild>
            <w:div w:id="1190528564">
              <w:marLeft w:val="0"/>
              <w:marRight w:val="0"/>
              <w:marTop w:val="0"/>
              <w:marBottom w:val="0"/>
              <w:divBdr>
                <w:top w:val="none" w:sz="0" w:space="0" w:color="auto"/>
                <w:left w:val="none" w:sz="0" w:space="0" w:color="auto"/>
                <w:bottom w:val="none" w:sz="0" w:space="0" w:color="auto"/>
                <w:right w:val="none" w:sz="0" w:space="0" w:color="auto"/>
              </w:divBdr>
            </w:div>
          </w:divsChild>
        </w:div>
        <w:div w:id="45182914">
          <w:marLeft w:val="0"/>
          <w:marRight w:val="0"/>
          <w:marTop w:val="0"/>
          <w:marBottom w:val="0"/>
          <w:divBdr>
            <w:top w:val="none" w:sz="0" w:space="0" w:color="auto"/>
            <w:left w:val="none" w:sz="0" w:space="0" w:color="auto"/>
            <w:bottom w:val="none" w:sz="0" w:space="0" w:color="auto"/>
            <w:right w:val="none" w:sz="0" w:space="0" w:color="auto"/>
          </w:divBdr>
          <w:divsChild>
            <w:div w:id="942499129">
              <w:marLeft w:val="0"/>
              <w:marRight w:val="0"/>
              <w:marTop w:val="0"/>
              <w:marBottom w:val="0"/>
              <w:divBdr>
                <w:top w:val="none" w:sz="0" w:space="0" w:color="auto"/>
                <w:left w:val="none" w:sz="0" w:space="0" w:color="auto"/>
                <w:bottom w:val="none" w:sz="0" w:space="0" w:color="auto"/>
                <w:right w:val="none" w:sz="0" w:space="0" w:color="auto"/>
              </w:divBdr>
            </w:div>
            <w:div w:id="1607273786">
              <w:marLeft w:val="0"/>
              <w:marRight w:val="0"/>
              <w:marTop w:val="0"/>
              <w:marBottom w:val="0"/>
              <w:divBdr>
                <w:top w:val="none" w:sz="0" w:space="0" w:color="auto"/>
                <w:left w:val="none" w:sz="0" w:space="0" w:color="auto"/>
                <w:bottom w:val="none" w:sz="0" w:space="0" w:color="auto"/>
                <w:right w:val="none" w:sz="0" w:space="0" w:color="auto"/>
              </w:divBdr>
            </w:div>
            <w:div w:id="148713215">
              <w:marLeft w:val="0"/>
              <w:marRight w:val="0"/>
              <w:marTop w:val="0"/>
              <w:marBottom w:val="0"/>
              <w:divBdr>
                <w:top w:val="none" w:sz="0" w:space="0" w:color="auto"/>
                <w:left w:val="none" w:sz="0" w:space="0" w:color="auto"/>
                <w:bottom w:val="none" w:sz="0" w:space="0" w:color="auto"/>
                <w:right w:val="none" w:sz="0" w:space="0" w:color="auto"/>
              </w:divBdr>
            </w:div>
          </w:divsChild>
        </w:div>
        <w:div w:id="1958294506">
          <w:marLeft w:val="0"/>
          <w:marRight w:val="0"/>
          <w:marTop w:val="0"/>
          <w:marBottom w:val="0"/>
          <w:divBdr>
            <w:top w:val="none" w:sz="0" w:space="0" w:color="auto"/>
            <w:left w:val="none" w:sz="0" w:space="0" w:color="auto"/>
            <w:bottom w:val="none" w:sz="0" w:space="0" w:color="auto"/>
            <w:right w:val="none" w:sz="0" w:space="0" w:color="auto"/>
          </w:divBdr>
          <w:divsChild>
            <w:div w:id="245501957">
              <w:marLeft w:val="0"/>
              <w:marRight w:val="0"/>
              <w:marTop w:val="0"/>
              <w:marBottom w:val="0"/>
              <w:divBdr>
                <w:top w:val="none" w:sz="0" w:space="0" w:color="auto"/>
                <w:left w:val="none" w:sz="0" w:space="0" w:color="auto"/>
                <w:bottom w:val="none" w:sz="0" w:space="0" w:color="auto"/>
                <w:right w:val="none" w:sz="0" w:space="0" w:color="auto"/>
              </w:divBdr>
            </w:div>
            <w:div w:id="670183008">
              <w:marLeft w:val="0"/>
              <w:marRight w:val="0"/>
              <w:marTop w:val="0"/>
              <w:marBottom w:val="0"/>
              <w:divBdr>
                <w:top w:val="none" w:sz="0" w:space="0" w:color="auto"/>
                <w:left w:val="none" w:sz="0" w:space="0" w:color="auto"/>
                <w:bottom w:val="none" w:sz="0" w:space="0" w:color="auto"/>
                <w:right w:val="none" w:sz="0" w:space="0" w:color="auto"/>
              </w:divBdr>
            </w:div>
            <w:div w:id="963997700">
              <w:marLeft w:val="0"/>
              <w:marRight w:val="0"/>
              <w:marTop w:val="0"/>
              <w:marBottom w:val="0"/>
              <w:divBdr>
                <w:top w:val="none" w:sz="0" w:space="0" w:color="auto"/>
                <w:left w:val="none" w:sz="0" w:space="0" w:color="auto"/>
                <w:bottom w:val="none" w:sz="0" w:space="0" w:color="auto"/>
                <w:right w:val="none" w:sz="0" w:space="0" w:color="auto"/>
              </w:divBdr>
            </w:div>
          </w:divsChild>
        </w:div>
        <w:div w:id="999389117">
          <w:marLeft w:val="0"/>
          <w:marRight w:val="0"/>
          <w:marTop w:val="0"/>
          <w:marBottom w:val="0"/>
          <w:divBdr>
            <w:top w:val="none" w:sz="0" w:space="0" w:color="auto"/>
            <w:left w:val="none" w:sz="0" w:space="0" w:color="auto"/>
            <w:bottom w:val="none" w:sz="0" w:space="0" w:color="auto"/>
            <w:right w:val="none" w:sz="0" w:space="0" w:color="auto"/>
          </w:divBdr>
        </w:div>
        <w:div w:id="747314465">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89533166">
      <w:bodyDiv w:val="1"/>
      <w:marLeft w:val="0"/>
      <w:marRight w:val="0"/>
      <w:marTop w:val="0"/>
      <w:marBottom w:val="0"/>
      <w:divBdr>
        <w:top w:val="none" w:sz="0" w:space="0" w:color="auto"/>
        <w:left w:val="none" w:sz="0" w:space="0" w:color="auto"/>
        <w:bottom w:val="none" w:sz="0" w:space="0" w:color="auto"/>
        <w:right w:val="none" w:sz="0" w:space="0" w:color="auto"/>
      </w:divBdr>
      <w:divsChild>
        <w:div w:id="1080446229">
          <w:marLeft w:val="0"/>
          <w:marRight w:val="0"/>
          <w:marTop w:val="0"/>
          <w:marBottom w:val="0"/>
          <w:divBdr>
            <w:top w:val="none" w:sz="0" w:space="0" w:color="auto"/>
            <w:left w:val="none" w:sz="0" w:space="0" w:color="auto"/>
            <w:bottom w:val="none" w:sz="0" w:space="0" w:color="auto"/>
            <w:right w:val="none" w:sz="0" w:space="0" w:color="auto"/>
          </w:divBdr>
          <w:divsChild>
            <w:div w:id="274943543">
              <w:marLeft w:val="0"/>
              <w:marRight w:val="0"/>
              <w:marTop w:val="0"/>
              <w:marBottom w:val="0"/>
              <w:divBdr>
                <w:top w:val="none" w:sz="0" w:space="0" w:color="auto"/>
                <w:left w:val="none" w:sz="0" w:space="0" w:color="auto"/>
                <w:bottom w:val="none" w:sz="0" w:space="0" w:color="auto"/>
                <w:right w:val="none" w:sz="0" w:space="0" w:color="auto"/>
              </w:divBdr>
            </w:div>
          </w:divsChild>
        </w:div>
        <w:div w:id="522792318">
          <w:marLeft w:val="0"/>
          <w:marRight w:val="0"/>
          <w:marTop w:val="0"/>
          <w:marBottom w:val="0"/>
          <w:divBdr>
            <w:top w:val="none" w:sz="0" w:space="0" w:color="auto"/>
            <w:left w:val="none" w:sz="0" w:space="0" w:color="auto"/>
            <w:bottom w:val="none" w:sz="0" w:space="0" w:color="auto"/>
            <w:right w:val="none" w:sz="0" w:space="0" w:color="auto"/>
          </w:divBdr>
          <w:divsChild>
            <w:div w:id="1285621083">
              <w:marLeft w:val="0"/>
              <w:marRight w:val="0"/>
              <w:marTop w:val="0"/>
              <w:marBottom w:val="0"/>
              <w:divBdr>
                <w:top w:val="none" w:sz="0" w:space="0" w:color="auto"/>
                <w:left w:val="none" w:sz="0" w:space="0" w:color="auto"/>
                <w:bottom w:val="none" w:sz="0" w:space="0" w:color="auto"/>
                <w:right w:val="none" w:sz="0" w:space="0" w:color="auto"/>
              </w:divBdr>
            </w:div>
            <w:div w:id="252395325">
              <w:marLeft w:val="0"/>
              <w:marRight w:val="0"/>
              <w:marTop w:val="0"/>
              <w:marBottom w:val="0"/>
              <w:divBdr>
                <w:top w:val="none" w:sz="0" w:space="0" w:color="auto"/>
                <w:left w:val="none" w:sz="0" w:space="0" w:color="auto"/>
                <w:bottom w:val="none" w:sz="0" w:space="0" w:color="auto"/>
                <w:right w:val="none" w:sz="0" w:space="0" w:color="auto"/>
              </w:divBdr>
            </w:div>
            <w:div w:id="864363233">
              <w:marLeft w:val="0"/>
              <w:marRight w:val="0"/>
              <w:marTop w:val="0"/>
              <w:marBottom w:val="0"/>
              <w:divBdr>
                <w:top w:val="none" w:sz="0" w:space="0" w:color="auto"/>
                <w:left w:val="none" w:sz="0" w:space="0" w:color="auto"/>
                <w:bottom w:val="none" w:sz="0" w:space="0" w:color="auto"/>
                <w:right w:val="none" w:sz="0" w:space="0" w:color="auto"/>
              </w:divBdr>
            </w:div>
          </w:divsChild>
        </w:div>
        <w:div w:id="1951887190">
          <w:marLeft w:val="0"/>
          <w:marRight w:val="0"/>
          <w:marTop w:val="0"/>
          <w:marBottom w:val="0"/>
          <w:divBdr>
            <w:top w:val="none" w:sz="0" w:space="0" w:color="auto"/>
            <w:left w:val="none" w:sz="0" w:space="0" w:color="auto"/>
            <w:bottom w:val="none" w:sz="0" w:space="0" w:color="auto"/>
            <w:right w:val="none" w:sz="0" w:space="0" w:color="auto"/>
          </w:divBdr>
          <w:divsChild>
            <w:div w:id="1566179755">
              <w:marLeft w:val="0"/>
              <w:marRight w:val="0"/>
              <w:marTop w:val="0"/>
              <w:marBottom w:val="0"/>
              <w:divBdr>
                <w:top w:val="none" w:sz="0" w:space="0" w:color="auto"/>
                <w:left w:val="none" w:sz="0" w:space="0" w:color="auto"/>
                <w:bottom w:val="none" w:sz="0" w:space="0" w:color="auto"/>
                <w:right w:val="none" w:sz="0" w:space="0" w:color="auto"/>
              </w:divBdr>
            </w:div>
            <w:div w:id="12154119">
              <w:marLeft w:val="0"/>
              <w:marRight w:val="0"/>
              <w:marTop w:val="0"/>
              <w:marBottom w:val="0"/>
              <w:divBdr>
                <w:top w:val="none" w:sz="0" w:space="0" w:color="auto"/>
                <w:left w:val="none" w:sz="0" w:space="0" w:color="auto"/>
                <w:bottom w:val="none" w:sz="0" w:space="0" w:color="auto"/>
                <w:right w:val="none" w:sz="0" w:space="0" w:color="auto"/>
              </w:divBdr>
            </w:div>
            <w:div w:id="866672780">
              <w:marLeft w:val="0"/>
              <w:marRight w:val="0"/>
              <w:marTop w:val="0"/>
              <w:marBottom w:val="0"/>
              <w:divBdr>
                <w:top w:val="none" w:sz="0" w:space="0" w:color="auto"/>
                <w:left w:val="none" w:sz="0" w:space="0" w:color="auto"/>
                <w:bottom w:val="none" w:sz="0" w:space="0" w:color="auto"/>
                <w:right w:val="none" w:sz="0" w:space="0" w:color="auto"/>
              </w:divBdr>
            </w:div>
          </w:divsChild>
        </w:div>
        <w:div w:id="1748460842">
          <w:marLeft w:val="0"/>
          <w:marRight w:val="0"/>
          <w:marTop w:val="0"/>
          <w:marBottom w:val="0"/>
          <w:divBdr>
            <w:top w:val="none" w:sz="0" w:space="0" w:color="auto"/>
            <w:left w:val="none" w:sz="0" w:space="0" w:color="auto"/>
            <w:bottom w:val="none" w:sz="0" w:space="0" w:color="auto"/>
            <w:right w:val="none" w:sz="0" w:space="0" w:color="auto"/>
          </w:divBdr>
        </w:div>
        <w:div w:id="331377850">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91734057">
      <w:bodyDiv w:val="1"/>
      <w:marLeft w:val="0"/>
      <w:marRight w:val="0"/>
      <w:marTop w:val="0"/>
      <w:marBottom w:val="0"/>
      <w:divBdr>
        <w:top w:val="none" w:sz="0" w:space="0" w:color="auto"/>
        <w:left w:val="none" w:sz="0" w:space="0" w:color="auto"/>
        <w:bottom w:val="none" w:sz="0" w:space="0" w:color="auto"/>
        <w:right w:val="none" w:sz="0" w:space="0" w:color="auto"/>
      </w:divBdr>
      <w:divsChild>
        <w:div w:id="954024916">
          <w:marLeft w:val="0"/>
          <w:marRight w:val="0"/>
          <w:marTop w:val="0"/>
          <w:marBottom w:val="0"/>
          <w:divBdr>
            <w:top w:val="none" w:sz="0" w:space="0" w:color="auto"/>
            <w:left w:val="none" w:sz="0" w:space="0" w:color="auto"/>
            <w:bottom w:val="none" w:sz="0" w:space="0" w:color="auto"/>
            <w:right w:val="none" w:sz="0" w:space="0" w:color="auto"/>
          </w:divBdr>
          <w:divsChild>
            <w:div w:id="860121751">
              <w:marLeft w:val="0"/>
              <w:marRight w:val="0"/>
              <w:marTop w:val="0"/>
              <w:marBottom w:val="0"/>
              <w:divBdr>
                <w:top w:val="none" w:sz="0" w:space="0" w:color="auto"/>
                <w:left w:val="none" w:sz="0" w:space="0" w:color="auto"/>
                <w:bottom w:val="none" w:sz="0" w:space="0" w:color="auto"/>
                <w:right w:val="none" w:sz="0" w:space="0" w:color="auto"/>
              </w:divBdr>
            </w:div>
          </w:divsChild>
        </w:div>
        <w:div w:id="1632322348">
          <w:marLeft w:val="0"/>
          <w:marRight w:val="0"/>
          <w:marTop w:val="0"/>
          <w:marBottom w:val="0"/>
          <w:divBdr>
            <w:top w:val="none" w:sz="0" w:space="0" w:color="auto"/>
            <w:left w:val="none" w:sz="0" w:space="0" w:color="auto"/>
            <w:bottom w:val="none" w:sz="0" w:space="0" w:color="auto"/>
            <w:right w:val="none" w:sz="0" w:space="0" w:color="auto"/>
          </w:divBdr>
          <w:divsChild>
            <w:div w:id="747581432">
              <w:marLeft w:val="0"/>
              <w:marRight w:val="0"/>
              <w:marTop w:val="0"/>
              <w:marBottom w:val="0"/>
              <w:divBdr>
                <w:top w:val="none" w:sz="0" w:space="0" w:color="auto"/>
                <w:left w:val="none" w:sz="0" w:space="0" w:color="auto"/>
                <w:bottom w:val="none" w:sz="0" w:space="0" w:color="auto"/>
                <w:right w:val="none" w:sz="0" w:space="0" w:color="auto"/>
              </w:divBdr>
            </w:div>
            <w:div w:id="1145505858">
              <w:marLeft w:val="0"/>
              <w:marRight w:val="0"/>
              <w:marTop w:val="0"/>
              <w:marBottom w:val="0"/>
              <w:divBdr>
                <w:top w:val="none" w:sz="0" w:space="0" w:color="auto"/>
                <w:left w:val="none" w:sz="0" w:space="0" w:color="auto"/>
                <w:bottom w:val="none" w:sz="0" w:space="0" w:color="auto"/>
                <w:right w:val="none" w:sz="0" w:space="0" w:color="auto"/>
              </w:divBdr>
            </w:div>
            <w:div w:id="1526822572">
              <w:marLeft w:val="0"/>
              <w:marRight w:val="0"/>
              <w:marTop w:val="0"/>
              <w:marBottom w:val="0"/>
              <w:divBdr>
                <w:top w:val="none" w:sz="0" w:space="0" w:color="auto"/>
                <w:left w:val="none" w:sz="0" w:space="0" w:color="auto"/>
                <w:bottom w:val="none" w:sz="0" w:space="0" w:color="auto"/>
                <w:right w:val="none" w:sz="0" w:space="0" w:color="auto"/>
              </w:divBdr>
            </w:div>
          </w:divsChild>
        </w:div>
        <w:div w:id="192810284">
          <w:marLeft w:val="0"/>
          <w:marRight w:val="0"/>
          <w:marTop w:val="0"/>
          <w:marBottom w:val="0"/>
          <w:divBdr>
            <w:top w:val="none" w:sz="0" w:space="0" w:color="auto"/>
            <w:left w:val="none" w:sz="0" w:space="0" w:color="auto"/>
            <w:bottom w:val="none" w:sz="0" w:space="0" w:color="auto"/>
            <w:right w:val="none" w:sz="0" w:space="0" w:color="auto"/>
          </w:divBdr>
          <w:divsChild>
            <w:div w:id="2073188389">
              <w:marLeft w:val="0"/>
              <w:marRight w:val="0"/>
              <w:marTop w:val="0"/>
              <w:marBottom w:val="0"/>
              <w:divBdr>
                <w:top w:val="none" w:sz="0" w:space="0" w:color="auto"/>
                <w:left w:val="none" w:sz="0" w:space="0" w:color="auto"/>
                <w:bottom w:val="none" w:sz="0" w:space="0" w:color="auto"/>
                <w:right w:val="none" w:sz="0" w:space="0" w:color="auto"/>
              </w:divBdr>
            </w:div>
            <w:div w:id="879319002">
              <w:marLeft w:val="0"/>
              <w:marRight w:val="0"/>
              <w:marTop w:val="0"/>
              <w:marBottom w:val="0"/>
              <w:divBdr>
                <w:top w:val="none" w:sz="0" w:space="0" w:color="auto"/>
                <w:left w:val="none" w:sz="0" w:space="0" w:color="auto"/>
                <w:bottom w:val="none" w:sz="0" w:space="0" w:color="auto"/>
                <w:right w:val="none" w:sz="0" w:space="0" w:color="auto"/>
              </w:divBdr>
            </w:div>
            <w:div w:id="1640382442">
              <w:marLeft w:val="0"/>
              <w:marRight w:val="0"/>
              <w:marTop w:val="0"/>
              <w:marBottom w:val="0"/>
              <w:divBdr>
                <w:top w:val="none" w:sz="0" w:space="0" w:color="auto"/>
                <w:left w:val="none" w:sz="0" w:space="0" w:color="auto"/>
                <w:bottom w:val="none" w:sz="0" w:space="0" w:color="auto"/>
                <w:right w:val="none" w:sz="0" w:space="0" w:color="auto"/>
              </w:divBdr>
            </w:div>
          </w:divsChild>
        </w:div>
        <w:div w:id="1436748259">
          <w:marLeft w:val="0"/>
          <w:marRight w:val="0"/>
          <w:marTop w:val="0"/>
          <w:marBottom w:val="0"/>
          <w:divBdr>
            <w:top w:val="none" w:sz="0" w:space="0" w:color="auto"/>
            <w:left w:val="none" w:sz="0" w:space="0" w:color="auto"/>
            <w:bottom w:val="none" w:sz="0" w:space="0" w:color="auto"/>
            <w:right w:val="none" w:sz="0" w:space="0" w:color="auto"/>
          </w:divBdr>
        </w:div>
        <w:div w:id="1366129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void(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7CEED-4C90-4766-9B3C-169C44D16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17</Pages>
  <Words>7619</Words>
  <Characters>41906</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68</cp:revision>
  <cp:lastPrinted>2021-10-20T16:57:00Z</cp:lastPrinted>
  <dcterms:created xsi:type="dcterms:W3CDTF">2021-10-01T17:18:00Z</dcterms:created>
  <dcterms:modified xsi:type="dcterms:W3CDTF">2022-02-03T19:30:00Z</dcterms:modified>
</cp:coreProperties>
</file>