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B69B3" w:rsidRPr="00B668BB" w:rsidTr="00764C8B">
        <w:tc>
          <w:tcPr>
            <w:tcW w:w="2356" w:type="dxa"/>
          </w:tcPr>
          <w:p w:rsidR="00AB69B3" w:rsidRPr="00B668BB" w:rsidRDefault="00AB69B3" w:rsidP="00764C8B">
            <w:pPr>
              <w:spacing w:after="0" w:line="240" w:lineRule="auto"/>
              <w:rPr>
                <w:rFonts w:ascii="Arial" w:hAnsi="Arial" w:cs="Arial"/>
                <w:b/>
                <w:sz w:val="26"/>
                <w:szCs w:val="26"/>
              </w:rPr>
            </w:pPr>
          </w:p>
        </w:tc>
        <w:tc>
          <w:tcPr>
            <w:tcW w:w="7426" w:type="dxa"/>
          </w:tcPr>
          <w:p w:rsidR="00AB69B3" w:rsidRPr="00704527" w:rsidRDefault="00AB69B3" w:rsidP="00764C8B">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rsidR="00AB69B3" w:rsidRDefault="00AB69B3" w:rsidP="00764C8B">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Pr>
                <w:rFonts w:ascii="Arial" w:hAnsi="Arial" w:cs="Arial"/>
                <w:b/>
                <w:iCs/>
                <w:caps/>
                <w:sz w:val="26"/>
                <w:szCs w:val="26"/>
                <w:lang w:val="es-PE"/>
              </w:rPr>
              <w:t>0409/2018</w:t>
            </w:r>
          </w:p>
          <w:p w:rsidR="00AB69B3" w:rsidRPr="000A1F0F" w:rsidRDefault="00AB69B3" w:rsidP="00764C8B">
            <w:pPr>
              <w:pStyle w:val="Encabezado"/>
              <w:ind w:left="977" w:right="639"/>
              <w:jc w:val="both"/>
              <w:rPr>
                <w:rFonts w:ascii="Arial" w:hAnsi="Arial" w:cs="Arial"/>
                <w:b/>
                <w:iCs/>
                <w:caps/>
                <w:sz w:val="26"/>
                <w:szCs w:val="26"/>
                <w:lang w:val="es-PE"/>
              </w:rPr>
            </w:pPr>
          </w:p>
          <w:p w:rsidR="00AB69B3" w:rsidRDefault="00AB69B3" w:rsidP="00764C8B">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0025/2018 de la PRIMERA sala unitaria DE PRIMERA INSTANCIA.</w:t>
            </w:r>
          </w:p>
          <w:p w:rsidR="00AB69B3" w:rsidRPr="000A1F0F" w:rsidRDefault="00AB69B3" w:rsidP="00764C8B">
            <w:pPr>
              <w:pStyle w:val="Encabezado"/>
              <w:ind w:left="977" w:right="639" w:hanging="1119"/>
              <w:jc w:val="both"/>
              <w:rPr>
                <w:rFonts w:ascii="Arial" w:hAnsi="Arial" w:cs="Arial"/>
                <w:b/>
                <w:iCs/>
                <w:caps/>
                <w:sz w:val="26"/>
                <w:szCs w:val="26"/>
                <w:lang w:val="es-PE"/>
              </w:rPr>
            </w:pPr>
          </w:p>
          <w:p w:rsidR="00AB69B3" w:rsidRPr="000A1F0F" w:rsidRDefault="00AB69B3" w:rsidP="00764C8B">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AB69B3" w:rsidRPr="00B668BB" w:rsidTr="00764C8B">
        <w:tc>
          <w:tcPr>
            <w:tcW w:w="2356" w:type="dxa"/>
          </w:tcPr>
          <w:p w:rsidR="00AB69B3" w:rsidRPr="00B668BB" w:rsidRDefault="00AB69B3" w:rsidP="00764C8B">
            <w:pPr>
              <w:spacing w:after="0" w:line="240" w:lineRule="auto"/>
              <w:rPr>
                <w:rFonts w:ascii="Arial" w:hAnsi="Arial" w:cs="Arial"/>
                <w:b/>
                <w:sz w:val="26"/>
                <w:szCs w:val="26"/>
              </w:rPr>
            </w:pPr>
          </w:p>
        </w:tc>
        <w:tc>
          <w:tcPr>
            <w:tcW w:w="7426" w:type="dxa"/>
          </w:tcPr>
          <w:p w:rsidR="00AB69B3" w:rsidRPr="00B668BB" w:rsidRDefault="00AB69B3" w:rsidP="00764C8B">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AB69B3" w:rsidRPr="00B668BB" w:rsidTr="00764C8B">
        <w:tc>
          <w:tcPr>
            <w:tcW w:w="2356" w:type="dxa"/>
          </w:tcPr>
          <w:p w:rsidR="00AB69B3" w:rsidRPr="00B668BB" w:rsidRDefault="00AB69B3" w:rsidP="00764C8B">
            <w:pPr>
              <w:spacing w:after="0" w:line="240" w:lineRule="auto"/>
              <w:rPr>
                <w:rFonts w:ascii="Arial" w:hAnsi="Arial" w:cs="Arial"/>
                <w:b/>
                <w:sz w:val="26"/>
                <w:szCs w:val="26"/>
              </w:rPr>
            </w:pPr>
          </w:p>
        </w:tc>
        <w:tc>
          <w:tcPr>
            <w:tcW w:w="7426" w:type="dxa"/>
          </w:tcPr>
          <w:p w:rsidR="00AB69B3" w:rsidRPr="00B668BB" w:rsidRDefault="00AB69B3" w:rsidP="00764C8B">
            <w:pPr>
              <w:tabs>
                <w:tab w:val="left" w:pos="3103"/>
              </w:tabs>
              <w:spacing w:after="0" w:line="240" w:lineRule="auto"/>
              <w:ind w:left="2961" w:hanging="2961"/>
              <w:jc w:val="both"/>
              <w:rPr>
                <w:rFonts w:ascii="Arial" w:hAnsi="Arial" w:cs="Arial"/>
                <w:b/>
                <w:i/>
                <w:iCs/>
                <w:caps/>
                <w:sz w:val="26"/>
                <w:szCs w:val="26"/>
              </w:rPr>
            </w:pPr>
          </w:p>
        </w:tc>
      </w:tr>
    </w:tbl>
    <w:p w:rsidR="00AB69B3" w:rsidRDefault="00AB69B3" w:rsidP="00AB69B3">
      <w:pPr>
        <w:spacing w:after="0" w:line="360" w:lineRule="auto"/>
        <w:jc w:val="both"/>
        <w:rPr>
          <w:rFonts w:ascii="Arial" w:hAnsi="Arial" w:cs="Arial"/>
          <w:b/>
          <w:sz w:val="26"/>
          <w:szCs w:val="26"/>
        </w:rPr>
      </w:pPr>
      <w:r>
        <w:rPr>
          <w:rFonts w:ascii="Arial" w:hAnsi="Arial" w:cs="Arial"/>
          <w:b/>
          <w:sz w:val="26"/>
          <w:szCs w:val="26"/>
        </w:rPr>
        <w:t xml:space="preserve">OAXACA DE JUÁREZ, OAXACA, TREINTA DE MAYO DE DOS MIL DIECINUEVE. </w:t>
      </w:r>
    </w:p>
    <w:p w:rsidR="00AB69B3" w:rsidRPr="00594C47" w:rsidRDefault="00AB69B3" w:rsidP="00AB69B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 xml:space="preserve">0409/2018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sz w:val="26"/>
          <w:szCs w:val="26"/>
        </w:rPr>
        <w:t xml:space="preserve"> </w:t>
      </w:r>
      <w:r w:rsidR="00AC790C">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 la resolución de seis de septiembre de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0025/2018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Primera </w:t>
      </w:r>
      <w:r w:rsidRPr="00C830CA">
        <w:rPr>
          <w:rFonts w:ascii="Arial" w:hAnsi="Arial" w:cs="Arial"/>
          <w:sz w:val="26"/>
          <w:szCs w:val="26"/>
        </w:rPr>
        <w:t>Sala Unitaria de Primera Instancia, relativo al juicio de nulidad promovido por</w:t>
      </w:r>
      <w:r w:rsidRPr="00081129">
        <w:rPr>
          <w:rFonts w:ascii="Arial" w:hAnsi="Arial" w:cs="Arial"/>
          <w:b/>
          <w:sz w:val="26"/>
          <w:szCs w:val="26"/>
        </w:rPr>
        <w:t xml:space="preserve"> </w:t>
      </w:r>
      <w:r w:rsidR="00AC790C">
        <w:rPr>
          <w:rFonts w:ascii="Arial" w:hAnsi="Arial" w:cs="Arial"/>
          <w:b/>
          <w:sz w:val="26"/>
          <w:szCs w:val="26"/>
        </w:rPr>
        <w:t>**********</w:t>
      </w:r>
      <w:r>
        <w:rPr>
          <w:rFonts w:ascii="Arial" w:hAnsi="Arial" w:cs="Arial"/>
          <w:sz w:val="26"/>
          <w:szCs w:val="26"/>
        </w:rPr>
        <w:t xml:space="preserve"> en contra del </w:t>
      </w:r>
      <w:r w:rsidRPr="00191E74">
        <w:rPr>
          <w:rFonts w:ascii="Arial" w:hAnsi="Arial" w:cs="Arial"/>
          <w:b/>
          <w:sz w:val="26"/>
          <w:szCs w:val="26"/>
        </w:rPr>
        <w:t>PRESIDENTE MUNICIPAL, SÍNDICO MUNICIPAL Y HONORABLE CABILDO MUNICIPAL, TODOS DE LA VILLA DE ETLA,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w:t>
      </w:r>
      <w:r>
        <w:rPr>
          <w:rFonts w:ascii="Arial" w:hAnsi="Arial" w:cs="Arial"/>
          <w:sz w:val="26"/>
          <w:szCs w:val="26"/>
        </w:rPr>
        <w:t>3</w:t>
      </w:r>
      <w:r w:rsidRPr="00372D3D">
        <w:rPr>
          <w:rFonts w:ascii="Arial" w:hAnsi="Arial" w:cs="Arial"/>
          <w:sz w:val="26"/>
          <w:szCs w:val="26"/>
        </w:rPr>
        <w:t>7 y 2</w:t>
      </w:r>
      <w:r>
        <w:rPr>
          <w:rFonts w:ascii="Arial" w:hAnsi="Arial" w:cs="Arial"/>
          <w:sz w:val="26"/>
          <w:szCs w:val="26"/>
        </w:rPr>
        <w:t>3</w:t>
      </w:r>
      <w:r w:rsidRPr="00372D3D">
        <w:rPr>
          <w:rFonts w:ascii="Arial" w:hAnsi="Arial" w:cs="Arial"/>
          <w:sz w:val="26"/>
          <w:szCs w:val="26"/>
        </w:rPr>
        <w:t xml:space="preserve">8, de la Ley de </w:t>
      </w:r>
      <w:r>
        <w:rPr>
          <w:rFonts w:ascii="Arial" w:hAnsi="Arial" w:cs="Arial"/>
          <w:sz w:val="26"/>
          <w:szCs w:val="26"/>
        </w:rPr>
        <w:t xml:space="preserve">Procedimiento y </w:t>
      </w:r>
      <w:r w:rsidRPr="00372D3D">
        <w:rPr>
          <w:rFonts w:ascii="Arial" w:hAnsi="Arial" w:cs="Arial"/>
          <w:sz w:val="26"/>
          <w:szCs w:val="26"/>
        </w:rPr>
        <w:t>Justicia Administrativa para el Estado de Oaxaca,</w:t>
      </w:r>
      <w:r>
        <w:rPr>
          <w:rFonts w:ascii="Arial" w:hAnsi="Arial" w:cs="Arial"/>
          <w:sz w:val="26"/>
          <w:szCs w:val="26"/>
        </w:rPr>
        <w:t xml:space="preserve"> </w:t>
      </w:r>
      <w:r w:rsidRPr="00801D20">
        <w:rPr>
          <w:rFonts w:ascii="Arial" w:hAnsi="Arial" w:cs="Arial"/>
          <w:sz w:val="26"/>
          <w:szCs w:val="26"/>
        </w:rPr>
        <w:t>se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rsidR="00AB69B3" w:rsidRDefault="00AB69B3" w:rsidP="00AB69B3">
      <w:pPr>
        <w:spacing w:after="0" w:line="360" w:lineRule="auto"/>
        <w:jc w:val="center"/>
        <w:rPr>
          <w:rFonts w:ascii="Arial" w:hAnsi="Arial" w:cs="Arial"/>
          <w:b/>
          <w:bCs/>
          <w:sz w:val="26"/>
          <w:szCs w:val="26"/>
        </w:rPr>
      </w:pPr>
    </w:p>
    <w:p w:rsidR="00AB69B3" w:rsidRDefault="00AB69B3" w:rsidP="00AB69B3">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AB69B3" w:rsidRPr="006105BC" w:rsidRDefault="00AB69B3" w:rsidP="00AB69B3">
      <w:pPr>
        <w:spacing w:after="0" w:line="360" w:lineRule="auto"/>
        <w:jc w:val="both"/>
        <w:rPr>
          <w:rFonts w:ascii="Arial" w:hAnsi="Arial" w:cs="Arial"/>
          <w:b/>
          <w:bCs/>
          <w:sz w:val="26"/>
          <w:szCs w:val="26"/>
        </w:rPr>
      </w:pPr>
    </w:p>
    <w:p w:rsidR="00AB69B3" w:rsidRDefault="00AB69B3" w:rsidP="00AB69B3">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resolución de seis de septiembre de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 xml:space="preserve">0025/2018 </w:t>
      </w:r>
      <w:r>
        <w:rPr>
          <w:rFonts w:ascii="Arial" w:hAnsi="Arial" w:cs="Arial"/>
          <w:sz w:val="26"/>
          <w:szCs w:val="26"/>
        </w:rPr>
        <w:t xml:space="preserve">del índice de la Primera </w:t>
      </w:r>
      <w:r w:rsidRPr="00C830CA">
        <w:rPr>
          <w:rFonts w:ascii="Arial" w:hAnsi="Arial" w:cs="Arial"/>
          <w:sz w:val="26"/>
          <w:szCs w:val="26"/>
        </w:rPr>
        <w:t>Sal</w:t>
      </w:r>
      <w:r>
        <w:rPr>
          <w:rFonts w:ascii="Arial" w:hAnsi="Arial" w:cs="Arial"/>
          <w:sz w:val="26"/>
          <w:szCs w:val="26"/>
        </w:rPr>
        <w:t xml:space="preserve">a Unitaria de Primera Instancia, </w:t>
      </w:r>
      <w:r w:rsidR="00AC790C">
        <w:rPr>
          <w:rFonts w:ascii="Arial" w:hAnsi="Arial" w:cs="Arial"/>
          <w:b/>
          <w:sz w:val="26"/>
          <w:szCs w:val="26"/>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AB69B3" w:rsidRDefault="00AB69B3" w:rsidP="00AB69B3">
      <w:pPr>
        <w:spacing w:after="0" w:line="360" w:lineRule="auto"/>
        <w:jc w:val="both"/>
        <w:rPr>
          <w:rFonts w:ascii="Arial" w:hAnsi="Arial" w:cs="Arial"/>
          <w:sz w:val="26"/>
          <w:szCs w:val="26"/>
        </w:rPr>
      </w:pPr>
      <w:r>
        <w:rPr>
          <w:rFonts w:ascii="Arial" w:hAnsi="Arial" w:cs="Arial"/>
          <w:sz w:val="26"/>
          <w:szCs w:val="26"/>
        </w:rPr>
        <w:t xml:space="preserve"> </w:t>
      </w:r>
    </w:p>
    <w:p w:rsidR="00AB69B3" w:rsidRDefault="00AB69B3" w:rsidP="00AB69B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Los puntos</w:t>
      </w:r>
      <w:r w:rsidRPr="00C37A09">
        <w:rPr>
          <w:rFonts w:ascii="Arial" w:hAnsi="Arial" w:cs="Arial"/>
          <w:bCs/>
          <w:sz w:val="26"/>
          <w:szCs w:val="26"/>
        </w:rPr>
        <w:t xml:space="preserve"> de la </w:t>
      </w:r>
      <w:r>
        <w:rPr>
          <w:rFonts w:ascii="Arial" w:hAnsi="Arial" w:cs="Arial"/>
          <w:bCs/>
          <w:sz w:val="26"/>
          <w:szCs w:val="26"/>
        </w:rPr>
        <w:t>resolución</w:t>
      </w:r>
      <w:r w:rsidRPr="00C37A09">
        <w:rPr>
          <w:rFonts w:ascii="Arial" w:hAnsi="Arial" w:cs="Arial"/>
          <w:bCs/>
          <w:sz w:val="26"/>
          <w:szCs w:val="26"/>
        </w:rPr>
        <w:t xml:space="preserve"> recurrida, </w:t>
      </w:r>
      <w:r>
        <w:rPr>
          <w:rFonts w:ascii="Arial" w:hAnsi="Arial" w:cs="Arial"/>
          <w:bCs/>
          <w:sz w:val="26"/>
          <w:szCs w:val="26"/>
        </w:rPr>
        <w:t>son los siguientes:</w:t>
      </w:r>
    </w:p>
    <w:p w:rsidR="00AB69B3" w:rsidRDefault="00AB69B3" w:rsidP="00AB69B3">
      <w:pPr>
        <w:spacing w:after="0" w:line="240" w:lineRule="auto"/>
        <w:ind w:left="851" w:right="900"/>
        <w:jc w:val="both"/>
        <w:rPr>
          <w:rFonts w:cstheme="minorHAnsi"/>
          <w:i/>
        </w:rPr>
      </w:pPr>
      <w:r w:rsidRPr="00A13064">
        <w:rPr>
          <w:rFonts w:cstheme="minorHAnsi"/>
          <w:i/>
        </w:rPr>
        <w:t>“</w:t>
      </w:r>
      <w:r>
        <w:rPr>
          <w:rFonts w:cstheme="minorHAnsi"/>
          <w:b/>
          <w:i/>
        </w:rPr>
        <w:t xml:space="preserve">PRIMERO.- </w:t>
      </w:r>
      <w:r>
        <w:rPr>
          <w:rFonts w:cstheme="minorHAnsi"/>
          <w:i/>
        </w:rPr>
        <w:t xml:space="preserve">Esta Primera Sala Unitaria del Tribunal de Justicia Administrativa del Estado de Oaxaca, es competente para conocer y resolver el presente juicio.- - - - - - - - - - - - - - - - - - - - - - - - - - - - - - - - - - - - </w:t>
      </w:r>
    </w:p>
    <w:p w:rsidR="00AB69B3" w:rsidRDefault="00AB69B3" w:rsidP="00AB69B3">
      <w:pPr>
        <w:spacing w:after="0" w:line="240" w:lineRule="auto"/>
        <w:ind w:left="851" w:right="900"/>
        <w:jc w:val="both"/>
        <w:rPr>
          <w:rFonts w:cstheme="minorHAnsi"/>
          <w:i/>
        </w:rPr>
      </w:pPr>
      <w:r>
        <w:rPr>
          <w:rFonts w:cstheme="minorHAnsi"/>
          <w:i/>
        </w:rPr>
        <w:tab/>
      </w:r>
      <w:r>
        <w:rPr>
          <w:rFonts w:cstheme="minorHAnsi"/>
          <w:b/>
          <w:i/>
        </w:rPr>
        <w:t xml:space="preserve">SEGUNDO.- </w:t>
      </w:r>
      <w:r>
        <w:rPr>
          <w:rFonts w:cstheme="minorHAnsi"/>
          <w:i/>
        </w:rPr>
        <w:t xml:space="preserve">La personalidad de las partes quedó asentada en autos.- - - - - - - - - - - - - - - - - - - - - - - - - - - - - - - - - - - - - - - - - - - - - - - - - - - </w:t>
      </w:r>
    </w:p>
    <w:p w:rsidR="00AB69B3" w:rsidRDefault="00AB69B3" w:rsidP="00AB69B3">
      <w:pPr>
        <w:spacing w:after="0" w:line="240" w:lineRule="auto"/>
        <w:ind w:left="851" w:right="900"/>
        <w:jc w:val="both"/>
        <w:rPr>
          <w:rFonts w:cstheme="minorHAnsi"/>
          <w:i/>
        </w:rPr>
      </w:pPr>
      <w:r>
        <w:rPr>
          <w:rFonts w:cstheme="minorHAnsi"/>
          <w:i/>
        </w:rPr>
        <w:tab/>
      </w:r>
      <w:r>
        <w:rPr>
          <w:rFonts w:cstheme="minorHAnsi"/>
          <w:b/>
          <w:i/>
        </w:rPr>
        <w:t>TERCERO</w:t>
      </w:r>
      <w:r>
        <w:rPr>
          <w:rFonts w:cstheme="minorHAnsi"/>
          <w:i/>
        </w:rPr>
        <w:t xml:space="preserve">.- Se </w:t>
      </w:r>
      <w:r>
        <w:rPr>
          <w:rFonts w:cstheme="minorHAnsi"/>
          <w:b/>
          <w:i/>
        </w:rPr>
        <w:t xml:space="preserve">SOBRESEE EL PRESENTE JUICIO, </w:t>
      </w:r>
      <w:r>
        <w:rPr>
          <w:rFonts w:cstheme="minorHAnsi"/>
          <w:i/>
        </w:rPr>
        <w:t xml:space="preserve">por las consideraciones enunciadas en el considerando TERCERO de la presente resolución, y en consecuencia resultan improcedentes las pretensiones reclamadas por el actor.- - - - - - - - - - - - - - - - - - - - - - - - - - - - - - - - - - - - - </w:t>
      </w:r>
    </w:p>
    <w:p w:rsidR="00AB69B3" w:rsidRPr="006F7601" w:rsidRDefault="00AB69B3" w:rsidP="00AB69B3">
      <w:pPr>
        <w:spacing w:after="0" w:line="240" w:lineRule="auto"/>
        <w:ind w:left="851" w:right="900"/>
        <w:jc w:val="both"/>
        <w:rPr>
          <w:rFonts w:cstheme="minorHAnsi"/>
          <w:i/>
        </w:rPr>
      </w:pPr>
      <w:r>
        <w:rPr>
          <w:rFonts w:cstheme="minorHAnsi"/>
          <w:b/>
          <w:i/>
        </w:rPr>
        <w:lastRenderedPageBreak/>
        <w:tab/>
        <w:t xml:space="preserve">QUINTO (sic).- NOTIFÍQUESE </w:t>
      </w:r>
      <w:r>
        <w:rPr>
          <w:rFonts w:cstheme="minorHAnsi"/>
          <w:i/>
        </w:rPr>
        <w:t xml:space="preserve">personalmente al actor y por oficio a la autoridad demandada y </w:t>
      </w:r>
      <w:r>
        <w:rPr>
          <w:rFonts w:cstheme="minorHAnsi"/>
          <w:b/>
          <w:i/>
        </w:rPr>
        <w:t>CÚMPLASE.</w:t>
      </w:r>
      <w:r>
        <w:rPr>
          <w:rFonts w:cstheme="minorHAnsi"/>
          <w:i/>
        </w:rPr>
        <w:t xml:space="preserve">- - - - - - - - - - - - - - - - - - - - - - - - - - </w:t>
      </w:r>
    </w:p>
    <w:p w:rsidR="00AB69B3" w:rsidRPr="00A8244C" w:rsidRDefault="00AB69B3" w:rsidP="00AB69B3">
      <w:pPr>
        <w:widowControl w:val="0"/>
        <w:tabs>
          <w:tab w:val="left" w:pos="7938"/>
        </w:tabs>
        <w:spacing w:after="0" w:line="360" w:lineRule="auto"/>
        <w:ind w:right="616"/>
        <w:jc w:val="both"/>
        <w:rPr>
          <w:rFonts w:ascii="Arial" w:eastAsia="Times New Roman" w:hAnsi="Arial" w:cs="Arial"/>
          <w:b/>
          <w:bCs/>
          <w:iCs/>
          <w:lang w:eastAsia="es-ES"/>
        </w:rPr>
      </w:pPr>
    </w:p>
    <w:p w:rsidR="00AB69B3" w:rsidRDefault="00AB69B3" w:rsidP="00AB69B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AB69B3" w:rsidRDefault="00AB69B3" w:rsidP="00AB69B3">
      <w:pPr>
        <w:pStyle w:val="Textoindependiente21"/>
        <w:spacing w:before="240" w:line="360" w:lineRule="auto"/>
        <w:ind w:right="18" w:firstLine="708"/>
        <w:rPr>
          <w:rFonts w:ascii="Arial" w:hAnsi="Arial" w:cs="Arial"/>
          <w:sz w:val="26"/>
          <w:szCs w:val="26"/>
        </w:rPr>
      </w:pPr>
      <w:r w:rsidRPr="006E349D">
        <w:rPr>
          <w:rFonts w:ascii="Arial" w:hAnsi="Arial" w:cs="Arial"/>
          <w:b/>
          <w:bCs/>
          <w:iCs/>
          <w:sz w:val="26"/>
          <w:szCs w:val="26"/>
        </w:rPr>
        <w:t xml:space="preserve">PRIMERO. </w:t>
      </w:r>
      <w:r w:rsidRPr="00FC7072">
        <w:rPr>
          <w:rFonts w:ascii="Arial" w:hAnsi="Arial" w:cs="Arial"/>
          <w:sz w:val="26"/>
          <w:szCs w:val="26"/>
        </w:rPr>
        <w:t xml:space="preserve">Esta Sala Superior es competente para conocer del presente asunto, de conformidad con lo dispuesto por los artículos 114 QUÁTER, tercer párrafo de la Constitución </w:t>
      </w:r>
      <w:r>
        <w:rPr>
          <w:rFonts w:ascii="Arial" w:hAnsi="Arial" w:cs="Arial"/>
          <w:sz w:val="26"/>
          <w:szCs w:val="26"/>
        </w:rPr>
        <w:t>Política</w:t>
      </w:r>
      <w:r w:rsidRPr="00FC7072">
        <w:rPr>
          <w:rFonts w:ascii="Arial" w:hAnsi="Arial" w:cs="Arial"/>
          <w:sz w:val="26"/>
          <w:szCs w:val="26"/>
        </w:rPr>
        <w:t xml:space="preserve"> del Estado Libre y Soberano de Oaxaca, así como los diversos </w:t>
      </w:r>
      <w:r>
        <w:rPr>
          <w:rFonts w:ascii="Arial" w:hAnsi="Arial" w:cs="Arial"/>
          <w:sz w:val="26"/>
          <w:szCs w:val="26"/>
        </w:rPr>
        <w:t>120, 125, 127, 129, 130 fracción I</w:t>
      </w:r>
      <w:r w:rsidRPr="00FC7072">
        <w:rPr>
          <w:rFonts w:ascii="Arial" w:hAnsi="Arial" w:cs="Arial"/>
          <w:sz w:val="26"/>
          <w:szCs w:val="26"/>
        </w:rPr>
        <w:t>,</w:t>
      </w:r>
      <w:r>
        <w:rPr>
          <w:rFonts w:ascii="Arial" w:hAnsi="Arial" w:cs="Arial"/>
          <w:sz w:val="26"/>
          <w:szCs w:val="26"/>
        </w:rPr>
        <w:t xml:space="preserve"> 131, 231, 236 y 238 </w:t>
      </w:r>
      <w:r w:rsidRPr="00FC7072">
        <w:rPr>
          <w:rFonts w:ascii="Arial" w:hAnsi="Arial" w:cs="Arial"/>
          <w:sz w:val="26"/>
          <w:szCs w:val="26"/>
        </w:rPr>
        <w:t>de la Ley de</w:t>
      </w:r>
      <w:r>
        <w:rPr>
          <w:rFonts w:ascii="Arial" w:hAnsi="Arial" w:cs="Arial"/>
          <w:sz w:val="26"/>
          <w:szCs w:val="26"/>
        </w:rPr>
        <w:t xml:space="preserve"> Procedimiento y</w:t>
      </w:r>
      <w:r w:rsidRPr="00FC7072">
        <w:rPr>
          <w:rFonts w:ascii="Arial" w:hAnsi="Arial" w:cs="Arial"/>
          <w:sz w:val="26"/>
          <w:szCs w:val="26"/>
        </w:rPr>
        <w:t xml:space="preserve"> Justicia Administrativa para el Estado de Oaxaca, dado que se trata de un Recurso de Revisión interpuesto en contra de</w:t>
      </w:r>
      <w:r>
        <w:rPr>
          <w:rFonts w:ascii="Arial" w:hAnsi="Arial" w:cs="Arial"/>
          <w:sz w:val="26"/>
          <w:szCs w:val="26"/>
        </w:rPr>
        <w:t xml:space="preserve"> la resolución de seis de septiembre de dos mil dieciocho,</w:t>
      </w:r>
      <w:r w:rsidRPr="009B0BCE">
        <w:rPr>
          <w:rFonts w:ascii="Arial" w:hAnsi="Arial" w:cs="Arial"/>
          <w:sz w:val="26"/>
          <w:szCs w:val="26"/>
        </w:rPr>
        <w:t xml:space="preserve"> </w:t>
      </w:r>
      <w:r>
        <w:rPr>
          <w:rFonts w:ascii="Arial" w:hAnsi="Arial" w:cs="Arial"/>
          <w:sz w:val="26"/>
          <w:szCs w:val="26"/>
        </w:rPr>
        <w:t>dictada</w:t>
      </w:r>
      <w:r w:rsidRPr="00FC7072">
        <w:rPr>
          <w:rFonts w:ascii="Arial" w:hAnsi="Arial" w:cs="Arial"/>
          <w:sz w:val="26"/>
          <w:szCs w:val="26"/>
        </w:rPr>
        <w:t xml:space="preserve"> en el expediente </w:t>
      </w:r>
      <w:r>
        <w:rPr>
          <w:rFonts w:ascii="Arial" w:hAnsi="Arial" w:cs="Arial"/>
          <w:b/>
          <w:bCs/>
          <w:iCs/>
          <w:sz w:val="26"/>
          <w:szCs w:val="26"/>
        </w:rPr>
        <w:t xml:space="preserve">0025/2018 </w:t>
      </w:r>
      <w:r>
        <w:rPr>
          <w:rFonts w:ascii="Arial" w:hAnsi="Arial" w:cs="Arial"/>
          <w:sz w:val="26"/>
          <w:szCs w:val="26"/>
        </w:rPr>
        <w:t>del índice de la Primera</w:t>
      </w:r>
      <w:r w:rsidRPr="00FC7072">
        <w:rPr>
          <w:rFonts w:ascii="Arial" w:hAnsi="Arial" w:cs="Arial"/>
          <w:sz w:val="26"/>
          <w:szCs w:val="26"/>
        </w:rPr>
        <w:t xml:space="preserve"> Sala Unitaria de Primera Instancia</w:t>
      </w:r>
      <w:r>
        <w:rPr>
          <w:rFonts w:ascii="Arial" w:hAnsi="Arial" w:cs="Arial"/>
          <w:sz w:val="26"/>
          <w:szCs w:val="26"/>
        </w:rPr>
        <w:t>.</w:t>
      </w:r>
    </w:p>
    <w:p w:rsidR="00AB69B3" w:rsidRDefault="00AB69B3" w:rsidP="00AB69B3">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Pr="00D63A6F">
        <w:rPr>
          <w:rFonts w:ascii="Arial" w:hAnsi="Arial" w:cs="Arial"/>
          <w:bCs/>
          <w:color w:val="000000"/>
          <w:sz w:val="26"/>
          <w:szCs w:val="26"/>
          <w:lang w:val="es-MX"/>
        </w:rPr>
        <w:t xml:space="preserve"> </w:t>
      </w:r>
    </w:p>
    <w:p w:rsidR="00AB69B3" w:rsidRDefault="00AB69B3" w:rsidP="00AB69B3">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AB69B3" w:rsidRPr="00FB403B" w:rsidRDefault="00AB69B3" w:rsidP="00AB69B3">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sidR="00CB082E">
        <w:rPr>
          <w:rFonts w:cs="Calibri"/>
          <w:bCs/>
          <w:i/>
          <w:color w:val="000000"/>
        </w:rPr>
        <w:t xml:space="preserve">ando no transcritos.(sic)”. </w:t>
      </w:r>
    </w:p>
    <w:p w:rsidR="00CB082E" w:rsidRDefault="00CB082E" w:rsidP="00AB69B3">
      <w:pPr>
        <w:spacing w:before="240" w:line="360" w:lineRule="auto"/>
        <w:ind w:firstLine="709"/>
        <w:jc w:val="both"/>
        <w:rPr>
          <w:rFonts w:ascii="Arial" w:eastAsia="Calibri" w:hAnsi="Arial" w:cs="Arial"/>
          <w:b/>
          <w:bCs/>
          <w:sz w:val="26"/>
          <w:szCs w:val="26"/>
        </w:rPr>
      </w:pPr>
    </w:p>
    <w:p w:rsidR="00AB69B3" w:rsidRDefault="00AB69B3" w:rsidP="00AB69B3">
      <w:pPr>
        <w:spacing w:before="240" w:line="360" w:lineRule="auto"/>
        <w:ind w:firstLine="709"/>
        <w:jc w:val="both"/>
        <w:rPr>
          <w:rFonts w:ascii="Arial" w:hAnsi="Arial" w:cs="Arial"/>
          <w:bCs/>
          <w:sz w:val="26"/>
          <w:szCs w:val="26"/>
        </w:rPr>
      </w:pPr>
      <w:r w:rsidRPr="00C157FE">
        <w:rPr>
          <w:rFonts w:ascii="Arial" w:eastAsia="Calibri" w:hAnsi="Arial" w:cs="Arial"/>
          <w:b/>
          <w:bCs/>
          <w:sz w:val="26"/>
          <w:szCs w:val="26"/>
        </w:rPr>
        <w:t xml:space="preserve">TERCERO. </w:t>
      </w:r>
      <w:r>
        <w:rPr>
          <w:rFonts w:ascii="Arial" w:hAnsi="Arial" w:cs="Arial"/>
          <w:bCs/>
          <w:sz w:val="26"/>
          <w:szCs w:val="26"/>
        </w:rPr>
        <w:t xml:space="preserve">Son </w:t>
      </w:r>
      <w:r w:rsidRPr="00A305C0">
        <w:rPr>
          <w:rFonts w:ascii="Arial" w:hAnsi="Arial" w:cs="Arial"/>
          <w:b/>
          <w:bCs/>
          <w:sz w:val="26"/>
          <w:szCs w:val="26"/>
        </w:rPr>
        <w:t>INFUNDADOS</w:t>
      </w:r>
      <w:r>
        <w:rPr>
          <w:rFonts w:ascii="Arial" w:hAnsi="Arial" w:cs="Arial"/>
          <w:bCs/>
          <w:sz w:val="26"/>
          <w:szCs w:val="26"/>
        </w:rPr>
        <w:t xml:space="preserve"> los agravios expresados por el recurrente.</w:t>
      </w:r>
    </w:p>
    <w:p w:rsidR="00AB69B3" w:rsidRDefault="00AB69B3" w:rsidP="00AB69B3">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Señala el </w:t>
      </w:r>
      <w:r w:rsidRPr="00C90CD5">
        <w:rPr>
          <w:rFonts w:ascii="Arial" w:hAnsi="Arial" w:cs="Arial"/>
          <w:bCs/>
          <w:sz w:val="26"/>
          <w:szCs w:val="26"/>
          <w:lang w:val="es-MX"/>
        </w:rPr>
        <w:t>recurrente</w:t>
      </w:r>
      <w:r>
        <w:rPr>
          <w:rFonts w:ascii="Arial" w:hAnsi="Arial" w:cs="Arial"/>
          <w:bCs/>
          <w:sz w:val="26"/>
          <w:szCs w:val="26"/>
          <w:lang w:val="es-MX"/>
        </w:rPr>
        <w:t>,</w:t>
      </w:r>
      <w:r w:rsidRPr="00C90CD5">
        <w:rPr>
          <w:rFonts w:ascii="Arial" w:hAnsi="Arial" w:cs="Arial"/>
          <w:bCs/>
          <w:sz w:val="26"/>
          <w:szCs w:val="26"/>
          <w:lang w:val="es-MX"/>
        </w:rPr>
        <w:t xml:space="preserve"> </w:t>
      </w:r>
      <w:r>
        <w:rPr>
          <w:rFonts w:ascii="Arial" w:hAnsi="Arial" w:cs="Arial"/>
          <w:bCs/>
          <w:sz w:val="26"/>
          <w:szCs w:val="26"/>
          <w:lang w:val="es-MX"/>
        </w:rPr>
        <w:t xml:space="preserve">le causa agravios el considerando tercero de </w:t>
      </w:r>
      <w:r>
        <w:rPr>
          <w:rFonts w:ascii="Arial" w:hAnsi="Arial" w:cs="Arial"/>
          <w:sz w:val="26"/>
          <w:szCs w:val="26"/>
        </w:rPr>
        <w:t>la resolución de seis de septiembre de dos mil dieciocho</w:t>
      </w:r>
      <w:r>
        <w:rPr>
          <w:rFonts w:ascii="Arial" w:hAnsi="Arial" w:cs="Arial"/>
          <w:bCs/>
          <w:sz w:val="26"/>
          <w:szCs w:val="26"/>
          <w:lang w:val="es-MX"/>
        </w:rPr>
        <w:t xml:space="preserve">, dado que la Primera Instancia precisó que el interés jurídico implica la titularidad de un derecho que posibilita al que lo tiene para que su pretensión se vea favorecida, que aun cuando el acto resulte ilegal, el Juzgador concederá la pretensión al administrado, ya que ello dependerá de que </w:t>
      </w:r>
      <w:r>
        <w:rPr>
          <w:rFonts w:ascii="Arial" w:hAnsi="Arial" w:cs="Arial"/>
          <w:bCs/>
          <w:sz w:val="26"/>
          <w:szCs w:val="26"/>
          <w:lang w:val="es-MX"/>
        </w:rPr>
        <w:lastRenderedPageBreak/>
        <w:t xml:space="preserve">se haya probado tener la titularidad del derecho que se ejerza; y bajo ese argumento decretó sobreseer el juicio, por considerar que  carecía de interés jurídico, al no tener la titularidad del derecho.  </w:t>
      </w:r>
    </w:p>
    <w:p w:rsidR="00AB69B3" w:rsidRDefault="00AB69B3" w:rsidP="00AB69B3">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Refiere que sí acreditó la titularidad del derecho, con la LICENCIA DE APERTURA, que le fue otorgada a su favor el seis de abril de dos mil cuatro y que agregó a su escrito inicial de demanda (folio 18), documento que considera constituye una licencia de inicio de operaciones de la actividad comercial, expedida por autoridad competente, sin estar condicionada a una temporalidad, ni vigencia; misma que solo establece que se debe refrendar de forma anual, siendo el refrendo un pago de derechos, no el otorgamiento de una nueva licencia, debido a que ese derecho ya lo tenía adquirido, sin que la falta de pago constituya causal de revocación o suspensión de la misma, por no existir ordenamiento legal que así lo establezca.   </w:t>
      </w:r>
    </w:p>
    <w:p w:rsidR="00AB69B3" w:rsidRDefault="00AB69B3" w:rsidP="00AB69B3">
      <w:pPr>
        <w:spacing w:line="360" w:lineRule="auto"/>
        <w:ind w:firstLine="709"/>
        <w:jc w:val="both"/>
        <w:rPr>
          <w:rFonts w:ascii="Arial" w:hAnsi="Arial" w:cs="Arial"/>
          <w:bCs/>
          <w:sz w:val="26"/>
          <w:szCs w:val="26"/>
          <w:lang w:val="es-MX"/>
        </w:rPr>
      </w:pPr>
      <w:r>
        <w:rPr>
          <w:rFonts w:ascii="Arial" w:hAnsi="Arial" w:cs="Arial"/>
          <w:bCs/>
          <w:sz w:val="26"/>
          <w:szCs w:val="26"/>
          <w:lang w:val="es-MX"/>
        </w:rPr>
        <w:t>Ar</w:t>
      </w:r>
      <w:r w:rsidR="00CB082E">
        <w:rPr>
          <w:rFonts w:ascii="Arial" w:hAnsi="Arial" w:cs="Arial"/>
          <w:bCs/>
          <w:sz w:val="26"/>
          <w:szCs w:val="26"/>
          <w:lang w:val="es-MX"/>
        </w:rPr>
        <w:t>guye que la autoridad demandada</w:t>
      </w:r>
      <w:r>
        <w:rPr>
          <w:rFonts w:ascii="Arial" w:hAnsi="Arial" w:cs="Arial"/>
          <w:bCs/>
          <w:sz w:val="26"/>
          <w:szCs w:val="26"/>
          <w:lang w:val="es-MX"/>
        </w:rPr>
        <w:t xml:space="preserve"> invocó entre otros artículos el décimo quinto de la Ley de Bienes Pertenecientes al Estado de Oaxaca, misma que no resulta aplicable al presente caso, ya que refiere situaciones de adquisición previa por parte del Estado, lo que no ocurrió, ni forma materia de la Litis, otorgándole la Primera Instancia, validez a esa manifestación y realizando una inadecuada interpretación a su perjuicio. </w:t>
      </w:r>
    </w:p>
    <w:p w:rsidR="00AB69B3" w:rsidRDefault="00AB69B3" w:rsidP="00AB69B3">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Continúa señalando que la Primera instancia, estableció que le es imputable el no haber realizado el pago de derechos de los refrendos anuales, sin tomar en cuenta el documento suscrito por él y otros comerciantes, donde solicitaba se le recibieran los pagos de derechos, negándose la autoridad a recibir. </w:t>
      </w:r>
    </w:p>
    <w:p w:rsidR="00AB69B3" w:rsidRDefault="00AB69B3" w:rsidP="00AB69B3">
      <w:pPr>
        <w:spacing w:line="360" w:lineRule="auto"/>
        <w:ind w:firstLine="709"/>
        <w:jc w:val="both"/>
        <w:rPr>
          <w:rFonts w:ascii="Arial" w:hAnsi="Arial" w:cs="Arial"/>
          <w:bCs/>
          <w:sz w:val="26"/>
          <w:szCs w:val="26"/>
          <w:lang w:val="es-MX"/>
        </w:rPr>
      </w:pPr>
      <w:r>
        <w:rPr>
          <w:rFonts w:ascii="Arial" w:hAnsi="Arial" w:cs="Arial"/>
          <w:bCs/>
          <w:sz w:val="26"/>
          <w:szCs w:val="26"/>
          <w:lang w:val="es-MX"/>
        </w:rPr>
        <w:t>Así mismo, refiere que la Primera Instancia resolvió que no contaba con licencia vigente dos mil dieciocho o con concesión, como lo establece la Ley de Bienes del Estado, Ley que considera no es aplicable por  tratarse de bienes públicos del municipio de Etla y no del Estado, debiendo sustentarse en las ordenanzas municipales o la Ley Orgánica Municipal, careciendo de debida fundamentación y motivación.</w:t>
      </w:r>
    </w:p>
    <w:p w:rsidR="00AB69B3" w:rsidRDefault="00AB69B3" w:rsidP="00AB69B3">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Por último argumenta que </w:t>
      </w:r>
      <w:r>
        <w:rPr>
          <w:rFonts w:ascii="Arial" w:hAnsi="Arial" w:cs="Arial"/>
          <w:sz w:val="26"/>
          <w:szCs w:val="26"/>
        </w:rPr>
        <w:t xml:space="preserve">la resolución de seis de septiembre de dos mil dieciocho, le causa agravios por no resolver el fondo del asunto en cuanto a la ilegalidad del acto administrativo y no declarar su </w:t>
      </w:r>
      <w:r>
        <w:rPr>
          <w:rFonts w:ascii="Arial" w:hAnsi="Arial" w:cs="Arial"/>
          <w:sz w:val="26"/>
          <w:szCs w:val="26"/>
        </w:rPr>
        <w:lastRenderedPageBreak/>
        <w:t xml:space="preserve">nulidad, resolviendo sin que la autoridad acreditara con el texto normativo o invocando los preceptos legales en el que establezca que el refrendo es requisito indispensable para continuar una actividad comercial  y conlleve a la continuidad o suspensión de la misma. </w:t>
      </w:r>
    </w:p>
    <w:p w:rsidR="00AB69B3" w:rsidRDefault="00AB69B3" w:rsidP="00AB69B3">
      <w:pPr>
        <w:spacing w:line="360" w:lineRule="auto"/>
        <w:ind w:firstLine="708"/>
        <w:jc w:val="both"/>
        <w:rPr>
          <w:rFonts w:ascii="Arial" w:hAnsi="Arial" w:cs="Arial"/>
          <w:bCs/>
          <w:sz w:val="26"/>
          <w:szCs w:val="26"/>
        </w:rPr>
      </w:pPr>
      <w:r>
        <w:rPr>
          <w:rFonts w:ascii="Arial" w:hAnsi="Arial" w:cs="Arial"/>
          <w:bCs/>
          <w:sz w:val="26"/>
          <w:szCs w:val="26"/>
        </w:rPr>
        <w:t xml:space="preserve">Es </w:t>
      </w:r>
      <w:r>
        <w:rPr>
          <w:rFonts w:ascii="Arial" w:hAnsi="Arial" w:cs="Arial"/>
          <w:b/>
          <w:bCs/>
          <w:sz w:val="26"/>
          <w:szCs w:val="26"/>
        </w:rPr>
        <w:t>SUSTANCIALMENTE FUNDADO</w:t>
      </w:r>
      <w:r>
        <w:rPr>
          <w:rFonts w:ascii="Arial" w:hAnsi="Arial" w:cs="Arial"/>
          <w:bCs/>
          <w:sz w:val="26"/>
          <w:szCs w:val="26"/>
        </w:rPr>
        <w:t xml:space="preserve"> el agravio expresado por el recurrente.</w:t>
      </w:r>
    </w:p>
    <w:p w:rsidR="00AB69B3" w:rsidRDefault="00AB69B3" w:rsidP="00AB69B3">
      <w:pPr>
        <w:spacing w:line="360" w:lineRule="auto"/>
        <w:ind w:firstLine="708"/>
        <w:jc w:val="both"/>
        <w:rPr>
          <w:rFonts w:ascii="Arial" w:hAnsi="Arial" w:cs="Arial"/>
          <w:bCs/>
          <w:sz w:val="26"/>
          <w:szCs w:val="26"/>
        </w:rPr>
      </w:pPr>
      <w:r>
        <w:rPr>
          <w:rFonts w:ascii="Arial" w:hAnsi="Arial" w:cs="Arial"/>
          <w:bCs/>
          <w:sz w:val="26"/>
          <w:szCs w:val="26"/>
        </w:rPr>
        <w:t>Lo anterior es así, dado que en la sentencia recurrida, se advierte que la primera instancia determinó lo siguiente:</w:t>
      </w:r>
    </w:p>
    <w:p w:rsidR="00AB69B3" w:rsidRPr="00FD6B3E" w:rsidRDefault="00AB69B3" w:rsidP="00AB69B3">
      <w:pPr>
        <w:spacing w:after="0" w:line="240" w:lineRule="auto"/>
        <w:ind w:left="851" w:right="900"/>
        <w:jc w:val="both"/>
        <w:rPr>
          <w:rFonts w:cstheme="minorHAnsi"/>
          <w:i/>
          <w:lang w:val="es-MX"/>
        </w:rPr>
      </w:pPr>
      <w:r>
        <w:rPr>
          <w:rFonts w:cstheme="minorHAnsi"/>
          <w:b/>
          <w:i/>
        </w:rPr>
        <w:tab/>
        <w:t>´…</w:t>
      </w:r>
      <w:r w:rsidRPr="00FD6B3E">
        <w:rPr>
          <w:rFonts w:cstheme="minorHAnsi"/>
          <w:b/>
          <w:i/>
          <w:lang w:val="es-MX"/>
        </w:rPr>
        <w:t xml:space="preserve">TERCERO.- </w:t>
      </w:r>
      <w:r w:rsidRPr="00FD6B3E">
        <w:rPr>
          <w:rFonts w:cstheme="minorHAnsi"/>
          <w:i/>
          <w:lang w:val="es-MX"/>
        </w:rPr>
        <w:t xml:space="preserve">EL C. </w:t>
      </w:r>
      <w:r w:rsidR="00AC790C">
        <w:rPr>
          <w:rFonts w:cstheme="minorHAnsi"/>
          <w:i/>
          <w:lang w:val="es-MX"/>
        </w:rPr>
        <w:t>**********</w:t>
      </w:r>
      <w:r w:rsidRPr="00FD6B3E">
        <w:rPr>
          <w:rFonts w:cstheme="minorHAnsi"/>
          <w:i/>
          <w:lang w:val="es-MX"/>
        </w:rPr>
        <w:t>, reclama la nulidad del punto tercero y cuarto del acta de Sesión Extraordinaria de Cabildo de fecha diez de febrero de dos mil dieciocho, por el Cabildo Municipal de la Villa de Etla, Oaxaca, sin embargo por técnica judicial, es menester analizar primeramente, sí en la especie se actualiza alguna causal de improcedencia del juicio de nulidad, ya sea invocada por las partes o bien, alguna que se advierta oficiosamente y que impida la resolución del fondo del asunto y deberá decretarse su sobreseimiento en términos de los artículos 161 y 162 de la Ley de Procedimiento y Justicia Administrativa para el Estado de Oaxaca.- - - - - - - - - - -</w:t>
      </w:r>
      <w:r>
        <w:rPr>
          <w:rFonts w:cstheme="minorHAnsi"/>
          <w:i/>
          <w:lang w:val="es-MX"/>
        </w:rPr>
        <w:t xml:space="preserve"> </w:t>
      </w:r>
      <w:r w:rsidRPr="00FD6B3E">
        <w:rPr>
          <w:rFonts w:cstheme="minorHAnsi"/>
          <w:i/>
          <w:lang w:val="es-MX"/>
        </w:rPr>
        <w:t xml:space="preserve">- - - - - - - - - - -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La autoridad demandada señaló en su contestación de demanda que el actor carece de legitimidad, para acudir ante este órgano, ya que, de los hechos narrados en el cuerpo de la demanda, son causales imputables a él y por lo tanto debe sobreseer, al respecto, esta Sala advierte que de la lectura hecha a los conceptos de impugnación hechos valer por esa autoridad demandada, se encuentran encaminados a controvertir el interés jurídico de la parte actora, en ese tenor, es importante hacer mención que el interés jurídico es una cuestión que tiene que ver con el fondo de la acción, esto es así, ya que este interés directamente incide en el pronunciamiento que hará esta juzgadora sobre la pretensión que se plantea en el presente juicio, luego entonces de ser actualizado el interés jurídico, se procedería a atender la procedencia de la pretensión de la accionante. - - - - -  - - - - - - - - -</w:t>
      </w:r>
      <w:r>
        <w:rPr>
          <w:rFonts w:cstheme="minorHAnsi"/>
          <w:i/>
          <w:lang w:val="es-MX"/>
        </w:rPr>
        <w:t xml:space="preserve"> </w:t>
      </w:r>
      <w:r w:rsidRPr="00FD6B3E">
        <w:rPr>
          <w:rFonts w:cstheme="minorHAnsi"/>
          <w:i/>
          <w:lang w:val="es-MX"/>
        </w:rPr>
        <w:t xml:space="preserve">- - - -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En abundancia a lo anterior, debemos precisar que el interés jurídico implica la titularidad de un derecho que posibilita al que lo tiene para que su pretensión se vea favorecida, sin que sea óbice que aun cuando el acto resultase ilegal no significa que el juzgador concederá la pretensión al administrado, ya que para ello dependerá que se haya probado tener la titularidad del derecho que se está ejerciendo, sirve de sustento la tesis número VI.  2°. C. 671 C por el Segundo Tribunal Colegiado en Materia Civil del Sexto Circuito en el Semanario Judicial de la Federación y su Gaceta Tomo XXIX, página 1075, Novena Época, mayo de 2009, bajo rubro y texto siguiente:</w:t>
      </w:r>
      <w:r>
        <w:rPr>
          <w:rFonts w:cstheme="minorHAnsi"/>
          <w:i/>
          <w:lang w:val="es-MX"/>
        </w:rPr>
        <w:t xml:space="preserve"> </w:t>
      </w:r>
      <w:r w:rsidRPr="00FD6B3E">
        <w:rPr>
          <w:rFonts w:cstheme="minorHAnsi"/>
          <w:i/>
          <w:lang w:val="es-MX"/>
        </w:rPr>
        <w:t>- - - - - - - - -</w:t>
      </w:r>
      <w:r>
        <w:rPr>
          <w:rFonts w:cstheme="minorHAnsi"/>
          <w:i/>
          <w:lang w:val="es-MX"/>
        </w:rPr>
        <w:t xml:space="preserve"> </w:t>
      </w:r>
      <w:r w:rsidRPr="00FD6B3E">
        <w:rPr>
          <w:rFonts w:cstheme="minorHAnsi"/>
          <w:i/>
          <w:lang w:val="es-MX"/>
        </w:rPr>
        <w:t>- - - - - - - - - - - - -</w:t>
      </w:r>
      <w:r>
        <w:rPr>
          <w:rFonts w:cstheme="minorHAnsi"/>
          <w:i/>
          <w:lang w:val="es-MX"/>
        </w:rPr>
        <w:t xml:space="preserve"> </w:t>
      </w:r>
      <w:r w:rsidRPr="00FD6B3E">
        <w:rPr>
          <w:rFonts w:cstheme="minorHAnsi"/>
          <w:i/>
          <w:lang w:val="es-MX"/>
        </w:rPr>
        <w:t xml:space="preserve"> - - - - </w:t>
      </w:r>
    </w:p>
    <w:p w:rsidR="00AB69B3" w:rsidRPr="00FD6B3E" w:rsidRDefault="00AB69B3" w:rsidP="00AB69B3">
      <w:pPr>
        <w:spacing w:after="0" w:line="240" w:lineRule="auto"/>
        <w:ind w:left="1134" w:right="1183"/>
        <w:jc w:val="both"/>
        <w:rPr>
          <w:rFonts w:cstheme="minorHAnsi"/>
          <w:i/>
          <w:lang w:val="es-MX"/>
        </w:rPr>
      </w:pPr>
      <w:r w:rsidRPr="00FD6B3E">
        <w:rPr>
          <w:rFonts w:cstheme="minorHAnsi"/>
          <w:b/>
          <w:i/>
          <w:lang w:val="es-MX"/>
        </w:rPr>
        <w:t xml:space="preserve">INTERÉS JURÍDICO. ES UN PRESUPUESTO PROCESAL NO SUBSANABLE QUE DEBE SER ESTUDIADO DE OFICIO EN LA SENTENCIA, PREVIO AL ANÁLISIS DEL FONDO DEL ASUNTO (LEGISLACIÓN DEL ESTADO DE PUEBLA).  </w:t>
      </w:r>
    </w:p>
    <w:p w:rsidR="00AB69B3" w:rsidRPr="00FD6B3E" w:rsidRDefault="00AB69B3" w:rsidP="00AB69B3">
      <w:pPr>
        <w:spacing w:after="0" w:line="240" w:lineRule="auto"/>
        <w:ind w:left="1134" w:right="900"/>
        <w:jc w:val="both"/>
        <w:rPr>
          <w:rFonts w:cstheme="minorHAnsi"/>
          <w:i/>
          <w:lang w:val="es-MX"/>
        </w:rPr>
      </w:pPr>
      <w:r w:rsidRPr="00FD6B3E">
        <w:rPr>
          <w:rFonts w:cstheme="minorHAnsi"/>
          <w:i/>
          <w:lang w:val="es-MX"/>
        </w:rPr>
        <w:t xml:space="preserve">. . . </w:t>
      </w:r>
    </w:p>
    <w:p w:rsidR="00AB69B3" w:rsidRPr="00FD6B3E" w:rsidRDefault="00AB69B3" w:rsidP="00AB69B3">
      <w:pPr>
        <w:spacing w:after="0" w:line="240" w:lineRule="auto"/>
        <w:ind w:left="851" w:right="900"/>
        <w:jc w:val="both"/>
        <w:rPr>
          <w:rFonts w:cstheme="minorHAnsi"/>
          <w:i/>
          <w:lang w:val="es-MX"/>
        </w:rPr>
      </w:pPr>
      <w:r w:rsidRPr="00FD6B3E">
        <w:rPr>
          <w:rFonts w:cstheme="minorHAnsi"/>
          <w:i/>
          <w:lang w:val="es-MX"/>
        </w:rPr>
        <w:t>Así como la tesis número 2</w:t>
      </w:r>
      <w:r w:rsidRPr="00FD6B3E">
        <w:rPr>
          <w:rFonts w:cstheme="minorHAnsi"/>
          <w:i/>
          <w:vertAlign w:val="superscript"/>
          <w:lang w:val="es-MX"/>
        </w:rPr>
        <w:t xml:space="preserve">a. </w:t>
      </w:r>
      <w:r w:rsidRPr="00FD6B3E">
        <w:rPr>
          <w:rFonts w:cstheme="minorHAnsi"/>
          <w:i/>
          <w:lang w:val="es-MX"/>
        </w:rPr>
        <w:t xml:space="preserve">X/2010 por la Segunda Sala de la Suprema Corte de Justicia de la Nación en el Semanario Judicial de la Federación y su Gaceta, Tomo XXXI, pagina 1047, marzo de 2010, novena época, bajo el rubro y texto siguiente: - - - - - - - - - - - - - - - - - - - - - - - - - - - - - - - - - - - </w:t>
      </w:r>
    </w:p>
    <w:p w:rsidR="00AB69B3" w:rsidRPr="00FD6B3E" w:rsidRDefault="00AB69B3" w:rsidP="00AB69B3">
      <w:pPr>
        <w:spacing w:after="0" w:line="240" w:lineRule="auto"/>
        <w:ind w:left="1134" w:right="1183"/>
        <w:jc w:val="both"/>
        <w:rPr>
          <w:rFonts w:cstheme="minorHAnsi"/>
          <w:b/>
          <w:i/>
          <w:lang w:val="es-MX"/>
        </w:rPr>
      </w:pPr>
      <w:r w:rsidRPr="00FD6B3E">
        <w:rPr>
          <w:rFonts w:cstheme="minorHAnsi"/>
          <w:b/>
          <w:i/>
          <w:lang w:val="es-MX"/>
        </w:rPr>
        <w:t>CONTENCIOSO ADMINISTRATIVO. EL DERECHO SUBJETIVO NECESARIO PARA LA PROCEDENCIA DEL JUICIO RELATIVO Y EL REQUERIDO PARA OBTENER UNA SENTENCIA FAVORABLE, TIENEN ALCANCES DIFERENTES.</w:t>
      </w:r>
    </w:p>
    <w:p w:rsidR="00AB69B3" w:rsidRPr="00FD6B3E" w:rsidRDefault="00AB69B3" w:rsidP="00AB69B3">
      <w:pPr>
        <w:spacing w:after="0" w:line="240" w:lineRule="auto"/>
        <w:ind w:left="1134" w:right="900"/>
        <w:jc w:val="both"/>
        <w:rPr>
          <w:rFonts w:cstheme="minorHAnsi"/>
          <w:i/>
          <w:lang w:val="es-MX"/>
        </w:rPr>
      </w:pPr>
      <w:r w:rsidRPr="00FD6B3E">
        <w:rPr>
          <w:rFonts w:cstheme="minorHAnsi"/>
          <w:i/>
          <w:lang w:val="es-MX"/>
        </w:rPr>
        <w:t xml:space="preserve">.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lastRenderedPageBreak/>
        <w:tab/>
      </w:r>
      <w:r w:rsidRPr="00FD6B3E">
        <w:rPr>
          <w:rFonts w:cstheme="minorHAnsi"/>
          <w:i/>
          <w:lang w:val="es-MX"/>
        </w:rPr>
        <w:t xml:space="preserve">Ahora bien, la autoridad demandada en su escrito de contestación (fojas 32 a 37) y escrito de alegatos (fojas 53 a 55), manifiesta que el hoy actor carece de interés jurídico en virtud de que la prestación reclamada encaminada a la continuación de operaciones del puesto de tacos fijo denominado ´TAQUITOS MAYRA´ requiere de una concesión en términos de la Ley de Bienes Pertenecientes al Estado de Oaxaca en sus artículos QUINTO y DÉCIMO QUINTO que a la letra dicen:- - - - - - - - - - - - - - - - - - - </w:t>
      </w:r>
    </w:p>
    <w:p w:rsidR="00AB69B3" w:rsidRPr="00FD6B3E" w:rsidRDefault="00AB69B3" w:rsidP="00AB69B3">
      <w:pPr>
        <w:spacing w:after="0" w:line="240" w:lineRule="auto"/>
        <w:ind w:left="1134" w:right="900"/>
        <w:jc w:val="both"/>
        <w:rPr>
          <w:rFonts w:cstheme="minorHAnsi"/>
          <w:b/>
          <w:i/>
          <w:lang w:val="es-MX"/>
        </w:rPr>
      </w:pPr>
      <w:r w:rsidRPr="00FD6B3E">
        <w:rPr>
          <w:rFonts w:cstheme="minorHAnsi"/>
          <w:b/>
          <w:i/>
          <w:lang w:val="es-MX"/>
        </w:rPr>
        <w:t>Artículo Quinto: (se transcribe)</w:t>
      </w:r>
    </w:p>
    <w:p w:rsidR="00AB69B3" w:rsidRPr="00FD6B3E" w:rsidRDefault="00AB69B3" w:rsidP="00AB69B3">
      <w:pPr>
        <w:spacing w:after="0" w:line="240" w:lineRule="auto"/>
        <w:ind w:left="1134" w:right="900"/>
        <w:jc w:val="both"/>
        <w:rPr>
          <w:rFonts w:cstheme="minorHAnsi"/>
          <w:i/>
          <w:lang w:val="es-MX"/>
        </w:rPr>
      </w:pPr>
      <w:r w:rsidRPr="00FD6B3E">
        <w:rPr>
          <w:rFonts w:cstheme="minorHAnsi"/>
          <w:b/>
          <w:i/>
          <w:lang w:val="es-MX"/>
        </w:rPr>
        <w:t>Artículo Décimo-Quinto: (se transcribe)</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 xml:space="preserve">En términos de lo anterior, la autoridad demandada manifiesta que el hoy actor no cuenta con la licencia o concesión pertinente ya que no exhibe concesión o licencia vigente para el ejercicio fiscal 2018 de ese municipio, para contravenir esto, el actor exhibió desde el inicio de su escrito de demanda, copia certificada del oficio número 0006/2004 por medio del cual se otorgaba la licencia de apertura de fecha seis de abril de dos mil cuatro, copia certificada del pago de derechos municipales por el periodo de junio dos mil cuatro, número 45504 de fecha diecisiete de junio de dos mil cuatro, copia certificada del pago de derechos municipales por el periodo de mayo de dos mil siete número 45419 de fecha cuatro de mayo de dos mil siete, copia certificada de la tarjeta de control de pago de comercio establecido por el año dos mil trece, copia certificada del oficio número 221 de fecha diecinueve de junio de mil novecientos noventa y tres, visibles en las fojas 18 a 22 del sumario, documentales que adquieren valor probatorio pleno en términos del artículo 203 fracción I de la Ley de Procedimiento y Justicia Administrativa para el Estado de Oaxaca, sin embargo, esta Sala advierte que no exhibe la licencia refrendada o renovada conforme a lo ordenado en el oficio número 0006/2004 por medio del cual se otorgaba la licencia de apertura de fecha seis de abril de dos mil cuatro por los años 2005 al 2013, tampoco exhibe la licencia renovada o refrendada así como los recibos de pago por los años 2014, 2015 y 2016. - - -  - - - - - -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 xml:space="preserve">Derivado de lo anterior, esta Sala advierte que de lo manifestado por la parte actora que respecto al año 2017, el actor en conjunto con otras personas, realizaron un escrito dirigido al Cabildo del Municipio de la Villa de Etla, Oaxaca con fecha veinticuatro de agosto de dos mil diecisiete, en el cual solicitaban una explicación de las razones por las cuales se han negado a recibirles el pago por concepto de continuación de operaciones de sus negocios, sin embargo, no anexa dicho escrito en el cual esta Sala pueda advertir a que periodos o años se refiere, sin embargo,  de la lectura hecha al Acta de Sesión Extraordinaria del Honorable Cabildo Municipal de la Villa de Etla, Oaxaca de fecha diez de febrero de dos mil dieciocho, visible en las fojas 38 a 43 del sumario, documental que adquiere valor probatorio pleno en términos del artículo 203 fracción I de la Ley de Procedimiento y Justicia Administrativa para el Estado de Oaxaca, se aprecia lo siguiente: ´ . . . como todos los integrantes de este H. Ayuntamiento tenemos conocimiento que el día 24 de agosto del año  dos mil diecisiete se presentó en la oficialía de partes de este municipio un escrito signado por ´representantes de las casetas ubicadas en independencia´ y firmado por los ciudadanos Mónica Yaneth López Chávez, Baltazar López Castellanos, Roberto Quiroz y Melva Hernández Alejandro, donde solicita se fije fecha y hora para realizar el pago correspondiente a la licencia de inicio de operaciones 2017, pero no se cuenta con licencia vigente de las cinco casetas que encuentran en las orillas de la plaza pública la constitución . . .´ luego entonces, existe una presunción iuris tantum de que en dicho escrito presentado el veinticuatro de agosto de mil diecisiete únicamente pedían que se les recibiera el pago respecto al año 2017, sin que el actor haya realizado manifestación alguna para desvirtuar este hecho expresado por la autoridad demandada, de igual forma, se advierte en el escrito de solicitud de fecha veintinueve de diciembre de dos mil diecisiete y recibido en ese municipio el cuatro de enero de dos mil dieciocho visible en las fojas 26 y 27 del sumario, documental que adquiere valor probatorio indiciario en términos del artículo 203 fracción II de la Ley de </w:t>
      </w:r>
      <w:r w:rsidRPr="00FD6B3E">
        <w:rPr>
          <w:rFonts w:cstheme="minorHAnsi"/>
          <w:i/>
          <w:lang w:val="es-MX"/>
        </w:rPr>
        <w:lastRenderedPageBreak/>
        <w:t xml:space="preserve">Procedimiento y Justicia Administrativa para el Estado de Oaxaca, por ser copia simple, solicitaban explicación de las razones por las cuales  no les recibían el pago de continuación de operaciones, entonces, los escritos el primero recibido con fecha veinticuatro de agosto de dos mil diecisiete y el escrito de fecha veintinueve de diciembre de dos mil diecisiete y recibido en ese municipio el cuatro de enero de dos mil dieciocho se encuentran adminiculados entre sí, dando por hecho que el hoy actor solicitaba únicamente que se le explicara por qué no se le recibía el pago para la continuación de operaciones  por el ejercicio 2017, sin que demostrara o alegara haber pagado y renovado la licencia por los años 2014, 2015 y 2016, luego entonces al no haber pagado y renovado por el ejercicio 2017, es lógico concluir que tampoco tiene el pago y renovación hecho por el ejercicio 2018. - - - - - - - - - -  - - - - - - - -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 xml:space="preserve">Ahora bien, de la lectura integral hecha a la pretensión del actor, se advierte que se trata de la continuación de una actividad de comercio regulada por el Estado a través de sus municipios, misma que requiere licencia o concesión, no obstante de los documentos y probanzas aportadas por la parte actora, no se aprecia la existencia de documento idóneo en que se pueda apreciar que efectivamente el actor tuvo desde el 2005 al 2016 la licencia renovada emitida por la Autoridad Municipal competente, por lo que en ese tenor, esta autoridad no cuenta con la certeza de que efectivamente el hoy actor cuente con los requisitos esenciales para poder operar el negocio bajo el giro que manifiesta, toda vez que la sola exhibición del talón de pago o recibos de pago no es suficiente para acreditar la renovación de una concesión o permiso como lo hace respecto de los años 2005 al 2013, máxime que de los años 2014,2015, 2016 no exhibe ni recibo de pago ni el documento donde conste la renovación de la licencia, además, tampoco manifiesta dentro de los escritos de solicitud presentados ante esta autoridad  municipal que también se le hayan negado los pagos de los años 2014, 2015 y 2016, y únicamente lo hace respecto al año 2017, sin embargo, por simple lógica jurídica, para que pueda reclamar  el derecho respecto al año 2017, esa (sic) requisito sine qua non haber pagado y renovado debidamente la licencia por los años anteriores a este, y al no obrar en autos pruebas o documentos con los cuales se tenga la certeza que así lo hizo, máxime que tampoco el actor desvirtuó este hecho, toda vez que no realizó ampliación de demanda en la que desvirtuara lo que anteriormente expuesto o bien mediante su escrito de alegatos, bajo esas consideraciones, esta Sala concluye que el actor únicamente posee el interés legítimo y no así el interés jurídico, ya que el actor no probó eficazmente tener dicho interés sirve de apoyo por analogía sustancial la Jurisprudencia número VI.2o.J/308, Gaceta número 80, pág.77; véase ejecutoria en el Semanario Judicial de la Federación, tomo XIV-Agosto, pág.256, que a letra dice: - - </w:t>
      </w:r>
    </w:p>
    <w:p w:rsidR="00AB69B3" w:rsidRPr="00FD6B3E" w:rsidRDefault="00AB69B3" w:rsidP="00AB69B3">
      <w:pPr>
        <w:spacing w:after="0" w:line="240" w:lineRule="auto"/>
        <w:ind w:left="1134" w:right="1183"/>
        <w:jc w:val="both"/>
        <w:rPr>
          <w:rFonts w:cstheme="minorHAnsi"/>
          <w:b/>
          <w:i/>
          <w:lang w:val="es-MX"/>
        </w:rPr>
      </w:pPr>
      <w:r w:rsidRPr="00FD6B3E">
        <w:rPr>
          <w:rFonts w:cstheme="minorHAnsi"/>
          <w:b/>
          <w:i/>
          <w:lang w:val="es-MX"/>
        </w:rPr>
        <w:t>ACTO RECLAMADO, LA CARGA DE LA PRUEBA DEL. CORRESPONDE AL QUEJOSO.</w:t>
      </w:r>
    </w:p>
    <w:p w:rsidR="00AB69B3" w:rsidRPr="00FD6B3E" w:rsidRDefault="00AB69B3" w:rsidP="00AB69B3">
      <w:pPr>
        <w:spacing w:after="0" w:line="240" w:lineRule="auto"/>
        <w:ind w:left="1134" w:right="900"/>
        <w:jc w:val="both"/>
        <w:rPr>
          <w:rFonts w:cstheme="minorHAnsi"/>
          <w:i/>
          <w:lang w:val="es-MX"/>
        </w:rPr>
      </w:pPr>
      <w:r w:rsidRPr="00FD6B3E">
        <w:rPr>
          <w:rFonts w:cstheme="minorHAnsi"/>
          <w:i/>
          <w:lang w:val="es-MX"/>
        </w:rPr>
        <w:t xml:space="preserve">.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En abundancia a lo anterior, se considera entonces que el hoy actor únicamente cuenta con el interés legítimo para acudir a la solicitud de la impartición de justicia ante este Tribunal, toda vez que efectivamente con la simple manifestación de que algún acto de autoridad le cause perjuicio directamente, satisface el requisito para que se configure el interés legítimo, no así el jurídico, ya que al reclamar la continuación, o cualquier otro relacionado con una actividad reglamentada, es requisito sine qua non acreditar que efectivamente tiene los permisos, licencias o cualquier otro documento necesario para la realización de tal actividad reglamentada, sirve de apoyo a lo anterior la Jurisprudencia número I.7°.A. J/36 con número de registro 172000, de la Novena Época, por los Tribunales Colegiados de Circuito, ubicada en el Semanario Judicial de la Federación y su Gaceta, Tomo XXVI, pagina 2331, julio de 2007, materia administrativa bajo el rubro y texto siguiente: - - - -  - - - - - - - - -</w:t>
      </w:r>
      <w:r>
        <w:rPr>
          <w:rFonts w:cstheme="minorHAnsi"/>
          <w:i/>
          <w:lang w:val="es-MX"/>
        </w:rPr>
        <w:t xml:space="preserve"> </w:t>
      </w:r>
      <w:r w:rsidRPr="00FD6B3E">
        <w:rPr>
          <w:rFonts w:cstheme="minorHAnsi"/>
          <w:i/>
          <w:lang w:val="es-MX"/>
        </w:rPr>
        <w:t>- - - - - - - - - - - - -</w:t>
      </w:r>
      <w:r>
        <w:rPr>
          <w:rFonts w:cstheme="minorHAnsi"/>
          <w:i/>
          <w:lang w:val="es-MX"/>
        </w:rPr>
        <w:t xml:space="preserve"> </w:t>
      </w:r>
      <w:r w:rsidRPr="00FD6B3E">
        <w:rPr>
          <w:rFonts w:cstheme="minorHAnsi"/>
          <w:i/>
          <w:lang w:val="es-MX"/>
        </w:rPr>
        <w:t xml:space="preserve"> - - - - - - - - -</w:t>
      </w:r>
      <w:r>
        <w:rPr>
          <w:rFonts w:cstheme="minorHAnsi"/>
          <w:i/>
          <w:lang w:val="es-MX"/>
        </w:rPr>
        <w:t xml:space="preserve"> </w:t>
      </w:r>
      <w:r w:rsidRPr="00FD6B3E">
        <w:rPr>
          <w:rFonts w:cstheme="minorHAnsi"/>
          <w:i/>
          <w:lang w:val="es-MX"/>
        </w:rPr>
        <w:t xml:space="preserve">- </w:t>
      </w:r>
      <w:r>
        <w:rPr>
          <w:rFonts w:cstheme="minorHAnsi"/>
          <w:i/>
          <w:lang w:val="es-MX"/>
        </w:rPr>
        <w:t xml:space="preserve">- - - - - - - - - - - </w:t>
      </w:r>
    </w:p>
    <w:p w:rsidR="00AB69B3" w:rsidRPr="00FD6B3E" w:rsidRDefault="00AB69B3" w:rsidP="00AB69B3">
      <w:pPr>
        <w:spacing w:after="0" w:line="240" w:lineRule="auto"/>
        <w:ind w:left="1134" w:right="1183"/>
        <w:jc w:val="both"/>
        <w:rPr>
          <w:rFonts w:cstheme="minorHAnsi"/>
          <w:b/>
          <w:i/>
          <w:lang w:val="es-MX"/>
        </w:rPr>
      </w:pPr>
      <w:r w:rsidRPr="00FD6B3E">
        <w:rPr>
          <w:rFonts w:cstheme="minorHAnsi"/>
          <w:b/>
          <w:i/>
          <w:lang w:val="es-MX"/>
        </w:rPr>
        <w:t xml:space="preserve">JUICIO CONTENCIOSO ADMINISTRATIVO. TRATÁNDOSE DE ACTIVIDADES REGLAMENTADAS, PARA QUE EL PARTICULAR </w:t>
      </w:r>
      <w:r w:rsidRPr="00FD6B3E">
        <w:rPr>
          <w:rFonts w:cstheme="minorHAnsi"/>
          <w:b/>
          <w:i/>
          <w:lang w:val="es-MX"/>
        </w:rPr>
        <w:lastRenderedPageBreak/>
        <w:t xml:space="preserve">IMPUGNE LAS VIOLACIONES QUE CON MOTIVO DE ELLAS RESIENTA, ES NECESARIO ACREDITAR NO SOLÓ EL INTERÉS LEGITIMO SINO TAMBIÉN EL JURÍDICO Y EXHIBIR LA LICENCIA, PERMISO O MANIFESTACIÓN QUE SE EXIJA PARA REALIZAR AQUÉLLAS (LEGISLACIÓN DEL DISTRITO FEDERAL). </w:t>
      </w:r>
    </w:p>
    <w:p w:rsidR="00AB69B3" w:rsidRPr="00FD6B3E" w:rsidRDefault="00AB69B3" w:rsidP="00AB69B3">
      <w:pPr>
        <w:spacing w:after="0" w:line="240" w:lineRule="auto"/>
        <w:ind w:left="1134" w:right="900"/>
        <w:jc w:val="both"/>
        <w:rPr>
          <w:rFonts w:cstheme="minorHAnsi"/>
          <w:b/>
          <w:i/>
          <w:lang w:val="es-MX"/>
        </w:rPr>
      </w:pPr>
      <w:r w:rsidRPr="00FD6B3E">
        <w:rPr>
          <w:rFonts w:cstheme="minorHAnsi"/>
          <w:b/>
          <w:i/>
          <w:lang w:val="es-MX"/>
        </w:rPr>
        <w:t xml:space="preserve">. . . </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 xml:space="preserve">En consecuencia, se actualiza la hipótesis prevista en el artículo 161, fracción II, en relación con el 162, fracción II, de la Ley de Procedimiento y Justicia Administrativa para el Estado de Oaxaca, que para su mayor compresión se transcriben: - - - - - - - - - - - - - - - - - - - - - - - </w:t>
      </w:r>
      <w:r>
        <w:rPr>
          <w:rFonts w:cstheme="minorHAnsi"/>
          <w:i/>
          <w:lang w:val="es-MX"/>
        </w:rPr>
        <w:tab/>
      </w:r>
    </w:p>
    <w:p w:rsidR="00AB69B3" w:rsidRPr="00FD6B3E" w:rsidRDefault="00AB69B3" w:rsidP="00AB69B3">
      <w:pPr>
        <w:spacing w:after="0" w:line="240" w:lineRule="auto"/>
        <w:ind w:left="1134" w:right="900"/>
        <w:jc w:val="both"/>
        <w:rPr>
          <w:rFonts w:cstheme="minorHAnsi"/>
          <w:b/>
          <w:i/>
          <w:lang w:val="es-MX"/>
        </w:rPr>
      </w:pPr>
      <w:r w:rsidRPr="00FD6B3E">
        <w:rPr>
          <w:rFonts w:cstheme="minorHAnsi"/>
          <w:b/>
          <w:i/>
          <w:lang w:val="es-MX"/>
        </w:rPr>
        <w:t>ARTÍCULO 131.- (se transcribe)</w:t>
      </w:r>
    </w:p>
    <w:p w:rsidR="00AB69B3" w:rsidRPr="00FD6B3E" w:rsidRDefault="00AB69B3" w:rsidP="00AB69B3">
      <w:pPr>
        <w:spacing w:after="0" w:line="240" w:lineRule="auto"/>
        <w:ind w:left="1134" w:right="900"/>
        <w:jc w:val="both"/>
        <w:rPr>
          <w:rFonts w:cstheme="minorHAnsi"/>
          <w:b/>
          <w:i/>
          <w:lang w:val="es-MX"/>
        </w:rPr>
      </w:pPr>
      <w:r w:rsidRPr="00FD6B3E">
        <w:rPr>
          <w:rFonts w:cstheme="minorHAnsi"/>
          <w:b/>
          <w:i/>
          <w:lang w:val="es-MX"/>
        </w:rPr>
        <w:t>ARTICULO 132.- (se transcribe)</w:t>
      </w:r>
    </w:p>
    <w:p w:rsidR="00AB69B3" w:rsidRPr="00FD6B3E" w:rsidRDefault="00AB69B3" w:rsidP="00AB69B3">
      <w:pPr>
        <w:spacing w:after="0" w:line="240" w:lineRule="auto"/>
        <w:ind w:left="851" w:right="900"/>
        <w:jc w:val="both"/>
        <w:rPr>
          <w:rFonts w:cstheme="minorHAnsi"/>
          <w:i/>
          <w:lang w:val="es-MX"/>
        </w:rPr>
      </w:pPr>
      <w:r>
        <w:rPr>
          <w:rFonts w:cstheme="minorHAnsi"/>
          <w:i/>
          <w:lang w:val="es-MX"/>
        </w:rPr>
        <w:tab/>
      </w:r>
      <w:r w:rsidRPr="00FD6B3E">
        <w:rPr>
          <w:rFonts w:cstheme="minorHAnsi"/>
          <w:i/>
          <w:lang w:val="es-MX"/>
        </w:rPr>
        <w:t xml:space="preserve">En ese tenor, el Acta de Sesión Extraordinaria del Honorable Cabildo Municipal de la Villa de Etla, Oaxaca de fecha diez de febrero de dos mil dieciocho específicamente en sus puntos  TERCERO y CUARTO, llevada a cabo por el cabildo de dicho municipio, reclamados por el actor </w:t>
      </w:r>
      <w:r w:rsidR="00AC790C">
        <w:rPr>
          <w:rFonts w:cstheme="minorHAnsi"/>
          <w:i/>
          <w:lang w:val="es-MX"/>
        </w:rPr>
        <w:t>**********</w:t>
      </w:r>
      <w:r w:rsidRPr="00FD6B3E">
        <w:rPr>
          <w:rFonts w:cstheme="minorHAnsi"/>
          <w:i/>
          <w:lang w:val="es-MX"/>
        </w:rPr>
        <w:t>, aun cuando resultare ilegal su elaboración, procedimiento y consecuencias jurídicas, es imposible favorecer su pretensión consistente la nulidad de los puntos TERCERO y CUARTO dentro del Acta de Sesión Extraordinaria del Honorable Cabildo Municipal de la Villa de Etla, Oaxaca de fecha diez de febrero de dos mil dieciocho, teniendo como efecto la posibilidad de continuar las operaciones de su puesto fijo denominado ´TAQUITOS MAYRA´, en virtud de que la accionante no demostró la titularidad de tal derecho, toda vez que no acreditó su interés jurídico, tal y como se expuso en párrafos anteriores. - - -  - - - - - - - - -</w:t>
      </w:r>
      <w:r>
        <w:rPr>
          <w:rFonts w:cstheme="minorHAnsi"/>
          <w:i/>
          <w:lang w:val="es-MX"/>
        </w:rPr>
        <w:t xml:space="preserve"> </w:t>
      </w:r>
      <w:r w:rsidRPr="00FD6B3E">
        <w:rPr>
          <w:rFonts w:cstheme="minorHAnsi"/>
          <w:i/>
          <w:lang w:val="es-MX"/>
        </w:rPr>
        <w:t>- - - - - - - - - - - - -</w:t>
      </w:r>
      <w:r>
        <w:rPr>
          <w:rFonts w:cstheme="minorHAnsi"/>
          <w:i/>
          <w:lang w:val="es-MX"/>
        </w:rPr>
        <w:t xml:space="preserve"> </w:t>
      </w:r>
      <w:r w:rsidRPr="00FD6B3E">
        <w:rPr>
          <w:rFonts w:cstheme="minorHAnsi"/>
          <w:i/>
          <w:lang w:val="es-MX"/>
        </w:rPr>
        <w:t xml:space="preserve"> - - - - - - - - -</w:t>
      </w:r>
      <w:r>
        <w:rPr>
          <w:rFonts w:cstheme="minorHAnsi"/>
          <w:i/>
          <w:lang w:val="es-MX"/>
        </w:rPr>
        <w:t xml:space="preserve"> </w:t>
      </w:r>
      <w:r w:rsidRPr="00FD6B3E">
        <w:rPr>
          <w:rFonts w:cstheme="minorHAnsi"/>
          <w:i/>
          <w:lang w:val="es-MX"/>
        </w:rPr>
        <w:t xml:space="preserve">- </w:t>
      </w:r>
      <w:r>
        <w:rPr>
          <w:rFonts w:cstheme="minorHAnsi"/>
          <w:i/>
          <w:lang w:val="es-MX"/>
        </w:rPr>
        <w:t xml:space="preserve">- - - - - - - - - - - </w:t>
      </w:r>
    </w:p>
    <w:p w:rsidR="00AB69B3" w:rsidRPr="00237E88" w:rsidRDefault="00AB69B3" w:rsidP="00AB69B3">
      <w:pPr>
        <w:spacing w:before="240" w:after="0" w:line="360" w:lineRule="auto"/>
        <w:ind w:left="851"/>
        <w:jc w:val="both"/>
        <w:rPr>
          <w:rFonts w:cstheme="minorHAnsi"/>
          <w:i/>
        </w:rPr>
      </w:pPr>
      <w:r>
        <w:rPr>
          <w:rFonts w:cstheme="minorHAnsi"/>
          <w:i/>
        </w:rPr>
        <w:t>…”.</w:t>
      </w:r>
    </w:p>
    <w:p w:rsidR="00AB69B3" w:rsidRDefault="00AB69B3" w:rsidP="00AB69B3">
      <w:pPr>
        <w:spacing w:line="360" w:lineRule="auto"/>
        <w:jc w:val="both"/>
        <w:rPr>
          <w:rFonts w:ascii="Arial" w:hAnsi="Arial" w:cs="Arial"/>
          <w:sz w:val="26"/>
          <w:szCs w:val="26"/>
        </w:rPr>
      </w:pPr>
      <w:r>
        <w:rPr>
          <w:rFonts w:ascii="Arial" w:eastAsia="Calibri" w:hAnsi="Arial" w:cs="Arial"/>
          <w:bCs/>
          <w:sz w:val="26"/>
          <w:szCs w:val="26"/>
        </w:rPr>
        <w:tab/>
      </w:r>
      <w:r w:rsidRPr="00807AC8">
        <w:rPr>
          <w:rFonts w:ascii="Arial" w:eastAsia="Calibri" w:hAnsi="Arial" w:cs="Arial"/>
          <w:bCs/>
          <w:sz w:val="26"/>
          <w:szCs w:val="26"/>
        </w:rPr>
        <w:t xml:space="preserve">De lo anterior, se advierte </w:t>
      </w:r>
      <w:r>
        <w:rPr>
          <w:rFonts w:ascii="Arial" w:eastAsia="Calibri" w:hAnsi="Arial" w:cs="Arial"/>
          <w:bCs/>
          <w:sz w:val="26"/>
          <w:szCs w:val="26"/>
        </w:rPr>
        <w:t>variación de</w:t>
      </w:r>
      <w:r w:rsidRPr="00807AC8">
        <w:rPr>
          <w:rFonts w:ascii="Arial" w:eastAsia="Calibri" w:hAnsi="Arial" w:cs="Arial"/>
          <w:bCs/>
          <w:sz w:val="26"/>
          <w:szCs w:val="26"/>
        </w:rPr>
        <w:t xml:space="preserve"> la</w:t>
      </w:r>
      <w:r w:rsidRPr="009F0391">
        <w:rPr>
          <w:rFonts w:ascii="Arial" w:eastAsia="Calibri" w:hAnsi="Arial" w:cs="Arial"/>
          <w:bCs/>
          <w:sz w:val="26"/>
          <w:szCs w:val="26"/>
        </w:rPr>
        <w:t xml:space="preserve"> </w:t>
      </w:r>
      <w:r>
        <w:rPr>
          <w:rFonts w:ascii="Arial" w:eastAsia="Calibri" w:hAnsi="Arial" w:cs="Arial"/>
          <w:bCs/>
          <w:sz w:val="26"/>
          <w:szCs w:val="26"/>
        </w:rPr>
        <w:t>l</w:t>
      </w:r>
      <w:r w:rsidRPr="009F0391">
        <w:rPr>
          <w:rFonts w:ascii="Arial" w:eastAsia="Calibri" w:hAnsi="Arial" w:cs="Arial"/>
          <w:bCs/>
          <w:sz w:val="26"/>
          <w:szCs w:val="26"/>
        </w:rPr>
        <w:t>itis</w:t>
      </w:r>
      <w:r>
        <w:rPr>
          <w:rFonts w:ascii="Arial" w:eastAsia="Calibri" w:hAnsi="Arial" w:cs="Arial"/>
          <w:bCs/>
          <w:sz w:val="26"/>
          <w:szCs w:val="26"/>
        </w:rPr>
        <w:t xml:space="preserve"> </w:t>
      </w:r>
      <w:r w:rsidRPr="00807AC8">
        <w:rPr>
          <w:rFonts w:ascii="Arial" w:eastAsia="Calibri" w:hAnsi="Arial" w:cs="Arial"/>
          <w:bCs/>
          <w:sz w:val="26"/>
          <w:szCs w:val="26"/>
        </w:rPr>
        <w:t xml:space="preserve">por parte de la </w:t>
      </w:r>
      <w:r>
        <w:rPr>
          <w:rFonts w:ascii="Arial" w:eastAsia="Calibri" w:hAnsi="Arial" w:cs="Arial"/>
          <w:bCs/>
          <w:sz w:val="26"/>
          <w:szCs w:val="26"/>
        </w:rPr>
        <w:t>Primera Instancia; pues como quedó puntualizado, el actor demandó la nulidad de los actos administrativos, plasmados en los puntos TERCERO Y CUARTO, del acta relativa al desahogo de la Sesión Extraordinaria del Honorable Ayuntamiento del Municipio de la Villa de Etla, Oaxaca; sin embargo, de la transcripción anterior, se puede advertir que la juzgadora analizó lo relativo a la acreditación del  interés jurídico del actor, concluyendo que al no exhibir la licencia o concesión vigente para el ejercicio dos mil dieciocho, no logró acreditar el interés para demandar; sin embargo, al respecto debe señalarse, q</w:t>
      </w:r>
      <w:r>
        <w:rPr>
          <w:rFonts w:ascii="Arial" w:hAnsi="Arial" w:cs="Arial"/>
          <w:sz w:val="26"/>
          <w:szCs w:val="26"/>
        </w:rPr>
        <w:t xml:space="preserve">ue </w:t>
      </w:r>
      <w:r w:rsidRPr="004E5C1D">
        <w:rPr>
          <w:rFonts w:ascii="Arial" w:hAnsi="Arial" w:cs="Arial"/>
          <w:sz w:val="26"/>
          <w:szCs w:val="26"/>
        </w:rPr>
        <w:t xml:space="preserve">los elementos constitutivos del </w:t>
      </w:r>
      <w:r w:rsidRPr="005000F4">
        <w:rPr>
          <w:rStyle w:val="red"/>
          <w:rFonts w:ascii="Arial" w:hAnsi="Arial" w:cs="Arial"/>
          <w:sz w:val="26"/>
          <w:szCs w:val="26"/>
        </w:rPr>
        <w:t>interés</w:t>
      </w:r>
      <w:r w:rsidRPr="005000F4">
        <w:rPr>
          <w:rFonts w:ascii="Arial" w:hAnsi="Arial" w:cs="Arial"/>
          <w:sz w:val="26"/>
          <w:szCs w:val="26"/>
        </w:rPr>
        <w:t xml:space="preserve"> </w:t>
      </w:r>
      <w:r w:rsidRPr="005000F4">
        <w:rPr>
          <w:rStyle w:val="red"/>
          <w:rFonts w:ascii="Arial" w:hAnsi="Arial" w:cs="Arial"/>
          <w:sz w:val="26"/>
          <w:szCs w:val="26"/>
        </w:rPr>
        <w:t>jurídico</w:t>
      </w:r>
      <w:r w:rsidRPr="004E5C1D">
        <w:rPr>
          <w:rFonts w:ascii="Arial" w:hAnsi="Arial" w:cs="Arial"/>
          <w:sz w:val="26"/>
          <w:szCs w:val="26"/>
        </w:rPr>
        <w:t xml:space="preserve"> consisten en demostrar: a) la existencia del derecho subjetivo que se dice vulnerado; y, b) que el acto de autoridad afecta ese derecho, de donde deriva el agravio correspondiente. Por su parte, para probar el </w:t>
      </w:r>
      <w:r w:rsidRPr="005000F4">
        <w:rPr>
          <w:rStyle w:val="red"/>
          <w:rFonts w:ascii="Arial" w:hAnsi="Arial" w:cs="Arial"/>
          <w:sz w:val="26"/>
          <w:szCs w:val="26"/>
        </w:rPr>
        <w:t>interés</w:t>
      </w:r>
      <w:r w:rsidRPr="005000F4">
        <w:rPr>
          <w:rFonts w:ascii="Arial" w:hAnsi="Arial" w:cs="Arial"/>
          <w:sz w:val="26"/>
          <w:szCs w:val="26"/>
        </w:rPr>
        <w:t xml:space="preserve"> </w:t>
      </w:r>
      <w:r w:rsidRPr="005000F4">
        <w:rPr>
          <w:rStyle w:val="red"/>
          <w:rFonts w:ascii="Arial" w:hAnsi="Arial" w:cs="Arial"/>
          <w:sz w:val="26"/>
          <w:szCs w:val="26"/>
        </w:rPr>
        <w:t>legítimo</w:t>
      </w:r>
      <w:r w:rsidRPr="005000F4">
        <w:rPr>
          <w:rFonts w:ascii="Arial" w:hAnsi="Arial" w:cs="Arial"/>
          <w:sz w:val="26"/>
          <w:szCs w:val="26"/>
        </w:rPr>
        <w:t>,</w:t>
      </w:r>
      <w:r w:rsidRPr="004E5C1D">
        <w:rPr>
          <w:rFonts w:ascii="Arial" w:hAnsi="Arial" w:cs="Arial"/>
          <w:sz w:val="26"/>
          <w:szCs w:val="26"/>
        </w:rPr>
        <w:t xml:space="preserve"> deberá acreditarse que: a) exista una norma constitucional en la que se establezca o tutele algún</w:t>
      </w:r>
      <w:r w:rsidRPr="00F93F84">
        <w:rPr>
          <w:rFonts w:ascii="Arial" w:hAnsi="Arial" w:cs="Arial"/>
          <w:sz w:val="26"/>
          <w:szCs w:val="26"/>
        </w:rPr>
        <w:t xml:space="preserve"> </w:t>
      </w:r>
      <w:r w:rsidRPr="00F93F84">
        <w:rPr>
          <w:rStyle w:val="red"/>
          <w:rFonts w:ascii="Arial" w:hAnsi="Arial" w:cs="Arial"/>
          <w:sz w:val="26"/>
          <w:szCs w:val="26"/>
        </w:rPr>
        <w:t>interés</w:t>
      </w:r>
      <w:r w:rsidRPr="004E5C1D">
        <w:rPr>
          <w:rFonts w:ascii="Arial" w:hAnsi="Arial" w:cs="Arial"/>
          <w:sz w:val="26"/>
          <w:szCs w:val="26"/>
        </w:rPr>
        <w:t xml:space="preserve"> difuso en beneficio de una colectividad determinada; b) el acto reclamado transgreda ese </w:t>
      </w:r>
      <w:r w:rsidRPr="00F93F84">
        <w:rPr>
          <w:rStyle w:val="red"/>
          <w:rFonts w:ascii="Arial" w:hAnsi="Arial" w:cs="Arial"/>
          <w:sz w:val="26"/>
          <w:szCs w:val="26"/>
        </w:rPr>
        <w:t>interés</w:t>
      </w:r>
      <w:r w:rsidRPr="00F93F84">
        <w:rPr>
          <w:rFonts w:ascii="Arial" w:hAnsi="Arial" w:cs="Arial"/>
          <w:sz w:val="26"/>
          <w:szCs w:val="26"/>
        </w:rPr>
        <w:t xml:space="preserve"> </w:t>
      </w:r>
      <w:r w:rsidRPr="004E5C1D">
        <w:rPr>
          <w:rFonts w:ascii="Arial" w:hAnsi="Arial" w:cs="Arial"/>
          <w:sz w:val="26"/>
          <w:szCs w:val="26"/>
        </w:rPr>
        <w:t>difuso, ya sea de manera individual o colectiva; y, c) el promovente</w:t>
      </w:r>
      <w:r>
        <w:rPr>
          <w:rFonts w:ascii="Arial" w:hAnsi="Arial" w:cs="Arial"/>
          <w:sz w:val="26"/>
          <w:szCs w:val="26"/>
        </w:rPr>
        <w:t xml:space="preserve"> pertenezca a esa colectividad.</w:t>
      </w:r>
    </w:p>
    <w:p w:rsidR="00AB69B3" w:rsidRDefault="00AB69B3" w:rsidP="00AB69B3">
      <w:pPr>
        <w:spacing w:line="360" w:lineRule="auto"/>
        <w:jc w:val="both"/>
        <w:rPr>
          <w:rFonts w:ascii="Arial" w:hAnsi="Arial" w:cs="Arial"/>
          <w:sz w:val="26"/>
          <w:szCs w:val="26"/>
          <w:lang w:val="es-MX"/>
        </w:rPr>
      </w:pPr>
      <w:r w:rsidRPr="00BA0C88">
        <w:rPr>
          <w:rFonts w:ascii="Arial" w:hAnsi="Arial" w:cs="Arial"/>
          <w:sz w:val="26"/>
          <w:szCs w:val="26"/>
          <w:lang w:val="es-MX"/>
        </w:rPr>
        <w:lastRenderedPageBreak/>
        <w:t>sirve de apoyo a lo anterior la Jurisprudencia</w:t>
      </w:r>
      <w:r>
        <w:rPr>
          <w:rFonts w:ascii="Arial" w:hAnsi="Arial" w:cs="Arial"/>
          <w:sz w:val="26"/>
          <w:szCs w:val="26"/>
          <w:lang w:val="es-MX"/>
        </w:rPr>
        <w:t xml:space="preserve"> de la Segunda Sala de la Suprema Corte de Justicia de la Nación, número de registro </w:t>
      </w:r>
      <w:r w:rsidRPr="00BA0C88">
        <w:rPr>
          <w:rFonts w:ascii="Arial" w:hAnsi="Arial" w:cs="Arial"/>
          <w:sz w:val="26"/>
          <w:szCs w:val="26"/>
          <w:lang w:val="es-MX"/>
        </w:rPr>
        <w:t>20</w:t>
      </w:r>
      <w:r>
        <w:rPr>
          <w:rFonts w:ascii="Arial" w:hAnsi="Arial" w:cs="Arial"/>
          <w:sz w:val="26"/>
          <w:szCs w:val="26"/>
          <w:lang w:val="es-MX"/>
        </w:rPr>
        <w:t>19456</w:t>
      </w:r>
      <w:r w:rsidRPr="00BA0C88">
        <w:rPr>
          <w:rFonts w:ascii="Arial" w:hAnsi="Arial" w:cs="Arial"/>
          <w:sz w:val="26"/>
          <w:szCs w:val="26"/>
          <w:lang w:val="es-MX"/>
        </w:rPr>
        <w:t xml:space="preserve">, de la </w:t>
      </w:r>
      <w:r>
        <w:rPr>
          <w:rFonts w:ascii="Arial" w:hAnsi="Arial" w:cs="Arial"/>
          <w:sz w:val="26"/>
          <w:szCs w:val="26"/>
          <w:lang w:val="es-MX"/>
        </w:rPr>
        <w:t>Décima</w:t>
      </w:r>
      <w:r w:rsidRPr="00BA0C88">
        <w:rPr>
          <w:rFonts w:ascii="Arial" w:hAnsi="Arial" w:cs="Arial"/>
          <w:sz w:val="26"/>
          <w:szCs w:val="26"/>
          <w:lang w:val="es-MX"/>
        </w:rPr>
        <w:t xml:space="preserve"> Época, </w:t>
      </w:r>
      <w:r>
        <w:rPr>
          <w:rFonts w:ascii="Arial" w:hAnsi="Arial" w:cs="Arial"/>
          <w:sz w:val="26"/>
          <w:szCs w:val="26"/>
          <w:lang w:val="es-MX"/>
        </w:rPr>
        <w:t>Publicada</w:t>
      </w:r>
      <w:r w:rsidRPr="00BA0C88">
        <w:rPr>
          <w:rFonts w:ascii="Arial" w:hAnsi="Arial" w:cs="Arial"/>
          <w:sz w:val="26"/>
          <w:szCs w:val="26"/>
          <w:lang w:val="es-MX"/>
        </w:rPr>
        <w:t xml:space="preserve"> en el Semanario Judicial de la Federación y su Gaceta, </w:t>
      </w:r>
      <w:r>
        <w:rPr>
          <w:rFonts w:ascii="Arial" w:hAnsi="Arial" w:cs="Arial"/>
          <w:sz w:val="26"/>
          <w:szCs w:val="26"/>
          <w:lang w:val="es-MX"/>
        </w:rPr>
        <w:t>Libro 64, Tomo II, pá</w:t>
      </w:r>
      <w:r w:rsidRPr="00BA0C88">
        <w:rPr>
          <w:rFonts w:ascii="Arial" w:hAnsi="Arial" w:cs="Arial"/>
          <w:sz w:val="26"/>
          <w:szCs w:val="26"/>
          <w:lang w:val="es-MX"/>
        </w:rPr>
        <w:t xml:space="preserve">gina </w:t>
      </w:r>
      <w:r>
        <w:rPr>
          <w:rFonts w:ascii="Arial" w:hAnsi="Arial" w:cs="Arial"/>
          <w:sz w:val="26"/>
          <w:szCs w:val="26"/>
          <w:lang w:val="es-MX"/>
        </w:rPr>
        <w:t>1598</w:t>
      </w:r>
      <w:r w:rsidRPr="00BA0C88">
        <w:rPr>
          <w:rFonts w:ascii="Arial" w:hAnsi="Arial" w:cs="Arial"/>
          <w:sz w:val="26"/>
          <w:szCs w:val="26"/>
          <w:lang w:val="es-MX"/>
        </w:rPr>
        <w:t xml:space="preserve">, </w:t>
      </w:r>
      <w:r>
        <w:rPr>
          <w:rFonts w:ascii="Arial" w:hAnsi="Arial" w:cs="Arial"/>
          <w:sz w:val="26"/>
          <w:szCs w:val="26"/>
          <w:lang w:val="es-MX"/>
        </w:rPr>
        <w:t>marzo</w:t>
      </w:r>
      <w:r w:rsidRPr="00BA0C88">
        <w:rPr>
          <w:rFonts w:ascii="Arial" w:hAnsi="Arial" w:cs="Arial"/>
          <w:sz w:val="26"/>
          <w:szCs w:val="26"/>
          <w:lang w:val="es-MX"/>
        </w:rPr>
        <w:t xml:space="preserve"> de 20</w:t>
      </w:r>
      <w:r>
        <w:rPr>
          <w:rFonts w:ascii="Arial" w:hAnsi="Arial" w:cs="Arial"/>
          <w:sz w:val="26"/>
          <w:szCs w:val="26"/>
          <w:lang w:val="es-MX"/>
        </w:rPr>
        <w:t>19</w:t>
      </w:r>
      <w:r w:rsidRPr="00BA0C88">
        <w:rPr>
          <w:rFonts w:ascii="Arial" w:hAnsi="Arial" w:cs="Arial"/>
          <w:sz w:val="26"/>
          <w:szCs w:val="26"/>
          <w:lang w:val="es-MX"/>
        </w:rPr>
        <w:t>, bajo el rubro y texto siguiente</w:t>
      </w:r>
      <w:r>
        <w:rPr>
          <w:rFonts w:ascii="Arial" w:hAnsi="Arial" w:cs="Arial"/>
          <w:sz w:val="26"/>
          <w:szCs w:val="26"/>
          <w:lang w:val="es-MX"/>
        </w:rPr>
        <w:t>:</w:t>
      </w:r>
    </w:p>
    <w:p w:rsidR="00AB69B3" w:rsidRPr="00BA0C88" w:rsidRDefault="00AB69B3" w:rsidP="00AB69B3">
      <w:pPr>
        <w:spacing w:line="240" w:lineRule="auto"/>
        <w:ind w:left="993"/>
        <w:jc w:val="both"/>
        <w:rPr>
          <w:rFonts w:ascii="Calibri" w:hAnsi="Calibri" w:cs="Calibri"/>
        </w:rPr>
      </w:pPr>
      <w:r w:rsidRPr="0047297C">
        <w:rPr>
          <w:rFonts w:cstheme="minorHAnsi"/>
          <w:lang w:val="es-MX"/>
        </w:rPr>
        <w:t>INTERÉS LEGÍTIMO E INTERÉS JURÍDICO. SUS ELEMENTOS CONSTITUTIVOS COMO REQUISITOS PARA PROMOVER EL JUICIO DE AMPARO INDIRECTO, CONFORME AL ARTÍCULO 107 FRACCIÓN I, DE LA CONSTITUCIÓN POLÍTICA DE LOS ESTADOS UNIDOS MEXICANOS</w:t>
      </w:r>
      <w:r w:rsidRPr="0047297C">
        <w:rPr>
          <w:rFonts w:cstheme="minorHAnsi"/>
          <w:b/>
          <w:bCs/>
        </w:rPr>
        <w:t>.</w:t>
      </w:r>
      <w:r>
        <w:rPr>
          <w:rFonts w:cstheme="minorHAnsi"/>
          <w:b/>
          <w:bCs/>
        </w:rPr>
        <w:t xml:space="preserve"> </w:t>
      </w:r>
      <w:r w:rsidRPr="00BA0C88">
        <w:rPr>
          <w:rFonts w:ascii="Calibri" w:hAnsi="Calibri" w:cs="Calibri"/>
        </w:rPr>
        <w:t>El citado precepto establece que el</w:t>
      </w:r>
      <w:r>
        <w:rPr>
          <w:rFonts w:ascii="Calibri" w:hAnsi="Calibri" w:cs="Calibri"/>
        </w:rPr>
        <w:t xml:space="preserve"> juicio</w:t>
      </w:r>
      <w:r w:rsidRPr="00BA0C88">
        <w:rPr>
          <w:rFonts w:ascii="Calibri" w:hAnsi="Calibri" w:cs="Calibri"/>
        </w:rPr>
        <w:t> de </w:t>
      </w:r>
      <w:r>
        <w:rPr>
          <w:rFonts w:ascii="Calibri" w:hAnsi="Calibri" w:cs="Calibri"/>
        </w:rPr>
        <w:t>amparo indirecto</w:t>
      </w:r>
      <w:r w:rsidRPr="00BA0C88">
        <w:rPr>
          <w:rFonts w:ascii="Calibri" w:hAnsi="Calibri" w:cs="Calibri"/>
        </w:rPr>
        <w:t xml:space="preserve"> se seguirá siempre a instancia de parte agraviada, "teniendo tal carácter quien aduce ser titular de un derecho o de </w:t>
      </w:r>
      <w:r w:rsidRPr="000008DD">
        <w:rPr>
          <w:rFonts w:ascii="Calibri" w:hAnsi="Calibri" w:cs="Calibri"/>
        </w:rPr>
        <w:t>un </w:t>
      </w:r>
      <w:r w:rsidRPr="000008DD">
        <w:t>interés</w:t>
      </w:r>
      <w:r w:rsidRPr="000008DD">
        <w:rPr>
          <w:rFonts w:ascii="Calibri" w:hAnsi="Calibri" w:cs="Calibri"/>
        </w:rPr>
        <w:t> </w:t>
      </w:r>
      <w:r w:rsidRPr="000008DD">
        <w:t>legítimo</w:t>
      </w:r>
      <w:r w:rsidRPr="000008DD">
        <w:rPr>
          <w:rFonts w:ascii="Calibri" w:hAnsi="Calibri" w:cs="Calibri"/>
        </w:rPr>
        <w:t> individual o colectivo", con lo que atribuye consecuencias de derecho, desde el punto de vista de la legitimación del promovente</w:t>
      </w:r>
      <w:r w:rsidRPr="000008DD">
        <w:t>, tanto al interés jurídico en sentido estricto, como al legítimo, pues en ambos supuestos a la persona que se ubique dentro de ellos se le otorga legitimación para instar la acción de amparo. En tal virtud, atento a la naturaleza del acto reclamado y a la de la autoridad que lo emite, el quejoso en el juicio de amparo debe acreditar fehacientemente el interés, jurídico o legítimo, que le asiste para ello y no inferirse con base en presunciones. Así, los elementos constitutivos del interés jurídico consisten en demostrar: a) la existencia del derecho subjetivo que se dice vulnerado; y, b) que el acto de autoridad afecta ese derecho, de donde deriva el agravio correspondiente. Por su parte, para probar el interés legítimo, deberá acreditarse que: a) exista una norma constitucional en la que se establezca o tutele algún interés difuso en beneficio de una colectividad determinada; b) el acto reclamado transgreda ese interés difuso, ya sea de manera individual o colectiva; y, c) el promovente pertenezca a esa colectividad. Lo anterior, porque si el interés legítimo supone una afectación jurídica al quejoso, éste debe demostrar su pertenencia al grupo que en específico sufrió o sufre el agravio que se aduce en la demanda de amparo. Sobre el particular es dable indicar que los elementos constitutivos destacados son concurrentes, por tanto, basta la ausencia de alguno de ellos para que el medio de defensa intentado</w:t>
      </w:r>
      <w:r w:rsidRPr="000008DD">
        <w:rPr>
          <w:rFonts w:ascii="Calibri" w:hAnsi="Calibri" w:cs="Calibri"/>
        </w:rPr>
        <w:t xml:space="preserve"> sea improcedente.</w:t>
      </w:r>
    </w:p>
    <w:p w:rsidR="00AB69B3" w:rsidRDefault="00AB69B3" w:rsidP="00AB69B3">
      <w:pPr>
        <w:spacing w:line="360" w:lineRule="auto"/>
        <w:ind w:firstLine="708"/>
        <w:jc w:val="both"/>
        <w:rPr>
          <w:rFonts w:ascii="Arial" w:hAnsi="Arial" w:cs="Arial"/>
          <w:sz w:val="26"/>
          <w:szCs w:val="26"/>
        </w:rPr>
      </w:pPr>
      <w:r w:rsidRPr="00281ED6">
        <w:rPr>
          <w:rFonts w:ascii="Arial" w:hAnsi="Arial" w:cs="Arial"/>
          <w:sz w:val="26"/>
          <w:szCs w:val="26"/>
        </w:rPr>
        <w:t>En el caso, si el actor demandó la</w:t>
      </w:r>
      <w:r>
        <w:rPr>
          <w:rFonts w:ascii="Arial" w:hAnsi="Arial" w:cs="Arial"/>
          <w:sz w:val="26"/>
          <w:szCs w:val="26"/>
        </w:rPr>
        <w:t xml:space="preserve"> nulidad de</w:t>
      </w:r>
      <w:r>
        <w:rPr>
          <w:rFonts w:ascii="Arial" w:eastAsia="Calibri" w:hAnsi="Arial" w:cs="Arial"/>
          <w:bCs/>
          <w:sz w:val="26"/>
          <w:szCs w:val="26"/>
        </w:rPr>
        <w:t xml:space="preserve"> los actos administrativos, contenidos en los puntos TERCERO Y CUARTO, del acta de Sesión Extraordinaria del Honorable Ayuntamiento del Municipio de la Villa de Etla, Oaxaca,</w:t>
      </w:r>
      <w:r>
        <w:rPr>
          <w:rFonts w:ascii="Arial" w:hAnsi="Arial" w:cs="Arial"/>
          <w:sz w:val="26"/>
          <w:szCs w:val="26"/>
        </w:rPr>
        <w:t xml:space="preserve"> de cuyo contenido se advierte hace referencia a la solicitud dirigida a ese Ayuntamiento con la finalidad de poder efectuar el pago de derechos correspondientes a la licencia de inicio de operaciones dos mil diecisiete, de ahí que se advierta la existencia de su interés para demandar la nulidad de tales actos, agregando para mayor robustecimiento </w:t>
      </w:r>
      <w:r w:rsidRPr="0039292F">
        <w:rPr>
          <w:rFonts w:ascii="Arial" w:hAnsi="Arial" w:cs="Arial"/>
          <w:sz w:val="26"/>
          <w:szCs w:val="26"/>
        </w:rPr>
        <w:t xml:space="preserve">copia certificada del oficio número 0006/2004 por medio del cual se </w:t>
      </w:r>
      <w:r>
        <w:rPr>
          <w:rFonts w:ascii="Arial" w:hAnsi="Arial" w:cs="Arial"/>
          <w:sz w:val="26"/>
          <w:szCs w:val="26"/>
        </w:rPr>
        <w:t xml:space="preserve">le </w:t>
      </w:r>
      <w:r w:rsidRPr="0039292F">
        <w:rPr>
          <w:rFonts w:ascii="Arial" w:hAnsi="Arial" w:cs="Arial"/>
          <w:sz w:val="26"/>
          <w:szCs w:val="26"/>
        </w:rPr>
        <w:t xml:space="preserve">otorgaba la licencia de apertura de fecha seis de abril de dos mil cuatro, copia certificada del pago de derechos municipales por el periodo de junio dos mil cuatro, número 45504 de fecha diecisiete de junio de dos mil cuatro, copia certificada del pago de derechos municipales por el periodo de mayo de dos mil siete número 45419 de fecha cuatro de mayo de dos mil siete, copia certificada de la tarjeta de control de pago de comercio </w:t>
      </w:r>
      <w:r w:rsidRPr="0039292F">
        <w:rPr>
          <w:rFonts w:ascii="Arial" w:hAnsi="Arial" w:cs="Arial"/>
          <w:sz w:val="26"/>
          <w:szCs w:val="26"/>
        </w:rPr>
        <w:lastRenderedPageBreak/>
        <w:t>establecido por el año dos mil trece, copia certificada del oficio número 221 de fecha diecinueve de junio de mil novecientos noventa y tres</w:t>
      </w:r>
      <w:r>
        <w:rPr>
          <w:rFonts w:ascii="Arial" w:hAnsi="Arial" w:cs="Arial"/>
          <w:sz w:val="26"/>
          <w:szCs w:val="26"/>
        </w:rPr>
        <w:t>, siendo estas documentales, con las que demuestra la afectación para demandar y que son las que la Juzgadora debió analizar, para concluir en la acreditación o no del interés jurídico o legítimo del actor.</w:t>
      </w:r>
    </w:p>
    <w:p w:rsidR="00AB69B3" w:rsidRPr="009F0391" w:rsidRDefault="00AB69B3" w:rsidP="00AB69B3">
      <w:pPr>
        <w:spacing w:line="360" w:lineRule="auto"/>
        <w:ind w:firstLine="567"/>
        <w:jc w:val="both"/>
        <w:rPr>
          <w:rFonts w:ascii="Arial" w:eastAsia="Calibri" w:hAnsi="Arial"/>
          <w:sz w:val="26"/>
          <w:szCs w:val="26"/>
        </w:rPr>
      </w:pPr>
      <w:r>
        <w:rPr>
          <w:rFonts w:ascii="Arial" w:eastAsia="Calibri" w:hAnsi="Arial"/>
          <w:sz w:val="26"/>
          <w:szCs w:val="26"/>
        </w:rPr>
        <w:t xml:space="preserve">En concordancia con lo anterior, también con la determinación acotada por la Primera Instancia, se </w:t>
      </w:r>
      <w:r>
        <w:rPr>
          <w:rFonts w:ascii="Arial" w:hAnsi="Arial" w:cs="Arial"/>
          <w:sz w:val="26"/>
          <w:szCs w:val="26"/>
        </w:rPr>
        <w:t>dejó de analizar el fondo del asunto planteado, pues si bien, dice entrar el estudio del fondo de la legalidad o ilegalidad de la nulidad de los actos administrativos  demandados, de</w:t>
      </w:r>
      <w:r>
        <w:rPr>
          <w:rFonts w:ascii="Arial" w:eastAsia="Calibri" w:hAnsi="Arial" w:cs="Arial"/>
          <w:bCs/>
          <w:sz w:val="26"/>
          <w:szCs w:val="26"/>
        </w:rPr>
        <w:t xml:space="preserve"> los puntos TERCERO Y CUARTO, del acta de Sesión Extraordinaria del Honorable Ayuntamiento del Municipio de la Villa de Etla, Oaxaca, </w:t>
      </w:r>
      <w:r>
        <w:rPr>
          <w:rFonts w:ascii="Arial" w:hAnsi="Arial" w:cs="Arial"/>
          <w:sz w:val="26"/>
          <w:szCs w:val="26"/>
          <w:lang w:eastAsia="es-MX"/>
        </w:rPr>
        <w:t xml:space="preserve">no lo hizo así, violentando con su actuar </w:t>
      </w:r>
      <w:r w:rsidRPr="009F0391">
        <w:rPr>
          <w:rFonts w:ascii="Arial" w:eastAsia="Calibri" w:hAnsi="Arial"/>
          <w:sz w:val="26"/>
          <w:szCs w:val="26"/>
        </w:rPr>
        <w:t xml:space="preserve">el artículo </w:t>
      </w:r>
      <w:r>
        <w:rPr>
          <w:rFonts w:ascii="Arial" w:eastAsia="Calibri" w:hAnsi="Arial"/>
          <w:sz w:val="26"/>
          <w:szCs w:val="26"/>
        </w:rPr>
        <w:t>207</w:t>
      </w:r>
      <w:r>
        <w:rPr>
          <w:rStyle w:val="Refdenotaalpie"/>
          <w:rFonts w:ascii="Arial" w:eastAsia="Calibri" w:hAnsi="Arial"/>
          <w:sz w:val="26"/>
          <w:szCs w:val="26"/>
        </w:rPr>
        <w:footnoteReference w:id="1"/>
      </w:r>
      <w:r>
        <w:rPr>
          <w:rFonts w:ascii="Arial" w:eastAsia="Calibri" w:hAnsi="Arial"/>
          <w:sz w:val="26"/>
          <w:szCs w:val="26"/>
        </w:rPr>
        <w:t xml:space="preserve">, </w:t>
      </w:r>
      <w:r w:rsidRPr="009F0391">
        <w:rPr>
          <w:rFonts w:ascii="Arial" w:eastAsia="Calibri" w:hAnsi="Arial"/>
          <w:sz w:val="26"/>
          <w:szCs w:val="26"/>
        </w:rPr>
        <w:t>fracciones I y II</w:t>
      </w:r>
      <w:r>
        <w:rPr>
          <w:rFonts w:ascii="Arial" w:eastAsia="Calibri" w:hAnsi="Arial"/>
          <w:sz w:val="26"/>
          <w:szCs w:val="26"/>
        </w:rPr>
        <w:t>,</w:t>
      </w:r>
      <w:r w:rsidRPr="009F0391">
        <w:rPr>
          <w:rFonts w:ascii="Arial" w:eastAsia="Calibri" w:hAnsi="Arial"/>
          <w:sz w:val="26"/>
          <w:szCs w:val="26"/>
        </w:rPr>
        <w:t xml:space="preserve"> de la Ley de </w:t>
      </w:r>
      <w:r>
        <w:rPr>
          <w:rFonts w:ascii="Arial" w:eastAsia="Calibri" w:hAnsi="Arial"/>
          <w:sz w:val="26"/>
          <w:szCs w:val="26"/>
        </w:rPr>
        <w:t xml:space="preserve">Procedimiento y </w:t>
      </w:r>
      <w:r w:rsidRPr="009F0391">
        <w:rPr>
          <w:rFonts w:ascii="Arial" w:eastAsia="Calibri" w:hAnsi="Arial"/>
          <w:sz w:val="26"/>
          <w:szCs w:val="26"/>
        </w:rPr>
        <w:t xml:space="preserve">Justicia Administrativa para el Estado de Oaxaca, </w:t>
      </w:r>
      <w:r>
        <w:rPr>
          <w:rFonts w:ascii="Arial" w:eastAsia="Calibri" w:hAnsi="Arial"/>
          <w:sz w:val="26"/>
          <w:szCs w:val="26"/>
        </w:rPr>
        <w:t>del que se deduce que</w:t>
      </w:r>
      <w:r w:rsidRPr="009F0391">
        <w:rPr>
          <w:rFonts w:ascii="Arial" w:eastAsia="Calibri" w:hAnsi="Arial"/>
          <w:sz w:val="26"/>
          <w:szCs w:val="26"/>
        </w:rPr>
        <w:t xml:space="preserve"> el juzgador debe </w:t>
      </w:r>
      <w:r>
        <w:rPr>
          <w:rFonts w:ascii="Arial" w:eastAsia="Calibri" w:hAnsi="Arial"/>
          <w:sz w:val="26"/>
          <w:szCs w:val="26"/>
        </w:rPr>
        <w:t xml:space="preserve">emitir sus resoluciones </w:t>
      </w:r>
      <w:r w:rsidRPr="009F0391">
        <w:rPr>
          <w:rFonts w:ascii="Arial" w:eastAsia="Calibri" w:hAnsi="Arial"/>
          <w:sz w:val="26"/>
          <w:szCs w:val="26"/>
        </w:rPr>
        <w:t>en</w:t>
      </w:r>
      <w:r>
        <w:rPr>
          <w:rFonts w:ascii="Arial" w:eastAsia="Calibri" w:hAnsi="Arial"/>
          <w:sz w:val="26"/>
          <w:szCs w:val="26"/>
        </w:rPr>
        <w:t xml:space="preserve"> concordancia con la demanda y c</w:t>
      </w:r>
      <w:r w:rsidRPr="009F0391">
        <w:rPr>
          <w:rFonts w:ascii="Arial" w:eastAsia="Calibri" w:hAnsi="Arial"/>
          <w:sz w:val="26"/>
          <w:szCs w:val="26"/>
        </w:rPr>
        <w:t>o</w:t>
      </w:r>
      <w:r>
        <w:rPr>
          <w:rFonts w:ascii="Arial" w:eastAsia="Calibri" w:hAnsi="Arial"/>
          <w:sz w:val="26"/>
          <w:szCs w:val="26"/>
        </w:rPr>
        <w:t>n</w:t>
      </w:r>
      <w:r w:rsidRPr="009F0391">
        <w:rPr>
          <w:rFonts w:ascii="Arial" w:eastAsia="Calibri" w:hAnsi="Arial"/>
          <w:sz w:val="26"/>
          <w:szCs w:val="26"/>
        </w:rPr>
        <w:t xml:space="preserve"> la contestación formulada por las partes</w:t>
      </w:r>
      <w:r>
        <w:rPr>
          <w:rFonts w:ascii="Arial" w:eastAsia="Calibri" w:hAnsi="Arial"/>
          <w:sz w:val="26"/>
          <w:szCs w:val="26"/>
        </w:rPr>
        <w:t xml:space="preserve">, además de no existir </w:t>
      </w:r>
      <w:r w:rsidRPr="009F0391">
        <w:rPr>
          <w:rFonts w:ascii="Arial" w:eastAsia="Calibri" w:hAnsi="Arial"/>
          <w:sz w:val="26"/>
          <w:szCs w:val="26"/>
        </w:rPr>
        <w:t>afirmaciones que se contradigan entre sí.</w:t>
      </w:r>
    </w:p>
    <w:p w:rsidR="00AB69B3" w:rsidRPr="00516BCD" w:rsidRDefault="00AB69B3" w:rsidP="00AB69B3">
      <w:pPr>
        <w:spacing w:line="360" w:lineRule="auto"/>
        <w:ind w:firstLine="567"/>
        <w:jc w:val="both"/>
        <w:rPr>
          <w:rFonts w:ascii="Arial" w:eastAsia="Calibri" w:hAnsi="Arial"/>
          <w:sz w:val="26"/>
          <w:szCs w:val="26"/>
        </w:rPr>
      </w:pPr>
      <w:r w:rsidRPr="00516BCD">
        <w:rPr>
          <w:rFonts w:ascii="Arial" w:eastAsia="Calibri" w:hAnsi="Arial"/>
          <w:sz w:val="26"/>
          <w:szCs w:val="26"/>
        </w:rPr>
        <w:t>S</w:t>
      </w:r>
      <w:r>
        <w:rPr>
          <w:rFonts w:ascii="Arial" w:eastAsia="Calibri" w:hAnsi="Arial"/>
          <w:sz w:val="26"/>
          <w:szCs w:val="26"/>
        </w:rPr>
        <w:t xml:space="preserve">irve de referencia a lo anterior </w:t>
      </w:r>
      <w:r w:rsidRPr="00516BCD">
        <w:rPr>
          <w:rFonts w:ascii="Arial" w:eastAsia="Calibri" w:hAnsi="Arial"/>
          <w:sz w:val="26"/>
          <w:szCs w:val="26"/>
        </w:rPr>
        <w:t>el criterio contenido en la tesis de la entonces Tercera Sala de la Suprema Corte de Justicia de la Nación, consultable en el Semanario Judicial de la Federación, Séptima Época, Volumen 157-162, Cuarta Parte, página 267, con número de registro 240593, de rubro y texto siguiente:</w:t>
      </w:r>
    </w:p>
    <w:p w:rsidR="00AB69B3" w:rsidRPr="00CB082E" w:rsidRDefault="00AB69B3" w:rsidP="00CB082E">
      <w:pPr>
        <w:spacing w:line="240" w:lineRule="auto"/>
        <w:ind w:left="851" w:right="567"/>
        <w:jc w:val="both"/>
        <w:rPr>
          <w:rFonts w:ascii="Arial" w:eastAsia="Calibri" w:hAnsi="Arial"/>
        </w:rPr>
      </w:pPr>
      <w:r w:rsidRPr="00CB082E">
        <w:rPr>
          <w:rFonts w:ascii="Arial" w:eastAsia="Calibri" w:hAnsi="Arial"/>
        </w:rPr>
        <w:t>“</w:t>
      </w:r>
      <w:r w:rsidRPr="00CB082E">
        <w:rPr>
          <w:rFonts w:ascii="Arial" w:eastAsia="Calibri" w:hAnsi="Arial"/>
          <w:b/>
          <w:i/>
        </w:rPr>
        <w:t>LITIS, MATERIA DE LA</w:t>
      </w:r>
      <w:r w:rsidRPr="00CB082E">
        <w:rPr>
          <w:rFonts w:ascii="Arial" w:eastAsia="Calibri" w:hAnsi="Arial"/>
          <w:i/>
        </w:rPr>
        <w:t>. La materia litigiosa se fija, precisamente mediante los escritos de demanda y contestación, que servirán de base al juez para estudiar las cuestiones debatidas, sin tomar en cuenta otras cuestiones que no se hayan planteado por las partes, ya que se privaría a las partes en el juicio de derecho a rebatir los argumentos que no formaron parte de la litis; de ahí la necesidad de examinar los hechos de la demanda a fin de establecer cuál es la verdadera acción ejercitada, pues sabido es que la acción procede en juicio, aun cuando no se exprese su nombre, con tal de que se determine con claridad la clase de prestación que se exija del demandado y el título o causa de la acción, como expresamente se señala en el artículo 2º., del Código de Procedimientos Civiles para el Distrito Federal.</w:t>
      </w:r>
      <w:r w:rsidRPr="00CB082E">
        <w:rPr>
          <w:rFonts w:ascii="Arial" w:eastAsia="Calibri" w:hAnsi="Arial"/>
        </w:rPr>
        <w:t>”</w:t>
      </w:r>
    </w:p>
    <w:p w:rsidR="00AB69B3" w:rsidRDefault="00AB69B3" w:rsidP="00CB082E">
      <w:pPr>
        <w:pStyle w:val="Sinespaciado"/>
        <w:spacing w:before="240" w:line="360" w:lineRule="auto"/>
        <w:ind w:right="-93" w:firstLine="708"/>
        <w:jc w:val="both"/>
        <w:rPr>
          <w:rFonts w:ascii="Arial" w:hAnsi="Arial" w:cs="Arial"/>
          <w:sz w:val="26"/>
          <w:szCs w:val="26"/>
        </w:rPr>
      </w:pPr>
      <w:r>
        <w:rPr>
          <w:rFonts w:ascii="Arial" w:hAnsi="Arial" w:cs="Arial"/>
          <w:bCs/>
          <w:color w:val="000000"/>
          <w:sz w:val="26"/>
          <w:szCs w:val="26"/>
          <w:lang w:val="es-MX"/>
        </w:rPr>
        <w:t xml:space="preserve">Es por ello que al no haberlo considerado de esta forma la primera instancia, se irroga el agravio aducido al determinar el </w:t>
      </w:r>
      <w:r w:rsidRPr="0039664F">
        <w:rPr>
          <w:rFonts w:ascii="Arial" w:hAnsi="Arial" w:cs="Arial"/>
          <w:b/>
          <w:sz w:val="26"/>
          <w:szCs w:val="26"/>
        </w:rPr>
        <w:t>SOBRESE</w:t>
      </w:r>
      <w:r>
        <w:rPr>
          <w:rFonts w:ascii="Arial" w:hAnsi="Arial" w:cs="Arial"/>
          <w:b/>
          <w:sz w:val="26"/>
          <w:szCs w:val="26"/>
        </w:rPr>
        <w:t>IMIENTO</w:t>
      </w:r>
      <w:r>
        <w:rPr>
          <w:rFonts w:ascii="Arial" w:hAnsi="Arial" w:cs="Arial"/>
          <w:sz w:val="26"/>
          <w:szCs w:val="26"/>
        </w:rPr>
        <w:t xml:space="preserve"> del juicio.</w:t>
      </w:r>
    </w:p>
    <w:p w:rsidR="00AB69B3" w:rsidRDefault="00AB69B3" w:rsidP="00AB69B3">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Por tanto, a fin de repararlo se impone </w:t>
      </w:r>
      <w:r w:rsidR="00CB082E">
        <w:rPr>
          <w:rFonts w:ascii="Arial" w:hAnsi="Arial" w:cs="Arial"/>
          <w:b/>
          <w:sz w:val="26"/>
          <w:szCs w:val="26"/>
        </w:rPr>
        <w:t>REVOCAR</w:t>
      </w:r>
      <w:r>
        <w:rPr>
          <w:rFonts w:ascii="Arial" w:hAnsi="Arial" w:cs="Arial"/>
          <w:b/>
          <w:sz w:val="26"/>
          <w:szCs w:val="26"/>
        </w:rPr>
        <w:t xml:space="preserve"> </w:t>
      </w:r>
      <w:r>
        <w:rPr>
          <w:rFonts w:ascii="Arial" w:hAnsi="Arial" w:cs="Arial"/>
          <w:sz w:val="26"/>
          <w:szCs w:val="26"/>
        </w:rPr>
        <w:t>la resolución de seis de septiembre de dos mil dieciocho, para dejar sin efecto la declaración de sobreseimiento decretada, por no demostrar con documento idóneo la titularidad del derecho, y como consecuencia, dejó de analizar el fondo del asunto planteado consistente en estudiar la legalidad o ilegalidad relativa a la nulidad de los actos administrativos  demandados, de</w:t>
      </w:r>
      <w:r>
        <w:rPr>
          <w:rFonts w:ascii="Arial" w:eastAsia="Calibri" w:hAnsi="Arial" w:cs="Arial"/>
          <w:bCs/>
          <w:sz w:val="26"/>
          <w:szCs w:val="26"/>
        </w:rPr>
        <w:t xml:space="preserve"> los puntos TERCERO Y CUARTO, del acta de Sesión Extraordinaria del Honorable Ayuntamiento del Municipio de la Villa de Etla, Oaxaca</w:t>
      </w:r>
      <w:r>
        <w:rPr>
          <w:rFonts w:ascii="Arial" w:hAnsi="Arial" w:cs="Arial"/>
          <w:sz w:val="26"/>
          <w:szCs w:val="26"/>
          <w:lang w:val="es-MX" w:eastAsia="es-MX"/>
        </w:rPr>
        <w:t xml:space="preserve">; análisis que debe realizarse en base a los conceptos de impugnación vertidos en contra de dichos actos; debiendo así </w:t>
      </w:r>
      <w:r>
        <w:rPr>
          <w:rFonts w:ascii="Arial" w:hAnsi="Arial" w:cs="Arial"/>
          <w:sz w:val="26"/>
          <w:szCs w:val="26"/>
        </w:rPr>
        <w:t xml:space="preserve">la Sala Unitaria </w:t>
      </w:r>
      <w:r w:rsidRPr="00950F86">
        <w:rPr>
          <w:rFonts w:ascii="Arial" w:hAnsi="Arial" w:cs="Arial"/>
          <w:b/>
          <w:sz w:val="26"/>
          <w:szCs w:val="26"/>
        </w:rPr>
        <w:t>agotar su jurisdicción</w:t>
      </w:r>
      <w:r>
        <w:rPr>
          <w:rFonts w:ascii="Arial" w:hAnsi="Arial" w:cs="Arial"/>
          <w:sz w:val="26"/>
          <w:szCs w:val="26"/>
        </w:rPr>
        <w:t>, resolviendo lo que en derecho proceda.</w:t>
      </w:r>
    </w:p>
    <w:p w:rsidR="00AB69B3" w:rsidRDefault="00AB69B3" w:rsidP="00AB69B3">
      <w:pPr>
        <w:pStyle w:val="Sinespaciado"/>
        <w:tabs>
          <w:tab w:val="left" w:pos="1560"/>
        </w:tabs>
        <w:spacing w:before="240" w:line="360" w:lineRule="auto"/>
        <w:ind w:firstLine="708"/>
        <w:jc w:val="both"/>
        <w:rPr>
          <w:rFonts w:ascii="Arial" w:hAnsi="Arial" w:cs="Arial"/>
          <w:sz w:val="26"/>
          <w:szCs w:val="26"/>
        </w:rPr>
      </w:pPr>
      <w:r>
        <w:rPr>
          <w:rFonts w:ascii="Arial" w:hAnsi="Arial" w:cs="Arial"/>
          <w:sz w:val="26"/>
          <w:szCs w:val="26"/>
        </w:rPr>
        <w:t xml:space="preserve">Consecuentemente, deben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207, de la Ley de Procedimiento y Justicia Administrativa para el Estado de Oaxaca. </w:t>
      </w:r>
    </w:p>
    <w:p w:rsidR="00AB69B3" w:rsidRDefault="00AB69B3" w:rsidP="00AB69B3">
      <w:pPr>
        <w:pStyle w:val="Sinespaciado"/>
        <w:tabs>
          <w:tab w:val="left" w:pos="1560"/>
        </w:tabs>
        <w:spacing w:before="240" w:line="360" w:lineRule="auto"/>
        <w:ind w:firstLine="708"/>
        <w:jc w:val="both"/>
        <w:rPr>
          <w:rFonts w:ascii="Arial" w:eastAsia="Times New Roman" w:hAnsi="Arial"/>
          <w:color w:val="000000"/>
          <w:sz w:val="26"/>
          <w:szCs w:val="26"/>
        </w:rPr>
      </w:pPr>
      <w:r>
        <w:rPr>
          <w:rFonts w:ascii="Arial" w:hAnsi="Arial" w:cs="Arial"/>
          <w:sz w:val="26"/>
          <w:szCs w:val="26"/>
        </w:rPr>
        <w:t xml:space="preserve">Tiene aplicación,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rsidR="00AB69B3" w:rsidRPr="00CB082E" w:rsidRDefault="00AB69B3" w:rsidP="00CB082E">
      <w:pPr>
        <w:pStyle w:val="Pa1"/>
        <w:spacing w:before="240" w:line="240" w:lineRule="auto"/>
        <w:ind w:left="1134" w:right="709"/>
        <w:jc w:val="both"/>
        <w:rPr>
          <w:rFonts w:ascii="Arial" w:eastAsia="Times New Roman" w:hAnsi="Arial" w:cs="Arial"/>
          <w:i/>
          <w:color w:val="000000"/>
          <w:sz w:val="22"/>
          <w:szCs w:val="22"/>
        </w:rPr>
      </w:pPr>
      <w:r w:rsidRPr="00CB082E">
        <w:rPr>
          <w:rFonts w:ascii="Arial" w:eastAsia="Times New Roman" w:hAnsi="Arial" w:cs="Arial"/>
          <w:color w:val="000000"/>
          <w:sz w:val="22"/>
          <w:szCs w:val="22"/>
        </w:rPr>
        <w:t>“</w:t>
      </w:r>
      <w:r w:rsidRPr="00CB082E">
        <w:rPr>
          <w:rFonts w:ascii="Arial" w:hAnsi="Arial" w:cs="Arial"/>
          <w:b/>
          <w:bCs/>
          <w:i/>
          <w:color w:val="000000"/>
          <w:sz w:val="22"/>
          <w:szCs w:val="22"/>
        </w:rPr>
        <w:t xml:space="preserve">SENTENCIA PARA EFECTOS. LA SALA SUPERIOR AL RESOLVER EL RECURSO DE REVISIÓN NO PUEDE DICTARLA CUANDO LA PRIMERA INSTANCIA NO </w:t>
      </w:r>
      <w:r w:rsidRPr="00CB082E">
        <w:rPr>
          <w:rFonts w:ascii="Arial" w:hAnsi="Arial" w:cs="Arial"/>
          <w:b/>
          <w:bCs/>
          <w:color w:val="000000"/>
          <w:sz w:val="22"/>
          <w:szCs w:val="22"/>
        </w:rPr>
        <w:t xml:space="preserve">AGOTÓ SU JURISDICCIÓN. </w:t>
      </w:r>
      <w:r w:rsidRPr="00CB082E">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CB082E">
        <w:rPr>
          <w:rFonts w:ascii="Arial" w:eastAsia="Times New Roman" w:hAnsi="Arial" w:cs="Arial"/>
          <w:i/>
          <w:color w:val="000000"/>
          <w:sz w:val="22"/>
          <w:szCs w:val="22"/>
        </w:rPr>
        <w:t>.”</w:t>
      </w:r>
    </w:p>
    <w:p w:rsidR="00AB69B3" w:rsidRPr="001476B9" w:rsidRDefault="00AB69B3" w:rsidP="00AB69B3">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En tales consideraciones, con fundamento en los artículos 237 y 238 de la Ley de Procedimiento y Justicia Administrativa para el Estado, se:</w:t>
      </w:r>
    </w:p>
    <w:p w:rsidR="00AB69B3" w:rsidRDefault="00AB69B3" w:rsidP="00AB69B3">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lastRenderedPageBreak/>
        <w:t>R E S U E L V E:</w:t>
      </w:r>
    </w:p>
    <w:p w:rsidR="00AB69B3" w:rsidRDefault="00AB69B3" w:rsidP="00AB69B3">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CB082E">
        <w:rPr>
          <w:rFonts w:ascii="Arial" w:hAnsi="Arial" w:cs="Arial"/>
          <w:b/>
          <w:color w:val="000000"/>
          <w:sz w:val="26"/>
          <w:szCs w:val="26"/>
          <w:lang w:val="es-MX"/>
        </w:rPr>
        <w:t>REVOCA</w:t>
      </w:r>
      <w:r>
        <w:rPr>
          <w:rFonts w:ascii="Arial" w:hAnsi="Arial" w:cs="Arial"/>
          <w:b/>
          <w:color w:val="000000"/>
          <w:sz w:val="26"/>
          <w:szCs w:val="26"/>
          <w:lang w:val="es-MX"/>
        </w:rPr>
        <w:t xml:space="preserve"> </w:t>
      </w:r>
      <w:r>
        <w:rPr>
          <w:rFonts w:ascii="Arial" w:hAnsi="Arial" w:cs="Arial"/>
          <w:color w:val="000000"/>
          <w:sz w:val="26"/>
          <w:szCs w:val="26"/>
          <w:lang w:val="es-MX"/>
        </w:rPr>
        <w:t>la resolución recurrida, por las razones expuestas en el considerando que antecede.</w:t>
      </w:r>
    </w:p>
    <w:p w:rsidR="0089399E" w:rsidRPr="006703F9" w:rsidRDefault="00AB69B3" w:rsidP="00AB69B3">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w:t>
      </w:r>
      <w:r>
        <w:rPr>
          <w:rFonts w:ascii="Arial" w:hAnsi="Arial" w:cs="Arial"/>
          <w:sz w:val="26"/>
          <w:szCs w:val="26"/>
        </w:rPr>
        <w:t>erno de revisión como concluido.</w:t>
      </w:r>
    </w:p>
    <w:p w:rsidR="00D356AE" w:rsidRDefault="00D356AE" w:rsidP="00D356AE">
      <w:pPr>
        <w:spacing w:after="0" w:line="360" w:lineRule="auto"/>
        <w:ind w:firstLine="708"/>
        <w:jc w:val="both"/>
        <w:rPr>
          <w:rFonts w:ascii="Arial" w:hAnsi="Arial" w:cs="Arial"/>
          <w:sz w:val="26"/>
          <w:szCs w:val="26"/>
        </w:rPr>
      </w:pPr>
      <w:r w:rsidRPr="00755C4C">
        <w:rPr>
          <w:rFonts w:ascii="Arial" w:hAnsi="Arial" w:cs="Arial"/>
          <w:sz w:val="26"/>
          <w:szCs w:val="26"/>
        </w:rPr>
        <w:t xml:space="preserve">Así por </w:t>
      </w:r>
      <w:r w:rsidR="00860CF8">
        <w:rPr>
          <w:rFonts w:ascii="Arial" w:hAnsi="Arial" w:cs="Arial"/>
          <w:sz w:val="26"/>
          <w:szCs w:val="26"/>
        </w:rPr>
        <w:t>unanimidad</w:t>
      </w:r>
      <w:r w:rsidRPr="00755C4C">
        <w:rPr>
          <w:rFonts w:ascii="Arial" w:hAnsi="Arial" w:cs="Arial"/>
          <w:sz w:val="26"/>
          <w:szCs w:val="26"/>
        </w:rPr>
        <w:t xml:space="preserve"> de votos, lo resolvieron y firmaron los Magistrados integrantes de la Sala Superior del Tribunal de Jus</w:t>
      </w:r>
      <w:r w:rsidR="00860CF8">
        <w:rPr>
          <w:rFonts w:ascii="Arial" w:hAnsi="Arial" w:cs="Arial"/>
          <w:sz w:val="26"/>
          <w:szCs w:val="26"/>
        </w:rPr>
        <w:t>ticia Administrativa del Estado</w:t>
      </w:r>
      <w:r w:rsidR="00423BA7">
        <w:rPr>
          <w:rFonts w:ascii="Arial" w:hAnsi="Arial" w:cs="Arial"/>
          <w:sz w:val="26"/>
          <w:szCs w:val="26"/>
        </w:rPr>
        <w:t xml:space="preserve">; </w:t>
      </w:r>
      <w:r w:rsidRPr="00755C4C">
        <w:rPr>
          <w:rFonts w:ascii="Arial" w:hAnsi="Arial" w:cs="Arial"/>
          <w:sz w:val="26"/>
          <w:szCs w:val="26"/>
        </w:rPr>
        <w:t>quienes actúan con la Secretaria General de Acuerdos de este Tribunal, que autoriza y da fe.</w:t>
      </w:r>
    </w:p>
    <w:p w:rsidR="00D356AE" w:rsidRDefault="00D356AE" w:rsidP="00D356AE">
      <w:pPr>
        <w:spacing w:after="0" w:line="360" w:lineRule="auto"/>
        <w:ind w:firstLine="708"/>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444029" w:rsidRDefault="00444029" w:rsidP="00D03702">
      <w:pPr>
        <w:spacing w:after="0" w:line="360" w:lineRule="auto"/>
        <w:jc w:val="both"/>
        <w:rPr>
          <w:rFonts w:ascii="Arial" w:hAnsi="Arial" w:cs="Arial"/>
          <w:sz w:val="26"/>
          <w:szCs w:val="26"/>
        </w:rPr>
      </w:pPr>
    </w:p>
    <w:p w:rsidR="00CB082E" w:rsidRDefault="00CB082E" w:rsidP="00D03702">
      <w:pPr>
        <w:spacing w:after="0" w:line="360" w:lineRule="auto"/>
        <w:jc w:val="both"/>
        <w:rPr>
          <w:rFonts w:ascii="Arial" w:hAnsi="Arial" w:cs="Arial"/>
          <w:sz w:val="26"/>
          <w:szCs w:val="26"/>
        </w:rPr>
      </w:pPr>
    </w:p>
    <w:p w:rsidR="00444029" w:rsidRDefault="00444029" w:rsidP="00D356AE">
      <w:pPr>
        <w:spacing w:after="0" w:line="360" w:lineRule="auto"/>
        <w:ind w:firstLine="708"/>
        <w:jc w:val="both"/>
        <w:rPr>
          <w:rFonts w:ascii="Arial" w:hAnsi="Arial" w:cs="Arial"/>
          <w:sz w:val="26"/>
          <w:szCs w:val="26"/>
        </w:rPr>
      </w:pPr>
    </w:p>
    <w:p w:rsidR="00E83182" w:rsidRPr="00444029" w:rsidRDefault="00E83182" w:rsidP="00444029">
      <w:pPr>
        <w:spacing w:after="0" w:line="240" w:lineRule="auto"/>
        <w:jc w:val="center"/>
        <w:rPr>
          <w:rFonts w:ascii="Arial" w:hAnsi="Arial" w:cs="Arial"/>
          <w:sz w:val="26"/>
          <w:szCs w:val="26"/>
        </w:rPr>
      </w:pPr>
      <w:r w:rsidRPr="00444029">
        <w:rPr>
          <w:rFonts w:ascii="Arial" w:hAnsi="Arial" w:cs="Arial"/>
          <w:sz w:val="26"/>
          <w:szCs w:val="26"/>
        </w:rPr>
        <w:t>MAGISTRADO ADRIÁN QUIROGA AVENDAÑO</w:t>
      </w:r>
    </w:p>
    <w:p w:rsidR="00E83182" w:rsidRPr="00444029" w:rsidRDefault="0052642A" w:rsidP="00444029">
      <w:pPr>
        <w:spacing w:after="0" w:line="240" w:lineRule="auto"/>
        <w:jc w:val="center"/>
        <w:rPr>
          <w:rFonts w:ascii="Arial" w:hAnsi="Arial" w:cs="Arial"/>
          <w:sz w:val="26"/>
          <w:szCs w:val="26"/>
        </w:rPr>
      </w:pPr>
      <w:r w:rsidRPr="00444029">
        <w:rPr>
          <w:rFonts w:ascii="Arial" w:hAnsi="Arial" w:cs="Arial"/>
          <w:sz w:val="26"/>
          <w:szCs w:val="26"/>
        </w:rPr>
        <w:t>PRESIDENTE</w:t>
      </w:r>
    </w:p>
    <w:p w:rsidR="00444029" w:rsidRPr="00444029" w:rsidRDefault="00444029" w:rsidP="0052642A">
      <w:pPr>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52642A">
      <w:pPr>
        <w:spacing w:line="360" w:lineRule="auto"/>
        <w:jc w:val="center"/>
        <w:rPr>
          <w:rFonts w:ascii="Arial" w:hAnsi="Arial" w:cs="Arial"/>
          <w:sz w:val="26"/>
          <w:szCs w:val="26"/>
        </w:rPr>
      </w:pPr>
    </w:p>
    <w:p w:rsidR="00E83182" w:rsidRPr="00444029" w:rsidRDefault="00E83182" w:rsidP="0052642A">
      <w:pPr>
        <w:tabs>
          <w:tab w:val="left" w:pos="1680"/>
          <w:tab w:val="center" w:pos="4277"/>
        </w:tabs>
        <w:spacing w:line="360" w:lineRule="auto"/>
        <w:jc w:val="center"/>
        <w:rPr>
          <w:rFonts w:ascii="Arial" w:hAnsi="Arial" w:cs="Arial"/>
          <w:sz w:val="26"/>
          <w:szCs w:val="26"/>
        </w:rPr>
      </w:pPr>
      <w:r w:rsidRPr="00444029">
        <w:rPr>
          <w:rFonts w:ascii="Arial" w:hAnsi="Arial" w:cs="Arial"/>
          <w:sz w:val="26"/>
          <w:szCs w:val="26"/>
        </w:rPr>
        <w:t>MAGISTRADO HUGO VILLEGAS AQUINO</w:t>
      </w: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52642A">
      <w:pPr>
        <w:tabs>
          <w:tab w:val="left" w:pos="1680"/>
          <w:tab w:val="center" w:pos="4277"/>
        </w:tabs>
        <w:spacing w:line="360" w:lineRule="auto"/>
        <w:jc w:val="center"/>
        <w:rPr>
          <w:rFonts w:ascii="Arial" w:hAnsi="Arial" w:cs="Arial"/>
          <w:sz w:val="26"/>
          <w:szCs w:val="26"/>
        </w:rPr>
      </w:pPr>
    </w:p>
    <w:p w:rsidR="00444029" w:rsidRPr="00444029" w:rsidRDefault="00444029" w:rsidP="00D03702">
      <w:pPr>
        <w:tabs>
          <w:tab w:val="left" w:pos="1680"/>
          <w:tab w:val="center" w:pos="4277"/>
        </w:tabs>
        <w:spacing w:line="360" w:lineRule="auto"/>
        <w:rPr>
          <w:rFonts w:ascii="Arial" w:hAnsi="Arial" w:cs="Arial"/>
          <w:sz w:val="26"/>
          <w:szCs w:val="26"/>
        </w:rPr>
      </w:pPr>
    </w:p>
    <w:p w:rsidR="00444029" w:rsidRPr="00444029" w:rsidRDefault="00E83182" w:rsidP="00444029">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ENRIQUE PACHECO MARTÍNEZ</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Default="00CB082E" w:rsidP="00CB082E">
      <w:pPr>
        <w:tabs>
          <w:tab w:val="center" w:pos="4135"/>
          <w:tab w:val="left" w:pos="7515"/>
        </w:tabs>
        <w:spacing w:line="360" w:lineRule="auto"/>
        <w:jc w:val="center"/>
        <w:rPr>
          <w:rFonts w:ascii="Arial" w:hAnsi="Arial" w:cs="Arial"/>
          <w:b/>
          <w:sz w:val="14"/>
          <w:szCs w:val="26"/>
        </w:rPr>
      </w:pPr>
      <w:r w:rsidRPr="00CB082E">
        <w:rPr>
          <w:rFonts w:ascii="Arial" w:hAnsi="Arial" w:cs="Arial"/>
          <w:b/>
          <w:sz w:val="14"/>
          <w:szCs w:val="26"/>
        </w:rPr>
        <w:t>LAS PRESENTES FIRMAS CORRESPONDEN AL RECURSO DE REVISIÓN 409/2018</w:t>
      </w:r>
    </w:p>
    <w:p w:rsidR="00CB082E" w:rsidRDefault="00CB082E" w:rsidP="00CB082E">
      <w:pPr>
        <w:tabs>
          <w:tab w:val="center" w:pos="4135"/>
          <w:tab w:val="left" w:pos="7515"/>
        </w:tabs>
        <w:spacing w:line="360" w:lineRule="auto"/>
        <w:jc w:val="center"/>
        <w:rPr>
          <w:rFonts w:ascii="Arial" w:hAnsi="Arial" w:cs="Arial"/>
          <w:b/>
          <w:sz w:val="14"/>
          <w:szCs w:val="26"/>
        </w:rPr>
      </w:pPr>
    </w:p>
    <w:p w:rsidR="00CB082E" w:rsidRDefault="00CB082E" w:rsidP="00CB082E">
      <w:pPr>
        <w:tabs>
          <w:tab w:val="center" w:pos="4135"/>
          <w:tab w:val="left" w:pos="7515"/>
        </w:tabs>
        <w:spacing w:line="360" w:lineRule="auto"/>
        <w:jc w:val="center"/>
        <w:rPr>
          <w:rFonts w:ascii="Arial" w:hAnsi="Arial" w:cs="Arial"/>
          <w:b/>
          <w:sz w:val="14"/>
          <w:szCs w:val="26"/>
        </w:rPr>
      </w:pPr>
    </w:p>
    <w:p w:rsidR="00CB082E" w:rsidRPr="00CB082E" w:rsidRDefault="00CB082E" w:rsidP="00CB082E">
      <w:pPr>
        <w:tabs>
          <w:tab w:val="center" w:pos="4135"/>
          <w:tab w:val="left" w:pos="7515"/>
        </w:tabs>
        <w:spacing w:line="360" w:lineRule="auto"/>
        <w:jc w:val="center"/>
        <w:rPr>
          <w:rFonts w:ascii="Arial" w:hAnsi="Arial" w:cs="Arial"/>
          <w:b/>
          <w:sz w:val="14"/>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23BA7" w:rsidRPr="00444029" w:rsidRDefault="00423BA7" w:rsidP="00423BA7">
      <w:pPr>
        <w:spacing w:line="360" w:lineRule="auto"/>
        <w:jc w:val="center"/>
        <w:rPr>
          <w:rFonts w:ascii="Arial" w:hAnsi="Arial" w:cs="Arial"/>
          <w:sz w:val="26"/>
          <w:szCs w:val="26"/>
        </w:rPr>
      </w:pPr>
      <w:r w:rsidRPr="00444029">
        <w:rPr>
          <w:rFonts w:ascii="Arial" w:hAnsi="Arial" w:cs="Arial"/>
          <w:sz w:val="26"/>
          <w:szCs w:val="26"/>
        </w:rPr>
        <w:t>MAGISTRADA MARÍA ELENA VILLA DE JARQUÍN</w:t>
      </w: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423BA7">
      <w:pPr>
        <w:tabs>
          <w:tab w:val="center" w:pos="4135"/>
          <w:tab w:val="left" w:pos="7515"/>
        </w:tabs>
        <w:spacing w:line="360" w:lineRule="auto"/>
        <w:rPr>
          <w:rFonts w:ascii="Arial" w:hAnsi="Arial" w:cs="Arial"/>
          <w:sz w:val="26"/>
          <w:szCs w:val="26"/>
        </w:rPr>
      </w:pPr>
    </w:p>
    <w:p w:rsidR="00423BA7" w:rsidRDefault="00423BA7" w:rsidP="0052642A">
      <w:pPr>
        <w:tabs>
          <w:tab w:val="center" w:pos="4135"/>
          <w:tab w:val="left" w:pos="7515"/>
        </w:tabs>
        <w:spacing w:line="360" w:lineRule="auto"/>
        <w:jc w:val="center"/>
        <w:rPr>
          <w:rFonts w:ascii="Arial" w:hAnsi="Arial" w:cs="Arial"/>
          <w:sz w:val="26"/>
          <w:szCs w:val="26"/>
        </w:rPr>
      </w:pPr>
    </w:p>
    <w:p w:rsidR="00444029" w:rsidRPr="00444029" w:rsidRDefault="00E83182" w:rsidP="00423BA7">
      <w:pPr>
        <w:tabs>
          <w:tab w:val="center" w:pos="4135"/>
          <w:tab w:val="left" w:pos="7515"/>
        </w:tabs>
        <w:spacing w:line="360" w:lineRule="auto"/>
        <w:jc w:val="center"/>
        <w:rPr>
          <w:rFonts w:ascii="Arial" w:hAnsi="Arial" w:cs="Arial"/>
          <w:sz w:val="26"/>
          <w:szCs w:val="26"/>
        </w:rPr>
      </w:pPr>
      <w:r w:rsidRPr="00444029">
        <w:rPr>
          <w:rFonts w:ascii="Arial" w:hAnsi="Arial" w:cs="Arial"/>
          <w:sz w:val="26"/>
          <w:szCs w:val="26"/>
        </w:rPr>
        <w:t>MAGISTRADO MANUEL VELASCO ALCANTARA</w:t>
      </w:r>
    </w:p>
    <w:p w:rsidR="00444029" w:rsidRPr="00444029" w:rsidRDefault="00444029" w:rsidP="0052642A">
      <w:pPr>
        <w:tabs>
          <w:tab w:val="center" w:pos="4135"/>
          <w:tab w:val="left" w:pos="7515"/>
        </w:tabs>
        <w:spacing w:line="360" w:lineRule="auto"/>
        <w:jc w:val="center"/>
        <w:rPr>
          <w:rFonts w:ascii="Arial" w:hAnsi="Arial" w:cs="Arial"/>
          <w:sz w:val="26"/>
          <w:szCs w:val="26"/>
        </w:rPr>
      </w:pPr>
    </w:p>
    <w:p w:rsidR="00444029" w:rsidRPr="00444029" w:rsidRDefault="00444029" w:rsidP="00D03702">
      <w:pPr>
        <w:spacing w:line="360" w:lineRule="auto"/>
        <w:rPr>
          <w:rFonts w:ascii="Arial" w:hAnsi="Arial" w:cs="Arial"/>
          <w:sz w:val="26"/>
          <w:szCs w:val="26"/>
        </w:rPr>
      </w:pPr>
    </w:p>
    <w:p w:rsidR="00444029" w:rsidRPr="00444029" w:rsidRDefault="00444029" w:rsidP="003C3202">
      <w:pPr>
        <w:spacing w:line="360" w:lineRule="auto"/>
        <w:jc w:val="center"/>
        <w:rPr>
          <w:rFonts w:ascii="Arial" w:hAnsi="Arial" w:cs="Arial"/>
          <w:sz w:val="26"/>
          <w:szCs w:val="26"/>
        </w:rPr>
      </w:pPr>
    </w:p>
    <w:p w:rsidR="00E83182" w:rsidRPr="00444029" w:rsidRDefault="00444029" w:rsidP="00444029">
      <w:pPr>
        <w:spacing w:after="0"/>
        <w:jc w:val="center"/>
        <w:rPr>
          <w:rFonts w:ascii="Arial" w:hAnsi="Arial" w:cs="Arial"/>
          <w:sz w:val="26"/>
          <w:szCs w:val="26"/>
        </w:rPr>
      </w:pPr>
      <w:r w:rsidRPr="00444029">
        <w:rPr>
          <w:rFonts w:ascii="Arial" w:hAnsi="Arial" w:cs="Arial"/>
          <w:sz w:val="26"/>
          <w:szCs w:val="26"/>
        </w:rPr>
        <w:t>LICENCIADA</w:t>
      </w:r>
      <w:r w:rsidR="00E83182" w:rsidRPr="00444029">
        <w:rPr>
          <w:rFonts w:ascii="Arial" w:hAnsi="Arial" w:cs="Arial"/>
          <w:sz w:val="26"/>
          <w:szCs w:val="26"/>
        </w:rPr>
        <w:t xml:space="preserve"> LETICIA GARCIA SOTO</w:t>
      </w:r>
    </w:p>
    <w:p w:rsidR="00E83182" w:rsidRPr="00860CF8" w:rsidRDefault="00E83182" w:rsidP="00860CF8">
      <w:pPr>
        <w:spacing w:after="0"/>
        <w:jc w:val="center"/>
        <w:rPr>
          <w:sz w:val="26"/>
          <w:szCs w:val="26"/>
        </w:rPr>
      </w:pPr>
      <w:r w:rsidRPr="00444029">
        <w:rPr>
          <w:rFonts w:ascii="Arial" w:hAnsi="Arial" w:cs="Arial"/>
          <w:sz w:val="26"/>
          <w:szCs w:val="26"/>
        </w:rPr>
        <w:t>SECRETARIA GENERAL DE ACUERDOS</w:t>
      </w:r>
    </w:p>
    <w:sectPr w:rsidR="00E83182" w:rsidRPr="00860CF8" w:rsidSect="00444029">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F40" w:rsidRDefault="00CC1F40">
      <w:pPr>
        <w:spacing w:after="0" w:line="240" w:lineRule="auto"/>
      </w:pPr>
      <w:r>
        <w:separator/>
      </w:r>
    </w:p>
  </w:endnote>
  <w:endnote w:type="continuationSeparator" w:id="0">
    <w:p w:rsidR="00CC1F40" w:rsidRDefault="00CC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3F7" w:rsidRDefault="000513F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3F7" w:rsidRDefault="000513F7">
    <w:pPr>
      <w:pStyle w:val="Piedepgina"/>
    </w:pPr>
    <w:r>
      <w:rPr>
        <w:noProof/>
        <w:lang w:val="es-MX" w:eastAsia="es-MX"/>
      </w:rPr>
      <w:drawing>
        <wp:anchor distT="0" distB="0" distL="114300" distR="114300" simplePos="0" relativeHeight="251673088" behindDoc="0" locked="0" layoutInCell="1" allowOverlap="1" wp14:anchorId="3E84CC11" wp14:editId="0795750E">
          <wp:simplePos x="0" y="0"/>
          <wp:positionH relativeFrom="column">
            <wp:posOffset>-1182146</wp:posOffset>
          </wp:positionH>
          <wp:positionV relativeFrom="paragraph">
            <wp:posOffset>-4838476</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3F7" w:rsidRDefault="000513F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F40" w:rsidRDefault="00CC1F40">
      <w:pPr>
        <w:spacing w:after="0" w:line="240" w:lineRule="auto"/>
      </w:pPr>
      <w:r>
        <w:separator/>
      </w:r>
    </w:p>
  </w:footnote>
  <w:footnote w:type="continuationSeparator" w:id="0">
    <w:p w:rsidR="00CC1F40" w:rsidRDefault="00CC1F40">
      <w:pPr>
        <w:spacing w:after="0" w:line="240" w:lineRule="auto"/>
      </w:pPr>
      <w:r>
        <w:continuationSeparator/>
      </w:r>
    </w:p>
  </w:footnote>
  <w:footnote w:id="1">
    <w:p w:rsidR="00AB69B3" w:rsidRDefault="00AB69B3" w:rsidP="00AB69B3">
      <w:pPr>
        <w:pStyle w:val="Textonotapie"/>
        <w:jc w:val="both"/>
        <w:rPr>
          <w:lang w:val="es-MX"/>
        </w:rPr>
      </w:pPr>
      <w:r>
        <w:rPr>
          <w:rStyle w:val="Refdenotaalpie"/>
        </w:rPr>
        <w:footnoteRef/>
      </w:r>
      <w:r>
        <w:t xml:space="preserve"> </w:t>
      </w:r>
      <w:r>
        <w:rPr>
          <w:lang w:val="es-MX"/>
        </w:rPr>
        <w:t>“</w:t>
      </w:r>
      <w:r>
        <w:rPr>
          <w:b/>
          <w:lang w:val="es-MX"/>
        </w:rPr>
        <w:t xml:space="preserve">ARTÍCULO 207.- </w:t>
      </w:r>
      <w:r>
        <w:rPr>
          <w:lang w:val="es-MX"/>
        </w:rPr>
        <w:t>Las sentencias que emita el Tribunal, deberán de contener:</w:t>
      </w:r>
    </w:p>
    <w:p w:rsidR="00AB69B3" w:rsidRDefault="00AB69B3" w:rsidP="00AB69B3">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AB69B3" w:rsidRDefault="00AB69B3" w:rsidP="00AB69B3">
      <w:pPr>
        <w:pStyle w:val="Textonotapie"/>
        <w:jc w:val="both"/>
        <w:rPr>
          <w:lang w:val="es-MX"/>
        </w:rPr>
      </w:pPr>
      <w:r>
        <w:rPr>
          <w:lang w:val="es-MX"/>
        </w:rPr>
        <w:t xml:space="preserve">   II. La exposición debidamente fundada y motivada de las consideraciones en que se basa la resolución; y</w:t>
      </w:r>
    </w:p>
    <w:p w:rsidR="00AB69B3" w:rsidRPr="00FA01E6" w:rsidRDefault="00AB69B3" w:rsidP="00AB69B3">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0513F7">
          <w:rPr>
            <w:noProof/>
          </w:rPr>
          <w:t>2</w:t>
        </w:r>
        <w:r>
          <w:fldChar w:fldCharType="end"/>
        </w:r>
      </w:p>
    </w:sdtContent>
  </w:sdt>
  <w:p w:rsidR="00D2291D" w:rsidRDefault="000513F7">
    <w:pPr>
      <w:pStyle w:val="Encabezado"/>
    </w:pPr>
    <w:r>
      <w:rPr>
        <w:noProof/>
        <w:lang w:val="es-MX" w:eastAsia="es-MX"/>
      </w:rPr>
      <w:drawing>
        <wp:anchor distT="0" distB="0" distL="114300" distR="114300" simplePos="0" relativeHeight="251671040" behindDoc="0" locked="0" layoutInCell="1" allowOverlap="1" wp14:anchorId="7AF8E8FC" wp14:editId="3A0F01A2">
          <wp:simplePos x="0" y="0"/>
          <wp:positionH relativeFrom="column">
            <wp:posOffset>5357607</wp:posOffset>
          </wp:positionH>
          <wp:positionV relativeFrom="paragraph">
            <wp:posOffset>5802219</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0513F7">
          <w:rPr>
            <w:noProof/>
          </w:rPr>
          <w:t>1</w:t>
        </w:r>
        <w:r>
          <w:rPr>
            <w:noProof/>
          </w:rPr>
          <w:fldChar w:fldCharType="end"/>
        </w:r>
      </w:p>
      <w:p w:rsidR="00D2291D" w:rsidRDefault="00CC1F40"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0560" behindDoc="0" locked="0" layoutInCell="1" allowOverlap="1" wp14:anchorId="794D770F" wp14:editId="2BDD7A5A">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59776" behindDoc="1" locked="0" layoutInCell="1" allowOverlap="1" wp14:anchorId="6AABAAEE" wp14:editId="56C95D4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3F7" w:rsidRDefault="000513F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23E6"/>
    <w:rsid w:val="00030EF2"/>
    <w:rsid w:val="00044390"/>
    <w:rsid w:val="000513F7"/>
    <w:rsid w:val="00066279"/>
    <w:rsid w:val="000A00AD"/>
    <w:rsid w:val="000A6BF4"/>
    <w:rsid w:val="000A7369"/>
    <w:rsid w:val="000D5A42"/>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50A9"/>
    <w:rsid w:val="003154E4"/>
    <w:rsid w:val="00326A65"/>
    <w:rsid w:val="00365F44"/>
    <w:rsid w:val="003854AE"/>
    <w:rsid w:val="00385DF0"/>
    <w:rsid w:val="003C3202"/>
    <w:rsid w:val="00402396"/>
    <w:rsid w:val="00423BA7"/>
    <w:rsid w:val="00444029"/>
    <w:rsid w:val="00447E89"/>
    <w:rsid w:val="00473052"/>
    <w:rsid w:val="00486AB7"/>
    <w:rsid w:val="00492A65"/>
    <w:rsid w:val="0049739A"/>
    <w:rsid w:val="004B5DF1"/>
    <w:rsid w:val="004E3548"/>
    <w:rsid w:val="004E640B"/>
    <w:rsid w:val="004F34EA"/>
    <w:rsid w:val="004F6C60"/>
    <w:rsid w:val="00506596"/>
    <w:rsid w:val="00513E65"/>
    <w:rsid w:val="00516E57"/>
    <w:rsid w:val="005176BB"/>
    <w:rsid w:val="00525AC3"/>
    <w:rsid w:val="0052642A"/>
    <w:rsid w:val="00544D80"/>
    <w:rsid w:val="0056781B"/>
    <w:rsid w:val="00576125"/>
    <w:rsid w:val="005A4CC2"/>
    <w:rsid w:val="005A6708"/>
    <w:rsid w:val="005C4A33"/>
    <w:rsid w:val="005D541C"/>
    <w:rsid w:val="005E3B86"/>
    <w:rsid w:val="005F4AD5"/>
    <w:rsid w:val="0062064E"/>
    <w:rsid w:val="00621B21"/>
    <w:rsid w:val="00627433"/>
    <w:rsid w:val="00652D2C"/>
    <w:rsid w:val="00660756"/>
    <w:rsid w:val="00690D6C"/>
    <w:rsid w:val="006956C1"/>
    <w:rsid w:val="006A1367"/>
    <w:rsid w:val="006A1A70"/>
    <w:rsid w:val="006F0D66"/>
    <w:rsid w:val="007270F3"/>
    <w:rsid w:val="007471E1"/>
    <w:rsid w:val="00747FAD"/>
    <w:rsid w:val="00792A64"/>
    <w:rsid w:val="007B032E"/>
    <w:rsid w:val="007C2616"/>
    <w:rsid w:val="007E5170"/>
    <w:rsid w:val="00801603"/>
    <w:rsid w:val="00812CDF"/>
    <w:rsid w:val="00816987"/>
    <w:rsid w:val="008261CB"/>
    <w:rsid w:val="00850D86"/>
    <w:rsid w:val="00860CF8"/>
    <w:rsid w:val="0089399E"/>
    <w:rsid w:val="00895DBE"/>
    <w:rsid w:val="008C5CE8"/>
    <w:rsid w:val="009171D4"/>
    <w:rsid w:val="00952900"/>
    <w:rsid w:val="00985CF6"/>
    <w:rsid w:val="009B0BE8"/>
    <w:rsid w:val="009C00FB"/>
    <w:rsid w:val="009D7504"/>
    <w:rsid w:val="009E45F2"/>
    <w:rsid w:val="00A203EB"/>
    <w:rsid w:val="00A544EE"/>
    <w:rsid w:val="00A66228"/>
    <w:rsid w:val="00AB69B3"/>
    <w:rsid w:val="00AC790C"/>
    <w:rsid w:val="00AD01F9"/>
    <w:rsid w:val="00B04557"/>
    <w:rsid w:val="00B056BE"/>
    <w:rsid w:val="00B23F3C"/>
    <w:rsid w:val="00B34EF6"/>
    <w:rsid w:val="00B77815"/>
    <w:rsid w:val="00B866AB"/>
    <w:rsid w:val="00BA554F"/>
    <w:rsid w:val="00BB20FD"/>
    <w:rsid w:val="00BC481E"/>
    <w:rsid w:val="00BD032D"/>
    <w:rsid w:val="00BE0087"/>
    <w:rsid w:val="00BE3949"/>
    <w:rsid w:val="00BF72BC"/>
    <w:rsid w:val="00C12522"/>
    <w:rsid w:val="00C40BC8"/>
    <w:rsid w:val="00C44789"/>
    <w:rsid w:val="00C5195E"/>
    <w:rsid w:val="00C64FB6"/>
    <w:rsid w:val="00C65E13"/>
    <w:rsid w:val="00C76252"/>
    <w:rsid w:val="00C93B20"/>
    <w:rsid w:val="00CB082E"/>
    <w:rsid w:val="00CC1F40"/>
    <w:rsid w:val="00CE3963"/>
    <w:rsid w:val="00CE69FF"/>
    <w:rsid w:val="00D03702"/>
    <w:rsid w:val="00D356AE"/>
    <w:rsid w:val="00D50DB8"/>
    <w:rsid w:val="00D66A5C"/>
    <w:rsid w:val="00D9570D"/>
    <w:rsid w:val="00D96C9C"/>
    <w:rsid w:val="00DA75AB"/>
    <w:rsid w:val="00DD5EF0"/>
    <w:rsid w:val="00E2414E"/>
    <w:rsid w:val="00E37874"/>
    <w:rsid w:val="00E81E92"/>
    <w:rsid w:val="00E83182"/>
    <w:rsid w:val="00EE01EF"/>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C6CFFC-893D-4DD1-B8DC-729760074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EstiloCar">
    <w:name w:val="Estilo Car"/>
    <w:basedOn w:val="Fuentedeprrafopredeter"/>
    <w:link w:val="Estilo"/>
    <w:locked/>
    <w:rsid w:val="00CE3963"/>
    <w:rPr>
      <w:rFonts w:ascii="Arial" w:hAnsi="Arial" w:cs="Arial"/>
      <w:sz w:val="24"/>
    </w:rPr>
  </w:style>
  <w:style w:type="paragraph" w:customStyle="1" w:styleId="Estilo">
    <w:name w:val="Estilo"/>
    <w:basedOn w:val="Sinespaciado"/>
    <w:link w:val="EstiloCar"/>
    <w:qFormat/>
    <w:rsid w:val="00CE3963"/>
    <w:pPr>
      <w:jc w:val="both"/>
    </w:pPr>
    <w:rPr>
      <w:rFonts w:ascii="Arial" w:hAnsi="Arial" w:cs="Arial"/>
      <w:sz w:val="24"/>
    </w:rPr>
  </w:style>
  <w:style w:type="paragraph" w:styleId="Textonotapie">
    <w:name w:val="footnote text"/>
    <w:basedOn w:val="Normal"/>
    <w:link w:val="TextonotapieCar"/>
    <w:uiPriority w:val="99"/>
    <w:unhideWhenUsed/>
    <w:rsid w:val="00AB69B3"/>
    <w:pPr>
      <w:spacing w:after="0" w:line="240" w:lineRule="auto"/>
    </w:pPr>
    <w:rPr>
      <w:sz w:val="20"/>
      <w:szCs w:val="20"/>
    </w:rPr>
  </w:style>
  <w:style w:type="character" w:customStyle="1" w:styleId="TextonotapieCar">
    <w:name w:val="Texto nota pie Car"/>
    <w:basedOn w:val="Fuentedeprrafopredeter"/>
    <w:link w:val="Textonotapie"/>
    <w:uiPriority w:val="99"/>
    <w:rsid w:val="00AB69B3"/>
    <w:rPr>
      <w:sz w:val="20"/>
      <w:szCs w:val="20"/>
    </w:rPr>
  </w:style>
  <w:style w:type="character" w:styleId="Refdenotaalpie">
    <w:name w:val="footnote reference"/>
    <w:basedOn w:val="Fuentedeprrafopredeter"/>
    <w:uiPriority w:val="99"/>
    <w:semiHidden/>
    <w:unhideWhenUsed/>
    <w:rsid w:val="00AB69B3"/>
    <w:rPr>
      <w:vertAlign w:val="superscript"/>
    </w:rPr>
  </w:style>
  <w:style w:type="paragraph" w:customStyle="1" w:styleId="Pa1">
    <w:name w:val="Pa1"/>
    <w:basedOn w:val="Normal"/>
    <w:next w:val="Normal"/>
    <w:uiPriority w:val="99"/>
    <w:rsid w:val="00AB69B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AB69B3"/>
    <w:rPr>
      <w:i/>
      <w:iCs/>
      <w:color w:val="000000"/>
      <w:sz w:val="28"/>
      <w:szCs w:val="28"/>
    </w:rPr>
  </w:style>
  <w:style w:type="character" w:customStyle="1" w:styleId="red">
    <w:name w:val="red"/>
    <w:basedOn w:val="Fuentedeprrafopredeter"/>
    <w:rsid w:val="00AB6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DC3AC-6C2C-4E07-9A6A-8A4B83D1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4788</Words>
  <Characters>26334</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16</cp:revision>
  <cp:lastPrinted>2019-05-28T19:27:00Z</cp:lastPrinted>
  <dcterms:created xsi:type="dcterms:W3CDTF">2019-05-17T17:58:00Z</dcterms:created>
  <dcterms:modified xsi:type="dcterms:W3CDTF">2019-07-01T20:40:00Z</dcterms:modified>
</cp:coreProperties>
</file>