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28FDEE" w14:textId="77777777" w:rsidR="00F6196C" w:rsidRPr="00F6196C" w:rsidRDefault="00F6196C" w:rsidP="00F6196C">
      <w:pPr>
        <w:spacing w:line="240" w:lineRule="auto"/>
        <w:ind w:left="2124" w:firstLine="3"/>
        <w:jc w:val="both"/>
        <w:rPr>
          <w:rFonts w:ascii="Arial" w:eastAsiaTheme="minorHAnsi" w:hAnsi="Arial" w:cs="Arial"/>
          <w:b/>
          <w:sz w:val="26"/>
          <w:szCs w:val="26"/>
          <w:lang w:val="es-ES" w:eastAsia="en-US"/>
        </w:rPr>
      </w:pPr>
      <w:r w:rsidRPr="00F6196C">
        <w:rPr>
          <w:rFonts w:ascii="Arial" w:eastAsiaTheme="minorHAnsi" w:hAnsi="Arial" w:cs="Arial"/>
          <w:b/>
          <w:sz w:val="26"/>
          <w:szCs w:val="26"/>
          <w:lang w:val="es-ES" w:eastAsia="en-US"/>
        </w:rPr>
        <w:t>SALA SUPERIOR DEL TRIBUNAL DE JUSTICIA ADMINISTRATIVA DEL ESTADO DE OAXACA</w:t>
      </w:r>
    </w:p>
    <w:p w14:paraId="5FA2631C" w14:textId="77777777" w:rsidR="00F6196C" w:rsidRPr="00F6196C" w:rsidRDefault="00F6196C" w:rsidP="00F6196C">
      <w:pPr>
        <w:spacing w:line="240" w:lineRule="auto"/>
        <w:ind w:left="2124"/>
        <w:jc w:val="both"/>
        <w:rPr>
          <w:rFonts w:ascii="Arial" w:eastAsiaTheme="minorHAnsi" w:hAnsi="Arial" w:cs="Arial"/>
          <w:b/>
          <w:sz w:val="26"/>
          <w:szCs w:val="26"/>
          <w:lang w:val="es-ES" w:eastAsia="en-US"/>
        </w:rPr>
      </w:pPr>
      <w:r w:rsidRPr="00F6196C">
        <w:rPr>
          <w:rFonts w:ascii="Arial" w:eastAsiaTheme="minorHAnsi" w:hAnsi="Arial" w:cs="Arial"/>
          <w:b/>
          <w:sz w:val="26"/>
          <w:szCs w:val="26"/>
          <w:lang w:val="es-ES" w:eastAsia="en-US"/>
        </w:rPr>
        <w:t>RECURSO DE REVISIÓN:</w:t>
      </w:r>
      <w:r w:rsidRPr="00F6196C">
        <w:rPr>
          <w:rFonts w:ascii="Arial" w:eastAsiaTheme="minorHAnsi" w:hAnsi="Arial" w:cs="Arial"/>
          <w:b/>
          <w:sz w:val="26"/>
          <w:szCs w:val="26"/>
          <w:lang w:val="es-ES" w:eastAsia="en-US"/>
        </w:rPr>
        <w:tab/>
        <w:t>0409/2019.</w:t>
      </w:r>
    </w:p>
    <w:p w14:paraId="73C1063B" w14:textId="77777777" w:rsidR="00F6196C" w:rsidRPr="00F6196C" w:rsidRDefault="00F6196C" w:rsidP="00F6196C">
      <w:pPr>
        <w:spacing w:line="240" w:lineRule="auto"/>
        <w:ind w:left="2124"/>
        <w:jc w:val="both"/>
        <w:rPr>
          <w:rFonts w:ascii="Arial" w:eastAsiaTheme="minorHAnsi" w:hAnsi="Arial" w:cs="Arial"/>
          <w:b/>
          <w:sz w:val="26"/>
          <w:szCs w:val="26"/>
          <w:lang w:val="es-ES" w:eastAsia="en-US"/>
        </w:rPr>
      </w:pPr>
      <w:r w:rsidRPr="00F6196C">
        <w:rPr>
          <w:rFonts w:ascii="Arial" w:eastAsiaTheme="minorHAnsi" w:hAnsi="Arial" w:cs="Arial"/>
          <w:b/>
          <w:sz w:val="26"/>
          <w:szCs w:val="26"/>
          <w:lang w:val="es-ES" w:eastAsia="en-US"/>
        </w:rPr>
        <w:t>EXPEDIENTE:</w:t>
      </w:r>
      <w:r w:rsidRPr="00F6196C">
        <w:rPr>
          <w:rFonts w:ascii="Arial" w:eastAsiaTheme="minorHAnsi" w:hAnsi="Arial" w:cs="Arial"/>
          <w:b/>
          <w:sz w:val="26"/>
          <w:szCs w:val="26"/>
          <w:lang w:val="es-ES" w:eastAsia="en-US"/>
        </w:rPr>
        <w:tab/>
        <w:t>0466/2016 PRIMERA SALA UNITARIA DE PRIMERA INSTANCIA (CUADERNO DE SUSPENSIÓN).</w:t>
      </w:r>
    </w:p>
    <w:p w14:paraId="4F18F633" w14:textId="77777777" w:rsidR="00F6196C" w:rsidRPr="00F6196C" w:rsidRDefault="00F6196C" w:rsidP="00F6196C">
      <w:pPr>
        <w:spacing w:line="240" w:lineRule="auto"/>
        <w:ind w:left="2124"/>
        <w:jc w:val="both"/>
        <w:rPr>
          <w:rFonts w:ascii="Arial" w:eastAsiaTheme="minorHAnsi" w:hAnsi="Arial" w:cs="Arial"/>
          <w:b/>
          <w:sz w:val="26"/>
          <w:szCs w:val="26"/>
          <w:lang w:val="es-ES" w:eastAsia="en-US"/>
        </w:rPr>
      </w:pPr>
      <w:r w:rsidRPr="00F6196C">
        <w:rPr>
          <w:rFonts w:ascii="Arial" w:eastAsiaTheme="minorHAnsi" w:hAnsi="Arial" w:cs="Arial"/>
          <w:b/>
          <w:sz w:val="26"/>
          <w:szCs w:val="26"/>
          <w:lang w:val="es-ES" w:eastAsia="en-US"/>
        </w:rPr>
        <w:t xml:space="preserve">PONENTE: MAGISTRADO RAÚL PALOMARES PALOMINO. </w:t>
      </w:r>
    </w:p>
    <w:p w14:paraId="0BA9EA9B" w14:textId="77777777" w:rsidR="00F6196C" w:rsidRPr="00F6196C" w:rsidRDefault="00F6196C" w:rsidP="00F6196C">
      <w:pPr>
        <w:spacing w:before="240" w:line="360" w:lineRule="auto"/>
        <w:jc w:val="both"/>
        <w:rPr>
          <w:rFonts w:ascii="Arial" w:eastAsiaTheme="minorHAnsi" w:hAnsi="Arial" w:cs="Arial"/>
          <w:b/>
          <w:sz w:val="26"/>
          <w:szCs w:val="26"/>
          <w:lang w:val="es-ES" w:eastAsia="en-US"/>
        </w:rPr>
      </w:pPr>
    </w:p>
    <w:p w14:paraId="1099FB40" w14:textId="50184532" w:rsidR="00F6196C" w:rsidRPr="00F6196C" w:rsidRDefault="00F6196C" w:rsidP="00F6196C">
      <w:pPr>
        <w:spacing w:before="240" w:line="360" w:lineRule="auto"/>
        <w:jc w:val="both"/>
        <w:rPr>
          <w:rFonts w:ascii="Arial" w:eastAsiaTheme="minorHAnsi" w:hAnsi="Arial" w:cs="Arial"/>
          <w:b/>
          <w:sz w:val="26"/>
          <w:szCs w:val="26"/>
          <w:lang w:eastAsia="en-US"/>
        </w:rPr>
      </w:pPr>
      <w:r w:rsidRPr="00F6196C">
        <w:rPr>
          <w:rFonts w:ascii="Arial" w:eastAsiaTheme="minorHAnsi" w:hAnsi="Arial" w:cs="Arial"/>
          <w:b/>
          <w:sz w:val="26"/>
          <w:szCs w:val="26"/>
          <w:lang w:val="es-ES" w:eastAsia="en-US"/>
        </w:rPr>
        <w:t>OAXACA DE JUÁREZ, OAXACA</w:t>
      </w:r>
      <w:r w:rsidR="00032867">
        <w:rPr>
          <w:rFonts w:ascii="Arial" w:eastAsiaTheme="minorHAnsi" w:hAnsi="Arial" w:cs="Arial"/>
          <w:b/>
          <w:sz w:val="26"/>
          <w:szCs w:val="26"/>
          <w:lang w:val="es-ES" w:eastAsia="en-US"/>
        </w:rPr>
        <w:t xml:space="preserve">, A OCHO DE OCTUBRE DE </w:t>
      </w:r>
      <w:r w:rsidRPr="00F6196C">
        <w:rPr>
          <w:rFonts w:ascii="Arial" w:eastAsiaTheme="minorHAnsi" w:hAnsi="Arial" w:cs="Arial"/>
          <w:b/>
          <w:sz w:val="26"/>
          <w:szCs w:val="26"/>
          <w:lang w:val="es-ES" w:eastAsia="en-US"/>
        </w:rPr>
        <w:t>DOS MIL</w:t>
      </w:r>
      <w:r w:rsidR="00032867">
        <w:rPr>
          <w:rFonts w:ascii="Arial" w:eastAsiaTheme="minorHAnsi" w:hAnsi="Arial" w:cs="Arial"/>
          <w:b/>
          <w:sz w:val="26"/>
          <w:szCs w:val="26"/>
          <w:lang w:val="es-ES" w:eastAsia="en-US"/>
        </w:rPr>
        <w:t xml:space="preserve"> </w:t>
      </w:r>
      <w:r w:rsidRPr="00F6196C">
        <w:rPr>
          <w:rFonts w:ascii="Arial" w:eastAsiaTheme="minorHAnsi" w:hAnsi="Arial" w:cs="Arial"/>
          <w:b/>
          <w:sz w:val="26"/>
          <w:szCs w:val="26"/>
          <w:lang w:val="es-ES" w:eastAsia="en-US"/>
        </w:rPr>
        <w:t>VEINTE.</w:t>
      </w:r>
      <w:r w:rsidR="00032867">
        <w:rPr>
          <w:rFonts w:ascii="Arial" w:eastAsiaTheme="minorHAnsi" w:hAnsi="Arial" w:cs="Arial"/>
          <w:b/>
          <w:sz w:val="26"/>
          <w:szCs w:val="26"/>
          <w:lang w:val="es-ES" w:eastAsia="en-US"/>
        </w:rPr>
        <w:t xml:space="preserve"> </w:t>
      </w:r>
      <w:r w:rsidRPr="00F6196C">
        <w:rPr>
          <w:rFonts w:ascii="Arial" w:eastAsiaTheme="minorHAnsi" w:hAnsi="Arial" w:cs="Arial"/>
          <w:b/>
          <w:sz w:val="26"/>
          <w:szCs w:val="26"/>
          <w:lang w:val="es-ES" w:eastAsia="en-US"/>
        </w:rPr>
        <w:t xml:space="preserve">- - - - - - - - - - - - - - - - - - - - - - - - - - - - - - - - - - - - - - - - - - </w:t>
      </w:r>
    </w:p>
    <w:p w14:paraId="7E488FE7" w14:textId="7B589D97" w:rsidR="00F6196C" w:rsidRPr="00F6196C" w:rsidRDefault="00F6196C" w:rsidP="00032867">
      <w:pPr>
        <w:spacing w:line="360" w:lineRule="auto"/>
        <w:ind w:firstLine="708"/>
        <w:jc w:val="both"/>
        <w:rPr>
          <w:rFonts w:ascii="Arial" w:eastAsiaTheme="minorHAnsi" w:hAnsi="Arial" w:cs="Arial"/>
          <w:sz w:val="26"/>
          <w:szCs w:val="26"/>
          <w:lang w:val="es-ES" w:eastAsia="en-US"/>
        </w:rPr>
      </w:pPr>
      <w:r w:rsidRPr="00F6196C">
        <w:rPr>
          <w:rFonts w:ascii="Arial" w:eastAsiaTheme="minorHAnsi" w:hAnsi="Arial" w:cs="Arial"/>
          <w:sz w:val="26"/>
          <w:szCs w:val="26"/>
          <w:lang w:val="es-ES" w:eastAsia="en-US"/>
        </w:rPr>
        <w:t xml:space="preserve">Por recibido el Cuaderno de Revisión </w:t>
      </w:r>
      <w:r w:rsidRPr="00F6196C">
        <w:rPr>
          <w:rFonts w:ascii="Arial" w:eastAsiaTheme="minorHAnsi" w:hAnsi="Arial" w:cs="Arial"/>
          <w:b/>
          <w:sz w:val="26"/>
          <w:szCs w:val="26"/>
          <w:lang w:val="es-ES" w:eastAsia="en-US"/>
        </w:rPr>
        <w:t>0409/2019</w:t>
      </w:r>
      <w:r w:rsidRPr="00F6196C">
        <w:rPr>
          <w:rFonts w:ascii="Arial" w:eastAsiaTheme="minorHAnsi" w:hAnsi="Arial" w:cs="Arial"/>
          <w:sz w:val="26"/>
          <w:szCs w:val="26"/>
          <w:lang w:val="es-ES" w:eastAsia="en-US"/>
        </w:rPr>
        <w:t>, que remite la Secretaría General de Acuerdos, con motivo del recurso de revisión interpuesto por</w:t>
      </w:r>
      <w:r w:rsidRPr="00F6196C">
        <w:rPr>
          <w:rFonts w:ascii="Arial" w:eastAsiaTheme="minorHAnsi" w:hAnsi="Arial" w:cs="Arial"/>
          <w:b/>
          <w:bCs/>
          <w:sz w:val="26"/>
          <w:szCs w:val="26"/>
          <w:lang w:val="es-ES" w:eastAsia="en-US"/>
        </w:rPr>
        <w:t xml:space="preserve"> </w:t>
      </w:r>
      <w:r w:rsidR="00EB71D5">
        <w:rPr>
          <w:rFonts w:ascii="Arial" w:hAnsi="Arial" w:cs="Arial"/>
          <w:b/>
          <w:sz w:val="26"/>
          <w:szCs w:val="26"/>
        </w:rPr>
        <w:t>***********</w:t>
      </w:r>
      <w:r w:rsidRPr="00F6196C">
        <w:rPr>
          <w:rFonts w:ascii="Arial" w:eastAsiaTheme="minorHAnsi" w:hAnsi="Arial" w:cs="Arial"/>
          <w:b/>
          <w:bCs/>
          <w:sz w:val="26"/>
          <w:szCs w:val="26"/>
          <w:lang w:val="es-ES" w:eastAsia="en-US"/>
        </w:rPr>
        <w:t xml:space="preserve">, </w:t>
      </w:r>
      <w:r w:rsidRPr="00F6196C">
        <w:rPr>
          <w:rFonts w:ascii="Arial" w:eastAsia="Calibri" w:hAnsi="Arial" w:cs="Arial"/>
          <w:sz w:val="26"/>
          <w:szCs w:val="26"/>
          <w:lang w:val="es-ES" w:eastAsia="en-US"/>
        </w:rPr>
        <w:t xml:space="preserve">en contra de la resolución de fecha treinta de septiembre de dos mil diecinueve, </w:t>
      </w:r>
      <w:r w:rsidRPr="00F6196C">
        <w:rPr>
          <w:rFonts w:ascii="Arial" w:eastAsiaTheme="minorHAnsi" w:hAnsi="Arial" w:cs="Arial"/>
          <w:sz w:val="26"/>
          <w:szCs w:val="26"/>
          <w:lang w:val="es-ES" w:eastAsia="en-US"/>
        </w:rPr>
        <w:t xml:space="preserve">dictada en el cuaderno de suspensión derivado del expediente </w:t>
      </w:r>
      <w:r w:rsidRPr="00F6196C">
        <w:rPr>
          <w:rFonts w:ascii="Arial" w:eastAsiaTheme="minorHAnsi" w:hAnsi="Arial" w:cs="Arial"/>
          <w:b/>
          <w:sz w:val="26"/>
          <w:szCs w:val="26"/>
          <w:lang w:val="es-ES" w:eastAsia="en-US"/>
        </w:rPr>
        <w:t>0466/2016,</w:t>
      </w:r>
      <w:r w:rsidRPr="00F6196C">
        <w:rPr>
          <w:rFonts w:ascii="Arial" w:eastAsiaTheme="minorHAnsi" w:hAnsi="Arial" w:cs="Arial"/>
          <w:sz w:val="26"/>
          <w:szCs w:val="26"/>
          <w:lang w:val="es-ES" w:eastAsia="en-US"/>
        </w:rPr>
        <w:t xml:space="preserve"> de la Primera Sala Unitaria de Primera Instancia</w:t>
      </w:r>
      <w:r w:rsidRPr="00F6196C">
        <w:rPr>
          <w:rFonts w:ascii="Arial" w:eastAsia="Calibri" w:hAnsi="Arial" w:cs="Arial"/>
          <w:sz w:val="26"/>
          <w:szCs w:val="26"/>
          <w:lang w:val="es-ES" w:eastAsia="en-US"/>
        </w:rPr>
        <w:t xml:space="preserve">, </w:t>
      </w:r>
      <w:r w:rsidRPr="00F6196C">
        <w:rPr>
          <w:rFonts w:ascii="Arial" w:eastAsiaTheme="minorHAnsi" w:hAnsi="Arial" w:cs="Arial"/>
          <w:sz w:val="26"/>
          <w:szCs w:val="26"/>
          <w:lang w:val="es-ES" w:eastAsia="en-US"/>
        </w:rPr>
        <w:t xml:space="preserve">relativo al juicio de nulidad promovido por </w:t>
      </w:r>
      <w:r w:rsidRPr="00F6196C">
        <w:rPr>
          <w:rFonts w:ascii="Arial" w:eastAsiaTheme="minorHAnsi" w:hAnsi="Arial" w:cs="Arial"/>
          <w:bCs/>
          <w:sz w:val="26"/>
          <w:szCs w:val="26"/>
          <w:lang w:val="es-ES" w:eastAsia="en-US"/>
        </w:rPr>
        <w:t xml:space="preserve">el propio recurrente, en contra del </w:t>
      </w:r>
      <w:r w:rsidRPr="00F6196C">
        <w:rPr>
          <w:rFonts w:ascii="Arial" w:eastAsiaTheme="minorHAnsi" w:hAnsi="Arial" w:cs="Arial"/>
          <w:b/>
          <w:bCs/>
          <w:sz w:val="26"/>
          <w:szCs w:val="26"/>
          <w:lang w:val="es-ES" w:eastAsia="en-US"/>
        </w:rPr>
        <w:t>AGENTE MUNICIPAL DE SAN SEBASTIÁN DE LA FRONTERA, MUNICIPIO DE SANTIAGO CHAZUMBA, OAXACA</w:t>
      </w:r>
      <w:r w:rsidRPr="00F6196C">
        <w:rPr>
          <w:rFonts w:ascii="Arial" w:eastAsia="Calibri" w:hAnsi="Arial" w:cs="Arial"/>
          <w:b/>
          <w:sz w:val="26"/>
          <w:szCs w:val="26"/>
          <w:lang w:val="es-ES" w:eastAsia="en-US"/>
        </w:rPr>
        <w:t>;</w:t>
      </w:r>
      <w:r w:rsidRPr="00F6196C">
        <w:rPr>
          <w:rFonts w:ascii="Arial" w:eastAsia="Calibri" w:hAnsi="Arial" w:cs="Arial"/>
          <w:sz w:val="26"/>
          <w:szCs w:val="26"/>
          <w:lang w:val="es-ES" w:eastAsia="en-US"/>
        </w:rPr>
        <w:t xml:space="preserve"> por lo que con fundamento en </w:t>
      </w:r>
      <w:r w:rsidRPr="00F6196C">
        <w:rPr>
          <w:rFonts w:ascii="Arial" w:eastAsiaTheme="minorHAnsi" w:hAnsi="Arial" w:cs="Arial"/>
          <w:sz w:val="26"/>
          <w:szCs w:val="26"/>
          <w:lang w:val="es-ES" w:eastAsia="en-US"/>
        </w:rPr>
        <w:t>los artículos 206 y 207 de la Ley de Justicia Administrativa para el Estado de Oaxaca</w:t>
      </w:r>
      <w:r w:rsidR="00032867">
        <w:rPr>
          <w:rFonts w:ascii="Arial" w:eastAsiaTheme="minorHAnsi" w:hAnsi="Arial" w:cs="Arial"/>
          <w:sz w:val="26"/>
          <w:szCs w:val="26"/>
          <w:lang w:val="es-ES" w:eastAsia="en-US"/>
        </w:rPr>
        <w:t>,</w:t>
      </w:r>
      <w:r w:rsidRPr="00F6196C">
        <w:rPr>
          <w:rFonts w:ascii="Arial" w:eastAsiaTheme="minorHAnsi" w:hAnsi="Arial" w:cs="Arial"/>
          <w:sz w:val="26"/>
          <w:szCs w:val="26"/>
          <w:lang w:val="es-ES" w:eastAsia="en-US"/>
        </w:rPr>
        <w:t xml:space="preserve"> vigente al inicio del juicio de nulidad, se admite. Por consiguiente, se procede a dictar resolución en los siguientes </w:t>
      </w:r>
      <w:r w:rsidR="00032867" w:rsidRPr="00F6196C">
        <w:rPr>
          <w:rFonts w:ascii="Arial" w:eastAsiaTheme="minorHAnsi" w:hAnsi="Arial" w:cs="Arial"/>
          <w:sz w:val="26"/>
          <w:szCs w:val="26"/>
          <w:lang w:val="es-ES" w:eastAsia="en-US"/>
        </w:rPr>
        <w:t>términos:</w:t>
      </w:r>
      <w:r w:rsidR="00032867">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 - - - - - - - - - - - - - - - - - - - - - - - - - - - - - - - - - </w:t>
      </w:r>
    </w:p>
    <w:p w14:paraId="40C57FF6" w14:textId="77777777" w:rsidR="00F6196C" w:rsidRPr="00F6196C" w:rsidRDefault="00F6196C" w:rsidP="00F6196C">
      <w:pPr>
        <w:spacing w:line="360" w:lineRule="auto"/>
        <w:ind w:firstLine="708"/>
        <w:jc w:val="center"/>
        <w:rPr>
          <w:rFonts w:ascii="Arial" w:eastAsiaTheme="minorHAnsi" w:hAnsi="Arial" w:cs="Arial"/>
          <w:b/>
          <w:bCs/>
          <w:sz w:val="26"/>
          <w:szCs w:val="26"/>
          <w:lang w:val="es-ES" w:eastAsia="en-US"/>
        </w:rPr>
      </w:pPr>
      <w:r w:rsidRPr="00F6196C">
        <w:rPr>
          <w:rFonts w:ascii="Arial" w:eastAsiaTheme="minorHAnsi" w:hAnsi="Arial" w:cs="Arial"/>
          <w:b/>
          <w:bCs/>
          <w:sz w:val="26"/>
          <w:szCs w:val="26"/>
          <w:lang w:val="es-ES" w:eastAsia="en-US"/>
        </w:rPr>
        <w:t>R E S U L T A N D O</w:t>
      </w:r>
    </w:p>
    <w:p w14:paraId="73CAE1B2" w14:textId="38FE7305" w:rsidR="00F6196C" w:rsidRPr="00F6196C" w:rsidRDefault="00F6196C" w:rsidP="00F6196C">
      <w:pPr>
        <w:spacing w:line="360" w:lineRule="auto"/>
        <w:ind w:firstLine="709"/>
        <w:jc w:val="both"/>
        <w:rPr>
          <w:rFonts w:ascii="Arial" w:eastAsiaTheme="minorHAnsi" w:hAnsi="Arial" w:cs="Arial"/>
          <w:sz w:val="26"/>
          <w:szCs w:val="26"/>
          <w:lang w:val="es-ES" w:eastAsia="en-US"/>
        </w:rPr>
      </w:pPr>
      <w:r w:rsidRPr="00F6196C">
        <w:rPr>
          <w:rFonts w:ascii="Arial" w:eastAsiaTheme="minorHAnsi" w:hAnsi="Arial" w:cs="Arial"/>
          <w:b/>
          <w:bCs/>
          <w:sz w:val="26"/>
          <w:szCs w:val="26"/>
          <w:lang w:val="es-ES" w:eastAsia="en-US"/>
        </w:rPr>
        <w:t xml:space="preserve">PRIMERO. </w:t>
      </w:r>
      <w:r w:rsidRPr="00F6196C">
        <w:rPr>
          <w:rFonts w:ascii="Arial" w:eastAsiaTheme="minorHAnsi" w:hAnsi="Arial" w:cs="Arial"/>
          <w:sz w:val="26"/>
          <w:szCs w:val="26"/>
          <w:lang w:val="es-ES" w:eastAsia="en-US"/>
        </w:rPr>
        <w:t>Inconforme con</w:t>
      </w:r>
      <w:r w:rsidRPr="00F6196C">
        <w:rPr>
          <w:rFonts w:ascii="Arial" w:eastAsia="Calibri" w:hAnsi="Arial" w:cs="Arial"/>
          <w:sz w:val="26"/>
          <w:szCs w:val="26"/>
          <w:lang w:val="es-ES" w:eastAsia="en-US"/>
        </w:rPr>
        <w:t xml:space="preserve"> la resolución de fecha treinta de septiembre de dos mil diecinueve,</w:t>
      </w:r>
      <w:r w:rsidRPr="00F6196C">
        <w:rPr>
          <w:rFonts w:ascii="Arial" w:eastAsiaTheme="minorHAnsi" w:hAnsi="Arial" w:cs="Arial"/>
          <w:sz w:val="26"/>
          <w:szCs w:val="26"/>
          <w:lang w:val="es-ES" w:eastAsia="en-US"/>
        </w:rPr>
        <w:t xml:space="preserve"> dictada por la Primera Sala Unitaria de Primera Instancia,</w:t>
      </w:r>
      <w:r w:rsidRPr="00F6196C">
        <w:rPr>
          <w:rFonts w:ascii="Arial" w:eastAsiaTheme="minorHAnsi" w:hAnsi="Arial" w:cs="Arial"/>
          <w:b/>
          <w:bCs/>
          <w:sz w:val="26"/>
          <w:szCs w:val="26"/>
          <w:lang w:val="es-ES" w:eastAsia="en-US"/>
        </w:rPr>
        <w:t xml:space="preserve"> </w:t>
      </w:r>
      <w:r w:rsidR="00EB71D5">
        <w:rPr>
          <w:rFonts w:ascii="Arial" w:hAnsi="Arial" w:cs="Arial"/>
          <w:b/>
          <w:sz w:val="26"/>
          <w:szCs w:val="26"/>
        </w:rPr>
        <w:t>***********</w:t>
      </w:r>
      <w:r w:rsidRPr="00F6196C">
        <w:rPr>
          <w:rFonts w:ascii="Arial" w:eastAsiaTheme="minorHAnsi" w:hAnsi="Arial" w:cs="Arial"/>
          <w:b/>
          <w:bCs/>
          <w:sz w:val="26"/>
          <w:szCs w:val="26"/>
          <w:lang w:val="es-ES" w:eastAsia="en-US"/>
        </w:rPr>
        <w:t xml:space="preserve">, </w:t>
      </w:r>
      <w:r w:rsidRPr="00F6196C">
        <w:rPr>
          <w:rFonts w:ascii="Arial" w:eastAsiaTheme="minorHAnsi" w:hAnsi="Arial" w:cs="Arial"/>
          <w:sz w:val="26"/>
          <w:szCs w:val="26"/>
          <w:lang w:val="es-ES" w:eastAsia="en-US"/>
        </w:rPr>
        <w:t xml:space="preserve">interpuso en su contra recurso de revisión. </w:t>
      </w:r>
      <w:r>
        <w:rPr>
          <w:rFonts w:ascii="Arial" w:eastAsiaTheme="minorHAnsi" w:hAnsi="Arial" w:cs="Arial"/>
          <w:sz w:val="26"/>
          <w:szCs w:val="26"/>
          <w:lang w:val="es-ES" w:eastAsia="en-US"/>
        </w:rPr>
        <w:t xml:space="preserve">- - - - - - - - - - - - - - - - - - - - - - - - - - - - </w:t>
      </w:r>
    </w:p>
    <w:p w14:paraId="5ACFCB68" w14:textId="7EF68F6F" w:rsidR="00F6196C" w:rsidRDefault="00F6196C" w:rsidP="00F6196C">
      <w:pPr>
        <w:spacing w:line="360" w:lineRule="auto"/>
        <w:jc w:val="both"/>
        <w:rPr>
          <w:rFonts w:ascii="Arial" w:eastAsiaTheme="minorHAnsi" w:hAnsi="Arial" w:cs="Arial"/>
          <w:sz w:val="26"/>
          <w:szCs w:val="26"/>
          <w:lang w:val="es-ES" w:eastAsia="en-US"/>
        </w:rPr>
      </w:pPr>
      <w:r w:rsidRPr="00F6196C">
        <w:rPr>
          <w:rFonts w:ascii="Arial" w:eastAsiaTheme="minorHAnsi" w:hAnsi="Arial" w:cs="Arial"/>
          <w:b/>
          <w:bCs/>
          <w:sz w:val="26"/>
          <w:szCs w:val="26"/>
          <w:lang w:val="es-ES" w:eastAsia="en-US"/>
        </w:rPr>
        <w:tab/>
      </w:r>
      <w:r w:rsidRPr="00F6196C">
        <w:rPr>
          <w:rFonts w:ascii="Arial" w:eastAsia="Calibri" w:hAnsi="Arial" w:cs="Arial"/>
          <w:b/>
          <w:bCs/>
          <w:sz w:val="26"/>
          <w:szCs w:val="26"/>
          <w:lang w:val="es-ES" w:eastAsia="en-US"/>
        </w:rPr>
        <w:t xml:space="preserve">SEGUNDO. </w:t>
      </w:r>
      <w:r w:rsidRPr="00F6196C">
        <w:rPr>
          <w:rFonts w:ascii="Arial" w:eastAsia="Calibri" w:hAnsi="Arial" w:cs="Arial"/>
          <w:sz w:val="26"/>
          <w:szCs w:val="26"/>
          <w:lang w:val="es-ES" w:eastAsia="en-US"/>
        </w:rPr>
        <w:t>Los puntos resolutivos de la resolución recurrida son los siguientes:</w:t>
      </w:r>
      <w:r w:rsidRPr="00F6196C">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 - - - - - - - - - - - - - - - - - - - - - - - - - - - - - - - - - - - - - - - - </w:t>
      </w:r>
    </w:p>
    <w:p w14:paraId="6D3F5EB3" w14:textId="77777777" w:rsidR="00F6196C" w:rsidRPr="00F6196C" w:rsidRDefault="00F6196C" w:rsidP="00F6196C">
      <w:pPr>
        <w:widowControl w:val="0"/>
        <w:tabs>
          <w:tab w:val="left" w:pos="7938"/>
        </w:tabs>
        <w:spacing w:before="240" w:after="0" w:line="360" w:lineRule="auto"/>
        <w:ind w:left="1134" w:right="616"/>
        <w:jc w:val="both"/>
        <w:rPr>
          <w:rFonts w:ascii="Arial" w:eastAsia="Times New Roman" w:hAnsi="Arial" w:cs="Arial"/>
          <w:i/>
          <w:iCs/>
          <w:lang w:val="es-ES" w:eastAsia="es-ES"/>
        </w:rPr>
      </w:pPr>
      <w:r w:rsidRPr="00F6196C">
        <w:rPr>
          <w:rFonts w:ascii="Arial" w:eastAsia="Times New Roman" w:hAnsi="Arial" w:cs="Arial"/>
          <w:b/>
          <w:i/>
          <w:iCs/>
          <w:lang w:val="es-ES" w:eastAsia="es-ES"/>
        </w:rPr>
        <w:t xml:space="preserve">“PRIMERO.- SE DECLARA SIN MATERIA </w:t>
      </w:r>
      <w:r w:rsidRPr="00F6196C">
        <w:rPr>
          <w:rFonts w:ascii="Arial" w:eastAsia="Times New Roman" w:hAnsi="Arial" w:cs="Arial"/>
          <w:i/>
          <w:iCs/>
          <w:lang w:val="es-ES" w:eastAsia="es-ES"/>
        </w:rPr>
        <w:t>el presente incidente de suspensión, por las razones expuestas en el considerando segundo de esta resolución. - - - - - - - - - - - - - - - - - - - - - - - - - - - -</w:t>
      </w:r>
    </w:p>
    <w:p w14:paraId="133CBBCD" w14:textId="41796516" w:rsidR="00F6196C" w:rsidRPr="00032867" w:rsidRDefault="00F6196C" w:rsidP="00032867">
      <w:pPr>
        <w:widowControl w:val="0"/>
        <w:tabs>
          <w:tab w:val="left" w:pos="7938"/>
        </w:tabs>
        <w:spacing w:before="240" w:after="0" w:line="360" w:lineRule="auto"/>
        <w:ind w:left="1134" w:right="616"/>
        <w:jc w:val="both"/>
        <w:rPr>
          <w:rFonts w:ascii="Arial" w:eastAsia="Times New Roman" w:hAnsi="Arial" w:cs="Arial"/>
          <w:bCs/>
          <w:i/>
          <w:iCs/>
          <w:lang w:val="es-ES" w:eastAsia="es-ES"/>
        </w:rPr>
      </w:pPr>
      <w:r w:rsidRPr="00F6196C">
        <w:rPr>
          <w:rFonts w:ascii="Arial" w:eastAsia="Times New Roman" w:hAnsi="Arial" w:cs="Arial"/>
          <w:b/>
          <w:i/>
          <w:iCs/>
          <w:lang w:val="es-ES" w:eastAsia="es-ES"/>
        </w:rPr>
        <w:t xml:space="preserve">SEGUNDO.- </w:t>
      </w:r>
      <w:r w:rsidRPr="00F6196C">
        <w:rPr>
          <w:rFonts w:ascii="Arial" w:eastAsia="Times New Roman" w:hAnsi="Arial" w:cs="Arial"/>
          <w:i/>
          <w:iCs/>
          <w:lang w:val="es-ES" w:eastAsia="es-ES"/>
        </w:rPr>
        <w:t>Conforme a lo dispuesto en los artículos 142 y 143 de la</w:t>
      </w:r>
      <w:r w:rsidRPr="00F6196C">
        <w:rPr>
          <w:rFonts w:ascii="Arial" w:eastAsia="Times New Roman" w:hAnsi="Arial" w:cs="Arial"/>
          <w:b/>
          <w:i/>
          <w:iCs/>
          <w:lang w:val="es-ES" w:eastAsia="es-ES"/>
        </w:rPr>
        <w:t xml:space="preserve"> </w:t>
      </w:r>
      <w:r w:rsidRPr="00F6196C">
        <w:rPr>
          <w:rFonts w:ascii="Arial" w:eastAsia="Times New Roman" w:hAnsi="Arial" w:cs="Arial"/>
          <w:i/>
          <w:lang w:val="es-ES" w:eastAsia="es-ES"/>
        </w:rPr>
        <w:t xml:space="preserve">Ley de Justicia Administrativa para el Estado de Oaxaca, </w:t>
      </w:r>
      <w:r w:rsidRPr="00F6196C">
        <w:rPr>
          <w:rFonts w:ascii="Arial" w:eastAsia="Times New Roman" w:hAnsi="Arial" w:cs="Arial"/>
          <w:b/>
          <w:i/>
          <w:lang w:val="es-ES" w:eastAsia="es-ES"/>
        </w:rPr>
        <w:lastRenderedPageBreak/>
        <w:t>NOTIFÍQUESE Y CÚMPLASE</w:t>
      </w:r>
      <w:r w:rsidRPr="00F6196C">
        <w:rPr>
          <w:rFonts w:ascii="Arial" w:eastAsia="Times New Roman" w:hAnsi="Arial" w:cs="Arial"/>
          <w:i/>
          <w:lang w:val="es-ES" w:eastAsia="es-ES"/>
        </w:rPr>
        <w:t>.” - - - - - - - - - - - - - - - - - - - - - - - - -</w:t>
      </w:r>
    </w:p>
    <w:p w14:paraId="1BFD66DD" w14:textId="77777777" w:rsidR="00F6196C" w:rsidRPr="00F6196C" w:rsidRDefault="00F6196C" w:rsidP="00F6196C">
      <w:pPr>
        <w:spacing w:before="240" w:line="360" w:lineRule="auto"/>
        <w:ind w:left="851" w:right="616"/>
        <w:jc w:val="center"/>
        <w:rPr>
          <w:rFonts w:ascii="Arial" w:eastAsia="Calibri" w:hAnsi="Arial" w:cs="Arial"/>
          <w:b/>
          <w:bCs/>
          <w:sz w:val="26"/>
          <w:szCs w:val="26"/>
          <w:lang w:val="es-ES" w:eastAsia="en-US"/>
        </w:rPr>
      </w:pPr>
      <w:r w:rsidRPr="00F6196C">
        <w:rPr>
          <w:rFonts w:ascii="Arial" w:eastAsia="Calibri" w:hAnsi="Arial" w:cs="Arial"/>
          <w:b/>
          <w:bCs/>
          <w:sz w:val="26"/>
          <w:szCs w:val="26"/>
          <w:lang w:val="es-ES" w:eastAsia="en-US"/>
        </w:rPr>
        <w:t>C O N S I D E R A N D O</w:t>
      </w:r>
    </w:p>
    <w:p w14:paraId="635FF962" w14:textId="125E43F8" w:rsidR="00F6196C" w:rsidRPr="00F6196C" w:rsidRDefault="00F6196C" w:rsidP="00F6196C">
      <w:pPr>
        <w:spacing w:line="360" w:lineRule="auto"/>
        <w:ind w:firstLine="708"/>
        <w:jc w:val="both"/>
        <w:rPr>
          <w:rFonts w:ascii="Arial" w:eastAsiaTheme="minorHAnsi" w:hAnsi="Arial" w:cs="Arial"/>
          <w:bCs/>
          <w:iCs/>
          <w:sz w:val="26"/>
          <w:szCs w:val="26"/>
          <w:lang w:val="es-ES" w:eastAsia="en-US"/>
        </w:rPr>
      </w:pPr>
      <w:r w:rsidRPr="00F6196C">
        <w:rPr>
          <w:rFonts w:ascii="Arial" w:eastAsiaTheme="minorHAnsi" w:hAnsi="Arial" w:cs="Arial"/>
          <w:b/>
          <w:bCs/>
          <w:iCs/>
          <w:sz w:val="26"/>
          <w:szCs w:val="26"/>
          <w:lang w:val="es-ES" w:eastAsia="es-ES"/>
        </w:rPr>
        <w:t>PRIMERO.</w:t>
      </w:r>
      <w:r w:rsidRPr="00F6196C">
        <w:rPr>
          <w:rFonts w:ascii="Arial" w:eastAsiaTheme="minorHAnsi" w:hAnsi="Arial" w:cs="Arial"/>
          <w:b/>
          <w:bCs/>
          <w:iCs/>
          <w:sz w:val="26"/>
          <w:szCs w:val="26"/>
          <w:lang w:val="es-ES" w:eastAsia="en-US"/>
        </w:rPr>
        <w:t xml:space="preserve"> </w:t>
      </w:r>
      <w:r w:rsidRPr="00F6196C">
        <w:rPr>
          <w:rFonts w:ascii="Arial" w:eastAsiaTheme="minorHAnsi" w:hAnsi="Arial" w:cs="Arial"/>
          <w:bCs/>
          <w:iCs/>
          <w:sz w:val="26"/>
          <w:szCs w:val="26"/>
          <w:lang w:val="es-ES" w:eastAsia="en-US"/>
        </w:rPr>
        <w:t>Esta Sala Superior es competente para conocer del presente asunto, de conformidad con lo dispuesto por los artículos 114 QUÁTER de la Constitución Política del Estado Libre y Soberano de Oaxaca;</w:t>
      </w:r>
      <w:r w:rsidRPr="00F6196C">
        <w:rPr>
          <w:rFonts w:ascii="Arial" w:eastAsiaTheme="minorHAnsi" w:hAnsi="Arial" w:cs="Arial"/>
          <w:bCs/>
          <w:iCs/>
          <w:sz w:val="26"/>
          <w:szCs w:val="26"/>
          <w:lang w:val="es-ES" w:eastAsia="es-ES"/>
        </w:rPr>
        <w:t xml:space="preserve"> 1 párrafo segundo, 2 párrafos primero y cuarto, 4 fracción VIII, 23, 24 fracción I, 25 fracción I y 27 de la Ley Orgánica del Tribunal de </w:t>
      </w:r>
      <w:r w:rsidRPr="00F6196C">
        <w:rPr>
          <w:rFonts w:ascii="Arial" w:eastAsiaTheme="minorHAnsi" w:hAnsi="Arial" w:cs="Arial"/>
          <w:bCs/>
          <w:iCs/>
          <w:sz w:val="26"/>
          <w:szCs w:val="26"/>
          <w:lang w:val="es-ES" w:eastAsia="en-US"/>
        </w:rPr>
        <w:t xml:space="preserve">Justicia Administrativa del Estado de Oaxaca, publicada en el Periódico Oficial del Estado de Oaxaca el siete de noviembre de dos mil diecinueve; </w:t>
      </w:r>
      <w:r w:rsidRPr="00F6196C">
        <w:rPr>
          <w:rFonts w:ascii="Arial" w:eastAsiaTheme="minorHAnsi" w:hAnsi="Arial" w:cs="Arial"/>
          <w:bCs/>
          <w:iCs/>
          <w:sz w:val="26"/>
          <w:szCs w:val="26"/>
          <w:lang w:val="es-ES" w:eastAsia="es-ES"/>
        </w:rPr>
        <w:t xml:space="preserve">86, 88, 92, 93 fracción I, 94, 201, 206 y 208 </w:t>
      </w:r>
      <w:r w:rsidRPr="00F6196C">
        <w:rPr>
          <w:rFonts w:ascii="Arial" w:eastAsiaTheme="minorHAnsi" w:hAnsi="Arial" w:cs="Arial"/>
          <w:bCs/>
          <w:iCs/>
          <w:sz w:val="26"/>
          <w:szCs w:val="26"/>
          <w:lang w:val="es-ES" w:eastAsia="en-US"/>
        </w:rPr>
        <w:t xml:space="preserve">de la Ley de Justicia Administrativa para el Estado de Oaxaca, aplicable por ser la que se encontraba vigente al inicio del juicio natural en el mes de agosto de dos mil dieciséis, al tratarse de un recurso de revisión interpuesto en contra de la </w:t>
      </w:r>
      <w:r w:rsidRPr="00F6196C">
        <w:rPr>
          <w:rFonts w:ascii="Arial" w:eastAsiaTheme="minorHAnsi" w:hAnsi="Arial" w:cs="Arial"/>
          <w:sz w:val="26"/>
          <w:szCs w:val="26"/>
          <w:lang w:val="es-ES" w:eastAsia="en-US"/>
        </w:rPr>
        <w:t xml:space="preserve">resolución en la que se declaró sin materia el incidente de suspensión, de fecha treinta de septiembre de dos mil diecinueve, </w:t>
      </w:r>
      <w:r w:rsidRPr="00F6196C">
        <w:rPr>
          <w:rFonts w:ascii="Arial" w:eastAsiaTheme="minorHAnsi" w:hAnsi="Arial" w:cs="Arial"/>
          <w:bCs/>
          <w:iCs/>
          <w:sz w:val="26"/>
          <w:szCs w:val="26"/>
          <w:lang w:val="es-ES" w:eastAsia="en-US"/>
        </w:rPr>
        <w:t xml:space="preserve">dictada por la Primera Sala Unitaria de Primera Instancia de este Tribunal, en el </w:t>
      </w:r>
      <w:r w:rsidRPr="00F6196C">
        <w:rPr>
          <w:rFonts w:ascii="Arial" w:eastAsiaTheme="minorHAnsi" w:hAnsi="Arial" w:cs="Arial"/>
          <w:sz w:val="26"/>
          <w:szCs w:val="26"/>
          <w:lang w:val="es-ES" w:eastAsia="en-US"/>
        </w:rPr>
        <w:t xml:space="preserve">cuaderno de suspensión derivado del </w:t>
      </w:r>
      <w:r w:rsidRPr="00F6196C">
        <w:rPr>
          <w:rFonts w:ascii="Arial" w:eastAsiaTheme="minorHAnsi" w:hAnsi="Arial" w:cs="Arial"/>
          <w:bCs/>
          <w:iCs/>
          <w:sz w:val="26"/>
          <w:szCs w:val="26"/>
          <w:lang w:val="es-ES" w:eastAsia="en-US"/>
        </w:rPr>
        <w:t xml:space="preserve">expediente </w:t>
      </w:r>
      <w:r w:rsidRPr="00F6196C">
        <w:rPr>
          <w:rFonts w:ascii="Arial" w:eastAsiaTheme="minorHAnsi" w:hAnsi="Arial" w:cs="Arial"/>
          <w:b/>
          <w:bCs/>
          <w:iCs/>
          <w:sz w:val="26"/>
          <w:szCs w:val="26"/>
          <w:lang w:val="es-ES" w:eastAsia="en-US"/>
        </w:rPr>
        <w:t>0466</w:t>
      </w:r>
      <w:r w:rsidRPr="00F6196C">
        <w:rPr>
          <w:rFonts w:ascii="Arial" w:eastAsiaTheme="minorHAnsi" w:hAnsi="Arial" w:cs="Arial"/>
          <w:b/>
          <w:iCs/>
          <w:sz w:val="26"/>
          <w:szCs w:val="26"/>
          <w:lang w:val="es-ES" w:eastAsia="en-US"/>
        </w:rPr>
        <w:t>/2016.</w:t>
      </w:r>
      <w:r>
        <w:rPr>
          <w:rFonts w:ascii="Arial" w:eastAsiaTheme="minorHAnsi" w:hAnsi="Arial" w:cs="Arial"/>
          <w:b/>
          <w:iCs/>
          <w:sz w:val="26"/>
          <w:szCs w:val="26"/>
          <w:lang w:val="es-ES" w:eastAsia="en-US"/>
        </w:rPr>
        <w:t xml:space="preserve"> </w:t>
      </w:r>
      <w:r>
        <w:rPr>
          <w:rFonts w:ascii="Arial" w:eastAsiaTheme="minorHAnsi" w:hAnsi="Arial" w:cs="Arial"/>
          <w:sz w:val="26"/>
          <w:szCs w:val="26"/>
          <w:lang w:val="es-ES" w:eastAsia="en-US"/>
        </w:rPr>
        <w:t xml:space="preserve">- - - - - - - - - - - - - - - - - - - - - - - - - - - - - - - - - - - </w:t>
      </w:r>
    </w:p>
    <w:p w14:paraId="73EF2148" w14:textId="2D5158DE" w:rsidR="00F6196C" w:rsidRPr="00F6196C" w:rsidRDefault="00F6196C" w:rsidP="00F6196C">
      <w:pPr>
        <w:spacing w:line="360" w:lineRule="auto"/>
        <w:ind w:firstLine="708"/>
        <w:jc w:val="both"/>
        <w:rPr>
          <w:rFonts w:ascii="Arial" w:eastAsiaTheme="minorHAnsi" w:hAnsi="Arial" w:cs="Arial"/>
          <w:sz w:val="26"/>
          <w:szCs w:val="26"/>
          <w:lang w:val="es-ES" w:eastAsia="en-US"/>
        </w:rPr>
      </w:pPr>
      <w:r w:rsidRPr="00F6196C">
        <w:rPr>
          <w:rFonts w:ascii="Arial" w:eastAsiaTheme="minorHAnsi" w:hAnsi="Arial" w:cs="Arial"/>
          <w:b/>
          <w:bCs/>
          <w:sz w:val="26"/>
          <w:szCs w:val="26"/>
          <w:lang w:val="es-ES" w:eastAsia="en-US"/>
        </w:rPr>
        <w:t>SEGUNDO.</w:t>
      </w:r>
      <w:r w:rsidRPr="00F6196C">
        <w:rPr>
          <w:rFonts w:ascii="Arial" w:eastAsiaTheme="minorHAnsi" w:hAnsi="Arial" w:cs="Arial"/>
          <w:bCs/>
          <w:sz w:val="26"/>
          <w:szCs w:val="26"/>
          <w:lang w:val="es-ES" w:eastAsia="en-US"/>
        </w:rPr>
        <w:t xml:space="preserve"> Los agravios hechos valer se encuentran expuestos en el respectivo oficio del recurrente, por lo que no existe necesidad de transcribirlos, virtud a que ello no implica transgresión a derecho alguno del recurrente, como tampoco se vulnera disposición expresa que imponga tal obligación</w:t>
      </w:r>
      <w:r w:rsidRPr="00F6196C">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 - - - - - - - - - - - - - - - - - - - - - - - - - - - - - - - </w:t>
      </w:r>
    </w:p>
    <w:p w14:paraId="278917D5" w14:textId="3FA5A657" w:rsidR="00F6196C" w:rsidRPr="00F6196C" w:rsidRDefault="00F6196C" w:rsidP="00F6196C">
      <w:pPr>
        <w:spacing w:line="360" w:lineRule="auto"/>
        <w:ind w:firstLine="708"/>
        <w:jc w:val="both"/>
        <w:rPr>
          <w:rFonts w:ascii="Arial" w:eastAsiaTheme="minorHAnsi" w:hAnsi="Arial" w:cs="Arial"/>
          <w:sz w:val="26"/>
          <w:szCs w:val="26"/>
          <w:lang w:val="es-ES" w:eastAsia="en-US"/>
        </w:rPr>
      </w:pPr>
      <w:r w:rsidRPr="00F6196C">
        <w:rPr>
          <w:rFonts w:ascii="Arial" w:eastAsiaTheme="minorHAnsi" w:hAnsi="Arial" w:cs="Arial"/>
          <w:sz w:val="26"/>
          <w:szCs w:val="26"/>
          <w:lang w:val="es-ES" w:eastAsia="en-US"/>
        </w:rPr>
        <w:t>En apoyo a lo anterior, se invoca la t</w:t>
      </w:r>
      <w:proofErr w:type="spellStart"/>
      <w:r w:rsidRPr="00F6196C">
        <w:rPr>
          <w:rFonts w:ascii="Arial" w:eastAsiaTheme="minorHAnsi" w:hAnsi="Arial" w:cs="Arial"/>
          <w:bCs/>
          <w:color w:val="000000"/>
          <w:sz w:val="26"/>
          <w:szCs w:val="26"/>
          <w:lang w:eastAsia="en-US"/>
        </w:rPr>
        <w:t>esis</w:t>
      </w:r>
      <w:proofErr w:type="spellEnd"/>
      <w:r w:rsidRPr="00F6196C">
        <w:rPr>
          <w:rFonts w:ascii="Arial" w:eastAsiaTheme="minorHAnsi" w:hAnsi="Arial" w:cs="Arial"/>
          <w:bCs/>
          <w:color w:val="000000"/>
          <w:sz w:val="26"/>
          <w:szCs w:val="26"/>
          <w:lang w:eastAsia="en-US"/>
        </w:rPr>
        <w:t xml:space="preserve"> emitida por los Tribunales Colegiados de Circuito, con número de registro 254280, publicada en la Gaceta del Semanario Judicial de la Federación, Volumen 81, Sexta Parte, Séptima Época, pagina 23, bajo el rubro y texto siguiente:</w:t>
      </w:r>
      <w:r w:rsidRPr="00F6196C">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 - - - - - - - - - - - - - - - - - - - - - - - - - - - - - - - - - - - - - -</w:t>
      </w:r>
    </w:p>
    <w:p w14:paraId="516409F7" w14:textId="77777777" w:rsidR="00F6196C" w:rsidRPr="00F6196C" w:rsidRDefault="00F6196C" w:rsidP="00F6196C">
      <w:pPr>
        <w:spacing w:line="360" w:lineRule="auto"/>
        <w:ind w:left="1134" w:right="900"/>
        <w:jc w:val="both"/>
        <w:rPr>
          <w:rFonts w:ascii="Arial" w:eastAsia="Times New Roman" w:hAnsi="Arial" w:cs="Arial"/>
        </w:rPr>
      </w:pPr>
      <w:r w:rsidRPr="00F6196C">
        <w:rPr>
          <w:rFonts w:ascii="Arial" w:eastAsia="Times New Roman" w:hAnsi="Arial" w:cs="Arial"/>
          <w:b/>
          <w:bCs/>
        </w:rPr>
        <w:t>“</w:t>
      </w:r>
      <w:r w:rsidRPr="00F6196C">
        <w:rPr>
          <w:rFonts w:ascii="Arial" w:eastAsia="Times New Roman" w:hAnsi="Arial" w:cs="Arial"/>
          <w:b/>
          <w:i/>
        </w:rPr>
        <w:t xml:space="preserve">CONCEPTOS DE VIOLACIÓN. NO ES OBLIGATORIO TRANSCRIBIRLOS EN LA SENTENCIA. </w:t>
      </w:r>
      <w:r w:rsidRPr="00F6196C">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F6196C">
        <w:rPr>
          <w:rFonts w:ascii="Arial" w:eastAsia="Times New Roman" w:hAnsi="Arial" w:cs="Arial"/>
          <w:bCs/>
          <w:i/>
          <w:bdr w:val="none" w:sz="0" w:space="0" w:color="auto" w:frame="1"/>
        </w:rPr>
        <w:t>es</w:t>
      </w:r>
      <w:r w:rsidRPr="00F6196C">
        <w:rPr>
          <w:rFonts w:ascii="Arial" w:eastAsia="Times New Roman" w:hAnsi="Arial" w:cs="Arial"/>
          <w:i/>
        </w:rPr>
        <w:t xml:space="preserve"> que tal omisión no infringe disposición legal alguna, pues ninguna le impone la obligación de hacerlo, máxime si de la lectura de la sentencia recurrida se advierte que el Juez de Distrito expresa las razones conducentes para </w:t>
      </w:r>
      <w:r w:rsidRPr="00F6196C">
        <w:rPr>
          <w:rFonts w:ascii="Arial" w:eastAsia="Times New Roman" w:hAnsi="Arial" w:cs="Arial"/>
          <w:i/>
        </w:rPr>
        <w:lastRenderedPageBreak/>
        <w:t>desestimar los conceptos de violación hechos valer, aun cuando no transcritos</w:t>
      </w:r>
      <w:r w:rsidRPr="00F6196C">
        <w:rPr>
          <w:rFonts w:ascii="Arial" w:eastAsia="Times New Roman" w:hAnsi="Arial" w:cs="Arial"/>
        </w:rPr>
        <w:t>(sic).”</w:t>
      </w:r>
    </w:p>
    <w:p w14:paraId="05DF1C6E" w14:textId="5D18ED1A" w:rsidR="00F6196C" w:rsidRPr="00F6196C" w:rsidRDefault="00F6196C" w:rsidP="008063DA">
      <w:pPr>
        <w:spacing w:line="360" w:lineRule="auto"/>
        <w:ind w:firstLine="708"/>
        <w:jc w:val="both"/>
        <w:rPr>
          <w:rFonts w:ascii="Arial" w:eastAsia="Calibri" w:hAnsi="Arial" w:cs="Arial"/>
          <w:b/>
          <w:sz w:val="26"/>
          <w:szCs w:val="26"/>
          <w:lang w:val="es-ES" w:eastAsia="en-US"/>
        </w:rPr>
      </w:pPr>
      <w:r w:rsidRPr="00F6196C">
        <w:rPr>
          <w:rFonts w:ascii="Arial" w:eastAsia="Calibri" w:hAnsi="Arial" w:cs="Arial"/>
          <w:b/>
          <w:bCs/>
          <w:sz w:val="26"/>
          <w:szCs w:val="26"/>
          <w:lang w:val="es-ES" w:eastAsia="en-US"/>
        </w:rPr>
        <w:t xml:space="preserve">TERCERO. </w:t>
      </w:r>
      <w:r w:rsidRPr="00F6196C">
        <w:rPr>
          <w:rFonts w:ascii="Arial" w:eastAsia="Calibri" w:hAnsi="Arial" w:cs="Arial"/>
          <w:bCs/>
          <w:sz w:val="26"/>
          <w:szCs w:val="26"/>
          <w:lang w:val="es-ES" w:eastAsia="en-US"/>
        </w:rPr>
        <w:t xml:space="preserve">Del escrito de recurso de revisión, se desprende que el ciudadano </w:t>
      </w:r>
      <w:r w:rsidR="00EB71D5">
        <w:rPr>
          <w:rFonts w:ascii="Arial" w:hAnsi="Arial" w:cs="Arial"/>
          <w:b/>
          <w:sz w:val="26"/>
          <w:szCs w:val="26"/>
        </w:rPr>
        <w:t>***********</w:t>
      </w:r>
      <w:bookmarkStart w:id="0" w:name="_GoBack"/>
      <w:bookmarkEnd w:id="0"/>
      <w:r w:rsidRPr="00F6196C">
        <w:rPr>
          <w:rFonts w:ascii="Arial" w:eastAsia="Calibri" w:hAnsi="Arial" w:cs="Arial"/>
          <w:bCs/>
          <w:sz w:val="26"/>
          <w:szCs w:val="26"/>
          <w:lang w:val="es-ES" w:eastAsia="en-US"/>
        </w:rPr>
        <w:t xml:space="preserve">, se inconforma en contra de la resolución </w:t>
      </w:r>
      <w:r w:rsidRPr="00F6196C">
        <w:rPr>
          <w:rFonts w:ascii="Arial" w:eastAsiaTheme="minorHAnsi" w:hAnsi="Arial" w:cs="Arial"/>
          <w:sz w:val="26"/>
          <w:szCs w:val="26"/>
          <w:lang w:val="es-ES" w:eastAsia="en-US"/>
        </w:rPr>
        <w:t>de fecha treinta de septiembre de dos mil diecinueve,</w:t>
      </w:r>
      <w:r w:rsidRPr="00F6196C">
        <w:rPr>
          <w:rFonts w:ascii="Arial" w:eastAsia="Calibri" w:hAnsi="Arial" w:cs="Arial"/>
          <w:bCs/>
          <w:sz w:val="26"/>
          <w:szCs w:val="26"/>
          <w:lang w:val="es-ES" w:eastAsia="en-US"/>
        </w:rPr>
        <w:t xml:space="preserve"> en la cual la Primera Instancia </w:t>
      </w:r>
      <w:r w:rsidRPr="00F6196C">
        <w:rPr>
          <w:rFonts w:ascii="Arial" w:eastAsia="Calibri" w:hAnsi="Arial" w:cs="Arial"/>
          <w:b/>
          <w:bCs/>
          <w:sz w:val="26"/>
          <w:szCs w:val="26"/>
          <w:lang w:val="es-ES" w:eastAsia="en-US"/>
        </w:rPr>
        <w:t>declaró sin materia</w:t>
      </w:r>
      <w:r w:rsidRPr="00F6196C">
        <w:rPr>
          <w:rFonts w:ascii="Arial" w:eastAsia="Calibri" w:hAnsi="Arial" w:cs="Arial"/>
          <w:bCs/>
          <w:sz w:val="26"/>
          <w:szCs w:val="26"/>
          <w:lang w:val="es-ES" w:eastAsia="en-US"/>
        </w:rPr>
        <w:t xml:space="preserve"> el incidente de suspensión tramitado en el expediente </w:t>
      </w:r>
      <w:r w:rsidRPr="00F6196C">
        <w:rPr>
          <w:rFonts w:ascii="Arial" w:eastAsia="Calibri" w:hAnsi="Arial" w:cs="Arial"/>
          <w:b/>
          <w:bCs/>
          <w:sz w:val="26"/>
          <w:szCs w:val="26"/>
          <w:lang w:val="es-ES" w:eastAsia="en-US"/>
        </w:rPr>
        <w:t>466/2016,</w:t>
      </w:r>
      <w:r w:rsidRPr="00F6196C">
        <w:rPr>
          <w:rFonts w:ascii="Arial" w:eastAsia="Calibri" w:hAnsi="Arial" w:cs="Arial"/>
          <w:bCs/>
          <w:sz w:val="26"/>
          <w:szCs w:val="26"/>
          <w:lang w:val="es-ES" w:eastAsia="en-US"/>
        </w:rPr>
        <w:t xml:space="preserve"> promovido en contra del </w:t>
      </w:r>
      <w:r w:rsidRPr="00F6196C">
        <w:rPr>
          <w:rFonts w:ascii="Arial" w:eastAsiaTheme="minorHAnsi" w:hAnsi="Arial" w:cs="Arial"/>
          <w:b/>
          <w:bCs/>
          <w:sz w:val="26"/>
          <w:szCs w:val="26"/>
          <w:lang w:val="es-ES" w:eastAsia="en-US"/>
        </w:rPr>
        <w:t>AGENTE MUNICIPAL DE SAN SEBASTIÁN DE LA FRONTERA, MUNICIPIO DE SANTIAGO CHAZUMBA, OAXACA</w:t>
      </w:r>
      <w:r w:rsidRPr="00F6196C">
        <w:rPr>
          <w:rFonts w:ascii="Arial" w:eastAsia="Calibri" w:hAnsi="Arial" w:cs="Arial"/>
          <w:b/>
          <w:sz w:val="26"/>
          <w:szCs w:val="26"/>
          <w:lang w:val="es-ES" w:eastAsia="en-US"/>
        </w:rPr>
        <w:t>.</w:t>
      </w:r>
      <w:r w:rsidR="008063DA" w:rsidRPr="008063DA">
        <w:rPr>
          <w:rFonts w:ascii="Arial" w:eastAsiaTheme="minorHAnsi" w:hAnsi="Arial" w:cs="Arial"/>
          <w:sz w:val="26"/>
          <w:szCs w:val="26"/>
          <w:lang w:val="es-ES" w:eastAsia="en-US"/>
        </w:rPr>
        <w:t xml:space="preserve"> </w:t>
      </w:r>
      <w:r w:rsidR="008063DA">
        <w:rPr>
          <w:rFonts w:ascii="Arial" w:eastAsiaTheme="minorHAnsi" w:hAnsi="Arial" w:cs="Arial"/>
          <w:sz w:val="26"/>
          <w:szCs w:val="26"/>
          <w:lang w:val="es-ES" w:eastAsia="en-US"/>
        </w:rPr>
        <w:t xml:space="preserve">- - - - - - - - - - - - - - - - - - - - - - - - - - - - - - - - - - - - - - - - - - - - </w:t>
      </w:r>
    </w:p>
    <w:p w14:paraId="5B525750" w14:textId="22FC76A1" w:rsidR="00F6196C" w:rsidRPr="00F6196C" w:rsidRDefault="00F6196C" w:rsidP="00F6196C">
      <w:pPr>
        <w:spacing w:line="360" w:lineRule="auto"/>
        <w:ind w:firstLine="567"/>
        <w:jc w:val="both"/>
        <w:rPr>
          <w:rFonts w:ascii="Arial" w:eastAsia="Calibri" w:hAnsi="Arial" w:cs="Arial"/>
          <w:bCs/>
          <w:sz w:val="26"/>
          <w:szCs w:val="26"/>
          <w:lang w:val="es-ES" w:eastAsia="en-US"/>
        </w:rPr>
      </w:pPr>
      <w:r w:rsidRPr="00F6196C">
        <w:rPr>
          <w:rFonts w:ascii="Arial" w:eastAsia="Calibri" w:hAnsi="Arial" w:cs="Arial"/>
          <w:bCs/>
          <w:sz w:val="26"/>
          <w:szCs w:val="26"/>
          <w:lang w:val="es-ES" w:eastAsia="en-US"/>
        </w:rPr>
        <w:t>En ese orden de ideas, es conveniente referir lo siguiente:</w:t>
      </w:r>
      <w:r w:rsidR="008063DA">
        <w:rPr>
          <w:rFonts w:ascii="Arial" w:eastAsia="Calibri" w:hAnsi="Arial" w:cs="Arial"/>
          <w:bCs/>
          <w:sz w:val="26"/>
          <w:szCs w:val="26"/>
          <w:lang w:val="es-ES" w:eastAsia="en-US"/>
        </w:rPr>
        <w:t xml:space="preserve"> - - - - - -</w:t>
      </w:r>
    </w:p>
    <w:p w14:paraId="00EC907A" w14:textId="51BD1AC0" w:rsidR="00F6196C" w:rsidRPr="00F6196C" w:rsidRDefault="00F6196C" w:rsidP="00F6196C">
      <w:pPr>
        <w:spacing w:line="360" w:lineRule="auto"/>
        <w:ind w:left="567" w:right="616"/>
        <w:jc w:val="both"/>
        <w:rPr>
          <w:rFonts w:ascii="Arial" w:eastAsia="Calibri" w:hAnsi="Arial" w:cs="Arial"/>
          <w:bCs/>
          <w:sz w:val="26"/>
          <w:szCs w:val="26"/>
          <w:lang w:val="es-ES" w:eastAsia="en-US"/>
        </w:rPr>
      </w:pPr>
      <w:r w:rsidRPr="00F6196C">
        <w:rPr>
          <w:rFonts w:ascii="Arial" w:eastAsia="Calibri" w:hAnsi="Arial" w:cs="Arial"/>
          <w:b/>
          <w:bCs/>
          <w:sz w:val="26"/>
          <w:szCs w:val="26"/>
          <w:lang w:val="es-ES" w:eastAsia="en-US"/>
        </w:rPr>
        <w:t>1.-</w:t>
      </w:r>
      <w:r w:rsidRPr="00F6196C">
        <w:rPr>
          <w:rFonts w:ascii="Arial" w:eastAsia="Calibri" w:hAnsi="Arial" w:cs="Arial"/>
          <w:bCs/>
          <w:sz w:val="26"/>
          <w:szCs w:val="26"/>
          <w:lang w:val="es-ES" w:eastAsia="en-US"/>
        </w:rPr>
        <w:t xml:space="preserve"> Con fecha diecisiete de agosto de dos mil dieciséis, Demetrio Castilla Ceballos promovió demanda de nulidad en contra de actos del Agente Municipal, Secretario Municipal, Juez Municipal, Comisariado Ejidal, Presidente de la Sociedad Agrícola Comunal, todos de la comunidad de San Sebastián de la Frontera, Municipio de Santiago </w:t>
      </w:r>
      <w:proofErr w:type="spellStart"/>
      <w:r w:rsidRPr="00F6196C">
        <w:rPr>
          <w:rFonts w:ascii="Arial" w:eastAsia="Calibri" w:hAnsi="Arial" w:cs="Arial"/>
          <w:bCs/>
          <w:sz w:val="26"/>
          <w:szCs w:val="26"/>
          <w:lang w:val="es-ES" w:eastAsia="en-US"/>
        </w:rPr>
        <w:t>Chazumba</w:t>
      </w:r>
      <w:proofErr w:type="spellEnd"/>
      <w:r w:rsidRPr="00F6196C">
        <w:rPr>
          <w:rFonts w:ascii="Arial" w:eastAsia="Calibri" w:hAnsi="Arial" w:cs="Arial"/>
          <w:bCs/>
          <w:sz w:val="26"/>
          <w:szCs w:val="26"/>
          <w:lang w:val="es-ES" w:eastAsia="en-US"/>
        </w:rPr>
        <w:t xml:space="preserve">, Distrito de </w:t>
      </w:r>
      <w:proofErr w:type="spellStart"/>
      <w:r w:rsidRPr="00F6196C">
        <w:rPr>
          <w:rFonts w:ascii="Arial" w:eastAsia="Calibri" w:hAnsi="Arial" w:cs="Arial"/>
          <w:bCs/>
          <w:sz w:val="26"/>
          <w:szCs w:val="26"/>
          <w:lang w:val="es-ES" w:eastAsia="en-US"/>
        </w:rPr>
        <w:t>Huajuapan</w:t>
      </w:r>
      <w:proofErr w:type="spellEnd"/>
      <w:r w:rsidRPr="00F6196C">
        <w:rPr>
          <w:rFonts w:ascii="Arial" w:eastAsia="Calibri" w:hAnsi="Arial" w:cs="Arial"/>
          <w:bCs/>
          <w:sz w:val="26"/>
          <w:szCs w:val="26"/>
          <w:lang w:val="es-ES" w:eastAsia="en-US"/>
        </w:rPr>
        <w:t xml:space="preserve"> de León, Oaxaca.</w:t>
      </w:r>
      <w:r w:rsidR="008063DA">
        <w:rPr>
          <w:rFonts w:ascii="Arial" w:eastAsia="Calibri" w:hAnsi="Arial" w:cs="Arial"/>
          <w:bCs/>
          <w:sz w:val="26"/>
          <w:szCs w:val="26"/>
          <w:lang w:val="es-ES" w:eastAsia="en-US"/>
        </w:rPr>
        <w:t xml:space="preserve">- - - - - - - - - - - - - - - </w:t>
      </w:r>
    </w:p>
    <w:p w14:paraId="0E6F47D4" w14:textId="59B7FACC" w:rsidR="00F6196C" w:rsidRPr="00F6196C" w:rsidRDefault="00F6196C" w:rsidP="00F6196C">
      <w:pPr>
        <w:spacing w:line="360" w:lineRule="auto"/>
        <w:ind w:left="567" w:right="616"/>
        <w:jc w:val="both"/>
        <w:rPr>
          <w:rFonts w:ascii="Arial" w:eastAsia="Calibri" w:hAnsi="Arial" w:cs="Arial"/>
          <w:bCs/>
          <w:sz w:val="26"/>
          <w:szCs w:val="26"/>
          <w:lang w:val="es-ES" w:eastAsia="en-US"/>
        </w:rPr>
      </w:pPr>
      <w:r w:rsidRPr="00F6196C">
        <w:rPr>
          <w:rFonts w:ascii="Arial" w:eastAsia="Calibri" w:hAnsi="Arial" w:cs="Arial"/>
          <w:b/>
          <w:bCs/>
          <w:sz w:val="26"/>
          <w:szCs w:val="26"/>
          <w:lang w:val="es-ES" w:eastAsia="en-US"/>
        </w:rPr>
        <w:t>2.-</w:t>
      </w:r>
      <w:r w:rsidRPr="00F6196C">
        <w:rPr>
          <w:rFonts w:ascii="Arial" w:eastAsia="Calibri" w:hAnsi="Arial" w:cs="Arial"/>
          <w:bCs/>
          <w:sz w:val="26"/>
          <w:szCs w:val="26"/>
          <w:lang w:val="es-ES" w:eastAsia="en-US"/>
        </w:rPr>
        <w:t xml:space="preserve"> Por acuerdo de fecha once de octubre de dos mil dieciséis, se admitió a trámite la demanda de nulidad y se ordenó formar por cuerda separada el cuaderno de suspensión.</w:t>
      </w:r>
      <w:r w:rsidR="008063DA">
        <w:rPr>
          <w:rFonts w:ascii="Arial" w:eastAsia="Calibri" w:hAnsi="Arial" w:cs="Arial"/>
          <w:bCs/>
          <w:sz w:val="26"/>
          <w:szCs w:val="26"/>
          <w:lang w:val="es-ES" w:eastAsia="en-US"/>
        </w:rPr>
        <w:t xml:space="preserve"> - - - - - - - - - - - - - - - - - - - - - - - - - - - - - - - - - - - </w:t>
      </w:r>
    </w:p>
    <w:p w14:paraId="5E2349A3" w14:textId="57C3723B" w:rsidR="00F6196C" w:rsidRPr="00F6196C" w:rsidRDefault="00F6196C" w:rsidP="00F6196C">
      <w:pPr>
        <w:spacing w:line="360" w:lineRule="auto"/>
        <w:ind w:left="567" w:right="616"/>
        <w:jc w:val="both"/>
        <w:rPr>
          <w:rFonts w:ascii="Arial" w:eastAsia="Calibri" w:hAnsi="Arial" w:cs="Arial"/>
          <w:bCs/>
          <w:sz w:val="26"/>
          <w:szCs w:val="26"/>
          <w:lang w:val="es-ES" w:eastAsia="en-US"/>
        </w:rPr>
      </w:pPr>
      <w:r w:rsidRPr="00F6196C">
        <w:rPr>
          <w:rFonts w:ascii="Arial" w:eastAsia="Calibri" w:hAnsi="Arial" w:cs="Arial"/>
          <w:b/>
          <w:bCs/>
          <w:sz w:val="26"/>
          <w:szCs w:val="26"/>
          <w:lang w:val="es-ES" w:eastAsia="en-US"/>
        </w:rPr>
        <w:t>3.-</w:t>
      </w:r>
      <w:r w:rsidRPr="00F6196C">
        <w:rPr>
          <w:rFonts w:ascii="Arial" w:eastAsia="Calibri" w:hAnsi="Arial" w:cs="Arial"/>
          <w:bCs/>
          <w:sz w:val="26"/>
          <w:szCs w:val="26"/>
          <w:lang w:val="es-ES" w:eastAsia="en-US"/>
        </w:rPr>
        <w:t xml:space="preserve"> Con fecha veintiséis de enero de dos mil diecisiete, se dictó auto de sobreseimiento en el juicio principal, y el veintisiete de enero de dos mil diecisiete, se declaró sin materia el incidente de suspensión, tramitado en el cuaderno correspondiente.</w:t>
      </w:r>
      <w:r w:rsidR="008063DA" w:rsidRPr="008063DA">
        <w:rPr>
          <w:rFonts w:ascii="Arial" w:eastAsia="Calibri" w:hAnsi="Arial" w:cs="Arial"/>
          <w:bCs/>
          <w:sz w:val="26"/>
          <w:szCs w:val="26"/>
          <w:lang w:val="es-ES" w:eastAsia="en-US"/>
        </w:rPr>
        <w:t xml:space="preserve"> </w:t>
      </w:r>
      <w:r w:rsidR="008063DA">
        <w:rPr>
          <w:rFonts w:ascii="Arial" w:eastAsia="Calibri" w:hAnsi="Arial" w:cs="Arial"/>
          <w:bCs/>
          <w:sz w:val="26"/>
          <w:szCs w:val="26"/>
          <w:lang w:val="es-ES" w:eastAsia="en-US"/>
        </w:rPr>
        <w:t xml:space="preserve">- - - - - - - - - - - - - - - - - - - - - - - - - - - - - - - - </w:t>
      </w:r>
    </w:p>
    <w:p w14:paraId="0ACCCB58" w14:textId="00021429" w:rsidR="00F6196C" w:rsidRPr="00F6196C" w:rsidRDefault="00F6196C" w:rsidP="00F6196C">
      <w:pPr>
        <w:spacing w:line="360" w:lineRule="auto"/>
        <w:ind w:left="567" w:right="616"/>
        <w:jc w:val="both"/>
        <w:rPr>
          <w:rFonts w:ascii="Arial" w:eastAsia="Calibri" w:hAnsi="Arial" w:cs="Arial"/>
          <w:bCs/>
          <w:sz w:val="26"/>
          <w:szCs w:val="26"/>
          <w:lang w:val="es-ES" w:eastAsia="en-US"/>
        </w:rPr>
      </w:pPr>
      <w:r w:rsidRPr="00F6196C">
        <w:rPr>
          <w:rFonts w:ascii="Arial" w:eastAsia="Calibri" w:hAnsi="Arial" w:cs="Arial"/>
          <w:b/>
          <w:bCs/>
          <w:sz w:val="26"/>
          <w:szCs w:val="26"/>
          <w:lang w:val="es-ES" w:eastAsia="en-US"/>
        </w:rPr>
        <w:t>4.-</w:t>
      </w:r>
      <w:r w:rsidRPr="00F6196C">
        <w:rPr>
          <w:rFonts w:ascii="Arial" w:eastAsia="Calibri" w:hAnsi="Arial" w:cs="Arial"/>
          <w:bCs/>
          <w:sz w:val="26"/>
          <w:szCs w:val="26"/>
          <w:lang w:val="es-ES" w:eastAsia="en-US"/>
        </w:rPr>
        <w:t xml:space="preserve"> En la resolución de siete de septiembre de dos mil diecisiete, la Sala Superior ordenó modificar el acuerdo de fecha veintiséis de enero de dos mil diecisiete, para el efecto de que la primera instancia decretara nuevamente el sobreseimiento respecto al Comisariado Ejidal y la Sociedad Agrícola Comunal de San Sebastián de la Frontera, y continuara la secuela procesal respecto del Agente Municipal hasta su conclusión correspondiente.</w:t>
      </w:r>
      <w:r w:rsidR="008063DA">
        <w:rPr>
          <w:rFonts w:ascii="Arial" w:eastAsia="Calibri" w:hAnsi="Arial" w:cs="Arial"/>
          <w:bCs/>
          <w:sz w:val="26"/>
          <w:szCs w:val="26"/>
          <w:lang w:val="es-ES" w:eastAsia="en-US"/>
        </w:rPr>
        <w:t>- - - - - - - - - - - - - - - - - -</w:t>
      </w:r>
    </w:p>
    <w:p w14:paraId="6DA1B7F2" w14:textId="6ACC0A63" w:rsidR="00F6196C" w:rsidRPr="00F6196C" w:rsidRDefault="00F6196C" w:rsidP="00F6196C">
      <w:pPr>
        <w:spacing w:line="360" w:lineRule="auto"/>
        <w:ind w:left="567" w:right="616"/>
        <w:jc w:val="both"/>
        <w:rPr>
          <w:rFonts w:ascii="Arial" w:eastAsia="Calibri" w:hAnsi="Arial" w:cs="Arial"/>
          <w:bCs/>
          <w:sz w:val="26"/>
          <w:szCs w:val="26"/>
          <w:lang w:val="es-ES" w:eastAsia="en-US"/>
        </w:rPr>
      </w:pPr>
      <w:r w:rsidRPr="00F6196C">
        <w:rPr>
          <w:rFonts w:ascii="Arial" w:eastAsia="Calibri" w:hAnsi="Arial" w:cs="Arial"/>
          <w:b/>
          <w:bCs/>
          <w:sz w:val="26"/>
          <w:szCs w:val="26"/>
          <w:lang w:val="es-ES" w:eastAsia="en-US"/>
        </w:rPr>
        <w:lastRenderedPageBreak/>
        <w:t>5.-</w:t>
      </w:r>
      <w:r w:rsidRPr="00F6196C">
        <w:rPr>
          <w:rFonts w:ascii="Arial" w:eastAsia="Calibri" w:hAnsi="Arial" w:cs="Arial"/>
          <w:bCs/>
          <w:sz w:val="26"/>
          <w:szCs w:val="26"/>
          <w:lang w:val="es-ES" w:eastAsia="en-US"/>
        </w:rPr>
        <w:t xml:space="preserve"> Mediante resolución de fecha diecinueve de abril de dos mil dieciocho, la Sala Superior revocó la resolución de fecha veintisiete de enero de dos mil diecisiete, y ordenó que quedara subsistente la suspensión provisional decretada el dieciocho de agosto de dos mil dieciséis, hasta en tanto se resolviera la suspensión definitiva por la Sala Unitaria. </w:t>
      </w:r>
      <w:r w:rsidR="008063DA">
        <w:rPr>
          <w:rFonts w:ascii="Arial" w:eastAsia="Calibri" w:hAnsi="Arial" w:cs="Arial"/>
          <w:bCs/>
          <w:sz w:val="26"/>
          <w:szCs w:val="26"/>
          <w:lang w:val="es-ES" w:eastAsia="en-US"/>
        </w:rPr>
        <w:t>- - - - -</w:t>
      </w:r>
    </w:p>
    <w:p w14:paraId="701ABBF7" w14:textId="30B75939" w:rsidR="00F6196C" w:rsidRPr="00F6196C" w:rsidRDefault="00F6196C" w:rsidP="00F6196C">
      <w:pPr>
        <w:spacing w:line="360" w:lineRule="auto"/>
        <w:ind w:left="567" w:right="616"/>
        <w:jc w:val="both"/>
        <w:rPr>
          <w:rFonts w:ascii="Arial" w:eastAsia="Calibri" w:hAnsi="Arial" w:cs="Arial"/>
          <w:bCs/>
          <w:sz w:val="26"/>
          <w:szCs w:val="26"/>
          <w:lang w:val="es-ES" w:eastAsia="en-US"/>
        </w:rPr>
      </w:pPr>
      <w:r w:rsidRPr="00F6196C">
        <w:rPr>
          <w:rFonts w:ascii="Arial" w:eastAsia="Calibri" w:hAnsi="Arial" w:cs="Arial"/>
          <w:b/>
          <w:bCs/>
          <w:sz w:val="26"/>
          <w:szCs w:val="26"/>
          <w:lang w:val="es-ES" w:eastAsia="en-US"/>
        </w:rPr>
        <w:t>6.-</w:t>
      </w:r>
      <w:r w:rsidRPr="00F6196C">
        <w:rPr>
          <w:rFonts w:ascii="Arial" w:eastAsia="Calibri" w:hAnsi="Arial" w:cs="Arial"/>
          <w:bCs/>
          <w:sz w:val="26"/>
          <w:szCs w:val="26"/>
          <w:lang w:val="es-ES" w:eastAsia="en-US"/>
        </w:rPr>
        <w:t xml:space="preserve"> En la resolución de fecha treinta de septiembre de dos mil diecinueve, la Primera Instancia declaró sin materia el incidente de suspensión definitiva, al haberse pronunciado la sentencia en el expediente principal </w:t>
      </w:r>
      <w:r w:rsidRPr="00F6196C">
        <w:rPr>
          <w:rFonts w:ascii="Arial" w:eastAsia="Calibri" w:hAnsi="Arial" w:cs="Arial"/>
          <w:b/>
          <w:bCs/>
          <w:sz w:val="26"/>
          <w:szCs w:val="26"/>
          <w:lang w:val="es-ES" w:eastAsia="en-US"/>
        </w:rPr>
        <w:t>466/2016,</w:t>
      </w:r>
      <w:r w:rsidRPr="00F6196C">
        <w:rPr>
          <w:rFonts w:ascii="Arial" w:eastAsia="Calibri" w:hAnsi="Arial" w:cs="Arial"/>
          <w:bCs/>
          <w:sz w:val="26"/>
          <w:szCs w:val="26"/>
          <w:lang w:val="es-ES" w:eastAsia="en-US"/>
        </w:rPr>
        <w:t xml:space="preserve"> y en consecuencia, la Sala Unitaria declaró sin materia el incidente de suspensión señalado.</w:t>
      </w:r>
      <w:r w:rsidR="008063DA">
        <w:rPr>
          <w:rFonts w:ascii="Arial" w:eastAsia="Calibri" w:hAnsi="Arial" w:cs="Arial"/>
          <w:bCs/>
          <w:sz w:val="26"/>
          <w:szCs w:val="26"/>
          <w:lang w:val="es-ES" w:eastAsia="en-US"/>
        </w:rPr>
        <w:t xml:space="preserve">- - - - - - - - - - - - - - - - - - - </w:t>
      </w:r>
    </w:p>
    <w:p w14:paraId="4CA9F914" w14:textId="232C78BD" w:rsidR="00F6196C" w:rsidRPr="00F6196C" w:rsidRDefault="00F6196C" w:rsidP="00F6196C">
      <w:pPr>
        <w:spacing w:line="360" w:lineRule="auto"/>
        <w:ind w:firstLine="567"/>
        <w:jc w:val="both"/>
        <w:rPr>
          <w:rFonts w:ascii="Arial" w:eastAsia="Times New Roman" w:hAnsi="Arial" w:cs="Arial"/>
          <w:bCs/>
          <w:color w:val="000000"/>
          <w:sz w:val="26"/>
          <w:szCs w:val="26"/>
        </w:rPr>
      </w:pPr>
      <w:r w:rsidRPr="00F6196C">
        <w:rPr>
          <w:rFonts w:ascii="Arial" w:eastAsia="Calibri" w:hAnsi="Arial" w:cs="Arial"/>
          <w:bCs/>
          <w:sz w:val="26"/>
          <w:szCs w:val="26"/>
          <w:lang w:val="es-ES" w:eastAsia="en-US"/>
        </w:rPr>
        <w:t xml:space="preserve">Como se ve, el juicio de nulidad que dio origen a la suspensión fue resuelto mediante sentencia en primera instancia, previamente a que se decidiera acerca de la suspensión definitiva en el cuaderno correspondiente, por lo cual se actualizó un </w:t>
      </w:r>
      <w:r w:rsidRPr="00F6196C">
        <w:rPr>
          <w:rFonts w:ascii="Arial" w:eastAsia="Calibri" w:hAnsi="Arial" w:cs="Arial"/>
          <w:bCs/>
          <w:i/>
          <w:sz w:val="26"/>
          <w:szCs w:val="26"/>
          <w:lang w:val="es-ES" w:eastAsia="en-US"/>
        </w:rPr>
        <w:t>cambio de situación jurídica</w:t>
      </w:r>
      <w:r w:rsidRPr="00F6196C">
        <w:rPr>
          <w:rFonts w:ascii="Arial" w:eastAsia="Calibri" w:hAnsi="Arial" w:cs="Arial"/>
          <w:bCs/>
          <w:sz w:val="26"/>
          <w:szCs w:val="26"/>
          <w:lang w:val="es-ES" w:eastAsia="en-US"/>
        </w:rPr>
        <w:t xml:space="preserve">, </w:t>
      </w:r>
      <w:r w:rsidRPr="00F6196C">
        <w:rPr>
          <w:rFonts w:ascii="Arial" w:eastAsia="Times New Roman" w:hAnsi="Arial" w:cs="Arial"/>
          <w:bCs/>
          <w:color w:val="000000"/>
          <w:sz w:val="26"/>
          <w:szCs w:val="26"/>
        </w:rPr>
        <w:t>pues las condiciones que existían al instante de la presentación de la demanda fueron superadas al resolverse el juicio, y con ello, la correspondiente solicitud de suspensión ha cambiado, en virtud de que la validez del acto combatido y la paralización o continuación de sus efectos, ya no depende de la medida cautelar solicitada, sino de la sentencia que ha puesto fin al juicio de nulidad.</w:t>
      </w:r>
      <w:r w:rsidR="008063DA">
        <w:rPr>
          <w:rFonts w:ascii="Arial" w:eastAsia="Times New Roman" w:hAnsi="Arial" w:cs="Arial"/>
          <w:bCs/>
          <w:color w:val="000000"/>
          <w:sz w:val="26"/>
          <w:szCs w:val="26"/>
        </w:rPr>
        <w:t xml:space="preserve"> - - </w:t>
      </w:r>
    </w:p>
    <w:p w14:paraId="2FC541F8" w14:textId="77777777" w:rsidR="00F6196C" w:rsidRPr="00F6196C" w:rsidRDefault="00F6196C" w:rsidP="00F6196C">
      <w:pPr>
        <w:spacing w:before="240" w:after="0" w:line="360" w:lineRule="auto"/>
        <w:ind w:firstLine="709"/>
        <w:jc w:val="both"/>
        <w:rPr>
          <w:rFonts w:ascii="Arial" w:eastAsia="Times New Roman" w:hAnsi="Arial" w:cs="Arial"/>
          <w:bCs/>
          <w:sz w:val="26"/>
          <w:szCs w:val="26"/>
        </w:rPr>
      </w:pPr>
      <w:r w:rsidRPr="00F6196C">
        <w:rPr>
          <w:rFonts w:ascii="Arial" w:eastAsia="Times New Roman" w:hAnsi="Arial" w:cs="Arial"/>
          <w:bCs/>
          <w:sz w:val="26"/>
          <w:szCs w:val="26"/>
        </w:rPr>
        <w:t>Resulta aplicable el criterio establecido en la tesis CXI/96, con número de registro 199808 de la Segunda Sala de la Suprema Corte de Justicia de la Nación, visible a página 219, del Semanario Judicial de la Federación y su Gaceta, Tomo IV, Diciembre de 1996, de la Novena Época, de rubro y texto siguientes:</w:t>
      </w:r>
    </w:p>
    <w:p w14:paraId="3D80886F" w14:textId="77777777" w:rsidR="00F6196C" w:rsidRPr="00F6196C" w:rsidRDefault="00F6196C" w:rsidP="00F6196C">
      <w:pPr>
        <w:spacing w:before="240" w:after="0" w:line="360" w:lineRule="auto"/>
        <w:ind w:left="709" w:right="709"/>
        <w:jc w:val="both"/>
        <w:rPr>
          <w:rFonts w:ascii="Arial" w:eastAsia="Times New Roman" w:hAnsi="Arial" w:cs="Arial"/>
          <w:b/>
          <w:bCs/>
        </w:rPr>
      </w:pPr>
      <w:r w:rsidRPr="00F6196C">
        <w:rPr>
          <w:rFonts w:ascii="Arial" w:eastAsia="Times New Roman" w:hAnsi="Arial" w:cs="Arial"/>
          <w:b/>
          <w:bCs/>
          <w:i/>
        </w:rPr>
        <w:t xml:space="preserve">“CAMBIO DE SITUACIÓN JURÍDICA. REGLA GENERAL. </w:t>
      </w:r>
      <w:r w:rsidRPr="00F6196C">
        <w:rPr>
          <w:rFonts w:ascii="Arial" w:eastAsia="Times New Roman" w:hAnsi="Arial" w:cs="Arial"/>
          <w:bCs/>
          <w:i/>
        </w:rPr>
        <w:t xml:space="preserve">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w:t>
      </w:r>
      <w:r w:rsidRPr="00F6196C">
        <w:rPr>
          <w:rFonts w:ascii="Arial" w:eastAsia="Times New Roman" w:hAnsi="Arial" w:cs="Arial"/>
          <w:bCs/>
          <w:i/>
        </w:rPr>
        <w:lastRenderedPageBreak/>
        <w:t>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14:paraId="06FECCCA" w14:textId="77777777" w:rsidR="00F6196C" w:rsidRPr="00F6196C" w:rsidRDefault="00F6196C" w:rsidP="00F6196C">
      <w:pPr>
        <w:spacing w:line="360" w:lineRule="auto"/>
        <w:ind w:firstLine="567"/>
        <w:jc w:val="both"/>
        <w:rPr>
          <w:rFonts w:ascii="Arial" w:eastAsia="Calibri" w:hAnsi="Arial" w:cs="Arial"/>
          <w:bCs/>
          <w:lang w:val="es-ES" w:eastAsia="en-US"/>
        </w:rPr>
      </w:pPr>
    </w:p>
    <w:p w14:paraId="78031947" w14:textId="32D2E506" w:rsidR="00F6196C" w:rsidRPr="00F6196C" w:rsidRDefault="00F6196C" w:rsidP="00F6196C">
      <w:pPr>
        <w:spacing w:line="360" w:lineRule="auto"/>
        <w:ind w:firstLine="567"/>
        <w:jc w:val="both"/>
        <w:rPr>
          <w:rFonts w:ascii="Arial" w:eastAsia="Calibri" w:hAnsi="Arial" w:cs="Arial"/>
          <w:bCs/>
          <w:sz w:val="26"/>
          <w:szCs w:val="26"/>
          <w:lang w:val="es-ES" w:eastAsia="en-US"/>
        </w:rPr>
      </w:pPr>
      <w:r w:rsidRPr="00F6196C">
        <w:rPr>
          <w:rFonts w:ascii="Arial" w:eastAsia="Calibri" w:hAnsi="Arial" w:cs="Arial"/>
          <w:bCs/>
          <w:sz w:val="26"/>
          <w:szCs w:val="26"/>
          <w:lang w:val="es-ES" w:eastAsia="en-US"/>
        </w:rPr>
        <w:t xml:space="preserve">Por lo tanto, se concluye que ante la nueva situación jurídica creada, fue acertado que la </w:t>
      </w:r>
      <w:r w:rsidRPr="00F6196C">
        <w:rPr>
          <w:rFonts w:ascii="Arial" w:eastAsia="Calibri" w:hAnsi="Arial" w:cs="Arial"/>
          <w:bCs/>
          <w:i/>
          <w:sz w:val="26"/>
          <w:szCs w:val="26"/>
          <w:lang w:val="es-ES" w:eastAsia="en-US"/>
        </w:rPr>
        <w:t>A quo</w:t>
      </w:r>
      <w:r w:rsidRPr="00F6196C">
        <w:rPr>
          <w:rFonts w:ascii="Arial" w:eastAsia="Calibri" w:hAnsi="Arial" w:cs="Arial"/>
          <w:bCs/>
          <w:sz w:val="26"/>
          <w:szCs w:val="26"/>
          <w:lang w:val="es-ES" w:eastAsia="en-US"/>
        </w:rPr>
        <w:t xml:space="preserve"> haya declarado sin materia el incidente de suspensión en la resolución que ahora se recurre, siendo procedente </w:t>
      </w:r>
      <w:r w:rsidRPr="00F6196C">
        <w:rPr>
          <w:rFonts w:ascii="Arial" w:eastAsia="Calibri" w:hAnsi="Arial" w:cs="Arial"/>
          <w:b/>
          <w:bCs/>
          <w:sz w:val="26"/>
          <w:szCs w:val="26"/>
          <w:lang w:val="es-ES" w:eastAsia="en-US"/>
        </w:rPr>
        <w:t>CONFIRMAR</w:t>
      </w:r>
      <w:r w:rsidRPr="00F6196C">
        <w:rPr>
          <w:rFonts w:ascii="Arial" w:eastAsia="Calibri" w:hAnsi="Arial" w:cs="Arial"/>
          <w:bCs/>
          <w:sz w:val="26"/>
          <w:szCs w:val="26"/>
          <w:lang w:val="es-ES" w:eastAsia="en-US"/>
        </w:rPr>
        <w:t xml:space="preserve"> la resolución impugnada en revisión.</w:t>
      </w:r>
      <w:r w:rsidR="00645D4A">
        <w:rPr>
          <w:rFonts w:ascii="Arial" w:eastAsia="Calibri" w:hAnsi="Arial" w:cs="Arial"/>
          <w:bCs/>
          <w:sz w:val="26"/>
          <w:szCs w:val="26"/>
          <w:lang w:val="es-ES" w:eastAsia="en-US"/>
        </w:rPr>
        <w:t>- - - - - -</w:t>
      </w:r>
    </w:p>
    <w:p w14:paraId="29EDA5F7" w14:textId="5FA8E0FC" w:rsidR="00F6196C" w:rsidRPr="00F6196C" w:rsidRDefault="00F6196C" w:rsidP="00F6196C">
      <w:pPr>
        <w:spacing w:line="360" w:lineRule="auto"/>
        <w:ind w:firstLine="567"/>
        <w:jc w:val="both"/>
        <w:rPr>
          <w:rFonts w:ascii="Arial" w:eastAsia="Calibri" w:hAnsi="Arial" w:cs="Arial"/>
          <w:bCs/>
          <w:sz w:val="26"/>
          <w:szCs w:val="26"/>
          <w:lang w:val="es-ES" w:eastAsia="en-US"/>
        </w:rPr>
      </w:pPr>
      <w:r w:rsidRPr="00F6196C">
        <w:rPr>
          <w:rFonts w:ascii="Arial" w:eastAsia="Calibri" w:hAnsi="Arial" w:cs="Arial"/>
          <w:bCs/>
          <w:sz w:val="26"/>
          <w:szCs w:val="26"/>
          <w:lang w:val="es-ES" w:eastAsia="en-US"/>
        </w:rPr>
        <w:t xml:space="preserve">Resulta aplicable la tesis III.3o.C.44 K, con número de registro 193814, perteneciente a la Novena Época, emitida por los Tribunales Colegiados de Circuito, visible en el Semanario Judicial de la Federación y su Gaceta, Tomo IX, Junio de 1999, Página 969, de rubro y texto siguientes: </w:t>
      </w:r>
      <w:r w:rsidR="00645D4A">
        <w:rPr>
          <w:rFonts w:ascii="Arial" w:eastAsia="Calibri" w:hAnsi="Arial" w:cs="Arial"/>
          <w:bCs/>
          <w:sz w:val="26"/>
          <w:szCs w:val="26"/>
          <w:lang w:val="es-ES" w:eastAsia="en-US"/>
        </w:rPr>
        <w:t xml:space="preserve">- - - - - - - - - - - - - - - - - - - - - - - - - - - - - - - - - - - - - - </w:t>
      </w:r>
    </w:p>
    <w:p w14:paraId="1D04C13C" w14:textId="77777777" w:rsidR="00F6196C" w:rsidRPr="00F6196C" w:rsidRDefault="00F6196C" w:rsidP="00BF5F72">
      <w:pPr>
        <w:spacing w:line="240" w:lineRule="auto"/>
        <w:ind w:left="567" w:right="616"/>
        <w:jc w:val="both"/>
        <w:rPr>
          <w:rFonts w:ascii="Arial" w:eastAsia="Calibri" w:hAnsi="Arial" w:cs="Arial"/>
          <w:b/>
          <w:bCs/>
          <w:i/>
          <w:lang w:val="es-ES" w:eastAsia="en-US"/>
        </w:rPr>
      </w:pPr>
      <w:r w:rsidRPr="00F6196C">
        <w:rPr>
          <w:rFonts w:ascii="Arial" w:eastAsia="Calibri" w:hAnsi="Arial" w:cs="Arial"/>
          <w:b/>
          <w:bCs/>
          <w:i/>
          <w:lang w:val="es-ES" w:eastAsia="en-US"/>
        </w:rPr>
        <w:t>“QUEJA, RECURSO DE. DEBE DECLARARSE SIN MATERIA CUANDO EL JUICIO DE GARANTÍAS QUE LE DIO ORIGEN YA FUE RESUELTO.</w:t>
      </w:r>
    </w:p>
    <w:p w14:paraId="5A75DFBB" w14:textId="77777777" w:rsidR="00F6196C" w:rsidRPr="00F6196C" w:rsidRDefault="00F6196C" w:rsidP="00BF5F72">
      <w:pPr>
        <w:spacing w:line="240" w:lineRule="auto"/>
        <w:ind w:left="567" w:right="616"/>
        <w:jc w:val="both"/>
        <w:rPr>
          <w:rFonts w:ascii="Arial" w:eastAsia="Calibri" w:hAnsi="Arial" w:cs="Arial"/>
          <w:bCs/>
          <w:i/>
          <w:lang w:val="es-ES" w:eastAsia="en-US"/>
        </w:rPr>
      </w:pPr>
      <w:r w:rsidRPr="00F6196C">
        <w:rPr>
          <w:rFonts w:ascii="Arial" w:eastAsia="Calibri" w:hAnsi="Arial" w:cs="Arial"/>
          <w:bCs/>
          <w:i/>
          <w:lang w:val="es-ES" w:eastAsia="en-US"/>
        </w:rPr>
        <w:t>Cuando en un juicio de amparo indirecto se recurre el proveído mediante el cual, fuera de la audiencia, se inadmitieron las pruebas de inspección judicial y testimonial ofrecidas por la quejosa, a través del recurso de queja, y el aludido juicio constitucional que dio origen al citado recurso quedó resuelto mediante sentencia definitiva, pronunciada al no haberse suspendido el procedimiento, dado que el resolutor desconocía la interposición de aquel recurso, es obvio que ante la nueva situación jurídica creada, debe declararse que dicho medio de impugnación ha quedado sin materia.</w:t>
      </w:r>
    </w:p>
    <w:p w14:paraId="7714E6F7" w14:textId="76AABDEF" w:rsidR="00F6196C" w:rsidRDefault="00F6196C" w:rsidP="00BF5F72">
      <w:pPr>
        <w:spacing w:line="240" w:lineRule="auto"/>
        <w:ind w:left="567" w:right="616"/>
        <w:jc w:val="both"/>
        <w:rPr>
          <w:rFonts w:ascii="Arial" w:eastAsia="Calibri" w:hAnsi="Arial" w:cs="Arial"/>
          <w:bCs/>
          <w:i/>
          <w:lang w:val="es-ES" w:eastAsia="en-US"/>
        </w:rPr>
      </w:pPr>
      <w:r w:rsidRPr="00F6196C">
        <w:rPr>
          <w:rFonts w:ascii="Arial" w:eastAsia="Calibri" w:hAnsi="Arial" w:cs="Arial"/>
          <w:bCs/>
          <w:i/>
          <w:lang w:val="es-ES" w:eastAsia="en-US"/>
        </w:rPr>
        <w:t>TERCER TRIBUNAL COLEGIADO EN MATERIA CIVIL DEL TERCER CIRCUITO.”</w:t>
      </w:r>
    </w:p>
    <w:p w14:paraId="0F457768" w14:textId="77777777" w:rsidR="00BF5F72" w:rsidRPr="00F6196C" w:rsidRDefault="00BF5F72" w:rsidP="00BF5F72">
      <w:pPr>
        <w:spacing w:line="240" w:lineRule="auto"/>
        <w:ind w:left="567" w:right="616"/>
        <w:jc w:val="both"/>
        <w:rPr>
          <w:rFonts w:ascii="Arial" w:eastAsia="Calibri" w:hAnsi="Arial" w:cs="Arial"/>
          <w:bCs/>
          <w:i/>
          <w:lang w:val="es-ES" w:eastAsia="en-US"/>
        </w:rPr>
      </w:pPr>
    </w:p>
    <w:p w14:paraId="7CF33E8B" w14:textId="770294BD" w:rsidR="00645D4A" w:rsidRPr="00F6196C" w:rsidRDefault="00F6196C" w:rsidP="00BF5F72">
      <w:pPr>
        <w:spacing w:after="0" w:line="360" w:lineRule="auto"/>
        <w:ind w:firstLine="567"/>
        <w:jc w:val="both"/>
        <w:rPr>
          <w:rFonts w:ascii="Arial" w:eastAsia="Calibri" w:hAnsi="Arial" w:cs="Arial"/>
          <w:bCs/>
          <w:sz w:val="26"/>
          <w:szCs w:val="26"/>
          <w:lang w:val="es-ES" w:eastAsia="en-US"/>
        </w:rPr>
      </w:pPr>
      <w:r w:rsidRPr="00F6196C">
        <w:rPr>
          <w:rFonts w:ascii="Arial" w:eastAsia="Calibri" w:hAnsi="Arial" w:cs="Arial"/>
          <w:bCs/>
          <w:sz w:val="26"/>
          <w:szCs w:val="26"/>
          <w:lang w:val="es-ES" w:eastAsia="en-US"/>
        </w:rPr>
        <w:t>En virtud de lo anterior, con fundamento en los artículos 237 y 238 de la Ley de Procedimiento y Justicia Administrativa para el Estado de Oaxaca, se</w:t>
      </w:r>
      <w:r w:rsidR="00645D4A">
        <w:rPr>
          <w:rFonts w:ascii="Arial" w:eastAsia="Calibri" w:hAnsi="Arial" w:cs="Arial"/>
          <w:bCs/>
          <w:sz w:val="26"/>
          <w:szCs w:val="26"/>
          <w:lang w:val="es-ES" w:eastAsia="en-US"/>
        </w:rPr>
        <w:t xml:space="preserve"> - - - - - - - - - - - - - - - - - - - - - - - - - - - - - - - - - - - - - - - - - - - </w:t>
      </w:r>
    </w:p>
    <w:p w14:paraId="6FC7F25C" w14:textId="77777777" w:rsidR="00F6196C" w:rsidRPr="00F6196C" w:rsidRDefault="00F6196C" w:rsidP="00F6196C">
      <w:pPr>
        <w:spacing w:after="0" w:line="360" w:lineRule="auto"/>
        <w:ind w:firstLine="567"/>
        <w:jc w:val="center"/>
        <w:rPr>
          <w:rFonts w:ascii="Arial" w:eastAsia="Calibri" w:hAnsi="Arial" w:cs="Arial"/>
          <w:b/>
          <w:bCs/>
          <w:sz w:val="26"/>
          <w:szCs w:val="26"/>
          <w:lang w:val="es-ES" w:eastAsia="en-US"/>
        </w:rPr>
      </w:pPr>
      <w:r w:rsidRPr="00F6196C">
        <w:rPr>
          <w:rFonts w:ascii="Arial" w:eastAsia="Calibri" w:hAnsi="Arial" w:cs="Arial"/>
          <w:b/>
          <w:bCs/>
          <w:sz w:val="26"/>
          <w:szCs w:val="26"/>
          <w:lang w:val="es-ES" w:eastAsia="en-US"/>
        </w:rPr>
        <w:t>R E S U E L V E:</w:t>
      </w:r>
    </w:p>
    <w:p w14:paraId="64A9A4A3" w14:textId="77777777" w:rsidR="00F6196C" w:rsidRPr="00F6196C" w:rsidRDefault="00F6196C" w:rsidP="00F6196C">
      <w:pPr>
        <w:spacing w:after="0" w:line="360" w:lineRule="auto"/>
        <w:ind w:firstLine="567"/>
        <w:jc w:val="both"/>
        <w:rPr>
          <w:rFonts w:ascii="Arial" w:eastAsia="Calibri" w:hAnsi="Arial" w:cs="Arial"/>
          <w:bCs/>
          <w:sz w:val="26"/>
          <w:szCs w:val="26"/>
          <w:lang w:val="es-ES" w:eastAsia="en-US"/>
        </w:rPr>
      </w:pPr>
    </w:p>
    <w:p w14:paraId="5E341ECA" w14:textId="4273D605" w:rsidR="00BF5F72" w:rsidRDefault="00F6196C" w:rsidP="007B01C7">
      <w:pPr>
        <w:spacing w:after="0" w:line="360" w:lineRule="auto"/>
        <w:ind w:firstLine="567"/>
        <w:jc w:val="both"/>
        <w:rPr>
          <w:rFonts w:ascii="Arial" w:eastAsia="Calibri" w:hAnsi="Arial" w:cs="Arial"/>
          <w:bCs/>
          <w:sz w:val="26"/>
          <w:szCs w:val="26"/>
          <w:lang w:val="es-ES" w:eastAsia="en-US"/>
        </w:rPr>
      </w:pPr>
      <w:r w:rsidRPr="00F6196C">
        <w:rPr>
          <w:rFonts w:ascii="Arial" w:eastAsia="Calibri" w:hAnsi="Arial" w:cs="Arial"/>
          <w:b/>
          <w:bCs/>
          <w:sz w:val="26"/>
          <w:szCs w:val="26"/>
          <w:lang w:val="es-ES" w:eastAsia="en-US"/>
        </w:rPr>
        <w:t>PRIMERO. SE CONFIRMA</w:t>
      </w:r>
      <w:r w:rsidRPr="00F6196C">
        <w:rPr>
          <w:rFonts w:ascii="Arial" w:eastAsia="Calibri" w:hAnsi="Arial" w:cs="Arial"/>
          <w:bCs/>
          <w:sz w:val="26"/>
          <w:szCs w:val="26"/>
          <w:lang w:val="es-ES" w:eastAsia="en-US"/>
        </w:rPr>
        <w:t xml:space="preserve"> la resolución recurrida, por las razones expuestas en el considerando que antecede.</w:t>
      </w:r>
      <w:r w:rsidR="00645D4A">
        <w:rPr>
          <w:rFonts w:ascii="Arial" w:eastAsia="Calibri" w:hAnsi="Arial" w:cs="Arial"/>
          <w:bCs/>
          <w:sz w:val="26"/>
          <w:szCs w:val="26"/>
          <w:lang w:val="es-ES" w:eastAsia="en-US"/>
        </w:rPr>
        <w:t xml:space="preserve"> - - - - - - - - - - - - -</w:t>
      </w:r>
    </w:p>
    <w:p w14:paraId="70E64A9E" w14:textId="77777777" w:rsidR="007B01C7" w:rsidRPr="00F6196C" w:rsidRDefault="007B01C7" w:rsidP="007B01C7">
      <w:pPr>
        <w:spacing w:after="0" w:line="360" w:lineRule="auto"/>
        <w:ind w:firstLine="567"/>
        <w:jc w:val="both"/>
        <w:rPr>
          <w:rFonts w:ascii="Arial" w:eastAsia="Calibri" w:hAnsi="Arial" w:cs="Arial"/>
          <w:bCs/>
          <w:sz w:val="26"/>
          <w:szCs w:val="26"/>
          <w:lang w:val="es-ES" w:eastAsia="en-US"/>
        </w:rPr>
      </w:pPr>
    </w:p>
    <w:p w14:paraId="260FDB3D" w14:textId="77E86368" w:rsidR="00F6196C" w:rsidRPr="00F6196C" w:rsidRDefault="00F6196C" w:rsidP="00F6196C">
      <w:pPr>
        <w:spacing w:after="0" w:line="360" w:lineRule="auto"/>
        <w:ind w:firstLine="567"/>
        <w:jc w:val="both"/>
        <w:rPr>
          <w:rFonts w:ascii="Arial" w:eastAsia="Calibri" w:hAnsi="Arial" w:cs="Arial"/>
          <w:bCs/>
          <w:sz w:val="26"/>
          <w:szCs w:val="26"/>
          <w:lang w:val="es-ES" w:eastAsia="en-US"/>
        </w:rPr>
      </w:pPr>
      <w:r w:rsidRPr="00F6196C">
        <w:rPr>
          <w:rFonts w:ascii="Arial" w:eastAsia="Calibri" w:hAnsi="Arial" w:cs="Arial"/>
          <w:b/>
          <w:bCs/>
          <w:sz w:val="26"/>
          <w:szCs w:val="26"/>
          <w:lang w:val="es-ES" w:eastAsia="en-US"/>
        </w:rPr>
        <w:t>SEGUNDO. NOTIFÍQUESE y CÚMPLASE,</w:t>
      </w:r>
      <w:r w:rsidRPr="00F6196C">
        <w:rPr>
          <w:rFonts w:ascii="Arial" w:eastAsia="Calibri" w:hAnsi="Arial" w:cs="Arial"/>
          <w:bCs/>
          <w:sz w:val="26"/>
          <w:szCs w:val="26"/>
          <w:lang w:val="es-ES" w:eastAsia="en-US"/>
        </w:rPr>
        <w:t xml:space="preserve"> con copia certificada de la presente resolución, vuelvan las constancias remitidas a la </w:t>
      </w:r>
      <w:r w:rsidRPr="00F6196C">
        <w:rPr>
          <w:rFonts w:ascii="Arial" w:eastAsia="Calibri" w:hAnsi="Arial" w:cs="Arial"/>
          <w:bCs/>
          <w:sz w:val="26"/>
          <w:szCs w:val="26"/>
          <w:lang w:val="es-ES" w:eastAsia="en-US"/>
        </w:rPr>
        <w:lastRenderedPageBreak/>
        <w:t xml:space="preserve">Primera Sala Unitaria de Primera Instancia, y en su oportunidad archívese el presente cuaderno de revisión como </w:t>
      </w:r>
      <w:r w:rsidR="00BF5F72" w:rsidRPr="00F6196C">
        <w:rPr>
          <w:rFonts w:ascii="Arial" w:eastAsia="Calibri" w:hAnsi="Arial" w:cs="Arial"/>
          <w:bCs/>
          <w:sz w:val="26"/>
          <w:szCs w:val="26"/>
          <w:lang w:val="es-ES" w:eastAsia="en-US"/>
        </w:rPr>
        <w:t>concluido.</w:t>
      </w:r>
      <w:r w:rsidR="00BF5F72">
        <w:rPr>
          <w:rFonts w:ascii="Arial" w:eastAsia="Calibri" w:hAnsi="Arial" w:cs="Arial"/>
          <w:bCs/>
          <w:sz w:val="26"/>
          <w:szCs w:val="26"/>
          <w:lang w:val="es-ES" w:eastAsia="en-US"/>
        </w:rPr>
        <w:t xml:space="preserve"> -</w:t>
      </w:r>
      <w:r w:rsidR="00645D4A">
        <w:rPr>
          <w:rFonts w:ascii="Arial" w:eastAsia="Calibri" w:hAnsi="Arial" w:cs="Arial"/>
          <w:bCs/>
          <w:sz w:val="26"/>
          <w:szCs w:val="26"/>
          <w:lang w:val="es-ES" w:eastAsia="en-US"/>
        </w:rPr>
        <w:t xml:space="preserve"> - - - - - - - </w:t>
      </w:r>
    </w:p>
    <w:p w14:paraId="62259790" w14:textId="77777777" w:rsidR="00032867" w:rsidRDefault="00032867" w:rsidP="00032867">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w:t>
      </w:r>
    </w:p>
    <w:p w14:paraId="57344A0D" w14:textId="77777777" w:rsidR="00032867" w:rsidRDefault="00032867" w:rsidP="00032867">
      <w:pPr>
        <w:spacing w:before="240" w:line="360" w:lineRule="auto"/>
        <w:jc w:val="both"/>
        <w:rPr>
          <w:rFonts w:ascii="Arial" w:hAnsi="Arial" w:cs="Arial"/>
          <w:sz w:val="26"/>
          <w:szCs w:val="26"/>
        </w:rPr>
      </w:pPr>
    </w:p>
    <w:p w14:paraId="0C09AD4B" w14:textId="77777777" w:rsidR="00032867" w:rsidRDefault="00032867" w:rsidP="00032867">
      <w:pPr>
        <w:spacing w:before="240" w:line="360" w:lineRule="auto"/>
        <w:ind w:firstLine="708"/>
        <w:jc w:val="both"/>
        <w:rPr>
          <w:rFonts w:ascii="Arial" w:hAnsi="Arial" w:cs="Arial"/>
          <w:sz w:val="26"/>
          <w:szCs w:val="26"/>
        </w:rPr>
      </w:pPr>
    </w:p>
    <w:p w14:paraId="6A49BE2E" w14:textId="77777777" w:rsidR="00032867" w:rsidRDefault="00032867" w:rsidP="00032867">
      <w:pPr>
        <w:spacing w:before="240" w:line="360" w:lineRule="auto"/>
        <w:ind w:firstLine="708"/>
        <w:jc w:val="both"/>
        <w:rPr>
          <w:rFonts w:ascii="Arial" w:hAnsi="Arial" w:cs="Arial"/>
          <w:sz w:val="26"/>
          <w:szCs w:val="26"/>
        </w:rPr>
      </w:pPr>
    </w:p>
    <w:p w14:paraId="2A11E3CC" w14:textId="77777777" w:rsidR="00032867" w:rsidRDefault="00032867" w:rsidP="0003286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0B5CD0F8" w14:textId="77777777" w:rsidR="00032867" w:rsidRDefault="00032867" w:rsidP="0003286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02C974FE" w14:textId="77777777" w:rsidR="00032867" w:rsidRDefault="00032867" w:rsidP="00032867">
      <w:pPr>
        <w:tabs>
          <w:tab w:val="left" w:pos="1680"/>
          <w:tab w:val="center" w:pos="4277"/>
        </w:tabs>
        <w:spacing w:after="0" w:line="240" w:lineRule="auto"/>
        <w:jc w:val="center"/>
        <w:rPr>
          <w:rFonts w:ascii="Arial" w:hAnsi="Arial" w:cs="Arial"/>
          <w:sz w:val="26"/>
          <w:szCs w:val="26"/>
        </w:rPr>
      </w:pPr>
    </w:p>
    <w:p w14:paraId="0599DEE9" w14:textId="77777777" w:rsidR="00032867" w:rsidRDefault="00032867" w:rsidP="00032867">
      <w:pPr>
        <w:tabs>
          <w:tab w:val="left" w:pos="1680"/>
          <w:tab w:val="center" w:pos="4277"/>
        </w:tabs>
        <w:spacing w:after="0" w:line="240" w:lineRule="auto"/>
        <w:jc w:val="center"/>
        <w:rPr>
          <w:rFonts w:ascii="Arial" w:hAnsi="Arial" w:cs="Arial"/>
          <w:sz w:val="26"/>
          <w:szCs w:val="26"/>
        </w:rPr>
      </w:pPr>
    </w:p>
    <w:p w14:paraId="7B0951AE" w14:textId="77777777" w:rsidR="00032867" w:rsidRDefault="00032867" w:rsidP="00032867">
      <w:pPr>
        <w:tabs>
          <w:tab w:val="left" w:pos="1680"/>
          <w:tab w:val="center" w:pos="4277"/>
        </w:tabs>
        <w:spacing w:after="0" w:line="240" w:lineRule="auto"/>
        <w:jc w:val="center"/>
        <w:rPr>
          <w:rFonts w:ascii="Arial" w:hAnsi="Arial" w:cs="Arial"/>
          <w:sz w:val="26"/>
          <w:szCs w:val="26"/>
        </w:rPr>
      </w:pPr>
    </w:p>
    <w:p w14:paraId="2F8F8A85" w14:textId="77777777" w:rsidR="00032867" w:rsidRDefault="00032867" w:rsidP="00032867">
      <w:pPr>
        <w:tabs>
          <w:tab w:val="left" w:pos="1680"/>
          <w:tab w:val="center" w:pos="4277"/>
        </w:tabs>
        <w:spacing w:after="0" w:line="240" w:lineRule="auto"/>
        <w:rPr>
          <w:rFonts w:ascii="Arial" w:hAnsi="Arial" w:cs="Arial"/>
          <w:sz w:val="26"/>
          <w:szCs w:val="26"/>
        </w:rPr>
      </w:pPr>
    </w:p>
    <w:p w14:paraId="30C1E6DC" w14:textId="77777777" w:rsidR="00032867" w:rsidRDefault="00032867" w:rsidP="00032867">
      <w:pPr>
        <w:tabs>
          <w:tab w:val="left" w:pos="1680"/>
          <w:tab w:val="center" w:pos="4277"/>
        </w:tabs>
        <w:spacing w:after="0" w:line="240" w:lineRule="auto"/>
        <w:rPr>
          <w:rFonts w:ascii="Arial" w:hAnsi="Arial" w:cs="Arial"/>
          <w:sz w:val="26"/>
          <w:szCs w:val="26"/>
        </w:rPr>
      </w:pPr>
    </w:p>
    <w:p w14:paraId="19C257E5" w14:textId="77777777" w:rsidR="00032867" w:rsidRDefault="00032867" w:rsidP="00032867">
      <w:pPr>
        <w:tabs>
          <w:tab w:val="left" w:pos="1680"/>
          <w:tab w:val="center" w:pos="4277"/>
        </w:tabs>
        <w:spacing w:after="0" w:line="240" w:lineRule="auto"/>
        <w:rPr>
          <w:rFonts w:ascii="Arial" w:hAnsi="Arial" w:cs="Arial"/>
          <w:sz w:val="26"/>
          <w:szCs w:val="26"/>
        </w:rPr>
      </w:pPr>
    </w:p>
    <w:p w14:paraId="4FB2BB17" w14:textId="77777777" w:rsidR="00032867" w:rsidRDefault="00032867" w:rsidP="00032867">
      <w:pPr>
        <w:spacing w:after="0" w:line="240" w:lineRule="auto"/>
        <w:jc w:val="center"/>
        <w:rPr>
          <w:rFonts w:ascii="Arial" w:hAnsi="Arial" w:cs="Arial"/>
          <w:sz w:val="26"/>
          <w:szCs w:val="26"/>
        </w:rPr>
      </w:pPr>
    </w:p>
    <w:p w14:paraId="16C04576" w14:textId="77777777" w:rsidR="00032867" w:rsidRDefault="00032867" w:rsidP="0003286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69358D1E"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46739C27" w14:textId="77777777" w:rsidR="00032867" w:rsidRDefault="00032867" w:rsidP="00032867">
      <w:pPr>
        <w:tabs>
          <w:tab w:val="center" w:pos="4135"/>
          <w:tab w:val="left" w:pos="7515"/>
        </w:tabs>
        <w:spacing w:after="0" w:line="240" w:lineRule="auto"/>
        <w:rPr>
          <w:rFonts w:ascii="Arial" w:hAnsi="Arial" w:cs="Arial"/>
          <w:sz w:val="26"/>
          <w:szCs w:val="26"/>
        </w:rPr>
      </w:pPr>
    </w:p>
    <w:p w14:paraId="5C3A5F5B"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46690212"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4581487A"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0BC6454B"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505D00F9"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1AFB292D"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30675939" w14:textId="77777777" w:rsidR="00032867" w:rsidRDefault="00032867" w:rsidP="0003286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07D6AA31"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514BBC0B"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6179CC35" w14:textId="77777777" w:rsidR="00032867" w:rsidRDefault="00032867" w:rsidP="00032867">
      <w:pPr>
        <w:tabs>
          <w:tab w:val="center" w:pos="4135"/>
          <w:tab w:val="left" w:pos="7515"/>
        </w:tabs>
        <w:spacing w:after="0" w:line="240" w:lineRule="auto"/>
        <w:rPr>
          <w:rFonts w:ascii="Arial" w:hAnsi="Arial" w:cs="Arial"/>
          <w:sz w:val="26"/>
          <w:szCs w:val="26"/>
        </w:rPr>
      </w:pPr>
    </w:p>
    <w:p w14:paraId="189C01C5"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33FCA75A"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7EACF7CA"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4CAB0741"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584220A7" w14:textId="77777777" w:rsidR="00032867" w:rsidRDefault="00032867" w:rsidP="00032867">
      <w:pPr>
        <w:tabs>
          <w:tab w:val="center" w:pos="4135"/>
          <w:tab w:val="left" w:pos="7515"/>
        </w:tabs>
        <w:spacing w:after="0" w:line="240" w:lineRule="auto"/>
        <w:jc w:val="center"/>
        <w:rPr>
          <w:rFonts w:ascii="Arial" w:hAnsi="Arial" w:cs="Arial"/>
          <w:sz w:val="26"/>
          <w:szCs w:val="26"/>
        </w:rPr>
      </w:pPr>
    </w:p>
    <w:p w14:paraId="7BEB90EA" w14:textId="77777777" w:rsidR="00032867" w:rsidRDefault="00032867" w:rsidP="00032867">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17235094" w14:textId="77777777" w:rsidR="00032867" w:rsidRDefault="00032867" w:rsidP="00032867">
      <w:pPr>
        <w:spacing w:after="0" w:line="240" w:lineRule="auto"/>
        <w:jc w:val="center"/>
        <w:rPr>
          <w:rFonts w:ascii="Arial" w:hAnsi="Arial" w:cs="Arial"/>
          <w:sz w:val="14"/>
          <w:szCs w:val="26"/>
        </w:rPr>
      </w:pPr>
      <w:r>
        <w:rPr>
          <w:rFonts w:ascii="Arial" w:hAnsi="Arial" w:cs="Arial"/>
          <w:sz w:val="26"/>
          <w:szCs w:val="26"/>
        </w:rPr>
        <w:t>SECRETARIO GENERAL DE ACUERDOS</w:t>
      </w:r>
    </w:p>
    <w:p w14:paraId="40D70313" w14:textId="77777777" w:rsidR="00032867" w:rsidRDefault="00032867" w:rsidP="00032867">
      <w:pPr>
        <w:spacing w:after="0" w:line="240" w:lineRule="auto"/>
        <w:ind w:firstLine="708"/>
        <w:jc w:val="both"/>
        <w:rPr>
          <w:rFonts w:ascii="Arial" w:hAnsi="Arial" w:cs="Arial"/>
          <w:sz w:val="14"/>
          <w:szCs w:val="26"/>
        </w:rPr>
      </w:pPr>
    </w:p>
    <w:p w14:paraId="139DCA6B" w14:textId="77777777" w:rsidR="00032867" w:rsidRDefault="00032867" w:rsidP="00032867">
      <w:pPr>
        <w:spacing w:before="240" w:line="360" w:lineRule="auto"/>
        <w:ind w:firstLine="708"/>
        <w:jc w:val="both"/>
        <w:rPr>
          <w:rFonts w:ascii="Arial" w:hAnsi="Arial" w:cs="Arial"/>
          <w:sz w:val="14"/>
          <w:szCs w:val="26"/>
        </w:rPr>
      </w:pPr>
    </w:p>
    <w:p w14:paraId="276B2E88" w14:textId="77777777" w:rsidR="00032867" w:rsidRDefault="00032867" w:rsidP="00032867">
      <w:pPr>
        <w:spacing w:line="360" w:lineRule="auto"/>
        <w:ind w:firstLine="708"/>
        <w:jc w:val="both"/>
        <w:rPr>
          <w:rFonts w:ascii="Arial" w:hAnsi="Arial" w:cs="Arial"/>
          <w:sz w:val="14"/>
          <w:szCs w:val="26"/>
        </w:rPr>
      </w:pPr>
    </w:p>
    <w:p w14:paraId="55E4F212" w14:textId="77777777" w:rsidR="00032867" w:rsidRDefault="00032867" w:rsidP="00032867">
      <w:pPr>
        <w:spacing w:after="0" w:line="360" w:lineRule="auto"/>
        <w:ind w:firstLine="708"/>
        <w:jc w:val="both"/>
        <w:rPr>
          <w:rFonts w:ascii="Arial" w:hAnsi="Arial" w:cs="Arial"/>
          <w:sz w:val="14"/>
          <w:szCs w:val="26"/>
        </w:rPr>
      </w:pPr>
    </w:p>
    <w:p w14:paraId="50453FE0" w14:textId="197A691C" w:rsidR="00BA258A" w:rsidRPr="00156F22" w:rsidRDefault="00BA258A" w:rsidP="00032867">
      <w:pPr>
        <w:spacing w:after="0" w:line="360" w:lineRule="auto"/>
        <w:ind w:firstLine="567"/>
        <w:jc w:val="both"/>
        <w:rPr>
          <w:rFonts w:ascii="Arial" w:hAnsi="Arial" w:cs="Arial"/>
          <w:sz w:val="14"/>
          <w:szCs w:val="26"/>
        </w:rPr>
      </w:pPr>
    </w:p>
    <w:sectPr w:rsidR="00BA258A" w:rsidRPr="00156F22" w:rsidSect="00032867">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980983" w14:textId="77777777" w:rsidR="00A81BB7" w:rsidRDefault="00A81BB7">
      <w:pPr>
        <w:spacing w:after="0" w:line="240" w:lineRule="auto"/>
      </w:pPr>
      <w:r>
        <w:separator/>
      </w:r>
    </w:p>
  </w:endnote>
  <w:endnote w:type="continuationSeparator" w:id="0">
    <w:p w14:paraId="6FA87141" w14:textId="77777777" w:rsidR="00A81BB7" w:rsidRDefault="00A81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759A53D" w:rsidR="00A80DC8" w:rsidRDefault="00575148">
    <w:pPr>
      <w:pStyle w:val="Piedepgina"/>
      <w:jc w:val="center"/>
    </w:pPr>
    <w:r>
      <w:rPr>
        <w:noProof/>
      </w:rPr>
      <mc:AlternateContent>
        <mc:Choice Requires="wps">
          <w:drawing>
            <wp:anchor distT="45720" distB="45720" distL="114300" distR="114300" simplePos="0" relativeHeight="251659776" behindDoc="0" locked="0" layoutInCell="1" allowOverlap="1" wp14:anchorId="22EE26A8" wp14:editId="428DD760">
              <wp:simplePos x="0" y="0"/>
              <wp:positionH relativeFrom="column">
                <wp:posOffset>-1363980</wp:posOffset>
              </wp:positionH>
              <wp:positionV relativeFrom="paragraph">
                <wp:posOffset>-5207000</wp:posOffset>
              </wp:positionV>
              <wp:extent cx="1043940" cy="907415"/>
              <wp:effectExtent l="0" t="0" r="22860" b="2603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907415"/>
                      </a:xfrm>
                      <a:prstGeom prst="rect">
                        <a:avLst/>
                      </a:prstGeom>
                      <a:solidFill>
                        <a:srgbClr val="FFFFFF"/>
                      </a:solidFill>
                      <a:ln w="9525">
                        <a:solidFill>
                          <a:srgbClr val="000000"/>
                        </a:solidFill>
                        <a:miter lim="800000"/>
                        <a:headEnd/>
                        <a:tailEnd/>
                      </a:ln>
                    </wps:spPr>
                    <wps:txbx>
                      <w:txbxContent>
                        <w:p w14:paraId="53CF7F51" w14:textId="05E8569F" w:rsidR="00575148" w:rsidRDefault="00575148" w:rsidP="00575148">
                          <w:pPr>
                            <w:rPr>
                              <w:sz w:val="16"/>
                              <w:szCs w:val="16"/>
                            </w:rPr>
                          </w:pPr>
                          <w:r>
                            <w:rPr>
                              <w:sz w:val="16"/>
                              <w:szCs w:val="16"/>
                            </w:rPr>
                            <w:t>Los datos personales están protegidos por el art.116 de la LGTAIP y el art. 56 de la LTAIPEO</w:t>
                          </w:r>
                        </w:p>
                        <w:p w14:paraId="41F4DF7A" w14:textId="7CC753D7" w:rsidR="00575148" w:rsidRDefault="005751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EE26A8" id="_x0000_t202" coordsize="21600,21600" o:spt="202" path="m,l,21600r21600,l21600,xe">
              <v:stroke joinstyle="miter"/>
              <v:path gradientshapeok="t" o:connecttype="rect"/>
            </v:shapetype>
            <v:shape id="Cuadro de texto 2" o:spid="_x0000_s1026" type="#_x0000_t202" style="position:absolute;left:0;text-align:left;margin-left:-107.4pt;margin-top:-410pt;width:82.2pt;height:71.4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">
              <v:textbox>
                <w:txbxContent>
                  <w:p w14:paraId="53CF7F51" w14:textId="05E8569F" w:rsidR="00575148" w:rsidRDefault="00575148" w:rsidP="00575148">
                    <w:pPr>
                      <w:rPr>
                        <w:sz w:val="16"/>
                        <w:szCs w:val="16"/>
                      </w:rPr>
                    </w:pPr>
                    <w:r>
                      <w:rPr>
                        <w:sz w:val="16"/>
                        <w:szCs w:val="16"/>
                      </w:rPr>
                      <w:t>Los datos personales están protegidos por el art.116 de la LGTAIP y el art. 56 de la LTAIPEO</w:t>
                    </w:r>
                  </w:p>
                  <w:p w14:paraId="41F4DF7A" w14:textId="7CC753D7" w:rsidR="00575148" w:rsidRDefault="00575148"/>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3AB911" w14:textId="77777777" w:rsidR="00A81BB7" w:rsidRDefault="00A81BB7">
      <w:pPr>
        <w:spacing w:after="0" w:line="240" w:lineRule="auto"/>
      </w:pPr>
      <w:r>
        <w:separator/>
      </w:r>
    </w:p>
  </w:footnote>
  <w:footnote w:type="continuationSeparator" w:id="0">
    <w:p w14:paraId="3CAE653E" w14:textId="77777777" w:rsidR="00A81BB7" w:rsidRDefault="00A81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EB71D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EB71D5">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C2F0EA2" w:rsidR="000F5C41" w:rsidRDefault="00EB71D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EB71D5">
          <w:rPr>
            <w:noProof/>
            <w:lang w:val="es-ES"/>
          </w:rPr>
          <w:t>5</w:t>
        </w:r>
        <w:r w:rsidR="000F5C41">
          <w:fldChar w:fldCharType="end"/>
        </w:r>
      </w:sdtContent>
    </w:sdt>
  </w:p>
  <w:p w14:paraId="51E22156" w14:textId="06495BF6"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7728" behindDoc="0" locked="0" layoutInCell="1" allowOverlap="1" wp14:anchorId="0A365EC1" wp14:editId="5D0C007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F2C1984" id="Grupo 3" o:spid="_x0000_s1026" style="position:absolute;margin-left:-107.25pt;margin-top:397.9pt;width:90pt;height:63.6pt;z-index:25165772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B71D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867"/>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40F"/>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6F13"/>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76B"/>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5148"/>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D4A"/>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1C7"/>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3DA"/>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BB7"/>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D07"/>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5F72"/>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1D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5E0"/>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196C"/>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9133414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8240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7DA29-67D8-4F04-A375-489EEC7C4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1828</Words>
  <Characters>10054</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10</cp:revision>
  <cp:lastPrinted>2020-10-20T19:52:00Z</cp:lastPrinted>
  <dcterms:created xsi:type="dcterms:W3CDTF">2020-10-08T20:20:00Z</dcterms:created>
  <dcterms:modified xsi:type="dcterms:W3CDTF">2021-01-25T21:20:00Z</dcterms:modified>
</cp:coreProperties>
</file>