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168A969A"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D93A98">
        <w:rPr>
          <w:rFonts w:ascii="Arial" w:eastAsia="Times New Roman" w:hAnsi="Arial" w:cs="Arial"/>
          <w:bCs/>
          <w:sz w:val="24"/>
          <w:szCs w:val="27"/>
          <w:lang w:val="es-ES_tradnl" w:eastAsia="es-ES"/>
        </w:rPr>
        <w:t>41</w:t>
      </w:r>
      <w:r w:rsidR="00F65A5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75910EC"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bookmarkStart w:id="0" w:name="_Hlk117517805"/>
      <w:r w:rsidR="006F1BFF">
        <w:rPr>
          <w:rFonts w:ascii="Arial" w:eastAsia="Times New Roman" w:hAnsi="Arial" w:cs="Arial"/>
          <w:sz w:val="24"/>
          <w:szCs w:val="27"/>
          <w:lang w:val="es-ES_tradnl" w:eastAsia="es-ES"/>
        </w:rPr>
        <w:t>******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w:t>
      </w:r>
      <w:r w:rsidR="006F1BFF">
        <w:rPr>
          <w:rFonts w:ascii="Arial" w:eastAsia="Times New Roman" w:hAnsi="Arial" w:cs="Arial"/>
          <w:sz w:val="24"/>
          <w:szCs w:val="27"/>
          <w:lang w:val="es-ES_tradnl" w:eastAsia="es-ES"/>
        </w:rPr>
        <w:t xml:space="preserve">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 *****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w:t>
      </w:r>
      <w:r w:rsidR="006F1BFF">
        <w:rPr>
          <w:rFonts w:ascii="Arial" w:eastAsia="Times New Roman" w:hAnsi="Arial" w:cs="Arial"/>
          <w:sz w:val="24"/>
          <w:szCs w:val="27"/>
          <w:lang w:val="es-ES_tradnl" w:eastAsia="es-ES"/>
        </w:rPr>
        <w:t xml:space="preserve">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w:t>
      </w:r>
      <w:r w:rsidR="006F1BFF">
        <w:rPr>
          <w:rFonts w:ascii="Arial" w:eastAsia="Times New Roman" w:hAnsi="Arial" w:cs="Arial"/>
          <w:sz w:val="24"/>
          <w:szCs w:val="27"/>
          <w:lang w:val="es-ES_tradnl" w:eastAsia="es-ES"/>
        </w:rPr>
        <w:t xml:space="preserve">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 *****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 *****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w:t>
      </w:r>
      <w:r w:rsidR="006F1BFF">
        <w:rPr>
          <w:rFonts w:ascii="Arial" w:eastAsia="Times New Roman" w:hAnsi="Arial" w:cs="Arial"/>
          <w:sz w:val="24"/>
          <w:szCs w:val="27"/>
          <w:lang w:val="es-ES_tradnl" w:eastAsia="es-ES"/>
        </w:rPr>
        <w:t xml:space="preserve">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 *****</w:t>
      </w:r>
      <w:r w:rsidR="00F3571A">
        <w:rPr>
          <w:rFonts w:ascii="Arial" w:eastAsia="Times New Roman" w:hAnsi="Arial" w:cs="Arial"/>
          <w:sz w:val="24"/>
          <w:szCs w:val="27"/>
          <w:lang w:val="es-ES_tradnl" w:eastAsia="es-ES"/>
        </w:rPr>
        <w:t>,</w:t>
      </w:r>
      <w:r w:rsidR="006F1BFF">
        <w:rPr>
          <w:rFonts w:ascii="Arial" w:eastAsia="Times New Roman" w:hAnsi="Arial" w:cs="Arial"/>
          <w:sz w:val="24"/>
          <w:szCs w:val="27"/>
          <w:lang w:val="es-ES_tradnl" w:eastAsia="es-ES"/>
        </w:rPr>
        <w:t xml:space="preserve"> ***** *****</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6F1BFF">
        <w:rPr>
          <w:rFonts w:ascii="Arial" w:eastAsia="Times New Roman" w:hAnsi="Arial" w:cs="Arial"/>
          <w:sz w:val="24"/>
          <w:szCs w:val="27"/>
          <w:lang w:val="es-ES_tradnl" w:eastAsia="es-ES"/>
        </w:rPr>
        <w:t>***** ****</w:t>
      </w:r>
      <w:r w:rsidR="009E2C64">
        <w:rPr>
          <w:rFonts w:ascii="Arial" w:eastAsia="Times New Roman" w:hAnsi="Arial" w:cs="Arial"/>
          <w:sz w:val="24"/>
          <w:szCs w:val="27"/>
          <w:lang w:val="es-ES_tradnl" w:eastAsia="es-ES"/>
        </w:rPr>
        <w:t>* *****</w:t>
      </w:r>
      <w:r w:rsidR="00F3571A">
        <w:rPr>
          <w:rFonts w:ascii="Arial" w:eastAsia="Times New Roman" w:hAnsi="Arial" w:cs="Arial"/>
          <w:sz w:val="24"/>
          <w:szCs w:val="27"/>
          <w:lang w:val="es-ES_tradnl" w:eastAsia="es-ES"/>
        </w:rPr>
        <w:t xml:space="preserve"> </w:t>
      </w:r>
      <w:r w:rsidR="009E2C64">
        <w:rPr>
          <w:rFonts w:ascii="Arial" w:eastAsia="Times New Roman" w:hAnsi="Arial" w:cs="Arial"/>
          <w:sz w:val="24"/>
          <w:szCs w:val="27"/>
          <w:lang w:val="es-ES_tradnl" w:eastAsia="es-ES"/>
        </w:rPr>
        <w:t>***</w:t>
      </w:r>
      <w:r w:rsidR="00F3571A">
        <w:rPr>
          <w:rFonts w:ascii="Arial" w:eastAsia="Times New Roman" w:hAnsi="Arial" w:cs="Arial"/>
          <w:sz w:val="24"/>
          <w:szCs w:val="27"/>
          <w:lang w:val="es-ES_tradnl" w:eastAsia="es-ES"/>
        </w:rPr>
        <w:t xml:space="preserve"> </w:t>
      </w:r>
      <w:r w:rsidR="009E2C64">
        <w:rPr>
          <w:rFonts w:ascii="Arial" w:eastAsia="Times New Roman" w:hAnsi="Arial" w:cs="Arial"/>
          <w:sz w:val="24"/>
          <w:szCs w:val="27"/>
          <w:lang w:val="es-ES_tradnl" w:eastAsia="es-ES"/>
        </w:rPr>
        <w:t>***** *****</w:t>
      </w:r>
      <w:r w:rsidR="00F3571A">
        <w:rPr>
          <w:rFonts w:ascii="Arial" w:eastAsia="Times New Roman" w:hAnsi="Arial" w:cs="Arial"/>
          <w:sz w:val="24"/>
          <w:szCs w:val="27"/>
          <w:lang w:val="es-ES_tradnl" w:eastAsia="es-ES"/>
        </w:rPr>
        <w:t xml:space="preserve"> </w:t>
      </w:r>
      <w:r w:rsidR="009E2C64">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bookmarkEnd w:id="0"/>
    </w:p>
    <w:p w14:paraId="03FFC2E6" w14:textId="4B3AED77"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3B2126">
        <w:rPr>
          <w:rFonts w:ascii="Arial" w:eastAsia="Times New Roman" w:hAnsi="Arial" w:cs="Arial"/>
          <w:sz w:val="24"/>
          <w:szCs w:val="27"/>
          <w:lang w:val="es-ES_tradnl" w:eastAsia="es-ES"/>
        </w:rPr>
        <w:t>COMISARIO DE VIALIDAD MUNICIPAL DEL MUNICIPIO DE OAXACA DE JUÁREZ, OAXACA</w:t>
      </w:r>
      <w:r w:rsidR="00D3679B">
        <w:rPr>
          <w:rFonts w:ascii="Arial" w:eastAsia="Times New Roman" w:hAnsi="Arial" w:cs="Arial"/>
          <w:sz w:val="24"/>
          <w:szCs w:val="27"/>
          <w:lang w:val="es-ES_tradnl" w:eastAsia="es-ES"/>
        </w:rPr>
        <w:t>.</w:t>
      </w:r>
    </w:p>
    <w:p w14:paraId="70DB9FE9" w14:textId="4D8A96FB"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D93A98">
        <w:rPr>
          <w:rFonts w:ascii="Arial" w:eastAsia="Times New Roman" w:hAnsi="Arial" w:cs="Arial"/>
          <w:b/>
          <w:sz w:val="24"/>
          <w:szCs w:val="27"/>
          <w:lang w:val="es-ES" w:eastAsia="es-ES"/>
        </w:rPr>
        <w:t>CATORCE</w:t>
      </w:r>
      <w:r w:rsidR="00854837">
        <w:rPr>
          <w:rFonts w:ascii="Arial" w:eastAsia="Times New Roman" w:hAnsi="Arial" w:cs="Arial"/>
          <w:b/>
          <w:sz w:val="24"/>
          <w:szCs w:val="27"/>
          <w:lang w:val="es-ES" w:eastAsia="es-ES"/>
        </w:rPr>
        <w:t xml:space="preserve"> DE DICIEMBRE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110AFFB0"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D93A98">
        <w:rPr>
          <w:rFonts w:ascii="Arial" w:eastAsia="Times New Roman" w:hAnsi="Arial" w:cs="Arial"/>
          <w:b/>
          <w:bCs/>
          <w:sz w:val="24"/>
          <w:szCs w:val="27"/>
          <w:lang w:val="es-ES_tradnl" w:eastAsia="es-ES"/>
        </w:rPr>
        <w:t>41</w:t>
      </w:r>
      <w:r w:rsidR="00F65A5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interpuesto por</w:t>
      </w:r>
      <w:r w:rsidR="00AC2249">
        <w:rPr>
          <w:rFonts w:ascii="Arial" w:eastAsia="Times New Roman" w:hAnsi="Arial" w:cs="Arial"/>
          <w:sz w:val="24"/>
          <w:szCs w:val="27"/>
          <w:lang w:val="es-ES_tradnl" w:eastAsia="es-ES"/>
        </w:rPr>
        <w:t xml:space="preserve">  </w:t>
      </w:r>
      <w:r w:rsidR="00AC2249">
        <w:rPr>
          <w:rFonts w:ascii="Arial" w:eastAsia="Times New Roman" w:hAnsi="Arial" w:cs="Arial"/>
          <w:sz w:val="24"/>
          <w:szCs w:val="27"/>
          <w:lang w:val="es-ES_tradnl" w:eastAsia="es-ES"/>
        </w:rPr>
        <w:t>****** ******, ***** ***** *****, ***** *****, *****, ***** *****, ***** ******, ***** ***** ***** *****, ***** ***** *****, ***** ***** ****** *****, ***** ****** *****, ***** *** *****, ***** ***** *****, ***** ***** *****, ***** ***** ***** *****, ****** **** *****, ***** ***** *****, ****** ***** *****, ***** ***** ***** *****, ***** *****, ***** ***** *****, ***** ***** *****, ***** ***** *****, ***** ***** ***** ***** *** ***** ***** *****</w:t>
      </w:r>
      <w:r w:rsidR="00102315" w:rsidRPr="009C0C09">
        <w:rPr>
          <w:rFonts w:ascii="Arial" w:eastAsia="Times New Roman" w:hAnsi="Arial" w:cs="Arial"/>
          <w:sz w:val="24"/>
          <w:szCs w:val="27"/>
          <w:lang w:val="es-ES_tradnl" w:eastAsia="es-ES"/>
        </w:rPr>
        <w:t>, en contra de</w:t>
      </w:r>
      <w:r w:rsidR="003B2126">
        <w:rPr>
          <w:rFonts w:ascii="Arial" w:eastAsia="Times New Roman" w:hAnsi="Arial" w:cs="Arial"/>
          <w:sz w:val="24"/>
          <w:szCs w:val="27"/>
          <w:lang w:val="es-ES_tradnl" w:eastAsia="es-ES"/>
        </w:rPr>
        <w:t>l</w:t>
      </w:r>
      <w:r w:rsidR="0099116A">
        <w:rPr>
          <w:rFonts w:ascii="Arial" w:eastAsia="Times New Roman" w:hAnsi="Arial" w:cs="Arial"/>
          <w:sz w:val="24"/>
          <w:szCs w:val="27"/>
          <w:lang w:val="es-ES_tradnl" w:eastAsia="es-ES"/>
        </w:rPr>
        <w:t xml:space="preserve"> </w:t>
      </w:r>
      <w:r w:rsidR="003B2126">
        <w:rPr>
          <w:rFonts w:ascii="Arial" w:eastAsia="Times New Roman" w:hAnsi="Arial" w:cs="Arial"/>
          <w:b/>
          <w:sz w:val="24"/>
          <w:szCs w:val="27"/>
          <w:lang w:val="es-ES_tradnl" w:eastAsia="es-ES"/>
        </w:rPr>
        <w:t>COMISARIO DE VIALIDAD MUNICIPAL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6E961F74" w:rsidR="00793DA7" w:rsidRDefault="00D82372" w:rsidP="0073118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290DC6">
        <w:rPr>
          <w:rFonts w:ascii="Arial" w:eastAsia="Times New Roman" w:hAnsi="Arial" w:cs="Arial"/>
          <w:sz w:val="24"/>
          <w:szCs w:val="27"/>
          <w:lang w:val="es-ES_tradnl" w:eastAsia="es-ES"/>
        </w:rPr>
        <w:t xml:space="preserve">  </w:t>
      </w:r>
      <w:r w:rsidR="00290DC6">
        <w:rPr>
          <w:rFonts w:ascii="Arial" w:eastAsia="Times New Roman" w:hAnsi="Arial" w:cs="Arial"/>
          <w:sz w:val="24"/>
          <w:szCs w:val="27"/>
          <w:lang w:val="es-ES_tradnl" w:eastAsia="es-ES"/>
        </w:rPr>
        <w:t>****** ******, ***** ***** *****, ***** *****, *****, ***** *****, ***** ******, ***** ***** ***** *****, ***** ***** *****, ***** ***** ****** *****, ***** ****** *****, ***** *** *****, ***** ***** *****, ***** ***** *****, ***** ***** ***** *****, ****** **** *****, ***** ***** *****, ****** ***** *****, ***** ***** ***** *****, ***** *****, ***** ***** *****, ***** ***** *****, ***** ***** *****, ***** ***** ***** ***** *** ***** ***** *****</w:t>
      </w:r>
      <w:r w:rsidR="0035374B" w:rsidRPr="009C0C09">
        <w:rPr>
          <w:rFonts w:ascii="Arial" w:hAnsi="Arial" w:cs="Arial"/>
          <w:bCs/>
          <w:spacing w:val="-3"/>
          <w:sz w:val="24"/>
          <w:szCs w:val="27"/>
          <w:lang w:val="es-ES_tradnl"/>
        </w:rPr>
        <w:t>,</w:t>
      </w:r>
      <w:r w:rsidR="00290DC6">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por medio de su escrito recibido el </w:t>
      </w:r>
      <w:r w:rsidR="00EF5ADA">
        <w:rPr>
          <w:rFonts w:ascii="Arial" w:hAnsi="Arial" w:cs="Arial"/>
          <w:bCs/>
          <w:spacing w:val="-3"/>
          <w:sz w:val="24"/>
          <w:szCs w:val="27"/>
          <w:lang w:val="es-ES_tradnl"/>
        </w:rPr>
        <w:t>siete</w:t>
      </w:r>
      <w:r w:rsidR="0048181D">
        <w:rPr>
          <w:rFonts w:ascii="Arial" w:hAnsi="Arial" w:cs="Arial"/>
          <w:bCs/>
          <w:spacing w:val="-3"/>
          <w:sz w:val="24"/>
          <w:szCs w:val="27"/>
          <w:lang w:val="es-ES_tradnl"/>
        </w:rPr>
        <w:t xml:space="preserve"> de agosto</w:t>
      </w:r>
      <w:r w:rsidR="0099116A">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w:t>
      </w:r>
      <w:r w:rsidR="00731189">
        <w:rPr>
          <w:rFonts w:ascii="Arial" w:hAnsi="Arial" w:cs="Arial"/>
          <w:bCs/>
          <w:spacing w:val="-3"/>
          <w:sz w:val="24"/>
          <w:szCs w:val="27"/>
          <w:lang w:val="es-ES_tradnl"/>
        </w:rPr>
        <w:t>s</w:t>
      </w:r>
      <w:r w:rsidR="00D3679B">
        <w:rPr>
          <w:rFonts w:ascii="Arial" w:hAnsi="Arial" w:cs="Arial"/>
          <w:bCs/>
          <w:spacing w:val="-3"/>
          <w:sz w:val="24"/>
          <w:szCs w:val="27"/>
          <w:lang w:val="es-ES_tradnl"/>
        </w:rPr>
        <w:t xml:space="preserve"> propio</w:t>
      </w:r>
      <w:r w:rsidR="00731189">
        <w:rPr>
          <w:rFonts w:ascii="Arial" w:hAnsi="Arial" w:cs="Arial"/>
          <w:bCs/>
          <w:spacing w:val="-3"/>
          <w:sz w:val="24"/>
          <w:szCs w:val="27"/>
          <w:lang w:val="es-ES_tradnl"/>
        </w:rPr>
        <w:t>s</w:t>
      </w:r>
      <w:r w:rsidR="00D3679B">
        <w:rPr>
          <w:rFonts w:ascii="Arial" w:hAnsi="Arial" w:cs="Arial"/>
          <w:bCs/>
          <w:spacing w:val="-3"/>
          <w:sz w:val="24"/>
          <w:szCs w:val="27"/>
          <w:lang w:val="es-ES_tradnl"/>
        </w:rPr>
        <w:t xml:space="preserve"> derecho</w:t>
      </w:r>
      <w:r w:rsidR="00731189">
        <w:rPr>
          <w:rFonts w:ascii="Arial" w:hAnsi="Arial" w:cs="Arial"/>
          <w:bCs/>
          <w:spacing w:val="-3"/>
          <w:sz w:val="24"/>
          <w:szCs w:val="27"/>
          <w:lang w:val="es-ES_tradnl"/>
        </w:rPr>
        <w:t>s demandaron</w:t>
      </w:r>
      <w:r w:rsidR="00D3679B">
        <w:rPr>
          <w:rFonts w:ascii="Arial" w:hAnsi="Arial" w:cs="Arial"/>
          <w:bCs/>
          <w:spacing w:val="-3"/>
          <w:sz w:val="24"/>
          <w:szCs w:val="27"/>
          <w:lang w:val="es-ES_tradnl"/>
        </w:rPr>
        <w:t xml:space="preserve"> la nulidad del </w:t>
      </w:r>
      <w:r w:rsidR="00731189">
        <w:rPr>
          <w:rFonts w:ascii="Arial" w:hAnsi="Arial" w:cs="Arial"/>
          <w:bCs/>
          <w:spacing w:val="-3"/>
          <w:sz w:val="24"/>
          <w:szCs w:val="27"/>
          <w:lang w:val="es-ES_tradnl"/>
        </w:rPr>
        <w:t>oficio número CVM/SCVM/</w:t>
      </w:r>
      <w:r w:rsidR="002234FC">
        <w:rPr>
          <w:rFonts w:ascii="Arial" w:hAnsi="Arial" w:cs="Arial"/>
          <w:bCs/>
          <w:spacing w:val="-3"/>
          <w:sz w:val="24"/>
          <w:szCs w:val="27"/>
          <w:lang w:val="es-ES_tradnl"/>
        </w:rPr>
        <w:t>****</w:t>
      </w:r>
      <w:r w:rsidR="00731189">
        <w:rPr>
          <w:rFonts w:ascii="Arial" w:hAnsi="Arial" w:cs="Arial"/>
          <w:bCs/>
          <w:spacing w:val="-3"/>
          <w:sz w:val="24"/>
          <w:szCs w:val="27"/>
          <w:lang w:val="es-ES_tradnl"/>
        </w:rPr>
        <w:t>/</w:t>
      </w:r>
      <w:r w:rsidR="002234FC">
        <w:rPr>
          <w:rFonts w:ascii="Arial" w:hAnsi="Arial" w:cs="Arial"/>
          <w:bCs/>
          <w:spacing w:val="-3"/>
          <w:sz w:val="24"/>
          <w:szCs w:val="27"/>
          <w:lang w:val="es-ES_tradnl"/>
        </w:rPr>
        <w:t>****</w:t>
      </w:r>
      <w:r w:rsidR="00731189">
        <w:rPr>
          <w:rFonts w:ascii="Arial" w:hAnsi="Arial" w:cs="Arial"/>
          <w:bCs/>
          <w:spacing w:val="-3"/>
          <w:sz w:val="24"/>
          <w:szCs w:val="27"/>
          <w:lang w:val="es-ES_tradnl"/>
        </w:rPr>
        <w:t xml:space="preserve">, de fecha </w:t>
      </w:r>
      <w:r w:rsidR="002234FC">
        <w:rPr>
          <w:rFonts w:ascii="Arial" w:hAnsi="Arial" w:cs="Arial"/>
          <w:bCs/>
          <w:spacing w:val="-3"/>
          <w:sz w:val="24"/>
          <w:szCs w:val="27"/>
          <w:lang w:val="es-ES_tradnl"/>
        </w:rPr>
        <w:t>*****</w:t>
      </w:r>
      <w:r w:rsidR="00731189">
        <w:rPr>
          <w:rFonts w:ascii="Arial" w:hAnsi="Arial" w:cs="Arial"/>
          <w:bCs/>
          <w:spacing w:val="-3"/>
          <w:sz w:val="24"/>
          <w:szCs w:val="27"/>
          <w:lang w:val="es-ES_tradnl"/>
        </w:rPr>
        <w:t xml:space="preserve"> de </w:t>
      </w:r>
      <w:r w:rsidR="002234FC">
        <w:rPr>
          <w:rFonts w:ascii="Arial" w:hAnsi="Arial" w:cs="Arial"/>
          <w:bCs/>
          <w:spacing w:val="-3"/>
          <w:sz w:val="24"/>
          <w:szCs w:val="27"/>
          <w:lang w:val="es-ES_tradnl"/>
        </w:rPr>
        <w:t>*****</w:t>
      </w:r>
      <w:r w:rsidR="00731189">
        <w:rPr>
          <w:rFonts w:ascii="Arial" w:hAnsi="Arial" w:cs="Arial"/>
          <w:bCs/>
          <w:spacing w:val="-3"/>
          <w:sz w:val="24"/>
          <w:szCs w:val="27"/>
          <w:lang w:val="es-ES_tradnl"/>
        </w:rPr>
        <w:t xml:space="preserve"> de dos mil</w:t>
      </w:r>
      <w:r w:rsidR="002234FC">
        <w:rPr>
          <w:rFonts w:ascii="Arial" w:hAnsi="Arial" w:cs="Arial"/>
          <w:bCs/>
          <w:spacing w:val="-3"/>
          <w:sz w:val="24"/>
          <w:szCs w:val="27"/>
          <w:lang w:val="es-ES_tradnl"/>
        </w:rPr>
        <w:t xml:space="preserve"> *****</w:t>
      </w:r>
      <w:r w:rsidR="00731189">
        <w:rPr>
          <w:rFonts w:ascii="Arial" w:hAnsi="Arial" w:cs="Arial"/>
          <w:bCs/>
          <w:spacing w:val="-3"/>
          <w:sz w:val="24"/>
          <w:szCs w:val="27"/>
          <w:lang w:val="es-ES_tradnl"/>
        </w:rPr>
        <w:t xml:space="preserve">, signado por el Comisario de Vialidad Municipal del Municipio de Oaxaca de Juárez, Oaxaca,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731189">
        <w:rPr>
          <w:rFonts w:ascii="Arial" w:hAnsi="Arial" w:cs="Arial"/>
          <w:bCs/>
          <w:spacing w:val="-3"/>
          <w:sz w:val="24"/>
          <w:szCs w:val="27"/>
          <w:lang w:val="es-ES_tradnl"/>
        </w:rPr>
        <w:t>cinco de septiembre</w:t>
      </w:r>
      <w:r w:rsidR="00763032">
        <w:rPr>
          <w:rFonts w:ascii="Arial" w:hAnsi="Arial" w:cs="Arial"/>
          <w:bCs/>
          <w:spacing w:val="-3"/>
          <w:sz w:val="24"/>
          <w:szCs w:val="27"/>
          <w:lang w:val="es-ES_tradnl"/>
        </w:rPr>
        <w:t xml:space="preserve"> de dos mil dieciocho, se</w:t>
      </w:r>
      <w:r w:rsidR="00D3679B" w:rsidRPr="00D3679B">
        <w:rPr>
          <w:rFonts w:ascii="Arial" w:hAnsi="Arial" w:cs="Arial"/>
          <w:bCs/>
          <w:spacing w:val="-3"/>
          <w:sz w:val="24"/>
          <w:szCs w:val="27"/>
          <w:lang w:val="es-ES_tradnl"/>
        </w:rPr>
        <w:t xml:space="preserve"> admitió a trámite la demanda, ordenándose correr traslado, emplazar a juicio y apercibir a la </w:t>
      </w:r>
      <w:r w:rsidR="00D3679B" w:rsidRPr="00D3679B">
        <w:rPr>
          <w:rFonts w:ascii="Arial" w:hAnsi="Arial" w:cs="Arial"/>
          <w:bCs/>
          <w:spacing w:val="-3"/>
          <w:sz w:val="24"/>
          <w:szCs w:val="27"/>
          <w:lang w:val="es-ES_tradnl"/>
        </w:rPr>
        <w:lastRenderedPageBreak/>
        <w:t>autoridad</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4AC07C09" w14:textId="163B178A" w:rsidR="00261138" w:rsidRDefault="00261138"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w:t>
      </w:r>
      <w:r w:rsidR="00731189">
        <w:rPr>
          <w:rFonts w:ascii="Arial" w:hAnsi="Arial" w:cs="Arial"/>
          <w:bCs/>
          <w:spacing w:val="-3"/>
          <w:sz w:val="24"/>
          <w:szCs w:val="27"/>
          <w:lang w:val="es-ES_tradnl"/>
        </w:rPr>
        <w:t xml:space="preserve">requirió a los promoventes para que designaran un representante común bajo apercibimiento </w:t>
      </w:r>
      <w:r w:rsidR="00863AA0">
        <w:rPr>
          <w:rFonts w:ascii="Arial" w:hAnsi="Arial" w:cs="Arial"/>
          <w:bCs/>
          <w:spacing w:val="-3"/>
          <w:sz w:val="24"/>
          <w:szCs w:val="27"/>
          <w:lang w:val="es-ES_tradnl"/>
        </w:rPr>
        <w:t>que,</w:t>
      </w:r>
      <w:r w:rsidR="00731189">
        <w:rPr>
          <w:rFonts w:ascii="Arial" w:hAnsi="Arial" w:cs="Arial"/>
          <w:bCs/>
          <w:spacing w:val="-3"/>
          <w:sz w:val="24"/>
          <w:szCs w:val="27"/>
          <w:lang w:val="es-ES_tradnl"/>
        </w:rPr>
        <w:t xml:space="preserve"> de no hacerlo, se nombraría a uno de los promoventes de forma oficiosa, igualmente se desechó la demanda respecto de las autoridades restantes.</w:t>
      </w:r>
    </w:p>
    <w:p w14:paraId="63ECDF02" w14:textId="77777777" w:rsidR="009B35C9" w:rsidRDefault="00261138" w:rsidP="00AF2D4F">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4165E7">
        <w:rPr>
          <w:rFonts w:ascii="Arial" w:hAnsi="Arial" w:cs="Arial"/>
          <w:bCs/>
          <w:spacing w:val="-3"/>
          <w:sz w:val="24"/>
          <w:szCs w:val="27"/>
          <w:lang w:val="es-ES_tradnl"/>
        </w:rPr>
        <w:t>veintidós de noviembre de dos mil dieciocho, se tuvo por recibido un oficio del Comisario de Vialidad Municipal del Municipio de Oaxaca de Ju</w:t>
      </w:r>
      <w:r w:rsidR="00863AA0">
        <w:rPr>
          <w:rFonts w:ascii="Arial" w:hAnsi="Arial" w:cs="Arial"/>
          <w:bCs/>
          <w:spacing w:val="-3"/>
          <w:sz w:val="24"/>
          <w:szCs w:val="27"/>
          <w:lang w:val="es-ES_tradnl"/>
        </w:rPr>
        <w:t xml:space="preserve">árez, Oaxaca, </w:t>
      </w:r>
      <w:r w:rsidR="00B4748B">
        <w:rPr>
          <w:rFonts w:ascii="Arial" w:hAnsi="Arial" w:cs="Arial"/>
          <w:bCs/>
          <w:spacing w:val="-3"/>
          <w:sz w:val="24"/>
          <w:szCs w:val="27"/>
          <w:lang w:val="es-ES_tradnl"/>
        </w:rPr>
        <w:t>por medio del cual daba</w:t>
      </w:r>
      <w:r w:rsidR="00B4748B" w:rsidRPr="00B4748B">
        <w:rPr>
          <w:rFonts w:ascii="Arial" w:hAnsi="Arial" w:cs="Arial"/>
          <w:bCs/>
          <w:spacing w:val="-3"/>
          <w:sz w:val="24"/>
          <w:szCs w:val="27"/>
          <w:lang w:val="es-ES_tradnl"/>
        </w:rPr>
        <w:t xml:space="preserve"> contestación a la demanda instaurada en su contra en tiempo y forma, y en los términos en los que lo hicieron, ordenándose correr traslado a la parte actora para los efectos legales correspondientes. </w:t>
      </w:r>
    </w:p>
    <w:p w14:paraId="1BD101DC" w14:textId="397E813A" w:rsidR="009B35C9" w:rsidRDefault="009B35C9" w:rsidP="00AF2D4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tuvo por recibido un escrito de la parte actora en la cual designaba a un representante com</w:t>
      </w:r>
      <w:r w:rsidR="00C562B1">
        <w:rPr>
          <w:rFonts w:ascii="Arial" w:hAnsi="Arial" w:cs="Arial"/>
          <w:bCs/>
          <w:spacing w:val="-3"/>
          <w:sz w:val="24"/>
          <w:szCs w:val="27"/>
          <w:lang w:val="es-ES_tradnl"/>
        </w:rPr>
        <w:t>ún, mismo que se mandó a agregar a los autos.</w:t>
      </w:r>
    </w:p>
    <w:p w14:paraId="0BE1B901" w14:textId="76FB2540" w:rsidR="002866AE" w:rsidRDefault="00B4748B" w:rsidP="00AF2D4F">
      <w:pPr>
        <w:spacing w:line="360" w:lineRule="auto"/>
        <w:ind w:firstLine="567"/>
        <w:jc w:val="both"/>
        <w:rPr>
          <w:rFonts w:ascii="Arial" w:hAnsi="Arial" w:cs="Arial"/>
          <w:bCs/>
          <w:spacing w:val="-3"/>
          <w:sz w:val="24"/>
          <w:szCs w:val="27"/>
          <w:lang w:val="es-ES_tradnl"/>
        </w:rPr>
      </w:pPr>
      <w:r w:rsidRPr="00B4748B">
        <w:rPr>
          <w:rFonts w:ascii="Arial" w:hAnsi="Arial" w:cs="Arial"/>
          <w:bCs/>
          <w:spacing w:val="-3"/>
          <w:sz w:val="24"/>
          <w:szCs w:val="27"/>
          <w:lang w:val="es-ES_tradnl"/>
        </w:rPr>
        <w:t>Finalmente, se señaló fecha y hora para la celebración de la audiencia final</w:t>
      </w:r>
      <w:r w:rsidR="002866AE">
        <w:rPr>
          <w:rFonts w:ascii="Arial" w:hAnsi="Arial" w:cs="Arial"/>
          <w:bCs/>
          <w:spacing w:val="-3"/>
          <w:sz w:val="24"/>
          <w:szCs w:val="27"/>
          <w:lang w:val="es-ES_tradnl"/>
        </w:rPr>
        <w:t>.</w:t>
      </w:r>
    </w:p>
    <w:p w14:paraId="4E356CC6" w14:textId="13D61F6B" w:rsidR="00155F12" w:rsidRPr="009C0C09" w:rsidRDefault="002866AE" w:rsidP="00605164">
      <w:pPr>
        <w:spacing w:line="360" w:lineRule="auto"/>
        <w:ind w:firstLine="567"/>
        <w:jc w:val="both"/>
        <w:rPr>
          <w:rFonts w:ascii="Arial" w:hAnsi="Arial" w:cs="Arial"/>
          <w:bCs/>
          <w:spacing w:val="-3"/>
          <w:sz w:val="24"/>
          <w:szCs w:val="27"/>
          <w:lang w:val="es-ES_tradnl"/>
        </w:rPr>
      </w:pPr>
      <w:r w:rsidRPr="00BD73AB">
        <w:rPr>
          <w:rFonts w:ascii="Arial" w:hAnsi="Arial" w:cs="Arial"/>
          <w:b/>
          <w:bCs/>
          <w:spacing w:val="-3"/>
          <w:sz w:val="24"/>
          <w:szCs w:val="27"/>
          <w:lang w:val="es-ES_tradnl"/>
        </w:rPr>
        <w:t>TERCERO.</w:t>
      </w:r>
      <w:r>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sidR="00406A7B">
        <w:rPr>
          <w:rFonts w:ascii="Arial" w:hAnsi="Arial" w:cs="Arial"/>
          <w:bCs/>
          <w:spacing w:val="-3"/>
          <w:sz w:val="24"/>
          <w:szCs w:val="27"/>
          <w:lang w:val="es-ES_tradnl"/>
        </w:rPr>
        <w:t>veintidós de marzo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590C01">
        <w:rPr>
          <w:rFonts w:ascii="Arial" w:hAnsi="Arial" w:cs="Arial"/>
          <w:bCs/>
          <w:spacing w:val="-3"/>
          <w:sz w:val="24"/>
          <w:szCs w:val="27"/>
          <w:lang w:val="es-ES_tradnl"/>
        </w:rPr>
        <w:t>ninguna de las partes 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w:t>
      </w:r>
      <w:r w:rsidR="001C3689" w:rsidRPr="001C3689">
        <w:rPr>
          <w:rFonts w:ascii="Arial" w:hAnsi="Arial" w:cs="Arial"/>
          <w:sz w:val="24"/>
          <w:szCs w:val="24"/>
        </w:rPr>
        <w:lastRenderedPageBreak/>
        <w:t>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2AAE56FB" w14:textId="5EDE5F0C" w:rsidR="00915C38" w:rsidRDefault="0016023B" w:rsidP="00CB353D">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915C38">
        <w:rPr>
          <w:rFonts w:ascii="Arial" w:hAnsi="Arial" w:cs="Arial"/>
          <w:bCs/>
          <w:snapToGrid w:val="0"/>
          <w:sz w:val="24"/>
          <w:szCs w:val="27"/>
        </w:rPr>
        <w:t>Por método y técnica judicial, esta Sala analizará primero el concepto de impugnación SEGUNDO, en el que la parte actora manifiesta que la autoridad hoy demandada carece de competencia para emitir el acto impugnado, ya que a su decir la fundamentación que cita para justificar su competencia resulta insuficiente e indebida.</w:t>
      </w:r>
    </w:p>
    <w:p w14:paraId="13F1436D" w14:textId="6D06C051" w:rsidR="00915C38" w:rsidRDefault="00915C38" w:rsidP="00CB353D">
      <w:pPr>
        <w:spacing w:line="360" w:lineRule="auto"/>
        <w:ind w:right="51" w:firstLine="567"/>
        <w:jc w:val="both"/>
        <w:rPr>
          <w:rFonts w:ascii="Arial" w:hAnsi="Arial" w:cs="Arial"/>
          <w:bCs/>
          <w:spacing w:val="-3"/>
          <w:sz w:val="24"/>
          <w:szCs w:val="27"/>
          <w:lang w:val="es-ES_tradnl"/>
        </w:rPr>
      </w:pPr>
      <w:r>
        <w:rPr>
          <w:rFonts w:ascii="Arial" w:hAnsi="Arial" w:cs="Arial"/>
          <w:bCs/>
          <w:snapToGrid w:val="0"/>
          <w:sz w:val="24"/>
          <w:szCs w:val="27"/>
        </w:rPr>
        <w:t>Ahora bien, de la lectura</w:t>
      </w:r>
      <w:r w:rsidR="00C83767">
        <w:rPr>
          <w:rFonts w:ascii="Arial" w:hAnsi="Arial" w:cs="Arial"/>
          <w:bCs/>
          <w:snapToGrid w:val="0"/>
          <w:sz w:val="24"/>
          <w:szCs w:val="27"/>
        </w:rPr>
        <w:t xml:space="preserve"> hecha</w:t>
      </w:r>
      <w:r>
        <w:rPr>
          <w:rFonts w:ascii="Arial" w:hAnsi="Arial" w:cs="Arial"/>
          <w:bCs/>
          <w:snapToGrid w:val="0"/>
          <w:sz w:val="24"/>
          <w:szCs w:val="27"/>
        </w:rPr>
        <w:t xml:space="preserve"> al acto reclamado consistente en el </w:t>
      </w:r>
      <w:r>
        <w:rPr>
          <w:rFonts w:ascii="Arial" w:hAnsi="Arial" w:cs="Arial"/>
          <w:bCs/>
          <w:spacing w:val="-3"/>
          <w:sz w:val="24"/>
          <w:szCs w:val="27"/>
          <w:lang w:val="es-ES_tradnl"/>
        </w:rPr>
        <w:t>oficio número CVM/SCVM/</w:t>
      </w:r>
      <w:r w:rsidR="00DC3E9E">
        <w:rPr>
          <w:rFonts w:ascii="Arial" w:hAnsi="Arial" w:cs="Arial"/>
          <w:bCs/>
          <w:spacing w:val="-3"/>
          <w:sz w:val="24"/>
          <w:szCs w:val="27"/>
          <w:lang w:val="es-ES_tradnl"/>
        </w:rPr>
        <w:t>****</w:t>
      </w:r>
      <w:r>
        <w:rPr>
          <w:rFonts w:ascii="Arial" w:hAnsi="Arial" w:cs="Arial"/>
          <w:bCs/>
          <w:spacing w:val="-3"/>
          <w:sz w:val="24"/>
          <w:szCs w:val="27"/>
          <w:lang w:val="es-ES_tradnl"/>
        </w:rPr>
        <w:t>/</w:t>
      </w:r>
      <w:r w:rsidR="00DC3E9E">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DC3E9E">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DC3E9E">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DC3E9E">
        <w:rPr>
          <w:rFonts w:ascii="Arial" w:hAnsi="Arial" w:cs="Arial"/>
          <w:bCs/>
          <w:spacing w:val="-3"/>
          <w:sz w:val="24"/>
          <w:szCs w:val="27"/>
          <w:lang w:val="es-ES_tradnl"/>
        </w:rPr>
        <w:t>*****</w:t>
      </w:r>
      <w:r>
        <w:rPr>
          <w:rFonts w:ascii="Arial" w:hAnsi="Arial" w:cs="Arial"/>
          <w:bCs/>
          <w:spacing w:val="-3"/>
          <w:sz w:val="24"/>
          <w:szCs w:val="27"/>
          <w:lang w:val="es-ES_tradnl"/>
        </w:rPr>
        <w:t>, signado por el Comisario de Vialidad Municipal del Municipio de Oaxaca de Juárez, Oaxaca, visible en la foja 26 del sumario</w:t>
      </w:r>
      <w:r w:rsidR="00C83767">
        <w:rPr>
          <w:rFonts w:ascii="Arial" w:hAnsi="Arial" w:cs="Arial"/>
          <w:bCs/>
          <w:spacing w:val="-3"/>
          <w:sz w:val="24"/>
          <w:szCs w:val="27"/>
          <w:lang w:val="es-ES_tradnl"/>
        </w:rPr>
        <w:t xml:space="preserve">, documental que adquiere valor probatorio pleno en términos del artículo 203 fracción I de la Ley de Procedimiento y Justicia Administrativa para el Estado de Oaxaca, </w:t>
      </w:r>
      <w:r w:rsidR="001656EA">
        <w:rPr>
          <w:rFonts w:ascii="Arial" w:hAnsi="Arial" w:cs="Arial"/>
          <w:bCs/>
          <w:spacing w:val="-3"/>
          <w:sz w:val="24"/>
          <w:szCs w:val="27"/>
          <w:lang w:val="es-ES_tradnl"/>
        </w:rPr>
        <w:t xml:space="preserve">se advierte que la autoridad demandada cita los artículos 1, 2, 189, 190 fracciones X y XXIII del Bando de Policía y Gobierno del Municipio de Oaxaca de Juárez, Oaxaca y 1, 2, 101 y 102 </w:t>
      </w:r>
      <w:r w:rsidR="007A54A5">
        <w:rPr>
          <w:rFonts w:ascii="Arial" w:hAnsi="Arial" w:cs="Arial"/>
          <w:bCs/>
          <w:spacing w:val="-3"/>
          <w:sz w:val="24"/>
          <w:szCs w:val="27"/>
          <w:lang w:val="es-ES_tradnl"/>
        </w:rPr>
        <w:t>inciso</w:t>
      </w:r>
      <w:r w:rsidR="001656EA">
        <w:rPr>
          <w:rFonts w:ascii="Arial" w:hAnsi="Arial" w:cs="Arial"/>
          <w:bCs/>
          <w:spacing w:val="-3"/>
          <w:sz w:val="24"/>
          <w:szCs w:val="27"/>
          <w:lang w:val="es-ES_tradnl"/>
        </w:rPr>
        <w:t xml:space="preserve"> c) del Reglamento de Vialidad Municipal, mismos que para su mejor comprensión y análisis se transcriben a continuación:</w:t>
      </w:r>
    </w:p>
    <w:p w14:paraId="3F53A156" w14:textId="03379202" w:rsidR="00B40AF9" w:rsidRPr="00BF2E8A" w:rsidRDefault="00BF2E8A" w:rsidP="00BF2E8A">
      <w:pPr>
        <w:ind w:left="567" w:right="51"/>
        <w:jc w:val="center"/>
        <w:rPr>
          <w:rFonts w:ascii="Arial" w:hAnsi="Arial" w:cs="Arial"/>
          <w:bCs/>
          <w:i/>
          <w:spacing w:val="-3"/>
          <w:sz w:val="24"/>
          <w:szCs w:val="27"/>
          <w:lang w:val="es-ES_tradnl"/>
        </w:rPr>
      </w:pPr>
      <w:r>
        <w:rPr>
          <w:rFonts w:ascii="Arial" w:hAnsi="Arial" w:cs="Arial"/>
          <w:bCs/>
          <w:i/>
          <w:spacing w:val="-3"/>
          <w:sz w:val="24"/>
          <w:szCs w:val="27"/>
          <w:lang w:val="es-ES_tradnl"/>
        </w:rPr>
        <w:t>“</w:t>
      </w:r>
      <w:r w:rsidR="00B40AF9" w:rsidRPr="0053671A">
        <w:rPr>
          <w:rFonts w:ascii="Arial" w:hAnsi="Arial" w:cs="Arial"/>
          <w:b/>
          <w:bCs/>
          <w:i/>
          <w:spacing w:val="-3"/>
          <w:sz w:val="24"/>
          <w:szCs w:val="27"/>
          <w:lang w:val="es-ES_tradnl"/>
        </w:rPr>
        <w:t>Bando de Policía y Gobierno del Municipio de Oaxaca de Juárez, Oaxaca</w:t>
      </w:r>
    </w:p>
    <w:p w14:paraId="7CF604BD" w14:textId="31B66A54" w:rsidR="007A54A5" w:rsidRPr="00BF2E8A" w:rsidRDefault="007A54A5" w:rsidP="00BF2E8A">
      <w:pPr>
        <w:ind w:left="567" w:right="51"/>
        <w:jc w:val="both"/>
        <w:rPr>
          <w:rFonts w:ascii="Arial" w:hAnsi="Arial" w:cs="Arial"/>
          <w:bCs/>
          <w:i/>
          <w:spacing w:val="-3"/>
          <w:sz w:val="24"/>
          <w:szCs w:val="27"/>
          <w:lang w:val="es-ES_tradnl"/>
        </w:rPr>
      </w:pPr>
      <w:r w:rsidRPr="00BF2E8A">
        <w:rPr>
          <w:rFonts w:ascii="Arial" w:hAnsi="Arial" w:cs="Arial"/>
          <w:b/>
          <w:bCs/>
          <w:i/>
          <w:spacing w:val="-3"/>
          <w:sz w:val="24"/>
          <w:szCs w:val="27"/>
          <w:lang w:val="es-ES_tradnl"/>
        </w:rPr>
        <w:t>ARTÍCULO 1.-</w:t>
      </w:r>
      <w:r w:rsidRPr="00BF2E8A">
        <w:rPr>
          <w:rFonts w:ascii="Arial" w:hAnsi="Arial" w:cs="Arial"/>
          <w:bCs/>
          <w:i/>
          <w:spacing w:val="-3"/>
          <w:sz w:val="24"/>
          <w:szCs w:val="27"/>
          <w:lang w:val="es-ES_tradnl"/>
        </w:rPr>
        <w:t xml:space="preserve"> El presente Bando de Policía y Gobierno del Municipio de Oaxaca de Juárez, es de orden público y tiene por objeto: </w:t>
      </w:r>
    </w:p>
    <w:p w14:paraId="66A4EAD8" w14:textId="3AB00497" w:rsidR="007A54A5" w:rsidRPr="00BF2E8A" w:rsidRDefault="007A54A5" w:rsidP="00BF2E8A">
      <w:pPr>
        <w:ind w:left="567" w:right="51"/>
        <w:jc w:val="both"/>
        <w:rPr>
          <w:rFonts w:ascii="Arial" w:hAnsi="Arial" w:cs="Arial"/>
          <w:bCs/>
          <w:i/>
          <w:spacing w:val="-3"/>
          <w:sz w:val="24"/>
          <w:szCs w:val="27"/>
          <w:lang w:val="es-ES_tradnl"/>
        </w:rPr>
      </w:pPr>
      <w:r w:rsidRPr="00BF2E8A">
        <w:rPr>
          <w:rFonts w:ascii="Arial" w:hAnsi="Arial" w:cs="Arial"/>
          <w:bCs/>
          <w:i/>
          <w:spacing w:val="-3"/>
          <w:sz w:val="24"/>
          <w:szCs w:val="27"/>
          <w:lang w:val="es-ES_tradnl"/>
        </w:rPr>
        <w:t xml:space="preserve">Establecer las normas generales básicas para orientar el régimen de gobierno, la organización y funcionamiento de la administración pública municipal. Identificar a sus autoridades, así como su ámbito de competencia con estricto apego a las disposiciones previstas por: </w:t>
      </w:r>
    </w:p>
    <w:p w14:paraId="5FD256EE" w14:textId="77777777" w:rsidR="007A54A5" w:rsidRPr="00BF2E8A" w:rsidRDefault="007A54A5" w:rsidP="00BF2E8A">
      <w:pPr>
        <w:ind w:left="567" w:right="51"/>
        <w:jc w:val="both"/>
        <w:rPr>
          <w:rFonts w:ascii="Arial" w:hAnsi="Arial" w:cs="Arial"/>
          <w:bCs/>
          <w:i/>
          <w:spacing w:val="-3"/>
          <w:sz w:val="24"/>
          <w:szCs w:val="27"/>
          <w:lang w:val="es-ES_tradnl"/>
        </w:rPr>
      </w:pPr>
      <w:r w:rsidRPr="00BF2E8A">
        <w:rPr>
          <w:rFonts w:ascii="Arial" w:hAnsi="Arial" w:cs="Arial"/>
          <w:bCs/>
          <w:i/>
          <w:spacing w:val="-3"/>
          <w:sz w:val="24"/>
          <w:szCs w:val="27"/>
          <w:lang w:val="es-ES_tradnl"/>
        </w:rPr>
        <w:t>I. La Constitución Política de los Estados Unidos Mexicanos;</w:t>
      </w:r>
    </w:p>
    <w:p w14:paraId="235DC8F8" w14:textId="77777777" w:rsidR="007A54A5" w:rsidRPr="00BF2E8A" w:rsidRDefault="007A54A5" w:rsidP="00BF2E8A">
      <w:pPr>
        <w:ind w:left="567" w:right="51"/>
        <w:jc w:val="both"/>
        <w:rPr>
          <w:rFonts w:ascii="Arial" w:hAnsi="Arial" w:cs="Arial"/>
          <w:bCs/>
          <w:i/>
          <w:spacing w:val="-3"/>
          <w:sz w:val="24"/>
          <w:szCs w:val="27"/>
          <w:lang w:val="es-ES_tradnl"/>
        </w:rPr>
      </w:pPr>
      <w:r w:rsidRPr="00BF2E8A">
        <w:rPr>
          <w:rFonts w:ascii="Arial" w:hAnsi="Arial" w:cs="Arial"/>
          <w:bCs/>
          <w:i/>
          <w:spacing w:val="-3"/>
          <w:sz w:val="24"/>
          <w:szCs w:val="27"/>
          <w:lang w:val="es-ES_tradnl"/>
        </w:rPr>
        <w:t xml:space="preserve">II. Los Tratados Internacionales suscritos y ratificados por México; </w:t>
      </w:r>
    </w:p>
    <w:p w14:paraId="5FF3AA22" w14:textId="77777777" w:rsidR="007A54A5" w:rsidRPr="00BF2E8A" w:rsidRDefault="007A54A5" w:rsidP="00BF2E8A">
      <w:pPr>
        <w:ind w:left="567" w:right="51"/>
        <w:jc w:val="both"/>
        <w:rPr>
          <w:rFonts w:ascii="Arial" w:hAnsi="Arial" w:cs="Arial"/>
          <w:bCs/>
          <w:i/>
          <w:spacing w:val="-3"/>
          <w:sz w:val="24"/>
          <w:szCs w:val="27"/>
          <w:lang w:val="es-ES_tradnl"/>
        </w:rPr>
      </w:pPr>
      <w:r w:rsidRPr="00BF2E8A">
        <w:rPr>
          <w:rFonts w:ascii="Arial" w:hAnsi="Arial" w:cs="Arial"/>
          <w:bCs/>
          <w:i/>
          <w:spacing w:val="-3"/>
          <w:sz w:val="24"/>
          <w:szCs w:val="27"/>
          <w:lang w:val="es-ES_tradnl"/>
        </w:rPr>
        <w:t>III. Las Leyes Federales;</w:t>
      </w:r>
    </w:p>
    <w:p w14:paraId="21D2C49A" w14:textId="77777777" w:rsidR="007A54A5" w:rsidRPr="00BF2E8A" w:rsidRDefault="007A54A5" w:rsidP="00BF2E8A">
      <w:pPr>
        <w:ind w:left="567" w:right="51"/>
        <w:jc w:val="both"/>
        <w:rPr>
          <w:rFonts w:ascii="Arial" w:hAnsi="Arial" w:cs="Arial"/>
          <w:bCs/>
          <w:i/>
          <w:spacing w:val="-3"/>
          <w:sz w:val="24"/>
          <w:szCs w:val="27"/>
          <w:lang w:val="es-ES_tradnl"/>
        </w:rPr>
      </w:pPr>
      <w:r w:rsidRPr="00BF2E8A">
        <w:rPr>
          <w:rFonts w:ascii="Arial" w:hAnsi="Arial" w:cs="Arial"/>
          <w:bCs/>
          <w:i/>
          <w:spacing w:val="-3"/>
          <w:sz w:val="24"/>
          <w:szCs w:val="27"/>
          <w:lang w:val="es-ES_tradnl"/>
        </w:rPr>
        <w:t xml:space="preserve">IV. La Constitución Política del Estado Libre y Soberano de Oaxaca; y </w:t>
      </w:r>
    </w:p>
    <w:p w14:paraId="2DCD1127" w14:textId="77777777" w:rsidR="007A54A5" w:rsidRPr="00BF2E8A" w:rsidRDefault="007A54A5" w:rsidP="00BF2E8A">
      <w:pPr>
        <w:ind w:left="567" w:right="51"/>
        <w:jc w:val="both"/>
        <w:rPr>
          <w:rFonts w:ascii="Arial" w:hAnsi="Arial" w:cs="Arial"/>
          <w:bCs/>
          <w:i/>
          <w:spacing w:val="-3"/>
          <w:sz w:val="24"/>
          <w:szCs w:val="27"/>
          <w:lang w:val="es-ES_tradnl"/>
        </w:rPr>
      </w:pPr>
      <w:r w:rsidRPr="00BF2E8A">
        <w:rPr>
          <w:rFonts w:ascii="Arial" w:hAnsi="Arial" w:cs="Arial"/>
          <w:bCs/>
          <w:i/>
          <w:spacing w:val="-3"/>
          <w:sz w:val="24"/>
          <w:szCs w:val="27"/>
          <w:lang w:val="es-ES_tradnl"/>
        </w:rPr>
        <w:t xml:space="preserve">V. La Ley Orgánica Municipal del Estado de Oaxaca. </w:t>
      </w:r>
    </w:p>
    <w:p w14:paraId="039F972E" w14:textId="2F17CA67" w:rsidR="007A54A5" w:rsidRPr="00BF2E8A" w:rsidRDefault="007A54A5" w:rsidP="00BF2E8A">
      <w:pPr>
        <w:ind w:left="567" w:right="51"/>
        <w:jc w:val="both"/>
        <w:rPr>
          <w:rFonts w:ascii="Arial" w:hAnsi="Arial" w:cs="Arial"/>
          <w:bCs/>
          <w:i/>
          <w:spacing w:val="-3"/>
          <w:sz w:val="24"/>
          <w:szCs w:val="27"/>
          <w:lang w:val="es-ES_tradnl"/>
        </w:rPr>
      </w:pPr>
      <w:r w:rsidRPr="00BF2E8A">
        <w:rPr>
          <w:rFonts w:ascii="Arial" w:hAnsi="Arial" w:cs="Arial"/>
          <w:bCs/>
          <w:i/>
          <w:spacing w:val="-3"/>
          <w:sz w:val="24"/>
          <w:szCs w:val="27"/>
          <w:lang w:val="es-ES_tradnl"/>
        </w:rPr>
        <w:t>Sus disposiciones son de observancia general y obligatoria en todo el territorio municipal.</w:t>
      </w:r>
    </w:p>
    <w:p w14:paraId="161E851F" w14:textId="1DEE3689" w:rsidR="001656EA" w:rsidRPr="00BF2E8A" w:rsidRDefault="007A54A5"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ARTÍCULO 2.-</w:t>
      </w:r>
      <w:r w:rsidRPr="00BF2E8A">
        <w:rPr>
          <w:rFonts w:ascii="Arial" w:hAnsi="Arial" w:cs="Arial"/>
          <w:bCs/>
          <w:i/>
          <w:snapToGrid w:val="0"/>
          <w:sz w:val="24"/>
          <w:szCs w:val="27"/>
        </w:rPr>
        <w:t xml:space="preserve"> El Municipio de Oaxaca de Juárez, es un Orden de Gobierno, investido de personalidad jurídica, con territorio y patrimonio propio, autónomo </w:t>
      </w:r>
      <w:r w:rsidRPr="00BF2E8A">
        <w:rPr>
          <w:rFonts w:ascii="Arial" w:hAnsi="Arial" w:cs="Arial"/>
          <w:bCs/>
          <w:i/>
          <w:snapToGrid w:val="0"/>
          <w:sz w:val="24"/>
          <w:szCs w:val="27"/>
        </w:rPr>
        <w:lastRenderedPageBreak/>
        <w:t>en su régimen interior y con libre administración de su hacienda; gobernado por un Ayuntamiento de elección popular directa.</w:t>
      </w:r>
    </w:p>
    <w:p w14:paraId="56AEDE6A" w14:textId="75ABEE08" w:rsidR="007A54A5" w:rsidRPr="00BF2E8A" w:rsidRDefault="007A54A5" w:rsidP="00BF2E8A">
      <w:pPr>
        <w:ind w:left="567" w:right="51"/>
        <w:jc w:val="both"/>
        <w:rPr>
          <w:rFonts w:ascii="Arial" w:hAnsi="Arial" w:cs="Arial"/>
          <w:bCs/>
          <w:i/>
          <w:snapToGrid w:val="0"/>
          <w:sz w:val="24"/>
          <w:szCs w:val="27"/>
        </w:rPr>
      </w:pPr>
      <w:r w:rsidRPr="00BF2E8A">
        <w:rPr>
          <w:rFonts w:ascii="Arial" w:hAnsi="Arial" w:cs="Arial"/>
          <w:bCs/>
          <w:i/>
          <w:snapToGrid w:val="0"/>
          <w:sz w:val="24"/>
          <w:szCs w:val="27"/>
        </w:rPr>
        <w:t>[…]</w:t>
      </w:r>
    </w:p>
    <w:p w14:paraId="5FD7ABE1" w14:textId="29BD8BA7" w:rsidR="007A54A5" w:rsidRPr="00BF2E8A" w:rsidRDefault="007A54A5"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ARTÍCULO 189.-</w:t>
      </w:r>
      <w:r w:rsidRPr="00BF2E8A">
        <w:rPr>
          <w:rFonts w:ascii="Arial" w:hAnsi="Arial" w:cs="Arial"/>
          <w:bCs/>
          <w:i/>
          <w:snapToGrid w:val="0"/>
          <w:sz w:val="24"/>
          <w:szCs w:val="27"/>
        </w:rPr>
        <w:t xml:space="preserve"> La Comisaría de Vialidad, es la dependencia encargada de regular el tránsito peatonal y de vehículos, las vialidades, la prevención y atención de siniestros, y accidentes vehiculares, en cuyos aspectos técnicos de estudio y análisis coadyuvará para salvaguardar la integridad y derechos de las personas, así como preservar las libertades, el orden y la paz pública.  </w:t>
      </w:r>
    </w:p>
    <w:p w14:paraId="67A34907" w14:textId="63608881" w:rsidR="007A54A5" w:rsidRPr="00BF2E8A" w:rsidRDefault="007A54A5"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ARTÍCULO 190.-</w:t>
      </w:r>
      <w:r w:rsidRPr="00BF2E8A">
        <w:rPr>
          <w:rFonts w:ascii="Arial" w:hAnsi="Arial" w:cs="Arial"/>
          <w:bCs/>
          <w:i/>
          <w:snapToGrid w:val="0"/>
          <w:sz w:val="24"/>
          <w:szCs w:val="27"/>
        </w:rPr>
        <w:t xml:space="preserve"> La Comisaría de Vialidad tiene las siguientes atribuciones y obligaciones:</w:t>
      </w:r>
    </w:p>
    <w:p w14:paraId="096197C1" w14:textId="26C676B9" w:rsidR="00B40AF9" w:rsidRPr="00BF2E8A" w:rsidRDefault="00B40AF9" w:rsidP="00BF2E8A">
      <w:pPr>
        <w:ind w:left="567" w:right="51"/>
        <w:jc w:val="both"/>
        <w:rPr>
          <w:rFonts w:ascii="Arial" w:hAnsi="Arial" w:cs="Arial"/>
          <w:bCs/>
          <w:i/>
          <w:snapToGrid w:val="0"/>
          <w:sz w:val="24"/>
          <w:szCs w:val="27"/>
        </w:rPr>
      </w:pPr>
      <w:r w:rsidRPr="00BF2E8A">
        <w:rPr>
          <w:rFonts w:ascii="Arial" w:hAnsi="Arial" w:cs="Arial"/>
          <w:bCs/>
          <w:i/>
          <w:snapToGrid w:val="0"/>
          <w:sz w:val="24"/>
          <w:szCs w:val="27"/>
        </w:rPr>
        <w:t>[…]</w:t>
      </w:r>
    </w:p>
    <w:p w14:paraId="0411270A" w14:textId="5A40DDDB" w:rsidR="007A54A5" w:rsidRPr="00BF2E8A" w:rsidRDefault="007A54A5"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X.</w:t>
      </w:r>
      <w:r w:rsidRPr="00BF2E8A">
        <w:rPr>
          <w:rFonts w:ascii="Arial" w:hAnsi="Arial" w:cs="Arial"/>
          <w:bCs/>
          <w:i/>
          <w:snapToGrid w:val="0"/>
          <w:sz w:val="24"/>
          <w:szCs w:val="27"/>
        </w:rPr>
        <w:t xml:space="preserve"> Formular dictamen en materia de Vialidad;</w:t>
      </w:r>
    </w:p>
    <w:p w14:paraId="058BEDF5" w14:textId="653D0254" w:rsidR="007A54A5" w:rsidRPr="00BF2E8A" w:rsidRDefault="007A54A5" w:rsidP="00BF2E8A">
      <w:pPr>
        <w:ind w:left="567" w:right="51"/>
        <w:jc w:val="both"/>
        <w:rPr>
          <w:rFonts w:ascii="Arial" w:hAnsi="Arial" w:cs="Arial"/>
          <w:bCs/>
          <w:i/>
          <w:snapToGrid w:val="0"/>
          <w:sz w:val="24"/>
          <w:szCs w:val="27"/>
        </w:rPr>
      </w:pPr>
      <w:r w:rsidRPr="00BF2E8A">
        <w:rPr>
          <w:rFonts w:ascii="Arial" w:hAnsi="Arial" w:cs="Arial"/>
          <w:bCs/>
          <w:i/>
          <w:snapToGrid w:val="0"/>
          <w:sz w:val="24"/>
          <w:szCs w:val="27"/>
        </w:rPr>
        <w:t>[…]</w:t>
      </w:r>
    </w:p>
    <w:p w14:paraId="708F2E06" w14:textId="780278F9" w:rsidR="007A54A5" w:rsidRPr="00BF2E8A" w:rsidRDefault="007A54A5"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XXIII.</w:t>
      </w:r>
      <w:r w:rsidRPr="00BF2E8A">
        <w:rPr>
          <w:rFonts w:ascii="Arial" w:hAnsi="Arial" w:cs="Arial"/>
          <w:bCs/>
          <w:i/>
          <w:snapToGrid w:val="0"/>
          <w:sz w:val="24"/>
          <w:szCs w:val="27"/>
        </w:rPr>
        <w:t xml:space="preserve"> Las demás que las leyes, reglamentos, decretos, acuerdos, convenios le atribuyan, así como aquellas que le asigna el Comisionado de Seguridad Pública y Vialidad.</w:t>
      </w:r>
    </w:p>
    <w:p w14:paraId="11E7F39A" w14:textId="0102FFD6" w:rsidR="00B40AF9" w:rsidRPr="0053671A" w:rsidRDefault="00B40AF9" w:rsidP="00BF2E8A">
      <w:pPr>
        <w:ind w:left="567" w:right="51"/>
        <w:jc w:val="center"/>
        <w:rPr>
          <w:rFonts w:ascii="Arial" w:hAnsi="Arial" w:cs="Arial"/>
          <w:b/>
          <w:bCs/>
          <w:i/>
          <w:snapToGrid w:val="0"/>
          <w:sz w:val="24"/>
          <w:szCs w:val="27"/>
        </w:rPr>
      </w:pPr>
      <w:r w:rsidRPr="0053671A">
        <w:rPr>
          <w:rFonts w:ascii="Arial" w:hAnsi="Arial" w:cs="Arial"/>
          <w:b/>
          <w:bCs/>
          <w:i/>
          <w:snapToGrid w:val="0"/>
          <w:sz w:val="24"/>
          <w:szCs w:val="27"/>
        </w:rPr>
        <w:t>Reglamento de Vialidad para el Municipio de Oaxaca de Juárez</w:t>
      </w:r>
    </w:p>
    <w:p w14:paraId="0F34EBCF" w14:textId="5FFBA231" w:rsidR="00915C38" w:rsidRPr="00BF2E8A" w:rsidRDefault="00116E04"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ARTÍCULO 1.-</w:t>
      </w:r>
      <w:r w:rsidRPr="00BF2E8A">
        <w:rPr>
          <w:rFonts w:ascii="Arial" w:hAnsi="Arial" w:cs="Arial"/>
          <w:bCs/>
          <w:i/>
          <w:snapToGrid w:val="0"/>
          <w:sz w:val="24"/>
          <w:szCs w:val="27"/>
        </w:rPr>
        <w:t xml:space="preserve"> El presente Reglamento es de interés público y observancia general en el Municipio de Oaxaca de Juárez, tiene por objeto, establecer las normas de seguridad, control, supervisión y regulación del tránsito peatonal y vehicular.</w:t>
      </w:r>
    </w:p>
    <w:p w14:paraId="538A2601" w14:textId="24E9B0B6" w:rsidR="00116E04" w:rsidRPr="00BF2E8A" w:rsidRDefault="00403C41"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ARTÍCULO 2. -</w:t>
      </w:r>
      <w:r w:rsidRPr="00BF2E8A">
        <w:rPr>
          <w:rFonts w:ascii="Arial" w:hAnsi="Arial" w:cs="Arial"/>
          <w:bCs/>
          <w:i/>
          <w:snapToGrid w:val="0"/>
          <w:sz w:val="24"/>
          <w:szCs w:val="27"/>
        </w:rPr>
        <w:t xml:space="preserve"> Para los efectos del presente Reglamento, se consideran vía pública a todo espacio de dominio público y de uso común destinado al tránsito de personas y vehículos que por disposiciones de la Autoridad Municipal, se encuentra destinada al libre tránsito de personas y vehículos, de conformidad con las Leyes y Reglamentos de la materia;  entre las que se encuentran:  las vías rápidas, vías alternas, arterias, calles colectoras, avenidas, calzadas, calles locales, callejones, plazas, paseos, andadores, aceras, pasadizos, bulevares, rotondas, túneles, puentes peatonales y vehiculares, distribuidores viales que estén dentro del territorio municipal.</w:t>
      </w:r>
    </w:p>
    <w:p w14:paraId="342D0F35" w14:textId="408C649D" w:rsidR="00403C41" w:rsidRPr="00BF2E8A" w:rsidRDefault="00403C41" w:rsidP="00BF2E8A">
      <w:pPr>
        <w:ind w:left="567" w:right="51"/>
        <w:jc w:val="both"/>
        <w:rPr>
          <w:rFonts w:ascii="Arial" w:hAnsi="Arial" w:cs="Arial"/>
          <w:bCs/>
          <w:i/>
          <w:snapToGrid w:val="0"/>
          <w:sz w:val="24"/>
          <w:szCs w:val="27"/>
        </w:rPr>
      </w:pPr>
      <w:r w:rsidRPr="00BF2E8A">
        <w:rPr>
          <w:rFonts w:ascii="Arial" w:hAnsi="Arial" w:cs="Arial"/>
          <w:bCs/>
          <w:i/>
          <w:snapToGrid w:val="0"/>
          <w:sz w:val="24"/>
          <w:szCs w:val="27"/>
        </w:rPr>
        <w:t>[…]</w:t>
      </w:r>
    </w:p>
    <w:p w14:paraId="06E563F1" w14:textId="79B58931" w:rsidR="00403C41" w:rsidRPr="00BF2E8A" w:rsidRDefault="00403C41"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ARTÍCULO 101.-</w:t>
      </w:r>
      <w:r w:rsidRPr="00BF2E8A">
        <w:rPr>
          <w:rFonts w:ascii="Arial" w:hAnsi="Arial" w:cs="Arial"/>
          <w:bCs/>
          <w:i/>
          <w:snapToGrid w:val="0"/>
          <w:sz w:val="24"/>
          <w:szCs w:val="27"/>
        </w:rPr>
        <w:t xml:space="preserve"> La construcción, colocación, características, ubicación y en general todo lo relacionado con señales y dispositivos para el control de la Vialidad en el Municipio, deberán de sujetarse a lo establecido por la Subcomisaría de Vialidad.</w:t>
      </w:r>
    </w:p>
    <w:p w14:paraId="445D16EF" w14:textId="048FB949" w:rsidR="00DD3DD7" w:rsidRPr="00BF2E8A" w:rsidRDefault="00DD3DD7"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ARTÍCULO 102.-</w:t>
      </w:r>
      <w:r w:rsidRPr="00BF2E8A">
        <w:rPr>
          <w:rFonts w:ascii="Arial" w:hAnsi="Arial" w:cs="Arial"/>
          <w:bCs/>
          <w:i/>
          <w:snapToGrid w:val="0"/>
          <w:sz w:val="24"/>
          <w:szCs w:val="27"/>
        </w:rPr>
        <w:t xml:space="preserve"> Para regular el tránsito en la vía pública, se usarán rayas, símbolos, letras de colores pintadas o aplicadas, sobre el pavimento o en el límite de la acera inmediata al arroyo. Los conductores y peatones están obligados a seguir las indicaciones de estas marcas, las cuales se colocarán de la siguiente forma:</w:t>
      </w:r>
    </w:p>
    <w:p w14:paraId="18C3E5E3" w14:textId="5566083B" w:rsidR="00DD3DD7" w:rsidRPr="00BF2E8A" w:rsidRDefault="00DD3DD7" w:rsidP="00BF2E8A">
      <w:pPr>
        <w:ind w:left="567" w:right="51"/>
        <w:jc w:val="both"/>
        <w:rPr>
          <w:rFonts w:ascii="Arial" w:hAnsi="Arial" w:cs="Arial"/>
          <w:bCs/>
          <w:i/>
          <w:snapToGrid w:val="0"/>
          <w:sz w:val="24"/>
          <w:szCs w:val="27"/>
        </w:rPr>
      </w:pPr>
      <w:r w:rsidRPr="00BF2E8A">
        <w:rPr>
          <w:rFonts w:ascii="Arial" w:hAnsi="Arial" w:cs="Arial"/>
          <w:bCs/>
          <w:i/>
          <w:snapToGrid w:val="0"/>
          <w:sz w:val="24"/>
          <w:szCs w:val="27"/>
        </w:rPr>
        <w:t>[…]</w:t>
      </w:r>
    </w:p>
    <w:p w14:paraId="4656AB2E" w14:textId="4EA92ED5" w:rsidR="00DD3DD7" w:rsidRPr="00BF2E8A" w:rsidRDefault="00DD3DD7"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lastRenderedPageBreak/>
        <w:t>III.</w:t>
      </w:r>
      <w:r w:rsidRPr="00BF2E8A">
        <w:rPr>
          <w:rFonts w:ascii="Arial" w:hAnsi="Arial" w:cs="Arial"/>
          <w:bCs/>
          <w:i/>
          <w:snapToGrid w:val="0"/>
          <w:sz w:val="24"/>
          <w:szCs w:val="27"/>
        </w:rPr>
        <w:t xml:space="preserve"> Marcas sin obstáculos.</w:t>
      </w:r>
    </w:p>
    <w:p w14:paraId="4B768DBA" w14:textId="1AF3D9EA" w:rsidR="00DD3DD7" w:rsidRPr="00BF2E8A" w:rsidRDefault="00DD3DD7" w:rsidP="00BF2E8A">
      <w:pPr>
        <w:ind w:left="567" w:right="51"/>
        <w:jc w:val="both"/>
        <w:rPr>
          <w:rFonts w:ascii="Arial" w:hAnsi="Arial" w:cs="Arial"/>
          <w:bCs/>
          <w:i/>
          <w:snapToGrid w:val="0"/>
          <w:sz w:val="24"/>
          <w:szCs w:val="27"/>
        </w:rPr>
      </w:pPr>
      <w:r w:rsidRPr="00BF2E8A">
        <w:rPr>
          <w:rFonts w:ascii="Arial" w:hAnsi="Arial" w:cs="Arial"/>
          <w:bCs/>
          <w:i/>
          <w:snapToGrid w:val="0"/>
          <w:sz w:val="24"/>
          <w:szCs w:val="27"/>
        </w:rPr>
        <w:t>[…]</w:t>
      </w:r>
    </w:p>
    <w:p w14:paraId="17FBB1B0" w14:textId="10713294" w:rsidR="00DD3DD7" w:rsidRPr="00BF2E8A" w:rsidRDefault="00DD3DD7" w:rsidP="00BF2E8A">
      <w:pPr>
        <w:ind w:left="567" w:right="51"/>
        <w:jc w:val="both"/>
        <w:rPr>
          <w:rFonts w:ascii="Arial" w:hAnsi="Arial" w:cs="Arial"/>
          <w:bCs/>
          <w:i/>
          <w:snapToGrid w:val="0"/>
          <w:sz w:val="24"/>
          <w:szCs w:val="27"/>
        </w:rPr>
      </w:pPr>
      <w:r w:rsidRPr="00BF2E8A">
        <w:rPr>
          <w:rFonts w:ascii="Arial" w:hAnsi="Arial" w:cs="Arial"/>
          <w:b/>
          <w:bCs/>
          <w:i/>
          <w:snapToGrid w:val="0"/>
          <w:sz w:val="24"/>
          <w:szCs w:val="27"/>
        </w:rPr>
        <w:t>c.</w:t>
      </w:r>
      <w:r w:rsidRPr="00BF2E8A">
        <w:rPr>
          <w:rFonts w:ascii="Arial" w:hAnsi="Arial" w:cs="Arial"/>
          <w:bCs/>
          <w:i/>
          <w:snapToGrid w:val="0"/>
          <w:sz w:val="24"/>
          <w:szCs w:val="27"/>
        </w:rPr>
        <w:t xml:space="preserve"> Los vibradores y topes: son señalamientos horizontales al eje de la vía, que advierten la proximidad de peligro. Ante esa advertencia los conductores deben disminuir la velocidad y extremar sus precauciones.</w:t>
      </w:r>
      <w:r w:rsidR="00F86B9C">
        <w:rPr>
          <w:rFonts w:ascii="Arial" w:hAnsi="Arial" w:cs="Arial"/>
          <w:bCs/>
          <w:i/>
          <w:snapToGrid w:val="0"/>
          <w:sz w:val="24"/>
          <w:szCs w:val="27"/>
        </w:rPr>
        <w:t>”</w:t>
      </w:r>
    </w:p>
    <w:p w14:paraId="72BE962D" w14:textId="2A3DAF00" w:rsidR="00165C4A" w:rsidRDefault="00165C4A" w:rsidP="00165C4A">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Como se pudo advertir, y bajo una interpretación armónica de los ordenamientos legales antes transcritos, </w:t>
      </w:r>
      <w:r w:rsidR="005E7BE9">
        <w:rPr>
          <w:rFonts w:ascii="Arial" w:hAnsi="Arial" w:cs="Arial"/>
          <w:bCs/>
          <w:snapToGrid w:val="0"/>
          <w:sz w:val="24"/>
          <w:szCs w:val="27"/>
        </w:rPr>
        <w:t xml:space="preserve">la construcción, colocación, </w:t>
      </w:r>
      <w:r w:rsidR="005E7BE9" w:rsidRPr="005E7BE9">
        <w:rPr>
          <w:rFonts w:ascii="Arial" w:hAnsi="Arial" w:cs="Arial"/>
          <w:bCs/>
          <w:snapToGrid w:val="0"/>
          <w:sz w:val="24"/>
          <w:szCs w:val="27"/>
        </w:rPr>
        <w:t>características, ubicación y en general todo lo relacionado con señales y dispositivos para el control de la Vialidad en el Municipio, deberán de sujetarse a lo establecido por la Subcomisaría de Vialidad</w:t>
      </w:r>
      <w:r w:rsidR="005E7BE9">
        <w:rPr>
          <w:rFonts w:ascii="Arial" w:hAnsi="Arial" w:cs="Arial"/>
          <w:bCs/>
          <w:snapToGrid w:val="0"/>
          <w:sz w:val="24"/>
          <w:szCs w:val="27"/>
        </w:rPr>
        <w:t>, bajo el entendido que la Subcomisaría de Vialidad se encuentra jerárquicamente sujeta a la</w:t>
      </w:r>
      <w:r w:rsidR="00C9735F">
        <w:rPr>
          <w:rFonts w:ascii="Arial" w:hAnsi="Arial" w:cs="Arial"/>
          <w:bCs/>
          <w:snapToGrid w:val="0"/>
          <w:sz w:val="24"/>
          <w:szCs w:val="27"/>
        </w:rPr>
        <w:t xml:space="preserve"> Comisaría de Vialidad Municipal, por lo que en pleno uso de las facultad del titular de la citada Comisaría, válidamente puede di</w:t>
      </w:r>
      <w:r w:rsidR="00480743">
        <w:rPr>
          <w:rFonts w:ascii="Arial" w:hAnsi="Arial" w:cs="Arial"/>
          <w:bCs/>
          <w:snapToGrid w:val="0"/>
          <w:sz w:val="24"/>
          <w:szCs w:val="27"/>
        </w:rPr>
        <w:t>ctaminar en m</w:t>
      </w:r>
      <w:r w:rsidR="00BA0BA5">
        <w:rPr>
          <w:rFonts w:ascii="Arial" w:hAnsi="Arial" w:cs="Arial"/>
          <w:bCs/>
          <w:snapToGrid w:val="0"/>
          <w:sz w:val="24"/>
          <w:szCs w:val="27"/>
        </w:rPr>
        <w:t>ateria de vialidad, comprendiendo tal facultad la de autorizar la colocación topes como marca sin señalamiento para regular el tránsito vehicular</w:t>
      </w:r>
      <w:r w:rsidR="00040536">
        <w:rPr>
          <w:rFonts w:ascii="Arial" w:hAnsi="Arial" w:cs="Arial"/>
          <w:bCs/>
          <w:snapToGrid w:val="0"/>
          <w:sz w:val="24"/>
          <w:szCs w:val="27"/>
        </w:rPr>
        <w:t>.</w:t>
      </w:r>
    </w:p>
    <w:p w14:paraId="1B6F4EB8" w14:textId="2E46C05B" w:rsidR="00040536" w:rsidRDefault="00040536" w:rsidP="00165C4A">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Bajo la anterior guisa, se advierte entonces que el Comisario de Vialidad Municipal del Ayuntamiento de Oaxaca de Juárez, Oaxaca, </w:t>
      </w:r>
      <w:r w:rsidR="00381974">
        <w:rPr>
          <w:rFonts w:ascii="Arial" w:hAnsi="Arial" w:cs="Arial"/>
          <w:bCs/>
          <w:snapToGrid w:val="0"/>
          <w:sz w:val="24"/>
          <w:szCs w:val="27"/>
        </w:rPr>
        <w:t xml:space="preserve">resulta competente para emitir el acto impugnado, consistente en la respuesta </w:t>
      </w:r>
      <w:r w:rsidR="006E2427">
        <w:rPr>
          <w:rFonts w:ascii="Arial" w:hAnsi="Arial" w:cs="Arial"/>
          <w:bCs/>
          <w:snapToGrid w:val="0"/>
          <w:sz w:val="24"/>
          <w:szCs w:val="27"/>
        </w:rPr>
        <w:t>recaída al escrito de petición d</w:t>
      </w:r>
      <w:r w:rsidR="00C07C23">
        <w:rPr>
          <w:rFonts w:ascii="Arial" w:hAnsi="Arial" w:cs="Arial"/>
          <w:bCs/>
          <w:snapToGrid w:val="0"/>
          <w:sz w:val="24"/>
          <w:szCs w:val="27"/>
        </w:rPr>
        <w:t>e fecha</w:t>
      </w:r>
      <w:r w:rsidR="000C066D">
        <w:rPr>
          <w:rFonts w:ascii="Arial" w:hAnsi="Arial" w:cs="Arial"/>
          <w:bCs/>
          <w:snapToGrid w:val="0"/>
          <w:sz w:val="24"/>
          <w:szCs w:val="27"/>
        </w:rPr>
        <w:t xml:space="preserve"> **** </w:t>
      </w:r>
      <w:r w:rsidR="00C07C23">
        <w:rPr>
          <w:rFonts w:ascii="Arial" w:hAnsi="Arial" w:cs="Arial"/>
          <w:bCs/>
          <w:snapToGrid w:val="0"/>
          <w:sz w:val="24"/>
          <w:szCs w:val="27"/>
        </w:rPr>
        <w:t>de</w:t>
      </w:r>
      <w:r w:rsidR="000C066D">
        <w:rPr>
          <w:rFonts w:ascii="Arial" w:hAnsi="Arial" w:cs="Arial"/>
          <w:bCs/>
          <w:snapToGrid w:val="0"/>
          <w:sz w:val="24"/>
          <w:szCs w:val="27"/>
        </w:rPr>
        <w:t xml:space="preserve"> ****</w:t>
      </w:r>
      <w:r w:rsidR="00C07C23">
        <w:rPr>
          <w:rFonts w:ascii="Arial" w:hAnsi="Arial" w:cs="Arial"/>
          <w:bCs/>
          <w:snapToGrid w:val="0"/>
          <w:sz w:val="24"/>
          <w:szCs w:val="27"/>
        </w:rPr>
        <w:t xml:space="preserve"> de dos mil</w:t>
      </w:r>
      <w:r w:rsidR="000C066D">
        <w:rPr>
          <w:rFonts w:ascii="Arial" w:hAnsi="Arial" w:cs="Arial"/>
          <w:bCs/>
          <w:snapToGrid w:val="0"/>
          <w:sz w:val="24"/>
          <w:szCs w:val="27"/>
        </w:rPr>
        <w:t xml:space="preserve"> *****</w:t>
      </w:r>
      <w:r w:rsidR="00C07C23">
        <w:rPr>
          <w:rFonts w:ascii="Arial" w:hAnsi="Arial" w:cs="Arial"/>
          <w:bCs/>
          <w:snapToGrid w:val="0"/>
          <w:sz w:val="24"/>
          <w:szCs w:val="27"/>
        </w:rPr>
        <w:t xml:space="preserve">, en consecuencia, el concepto de impugnación SEGUNDO expuesto por la parte actora resulta </w:t>
      </w:r>
      <w:r w:rsidR="00C07C23" w:rsidRPr="00D21188">
        <w:rPr>
          <w:rFonts w:ascii="Arial" w:hAnsi="Arial" w:cs="Arial"/>
          <w:b/>
          <w:bCs/>
          <w:snapToGrid w:val="0"/>
          <w:sz w:val="24"/>
          <w:szCs w:val="27"/>
        </w:rPr>
        <w:t>INFUNDADO</w:t>
      </w:r>
      <w:r w:rsidR="00C07C23">
        <w:rPr>
          <w:rFonts w:ascii="Arial" w:hAnsi="Arial" w:cs="Arial"/>
          <w:bCs/>
          <w:snapToGrid w:val="0"/>
          <w:sz w:val="24"/>
          <w:szCs w:val="27"/>
        </w:rPr>
        <w:t>.</w:t>
      </w:r>
    </w:p>
    <w:p w14:paraId="344A3D86" w14:textId="0A992E6E" w:rsidR="00C07C23" w:rsidRDefault="00C07C23" w:rsidP="00165C4A">
      <w:pPr>
        <w:spacing w:line="360" w:lineRule="auto"/>
        <w:ind w:right="51" w:firstLine="567"/>
        <w:jc w:val="both"/>
        <w:rPr>
          <w:rFonts w:ascii="Arial" w:hAnsi="Arial" w:cs="Arial"/>
          <w:bCs/>
          <w:snapToGrid w:val="0"/>
          <w:sz w:val="24"/>
          <w:szCs w:val="27"/>
        </w:rPr>
      </w:pPr>
      <w:r w:rsidRPr="00C07C23">
        <w:rPr>
          <w:rFonts w:ascii="Arial" w:hAnsi="Arial" w:cs="Arial"/>
          <w:b/>
          <w:bCs/>
          <w:snapToGrid w:val="0"/>
          <w:sz w:val="24"/>
          <w:szCs w:val="27"/>
        </w:rPr>
        <w:t>QUINTO.</w:t>
      </w:r>
      <w:r>
        <w:rPr>
          <w:rFonts w:ascii="Arial" w:hAnsi="Arial" w:cs="Arial"/>
          <w:bCs/>
          <w:snapToGrid w:val="0"/>
          <w:sz w:val="24"/>
          <w:szCs w:val="27"/>
        </w:rPr>
        <w:t xml:space="preserve"> Los accionantes en su concepto de impugnación</w:t>
      </w:r>
      <w:r w:rsidR="00D21188">
        <w:rPr>
          <w:rFonts w:ascii="Arial" w:hAnsi="Arial" w:cs="Arial"/>
          <w:bCs/>
          <w:snapToGrid w:val="0"/>
          <w:sz w:val="24"/>
          <w:szCs w:val="27"/>
        </w:rPr>
        <w:t xml:space="preserve"> PRIMERO</w:t>
      </w:r>
      <w:r>
        <w:rPr>
          <w:rFonts w:ascii="Arial" w:hAnsi="Arial" w:cs="Arial"/>
          <w:bCs/>
          <w:snapToGrid w:val="0"/>
          <w:sz w:val="24"/>
          <w:szCs w:val="27"/>
        </w:rPr>
        <w:t xml:space="preserve"> manifiestan que </w:t>
      </w:r>
      <w:r w:rsidR="00D21188">
        <w:rPr>
          <w:rFonts w:ascii="Arial" w:hAnsi="Arial" w:cs="Arial"/>
          <w:bCs/>
          <w:snapToGrid w:val="0"/>
          <w:sz w:val="24"/>
          <w:szCs w:val="27"/>
        </w:rPr>
        <w:t xml:space="preserve">el acto reclamado primeramente no motiva correctamente su determinación conforme a la fundamentación </w:t>
      </w:r>
      <w:r w:rsidR="00606CFF">
        <w:rPr>
          <w:rFonts w:ascii="Arial" w:hAnsi="Arial" w:cs="Arial"/>
          <w:bCs/>
          <w:snapToGrid w:val="0"/>
          <w:sz w:val="24"/>
          <w:szCs w:val="27"/>
        </w:rPr>
        <w:t>citada ya que en dichos fundamentos no le facultan para determinar y negar la autorización a la solicitud planteada.</w:t>
      </w:r>
    </w:p>
    <w:p w14:paraId="3196F5C6" w14:textId="721B09D7" w:rsidR="00606CFF" w:rsidRDefault="00606CFF" w:rsidP="00165C4A">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Derivado </w:t>
      </w:r>
      <w:r w:rsidR="002D5C87">
        <w:rPr>
          <w:rFonts w:ascii="Arial" w:hAnsi="Arial" w:cs="Arial"/>
          <w:bCs/>
          <w:snapToGrid w:val="0"/>
          <w:sz w:val="24"/>
          <w:szCs w:val="27"/>
        </w:rPr>
        <w:t xml:space="preserve">de lo anterior, como se puntualizó en el considerando CUARTO de la presente sentencia, la hoy autoridad demandada, válidamente puede conocer y decidir respecto a la colocación de topes o reductores de velocidad, sin embargo, las leyes aplicables no señalan un procedimiento específico que se tenga que seguir cuando se solicite </w:t>
      </w:r>
      <w:r w:rsidR="002C4886">
        <w:rPr>
          <w:rFonts w:ascii="Arial" w:hAnsi="Arial" w:cs="Arial"/>
          <w:bCs/>
          <w:snapToGrid w:val="0"/>
          <w:sz w:val="24"/>
          <w:szCs w:val="27"/>
        </w:rPr>
        <w:t xml:space="preserve">la colocación de algún tope o reductor de velocidad, así como sus requisitos para que la solicitud sea procedente, luego entonces, </w:t>
      </w:r>
      <w:r w:rsidR="008F41E8">
        <w:rPr>
          <w:rFonts w:ascii="Arial" w:hAnsi="Arial" w:cs="Arial"/>
          <w:bCs/>
          <w:snapToGrid w:val="0"/>
          <w:sz w:val="24"/>
          <w:szCs w:val="27"/>
        </w:rPr>
        <w:t xml:space="preserve">dicha facultad debe entenderse </w:t>
      </w:r>
      <w:r w:rsidR="00D936C5">
        <w:rPr>
          <w:rFonts w:ascii="Arial" w:hAnsi="Arial" w:cs="Arial"/>
          <w:bCs/>
          <w:snapToGrid w:val="0"/>
          <w:sz w:val="24"/>
          <w:szCs w:val="27"/>
        </w:rPr>
        <w:t xml:space="preserve">como una facultad discrecional y no así como una facultad reglada, puesto que de la ley que le confiere </w:t>
      </w:r>
      <w:r w:rsidR="00D936C5" w:rsidRPr="00D936C5">
        <w:rPr>
          <w:rFonts w:ascii="Arial" w:hAnsi="Arial" w:cs="Arial"/>
          <w:bCs/>
          <w:snapToGrid w:val="0"/>
          <w:sz w:val="24"/>
          <w:szCs w:val="27"/>
        </w:rPr>
        <w:t xml:space="preserve">prevé una hipótesis de hecho </w:t>
      </w:r>
      <w:r w:rsidR="00D936C5">
        <w:rPr>
          <w:rFonts w:ascii="Arial" w:hAnsi="Arial" w:cs="Arial"/>
          <w:bCs/>
          <w:snapToGrid w:val="0"/>
          <w:sz w:val="24"/>
          <w:szCs w:val="27"/>
        </w:rPr>
        <w:t xml:space="preserve">respecto a una autorización en sentido amplio, sin que exista la obligación de la autoridad de actuar de forma positiva ante la autorización antes señalada, en ese tenor, al ser una facultad discrecional, bajo su </w:t>
      </w:r>
      <w:r w:rsidR="00D936C5" w:rsidRPr="00D936C5">
        <w:rPr>
          <w:rFonts w:ascii="Arial" w:hAnsi="Arial" w:cs="Arial"/>
          <w:bCs/>
          <w:snapToGrid w:val="0"/>
          <w:sz w:val="24"/>
          <w:szCs w:val="27"/>
        </w:rPr>
        <w:t>prudente arbitrio</w:t>
      </w:r>
      <w:r w:rsidR="00D936C5">
        <w:rPr>
          <w:rFonts w:ascii="Arial" w:hAnsi="Arial" w:cs="Arial"/>
          <w:bCs/>
          <w:snapToGrid w:val="0"/>
          <w:sz w:val="24"/>
          <w:szCs w:val="27"/>
        </w:rPr>
        <w:t xml:space="preserve"> la autoridad demandada jurídicamente puede libremente determinar lo que a su parecer proceda.</w:t>
      </w:r>
    </w:p>
    <w:p w14:paraId="12556123" w14:textId="7D746C7D" w:rsidR="00D936C5" w:rsidRDefault="00D936C5" w:rsidP="00D936C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lastRenderedPageBreak/>
        <w:t xml:space="preserve">Sirve de sustento a lo anterior la tesis número </w:t>
      </w:r>
      <w:r w:rsidRPr="00D936C5">
        <w:rPr>
          <w:rFonts w:ascii="Arial" w:hAnsi="Arial" w:cs="Arial"/>
          <w:bCs/>
          <w:snapToGrid w:val="0"/>
          <w:sz w:val="24"/>
          <w:szCs w:val="27"/>
        </w:rPr>
        <w:t>XIV.2o.44 K</w:t>
      </w:r>
      <w:r>
        <w:rPr>
          <w:rFonts w:ascii="Arial" w:hAnsi="Arial" w:cs="Arial"/>
          <w:bCs/>
          <w:snapToGrid w:val="0"/>
          <w:sz w:val="24"/>
          <w:szCs w:val="27"/>
        </w:rPr>
        <w:t xml:space="preserve">, con número de registro </w:t>
      </w:r>
      <w:r w:rsidRPr="00D936C5">
        <w:rPr>
          <w:rFonts w:ascii="Arial" w:hAnsi="Arial" w:cs="Arial"/>
          <w:bCs/>
          <w:snapToGrid w:val="0"/>
          <w:sz w:val="24"/>
          <w:szCs w:val="27"/>
        </w:rPr>
        <w:t>184888</w:t>
      </w:r>
      <w:r>
        <w:rPr>
          <w:rFonts w:ascii="Arial" w:hAnsi="Arial" w:cs="Arial"/>
          <w:bCs/>
          <w:snapToGrid w:val="0"/>
          <w:sz w:val="24"/>
          <w:szCs w:val="27"/>
        </w:rPr>
        <w:t xml:space="preserve">, por los </w:t>
      </w:r>
      <w:r w:rsidRPr="00D936C5">
        <w:rPr>
          <w:rFonts w:ascii="Arial" w:hAnsi="Arial" w:cs="Arial"/>
          <w:bCs/>
          <w:snapToGrid w:val="0"/>
          <w:sz w:val="24"/>
          <w:szCs w:val="27"/>
        </w:rPr>
        <w:t>Tribunales Colegiados de Circuito</w:t>
      </w:r>
      <w:r>
        <w:rPr>
          <w:rFonts w:ascii="Arial" w:hAnsi="Arial" w:cs="Arial"/>
          <w:bCs/>
          <w:snapToGrid w:val="0"/>
          <w:sz w:val="24"/>
          <w:szCs w:val="27"/>
        </w:rPr>
        <w:t xml:space="preserve">, en el </w:t>
      </w:r>
      <w:r w:rsidRPr="00D936C5">
        <w:rPr>
          <w:rFonts w:ascii="Arial" w:hAnsi="Arial" w:cs="Arial"/>
          <w:bCs/>
          <w:snapToGrid w:val="0"/>
          <w:sz w:val="24"/>
          <w:szCs w:val="27"/>
        </w:rPr>
        <w:t>Semanario Judici</w:t>
      </w:r>
      <w:r>
        <w:rPr>
          <w:rFonts w:ascii="Arial" w:hAnsi="Arial" w:cs="Arial"/>
          <w:bCs/>
          <w:snapToGrid w:val="0"/>
          <w:sz w:val="24"/>
          <w:szCs w:val="27"/>
        </w:rPr>
        <w:t xml:space="preserve">al de la Federación y su Gaceta, </w:t>
      </w:r>
      <w:r w:rsidRPr="00D936C5">
        <w:rPr>
          <w:rFonts w:ascii="Arial" w:hAnsi="Arial" w:cs="Arial"/>
          <w:bCs/>
          <w:snapToGrid w:val="0"/>
          <w:sz w:val="24"/>
          <w:szCs w:val="27"/>
        </w:rPr>
        <w:t xml:space="preserve">Tomo XVII, </w:t>
      </w:r>
      <w:proofErr w:type="gramStart"/>
      <w:r w:rsidRPr="00D936C5">
        <w:rPr>
          <w:rFonts w:ascii="Arial" w:hAnsi="Arial" w:cs="Arial"/>
          <w:bCs/>
          <w:snapToGrid w:val="0"/>
          <w:sz w:val="24"/>
          <w:szCs w:val="27"/>
        </w:rPr>
        <w:t>Febrero</w:t>
      </w:r>
      <w:proofErr w:type="gramEnd"/>
      <w:r w:rsidRPr="00D936C5">
        <w:rPr>
          <w:rFonts w:ascii="Arial" w:hAnsi="Arial" w:cs="Arial"/>
          <w:bCs/>
          <w:snapToGrid w:val="0"/>
          <w:sz w:val="24"/>
          <w:szCs w:val="27"/>
        </w:rPr>
        <w:t xml:space="preserve"> de 2003, página 1063</w:t>
      </w:r>
      <w:r>
        <w:rPr>
          <w:rFonts w:ascii="Arial" w:hAnsi="Arial" w:cs="Arial"/>
          <w:bCs/>
          <w:snapToGrid w:val="0"/>
          <w:sz w:val="24"/>
          <w:szCs w:val="27"/>
        </w:rPr>
        <w:t xml:space="preserve">, </w:t>
      </w:r>
      <w:r w:rsidR="00075A38">
        <w:rPr>
          <w:rFonts w:ascii="Arial" w:hAnsi="Arial" w:cs="Arial"/>
          <w:bCs/>
          <w:snapToGrid w:val="0"/>
          <w:sz w:val="24"/>
          <w:szCs w:val="27"/>
        </w:rPr>
        <w:t>Novena Época, bajo el rubro y texto siguiente:</w:t>
      </w:r>
    </w:p>
    <w:p w14:paraId="7672E7A6" w14:textId="2F5636F0" w:rsidR="00075A38" w:rsidRPr="00DD3A3F" w:rsidRDefault="00DD3A3F" w:rsidP="00DD3A3F">
      <w:pPr>
        <w:ind w:left="567" w:right="51"/>
        <w:jc w:val="both"/>
        <w:rPr>
          <w:rFonts w:ascii="Arial" w:hAnsi="Arial" w:cs="Arial"/>
          <w:bCs/>
          <w:i/>
          <w:snapToGrid w:val="0"/>
          <w:sz w:val="24"/>
          <w:szCs w:val="27"/>
        </w:rPr>
      </w:pPr>
      <w:r w:rsidRPr="00DD3A3F">
        <w:rPr>
          <w:rFonts w:ascii="Arial" w:hAnsi="Arial" w:cs="Arial"/>
          <w:b/>
          <w:bCs/>
          <w:i/>
          <w:snapToGrid w:val="0"/>
          <w:sz w:val="24"/>
          <w:szCs w:val="27"/>
        </w:rPr>
        <w:t>“</w:t>
      </w:r>
      <w:r w:rsidR="00075A38" w:rsidRPr="00DD3A3F">
        <w:rPr>
          <w:rFonts w:ascii="Arial" w:hAnsi="Arial" w:cs="Arial"/>
          <w:b/>
          <w:bCs/>
          <w:i/>
          <w:snapToGrid w:val="0"/>
          <w:sz w:val="24"/>
          <w:szCs w:val="27"/>
        </w:rPr>
        <w:t>FACULTADES DISCRECIONALES Y REGLADAS. DIFERENCIAS.</w:t>
      </w:r>
      <w:r w:rsidR="00075A38" w:rsidRPr="00DD3A3F">
        <w:rPr>
          <w:rFonts w:ascii="Arial" w:hAnsi="Arial" w:cs="Arial"/>
          <w:bCs/>
          <w:i/>
          <w:snapToGrid w:val="0"/>
          <w:sz w:val="24"/>
          <w:szCs w:val="27"/>
        </w:rPr>
        <w:t xml:space="preserve"> Para determinar si la autoridad goza de facultades discrecionales o regladas debe atenderse al contenido de la norma legal que las confiere. Si ésta prevé una hipótesis de hecho ante la cual la autoridad puede aplicar o no la consecuencia de derecho prevista en la misma, según su prudente arbitrio, debe afirmarse que la autoridad goza de facultades discrecionales. Empero, cuando la autoridad se encuentra vinculada por el dispositivo de la ley a actuar en cierto sentido sin que exista la posibilidad de determinar libremente el contenido de su posible actuación, debe concluirse que la autoridad no goza de facultades discrecionales sino regladas.</w:t>
      </w:r>
      <w:r w:rsidR="00E96F4C">
        <w:rPr>
          <w:rFonts w:ascii="Arial" w:hAnsi="Arial" w:cs="Arial"/>
          <w:bCs/>
          <w:i/>
          <w:snapToGrid w:val="0"/>
          <w:sz w:val="24"/>
          <w:szCs w:val="27"/>
        </w:rPr>
        <w:t>”</w:t>
      </w:r>
    </w:p>
    <w:p w14:paraId="4C9FEE51" w14:textId="03207E4A" w:rsidR="00075A38" w:rsidRDefault="00075A38" w:rsidP="00534C8B">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Por otra parte, </w:t>
      </w:r>
      <w:r w:rsidR="00534C8B">
        <w:rPr>
          <w:rFonts w:ascii="Arial" w:hAnsi="Arial" w:cs="Arial"/>
          <w:bCs/>
          <w:snapToGrid w:val="0"/>
          <w:sz w:val="24"/>
          <w:szCs w:val="27"/>
        </w:rPr>
        <w:t xml:space="preserve">manifiesta </w:t>
      </w:r>
      <w:r w:rsidR="00371FC4">
        <w:rPr>
          <w:rFonts w:ascii="Arial" w:hAnsi="Arial" w:cs="Arial"/>
          <w:bCs/>
          <w:snapToGrid w:val="0"/>
          <w:sz w:val="24"/>
          <w:szCs w:val="27"/>
        </w:rPr>
        <w:t xml:space="preserve">que la autoridad demandada no hace precisión en cuanto a las circunstancias de lugar, ya que los razonamientos ahí plasmados resultan imprecisos, </w:t>
      </w:r>
      <w:r w:rsidR="00302382">
        <w:rPr>
          <w:rFonts w:ascii="Arial" w:hAnsi="Arial" w:cs="Arial"/>
          <w:bCs/>
          <w:snapToGrid w:val="0"/>
          <w:sz w:val="24"/>
          <w:szCs w:val="27"/>
        </w:rPr>
        <w:t>toda vez que la autoridad demandada manif</w:t>
      </w:r>
      <w:r w:rsidR="00866505">
        <w:rPr>
          <w:rFonts w:ascii="Arial" w:hAnsi="Arial" w:cs="Arial"/>
          <w:bCs/>
          <w:snapToGrid w:val="0"/>
          <w:sz w:val="24"/>
          <w:szCs w:val="27"/>
        </w:rPr>
        <w:t>iesta haber realizado una visita técnica, sin que manifiesten la forma en que se realizaron las mediciones que alude, si</w:t>
      </w:r>
      <w:r w:rsidR="0005470D">
        <w:rPr>
          <w:rFonts w:ascii="Arial" w:hAnsi="Arial" w:cs="Arial"/>
          <w:bCs/>
          <w:snapToGrid w:val="0"/>
          <w:sz w:val="24"/>
          <w:szCs w:val="27"/>
        </w:rPr>
        <w:t>endo meras afirmaciones sin un sustento t</w:t>
      </w:r>
      <w:r w:rsidR="004D39D2">
        <w:rPr>
          <w:rFonts w:ascii="Arial" w:hAnsi="Arial" w:cs="Arial"/>
          <w:bCs/>
          <w:snapToGrid w:val="0"/>
          <w:sz w:val="24"/>
          <w:szCs w:val="27"/>
        </w:rPr>
        <w:t>écnico o legal alguno.</w:t>
      </w:r>
    </w:p>
    <w:p w14:paraId="7EF5C6B7" w14:textId="2FAD6BE6" w:rsidR="009C2954" w:rsidRDefault="00ED0A24" w:rsidP="00CB353D">
      <w:pPr>
        <w:spacing w:line="360" w:lineRule="auto"/>
        <w:ind w:right="51" w:firstLine="567"/>
        <w:jc w:val="both"/>
        <w:rPr>
          <w:rFonts w:ascii="Arial" w:hAnsi="Arial" w:cs="Arial"/>
          <w:bCs/>
          <w:snapToGrid w:val="0"/>
          <w:sz w:val="24"/>
          <w:szCs w:val="27"/>
        </w:rPr>
      </w:pPr>
      <w:r w:rsidRPr="00ED0A24">
        <w:rPr>
          <w:rFonts w:ascii="Arial" w:hAnsi="Arial" w:cs="Arial"/>
          <w:bCs/>
          <w:snapToGrid w:val="0"/>
          <w:sz w:val="24"/>
          <w:szCs w:val="27"/>
        </w:rPr>
        <w:t>Precisado lo anterior, y para un mejor análisis se transcriben los párrafos segundo, tercero y cuarto del oficio impugnado:</w:t>
      </w:r>
    </w:p>
    <w:p w14:paraId="37797651" w14:textId="77777777" w:rsidR="00ED0A24" w:rsidRPr="00E32943" w:rsidRDefault="00ED0A24" w:rsidP="00817FA8">
      <w:pPr>
        <w:ind w:left="567" w:right="51"/>
        <w:jc w:val="both"/>
        <w:rPr>
          <w:rFonts w:ascii="Arial" w:hAnsi="Arial" w:cs="Arial"/>
          <w:bCs/>
          <w:i/>
          <w:snapToGrid w:val="0"/>
          <w:sz w:val="24"/>
          <w:szCs w:val="27"/>
        </w:rPr>
      </w:pPr>
      <w:r w:rsidRPr="00E32943">
        <w:rPr>
          <w:rFonts w:ascii="Arial" w:hAnsi="Arial" w:cs="Arial"/>
          <w:bCs/>
          <w:i/>
          <w:snapToGrid w:val="0"/>
          <w:sz w:val="24"/>
          <w:szCs w:val="27"/>
        </w:rPr>
        <w:t xml:space="preserve">“Se realizó la visita técnica por parte del personal de la Subcomisaria de Vialidad Municipal, observando que aproximadamente a 80 metros atrás de la intercepción antes mencionada, considerando el sentido de circulación de norte a sur; se ubica un sistema semaforizado con ciclos determinados para detener el flujo vehicular y dar tiempo al cruce de peatones al igual que existe un reductor de velocidad, las distancias para la instalación de otro reductor de velocidad es muy corta, considerando que aproximadamente 100 metros delante de la intersección, propuesta de su pretensión, existe otro sistema semaforizado con un reductor de velocidad, motivos por lo cual </w:t>
      </w:r>
      <w:r w:rsidRPr="00E32943">
        <w:rPr>
          <w:rFonts w:ascii="Arial" w:hAnsi="Arial" w:cs="Arial"/>
          <w:b/>
          <w:bCs/>
          <w:i/>
          <w:snapToGrid w:val="0"/>
          <w:sz w:val="24"/>
          <w:szCs w:val="27"/>
        </w:rPr>
        <w:t>NO SE AUTORIZA</w:t>
      </w:r>
      <w:r w:rsidRPr="00E32943">
        <w:rPr>
          <w:rFonts w:ascii="Arial" w:hAnsi="Arial" w:cs="Arial"/>
          <w:bCs/>
          <w:i/>
          <w:snapToGrid w:val="0"/>
          <w:sz w:val="24"/>
          <w:szCs w:val="27"/>
        </w:rPr>
        <w:t xml:space="preserve"> lo solicitado, de igual manera se consideraron los siguientes puntos: </w:t>
      </w:r>
    </w:p>
    <w:p w14:paraId="49BCD738" w14:textId="6CDC2F06" w:rsidR="00ED0A24" w:rsidRPr="00E32943" w:rsidRDefault="00ED0A24" w:rsidP="00817FA8">
      <w:pPr>
        <w:pStyle w:val="Prrafodelista"/>
        <w:numPr>
          <w:ilvl w:val="0"/>
          <w:numId w:val="9"/>
        </w:numPr>
        <w:ind w:right="51"/>
        <w:jc w:val="both"/>
        <w:rPr>
          <w:rFonts w:ascii="Arial" w:hAnsi="Arial" w:cs="Arial"/>
          <w:bCs/>
          <w:i/>
          <w:snapToGrid w:val="0"/>
          <w:sz w:val="24"/>
          <w:szCs w:val="27"/>
        </w:rPr>
      </w:pPr>
      <w:r w:rsidRPr="00E32943">
        <w:rPr>
          <w:rFonts w:ascii="Arial" w:hAnsi="Arial" w:cs="Arial"/>
          <w:bCs/>
          <w:i/>
          <w:snapToGrid w:val="0"/>
          <w:sz w:val="24"/>
          <w:szCs w:val="27"/>
        </w:rPr>
        <w:t>Generan mayor congestión en calles muy concurridas en las horas pico.</w:t>
      </w:r>
    </w:p>
    <w:p w14:paraId="6C99585B" w14:textId="2427F2CC" w:rsidR="00ED0A24" w:rsidRPr="00E32943" w:rsidRDefault="00ED0A24" w:rsidP="00817FA8">
      <w:pPr>
        <w:pStyle w:val="Prrafodelista"/>
        <w:numPr>
          <w:ilvl w:val="0"/>
          <w:numId w:val="9"/>
        </w:numPr>
        <w:ind w:right="51"/>
        <w:jc w:val="both"/>
        <w:rPr>
          <w:rFonts w:ascii="Arial" w:hAnsi="Arial" w:cs="Arial"/>
          <w:bCs/>
          <w:i/>
          <w:snapToGrid w:val="0"/>
          <w:sz w:val="24"/>
          <w:szCs w:val="27"/>
        </w:rPr>
      </w:pPr>
      <w:r w:rsidRPr="00E32943">
        <w:rPr>
          <w:rFonts w:ascii="Arial" w:hAnsi="Arial" w:cs="Arial"/>
          <w:bCs/>
          <w:i/>
          <w:snapToGrid w:val="0"/>
          <w:sz w:val="24"/>
          <w:szCs w:val="27"/>
        </w:rPr>
        <w:t>Atrasan a las ambulancias y a todo vehículo en situaciones de emergencia.</w:t>
      </w:r>
    </w:p>
    <w:p w14:paraId="51DF932B" w14:textId="0A05A30C" w:rsidR="00ED0A24" w:rsidRPr="00E32943" w:rsidRDefault="00ED0A24" w:rsidP="00817FA8">
      <w:pPr>
        <w:pStyle w:val="Prrafodelista"/>
        <w:numPr>
          <w:ilvl w:val="0"/>
          <w:numId w:val="9"/>
        </w:numPr>
        <w:ind w:right="51"/>
        <w:jc w:val="both"/>
        <w:rPr>
          <w:rFonts w:ascii="Arial" w:hAnsi="Arial" w:cs="Arial"/>
          <w:bCs/>
          <w:i/>
          <w:snapToGrid w:val="0"/>
          <w:sz w:val="24"/>
          <w:szCs w:val="27"/>
        </w:rPr>
      </w:pPr>
      <w:r w:rsidRPr="00E32943">
        <w:rPr>
          <w:rFonts w:ascii="Arial" w:hAnsi="Arial" w:cs="Arial"/>
          <w:bCs/>
          <w:i/>
          <w:snapToGrid w:val="0"/>
          <w:sz w:val="24"/>
          <w:szCs w:val="27"/>
        </w:rPr>
        <w:t>Se incrementa la generación de ruido (acústica) para los residentes de la zona.</w:t>
      </w:r>
    </w:p>
    <w:p w14:paraId="091DB90F" w14:textId="64E24D52" w:rsidR="00ED0A24" w:rsidRPr="00E32943" w:rsidRDefault="00ED0A24" w:rsidP="00817FA8">
      <w:pPr>
        <w:pStyle w:val="Prrafodelista"/>
        <w:numPr>
          <w:ilvl w:val="0"/>
          <w:numId w:val="9"/>
        </w:numPr>
        <w:ind w:right="51"/>
        <w:jc w:val="both"/>
        <w:rPr>
          <w:rFonts w:ascii="Arial" w:hAnsi="Arial" w:cs="Arial"/>
          <w:bCs/>
          <w:i/>
          <w:snapToGrid w:val="0"/>
          <w:sz w:val="24"/>
          <w:szCs w:val="27"/>
        </w:rPr>
      </w:pPr>
      <w:r w:rsidRPr="00E32943">
        <w:rPr>
          <w:rFonts w:ascii="Arial" w:hAnsi="Arial" w:cs="Arial"/>
          <w:bCs/>
          <w:i/>
          <w:snapToGrid w:val="0"/>
          <w:sz w:val="24"/>
          <w:szCs w:val="27"/>
        </w:rPr>
        <w:t>Afecta a todos los usuarios de la calle principalmente; peatones, ciclistas o motociclistas, para quienes suelen convertirse en obstáculos.</w:t>
      </w:r>
    </w:p>
    <w:p w14:paraId="54511F28" w14:textId="0204C40E" w:rsidR="00ED0A24" w:rsidRPr="00E32943" w:rsidRDefault="00ED0A24" w:rsidP="00817FA8">
      <w:pPr>
        <w:pStyle w:val="Prrafodelista"/>
        <w:numPr>
          <w:ilvl w:val="0"/>
          <w:numId w:val="9"/>
        </w:numPr>
        <w:ind w:right="51"/>
        <w:jc w:val="both"/>
        <w:rPr>
          <w:rFonts w:ascii="Arial" w:hAnsi="Arial" w:cs="Arial"/>
          <w:bCs/>
          <w:i/>
          <w:snapToGrid w:val="0"/>
          <w:sz w:val="24"/>
          <w:szCs w:val="27"/>
        </w:rPr>
      </w:pPr>
      <w:r w:rsidRPr="00E32943">
        <w:rPr>
          <w:rFonts w:ascii="Arial" w:hAnsi="Arial" w:cs="Arial"/>
          <w:bCs/>
          <w:i/>
          <w:snapToGrid w:val="0"/>
          <w:sz w:val="24"/>
          <w:szCs w:val="27"/>
        </w:rPr>
        <w:t>El reductor de velocidad no es sinónimo de seguridad.</w:t>
      </w:r>
    </w:p>
    <w:p w14:paraId="2B1131BE" w14:textId="1E91488C" w:rsidR="00ED0A24" w:rsidRDefault="00ED0A24" w:rsidP="00817FA8">
      <w:pPr>
        <w:ind w:left="567" w:right="51"/>
        <w:jc w:val="both"/>
        <w:rPr>
          <w:rFonts w:ascii="Arial" w:hAnsi="Arial" w:cs="Arial"/>
          <w:bCs/>
          <w:i/>
          <w:snapToGrid w:val="0"/>
          <w:sz w:val="24"/>
          <w:szCs w:val="27"/>
        </w:rPr>
      </w:pPr>
      <w:r w:rsidRPr="00E32943">
        <w:rPr>
          <w:rFonts w:ascii="Arial" w:hAnsi="Arial" w:cs="Arial"/>
          <w:bCs/>
          <w:i/>
          <w:snapToGrid w:val="0"/>
          <w:sz w:val="24"/>
          <w:szCs w:val="27"/>
        </w:rPr>
        <w:lastRenderedPageBreak/>
        <w:t>Cabe agregar que los accidentes en calles o carreteras, en los que se involucran personas o vehículos, la mayoría de las veces interviene siempre la i</w:t>
      </w:r>
      <w:r w:rsidR="00E32943">
        <w:rPr>
          <w:rFonts w:ascii="Arial" w:hAnsi="Arial" w:cs="Arial"/>
          <w:bCs/>
          <w:i/>
          <w:snapToGrid w:val="0"/>
          <w:sz w:val="24"/>
          <w:szCs w:val="27"/>
        </w:rPr>
        <w:t>mprudencia de los conductores.”</w:t>
      </w:r>
    </w:p>
    <w:p w14:paraId="3602C486" w14:textId="6B63CD07" w:rsidR="00E32943" w:rsidRPr="00E32943" w:rsidRDefault="00FF700B" w:rsidP="0024660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 la lectura a la motivación antes transcrita, </w:t>
      </w:r>
      <w:r w:rsidR="00246609">
        <w:rPr>
          <w:rFonts w:ascii="Arial" w:hAnsi="Arial" w:cs="Arial"/>
          <w:bCs/>
          <w:snapToGrid w:val="0"/>
          <w:sz w:val="24"/>
          <w:szCs w:val="27"/>
        </w:rPr>
        <w:t xml:space="preserve">se advierte que el mismo </w:t>
      </w:r>
      <w:r w:rsidR="00E32943" w:rsidRPr="00E32943">
        <w:rPr>
          <w:rFonts w:ascii="Arial" w:hAnsi="Arial" w:cs="Arial"/>
          <w:bCs/>
          <w:snapToGrid w:val="0"/>
          <w:sz w:val="24"/>
          <w:szCs w:val="27"/>
        </w:rPr>
        <w:t xml:space="preserve">carece de una adecuada fundamentación y motivación </w:t>
      </w:r>
      <w:r w:rsidR="00E70399">
        <w:rPr>
          <w:rFonts w:ascii="Arial" w:hAnsi="Arial" w:cs="Arial"/>
          <w:bCs/>
          <w:snapToGrid w:val="0"/>
          <w:sz w:val="24"/>
          <w:szCs w:val="27"/>
        </w:rPr>
        <w:t>ya que su determinación no contiene</w:t>
      </w:r>
      <w:r w:rsidR="00CA7EE0">
        <w:rPr>
          <w:rFonts w:ascii="Arial" w:hAnsi="Arial" w:cs="Arial"/>
          <w:bCs/>
          <w:snapToGrid w:val="0"/>
          <w:sz w:val="24"/>
          <w:szCs w:val="27"/>
        </w:rPr>
        <w:t xml:space="preserve"> un análisis técnico por </w:t>
      </w:r>
      <w:r w:rsidR="00E32943" w:rsidRPr="00E32943">
        <w:rPr>
          <w:rFonts w:ascii="Arial" w:hAnsi="Arial" w:cs="Arial"/>
          <w:bCs/>
          <w:snapToGrid w:val="0"/>
          <w:sz w:val="24"/>
          <w:szCs w:val="27"/>
        </w:rPr>
        <w:t>uno o más especialistas o expertos técnicos, artísticos o científicos, emitiendo una opinión fundada</w:t>
      </w:r>
      <w:r w:rsidR="00D150E4">
        <w:rPr>
          <w:rFonts w:ascii="Arial" w:hAnsi="Arial" w:cs="Arial"/>
          <w:bCs/>
          <w:snapToGrid w:val="0"/>
          <w:sz w:val="24"/>
          <w:szCs w:val="27"/>
        </w:rPr>
        <w:t xml:space="preserve"> respecto a la </w:t>
      </w:r>
      <w:r w:rsidR="0010631F">
        <w:rPr>
          <w:rFonts w:ascii="Arial" w:hAnsi="Arial" w:cs="Arial"/>
          <w:bCs/>
          <w:snapToGrid w:val="0"/>
          <w:sz w:val="24"/>
          <w:szCs w:val="27"/>
        </w:rPr>
        <w:t>situación concreta</w:t>
      </w:r>
      <w:r w:rsidR="00E32943" w:rsidRPr="00E32943">
        <w:rPr>
          <w:rFonts w:ascii="Arial" w:hAnsi="Arial" w:cs="Arial"/>
          <w:bCs/>
          <w:snapToGrid w:val="0"/>
          <w:sz w:val="24"/>
          <w:szCs w:val="27"/>
        </w:rPr>
        <w:t xml:space="preserve">. Así, dada la naturaleza de esta prueba, que debe ser ilustrativa, </w:t>
      </w:r>
      <w:proofErr w:type="spellStart"/>
      <w:r w:rsidR="00E32943" w:rsidRPr="00E32943">
        <w:rPr>
          <w:rFonts w:ascii="Arial" w:hAnsi="Arial" w:cs="Arial"/>
          <w:bCs/>
          <w:snapToGrid w:val="0"/>
          <w:sz w:val="24"/>
          <w:szCs w:val="27"/>
        </w:rPr>
        <w:t>clarificante</w:t>
      </w:r>
      <w:proofErr w:type="spellEnd"/>
      <w:r w:rsidR="00E32943" w:rsidRPr="00E32943">
        <w:rPr>
          <w:rFonts w:ascii="Arial" w:hAnsi="Arial" w:cs="Arial"/>
          <w:bCs/>
          <w:snapToGrid w:val="0"/>
          <w:sz w:val="24"/>
          <w:szCs w:val="27"/>
        </w:rPr>
        <w:t xml:space="preserve"> y no incluir hechos genéricos o apreciaciones personales, debiendo aportar elementos que permitan contar con la información útil y con sustento metodológico fiable, para justificar su decisión.</w:t>
      </w:r>
    </w:p>
    <w:p w14:paraId="233A0F0A" w14:textId="0CCEFBBE" w:rsidR="00E32943" w:rsidRPr="00E32943" w:rsidRDefault="00E32943" w:rsidP="00023E98">
      <w:pPr>
        <w:spacing w:line="360" w:lineRule="auto"/>
        <w:ind w:right="51" w:firstLine="567"/>
        <w:jc w:val="both"/>
        <w:rPr>
          <w:rFonts w:ascii="Arial" w:hAnsi="Arial" w:cs="Arial"/>
          <w:bCs/>
          <w:snapToGrid w:val="0"/>
          <w:sz w:val="24"/>
          <w:szCs w:val="27"/>
        </w:rPr>
      </w:pPr>
      <w:r w:rsidRPr="00E32943">
        <w:rPr>
          <w:rFonts w:ascii="Arial" w:hAnsi="Arial" w:cs="Arial"/>
          <w:bCs/>
          <w:snapToGrid w:val="0"/>
          <w:sz w:val="24"/>
          <w:szCs w:val="27"/>
        </w:rPr>
        <w:t xml:space="preserve">Sirve de apoyo a lo anterior por analogía </w:t>
      </w:r>
      <w:r w:rsidR="0092390C">
        <w:rPr>
          <w:rFonts w:ascii="Arial" w:hAnsi="Arial" w:cs="Arial"/>
          <w:bCs/>
          <w:snapToGrid w:val="0"/>
          <w:sz w:val="24"/>
          <w:szCs w:val="27"/>
        </w:rPr>
        <w:t xml:space="preserve">sustancial </w:t>
      </w:r>
      <w:r w:rsidRPr="00E32943">
        <w:rPr>
          <w:rFonts w:ascii="Arial" w:hAnsi="Arial" w:cs="Arial"/>
          <w:bCs/>
          <w:snapToGrid w:val="0"/>
          <w:sz w:val="24"/>
          <w:szCs w:val="27"/>
        </w:rPr>
        <w:t>la tesis</w:t>
      </w:r>
      <w:r w:rsidR="004273C3">
        <w:rPr>
          <w:rFonts w:ascii="Arial" w:hAnsi="Arial" w:cs="Arial"/>
          <w:bCs/>
          <w:snapToGrid w:val="0"/>
          <w:sz w:val="24"/>
          <w:szCs w:val="27"/>
        </w:rPr>
        <w:t xml:space="preserve"> número </w:t>
      </w:r>
      <w:r w:rsidR="004273C3" w:rsidRPr="004273C3">
        <w:rPr>
          <w:rFonts w:ascii="Arial" w:hAnsi="Arial" w:cs="Arial"/>
          <w:bCs/>
          <w:snapToGrid w:val="0"/>
          <w:sz w:val="24"/>
          <w:szCs w:val="27"/>
        </w:rPr>
        <w:t>VI.1o.P.134 P</w:t>
      </w:r>
      <w:r w:rsidR="004273C3">
        <w:rPr>
          <w:rFonts w:ascii="Arial" w:hAnsi="Arial" w:cs="Arial"/>
          <w:bCs/>
          <w:snapToGrid w:val="0"/>
          <w:sz w:val="24"/>
          <w:szCs w:val="27"/>
        </w:rPr>
        <w:t xml:space="preserve"> con número de registro, </w:t>
      </w:r>
      <w:r w:rsidR="004273C3" w:rsidRPr="004273C3">
        <w:rPr>
          <w:rFonts w:ascii="Arial" w:hAnsi="Arial" w:cs="Arial"/>
          <w:bCs/>
          <w:snapToGrid w:val="0"/>
          <w:sz w:val="24"/>
          <w:szCs w:val="27"/>
        </w:rPr>
        <w:t>188616</w:t>
      </w:r>
      <w:r w:rsidR="004273C3">
        <w:rPr>
          <w:rFonts w:ascii="Arial" w:hAnsi="Arial" w:cs="Arial"/>
          <w:bCs/>
          <w:snapToGrid w:val="0"/>
          <w:sz w:val="24"/>
          <w:szCs w:val="27"/>
        </w:rPr>
        <w:t xml:space="preserve">, por los </w:t>
      </w:r>
      <w:r w:rsidR="004273C3" w:rsidRPr="004273C3">
        <w:rPr>
          <w:rFonts w:ascii="Arial" w:hAnsi="Arial" w:cs="Arial"/>
          <w:bCs/>
          <w:snapToGrid w:val="0"/>
          <w:sz w:val="24"/>
          <w:szCs w:val="27"/>
        </w:rPr>
        <w:t>Tribunales Colegiados de Circuito</w:t>
      </w:r>
      <w:r w:rsidR="004273C3">
        <w:rPr>
          <w:rFonts w:ascii="Arial" w:hAnsi="Arial" w:cs="Arial"/>
          <w:bCs/>
          <w:snapToGrid w:val="0"/>
          <w:sz w:val="24"/>
          <w:szCs w:val="27"/>
        </w:rPr>
        <w:t xml:space="preserve">, en el </w:t>
      </w:r>
      <w:r w:rsidR="004273C3" w:rsidRPr="004273C3">
        <w:rPr>
          <w:rFonts w:ascii="Arial" w:hAnsi="Arial" w:cs="Arial"/>
          <w:bCs/>
          <w:snapToGrid w:val="0"/>
          <w:sz w:val="24"/>
          <w:szCs w:val="27"/>
        </w:rPr>
        <w:t>Semanario Judici</w:t>
      </w:r>
      <w:r w:rsidR="004273C3">
        <w:rPr>
          <w:rFonts w:ascii="Arial" w:hAnsi="Arial" w:cs="Arial"/>
          <w:bCs/>
          <w:snapToGrid w:val="0"/>
          <w:sz w:val="24"/>
          <w:szCs w:val="27"/>
        </w:rPr>
        <w:t xml:space="preserve">al de la Federación y su Gaceta, </w:t>
      </w:r>
      <w:r w:rsidR="004273C3" w:rsidRPr="004273C3">
        <w:rPr>
          <w:rFonts w:ascii="Arial" w:hAnsi="Arial" w:cs="Arial"/>
          <w:bCs/>
          <w:snapToGrid w:val="0"/>
          <w:sz w:val="24"/>
          <w:szCs w:val="27"/>
        </w:rPr>
        <w:t xml:space="preserve">Tomo XIV, </w:t>
      </w:r>
      <w:proofErr w:type="gramStart"/>
      <w:r w:rsidR="004273C3" w:rsidRPr="004273C3">
        <w:rPr>
          <w:rFonts w:ascii="Arial" w:hAnsi="Arial" w:cs="Arial"/>
          <w:bCs/>
          <w:snapToGrid w:val="0"/>
          <w:sz w:val="24"/>
          <w:szCs w:val="27"/>
        </w:rPr>
        <w:t>Octubre</w:t>
      </w:r>
      <w:proofErr w:type="gramEnd"/>
      <w:r w:rsidR="004273C3" w:rsidRPr="004273C3">
        <w:rPr>
          <w:rFonts w:ascii="Arial" w:hAnsi="Arial" w:cs="Arial"/>
          <w:bCs/>
          <w:snapToGrid w:val="0"/>
          <w:sz w:val="24"/>
          <w:szCs w:val="27"/>
        </w:rPr>
        <w:t xml:space="preserve"> de 2001, página 1115</w:t>
      </w:r>
      <w:r w:rsidR="00023E98">
        <w:rPr>
          <w:rFonts w:ascii="Arial" w:hAnsi="Arial" w:cs="Arial"/>
          <w:bCs/>
          <w:snapToGrid w:val="0"/>
          <w:sz w:val="24"/>
          <w:szCs w:val="27"/>
        </w:rPr>
        <w:t>, Novena Época, bajo el rubro y texto siguiente:</w:t>
      </w:r>
    </w:p>
    <w:p w14:paraId="055FBB9E" w14:textId="77777777" w:rsidR="00E32943" w:rsidRPr="00023E98" w:rsidRDefault="00E32943" w:rsidP="00023E98">
      <w:pPr>
        <w:ind w:left="567" w:right="51"/>
        <w:jc w:val="both"/>
        <w:rPr>
          <w:rFonts w:ascii="Arial" w:hAnsi="Arial" w:cs="Arial"/>
          <w:bCs/>
          <w:i/>
          <w:snapToGrid w:val="0"/>
          <w:sz w:val="24"/>
          <w:szCs w:val="27"/>
        </w:rPr>
      </w:pPr>
      <w:r w:rsidRPr="00023E98">
        <w:rPr>
          <w:rFonts w:ascii="Arial" w:hAnsi="Arial" w:cs="Arial"/>
          <w:b/>
          <w:bCs/>
          <w:i/>
          <w:snapToGrid w:val="0"/>
          <w:sz w:val="24"/>
          <w:szCs w:val="27"/>
        </w:rPr>
        <w:t xml:space="preserve">“PRUEBA PERICIAL. REQUISITOS PARA SU ADMISIÓN. </w:t>
      </w:r>
      <w:r w:rsidRPr="00023E98">
        <w:rPr>
          <w:rFonts w:ascii="Arial" w:hAnsi="Arial" w:cs="Arial"/>
          <w:bCs/>
          <w:i/>
          <w:snapToGrid w:val="0"/>
          <w:sz w:val="24"/>
          <w:szCs w:val="27"/>
        </w:rPr>
        <w:t xml:space="preserve">El objetivo de la prueba pericial consiste en el análisis que se realice por uno o más especialistas o expertos sobre determinados hechos o aspectos técnicos, artísticos o científicos relacionados con una controversia, cuya clarificación resulta necesaria para la decisión del juzgador, mediante la emisión de una opinión fundada. Así, dada la naturaleza de esta prueba, su admisión está condicionada por la pertinencia de la información que con ella pretende allegarse al resolutor, que debe ser ilustrativa, </w:t>
      </w:r>
      <w:proofErr w:type="spellStart"/>
      <w:r w:rsidRPr="00023E98">
        <w:rPr>
          <w:rFonts w:ascii="Arial" w:hAnsi="Arial" w:cs="Arial"/>
          <w:bCs/>
          <w:i/>
          <w:snapToGrid w:val="0"/>
          <w:sz w:val="24"/>
          <w:szCs w:val="27"/>
        </w:rPr>
        <w:t>clarificante</w:t>
      </w:r>
      <w:proofErr w:type="spellEnd"/>
      <w:r w:rsidRPr="00023E98">
        <w:rPr>
          <w:rFonts w:ascii="Arial" w:hAnsi="Arial" w:cs="Arial"/>
          <w:bCs/>
          <w:i/>
          <w:snapToGrid w:val="0"/>
          <w:sz w:val="24"/>
          <w:szCs w:val="27"/>
        </w:rPr>
        <w:t xml:space="preserve"> y no incluir hechos ajenos a la peritación que, para ser tomados en cuenta, tendrán que acreditarse conforme a las reglas relativas a la distribución de las cargas probatorias; de ahí que la eficacia del dictamen pericial dependerá, entre otros factores, de que aporte elementos que permitan contar con la información útil y con sustento metodológico fiable, para justificar su decisión.”</w:t>
      </w:r>
    </w:p>
    <w:p w14:paraId="44AD4CBA" w14:textId="0C95EE52" w:rsidR="00E32943" w:rsidRPr="00E32943" w:rsidRDefault="00E32943" w:rsidP="00EC0653">
      <w:pPr>
        <w:spacing w:line="360" w:lineRule="auto"/>
        <w:ind w:right="51" w:firstLine="567"/>
        <w:jc w:val="both"/>
        <w:rPr>
          <w:rFonts w:ascii="Arial" w:hAnsi="Arial" w:cs="Arial"/>
          <w:bCs/>
          <w:snapToGrid w:val="0"/>
          <w:sz w:val="24"/>
          <w:szCs w:val="27"/>
        </w:rPr>
      </w:pPr>
      <w:r w:rsidRPr="00E32943">
        <w:rPr>
          <w:rFonts w:ascii="Arial" w:hAnsi="Arial" w:cs="Arial"/>
          <w:bCs/>
          <w:snapToGrid w:val="0"/>
          <w:sz w:val="24"/>
          <w:szCs w:val="27"/>
        </w:rPr>
        <w:t>En ese sentido, resulta oportuno resaltar que el oficio CVM/SCVM/</w:t>
      </w:r>
      <w:r w:rsidR="006711BA">
        <w:rPr>
          <w:rFonts w:ascii="Arial" w:hAnsi="Arial" w:cs="Arial"/>
          <w:bCs/>
          <w:snapToGrid w:val="0"/>
          <w:sz w:val="24"/>
          <w:szCs w:val="27"/>
        </w:rPr>
        <w:t>****</w:t>
      </w:r>
      <w:r w:rsidRPr="00E32943">
        <w:rPr>
          <w:rFonts w:ascii="Arial" w:hAnsi="Arial" w:cs="Arial"/>
          <w:bCs/>
          <w:snapToGrid w:val="0"/>
          <w:sz w:val="24"/>
          <w:szCs w:val="27"/>
        </w:rPr>
        <w:t>/</w:t>
      </w:r>
      <w:r w:rsidR="006711BA">
        <w:rPr>
          <w:rFonts w:ascii="Arial" w:hAnsi="Arial" w:cs="Arial"/>
          <w:bCs/>
          <w:snapToGrid w:val="0"/>
          <w:sz w:val="24"/>
          <w:szCs w:val="27"/>
        </w:rPr>
        <w:t>****</w:t>
      </w:r>
      <w:r w:rsidRPr="00E32943">
        <w:rPr>
          <w:rFonts w:ascii="Arial" w:hAnsi="Arial" w:cs="Arial"/>
          <w:bCs/>
          <w:snapToGrid w:val="0"/>
          <w:sz w:val="24"/>
          <w:szCs w:val="27"/>
        </w:rPr>
        <w:t>, de fecha</w:t>
      </w:r>
      <w:r w:rsidR="006711BA">
        <w:rPr>
          <w:rFonts w:ascii="Arial" w:hAnsi="Arial" w:cs="Arial"/>
          <w:bCs/>
          <w:snapToGrid w:val="0"/>
          <w:sz w:val="24"/>
          <w:szCs w:val="27"/>
        </w:rPr>
        <w:t xml:space="preserve"> *****</w:t>
      </w:r>
      <w:r w:rsidRPr="00E32943">
        <w:rPr>
          <w:rFonts w:ascii="Arial" w:hAnsi="Arial" w:cs="Arial"/>
          <w:bCs/>
          <w:snapToGrid w:val="0"/>
          <w:sz w:val="24"/>
          <w:szCs w:val="27"/>
        </w:rPr>
        <w:t xml:space="preserve"> de</w:t>
      </w:r>
      <w:r w:rsidR="006711BA">
        <w:rPr>
          <w:rFonts w:ascii="Arial" w:hAnsi="Arial" w:cs="Arial"/>
          <w:bCs/>
          <w:snapToGrid w:val="0"/>
          <w:sz w:val="24"/>
          <w:szCs w:val="27"/>
        </w:rPr>
        <w:t xml:space="preserve"> *****</w:t>
      </w:r>
      <w:r w:rsidRPr="00E32943">
        <w:rPr>
          <w:rFonts w:ascii="Arial" w:hAnsi="Arial" w:cs="Arial"/>
          <w:bCs/>
          <w:snapToGrid w:val="0"/>
          <w:sz w:val="24"/>
          <w:szCs w:val="27"/>
        </w:rPr>
        <w:t xml:space="preserve"> de dos mil </w:t>
      </w:r>
      <w:r w:rsidR="006711BA">
        <w:rPr>
          <w:rFonts w:ascii="Arial" w:hAnsi="Arial" w:cs="Arial"/>
          <w:bCs/>
          <w:snapToGrid w:val="0"/>
          <w:sz w:val="24"/>
          <w:szCs w:val="27"/>
        </w:rPr>
        <w:t>*****</w:t>
      </w:r>
      <w:r w:rsidRPr="00E32943">
        <w:rPr>
          <w:rFonts w:ascii="Arial" w:hAnsi="Arial" w:cs="Arial"/>
          <w:bCs/>
          <w:snapToGrid w:val="0"/>
          <w:sz w:val="24"/>
          <w:szCs w:val="27"/>
        </w:rPr>
        <w:t xml:space="preserve">, esta formulado en diversas apreciaciones sin apoyarse en los procedimientos técnicos o científicos, que llevaron al Comisario de Vialidad del Municipio de Oaxaca de Juárez, Oaxaca, a la conclusión de no autorizar la instalación de un reductor de velocidad, por lo que se considera que la referida autoridad sólo se concreta a establecer una simple opinión, sin señalar cómo y de qué forma llegó a la misma, </w:t>
      </w:r>
      <w:r w:rsidR="004B473D">
        <w:rPr>
          <w:rFonts w:ascii="Arial" w:hAnsi="Arial" w:cs="Arial"/>
          <w:bCs/>
          <w:snapToGrid w:val="0"/>
          <w:sz w:val="24"/>
          <w:szCs w:val="27"/>
        </w:rPr>
        <w:t xml:space="preserve">y aunque como se estipuló en párrafos anteriores tal facultad es discrecional, </w:t>
      </w:r>
      <w:r w:rsidR="00CA5A7B">
        <w:rPr>
          <w:rFonts w:ascii="Arial" w:hAnsi="Arial" w:cs="Arial"/>
          <w:bCs/>
          <w:snapToGrid w:val="0"/>
          <w:sz w:val="24"/>
          <w:szCs w:val="27"/>
        </w:rPr>
        <w:t>en la que puede decidir sobre ella bajo su prudente arbitrio, sin embargo, el mismo debe estar plenamente justificado, entendiéndose mediante una debida motivación y fundamentación, atento a lo dispuesto por el artículo 17 de la Ley de Procedimiento y Justicia Administrativa para el Estado de Oaxaca.</w:t>
      </w:r>
    </w:p>
    <w:p w14:paraId="4DAD86D5" w14:textId="1E5D3AC1" w:rsidR="008E4E58" w:rsidRPr="00A40006" w:rsidRDefault="00E32943" w:rsidP="008E4E58">
      <w:pPr>
        <w:spacing w:line="360" w:lineRule="auto"/>
        <w:ind w:right="51" w:firstLine="567"/>
        <w:jc w:val="both"/>
        <w:rPr>
          <w:rFonts w:ascii="Arial" w:hAnsi="Arial" w:cs="Arial"/>
          <w:bCs/>
          <w:snapToGrid w:val="0"/>
          <w:sz w:val="24"/>
          <w:szCs w:val="27"/>
        </w:rPr>
      </w:pPr>
      <w:r w:rsidRPr="00E32943">
        <w:rPr>
          <w:rFonts w:ascii="Arial" w:hAnsi="Arial" w:cs="Arial"/>
          <w:bCs/>
          <w:snapToGrid w:val="0"/>
          <w:sz w:val="24"/>
          <w:szCs w:val="27"/>
        </w:rPr>
        <w:lastRenderedPageBreak/>
        <w:t>Lo anterior, permite afirmar que la autoridad demandada incumplió con la obligación de la debida fundamentación y motivación, que todo acto de autoridad debe contener; pues en el oficio CVM/SCVM/</w:t>
      </w:r>
      <w:r w:rsidR="006711BA">
        <w:rPr>
          <w:rFonts w:ascii="Arial" w:hAnsi="Arial" w:cs="Arial"/>
          <w:bCs/>
          <w:snapToGrid w:val="0"/>
          <w:sz w:val="24"/>
          <w:szCs w:val="27"/>
        </w:rPr>
        <w:t>*****</w:t>
      </w:r>
      <w:r w:rsidRPr="00E32943">
        <w:rPr>
          <w:rFonts w:ascii="Arial" w:hAnsi="Arial" w:cs="Arial"/>
          <w:bCs/>
          <w:snapToGrid w:val="0"/>
          <w:sz w:val="24"/>
          <w:szCs w:val="27"/>
        </w:rPr>
        <w:t>/</w:t>
      </w:r>
      <w:r w:rsidR="006711BA">
        <w:rPr>
          <w:rFonts w:ascii="Arial" w:hAnsi="Arial" w:cs="Arial"/>
          <w:bCs/>
          <w:snapToGrid w:val="0"/>
          <w:sz w:val="24"/>
          <w:szCs w:val="27"/>
        </w:rPr>
        <w:t>*****</w:t>
      </w:r>
      <w:r w:rsidRPr="00E32943">
        <w:rPr>
          <w:rFonts w:ascii="Arial" w:hAnsi="Arial" w:cs="Arial"/>
          <w:bCs/>
          <w:snapToGrid w:val="0"/>
          <w:sz w:val="24"/>
          <w:szCs w:val="27"/>
        </w:rPr>
        <w:t xml:space="preserve">, de fecha </w:t>
      </w:r>
      <w:r w:rsidR="006711BA">
        <w:rPr>
          <w:rFonts w:ascii="Arial" w:hAnsi="Arial" w:cs="Arial"/>
          <w:bCs/>
          <w:snapToGrid w:val="0"/>
          <w:sz w:val="24"/>
          <w:szCs w:val="27"/>
        </w:rPr>
        <w:t>*****</w:t>
      </w:r>
      <w:r w:rsidRPr="00E32943">
        <w:rPr>
          <w:rFonts w:ascii="Arial" w:hAnsi="Arial" w:cs="Arial"/>
          <w:bCs/>
          <w:snapToGrid w:val="0"/>
          <w:sz w:val="24"/>
          <w:szCs w:val="27"/>
        </w:rPr>
        <w:t xml:space="preserve"> de </w:t>
      </w:r>
      <w:r w:rsidR="006711BA">
        <w:rPr>
          <w:rFonts w:ascii="Arial" w:hAnsi="Arial" w:cs="Arial"/>
          <w:bCs/>
          <w:snapToGrid w:val="0"/>
          <w:sz w:val="24"/>
          <w:szCs w:val="27"/>
        </w:rPr>
        <w:t>*****</w:t>
      </w:r>
      <w:r w:rsidRPr="00E32943">
        <w:rPr>
          <w:rFonts w:ascii="Arial" w:hAnsi="Arial" w:cs="Arial"/>
          <w:bCs/>
          <w:snapToGrid w:val="0"/>
          <w:sz w:val="24"/>
          <w:szCs w:val="27"/>
        </w:rPr>
        <w:t xml:space="preserve"> de dos mil </w:t>
      </w:r>
      <w:r w:rsidR="006711BA">
        <w:rPr>
          <w:rFonts w:ascii="Arial" w:hAnsi="Arial" w:cs="Arial"/>
          <w:bCs/>
          <w:snapToGrid w:val="0"/>
          <w:sz w:val="24"/>
          <w:szCs w:val="27"/>
        </w:rPr>
        <w:t>*****</w:t>
      </w:r>
      <w:r w:rsidRPr="00E32943">
        <w:rPr>
          <w:rFonts w:ascii="Arial" w:hAnsi="Arial" w:cs="Arial"/>
          <w:bCs/>
          <w:snapToGrid w:val="0"/>
          <w:sz w:val="24"/>
          <w:szCs w:val="27"/>
        </w:rPr>
        <w:t>, realizado por el Comisario de Vialidad del Municipio de Oaxaca de Juárez, Oaxaca,</w:t>
      </w:r>
      <w:r w:rsidR="008E4E58">
        <w:rPr>
          <w:rFonts w:ascii="Arial" w:hAnsi="Arial" w:cs="Arial"/>
          <w:bCs/>
          <w:snapToGrid w:val="0"/>
          <w:sz w:val="24"/>
          <w:szCs w:val="27"/>
        </w:rPr>
        <w:t xml:space="preserve"> ya que en la misma no se expresan las causas inmediatas por medio </w:t>
      </w:r>
      <w:r w:rsidR="00AC43E2">
        <w:rPr>
          <w:rFonts w:ascii="Arial" w:hAnsi="Arial" w:cs="Arial"/>
          <w:bCs/>
          <w:snapToGrid w:val="0"/>
          <w:sz w:val="24"/>
          <w:szCs w:val="27"/>
        </w:rPr>
        <w:t xml:space="preserve">de las cuales se basaron de forma técnica y precisa para arribar a la conclusión dada por la autoridad demandada, luego entonces, tal acto de autoridad </w:t>
      </w:r>
      <w:r w:rsidR="008E4E58" w:rsidRPr="00A40006">
        <w:rPr>
          <w:rFonts w:ascii="Arial" w:hAnsi="Arial" w:cs="Arial"/>
          <w:bCs/>
          <w:snapToGrid w:val="0"/>
          <w:sz w:val="24"/>
          <w:szCs w:val="27"/>
        </w:rPr>
        <w:t>carece de motivación y fundamentación,</w:t>
      </w:r>
      <w:r w:rsidR="008E4E58">
        <w:rPr>
          <w:rFonts w:ascii="Arial" w:hAnsi="Arial" w:cs="Arial"/>
          <w:bCs/>
          <w:snapToGrid w:val="0"/>
          <w:sz w:val="24"/>
          <w:szCs w:val="27"/>
        </w:rPr>
        <w:t xml:space="preserve"> y que lo vertido por la autoridad demandada en su contestación de demanda no puede ser considerada como parte integrante del acto reclamado,</w:t>
      </w:r>
      <w:r w:rsidR="008E4E58" w:rsidRPr="00A40006">
        <w:rPr>
          <w:rFonts w:ascii="Arial" w:hAnsi="Arial" w:cs="Arial"/>
          <w:bCs/>
          <w:snapToGrid w:val="0"/>
          <w:sz w:val="24"/>
          <w:szCs w:val="27"/>
        </w:rPr>
        <w:t xml:space="preserve"> sirve de apoyo sustancial la tesis número I. 4o. P. 56 P con número de registro 209986, por los Tribunales Colegiados de Circuito en el Semanario Judicial de la Federación Tomo XIV, Noviembre de 1994, página 450, de la Octava Época, materia penal, bajo el rubro y texto siguiente: </w:t>
      </w:r>
    </w:p>
    <w:p w14:paraId="151A7C96" w14:textId="77777777" w:rsidR="008E4E58" w:rsidRPr="009077DC" w:rsidRDefault="008E4E58" w:rsidP="008E4E58">
      <w:pPr>
        <w:ind w:left="567" w:right="48"/>
        <w:jc w:val="both"/>
        <w:rPr>
          <w:rFonts w:ascii="Arial" w:hAnsi="Arial" w:cs="Arial"/>
          <w:bCs/>
          <w:i/>
          <w:snapToGrid w:val="0"/>
          <w:sz w:val="24"/>
          <w:szCs w:val="27"/>
        </w:rPr>
      </w:pPr>
      <w:r>
        <w:rPr>
          <w:rFonts w:ascii="Arial" w:hAnsi="Arial" w:cs="Arial"/>
          <w:b/>
          <w:bCs/>
          <w:i/>
          <w:snapToGrid w:val="0"/>
          <w:sz w:val="24"/>
          <w:szCs w:val="27"/>
        </w:rPr>
        <w:t>“</w:t>
      </w:r>
      <w:r w:rsidRPr="009077DC">
        <w:rPr>
          <w:rFonts w:ascii="Arial" w:hAnsi="Arial" w:cs="Arial"/>
          <w:b/>
          <w:bCs/>
          <w:i/>
          <w:snapToGrid w:val="0"/>
          <w:sz w:val="24"/>
          <w:szCs w:val="27"/>
        </w:rPr>
        <w:t>FUNDAMENTACION Y MOTIVACION, CONCEPTO DE.</w:t>
      </w:r>
      <w:r w:rsidRPr="009077DC">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EA77829" w14:textId="34160BBF" w:rsidR="00AC43E2" w:rsidRDefault="00AC43E2" w:rsidP="00CB353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En razón a lo anterior esta autoridad jurisdiccional </w:t>
      </w:r>
      <w:r w:rsidR="00DB1F25">
        <w:rPr>
          <w:rFonts w:ascii="Arial" w:hAnsi="Arial" w:cs="Arial"/>
          <w:bCs/>
          <w:snapToGrid w:val="0"/>
          <w:sz w:val="24"/>
          <w:szCs w:val="27"/>
        </w:rPr>
        <w:t xml:space="preserve">encuentra </w:t>
      </w:r>
      <w:r w:rsidR="00DB1F25" w:rsidRPr="00CA3192">
        <w:rPr>
          <w:rFonts w:ascii="Arial" w:hAnsi="Arial" w:cs="Arial"/>
          <w:b/>
          <w:bCs/>
          <w:snapToGrid w:val="0"/>
          <w:sz w:val="24"/>
          <w:szCs w:val="27"/>
        </w:rPr>
        <w:t>FUNDADO</w:t>
      </w:r>
      <w:r w:rsidR="00DB1F25">
        <w:rPr>
          <w:rFonts w:ascii="Arial" w:hAnsi="Arial" w:cs="Arial"/>
          <w:bCs/>
          <w:snapToGrid w:val="0"/>
          <w:sz w:val="24"/>
          <w:szCs w:val="27"/>
        </w:rPr>
        <w:t xml:space="preserve"> el concepto de impugnación PRIMERO expuesto por la parte actora, en consecuencia, se </w:t>
      </w:r>
      <w:r>
        <w:rPr>
          <w:rFonts w:ascii="Arial" w:hAnsi="Arial" w:cs="Arial"/>
          <w:bCs/>
          <w:snapToGrid w:val="0"/>
          <w:sz w:val="24"/>
          <w:szCs w:val="27"/>
        </w:rPr>
        <w:t xml:space="preserve">estima pertinente </w:t>
      </w:r>
      <w:r w:rsidRPr="00AC43E2">
        <w:rPr>
          <w:rFonts w:ascii="Arial" w:hAnsi="Arial" w:cs="Arial"/>
          <w:bCs/>
          <w:snapToGrid w:val="0"/>
          <w:sz w:val="24"/>
          <w:szCs w:val="27"/>
        </w:rPr>
        <w:t>declara</w:t>
      </w:r>
      <w:r>
        <w:rPr>
          <w:rFonts w:ascii="Arial" w:hAnsi="Arial" w:cs="Arial"/>
          <w:bCs/>
          <w:snapToGrid w:val="0"/>
          <w:sz w:val="24"/>
          <w:szCs w:val="27"/>
        </w:rPr>
        <w:t>r</w:t>
      </w:r>
      <w:r w:rsidRPr="00AC43E2">
        <w:rPr>
          <w:rFonts w:ascii="Arial" w:hAnsi="Arial" w:cs="Arial"/>
          <w:bCs/>
          <w:snapToGrid w:val="0"/>
          <w:sz w:val="24"/>
          <w:szCs w:val="27"/>
        </w:rPr>
        <w:t xml:space="preserve"> la </w:t>
      </w:r>
      <w:r w:rsidRPr="00AC43E2">
        <w:rPr>
          <w:rFonts w:ascii="Arial" w:hAnsi="Arial" w:cs="Arial"/>
          <w:b/>
          <w:bCs/>
          <w:snapToGrid w:val="0"/>
          <w:sz w:val="24"/>
          <w:szCs w:val="27"/>
        </w:rPr>
        <w:t>NULIDAD</w:t>
      </w:r>
      <w:r w:rsidRPr="00AC43E2">
        <w:rPr>
          <w:rFonts w:ascii="Arial" w:hAnsi="Arial" w:cs="Arial"/>
          <w:bCs/>
          <w:snapToGrid w:val="0"/>
          <w:sz w:val="24"/>
          <w:szCs w:val="27"/>
        </w:rPr>
        <w:t xml:space="preserve"> del oficio CVM/SCVM/</w:t>
      </w:r>
      <w:r w:rsidR="002F02A9">
        <w:rPr>
          <w:rFonts w:ascii="Arial" w:hAnsi="Arial" w:cs="Arial"/>
          <w:bCs/>
          <w:snapToGrid w:val="0"/>
          <w:sz w:val="24"/>
          <w:szCs w:val="27"/>
        </w:rPr>
        <w:t>****</w:t>
      </w:r>
      <w:r w:rsidRPr="00AC43E2">
        <w:rPr>
          <w:rFonts w:ascii="Arial" w:hAnsi="Arial" w:cs="Arial"/>
          <w:bCs/>
          <w:snapToGrid w:val="0"/>
          <w:sz w:val="24"/>
          <w:szCs w:val="27"/>
        </w:rPr>
        <w:t>/</w:t>
      </w:r>
      <w:r w:rsidR="002F02A9">
        <w:rPr>
          <w:rFonts w:ascii="Arial" w:hAnsi="Arial" w:cs="Arial"/>
          <w:bCs/>
          <w:snapToGrid w:val="0"/>
          <w:sz w:val="24"/>
          <w:szCs w:val="27"/>
        </w:rPr>
        <w:t>****</w:t>
      </w:r>
      <w:r w:rsidRPr="00AC43E2">
        <w:rPr>
          <w:rFonts w:ascii="Arial" w:hAnsi="Arial" w:cs="Arial"/>
          <w:bCs/>
          <w:snapToGrid w:val="0"/>
          <w:sz w:val="24"/>
          <w:szCs w:val="27"/>
        </w:rPr>
        <w:t xml:space="preserve">, de fecha </w:t>
      </w:r>
      <w:r w:rsidR="002F02A9">
        <w:rPr>
          <w:rFonts w:ascii="Arial" w:hAnsi="Arial" w:cs="Arial"/>
          <w:bCs/>
          <w:snapToGrid w:val="0"/>
          <w:sz w:val="24"/>
          <w:szCs w:val="27"/>
        </w:rPr>
        <w:t>*****</w:t>
      </w:r>
      <w:r w:rsidRPr="00AC43E2">
        <w:rPr>
          <w:rFonts w:ascii="Arial" w:hAnsi="Arial" w:cs="Arial"/>
          <w:bCs/>
          <w:snapToGrid w:val="0"/>
          <w:sz w:val="24"/>
          <w:szCs w:val="27"/>
        </w:rPr>
        <w:t xml:space="preserve"> de </w:t>
      </w:r>
      <w:r w:rsidR="002F02A9">
        <w:rPr>
          <w:rFonts w:ascii="Arial" w:hAnsi="Arial" w:cs="Arial"/>
          <w:bCs/>
          <w:snapToGrid w:val="0"/>
          <w:sz w:val="24"/>
          <w:szCs w:val="27"/>
        </w:rPr>
        <w:t>*****</w:t>
      </w:r>
      <w:r w:rsidRPr="00AC43E2">
        <w:rPr>
          <w:rFonts w:ascii="Arial" w:hAnsi="Arial" w:cs="Arial"/>
          <w:bCs/>
          <w:snapToGrid w:val="0"/>
          <w:sz w:val="24"/>
          <w:szCs w:val="27"/>
        </w:rPr>
        <w:t xml:space="preserve"> de dos mil</w:t>
      </w:r>
      <w:r w:rsidR="002F02A9">
        <w:rPr>
          <w:rFonts w:ascii="Arial" w:hAnsi="Arial" w:cs="Arial"/>
          <w:bCs/>
          <w:snapToGrid w:val="0"/>
          <w:sz w:val="24"/>
          <w:szCs w:val="27"/>
        </w:rPr>
        <w:t xml:space="preserve"> *****</w:t>
      </w:r>
      <w:r w:rsidRPr="00AC43E2">
        <w:rPr>
          <w:rFonts w:ascii="Arial" w:hAnsi="Arial" w:cs="Arial"/>
          <w:bCs/>
          <w:snapToGrid w:val="0"/>
          <w:sz w:val="24"/>
          <w:szCs w:val="27"/>
        </w:rPr>
        <w:t xml:space="preserve">, para el </w:t>
      </w:r>
      <w:r w:rsidRPr="00AC43E2">
        <w:rPr>
          <w:rFonts w:ascii="Arial" w:hAnsi="Arial" w:cs="Arial"/>
          <w:b/>
          <w:bCs/>
          <w:snapToGrid w:val="0"/>
          <w:sz w:val="24"/>
          <w:szCs w:val="27"/>
        </w:rPr>
        <w:t>EFECTO</w:t>
      </w:r>
      <w:r w:rsidRPr="00AC43E2">
        <w:rPr>
          <w:rFonts w:ascii="Arial" w:hAnsi="Arial" w:cs="Arial"/>
          <w:bCs/>
          <w:snapToGrid w:val="0"/>
          <w:sz w:val="24"/>
          <w:szCs w:val="27"/>
        </w:rPr>
        <w:t xml:space="preserve"> de que </w:t>
      </w:r>
      <w:r w:rsidR="00683288">
        <w:rPr>
          <w:rFonts w:ascii="Arial" w:hAnsi="Arial" w:cs="Arial"/>
          <w:bCs/>
          <w:snapToGrid w:val="0"/>
          <w:sz w:val="24"/>
          <w:szCs w:val="27"/>
        </w:rPr>
        <w:t>la autoridad demandada</w:t>
      </w:r>
      <w:r w:rsidRPr="00AC43E2">
        <w:rPr>
          <w:rFonts w:ascii="Arial" w:hAnsi="Arial" w:cs="Arial"/>
          <w:bCs/>
          <w:snapToGrid w:val="0"/>
          <w:sz w:val="24"/>
          <w:szCs w:val="27"/>
        </w:rPr>
        <w:t xml:space="preserve">, </w:t>
      </w:r>
      <w:r w:rsidR="00227CCA">
        <w:rPr>
          <w:rFonts w:ascii="Arial" w:hAnsi="Arial" w:cs="Arial"/>
          <w:bCs/>
          <w:snapToGrid w:val="0"/>
          <w:sz w:val="24"/>
          <w:szCs w:val="27"/>
        </w:rPr>
        <w:t xml:space="preserve">deje sin efectos el oficio controvertido, y en su lugar </w:t>
      </w:r>
      <w:r w:rsidRPr="00AC43E2">
        <w:rPr>
          <w:rFonts w:ascii="Arial" w:hAnsi="Arial" w:cs="Arial"/>
          <w:bCs/>
          <w:snapToGrid w:val="0"/>
          <w:sz w:val="24"/>
          <w:szCs w:val="27"/>
        </w:rPr>
        <w:t xml:space="preserve">dicte un nuevo </w:t>
      </w:r>
      <w:r w:rsidR="00255270">
        <w:rPr>
          <w:rFonts w:ascii="Arial" w:hAnsi="Arial" w:cs="Arial"/>
          <w:bCs/>
          <w:snapToGrid w:val="0"/>
          <w:sz w:val="24"/>
          <w:szCs w:val="27"/>
        </w:rPr>
        <w:t xml:space="preserve">oficio, </w:t>
      </w:r>
      <w:r w:rsidRPr="00AC43E2">
        <w:rPr>
          <w:rFonts w:ascii="Arial" w:hAnsi="Arial" w:cs="Arial"/>
          <w:bCs/>
          <w:snapToGrid w:val="0"/>
          <w:sz w:val="24"/>
          <w:szCs w:val="27"/>
        </w:rPr>
        <w:t xml:space="preserve">debiendo señalar con exactitud el lugar </w:t>
      </w:r>
      <w:r w:rsidR="00255270">
        <w:rPr>
          <w:rFonts w:ascii="Arial" w:hAnsi="Arial" w:cs="Arial"/>
          <w:bCs/>
          <w:snapToGrid w:val="0"/>
          <w:sz w:val="24"/>
          <w:szCs w:val="27"/>
        </w:rPr>
        <w:t>sobre el cual se analizará la viabilidad de instalar o no un reductor de velocidad</w:t>
      </w:r>
      <w:r w:rsidRPr="00AC43E2">
        <w:rPr>
          <w:rFonts w:ascii="Arial" w:hAnsi="Arial" w:cs="Arial"/>
          <w:bCs/>
          <w:snapToGrid w:val="0"/>
          <w:sz w:val="24"/>
          <w:szCs w:val="27"/>
        </w:rPr>
        <w:t xml:space="preserve">, </w:t>
      </w:r>
      <w:r w:rsidR="00255270">
        <w:rPr>
          <w:rFonts w:ascii="Arial" w:hAnsi="Arial" w:cs="Arial"/>
          <w:bCs/>
          <w:snapToGrid w:val="0"/>
          <w:sz w:val="24"/>
          <w:szCs w:val="27"/>
        </w:rPr>
        <w:t>indicando</w:t>
      </w:r>
      <w:r w:rsidRPr="00AC43E2">
        <w:rPr>
          <w:rFonts w:ascii="Arial" w:hAnsi="Arial" w:cs="Arial"/>
          <w:bCs/>
          <w:snapToGrid w:val="0"/>
          <w:sz w:val="24"/>
          <w:szCs w:val="27"/>
        </w:rPr>
        <w:t xml:space="preserve"> la metodología científica</w:t>
      </w:r>
      <w:r w:rsidR="00255270">
        <w:rPr>
          <w:rFonts w:ascii="Arial" w:hAnsi="Arial" w:cs="Arial"/>
          <w:bCs/>
          <w:snapToGrid w:val="0"/>
          <w:sz w:val="24"/>
          <w:szCs w:val="27"/>
        </w:rPr>
        <w:t xml:space="preserve"> y/o técnica</w:t>
      </w:r>
      <w:r w:rsidRPr="00AC43E2">
        <w:rPr>
          <w:rFonts w:ascii="Arial" w:hAnsi="Arial" w:cs="Arial"/>
          <w:bCs/>
          <w:snapToGrid w:val="0"/>
          <w:sz w:val="24"/>
          <w:szCs w:val="27"/>
        </w:rPr>
        <w:t xml:space="preserve"> empleada, así como el resultado obtenido razonado técnicamente, para en su caso autorizar o no la instalación de un reductor de velocidad.</w:t>
      </w:r>
    </w:p>
    <w:p w14:paraId="063B036B" w14:textId="5B881556"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 xml:space="preserve">A todo lo antes expuesto, cabe hacer precisión que de los conceptos de impugnación estudiados sirve de apoyo por analogía jurídica sustancial la tesis número I.6oA.33 A, con número de registro 187,531 por los Tribunales Colegiados de Circuito, en el Semanario Judicial de la Federación y su Gaceta, </w:t>
      </w:r>
      <w:proofErr w:type="gramStart"/>
      <w:r w:rsidRPr="00CB353D">
        <w:rPr>
          <w:rFonts w:ascii="Arial" w:hAnsi="Arial" w:cs="Arial"/>
          <w:bCs/>
          <w:snapToGrid w:val="0"/>
          <w:sz w:val="24"/>
          <w:szCs w:val="27"/>
        </w:rPr>
        <w:t>Marzo</w:t>
      </w:r>
      <w:proofErr w:type="gramEnd"/>
      <w:r w:rsidRPr="00CB353D">
        <w:rPr>
          <w:rFonts w:ascii="Arial" w:hAnsi="Arial" w:cs="Arial"/>
          <w:bCs/>
          <w:snapToGrid w:val="0"/>
          <w:sz w:val="24"/>
          <w:szCs w:val="27"/>
        </w:rPr>
        <w:t xml:space="preserve"> de 2002, página 1350, Novena Época, co</w:t>
      </w:r>
      <w:r>
        <w:rPr>
          <w:rFonts w:ascii="Arial" w:hAnsi="Arial" w:cs="Arial"/>
          <w:bCs/>
          <w:snapToGrid w:val="0"/>
          <w:sz w:val="24"/>
          <w:szCs w:val="27"/>
        </w:rPr>
        <w:t xml:space="preserve">n el siguiente rubro y texto: </w:t>
      </w:r>
    </w:p>
    <w:p w14:paraId="20FECB08" w14:textId="6D0945B7"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FUNDAMENTACIÓN Y MOTIVACIÓN, FALTA O INDEBIDA. EN CUANTO SON DISTINTAS, UNAS GENERAN NULIDAD LISA Y LLANA Y OTRAS PARA EFECTOS.</w:t>
      </w:r>
      <w:r w:rsidR="00CB353D" w:rsidRPr="00FB410B">
        <w:rPr>
          <w:rFonts w:ascii="Arial" w:hAnsi="Arial" w:cs="Arial"/>
          <w:bCs/>
          <w:i/>
          <w:snapToGrid w:val="0"/>
          <w:sz w:val="24"/>
          <w:szCs w:val="27"/>
        </w:rPr>
        <w:t xml:space="preserve"> La Suprema Corte de Justicia de la Nación ha establecido de manera reiterada que entre las garantías de legalidad y seguridad jurídica </w:t>
      </w:r>
      <w:r w:rsidR="00CB353D" w:rsidRPr="00FB410B">
        <w:rPr>
          <w:rFonts w:ascii="Arial" w:hAnsi="Arial" w:cs="Arial"/>
          <w:bCs/>
          <w:i/>
          <w:snapToGrid w:val="0"/>
          <w:sz w:val="24"/>
          <w:szCs w:val="27"/>
        </w:rPr>
        <w:lastRenderedPageBreak/>
        <w:t>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Pr>
          <w:rFonts w:ascii="Arial" w:hAnsi="Arial" w:cs="Arial"/>
          <w:bCs/>
          <w:i/>
          <w:snapToGrid w:val="0"/>
          <w:sz w:val="24"/>
          <w:szCs w:val="27"/>
        </w:rPr>
        <w:t>nal del numeral 239 del propio.”</w:t>
      </w:r>
    </w:p>
    <w:p w14:paraId="1F4E87DC" w14:textId="77777777" w:rsidR="00CA3192" w:rsidRPr="004A6487" w:rsidRDefault="00CA3192" w:rsidP="00CA3192">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Ahora bien, esta autoridad jurisdicc</w:t>
      </w:r>
      <w:r>
        <w:rPr>
          <w:rFonts w:ascii="Arial" w:hAnsi="Arial" w:cs="Arial"/>
          <w:bCs/>
          <w:snapToGrid w:val="0"/>
          <w:sz w:val="24"/>
          <w:szCs w:val="27"/>
        </w:rPr>
        <w:t>ional no entra al estudio de los conceptos de impugnación restantes</w:t>
      </w:r>
      <w:r w:rsidRPr="004A6487">
        <w:rPr>
          <w:rFonts w:ascii="Arial" w:hAnsi="Arial" w:cs="Arial"/>
          <w:bCs/>
          <w:snapToGrid w:val="0"/>
          <w:sz w:val="24"/>
          <w:szCs w:val="27"/>
        </w:rPr>
        <w:t>,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w:t>
      </w:r>
      <w:r>
        <w:rPr>
          <w:rFonts w:ascii="Arial" w:hAnsi="Arial" w:cs="Arial"/>
          <w:bCs/>
          <w:snapToGrid w:val="0"/>
          <w:sz w:val="24"/>
          <w:szCs w:val="27"/>
        </w:rPr>
        <w:t>ajo el rubro y texto siguiente:</w:t>
      </w:r>
    </w:p>
    <w:p w14:paraId="22BECEE7" w14:textId="77777777" w:rsidR="00CA3192" w:rsidRPr="00970F4F" w:rsidRDefault="00CA3192" w:rsidP="00CA3192">
      <w:pPr>
        <w:ind w:left="567" w:right="48"/>
        <w:jc w:val="both"/>
        <w:rPr>
          <w:rFonts w:ascii="Arial" w:hAnsi="Arial" w:cs="Arial"/>
          <w:bCs/>
          <w:i/>
          <w:snapToGrid w:val="0"/>
          <w:sz w:val="24"/>
          <w:szCs w:val="27"/>
        </w:rPr>
      </w:pPr>
      <w:r>
        <w:rPr>
          <w:rFonts w:ascii="Arial" w:hAnsi="Arial" w:cs="Arial"/>
          <w:b/>
          <w:bCs/>
          <w:i/>
          <w:snapToGrid w:val="0"/>
          <w:sz w:val="24"/>
          <w:szCs w:val="27"/>
        </w:rPr>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72874FF7" w14:textId="531563A4" w:rsidR="00414AF5"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lastRenderedPageBreak/>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AB334D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7ADAE518"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4F4193" w:rsidRPr="004F4193">
        <w:rPr>
          <w:rFonts w:cs="Arial"/>
          <w:i w:val="0"/>
          <w:szCs w:val="27"/>
        </w:rPr>
        <w:t xml:space="preserve">NULIDAD </w:t>
      </w:r>
      <w:r w:rsidR="004F4193" w:rsidRPr="004F4193">
        <w:rPr>
          <w:rFonts w:cs="Arial"/>
          <w:b w:val="0"/>
          <w:i w:val="0"/>
          <w:szCs w:val="27"/>
        </w:rPr>
        <w:t>del oficio CVM/SCVM/</w:t>
      </w:r>
      <w:r w:rsidR="00F77DE9">
        <w:rPr>
          <w:rFonts w:cs="Arial"/>
          <w:b w:val="0"/>
          <w:i w:val="0"/>
          <w:szCs w:val="27"/>
        </w:rPr>
        <w:t>*****</w:t>
      </w:r>
      <w:r w:rsidR="004F4193" w:rsidRPr="004F4193">
        <w:rPr>
          <w:rFonts w:cs="Arial"/>
          <w:b w:val="0"/>
          <w:i w:val="0"/>
          <w:szCs w:val="27"/>
        </w:rPr>
        <w:t>/</w:t>
      </w:r>
      <w:r w:rsidR="00F77DE9">
        <w:rPr>
          <w:rFonts w:cs="Arial"/>
          <w:b w:val="0"/>
          <w:i w:val="0"/>
          <w:szCs w:val="27"/>
        </w:rPr>
        <w:t>*****</w:t>
      </w:r>
      <w:r w:rsidR="004F4193" w:rsidRPr="004F4193">
        <w:rPr>
          <w:rFonts w:cs="Arial"/>
          <w:b w:val="0"/>
          <w:i w:val="0"/>
          <w:szCs w:val="27"/>
        </w:rPr>
        <w:t>, de fecha</w:t>
      </w:r>
      <w:r w:rsidR="00F77DE9">
        <w:rPr>
          <w:rFonts w:cs="Arial"/>
          <w:b w:val="0"/>
          <w:i w:val="0"/>
          <w:szCs w:val="27"/>
        </w:rPr>
        <w:t xml:space="preserve"> *****</w:t>
      </w:r>
      <w:r w:rsidR="004F4193" w:rsidRPr="004F4193">
        <w:rPr>
          <w:rFonts w:cs="Arial"/>
          <w:b w:val="0"/>
          <w:i w:val="0"/>
          <w:szCs w:val="27"/>
        </w:rPr>
        <w:t xml:space="preserve"> de</w:t>
      </w:r>
      <w:r w:rsidR="00F77DE9">
        <w:rPr>
          <w:rFonts w:cs="Arial"/>
          <w:b w:val="0"/>
          <w:i w:val="0"/>
          <w:szCs w:val="27"/>
        </w:rPr>
        <w:t xml:space="preserve"> *****</w:t>
      </w:r>
      <w:r w:rsidR="004F4193" w:rsidRPr="004F4193">
        <w:rPr>
          <w:rFonts w:cs="Arial"/>
          <w:b w:val="0"/>
          <w:i w:val="0"/>
          <w:szCs w:val="27"/>
        </w:rPr>
        <w:t xml:space="preserve"> de dos mil</w:t>
      </w:r>
      <w:r w:rsidR="00F77DE9">
        <w:rPr>
          <w:rFonts w:cs="Arial"/>
          <w:b w:val="0"/>
          <w:i w:val="0"/>
          <w:szCs w:val="27"/>
        </w:rPr>
        <w:t xml:space="preserve"> *****</w:t>
      </w:r>
      <w:r w:rsidR="004F4193" w:rsidRPr="004F4193">
        <w:rPr>
          <w:rFonts w:cs="Arial"/>
          <w:b w:val="0"/>
          <w:i w:val="0"/>
          <w:szCs w:val="27"/>
        </w:rPr>
        <w:t xml:space="preserve">, para el </w:t>
      </w:r>
      <w:r w:rsidR="004F4193" w:rsidRPr="004F4193">
        <w:rPr>
          <w:rFonts w:cs="Arial"/>
          <w:i w:val="0"/>
          <w:szCs w:val="27"/>
        </w:rPr>
        <w:t>EFECTO</w:t>
      </w:r>
      <w:r w:rsidR="004F4193" w:rsidRPr="004F4193">
        <w:rPr>
          <w:rFonts w:cs="Arial"/>
          <w:b w:val="0"/>
          <w:i w:val="0"/>
          <w:szCs w:val="27"/>
        </w:rPr>
        <w:t xml:space="preserve"> de que la autoridad demandada, deje sin efectos el oficio controvertido, y en su lugar dicte un nuevo oficio, debiendo señalar con exactitud el lugar sobre el cual se analizará la viabilidad de instalar o no un reductor de velocidad, indicando la metodología científica y/o técnica empleada, así como el resultado obtenido razonado técnicamente, para en su caso autorizar o no la instalación de un reductor de velocidad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w:t>
      </w:r>
      <w:r w:rsidR="000A3C32">
        <w:rPr>
          <w:rFonts w:cs="Arial"/>
          <w:b w:val="0"/>
          <w:bCs/>
          <w:i w:val="0"/>
          <w:szCs w:val="27"/>
        </w:rPr>
        <w:t>QUINTO</w:t>
      </w:r>
      <w:r w:rsidRPr="009C0C09">
        <w:rPr>
          <w:rFonts w:cs="Arial"/>
          <w:b w:val="0"/>
          <w:bCs/>
          <w:i w:val="0"/>
          <w:szCs w:val="27"/>
        </w:rPr>
        <w:t xml:space="preserve">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34A43">
      <w:headerReference w:type="default" r:id="rId8"/>
      <w:footerReference w:type="even" r:id="rId9"/>
      <w:footerReference w:type="default" r:id="rId10"/>
      <w:headerReference w:type="first" r:id="rId11"/>
      <w:pgSz w:w="12240" w:h="20160" w:code="5"/>
      <w:pgMar w:top="161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9DEA6" w14:textId="77777777" w:rsidR="00A9560B" w:rsidRDefault="00A9560B" w:rsidP="00604752">
      <w:pPr>
        <w:spacing w:after="0" w:line="240" w:lineRule="auto"/>
      </w:pPr>
      <w:r>
        <w:separator/>
      </w:r>
    </w:p>
  </w:endnote>
  <w:endnote w:type="continuationSeparator" w:id="0">
    <w:p w14:paraId="6F4C7D50" w14:textId="77777777" w:rsidR="00A9560B" w:rsidRDefault="00A9560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61C14" w14:textId="05949C89" w:rsidR="00F9212B" w:rsidRDefault="00F9212B">
    <w:pPr>
      <w:pStyle w:val="Piedepgina"/>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7D71A6ED" wp14:editId="31C99CCF">
              <wp:simplePos x="0" y="0"/>
              <wp:positionH relativeFrom="page">
                <wp:align>right</wp:align>
              </wp:positionH>
              <wp:positionV relativeFrom="paragraph">
                <wp:posOffset>-5643880</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800DDEA" w14:textId="77777777" w:rsidR="00F9212B" w:rsidRPr="003B6E97" w:rsidRDefault="00F9212B" w:rsidP="00F9212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71A6ED" id="_x0000_t202" coordsize="21600,21600" o:spt="202" path="m,l,21600r21600,l21600,xe">
              <v:stroke joinstyle="miter"/>
              <v:path gradientshapeok="t" o:connecttype="rect"/>
            </v:shapetype>
            <v:shape id="Cuadro de texto 2" o:spid="_x0000_s1026" type="#_x0000_t202" style="position:absolute;margin-left:41.8pt;margin-top:-444.4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BJ/FgIAACw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">
              <v:textbox>
                <w:txbxContent>
                  <w:p w14:paraId="5800DDEA" w14:textId="77777777" w:rsidR="00F9212B" w:rsidRPr="003B6E97" w:rsidRDefault="00F9212B" w:rsidP="00F9212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59F2BE6E" w:rsidR="0076338B" w:rsidRPr="00604752" w:rsidRDefault="00F9212B">
        <w:pPr>
          <w:pStyle w:val="Piedepgina"/>
          <w:jc w:val="center"/>
          <w:rPr>
            <w:rFonts w:ascii="Arial" w:hAnsi="Arial" w:cs="Arial"/>
            <w:sz w:val="24"/>
            <w:szCs w:val="24"/>
          </w:rPr>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107434A9" wp14:editId="0F796CBE">
                  <wp:simplePos x="0" y="0"/>
                  <wp:positionH relativeFrom="leftMargin">
                    <wp:align>right</wp:align>
                  </wp:positionH>
                  <wp:positionV relativeFrom="paragraph">
                    <wp:posOffset>-4801870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834F280" w14:textId="77777777" w:rsidR="00F9212B" w:rsidRPr="003B6E97" w:rsidRDefault="00F9212B" w:rsidP="00F9212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7434A9" id="_x0000_t202" coordsize="21600,21600" o:spt="202" path="m,l,21600r21600,l21600,xe">
                  <v:stroke joinstyle="miter"/>
                  <v:path gradientshapeok="t" o:connecttype="rect"/>
                </v:shapetype>
                <v:shape id="Cuadro de texto 1" o:spid="_x0000_s1027" type="#_x0000_t202" style="position:absolute;left:0;text-align:left;margin-left:41.8pt;margin-top:-378.1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3SGQIAADM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">
                  <v:textbox>
                    <w:txbxContent>
                      <w:p w14:paraId="1834F280" w14:textId="77777777" w:rsidR="00F9212B" w:rsidRPr="003B6E97" w:rsidRDefault="00F9212B" w:rsidP="00F9212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2"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2"/>
                        <w:r w:rsidRPr="007F60A7">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CA3192" w:rsidRPr="00CA3192">
          <w:rPr>
            <w:rFonts w:ascii="Arial" w:hAnsi="Arial" w:cs="Arial"/>
            <w:noProof/>
            <w:sz w:val="24"/>
            <w:szCs w:val="24"/>
            <w:lang w:val="es-ES"/>
          </w:rPr>
          <w:t>10</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5065D" w14:textId="77777777" w:rsidR="00A9560B" w:rsidRDefault="00A9560B" w:rsidP="00604752">
      <w:pPr>
        <w:spacing w:after="0" w:line="240" w:lineRule="auto"/>
      </w:pPr>
      <w:r>
        <w:separator/>
      </w:r>
    </w:p>
  </w:footnote>
  <w:footnote w:type="continuationSeparator" w:id="0">
    <w:p w14:paraId="7F343D2B" w14:textId="77777777" w:rsidR="00A9560B" w:rsidRDefault="00A9560B"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D8800D5"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6D4FE140">
          <wp:simplePos x="0" y="0"/>
          <wp:positionH relativeFrom="page">
            <wp:align>right</wp:align>
          </wp:positionH>
          <wp:positionV relativeFrom="paragraph">
            <wp:posOffset>4161790</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DC35464"/>
    <w:multiLevelType w:val="hybridMultilevel"/>
    <w:tmpl w:val="91C4988A"/>
    <w:lvl w:ilvl="0" w:tplc="0C0A000B">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A210F29"/>
    <w:multiLevelType w:val="hybridMultilevel"/>
    <w:tmpl w:val="895E4360"/>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num w:numId="1" w16cid:durableId="928126004">
    <w:abstractNumId w:val="2"/>
  </w:num>
  <w:num w:numId="2" w16cid:durableId="385179826">
    <w:abstractNumId w:val="3"/>
  </w:num>
  <w:num w:numId="3" w16cid:durableId="1579703710">
    <w:abstractNumId w:val="7"/>
  </w:num>
  <w:num w:numId="4" w16cid:durableId="588739038">
    <w:abstractNumId w:val="0"/>
  </w:num>
  <w:num w:numId="5" w16cid:durableId="126627738">
    <w:abstractNumId w:val="5"/>
  </w:num>
  <w:num w:numId="6" w16cid:durableId="1588223092">
    <w:abstractNumId w:val="1"/>
  </w:num>
  <w:num w:numId="7" w16cid:durableId="1176530081">
    <w:abstractNumId w:val="6"/>
  </w:num>
  <w:num w:numId="8" w16cid:durableId="24447497">
    <w:abstractNumId w:val="8"/>
  </w:num>
  <w:num w:numId="9" w16cid:durableId="1481270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5085"/>
    <w:rsid w:val="0001509C"/>
    <w:rsid w:val="000203B2"/>
    <w:rsid w:val="00021165"/>
    <w:rsid w:val="00023E0F"/>
    <w:rsid w:val="00023E98"/>
    <w:rsid w:val="0002521A"/>
    <w:rsid w:val="00026BB2"/>
    <w:rsid w:val="00026F4A"/>
    <w:rsid w:val="00030491"/>
    <w:rsid w:val="00032827"/>
    <w:rsid w:val="000337D1"/>
    <w:rsid w:val="00034A43"/>
    <w:rsid w:val="00035E01"/>
    <w:rsid w:val="000363E1"/>
    <w:rsid w:val="00036A0C"/>
    <w:rsid w:val="000400D4"/>
    <w:rsid w:val="00040536"/>
    <w:rsid w:val="00043748"/>
    <w:rsid w:val="00045E11"/>
    <w:rsid w:val="00051177"/>
    <w:rsid w:val="0005415A"/>
    <w:rsid w:val="0005470D"/>
    <w:rsid w:val="000662B7"/>
    <w:rsid w:val="00075A38"/>
    <w:rsid w:val="000778F1"/>
    <w:rsid w:val="0008025C"/>
    <w:rsid w:val="00092E1F"/>
    <w:rsid w:val="00094E83"/>
    <w:rsid w:val="000951F5"/>
    <w:rsid w:val="000A25F3"/>
    <w:rsid w:val="000A2814"/>
    <w:rsid w:val="000A2A86"/>
    <w:rsid w:val="000A3369"/>
    <w:rsid w:val="000A3C32"/>
    <w:rsid w:val="000A4C89"/>
    <w:rsid w:val="000A5644"/>
    <w:rsid w:val="000A5C47"/>
    <w:rsid w:val="000B1C0B"/>
    <w:rsid w:val="000B426C"/>
    <w:rsid w:val="000B48CB"/>
    <w:rsid w:val="000C066D"/>
    <w:rsid w:val="000C1184"/>
    <w:rsid w:val="000C35D8"/>
    <w:rsid w:val="000C5EA0"/>
    <w:rsid w:val="000C6172"/>
    <w:rsid w:val="000C67C3"/>
    <w:rsid w:val="000C6FAD"/>
    <w:rsid w:val="000D23FD"/>
    <w:rsid w:val="000D6F4B"/>
    <w:rsid w:val="000E1601"/>
    <w:rsid w:val="000E2FD3"/>
    <w:rsid w:val="000E3524"/>
    <w:rsid w:val="000E5069"/>
    <w:rsid w:val="000E728E"/>
    <w:rsid w:val="001009AB"/>
    <w:rsid w:val="00102315"/>
    <w:rsid w:val="0010631F"/>
    <w:rsid w:val="00115274"/>
    <w:rsid w:val="00116E0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6EA"/>
    <w:rsid w:val="001658D6"/>
    <w:rsid w:val="00165C4A"/>
    <w:rsid w:val="0016783D"/>
    <w:rsid w:val="00181533"/>
    <w:rsid w:val="00182786"/>
    <w:rsid w:val="00184940"/>
    <w:rsid w:val="00192B29"/>
    <w:rsid w:val="00196279"/>
    <w:rsid w:val="001A1FE9"/>
    <w:rsid w:val="001A2788"/>
    <w:rsid w:val="001A3A9E"/>
    <w:rsid w:val="001B0663"/>
    <w:rsid w:val="001B5DC7"/>
    <w:rsid w:val="001B77BA"/>
    <w:rsid w:val="001C0F76"/>
    <w:rsid w:val="001C3689"/>
    <w:rsid w:val="001C505A"/>
    <w:rsid w:val="001C6514"/>
    <w:rsid w:val="001D0502"/>
    <w:rsid w:val="001D267C"/>
    <w:rsid w:val="001E1A1B"/>
    <w:rsid w:val="001E49C1"/>
    <w:rsid w:val="001E4A0B"/>
    <w:rsid w:val="001F2FF9"/>
    <w:rsid w:val="001F31C1"/>
    <w:rsid w:val="001F532A"/>
    <w:rsid w:val="00203B91"/>
    <w:rsid w:val="0020764C"/>
    <w:rsid w:val="002175BF"/>
    <w:rsid w:val="002234FC"/>
    <w:rsid w:val="002257D3"/>
    <w:rsid w:val="00226128"/>
    <w:rsid w:val="00227CCA"/>
    <w:rsid w:val="00230E4C"/>
    <w:rsid w:val="002318D5"/>
    <w:rsid w:val="002419CF"/>
    <w:rsid w:val="00245075"/>
    <w:rsid w:val="00246609"/>
    <w:rsid w:val="00251577"/>
    <w:rsid w:val="002524BD"/>
    <w:rsid w:val="00252E0F"/>
    <w:rsid w:val="00255270"/>
    <w:rsid w:val="00261138"/>
    <w:rsid w:val="00265704"/>
    <w:rsid w:val="00267C69"/>
    <w:rsid w:val="0027164D"/>
    <w:rsid w:val="002747AF"/>
    <w:rsid w:val="0027572E"/>
    <w:rsid w:val="0027767F"/>
    <w:rsid w:val="0028475A"/>
    <w:rsid w:val="002866AE"/>
    <w:rsid w:val="00290DC6"/>
    <w:rsid w:val="002914F2"/>
    <w:rsid w:val="00292144"/>
    <w:rsid w:val="00295133"/>
    <w:rsid w:val="00296A0F"/>
    <w:rsid w:val="002A6281"/>
    <w:rsid w:val="002A7FE6"/>
    <w:rsid w:val="002B245A"/>
    <w:rsid w:val="002B2C0E"/>
    <w:rsid w:val="002B52BC"/>
    <w:rsid w:val="002C0FD7"/>
    <w:rsid w:val="002C33BB"/>
    <w:rsid w:val="002C4886"/>
    <w:rsid w:val="002C501F"/>
    <w:rsid w:val="002D0236"/>
    <w:rsid w:val="002D5C87"/>
    <w:rsid w:val="002D696F"/>
    <w:rsid w:val="002D794E"/>
    <w:rsid w:val="002E0F64"/>
    <w:rsid w:val="002F02A9"/>
    <w:rsid w:val="002F08AA"/>
    <w:rsid w:val="002F2F88"/>
    <w:rsid w:val="002F62ED"/>
    <w:rsid w:val="002F71C8"/>
    <w:rsid w:val="00301470"/>
    <w:rsid w:val="00302382"/>
    <w:rsid w:val="003039BE"/>
    <w:rsid w:val="00304F2A"/>
    <w:rsid w:val="003057ED"/>
    <w:rsid w:val="003119B9"/>
    <w:rsid w:val="00314C35"/>
    <w:rsid w:val="0031540C"/>
    <w:rsid w:val="003173F3"/>
    <w:rsid w:val="00327322"/>
    <w:rsid w:val="00327425"/>
    <w:rsid w:val="00327ABE"/>
    <w:rsid w:val="00330516"/>
    <w:rsid w:val="00331255"/>
    <w:rsid w:val="003337E5"/>
    <w:rsid w:val="00346EA0"/>
    <w:rsid w:val="00350413"/>
    <w:rsid w:val="00351EF2"/>
    <w:rsid w:val="00352A96"/>
    <w:rsid w:val="0035344A"/>
    <w:rsid w:val="0035374B"/>
    <w:rsid w:val="00354B88"/>
    <w:rsid w:val="003569E3"/>
    <w:rsid w:val="00363EFF"/>
    <w:rsid w:val="00366607"/>
    <w:rsid w:val="00370E42"/>
    <w:rsid w:val="00371394"/>
    <w:rsid w:val="00371465"/>
    <w:rsid w:val="00371FC4"/>
    <w:rsid w:val="00375C9A"/>
    <w:rsid w:val="00381974"/>
    <w:rsid w:val="0038533A"/>
    <w:rsid w:val="00387930"/>
    <w:rsid w:val="00387B42"/>
    <w:rsid w:val="003905EF"/>
    <w:rsid w:val="00397D65"/>
    <w:rsid w:val="003A4498"/>
    <w:rsid w:val="003B2126"/>
    <w:rsid w:val="003C1032"/>
    <w:rsid w:val="003C27E4"/>
    <w:rsid w:val="003C37D1"/>
    <w:rsid w:val="003C3CAD"/>
    <w:rsid w:val="003C7C99"/>
    <w:rsid w:val="003D6C41"/>
    <w:rsid w:val="003E0CBC"/>
    <w:rsid w:val="003E3CFA"/>
    <w:rsid w:val="003E65D9"/>
    <w:rsid w:val="003E727C"/>
    <w:rsid w:val="003F2E0D"/>
    <w:rsid w:val="004018A4"/>
    <w:rsid w:val="0040395C"/>
    <w:rsid w:val="00403B7D"/>
    <w:rsid w:val="00403C41"/>
    <w:rsid w:val="00404D4E"/>
    <w:rsid w:val="00406A7B"/>
    <w:rsid w:val="004107AC"/>
    <w:rsid w:val="00410B01"/>
    <w:rsid w:val="00414AF5"/>
    <w:rsid w:val="004165E7"/>
    <w:rsid w:val="00421E9B"/>
    <w:rsid w:val="004223B7"/>
    <w:rsid w:val="00423C8C"/>
    <w:rsid w:val="00425036"/>
    <w:rsid w:val="00427278"/>
    <w:rsid w:val="004273C3"/>
    <w:rsid w:val="00430B1C"/>
    <w:rsid w:val="0043159F"/>
    <w:rsid w:val="00432832"/>
    <w:rsid w:val="0043687D"/>
    <w:rsid w:val="00440813"/>
    <w:rsid w:val="00443701"/>
    <w:rsid w:val="004471F8"/>
    <w:rsid w:val="00451D96"/>
    <w:rsid w:val="004530CE"/>
    <w:rsid w:val="00460CAD"/>
    <w:rsid w:val="00464066"/>
    <w:rsid w:val="00466084"/>
    <w:rsid w:val="004660BC"/>
    <w:rsid w:val="00471718"/>
    <w:rsid w:val="00471CEB"/>
    <w:rsid w:val="004723BF"/>
    <w:rsid w:val="004759CD"/>
    <w:rsid w:val="00480743"/>
    <w:rsid w:val="00481380"/>
    <w:rsid w:val="0048181D"/>
    <w:rsid w:val="0048308A"/>
    <w:rsid w:val="00485E2A"/>
    <w:rsid w:val="004901A3"/>
    <w:rsid w:val="00492932"/>
    <w:rsid w:val="004A0097"/>
    <w:rsid w:val="004A0EDA"/>
    <w:rsid w:val="004A23FF"/>
    <w:rsid w:val="004A2C37"/>
    <w:rsid w:val="004A3D3D"/>
    <w:rsid w:val="004B030F"/>
    <w:rsid w:val="004B0D7E"/>
    <w:rsid w:val="004B22DE"/>
    <w:rsid w:val="004B473D"/>
    <w:rsid w:val="004C0019"/>
    <w:rsid w:val="004C1757"/>
    <w:rsid w:val="004C4DF5"/>
    <w:rsid w:val="004C582E"/>
    <w:rsid w:val="004D39D2"/>
    <w:rsid w:val="004D40B5"/>
    <w:rsid w:val="004E1EA0"/>
    <w:rsid w:val="004E6EA5"/>
    <w:rsid w:val="004F202C"/>
    <w:rsid w:val="004F4193"/>
    <w:rsid w:val="004F5EA4"/>
    <w:rsid w:val="00504B18"/>
    <w:rsid w:val="00504C8D"/>
    <w:rsid w:val="00504CD6"/>
    <w:rsid w:val="005117EA"/>
    <w:rsid w:val="00511877"/>
    <w:rsid w:val="005202AA"/>
    <w:rsid w:val="00522225"/>
    <w:rsid w:val="00524C59"/>
    <w:rsid w:val="005277D3"/>
    <w:rsid w:val="00533365"/>
    <w:rsid w:val="0053425C"/>
    <w:rsid w:val="00534C8B"/>
    <w:rsid w:val="00535126"/>
    <w:rsid w:val="005359BA"/>
    <w:rsid w:val="0053671A"/>
    <w:rsid w:val="005428ED"/>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0C01"/>
    <w:rsid w:val="00591D82"/>
    <w:rsid w:val="005A4A79"/>
    <w:rsid w:val="005B18A3"/>
    <w:rsid w:val="005B2116"/>
    <w:rsid w:val="005B5E0B"/>
    <w:rsid w:val="005B6054"/>
    <w:rsid w:val="005B650F"/>
    <w:rsid w:val="005C329C"/>
    <w:rsid w:val="005C3D34"/>
    <w:rsid w:val="005D28D8"/>
    <w:rsid w:val="005D3B58"/>
    <w:rsid w:val="005E7BE9"/>
    <w:rsid w:val="005F5334"/>
    <w:rsid w:val="005F6B54"/>
    <w:rsid w:val="005F6C33"/>
    <w:rsid w:val="00600AF3"/>
    <w:rsid w:val="00604752"/>
    <w:rsid w:val="00605164"/>
    <w:rsid w:val="00606CFF"/>
    <w:rsid w:val="00620928"/>
    <w:rsid w:val="00620938"/>
    <w:rsid w:val="00625ECE"/>
    <w:rsid w:val="00633E37"/>
    <w:rsid w:val="00641215"/>
    <w:rsid w:val="00641CD0"/>
    <w:rsid w:val="00642D22"/>
    <w:rsid w:val="00642DF7"/>
    <w:rsid w:val="00644E0E"/>
    <w:rsid w:val="00646DC6"/>
    <w:rsid w:val="00653CF6"/>
    <w:rsid w:val="00655705"/>
    <w:rsid w:val="0066005E"/>
    <w:rsid w:val="00670A60"/>
    <w:rsid w:val="006711BA"/>
    <w:rsid w:val="00683288"/>
    <w:rsid w:val="00683324"/>
    <w:rsid w:val="0069002D"/>
    <w:rsid w:val="006908BC"/>
    <w:rsid w:val="00694F98"/>
    <w:rsid w:val="00696743"/>
    <w:rsid w:val="006A54B9"/>
    <w:rsid w:val="006B091C"/>
    <w:rsid w:val="006B2272"/>
    <w:rsid w:val="006B6EE7"/>
    <w:rsid w:val="006B7E96"/>
    <w:rsid w:val="006C66B7"/>
    <w:rsid w:val="006D29F5"/>
    <w:rsid w:val="006D5469"/>
    <w:rsid w:val="006D595C"/>
    <w:rsid w:val="006E2427"/>
    <w:rsid w:val="006E71B3"/>
    <w:rsid w:val="006F0524"/>
    <w:rsid w:val="006F1BFF"/>
    <w:rsid w:val="006F3FD9"/>
    <w:rsid w:val="00700A6E"/>
    <w:rsid w:val="00701933"/>
    <w:rsid w:val="00705168"/>
    <w:rsid w:val="00711DCC"/>
    <w:rsid w:val="0071481E"/>
    <w:rsid w:val="00714DB4"/>
    <w:rsid w:val="0071655A"/>
    <w:rsid w:val="00720051"/>
    <w:rsid w:val="0072112F"/>
    <w:rsid w:val="007212E3"/>
    <w:rsid w:val="00731189"/>
    <w:rsid w:val="00731A17"/>
    <w:rsid w:val="00732F50"/>
    <w:rsid w:val="00734A25"/>
    <w:rsid w:val="00734BA1"/>
    <w:rsid w:val="00742B73"/>
    <w:rsid w:val="00742C49"/>
    <w:rsid w:val="00742D1B"/>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0487"/>
    <w:rsid w:val="007A14F2"/>
    <w:rsid w:val="007A54A5"/>
    <w:rsid w:val="007B2C4C"/>
    <w:rsid w:val="007B5995"/>
    <w:rsid w:val="007C4592"/>
    <w:rsid w:val="007C4EBB"/>
    <w:rsid w:val="007C5D60"/>
    <w:rsid w:val="007C7071"/>
    <w:rsid w:val="007D0F26"/>
    <w:rsid w:val="007D5781"/>
    <w:rsid w:val="007D64EC"/>
    <w:rsid w:val="007D64ED"/>
    <w:rsid w:val="007E112A"/>
    <w:rsid w:val="007E416E"/>
    <w:rsid w:val="007F03CD"/>
    <w:rsid w:val="007F54D9"/>
    <w:rsid w:val="00800787"/>
    <w:rsid w:val="00801C91"/>
    <w:rsid w:val="00804B71"/>
    <w:rsid w:val="008067B1"/>
    <w:rsid w:val="00806EAC"/>
    <w:rsid w:val="008072E7"/>
    <w:rsid w:val="00807E34"/>
    <w:rsid w:val="00817A5C"/>
    <w:rsid w:val="00817FA8"/>
    <w:rsid w:val="00820DC4"/>
    <w:rsid w:val="0082290F"/>
    <w:rsid w:val="00830200"/>
    <w:rsid w:val="0083186B"/>
    <w:rsid w:val="00832B4F"/>
    <w:rsid w:val="00835131"/>
    <w:rsid w:val="00854837"/>
    <w:rsid w:val="00855326"/>
    <w:rsid w:val="00856627"/>
    <w:rsid w:val="00856D6D"/>
    <w:rsid w:val="00856EF5"/>
    <w:rsid w:val="00863AA0"/>
    <w:rsid w:val="0086446D"/>
    <w:rsid w:val="00866505"/>
    <w:rsid w:val="0088558F"/>
    <w:rsid w:val="00885E7B"/>
    <w:rsid w:val="00891558"/>
    <w:rsid w:val="008A2064"/>
    <w:rsid w:val="008A2FD4"/>
    <w:rsid w:val="008A3A19"/>
    <w:rsid w:val="008A4435"/>
    <w:rsid w:val="008A4576"/>
    <w:rsid w:val="008B0405"/>
    <w:rsid w:val="008B0DBF"/>
    <w:rsid w:val="008B7C4F"/>
    <w:rsid w:val="008C0D59"/>
    <w:rsid w:val="008C1AC1"/>
    <w:rsid w:val="008C25FD"/>
    <w:rsid w:val="008C2D6A"/>
    <w:rsid w:val="008C51E7"/>
    <w:rsid w:val="008C69A6"/>
    <w:rsid w:val="008C6A3C"/>
    <w:rsid w:val="008C764E"/>
    <w:rsid w:val="008D1A6D"/>
    <w:rsid w:val="008D71C0"/>
    <w:rsid w:val="008D748B"/>
    <w:rsid w:val="008E453F"/>
    <w:rsid w:val="008E4E58"/>
    <w:rsid w:val="008F0098"/>
    <w:rsid w:val="008F0BE4"/>
    <w:rsid w:val="008F41E8"/>
    <w:rsid w:val="00903B51"/>
    <w:rsid w:val="009077DC"/>
    <w:rsid w:val="00910E7B"/>
    <w:rsid w:val="0091257C"/>
    <w:rsid w:val="00912E3C"/>
    <w:rsid w:val="00915C38"/>
    <w:rsid w:val="00920A35"/>
    <w:rsid w:val="00920C87"/>
    <w:rsid w:val="009210BB"/>
    <w:rsid w:val="0092390C"/>
    <w:rsid w:val="0093055C"/>
    <w:rsid w:val="00930DDD"/>
    <w:rsid w:val="00937BE9"/>
    <w:rsid w:val="00942F68"/>
    <w:rsid w:val="009441FE"/>
    <w:rsid w:val="00944977"/>
    <w:rsid w:val="00945DEA"/>
    <w:rsid w:val="009518EB"/>
    <w:rsid w:val="00953FA6"/>
    <w:rsid w:val="009544F4"/>
    <w:rsid w:val="00960A43"/>
    <w:rsid w:val="0096662B"/>
    <w:rsid w:val="00966F53"/>
    <w:rsid w:val="00972EE0"/>
    <w:rsid w:val="00975C4C"/>
    <w:rsid w:val="00982481"/>
    <w:rsid w:val="0099116A"/>
    <w:rsid w:val="009A3A46"/>
    <w:rsid w:val="009A4EB1"/>
    <w:rsid w:val="009A5429"/>
    <w:rsid w:val="009A7918"/>
    <w:rsid w:val="009B35C9"/>
    <w:rsid w:val="009B70EA"/>
    <w:rsid w:val="009B727A"/>
    <w:rsid w:val="009C0C09"/>
    <w:rsid w:val="009C2954"/>
    <w:rsid w:val="009C3AB3"/>
    <w:rsid w:val="009C68FE"/>
    <w:rsid w:val="009D3AE7"/>
    <w:rsid w:val="009D7C28"/>
    <w:rsid w:val="009E0F1C"/>
    <w:rsid w:val="009E2C64"/>
    <w:rsid w:val="009E5B18"/>
    <w:rsid w:val="009E6F49"/>
    <w:rsid w:val="009F3E45"/>
    <w:rsid w:val="00A02773"/>
    <w:rsid w:val="00A03523"/>
    <w:rsid w:val="00A04B22"/>
    <w:rsid w:val="00A05298"/>
    <w:rsid w:val="00A061F4"/>
    <w:rsid w:val="00A067E5"/>
    <w:rsid w:val="00A127E8"/>
    <w:rsid w:val="00A12CD4"/>
    <w:rsid w:val="00A12E32"/>
    <w:rsid w:val="00A155F9"/>
    <w:rsid w:val="00A17D80"/>
    <w:rsid w:val="00A25FB6"/>
    <w:rsid w:val="00A40006"/>
    <w:rsid w:val="00A4179A"/>
    <w:rsid w:val="00A43413"/>
    <w:rsid w:val="00A44697"/>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38F3"/>
    <w:rsid w:val="00A94B98"/>
    <w:rsid w:val="00A9514B"/>
    <w:rsid w:val="00A9560B"/>
    <w:rsid w:val="00A95C95"/>
    <w:rsid w:val="00AA5876"/>
    <w:rsid w:val="00AA68B4"/>
    <w:rsid w:val="00AB34AE"/>
    <w:rsid w:val="00AC1B63"/>
    <w:rsid w:val="00AC2249"/>
    <w:rsid w:val="00AC43E2"/>
    <w:rsid w:val="00AC7A12"/>
    <w:rsid w:val="00AD2811"/>
    <w:rsid w:val="00AD2DBD"/>
    <w:rsid w:val="00AD4F5A"/>
    <w:rsid w:val="00AE51B3"/>
    <w:rsid w:val="00AF2D4F"/>
    <w:rsid w:val="00AF4B3A"/>
    <w:rsid w:val="00AF69FC"/>
    <w:rsid w:val="00B027D1"/>
    <w:rsid w:val="00B058FC"/>
    <w:rsid w:val="00B06005"/>
    <w:rsid w:val="00B10C7A"/>
    <w:rsid w:val="00B12B90"/>
    <w:rsid w:val="00B15B86"/>
    <w:rsid w:val="00B17526"/>
    <w:rsid w:val="00B20292"/>
    <w:rsid w:val="00B31321"/>
    <w:rsid w:val="00B40AF9"/>
    <w:rsid w:val="00B416AA"/>
    <w:rsid w:val="00B41B7D"/>
    <w:rsid w:val="00B41D03"/>
    <w:rsid w:val="00B443A5"/>
    <w:rsid w:val="00B44973"/>
    <w:rsid w:val="00B4748B"/>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0BA5"/>
    <w:rsid w:val="00BA763A"/>
    <w:rsid w:val="00BB485D"/>
    <w:rsid w:val="00BD0277"/>
    <w:rsid w:val="00BD5D6A"/>
    <w:rsid w:val="00BD73AB"/>
    <w:rsid w:val="00BD7643"/>
    <w:rsid w:val="00BE5B63"/>
    <w:rsid w:val="00BE617D"/>
    <w:rsid w:val="00BE6CDD"/>
    <w:rsid w:val="00BF034F"/>
    <w:rsid w:val="00BF1D3E"/>
    <w:rsid w:val="00BF2E8A"/>
    <w:rsid w:val="00C003CD"/>
    <w:rsid w:val="00C07985"/>
    <w:rsid w:val="00C07C23"/>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62B1"/>
    <w:rsid w:val="00C572E0"/>
    <w:rsid w:val="00C57303"/>
    <w:rsid w:val="00C57648"/>
    <w:rsid w:val="00C61D30"/>
    <w:rsid w:val="00C659D1"/>
    <w:rsid w:val="00C6739D"/>
    <w:rsid w:val="00C7360C"/>
    <w:rsid w:val="00C83767"/>
    <w:rsid w:val="00C83BBD"/>
    <w:rsid w:val="00C8425A"/>
    <w:rsid w:val="00C86257"/>
    <w:rsid w:val="00C908F5"/>
    <w:rsid w:val="00C934CE"/>
    <w:rsid w:val="00C9735F"/>
    <w:rsid w:val="00CA0FC8"/>
    <w:rsid w:val="00CA18A3"/>
    <w:rsid w:val="00CA3192"/>
    <w:rsid w:val="00CA5A7B"/>
    <w:rsid w:val="00CA7EE0"/>
    <w:rsid w:val="00CB353D"/>
    <w:rsid w:val="00CB43BB"/>
    <w:rsid w:val="00CB512D"/>
    <w:rsid w:val="00CB5F39"/>
    <w:rsid w:val="00CC01DB"/>
    <w:rsid w:val="00CC10B7"/>
    <w:rsid w:val="00CC3A04"/>
    <w:rsid w:val="00CD643E"/>
    <w:rsid w:val="00CD6AA0"/>
    <w:rsid w:val="00CE19F5"/>
    <w:rsid w:val="00CE43E4"/>
    <w:rsid w:val="00CE4519"/>
    <w:rsid w:val="00CF31A1"/>
    <w:rsid w:val="00CF61E3"/>
    <w:rsid w:val="00D03C91"/>
    <w:rsid w:val="00D06B45"/>
    <w:rsid w:val="00D07184"/>
    <w:rsid w:val="00D07B91"/>
    <w:rsid w:val="00D150E4"/>
    <w:rsid w:val="00D21188"/>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6C5"/>
    <w:rsid w:val="00D93A98"/>
    <w:rsid w:val="00D93CA4"/>
    <w:rsid w:val="00D96FCD"/>
    <w:rsid w:val="00DA6A9E"/>
    <w:rsid w:val="00DA7969"/>
    <w:rsid w:val="00DB0414"/>
    <w:rsid w:val="00DB1F25"/>
    <w:rsid w:val="00DB2E20"/>
    <w:rsid w:val="00DB3BD6"/>
    <w:rsid w:val="00DB577D"/>
    <w:rsid w:val="00DC2B07"/>
    <w:rsid w:val="00DC3E9E"/>
    <w:rsid w:val="00DC47AE"/>
    <w:rsid w:val="00DC7145"/>
    <w:rsid w:val="00DD3A3F"/>
    <w:rsid w:val="00DD3DD7"/>
    <w:rsid w:val="00DD6510"/>
    <w:rsid w:val="00DD658D"/>
    <w:rsid w:val="00DD6947"/>
    <w:rsid w:val="00DE37D8"/>
    <w:rsid w:val="00DE59D1"/>
    <w:rsid w:val="00DF0467"/>
    <w:rsid w:val="00DF1F3C"/>
    <w:rsid w:val="00DF473B"/>
    <w:rsid w:val="00DF63A3"/>
    <w:rsid w:val="00E06C2E"/>
    <w:rsid w:val="00E12823"/>
    <w:rsid w:val="00E20206"/>
    <w:rsid w:val="00E24A0B"/>
    <w:rsid w:val="00E25135"/>
    <w:rsid w:val="00E309E5"/>
    <w:rsid w:val="00E30A39"/>
    <w:rsid w:val="00E32943"/>
    <w:rsid w:val="00E32BB5"/>
    <w:rsid w:val="00E331C9"/>
    <w:rsid w:val="00E4118C"/>
    <w:rsid w:val="00E4191B"/>
    <w:rsid w:val="00E423E9"/>
    <w:rsid w:val="00E4400C"/>
    <w:rsid w:val="00E4538B"/>
    <w:rsid w:val="00E47755"/>
    <w:rsid w:val="00E6000E"/>
    <w:rsid w:val="00E70102"/>
    <w:rsid w:val="00E70399"/>
    <w:rsid w:val="00E70E1C"/>
    <w:rsid w:val="00E7377C"/>
    <w:rsid w:val="00E75B34"/>
    <w:rsid w:val="00E75B62"/>
    <w:rsid w:val="00E81231"/>
    <w:rsid w:val="00E81450"/>
    <w:rsid w:val="00E823FD"/>
    <w:rsid w:val="00E9031A"/>
    <w:rsid w:val="00E93845"/>
    <w:rsid w:val="00E93CFD"/>
    <w:rsid w:val="00E94133"/>
    <w:rsid w:val="00E96F4C"/>
    <w:rsid w:val="00EA6EDA"/>
    <w:rsid w:val="00EB0CEB"/>
    <w:rsid w:val="00EB758B"/>
    <w:rsid w:val="00EB75F1"/>
    <w:rsid w:val="00EC0653"/>
    <w:rsid w:val="00EC1F3D"/>
    <w:rsid w:val="00EC3012"/>
    <w:rsid w:val="00EC4244"/>
    <w:rsid w:val="00EC4690"/>
    <w:rsid w:val="00ED0A24"/>
    <w:rsid w:val="00EE4456"/>
    <w:rsid w:val="00EF5ADA"/>
    <w:rsid w:val="00EF689F"/>
    <w:rsid w:val="00F11637"/>
    <w:rsid w:val="00F12439"/>
    <w:rsid w:val="00F23495"/>
    <w:rsid w:val="00F27766"/>
    <w:rsid w:val="00F3571A"/>
    <w:rsid w:val="00F3684C"/>
    <w:rsid w:val="00F40571"/>
    <w:rsid w:val="00F41707"/>
    <w:rsid w:val="00F4400B"/>
    <w:rsid w:val="00F444B9"/>
    <w:rsid w:val="00F446A8"/>
    <w:rsid w:val="00F45547"/>
    <w:rsid w:val="00F55045"/>
    <w:rsid w:val="00F571F9"/>
    <w:rsid w:val="00F6100D"/>
    <w:rsid w:val="00F65A57"/>
    <w:rsid w:val="00F75388"/>
    <w:rsid w:val="00F77DE9"/>
    <w:rsid w:val="00F80253"/>
    <w:rsid w:val="00F86678"/>
    <w:rsid w:val="00F86B9C"/>
    <w:rsid w:val="00F9212B"/>
    <w:rsid w:val="00F92915"/>
    <w:rsid w:val="00F97BD9"/>
    <w:rsid w:val="00FA3926"/>
    <w:rsid w:val="00FA3E8A"/>
    <w:rsid w:val="00FA46E9"/>
    <w:rsid w:val="00FB1D3A"/>
    <w:rsid w:val="00FB35F1"/>
    <w:rsid w:val="00FB3950"/>
    <w:rsid w:val="00FB410B"/>
    <w:rsid w:val="00FB6589"/>
    <w:rsid w:val="00FC14CA"/>
    <w:rsid w:val="00FC2772"/>
    <w:rsid w:val="00FC3B2A"/>
    <w:rsid w:val="00FC6C72"/>
    <w:rsid w:val="00FD0735"/>
    <w:rsid w:val="00FD51E9"/>
    <w:rsid w:val="00FD6FE7"/>
    <w:rsid w:val="00FE3F7D"/>
    <w:rsid w:val="00FE5F7B"/>
    <w:rsid w:val="00FF5124"/>
    <w:rsid w:val="00FF70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45301369">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4DF06-D015-44B3-98D6-B9A38C9E9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3504</TotalTime>
  <Pages>10</Pages>
  <Words>3966</Words>
  <Characters>21815</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489</cp:revision>
  <cp:lastPrinted>2019-12-09T18:09:00Z</cp:lastPrinted>
  <dcterms:created xsi:type="dcterms:W3CDTF">2020-06-01T16:32:00Z</dcterms:created>
  <dcterms:modified xsi:type="dcterms:W3CDTF">2022-10-24T21:04:00Z</dcterms:modified>
</cp:coreProperties>
</file>