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B8FBB" w14:textId="1D3E1655" w:rsidR="00A00B34" w:rsidRDefault="000802F9" w:rsidP="003F6283">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D0436D">
        <w:rPr>
          <w:rFonts w:ascii="Arial" w:hAnsi="Arial" w:cs="Arial"/>
          <w:b/>
          <w:sz w:val="24"/>
          <w:szCs w:val="24"/>
        </w:rPr>
        <w:t xml:space="preserve"> VEINTINUEVE</w:t>
      </w:r>
      <w:r w:rsidR="003F6283">
        <w:rPr>
          <w:rFonts w:ascii="Arial" w:hAnsi="Arial" w:cs="Arial"/>
          <w:b/>
          <w:sz w:val="24"/>
          <w:szCs w:val="24"/>
        </w:rPr>
        <w:t xml:space="preserve"> DE </w:t>
      </w:r>
      <w:r w:rsidR="00D0436D">
        <w:rPr>
          <w:rFonts w:ascii="Arial" w:hAnsi="Arial" w:cs="Arial"/>
          <w:b/>
          <w:sz w:val="24"/>
          <w:szCs w:val="24"/>
        </w:rPr>
        <w:t>OCTUBRE</w:t>
      </w:r>
      <w:r w:rsidR="003F6283">
        <w:rPr>
          <w:rFonts w:ascii="Arial" w:hAnsi="Arial" w:cs="Arial"/>
          <w:b/>
          <w:sz w:val="24"/>
          <w:szCs w:val="24"/>
        </w:rPr>
        <w:t xml:space="preserve"> DE DOS MIL VEINTIUNO.- -</w:t>
      </w:r>
      <w:r w:rsidR="00D0436D">
        <w:rPr>
          <w:rFonts w:ascii="Arial" w:hAnsi="Arial" w:cs="Arial"/>
          <w:b/>
          <w:sz w:val="24"/>
          <w:szCs w:val="24"/>
        </w:rPr>
        <w:t xml:space="preserve"> - - - - - - - - - - - - - - - - - - - - - - - - - - - - - - - - - - - - - - - - - - - - - - - - - </w:t>
      </w:r>
    </w:p>
    <w:p w14:paraId="1F65BD92" w14:textId="4076FDE4" w:rsidR="0043085C" w:rsidRDefault="000802F9" w:rsidP="009A05BE">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A00B34">
        <w:rPr>
          <w:rFonts w:ascii="Arial" w:hAnsi="Arial" w:cs="Arial"/>
          <w:b/>
          <w:sz w:val="24"/>
          <w:szCs w:val="24"/>
          <w:lang w:eastAsia="es-ES"/>
        </w:rPr>
        <w:t>041</w:t>
      </w:r>
      <w:r w:rsidR="001E294D">
        <w:rPr>
          <w:rFonts w:ascii="Arial" w:hAnsi="Arial" w:cs="Arial"/>
          <w:b/>
          <w:sz w:val="24"/>
          <w:szCs w:val="24"/>
          <w:lang w:eastAsia="es-ES"/>
        </w:rPr>
        <w:t>/20</w:t>
      </w:r>
      <w:r w:rsidR="00A00B34">
        <w:rPr>
          <w:rFonts w:ascii="Arial" w:hAnsi="Arial" w:cs="Arial"/>
          <w:b/>
          <w:sz w:val="24"/>
          <w:szCs w:val="24"/>
          <w:lang w:eastAsia="es-ES"/>
        </w:rPr>
        <w:t>20</w:t>
      </w:r>
      <w:r w:rsidRPr="009E202F">
        <w:rPr>
          <w:rFonts w:ascii="Arial" w:hAnsi="Arial" w:cs="Arial"/>
          <w:sz w:val="24"/>
          <w:szCs w:val="24"/>
          <w:lang w:eastAsia="es-ES"/>
        </w:rPr>
        <w:t>, promovido por</w:t>
      </w:r>
      <w:r w:rsidR="00555555">
        <w:rPr>
          <w:rFonts w:ascii="Arial" w:hAnsi="Arial" w:cs="Arial"/>
          <w:sz w:val="24"/>
          <w:szCs w:val="24"/>
          <w:lang w:eastAsia="es-ES"/>
        </w:rPr>
        <w:t xml:space="preserve"> </w:t>
      </w:r>
      <w:r w:rsidR="00FE2C5F">
        <w:rPr>
          <w:rFonts w:ascii="Arial" w:eastAsia="Times New Roman" w:hAnsi="Arial" w:cs="Arial"/>
          <w:bCs/>
          <w:iCs/>
          <w:caps/>
          <w:kern w:val="2"/>
          <w:sz w:val="24"/>
          <w:szCs w:val="24"/>
          <w:lang w:val="es-ES_tradnl" w:eastAsia="es-ES"/>
        </w:rPr>
        <w:t xml:space="preserve">********** </w:t>
      </w:r>
      <w:r w:rsidR="00D96257">
        <w:rPr>
          <w:rFonts w:ascii="Arial" w:eastAsia="Times New Roman" w:hAnsi="Arial" w:cs="Arial"/>
          <w:bCs/>
          <w:iCs/>
          <w:kern w:val="2"/>
          <w:sz w:val="24"/>
          <w:szCs w:val="24"/>
          <w:lang w:val="es-ES_tradnl" w:eastAsia="es-ES"/>
        </w:rPr>
        <w:t xml:space="preserve">en contra </w:t>
      </w:r>
      <w:r w:rsidR="00D96257">
        <w:rPr>
          <w:rFonts w:ascii="Arial" w:hAnsi="Arial" w:cs="Arial"/>
          <w:sz w:val="24"/>
          <w:szCs w:val="24"/>
        </w:rPr>
        <w:t>de</w:t>
      </w:r>
      <w:r w:rsidR="00573078">
        <w:rPr>
          <w:rFonts w:ascii="Arial" w:hAnsi="Arial" w:cs="Arial"/>
          <w:sz w:val="24"/>
          <w:szCs w:val="24"/>
        </w:rPr>
        <w:t xml:space="preserve"> </w:t>
      </w:r>
      <w:r w:rsidR="00103DA1">
        <w:rPr>
          <w:rFonts w:ascii="Arial" w:hAnsi="Arial" w:cs="Arial"/>
          <w:sz w:val="24"/>
          <w:szCs w:val="24"/>
        </w:rPr>
        <w:t xml:space="preserve">la resolución </w:t>
      </w:r>
      <w:r w:rsidR="000E0AFC">
        <w:rPr>
          <w:rFonts w:ascii="Arial" w:hAnsi="Arial" w:cs="Arial"/>
          <w:sz w:val="24"/>
          <w:szCs w:val="24"/>
        </w:rPr>
        <w:t>de</w:t>
      </w:r>
      <w:r w:rsidR="00103DA1">
        <w:rPr>
          <w:rFonts w:ascii="Arial" w:hAnsi="Arial" w:cs="Arial"/>
          <w:sz w:val="24"/>
          <w:szCs w:val="24"/>
        </w:rPr>
        <w:t xml:space="preserve"> </w:t>
      </w:r>
      <w:r w:rsidR="00C7431D">
        <w:rPr>
          <w:rFonts w:ascii="Arial" w:hAnsi="Arial" w:cs="Arial"/>
          <w:sz w:val="24"/>
          <w:szCs w:val="24"/>
        </w:rPr>
        <w:t xml:space="preserve">dieciocho de enero dos mil veinte, </w:t>
      </w:r>
      <w:r w:rsidR="000E0AFC">
        <w:rPr>
          <w:rFonts w:ascii="Arial" w:hAnsi="Arial" w:cs="Arial"/>
          <w:sz w:val="24"/>
          <w:szCs w:val="24"/>
        </w:rPr>
        <w:t xml:space="preserve">dictada </w:t>
      </w:r>
      <w:r w:rsidR="007A3E64">
        <w:rPr>
          <w:rFonts w:ascii="Arial" w:hAnsi="Arial" w:cs="Arial"/>
          <w:sz w:val="24"/>
          <w:szCs w:val="24"/>
        </w:rPr>
        <w:t xml:space="preserve">en el </w:t>
      </w:r>
      <w:r w:rsidR="0043085C">
        <w:rPr>
          <w:rFonts w:ascii="Arial" w:hAnsi="Arial" w:cs="Arial"/>
          <w:sz w:val="24"/>
          <w:szCs w:val="24"/>
        </w:rPr>
        <w:t xml:space="preserve">expediente administrativo de responsabilidad </w:t>
      </w:r>
      <w:r w:rsidR="00FE2C5F">
        <w:rPr>
          <w:rFonts w:ascii="Arial" w:eastAsia="Times New Roman" w:hAnsi="Arial" w:cs="Arial"/>
          <w:bCs/>
          <w:iCs/>
          <w:caps/>
          <w:kern w:val="2"/>
          <w:sz w:val="24"/>
          <w:szCs w:val="24"/>
          <w:lang w:val="es-ES_tradnl" w:eastAsia="es-ES"/>
        </w:rPr>
        <w:t>**********</w:t>
      </w:r>
      <w:r w:rsidR="0043085C">
        <w:rPr>
          <w:rFonts w:ascii="Arial" w:hAnsi="Arial" w:cs="Arial"/>
          <w:sz w:val="24"/>
          <w:szCs w:val="24"/>
        </w:rPr>
        <w:t xml:space="preserve">, por el </w:t>
      </w:r>
      <w:r w:rsidR="000E0AFC" w:rsidRPr="000E0AFC">
        <w:rPr>
          <w:rFonts w:ascii="Arial" w:hAnsi="Arial" w:cs="Arial"/>
          <w:b/>
          <w:sz w:val="24"/>
          <w:szCs w:val="24"/>
        </w:rPr>
        <w:t>FISCAL GENERAL DEL ESTADO DE OAXACA</w:t>
      </w:r>
      <w:r w:rsidR="0043085C">
        <w:rPr>
          <w:rFonts w:ascii="Arial" w:hAnsi="Arial" w:cs="Arial"/>
          <w:sz w:val="24"/>
          <w:szCs w:val="24"/>
        </w:rPr>
        <w:t xml:space="preserve"> y el </w:t>
      </w:r>
      <w:r w:rsidR="000E0AFC" w:rsidRPr="000E0AFC">
        <w:rPr>
          <w:rFonts w:ascii="Arial" w:hAnsi="Arial" w:cs="Arial"/>
          <w:b/>
          <w:sz w:val="24"/>
          <w:szCs w:val="24"/>
        </w:rPr>
        <w:t>SECRETARIO MINISTERIAL DE LA MESA CUATRO ADSCRITA A LA VISITADURÍA GENERAL DEL ESTADO</w:t>
      </w:r>
      <w:r w:rsidR="0043085C">
        <w:rPr>
          <w:rFonts w:ascii="Arial" w:hAnsi="Arial" w:cs="Arial"/>
          <w:sz w:val="24"/>
          <w:szCs w:val="24"/>
        </w:rPr>
        <w:t xml:space="preserve">, y; - - - - - - - - - - - - - - - </w:t>
      </w:r>
      <w:r w:rsidR="00FE2C5F">
        <w:rPr>
          <w:rFonts w:ascii="Arial" w:hAnsi="Arial" w:cs="Arial"/>
          <w:sz w:val="24"/>
          <w:szCs w:val="24"/>
        </w:rPr>
        <w:t>- - - - - - - - - - - - - - - - - - - - - - - - - - - - - - - - - - - -</w:t>
      </w:r>
    </w:p>
    <w:p w14:paraId="1D264C34" w14:textId="711D7D68" w:rsidR="000802F9" w:rsidRDefault="00D0436D" w:rsidP="000802F9">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61462946" w14:textId="0AB5A036"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D96257">
        <w:rPr>
          <w:rFonts w:ascii="Arial" w:eastAsia="Times New Roman" w:hAnsi="Arial" w:cs="Arial"/>
          <w:sz w:val="24"/>
          <w:szCs w:val="24"/>
          <w:lang w:val="es-ES" w:eastAsia="es-ES"/>
        </w:rPr>
        <w:t xml:space="preserve">Por auto de </w:t>
      </w:r>
      <w:r w:rsidR="0043085C">
        <w:rPr>
          <w:rFonts w:ascii="Arial" w:eastAsia="Times New Roman" w:hAnsi="Arial" w:cs="Arial"/>
          <w:sz w:val="24"/>
          <w:szCs w:val="24"/>
          <w:lang w:val="es-ES" w:eastAsia="es-ES"/>
        </w:rPr>
        <w:t xml:space="preserve">once de marzo de dos mil veinte, </w:t>
      </w:r>
      <w:r w:rsidR="007664FA" w:rsidRPr="004A05A4">
        <w:rPr>
          <w:rFonts w:ascii="Arial" w:eastAsia="Times New Roman" w:hAnsi="Arial" w:cs="Arial"/>
          <w:b/>
          <w:sz w:val="24"/>
          <w:szCs w:val="24"/>
          <w:lang w:val="es-ES" w:eastAsia="es-ES"/>
        </w:rPr>
        <w:t>se admitió</w:t>
      </w:r>
      <w:r w:rsidR="007664FA" w:rsidRPr="000F1C72">
        <w:rPr>
          <w:rFonts w:ascii="Arial" w:eastAsia="Times New Roman" w:hAnsi="Arial" w:cs="Arial"/>
          <w:b/>
          <w:sz w:val="24"/>
          <w:szCs w:val="24"/>
          <w:lang w:val="es-ES" w:eastAsia="es-ES"/>
        </w:rPr>
        <w:t xml:space="preserve"> a trámite la demanda</w:t>
      </w:r>
      <w:r w:rsidR="007664FA">
        <w:rPr>
          <w:rFonts w:ascii="Arial" w:eastAsia="Times New Roman" w:hAnsi="Arial" w:cs="Arial"/>
          <w:b/>
          <w:sz w:val="24"/>
          <w:szCs w:val="24"/>
          <w:lang w:val="es-ES" w:eastAsia="es-ES"/>
        </w:rPr>
        <w:t xml:space="preserve"> de nulidad</w:t>
      </w:r>
      <w:r w:rsidR="00D0436D">
        <w:rPr>
          <w:rFonts w:ascii="Arial" w:eastAsia="Times New Roman" w:hAnsi="Arial" w:cs="Arial"/>
          <w:b/>
          <w:sz w:val="24"/>
          <w:szCs w:val="24"/>
          <w:lang w:val="es-ES" w:eastAsia="es-ES"/>
        </w:rPr>
        <w:t xml:space="preserve"> </w:t>
      </w:r>
      <w:r w:rsidR="00D0436D">
        <w:rPr>
          <w:rFonts w:ascii="Arial" w:eastAsia="Times New Roman" w:hAnsi="Arial" w:cs="Arial"/>
          <w:sz w:val="24"/>
          <w:szCs w:val="24"/>
          <w:lang w:val="es-ES" w:eastAsia="es-ES"/>
        </w:rPr>
        <w:t>del actor</w:t>
      </w:r>
      <w:r w:rsidR="00022A3D">
        <w:rPr>
          <w:rFonts w:ascii="Arial" w:eastAsia="Times New Roman" w:hAnsi="Arial" w:cs="Arial"/>
          <w:b/>
          <w:sz w:val="24"/>
          <w:szCs w:val="24"/>
          <w:lang w:val="es-ES" w:eastAsia="es-ES"/>
        </w:rPr>
        <w:t>,</w:t>
      </w:r>
      <w:r w:rsidR="007664FA" w:rsidRPr="000F1C72">
        <w:rPr>
          <w:rFonts w:ascii="Arial" w:eastAsia="Times New Roman" w:hAnsi="Arial" w:cs="Arial"/>
          <w:sz w:val="24"/>
          <w:szCs w:val="24"/>
          <w:lang w:val="es-ES" w:eastAsia="es-ES"/>
        </w:rPr>
        <w:t xml:space="preserve"> ordenándose </w:t>
      </w:r>
      <w:r w:rsidR="007664FA" w:rsidRPr="000F1C72">
        <w:rPr>
          <w:rFonts w:ascii="Arial" w:eastAsia="Times New Roman" w:hAnsi="Arial" w:cs="Arial"/>
          <w:sz w:val="24"/>
          <w:szCs w:val="24"/>
          <w:lang w:val="es-ES_tradnl" w:eastAsia="es-ES"/>
        </w:rPr>
        <w:t>notificar, emplazar y correr traslado a la</w:t>
      </w:r>
      <w:r w:rsidR="009B3734">
        <w:rPr>
          <w:rFonts w:ascii="Arial" w:eastAsia="Times New Roman" w:hAnsi="Arial" w:cs="Arial"/>
          <w:sz w:val="24"/>
          <w:szCs w:val="24"/>
          <w:lang w:val="es-ES_tradnl" w:eastAsia="es-ES"/>
        </w:rPr>
        <w:t>s</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w:t>
      </w:r>
      <w:r w:rsidR="009B3734">
        <w:rPr>
          <w:rFonts w:ascii="Arial" w:eastAsia="Times New Roman" w:hAnsi="Arial" w:cs="Arial"/>
          <w:b/>
          <w:sz w:val="24"/>
          <w:szCs w:val="24"/>
          <w:lang w:val="es-ES_tradnl" w:eastAsia="es-ES"/>
        </w:rPr>
        <w:t>es</w:t>
      </w:r>
      <w:r w:rsidR="007664FA">
        <w:rPr>
          <w:rFonts w:ascii="Arial" w:eastAsia="Times New Roman" w:hAnsi="Arial" w:cs="Arial"/>
          <w:b/>
          <w:sz w:val="24"/>
          <w:szCs w:val="24"/>
          <w:lang w:val="es-ES_tradnl" w:eastAsia="es-ES"/>
        </w:rPr>
        <w:t xml:space="preserve"> demandada</w:t>
      </w:r>
      <w:r w:rsidR="009B3734">
        <w:rPr>
          <w:rFonts w:ascii="Arial" w:eastAsia="Times New Roman" w:hAnsi="Arial" w:cs="Arial"/>
          <w:b/>
          <w:sz w:val="24"/>
          <w:szCs w:val="24"/>
          <w:lang w:val="es-ES_tradnl" w:eastAsia="es-ES"/>
        </w:rPr>
        <w:t>s</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9B3734">
        <w:rPr>
          <w:rFonts w:ascii="Arial" w:eastAsia="Times New Roman" w:hAnsi="Arial" w:cs="Arial"/>
          <w:sz w:val="24"/>
          <w:szCs w:val="24"/>
          <w:lang w:val="es-ES_tradnl" w:eastAsia="es-ES"/>
        </w:rPr>
        <w:t xml:space="preserve">les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9B3734">
        <w:rPr>
          <w:rFonts w:ascii="Arial" w:eastAsia="Times New Roman" w:hAnsi="Arial" w:cs="Arial"/>
          <w:sz w:val="24"/>
          <w:szCs w:val="24"/>
          <w:lang w:val="es-ES_tradnl" w:eastAsia="es-ES"/>
        </w:rPr>
        <w:t xml:space="preserve">43 </w:t>
      </w:r>
      <w:r w:rsidR="00124111">
        <w:rPr>
          <w:rFonts w:ascii="Arial" w:eastAsia="Times New Roman" w:hAnsi="Arial" w:cs="Arial"/>
          <w:sz w:val="24"/>
          <w:szCs w:val="24"/>
          <w:lang w:val="es-ES_tradnl" w:eastAsia="es-ES"/>
        </w:rPr>
        <w:t xml:space="preserve">y </w:t>
      </w:r>
      <w:r w:rsidR="009B3734">
        <w:rPr>
          <w:rFonts w:ascii="Arial" w:eastAsia="Times New Roman" w:hAnsi="Arial" w:cs="Arial"/>
          <w:sz w:val="24"/>
          <w:szCs w:val="24"/>
          <w:lang w:val="es-ES_tradnl" w:eastAsia="es-ES"/>
        </w:rPr>
        <w:t>44</w:t>
      </w:r>
      <w:r w:rsidR="00552029">
        <w:rPr>
          <w:rFonts w:ascii="Arial" w:eastAsia="Times New Roman" w:hAnsi="Arial" w:cs="Arial"/>
          <w:sz w:val="24"/>
          <w:szCs w:val="24"/>
          <w:lang w:val="es-ES_tradnl" w:eastAsia="es-ES"/>
        </w:rPr>
        <w:t>).</w:t>
      </w:r>
    </w:p>
    <w:p w14:paraId="5BAA6015" w14:textId="57D6A753" w:rsidR="000802F9" w:rsidRPr="0013357B" w:rsidRDefault="00C94935" w:rsidP="0013357B">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eído de</w:t>
      </w:r>
      <w:r w:rsidR="00552029">
        <w:rPr>
          <w:rFonts w:ascii="Arial" w:eastAsia="Times New Roman" w:hAnsi="Arial" w:cs="Arial"/>
          <w:sz w:val="24"/>
          <w:szCs w:val="24"/>
          <w:lang w:val="es-ES" w:eastAsia="es-ES"/>
        </w:rPr>
        <w:t xml:space="preserve"> </w:t>
      </w:r>
      <w:r w:rsidR="0013357B">
        <w:rPr>
          <w:rFonts w:ascii="Arial" w:eastAsia="Times New Roman" w:hAnsi="Arial" w:cs="Arial"/>
          <w:sz w:val="24"/>
          <w:szCs w:val="24"/>
          <w:lang w:val="es-ES" w:eastAsia="es-ES"/>
        </w:rPr>
        <w:t>siete de diciembre</w:t>
      </w:r>
      <w:r w:rsidR="00555E6B">
        <w:rPr>
          <w:rFonts w:ascii="Arial" w:eastAsia="Times New Roman" w:hAnsi="Arial" w:cs="Arial"/>
          <w:sz w:val="24"/>
          <w:szCs w:val="24"/>
          <w:lang w:val="es-ES" w:eastAsia="es-ES"/>
        </w:rPr>
        <w:t xml:space="preserve"> </w:t>
      </w:r>
      <w:r w:rsidR="00E41841">
        <w:rPr>
          <w:rFonts w:ascii="Arial" w:eastAsia="Times New Roman" w:hAnsi="Arial" w:cs="Arial"/>
          <w:sz w:val="24"/>
          <w:szCs w:val="24"/>
          <w:lang w:val="es-ES" w:eastAsia="es-ES"/>
        </w:rPr>
        <w:t xml:space="preserve">de dos mil veinte, </w:t>
      </w:r>
      <w:r w:rsidR="00D0436D">
        <w:rPr>
          <w:rFonts w:ascii="Arial" w:eastAsia="Times New Roman" w:hAnsi="Arial" w:cs="Arial"/>
          <w:sz w:val="24"/>
          <w:szCs w:val="24"/>
          <w:lang w:val="es-ES" w:eastAsia="es-ES"/>
        </w:rPr>
        <w:t>el</w:t>
      </w:r>
      <w:r w:rsidR="003745ED">
        <w:rPr>
          <w:rFonts w:ascii="Arial" w:eastAsia="Times New Roman" w:hAnsi="Arial" w:cs="Arial"/>
          <w:sz w:val="24"/>
          <w:szCs w:val="24"/>
          <w:lang w:val="es-ES" w:eastAsia="es-ES"/>
        </w:rPr>
        <w:t xml:space="preserve"> Director de Asuntos Jurídicos de la Fiscalía General del Estado, </w:t>
      </w:r>
      <w:r w:rsidR="00755110">
        <w:rPr>
          <w:rFonts w:ascii="Arial" w:hAnsi="Arial" w:cs="Arial"/>
          <w:b/>
          <w:sz w:val="24"/>
          <w:szCs w:val="24"/>
        </w:rPr>
        <w:t>contestó</w:t>
      </w:r>
      <w:r w:rsidR="000E689C">
        <w:rPr>
          <w:rFonts w:ascii="Arial" w:hAnsi="Arial" w:cs="Arial"/>
          <w:b/>
          <w:sz w:val="24"/>
          <w:szCs w:val="24"/>
        </w:rPr>
        <w:t xml:space="preserve"> la demanda de nulidad de la parte actora</w:t>
      </w:r>
      <w:r w:rsidR="00E3495D">
        <w:rPr>
          <w:rFonts w:ascii="Arial" w:eastAsia="Times New Roman" w:hAnsi="Arial" w:cs="Arial"/>
          <w:sz w:val="24"/>
          <w:szCs w:val="24"/>
          <w:lang w:val="es-ES" w:eastAsia="es-ES"/>
        </w:rPr>
        <w:t>,</w:t>
      </w:r>
      <w:r w:rsidR="0013357B">
        <w:rPr>
          <w:rFonts w:ascii="Arial" w:eastAsia="Times New Roman" w:hAnsi="Arial" w:cs="Arial"/>
          <w:sz w:val="24"/>
          <w:szCs w:val="24"/>
          <w:lang w:val="es-ES" w:eastAsia="es-ES"/>
        </w:rPr>
        <w:t xml:space="preserve"> en representación del </w:t>
      </w:r>
      <w:r w:rsidR="0013357B">
        <w:rPr>
          <w:rFonts w:ascii="Arial" w:eastAsia="Times New Roman" w:hAnsi="Arial" w:cs="Arial"/>
          <w:b/>
          <w:sz w:val="24"/>
          <w:szCs w:val="24"/>
          <w:lang w:val="es-ES" w:eastAsia="es-ES"/>
        </w:rPr>
        <w:t>Fiscal General del Estado de Oaxaca</w:t>
      </w:r>
      <w:r w:rsidR="00E3495D">
        <w:rPr>
          <w:rFonts w:ascii="Arial" w:eastAsia="Times New Roman" w:hAnsi="Arial" w:cs="Arial"/>
          <w:sz w:val="24"/>
          <w:szCs w:val="23"/>
          <w:lang w:val="es-ES" w:eastAsia="es-ES"/>
        </w:rPr>
        <w:t xml:space="preserve">, </w:t>
      </w:r>
      <w:r w:rsidR="00E4496F">
        <w:rPr>
          <w:rFonts w:ascii="Arial" w:eastAsia="Times New Roman" w:hAnsi="Arial" w:cs="Arial"/>
          <w:sz w:val="24"/>
          <w:szCs w:val="23"/>
          <w:lang w:val="es-ES" w:eastAsia="es-ES"/>
        </w:rPr>
        <w:t>(foja</w:t>
      </w:r>
      <w:r w:rsidR="00E3495D">
        <w:rPr>
          <w:rFonts w:ascii="Arial" w:eastAsia="Times New Roman" w:hAnsi="Arial" w:cs="Arial"/>
          <w:sz w:val="24"/>
          <w:szCs w:val="23"/>
          <w:lang w:val="es-ES" w:eastAsia="es-ES"/>
        </w:rPr>
        <w:t>s</w:t>
      </w:r>
      <w:r w:rsidR="00E4496F">
        <w:rPr>
          <w:rFonts w:ascii="Arial" w:eastAsia="Times New Roman" w:hAnsi="Arial" w:cs="Arial"/>
          <w:sz w:val="24"/>
          <w:szCs w:val="23"/>
          <w:lang w:val="es-ES" w:eastAsia="es-ES"/>
        </w:rPr>
        <w:t xml:space="preserve"> </w:t>
      </w:r>
      <w:r w:rsidR="00ED01B6">
        <w:rPr>
          <w:rFonts w:ascii="Arial" w:eastAsia="Times New Roman" w:hAnsi="Arial" w:cs="Arial"/>
          <w:sz w:val="24"/>
          <w:szCs w:val="23"/>
          <w:lang w:val="es-ES" w:eastAsia="es-ES"/>
        </w:rPr>
        <w:t>61 y 62</w:t>
      </w:r>
      <w:r w:rsidR="000802F9" w:rsidRPr="00381808">
        <w:rPr>
          <w:rFonts w:ascii="Arial" w:eastAsia="Times New Roman" w:hAnsi="Arial" w:cs="Arial"/>
          <w:sz w:val="24"/>
          <w:szCs w:val="23"/>
          <w:lang w:val="es-ES" w:eastAsia="es-ES"/>
        </w:rPr>
        <w:t>).</w:t>
      </w:r>
    </w:p>
    <w:p w14:paraId="3234F6EC" w14:textId="74CFF4C1" w:rsidR="005722AA" w:rsidRDefault="00A06D6A" w:rsidP="00E3495D">
      <w:pPr>
        <w:spacing w:line="360" w:lineRule="auto"/>
        <w:ind w:right="51" w:firstLine="567"/>
        <w:jc w:val="both"/>
        <w:rPr>
          <w:rFonts w:ascii="Arial" w:eastAsia="Times New Roman" w:hAnsi="Arial" w:cs="Arial"/>
          <w:snapToGrid w:val="0"/>
          <w:sz w:val="24"/>
          <w:szCs w:val="24"/>
          <w:lang w:val="es-ES_tradnl" w:eastAsia="es-ES"/>
        </w:rPr>
      </w:pPr>
      <w:r>
        <w:rPr>
          <w:rFonts w:ascii="Arial" w:hAnsi="Arial" w:cs="Arial"/>
          <w:b/>
          <w:sz w:val="24"/>
          <w:szCs w:val="24"/>
          <w:lang w:val="es-ES"/>
        </w:rPr>
        <w:t>TERCERO</w:t>
      </w:r>
      <w:r w:rsidR="00552029" w:rsidRPr="00381808">
        <w:rPr>
          <w:rFonts w:ascii="Arial" w:hAnsi="Arial" w:cs="Arial"/>
          <w:b/>
          <w:sz w:val="24"/>
          <w:szCs w:val="24"/>
          <w:lang w:val="es-ES"/>
        </w:rPr>
        <w:t>.</w:t>
      </w:r>
      <w:r w:rsidR="000802F9">
        <w:rPr>
          <w:rFonts w:ascii="Arial" w:hAnsi="Arial" w:cs="Arial"/>
          <w:sz w:val="24"/>
          <w:szCs w:val="24"/>
          <w:lang w:val="es-ES"/>
        </w:rPr>
        <w:t xml:space="preserve"> </w:t>
      </w:r>
      <w:r w:rsidR="000802F9" w:rsidRPr="00C848C3">
        <w:rPr>
          <w:rFonts w:ascii="Arial" w:hAnsi="Arial" w:cs="Arial"/>
          <w:sz w:val="24"/>
          <w:szCs w:val="24"/>
        </w:rPr>
        <w:t>El</w:t>
      </w:r>
      <w:r w:rsidR="000802F9">
        <w:rPr>
          <w:rFonts w:ascii="Arial" w:hAnsi="Arial" w:cs="Arial"/>
          <w:sz w:val="24"/>
          <w:szCs w:val="24"/>
        </w:rPr>
        <w:t xml:space="preserve"> </w:t>
      </w:r>
      <w:r w:rsidR="00614809">
        <w:rPr>
          <w:rFonts w:ascii="Arial" w:hAnsi="Arial" w:cs="Arial"/>
          <w:sz w:val="24"/>
          <w:szCs w:val="24"/>
        </w:rPr>
        <w:t xml:space="preserve">quince de febrero </w:t>
      </w:r>
      <w:r w:rsidR="0013357B">
        <w:rPr>
          <w:rFonts w:ascii="Arial" w:hAnsi="Arial" w:cs="Arial"/>
          <w:sz w:val="24"/>
          <w:szCs w:val="24"/>
        </w:rPr>
        <w:t>de dos mil veintiuno</w:t>
      </w:r>
      <w:r w:rsidR="00816435">
        <w:rPr>
          <w:rFonts w:ascii="Arial" w:hAnsi="Arial" w:cs="Arial"/>
          <w:sz w:val="24"/>
          <w:szCs w:val="24"/>
        </w:rPr>
        <w:t>, se le hizo del conocimiento a la partes, que mediante</w:t>
      </w:r>
      <w:r w:rsidR="005722AA">
        <w:rPr>
          <w:rFonts w:ascii="Arial" w:eastAsia="Times New Roman" w:hAnsi="Arial" w:cs="Arial"/>
          <w:snapToGrid w:val="0"/>
          <w:sz w:val="24"/>
          <w:szCs w:val="24"/>
          <w:lang w:val="es-ES_tradnl" w:eastAsia="es-ES"/>
        </w:rPr>
        <w:t xml:space="preserve"> Acuerdos Generales AG/TJAO/1/2021, AG/TJAO/2/2021, AG/TJAO/3/2021, AG/TJAO/4/2021, </w:t>
      </w:r>
      <w:r w:rsidR="00AD5212">
        <w:rPr>
          <w:rFonts w:ascii="Arial" w:eastAsia="Times New Roman" w:hAnsi="Arial" w:cs="Arial"/>
          <w:snapToGrid w:val="0"/>
          <w:sz w:val="24"/>
          <w:szCs w:val="24"/>
          <w:lang w:val="es-ES_tradnl" w:eastAsia="es-ES"/>
        </w:rPr>
        <w:t>se ordenó la suspensión y prórroga de las labores de este Tribunal del cinco al quince de enero, del dieciocho al veintinueve de enero, uno y del dos al doce de febrero d</w:t>
      </w:r>
      <w:r w:rsidR="00816435">
        <w:rPr>
          <w:rFonts w:ascii="Arial" w:eastAsia="Times New Roman" w:hAnsi="Arial" w:cs="Arial"/>
          <w:snapToGrid w:val="0"/>
          <w:sz w:val="24"/>
          <w:szCs w:val="24"/>
          <w:lang w:val="es-ES_tradnl" w:eastAsia="es-ES"/>
        </w:rPr>
        <w:t xml:space="preserve">e dos mil veintiuno, </w:t>
      </w:r>
      <w:r w:rsidR="00D0436D">
        <w:rPr>
          <w:rFonts w:ascii="Arial" w:eastAsia="Times New Roman" w:hAnsi="Arial" w:cs="Arial"/>
          <w:snapToGrid w:val="0"/>
          <w:sz w:val="24"/>
          <w:szCs w:val="24"/>
          <w:lang w:val="es-ES_tradnl" w:eastAsia="es-ES"/>
        </w:rPr>
        <w:t xml:space="preserve">con motivo de la emergencia sanitaria ocasionada por el virus SARS-CoV2 (COVID-19) </w:t>
      </w:r>
      <w:r w:rsidR="00816435">
        <w:rPr>
          <w:rFonts w:ascii="Arial" w:eastAsia="Times New Roman" w:hAnsi="Arial" w:cs="Arial"/>
          <w:snapToGrid w:val="0"/>
          <w:sz w:val="24"/>
          <w:szCs w:val="24"/>
          <w:lang w:val="es-ES_tradnl" w:eastAsia="es-ES"/>
        </w:rPr>
        <w:t xml:space="preserve">por lo que, </w:t>
      </w:r>
      <w:r w:rsidR="00AD5212">
        <w:rPr>
          <w:rFonts w:ascii="Arial" w:eastAsia="Times New Roman" w:hAnsi="Arial" w:cs="Arial"/>
          <w:snapToGrid w:val="0"/>
          <w:sz w:val="24"/>
          <w:szCs w:val="24"/>
          <w:lang w:val="es-ES_tradnl" w:eastAsia="es-ES"/>
        </w:rPr>
        <w:t xml:space="preserve">se ordenó </w:t>
      </w:r>
      <w:r w:rsidR="00AD5212">
        <w:rPr>
          <w:rFonts w:ascii="Arial" w:eastAsia="Times New Roman" w:hAnsi="Arial" w:cs="Arial"/>
          <w:b/>
          <w:snapToGrid w:val="0"/>
          <w:sz w:val="24"/>
          <w:szCs w:val="24"/>
          <w:lang w:val="es-ES_tradnl" w:eastAsia="es-ES"/>
        </w:rPr>
        <w:t xml:space="preserve">regularizar el procedimiento </w:t>
      </w:r>
      <w:r w:rsidR="00816435">
        <w:rPr>
          <w:rFonts w:ascii="Arial" w:eastAsia="Times New Roman" w:hAnsi="Arial" w:cs="Arial"/>
          <w:snapToGrid w:val="0"/>
          <w:sz w:val="24"/>
          <w:szCs w:val="24"/>
          <w:lang w:val="es-ES_tradnl" w:eastAsia="es-ES"/>
        </w:rPr>
        <w:t xml:space="preserve">y señaló </w:t>
      </w:r>
      <w:r w:rsidR="008B7143">
        <w:rPr>
          <w:rFonts w:ascii="Arial" w:eastAsia="Times New Roman" w:hAnsi="Arial" w:cs="Arial"/>
          <w:snapToGrid w:val="0"/>
          <w:sz w:val="24"/>
          <w:szCs w:val="24"/>
          <w:lang w:val="es-ES_tradnl" w:eastAsia="es-ES"/>
        </w:rPr>
        <w:t xml:space="preserve">hora y fecha para que tuviera verificativo la audiencia de Ley (foja 63). </w:t>
      </w:r>
    </w:p>
    <w:p w14:paraId="3EC7E79E" w14:textId="77777777" w:rsidR="00D10E7A" w:rsidRDefault="008B7143" w:rsidP="00E3495D">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CUARTO. </w:t>
      </w:r>
      <w:r w:rsidRPr="00175DDE">
        <w:rPr>
          <w:rFonts w:ascii="Arial" w:eastAsia="Times New Roman" w:hAnsi="Arial" w:cs="Arial"/>
          <w:snapToGrid w:val="0"/>
          <w:sz w:val="24"/>
          <w:szCs w:val="24"/>
          <w:lang w:val="es-ES_tradnl" w:eastAsia="es-ES"/>
        </w:rPr>
        <w:t>El dos de marzo de</w:t>
      </w:r>
      <w:r w:rsidR="00175DDE" w:rsidRPr="00175DDE">
        <w:rPr>
          <w:rFonts w:ascii="Arial" w:eastAsia="Times New Roman" w:hAnsi="Arial" w:cs="Arial"/>
          <w:snapToGrid w:val="0"/>
          <w:sz w:val="24"/>
          <w:szCs w:val="24"/>
          <w:lang w:val="es-ES_tradnl" w:eastAsia="es-ES"/>
        </w:rPr>
        <w:t xml:space="preserve"> dos mil veintiuno</w:t>
      </w:r>
      <w:r w:rsidRPr="00175DDE">
        <w:rPr>
          <w:rFonts w:ascii="Arial" w:eastAsia="Times New Roman" w:hAnsi="Arial" w:cs="Arial"/>
          <w:snapToGrid w:val="0"/>
          <w:sz w:val="24"/>
          <w:szCs w:val="24"/>
          <w:lang w:val="es-ES_tradnl" w:eastAsia="es-ES"/>
        </w:rPr>
        <w:t xml:space="preserve">, </w:t>
      </w:r>
      <w:r w:rsidR="00D0436D">
        <w:rPr>
          <w:rFonts w:ascii="Arial" w:eastAsia="Times New Roman" w:hAnsi="Arial" w:cs="Arial"/>
          <w:snapToGrid w:val="0"/>
          <w:sz w:val="24"/>
          <w:szCs w:val="24"/>
          <w:lang w:val="es-ES_tradnl" w:eastAsia="es-ES"/>
        </w:rPr>
        <w:t>se suspendió la audiencia de</w:t>
      </w:r>
      <w:r w:rsidR="00DB74AF">
        <w:rPr>
          <w:rFonts w:ascii="Arial" w:eastAsia="Times New Roman" w:hAnsi="Arial" w:cs="Arial"/>
          <w:snapToGrid w:val="0"/>
          <w:sz w:val="24"/>
          <w:szCs w:val="24"/>
          <w:lang w:val="es-ES_tradnl" w:eastAsia="es-ES"/>
        </w:rPr>
        <w:t xml:space="preserve"> ley señalada para esa fecha, </w:t>
      </w:r>
      <w:r w:rsidR="00D0436D">
        <w:rPr>
          <w:rFonts w:ascii="Arial" w:eastAsia="Times New Roman" w:hAnsi="Arial" w:cs="Arial"/>
          <w:snapToGrid w:val="0"/>
          <w:sz w:val="24"/>
          <w:szCs w:val="24"/>
          <w:lang w:val="es-ES_tradnl" w:eastAsia="es-ES"/>
        </w:rPr>
        <w:t xml:space="preserve">se ordenó correr traslado </w:t>
      </w:r>
      <w:r w:rsidR="00DB74AF">
        <w:rPr>
          <w:rFonts w:ascii="Arial" w:eastAsia="Times New Roman" w:hAnsi="Arial" w:cs="Arial"/>
          <w:snapToGrid w:val="0"/>
          <w:sz w:val="24"/>
          <w:szCs w:val="24"/>
          <w:lang w:val="es-ES_tradnl" w:eastAsia="es-ES"/>
        </w:rPr>
        <w:t xml:space="preserve">a la parte actora con la contestación de la demanda de la autoridad demandada, y se le concedió el </w:t>
      </w:r>
      <w:r w:rsidR="00DB74AF">
        <w:rPr>
          <w:rFonts w:ascii="Arial" w:eastAsia="Times New Roman" w:hAnsi="Arial" w:cs="Arial"/>
          <w:snapToGrid w:val="0"/>
          <w:sz w:val="24"/>
          <w:szCs w:val="24"/>
          <w:lang w:val="es-ES_tradnl" w:eastAsia="es-ES"/>
        </w:rPr>
        <w:lastRenderedPageBreak/>
        <w:t xml:space="preserve">terminó de cinco días hábiles realizara la </w:t>
      </w:r>
      <w:r w:rsidR="00DB74AF">
        <w:rPr>
          <w:rFonts w:ascii="Arial" w:eastAsia="Times New Roman" w:hAnsi="Arial" w:cs="Arial"/>
          <w:b/>
          <w:snapToGrid w:val="0"/>
          <w:sz w:val="24"/>
          <w:szCs w:val="24"/>
          <w:lang w:val="es-ES_tradnl" w:eastAsia="es-ES"/>
        </w:rPr>
        <w:t>ampliación de su demanda de nulidad</w:t>
      </w:r>
      <w:r w:rsidR="00DB74AF">
        <w:rPr>
          <w:rFonts w:ascii="Arial" w:eastAsia="Times New Roman" w:hAnsi="Arial" w:cs="Arial"/>
          <w:snapToGrid w:val="0"/>
          <w:sz w:val="24"/>
          <w:szCs w:val="24"/>
          <w:lang w:val="es-ES_tradnl" w:eastAsia="es-ES"/>
        </w:rPr>
        <w:t xml:space="preserve">, con el apercibimiento que en caso de omisión </w:t>
      </w:r>
      <w:r w:rsidR="00D10E7A">
        <w:rPr>
          <w:rFonts w:ascii="Arial" w:eastAsia="Times New Roman" w:hAnsi="Arial" w:cs="Arial"/>
          <w:snapToGrid w:val="0"/>
          <w:sz w:val="24"/>
          <w:szCs w:val="24"/>
          <w:lang w:val="es-ES_tradnl" w:eastAsia="es-ES"/>
        </w:rPr>
        <w:t>se declararía la preclusión de su derecho correspondiente, (foja 67).</w:t>
      </w:r>
    </w:p>
    <w:p w14:paraId="7EB9F5A6" w14:textId="77777777" w:rsidR="00755110" w:rsidRDefault="00D10E7A" w:rsidP="00E3495D">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QUINTO. </w:t>
      </w:r>
      <w:r w:rsidR="009D27EB">
        <w:rPr>
          <w:rFonts w:ascii="Arial" w:eastAsia="Times New Roman" w:hAnsi="Arial" w:cs="Arial"/>
          <w:snapToGrid w:val="0"/>
          <w:sz w:val="24"/>
          <w:szCs w:val="24"/>
          <w:lang w:val="es-ES_tradnl" w:eastAsia="es-ES"/>
        </w:rPr>
        <w:t xml:space="preserve">Por auto de veintiuno de mayo de dos mil veintiuno, </w:t>
      </w:r>
      <w:r w:rsidR="00A5197B">
        <w:rPr>
          <w:rFonts w:ascii="Arial" w:eastAsia="Times New Roman" w:hAnsi="Arial" w:cs="Arial"/>
          <w:snapToGrid w:val="0"/>
          <w:sz w:val="24"/>
          <w:szCs w:val="24"/>
          <w:lang w:val="es-ES_tradnl" w:eastAsia="es-ES"/>
        </w:rPr>
        <w:t xml:space="preserve">se tuvo a la </w:t>
      </w:r>
      <w:r w:rsidR="00A5197B">
        <w:rPr>
          <w:rFonts w:ascii="Arial" w:eastAsia="Times New Roman" w:hAnsi="Arial" w:cs="Arial"/>
          <w:b/>
          <w:snapToGrid w:val="0"/>
          <w:sz w:val="24"/>
          <w:szCs w:val="24"/>
          <w:lang w:val="es-ES_tradnl" w:eastAsia="es-ES"/>
        </w:rPr>
        <w:t xml:space="preserve">parte actora </w:t>
      </w:r>
      <w:r w:rsidR="001D0774">
        <w:rPr>
          <w:rFonts w:ascii="Arial" w:eastAsia="Times New Roman" w:hAnsi="Arial" w:cs="Arial"/>
          <w:snapToGrid w:val="0"/>
          <w:sz w:val="24"/>
          <w:szCs w:val="24"/>
          <w:lang w:val="es-ES_tradnl" w:eastAsia="es-ES"/>
        </w:rPr>
        <w:t xml:space="preserve">realizando la </w:t>
      </w:r>
      <w:r w:rsidR="001D0774">
        <w:rPr>
          <w:rFonts w:ascii="Arial" w:eastAsia="Times New Roman" w:hAnsi="Arial" w:cs="Arial"/>
          <w:b/>
          <w:snapToGrid w:val="0"/>
          <w:sz w:val="24"/>
          <w:szCs w:val="24"/>
          <w:lang w:val="es-ES_tradnl" w:eastAsia="es-ES"/>
        </w:rPr>
        <w:t xml:space="preserve">ampliación de su demanda de nulidad </w:t>
      </w:r>
      <w:r w:rsidR="001D0774">
        <w:rPr>
          <w:rFonts w:ascii="Arial" w:eastAsia="Times New Roman" w:hAnsi="Arial" w:cs="Arial"/>
          <w:snapToGrid w:val="0"/>
          <w:sz w:val="24"/>
          <w:szCs w:val="24"/>
          <w:lang w:val="es-ES_tradnl" w:eastAsia="es-ES"/>
        </w:rPr>
        <w:t xml:space="preserve">por lo que, se ordenó correr traslado a las autoridades demandadas para que </w:t>
      </w:r>
      <w:r w:rsidR="00755110">
        <w:rPr>
          <w:rFonts w:ascii="Arial" w:eastAsia="Times New Roman" w:hAnsi="Arial" w:cs="Arial"/>
          <w:snapToGrid w:val="0"/>
          <w:sz w:val="24"/>
          <w:szCs w:val="24"/>
          <w:lang w:val="es-ES_tradnl" w:eastAsia="es-ES"/>
        </w:rPr>
        <w:t>realizaran su contestación, apercibiéndolas que en caso de omisión se declararía la preclusión de su derecho correspondiente (foja 89).</w:t>
      </w:r>
    </w:p>
    <w:p w14:paraId="19FCD5EF" w14:textId="768BD65F" w:rsidR="00D0436D" w:rsidRDefault="00755110" w:rsidP="00E3495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napToGrid w:val="0"/>
          <w:sz w:val="24"/>
          <w:szCs w:val="24"/>
          <w:lang w:val="es-ES_tradnl" w:eastAsia="es-ES"/>
        </w:rPr>
        <w:t xml:space="preserve">SEXTO. </w:t>
      </w:r>
      <w:r>
        <w:rPr>
          <w:rFonts w:ascii="Arial" w:eastAsia="Times New Roman" w:hAnsi="Arial" w:cs="Arial"/>
          <w:snapToGrid w:val="0"/>
          <w:sz w:val="24"/>
          <w:szCs w:val="24"/>
          <w:lang w:val="es-ES_tradnl" w:eastAsia="es-ES"/>
        </w:rPr>
        <w:t xml:space="preserve">Mediante proveído de quince de julio de dos mil veintiuno, el </w:t>
      </w:r>
      <w:r w:rsidR="00DB74AF">
        <w:rPr>
          <w:rFonts w:ascii="Arial" w:eastAsia="Times New Roman" w:hAnsi="Arial" w:cs="Arial"/>
          <w:snapToGrid w:val="0"/>
          <w:sz w:val="24"/>
          <w:szCs w:val="24"/>
          <w:lang w:val="es-ES_tradnl" w:eastAsia="es-ES"/>
        </w:rPr>
        <w:t xml:space="preserve"> </w:t>
      </w:r>
      <w:r>
        <w:rPr>
          <w:rFonts w:ascii="Arial" w:eastAsia="Times New Roman" w:hAnsi="Arial" w:cs="Arial"/>
          <w:sz w:val="24"/>
          <w:szCs w:val="24"/>
          <w:lang w:val="es-ES" w:eastAsia="es-ES"/>
        </w:rPr>
        <w:t xml:space="preserve">Director de Asuntos Jurídicos de la Fiscalía General del Estado, </w:t>
      </w:r>
      <w:r>
        <w:rPr>
          <w:rFonts w:ascii="Arial" w:hAnsi="Arial" w:cs="Arial"/>
          <w:b/>
          <w:sz w:val="24"/>
          <w:szCs w:val="24"/>
        </w:rPr>
        <w:t>contestó la ampliación de demanda de nulidad de la parte actora</w:t>
      </w:r>
      <w:r>
        <w:rPr>
          <w:rFonts w:ascii="Arial" w:eastAsia="Times New Roman" w:hAnsi="Arial" w:cs="Arial"/>
          <w:sz w:val="24"/>
          <w:szCs w:val="24"/>
          <w:lang w:val="es-ES" w:eastAsia="es-ES"/>
        </w:rPr>
        <w:t xml:space="preserve">, en representación del </w:t>
      </w:r>
      <w:r>
        <w:rPr>
          <w:rFonts w:ascii="Arial" w:eastAsia="Times New Roman" w:hAnsi="Arial" w:cs="Arial"/>
          <w:b/>
          <w:sz w:val="24"/>
          <w:szCs w:val="24"/>
          <w:lang w:val="es-ES" w:eastAsia="es-ES"/>
        </w:rPr>
        <w:t>Fiscal General del Estado de Oaxaca</w:t>
      </w:r>
      <w:r>
        <w:rPr>
          <w:rFonts w:ascii="Arial" w:eastAsia="Times New Roman" w:hAnsi="Arial" w:cs="Arial"/>
          <w:sz w:val="24"/>
          <w:szCs w:val="24"/>
          <w:lang w:val="es-ES" w:eastAsia="es-ES"/>
        </w:rPr>
        <w:t>, por lo que se señaló día y hora para la celebración de la audiencia de ley, (foja 94).</w:t>
      </w:r>
    </w:p>
    <w:p w14:paraId="34F187CA" w14:textId="33C714F6" w:rsidR="00FA5F9A" w:rsidRPr="00755110" w:rsidRDefault="00755110" w:rsidP="00755110">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z w:val="24"/>
          <w:szCs w:val="24"/>
          <w:lang w:val="es-ES" w:eastAsia="es-ES"/>
        </w:rPr>
        <w:t xml:space="preserve">SÉPTIMO. </w:t>
      </w:r>
      <w:r>
        <w:rPr>
          <w:rFonts w:ascii="Arial" w:eastAsia="Times New Roman" w:hAnsi="Arial" w:cs="Arial"/>
          <w:sz w:val="24"/>
          <w:szCs w:val="24"/>
          <w:lang w:val="es-ES" w:eastAsia="es-ES"/>
        </w:rPr>
        <w:t xml:space="preserve">El siete de octubre de dos mil veintiuno, </w:t>
      </w:r>
      <w:r w:rsidR="008B7143" w:rsidRPr="00175DDE">
        <w:rPr>
          <w:rFonts w:ascii="Arial" w:eastAsia="Times New Roman" w:hAnsi="Arial" w:cs="Arial"/>
          <w:snapToGrid w:val="0"/>
          <w:sz w:val="24"/>
          <w:szCs w:val="24"/>
          <w:lang w:val="es-ES_tradnl" w:eastAsia="es-ES"/>
        </w:rPr>
        <w:t>se</w:t>
      </w:r>
      <w:r w:rsidR="000802F9" w:rsidRPr="00175DDE">
        <w:rPr>
          <w:rFonts w:ascii="Arial" w:eastAsia="Times New Roman" w:hAnsi="Arial" w:cs="Arial"/>
          <w:snapToGrid w:val="0"/>
          <w:sz w:val="24"/>
          <w:szCs w:val="24"/>
          <w:lang w:val="es-ES_tradnl" w:eastAsia="es-ES"/>
        </w:rPr>
        <w:t xml:space="preserve"> llevó a cabo la Audiencia de Ley, </w:t>
      </w:r>
      <w:r w:rsidR="000802F9" w:rsidRPr="00175DDE">
        <w:rPr>
          <w:rFonts w:ascii="Arial" w:eastAsia="Times New Roman" w:hAnsi="Arial" w:cs="Arial"/>
          <w:sz w:val="24"/>
          <w:szCs w:val="24"/>
          <w:lang w:eastAsia="es-ES"/>
        </w:rPr>
        <w:t xml:space="preserve">en la que no </w:t>
      </w:r>
      <w:r w:rsidR="00E3495D" w:rsidRPr="00175DDE">
        <w:rPr>
          <w:rFonts w:ascii="Arial" w:eastAsia="Times New Roman" w:hAnsi="Arial" w:cs="Arial"/>
          <w:sz w:val="24"/>
          <w:szCs w:val="24"/>
          <w:lang w:eastAsia="es-ES"/>
        </w:rPr>
        <w:t>comparecieron</w:t>
      </w:r>
      <w:r w:rsidR="000802F9" w:rsidRPr="00175DDE">
        <w:rPr>
          <w:rFonts w:ascii="Arial" w:eastAsia="Times New Roman" w:hAnsi="Arial" w:cs="Arial"/>
          <w:sz w:val="24"/>
          <w:szCs w:val="24"/>
          <w:lang w:eastAsia="es-ES"/>
        </w:rPr>
        <w:t xml:space="preserve"> las partes ni persona alguna que legalmente las representara; </w:t>
      </w:r>
      <w:r w:rsidR="00B37299" w:rsidRPr="00175DDE">
        <w:rPr>
          <w:rFonts w:ascii="Arial" w:eastAsia="Times New Roman" w:hAnsi="Arial" w:cs="Arial"/>
          <w:sz w:val="24"/>
          <w:szCs w:val="24"/>
          <w:lang w:eastAsia="es-ES"/>
        </w:rPr>
        <w:t>no se formularon alegatos y</w:t>
      </w:r>
      <w:r w:rsidR="000802F9" w:rsidRPr="00175DDE">
        <w:rPr>
          <w:rFonts w:ascii="Arial" w:eastAsia="Times New Roman" w:hAnsi="Arial" w:cs="Arial"/>
          <w:sz w:val="24"/>
          <w:szCs w:val="24"/>
          <w:lang w:eastAsia="es-ES"/>
        </w:rPr>
        <w:t xml:space="preserve"> </w:t>
      </w:r>
      <w:r w:rsidR="000802F9" w:rsidRPr="00175DDE">
        <w:rPr>
          <w:rFonts w:ascii="Arial" w:eastAsia="Times New Roman" w:hAnsi="Arial" w:cs="Arial"/>
          <w:sz w:val="24"/>
          <w:szCs w:val="24"/>
          <w:lang w:val="es-ES_tradnl" w:eastAsia="es-ES"/>
        </w:rPr>
        <w:t>se citó para oír sentenci</w:t>
      </w:r>
      <w:r w:rsidR="00B37299" w:rsidRPr="00175DDE">
        <w:rPr>
          <w:rFonts w:ascii="Arial" w:eastAsia="Times New Roman" w:hAnsi="Arial" w:cs="Arial"/>
          <w:sz w:val="24"/>
          <w:szCs w:val="24"/>
          <w:lang w:val="es-ES_tradnl" w:eastAsia="es-ES"/>
        </w:rPr>
        <w:t>a</w:t>
      </w:r>
      <w:r w:rsidR="00E3495D" w:rsidRPr="00175DDE">
        <w:rPr>
          <w:rFonts w:ascii="Arial" w:eastAsia="Times New Roman" w:hAnsi="Arial" w:cs="Arial"/>
          <w:sz w:val="24"/>
          <w:szCs w:val="24"/>
          <w:lang w:val="es-ES_tradnl" w:eastAsia="es-ES"/>
        </w:rPr>
        <w:t xml:space="preserve">, misma que ahora se dicta </w:t>
      </w:r>
      <w:r>
        <w:rPr>
          <w:rFonts w:ascii="Arial" w:eastAsia="Times New Roman" w:hAnsi="Arial" w:cs="Arial"/>
          <w:sz w:val="24"/>
          <w:szCs w:val="24"/>
          <w:lang w:val="es-ES_tradnl" w:eastAsia="es-ES"/>
        </w:rPr>
        <w:t>en términos</w:t>
      </w:r>
      <w:r w:rsidR="00E3495D" w:rsidRPr="00175DDE">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w:t>
      </w:r>
      <w:r w:rsidR="00E3495D" w:rsidRPr="00175DDE">
        <w:rPr>
          <w:rFonts w:ascii="Arial" w:eastAsia="Times New Roman" w:hAnsi="Arial" w:cs="Arial"/>
          <w:sz w:val="24"/>
          <w:szCs w:val="24"/>
          <w:lang w:val="es-ES_tradnl" w:eastAsia="es-ES"/>
        </w:rPr>
        <w:t>el artículo 205, de la Ley de Procedimiento y Justicia Administrativa para el Estado</w:t>
      </w:r>
      <w:r w:rsidR="004922E9" w:rsidRPr="00175DDE">
        <w:rPr>
          <w:rFonts w:ascii="Arial" w:hAnsi="Arial" w:cs="Arial"/>
          <w:color w:val="000000"/>
          <w:sz w:val="24"/>
          <w:szCs w:val="24"/>
        </w:rPr>
        <w:t xml:space="preserve">, </w:t>
      </w:r>
      <w:r w:rsidR="001E57CA" w:rsidRPr="00175DDE">
        <w:rPr>
          <w:rFonts w:ascii="Arial" w:hAnsi="Arial" w:cs="Arial"/>
          <w:color w:val="000000"/>
          <w:sz w:val="24"/>
          <w:szCs w:val="24"/>
        </w:rPr>
        <w:t xml:space="preserve">y; - - - - - - - - - - - - - - - - </w:t>
      </w:r>
      <w:r w:rsidR="00E3495D" w:rsidRPr="00175DDE">
        <w:rPr>
          <w:rFonts w:ascii="Arial" w:hAnsi="Arial" w:cs="Arial"/>
          <w:color w:val="000000"/>
          <w:sz w:val="24"/>
          <w:szCs w:val="24"/>
        </w:rPr>
        <w:t xml:space="preserve">- - </w:t>
      </w:r>
    </w:p>
    <w:p w14:paraId="30F311DF"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78016868"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5C111B">
        <w:rPr>
          <w:rFonts w:ascii="Arial" w:eastAsia="Times New Roman" w:hAnsi="Arial" w:cs="Arial"/>
          <w:bCs/>
          <w:sz w:val="24"/>
          <w:szCs w:val="24"/>
          <w:lang w:val="es-ES" w:eastAsia="es-ES"/>
        </w:rPr>
        <w:t>estatal</w:t>
      </w:r>
      <w:r w:rsidR="00F71DEC">
        <w:rPr>
          <w:rFonts w:ascii="Arial" w:eastAsia="Times New Roman" w:hAnsi="Arial" w:cs="Arial"/>
          <w:bCs/>
          <w:sz w:val="24"/>
          <w:szCs w:val="24"/>
          <w:lang w:val="es-ES" w:eastAsia="es-ES"/>
        </w:rPr>
        <w:t xml:space="preserve">, de conformidad con lo dispuesto por el artículo </w:t>
      </w:r>
      <w:r w:rsidR="00816435">
        <w:rPr>
          <w:rFonts w:ascii="Arial" w:eastAsia="Times New Roman" w:hAnsi="Arial" w:cs="Arial"/>
          <w:bCs/>
          <w:sz w:val="24"/>
          <w:szCs w:val="24"/>
          <w:lang w:val="es-ES" w:eastAsia="es-ES"/>
        </w:rPr>
        <w:t xml:space="preserve">115 fracción V de la Constitución Política de los Estados Unidos Mexicanos, artículo </w:t>
      </w:r>
      <w:r w:rsidR="00F71DEC">
        <w:rPr>
          <w:rFonts w:ascii="Arial" w:eastAsia="Times New Roman" w:hAnsi="Arial" w:cs="Arial"/>
          <w:bCs/>
          <w:sz w:val="24"/>
          <w:szCs w:val="24"/>
          <w:lang w:val="es-ES" w:eastAsia="es-ES"/>
        </w:rPr>
        <w:t xml:space="preserve">114 QUÁTER, de </w:t>
      </w:r>
      <w:r w:rsidR="00F71DEC">
        <w:rPr>
          <w:rFonts w:ascii="Arial" w:hAnsi="Arial" w:cs="Arial"/>
          <w:sz w:val="24"/>
          <w:szCs w:val="24"/>
        </w:rPr>
        <w:t>la Constitución Política del Estado Libre y Soberano de Oaxaca, en relación con los artículos 119, 120 fracción IV, 129, 132 fracciones I y II, 133 fracciones I a la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690F5A29" w14:textId="77777777" w:rsidR="00D909BE" w:rsidRPr="00D909BE" w:rsidRDefault="000802F9" w:rsidP="00D909BE">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sidR="00906A3D">
        <w:rPr>
          <w:rFonts w:ascii="Arial" w:eastAsia="Times New Roman" w:hAnsi="Arial" w:cs="Arial"/>
          <w:b/>
          <w:sz w:val="24"/>
          <w:szCs w:val="24"/>
          <w:lang w:val="es-ES_tradnl" w:eastAsia="es-ES"/>
        </w:rPr>
        <w:t>Competencia de la autoridad demandada.</w:t>
      </w:r>
      <w:r w:rsidR="00D909BE" w:rsidRPr="00D909BE">
        <w:rPr>
          <w:rFonts w:ascii="Arial" w:eastAsia="Times New Roman" w:hAnsi="Arial" w:cs="Arial"/>
          <w:sz w:val="24"/>
          <w:szCs w:val="24"/>
          <w:lang w:val="es-ES_tradnl" w:eastAsia="es-ES"/>
        </w:rPr>
        <w:t xml:space="preserve"> </w:t>
      </w:r>
      <w:r w:rsidR="00D909BE">
        <w:rPr>
          <w:rFonts w:ascii="Arial" w:eastAsia="Times New Roman" w:hAnsi="Arial" w:cs="Arial"/>
          <w:sz w:val="24"/>
          <w:szCs w:val="24"/>
          <w:lang w:val="es-ES_tradnl" w:eastAsia="es-ES"/>
        </w:rPr>
        <w:t xml:space="preserve">En virtud </w:t>
      </w:r>
      <w:r w:rsidR="00D909BE" w:rsidRPr="00E42782">
        <w:rPr>
          <w:rFonts w:ascii="Arial" w:eastAsia="Times New Roman" w:hAnsi="Arial" w:cs="Arial"/>
          <w:sz w:val="24"/>
          <w:szCs w:val="24"/>
          <w:lang w:val="es-ES_tradnl" w:eastAsia="es-ES"/>
        </w:rPr>
        <w:t xml:space="preserve">que la </w:t>
      </w:r>
      <w:r w:rsidR="00D909BE" w:rsidRPr="000F578F">
        <w:rPr>
          <w:rFonts w:ascii="Arial" w:eastAsia="Times New Roman" w:hAnsi="Arial" w:cs="Arial"/>
          <w:b/>
          <w:sz w:val="24"/>
          <w:szCs w:val="24"/>
          <w:lang w:val="es-ES_tradnl" w:eastAsia="es-ES"/>
        </w:rPr>
        <w:t>competencia de la autoridad demandada</w:t>
      </w:r>
      <w:r w:rsidR="00D909BE" w:rsidRPr="00E42782">
        <w:rPr>
          <w:rFonts w:ascii="Arial" w:eastAsia="Times New Roman" w:hAnsi="Arial" w:cs="Arial"/>
          <w:sz w:val="24"/>
          <w:szCs w:val="24"/>
          <w:lang w:val="es-ES_tradnl" w:eastAsia="es-ES"/>
        </w:rPr>
        <w:t xml:space="preserve"> es el primer </w:t>
      </w:r>
      <w:r w:rsidR="00D909BE">
        <w:rPr>
          <w:rFonts w:ascii="Arial" w:eastAsia="Times New Roman" w:hAnsi="Arial" w:cs="Arial"/>
          <w:sz w:val="24"/>
          <w:szCs w:val="24"/>
          <w:lang w:val="es-ES_tradnl" w:eastAsia="es-ES"/>
        </w:rPr>
        <w:t>pre</w:t>
      </w:r>
      <w:r w:rsidR="00D909BE" w:rsidRPr="00E42782">
        <w:rPr>
          <w:rFonts w:ascii="Arial" w:eastAsia="Times New Roman" w:hAnsi="Arial" w:cs="Arial"/>
          <w:sz w:val="24"/>
          <w:szCs w:val="24"/>
          <w:lang w:val="es-ES_tradnl" w:eastAsia="es-ES"/>
        </w:rPr>
        <w:t xml:space="preserve">supuesto para la emisión del acto de molestia, esta Sala procede a su estudio </w:t>
      </w:r>
      <w:r w:rsidR="00D909BE">
        <w:rPr>
          <w:rFonts w:ascii="Arial" w:eastAsia="Times New Roman" w:hAnsi="Arial" w:cs="Arial"/>
          <w:sz w:val="24"/>
          <w:szCs w:val="24"/>
          <w:lang w:val="es-ES_tradnl" w:eastAsia="es-ES"/>
        </w:rPr>
        <w:t>por ser preferente,</w:t>
      </w:r>
      <w:r w:rsidR="00D909BE" w:rsidRPr="00E42782">
        <w:rPr>
          <w:rFonts w:ascii="Arial" w:eastAsia="Times New Roman" w:hAnsi="Arial" w:cs="Arial"/>
          <w:sz w:val="24"/>
          <w:szCs w:val="24"/>
          <w:lang w:val="es-ES_tradnl" w:eastAsia="es-ES"/>
        </w:rPr>
        <w:t xml:space="preserve"> </w:t>
      </w:r>
      <w:r w:rsidR="00D909BE">
        <w:rPr>
          <w:rFonts w:ascii="Arial" w:eastAsia="Times New Roman" w:hAnsi="Arial" w:cs="Arial"/>
          <w:sz w:val="24"/>
          <w:szCs w:val="24"/>
          <w:lang w:val="es-ES_tradnl" w:eastAsia="es-ES"/>
        </w:rPr>
        <w:t xml:space="preserve">que es </w:t>
      </w:r>
      <w:r w:rsidR="00D909BE" w:rsidRPr="00E42782">
        <w:rPr>
          <w:rFonts w:ascii="Arial" w:eastAsia="Times New Roman" w:hAnsi="Arial" w:cs="Arial"/>
          <w:sz w:val="24"/>
          <w:szCs w:val="24"/>
          <w:lang w:val="es-ES_tradnl" w:eastAsia="es-ES"/>
        </w:rPr>
        <w:t>de orden</w:t>
      </w:r>
      <w:r w:rsidR="00D909BE">
        <w:rPr>
          <w:rFonts w:ascii="Arial" w:eastAsia="Times New Roman" w:hAnsi="Arial" w:cs="Arial"/>
          <w:sz w:val="24"/>
          <w:szCs w:val="24"/>
          <w:lang w:val="es-ES_tradnl" w:eastAsia="es-ES"/>
        </w:rPr>
        <w:t xml:space="preserve"> público y de análisis oficioso, como lo establece</w:t>
      </w:r>
      <w:r w:rsidR="00D909BE" w:rsidRPr="0054610B">
        <w:rPr>
          <w:rFonts w:ascii="Arial" w:eastAsia="Times New Roman" w:hAnsi="Arial" w:cs="Arial"/>
          <w:sz w:val="24"/>
          <w:szCs w:val="24"/>
          <w:lang w:val="es-ES_tradnl" w:eastAsia="es-ES"/>
        </w:rPr>
        <w:t xml:space="preserve"> la Jurisprudencia con número de registro 170827, de la novena época, materia: administrativa, </w:t>
      </w:r>
      <w:r w:rsidR="00D909BE" w:rsidRPr="0054610B">
        <w:rPr>
          <w:rFonts w:ascii="Arial" w:eastAsia="Times New Roman" w:hAnsi="Arial" w:cs="Arial"/>
          <w:sz w:val="24"/>
          <w:szCs w:val="24"/>
          <w:lang w:val="es-ES_tradnl" w:eastAsia="es-ES"/>
        </w:rPr>
        <w:lastRenderedPageBreak/>
        <w:t xml:space="preserve">sustentada por la Segunda Sala de la Suprema Corte de Justicia de la Nación, </w:t>
      </w:r>
      <w:r w:rsidR="00D909BE" w:rsidRPr="0054610B">
        <w:rPr>
          <w:rFonts w:ascii="Arial" w:hAnsi="Arial" w:cs="Arial"/>
          <w:sz w:val="24"/>
          <w:szCs w:val="24"/>
        </w:rPr>
        <w:t>visible en el Semanario Judicial de la Federación y su Gaceta, Tomo XXVI, diciembre de 2007, página 154, con el texto y rubro siguientes:</w:t>
      </w:r>
    </w:p>
    <w:p w14:paraId="0D02C4D1" w14:textId="77777777" w:rsidR="00D909BE" w:rsidRDefault="00D909BE" w:rsidP="00D7027B">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3E454B4F" w14:textId="77777777" w:rsidR="00D909BE" w:rsidRPr="00E67C16" w:rsidRDefault="00D909BE" w:rsidP="00D909BE">
      <w:pPr>
        <w:tabs>
          <w:tab w:val="left" w:pos="8505"/>
        </w:tabs>
        <w:spacing w:after="0" w:line="240" w:lineRule="auto"/>
        <w:ind w:left="851" w:right="425"/>
        <w:jc w:val="both"/>
        <w:rPr>
          <w:rFonts w:ascii="Arial" w:hAnsi="Arial" w:cs="Arial"/>
          <w:i/>
          <w:sz w:val="21"/>
          <w:szCs w:val="21"/>
        </w:rPr>
      </w:pPr>
    </w:p>
    <w:p w14:paraId="0366F72F" w14:textId="4BDACF97" w:rsidR="00B94A85" w:rsidRDefault="00D909BE" w:rsidP="00D7027B">
      <w:pPr>
        <w:spacing w:line="360" w:lineRule="auto"/>
        <w:ind w:firstLine="567"/>
        <w:jc w:val="both"/>
        <w:rPr>
          <w:rFonts w:ascii="Arial" w:hAnsi="Arial" w:cs="Arial"/>
          <w:i/>
          <w:sz w:val="24"/>
          <w:szCs w:val="24"/>
        </w:rPr>
      </w:pPr>
      <w:r w:rsidRPr="003A702A">
        <w:rPr>
          <w:rFonts w:ascii="Arial" w:hAnsi="Arial" w:cs="Arial"/>
          <w:sz w:val="24"/>
          <w:szCs w:val="24"/>
        </w:rPr>
        <w:t>En cumplimiento a la jurisprudencia citada, este órgano jurisdiccional procede al análisis del acto impugnado, consistente</w:t>
      </w:r>
      <w:r>
        <w:rPr>
          <w:rFonts w:ascii="Arial" w:hAnsi="Arial" w:cs="Arial"/>
          <w:sz w:val="24"/>
          <w:szCs w:val="24"/>
        </w:rPr>
        <w:t xml:space="preserve"> en la resolución de dieciocho de enero dos mil veinte, dictada en el expediente administrativo de responsabilidad </w:t>
      </w:r>
      <w:r w:rsidR="00FE2C5F">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fundó su competenc</w:t>
      </w:r>
      <w:r w:rsidR="00244CC9">
        <w:rPr>
          <w:rFonts w:ascii="Arial" w:hAnsi="Arial" w:cs="Arial"/>
          <w:sz w:val="24"/>
          <w:szCs w:val="24"/>
        </w:rPr>
        <w:t>ia de la siguiente manera</w:t>
      </w:r>
      <w:r w:rsidR="00BD5E3E">
        <w:rPr>
          <w:rFonts w:ascii="Arial" w:hAnsi="Arial" w:cs="Arial"/>
          <w:sz w:val="24"/>
          <w:szCs w:val="24"/>
        </w:rPr>
        <w:t xml:space="preserve">: </w:t>
      </w:r>
      <w:r w:rsidR="00BD5E3E" w:rsidRPr="00BD5E3E">
        <w:rPr>
          <w:rFonts w:ascii="Arial" w:hAnsi="Arial" w:cs="Arial"/>
          <w:i/>
          <w:sz w:val="24"/>
          <w:szCs w:val="24"/>
        </w:rPr>
        <w:t>“…</w:t>
      </w:r>
      <w:r w:rsidR="00D7027B" w:rsidRPr="00BD5E3E">
        <w:rPr>
          <w:rFonts w:ascii="Arial" w:hAnsi="Arial" w:cs="Arial"/>
          <w:i/>
          <w:sz w:val="24"/>
          <w:szCs w:val="24"/>
        </w:rPr>
        <w:t xml:space="preserve"> los artículos 21 párrafo IX y X inciso a), 123 apartado B, fracción XIII primer y segundo párrafo de la Constitución Política de los Estados Unidos Mexicanos; 21 párrafo octavo y noveno y 114 primer párrafo con relación con el inciso D, ambos de la Constitución Política del Estado de Oaxaca; artículo </w:t>
      </w:r>
      <w:r w:rsidR="00BD5E3E" w:rsidRPr="00BD5E3E">
        <w:rPr>
          <w:rFonts w:ascii="Arial" w:hAnsi="Arial" w:cs="Arial"/>
          <w:i/>
          <w:sz w:val="24"/>
          <w:szCs w:val="24"/>
        </w:rPr>
        <w:t>3, 6 y 20 primer párrafo, en relación con el Sexto transitorio último párrafo de la Ley Orgánica de la Fiscalía General del Estado de Oaxaca; 3 y 5 fracción I del Reglamento de la Fiscalía General del Estado de Oaxaca…”</w:t>
      </w:r>
    </w:p>
    <w:p w14:paraId="2025859E" w14:textId="3DAD0DCA" w:rsidR="00246750" w:rsidRDefault="00BD5E3E" w:rsidP="00246750">
      <w:pPr>
        <w:spacing w:line="360" w:lineRule="auto"/>
        <w:ind w:firstLine="567"/>
        <w:jc w:val="both"/>
        <w:rPr>
          <w:rFonts w:ascii="Arial" w:hAnsi="Arial" w:cs="Arial"/>
          <w:sz w:val="24"/>
          <w:szCs w:val="24"/>
        </w:rPr>
      </w:pPr>
      <w:r>
        <w:rPr>
          <w:rFonts w:ascii="Arial" w:hAnsi="Arial" w:cs="Arial"/>
          <w:sz w:val="24"/>
          <w:szCs w:val="24"/>
        </w:rPr>
        <w:t xml:space="preserve">De donde se advierte, </w:t>
      </w:r>
      <w:r w:rsidR="00C82957">
        <w:rPr>
          <w:rFonts w:ascii="Arial" w:hAnsi="Arial" w:cs="Arial"/>
          <w:sz w:val="24"/>
          <w:szCs w:val="24"/>
        </w:rPr>
        <w:t xml:space="preserve">que la autoridad demandada fundó su competencia para dictar la resolución en el expediente administrativo de responsabilidad, </w:t>
      </w:r>
      <w:r w:rsidR="00FE2C5F">
        <w:rPr>
          <w:rFonts w:ascii="Arial" w:eastAsia="Times New Roman" w:hAnsi="Arial" w:cs="Arial"/>
          <w:bCs/>
          <w:iCs/>
          <w:caps/>
          <w:kern w:val="2"/>
          <w:sz w:val="24"/>
          <w:szCs w:val="24"/>
          <w:lang w:val="es-ES_tradnl" w:eastAsia="es-ES"/>
        </w:rPr>
        <w:t>**********</w:t>
      </w:r>
      <w:r w:rsidR="00C82957">
        <w:rPr>
          <w:rFonts w:ascii="Arial" w:hAnsi="Arial" w:cs="Arial"/>
          <w:sz w:val="24"/>
          <w:szCs w:val="24"/>
        </w:rPr>
        <w:t xml:space="preserve">, en el </w:t>
      </w:r>
      <w:r w:rsidR="00C82957">
        <w:rPr>
          <w:rFonts w:ascii="Arial" w:hAnsi="Arial" w:cs="Arial"/>
          <w:b/>
          <w:sz w:val="24"/>
          <w:szCs w:val="24"/>
        </w:rPr>
        <w:t>Reglamento de la Fiscalía General del Estado de Oaxaca</w:t>
      </w:r>
      <w:r w:rsidR="00746BD4">
        <w:rPr>
          <w:rFonts w:ascii="Arial" w:hAnsi="Arial" w:cs="Arial"/>
          <w:sz w:val="24"/>
          <w:szCs w:val="24"/>
        </w:rPr>
        <w:t xml:space="preserve">, </w:t>
      </w:r>
      <w:r w:rsidR="00E43EFA">
        <w:rPr>
          <w:rFonts w:ascii="Arial" w:hAnsi="Arial" w:cs="Arial"/>
          <w:sz w:val="24"/>
          <w:szCs w:val="24"/>
        </w:rPr>
        <w:t>cuerpo normativo que es inexistente en el marco normativo que rige a la Fiscalía General del Estado.</w:t>
      </w:r>
    </w:p>
    <w:p w14:paraId="2215B840" w14:textId="6B0A4D25" w:rsidR="00756926" w:rsidRDefault="00E43EFA" w:rsidP="00246750">
      <w:pPr>
        <w:spacing w:line="360" w:lineRule="auto"/>
        <w:ind w:firstLine="567"/>
        <w:jc w:val="both"/>
        <w:rPr>
          <w:rFonts w:ascii="Arial" w:hAnsi="Arial" w:cs="Arial"/>
          <w:sz w:val="24"/>
          <w:szCs w:val="24"/>
        </w:rPr>
      </w:pPr>
      <w:r>
        <w:rPr>
          <w:rFonts w:ascii="Arial" w:hAnsi="Arial" w:cs="Arial"/>
          <w:sz w:val="24"/>
          <w:szCs w:val="24"/>
        </w:rPr>
        <w:t>Por lo que,</w:t>
      </w:r>
      <w:r w:rsidR="00B10DF6">
        <w:rPr>
          <w:rFonts w:ascii="Arial" w:hAnsi="Arial" w:cs="Arial"/>
          <w:sz w:val="24"/>
          <w:szCs w:val="24"/>
        </w:rPr>
        <w:t xml:space="preserve"> los preceptos legales invocados en el </w:t>
      </w:r>
      <w:r w:rsidR="00B10DF6">
        <w:rPr>
          <w:rFonts w:ascii="Arial" w:hAnsi="Arial" w:cs="Arial"/>
          <w:b/>
          <w:bCs/>
          <w:sz w:val="24"/>
          <w:szCs w:val="24"/>
        </w:rPr>
        <w:t xml:space="preserve">acto impugnado </w:t>
      </w:r>
      <w:r w:rsidR="00B10DF6">
        <w:rPr>
          <w:rFonts w:ascii="Arial" w:hAnsi="Arial" w:cs="Arial"/>
          <w:sz w:val="24"/>
          <w:szCs w:val="24"/>
        </w:rPr>
        <w:t>resultan inaplicables al asunto por las características específicas de éste que impiden su adecuación o encuadre en las hipótesis normativas, por lo que, resulta jurídicamente imposible realizar el ejercicio de subsunción de un hecho a una norma inexistente, como en el caso lo son los artículos 3 y 5 fracción I del Reglamento de la Fiscalía General del Estado de Oaxaca.</w:t>
      </w:r>
    </w:p>
    <w:p w14:paraId="053E6EB2" w14:textId="58733D20" w:rsidR="00B10DF6" w:rsidRPr="00B10DF6" w:rsidRDefault="00B10DF6" w:rsidP="00AE1854">
      <w:pPr>
        <w:spacing w:line="360" w:lineRule="auto"/>
        <w:ind w:firstLine="567"/>
        <w:jc w:val="both"/>
        <w:rPr>
          <w:rFonts w:ascii="Arial" w:hAnsi="Arial" w:cs="Arial"/>
          <w:sz w:val="24"/>
          <w:szCs w:val="24"/>
        </w:rPr>
      </w:pPr>
      <w:r>
        <w:rPr>
          <w:rFonts w:ascii="Arial" w:hAnsi="Arial" w:cs="Arial"/>
          <w:sz w:val="24"/>
          <w:szCs w:val="24"/>
        </w:rPr>
        <w:lastRenderedPageBreak/>
        <w:t xml:space="preserve">Por lo tanto, </w:t>
      </w:r>
      <w:r w:rsidR="00BD027D">
        <w:rPr>
          <w:rFonts w:ascii="Arial" w:hAnsi="Arial" w:cs="Arial"/>
          <w:sz w:val="24"/>
          <w:szCs w:val="24"/>
        </w:rPr>
        <w:t>al ser</w:t>
      </w:r>
      <w:r w:rsidR="00BD027D" w:rsidRPr="00BD027D">
        <w:rPr>
          <w:rFonts w:ascii="Arial" w:hAnsi="Arial" w:cs="Arial"/>
          <w:sz w:val="24"/>
          <w:szCs w:val="24"/>
        </w:rPr>
        <w:t xml:space="preserve"> un requisito esencial y una obligación de la autoridad fundar </w:t>
      </w:r>
      <w:r w:rsidR="00BD027D">
        <w:rPr>
          <w:rFonts w:ascii="Arial" w:hAnsi="Arial" w:cs="Arial"/>
          <w:sz w:val="24"/>
          <w:szCs w:val="24"/>
        </w:rPr>
        <w:t xml:space="preserve">su competencia </w:t>
      </w:r>
      <w:r w:rsidR="00BD027D" w:rsidRPr="00BD027D">
        <w:rPr>
          <w:rFonts w:ascii="Arial" w:hAnsi="Arial" w:cs="Arial"/>
          <w:sz w:val="24"/>
          <w:szCs w:val="24"/>
        </w:rPr>
        <w:t xml:space="preserve">en el acto de molestia, </w:t>
      </w:r>
      <w:r w:rsidR="00BD027D">
        <w:rPr>
          <w:rFonts w:ascii="Arial" w:hAnsi="Arial" w:cs="Arial"/>
          <w:sz w:val="24"/>
          <w:szCs w:val="24"/>
        </w:rPr>
        <w:t>ya que esta solo</w:t>
      </w:r>
      <w:r w:rsidR="00BD027D" w:rsidRPr="00BD027D">
        <w:rPr>
          <w:rFonts w:ascii="Arial" w:hAnsi="Arial" w:cs="Arial"/>
          <w:sz w:val="24"/>
          <w:szCs w:val="24"/>
        </w:rPr>
        <w:t xml:space="preserve"> puede hacer lo que la ley le permite, de ahí que la validez del acto dependerá de que haya sido realizado por la autoridad facultada legalmente para ello dentro de su respectivo ámbito de competencia, regido específicamente por una o varias normas que lo autoricen</w:t>
      </w:r>
      <w:r w:rsidR="00BD027D">
        <w:rPr>
          <w:rFonts w:ascii="Arial" w:hAnsi="Arial" w:cs="Arial"/>
          <w:sz w:val="24"/>
          <w:szCs w:val="24"/>
        </w:rPr>
        <w:t>; y, para c</w:t>
      </w:r>
      <w:r w:rsidR="00AE1854">
        <w:rPr>
          <w:rFonts w:ascii="Arial" w:hAnsi="Arial" w:cs="Arial"/>
          <w:sz w:val="24"/>
          <w:szCs w:val="24"/>
        </w:rPr>
        <w:t>umplir con</w:t>
      </w:r>
      <w:r w:rsidR="00BD027D">
        <w:rPr>
          <w:rFonts w:ascii="Arial" w:hAnsi="Arial" w:cs="Arial"/>
          <w:sz w:val="24"/>
          <w:szCs w:val="24"/>
        </w:rPr>
        <w:t xml:space="preserve"> lo anterior, </w:t>
      </w:r>
      <w:r w:rsidR="00AE1854">
        <w:rPr>
          <w:rFonts w:ascii="Arial" w:hAnsi="Arial" w:cs="Arial"/>
          <w:sz w:val="24"/>
          <w:szCs w:val="24"/>
        </w:rPr>
        <w:t xml:space="preserve">deberá de señalar en el acto de molestia, </w:t>
      </w:r>
      <w:r w:rsidR="00AE1854" w:rsidRPr="00AE1854">
        <w:rPr>
          <w:rFonts w:ascii="Arial" w:hAnsi="Arial" w:cs="Arial"/>
          <w:sz w:val="24"/>
          <w:szCs w:val="24"/>
        </w:rPr>
        <w:t>el apartado, fracción, inciso o sub</w:t>
      </w:r>
      <w:r w:rsidR="00AE2709">
        <w:rPr>
          <w:rFonts w:ascii="Arial" w:hAnsi="Arial" w:cs="Arial"/>
          <w:sz w:val="24"/>
          <w:szCs w:val="24"/>
        </w:rPr>
        <w:t xml:space="preserve"> </w:t>
      </w:r>
      <w:r w:rsidR="00AE1854" w:rsidRPr="00AE1854">
        <w:rPr>
          <w:rFonts w:ascii="Arial" w:hAnsi="Arial" w:cs="Arial"/>
          <w:sz w:val="24"/>
          <w:szCs w:val="24"/>
        </w:rPr>
        <w:t>inciso</w:t>
      </w:r>
      <w:r w:rsidR="00AE1854">
        <w:rPr>
          <w:rFonts w:ascii="Arial" w:hAnsi="Arial" w:cs="Arial"/>
          <w:sz w:val="24"/>
          <w:szCs w:val="24"/>
        </w:rPr>
        <w:t xml:space="preserve">, o transcribir la parte conducente si se trata de una norma compleja, en el que fundamente su actuar; y al no haberlo realizado de esa manera, se </w:t>
      </w:r>
      <w:r>
        <w:rPr>
          <w:rFonts w:ascii="Arial" w:hAnsi="Arial" w:cs="Arial"/>
          <w:sz w:val="24"/>
          <w:szCs w:val="24"/>
        </w:rPr>
        <w:t xml:space="preserve">acredita una </w:t>
      </w:r>
      <w:r>
        <w:rPr>
          <w:rFonts w:ascii="Arial" w:hAnsi="Arial" w:cs="Arial"/>
          <w:b/>
          <w:bCs/>
          <w:sz w:val="24"/>
          <w:szCs w:val="24"/>
        </w:rPr>
        <w:t xml:space="preserve">indebida fundamentación y motivación </w:t>
      </w:r>
      <w:r>
        <w:rPr>
          <w:rFonts w:ascii="Arial" w:hAnsi="Arial" w:cs="Arial"/>
          <w:sz w:val="24"/>
          <w:szCs w:val="24"/>
        </w:rPr>
        <w:t xml:space="preserve">respecto de la competencia de la </w:t>
      </w:r>
      <w:r>
        <w:rPr>
          <w:rFonts w:ascii="Arial" w:hAnsi="Arial" w:cs="Arial"/>
          <w:b/>
          <w:bCs/>
          <w:sz w:val="24"/>
          <w:szCs w:val="24"/>
        </w:rPr>
        <w:t xml:space="preserve">autoridad demandada </w:t>
      </w:r>
      <w:r>
        <w:rPr>
          <w:rFonts w:ascii="Arial" w:hAnsi="Arial" w:cs="Arial"/>
          <w:sz w:val="24"/>
          <w:szCs w:val="24"/>
        </w:rPr>
        <w:t xml:space="preserve">Fiscal General del Estado de Oaxaca, </w:t>
      </w:r>
      <w:r w:rsidR="00C7308A">
        <w:rPr>
          <w:rFonts w:ascii="Arial" w:hAnsi="Arial" w:cs="Arial"/>
          <w:sz w:val="24"/>
          <w:szCs w:val="24"/>
        </w:rPr>
        <w:t xml:space="preserve">en razón de que invocó como fundamentos, los artículos 3 y 5 fracción I del Reglamento de la Fiscalía General del Estado de Oaxaca, la cual es </w:t>
      </w:r>
      <w:r w:rsidR="00C7308A" w:rsidRPr="00AE2709">
        <w:rPr>
          <w:rFonts w:ascii="Arial" w:hAnsi="Arial" w:cs="Arial"/>
          <w:b/>
          <w:sz w:val="24"/>
          <w:szCs w:val="24"/>
        </w:rPr>
        <w:t>inexistente</w:t>
      </w:r>
      <w:r w:rsidR="00C7308A">
        <w:rPr>
          <w:rFonts w:ascii="Arial" w:hAnsi="Arial" w:cs="Arial"/>
          <w:sz w:val="24"/>
          <w:szCs w:val="24"/>
        </w:rPr>
        <w:t>.</w:t>
      </w:r>
    </w:p>
    <w:p w14:paraId="5C219F92" w14:textId="3924088A" w:rsidR="00C7308A" w:rsidRDefault="00AE1854" w:rsidP="00246750">
      <w:pPr>
        <w:spacing w:line="360" w:lineRule="auto"/>
        <w:ind w:firstLine="567"/>
        <w:jc w:val="both"/>
        <w:rPr>
          <w:rFonts w:ascii="Arial" w:hAnsi="Arial" w:cs="Arial"/>
          <w:b/>
          <w:sz w:val="24"/>
          <w:szCs w:val="24"/>
        </w:rPr>
      </w:pPr>
      <w:r>
        <w:rPr>
          <w:rFonts w:ascii="Arial" w:eastAsia="Times New Roman" w:hAnsi="Arial" w:cs="Arial"/>
          <w:color w:val="000000"/>
          <w:sz w:val="24"/>
          <w:szCs w:val="24"/>
        </w:rPr>
        <w:t>En consecuencia</w:t>
      </w:r>
      <w:r w:rsidR="00246750">
        <w:rPr>
          <w:rFonts w:ascii="Arial" w:eastAsia="Times New Roman" w:hAnsi="Arial" w:cs="Arial"/>
          <w:color w:val="000000"/>
          <w:sz w:val="24"/>
          <w:szCs w:val="24"/>
        </w:rPr>
        <w:t xml:space="preserve">, al configurarse, una </w:t>
      </w:r>
      <w:r w:rsidR="00246750" w:rsidRPr="006629AE">
        <w:rPr>
          <w:rFonts w:ascii="Arial" w:eastAsia="Times New Roman" w:hAnsi="Arial" w:cs="Arial"/>
          <w:b/>
          <w:color w:val="000000"/>
          <w:sz w:val="24"/>
          <w:szCs w:val="24"/>
        </w:rPr>
        <w:t>in</w:t>
      </w:r>
      <w:r w:rsidR="00C7308A">
        <w:rPr>
          <w:rFonts w:ascii="Arial" w:eastAsia="Times New Roman" w:hAnsi="Arial" w:cs="Arial"/>
          <w:b/>
          <w:color w:val="000000"/>
          <w:sz w:val="24"/>
          <w:szCs w:val="24"/>
        </w:rPr>
        <w:t>debida</w:t>
      </w:r>
      <w:r w:rsidR="00246750" w:rsidRPr="006629AE">
        <w:rPr>
          <w:rFonts w:ascii="Arial" w:eastAsia="Times New Roman" w:hAnsi="Arial" w:cs="Arial"/>
          <w:b/>
          <w:color w:val="000000"/>
          <w:sz w:val="24"/>
          <w:szCs w:val="24"/>
        </w:rPr>
        <w:t xml:space="preserve"> fundamentación</w:t>
      </w:r>
      <w:r w:rsidR="00246750">
        <w:rPr>
          <w:rFonts w:ascii="Arial" w:eastAsia="Times New Roman" w:hAnsi="Arial" w:cs="Arial"/>
          <w:color w:val="000000"/>
          <w:sz w:val="24"/>
          <w:szCs w:val="24"/>
        </w:rPr>
        <w:t xml:space="preserve"> respecto de la competencia de la autoridad demandada</w:t>
      </w:r>
      <w:r w:rsidR="00246750">
        <w:rPr>
          <w:rFonts w:ascii="Arial" w:hAnsi="Arial" w:cs="Arial"/>
          <w:sz w:val="24"/>
          <w:szCs w:val="24"/>
        </w:rPr>
        <w:t xml:space="preserve">, </w:t>
      </w:r>
      <w:r w:rsidR="00246750" w:rsidRPr="00B15094">
        <w:rPr>
          <w:rFonts w:ascii="Arial" w:hAnsi="Arial" w:cs="Arial"/>
          <w:sz w:val="24"/>
          <w:szCs w:val="24"/>
        </w:rPr>
        <w:t>proced</w:t>
      </w:r>
      <w:r w:rsidR="00246750">
        <w:rPr>
          <w:rFonts w:ascii="Arial" w:hAnsi="Arial" w:cs="Arial"/>
          <w:sz w:val="24"/>
          <w:szCs w:val="24"/>
        </w:rPr>
        <w:t>e con fundamento en el artículo 20</w:t>
      </w:r>
      <w:r w:rsidR="00246750" w:rsidRPr="00B15094">
        <w:rPr>
          <w:rFonts w:ascii="Arial" w:hAnsi="Arial" w:cs="Arial"/>
          <w:sz w:val="24"/>
          <w:szCs w:val="24"/>
        </w:rPr>
        <w:t>8 fracción I</w:t>
      </w:r>
      <w:r w:rsidR="00246750">
        <w:rPr>
          <w:rFonts w:ascii="Arial" w:hAnsi="Arial" w:cs="Arial"/>
          <w:sz w:val="24"/>
          <w:szCs w:val="24"/>
        </w:rPr>
        <w:t>,</w:t>
      </w:r>
      <w:r w:rsidR="00246750" w:rsidRPr="00B15094">
        <w:rPr>
          <w:rFonts w:ascii="Arial" w:hAnsi="Arial" w:cs="Arial"/>
          <w:sz w:val="24"/>
          <w:szCs w:val="24"/>
        </w:rPr>
        <w:t xml:space="preserve"> de la Ley de</w:t>
      </w:r>
      <w:r w:rsidR="00246750">
        <w:rPr>
          <w:rFonts w:ascii="Arial" w:hAnsi="Arial" w:cs="Arial"/>
          <w:sz w:val="24"/>
          <w:szCs w:val="24"/>
        </w:rPr>
        <w:t xml:space="preserve"> Procedimiento y</w:t>
      </w:r>
      <w:r w:rsidR="00246750" w:rsidRPr="00B15094">
        <w:rPr>
          <w:rFonts w:ascii="Arial" w:hAnsi="Arial" w:cs="Arial"/>
          <w:sz w:val="24"/>
          <w:szCs w:val="24"/>
        </w:rPr>
        <w:t xml:space="preserve"> Justicia Administrativa</w:t>
      </w:r>
      <w:r w:rsidR="00246750">
        <w:rPr>
          <w:rFonts w:ascii="Arial" w:hAnsi="Arial" w:cs="Arial"/>
          <w:sz w:val="24"/>
          <w:szCs w:val="24"/>
        </w:rPr>
        <w:t xml:space="preserve"> </w:t>
      </w:r>
      <w:r w:rsidR="00246750" w:rsidRPr="00B15094">
        <w:rPr>
          <w:rFonts w:ascii="Arial" w:hAnsi="Arial" w:cs="Arial"/>
          <w:sz w:val="24"/>
          <w:szCs w:val="24"/>
        </w:rPr>
        <w:t>para el Estado</w:t>
      </w:r>
      <w:r w:rsidR="00246750">
        <w:rPr>
          <w:rFonts w:ascii="Arial" w:eastAsia="Times New Roman" w:hAnsi="Arial" w:cs="Arial"/>
          <w:color w:val="000000"/>
          <w:sz w:val="24"/>
          <w:szCs w:val="24"/>
        </w:rPr>
        <w:t xml:space="preserve">, </w:t>
      </w:r>
      <w:r w:rsidR="00246750" w:rsidRPr="00F72862">
        <w:rPr>
          <w:rFonts w:ascii="Arial" w:eastAsia="Times New Roman" w:hAnsi="Arial" w:cs="Arial"/>
          <w:color w:val="000000"/>
          <w:sz w:val="24"/>
          <w:szCs w:val="24"/>
        </w:rPr>
        <w:t xml:space="preserve">declarar la </w:t>
      </w:r>
      <w:r w:rsidR="00246750" w:rsidRPr="00F72862">
        <w:rPr>
          <w:rFonts w:ascii="Arial" w:eastAsia="Times New Roman" w:hAnsi="Arial" w:cs="Arial"/>
          <w:b/>
          <w:color w:val="000000"/>
          <w:sz w:val="24"/>
          <w:szCs w:val="24"/>
        </w:rPr>
        <w:t xml:space="preserve">NULIDAD LISA Y LLANA </w:t>
      </w:r>
      <w:r w:rsidR="002A6988">
        <w:rPr>
          <w:rFonts w:ascii="Arial" w:eastAsia="Times New Roman" w:hAnsi="Arial" w:cs="Arial"/>
          <w:color w:val="000000"/>
          <w:sz w:val="24"/>
          <w:szCs w:val="24"/>
        </w:rPr>
        <w:t>de</w:t>
      </w:r>
      <w:r w:rsidR="00C7308A">
        <w:rPr>
          <w:rFonts w:ascii="Arial" w:hAnsi="Arial" w:cs="Arial"/>
          <w:sz w:val="24"/>
          <w:szCs w:val="24"/>
        </w:rPr>
        <w:t xml:space="preserve"> la resolución de dieciocho de enero dos mil veinte, dictada en el expediente administrativo de responsabilidad </w:t>
      </w:r>
      <w:r w:rsidR="00FE2C5F">
        <w:rPr>
          <w:rFonts w:ascii="Arial" w:eastAsia="Times New Roman" w:hAnsi="Arial" w:cs="Arial"/>
          <w:bCs/>
          <w:iCs/>
          <w:caps/>
          <w:kern w:val="2"/>
          <w:sz w:val="24"/>
          <w:szCs w:val="24"/>
          <w:lang w:val="es-ES_tradnl" w:eastAsia="es-ES"/>
        </w:rPr>
        <w:t>**********</w:t>
      </w:r>
      <w:r w:rsidR="00C7308A">
        <w:rPr>
          <w:rFonts w:ascii="Arial" w:hAnsi="Arial" w:cs="Arial"/>
          <w:b/>
          <w:sz w:val="24"/>
          <w:szCs w:val="24"/>
        </w:rPr>
        <w:t xml:space="preserve">, </w:t>
      </w:r>
      <w:r w:rsidR="00F663FA">
        <w:rPr>
          <w:rFonts w:ascii="Arial" w:hAnsi="Arial" w:cs="Arial"/>
          <w:bCs/>
          <w:sz w:val="24"/>
          <w:szCs w:val="24"/>
        </w:rPr>
        <w:t xml:space="preserve">por el </w:t>
      </w:r>
      <w:r w:rsidR="00F663FA">
        <w:rPr>
          <w:rFonts w:ascii="Arial" w:hAnsi="Arial" w:cs="Arial"/>
          <w:b/>
          <w:sz w:val="24"/>
          <w:szCs w:val="24"/>
        </w:rPr>
        <w:t xml:space="preserve">Fiscal General del Estado de Oaxaca </w:t>
      </w:r>
      <w:r w:rsidR="00F663FA">
        <w:rPr>
          <w:rFonts w:ascii="Arial" w:hAnsi="Arial" w:cs="Arial"/>
          <w:bCs/>
          <w:sz w:val="24"/>
          <w:szCs w:val="24"/>
        </w:rPr>
        <w:t xml:space="preserve">y </w:t>
      </w:r>
      <w:r w:rsidR="00F663FA">
        <w:rPr>
          <w:rFonts w:ascii="Arial" w:hAnsi="Arial" w:cs="Arial"/>
          <w:sz w:val="24"/>
          <w:szCs w:val="24"/>
        </w:rPr>
        <w:t xml:space="preserve">el </w:t>
      </w:r>
      <w:r w:rsidR="00F663FA" w:rsidRPr="000E0AFC">
        <w:rPr>
          <w:rFonts w:ascii="Arial" w:hAnsi="Arial" w:cs="Arial"/>
          <w:b/>
          <w:sz w:val="24"/>
          <w:szCs w:val="24"/>
        </w:rPr>
        <w:t xml:space="preserve">Secretario Ministerial </w:t>
      </w:r>
      <w:r w:rsidR="00F663FA">
        <w:rPr>
          <w:rFonts w:ascii="Arial" w:hAnsi="Arial" w:cs="Arial"/>
          <w:b/>
          <w:sz w:val="24"/>
          <w:szCs w:val="24"/>
        </w:rPr>
        <w:t>d</w:t>
      </w:r>
      <w:r w:rsidR="00F663FA" w:rsidRPr="000E0AFC">
        <w:rPr>
          <w:rFonts w:ascii="Arial" w:hAnsi="Arial" w:cs="Arial"/>
          <w:b/>
          <w:sz w:val="24"/>
          <w:szCs w:val="24"/>
        </w:rPr>
        <w:t xml:space="preserve">e </w:t>
      </w:r>
      <w:r w:rsidR="00F663FA">
        <w:rPr>
          <w:rFonts w:ascii="Arial" w:hAnsi="Arial" w:cs="Arial"/>
          <w:b/>
          <w:sz w:val="24"/>
          <w:szCs w:val="24"/>
        </w:rPr>
        <w:t>l</w:t>
      </w:r>
      <w:r w:rsidR="006B7E60">
        <w:rPr>
          <w:rFonts w:ascii="Arial" w:hAnsi="Arial" w:cs="Arial"/>
          <w:b/>
          <w:sz w:val="24"/>
          <w:szCs w:val="24"/>
        </w:rPr>
        <w:t>a Mesa Cuatro Adscrito</w:t>
      </w:r>
      <w:r w:rsidR="00F663FA" w:rsidRPr="000E0AFC">
        <w:rPr>
          <w:rFonts w:ascii="Arial" w:hAnsi="Arial" w:cs="Arial"/>
          <w:b/>
          <w:sz w:val="24"/>
          <w:szCs w:val="24"/>
        </w:rPr>
        <w:t xml:space="preserve"> </w:t>
      </w:r>
      <w:r w:rsidR="00F663FA">
        <w:rPr>
          <w:rFonts w:ascii="Arial" w:hAnsi="Arial" w:cs="Arial"/>
          <w:b/>
          <w:sz w:val="24"/>
          <w:szCs w:val="24"/>
        </w:rPr>
        <w:t>a</w:t>
      </w:r>
      <w:r w:rsidR="00F663FA" w:rsidRPr="000E0AFC">
        <w:rPr>
          <w:rFonts w:ascii="Arial" w:hAnsi="Arial" w:cs="Arial"/>
          <w:b/>
          <w:sz w:val="24"/>
          <w:szCs w:val="24"/>
        </w:rPr>
        <w:t xml:space="preserve"> </w:t>
      </w:r>
      <w:r w:rsidR="00F663FA">
        <w:rPr>
          <w:rFonts w:ascii="Arial" w:hAnsi="Arial" w:cs="Arial"/>
          <w:b/>
          <w:sz w:val="24"/>
          <w:szCs w:val="24"/>
        </w:rPr>
        <w:t>l</w:t>
      </w:r>
      <w:r w:rsidR="00F663FA" w:rsidRPr="000E0AFC">
        <w:rPr>
          <w:rFonts w:ascii="Arial" w:hAnsi="Arial" w:cs="Arial"/>
          <w:b/>
          <w:sz w:val="24"/>
          <w:szCs w:val="24"/>
        </w:rPr>
        <w:t xml:space="preserve">a Visitaduría General </w:t>
      </w:r>
      <w:r w:rsidR="00F663FA">
        <w:rPr>
          <w:rFonts w:ascii="Arial" w:hAnsi="Arial" w:cs="Arial"/>
          <w:b/>
          <w:sz w:val="24"/>
          <w:szCs w:val="24"/>
        </w:rPr>
        <w:t>d</w:t>
      </w:r>
      <w:r w:rsidR="00F663FA" w:rsidRPr="000E0AFC">
        <w:rPr>
          <w:rFonts w:ascii="Arial" w:hAnsi="Arial" w:cs="Arial"/>
          <w:b/>
          <w:sz w:val="24"/>
          <w:szCs w:val="24"/>
        </w:rPr>
        <w:t>el Estado</w:t>
      </w:r>
      <w:r w:rsidR="00F663FA">
        <w:rPr>
          <w:rFonts w:ascii="Arial" w:hAnsi="Arial" w:cs="Arial"/>
          <w:b/>
          <w:sz w:val="24"/>
          <w:szCs w:val="24"/>
        </w:rPr>
        <w:t>.</w:t>
      </w:r>
    </w:p>
    <w:p w14:paraId="1631B030" w14:textId="3DD3CF4E" w:rsidR="007C1394" w:rsidRPr="007C1394" w:rsidRDefault="00DF6738" w:rsidP="007C1394">
      <w:pPr>
        <w:spacing w:line="360" w:lineRule="auto"/>
        <w:ind w:firstLine="567"/>
        <w:jc w:val="both"/>
        <w:rPr>
          <w:rFonts w:ascii="Arial" w:hAnsi="Arial" w:cs="Arial"/>
          <w:bCs/>
          <w:sz w:val="24"/>
          <w:szCs w:val="24"/>
        </w:rPr>
      </w:pPr>
      <w:r>
        <w:rPr>
          <w:rFonts w:ascii="Arial" w:hAnsi="Arial" w:cs="Arial"/>
          <w:bCs/>
          <w:sz w:val="24"/>
          <w:szCs w:val="24"/>
        </w:rPr>
        <w:t xml:space="preserve">Tiene aplicación </w:t>
      </w:r>
      <w:r w:rsidR="007C1394">
        <w:rPr>
          <w:rFonts w:ascii="Arial" w:hAnsi="Arial" w:cs="Arial"/>
          <w:bCs/>
          <w:sz w:val="24"/>
          <w:szCs w:val="24"/>
        </w:rPr>
        <w:t xml:space="preserve">la jurisprudencia de la Novena Época, con número de </w:t>
      </w:r>
      <w:r w:rsidR="007C1394" w:rsidRPr="007C1394">
        <w:rPr>
          <w:rFonts w:ascii="Arial" w:hAnsi="Arial" w:cs="Arial"/>
          <w:bCs/>
          <w:sz w:val="24"/>
          <w:szCs w:val="24"/>
        </w:rPr>
        <w:t>Registro digital: 170307</w:t>
      </w:r>
      <w:r w:rsidR="007C1394">
        <w:rPr>
          <w:rFonts w:ascii="Arial" w:hAnsi="Arial" w:cs="Arial"/>
          <w:bCs/>
          <w:sz w:val="24"/>
          <w:szCs w:val="24"/>
        </w:rPr>
        <w:t xml:space="preserve">, </w:t>
      </w:r>
      <w:r w:rsidR="007C1394" w:rsidRPr="007C1394">
        <w:rPr>
          <w:rFonts w:ascii="Arial" w:hAnsi="Arial" w:cs="Arial"/>
          <w:bCs/>
          <w:sz w:val="24"/>
          <w:szCs w:val="24"/>
        </w:rPr>
        <w:t>Materias(s): Común</w:t>
      </w:r>
      <w:r w:rsidR="007C1394">
        <w:rPr>
          <w:rFonts w:ascii="Arial" w:hAnsi="Arial" w:cs="Arial"/>
          <w:bCs/>
          <w:sz w:val="24"/>
          <w:szCs w:val="24"/>
        </w:rPr>
        <w:t xml:space="preserve">, </w:t>
      </w:r>
      <w:r w:rsidR="007C1394" w:rsidRPr="007C1394">
        <w:rPr>
          <w:rFonts w:ascii="Arial" w:hAnsi="Arial" w:cs="Arial"/>
          <w:bCs/>
          <w:sz w:val="24"/>
          <w:szCs w:val="24"/>
        </w:rPr>
        <w:t>Tesis: I.3o.C. J/47</w:t>
      </w:r>
      <w:r w:rsidR="007C1394">
        <w:rPr>
          <w:rFonts w:ascii="Arial" w:hAnsi="Arial" w:cs="Arial"/>
          <w:bCs/>
          <w:sz w:val="24"/>
          <w:szCs w:val="24"/>
        </w:rPr>
        <w:t>, visible en el</w:t>
      </w:r>
      <w:r w:rsidR="007C1394" w:rsidRPr="007C1394">
        <w:rPr>
          <w:rFonts w:ascii="Arial" w:hAnsi="Arial" w:cs="Arial"/>
          <w:bCs/>
          <w:sz w:val="24"/>
          <w:szCs w:val="24"/>
        </w:rPr>
        <w:t xml:space="preserve"> Semanario Judicial de la Federación y su Gaceta. Tomo XXVII, Febrero de 2008, página 1964</w:t>
      </w:r>
      <w:r w:rsidR="007C1394">
        <w:rPr>
          <w:rFonts w:ascii="Arial" w:hAnsi="Arial" w:cs="Arial"/>
          <w:bCs/>
          <w:sz w:val="24"/>
          <w:szCs w:val="24"/>
        </w:rPr>
        <w:t>, con el texto y rubro siguiente:</w:t>
      </w:r>
    </w:p>
    <w:p w14:paraId="37C13F2A" w14:textId="602B5307" w:rsidR="007C1394" w:rsidRPr="00956047" w:rsidRDefault="007C1394" w:rsidP="00956047">
      <w:pPr>
        <w:spacing w:line="276" w:lineRule="auto"/>
        <w:ind w:left="567" w:right="566"/>
        <w:jc w:val="both"/>
        <w:rPr>
          <w:rFonts w:ascii="Arial" w:hAnsi="Arial" w:cs="Arial"/>
          <w:bCs/>
          <w:i/>
          <w:iCs/>
        </w:rPr>
      </w:pPr>
      <w:r w:rsidRPr="00956047">
        <w:rPr>
          <w:rFonts w:ascii="Arial" w:hAnsi="Arial" w:cs="Arial"/>
          <w:bCs/>
          <w:i/>
          <w:iCs/>
        </w:rPr>
        <w:t>“</w:t>
      </w:r>
      <w:r w:rsidRPr="00956047">
        <w:rPr>
          <w:rFonts w:ascii="Arial" w:hAnsi="Arial" w:cs="Arial"/>
          <w:b/>
          <w:i/>
          <w:iCs/>
        </w:rPr>
        <w:t>FUNDAMENTACIÓN Y MOTIVACIÓN. LA DIFERENCIA ENTRE LA FALTA Y LA INDEBIDA SATISFACCIÓN DE AMBOS REQUISITOS CONSTITUCIONALES TRASCIENDE AL ORDEN EN QUE DEBEN ESTUDIARSE LOS CONCEPTOS DE VIOLACIÓN Y A LOS EFECTOS DEL FALLO PROTECTOR.</w:t>
      </w:r>
      <w:r w:rsidRPr="00956047">
        <w:rPr>
          <w:rFonts w:ascii="Arial" w:hAnsi="Arial" w:cs="Arial"/>
          <w:bCs/>
          <w:i/>
          <w:iC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w:t>
      </w:r>
      <w:r w:rsidRPr="00956047">
        <w:rPr>
          <w:rFonts w:ascii="Arial" w:hAnsi="Arial" w:cs="Arial"/>
          <w:bCs/>
          <w:i/>
          <w:iCs/>
        </w:rPr>
        <w:lastRenderedPageBreak/>
        <w:t>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0582A3D7" w14:textId="1912EED5" w:rsidR="00956047" w:rsidRPr="00956047" w:rsidRDefault="00956047" w:rsidP="00956047">
      <w:pPr>
        <w:spacing w:line="360" w:lineRule="auto"/>
        <w:ind w:firstLine="567"/>
        <w:jc w:val="both"/>
        <w:rPr>
          <w:rFonts w:ascii="Arial" w:hAnsi="Arial" w:cs="Arial"/>
          <w:bCs/>
          <w:sz w:val="24"/>
          <w:szCs w:val="24"/>
        </w:rPr>
      </w:pPr>
      <w:r>
        <w:rPr>
          <w:rFonts w:ascii="Arial" w:hAnsi="Arial" w:cs="Arial"/>
          <w:bCs/>
          <w:sz w:val="24"/>
          <w:szCs w:val="24"/>
        </w:rPr>
        <w:t xml:space="preserve">Al igual que la jurisprudencia de la Novena época, con número de </w:t>
      </w:r>
      <w:r w:rsidRPr="00956047">
        <w:rPr>
          <w:rFonts w:ascii="Arial" w:hAnsi="Arial" w:cs="Arial"/>
          <w:bCs/>
          <w:sz w:val="24"/>
          <w:szCs w:val="24"/>
        </w:rPr>
        <w:t>Registro digital: 177347</w:t>
      </w:r>
      <w:r>
        <w:rPr>
          <w:rFonts w:ascii="Arial" w:hAnsi="Arial" w:cs="Arial"/>
          <w:bCs/>
          <w:sz w:val="24"/>
          <w:szCs w:val="24"/>
        </w:rPr>
        <w:t xml:space="preserve">, </w:t>
      </w:r>
      <w:r w:rsidRPr="00956047">
        <w:rPr>
          <w:rFonts w:ascii="Arial" w:hAnsi="Arial" w:cs="Arial"/>
          <w:bCs/>
          <w:sz w:val="24"/>
          <w:szCs w:val="24"/>
        </w:rPr>
        <w:t>Materia(s): Administrativa</w:t>
      </w:r>
      <w:r>
        <w:rPr>
          <w:rFonts w:ascii="Arial" w:hAnsi="Arial" w:cs="Arial"/>
          <w:bCs/>
          <w:sz w:val="24"/>
          <w:szCs w:val="24"/>
        </w:rPr>
        <w:t xml:space="preserve">, </w:t>
      </w:r>
      <w:r w:rsidRPr="00956047">
        <w:rPr>
          <w:rFonts w:ascii="Arial" w:hAnsi="Arial" w:cs="Arial"/>
          <w:bCs/>
          <w:sz w:val="24"/>
          <w:szCs w:val="24"/>
        </w:rPr>
        <w:t>Tesis: 2a./J. 115/2005</w:t>
      </w:r>
      <w:r>
        <w:rPr>
          <w:rFonts w:ascii="Arial" w:hAnsi="Arial" w:cs="Arial"/>
          <w:bCs/>
          <w:sz w:val="24"/>
          <w:szCs w:val="24"/>
        </w:rPr>
        <w:t xml:space="preserve">, visible en el </w:t>
      </w:r>
      <w:r w:rsidRPr="00956047">
        <w:rPr>
          <w:rFonts w:ascii="Arial" w:hAnsi="Arial" w:cs="Arial"/>
          <w:bCs/>
          <w:sz w:val="24"/>
          <w:szCs w:val="24"/>
        </w:rPr>
        <w:t>Semanario Judicial de la Federación y su Gaceta. Tomo XXII, septiembre de 2005, página 310</w:t>
      </w:r>
      <w:r>
        <w:rPr>
          <w:rFonts w:ascii="Arial" w:hAnsi="Arial" w:cs="Arial"/>
          <w:bCs/>
          <w:sz w:val="24"/>
          <w:szCs w:val="24"/>
        </w:rPr>
        <w:t>, con el rubro y texto siguientes:</w:t>
      </w:r>
    </w:p>
    <w:p w14:paraId="1BC7F98B" w14:textId="227715B0" w:rsidR="00956047" w:rsidRPr="00033D8A" w:rsidRDefault="00956047" w:rsidP="00F33633">
      <w:pPr>
        <w:spacing w:line="276" w:lineRule="auto"/>
        <w:ind w:left="567" w:right="425"/>
        <w:jc w:val="both"/>
        <w:rPr>
          <w:rFonts w:ascii="Arial" w:hAnsi="Arial" w:cs="Arial"/>
          <w:bCs/>
          <w:i/>
          <w:iCs/>
        </w:rPr>
      </w:pPr>
      <w:r w:rsidRPr="00956047">
        <w:rPr>
          <w:rFonts w:ascii="Arial" w:hAnsi="Arial" w:cs="Arial"/>
          <w:bCs/>
          <w:i/>
          <w:iCs/>
        </w:rPr>
        <w:t>“</w:t>
      </w:r>
      <w:r w:rsidRPr="00956047">
        <w:rPr>
          <w:rFonts w:ascii="Arial" w:hAnsi="Arial" w:cs="Arial"/>
          <w:b/>
          <w:i/>
          <w:iC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956047">
        <w:rPr>
          <w:rFonts w:ascii="Arial" w:hAnsi="Arial" w:cs="Arial"/>
          <w:bCs/>
          <w:i/>
          <w:iC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w:t>
      </w:r>
      <w:r w:rsidRPr="00956047">
        <w:rPr>
          <w:rFonts w:ascii="Arial" w:hAnsi="Arial" w:cs="Arial"/>
          <w:bCs/>
          <w:i/>
          <w:iCs/>
        </w:rPr>
        <w:lastRenderedPageBreak/>
        <w:t xml:space="preserve">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w:t>
      </w:r>
      <w:bookmarkStart w:id="0" w:name="_Hlk66364339"/>
      <w:r w:rsidRPr="00956047">
        <w:rPr>
          <w:rFonts w:ascii="Arial" w:hAnsi="Arial" w:cs="Arial"/>
          <w:bCs/>
          <w:i/>
          <w:iCs/>
        </w:rPr>
        <w:t>citando en su caso el apartado, fracción, inciso o subinciso; sin embargo, en caso de que el ordenamiento legal no los contenga, si se trata de una norma compleja, habrá de transcribirse la parte correspondiente</w:t>
      </w:r>
      <w:bookmarkEnd w:id="0"/>
      <w:r w:rsidRPr="00956047">
        <w:rPr>
          <w:rFonts w:ascii="Arial" w:hAnsi="Arial" w:cs="Arial"/>
          <w:bCs/>
          <w:i/>
          <w:iCs/>
        </w:rPr>
        <w:t>,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76B6FE2" w14:textId="30833FB0" w:rsidR="008D2F6D" w:rsidRPr="00125F40" w:rsidRDefault="002A6988" w:rsidP="008D2F6D">
      <w:pPr>
        <w:pStyle w:val="Textoindependienteprimerasangra"/>
        <w:spacing w:line="360" w:lineRule="auto"/>
        <w:ind w:firstLine="567"/>
        <w:jc w:val="both"/>
        <w:rPr>
          <w:rFonts w:ascii="Arial" w:hAnsi="Arial" w:cs="Arial"/>
          <w:i/>
          <w:iCs/>
        </w:rPr>
      </w:pPr>
      <w:r>
        <w:rPr>
          <w:rFonts w:ascii="Arial" w:eastAsia="Calibri" w:hAnsi="Arial" w:cs="Arial"/>
          <w:b/>
          <w:sz w:val="24"/>
          <w:szCs w:val="24"/>
          <w:lang w:val="es-ES"/>
        </w:rPr>
        <w:t>TERCERO</w:t>
      </w:r>
      <w:r w:rsidR="005D2794">
        <w:rPr>
          <w:rFonts w:ascii="Arial" w:eastAsia="Calibri" w:hAnsi="Arial" w:cs="Arial"/>
          <w:b/>
          <w:sz w:val="24"/>
          <w:szCs w:val="24"/>
          <w:lang w:val="es-ES"/>
        </w:rPr>
        <w:t>.</w:t>
      </w:r>
      <w:r w:rsidR="005D2794">
        <w:rPr>
          <w:rFonts w:ascii="Arial" w:eastAsia="Calibri" w:hAnsi="Arial" w:cs="Arial"/>
          <w:sz w:val="24"/>
          <w:szCs w:val="24"/>
          <w:lang w:val="es-ES"/>
        </w:rPr>
        <w:t xml:space="preserve"> </w:t>
      </w:r>
      <w:r w:rsidR="008D2F6D" w:rsidRPr="000E232D">
        <w:rPr>
          <w:rFonts w:ascii="Arial" w:hAnsi="Arial" w:cs="Arial"/>
          <w:b/>
          <w:bCs/>
          <w:sz w:val="24"/>
          <w:szCs w:val="24"/>
        </w:rPr>
        <w:t xml:space="preserve">Cálculo de la indemnización constitucional y demás prestaciones. </w:t>
      </w:r>
      <w:r w:rsidR="008D2F6D" w:rsidRPr="000E232D">
        <w:rPr>
          <w:rFonts w:ascii="Arial" w:hAnsi="Arial" w:cs="Arial"/>
          <w:sz w:val="24"/>
          <w:szCs w:val="24"/>
        </w:rPr>
        <w:t>Cabe</w:t>
      </w:r>
      <w:r w:rsidR="008D2F6D" w:rsidRPr="008C2059">
        <w:rPr>
          <w:rFonts w:ascii="Arial" w:hAnsi="Arial" w:cs="Arial"/>
          <w:sz w:val="24"/>
          <w:szCs w:val="24"/>
        </w:rPr>
        <w:t xml:space="preserv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 caso conduciría a que el hoy actor, fuera reincorporado al cargo que desempeñaba </w:t>
      </w:r>
      <w:r w:rsidR="008D2F6D">
        <w:rPr>
          <w:rFonts w:ascii="Arial" w:hAnsi="Arial" w:cs="Arial"/>
          <w:sz w:val="24"/>
          <w:szCs w:val="24"/>
        </w:rPr>
        <w:t>como Agente Estatal de Investigaciones adscrito a la Fiscalía General del Estado</w:t>
      </w:r>
      <w:r w:rsidR="008D2F6D" w:rsidRPr="008C2059">
        <w:rPr>
          <w:rFonts w:ascii="Arial" w:hAnsi="Arial" w:cs="Arial"/>
          <w:sz w:val="24"/>
          <w:szCs w:val="24"/>
        </w:rPr>
        <w:t xml:space="preserve">; sin embargo </w:t>
      </w:r>
      <w:r w:rsidR="008D2F6D" w:rsidRPr="00A24B73">
        <w:rPr>
          <w:rFonts w:ascii="Arial" w:hAnsi="Arial" w:cs="Arial"/>
          <w:b/>
          <w:sz w:val="24"/>
          <w:szCs w:val="24"/>
        </w:rPr>
        <w:t>esto resulta improcedente</w:t>
      </w:r>
      <w:r w:rsidR="008D2F6D" w:rsidRPr="008C2059">
        <w:rPr>
          <w:rFonts w:ascii="Arial" w:hAnsi="Arial" w:cs="Arial"/>
          <w:sz w:val="24"/>
          <w:szCs w:val="24"/>
        </w:rPr>
        <w:t>, por la restricción expresa del artículo 123 Apartado B fracción XIII, primero y segundo párrafo de la Constitución Federal, que prohíbe en todos los casos la reincorporación al servicio policial, cualquiera que hubiera sido el resultado del juicio o medio de defensa promovido y solo tiene derecho a l</w:t>
      </w:r>
      <w:r w:rsidR="008D2F6D">
        <w:rPr>
          <w:rFonts w:ascii="Arial" w:hAnsi="Arial" w:cs="Arial"/>
          <w:sz w:val="24"/>
          <w:szCs w:val="24"/>
        </w:rPr>
        <w:t>a indemnización constitucional.</w:t>
      </w:r>
    </w:p>
    <w:p w14:paraId="5FAFE5C6" w14:textId="77777777" w:rsidR="008D2F6D" w:rsidRPr="008C2059" w:rsidRDefault="008D2F6D" w:rsidP="008D2F6D">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14:paraId="7A0ED15D" w14:textId="77777777" w:rsidR="008D2F6D" w:rsidRPr="008C2059" w:rsidRDefault="008D2F6D" w:rsidP="008D2F6D">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 xml:space="preserve">De ahí que, si bien es cierto el derecho humano al trabajo, está reconocido por la Constitución Federal y por los Tratados Internacionales ratificados por el Estado Mexicano, cierto es también, que este derecho tiene una restricción expresa tratándose de los Agentes del Ministerio Público, Peritos y miembros de las Instituciones Policiales de la Federación, las entidades Federativas y los </w:t>
      </w:r>
      <w:r w:rsidRPr="008C2059">
        <w:rPr>
          <w:rFonts w:ascii="Arial" w:hAnsi="Arial" w:cs="Arial"/>
          <w:sz w:val="24"/>
          <w:szCs w:val="24"/>
        </w:rPr>
        <w:lastRenderedPageBreak/>
        <w:t xml:space="preserve">Municipios, los cuales están contenidos en la fracción XIII </w:t>
      </w:r>
      <w:r>
        <w:rPr>
          <w:rFonts w:ascii="Arial" w:hAnsi="Arial" w:cs="Arial"/>
          <w:sz w:val="24"/>
          <w:szCs w:val="24"/>
        </w:rPr>
        <w:t xml:space="preserve">apartado B, </w:t>
      </w:r>
      <w:r w:rsidRPr="008C2059">
        <w:rPr>
          <w:rFonts w:ascii="Arial" w:hAnsi="Arial" w:cs="Arial"/>
          <w:sz w:val="24"/>
          <w:szCs w:val="24"/>
        </w:rPr>
        <w:t>del artículo 123 de la Constitución Federal.</w:t>
      </w:r>
    </w:p>
    <w:p w14:paraId="2582E754" w14:textId="77777777" w:rsidR="008D2F6D" w:rsidRPr="008C2059" w:rsidRDefault="008D2F6D" w:rsidP="008D2F6D">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de que, el actor solo tendrá derecho a una indemnización constitucional.</w:t>
      </w:r>
    </w:p>
    <w:p w14:paraId="29F155D0" w14:textId="143CE551" w:rsidR="008D2F6D" w:rsidRPr="008C2059" w:rsidRDefault="008D2F6D" w:rsidP="008D2F6D">
      <w:pPr>
        <w:pStyle w:val="Textoindependienteprimerasangra"/>
        <w:spacing w:line="360" w:lineRule="auto"/>
        <w:ind w:firstLine="567"/>
        <w:jc w:val="both"/>
        <w:rPr>
          <w:rFonts w:ascii="Arial" w:hAnsi="Arial" w:cs="Arial"/>
          <w:sz w:val="24"/>
          <w:szCs w:val="24"/>
        </w:rPr>
      </w:pPr>
      <w:r w:rsidRPr="008C2059">
        <w:rPr>
          <w:rFonts w:ascii="Arial" w:hAnsi="Arial" w:cs="Arial"/>
          <w:sz w:val="24"/>
          <w:szCs w:val="24"/>
        </w:rPr>
        <w:t xml:space="preserve">Sirve de apoyo a lo anterior, la Jurisprudencia de la </w:t>
      </w:r>
      <w:r w:rsidR="00F33633" w:rsidRPr="008C2059">
        <w:rPr>
          <w:rFonts w:ascii="Arial" w:hAnsi="Arial" w:cs="Arial"/>
          <w:sz w:val="24"/>
          <w:szCs w:val="24"/>
        </w:rPr>
        <w:t xml:space="preserve">décima época </w:t>
      </w:r>
      <w:r w:rsidRPr="008C2059">
        <w:rPr>
          <w:rFonts w:ascii="Arial" w:hAnsi="Arial" w:cs="Arial"/>
          <w:sz w:val="24"/>
          <w:szCs w:val="24"/>
        </w:rPr>
        <w:t xml:space="preserve">con número de </w:t>
      </w:r>
      <w:r w:rsidR="00F33633">
        <w:rPr>
          <w:rFonts w:ascii="Arial" w:hAnsi="Arial" w:cs="Arial"/>
          <w:sz w:val="24"/>
          <w:szCs w:val="24"/>
        </w:rPr>
        <w:t>registro</w:t>
      </w:r>
      <w:r w:rsidRPr="008C2059">
        <w:rPr>
          <w:rFonts w:ascii="Arial" w:hAnsi="Arial" w:cs="Arial"/>
          <w:sz w:val="24"/>
          <w:szCs w:val="24"/>
        </w:rPr>
        <w:t xml:space="preserve"> 2006224, sustentada por el Pleno de la Suprema Corte de Justicia de la Nación, visible en la Gaceta del Semana</w:t>
      </w:r>
      <w:r w:rsidR="00E16BF0">
        <w:rPr>
          <w:rFonts w:ascii="Arial" w:hAnsi="Arial" w:cs="Arial"/>
          <w:sz w:val="24"/>
          <w:szCs w:val="24"/>
        </w:rPr>
        <w:t>rio Judicial de la Federación, l</w:t>
      </w:r>
      <w:r w:rsidRPr="008C2059">
        <w:rPr>
          <w:rFonts w:ascii="Arial" w:hAnsi="Arial" w:cs="Arial"/>
          <w:sz w:val="24"/>
          <w:szCs w:val="24"/>
        </w:rPr>
        <w:t>ibro 5, abril de 2014, Tomo I, página: 202, con el rubro y texto siguientes:</w:t>
      </w:r>
    </w:p>
    <w:p w14:paraId="27090190" w14:textId="1F8DB247" w:rsidR="00100A68" w:rsidRPr="00100A68" w:rsidRDefault="008D2F6D" w:rsidP="00AC2470">
      <w:pPr>
        <w:pStyle w:val="Textoindependienteprimerasangra"/>
        <w:spacing w:after="0" w:line="276" w:lineRule="auto"/>
        <w:ind w:left="567" w:right="425" w:firstLine="0"/>
        <w:jc w:val="both"/>
        <w:rPr>
          <w:rFonts w:ascii="Arial" w:hAnsi="Arial" w:cs="Arial"/>
          <w:i/>
          <w:iCs/>
        </w:rPr>
      </w:pPr>
      <w:r w:rsidRPr="00075FFB">
        <w:rPr>
          <w:rFonts w:ascii="Arial" w:hAnsi="Arial" w:cs="Arial"/>
        </w:rPr>
        <w:t>“</w:t>
      </w:r>
      <w:r w:rsidRPr="00075FFB">
        <w:rPr>
          <w:rFonts w:ascii="Arial" w:hAnsi="Arial" w:cs="Arial"/>
          <w:b/>
          <w:bCs/>
          <w:i/>
          <w:iCs/>
        </w:rPr>
        <w:t>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w:t>
      </w:r>
      <w:r w:rsidRPr="00075FFB">
        <w:rPr>
          <w:rFonts w:ascii="Arial" w:hAnsi="Arial" w:cs="Arial"/>
          <w:i/>
          <w:iCs/>
        </w:rPr>
        <w:t xml:space="preserve"> El primer párrafo del artículo 1o. constitucional reconoce un conjunto de derechos humanos cuyas fuentes son la Constitución y los tratados 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parte del orden jurídico mexicano.”</w:t>
      </w:r>
    </w:p>
    <w:p w14:paraId="4997F159" w14:textId="77777777" w:rsidR="00524DBA" w:rsidRDefault="00524DBA" w:rsidP="00524DBA">
      <w:pPr>
        <w:spacing w:after="0" w:line="360" w:lineRule="auto"/>
        <w:ind w:firstLine="567"/>
        <w:jc w:val="both"/>
        <w:rPr>
          <w:rFonts w:ascii="Arial" w:eastAsia="Calibri" w:hAnsi="Arial" w:cs="Arial"/>
          <w:sz w:val="24"/>
          <w:szCs w:val="24"/>
          <w:lang w:val="es-ES"/>
        </w:rPr>
      </w:pPr>
    </w:p>
    <w:p w14:paraId="7AAE311E" w14:textId="18EC90C0" w:rsidR="00F503CC" w:rsidRDefault="005D2794" w:rsidP="00156D35">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Ahora, este juzgador procede a cuantificar el monto que le corresponde al actor </w:t>
      </w:r>
      <w:r w:rsidR="00FE2C5F">
        <w:rPr>
          <w:rFonts w:ascii="Arial" w:eastAsia="Times New Roman" w:hAnsi="Arial" w:cs="Arial"/>
          <w:bCs/>
          <w:iCs/>
          <w:caps/>
          <w:kern w:val="2"/>
          <w:sz w:val="24"/>
          <w:szCs w:val="24"/>
          <w:lang w:val="es-ES_tradnl" w:eastAsia="es-ES"/>
        </w:rPr>
        <w:t>**********</w:t>
      </w:r>
      <w:r>
        <w:rPr>
          <w:rFonts w:ascii="Arial" w:eastAsia="Calibri" w:hAnsi="Arial" w:cs="Arial"/>
          <w:b/>
          <w:sz w:val="24"/>
          <w:szCs w:val="24"/>
          <w:lang w:val="es-ES"/>
        </w:rPr>
        <w:t xml:space="preserve">, </w:t>
      </w:r>
      <w:r>
        <w:rPr>
          <w:rFonts w:ascii="Arial" w:eastAsia="Calibri" w:hAnsi="Arial" w:cs="Arial"/>
          <w:sz w:val="24"/>
          <w:szCs w:val="24"/>
          <w:lang w:val="es-ES"/>
        </w:rPr>
        <w:t xml:space="preserve">para ello </w:t>
      </w:r>
      <w:r w:rsidR="00F503CC">
        <w:rPr>
          <w:rFonts w:ascii="Arial" w:eastAsia="Calibri" w:hAnsi="Arial" w:cs="Arial"/>
          <w:sz w:val="24"/>
          <w:szCs w:val="24"/>
          <w:lang w:val="es-ES"/>
        </w:rPr>
        <w:t xml:space="preserve">se debe </w:t>
      </w:r>
      <w:r>
        <w:rPr>
          <w:rFonts w:ascii="Arial" w:eastAsia="Calibri" w:hAnsi="Arial" w:cs="Arial"/>
          <w:sz w:val="24"/>
          <w:szCs w:val="24"/>
          <w:lang w:val="es-ES"/>
        </w:rPr>
        <w:t xml:space="preserve">de tomar en cuenta </w:t>
      </w:r>
      <w:r w:rsidRPr="00F503CC">
        <w:rPr>
          <w:rFonts w:ascii="Arial" w:eastAsia="Calibri" w:hAnsi="Arial" w:cs="Arial"/>
          <w:b/>
          <w:sz w:val="24"/>
          <w:szCs w:val="24"/>
          <w:lang w:val="es-ES"/>
        </w:rPr>
        <w:t>el salario</w:t>
      </w:r>
      <w:r>
        <w:rPr>
          <w:rFonts w:ascii="Arial" w:eastAsia="Calibri" w:hAnsi="Arial" w:cs="Arial"/>
          <w:sz w:val="24"/>
          <w:szCs w:val="24"/>
          <w:lang w:val="es-ES"/>
        </w:rPr>
        <w:t xml:space="preserve"> que percibía el actor al momento de su baja como </w:t>
      </w:r>
      <w:r w:rsidR="00DC6591">
        <w:rPr>
          <w:rFonts w:ascii="Arial" w:eastAsia="Calibri" w:hAnsi="Arial" w:cs="Arial"/>
          <w:sz w:val="24"/>
          <w:szCs w:val="24"/>
          <w:lang w:val="es-ES"/>
        </w:rPr>
        <w:t>Agente Estatal de Investigaciones</w:t>
      </w:r>
      <w:r>
        <w:rPr>
          <w:rFonts w:ascii="Arial" w:eastAsia="Calibri" w:hAnsi="Arial" w:cs="Arial"/>
          <w:sz w:val="24"/>
          <w:szCs w:val="24"/>
          <w:lang w:val="es-ES"/>
        </w:rPr>
        <w:t xml:space="preserve">, y </w:t>
      </w:r>
      <w:r w:rsidRPr="00F503CC">
        <w:rPr>
          <w:rFonts w:ascii="Arial" w:eastAsia="Calibri" w:hAnsi="Arial" w:cs="Arial"/>
          <w:b/>
          <w:sz w:val="24"/>
          <w:szCs w:val="24"/>
          <w:lang w:val="es-ES"/>
        </w:rPr>
        <w:t>el tiempo</w:t>
      </w:r>
      <w:r>
        <w:rPr>
          <w:rFonts w:ascii="Arial" w:eastAsia="Calibri" w:hAnsi="Arial" w:cs="Arial"/>
          <w:sz w:val="24"/>
          <w:szCs w:val="24"/>
          <w:lang w:val="es-ES"/>
        </w:rPr>
        <w:t xml:space="preserve"> que llevaba laborando en dicha institución; información que </w:t>
      </w:r>
      <w:r w:rsidR="00F503CC">
        <w:rPr>
          <w:rFonts w:ascii="Arial" w:eastAsia="Calibri" w:hAnsi="Arial" w:cs="Arial"/>
          <w:sz w:val="24"/>
          <w:szCs w:val="24"/>
          <w:lang w:val="es-ES"/>
        </w:rPr>
        <w:t xml:space="preserve">se obtiene </w:t>
      </w:r>
      <w:r w:rsidR="00BD6A84">
        <w:rPr>
          <w:rFonts w:ascii="Arial" w:eastAsia="Calibri" w:hAnsi="Arial" w:cs="Arial"/>
          <w:sz w:val="24"/>
          <w:szCs w:val="24"/>
          <w:lang w:val="es-ES"/>
        </w:rPr>
        <w:t xml:space="preserve">de las copias certificadas de los talones de pago </w:t>
      </w:r>
      <w:r w:rsidR="002407CF">
        <w:rPr>
          <w:rFonts w:ascii="Arial" w:eastAsia="Calibri" w:hAnsi="Arial" w:cs="Arial"/>
          <w:sz w:val="24"/>
          <w:szCs w:val="24"/>
          <w:lang w:val="es-ES"/>
        </w:rPr>
        <w:t>de quince y treinta</w:t>
      </w:r>
      <w:r w:rsidR="0018470B">
        <w:rPr>
          <w:rFonts w:ascii="Arial" w:eastAsia="Calibri" w:hAnsi="Arial" w:cs="Arial"/>
          <w:sz w:val="24"/>
          <w:szCs w:val="24"/>
          <w:lang w:val="es-ES"/>
        </w:rPr>
        <w:t xml:space="preserve"> y uno</w:t>
      </w:r>
      <w:r w:rsidR="002407CF">
        <w:rPr>
          <w:rFonts w:ascii="Arial" w:eastAsia="Calibri" w:hAnsi="Arial" w:cs="Arial"/>
          <w:sz w:val="24"/>
          <w:szCs w:val="24"/>
          <w:lang w:val="es-ES"/>
        </w:rPr>
        <w:t xml:space="preserve"> de enero de dos mil veinte, </w:t>
      </w:r>
      <w:r w:rsidR="00256BAE">
        <w:rPr>
          <w:rFonts w:ascii="Arial" w:eastAsia="Calibri" w:hAnsi="Arial" w:cs="Arial"/>
          <w:sz w:val="24"/>
          <w:szCs w:val="24"/>
          <w:lang w:val="es-ES"/>
        </w:rPr>
        <w:t xml:space="preserve">de las copias simples de los estados de cuenta emitidos por la Institución Bancaria </w:t>
      </w:r>
      <w:r w:rsidR="006035FB">
        <w:rPr>
          <w:rFonts w:ascii="Arial" w:eastAsia="Calibri" w:hAnsi="Arial" w:cs="Arial"/>
          <w:sz w:val="24"/>
          <w:szCs w:val="24"/>
          <w:lang w:val="es-ES"/>
        </w:rPr>
        <w:t xml:space="preserve">Citibanamex y con la copia certificada del nombramiento de </w:t>
      </w:r>
      <w:r w:rsidR="00583257">
        <w:rPr>
          <w:rFonts w:ascii="Arial" w:eastAsia="Calibri" w:hAnsi="Arial" w:cs="Arial"/>
          <w:sz w:val="24"/>
          <w:szCs w:val="24"/>
          <w:lang w:val="es-ES"/>
        </w:rPr>
        <w:lastRenderedPageBreak/>
        <w:t>dieciséis</w:t>
      </w:r>
      <w:r w:rsidR="004F587C">
        <w:rPr>
          <w:rFonts w:ascii="Arial" w:eastAsia="Calibri" w:hAnsi="Arial" w:cs="Arial"/>
          <w:sz w:val="24"/>
          <w:szCs w:val="24"/>
          <w:lang w:val="es-ES"/>
        </w:rPr>
        <w:t xml:space="preserve"> de junio de mil novecientos noventa</w:t>
      </w:r>
      <w:r w:rsidR="00156D35">
        <w:rPr>
          <w:rFonts w:ascii="Arial" w:eastAsia="Calibri" w:hAnsi="Arial" w:cs="Arial"/>
          <w:sz w:val="24"/>
          <w:szCs w:val="24"/>
          <w:lang w:val="es-ES"/>
        </w:rPr>
        <w:t xml:space="preserve">, emitido por el entonces Procurador </w:t>
      </w:r>
      <w:r w:rsidR="00F503CC">
        <w:rPr>
          <w:rFonts w:ascii="Arial" w:eastAsia="Calibri" w:hAnsi="Arial" w:cs="Arial"/>
          <w:sz w:val="24"/>
          <w:szCs w:val="24"/>
          <w:lang w:val="es-ES"/>
        </w:rPr>
        <w:t>General de Justicia del Estado.</w:t>
      </w:r>
    </w:p>
    <w:p w14:paraId="62812EB7" w14:textId="1B53AD68" w:rsidR="005D2794" w:rsidRPr="00802AA1" w:rsidRDefault="00F503CC" w:rsidP="00802AA1">
      <w:pPr>
        <w:pStyle w:val="Textoindependienteprimerasangra"/>
        <w:spacing w:line="360" w:lineRule="auto"/>
        <w:ind w:firstLine="567"/>
        <w:jc w:val="both"/>
        <w:rPr>
          <w:rFonts w:ascii="Arial" w:eastAsia="Calibri" w:hAnsi="Arial" w:cs="Arial"/>
          <w:sz w:val="24"/>
          <w:szCs w:val="24"/>
          <w:lang w:val="es-ES"/>
        </w:rPr>
      </w:pPr>
      <w:r w:rsidRPr="00E24FE0">
        <w:rPr>
          <w:rFonts w:ascii="Arial" w:hAnsi="Arial" w:cs="Arial"/>
          <w:sz w:val="24"/>
          <w:szCs w:val="24"/>
        </w:rPr>
        <w:t>De donde obtenemos, que</w:t>
      </w:r>
      <w:r w:rsidRPr="008C2059">
        <w:rPr>
          <w:rFonts w:ascii="Arial" w:hAnsi="Arial" w:cs="Arial"/>
          <w:sz w:val="24"/>
          <w:szCs w:val="24"/>
        </w:rPr>
        <w:t xml:space="preserve"> el actor</w:t>
      </w:r>
      <w:r w:rsidR="00802AA1">
        <w:rPr>
          <w:rFonts w:ascii="Arial" w:hAnsi="Arial" w:cs="Arial"/>
          <w:sz w:val="24"/>
          <w:szCs w:val="24"/>
        </w:rPr>
        <w:t xml:space="preserve"> al momento de despido </w:t>
      </w:r>
      <w:r>
        <w:rPr>
          <w:rFonts w:ascii="Arial" w:hAnsi="Arial" w:cs="Arial"/>
          <w:sz w:val="24"/>
          <w:szCs w:val="24"/>
        </w:rPr>
        <w:t xml:space="preserve">contaba con una antigüedad de </w:t>
      </w:r>
      <w:r w:rsidR="00D5244B">
        <w:rPr>
          <w:rFonts w:ascii="Arial" w:hAnsi="Arial" w:cs="Arial"/>
          <w:b/>
          <w:sz w:val="24"/>
          <w:szCs w:val="24"/>
          <w:lang w:val="es-ES"/>
        </w:rPr>
        <w:t xml:space="preserve">veintinueve años, </w:t>
      </w:r>
      <w:r w:rsidRPr="00F503CC">
        <w:rPr>
          <w:rFonts w:ascii="Arial" w:hAnsi="Arial" w:cs="Arial"/>
          <w:b/>
          <w:sz w:val="24"/>
          <w:szCs w:val="24"/>
          <w:lang w:val="es-ES"/>
        </w:rPr>
        <w:t>siete meses</w:t>
      </w:r>
      <w:r>
        <w:rPr>
          <w:rFonts w:ascii="Arial" w:hAnsi="Arial" w:cs="Arial"/>
          <w:sz w:val="24"/>
          <w:szCs w:val="24"/>
        </w:rPr>
        <w:t xml:space="preserve"> </w:t>
      </w:r>
      <w:r w:rsidR="00D5244B">
        <w:rPr>
          <w:rFonts w:ascii="Arial" w:hAnsi="Arial" w:cs="Arial"/>
          <w:b/>
          <w:sz w:val="24"/>
          <w:szCs w:val="24"/>
        </w:rPr>
        <w:t xml:space="preserve">y dos días </w:t>
      </w:r>
      <w:r>
        <w:rPr>
          <w:rFonts w:ascii="Arial" w:hAnsi="Arial" w:cs="Arial"/>
          <w:sz w:val="24"/>
          <w:szCs w:val="24"/>
        </w:rPr>
        <w:t>(</w:t>
      </w:r>
      <w:r w:rsidR="00B44674">
        <w:rPr>
          <w:rFonts w:ascii="Arial" w:hAnsi="Arial" w:cs="Arial"/>
          <w:sz w:val="24"/>
          <w:szCs w:val="24"/>
        </w:rPr>
        <w:t xml:space="preserve">dieciséis </w:t>
      </w:r>
      <w:r>
        <w:rPr>
          <w:rFonts w:ascii="Arial" w:hAnsi="Arial" w:cs="Arial"/>
          <w:sz w:val="24"/>
          <w:szCs w:val="24"/>
        </w:rPr>
        <w:t xml:space="preserve">de junio de mil novecientos noventa al dieciocho de enero de dos mil veinte) y que </w:t>
      </w:r>
      <w:r w:rsidRPr="008C2059">
        <w:rPr>
          <w:rFonts w:ascii="Arial" w:hAnsi="Arial" w:cs="Arial"/>
          <w:sz w:val="24"/>
          <w:szCs w:val="24"/>
        </w:rPr>
        <w:t xml:space="preserve">percibía un </w:t>
      </w:r>
      <w:r w:rsidR="005D2794">
        <w:rPr>
          <w:rFonts w:ascii="Arial" w:eastAsia="Calibri" w:hAnsi="Arial" w:cs="Arial"/>
          <w:sz w:val="24"/>
          <w:szCs w:val="24"/>
          <w:lang w:val="es-ES"/>
        </w:rPr>
        <w:t xml:space="preserve">salario mensual </w:t>
      </w:r>
      <w:r w:rsidR="0001336C">
        <w:rPr>
          <w:rFonts w:ascii="Arial" w:eastAsia="Calibri" w:hAnsi="Arial" w:cs="Arial"/>
          <w:sz w:val="24"/>
          <w:szCs w:val="24"/>
          <w:lang w:val="es-ES"/>
        </w:rPr>
        <w:t xml:space="preserve">por </w:t>
      </w:r>
      <w:r w:rsidR="005D2794">
        <w:rPr>
          <w:rFonts w:ascii="Arial" w:eastAsia="Calibri" w:hAnsi="Arial" w:cs="Arial"/>
          <w:sz w:val="24"/>
          <w:szCs w:val="24"/>
          <w:lang w:val="es-ES"/>
        </w:rPr>
        <w:t xml:space="preserve">la cantidad de </w:t>
      </w:r>
      <w:r w:rsidR="005D2794">
        <w:rPr>
          <w:rFonts w:ascii="Arial" w:eastAsia="Calibri" w:hAnsi="Arial" w:cs="Arial"/>
          <w:b/>
          <w:sz w:val="24"/>
          <w:szCs w:val="24"/>
          <w:lang w:val="es-ES"/>
        </w:rPr>
        <w:t>$</w:t>
      </w:r>
      <w:r w:rsidR="00A44B16">
        <w:rPr>
          <w:rFonts w:ascii="Arial" w:eastAsia="Calibri" w:hAnsi="Arial" w:cs="Arial"/>
          <w:b/>
          <w:sz w:val="24"/>
          <w:szCs w:val="24"/>
          <w:lang w:val="es-ES"/>
        </w:rPr>
        <w:t>9,663.98</w:t>
      </w:r>
      <w:r w:rsidR="005D2794">
        <w:rPr>
          <w:rFonts w:ascii="Arial" w:eastAsia="Calibri" w:hAnsi="Arial" w:cs="Arial"/>
          <w:b/>
          <w:sz w:val="24"/>
          <w:szCs w:val="24"/>
          <w:lang w:val="es-ES"/>
        </w:rPr>
        <w:t xml:space="preserve"> (</w:t>
      </w:r>
      <w:r w:rsidR="00267006">
        <w:rPr>
          <w:rFonts w:ascii="Arial" w:eastAsia="Calibri" w:hAnsi="Arial" w:cs="Arial"/>
          <w:b/>
          <w:sz w:val="24"/>
          <w:szCs w:val="24"/>
          <w:lang w:val="es-ES"/>
        </w:rPr>
        <w:t xml:space="preserve">nueve mil seiscientos sesenta y </w:t>
      </w:r>
      <w:r w:rsidR="00FC6F65">
        <w:rPr>
          <w:rFonts w:ascii="Arial" w:eastAsia="Calibri" w:hAnsi="Arial" w:cs="Arial"/>
          <w:b/>
          <w:sz w:val="24"/>
          <w:szCs w:val="24"/>
          <w:lang w:val="es-ES"/>
        </w:rPr>
        <w:t>tres</w:t>
      </w:r>
      <w:r w:rsidR="00267006">
        <w:rPr>
          <w:rFonts w:ascii="Arial" w:eastAsia="Calibri" w:hAnsi="Arial" w:cs="Arial"/>
          <w:b/>
          <w:sz w:val="24"/>
          <w:szCs w:val="24"/>
          <w:lang w:val="es-ES"/>
        </w:rPr>
        <w:t xml:space="preserve"> pesos </w:t>
      </w:r>
      <w:r w:rsidR="00FC6F65">
        <w:rPr>
          <w:rFonts w:ascii="Arial" w:eastAsia="Calibri" w:hAnsi="Arial" w:cs="Arial"/>
          <w:b/>
          <w:sz w:val="24"/>
          <w:szCs w:val="24"/>
          <w:lang w:val="es-ES"/>
        </w:rPr>
        <w:t>98</w:t>
      </w:r>
      <w:r w:rsidR="005D2794">
        <w:rPr>
          <w:rFonts w:ascii="Arial" w:eastAsia="Calibri" w:hAnsi="Arial" w:cs="Arial"/>
          <w:b/>
          <w:sz w:val="24"/>
          <w:szCs w:val="24"/>
          <w:lang w:val="es-ES"/>
        </w:rPr>
        <w:t>/100 M.N.)</w:t>
      </w:r>
      <w:r w:rsidR="00802AA1">
        <w:rPr>
          <w:rFonts w:ascii="Arial" w:eastAsia="Calibri" w:hAnsi="Arial" w:cs="Arial"/>
          <w:sz w:val="24"/>
          <w:szCs w:val="24"/>
          <w:lang w:val="es-ES"/>
        </w:rPr>
        <w:t>.</w:t>
      </w:r>
    </w:p>
    <w:p w14:paraId="10EA1ECA" w14:textId="0A39FEDE" w:rsidR="005D2794" w:rsidRDefault="005D2794" w:rsidP="005D2794">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Ahora bien, si dividimos la cantidad de </w:t>
      </w:r>
      <w:r w:rsidR="007230D8">
        <w:rPr>
          <w:rFonts w:ascii="Arial" w:eastAsia="Calibri" w:hAnsi="Arial" w:cs="Arial"/>
          <w:b/>
          <w:sz w:val="24"/>
          <w:szCs w:val="24"/>
          <w:lang w:val="es-ES"/>
        </w:rPr>
        <w:t>$</w:t>
      </w:r>
      <w:r w:rsidR="00FC6F65">
        <w:rPr>
          <w:rFonts w:ascii="Arial" w:eastAsia="Calibri" w:hAnsi="Arial" w:cs="Arial"/>
          <w:b/>
          <w:sz w:val="24"/>
          <w:szCs w:val="24"/>
          <w:lang w:val="es-ES"/>
        </w:rPr>
        <w:t xml:space="preserve">9,663.98 </w:t>
      </w:r>
      <w:r w:rsidR="007230D8">
        <w:rPr>
          <w:rFonts w:ascii="Arial" w:eastAsia="Calibri" w:hAnsi="Arial" w:cs="Arial"/>
          <w:b/>
          <w:sz w:val="24"/>
          <w:szCs w:val="24"/>
          <w:lang w:val="es-ES"/>
        </w:rPr>
        <w:t>(nueve mil seiscientos sesenta y</w:t>
      </w:r>
      <w:r w:rsidR="00FC6F65">
        <w:rPr>
          <w:rFonts w:ascii="Arial" w:eastAsia="Calibri" w:hAnsi="Arial" w:cs="Arial"/>
          <w:b/>
          <w:sz w:val="24"/>
          <w:szCs w:val="24"/>
          <w:lang w:val="es-ES"/>
        </w:rPr>
        <w:t xml:space="preserve"> tres</w:t>
      </w:r>
      <w:r w:rsidR="007230D8">
        <w:rPr>
          <w:rFonts w:ascii="Arial" w:eastAsia="Calibri" w:hAnsi="Arial" w:cs="Arial"/>
          <w:b/>
          <w:sz w:val="24"/>
          <w:szCs w:val="24"/>
          <w:lang w:val="es-ES"/>
        </w:rPr>
        <w:t xml:space="preserve"> pesos </w:t>
      </w:r>
      <w:r w:rsidR="00FC6F65">
        <w:rPr>
          <w:rFonts w:ascii="Arial" w:eastAsia="Calibri" w:hAnsi="Arial" w:cs="Arial"/>
          <w:b/>
          <w:sz w:val="24"/>
          <w:szCs w:val="24"/>
          <w:lang w:val="es-ES"/>
        </w:rPr>
        <w:t>98</w:t>
      </w:r>
      <w:r w:rsidR="007230D8">
        <w:rPr>
          <w:rFonts w:ascii="Arial" w:eastAsia="Calibri" w:hAnsi="Arial" w:cs="Arial"/>
          <w:b/>
          <w:sz w:val="24"/>
          <w:szCs w:val="24"/>
          <w:lang w:val="es-ES"/>
        </w:rPr>
        <w:t>/100 M.N.)</w:t>
      </w:r>
      <w:r>
        <w:rPr>
          <w:rFonts w:ascii="Arial" w:eastAsia="Calibri" w:hAnsi="Arial" w:cs="Arial"/>
          <w:b/>
          <w:sz w:val="24"/>
          <w:szCs w:val="24"/>
          <w:lang w:val="es-ES"/>
        </w:rPr>
        <w:t xml:space="preserve">, </w:t>
      </w:r>
      <w:r>
        <w:rPr>
          <w:rFonts w:ascii="Arial" w:eastAsia="Calibri" w:hAnsi="Arial" w:cs="Arial"/>
          <w:sz w:val="24"/>
          <w:szCs w:val="24"/>
          <w:lang w:val="es-ES"/>
        </w:rPr>
        <w:t>entre treinta días, resulta como salario diario la cantidad de $</w:t>
      </w:r>
      <w:r w:rsidR="00FC6F65">
        <w:rPr>
          <w:rFonts w:ascii="Arial" w:eastAsia="Calibri" w:hAnsi="Arial" w:cs="Arial"/>
          <w:sz w:val="24"/>
          <w:szCs w:val="24"/>
          <w:lang w:val="es-ES"/>
        </w:rPr>
        <w:t>322.13</w:t>
      </w:r>
      <w:r>
        <w:rPr>
          <w:rFonts w:ascii="Arial" w:eastAsia="Calibri" w:hAnsi="Arial" w:cs="Arial"/>
          <w:sz w:val="24"/>
          <w:szCs w:val="24"/>
          <w:lang w:val="es-ES"/>
        </w:rPr>
        <w:t xml:space="preserve"> </w:t>
      </w:r>
      <w:r w:rsidR="00246223">
        <w:rPr>
          <w:rFonts w:ascii="Arial" w:eastAsia="Calibri" w:hAnsi="Arial" w:cs="Arial"/>
          <w:sz w:val="24"/>
          <w:szCs w:val="24"/>
          <w:lang w:val="es-ES"/>
        </w:rPr>
        <w:t>(trescientos veintidós pesos 13</w:t>
      </w:r>
      <w:r>
        <w:rPr>
          <w:rFonts w:ascii="Arial" w:eastAsia="Calibri" w:hAnsi="Arial" w:cs="Arial"/>
          <w:sz w:val="24"/>
          <w:szCs w:val="24"/>
          <w:lang w:val="es-ES"/>
        </w:rPr>
        <w:t>/100 M.N.), misma que servirá para la cuantificación de las prestaciones a que tiene derecho, conforme a la Constitución y leyes locales y municipales.</w:t>
      </w:r>
    </w:p>
    <w:p w14:paraId="00ABEBFA" w14:textId="67F6E672" w:rsidR="005D2794" w:rsidRDefault="005D2794" w:rsidP="005D2794">
      <w:pPr>
        <w:spacing w:line="360" w:lineRule="auto"/>
        <w:ind w:firstLine="567"/>
        <w:jc w:val="both"/>
        <w:rPr>
          <w:rFonts w:ascii="Arial" w:eastAsia="Calibri" w:hAnsi="Arial" w:cs="Arial"/>
          <w:sz w:val="24"/>
          <w:szCs w:val="24"/>
          <w:lang w:val="es-ES"/>
        </w:rPr>
      </w:pPr>
      <w:r>
        <w:rPr>
          <w:rFonts w:ascii="Arial" w:eastAsia="Calibri" w:hAnsi="Arial" w:cs="Arial"/>
          <w:b/>
          <w:sz w:val="24"/>
          <w:szCs w:val="24"/>
          <w:lang w:val="es-ES"/>
        </w:rPr>
        <w:t>INDEMNIZACIÓN CONSTITUCIONAL.</w:t>
      </w:r>
      <w:r>
        <w:rPr>
          <w:rFonts w:ascii="Arial" w:eastAsia="Calibri" w:hAnsi="Arial" w:cs="Arial"/>
          <w:sz w:val="24"/>
          <w:szCs w:val="24"/>
          <w:lang w:val="es-ES"/>
        </w:rPr>
        <w:t xml:space="preserve"> La cantidad de </w:t>
      </w:r>
      <w:r>
        <w:rPr>
          <w:rFonts w:ascii="Arial" w:eastAsia="Calibri" w:hAnsi="Arial" w:cs="Arial"/>
          <w:b/>
          <w:sz w:val="24"/>
          <w:szCs w:val="24"/>
          <w:lang w:val="es-ES"/>
        </w:rPr>
        <w:t>$</w:t>
      </w:r>
      <w:r w:rsidR="00246223">
        <w:rPr>
          <w:rFonts w:ascii="Arial" w:eastAsia="Calibri" w:hAnsi="Arial" w:cs="Arial"/>
          <w:b/>
          <w:sz w:val="24"/>
          <w:szCs w:val="24"/>
          <w:lang w:val="es-ES"/>
        </w:rPr>
        <w:t>28,991.94</w:t>
      </w:r>
      <w:r>
        <w:rPr>
          <w:rFonts w:ascii="Arial" w:eastAsia="Calibri" w:hAnsi="Arial" w:cs="Arial"/>
          <w:b/>
          <w:sz w:val="24"/>
          <w:szCs w:val="24"/>
          <w:lang w:val="es-ES"/>
        </w:rPr>
        <w:t xml:space="preserve"> (</w:t>
      </w:r>
      <w:r w:rsidR="00215D26">
        <w:rPr>
          <w:rFonts w:ascii="Arial" w:eastAsia="Calibri" w:hAnsi="Arial" w:cs="Arial"/>
          <w:b/>
          <w:sz w:val="24"/>
          <w:szCs w:val="24"/>
          <w:lang w:val="es-ES"/>
        </w:rPr>
        <w:t>veintiocho mil novecientos noventa y un mil pesos 94</w:t>
      </w:r>
      <w:r>
        <w:rPr>
          <w:rFonts w:ascii="Arial" w:eastAsia="Calibri" w:hAnsi="Arial" w:cs="Arial"/>
          <w:b/>
          <w:sz w:val="24"/>
          <w:szCs w:val="24"/>
          <w:lang w:val="es-ES"/>
        </w:rPr>
        <w:t xml:space="preserve">/100 M.N.), </w:t>
      </w:r>
      <w:r>
        <w:rPr>
          <w:rFonts w:ascii="Arial" w:eastAsia="Calibri" w:hAnsi="Arial" w:cs="Arial"/>
          <w:sz w:val="24"/>
          <w:szCs w:val="24"/>
          <w:lang w:val="es-ES"/>
        </w:rPr>
        <w:t xml:space="preserve">que resulta de multiplicar la remuneración diaria de </w:t>
      </w:r>
      <w:r w:rsidR="008F3728">
        <w:rPr>
          <w:rFonts w:ascii="Arial" w:eastAsia="Calibri" w:hAnsi="Arial" w:cs="Arial"/>
          <w:sz w:val="24"/>
          <w:szCs w:val="24"/>
          <w:lang w:val="es-ES"/>
        </w:rPr>
        <w:t>$322.13 (trescientos veintidós pesos 13/100 M.N.)</w:t>
      </w:r>
      <w:r>
        <w:rPr>
          <w:rFonts w:ascii="Arial" w:eastAsia="Calibri" w:hAnsi="Arial" w:cs="Arial"/>
          <w:sz w:val="24"/>
          <w:szCs w:val="24"/>
          <w:lang w:val="es-ES"/>
        </w:rPr>
        <w:t>, por tres meses (noventa días), lo anterior con fundamento en el artículo 123 apartado B fracción XIII, de la Constitución Política de los Estados Unidos Mexicanos.</w:t>
      </w:r>
    </w:p>
    <w:p w14:paraId="5E8878F6" w14:textId="2A8FBF95" w:rsidR="005D2794" w:rsidRDefault="005D2794" w:rsidP="005D2794">
      <w:pPr>
        <w:spacing w:after="0" w:line="360" w:lineRule="auto"/>
        <w:ind w:firstLine="567"/>
        <w:jc w:val="both"/>
        <w:rPr>
          <w:rFonts w:ascii="Arial" w:hAnsi="Arial" w:cs="Arial"/>
          <w:sz w:val="24"/>
          <w:szCs w:val="24"/>
          <w:lang w:val="es-ES"/>
        </w:rPr>
      </w:pPr>
      <w:r>
        <w:rPr>
          <w:rFonts w:ascii="Arial" w:hAnsi="Arial" w:cs="Arial"/>
          <w:b/>
          <w:sz w:val="24"/>
          <w:szCs w:val="24"/>
          <w:lang w:val="es-ES"/>
        </w:rPr>
        <w:t xml:space="preserve">PRIMA DE ANTIGÜEDAD. </w:t>
      </w:r>
      <w:r>
        <w:rPr>
          <w:rFonts w:ascii="Arial" w:hAnsi="Arial" w:cs="Arial"/>
          <w:sz w:val="24"/>
          <w:szCs w:val="24"/>
          <w:lang w:val="es-ES"/>
        </w:rPr>
        <w:t>La cantidad de</w:t>
      </w:r>
      <w:r>
        <w:rPr>
          <w:rFonts w:ascii="Arial" w:hAnsi="Arial" w:cs="Arial"/>
          <w:b/>
          <w:sz w:val="24"/>
          <w:szCs w:val="24"/>
          <w:lang w:val="es-ES"/>
        </w:rPr>
        <w:t xml:space="preserve"> $</w:t>
      </w:r>
      <w:r w:rsidR="00573A56">
        <w:rPr>
          <w:rFonts w:ascii="Arial" w:hAnsi="Arial" w:cs="Arial"/>
          <w:b/>
          <w:sz w:val="24"/>
          <w:szCs w:val="24"/>
          <w:lang w:val="es-ES"/>
        </w:rPr>
        <w:t>190,</w:t>
      </w:r>
      <w:r w:rsidR="00B44674">
        <w:rPr>
          <w:rFonts w:ascii="Arial" w:hAnsi="Arial" w:cs="Arial"/>
          <w:b/>
          <w:sz w:val="24"/>
          <w:szCs w:val="24"/>
          <w:lang w:val="es-ES"/>
        </w:rPr>
        <w:t>626.86 (ciento noventa mil</w:t>
      </w:r>
      <w:r w:rsidR="00140BBB">
        <w:rPr>
          <w:rFonts w:ascii="Arial" w:hAnsi="Arial" w:cs="Arial"/>
          <w:b/>
          <w:sz w:val="24"/>
          <w:szCs w:val="24"/>
          <w:lang w:val="es-ES"/>
        </w:rPr>
        <w:t xml:space="preserve"> </w:t>
      </w:r>
      <w:r w:rsidR="00B44674">
        <w:rPr>
          <w:rFonts w:ascii="Arial" w:hAnsi="Arial" w:cs="Arial"/>
          <w:b/>
          <w:sz w:val="24"/>
          <w:szCs w:val="24"/>
          <w:lang w:val="es-ES"/>
        </w:rPr>
        <w:t xml:space="preserve">seiscientos veintiséis </w:t>
      </w:r>
      <w:r w:rsidR="00140BBB">
        <w:rPr>
          <w:rFonts w:ascii="Arial" w:hAnsi="Arial" w:cs="Arial"/>
          <w:b/>
          <w:sz w:val="24"/>
          <w:szCs w:val="24"/>
          <w:lang w:val="es-ES"/>
        </w:rPr>
        <w:t xml:space="preserve">pesos </w:t>
      </w:r>
      <w:r w:rsidR="00B44674">
        <w:rPr>
          <w:rFonts w:ascii="Arial" w:hAnsi="Arial" w:cs="Arial"/>
          <w:b/>
          <w:sz w:val="24"/>
          <w:szCs w:val="24"/>
          <w:lang w:val="es-ES"/>
        </w:rPr>
        <w:t>86</w:t>
      </w:r>
      <w:r>
        <w:rPr>
          <w:rFonts w:ascii="Arial" w:hAnsi="Arial" w:cs="Arial"/>
          <w:b/>
          <w:sz w:val="24"/>
          <w:szCs w:val="24"/>
          <w:lang w:val="es-ES"/>
        </w:rPr>
        <w:t>/100 M.N.</w:t>
      </w:r>
      <w:r>
        <w:rPr>
          <w:rFonts w:ascii="Arial" w:hAnsi="Arial" w:cs="Arial"/>
          <w:sz w:val="24"/>
          <w:szCs w:val="24"/>
          <w:lang w:val="es-ES"/>
        </w:rPr>
        <w:t xml:space="preserve">), equivalente a veinte días de salario por cada año de servicio, tomando en consideración que </w:t>
      </w:r>
      <w:r w:rsidR="00F739C2">
        <w:rPr>
          <w:rFonts w:ascii="Arial" w:hAnsi="Arial" w:cs="Arial"/>
          <w:sz w:val="24"/>
          <w:szCs w:val="24"/>
          <w:lang w:val="es-ES"/>
        </w:rPr>
        <w:t xml:space="preserve">el actor </w:t>
      </w:r>
      <w:r>
        <w:rPr>
          <w:rFonts w:ascii="Arial" w:hAnsi="Arial" w:cs="Arial"/>
          <w:sz w:val="24"/>
          <w:szCs w:val="24"/>
          <w:lang w:val="es-ES"/>
        </w:rPr>
        <w:t xml:space="preserve">entró a prestar sus servicios el </w:t>
      </w:r>
      <w:r w:rsidR="00385DEF">
        <w:rPr>
          <w:rFonts w:ascii="Arial" w:hAnsi="Arial" w:cs="Arial"/>
          <w:sz w:val="24"/>
          <w:szCs w:val="24"/>
          <w:lang w:val="es-ES"/>
        </w:rPr>
        <w:t>dieciséis</w:t>
      </w:r>
      <w:r w:rsidR="00F739C2">
        <w:rPr>
          <w:rFonts w:ascii="Arial" w:hAnsi="Arial" w:cs="Arial"/>
          <w:sz w:val="24"/>
          <w:szCs w:val="24"/>
          <w:lang w:val="es-ES"/>
        </w:rPr>
        <w:t xml:space="preserve"> de junio de mil novecientos </w:t>
      </w:r>
      <w:r w:rsidR="003533DA">
        <w:rPr>
          <w:rFonts w:ascii="Arial" w:hAnsi="Arial" w:cs="Arial"/>
          <w:sz w:val="24"/>
          <w:szCs w:val="24"/>
          <w:lang w:val="es-ES"/>
        </w:rPr>
        <w:t>noventa</w:t>
      </w:r>
      <w:r>
        <w:rPr>
          <w:rFonts w:ascii="Arial" w:hAnsi="Arial" w:cs="Arial"/>
          <w:sz w:val="24"/>
          <w:szCs w:val="24"/>
          <w:lang w:val="es-ES"/>
        </w:rPr>
        <w:t xml:space="preserve">, </w:t>
      </w:r>
      <w:r w:rsidR="003533DA">
        <w:rPr>
          <w:rFonts w:ascii="Arial" w:hAnsi="Arial" w:cs="Arial"/>
          <w:sz w:val="24"/>
          <w:szCs w:val="24"/>
          <w:lang w:val="es-ES"/>
        </w:rPr>
        <w:t xml:space="preserve">a la fecha de su separación había laborado </w:t>
      </w:r>
      <w:r>
        <w:rPr>
          <w:rFonts w:ascii="Arial" w:hAnsi="Arial" w:cs="Arial"/>
          <w:sz w:val="24"/>
          <w:szCs w:val="24"/>
          <w:lang w:val="es-ES"/>
        </w:rPr>
        <w:t xml:space="preserve">un periodo de </w:t>
      </w:r>
      <w:r w:rsidR="00D5725E">
        <w:rPr>
          <w:rFonts w:ascii="Arial" w:hAnsi="Arial" w:cs="Arial"/>
          <w:sz w:val="24"/>
          <w:szCs w:val="24"/>
          <w:lang w:val="es-ES"/>
        </w:rPr>
        <w:t>veintinueve años,</w:t>
      </w:r>
      <w:r w:rsidR="00AB7DB7">
        <w:rPr>
          <w:rFonts w:ascii="Arial" w:hAnsi="Arial" w:cs="Arial"/>
          <w:sz w:val="24"/>
          <w:szCs w:val="24"/>
          <w:lang w:val="es-ES"/>
        </w:rPr>
        <w:t xml:space="preserve"> </w:t>
      </w:r>
      <w:r w:rsidR="003E564F">
        <w:rPr>
          <w:rFonts w:ascii="Arial" w:hAnsi="Arial" w:cs="Arial"/>
          <w:sz w:val="24"/>
          <w:szCs w:val="24"/>
          <w:lang w:val="es-ES"/>
        </w:rPr>
        <w:t>siete meses</w:t>
      </w:r>
      <w:r w:rsidR="00D5725E">
        <w:rPr>
          <w:rFonts w:ascii="Arial" w:hAnsi="Arial" w:cs="Arial"/>
          <w:sz w:val="24"/>
          <w:szCs w:val="24"/>
          <w:lang w:val="es-ES"/>
        </w:rPr>
        <w:t xml:space="preserve"> y dos días</w:t>
      </w:r>
      <w:r>
        <w:rPr>
          <w:rFonts w:ascii="Arial" w:hAnsi="Arial" w:cs="Arial"/>
          <w:sz w:val="24"/>
          <w:szCs w:val="24"/>
          <w:lang w:val="es-ES"/>
        </w:rPr>
        <w:t xml:space="preserve"> como lo establece artículo 118 fracción X, de la Ley del Sistema Estatal de Seguridad Púbica de Oaxaca. </w:t>
      </w:r>
    </w:p>
    <w:p w14:paraId="3495567A" w14:textId="77777777" w:rsidR="005D2794" w:rsidRDefault="005D2794" w:rsidP="005D2794">
      <w:pPr>
        <w:spacing w:after="0" w:line="360" w:lineRule="auto"/>
        <w:ind w:firstLine="567"/>
        <w:jc w:val="both"/>
        <w:rPr>
          <w:rFonts w:ascii="Arial" w:hAnsi="Arial" w:cs="Arial"/>
          <w:sz w:val="24"/>
          <w:szCs w:val="24"/>
          <w:lang w:val="es-ES"/>
        </w:rPr>
      </w:pPr>
    </w:p>
    <w:tbl>
      <w:tblPr>
        <w:tblStyle w:val="Tablaconcuadrcula1"/>
        <w:tblW w:w="0" w:type="auto"/>
        <w:tblInd w:w="875" w:type="dxa"/>
        <w:tblLook w:val="04A0" w:firstRow="1" w:lastRow="0" w:firstColumn="1" w:lastColumn="0" w:noHBand="0" w:noVBand="1"/>
      </w:tblPr>
      <w:tblGrid>
        <w:gridCol w:w="3119"/>
        <w:gridCol w:w="3769"/>
      </w:tblGrid>
      <w:tr w:rsidR="005D2794" w14:paraId="6FA7DC93"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602354D8" w14:textId="77777777" w:rsidR="005D2794" w:rsidRDefault="005D2794">
            <w:pPr>
              <w:spacing w:line="360" w:lineRule="auto"/>
              <w:jc w:val="right"/>
              <w:rPr>
                <w:rFonts w:ascii="Arial" w:hAnsi="Arial" w:cs="Arial"/>
                <w:sz w:val="24"/>
                <w:szCs w:val="24"/>
                <w:lang w:val="es-ES"/>
              </w:rPr>
            </w:pPr>
            <w:r>
              <w:rPr>
                <w:rFonts w:ascii="Arial" w:hAnsi="Arial" w:cs="Arial"/>
                <w:sz w:val="24"/>
                <w:szCs w:val="24"/>
                <w:lang w:val="es-ES"/>
              </w:rPr>
              <w:t>1 año=</w:t>
            </w:r>
          </w:p>
        </w:tc>
        <w:tc>
          <w:tcPr>
            <w:tcW w:w="3769" w:type="dxa"/>
            <w:tcBorders>
              <w:top w:val="single" w:sz="4" w:space="0" w:color="auto"/>
              <w:left w:val="single" w:sz="4" w:space="0" w:color="auto"/>
              <w:bottom w:val="single" w:sz="4" w:space="0" w:color="auto"/>
              <w:right w:val="single" w:sz="4" w:space="0" w:color="auto"/>
            </w:tcBorders>
            <w:hideMark/>
          </w:tcPr>
          <w:p w14:paraId="467ACA18" w14:textId="77777777" w:rsidR="005D2794" w:rsidRDefault="005D2794">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5D2794" w14:paraId="69497FF5"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15C5D5C9" w14:textId="79CA65D9" w:rsidR="005D2794" w:rsidRDefault="003E564F">
            <w:pPr>
              <w:spacing w:line="360" w:lineRule="auto"/>
              <w:jc w:val="right"/>
              <w:rPr>
                <w:rFonts w:ascii="Arial" w:hAnsi="Arial" w:cs="Arial"/>
                <w:sz w:val="24"/>
                <w:szCs w:val="24"/>
                <w:lang w:val="es-ES"/>
              </w:rPr>
            </w:pPr>
            <w:r>
              <w:rPr>
                <w:rFonts w:ascii="Arial" w:hAnsi="Arial" w:cs="Arial"/>
                <w:sz w:val="24"/>
                <w:szCs w:val="24"/>
                <w:lang w:val="es-ES"/>
              </w:rPr>
              <w:t>29</w:t>
            </w:r>
            <w:r w:rsidR="005D2794">
              <w:rPr>
                <w:rFonts w:ascii="Arial" w:hAnsi="Arial" w:cs="Arial"/>
                <w:sz w:val="24"/>
                <w:szCs w:val="24"/>
                <w:lang w:val="es-ES"/>
              </w:rPr>
              <w:t xml:space="preserve"> años=</w:t>
            </w:r>
          </w:p>
        </w:tc>
        <w:tc>
          <w:tcPr>
            <w:tcW w:w="3769" w:type="dxa"/>
            <w:tcBorders>
              <w:top w:val="single" w:sz="4" w:space="0" w:color="auto"/>
              <w:left w:val="single" w:sz="4" w:space="0" w:color="auto"/>
              <w:bottom w:val="single" w:sz="4" w:space="0" w:color="auto"/>
              <w:right w:val="single" w:sz="4" w:space="0" w:color="auto"/>
            </w:tcBorders>
            <w:hideMark/>
          </w:tcPr>
          <w:p w14:paraId="61A74686" w14:textId="5A464E0D" w:rsidR="005D2794" w:rsidRDefault="003E564F">
            <w:pPr>
              <w:spacing w:line="360" w:lineRule="auto"/>
              <w:ind w:right="-660"/>
              <w:jc w:val="both"/>
              <w:rPr>
                <w:rFonts w:ascii="Arial" w:hAnsi="Arial" w:cs="Arial"/>
                <w:sz w:val="24"/>
                <w:szCs w:val="24"/>
                <w:lang w:val="es-ES"/>
              </w:rPr>
            </w:pPr>
            <w:r>
              <w:rPr>
                <w:rFonts w:ascii="Arial" w:hAnsi="Arial" w:cs="Arial"/>
                <w:sz w:val="24"/>
                <w:szCs w:val="24"/>
                <w:lang w:val="es-ES"/>
              </w:rPr>
              <w:t xml:space="preserve">580 </w:t>
            </w:r>
            <w:r w:rsidR="005D2794">
              <w:rPr>
                <w:rFonts w:ascii="Arial" w:hAnsi="Arial" w:cs="Arial"/>
                <w:sz w:val="24"/>
                <w:szCs w:val="24"/>
                <w:lang w:val="es-ES"/>
              </w:rPr>
              <w:t>días</w:t>
            </w:r>
          </w:p>
        </w:tc>
      </w:tr>
      <w:tr w:rsidR="005D2794" w14:paraId="4A83221B"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43BECED1" w14:textId="77777777" w:rsidR="005D2794" w:rsidRDefault="005D2794">
            <w:pPr>
              <w:spacing w:line="360" w:lineRule="auto"/>
              <w:jc w:val="right"/>
              <w:rPr>
                <w:rFonts w:ascii="Arial" w:hAnsi="Arial" w:cs="Arial"/>
                <w:sz w:val="24"/>
                <w:szCs w:val="24"/>
                <w:lang w:val="es-ES"/>
              </w:rPr>
            </w:pPr>
            <w:r>
              <w:rPr>
                <w:rFonts w:ascii="Arial" w:hAnsi="Arial" w:cs="Arial"/>
                <w:sz w:val="24"/>
                <w:szCs w:val="24"/>
                <w:lang w:val="es-ES"/>
              </w:rPr>
              <w:t>12 meses=</w:t>
            </w:r>
          </w:p>
        </w:tc>
        <w:tc>
          <w:tcPr>
            <w:tcW w:w="3769" w:type="dxa"/>
            <w:tcBorders>
              <w:top w:val="single" w:sz="4" w:space="0" w:color="auto"/>
              <w:left w:val="single" w:sz="4" w:space="0" w:color="auto"/>
              <w:bottom w:val="single" w:sz="4" w:space="0" w:color="auto"/>
              <w:right w:val="single" w:sz="4" w:space="0" w:color="auto"/>
            </w:tcBorders>
            <w:hideMark/>
          </w:tcPr>
          <w:p w14:paraId="0A110896" w14:textId="77777777" w:rsidR="005D2794" w:rsidRDefault="005D2794">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5D2794" w14:paraId="05992A4C"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23C047D1" w14:textId="4D0FE349" w:rsidR="005D2794" w:rsidRDefault="00DF3DDE">
            <w:pPr>
              <w:spacing w:line="360" w:lineRule="auto"/>
              <w:jc w:val="right"/>
              <w:rPr>
                <w:rFonts w:ascii="Arial" w:hAnsi="Arial" w:cs="Arial"/>
                <w:sz w:val="24"/>
                <w:szCs w:val="24"/>
                <w:lang w:val="es-ES"/>
              </w:rPr>
            </w:pPr>
            <w:r>
              <w:rPr>
                <w:rFonts w:ascii="Arial" w:hAnsi="Arial" w:cs="Arial"/>
                <w:sz w:val="24"/>
                <w:szCs w:val="24"/>
                <w:lang w:val="es-ES"/>
              </w:rPr>
              <w:t>7</w:t>
            </w:r>
            <w:r w:rsidR="005D2794">
              <w:rPr>
                <w:rFonts w:ascii="Arial" w:hAnsi="Arial" w:cs="Arial"/>
                <w:sz w:val="24"/>
                <w:szCs w:val="24"/>
                <w:lang w:val="es-ES"/>
              </w:rPr>
              <w:t xml:space="preserve"> meses=</w:t>
            </w:r>
          </w:p>
        </w:tc>
        <w:tc>
          <w:tcPr>
            <w:tcW w:w="3769" w:type="dxa"/>
            <w:tcBorders>
              <w:top w:val="single" w:sz="4" w:space="0" w:color="auto"/>
              <w:left w:val="single" w:sz="4" w:space="0" w:color="auto"/>
              <w:bottom w:val="single" w:sz="4" w:space="0" w:color="auto"/>
              <w:right w:val="single" w:sz="4" w:space="0" w:color="auto"/>
            </w:tcBorders>
            <w:hideMark/>
          </w:tcPr>
          <w:p w14:paraId="228FE6E2" w14:textId="5112EC18" w:rsidR="005D2794" w:rsidRDefault="00DF3DDE">
            <w:pPr>
              <w:spacing w:line="360" w:lineRule="auto"/>
              <w:ind w:right="-660"/>
              <w:jc w:val="both"/>
              <w:rPr>
                <w:rFonts w:ascii="Arial" w:hAnsi="Arial" w:cs="Arial"/>
                <w:sz w:val="24"/>
                <w:szCs w:val="24"/>
                <w:lang w:val="es-ES"/>
              </w:rPr>
            </w:pPr>
            <w:r>
              <w:rPr>
                <w:rFonts w:ascii="Arial" w:hAnsi="Arial" w:cs="Arial"/>
                <w:sz w:val="24"/>
                <w:szCs w:val="24"/>
                <w:lang w:val="es-ES"/>
              </w:rPr>
              <w:t>11</w:t>
            </w:r>
            <w:r w:rsidR="005D2794">
              <w:rPr>
                <w:rFonts w:ascii="Arial" w:hAnsi="Arial" w:cs="Arial"/>
                <w:sz w:val="24"/>
                <w:szCs w:val="24"/>
                <w:lang w:val="es-ES"/>
              </w:rPr>
              <w:t>.66 días</w:t>
            </w:r>
          </w:p>
        </w:tc>
      </w:tr>
      <w:tr w:rsidR="005D2794" w14:paraId="6173467C"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5FF84FF1" w14:textId="6AA744B4" w:rsidR="005D2794" w:rsidRDefault="00DF3DDE">
            <w:pPr>
              <w:spacing w:line="360" w:lineRule="auto"/>
              <w:jc w:val="right"/>
              <w:rPr>
                <w:rFonts w:ascii="Arial" w:hAnsi="Arial" w:cs="Arial"/>
                <w:sz w:val="24"/>
                <w:szCs w:val="24"/>
                <w:lang w:val="es-ES"/>
              </w:rPr>
            </w:pPr>
            <w:r>
              <w:rPr>
                <w:rFonts w:ascii="Arial" w:hAnsi="Arial" w:cs="Arial"/>
                <w:sz w:val="24"/>
                <w:szCs w:val="24"/>
                <w:lang w:val="es-ES"/>
              </w:rPr>
              <w:t xml:space="preserve">580 </w:t>
            </w:r>
            <w:r w:rsidR="005D2794">
              <w:rPr>
                <w:rFonts w:ascii="Arial" w:hAnsi="Arial" w:cs="Arial"/>
                <w:sz w:val="24"/>
                <w:szCs w:val="24"/>
                <w:lang w:val="es-ES"/>
              </w:rPr>
              <w:t>días=</w:t>
            </w:r>
          </w:p>
        </w:tc>
        <w:tc>
          <w:tcPr>
            <w:tcW w:w="3769" w:type="dxa"/>
            <w:tcBorders>
              <w:top w:val="single" w:sz="4" w:space="0" w:color="auto"/>
              <w:left w:val="single" w:sz="4" w:space="0" w:color="auto"/>
              <w:bottom w:val="single" w:sz="4" w:space="0" w:color="auto"/>
              <w:right w:val="single" w:sz="4" w:space="0" w:color="auto"/>
            </w:tcBorders>
            <w:hideMark/>
          </w:tcPr>
          <w:p w14:paraId="541FC271" w14:textId="4D54E154" w:rsidR="005D2794" w:rsidRDefault="005D2794">
            <w:pPr>
              <w:spacing w:line="360" w:lineRule="auto"/>
              <w:ind w:right="-660"/>
              <w:jc w:val="both"/>
              <w:rPr>
                <w:rFonts w:ascii="Arial" w:hAnsi="Arial" w:cs="Arial"/>
                <w:sz w:val="24"/>
                <w:szCs w:val="24"/>
                <w:lang w:val="es-ES"/>
              </w:rPr>
            </w:pPr>
            <w:r>
              <w:rPr>
                <w:rFonts w:ascii="Arial" w:hAnsi="Arial" w:cs="Arial"/>
                <w:sz w:val="24"/>
                <w:szCs w:val="24"/>
                <w:lang w:val="es-ES"/>
              </w:rPr>
              <w:t>$</w:t>
            </w:r>
            <w:r w:rsidR="003C3EE3">
              <w:rPr>
                <w:rFonts w:ascii="Arial" w:hAnsi="Arial" w:cs="Arial"/>
                <w:sz w:val="24"/>
                <w:szCs w:val="24"/>
                <w:lang w:val="es-ES"/>
              </w:rPr>
              <w:t>186,</w:t>
            </w:r>
            <w:r>
              <w:rPr>
                <w:rFonts w:ascii="Arial" w:hAnsi="Arial" w:cs="Arial"/>
                <w:sz w:val="24"/>
                <w:szCs w:val="24"/>
                <w:lang w:val="es-ES"/>
              </w:rPr>
              <w:t xml:space="preserve"> </w:t>
            </w:r>
            <w:r w:rsidR="003C3EE3">
              <w:rPr>
                <w:rFonts w:ascii="Arial" w:hAnsi="Arial" w:cs="Arial"/>
                <w:sz w:val="24"/>
                <w:szCs w:val="24"/>
                <w:lang w:val="es-ES"/>
              </w:rPr>
              <w:t xml:space="preserve">835.40 </w:t>
            </w:r>
            <w:r>
              <w:rPr>
                <w:rFonts w:ascii="Arial" w:hAnsi="Arial" w:cs="Arial"/>
                <w:sz w:val="24"/>
                <w:szCs w:val="24"/>
                <w:lang w:val="es-ES"/>
              </w:rPr>
              <w:t>($</w:t>
            </w:r>
            <w:r w:rsidR="00B22643">
              <w:rPr>
                <w:rFonts w:ascii="Arial" w:hAnsi="Arial" w:cs="Arial"/>
                <w:sz w:val="24"/>
                <w:szCs w:val="24"/>
                <w:lang w:val="es-ES"/>
              </w:rPr>
              <w:t>322.13</w:t>
            </w:r>
            <w:r>
              <w:rPr>
                <w:rFonts w:ascii="Arial" w:hAnsi="Arial" w:cs="Arial"/>
                <w:sz w:val="24"/>
                <w:szCs w:val="24"/>
                <w:lang w:val="es-ES"/>
              </w:rPr>
              <w:t xml:space="preserve"> x </w:t>
            </w:r>
            <w:r w:rsidR="00B22643">
              <w:rPr>
                <w:rFonts w:ascii="Arial" w:hAnsi="Arial" w:cs="Arial"/>
                <w:sz w:val="24"/>
                <w:szCs w:val="24"/>
                <w:lang w:val="es-ES"/>
              </w:rPr>
              <w:t>580</w:t>
            </w:r>
            <w:r>
              <w:rPr>
                <w:rFonts w:ascii="Arial" w:hAnsi="Arial" w:cs="Arial"/>
                <w:sz w:val="24"/>
                <w:szCs w:val="24"/>
                <w:lang w:val="es-ES"/>
              </w:rPr>
              <w:t xml:space="preserve"> días)</w:t>
            </w:r>
          </w:p>
        </w:tc>
      </w:tr>
      <w:tr w:rsidR="005D2794" w14:paraId="39EAB3C9"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1E63F04B" w14:textId="51EDDBB0" w:rsidR="005D2794" w:rsidRDefault="00B22643">
            <w:pPr>
              <w:spacing w:line="360" w:lineRule="auto"/>
              <w:jc w:val="right"/>
              <w:rPr>
                <w:rFonts w:ascii="Arial" w:hAnsi="Arial" w:cs="Arial"/>
                <w:sz w:val="24"/>
                <w:szCs w:val="24"/>
                <w:lang w:val="es-ES"/>
              </w:rPr>
            </w:pPr>
            <w:r>
              <w:rPr>
                <w:rFonts w:ascii="Arial" w:hAnsi="Arial" w:cs="Arial"/>
                <w:sz w:val="24"/>
                <w:szCs w:val="24"/>
                <w:lang w:val="es-ES"/>
              </w:rPr>
              <w:t xml:space="preserve">7 </w:t>
            </w:r>
            <w:r w:rsidR="005D2794">
              <w:rPr>
                <w:rFonts w:ascii="Arial" w:hAnsi="Arial" w:cs="Arial"/>
                <w:sz w:val="24"/>
                <w:szCs w:val="24"/>
                <w:lang w:val="es-ES"/>
              </w:rPr>
              <w:t>meses=</w:t>
            </w:r>
          </w:p>
        </w:tc>
        <w:tc>
          <w:tcPr>
            <w:tcW w:w="3769" w:type="dxa"/>
            <w:tcBorders>
              <w:top w:val="single" w:sz="4" w:space="0" w:color="auto"/>
              <w:left w:val="single" w:sz="4" w:space="0" w:color="auto"/>
              <w:bottom w:val="single" w:sz="4" w:space="0" w:color="auto"/>
              <w:right w:val="single" w:sz="4" w:space="0" w:color="auto"/>
            </w:tcBorders>
            <w:hideMark/>
          </w:tcPr>
          <w:p w14:paraId="7B0640A3" w14:textId="37A4B883" w:rsidR="005D2794" w:rsidRDefault="005D2794">
            <w:pPr>
              <w:spacing w:line="360" w:lineRule="auto"/>
              <w:ind w:right="-660"/>
              <w:jc w:val="both"/>
              <w:rPr>
                <w:rFonts w:ascii="Arial" w:hAnsi="Arial" w:cs="Arial"/>
                <w:sz w:val="24"/>
                <w:szCs w:val="24"/>
                <w:lang w:val="es-ES"/>
              </w:rPr>
            </w:pPr>
            <w:r>
              <w:rPr>
                <w:rFonts w:ascii="Arial" w:hAnsi="Arial" w:cs="Arial"/>
                <w:sz w:val="24"/>
                <w:szCs w:val="24"/>
                <w:lang w:val="es-ES"/>
              </w:rPr>
              <w:t>$</w:t>
            </w:r>
            <w:r w:rsidR="00D5725E">
              <w:rPr>
                <w:rFonts w:ascii="Arial" w:hAnsi="Arial" w:cs="Arial"/>
                <w:sz w:val="24"/>
                <w:szCs w:val="24"/>
                <w:lang w:val="es-ES"/>
              </w:rPr>
              <w:t>3,</w:t>
            </w:r>
            <w:r w:rsidR="00AA43A6">
              <w:rPr>
                <w:rFonts w:ascii="Arial" w:hAnsi="Arial" w:cs="Arial"/>
                <w:sz w:val="24"/>
                <w:szCs w:val="24"/>
                <w:lang w:val="es-ES"/>
              </w:rPr>
              <w:t xml:space="preserve">756.03 </w:t>
            </w:r>
            <w:r>
              <w:rPr>
                <w:rFonts w:ascii="Arial" w:hAnsi="Arial" w:cs="Arial"/>
                <w:sz w:val="24"/>
                <w:szCs w:val="24"/>
                <w:lang w:val="es-ES"/>
              </w:rPr>
              <w:t>($</w:t>
            </w:r>
            <w:r w:rsidR="0035230D">
              <w:rPr>
                <w:rFonts w:ascii="Arial" w:hAnsi="Arial" w:cs="Arial"/>
                <w:sz w:val="24"/>
                <w:szCs w:val="24"/>
                <w:lang w:val="es-ES"/>
              </w:rPr>
              <w:t>322.13</w:t>
            </w:r>
            <w:r>
              <w:rPr>
                <w:rFonts w:ascii="Arial" w:hAnsi="Arial" w:cs="Arial"/>
                <w:sz w:val="24"/>
                <w:szCs w:val="24"/>
                <w:lang w:val="es-ES"/>
              </w:rPr>
              <w:t xml:space="preserve"> x </w:t>
            </w:r>
            <w:r w:rsidR="0035230D">
              <w:rPr>
                <w:rFonts w:ascii="Arial" w:hAnsi="Arial" w:cs="Arial"/>
                <w:sz w:val="24"/>
                <w:szCs w:val="24"/>
                <w:lang w:val="es-ES"/>
              </w:rPr>
              <w:t xml:space="preserve">11.66 </w:t>
            </w:r>
            <w:r>
              <w:rPr>
                <w:rFonts w:ascii="Arial" w:hAnsi="Arial" w:cs="Arial"/>
                <w:sz w:val="24"/>
                <w:szCs w:val="24"/>
                <w:lang w:val="es-ES"/>
              </w:rPr>
              <w:t>días)</w:t>
            </w:r>
          </w:p>
        </w:tc>
      </w:tr>
      <w:tr w:rsidR="007F5D42" w14:paraId="40875FED" w14:textId="77777777" w:rsidTr="005D2794">
        <w:tc>
          <w:tcPr>
            <w:tcW w:w="3119" w:type="dxa"/>
            <w:tcBorders>
              <w:top w:val="single" w:sz="4" w:space="0" w:color="auto"/>
              <w:left w:val="single" w:sz="4" w:space="0" w:color="auto"/>
              <w:bottom w:val="single" w:sz="4" w:space="0" w:color="auto"/>
              <w:right w:val="single" w:sz="4" w:space="0" w:color="auto"/>
            </w:tcBorders>
          </w:tcPr>
          <w:p w14:paraId="15AF2359" w14:textId="2477CE0F" w:rsidR="007F5D42" w:rsidRDefault="007F5D42">
            <w:pPr>
              <w:spacing w:line="360" w:lineRule="auto"/>
              <w:jc w:val="right"/>
              <w:rPr>
                <w:rFonts w:ascii="Arial" w:hAnsi="Arial" w:cs="Arial"/>
                <w:sz w:val="24"/>
                <w:szCs w:val="24"/>
                <w:lang w:val="es-ES"/>
              </w:rPr>
            </w:pPr>
            <w:r>
              <w:rPr>
                <w:rFonts w:ascii="Arial" w:hAnsi="Arial" w:cs="Arial"/>
                <w:sz w:val="24"/>
                <w:szCs w:val="24"/>
                <w:lang w:val="es-ES"/>
              </w:rPr>
              <w:t>1 mes =</w:t>
            </w:r>
          </w:p>
        </w:tc>
        <w:tc>
          <w:tcPr>
            <w:tcW w:w="3769" w:type="dxa"/>
            <w:tcBorders>
              <w:top w:val="single" w:sz="4" w:space="0" w:color="auto"/>
              <w:left w:val="single" w:sz="4" w:space="0" w:color="auto"/>
              <w:bottom w:val="single" w:sz="4" w:space="0" w:color="auto"/>
              <w:right w:val="single" w:sz="4" w:space="0" w:color="auto"/>
            </w:tcBorders>
          </w:tcPr>
          <w:p w14:paraId="7AEBBB8F" w14:textId="2328C974" w:rsidR="007F5D42" w:rsidRDefault="007F5D42">
            <w:pPr>
              <w:spacing w:line="360" w:lineRule="auto"/>
              <w:ind w:right="-660"/>
              <w:jc w:val="both"/>
              <w:rPr>
                <w:rFonts w:ascii="Arial" w:hAnsi="Arial" w:cs="Arial"/>
                <w:sz w:val="24"/>
                <w:szCs w:val="24"/>
                <w:lang w:val="es-ES"/>
              </w:rPr>
            </w:pPr>
            <w:r>
              <w:rPr>
                <w:rFonts w:ascii="Arial" w:hAnsi="Arial" w:cs="Arial"/>
                <w:sz w:val="24"/>
                <w:szCs w:val="24"/>
                <w:lang w:val="es-ES"/>
              </w:rPr>
              <w:t>1.66</w:t>
            </w:r>
          </w:p>
        </w:tc>
      </w:tr>
      <w:tr w:rsidR="007F5D42" w14:paraId="78F5A31D" w14:textId="77777777" w:rsidTr="005D2794">
        <w:tc>
          <w:tcPr>
            <w:tcW w:w="3119" w:type="dxa"/>
            <w:tcBorders>
              <w:top w:val="single" w:sz="4" w:space="0" w:color="auto"/>
              <w:left w:val="single" w:sz="4" w:space="0" w:color="auto"/>
              <w:bottom w:val="single" w:sz="4" w:space="0" w:color="auto"/>
              <w:right w:val="single" w:sz="4" w:space="0" w:color="auto"/>
            </w:tcBorders>
          </w:tcPr>
          <w:p w14:paraId="528D16FF" w14:textId="1AF12D31" w:rsidR="007F5D42" w:rsidRDefault="007F5D42">
            <w:pPr>
              <w:spacing w:line="360" w:lineRule="auto"/>
              <w:jc w:val="right"/>
              <w:rPr>
                <w:rFonts w:ascii="Arial" w:hAnsi="Arial" w:cs="Arial"/>
                <w:sz w:val="24"/>
                <w:szCs w:val="24"/>
                <w:lang w:val="es-ES"/>
              </w:rPr>
            </w:pPr>
            <w:r>
              <w:rPr>
                <w:rFonts w:ascii="Arial" w:hAnsi="Arial" w:cs="Arial"/>
                <w:sz w:val="24"/>
                <w:szCs w:val="24"/>
                <w:lang w:val="es-ES"/>
              </w:rPr>
              <w:t>1 día =</w:t>
            </w:r>
          </w:p>
        </w:tc>
        <w:tc>
          <w:tcPr>
            <w:tcW w:w="3769" w:type="dxa"/>
            <w:tcBorders>
              <w:top w:val="single" w:sz="4" w:space="0" w:color="auto"/>
              <w:left w:val="single" w:sz="4" w:space="0" w:color="auto"/>
              <w:bottom w:val="single" w:sz="4" w:space="0" w:color="auto"/>
              <w:right w:val="single" w:sz="4" w:space="0" w:color="auto"/>
            </w:tcBorders>
          </w:tcPr>
          <w:p w14:paraId="09B8287B" w14:textId="315F81A6" w:rsidR="007F5D42" w:rsidRDefault="007F5D42">
            <w:pPr>
              <w:spacing w:line="360" w:lineRule="auto"/>
              <w:ind w:right="-660"/>
              <w:jc w:val="both"/>
              <w:rPr>
                <w:rFonts w:ascii="Arial" w:hAnsi="Arial" w:cs="Arial"/>
                <w:sz w:val="24"/>
                <w:szCs w:val="24"/>
                <w:lang w:val="es-ES"/>
              </w:rPr>
            </w:pPr>
            <w:r>
              <w:rPr>
                <w:rFonts w:ascii="Arial" w:hAnsi="Arial" w:cs="Arial"/>
                <w:sz w:val="24"/>
                <w:szCs w:val="24"/>
                <w:lang w:val="es-ES"/>
              </w:rPr>
              <w:t>.055</w:t>
            </w:r>
          </w:p>
        </w:tc>
      </w:tr>
      <w:tr w:rsidR="007F5D42" w14:paraId="2A07BD05" w14:textId="77777777" w:rsidTr="005D2794">
        <w:tc>
          <w:tcPr>
            <w:tcW w:w="3119" w:type="dxa"/>
            <w:tcBorders>
              <w:top w:val="single" w:sz="4" w:space="0" w:color="auto"/>
              <w:left w:val="single" w:sz="4" w:space="0" w:color="auto"/>
              <w:bottom w:val="single" w:sz="4" w:space="0" w:color="auto"/>
              <w:right w:val="single" w:sz="4" w:space="0" w:color="auto"/>
            </w:tcBorders>
          </w:tcPr>
          <w:p w14:paraId="36D56927" w14:textId="168DD8C3" w:rsidR="007F5D42" w:rsidRDefault="007F5D42">
            <w:pPr>
              <w:spacing w:line="360" w:lineRule="auto"/>
              <w:jc w:val="right"/>
              <w:rPr>
                <w:rFonts w:ascii="Arial" w:hAnsi="Arial" w:cs="Arial"/>
                <w:sz w:val="24"/>
                <w:szCs w:val="24"/>
                <w:lang w:val="es-ES"/>
              </w:rPr>
            </w:pPr>
            <w:r>
              <w:rPr>
                <w:rFonts w:ascii="Arial" w:hAnsi="Arial" w:cs="Arial"/>
                <w:sz w:val="24"/>
                <w:szCs w:val="24"/>
                <w:lang w:val="es-ES"/>
              </w:rPr>
              <w:t>2 días =</w:t>
            </w:r>
          </w:p>
        </w:tc>
        <w:tc>
          <w:tcPr>
            <w:tcW w:w="3769" w:type="dxa"/>
            <w:tcBorders>
              <w:top w:val="single" w:sz="4" w:space="0" w:color="auto"/>
              <w:left w:val="single" w:sz="4" w:space="0" w:color="auto"/>
              <w:bottom w:val="single" w:sz="4" w:space="0" w:color="auto"/>
              <w:right w:val="single" w:sz="4" w:space="0" w:color="auto"/>
            </w:tcBorders>
          </w:tcPr>
          <w:p w14:paraId="342FD4E9" w14:textId="5AC17878" w:rsidR="007F5D42" w:rsidRDefault="007F5D42">
            <w:pPr>
              <w:spacing w:line="360" w:lineRule="auto"/>
              <w:ind w:right="-660"/>
              <w:jc w:val="both"/>
              <w:rPr>
                <w:rFonts w:ascii="Arial" w:hAnsi="Arial" w:cs="Arial"/>
                <w:sz w:val="24"/>
                <w:szCs w:val="24"/>
                <w:lang w:val="es-ES"/>
              </w:rPr>
            </w:pPr>
            <w:r>
              <w:rPr>
                <w:rFonts w:ascii="Arial" w:hAnsi="Arial" w:cs="Arial"/>
                <w:sz w:val="24"/>
                <w:szCs w:val="24"/>
                <w:lang w:val="es-ES"/>
              </w:rPr>
              <w:t>0.11</w:t>
            </w:r>
          </w:p>
        </w:tc>
      </w:tr>
      <w:tr w:rsidR="007F5D42" w14:paraId="1E90DC6F" w14:textId="77777777" w:rsidTr="005D2794">
        <w:tc>
          <w:tcPr>
            <w:tcW w:w="3119" w:type="dxa"/>
            <w:tcBorders>
              <w:top w:val="single" w:sz="4" w:space="0" w:color="auto"/>
              <w:left w:val="single" w:sz="4" w:space="0" w:color="auto"/>
              <w:bottom w:val="single" w:sz="4" w:space="0" w:color="auto"/>
              <w:right w:val="single" w:sz="4" w:space="0" w:color="auto"/>
            </w:tcBorders>
          </w:tcPr>
          <w:p w14:paraId="5A359A58" w14:textId="1D3F4549" w:rsidR="007F5D42" w:rsidRDefault="007F5D42">
            <w:pPr>
              <w:spacing w:line="360" w:lineRule="auto"/>
              <w:jc w:val="right"/>
              <w:rPr>
                <w:rFonts w:ascii="Arial" w:hAnsi="Arial" w:cs="Arial"/>
                <w:sz w:val="24"/>
                <w:szCs w:val="24"/>
                <w:lang w:val="es-ES"/>
              </w:rPr>
            </w:pPr>
            <w:r>
              <w:rPr>
                <w:rFonts w:ascii="Arial" w:hAnsi="Arial" w:cs="Arial"/>
                <w:sz w:val="24"/>
                <w:szCs w:val="24"/>
                <w:lang w:val="es-ES"/>
              </w:rPr>
              <w:t>2 días =</w:t>
            </w:r>
          </w:p>
        </w:tc>
        <w:tc>
          <w:tcPr>
            <w:tcW w:w="3769" w:type="dxa"/>
            <w:tcBorders>
              <w:top w:val="single" w:sz="4" w:space="0" w:color="auto"/>
              <w:left w:val="single" w:sz="4" w:space="0" w:color="auto"/>
              <w:bottom w:val="single" w:sz="4" w:space="0" w:color="auto"/>
              <w:right w:val="single" w:sz="4" w:space="0" w:color="auto"/>
            </w:tcBorders>
          </w:tcPr>
          <w:p w14:paraId="556F0147" w14:textId="7036EF70" w:rsidR="007F5D42" w:rsidRDefault="007F5D42">
            <w:pPr>
              <w:spacing w:line="360" w:lineRule="auto"/>
              <w:ind w:right="-660"/>
              <w:jc w:val="both"/>
              <w:rPr>
                <w:rFonts w:ascii="Arial" w:hAnsi="Arial" w:cs="Arial"/>
                <w:sz w:val="24"/>
                <w:szCs w:val="24"/>
                <w:lang w:val="es-ES"/>
              </w:rPr>
            </w:pPr>
            <w:r>
              <w:rPr>
                <w:rFonts w:ascii="Arial" w:hAnsi="Arial" w:cs="Arial"/>
                <w:sz w:val="24"/>
                <w:szCs w:val="24"/>
                <w:lang w:val="es-ES"/>
              </w:rPr>
              <w:t xml:space="preserve">.11 x </w:t>
            </w:r>
            <w:r w:rsidR="007B4A4F">
              <w:rPr>
                <w:rFonts w:ascii="Arial" w:hAnsi="Arial" w:cs="Arial"/>
                <w:sz w:val="24"/>
                <w:szCs w:val="24"/>
                <w:lang w:val="es-ES"/>
              </w:rPr>
              <w:t>$</w:t>
            </w:r>
            <w:r>
              <w:rPr>
                <w:rFonts w:ascii="Arial" w:hAnsi="Arial" w:cs="Arial"/>
                <w:sz w:val="24"/>
                <w:szCs w:val="24"/>
                <w:lang w:val="es-ES"/>
              </w:rPr>
              <w:t>322.13 = $35.43</w:t>
            </w:r>
          </w:p>
        </w:tc>
      </w:tr>
      <w:tr w:rsidR="005D2794" w14:paraId="5AC5D813" w14:textId="77777777" w:rsidTr="005D2794">
        <w:tc>
          <w:tcPr>
            <w:tcW w:w="3119" w:type="dxa"/>
            <w:tcBorders>
              <w:top w:val="single" w:sz="4" w:space="0" w:color="auto"/>
              <w:left w:val="single" w:sz="4" w:space="0" w:color="auto"/>
              <w:bottom w:val="single" w:sz="4" w:space="0" w:color="auto"/>
              <w:right w:val="single" w:sz="4" w:space="0" w:color="auto"/>
            </w:tcBorders>
            <w:hideMark/>
          </w:tcPr>
          <w:p w14:paraId="7C00088C" w14:textId="77777777" w:rsidR="005D2794" w:rsidRDefault="005D2794">
            <w:pPr>
              <w:spacing w:line="360" w:lineRule="auto"/>
              <w:jc w:val="right"/>
              <w:rPr>
                <w:rFonts w:ascii="Arial" w:hAnsi="Arial" w:cs="Arial"/>
                <w:sz w:val="24"/>
                <w:szCs w:val="24"/>
                <w:lang w:val="es-ES"/>
              </w:rPr>
            </w:pPr>
            <w:r>
              <w:rPr>
                <w:rFonts w:ascii="Arial" w:hAnsi="Arial" w:cs="Arial"/>
                <w:sz w:val="24"/>
                <w:szCs w:val="24"/>
                <w:lang w:val="es-ES"/>
              </w:rPr>
              <w:t>Total=</w:t>
            </w:r>
          </w:p>
        </w:tc>
        <w:tc>
          <w:tcPr>
            <w:tcW w:w="3769" w:type="dxa"/>
            <w:tcBorders>
              <w:top w:val="single" w:sz="4" w:space="0" w:color="auto"/>
              <w:left w:val="single" w:sz="4" w:space="0" w:color="auto"/>
              <w:bottom w:val="single" w:sz="4" w:space="0" w:color="auto"/>
              <w:right w:val="single" w:sz="4" w:space="0" w:color="auto"/>
            </w:tcBorders>
            <w:hideMark/>
          </w:tcPr>
          <w:p w14:paraId="2854DD98" w14:textId="3C7BDE6A" w:rsidR="005D2794" w:rsidRDefault="005D2794" w:rsidP="00D81208">
            <w:pPr>
              <w:spacing w:line="360" w:lineRule="auto"/>
              <w:ind w:right="-660"/>
              <w:jc w:val="both"/>
              <w:rPr>
                <w:rFonts w:ascii="Arial" w:hAnsi="Arial" w:cs="Arial"/>
                <w:sz w:val="24"/>
                <w:szCs w:val="24"/>
                <w:lang w:val="es-ES"/>
              </w:rPr>
            </w:pPr>
            <w:r>
              <w:rPr>
                <w:rFonts w:ascii="Arial" w:hAnsi="Arial" w:cs="Arial"/>
                <w:sz w:val="24"/>
                <w:szCs w:val="24"/>
                <w:lang w:val="es-ES"/>
              </w:rPr>
              <w:t>$</w:t>
            </w:r>
            <w:r w:rsidR="00061508">
              <w:rPr>
                <w:rFonts w:ascii="Arial" w:hAnsi="Arial" w:cs="Arial"/>
                <w:sz w:val="24"/>
                <w:szCs w:val="24"/>
                <w:lang w:val="es-ES"/>
              </w:rPr>
              <w:t>190,</w:t>
            </w:r>
            <w:r w:rsidR="00D81208">
              <w:rPr>
                <w:rFonts w:ascii="Arial" w:hAnsi="Arial" w:cs="Arial"/>
                <w:sz w:val="24"/>
                <w:szCs w:val="24"/>
                <w:lang w:val="es-ES"/>
              </w:rPr>
              <w:t>626.86</w:t>
            </w:r>
          </w:p>
        </w:tc>
      </w:tr>
    </w:tbl>
    <w:p w14:paraId="72FF3228" w14:textId="77777777" w:rsidR="005D2794" w:rsidRDefault="005D2794" w:rsidP="005D2794">
      <w:pPr>
        <w:spacing w:line="360" w:lineRule="auto"/>
        <w:ind w:right="49"/>
        <w:jc w:val="both"/>
        <w:rPr>
          <w:rFonts w:ascii="Arial" w:hAnsi="Arial" w:cs="Arial"/>
          <w:b/>
          <w:sz w:val="24"/>
          <w:szCs w:val="24"/>
          <w:lang w:val="es-ES"/>
        </w:rPr>
      </w:pPr>
    </w:p>
    <w:p w14:paraId="43341FE4" w14:textId="5483E61E" w:rsidR="005D2794" w:rsidRDefault="005D2794" w:rsidP="005D2794">
      <w:pPr>
        <w:spacing w:line="360" w:lineRule="auto"/>
        <w:ind w:right="49" w:firstLine="567"/>
        <w:jc w:val="both"/>
        <w:rPr>
          <w:rFonts w:ascii="Arial" w:hAnsi="Arial" w:cs="Arial"/>
          <w:sz w:val="24"/>
          <w:szCs w:val="24"/>
          <w:lang w:val="es-ES"/>
        </w:rPr>
      </w:pPr>
      <w:r>
        <w:rPr>
          <w:rFonts w:ascii="Arial" w:hAnsi="Arial" w:cs="Arial"/>
          <w:b/>
          <w:sz w:val="24"/>
          <w:szCs w:val="24"/>
          <w:lang w:val="es-ES"/>
        </w:rPr>
        <w:t>VACACIONES</w:t>
      </w:r>
      <w:r>
        <w:rPr>
          <w:rFonts w:ascii="Arial" w:hAnsi="Arial" w:cs="Arial"/>
          <w:sz w:val="24"/>
          <w:szCs w:val="24"/>
          <w:lang w:val="es-ES"/>
        </w:rPr>
        <w:t>. El artículo</w:t>
      </w:r>
      <w:r>
        <w:rPr>
          <w:rFonts w:ascii="Arial" w:eastAsia="Calibri" w:hAnsi="Arial" w:cs="Arial"/>
          <w:sz w:val="24"/>
          <w:szCs w:val="24"/>
          <w:lang w:val="es-ES"/>
        </w:rPr>
        <w:t xml:space="preserve"> 93, del Reglamento de la Policía Estatal de Oaxaca</w:t>
      </w:r>
      <w:r>
        <w:rPr>
          <w:rFonts w:ascii="Arial" w:hAnsi="Arial" w:cs="Arial"/>
          <w:sz w:val="24"/>
          <w:szCs w:val="24"/>
          <w:lang w:val="es-ES"/>
        </w:rPr>
        <w:t xml:space="preserve">, establece que los integrantes que tengan más de seis meses </w:t>
      </w:r>
      <w:r>
        <w:rPr>
          <w:rFonts w:ascii="Arial" w:hAnsi="Arial" w:cs="Arial"/>
          <w:sz w:val="24"/>
          <w:szCs w:val="24"/>
          <w:lang w:val="es-ES"/>
        </w:rPr>
        <w:lastRenderedPageBreak/>
        <w:t>consecutivos de servicios disfrutaran dos periodos anuales de vacaciones, de diez días laborables cada uno; por lo que esta Sala sólo toma en cuenta el</w:t>
      </w:r>
      <w:r>
        <w:rPr>
          <w:rFonts w:ascii="Arial" w:hAnsi="Arial" w:cs="Arial"/>
          <w:b/>
          <w:sz w:val="24"/>
          <w:szCs w:val="24"/>
          <w:lang w:val="es-ES"/>
        </w:rPr>
        <w:t xml:space="preserve"> último año de servicio</w:t>
      </w:r>
      <w:r>
        <w:rPr>
          <w:rFonts w:ascii="Arial" w:hAnsi="Arial" w:cs="Arial"/>
          <w:sz w:val="24"/>
          <w:szCs w:val="24"/>
          <w:lang w:val="es-ES"/>
        </w:rPr>
        <w:t xml:space="preserve">, esto es del </w:t>
      </w:r>
      <w:r w:rsidR="00485D10">
        <w:rPr>
          <w:rFonts w:ascii="Arial" w:hAnsi="Arial" w:cs="Arial"/>
          <w:sz w:val="24"/>
          <w:szCs w:val="24"/>
          <w:lang w:val="es-ES"/>
        </w:rPr>
        <w:t xml:space="preserve">uno de enero al treinta y uno de diciembre de dos mil </w:t>
      </w:r>
      <w:r w:rsidR="00164601">
        <w:rPr>
          <w:rFonts w:ascii="Arial" w:hAnsi="Arial" w:cs="Arial"/>
          <w:sz w:val="24"/>
          <w:szCs w:val="24"/>
          <w:lang w:val="es-ES"/>
        </w:rPr>
        <w:t>d</w:t>
      </w:r>
      <w:r w:rsidR="00485D10">
        <w:rPr>
          <w:rFonts w:ascii="Arial" w:hAnsi="Arial" w:cs="Arial"/>
          <w:sz w:val="24"/>
          <w:szCs w:val="24"/>
          <w:lang w:val="es-ES"/>
        </w:rPr>
        <w:t>iecinueve,</w:t>
      </w:r>
      <w:r>
        <w:rPr>
          <w:rFonts w:ascii="Arial" w:hAnsi="Arial" w:cs="Arial"/>
          <w:sz w:val="24"/>
          <w:szCs w:val="24"/>
          <w:lang w:val="es-ES"/>
        </w:rPr>
        <w:t xml:space="preserve"> lo que arroja la cantidad de </w:t>
      </w:r>
      <w:r>
        <w:rPr>
          <w:rFonts w:ascii="Arial" w:hAnsi="Arial" w:cs="Arial"/>
          <w:b/>
          <w:sz w:val="24"/>
          <w:szCs w:val="24"/>
          <w:lang w:val="es-ES"/>
        </w:rPr>
        <w:t>$</w:t>
      </w:r>
      <w:r w:rsidR="00164601">
        <w:rPr>
          <w:rFonts w:ascii="Arial" w:hAnsi="Arial" w:cs="Arial"/>
          <w:b/>
          <w:sz w:val="24"/>
          <w:szCs w:val="24"/>
          <w:lang w:val="es-ES"/>
        </w:rPr>
        <w:t>6,442.60</w:t>
      </w:r>
      <w:r>
        <w:rPr>
          <w:rFonts w:ascii="Arial" w:hAnsi="Arial" w:cs="Arial"/>
          <w:b/>
          <w:sz w:val="24"/>
          <w:szCs w:val="24"/>
          <w:lang w:val="es-ES"/>
        </w:rPr>
        <w:t xml:space="preserve"> </w:t>
      </w:r>
      <w:r w:rsidR="00052B89">
        <w:rPr>
          <w:rFonts w:ascii="Arial" w:hAnsi="Arial" w:cs="Arial"/>
          <w:b/>
          <w:sz w:val="24"/>
          <w:szCs w:val="24"/>
          <w:lang w:val="es-ES"/>
        </w:rPr>
        <w:t>(seis mil cuatrocientos cuarenta y dos pesos 60</w:t>
      </w:r>
      <w:r>
        <w:rPr>
          <w:rFonts w:ascii="Arial" w:hAnsi="Arial" w:cs="Arial"/>
          <w:b/>
          <w:sz w:val="24"/>
          <w:szCs w:val="24"/>
          <w:lang w:val="es-ES"/>
        </w:rPr>
        <w:t>/100 M.N.)</w:t>
      </w:r>
      <w:r>
        <w:rPr>
          <w:rFonts w:ascii="Arial" w:hAnsi="Arial" w:cs="Arial"/>
          <w:sz w:val="24"/>
          <w:szCs w:val="24"/>
          <w:lang w:val="es-ES"/>
        </w:rPr>
        <w:t xml:space="preserve"> por concepto de vacaciones.</w:t>
      </w:r>
    </w:p>
    <w:tbl>
      <w:tblPr>
        <w:tblW w:w="0" w:type="auto"/>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93"/>
        <w:gridCol w:w="2068"/>
      </w:tblGrid>
      <w:tr w:rsidR="005D2794" w14:paraId="3212593D" w14:textId="77777777" w:rsidTr="005D2794">
        <w:tc>
          <w:tcPr>
            <w:tcW w:w="2693" w:type="dxa"/>
            <w:tcBorders>
              <w:top w:val="single" w:sz="4" w:space="0" w:color="auto"/>
              <w:left w:val="single" w:sz="4" w:space="0" w:color="auto"/>
              <w:bottom w:val="single" w:sz="4" w:space="0" w:color="auto"/>
              <w:right w:val="single" w:sz="4" w:space="0" w:color="auto"/>
            </w:tcBorders>
            <w:hideMark/>
          </w:tcPr>
          <w:p w14:paraId="41B8554E" w14:textId="77777777" w:rsidR="005D2794" w:rsidRDefault="005D2794" w:rsidP="00E95869">
            <w:pPr>
              <w:spacing w:after="0" w:line="360" w:lineRule="auto"/>
              <w:jc w:val="right"/>
              <w:rPr>
                <w:rFonts w:ascii="Arial" w:hAnsi="Arial" w:cs="Arial"/>
                <w:sz w:val="24"/>
                <w:szCs w:val="24"/>
                <w:lang w:val="es-ES"/>
              </w:rPr>
            </w:pPr>
            <w:r>
              <w:rPr>
                <w:rFonts w:ascii="Arial" w:hAnsi="Arial" w:cs="Arial"/>
                <w:sz w:val="24"/>
                <w:szCs w:val="24"/>
                <w:lang w:val="es-ES"/>
              </w:rPr>
              <w:t>1año   =</w:t>
            </w:r>
          </w:p>
        </w:tc>
        <w:tc>
          <w:tcPr>
            <w:tcW w:w="2068" w:type="dxa"/>
            <w:tcBorders>
              <w:top w:val="single" w:sz="4" w:space="0" w:color="auto"/>
              <w:left w:val="single" w:sz="4" w:space="0" w:color="auto"/>
              <w:bottom w:val="single" w:sz="4" w:space="0" w:color="auto"/>
              <w:right w:val="single" w:sz="4" w:space="0" w:color="auto"/>
            </w:tcBorders>
            <w:hideMark/>
          </w:tcPr>
          <w:p w14:paraId="57AD6541" w14:textId="77777777" w:rsidR="005D2794" w:rsidRDefault="005D2794" w:rsidP="00E95869">
            <w:pPr>
              <w:spacing w:after="0" w:line="360" w:lineRule="auto"/>
              <w:ind w:right="-660"/>
              <w:jc w:val="both"/>
              <w:rPr>
                <w:rFonts w:ascii="Arial" w:hAnsi="Arial" w:cs="Arial"/>
                <w:sz w:val="24"/>
                <w:szCs w:val="24"/>
                <w:lang w:val="es-ES"/>
              </w:rPr>
            </w:pPr>
            <w:r>
              <w:rPr>
                <w:rFonts w:ascii="Arial" w:hAnsi="Arial" w:cs="Arial"/>
                <w:sz w:val="24"/>
                <w:szCs w:val="24"/>
                <w:lang w:val="es-ES"/>
              </w:rPr>
              <w:t>20 días</w:t>
            </w:r>
          </w:p>
        </w:tc>
      </w:tr>
      <w:tr w:rsidR="005D2794" w14:paraId="2385734A" w14:textId="77777777" w:rsidTr="005D2794">
        <w:tc>
          <w:tcPr>
            <w:tcW w:w="2693" w:type="dxa"/>
            <w:tcBorders>
              <w:top w:val="single" w:sz="4" w:space="0" w:color="auto"/>
              <w:left w:val="single" w:sz="4" w:space="0" w:color="auto"/>
              <w:bottom w:val="single" w:sz="4" w:space="0" w:color="auto"/>
              <w:right w:val="single" w:sz="4" w:space="0" w:color="auto"/>
            </w:tcBorders>
            <w:hideMark/>
          </w:tcPr>
          <w:p w14:paraId="04F63ED9" w14:textId="144AD927" w:rsidR="005D2794" w:rsidRDefault="005D2794" w:rsidP="00E95869">
            <w:pPr>
              <w:spacing w:after="0" w:line="360" w:lineRule="auto"/>
              <w:jc w:val="right"/>
              <w:rPr>
                <w:rFonts w:ascii="Arial" w:hAnsi="Arial" w:cs="Arial"/>
                <w:sz w:val="24"/>
                <w:szCs w:val="24"/>
                <w:lang w:val="es-ES"/>
              </w:rPr>
            </w:pPr>
            <w:r>
              <w:rPr>
                <w:rFonts w:ascii="Arial" w:hAnsi="Arial" w:cs="Arial"/>
                <w:b/>
                <w:sz w:val="24"/>
                <w:szCs w:val="24"/>
                <w:lang w:val="es-ES"/>
              </w:rPr>
              <w:t>20 días X $</w:t>
            </w:r>
            <w:r w:rsidR="00164601">
              <w:rPr>
                <w:rFonts w:ascii="Arial" w:hAnsi="Arial" w:cs="Arial"/>
                <w:b/>
                <w:sz w:val="24"/>
                <w:szCs w:val="24"/>
                <w:lang w:val="es-ES"/>
              </w:rPr>
              <w:t>322.13</w:t>
            </w:r>
            <w:r>
              <w:rPr>
                <w:rFonts w:ascii="Arial" w:hAnsi="Arial" w:cs="Arial"/>
                <w:sz w:val="24"/>
                <w:szCs w:val="24"/>
                <w:lang w:val="es-ES"/>
              </w:rPr>
              <w:t>=</w:t>
            </w:r>
          </w:p>
        </w:tc>
        <w:tc>
          <w:tcPr>
            <w:tcW w:w="2068" w:type="dxa"/>
            <w:tcBorders>
              <w:top w:val="single" w:sz="4" w:space="0" w:color="auto"/>
              <w:left w:val="single" w:sz="4" w:space="0" w:color="auto"/>
              <w:bottom w:val="single" w:sz="4" w:space="0" w:color="auto"/>
              <w:right w:val="single" w:sz="4" w:space="0" w:color="auto"/>
            </w:tcBorders>
            <w:hideMark/>
          </w:tcPr>
          <w:p w14:paraId="75D5BB75" w14:textId="2813F350" w:rsidR="005D2794" w:rsidRDefault="005D2794" w:rsidP="00E95869">
            <w:pPr>
              <w:spacing w:after="0" w:line="360" w:lineRule="auto"/>
              <w:ind w:right="-660"/>
              <w:jc w:val="both"/>
              <w:rPr>
                <w:rFonts w:ascii="Arial" w:hAnsi="Arial" w:cs="Arial"/>
                <w:b/>
                <w:sz w:val="24"/>
                <w:szCs w:val="24"/>
                <w:lang w:val="es-ES"/>
              </w:rPr>
            </w:pPr>
            <w:r>
              <w:rPr>
                <w:rFonts w:ascii="Arial" w:hAnsi="Arial" w:cs="Arial"/>
                <w:b/>
                <w:sz w:val="24"/>
                <w:szCs w:val="24"/>
                <w:lang w:val="es-ES"/>
              </w:rPr>
              <w:t>$</w:t>
            </w:r>
            <w:r w:rsidR="00164601">
              <w:rPr>
                <w:rFonts w:ascii="Arial" w:hAnsi="Arial" w:cs="Arial"/>
                <w:b/>
                <w:sz w:val="24"/>
                <w:szCs w:val="24"/>
                <w:lang w:val="es-ES"/>
              </w:rPr>
              <w:t>6,442.60</w:t>
            </w:r>
          </w:p>
        </w:tc>
      </w:tr>
    </w:tbl>
    <w:p w14:paraId="51A4940E" w14:textId="77777777" w:rsidR="005D2794" w:rsidRDefault="005D2794" w:rsidP="005D2794">
      <w:pPr>
        <w:spacing w:line="360" w:lineRule="auto"/>
        <w:ind w:right="-660"/>
        <w:jc w:val="both"/>
        <w:rPr>
          <w:rFonts w:ascii="Arial" w:hAnsi="Arial" w:cs="Arial"/>
          <w:sz w:val="24"/>
          <w:szCs w:val="24"/>
          <w:lang w:val="es-ES"/>
        </w:rPr>
      </w:pPr>
    </w:p>
    <w:p w14:paraId="31D0C370" w14:textId="02CF30EE" w:rsidR="005D2794" w:rsidRDefault="005D2794" w:rsidP="005D2794">
      <w:pPr>
        <w:spacing w:line="360" w:lineRule="auto"/>
        <w:ind w:firstLine="567"/>
        <w:jc w:val="both"/>
        <w:rPr>
          <w:rFonts w:ascii="Arial" w:hAnsi="Arial" w:cs="Arial"/>
          <w:sz w:val="24"/>
          <w:szCs w:val="24"/>
          <w:lang w:val="es-ES"/>
        </w:rPr>
      </w:pPr>
      <w:r>
        <w:rPr>
          <w:rFonts w:ascii="Arial" w:hAnsi="Arial" w:cs="Arial"/>
          <w:b/>
          <w:sz w:val="24"/>
          <w:szCs w:val="24"/>
          <w:lang w:val="es-ES"/>
        </w:rPr>
        <w:t xml:space="preserve">PRIMA VACACIONAL: </w:t>
      </w:r>
      <w:r>
        <w:rPr>
          <w:rFonts w:ascii="Arial" w:hAnsi="Arial" w:cs="Arial"/>
          <w:sz w:val="24"/>
          <w:szCs w:val="24"/>
          <w:lang w:val="es-ES"/>
        </w:rPr>
        <w:t xml:space="preserve">Por este concepto, la demandada deberá pagar al actor, el 25% sobre el monto anterior, cantidad que se determina multiplicando la cantidad resultante de vacaciones por el veinticinco por ciento, lo que da un total de </w:t>
      </w:r>
      <w:r>
        <w:rPr>
          <w:rFonts w:ascii="Arial" w:hAnsi="Arial" w:cs="Arial"/>
          <w:b/>
          <w:sz w:val="24"/>
          <w:szCs w:val="24"/>
          <w:lang w:val="es-ES"/>
        </w:rPr>
        <w:t>$</w:t>
      </w:r>
      <w:r w:rsidR="00DA2734">
        <w:rPr>
          <w:rFonts w:ascii="Arial" w:hAnsi="Arial" w:cs="Arial"/>
          <w:b/>
          <w:sz w:val="24"/>
          <w:szCs w:val="24"/>
          <w:lang w:val="es-ES"/>
        </w:rPr>
        <w:t>1</w:t>
      </w:r>
      <w:r w:rsidR="001408E9">
        <w:rPr>
          <w:rFonts w:ascii="Arial" w:hAnsi="Arial" w:cs="Arial"/>
          <w:b/>
          <w:sz w:val="24"/>
          <w:szCs w:val="24"/>
          <w:lang w:val="es-ES"/>
        </w:rPr>
        <w:t>,</w:t>
      </w:r>
      <w:r w:rsidR="00DA2734">
        <w:rPr>
          <w:rFonts w:ascii="Arial" w:hAnsi="Arial" w:cs="Arial"/>
          <w:b/>
          <w:sz w:val="24"/>
          <w:szCs w:val="24"/>
          <w:lang w:val="es-ES"/>
        </w:rPr>
        <w:t>610.6</w:t>
      </w:r>
      <w:r w:rsidR="00F04085">
        <w:rPr>
          <w:rFonts w:ascii="Arial" w:hAnsi="Arial" w:cs="Arial"/>
          <w:b/>
          <w:sz w:val="24"/>
          <w:szCs w:val="24"/>
          <w:lang w:val="es-ES"/>
        </w:rPr>
        <w:t xml:space="preserve">5 </w:t>
      </w:r>
      <w:r>
        <w:rPr>
          <w:rFonts w:ascii="Arial" w:hAnsi="Arial" w:cs="Arial"/>
          <w:b/>
          <w:sz w:val="24"/>
          <w:szCs w:val="24"/>
          <w:lang w:val="es-ES"/>
        </w:rPr>
        <w:t>(</w:t>
      </w:r>
      <w:r w:rsidR="00DA2734">
        <w:rPr>
          <w:rFonts w:ascii="Arial" w:hAnsi="Arial" w:cs="Arial"/>
          <w:b/>
          <w:sz w:val="24"/>
          <w:szCs w:val="24"/>
          <w:lang w:val="es-ES"/>
        </w:rPr>
        <w:t>un mil seiscientos diez</w:t>
      </w:r>
      <w:r>
        <w:rPr>
          <w:rFonts w:ascii="Arial" w:hAnsi="Arial" w:cs="Arial"/>
          <w:b/>
          <w:sz w:val="24"/>
          <w:szCs w:val="24"/>
          <w:lang w:val="es-ES"/>
        </w:rPr>
        <w:t xml:space="preserve"> pesos </w:t>
      </w:r>
      <w:r w:rsidR="00DA2734">
        <w:rPr>
          <w:rFonts w:ascii="Arial" w:hAnsi="Arial" w:cs="Arial"/>
          <w:b/>
          <w:sz w:val="24"/>
          <w:szCs w:val="24"/>
          <w:lang w:val="es-ES"/>
        </w:rPr>
        <w:t>6</w:t>
      </w:r>
      <w:r w:rsidR="00F04085">
        <w:rPr>
          <w:rFonts w:ascii="Arial" w:hAnsi="Arial" w:cs="Arial"/>
          <w:b/>
          <w:sz w:val="24"/>
          <w:szCs w:val="24"/>
          <w:lang w:val="es-ES"/>
        </w:rPr>
        <w:t>5</w:t>
      </w:r>
      <w:r>
        <w:rPr>
          <w:rFonts w:ascii="Arial" w:hAnsi="Arial" w:cs="Arial"/>
          <w:b/>
          <w:sz w:val="24"/>
          <w:szCs w:val="24"/>
          <w:lang w:val="es-ES"/>
        </w:rPr>
        <w:t>/100</w:t>
      </w:r>
      <w:r w:rsidR="00835369">
        <w:rPr>
          <w:rFonts w:ascii="Arial" w:hAnsi="Arial" w:cs="Arial"/>
          <w:b/>
          <w:sz w:val="24"/>
          <w:szCs w:val="24"/>
          <w:lang w:val="es-ES"/>
        </w:rPr>
        <w:t xml:space="preserve"> M.N.</w:t>
      </w:r>
      <w:r>
        <w:rPr>
          <w:rFonts w:ascii="Arial" w:hAnsi="Arial" w:cs="Arial"/>
          <w:b/>
          <w:sz w:val="24"/>
          <w:szCs w:val="24"/>
          <w:lang w:val="es-ES"/>
        </w:rPr>
        <w:t>)</w:t>
      </w:r>
      <w:r>
        <w:rPr>
          <w:rFonts w:ascii="Arial" w:hAnsi="Arial" w:cs="Arial"/>
          <w:sz w:val="24"/>
          <w:szCs w:val="24"/>
          <w:lang w:val="es-ES"/>
        </w:rPr>
        <w:t xml:space="preserve"> en términos del </w:t>
      </w:r>
      <w:r>
        <w:rPr>
          <w:rFonts w:ascii="Arial" w:hAnsi="Arial" w:cs="Arial"/>
          <w:sz w:val="24"/>
          <w:szCs w:val="24"/>
        </w:rPr>
        <w:t>artículo 94 del Reglamento de la Policía Estatal de Oaxaca</w:t>
      </w:r>
      <w:r>
        <w:rPr>
          <w:rFonts w:ascii="Arial" w:hAnsi="Arial" w:cs="Arial"/>
          <w:sz w:val="24"/>
          <w:szCs w:val="24"/>
          <w:lang w:val="es-ES"/>
        </w:rPr>
        <w:t>.</w:t>
      </w:r>
    </w:p>
    <w:p w14:paraId="0F5C466F" w14:textId="77777777" w:rsidR="00802AA1" w:rsidRDefault="00802AA1" w:rsidP="00802AA1">
      <w:pPr>
        <w:pStyle w:val="Textoindependienteprimerasangra"/>
        <w:spacing w:line="360" w:lineRule="auto"/>
        <w:ind w:firstLine="567"/>
        <w:jc w:val="both"/>
        <w:rPr>
          <w:rFonts w:ascii="Arial" w:hAnsi="Arial" w:cs="Arial"/>
          <w:sz w:val="24"/>
          <w:szCs w:val="24"/>
        </w:rPr>
      </w:pPr>
      <w:r w:rsidRPr="00321BBB">
        <w:rPr>
          <w:rFonts w:ascii="Arial" w:hAnsi="Arial" w:cs="Arial"/>
          <w:b/>
          <w:sz w:val="24"/>
          <w:szCs w:val="24"/>
        </w:rPr>
        <w:t>SALARIOS CAÍDOS O HABERES</w:t>
      </w:r>
      <w:r>
        <w:rPr>
          <w:rFonts w:ascii="Arial" w:hAnsi="Arial" w:cs="Arial"/>
          <w:b/>
          <w:sz w:val="24"/>
          <w:szCs w:val="24"/>
        </w:rPr>
        <w:t xml:space="preserve"> DEJADOS DE PERCIBIR. </w:t>
      </w:r>
      <w:r>
        <w:rPr>
          <w:rFonts w:ascii="Arial" w:hAnsi="Arial" w:cs="Arial"/>
          <w:sz w:val="24"/>
          <w:szCs w:val="24"/>
        </w:rPr>
        <w:t xml:space="preserve">Respecto al pago de dicho concepto, se debe de señalar que ha sido criterio de esta Sala Unitaria, declarar la improcedencia de su pago, </w:t>
      </w:r>
      <w:r w:rsidRPr="008C2059">
        <w:rPr>
          <w:rFonts w:ascii="Arial" w:hAnsi="Arial" w:cs="Arial"/>
          <w:sz w:val="24"/>
          <w:szCs w:val="24"/>
        </w:rPr>
        <w:t>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w:t>
      </w:r>
      <w:r>
        <w:rPr>
          <w:rFonts w:ascii="Arial" w:hAnsi="Arial" w:cs="Arial"/>
          <w:sz w:val="24"/>
          <w:szCs w:val="24"/>
        </w:rPr>
        <w:t>.</w:t>
      </w:r>
    </w:p>
    <w:p w14:paraId="6206D16F" w14:textId="77777777" w:rsidR="00802AA1" w:rsidRDefault="00802AA1" w:rsidP="00802AA1">
      <w:pPr>
        <w:pStyle w:val="Textoindependienteprimerasangra"/>
        <w:spacing w:line="360" w:lineRule="auto"/>
        <w:ind w:firstLine="567"/>
        <w:jc w:val="both"/>
        <w:rPr>
          <w:rFonts w:ascii="Arial" w:hAnsi="Arial" w:cs="Arial"/>
          <w:sz w:val="24"/>
          <w:szCs w:val="24"/>
        </w:rPr>
      </w:pPr>
      <w:r>
        <w:rPr>
          <w:rFonts w:ascii="Arial" w:hAnsi="Arial" w:cs="Arial"/>
          <w:b/>
          <w:sz w:val="24"/>
          <w:szCs w:val="24"/>
        </w:rPr>
        <w:t>Sin embargo</w:t>
      </w:r>
      <w:r>
        <w:rPr>
          <w:rFonts w:ascii="Arial" w:hAnsi="Arial" w:cs="Arial"/>
          <w:sz w:val="24"/>
          <w:szCs w:val="24"/>
        </w:rPr>
        <w:t xml:space="preserve">, de un nuevo análisis que esta Juzgadora realiza al pago de esa percepción, advierte que no existe un motivo o justificación razonable que impida el pago de los salarios caídos o haberes dejados de percibir en el caso de un despido injustificado; por ello, esta Cuarta Sala Unitaria de Primera Instancia de este Tribunal, </w:t>
      </w:r>
      <w:r>
        <w:rPr>
          <w:rFonts w:ascii="Arial" w:hAnsi="Arial" w:cs="Arial"/>
          <w:b/>
          <w:sz w:val="24"/>
          <w:szCs w:val="24"/>
        </w:rPr>
        <w:t xml:space="preserve">se aparta </w:t>
      </w:r>
      <w:r>
        <w:rPr>
          <w:rFonts w:ascii="Arial" w:hAnsi="Arial" w:cs="Arial"/>
          <w:sz w:val="24"/>
          <w:szCs w:val="24"/>
        </w:rPr>
        <w:t>del criterio anteriormente sustentado y en lugar adopta el siguiente, al considerar que con ello se beneficia de una mejor manera a las partes intervinientes en el presente juicio de nulidad.</w:t>
      </w:r>
    </w:p>
    <w:p w14:paraId="3A9D899C" w14:textId="77777777" w:rsidR="00802AA1" w:rsidRDefault="00802AA1" w:rsidP="00802AA1">
      <w:pPr>
        <w:pStyle w:val="Textoindependienteprimerasangra"/>
        <w:spacing w:line="360" w:lineRule="auto"/>
        <w:ind w:firstLine="567"/>
        <w:jc w:val="both"/>
        <w:rPr>
          <w:rFonts w:ascii="Arial" w:hAnsi="Arial" w:cs="Arial"/>
          <w:sz w:val="24"/>
          <w:szCs w:val="24"/>
        </w:rPr>
      </w:pPr>
      <w:r>
        <w:rPr>
          <w:rFonts w:ascii="Arial" w:hAnsi="Arial" w:cs="Arial"/>
          <w:sz w:val="24"/>
          <w:szCs w:val="24"/>
        </w:rPr>
        <w:t>Para ello, primeramente debemos establecer que en la Constitución Política de los Estados Unidos Mexicanos y en las Leyes Secundarias que regulan las relaciones de los Agentes del Ministerio Público con el Estado, no se establece de manera expresa el pago de la percepción denominada salarios caídos o haberes dejados de percibir, pues el artículo 123 apartado B fracción XIII de la Constitución Federal y el diverso 71 de la Ley Orgánica de la Fiscalía General del Estado de Oaxaca</w:t>
      </w:r>
      <w:r>
        <w:rPr>
          <w:rStyle w:val="Refdenotaalpie"/>
          <w:rFonts w:ascii="Arial" w:hAnsi="Arial" w:cs="Arial"/>
          <w:sz w:val="24"/>
          <w:szCs w:val="24"/>
        </w:rPr>
        <w:footnoteReference w:id="1"/>
      </w:r>
      <w:r>
        <w:rPr>
          <w:rFonts w:ascii="Arial" w:hAnsi="Arial" w:cs="Arial"/>
          <w:sz w:val="24"/>
          <w:szCs w:val="24"/>
        </w:rPr>
        <w:t xml:space="preserve">, solo establecen, que en caso de un despido injustificado el Estado estará </w:t>
      </w:r>
      <w:r>
        <w:rPr>
          <w:rFonts w:ascii="Arial" w:hAnsi="Arial" w:cs="Arial"/>
          <w:sz w:val="24"/>
          <w:szCs w:val="24"/>
        </w:rPr>
        <w:lastRenderedPageBreak/>
        <w:t>obligado a pagar la indemnización constitucional y demás prestaciones a que tenga derecho.</w:t>
      </w:r>
    </w:p>
    <w:p w14:paraId="48B4E9EE" w14:textId="77777777" w:rsidR="00802AA1" w:rsidRDefault="00802AA1" w:rsidP="00802AA1">
      <w:pPr>
        <w:pStyle w:val="Textoindependienteprimerasangra"/>
        <w:spacing w:line="360" w:lineRule="auto"/>
        <w:ind w:firstLine="567"/>
        <w:jc w:val="both"/>
        <w:rPr>
          <w:rFonts w:ascii="Arial" w:hAnsi="Arial" w:cs="Arial"/>
          <w:sz w:val="24"/>
          <w:szCs w:val="24"/>
        </w:rPr>
      </w:pPr>
      <w:r>
        <w:rPr>
          <w:rFonts w:ascii="Arial" w:hAnsi="Arial" w:cs="Arial"/>
          <w:sz w:val="24"/>
          <w:szCs w:val="24"/>
        </w:rPr>
        <w:t>Por lo tanto</w:t>
      </w:r>
      <w:r w:rsidRPr="00FE686E">
        <w:rPr>
          <w:rFonts w:ascii="Arial" w:hAnsi="Arial" w:cs="Arial"/>
          <w:sz w:val="24"/>
          <w:szCs w:val="24"/>
        </w:rPr>
        <w:t xml:space="preserve">, </w:t>
      </w:r>
      <w:r w:rsidRPr="00416452">
        <w:rPr>
          <w:rFonts w:ascii="Arial" w:hAnsi="Arial" w:cs="Arial"/>
          <w:sz w:val="24"/>
          <w:szCs w:val="24"/>
        </w:rPr>
        <w:t xml:space="preserve">previo a realizar la suma total de las cantidades que la parte demandada debe pagar al administrado, debe considerarse que la </w:t>
      </w:r>
      <w:r w:rsidRPr="00455BFC">
        <w:rPr>
          <w:rFonts w:ascii="Arial" w:hAnsi="Arial" w:cs="Arial"/>
          <w:b/>
          <w:sz w:val="24"/>
          <w:szCs w:val="24"/>
        </w:rPr>
        <w:t xml:space="preserve">autoridad demandada </w:t>
      </w:r>
      <w:r w:rsidRPr="00416452">
        <w:rPr>
          <w:rFonts w:ascii="Arial" w:hAnsi="Arial" w:cs="Arial"/>
          <w:sz w:val="24"/>
          <w:szCs w:val="24"/>
        </w:rPr>
        <w:t>no tiene a su disponibilidad el dinero para poder cumplir con un mandato judicial, toda vez que la obtención de dicho recurso debe ser mediante trámite administrativo</w:t>
      </w:r>
      <w:r>
        <w:rPr>
          <w:rFonts w:ascii="Arial" w:hAnsi="Arial" w:cs="Arial"/>
          <w:sz w:val="24"/>
          <w:szCs w:val="24"/>
        </w:rPr>
        <w:t xml:space="preserve"> de traspaso interinstitucional. Por lo que, </w:t>
      </w:r>
      <w:r w:rsidRPr="00416452">
        <w:rPr>
          <w:rFonts w:ascii="Arial" w:hAnsi="Arial" w:cs="Arial"/>
          <w:sz w:val="24"/>
          <w:szCs w:val="24"/>
        </w:rPr>
        <w:t xml:space="preserve">resulta lógico que al momento </w:t>
      </w:r>
      <w:r>
        <w:rPr>
          <w:rFonts w:ascii="Arial" w:hAnsi="Arial" w:cs="Arial"/>
          <w:sz w:val="24"/>
          <w:szCs w:val="24"/>
        </w:rPr>
        <w:t xml:space="preserve">en que una </w:t>
      </w:r>
      <w:r>
        <w:rPr>
          <w:rFonts w:ascii="Arial" w:hAnsi="Arial" w:cs="Arial"/>
          <w:b/>
          <w:sz w:val="24"/>
          <w:szCs w:val="24"/>
        </w:rPr>
        <w:t xml:space="preserve">autoridad (municipal o estatal) </w:t>
      </w:r>
      <w:r>
        <w:rPr>
          <w:rFonts w:ascii="Arial" w:hAnsi="Arial" w:cs="Arial"/>
          <w:sz w:val="24"/>
          <w:szCs w:val="24"/>
        </w:rPr>
        <w:t xml:space="preserve">es </w:t>
      </w:r>
      <w:r w:rsidRPr="00416452">
        <w:rPr>
          <w:rFonts w:ascii="Arial" w:hAnsi="Arial" w:cs="Arial"/>
          <w:sz w:val="24"/>
          <w:szCs w:val="24"/>
        </w:rPr>
        <w:t xml:space="preserve">condenada al pago de una cantidad, esta </w:t>
      </w:r>
      <w:r>
        <w:rPr>
          <w:rFonts w:ascii="Arial" w:hAnsi="Arial" w:cs="Arial"/>
          <w:sz w:val="24"/>
          <w:szCs w:val="24"/>
        </w:rPr>
        <w:t xml:space="preserve">no cuenta con </w:t>
      </w:r>
      <w:r w:rsidRPr="00416452">
        <w:rPr>
          <w:rFonts w:ascii="Arial" w:hAnsi="Arial" w:cs="Arial"/>
          <w:sz w:val="24"/>
          <w:szCs w:val="24"/>
        </w:rPr>
        <w:t>el monto total condenado, en virtud de que dentro de los principios que rigen el Presupuesto, Gasto Público y la Contabilidad Gubernamental, no existe una partida específica para cubrir estas eventualidades por el monto condenado y qu</w:t>
      </w:r>
      <w:r>
        <w:rPr>
          <w:rFonts w:ascii="Arial" w:hAnsi="Arial" w:cs="Arial"/>
          <w:sz w:val="24"/>
          <w:szCs w:val="24"/>
        </w:rPr>
        <w:t>e pudiera seguir actualizándose.</w:t>
      </w:r>
    </w:p>
    <w:p w14:paraId="5F7F3B82" w14:textId="77777777" w:rsidR="00802AA1" w:rsidRDefault="00802AA1" w:rsidP="00802AA1">
      <w:pPr>
        <w:spacing w:line="360" w:lineRule="auto"/>
        <w:ind w:right="49" w:firstLine="567"/>
        <w:jc w:val="both"/>
        <w:rPr>
          <w:rFonts w:ascii="Arial" w:hAnsi="Arial" w:cs="Arial"/>
          <w:sz w:val="24"/>
          <w:szCs w:val="24"/>
        </w:rPr>
      </w:pPr>
      <w:r>
        <w:rPr>
          <w:rFonts w:ascii="Arial" w:hAnsi="Arial" w:cs="Arial"/>
          <w:sz w:val="24"/>
          <w:szCs w:val="24"/>
        </w:rPr>
        <w:t xml:space="preserve"> De ahí, que</w:t>
      </w:r>
      <w:r w:rsidRPr="00416452">
        <w:rPr>
          <w:rFonts w:ascii="Arial" w:hAnsi="Arial" w:cs="Arial"/>
          <w:sz w:val="24"/>
          <w:szCs w:val="24"/>
        </w:rPr>
        <w:t xml:space="preserve"> </w:t>
      </w:r>
      <w:r>
        <w:rPr>
          <w:rFonts w:ascii="Arial" w:hAnsi="Arial" w:cs="Arial"/>
          <w:sz w:val="24"/>
          <w:szCs w:val="24"/>
        </w:rPr>
        <w:t xml:space="preserve">de </w:t>
      </w:r>
      <w:r w:rsidRPr="00416452">
        <w:rPr>
          <w:rFonts w:ascii="Arial" w:hAnsi="Arial" w:cs="Arial"/>
          <w:sz w:val="24"/>
          <w:szCs w:val="24"/>
        </w:rPr>
        <w:t>las normas que rigen el citado Presupuesto y Gasto Público, destaca principalmente lo dispuesto por el artículo 126 de la Constitución Política de los Estados Unidos Mexicanos</w:t>
      </w:r>
      <w:r>
        <w:rPr>
          <w:rStyle w:val="Refdenotaalpie"/>
          <w:rFonts w:ascii="Arial" w:hAnsi="Arial" w:cs="Arial"/>
          <w:sz w:val="24"/>
          <w:szCs w:val="24"/>
        </w:rPr>
        <w:footnoteReference w:id="2"/>
      </w:r>
      <w:r w:rsidRPr="00416452">
        <w:rPr>
          <w:rFonts w:ascii="Arial" w:hAnsi="Arial" w:cs="Arial"/>
          <w:sz w:val="24"/>
          <w:szCs w:val="24"/>
        </w:rPr>
        <w:t xml:space="preserve">, en la que </w:t>
      </w:r>
      <w:r w:rsidRPr="00530E5A">
        <w:rPr>
          <w:rFonts w:ascii="Arial" w:hAnsi="Arial" w:cs="Arial"/>
          <w:b/>
          <w:sz w:val="24"/>
          <w:szCs w:val="24"/>
        </w:rPr>
        <w:t>prohíbe disponer de recursos que no se encuentre debidamente presupuestados</w:t>
      </w:r>
      <w:r w:rsidRPr="00416452">
        <w:rPr>
          <w:rFonts w:ascii="Arial" w:hAnsi="Arial" w:cs="Arial"/>
          <w:sz w:val="24"/>
          <w:szCs w:val="24"/>
        </w:rPr>
        <w:t xml:space="preserve">; así también, en atención al </w:t>
      </w:r>
      <w:r w:rsidRPr="00530E5A">
        <w:rPr>
          <w:rFonts w:ascii="Arial" w:hAnsi="Arial" w:cs="Arial"/>
          <w:b/>
          <w:sz w:val="24"/>
          <w:szCs w:val="24"/>
        </w:rPr>
        <w:t>principio de anualidad presupuestal</w:t>
      </w:r>
      <w:r w:rsidRPr="00416452">
        <w:rPr>
          <w:rFonts w:ascii="Arial" w:hAnsi="Arial" w:cs="Arial"/>
          <w:sz w:val="24"/>
          <w:szCs w:val="24"/>
        </w:rPr>
        <w:t xml:space="preserve"> que obliga a las autoridades a realizar el presupuesto por año calendario, concatenándolo con </w:t>
      </w:r>
      <w:r w:rsidRPr="00530E5A">
        <w:rPr>
          <w:rFonts w:ascii="Arial" w:hAnsi="Arial" w:cs="Arial"/>
          <w:b/>
          <w:sz w:val="24"/>
          <w:szCs w:val="24"/>
        </w:rPr>
        <w:t>el principio de universalidad</w:t>
      </w:r>
      <w:r w:rsidRPr="00416452">
        <w:rPr>
          <w:rFonts w:ascii="Arial" w:hAnsi="Arial" w:cs="Arial"/>
          <w:sz w:val="24"/>
          <w:szCs w:val="24"/>
        </w:rPr>
        <w:t xml:space="preserve"> del presupuesto que debe contener los ingresos a obtener a un año y con ello detallar el gasto e inversión de ese mismo año, haciendo evidente de la restricción para una libre disposición de los recursos públicos de tal manera que hace imposible que el día en que se ordena el pago de una prestación</w:t>
      </w:r>
      <w:r>
        <w:rPr>
          <w:rFonts w:ascii="Arial" w:hAnsi="Arial" w:cs="Arial"/>
          <w:sz w:val="24"/>
          <w:szCs w:val="24"/>
        </w:rPr>
        <w:t>, este</w:t>
      </w:r>
      <w:r w:rsidRPr="00416452">
        <w:rPr>
          <w:rFonts w:ascii="Arial" w:hAnsi="Arial" w:cs="Arial"/>
          <w:sz w:val="24"/>
          <w:szCs w:val="24"/>
        </w:rPr>
        <w:t xml:space="preserve"> se realice el mismo día, debido a la serie de trámite</w:t>
      </w:r>
      <w:r>
        <w:rPr>
          <w:rFonts w:ascii="Arial" w:hAnsi="Arial" w:cs="Arial"/>
          <w:sz w:val="24"/>
          <w:szCs w:val="24"/>
        </w:rPr>
        <w:t>s</w:t>
      </w:r>
      <w:r w:rsidRPr="00416452">
        <w:rPr>
          <w:rFonts w:ascii="Arial" w:hAnsi="Arial" w:cs="Arial"/>
          <w:sz w:val="24"/>
          <w:szCs w:val="24"/>
        </w:rPr>
        <w:t xml:space="preserve"> y gestiones a realizar, entre las cuales incluye el traspaso de fondos derivadas de las partidas presupuestales, mismas que se encuentran reguladas conforme </w:t>
      </w:r>
      <w:r>
        <w:rPr>
          <w:rFonts w:ascii="Arial" w:hAnsi="Arial" w:cs="Arial"/>
          <w:sz w:val="24"/>
          <w:szCs w:val="24"/>
        </w:rPr>
        <w:t>a los artículos 40, 41 y 42 de la Ley Estatal de Presupuesto y Responsabilidad Hacendaria.</w:t>
      </w:r>
    </w:p>
    <w:p w14:paraId="2F1AC138" w14:textId="2D4EFC38" w:rsidR="00802AA1" w:rsidRPr="00416452" w:rsidRDefault="00802AA1" w:rsidP="00802AA1">
      <w:pPr>
        <w:spacing w:line="360" w:lineRule="auto"/>
        <w:ind w:right="49" w:firstLine="567"/>
        <w:jc w:val="both"/>
        <w:rPr>
          <w:rFonts w:ascii="Arial" w:hAnsi="Arial" w:cs="Arial"/>
          <w:b/>
          <w:sz w:val="24"/>
          <w:szCs w:val="24"/>
        </w:rPr>
      </w:pPr>
      <w:r>
        <w:rPr>
          <w:rFonts w:ascii="Arial" w:hAnsi="Arial" w:cs="Arial"/>
          <w:sz w:val="24"/>
          <w:szCs w:val="24"/>
        </w:rPr>
        <w:t xml:space="preserve">Bajo esa tesitura, en el </w:t>
      </w:r>
      <w:r w:rsidRPr="00416452">
        <w:rPr>
          <w:rFonts w:ascii="Arial" w:hAnsi="Arial" w:cs="Arial"/>
          <w:sz w:val="24"/>
          <w:szCs w:val="24"/>
        </w:rPr>
        <w:t xml:space="preserve">cumplimiento de las liquidaciones ordenadas por autoridad jurisdiccional, </w:t>
      </w:r>
      <w:r w:rsidRPr="00BB21B9">
        <w:rPr>
          <w:rFonts w:ascii="Arial" w:hAnsi="Arial" w:cs="Arial"/>
          <w:b/>
          <w:sz w:val="24"/>
          <w:szCs w:val="24"/>
        </w:rPr>
        <w:t>siempre existirá un desfase en el tiempo de su ejecución</w:t>
      </w:r>
      <w:r w:rsidRPr="00416452">
        <w:rPr>
          <w:rFonts w:ascii="Arial" w:hAnsi="Arial" w:cs="Arial"/>
          <w:sz w:val="24"/>
          <w:szCs w:val="24"/>
        </w:rPr>
        <w:t>, por lo que</w:t>
      </w:r>
      <w:r>
        <w:rPr>
          <w:rFonts w:ascii="Arial" w:hAnsi="Arial" w:cs="Arial"/>
          <w:sz w:val="24"/>
          <w:szCs w:val="24"/>
        </w:rPr>
        <w:t>,</w:t>
      </w:r>
      <w:r w:rsidRPr="00416452">
        <w:rPr>
          <w:rFonts w:ascii="Arial" w:hAnsi="Arial" w:cs="Arial"/>
          <w:sz w:val="24"/>
          <w:szCs w:val="24"/>
        </w:rPr>
        <w:t xml:space="preserve"> de condenar a la autoridad a pagar las actualizaciones hasta el cabal cumplimiento de la presente sentencia, se convertirían en indefinidas y por e</w:t>
      </w:r>
      <w:r>
        <w:rPr>
          <w:rFonts w:ascii="Arial" w:hAnsi="Arial" w:cs="Arial"/>
          <w:sz w:val="24"/>
          <w:szCs w:val="24"/>
        </w:rPr>
        <w:t>nde en una sentencia materialmente incumplible</w:t>
      </w:r>
      <w:r w:rsidRPr="00416452">
        <w:rPr>
          <w:rFonts w:ascii="Arial" w:hAnsi="Arial" w:cs="Arial"/>
          <w:sz w:val="24"/>
          <w:szCs w:val="24"/>
        </w:rPr>
        <w:t>, sin que pase por desapercibido que esa no es la finalidad del texto estipulado en el artículo 123 apartado B, fracción XIII de la Constitución Política de los Estados Unidos Mexicanos</w:t>
      </w:r>
      <w:r>
        <w:rPr>
          <w:rFonts w:ascii="Arial" w:hAnsi="Arial" w:cs="Arial"/>
          <w:sz w:val="24"/>
          <w:szCs w:val="24"/>
        </w:rPr>
        <w:t>,</w:t>
      </w:r>
      <w:r w:rsidRPr="00416452">
        <w:rPr>
          <w:rFonts w:ascii="Arial" w:hAnsi="Arial" w:cs="Arial"/>
          <w:sz w:val="24"/>
          <w:szCs w:val="24"/>
        </w:rPr>
        <w:t xml:space="preserve"> lo anterior tiene sustento por analogía sustancial en la tesis con número de registro 214183 por los Tribunales Colegiados de Circuito en el Semanario Judicial de la Federación, Tomo XIII, </w:t>
      </w:r>
      <w:r w:rsidR="00993BB1" w:rsidRPr="00416452">
        <w:rPr>
          <w:rFonts w:ascii="Arial" w:hAnsi="Arial" w:cs="Arial"/>
          <w:sz w:val="24"/>
          <w:szCs w:val="24"/>
        </w:rPr>
        <w:t>dici</w:t>
      </w:r>
      <w:r w:rsidRPr="00416452">
        <w:rPr>
          <w:rFonts w:ascii="Arial" w:hAnsi="Arial" w:cs="Arial"/>
          <w:sz w:val="24"/>
          <w:szCs w:val="24"/>
        </w:rPr>
        <w:t xml:space="preserve">embre de 1993, página 956, </w:t>
      </w:r>
      <w:r w:rsidR="00993BB1" w:rsidRPr="00416452">
        <w:rPr>
          <w:rFonts w:ascii="Arial" w:hAnsi="Arial" w:cs="Arial"/>
          <w:sz w:val="24"/>
          <w:szCs w:val="24"/>
        </w:rPr>
        <w:lastRenderedPageBreak/>
        <w:t>octava época</w:t>
      </w:r>
      <w:r w:rsidRPr="00416452">
        <w:rPr>
          <w:rFonts w:ascii="Arial" w:hAnsi="Arial" w:cs="Arial"/>
          <w:sz w:val="24"/>
          <w:szCs w:val="24"/>
        </w:rPr>
        <w:t xml:space="preserve">, así como la </w:t>
      </w:r>
      <w:r w:rsidR="00993BB1" w:rsidRPr="00416452">
        <w:rPr>
          <w:rFonts w:ascii="Arial" w:hAnsi="Arial" w:cs="Arial"/>
          <w:sz w:val="24"/>
          <w:szCs w:val="24"/>
        </w:rPr>
        <w:t>tes</w:t>
      </w:r>
      <w:r w:rsidRPr="00416452">
        <w:rPr>
          <w:rFonts w:ascii="Arial" w:hAnsi="Arial" w:cs="Arial"/>
          <w:sz w:val="24"/>
          <w:szCs w:val="24"/>
        </w:rPr>
        <w:t xml:space="preserve">is número I.6o.T.275 L con número de registro 176635 por los Tribunales Colegiados de Circuito en el Semanario Judicial de la Federación y su Gaceta, Tomo XXII, </w:t>
      </w:r>
      <w:r w:rsidR="00993BB1" w:rsidRPr="00416452">
        <w:rPr>
          <w:rFonts w:ascii="Arial" w:hAnsi="Arial" w:cs="Arial"/>
          <w:sz w:val="24"/>
          <w:szCs w:val="24"/>
        </w:rPr>
        <w:t>noviembr</w:t>
      </w:r>
      <w:r w:rsidRPr="00416452">
        <w:rPr>
          <w:rFonts w:ascii="Arial" w:hAnsi="Arial" w:cs="Arial"/>
          <w:sz w:val="24"/>
          <w:szCs w:val="24"/>
        </w:rPr>
        <w:t xml:space="preserve">e de 2005, página 931, </w:t>
      </w:r>
      <w:r w:rsidR="00993BB1" w:rsidRPr="00416452">
        <w:rPr>
          <w:rFonts w:ascii="Arial" w:hAnsi="Arial" w:cs="Arial"/>
          <w:sz w:val="24"/>
          <w:szCs w:val="24"/>
        </w:rPr>
        <w:t>novena época</w:t>
      </w:r>
      <w:r w:rsidR="00993BB1">
        <w:rPr>
          <w:rFonts w:ascii="Arial" w:hAnsi="Arial" w:cs="Arial"/>
          <w:sz w:val="24"/>
          <w:szCs w:val="24"/>
        </w:rPr>
        <w:t>,</w:t>
      </w:r>
      <w:r w:rsidR="00993BB1" w:rsidRPr="00416452">
        <w:rPr>
          <w:rFonts w:ascii="Arial" w:hAnsi="Arial" w:cs="Arial"/>
          <w:sz w:val="24"/>
          <w:szCs w:val="24"/>
        </w:rPr>
        <w:t xml:space="preserve"> </w:t>
      </w:r>
      <w:r w:rsidRPr="00416452">
        <w:rPr>
          <w:rFonts w:ascii="Arial" w:hAnsi="Arial" w:cs="Arial"/>
          <w:sz w:val="24"/>
          <w:szCs w:val="24"/>
        </w:rPr>
        <w:t>bajo los rubros y textos siguientes:</w:t>
      </w:r>
    </w:p>
    <w:p w14:paraId="02AADA92" w14:textId="77777777" w:rsidR="00F918B2" w:rsidRDefault="00F918B2" w:rsidP="00F918B2">
      <w:pPr>
        <w:ind w:left="567" w:right="333"/>
        <w:jc w:val="both"/>
        <w:rPr>
          <w:rFonts w:ascii="Arial" w:hAnsi="Arial" w:cs="Arial"/>
          <w:i/>
          <w:szCs w:val="24"/>
        </w:rPr>
      </w:pPr>
      <w:r>
        <w:rPr>
          <w:rFonts w:ascii="Arial" w:hAnsi="Arial" w:cs="Arial"/>
          <w:b/>
          <w:i/>
          <w:szCs w:val="24"/>
        </w:rPr>
        <w:t>“</w:t>
      </w:r>
      <w:r w:rsidR="00802AA1" w:rsidRPr="00416452">
        <w:rPr>
          <w:rFonts w:ascii="Arial" w:hAnsi="Arial" w:cs="Arial"/>
          <w:b/>
          <w:i/>
          <w:szCs w:val="24"/>
        </w:rPr>
        <w:t>SALARIOS CAÍDOS. LÍMITE DE SU CUANTIFICACIÓN.</w:t>
      </w:r>
      <w:r w:rsidR="00802AA1" w:rsidRPr="00416452">
        <w:rPr>
          <w:rFonts w:ascii="Arial" w:hAnsi="Arial" w:cs="Arial"/>
          <w:i/>
          <w:szCs w:val="24"/>
        </w:rPr>
        <w:t xml:space="preserve"> Si en un laudo se condena al patrón a cubrir al trabajador salarios caídos, a partir del despido al día en que se cumplimente dicho fallo, aun cuando en las planillas de liquidación se limiten a determinada fecha, tal circunstancia no trasciende en ninguna forma, porque los mismos deben calcularse hasta la data en que se pronuncie la interlocutoria que resuelve el incidente de liquidación planteado, por ser éste precisamente el momento en que se determina en cantidad líquida la condena económica decretada en el laudo a cumplimentar.</w:t>
      </w:r>
      <w:r>
        <w:rPr>
          <w:rFonts w:ascii="Arial" w:hAnsi="Arial" w:cs="Arial"/>
          <w:i/>
          <w:szCs w:val="24"/>
        </w:rPr>
        <w:t xml:space="preserve">” </w:t>
      </w:r>
    </w:p>
    <w:p w14:paraId="53D45360" w14:textId="2FC1FC2A" w:rsidR="00802AA1" w:rsidRPr="00416452" w:rsidRDefault="00F918B2" w:rsidP="00F918B2">
      <w:pPr>
        <w:ind w:left="567" w:right="333"/>
        <w:jc w:val="both"/>
        <w:rPr>
          <w:rFonts w:ascii="Arial" w:hAnsi="Arial" w:cs="Arial"/>
          <w:i/>
          <w:szCs w:val="24"/>
        </w:rPr>
      </w:pPr>
      <w:r>
        <w:rPr>
          <w:rFonts w:ascii="Arial" w:hAnsi="Arial" w:cs="Arial"/>
          <w:i/>
          <w:szCs w:val="24"/>
        </w:rPr>
        <w:t>“</w:t>
      </w:r>
      <w:r w:rsidR="00802AA1" w:rsidRPr="00416452">
        <w:rPr>
          <w:rFonts w:ascii="Arial" w:hAnsi="Arial" w:cs="Arial"/>
          <w:b/>
          <w:i/>
          <w:szCs w:val="24"/>
        </w:rPr>
        <w:t>SALARIOS CAÍDOS. LA CIRCUNSTANCIA DE QUE EL PATRÓN HAYA CUMPLIDO SU PAGO MEDIANTE UN CHEQUE Y EL TRABAJADOR ACUDA A RECIBIRLO EN FECHA POSTERIOR Y DEBIDO A ELLO NO PUDIERA COBRARLO HASTA LA EXHIBICIÓN DE UNO NUEVO, NO TRAE COMO CONSECUENCIA EL AUMENTO DE LA CONDENA.</w:t>
      </w:r>
      <w:r w:rsidR="00802AA1" w:rsidRPr="00416452">
        <w:rPr>
          <w:rFonts w:ascii="Arial" w:hAnsi="Arial" w:cs="Arial"/>
          <w:i/>
          <w:szCs w:val="24"/>
        </w:rPr>
        <w:t xml:space="preserve"> Si el patrón en cumplimiento del laudo exhibe ante la Junta un cheque a favor del trabajador para pagar el monto total de la condena económica, incluyendo los salarios caídos y el trabajador comparece a recibirlo en fecha posterior, lo cual originó la imposibilidad de cobrarlo, en virtud de que la institución librada le informó que la cuenta había sido cancelada, dicha circunstancia no puede originar un aumento en la condena, al pretender la cuantificación de los salarios caídos hasta que se efectuó el cambio de dicho título-valor, dado que no fue atribuible a la patronal la imposibilidad de su cobro ni menos evidenció mala fe de su parte, sino que se acreditó que ésta cumplió con el fallo desde la expedición del cheque pues, considerar lo contrario, equivaldría a dejar al arbitrio del empleado el monto de los salarios caídos e indefinidamente en suspenso la solución del conflicto, contra el espíritu que anima la legislación laboral.</w:t>
      </w:r>
      <w:r>
        <w:rPr>
          <w:rFonts w:ascii="Arial" w:hAnsi="Arial" w:cs="Arial"/>
          <w:i/>
          <w:szCs w:val="24"/>
        </w:rPr>
        <w:t>”</w:t>
      </w:r>
    </w:p>
    <w:p w14:paraId="138F703B" w14:textId="0CAFF49C" w:rsidR="00802AA1" w:rsidRPr="00416452" w:rsidRDefault="00802AA1" w:rsidP="001408E9">
      <w:pPr>
        <w:spacing w:line="360" w:lineRule="auto"/>
        <w:ind w:right="49" w:firstLine="567"/>
        <w:jc w:val="both"/>
        <w:rPr>
          <w:rFonts w:ascii="Arial" w:hAnsi="Arial" w:cs="Arial"/>
          <w:sz w:val="24"/>
          <w:szCs w:val="24"/>
        </w:rPr>
      </w:pPr>
      <w:r w:rsidRPr="00416452">
        <w:rPr>
          <w:rFonts w:ascii="Arial" w:hAnsi="Arial" w:cs="Arial"/>
          <w:sz w:val="24"/>
          <w:szCs w:val="24"/>
        </w:rPr>
        <w:t xml:space="preserve">Por ello, </w:t>
      </w:r>
      <w:r w:rsidRPr="00416452">
        <w:rPr>
          <w:rFonts w:ascii="Arial" w:hAnsi="Arial" w:cs="Arial"/>
          <w:b/>
          <w:sz w:val="24"/>
          <w:szCs w:val="24"/>
        </w:rPr>
        <w:t>se procede actualizar el concepto de remuneración ordinaria</w:t>
      </w:r>
      <w:r>
        <w:rPr>
          <w:rFonts w:ascii="Arial" w:hAnsi="Arial" w:cs="Arial"/>
          <w:b/>
          <w:sz w:val="24"/>
          <w:szCs w:val="24"/>
        </w:rPr>
        <w:t xml:space="preserve"> (salarios caídos)</w:t>
      </w:r>
      <w:r w:rsidRPr="00416452">
        <w:rPr>
          <w:rFonts w:ascii="Arial" w:hAnsi="Arial" w:cs="Arial"/>
          <w:b/>
          <w:sz w:val="24"/>
          <w:szCs w:val="24"/>
        </w:rPr>
        <w:t xml:space="preserve"> contados a partir del </w:t>
      </w:r>
      <w:r w:rsidR="001408E9">
        <w:rPr>
          <w:rFonts w:ascii="Arial" w:hAnsi="Arial" w:cs="Arial"/>
          <w:b/>
          <w:sz w:val="24"/>
          <w:szCs w:val="24"/>
        </w:rPr>
        <w:t>veintinueve</w:t>
      </w:r>
      <w:r>
        <w:rPr>
          <w:rFonts w:ascii="Arial" w:hAnsi="Arial" w:cs="Arial"/>
          <w:b/>
          <w:sz w:val="24"/>
          <w:szCs w:val="24"/>
        </w:rPr>
        <w:t xml:space="preserve"> de octubre de dos mil veinte</w:t>
      </w:r>
      <w:r w:rsidRPr="00416452">
        <w:rPr>
          <w:rFonts w:ascii="Arial" w:hAnsi="Arial" w:cs="Arial"/>
          <w:b/>
          <w:sz w:val="24"/>
          <w:szCs w:val="24"/>
        </w:rPr>
        <w:t xml:space="preserve"> hasta el día de hoy</w:t>
      </w:r>
      <w:r w:rsidR="005613D3">
        <w:rPr>
          <w:rFonts w:ascii="Arial" w:hAnsi="Arial" w:cs="Arial"/>
          <w:b/>
          <w:sz w:val="24"/>
          <w:szCs w:val="24"/>
        </w:rPr>
        <w:t xml:space="preserve"> veintinueve de octubre de dos mil veintiuno</w:t>
      </w:r>
      <w:r w:rsidRPr="00416452">
        <w:rPr>
          <w:rFonts w:ascii="Arial" w:hAnsi="Arial" w:cs="Arial"/>
          <w:b/>
          <w:sz w:val="24"/>
          <w:szCs w:val="24"/>
        </w:rPr>
        <w:t>,</w:t>
      </w:r>
      <w:r w:rsidRPr="00416452">
        <w:rPr>
          <w:rFonts w:ascii="Arial" w:hAnsi="Arial" w:cs="Arial"/>
          <w:sz w:val="24"/>
          <w:szCs w:val="24"/>
        </w:rPr>
        <w:t xml:space="preserve"> </w:t>
      </w:r>
      <w:r>
        <w:rPr>
          <w:rFonts w:ascii="Arial" w:hAnsi="Arial" w:cs="Arial"/>
          <w:sz w:val="24"/>
          <w:szCs w:val="24"/>
        </w:rPr>
        <w:t>lo que nos</w:t>
      </w:r>
      <w:r w:rsidRPr="00416452">
        <w:rPr>
          <w:rFonts w:ascii="Arial" w:hAnsi="Arial" w:cs="Arial"/>
          <w:sz w:val="24"/>
          <w:szCs w:val="24"/>
        </w:rPr>
        <w:t xml:space="preserve"> da un total de </w:t>
      </w:r>
      <w:r>
        <w:rPr>
          <w:rFonts w:ascii="Arial" w:hAnsi="Arial" w:cs="Arial"/>
          <w:sz w:val="24"/>
          <w:szCs w:val="24"/>
        </w:rPr>
        <w:t>trescientos sesenta y cinco días</w:t>
      </w:r>
      <w:r w:rsidRPr="00416452">
        <w:rPr>
          <w:rFonts w:ascii="Arial" w:hAnsi="Arial" w:cs="Arial"/>
          <w:sz w:val="24"/>
          <w:szCs w:val="24"/>
        </w:rPr>
        <w:t xml:space="preserve"> (</w:t>
      </w:r>
      <w:r>
        <w:rPr>
          <w:rFonts w:ascii="Arial" w:hAnsi="Arial" w:cs="Arial"/>
          <w:sz w:val="24"/>
          <w:szCs w:val="24"/>
        </w:rPr>
        <w:t xml:space="preserve">un </w:t>
      </w:r>
      <w:r w:rsidRPr="00416452">
        <w:rPr>
          <w:rFonts w:ascii="Arial" w:hAnsi="Arial" w:cs="Arial"/>
          <w:sz w:val="24"/>
          <w:szCs w:val="24"/>
        </w:rPr>
        <w:t>a</w:t>
      </w:r>
      <w:r>
        <w:rPr>
          <w:rFonts w:ascii="Arial" w:hAnsi="Arial" w:cs="Arial"/>
          <w:sz w:val="24"/>
          <w:szCs w:val="24"/>
        </w:rPr>
        <w:t>ño</w:t>
      </w:r>
      <w:r w:rsidRPr="00416452">
        <w:rPr>
          <w:rFonts w:ascii="Arial" w:hAnsi="Arial" w:cs="Arial"/>
          <w:sz w:val="24"/>
          <w:szCs w:val="24"/>
        </w:rPr>
        <w:t xml:space="preserve">), que multiplicados por </w:t>
      </w:r>
      <w:r w:rsidR="001408E9">
        <w:rPr>
          <w:rFonts w:ascii="Arial" w:eastAsia="Calibri" w:hAnsi="Arial" w:cs="Arial"/>
          <w:sz w:val="24"/>
          <w:szCs w:val="24"/>
          <w:lang w:val="es-ES"/>
        </w:rPr>
        <w:t>$322.13 (tresciento</w:t>
      </w:r>
      <w:r w:rsidR="005613D3">
        <w:rPr>
          <w:rFonts w:ascii="Arial" w:eastAsia="Calibri" w:hAnsi="Arial" w:cs="Arial"/>
          <w:sz w:val="24"/>
          <w:szCs w:val="24"/>
          <w:lang w:val="es-ES"/>
        </w:rPr>
        <w:t xml:space="preserve">s veintidós pesos 13/100 M.N.) </w:t>
      </w:r>
      <w:r w:rsidR="001408E9">
        <w:rPr>
          <w:rFonts w:ascii="Arial" w:eastAsia="Calibri" w:hAnsi="Arial" w:cs="Arial"/>
          <w:sz w:val="24"/>
          <w:szCs w:val="24"/>
          <w:lang w:val="es-ES"/>
        </w:rPr>
        <w:t>Salario diario</w:t>
      </w:r>
      <w:r w:rsidR="001408E9">
        <w:rPr>
          <w:rFonts w:ascii="Arial" w:hAnsi="Arial" w:cs="Arial"/>
          <w:sz w:val="24"/>
          <w:szCs w:val="24"/>
        </w:rPr>
        <w:t xml:space="preserve"> </w:t>
      </w:r>
      <w:r w:rsidRPr="00416452">
        <w:rPr>
          <w:rFonts w:ascii="Arial" w:hAnsi="Arial" w:cs="Arial"/>
          <w:b/>
          <w:sz w:val="24"/>
          <w:szCs w:val="24"/>
        </w:rPr>
        <w:t>nos dan un total de</w:t>
      </w:r>
      <w:r w:rsidRPr="00416452">
        <w:rPr>
          <w:rFonts w:ascii="Arial" w:hAnsi="Arial" w:cs="Arial"/>
          <w:sz w:val="24"/>
          <w:szCs w:val="24"/>
        </w:rPr>
        <w:t xml:space="preserve"> </w:t>
      </w:r>
      <w:r w:rsidRPr="00416452">
        <w:rPr>
          <w:rFonts w:ascii="Arial" w:hAnsi="Arial" w:cs="Arial"/>
          <w:b/>
          <w:sz w:val="24"/>
          <w:szCs w:val="24"/>
        </w:rPr>
        <w:t>$</w:t>
      </w:r>
      <w:r w:rsidR="001408E9">
        <w:rPr>
          <w:rFonts w:ascii="Arial" w:hAnsi="Arial" w:cs="Arial"/>
          <w:b/>
          <w:sz w:val="24"/>
          <w:szCs w:val="24"/>
        </w:rPr>
        <w:t>117,577.45</w:t>
      </w:r>
      <w:r w:rsidRPr="00416452">
        <w:rPr>
          <w:rFonts w:ascii="Arial" w:hAnsi="Arial" w:cs="Arial"/>
          <w:b/>
          <w:sz w:val="24"/>
          <w:szCs w:val="24"/>
        </w:rPr>
        <w:t xml:space="preserve"> </w:t>
      </w:r>
      <w:r w:rsidRPr="00416452">
        <w:rPr>
          <w:rFonts w:ascii="Arial" w:hAnsi="Arial" w:cs="Arial"/>
          <w:sz w:val="24"/>
          <w:szCs w:val="24"/>
        </w:rPr>
        <w:t>(</w:t>
      </w:r>
      <w:r w:rsidR="001408E9">
        <w:rPr>
          <w:rFonts w:ascii="Arial" w:hAnsi="Arial" w:cs="Arial"/>
          <w:sz w:val="24"/>
          <w:szCs w:val="24"/>
        </w:rPr>
        <w:t>ciento diecisiete mil quinientos setenta y siete pesos 45</w:t>
      </w:r>
      <w:r w:rsidRPr="00416452">
        <w:rPr>
          <w:rFonts w:ascii="Arial" w:hAnsi="Arial" w:cs="Arial"/>
          <w:sz w:val="24"/>
          <w:szCs w:val="24"/>
        </w:rPr>
        <w:t xml:space="preserve">/100 M.N.). </w:t>
      </w:r>
    </w:p>
    <w:p w14:paraId="00D13F8F" w14:textId="77777777" w:rsidR="00802AA1" w:rsidRPr="00416452" w:rsidRDefault="00802AA1" w:rsidP="00802AA1">
      <w:pPr>
        <w:spacing w:line="360" w:lineRule="auto"/>
        <w:ind w:right="49" w:firstLine="567"/>
        <w:jc w:val="both"/>
        <w:rPr>
          <w:rFonts w:ascii="Arial" w:hAnsi="Arial" w:cs="Arial"/>
          <w:sz w:val="24"/>
          <w:szCs w:val="24"/>
          <w:lang w:val="es-ES_tradnl"/>
        </w:rPr>
      </w:pPr>
      <w:r w:rsidRPr="001E0329">
        <w:rPr>
          <w:rFonts w:ascii="Arial" w:hAnsi="Arial" w:cs="Arial"/>
          <w:b/>
          <w:sz w:val="24"/>
          <w:szCs w:val="24"/>
          <w:lang w:val="es-ES_tradnl"/>
        </w:rPr>
        <w:t>El límite anterior atiende a lo dispuesto por la jurisprudencia número 2a./J. 28/2016 (10a.), con número de registro 2011180</w:t>
      </w:r>
      <w:r w:rsidRPr="001E0329">
        <w:rPr>
          <w:rFonts w:ascii="Arial" w:hAnsi="Arial" w:cs="Arial"/>
          <w:sz w:val="24"/>
          <w:szCs w:val="24"/>
          <w:lang w:val="es-ES_tradnl"/>
        </w:rPr>
        <w:t>,</w:t>
      </w:r>
      <w:r w:rsidRPr="00416452">
        <w:rPr>
          <w:rFonts w:ascii="Arial" w:hAnsi="Arial" w:cs="Arial"/>
          <w:sz w:val="24"/>
          <w:szCs w:val="24"/>
          <w:lang w:val="es-ES_tradnl"/>
        </w:rPr>
        <w:t xml:space="preserve"> Gaceta del Semanario Judicial de la Federación Décima Época</w:t>
      </w:r>
      <w:r>
        <w:rPr>
          <w:rFonts w:ascii="Arial" w:hAnsi="Arial" w:cs="Arial"/>
          <w:sz w:val="24"/>
          <w:szCs w:val="24"/>
          <w:lang w:val="es-ES_tradnl"/>
        </w:rPr>
        <w:t xml:space="preserve">, 2011180, 1 de 1, Segunda Sala, </w:t>
      </w:r>
      <w:r w:rsidRPr="00416452">
        <w:rPr>
          <w:rFonts w:ascii="Arial" w:hAnsi="Arial" w:cs="Arial"/>
          <w:sz w:val="24"/>
          <w:szCs w:val="24"/>
          <w:lang w:val="es-ES_tradnl"/>
        </w:rPr>
        <w:t>Libro 28, Marzo de 2016, Tomo II, Página 1264 materia Constitucional, Laboral, bajo el rubro y texto siguiente:</w:t>
      </w:r>
    </w:p>
    <w:p w14:paraId="6528C893" w14:textId="64BB7823" w:rsidR="00802AA1" w:rsidRPr="001408E9" w:rsidRDefault="000C6EC3" w:rsidP="000C6EC3">
      <w:pPr>
        <w:ind w:left="567" w:right="333"/>
        <w:jc w:val="both"/>
        <w:rPr>
          <w:rFonts w:ascii="Arial" w:hAnsi="Arial" w:cs="Arial"/>
          <w:i/>
          <w:iCs/>
          <w:szCs w:val="24"/>
          <w:lang w:val="es-ES_tradnl"/>
        </w:rPr>
      </w:pPr>
      <w:r>
        <w:rPr>
          <w:rFonts w:ascii="Arial" w:hAnsi="Arial" w:cs="Arial"/>
          <w:b/>
          <w:bCs/>
          <w:i/>
          <w:iCs/>
          <w:szCs w:val="24"/>
          <w:lang w:val="es-ES_tradnl"/>
        </w:rPr>
        <w:t>“</w:t>
      </w:r>
      <w:r w:rsidR="00802AA1" w:rsidRPr="00456996">
        <w:rPr>
          <w:rFonts w:ascii="Arial" w:hAnsi="Arial" w:cs="Arial"/>
          <w:b/>
          <w:bCs/>
          <w:i/>
          <w:iCs/>
          <w:szCs w:val="24"/>
          <w:lang w:val="es-ES_tradnl"/>
        </w:rPr>
        <w:t xml:space="preserve">SALARIOS CAÍDOS. </w:t>
      </w:r>
      <w:r w:rsidR="00802AA1" w:rsidRPr="00456996">
        <w:rPr>
          <w:rFonts w:ascii="Arial" w:hAnsi="Arial" w:cs="Arial"/>
          <w:b/>
          <w:i/>
          <w:iCs/>
          <w:szCs w:val="24"/>
          <w:lang w:val="es-ES_tradnl"/>
        </w:rPr>
        <w:t>LA REFORMA AL ARTÍCULO 48, PÁRRAFO SEGUNDO, DE LA LEY FEDERAL DEL TRABAJO, DE 30 DE NOVIEMBRE DE 2012, NO TRANSGREDE EL PRINCIPIO DE PROGRESIVIDAD NI ES VIOLATORIA DE DERECHOS HUMANOS</w:t>
      </w:r>
      <w:r w:rsidR="00802AA1" w:rsidRPr="00456996">
        <w:rPr>
          <w:rFonts w:ascii="Arial" w:hAnsi="Arial" w:cs="Arial"/>
          <w:i/>
          <w:iCs/>
          <w:szCs w:val="24"/>
          <w:lang w:val="es-ES_tradnl"/>
        </w:rPr>
        <w:t xml:space="preserve">. De la interpretación armónica de los artículos 1o. y 123, apartado A, fracción XXII, de la Constitución Política de los Estados Unidos Mexicanos, de los Tratados Internacionales en materia de derechos humanos de los cuales el Estado Mexicano forma parte, y de los precedentes sustentados por esta Segunda Sala del Máximo Tribunal del país sobre el principio de progresividad, se concluye que la reforma al artículo 48, párrafo segundo, de la Ley Federal del Trabajo, publicada en el Diario Oficial de la Federación el 30 de noviembre de 2012, al limitar a 12 meses máximo el pago </w:t>
      </w:r>
      <w:r w:rsidR="00802AA1" w:rsidRPr="00456996">
        <w:rPr>
          <w:rFonts w:ascii="Arial" w:hAnsi="Arial" w:cs="Arial"/>
          <w:i/>
          <w:iCs/>
          <w:szCs w:val="24"/>
          <w:lang w:val="es-ES_tradnl"/>
        </w:rPr>
        <w:lastRenderedPageBreak/>
        <w:t>de salarios vencidos en casos de despido injustificado en un juicio laboral, no transgrede el principio de progresividad que tutela el citado artículo 1o. constitucional, ni es violatorio de derechos humanos, porque no desconoce un derecho anteriormente establecido, ni suprime la sanción constitucional que impone a los patrones la obligación de indemnizar a los trabajadores separados injustificadamente de la fuente de empleo, sino que sólo regula en forma distinta cómo habrá de calcularse dicha indemnización, con los objetivos siguientes: a) Evitar que los juicios laborales se prolonguen artificialmente con el fin de obtener una mayor condena por concepto de salarios caídos y b) Impedir la eventual quiebra de las fuentes de trabajo, con perjuicio incluso para otros trabajadores, lo que generaría un gran desempleo, y por ello, indirectamente incide en otros problemas para la economía nacional. Máxime que el legislador federal si bien limitó a 12 meses como máximo el pago de salarios vencidos, lo cierto es que también contempló la obligación de pagar intereses sobre el importe de 15 meses de salario, a razón del 2% mensual, capitalizable al momento del pago, e incluso desarrolló otros mecanismos para que los juicios laborales no se demoraran injustificadamente, tales como la imposición de sanciones a las partes o a los servidores públicos que actúen con la finalidad de prolongar, dilatar y obstaculizar la sustanciación o resolución de un juicio laboral.</w:t>
      </w:r>
      <w:r>
        <w:rPr>
          <w:rFonts w:ascii="Arial" w:hAnsi="Arial" w:cs="Arial"/>
          <w:i/>
          <w:iCs/>
          <w:szCs w:val="24"/>
          <w:lang w:val="es-ES_tradnl"/>
        </w:rPr>
        <w:t>”</w:t>
      </w:r>
    </w:p>
    <w:p w14:paraId="4D7FCF2F" w14:textId="77777777" w:rsidR="005D2794" w:rsidRDefault="005D2794" w:rsidP="005D2794">
      <w:pPr>
        <w:spacing w:after="0" w:line="240" w:lineRule="auto"/>
        <w:ind w:left="567" w:right="502" w:firstLine="567"/>
        <w:jc w:val="both"/>
        <w:rPr>
          <w:rFonts w:ascii="Arial" w:eastAsia="Times New Roman" w:hAnsi="Arial" w:cs="Arial"/>
          <w:bCs/>
          <w:i/>
          <w:color w:val="000000"/>
          <w:szCs w:val="24"/>
          <w:lang w:val="es-ES_tradnl" w:eastAsia="x-none"/>
        </w:rPr>
      </w:pPr>
    </w:p>
    <w:p w14:paraId="4552B7E2" w14:textId="5712D5CC" w:rsidR="00575D97" w:rsidRPr="001408E9" w:rsidRDefault="005D2794" w:rsidP="001408E9">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Cs/>
          <w:color w:val="000000"/>
          <w:sz w:val="24"/>
          <w:szCs w:val="24"/>
          <w:lang w:val="es-ES_tradnl" w:eastAsia="x-none"/>
        </w:rPr>
        <w:t>Por todo lo anterior, la</w:t>
      </w:r>
      <w:r w:rsidR="001408E9">
        <w:rPr>
          <w:rFonts w:ascii="Arial" w:eastAsia="Times New Roman" w:hAnsi="Arial" w:cs="Arial"/>
          <w:bCs/>
          <w:color w:val="000000"/>
          <w:sz w:val="24"/>
          <w:szCs w:val="24"/>
          <w:lang w:val="es-ES_tradnl" w:eastAsia="x-none"/>
        </w:rPr>
        <w:t>s</w:t>
      </w:r>
      <w:r>
        <w:rPr>
          <w:rFonts w:ascii="Arial" w:eastAsia="Times New Roman" w:hAnsi="Arial" w:cs="Arial"/>
          <w:bCs/>
          <w:color w:val="000000"/>
          <w:sz w:val="24"/>
          <w:szCs w:val="24"/>
          <w:lang w:val="es-ES_tradnl" w:eastAsia="x-none"/>
        </w:rPr>
        <w:t xml:space="preserve"> autoridad</w:t>
      </w:r>
      <w:r w:rsidR="001408E9">
        <w:rPr>
          <w:rFonts w:ascii="Arial" w:eastAsia="Times New Roman" w:hAnsi="Arial" w:cs="Arial"/>
          <w:bCs/>
          <w:color w:val="000000"/>
          <w:sz w:val="24"/>
          <w:szCs w:val="24"/>
          <w:lang w:val="es-ES_tradnl" w:eastAsia="x-none"/>
        </w:rPr>
        <w:t>es</w:t>
      </w:r>
      <w:r>
        <w:rPr>
          <w:rFonts w:ascii="Arial" w:eastAsia="Times New Roman" w:hAnsi="Arial" w:cs="Arial"/>
          <w:bCs/>
          <w:color w:val="000000"/>
          <w:sz w:val="24"/>
          <w:szCs w:val="24"/>
          <w:lang w:val="es-ES_tradnl" w:eastAsia="x-none"/>
        </w:rPr>
        <w:t xml:space="preserve"> demandada</w:t>
      </w:r>
      <w:r w:rsidR="001408E9">
        <w:rPr>
          <w:rFonts w:ascii="Arial" w:eastAsia="Times New Roman" w:hAnsi="Arial" w:cs="Arial"/>
          <w:bCs/>
          <w:color w:val="000000"/>
          <w:sz w:val="24"/>
          <w:szCs w:val="24"/>
          <w:lang w:val="es-ES_tradnl" w:eastAsia="x-none"/>
        </w:rPr>
        <w:t>s</w:t>
      </w:r>
      <w:r>
        <w:rPr>
          <w:rFonts w:ascii="Arial" w:eastAsia="Times New Roman" w:hAnsi="Arial" w:cs="Arial"/>
          <w:bCs/>
          <w:color w:val="000000"/>
          <w:sz w:val="24"/>
          <w:szCs w:val="24"/>
          <w:lang w:val="es-ES_tradnl" w:eastAsia="x-none"/>
        </w:rPr>
        <w:t xml:space="preserve"> o la(s) autoridad (es) que en el futuro se denomine</w:t>
      </w:r>
      <w:r w:rsidR="001408E9">
        <w:rPr>
          <w:rFonts w:ascii="Arial" w:eastAsia="Times New Roman" w:hAnsi="Arial" w:cs="Arial"/>
          <w:bCs/>
          <w:color w:val="000000"/>
          <w:sz w:val="24"/>
          <w:szCs w:val="24"/>
          <w:lang w:val="es-ES_tradnl" w:eastAsia="x-none"/>
        </w:rPr>
        <w:t>n</w:t>
      </w:r>
      <w:r w:rsidR="008B3B6C">
        <w:rPr>
          <w:rFonts w:ascii="Arial" w:eastAsia="Times New Roman" w:hAnsi="Arial" w:cs="Arial"/>
          <w:bCs/>
          <w:color w:val="000000"/>
          <w:sz w:val="24"/>
          <w:szCs w:val="24"/>
          <w:lang w:val="es-ES_tradnl" w:eastAsia="x-none"/>
        </w:rPr>
        <w:t xml:space="preserve"> y</w:t>
      </w:r>
      <w:r>
        <w:rPr>
          <w:rFonts w:ascii="Arial" w:eastAsia="Times New Roman" w:hAnsi="Arial" w:cs="Arial"/>
          <w:bCs/>
          <w:color w:val="000000"/>
          <w:sz w:val="24"/>
          <w:szCs w:val="24"/>
          <w:lang w:val="es-ES_tradnl" w:eastAsia="x-none"/>
        </w:rPr>
        <w:t xml:space="preserve"> cumpla con dichas funciones, deberá</w:t>
      </w:r>
      <w:r w:rsidR="001408E9">
        <w:rPr>
          <w:rFonts w:ascii="Arial" w:eastAsia="Times New Roman" w:hAnsi="Arial" w:cs="Arial"/>
          <w:bCs/>
          <w:color w:val="000000"/>
          <w:sz w:val="24"/>
          <w:szCs w:val="24"/>
          <w:lang w:val="es-ES_tradnl" w:eastAsia="x-none"/>
        </w:rPr>
        <w:t>n</w:t>
      </w:r>
      <w:r>
        <w:rPr>
          <w:rFonts w:ascii="Arial" w:eastAsia="Times New Roman" w:hAnsi="Arial" w:cs="Arial"/>
          <w:bCs/>
          <w:color w:val="000000"/>
          <w:sz w:val="24"/>
          <w:szCs w:val="24"/>
          <w:lang w:val="es-ES_tradnl" w:eastAsia="x-none"/>
        </w:rPr>
        <w:t xml:space="preserve"> pagar al actor </w:t>
      </w:r>
      <w:r w:rsidR="0028218E">
        <w:rPr>
          <w:rFonts w:ascii="Arial" w:eastAsia="Times New Roman" w:hAnsi="Arial" w:cs="Arial"/>
          <w:b/>
          <w:bCs/>
          <w:color w:val="000000"/>
          <w:sz w:val="24"/>
          <w:szCs w:val="24"/>
          <w:lang w:val="es-ES_tradnl" w:eastAsia="x-none"/>
        </w:rPr>
        <w:t>**********</w:t>
      </w:r>
      <w:r>
        <w:rPr>
          <w:rFonts w:ascii="Arial" w:eastAsia="Times New Roman" w:hAnsi="Arial" w:cs="Arial"/>
          <w:bCs/>
          <w:color w:val="000000"/>
          <w:sz w:val="24"/>
          <w:szCs w:val="24"/>
          <w:lang w:val="es-ES_tradnl" w:eastAsia="x-none"/>
        </w:rPr>
        <w:t xml:space="preserve">, </w:t>
      </w:r>
      <w:r>
        <w:rPr>
          <w:rFonts w:ascii="Arial" w:eastAsia="Calibri" w:hAnsi="Arial" w:cs="Arial"/>
          <w:sz w:val="24"/>
          <w:szCs w:val="24"/>
          <w:lang w:val="es-ES"/>
        </w:rPr>
        <w:t xml:space="preserve">la cantidad de </w:t>
      </w:r>
      <w:r>
        <w:rPr>
          <w:rFonts w:ascii="Arial" w:eastAsia="Calibri" w:hAnsi="Arial" w:cs="Arial"/>
          <w:b/>
          <w:sz w:val="24"/>
          <w:szCs w:val="24"/>
          <w:lang w:val="es-ES"/>
        </w:rPr>
        <w:t>$</w:t>
      </w:r>
      <w:r w:rsidR="001408E9">
        <w:rPr>
          <w:rFonts w:ascii="Arial" w:eastAsia="Calibri" w:hAnsi="Arial" w:cs="Arial"/>
          <w:b/>
          <w:sz w:val="24"/>
          <w:szCs w:val="24"/>
          <w:lang w:val="es-ES"/>
        </w:rPr>
        <w:t>345,</w:t>
      </w:r>
      <w:r w:rsidR="000C6EC3">
        <w:rPr>
          <w:rFonts w:ascii="Arial" w:eastAsia="Calibri" w:hAnsi="Arial" w:cs="Arial"/>
          <w:b/>
          <w:sz w:val="24"/>
          <w:szCs w:val="24"/>
          <w:lang w:val="es-ES"/>
        </w:rPr>
        <w:t>249.50</w:t>
      </w:r>
      <w:r w:rsidR="001408E9">
        <w:rPr>
          <w:rFonts w:ascii="Arial" w:eastAsia="Calibri" w:hAnsi="Arial" w:cs="Arial"/>
          <w:b/>
          <w:sz w:val="24"/>
          <w:szCs w:val="24"/>
          <w:lang w:val="es-ES"/>
        </w:rPr>
        <w:t xml:space="preserve"> (trescientos cuarenta y cinco mil doscientos </w:t>
      </w:r>
      <w:r w:rsidR="000C6EC3">
        <w:rPr>
          <w:rFonts w:ascii="Arial" w:eastAsia="Calibri" w:hAnsi="Arial" w:cs="Arial"/>
          <w:b/>
          <w:sz w:val="24"/>
          <w:szCs w:val="24"/>
          <w:lang w:val="es-ES"/>
        </w:rPr>
        <w:t xml:space="preserve">cuarenta y nueve </w:t>
      </w:r>
      <w:r w:rsidR="001408E9">
        <w:rPr>
          <w:rFonts w:ascii="Arial" w:eastAsia="Calibri" w:hAnsi="Arial" w:cs="Arial"/>
          <w:b/>
          <w:sz w:val="24"/>
          <w:szCs w:val="24"/>
          <w:lang w:val="es-ES"/>
        </w:rPr>
        <w:t xml:space="preserve">pesos </w:t>
      </w:r>
      <w:r w:rsidR="000C6EC3">
        <w:rPr>
          <w:rFonts w:ascii="Arial" w:eastAsia="Calibri" w:hAnsi="Arial" w:cs="Arial"/>
          <w:b/>
          <w:sz w:val="24"/>
          <w:szCs w:val="24"/>
          <w:lang w:val="es-ES"/>
        </w:rPr>
        <w:t>50</w:t>
      </w:r>
      <w:r>
        <w:rPr>
          <w:rFonts w:ascii="Arial" w:eastAsia="Calibri" w:hAnsi="Arial" w:cs="Arial"/>
          <w:b/>
          <w:sz w:val="24"/>
          <w:szCs w:val="24"/>
          <w:lang w:val="es-ES"/>
        </w:rPr>
        <w:t>/100 M.N.),</w:t>
      </w:r>
      <w:r>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la cual se deberá hacer</w:t>
      </w:r>
      <w:r>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de forma personal y no por apoderado legal.</w:t>
      </w:r>
    </w:p>
    <w:p w14:paraId="0CA4AFB7" w14:textId="135B1412" w:rsidR="005D2794" w:rsidRDefault="005D2794" w:rsidP="005D2794">
      <w:pPr>
        <w:pStyle w:val="corte4fondo"/>
        <w:spacing w:after="240"/>
        <w:ind w:firstLine="567"/>
        <w:rPr>
          <w:rFonts w:cs="Arial"/>
          <w:b/>
          <w:sz w:val="24"/>
          <w:szCs w:val="24"/>
        </w:rPr>
      </w:pPr>
      <w:r>
        <w:rPr>
          <w:rFonts w:cs="Arial"/>
          <w:bCs/>
          <w:color w:val="000000"/>
          <w:sz w:val="24"/>
          <w:szCs w:val="24"/>
        </w:rPr>
        <w:t xml:space="preserve">En mérito de lo expuesto y con fundamento en los artículos 207 fracciones I, II y III, </w:t>
      </w:r>
      <w:r>
        <w:rPr>
          <w:rFonts w:cs="Arial"/>
          <w:sz w:val="24"/>
          <w:szCs w:val="24"/>
        </w:rPr>
        <w:t>208 fracción VI y 209 de la Ley de Procedimiento y Justicia Administrativa para el Estado de Oaxaca, se:</w:t>
      </w:r>
      <w:r>
        <w:rPr>
          <w:rFonts w:cs="Arial"/>
          <w:bCs/>
          <w:color w:val="000000"/>
          <w:sz w:val="24"/>
          <w:szCs w:val="24"/>
        </w:rPr>
        <w:t xml:space="preserve"> - - - - - - - - - - - - - - - - - - - - - - - - - - - - - - - - - - -</w:t>
      </w:r>
      <w:r>
        <w:rPr>
          <w:rFonts w:cs="Arial"/>
          <w:bCs/>
          <w:sz w:val="24"/>
          <w:szCs w:val="24"/>
          <w:lang w:eastAsia="es-ES"/>
        </w:rPr>
        <w:t xml:space="preserve"> - - - </w:t>
      </w:r>
      <w:r w:rsidR="001408E9">
        <w:rPr>
          <w:rFonts w:cs="Arial"/>
          <w:bCs/>
          <w:sz w:val="24"/>
          <w:szCs w:val="24"/>
          <w:lang w:eastAsia="es-ES"/>
        </w:rPr>
        <w:t xml:space="preserve">- - - - </w:t>
      </w:r>
    </w:p>
    <w:p w14:paraId="24F5C1CB" w14:textId="77777777" w:rsidR="005D2794" w:rsidRDefault="005D2794" w:rsidP="005D2794">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03185913" w14:textId="77777777" w:rsidR="005D2794" w:rsidRDefault="005D2794" w:rsidP="005D2794">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14:paraId="581DD696" w14:textId="77777777" w:rsidR="005D2794" w:rsidRDefault="005D2794" w:rsidP="005D2794">
      <w:pPr>
        <w:pStyle w:val="Sinespaciado"/>
        <w:rPr>
          <w:rFonts w:ascii="Arial" w:hAnsi="Arial" w:cs="Arial"/>
          <w:lang w:eastAsia="ar-SA"/>
        </w:rPr>
      </w:pPr>
    </w:p>
    <w:p w14:paraId="0EFF2D31" w14:textId="731B4949" w:rsidR="005D2794" w:rsidRDefault="005D2794" w:rsidP="00415BF7">
      <w:pPr>
        <w:spacing w:line="360" w:lineRule="auto"/>
        <w:ind w:firstLine="567"/>
        <w:jc w:val="both"/>
        <w:rPr>
          <w:rFonts w:ascii="Arial" w:hAnsi="Arial" w:cs="Arial"/>
          <w:b/>
          <w:sz w:val="24"/>
          <w:szCs w:val="24"/>
        </w:rPr>
      </w:pPr>
      <w:r>
        <w:rPr>
          <w:rFonts w:ascii="Arial" w:hAnsi="Arial" w:cs="Arial"/>
          <w:b/>
          <w:sz w:val="24"/>
          <w:szCs w:val="24"/>
          <w:lang w:val="es-ES_tradnl" w:eastAsia="ar-SA"/>
        </w:rPr>
        <w:t xml:space="preserve">SEGUNDO. </w:t>
      </w:r>
      <w:r>
        <w:rPr>
          <w:rFonts w:ascii="Arial" w:hAnsi="Arial" w:cs="Arial"/>
          <w:sz w:val="24"/>
          <w:szCs w:val="24"/>
        </w:rPr>
        <w:t xml:space="preserve"> Se declara la </w:t>
      </w:r>
      <w:r>
        <w:rPr>
          <w:rFonts w:ascii="Arial" w:eastAsia="Times New Roman" w:hAnsi="Arial" w:cs="Arial"/>
          <w:b/>
          <w:bCs/>
          <w:sz w:val="24"/>
          <w:szCs w:val="24"/>
          <w:lang w:val="es-ES_tradnl" w:eastAsia="es-ES"/>
        </w:rPr>
        <w:t>NULIDAD LISA Y LLANA</w:t>
      </w:r>
      <w:r>
        <w:rPr>
          <w:rFonts w:ascii="Arial" w:eastAsia="Times New Roman" w:hAnsi="Arial" w:cs="Arial"/>
          <w:bCs/>
          <w:sz w:val="24"/>
          <w:szCs w:val="24"/>
          <w:lang w:val="es-ES_tradnl" w:eastAsia="es-ES"/>
        </w:rPr>
        <w:t xml:space="preserve"> </w:t>
      </w:r>
      <w:r w:rsidR="00415BF7">
        <w:rPr>
          <w:rFonts w:ascii="Arial" w:eastAsia="Times New Roman" w:hAnsi="Arial" w:cs="Arial"/>
          <w:color w:val="000000"/>
          <w:sz w:val="24"/>
          <w:szCs w:val="24"/>
        </w:rPr>
        <w:t>de</w:t>
      </w:r>
      <w:r w:rsidR="000C6EC3">
        <w:rPr>
          <w:rFonts w:ascii="Arial" w:hAnsi="Arial" w:cs="Arial"/>
          <w:sz w:val="24"/>
          <w:szCs w:val="24"/>
        </w:rPr>
        <w:t xml:space="preserve"> la resolución dictada el</w:t>
      </w:r>
      <w:r w:rsidR="00415BF7">
        <w:rPr>
          <w:rFonts w:ascii="Arial" w:hAnsi="Arial" w:cs="Arial"/>
          <w:sz w:val="24"/>
          <w:szCs w:val="24"/>
        </w:rPr>
        <w:t xml:space="preserve"> dieciocho de enero dos mil veinte, en el expediente administrativo de responsabilidad </w:t>
      </w:r>
      <w:r w:rsidR="0028218E">
        <w:rPr>
          <w:rFonts w:ascii="Arial" w:eastAsia="Times New Roman" w:hAnsi="Arial" w:cs="Arial"/>
          <w:b/>
          <w:bCs/>
          <w:color w:val="000000"/>
          <w:sz w:val="24"/>
          <w:szCs w:val="24"/>
          <w:lang w:val="es-ES_tradnl" w:eastAsia="x-none"/>
        </w:rPr>
        <w:t>**********</w:t>
      </w:r>
      <w:r w:rsidR="0028218E">
        <w:rPr>
          <w:rFonts w:ascii="Arial" w:eastAsia="Times New Roman" w:hAnsi="Arial" w:cs="Arial"/>
          <w:bCs/>
          <w:color w:val="000000"/>
          <w:sz w:val="24"/>
          <w:szCs w:val="24"/>
          <w:lang w:val="es-ES_tradnl" w:eastAsia="x-none"/>
        </w:rPr>
        <w:t>,</w:t>
      </w:r>
      <w:r w:rsidR="00415BF7">
        <w:rPr>
          <w:rFonts w:ascii="Arial" w:hAnsi="Arial" w:cs="Arial"/>
          <w:b/>
          <w:sz w:val="24"/>
          <w:szCs w:val="24"/>
        </w:rPr>
        <w:t xml:space="preserve"> </w:t>
      </w:r>
      <w:r w:rsidR="00415BF7">
        <w:rPr>
          <w:rFonts w:ascii="Arial" w:hAnsi="Arial" w:cs="Arial"/>
          <w:bCs/>
          <w:sz w:val="24"/>
          <w:szCs w:val="24"/>
        </w:rPr>
        <w:t xml:space="preserve">por el </w:t>
      </w:r>
      <w:r w:rsidR="00415BF7">
        <w:rPr>
          <w:rFonts w:ascii="Arial" w:hAnsi="Arial" w:cs="Arial"/>
          <w:b/>
          <w:sz w:val="24"/>
          <w:szCs w:val="24"/>
        </w:rPr>
        <w:t xml:space="preserve">Fiscal General del Estado de Oaxaca </w:t>
      </w:r>
      <w:r w:rsidR="00415BF7">
        <w:rPr>
          <w:rFonts w:ascii="Arial" w:hAnsi="Arial" w:cs="Arial"/>
          <w:bCs/>
          <w:sz w:val="24"/>
          <w:szCs w:val="24"/>
        </w:rPr>
        <w:t xml:space="preserve">y </w:t>
      </w:r>
      <w:r w:rsidR="00415BF7">
        <w:rPr>
          <w:rFonts w:ascii="Arial" w:hAnsi="Arial" w:cs="Arial"/>
          <w:sz w:val="24"/>
          <w:szCs w:val="24"/>
        </w:rPr>
        <w:t xml:space="preserve">el </w:t>
      </w:r>
      <w:r w:rsidR="00415BF7" w:rsidRPr="000E0AFC">
        <w:rPr>
          <w:rFonts w:ascii="Arial" w:hAnsi="Arial" w:cs="Arial"/>
          <w:b/>
          <w:sz w:val="24"/>
          <w:szCs w:val="24"/>
        </w:rPr>
        <w:t xml:space="preserve">Secretario Ministerial </w:t>
      </w:r>
      <w:r w:rsidR="00415BF7">
        <w:rPr>
          <w:rFonts w:ascii="Arial" w:hAnsi="Arial" w:cs="Arial"/>
          <w:b/>
          <w:sz w:val="24"/>
          <w:szCs w:val="24"/>
        </w:rPr>
        <w:t>d</w:t>
      </w:r>
      <w:r w:rsidR="00415BF7" w:rsidRPr="000E0AFC">
        <w:rPr>
          <w:rFonts w:ascii="Arial" w:hAnsi="Arial" w:cs="Arial"/>
          <w:b/>
          <w:sz w:val="24"/>
          <w:szCs w:val="24"/>
        </w:rPr>
        <w:t xml:space="preserve">e </w:t>
      </w:r>
      <w:r w:rsidR="00415BF7">
        <w:rPr>
          <w:rFonts w:ascii="Arial" w:hAnsi="Arial" w:cs="Arial"/>
          <w:b/>
          <w:sz w:val="24"/>
          <w:szCs w:val="24"/>
        </w:rPr>
        <w:t>l</w:t>
      </w:r>
      <w:r w:rsidR="000C6EC3">
        <w:rPr>
          <w:rFonts w:ascii="Arial" w:hAnsi="Arial" w:cs="Arial"/>
          <w:b/>
          <w:sz w:val="24"/>
          <w:szCs w:val="24"/>
        </w:rPr>
        <w:t>a Mesa Cuatro adscrito</w:t>
      </w:r>
      <w:r w:rsidR="00415BF7" w:rsidRPr="000E0AFC">
        <w:rPr>
          <w:rFonts w:ascii="Arial" w:hAnsi="Arial" w:cs="Arial"/>
          <w:b/>
          <w:sz w:val="24"/>
          <w:szCs w:val="24"/>
        </w:rPr>
        <w:t xml:space="preserve"> </w:t>
      </w:r>
      <w:r w:rsidR="00415BF7">
        <w:rPr>
          <w:rFonts w:ascii="Arial" w:hAnsi="Arial" w:cs="Arial"/>
          <w:b/>
          <w:sz w:val="24"/>
          <w:szCs w:val="24"/>
        </w:rPr>
        <w:t>a</w:t>
      </w:r>
      <w:r w:rsidR="00415BF7" w:rsidRPr="000E0AFC">
        <w:rPr>
          <w:rFonts w:ascii="Arial" w:hAnsi="Arial" w:cs="Arial"/>
          <w:b/>
          <w:sz w:val="24"/>
          <w:szCs w:val="24"/>
        </w:rPr>
        <w:t xml:space="preserve"> </w:t>
      </w:r>
      <w:r w:rsidR="00415BF7">
        <w:rPr>
          <w:rFonts w:ascii="Arial" w:hAnsi="Arial" w:cs="Arial"/>
          <w:b/>
          <w:sz w:val="24"/>
          <w:szCs w:val="24"/>
        </w:rPr>
        <w:t>l</w:t>
      </w:r>
      <w:r w:rsidR="00415BF7" w:rsidRPr="000E0AFC">
        <w:rPr>
          <w:rFonts w:ascii="Arial" w:hAnsi="Arial" w:cs="Arial"/>
          <w:b/>
          <w:sz w:val="24"/>
          <w:szCs w:val="24"/>
        </w:rPr>
        <w:t xml:space="preserve">a Visitaduría General </w:t>
      </w:r>
      <w:r w:rsidR="00415BF7">
        <w:rPr>
          <w:rFonts w:ascii="Arial" w:hAnsi="Arial" w:cs="Arial"/>
          <w:b/>
          <w:sz w:val="24"/>
          <w:szCs w:val="24"/>
        </w:rPr>
        <w:t>d</w:t>
      </w:r>
      <w:r w:rsidR="00415BF7" w:rsidRPr="000E0AFC">
        <w:rPr>
          <w:rFonts w:ascii="Arial" w:hAnsi="Arial" w:cs="Arial"/>
          <w:b/>
          <w:sz w:val="24"/>
          <w:szCs w:val="24"/>
        </w:rPr>
        <w:t>el Estado</w:t>
      </w:r>
      <w:r w:rsidR="00415BF7">
        <w:rPr>
          <w:rFonts w:ascii="Arial" w:hAnsi="Arial" w:cs="Arial"/>
          <w:b/>
          <w:sz w:val="24"/>
          <w:szCs w:val="24"/>
        </w:rPr>
        <w:t>,</w:t>
      </w:r>
      <w:r>
        <w:rPr>
          <w:rFonts w:ascii="Arial" w:hAnsi="Arial" w:cs="Arial"/>
          <w:sz w:val="24"/>
          <w:szCs w:val="24"/>
        </w:rPr>
        <w:t xml:space="preserve"> como quedo precisado en el considerando </w:t>
      </w:r>
      <w:r w:rsidR="00415BF7">
        <w:rPr>
          <w:rFonts w:ascii="Arial" w:hAnsi="Arial" w:cs="Arial"/>
          <w:b/>
          <w:sz w:val="24"/>
          <w:szCs w:val="24"/>
        </w:rPr>
        <w:t>segundo</w:t>
      </w:r>
      <w:r>
        <w:rPr>
          <w:rFonts w:ascii="Arial" w:hAnsi="Arial" w:cs="Arial"/>
          <w:sz w:val="24"/>
          <w:szCs w:val="24"/>
        </w:rPr>
        <w:t xml:space="preserve"> de esta sentencia. - - </w:t>
      </w:r>
    </w:p>
    <w:p w14:paraId="6E756386" w14:textId="4DAF0EF9" w:rsidR="005D2794" w:rsidRDefault="00080CF7" w:rsidP="005D2794">
      <w:pPr>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TERCERO</w:t>
      </w:r>
      <w:r w:rsidR="005D2794">
        <w:rPr>
          <w:rFonts w:ascii="Arial" w:eastAsia="Arial Unicode MS" w:hAnsi="Arial" w:cs="Arial"/>
          <w:b/>
          <w:kern w:val="2"/>
          <w:sz w:val="24"/>
          <w:szCs w:val="24"/>
          <w:lang w:eastAsia="ar-SA"/>
        </w:rPr>
        <w:t xml:space="preserve">. </w:t>
      </w:r>
      <w:r w:rsidR="005D2794">
        <w:rPr>
          <w:rFonts w:ascii="Arial" w:hAnsi="Arial" w:cs="Arial"/>
          <w:sz w:val="24"/>
          <w:szCs w:val="24"/>
          <w:lang w:val="es-ES"/>
        </w:rPr>
        <w:t>Como consecuencia de lo anterior, al existir restricción expresa en la Constitución Federal para reinstalar al actor</w:t>
      </w:r>
      <w:r w:rsidR="00871C80">
        <w:rPr>
          <w:rFonts w:ascii="Arial" w:hAnsi="Arial" w:cs="Arial"/>
          <w:sz w:val="24"/>
          <w:szCs w:val="24"/>
          <w:lang w:val="es-ES"/>
        </w:rPr>
        <w:t>,</w:t>
      </w:r>
      <w:r w:rsidR="005D2794">
        <w:rPr>
          <w:rFonts w:ascii="Arial" w:hAnsi="Arial" w:cs="Arial"/>
          <w:sz w:val="24"/>
          <w:szCs w:val="24"/>
          <w:lang w:val="es-ES"/>
        </w:rPr>
        <w:t xml:space="preserve"> la</w:t>
      </w:r>
      <w:r w:rsidR="00871C80">
        <w:rPr>
          <w:rFonts w:ascii="Arial" w:hAnsi="Arial" w:cs="Arial"/>
          <w:sz w:val="24"/>
          <w:szCs w:val="24"/>
          <w:lang w:val="es-ES"/>
        </w:rPr>
        <w:t>s</w:t>
      </w:r>
      <w:r w:rsidR="005D2794">
        <w:rPr>
          <w:rFonts w:ascii="Arial" w:hAnsi="Arial" w:cs="Arial"/>
          <w:sz w:val="24"/>
          <w:szCs w:val="24"/>
          <w:lang w:val="es-ES"/>
        </w:rPr>
        <w:t xml:space="preserve"> autoridad</w:t>
      </w:r>
      <w:r w:rsidR="00871C80">
        <w:rPr>
          <w:rFonts w:ascii="Arial" w:hAnsi="Arial" w:cs="Arial"/>
          <w:sz w:val="24"/>
          <w:szCs w:val="24"/>
          <w:lang w:val="es-ES"/>
        </w:rPr>
        <w:t>es</w:t>
      </w:r>
      <w:r w:rsidR="005D2794">
        <w:rPr>
          <w:rFonts w:ascii="Arial" w:hAnsi="Arial" w:cs="Arial"/>
          <w:sz w:val="24"/>
          <w:szCs w:val="24"/>
          <w:lang w:val="es-ES"/>
        </w:rPr>
        <w:t xml:space="preserve"> demandada</w:t>
      </w:r>
      <w:r w:rsidR="00871C80">
        <w:rPr>
          <w:rFonts w:ascii="Arial" w:hAnsi="Arial" w:cs="Arial"/>
          <w:sz w:val="24"/>
          <w:szCs w:val="24"/>
          <w:lang w:val="es-ES"/>
        </w:rPr>
        <w:t>s</w:t>
      </w:r>
      <w:r w:rsidR="005D2794">
        <w:rPr>
          <w:rFonts w:ascii="Arial" w:hAnsi="Arial" w:cs="Arial"/>
          <w:sz w:val="24"/>
          <w:szCs w:val="24"/>
          <w:lang w:val="es-ES"/>
        </w:rPr>
        <w:t xml:space="preserve"> deberá</w:t>
      </w:r>
      <w:r w:rsidR="003715FD">
        <w:rPr>
          <w:rFonts w:ascii="Arial" w:hAnsi="Arial" w:cs="Arial"/>
          <w:sz w:val="24"/>
          <w:szCs w:val="24"/>
          <w:lang w:val="es-ES"/>
        </w:rPr>
        <w:t>n</w:t>
      </w:r>
      <w:r w:rsidR="005D2794">
        <w:rPr>
          <w:rFonts w:ascii="Arial" w:hAnsi="Arial" w:cs="Arial"/>
          <w:sz w:val="24"/>
          <w:szCs w:val="24"/>
          <w:lang w:val="es-ES"/>
        </w:rPr>
        <w:t xml:space="preserve"> pagar al actor </w:t>
      </w:r>
      <w:r w:rsidR="0028218E">
        <w:rPr>
          <w:rFonts w:ascii="Arial" w:eastAsia="Times New Roman" w:hAnsi="Arial" w:cs="Arial"/>
          <w:b/>
          <w:bCs/>
          <w:color w:val="000000"/>
          <w:sz w:val="24"/>
          <w:szCs w:val="24"/>
          <w:lang w:val="es-ES_tradnl" w:eastAsia="x-none"/>
        </w:rPr>
        <w:t>**********</w:t>
      </w:r>
      <w:r w:rsidR="0028218E">
        <w:rPr>
          <w:rFonts w:ascii="Arial" w:eastAsia="Times New Roman" w:hAnsi="Arial" w:cs="Arial"/>
          <w:bCs/>
          <w:color w:val="000000"/>
          <w:sz w:val="24"/>
          <w:szCs w:val="24"/>
          <w:lang w:val="es-ES_tradnl" w:eastAsia="x-none"/>
        </w:rPr>
        <w:t>,</w:t>
      </w:r>
      <w:bookmarkStart w:id="1" w:name="_GoBack"/>
      <w:bookmarkEnd w:id="1"/>
      <w:r w:rsidR="005D2794">
        <w:rPr>
          <w:rFonts w:ascii="Arial" w:hAnsi="Arial" w:cs="Arial"/>
          <w:sz w:val="24"/>
          <w:szCs w:val="24"/>
          <w:lang w:val="es-ES"/>
        </w:rPr>
        <w:t xml:space="preserve"> las prestaciones </w:t>
      </w:r>
      <w:r w:rsidR="005D2794">
        <w:rPr>
          <w:rFonts w:ascii="Arial" w:hAnsi="Arial" w:cs="Arial"/>
          <w:sz w:val="24"/>
          <w:szCs w:val="24"/>
        </w:rPr>
        <w:t xml:space="preserve">que quedaron precisados en el considerando </w:t>
      </w:r>
      <w:r w:rsidR="00A97EC8">
        <w:rPr>
          <w:rFonts w:ascii="Arial" w:hAnsi="Arial" w:cs="Arial"/>
          <w:b/>
          <w:sz w:val="24"/>
          <w:szCs w:val="24"/>
        </w:rPr>
        <w:t>tercero</w:t>
      </w:r>
      <w:r w:rsidR="005D2794">
        <w:rPr>
          <w:rFonts w:ascii="Arial" w:hAnsi="Arial" w:cs="Arial"/>
          <w:sz w:val="24"/>
          <w:szCs w:val="24"/>
        </w:rPr>
        <w:t xml:space="preserve"> de esta sentencia, una vez que cause ejecutoria. - - - - - - - </w:t>
      </w:r>
      <w:r w:rsidR="00871C80">
        <w:rPr>
          <w:rFonts w:ascii="Arial" w:hAnsi="Arial" w:cs="Arial"/>
          <w:sz w:val="24"/>
          <w:szCs w:val="24"/>
        </w:rPr>
        <w:t xml:space="preserve">- - </w:t>
      </w:r>
    </w:p>
    <w:p w14:paraId="28780AC3" w14:textId="16F19741" w:rsidR="005D2794" w:rsidRDefault="00CE57BA" w:rsidP="005D2794">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CUARTO</w:t>
      </w:r>
      <w:r w:rsidR="005D2794">
        <w:rPr>
          <w:rFonts w:ascii="Arial" w:hAnsi="Arial" w:cs="Arial"/>
          <w:b/>
          <w:bCs/>
          <w:sz w:val="24"/>
          <w:szCs w:val="24"/>
        </w:rPr>
        <w:t xml:space="preserve">. </w:t>
      </w:r>
      <w:r w:rsidR="005D2794">
        <w:rPr>
          <w:rFonts w:ascii="Arial" w:eastAsia="Arial Unicode MS" w:hAnsi="Arial" w:cs="Arial"/>
          <w:b/>
          <w:kern w:val="2"/>
          <w:sz w:val="24"/>
          <w:szCs w:val="24"/>
          <w:lang w:eastAsia="ar-SA"/>
        </w:rPr>
        <w:t>NOTIFÍQUESE PERSONALMENTE A LA PARTE ACTORA Y POR OFICIO A LA</w:t>
      </w:r>
      <w:r w:rsidR="00871C80">
        <w:rPr>
          <w:rFonts w:ascii="Arial" w:eastAsia="Arial Unicode MS" w:hAnsi="Arial" w:cs="Arial"/>
          <w:b/>
          <w:kern w:val="2"/>
          <w:sz w:val="24"/>
          <w:szCs w:val="24"/>
          <w:lang w:eastAsia="ar-SA"/>
        </w:rPr>
        <w:t>S</w:t>
      </w:r>
      <w:r w:rsidR="005D2794">
        <w:rPr>
          <w:rFonts w:ascii="Arial" w:eastAsia="Arial Unicode MS" w:hAnsi="Arial" w:cs="Arial"/>
          <w:b/>
          <w:kern w:val="2"/>
          <w:sz w:val="24"/>
          <w:szCs w:val="24"/>
          <w:lang w:eastAsia="ar-SA"/>
        </w:rPr>
        <w:t xml:space="preserve"> AUTORIDAD</w:t>
      </w:r>
      <w:r w:rsidR="00871C80">
        <w:rPr>
          <w:rFonts w:ascii="Arial" w:eastAsia="Arial Unicode MS" w:hAnsi="Arial" w:cs="Arial"/>
          <w:b/>
          <w:kern w:val="2"/>
          <w:sz w:val="24"/>
          <w:szCs w:val="24"/>
          <w:lang w:eastAsia="ar-SA"/>
        </w:rPr>
        <w:t>ES</w:t>
      </w:r>
      <w:r w:rsidR="005D2794">
        <w:rPr>
          <w:rFonts w:ascii="Arial" w:eastAsia="Arial Unicode MS" w:hAnsi="Arial" w:cs="Arial"/>
          <w:b/>
          <w:kern w:val="2"/>
          <w:sz w:val="24"/>
          <w:szCs w:val="24"/>
          <w:lang w:eastAsia="ar-SA"/>
        </w:rPr>
        <w:t xml:space="preserve"> DEMANDADA</w:t>
      </w:r>
      <w:r w:rsidR="00871C80">
        <w:rPr>
          <w:rFonts w:ascii="Arial" w:eastAsia="Arial Unicode MS" w:hAnsi="Arial" w:cs="Arial"/>
          <w:b/>
          <w:kern w:val="2"/>
          <w:sz w:val="24"/>
          <w:szCs w:val="24"/>
          <w:lang w:eastAsia="ar-SA"/>
        </w:rPr>
        <w:t>S</w:t>
      </w:r>
      <w:r w:rsidR="005D2794">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w:t>
      </w:r>
    </w:p>
    <w:p w14:paraId="4AD37A1F" w14:textId="6145DE1E" w:rsidR="003715FD" w:rsidRDefault="003715FD" w:rsidP="003715FD">
      <w:pPr>
        <w:spacing w:after="240" w:line="360" w:lineRule="auto"/>
        <w:ind w:firstLine="567"/>
        <w:jc w:val="both"/>
        <w:rPr>
          <w:rFonts w:ascii="Arial" w:hAnsi="Arial" w:cs="Arial"/>
          <w:sz w:val="24"/>
          <w:szCs w:val="24"/>
        </w:rPr>
      </w:pPr>
      <w:r>
        <w:rPr>
          <w:rFonts w:ascii="Arial" w:hAnsi="Arial" w:cs="Arial"/>
          <w:sz w:val="24"/>
          <w:szCs w:val="24"/>
        </w:rPr>
        <w:lastRenderedPageBreak/>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Pr>
          <w:rFonts w:ascii="Arial" w:hAnsi="Arial" w:cs="Arial"/>
          <w:sz w:val="24"/>
          <w:szCs w:val="24"/>
        </w:rPr>
        <w:t xml:space="preserve">. - - - - - - - - - - - - - - - - - - - - - - </w:t>
      </w:r>
    </w:p>
    <w:sectPr w:rsidR="003715FD"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9B641" w14:textId="77777777" w:rsidR="004654F7" w:rsidRDefault="004654F7" w:rsidP="000802F9">
      <w:pPr>
        <w:spacing w:after="0" w:line="240" w:lineRule="auto"/>
      </w:pPr>
      <w:r>
        <w:separator/>
      </w:r>
    </w:p>
  </w:endnote>
  <w:endnote w:type="continuationSeparator" w:id="0">
    <w:p w14:paraId="1C675219" w14:textId="77777777" w:rsidR="004654F7" w:rsidRDefault="004654F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F15D9" w14:textId="77777777" w:rsidR="004654F7" w:rsidRDefault="004654F7" w:rsidP="000802F9">
      <w:pPr>
        <w:spacing w:after="0" w:line="240" w:lineRule="auto"/>
      </w:pPr>
      <w:r>
        <w:separator/>
      </w:r>
    </w:p>
  </w:footnote>
  <w:footnote w:type="continuationSeparator" w:id="0">
    <w:p w14:paraId="0C013C23" w14:textId="77777777" w:rsidR="004654F7" w:rsidRDefault="004654F7" w:rsidP="000802F9">
      <w:pPr>
        <w:spacing w:after="0" w:line="240" w:lineRule="auto"/>
      </w:pPr>
      <w:r>
        <w:continuationSeparator/>
      </w:r>
    </w:p>
  </w:footnote>
  <w:footnote w:id="1">
    <w:p w14:paraId="16CFE257" w14:textId="77777777" w:rsidR="00802AA1" w:rsidRPr="00321BBB" w:rsidRDefault="00802AA1" w:rsidP="00993BB1">
      <w:pPr>
        <w:pStyle w:val="Textoindependienteprimerasangra"/>
        <w:spacing w:after="0" w:line="240" w:lineRule="auto"/>
        <w:ind w:firstLine="567"/>
        <w:jc w:val="both"/>
        <w:rPr>
          <w:rFonts w:ascii="Arial" w:hAnsi="Arial" w:cs="Arial"/>
          <w:szCs w:val="24"/>
        </w:rPr>
      </w:pPr>
      <w:r>
        <w:rPr>
          <w:rStyle w:val="Refdenotaalpie"/>
        </w:rPr>
        <w:footnoteRef/>
      </w:r>
      <w:r>
        <w:t xml:space="preserve"> </w:t>
      </w:r>
      <w:r w:rsidRPr="00321BBB">
        <w:rPr>
          <w:b/>
          <w:sz w:val="20"/>
        </w:rPr>
        <w:t>Artículo 71</w:t>
      </w:r>
      <w:r w:rsidRPr="00321BBB">
        <w:rPr>
          <w:sz w:val="20"/>
        </w:rPr>
        <w:t>. En caso de que los órganos jurisdiccionales determinen que la resolución por la que se impone la separación o remoción es injustificada, la Fiscalía General sólo estará obligada a la indemnización y al otorgamiento de las prestaciones a que tenga derecho dicha persona, sin que en ningún caso proceda su reincorporación al Servicio, de conformidad con el artículo 123, Apartado B, fracción XIII, de la Constitución Federal.</w:t>
      </w:r>
    </w:p>
    <w:p w14:paraId="402ADAC1" w14:textId="77777777" w:rsidR="00802AA1" w:rsidRDefault="00802AA1" w:rsidP="00802AA1">
      <w:pPr>
        <w:pStyle w:val="Textonotapie"/>
      </w:pPr>
    </w:p>
  </w:footnote>
  <w:footnote w:id="2">
    <w:p w14:paraId="4716EBF7" w14:textId="14C20F5E" w:rsidR="00802AA1" w:rsidRDefault="00802AA1" w:rsidP="00802AA1">
      <w:pPr>
        <w:pStyle w:val="Textonotapie"/>
      </w:pPr>
      <w:r>
        <w:rPr>
          <w:rStyle w:val="Refdenotaalpie"/>
        </w:rPr>
        <w:footnoteRef/>
      </w:r>
      <w:r>
        <w:t xml:space="preserve"> </w:t>
      </w:r>
      <w:r w:rsidRPr="00530E5A">
        <w:rPr>
          <w:b/>
        </w:rPr>
        <w:t>Artículo 126</w:t>
      </w:r>
      <w:r>
        <w:t>. No podrá hacerse pago alguno que no esté comprendido en el Presupuesto o determinado por la ley posterior</w:t>
      </w:r>
      <w:r w:rsidR="00993BB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1F2EBB6E" w14:textId="7DCC98D7" w:rsidR="00995817" w:rsidRDefault="00995817">
        <w:pPr>
          <w:pStyle w:val="Encabezado"/>
          <w:jc w:val="center"/>
        </w:pPr>
        <w:r>
          <w:fldChar w:fldCharType="begin"/>
        </w:r>
        <w:r>
          <w:instrText>PAGE   \* MERGEFORMAT</w:instrText>
        </w:r>
        <w:r>
          <w:fldChar w:fldCharType="separate"/>
        </w:r>
        <w:r w:rsidR="00946CD4" w:rsidRPr="00946CD4">
          <w:rPr>
            <w:noProof/>
            <w:lang w:val="es-ES"/>
          </w:rPr>
          <w:t>13</w:t>
        </w:r>
        <w:r>
          <w:fldChar w:fldCharType="end"/>
        </w:r>
        <w:r w:rsidR="00236B9F">
          <w:t xml:space="preserve"> </w:t>
        </w:r>
      </w:p>
    </w:sdtContent>
  </w:sdt>
  <w:p w14:paraId="5ED94061" w14:textId="2D106AB1" w:rsidR="00995817" w:rsidRDefault="00236B9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16B2C473" wp14:editId="2224E052">
              <wp:simplePos x="0" y="0"/>
              <wp:positionH relativeFrom="column">
                <wp:posOffset>-1034321</wp:posOffset>
              </wp:positionH>
              <wp:positionV relativeFrom="paragraph">
                <wp:posOffset>5165797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A4B4D8E" w14:textId="77777777" w:rsidR="00236B9F" w:rsidRDefault="00236B9F" w:rsidP="00236B9F">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B2C473" id="_x0000_t202" coordsize="21600,21600" o:spt="202" path="m,l,21600r21600,l21600,xe">
              <v:stroke joinstyle="miter"/>
              <v:path gradientshapeok="t" o:connecttype="rect"/>
            </v:shapetype>
            <v:shape id="Cuadro de texto 2" o:spid="_x0000_s1026" type="#_x0000_t202" style="position:absolute;margin-left:-81.45pt;margin-top:406.75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">
              <v:textbox>
                <w:txbxContent>
                  <w:p w14:paraId="0A4B4D8E" w14:textId="77777777" w:rsidR="00236B9F" w:rsidRDefault="00236B9F" w:rsidP="00236B9F">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63" w:type="dxa"/>
      <w:tblInd w:w="1787" w:type="dxa"/>
      <w:tblLayout w:type="fixed"/>
      <w:tblLook w:val="04A0" w:firstRow="1" w:lastRow="0" w:firstColumn="1" w:lastColumn="0" w:noHBand="0" w:noVBand="1"/>
    </w:tblPr>
    <w:tblGrid>
      <w:gridCol w:w="2716"/>
      <w:gridCol w:w="4426"/>
      <w:gridCol w:w="21"/>
    </w:tblGrid>
    <w:tr w:rsidR="00995817" w:rsidRPr="00481955" w14:paraId="2B72524B" w14:textId="77777777" w:rsidTr="004C2588">
      <w:trPr>
        <w:gridAfter w:val="1"/>
        <w:wAfter w:w="21" w:type="dxa"/>
        <w:trHeight w:val="1101"/>
      </w:trPr>
      <w:tc>
        <w:tcPr>
          <w:tcW w:w="7142" w:type="dxa"/>
          <w:gridSpan w:val="2"/>
        </w:tcPr>
        <w:p w14:paraId="21EF8349" w14:textId="1AC084A6" w:rsidR="00995817" w:rsidRPr="00481955" w:rsidRDefault="0099581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C8C3FA3"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995817" w:rsidRPr="00481955" w14:paraId="6EF584B9" w14:textId="77777777" w:rsidTr="004C2588">
      <w:trPr>
        <w:gridAfter w:val="1"/>
        <w:wAfter w:w="21" w:type="dxa"/>
        <w:trHeight w:val="657"/>
      </w:trPr>
      <w:tc>
        <w:tcPr>
          <w:tcW w:w="2716" w:type="dxa"/>
          <w:hideMark/>
        </w:tcPr>
        <w:p w14:paraId="5BCBC74F" w14:textId="77777777" w:rsidR="00995817" w:rsidRPr="00481955" w:rsidRDefault="0099581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14:paraId="33AA0727" w14:textId="19471267" w:rsidR="00995817" w:rsidRPr="00481955" w:rsidRDefault="0099581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14:paraId="1CE13AC3" w14:textId="77777777" w:rsidR="00995817" w:rsidRPr="00C97157" w:rsidRDefault="00995817" w:rsidP="004C2588">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0041/2020</w:t>
          </w:r>
        </w:p>
        <w:p w14:paraId="07980B48" w14:textId="77777777" w:rsidR="00995817" w:rsidRPr="00481955" w:rsidRDefault="0099581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995817" w:rsidRPr="00481955" w14:paraId="0014D069" w14:textId="77777777" w:rsidTr="00722600">
      <w:trPr>
        <w:trHeight w:val="115"/>
      </w:trPr>
      <w:tc>
        <w:tcPr>
          <w:tcW w:w="2716" w:type="dxa"/>
          <w:hideMark/>
        </w:tcPr>
        <w:p w14:paraId="5BF1968E" w14:textId="77777777" w:rsidR="00995817" w:rsidRPr="00481955" w:rsidRDefault="00995817" w:rsidP="00956CE7">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tcPr>
        <w:p w14:paraId="5E29AE69" w14:textId="581EDD68" w:rsidR="00995817" w:rsidRPr="00481955" w:rsidRDefault="00FE2C5F"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95817" w:rsidRPr="00481955" w14:paraId="0CDC2908" w14:textId="77777777" w:rsidTr="004C2588">
      <w:trPr>
        <w:trHeight w:val="1448"/>
      </w:trPr>
      <w:tc>
        <w:tcPr>
          <w:tcW w:w="2716" w:type="dxa"/>
        </w:tcPr>
        <w:p w14:paraId="398BEC97" w14:textId="77777777" w:rsidR="00995817" w:rsidRPr="00481955" w:rsidRDefault="0099581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48002949" w14:textId="3D56EDA1"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D5290E1" w14:textId="77777777" w:rsidR="00995817" w:rsidRPr="00481955" w:rsidRDefault="00995817" w:rsidP="00D0436D">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138D01E0"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238DA4DA"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0BF9F4B3"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0F2D1EAB"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14:paraId="50FE3CF8"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475CE6F" w14:textId="77777777" w:rsidR="00995817"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FISCAL GENERAL DEL ESTADO</w:t>
          </w:r>
        </w:p>
        <w:p w14:paraId="767D5814"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0AF3BF4B"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3FE464F" w14:textId="28A683F8" w:rsidR="00995817" w:rsidRPr="00481955" w:rsidRDefault="00D0436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995817" w:rsidRPr="00481955">
            <w:rPr>
              <w:rFonts w:ascii="Arial" w:eastAsia="Times New Roman" w:hAnsi="Arial" w:cs="Arial"/>
              <w:bCs/>
              <w:iCs/>
              <w:caps/>
              <w:kern w:val="2"/>
              <w:sz w:val="24"/>
              <w:szCs w:val="24"/>
              <w:lang w:val="es-ES_tradnl" w:eastAsia="es-ES"/>
            </w:rPr>
            <w:t xml:space="preserve"> monserrat garcía altamirano.</w:t>
          </w:r>
        </w:p>
      </w:tc>
    </w:tr>
  </w:tbl>
  <w:p w14:paraId="751ED3B2" w14:textId="4AE70278" w:rsidR="00995817" w:rsidRDefault="00236B9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7926320F" wp14:editId="2F39E9E2">
              <wp:simplePos x="0" y="0"/>
              <wp:positionH relativeFrom="column">
                <wp:posOffset>-1032458</wp:posOffset>
              </wp:positionH>
              <wp:positionV relativeFrom="paragraph">
                <wp:posOffset>3532037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338EFFA" w14:textId="77777777" w:rsidR="00236B9F" w:rsidRDefault="00236B9F" w:rsidP="00236B9F">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26320F" id="_x0000_t202" coordsize="21600,21600" o:spt="202" path="m,l,21600r21600,l21600,xe">
              <v:stroke joinstyle="miter"/>
              <v:path gradientshapeok="t" o:connecttype="rect"/>
            </v:shapetype>
            <v:shape id="Cuadro de texto 1" o:spid="_x0000_s1027" type="#_x0000_t202" style="position:absolute;margin-left:-81.3pt;margin-top:278.1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">
              <v:textbox>
                <w:txbxContent>
                  <w:p w14:paraId="6338EFFA" w14:textId="77777777" w:rsidR="00236B9F" w:rsidRDefault="00236B9F" w:rsidP="00236B9F">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336C"/>
    <w:rsid w:val="00015198"/>
    <w:rsid w:val="000213B5"/>
    <w:rsid w:val="00022A3D"/>
    <w:rsid w:val="00033D8A"/>
    <w:rsid w:val="000429DB"/>
    <w:rsid w:val="00043377"/>
    <w:rsid w:val="00046574"/>
    <w:rsid w:val="000510BD"/>
    <w:rsid w:val="00052B89"/>
    <w:rsid w:val="000607F6"/>
    <w:rsid w:val="00061508"/>
    <w:rsid w:val="00062062"/>
    <w:rsid w:val="00070979"/>
    <w:rsid w:val="000775D2"/>
    <w:rsid w:val="000802F9"/>
    <w:rsid w:val="00080CF7"/>
    <w:rsid w:val="000967CF"/>
    <w:rsid w:val="000A30AF"/>
    <w:rsid w:val="000A55AE"/>
    <w:rsid w:val="000C6EC3"/>
    <w:rsid w:val="000E0AFC"/>
    <w:rsid w:val="000E689C"/>
    <w:rsid w:val="000E6EF9"/>
    <w:rsid w:val="000E7035"/>
    <w:rsid w:val="000F0D77"/>
    <w:rsid w:val="00100A68"/>
    <w:rsid w:val="00103DA1"/>
    <w:rsid w:val="00124111"/>
    <w:rsid w:val="0013357B"/>
    <w:rsid w:val="001408E9"/>
    <w:rsid w:val="00140BBB"/>
    <w:rsid w:val="00146F24"/>
    <w:rsid w:val="00155266"/>
    <w:rsid w:val="00156D35"/>
    <w:rsid w:val="0016257F"/>
    <w:rsid w:val="00164349"/>
    <w:rsid w:val="00164601"/>
    <w:rsid w:val="00172BBF"/>
    <w:rsid w:val="00175DDE"/>
    <w:rsid w:val="0018470B"/>
    <w:rsid w:val="00185746"/>
    <w:rsid w:val="00190CC9"/>
    <w:rsid w:val="001A6C41"/>
    <w:rsid w:val="001D0774"/>
    <w:rsid w:val="001D6088"/>
    <w:rsid w:val="001E1262"/>
    <w:rsid w:val="001E294D"/>
    <w:rsid w:val="001E382B"/>
    <w:rsid w:val="001E57CA"/>
    <w:rsid w:val="001F321F"/>
    <w:rsid w:val="001F7126"/>
    <w:rsid w:val="002031AF"/>
    <w:rsid w:val="002146CF"/>
    <w:rsid w:val="00215D26"/>
    <w:rsid w:val="00236B9F"/>
    <w:rsid w:val="002407CF"/>
    <w:rsid w:val="00244CC9"/>
    <w:rsid w:val="00245F31"/>
    <w:rsid w:val="00246223"/>
    <w:rsid w:val="00246750"/>
    <w:rsid w:val="00254463"/>
    <w:rsid w:val="0025463B"/>
    <w:rsid w:val="00256BAE"/>
    <w:rsid w:val="00267006"/>
    <w:rsid w:val="002743B5"/>
    <w:rsid w:val="0028218E"/>
    <w:rsid w:val="00282970"/>
    <w:rsid w:val="00286CA4"/>
    <w:rsid w:val="002901A1"/>
    <w:rsid w:val="00293F83"/>
    <w:rsid w:val="002A6988"/>
    <w:rsid w:val="002B3AB9"/>
    <w:rsid w:val="002C2317"/>
    <w:rsid w:val="002C7EF9"/>
    <w:rsid w:val="002D14B7"/>
    <w:rsid w:val="00302FD0"/>
    <w:rsid w:val="00304279"/>
    <w:rsid w:val="00314A05"/>
    <w:rsid w:val="00325291"/>
    <w:rsid w:val="00331BD9"/>
    <w:rsid w:val="003367F8"/>
    <w:rsid w:val="00340C69"/>
    <w:rsid w:val="0034559E"/>
    <w:rsid w:val="0035230D"/>
    <w:rsid w:val="00352A14"/>
    <w:rsid w:val="003533DA"/>
    <w:rsid w:val="003704C7"/>
    <w:rsid w:val="003715FD"/>
    <w:rsid w:val="003745ED"/>
    <w:rsid w:val="003858AA"/>
    <w:rsid w:val="003858E2"/>
    <w:rsid w:val="00385DEF"/>
    <w:rsid w:val="00394B9F"/>
    <w:rsid w:val="0039522E"/>
    <w:rsid w:val="003975C5"/>
    <w:rsid w:val="003A7580"/>
    <w:rsid w:val="003B6D0C"/>
    <w:rsid w:val="003C3330"/>
    <w:rsid w:val="003C3EE3"/>
    <w:rsid w:val="003D0754"/>
    <w:rsid w:val="003D4270"/>
    <w:rsid w:val="003E196E"/>
    <w:rsid w:val="003E564F"/>
    <w:rsid w:val="003F6283"/>
    <w:rsid w:val="004015FF"/>
    <w:rsid w:val="00402D3D"/>
    <w:rsid w:val="00415BF7"/>
    <w:rsid w:val="0041661F"/>
    <w:rsid w:val="0043085C"/>
    <w:rsid w:val="00450F4F"/>
    <w:rsid w:val="00452662"/>
    <w:rsid w:val="004543E0"/>
    <w:rsid w:val="004654F7"/>
    <w:rsid w:val="00471A59"/>
    <w:rsid w:val="00485D10"/>
    <w:rsid w:val="004922E9"/>
    <w:rsid w:val="0049671F"/>
    <w:rsid w:val="004B0ACD"/>
    <w:rsid w:val="004C2588"/>
    <w:rsid w:val="004D6471"/>
    <w:rsid w:val="004E6F16"/>
    <w:rsid w:val="004F587C"/>
    <w:rsid w:val="004F638E"/>
    <w:rsid w:val="00511112"/>
    <w:rsid w:val="0051797B"/>
    <w:rsid w:val="00524DBA"/>
    <w:rsid w:val="00535D60"/>
    <w:rsid w:val="00552029"/>
    <w:rsid w:val="00555555"/>
    <w:rsid w:val="00555E26"/>
    <w:rsid w:val="00555E6B"/>
    <w:rsid w:val="005613D3"/>
    <w:rsid w:val="005666BA"/>
    <w:rsid w:val="00567260"/>
    <w:rsid w:val="00570D25"/>
    <w:rsid w:val="005722AA"/>
    <w:rsid w:val="0057251E"/>
    <w:rsid w:val="00573078"/>
    <w:rsid w:val="00573A56"/>
    <w:rsid w:val="00575D97"/>
    <w:rsid w:val="0058238C"/>
    <w:rsid w:val="00583257"/>
    <w:rsid w:val="005901D1"/>
    <w:rsid w:val="00590F3B"/>
    <w:rsid w:val="005A1DA5"/>
    <w:rsid w:val="005A5EE2"/>
    <w:rsid w:val="005B19D7"/>
    <w:rsid w:val="005C111B"/>
    <w:rsid w:val="005C6E5A"/>
    <w:rsid w:val="005D2794"/>
    <w:rsid w:val="005D7BEE"/>
    <w:rsid w:val="005F4E8F"/>
    <w:rsid w:val="005F6B3F"/>
    <w:rsid w:val="006035FB"/>
    <w:rsid w:val="006042A6"/>
    <w:rsid w:val="00612DF2"/>
    <w:rsid w:val="00614809"/>
    <w:rsid w:val="00651996"/>
    <w:rsid w:val="00652F4A"/>
    <w:rsid w:val="00654C1F"/>
    <w:rsid w:val="00661008"/>
    <w:rsid w:val="006852B3"/>
    <w:rsid w:val="00687B74"/>
    <w:rsid w:val="00694892"/>
    <w:rsid w:val="006B6C7A"/>
    <w:rsid w:val="006B7E60"/>
    <w:rsid w:val="006C7765"/>
    <w:rsid w:val="006E34BD"/>
    <w:rsid w:val="006E5EA7"/>
    <w:rsid w:val="006F0F7D"/>
    <w:rsid w:val="006F122D"/>
    <w:rsid w:val="00700293"/>
    <w:rsid w:val="00700AA0"/>
    <w:rsid w:val="00710383"/>
    <w:rsid w:val="007220A8"/>
    <w:rsid w:val="00722600"/>
    <w:rsid w:val="007230D8"/>
    <w:rsid w:val="00744C47"/>
    <w:rsid w:val="00746A4B"/>
    <w:rsid w:val="00746BD4"/>
    <w:rsid w:val="00750A94"/>
    <w:rsid w:val="00755110"/>
    <w:rsid w:val="00756926"/>
    <w:rsid w:val="00757AB8"/>
    <w:rsid w:val="007664FA"/>
    <w:rsid w:val="0077309B"/>
    <w:rsid w:val="007803ED"/>
    <w:rsid w:val="00781F5F"/>
    <w:rsid w:val="00783DD4"/>
    <w:rsid w:val="00791513"/>
    <w:rsid w:val="00791A32"/>
    <w:rsid w:val="0079562B"/>
    <w:rsid w:val="007A3E64"/>
    <w:rsid w:val="007A4BC5"/>
    <w:rsid w:val="007A749A"/>
    <w:rsid w:val="007B4A4F"/>
    <w:rsid w:val="007C1394"/>
    <w:rsid w:val="007C2537"/>
    <w:rsid w:val="007C25A4"/>
    <w:rsid w:val="007D2C57"/>
    <w:rsid w:val="007E73B7"/>
    <w:rsid w:val="007F393B"/>
    <w:rsid w:val="007F5D42"/>
    <w:rsid w:val="00802AA1"/>
    <w:rsid w:val="00816435"/>
    <w:rsid w:val="008208F4"/>
    <w:rsid w:val="00822B0B"/>
    <w:rsid w:val="00835369"/>
    <w:rsid w:val="008442E1"/>
    <w:rsid w:val="00844355"/>
    <w:rsid w:val="00847815"/>
    <w:rsid w:val="0086057A"/>
    <w:rsid w:val="00871C80"/>
    <w:rsid w:val="00883E71"/>
    <w:rsid w:val="0089415A"/>
    <w:rsid w:val="008B2F67"/>
    <w:rsid w:val="008B3B6C"/>
    <w:rsid w:val="008B423A"/>
    <w:rsid w:val="008B7143"/>
    <w:rsid w:val="008D2F6D"/>
    <w:rsid w:val="008D589C"/>
    <w:rsid w:val="008F3728"/>
    <w:rsid w:val="009011F5"/>
    <w:rsid w:val="0090306A"/>
    <w:rsid w:val="00906A3D"/>
    <w:rsid w:val="00920285"/>
    <w:rsid w:val="009215F0"/>
    <w:rsid w:val="00931791"/>
    <w:rsid w:val="0093464F"/>
    <w:rsid w:val="00946CD4"/>
    <w:rsid w:val="00956047"/>
    <w:rsid w:val="00956CE7"/>
    <w:rsid w:val="00986503"/>
    <w:rsid w:val="00990BB0"/>
    <w:rsid w:val="00993BB1"/>
    <w:rsid w:val="0099509F"/>
    <w:rsid w:val="009954D2"/>
    <w:rsid w:val="00995817"/>
    <w:rsid w:val="009A05BE"/>
    <w:rsid w:val="009A21EA"/>
    <w:rsid w:val="009B3734"/>
    <w:rsid w:val="009C2D10"/>
    <w:rsid w:val="009C3C6E"/>
    <w:rsid w:val="009C5FF1"/>
    <w:rsid w:val="009D27EB"/>
    <w:rsid w:val="009E221D"/>
    <w:rsid w:val="009F1C6B"/>
    <w:rsid w:val="009F251B"/>
    <w:rsid w:val="00A00B34"/>
    <w:rsid w:val="00A04D1D"/>
    <w:rsid w:val="00A06D6A"/>
    <w:rsid w:val="00A07202"/>
    <w:rsid w:val="00A34600"/>
    <w:rsid w:val="00A44221"/>
    <w:rsid w:val="00A44B16"/>
    <w:rsid w:val="00A5197B"/>
    <w:rsid w:val="00A72008"/>
    <w:rsid w:val="00A762CD"/>
    <w:rsid w:val="00A808D6"/>
    <w:rsid w:val="00A8536C"/>
    <w:rsid w:val="00A97EC8"/>
    <w:rsid w:val="00AA43A6"/>
    <w:rsid w:val="00AB377E"/>
    <w:rsid w:val="00AB4447"/>
    <w:rsid w:val="00AB639F"/>
    <w:rsid w:val="00AB6D04"/>
    <w:rsid w:val="00AB7DB7"/>
    <w:rsid w:val="00AC2470"/>
    <w:rsid w:val="00AD5212"/>
    <w:rsid w:val="00AD6740"/>
    <w:rsid w:val="00AD6B65"/>
    <w:rsid w:val="00AE1854"/>
    <w:rsid w:val="00AE2709"/>
    <w:rsid w:val="00AE59AB"/>
    <w:rsid w:val="00B024B8"/>
    <w:rsid w:val="00B056F5"/>
    <w:rsid w:val="00B10DF6"/>
    <w:rsid w:val="00B215B6"/>
    <w:rsid w:val="00B22643"/>
    <w:rsid w:val="00B2630A"/>
    <w:rsid w:val="00B37299"/>
    <w:rsid w:val="00B42A87"/>
    <w:rsid w:val="00B44674"/>
    <w:rsid w:val="00B64F2B"/>
    <w:rsid w:val="00B70FC2"/>
    <w:rsid w:val="00B731D1"/>
    <w:rsid w:val="00B76007"/>
    <w:rsid w:val="00B774E6"/>
    <w:rsid w:val="00B828E1"/>
    <w:rsid w:val="00B933D8"/>
    <w:rsid w:val="00B94A85"/>
    <w:rsid w:val="00BD027D"/>
    <w:rsid w:val="00BD15F4"/>
    <w:rsid w:val="00BD5E3E"/>
    <w:rsid w:val="00BD6A84"/>
    <w:rsid w:val="00C02416"/>
    <w:rsid w:val="00C02D7E"/>
    <w:rsid w:val="00C068C1"/>
    <w:rsid w:val="00C16941"/>
    <w:rsid w:val="00C509EC"/>
    <w:rsid w:val="00C5183C"/>
    <w:rsid w:val="00C51C01"/>
    <w:rsid w:val="00C54003"/>
    <w:rsid w:val="00C65510"/>
    <w:rsid w:val="00C66C18"/>
    <w:rsid w:val="00C67FC7"/>
    <w:rsid w:val="00C715E1"/>
    <w:rsid w:val="00C7308A"/>
    <w:rsid w:val="00C7431D"/>
    <w:rsid w:val="00C80EAA"/>
    <w:rsid w:val="00C82957"/>
    <w:rsid w:val="00C94935"/>
    <w:rsid w:val="00C97157"/>
    <w:rsid w:val="00C971B7"/>
    <w:rsid w:val="00CA5528"/>
    <w:rsid w:val="00CB17A6"/>
    <w:rsid w:val="00CD4E04"/>
    <w:rsid w:val="00CE57BA"/>
    <w:rsid w:val="00CF6C9A"/>
    <w:rsid w:val="00D01C42"/>
    <w:rsid w:val="00D0436D"/>
    <w:rsid w:val="00D10E7A"/>
    <w:rsid w:val="00D164F6"/>
    <w:rsid w:val="00D3777D"/>
    <w:rsid w:val="00D45316"/>
    <w:rsid w:val="00D5077E"/>
    <w:rsid w:val="00D5244B"/>
    <w:rsid w:val="00D5725E"/>
    <w:rsid w:val="00D7027B"/>
    <w:rsid w:val="00D81208"/>
    <w:rsid w:val="00D909BE"/>
    <w:rsid w:val="00D96257"/>
    <w:rsid w:val="00DA2734"/>
    <w:rsid w:val="00DB2C1E"/>
    <w:rsid w:val="00DB74AF"/>
    <w:rsid w:val="00DC6591"/>
    <w:rsid w:val="00DD1D5B"/>
    <w:rsid w:val="00DE1928"/>
    <w:rsid w:val="00DE5543"/>
    <w:rsid w:val="00DF3DDE"/>
    <w:rsid w:val="00DF6738"/>
    <w:rsid w:val="00E04E71"/>
    <w:rsid w:val="00E16BF0"/>
    <w:rsid w:val="00E3495D"/>
    <w:rsid w:val="00E41841"/>
    <w:rsid w:val="00E43EFA"/>
    <w:rsid w:val="00E4496F"/>
    <w:rsid w:val="00E5391E"/>
    <w:rsid w:val="00E54166"/>
    <w:rsid w:val="00E9320C"/>
    <w:rsid w:val="00E95869"/>
    <w:rsid w:val="00EA7FB3"/>
    <w:rsid w:val="00EB23E8"/>
    <w:rsid w:val="00EC269A"/>
    <w:rsid w:val="00ED01B6"/>
    <w:rsid w:val="00ED2BD7"/>
    <w:rsid w:val="00EE0507"/>
    <w:rsid w:val="00EE220A"/>
    <w:rsid w:val="00EE5DF0"/>
    <w:rsid w:val="00EF4FF0"/>
    <w:rsid w:val="00EF705F"/>
    <w:rsid w:val="00F04085"/>
    <w:rsid w:val="00F16BBC"/>
    <w:rsid w:val="00F16DA3"/>
    <w:rsid w:val="00F33633"/>
    <w:rsid w:val="00F500C3"/>
    <w:rsid w:val="00F503CC"/>
    <w:rsid w:val="00F54DF3"/>
    <w:rsid w:val="00F56D77"/>
    <w:rsid w:val="00F61833"/>
    <w:rsid w:val="00F663FA"/>
    <w:rsid w:val="00F71DEC"/>
    <w:rsid w:val="00F739C2"/>
    <w:rsid w:val="00F76525"/>
    <w:rsid w:val="00F768EF"/>
    <w:rsid w:val="00F818FC"/>
    <w:rsid w:val="00F918B2"/>
    <w:rsid w:val="00FA583E"/>
    <w:rsid w:val="00FA5F9A"/>
    <w:rsid w:val="00FB6D07"/>
    <w:rsid w:val="00FC3A41"/>
    <w:rsid w:val="00FC6F65"/>
    <w:rsid w:val="00FD084C"/>
    <w:rsid w:val="00FD7317"/>
    <w:rsid w:val="00FE2C5F"/>
    <w:rsid w:val="00FF05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0938E"/>
  <w15:docId w15:val="{6BE6B027-F857-4334-97D6-329C880C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character" w:customStyle="1" w:styleId="corte4fondoCar">
    <w:name w:val="corte4 fondo Car"/>
    <w:link w:val="corte4fondo"/>
    <w:locked/>
    <w:rsid w:val="005D2794"/>
    <w:rPr>
      <w:rFonts w:ascii="Arial" w:eastAsia="Times New Roman" w:hAnsi="Arial" w:cs="Times New Roman"/>
      <w:sz w:val="30"/>
      <w:szCs w:val="20"/>
      <w:lang w:val="es-ES_tradnl" w:eastAsia="x-none"/>
    </w:rPr>
  </w:style>
  <w:style w:type="paragraph" w:customStyle="1" w:styleId="corte4fondo">
    <w:name w:val="corte4 fondo"/>
    <w:basedOn w:val="Normal"/>
    <w:link w:val="corte4fondoCar"/>
    <w:rsid w:val="005D2794"/>
    <w:pPr>
      <w:spacing w:after="0" w:line="360" w:lineRule="auto"/>
      <w:ind w:firstLine="709"/>
      <w:jc w:val="both"/>
    </w:pPr>
    <w:rPr>
      <w:rFonts w:ascii="Arial" w:eastAsia="Times New Roman" w:hAnsi="Arial" w:cs="Times New Roman"/>
      <w:sz w:val="30"/>
      <w:szCs w:val="20"/>
      <w:lang w:val="es-ES_tradnl" w:eastAsia="x-none"/>
    </w:rPr>
  </w:style>
  <w:style w:type="table" w:customStyle="1" w:styleId="Tablaconcuadrcula1">
    <w:name w:val="Tabla con cuadrícula1"/>
    <w:basedOn w:val="Tablanormal"/>
    <w:uiPriority w:val="59"/>
    <w:rsid w:val="005D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802AA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02AA1"/>
    <w:rPr>
      <w:sz w:val="20"/>
      <w:szCs w:val="20"/>
    </w:rPr>
  </w:style>
  <w:style w:type="character" w:styleId="Refdenotaalpie">
    <w:name w:val="footnote reference"/>
    <w:basedOn w:val="Fuentedeprrafopredeter"/>
    <w:uiPriority w:val="99"/>
    <w:semiHidden/>
    <w:unhideWhenUsed/>
    <w:rsid w:val="00802A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469860271">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A161F-8D15-4B02-B32D-A57D48162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Pages>
  <Words>5941</Words>
  <Characters>32681</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65</cp:revision>
  <cp:lastPrinted>2018-11-27T19:10:00Z</cp:lastPrinted>
  <dcterms:created xsi:type="dcterms:W3CDTF">2021-03-16T18:18:00Z</dcterms:created>
  <dcterms:modified xsi:type="dcterms:W3CDTF">2023-01-10T17:31:00Z</dcterms:modified>
</cp:coreProperties>
</file>