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A5E4" w14:textId="77777777" w:rsidR="00D56B12" w:rsidRPr="00D56B12" w:rsidRDefault="00D56B12" w:rsidP="00D56B12">
      <w:pPr>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SALA SUPERIOR DEL TRIBUNAL DE JUSTICIA ADMINISTRATIVA DEL ESTADO DE OAXACA</w:t>
      </w:r>
    </w:p>
    <w:p w14:paraId="0FF3C5F1" w14:textId="77777777" w:rsidR="00D56B12" w:rsidRPr="00D56B12" w:rsidRDefault="00D56B12" w:rsidP="00D56B12">
      <w:pPr>
        <w:spacing w:line="240" w:lineRule="auto"/>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RECURSOS DE REVISIÓN:</w:t>
      </w:r>
      <w:r w:rsidRPr="00D56B12">
        <w:rPr>
          <w:rFonts w:ascii="Arial" w:eastAsiaTheme="minorHAnsi" w:hAnsi="Arial" w:cs="Arial"/>
          <w:b/>
          <w:sz w:val="26"/>
          <w:szCs w:val="26"/>
          <w:lang w:val="es-ES" w:eastAsia="en-US"/>
        </w:rPr>
        <w:tab/>
        <w:t>415/2019</w:t>
      </w:r>
    </w:p>
    <w:p w14:paraId="15FD652D" w14:textId="77777777" w:rsidR="00D56B12" w:rsidRPr="00D56B12" w:rsidRDefault="00D56B12" w:rsidP="00D56B12">
      <w:pPr>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CUADERNO DE SUSPENSIÓN DEDUCIDO DEL EXPEDIENTE:</w:t>
      </w:r>
      <w:r w:rsidRPr="00D56B12">
        <w:rPr>
          <w:rFonts w:ascii="Arial" w:eastAsiaTheme="minorHAnsi" w:hAnsi="Arial" w:cs="Arial"/>
          <w:b/>
          <w:sz w:val="26"/>
          <w:szCs w:val="26"/>
          <w:lang w:val="es-ES" w:eastAsia="en-US"/>
        </w:rPr>
        <w:tab/>
        <w:t>0127/2019 DE LA TERCERA SALA UNITARIA DE PRIMERA INSTANCIA.</w:t>
      </w:r>
    </w:p>
    <w:p w14:paraId="351F32C9" w14:textId="074A7E72" w:rsidR="00D56B12" w:rsidRPr="00D56B12" w:rsidRDefault="00D56B12" w:rsidP="00D56B12">
      <w:pPr>
        <w:spacing w:line="240" w:lineRule="auto"/>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 xml:space="preserve">PONENTE: </w:t>
      </w:r>
      <w:r>
        <w:rPr>
          <w:rFonts w:ascii="Arial" w:eastAsiaTheme="minorHAnsi" w:hAnsi="Arial" w:cs="Arial"/>
          <w:b/>
          <w:sz w:val="26"/>
          <w:szCs w:val="26"/>
          <w:lang w:val="es-ES" w:eastAsia="en-US"/>
        </w:rPr>
        <w:t>MAGISTRADO RAÚL PALOMARES PALOMINO.</w:t>
      </w:r>
    </w:p>
    <w:p w14:paraId="08EC0EC8" w14:textId="77777777" w:rsidR="00D56B12" w:rsidRPr="00D56B12" w:rsidRDefault="00D56B12" w:rsidP="00D56B12">
      <w:pPr>
        <w:spacing w:line="240" w:lineRule="auto"/>
        <w:ind w:left="2124"/>
        <w:jc w:val="both"/>
        <w:rPr>
          <w:rFonts w:ascii="Arial" w:eastAsiaTheme="minorHAnsi" w:hAnsi="Arial" w:cs="Arial"/>
          <w:b/>
          <w:sz w:val="26"/>
          <w:szCs w:val="26"/>
          <w:lang w:val="es-ES" w:eastAsia="en-US"/>
        </w:rPr>
      </w:pPr>
    </w:p>
    <w:p w14:paraId="1CBA0FD0" w14:textId="478E5B8B" w:rsidR="00D56B12" w:rsidRDefault="00D56B12" w:rsidP="00D56B12">
      <w:pPr>
        <w:spacing w:after="120" w:line="360" w:lineRule="auto"/>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A OCHO DE OCTUBRE</w:t>
      </w:r>
      <w:r w:rsidRPr="00D56B12">
        <w:rPr>
          <w:rFonts w:ascii="Arial" w:eastAsiaTheme="minorHAnsi" w:hAnsi="Arial" w:cs="Arial"/>
          <w:b/>
          <w:sz w:val="26"/>
          <w:szCs w:val="26"/>
          <w:lang w:val="es-ES" w:eastAsia="en-US"/>
        </w:rPr>
        <w:t xml:space="preserve"> DE DOS MIL VEINTE.</w:t>
      </w:r>
      <w:r w:rsidR="00281E8B">
        <w:rPr>
          <w:rFonts w:ascii="Arial" w:eastAsiaTheme="minorHAnsi" w:hAnsi="Arial" w:cs="Arial"/>
          <w:b/>
          <w:sz w:val="26"/>
          <w:szCs w:val="26"/>
          <w:lang w:val="es-ES" w:eastAsia="en-US"/>
        </w:rPr>
        <w:t xml:space="preserve"> - - - - - - - - - - - - - - - - - - - - - - - - - - - - - - - - - - - - - - - - - - </w:t>
      </w:r>
    </w:p>
    <w:p w14:paraId="62FFC640" w14:textId="4F4BA96E" w:rsidR="00D56B12" w:rsidRPr="00D56B12" w:rsidRDefault="00D56B12" w:rsidP="00D56B12">
      <w:pPr>
        <w:spacing w:after="120" w:line="360" w:lineRule="auto"/>
        <w:ind w:firstLine="708"/>
        <w:jc w:val="both"/>
        <w:rPr>
          <w:rFonts w:ascii="Arial" w:eastAsiaTheme="minorHAnsi" w:hAnsi="Arial" w:cs="Arial"/>
          <w:sz w:val="26"/>
          <w:szCs w:val="26"/>
          <w:lang w:val="es-ES" w:eastAsia="en-US"/>
        </w:rPr>
      </w:pPr>
      <w:r w:rsidRPr="00D56B12">
        <w:rPr>
          <w:rFonts w:ascii="Arial" w:eastAsiaTheme="minorHAnsi" w:hAnsi="Arial" w:cs="Arial"/>
          <w:sz w:val="26"/>
          <w:szCs w:val="26"/>
          <w:lang w:val="es-ES" w:eastAsia="en-US"/>
        </w:rPr>
        <w:t xml:space="preserve">Por recibido el Cuaderno de Revisión </w:t>
      </w:r>
      <w:r w:rsidRPr="00D56B12">
        <w:rPr>
          <w:rFonts w:ascii="Arial" w:eastAsiaTheme="minorHAnsi" w:hAnsi="Arial" w:cs="Arial"/>
          <w:b/>
          <w:sz w:val="26"/>
          <w:szCs w:val="26"/>
          <w:lang w:val="es-ES" w:eastAsia="en-US"/>
        </w:rPr>
        <w:t>0415/2019</w:t>
      </w:r>
      <w:r w:rsidRPr="00D56B12">
        <w:rPr>
          <w:rFonts w:ascii="Arial" w:eastAsiaTheme="minorHAnsi" w:hAnsi="Arial" w:cs="Arial"/>
          <w:sz w:val="26"/>
          <w:szCs w:val="26"/>
          <w:lang w:val="es-ES" w:eastAsia="en-US"/>
        </w:rPr>
        <w:t xml:space="preserve">, que remite la Secretaría General de Acuerdos, con motivo del recurso de revisión interpuesto por </w:t>
      </w:r>
      <w:r w:rsidRPr="00D56B12">
        <w:rPr>
          <w:rFonts w:ascii="Arial" w:eastAsiaTheme="minorHAnsi" w:hAnsi="Arial" w:cs="Arial"/>
          <w:b/>
          <w:sz w:val="26"/>
          <w:szCs w:val="26"/>
          <w:lang w:val="es-ES" w:eastAsia="en-US"/>
        </w:rPr>
        <w:t xml:space="preserve">ANAHÍ CONCEPCIÓN PALACIOS RAMÍREZ, </w:t>
      </w:r>
      <w:r w:rsidRPr="00D56B12">
        <w:rPr>
          <w:rFonts w:ascii="Arial" w:eastAsiaTheme="minorHAnsi" w:hAnsi="Arial" w:cs="Arial"/>
          <w:sz w:val="26"/>
          <w:szCs w:val="26"/>
          <w:lang w:val="es-ES" w:eastAsia="en-US"/>
        </w:rPr>
        <w:t xml:space="preserve">con el carácter de </w:t>
      </w:r>
      <w:r w:rsidRPr="00D56B12">
        <w:rPr>
          <w:rFonts w:ascii="Arial" w:eastAsiaTheme="minorHAnsi" w:hAnsi="Arial" w:cs="Arial"/>
          <w:b/>
          <w:sz w:val="26"/>
          <w:szCs w:val="26"/>
          <w:lang w:val="es-ES" w:eastAsia="en-US"/>
        </w:rPr>
        <w:t>POLICÍA VIAL ADSCRITA A LA COMISARÍA DE LA POLICÍA VIAL MUNICIPAL DE SANTA LUCÍA DEL CAMINO, OAXACA</w:t>
      </w:r>
      <w:r w:rsidRPr="00D56B12">
        <w:rPr>
          <w:rFonts w:ascii="Arial" w:eastAsiaTheme="minorHAnsi" w:hAnsi="Arial" w:cs="Arial"/>
          <w:sz w:val="26"/>
          <w:szCs w:val="26"/>
          <w:lang w:val="es-ES" w:eastAsia="en-US"/>
        </w:rPr>
        <w:t xml:space="preserve">, en contra del acuerdo de  veintiocho de octubre de  dos mil diecinueve, dictado en el cuaderno de suspensión derivado del expediente </w:t>
      </w:r>
      <w:r w:rsidRPr="00D56B12">
        <w:rPr>
          <w:rFonts w:ascii="Arial" w:eastAsiaTheme="minorHAnsi" w:hAnsi="Arial" w:cs="Arial"/>
          <w:b/>
          <w:sz w:val="26"/>
          <w:szCs w:val="26"/>
          <w:lang w:val="es-ES" w:eastAsia="en-US"/>
        </w:rPr>
        <w:t xml:space="preserve">0127/2019 </w:t>
      </w:r>
      <w:r w:rsidRPr="00D56B12">
        <w:rPr>
          <w:rFonts w:ascii="Arial" w:eastAsiaTheme="minorHAnsi" w:hAnsi="Arial" w:cs="Arial"/>
          <w:sz w:val="26"/>
          <w:szCs w:val="26"/>
          <w:lang w:val="es-ES" w:eastAsia="en-US"/>
        </w:rPr>
        <w:t xml:space="preserve">del índice de la Tercera Sala Unitaria de Primera Instancia, relativo al juicio de nulidad promovido por </w:t>
      </w:r>
      <w:r w:rsidRPr="00D56B12">
        <w:rPr>
          <w:rFonts w:ascii="Arial" w:eastAsiaTheme="minorHAnsi" w:hAnsi="Arial" w:cs="Arial"/>
          <w:b/>
          <w:sz w:val="26"/>
          <w:szCs w:val="26"/>
          <w:lang w:val="es-ES" w:eastAsia="en-US"/>
        </w:rPr>
        <w:t xml:space="preserve">JESÚS CRUZ JIMÉNEZ, </w:t>
      </w:r>
      <w:r w:rsidRPr="00D56B12">
        <w:rPr>
          <w:rFonts w:ascii="Arial" w:eastAsiaTheme="minorHAnsi" w:hAnsi="Arial" w:cs="Arial"/>
          <w:sz w:val="26"/>
          <w:szCs w:val="26"/>
          <w:lang w:val="es-ES" w:eastAsia="en-US"/>
        </w:rPr>
        <w:t>en contra de la</w:t>
      </w:r>
      <w:r w:rsidRPr="00D56B12">
        <w:rPr>
          <w:rFonts w:ascii="Arial" w:eastAsiaTheme="minorHAnsi" w:hAnsi="Arial" w:cs="Arial"/>
          <w:b/>
          <w:sz w:val="26"/>
          <w:szCs w:val="26"/>
          <w:lang w:val="es-ES" w:eastAsia="en-US"/>
        </w:rPr>
        <w:t xml:space="preserve"> RECURRENTE</w:t>
      </w:r>
      <w:r w:rsidRPr="00D56B12">
        <w:rPr>
          <w:rFonts w:ascii="Arial" w:eastAsiaTheme="minorHAnsi" w:hAnsi="Arial" w:cs="Arial"/>
          <w:sz w:val="26"/>
          <w:szCs w:val="26"/>
          <w:lang w:val="es-ES" w:eastAsia="en-US"/>
        </w:rPr>
        <w:t>;</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 xml:space="preserve">por lo que con fundamento en los artículos </w:t>
      </w:r>
      <w:r w:rsidRPr="00D56B12">
        <w:rPr>
          <w:rFonts w:ascii="Arial" w:eastAsia="Calibri" w:hAnsi="Arial" w:cs="Arial"/>
          <w:sz w:val="26"/>
          <w:szCs w:val="26"/>
          <w:lang w:val="es-ES" w:eastAsia="en-US"/>
        </w:rPr>
        <w:t>237 y 238 de la Ley de Procedimiento y Justicia Administrativa para el Estado de Oaxaca</w:t>
      </w:r>
      <w:r w:rsidRPr="00D56B12">
        <w:rPr>
          <w:rFonts w:ascii="Arial" w:eastAsiaTheme="minorHAnsi" w:hAnsi="Arial" w:cs="Arial"/>
          <w:sz w:val="26"/>
          <w:szCs w:val="26"/>
          <w:lang w:eastAsia="en-US"/>
        </w:rPr>
        <w:t>,</w:t>
      </w:r>
      <w:r w:rsidRPr="00D56B12">
        <w:rPr>
          <w:rFonts w:ascii="Arial" w:eastAsiaTheme="minorHAnsi" w:hAnsi="Arial" w:cs="Arial"/>
          <w:sz w:val="26"/>
          <w:szCs w:val="26"/>
          <w:lang w:val="es-ES" w:eastAsia="en-US"/>
        </w:rPr>
        <w:t xml:space="preserve"> se admite. En consecuencia, se procede a dictar resolución en los siguientes términos:</w:t>
      </w:r>
      <w:r w:rsidR="00281E8B">
        <w:rPr>
          <w:rFonts w:ascii="Arial" w:eastAsiaTheme="minorHAnsi" w:hAnsi="Arial" w:cs="Arial"/>
          <w:sz w:val="26"/>
          <w:szCs w:val="26"/>
          <w:lang w:val="es-ES" w:eastAsia="en-US"/>
        </w:rPr>
        <w:t xml:space="preserve"> - - - - - - - - - -</w:t>
      </w:r>
    </w:p>
    <w:p w14:paraId="09657CEA" w14:textId="77777777" w:rsidR="00D56B12" w:rsidRPr="00D56B12" w:rsidRDefault="00D56B12" w:rsidP="00D56B12">
      <w:pPr>
        <w:spacing w:after="120" w:line="360" w:lineRule="auto"/>
        <w:jc w:val="center"/>
        <w:rPr>
          <w:rFonts w:ascii="Arial" w:eastAsiaTheme="minorHAnsi" w:hAnsi="Arial" w:cs="Arial"/>
          <w:b/>
          <w:bCs/>
          <w:sz w:val="26"/>
          <w:szCs w:val="26"/>
          <w:lang w:val="es-ES" w:eastAsia="en-US"/>
        </w:rPr>
      </w:pPr>
      <w:r w:rsidRPr="00D56B12">
        <w:rPr>
          <w:rFonts w:ascii="Arial" w:eastAsiaTheme="minorHAnsi" w:hAnsi="Arial" w:cs="Arial"/>
          <w:b/>
          <w:bCs/>
          <w:sz w:val="26"/>
          <w:szCs w:val="26"/>
          <w:lang w:val="es-ES" w:eastAsia="en-US"/>
        </w:rPr>
        <w:t>R E S U L T A N D O:</w:t>
      </w:r>
    </w:p>
    <w:p w14:paraId="1575D38F" w14:textId="00123992" w:rsidR="00D56B12" w:rsidRPr="00D56B12" w:rsidRDefault="00D56B12" w:rsidP="00D56B12">
      <w:pPr>
        <w:spacing w:after="120" w:line="360" w:lineRule="auto"/>
        <w:ind w:firstLine="708"/>
        <w:jc w:val="both"/>
        <w:rPr>
          <w:rFonts w:ascii="Arial" w:eastAsiaTheme="minorHAnsi" w:hAnsi="Arial" w:cs="Arial"/>
          <w:sz w:val="26"/>
          <w:szCs w:val="26"/>
          <w:lang w:val="es-ES" w:eastAsia="en-US"/>
        </w:rPr>
      </w:pPr>
      <w:r w:rsidRPr="00D56B12">
        <w:rPr>
          <w:rFonts w:ascii="Arial" w:eastAsiaTheme="minorHAnsi" w:hAnsi="Arial" w:cs="Arial"/>
          <w:b/>
          <w:bCs/>
          <w:sz w:val="26"/>
          <w:szCs w:val="26"/>
          <w:lang w:val="es-ES" w:eastAsia="en-US"/>
        </w:rPr>
        <w:t xml:space="preserve">PRIMERO. </w:t>
      </w:r>
      <w:r w:rsidRPr="00D56B12">
        <w:rPr>
          <w:rFonts w:ascii="Arial" w:eastAsiaTheme="minorHAnsi" w:hAnsi="Arial" w:cs="Arial"/>
          <w:sz w:val="26"/>
          <w:szCs w:val="26"/>
          <w:lang w:val="es-ES" w:eastAsia="en-US"/>
        </w:rPr>
        <w:t xml:space="preserve">Inconforme con el acuerdo de veintiocho de octubre de dos mil diecinueve, dictado en el cuaderno de suspensión derivado del expediente de nulidad </w:t>
      </w:r>
      <w:r w:rsidRPr="00D56B12">
        <w:rPr>
          <w:rFonts w:ascii="Arial" w:eastAsiaTheme="minorHAnsi" w:hAnsi="Arial" w:cs="Arial"/>
          <w:b/>
          <w:sz w:val="26"/>
          <w:szCs w:val="26"/>
          <w:lang w:val="es-ES" w:eastAsia="en-US"/>
        </w:rPr>
        <w:t>0127/2019</w:t>
      </w:r>
      <w:r w:rsidRPr="00D56B12">
        <w:rPr>
          <w:rFonts w:ascii="Arial" w:eastAsiaTheme="minorHAnsi" w:hAnsi="Arial" w:cs="Arial"/>
          <w:sz w:val="26"/>
          <w:szCs w:val="26"/>
          <w:lang w:val="es-ES" w:eastAsia="en-US"/>
        </w:rPr>
        <w:t xml:space="preserve"> del índice de la Tercera Sala Unitaria de Primera Instancia, </w:t>
      </w:r>
      <w:r w:rsidRPr="00D56B12">
        <w:rPr>
          <w:rFonts w:ascii="Arial" w:eastAsiaTheme="minorHAnsi" w:hAnsi="Arial" w:cs="Arial"/>
          <w:b/>
          <w:sz w:val="26"/>
          <w:szCs w:val="26"/>
          <w:lang w:val="es-ES" w:eastAsia="en-US"/>
        </w:rPr>
        <w:t xml:space="preserve">ANAHÍ CONCEPCIÓN PALACIOS RAMÍREZ, </w:t>
      </w:r>
      <w:r w:rsidRPr="00D56B12">
        <w:rPr>
          <w:rFonts w:ascii="Arial" w:eastAsiaTheme="minorHAnsi" w:hAnsi="Arial" w:cs="Arial"/>
          <w:sz w:val="26"/>
          <w:szCs w:val="26"/>
          <w:lang w:val="es-ES" w:eastAsia="en-US"/>
        </w:rPr>
        <w:t xml:space="preserve">con el carácter de </w:t>
      </w:r>
      <w:r w:rsidRPr="00D56B12">
        <w:rPr>
          <w:rFonts w:ascii="Arial" w:eastAsiaTheme="minorHAnsi" w:hAnsi="Arial" w:cs="Arial"/>
          <w:b/>
          <w:sz w:val="26"/>
          <w:szCs w:val="26"/>
          <w:lang w:val="es-ES" w:eastAsia="en-US"/>
        </w:rPr>
        <w:t>POLICÍA VIAL ADSCRITA A LA COMISARÍA DE LA POLICÍA VIAL MUNICIPAL DE SANTA LUCÍA DEL CAMINO, OAXACA</w:t>
      </w:r>
      <w:r w:rsidRPr="00D56B12">
        <w:rPr>
          <w:rFonts w:ascii="Arial" w:eastAsiaTheme="minorHAnsi" w:hAnsi="Arial" w:cs="Arial"/>
          <w:sz w:val="26"/>
          <w:szCs w:val="26"/>
          <w:lang w:val="es-ES" w:eastAsia="en-US"/>
        </w:rPr>
        <w:t>, interpuso en su contra recurso de revisión.</w:t>
      </w:r>
      <w:r w:rsidR="00281E8B">
        <w:rPr>
          <w:rFonts w:ascii="Arial" w:eastAsiaTheme="minorHAnsi" w:hAnsi="Arial" w:cs="Arial"/>
          <w:sz w:val="26"/>
          <w:szCs w:val="26"/>
          <w:lang w:val="es-ES" w:eastAsia="en-US"/>
        </w:rPr>
        <w:t xml:space="preserve"> - -</w:t>
      </w:r>
    </w:p>
    <w:p w14:paraId="6441D16A" w14:textId="2E8321A4" w:rsidR="00D56B12" w:rsidRPr="00D56B12" w:rsidRDefault="00D56B12" w:rsidP="00281E8B">
      <w:pPr>
        <w:spacing w:after="120" w:line="360" w:lineRule="auto"/>
        <w:ind w:firstLine="708"/>
        <w:jc w:val="both"/>
        <w:rPr>
          <w:rFonts w:ascii="Arial" w:eastAsia="Calibri" w:hAnsi="Arial" w:cs="Arial"/>
          <w:sz w:val="26"/>
          <w:szCs w:val="26"/>
          <w:lang w:val="es-ES" w:eastAsia="en-US"/>
        </w:rPr>
      </w:pPr>
      <w:r w:rsidRPr="00D56B12">
        <w:rPr>
          <w:rFonts w:ascii="Arial" w:eastAsiaTheme="minorHAnsi" w:hAnsi="Arial" w:cs="Arial"/>
          <w:b/>
          <w:bCs/>
          <w:sz w:val="26"/>
          <w:szCs w:val="26"/>
          <w:lang w:eastAsia="en-US"/>
        </w:rPr>
        <w:t xml:space="preserve">SEGUNDO. </w:t>
      </w:r>
      <w:r w:rsidRPr="00D56B12">
        <w:rPr>
          <w:rFonts w:ascii="Arial" w:eastAsia="Calibri" w:hAnsi="Arial" w:cs="Arial"/>
          <w:sz w:val="26"/>
          <w:szCs w:val="26"/>
          <w:lang w:val="es-ES" w:eastAsia="en-US"/>
        </w:rPr>
        <w:t xml:space="preserve">La parte relativa del acuerdo recurrido, es del tenor literal siguiente: </w:t>
      </w:r>
      <w:r w:rsidR="00281E8B">
        <w:rPr>
          <w:rFonts w:ascii="Arial" w:eastAsia="Calibri" w:hAnsi="Arial" w:cs="Arial"/>
          <w:sz w:val="26"/>
          <w:szCs w:val="26"/>
          <w:lang w:val="es-ES" w:eastAsia="en-US"/>
        </w:rPr>
        <w:t>- - - - - - - - - - - - - - - - - - - - - - - - - - - - - - - - - - - - - - - -</w:t>
      </w:r>
    </w:p>
    <w:p w14:paraId="4C0BBFC0" w14:textId="1D5037DD" w:rsidR="00D56B12" w:rsidRPr="00D56B12" w:rsidRDefault="00D56B12" w:rsidP="00D56B12">
      <w:pPr>
        <w:spacing w:before="240" w:after="120" w:line="360" w:lineRule="auto"/>
        <w:ind w:left="709" w:right="616"/>
        <w:jc w:val="both"/>
        <w:rPr>
          <w:rFonts w:ascii="Arial" w:eastAsia="Times New Roman" w:hAnsi="Arial" w:cs="Arial"/>
          <w:bCs/>
          <w:i/>
          <w:iCs/>
          <w:lang w:val="es-ES" w:eastAsia="es-ES"/>
        </w:rPr>
      </w:pPr>
      <w:r w:rsidRPr="00D56B12">
        <w:rPr>
          <w:rFonts w:ascii="Arial" w:eastAsia="Times New Roman" w:hAnsi="Arial" w:cs="Arial"/>
          <w:b/>
          <w:bCs/>
          <w:i/>
          <w:iCs/>
          <w:lang w:val="es-ES" w:eastAsia="es-ES"/>
        </w:rPr>
        <w:t xml:space="preserve"> “</w:t>
      </w:r>
      <w:r w:rsidRPr="00D56B12">
        <w:rPr>
          <w:rFonts w:ascii="Arial" w:eastAsia="Times New Roman" w:hAnsi="Arial" w:cs="Arial"/>
          <w:bCs/>
          <w:i/>
          <w:iCs/>
          <w:lang w:val="es-ES" w:eastAsia="es-ES"/>
        </w:rPr>
        <w:t xml:space="preserve">En cumplimiento al acuerdo de la misma fecha, dictado en el expediente </w:t>
      </w:r>
      <w:r w:rsidRPr="00D56B12">
        <w:rPr>
          <w:rFonts w:ascii="Arial" w:eastAsia="Times New Roman" w:hAnsi="Arial" w:cs="Arial"/>
          <w:b/>
          <w:bCs/>
          <w:i/>
          <w:iCs/>
          <w:lang w:val="es-ES" w:eastAsia="es-ES"/>
        </w:rPr>
        <w:t>127/2019,</w:t>
      </w:r>
      <w:r w:rsidRPr="00D56B12">
        <w:rPr>
          <w:rFonts w:ascii="Arial" w:eastAsia="Times New Roman" w:hAnsi="Arial" w:cs="Arial"/>
          <w:bCs/>
          <w:i/>
          <w:iCs/>
          <w:lang w:val="es-ES" w:eastAsia="es-ES"/>
        </w:rPr>
        <w:t xml:space="preserve"> fórmese el presente cuaderno de suspensión, con copia simple del actor </w:t>
      </w:r>
      <w:r w:rsidRPr="00D56B12">
        <w:rPr>
          <w:rFonts w:ascii="Arial" w:eastAsia="Times New Roman" w:hAnsi="Arial" w:cs="Arial"/>
          <w:b/>
          <w:bCs/>
          <w:i/>
          <w:iCs/>
          <w:u w:val="single"/>
          <w:lang w:val="es-ES" w:eastAsia="es-ES"/>
        </w:rPr>
        <w:t>Jesús Cruz Jiménez</w:t>
      </w:r>
      <w:r w:rsidRPr="00D56B12">
        <w:rPr>
          <w:rFonts w:ascii="Arial" w:eastAsia="Times New Roman" w:hAnsi="Arial" w:cs="Arial"/>
          <w:b/>
          <w:bCs/>
          <w:i/>
          <w:iCs/>
          <w:lang w:val="es-ES" w:eastAsia="es-ES"/>
        </w:rPr>
        <w:t xml:space="preserve">, </w:t>
      </w:r>
      <w:r w:rsidRPr="00D56B12">
        <w:rPr>
          <w:rFonts w:ascii="Arial" w:eastAsia="Times New Roman" w:hAnsi="Arial" w:cs="Arial"/>
          <w:bCs/>
          <w:i/>
          <w:iCs/>
          <w:lang w:val="es-ES" w:eastAsia="es-ES"/>
        </w:rPr>
        <w:t xml:space="preserve">de su demanda con el que </w:t>
      </w:r>
      <w:r w:rsidRPr="00D56B12">
        <w:rPr>
          <w:rFonts w:ascii="Arial" w:eastAsia="Times New Roman" w:hAnsi="Arial" w:cs="Arial"/>
          <w:b/>
          <w:bCs/>
          <w:i/>
          <w:iCs/>
          <w:lang w:val="es-ES" w:eastAsia="es-ES"/>
        </w:rPr>
        <w:lastRenderedPageBreak/>
        <w:t xml:space="preserve">solicita la suspensión </w:t>
      </w:r>
      <w:r w:rsidRPr="00D56B12">
        <w:rPr>
          <w:rFonts w:ascii="Arial" w:eastAsia="Times New Roman" w:hAnsi="Arial" w:cs="Arial"/>
          <w:bCs/>
          <w:i/>
          <w:iCs/>
          <w:lang w:val="es-ES" w:eastAsia="es-ES"/>
        </w:rPr>
        <w:t xml:space="preserve">por lo que esta juzgadora previo a determinar si otorga o no la medida solicitada por el promovente, toma en consideración que no es un acto consumado, en virtud, de que su ejecución trasciende al futuro impidiendo con ello que el actor se encuentre impedido para portar la licencia de conducir, por lo que de conceder dicha medida se dejaría la situación jurídica que existía antes de que tuviera lugar el acto reclamado, pero sin declarar la nulidad por parte de esta sala y sin que se le otorgue por este órgano jurisdiccional efectos restitutorios a la suspensión, ya que dicha determinación es propia de la sentencia que se llegue a dictaren el expediente principal, por lo que con fundamento en los artículos 215 fracciones I, II, 218 fracciones I, IV inciso a), b), c) de la Ley de Procedimiento y Justicia Administrativa para el Estado de Oaxaca, </w:t>
      </w:r>
      <w:r w:rsidRPr="00D56B12">
        <w:rPr>
          <w:rFonts w:ascii="Arial" w:eastAsia="Times New Roman" w:hAnsi="Arial" w:cs="Arial"/>
          <w:b/>
          <w:bCs/>
          <w:i/>
          <w:iCs/>
          <w:u w:val="single"/>
          <w:lang w:val="es-ES" w:eastAsia="es-ES"/>
        </w:rPr>
        <w:t>se concede la medida cautelar a la parte actora,</w:t>
      </w:r>
      <w:r w:rsidRPr="00D56B12">
        <w:rPr>
          <w:rFonts w:ascii="Arial" w:eastAsia="Times New Roman" w:hAnsi="Arial" w:cs="Arial"/>
          <w:b/>
          <w:bCs/>
          <w:i/>
          <w:iCs/>
          <w:lang w:val="es-ES" w:eastAsia="es-ES"/>
        </w:rPr>
        <w:t xml:space="preserve"> </w:t>
      </w:r>
      <w:r w:rsidRPr="00D56B12">
        <w:rPr>
          <w:rFonts w:ascii="Arial" w:eastAsia="Times New Roman" w:hAnsi="Arial" w:cs="Arial"/>
          <w:bCs/>
          <w:i/>
          <w:iCs/>
          <w:lang w:val="es-ES" w:eastAsia="es-ES"/>
        </w:rPr>
        <w:t xml:space="preserve">para el  efecto de que la </w:t>
      </w:r>
      <w:r w:rsidRPr="00D56B12">
        <w:rPr>
          <w:rFonts w:ascii="Arial" w:eastAsia="Times New Roman" w:hAnsi="Arial" w:cs="Arial"/>
          <w:b/>
          <w:bCs/>
          <w:i/>
          <w:iCs/>
          <w:lang w:val="es-ES" w:eastAsia="es-ES"/>
        </w:rPr>
        <w:t xml:space="preserve">Policía Vial </w:t>
      </w:r>
      <w:r w:rsidRPr="00D56B12">
        <w:rPr>
          <w:rFonts w:ascii="Arial" w:eastAsia="Times New Roman" w:hAnsi="Arial" w:cs="Arial"/>
          <w:bCs/>
          <w:i/>
          <w:iCs/>
          <w:lang w:val="es-ES" w:eastAsia="es-ES"/>
        </w:rPr>
        <w:t xml:space="preserve"> de la Comisión de Seguridad Pública y Policía Vial, de la Comisaria de la Policía Vial del Municipio de Santa Lucia del Camino, Oaxaca (Anahí Concepción Palacios Ramírez), dentro del Plazo de </w:t>
      </w:r>
      <w:r w:rsidRPr="00D56B12">
        <w:rPr>
          <w:rFonts w:ascii="Arial" w:eastAsia="Times New Roman" w:hAnsi="Arial" w:cs="Arial"/>
          <w:b/>
          <w:bCs/>
          <w:i/>
          <w:iCs/>
          <w:lang w:val="es-ES" w:eastAsia="es-ES"/>
        </w:rPr>
        <w:t xml:space="preserve">tres días hábiles </w:t>
      </w:r>
      <w:r w:rsidRPr="00D56B12">
        <w:rPr>
          <w:rFonts w:ascii="Arial" w:eastAsia="Times New Roman" w:hAnsi="Arial" w:cs="Arial"/>
          <w:bCs/>
          <w:i/>
          <w:iCs/>
          <w:lang w:val="es-ES" w:eastAsia="es-ES"/>
        </w:rPr>
        <w:t xml:space="preserve">contados a partir del día hábil siguiente en que quede notificado del presente acuerdo, entregue </w:t>
      </w:r>
      <w:r w:rsidRPr="00D56B12">
        <w:rPr>
          <w:rFonts w:ascii="Arial" w:eastAsia="Times New Roman" w:hAnsi="Arial" w:cs="Arial"/>
          <w:b/>
          <w:bCs/>
          <w:i/>
          <w:iCs/>
          <w:u w:val="single"/>
          <w:lang w:val="es-ES" w:eastAsia="es-ES"/>
        </w:rPr>
        <w:t xml:space="preserve">la licencia de conducir, </w:t>
      </w:r>
      <w:r w:rsidRPr="00D56B12">
        <w:rPr>
          <w:rFonts w:ascii="Arial" w:eastAsia="Times New Roman" w:hAnsi="Arial" w:cs="Arial"/>
          <w:bCs/>
          <w:i/>
          <w:iCs/>
          <w:lang w:val="es-ES" w:eastAsia="es-ES"/>
        </w:rPr>
        <w:t xml:space="preserve"> que le fue retenida al momento de que fue infraccionado con el acta con folio 2042, de veintidós de octubre de dos mil diecinueve, medida que se otorga para que el actor pueda seguir haciendo uso de la licencia citada y con ello evitar que sea infraccionado. Sirve de apoyo a esta determinación la Jurisprudencia 2ª./J. 59/2012 (10a.), resuelta en la contradicción de tesis 116/2012, por la Segunda Sala de la Suprema Corte de Justicia de la Nación, de la Décima Época, pendiente de publicarse en el Semanario Judicial de la Federación y su Gaceta, cuyo rubro y texto es el siguiente: </w:t>
      </w:r>
      <w:r w:rsidRPr="00D56B12">
        <w:rPr>
          <w:rFonts w:ascii="Arial" w:eastAsia="Times New Roman" w:hAnsi="Arial" w:cs="Arial"/>
          <w:b/>
          <w:bCs/>
          <w:i/>
          <w:iCs/>
          <w:lang w:val="es-ES" w:eastAsia="es-ES"/>
        </w:rPr>
        <w:t xml:space="preserve">“SUSPENSIÓN EN AMPARO. SE PUEDE CONCEDER ANTE EL DESPOSEIMIENTO DE LA LICENCIA DE CONDUCIR POR PARTE DE LA AUTORIDAD, PORQUE NO ES UN ACTO CONSUMADO…”- </w:t>
      </w:r>
      <w:r w:rsidR="00281E8B">
        <w:rPr>
          <w:rFonts w:ascii="Arial" w:eastAsia="Times New Roman" w:hAnsi="Arial" w:cs="Arial"/>
          <w:b/>
          <w:bCs/>
          <w:i/>
          <w:iCs/>
          <w:lang w:val="es-ES" w:eastAsia="es-ES"/>
        </w:rPr>
        <w:t xml:space="preserve">- - - - - - - - - - - - - - - - - - - - - - - - - - - - - - - - - - - - - - </w:t>
      </w:r>
    </w:p>
    <w:p w14:paraId="79C80655" w14:textId="77777777" w:rsidR="00D56B12" w:rsidRPr="00D56B12" w:rsidRDefault="00D56B12" w:rsidP="00D56B12">
      <w:pPr>
        <w:spacing w:before="100" w:beforeAutospacing="1" w:after="0" w:line="360" w:lineRule="auto"/>
        <w:ind w:right="51"/>
        <w:jc w:val="center"/>
        <w:rPr>
          <w:rFonts w:ascii="Arial" w:eastAsia="Times New Roman" w:hAnsi="Arial" w:cs="Arial"/>
          <w:b/>
          <w:bCs/>
          <w:sz w:val="26"/>
          <w:szCs w:val="26"/>
          <w:lang w:val="es-ES" w:eastAsia="es-ES"/>
        </w:rPr>
      </w:pPr>
      <w:r w:rsidRPr="00D56B12">
        <w:rPr>
          <w:rFonts w:ascii="Arial" w:eastAsia="Times New Roman" w:hAnsi="Arial" w:cs="Arial"/>
          <w:b/>
          <w:bCs/>
          <w:sz w:val="26"/>
          <w:szCs w:val="26"/>
          <w:lang w:val="es-ES" w:eastAsia="es-ES"/>
        </w:rPr>
        <w:t>C O N S I D E R A N D O:</w:t>
      </w:r>
    </w:p>
    <w:p w14:paraId="5477EAB0" w14:textId="4A000426" w:rsidR="00D56B12" w:rsidRPr="00281E8B" w:rsidRDefault="00D56B12" w:rsidP="00281E8B">
      <w:pPr>
        <w:spacing w:before="100" w:beforeAutospacing="1" w:after="0" w:line="360" w:lineRule="auto"/>
        <w:ind w:right="51" w:firstLine="708"/>
        <w:jc w:val="both"/>
        <w:rPr>
          <w:rFonts w:ascii="Arial" w:eastAsia="Times New Roman" w:hAnsi="Arial" w:cs="Arial"/>
          <w:bCs/>
          <w:sz w:val="26"/>
          <w:szCs w:val="26"/>
          <w:lang w:val="es-ES" w:eastAsia="es-ES"/>
        </w:rPr>
      </w:pPr>
      <w:r w:rsidRPr="00D56B12">
        <w:rPr>
          <w:rFonts w:ascii="Arial" w:eastAsiaTheme="minorHAnsi" w:hAnsi="Arial" w:cs="Arial"/>
          <w:b/>
          <w:bCs/>
          <w:iCs/>
          <w:sz w:val="26"/>
          <w:szCs w:val="26"/>
          <w:lang w:val="es-ES" w:eastAsia="en-US"/>
        </w:rPr>
        <w:t xml:space="preserve">PRIMERO. </w:t>
      </w:r>
      <w:r w:rsidRPr="00D56B12">
        <w:rPr>
          <w:rFonts w:ascii="Arial" w:eastAsiaTheme="minorHAnsi" w:hAnsi="Arial" w:cs="Arial"/>
          <w:bCs/>
          <w:iCs/>
          <w:sz w:val="26"/>
          <w:szCs w:val="26"/>
          <w:lang w:val="es-ES" w:eastAsia="en-US"/>
        </w:rPr>
        <w:t>Esta Sala Superior es competente para conocer del presente asunto, de conformidad con lo dispuesto por los artículos 114 Quáter de la Constitución Política del Estado Libre y Soberano de Oaxaca;</w:t>
      </w:r>
      <w:r w:rsidRPr="00D56B12">
        <w:rPr>
          <w:rFonts w:ascii="Arial" w:eastAsiaTheme="minorHAnsi" w:hAnsi="Arial" w:cs="Arial"/>
          <w:bCs/>
          <w:iCs/>
          <w:sz w:val="26"/>
          <w:szCs w:val="26"/>
          <w:lang w:val="es-ES" w:eastAsia="es-ES"/>
        </w:rPr>
        <w:t xml:space="preserve"> </w:t>
      </w:r>
      <w:r w:rsidRPr="00D56B12">
        <w:rPr>
          <w:rFonts w:ascii="Arial" w:eastAsiaTheme="minorHAnsi" w:hAnsi="Arial" w:cs="Arial"/>
          <w:bCs/>
          <w:iCs/>
          <w:sz w:val="26"/>
          <w:szCs w:val="26"/>
          <w:lang w:val="es-ES" w:eastAsia="en-US"/>
        </w:rPr>
        <w:t xml:space="preserve">23, 24 fracción I, 25 fracción I, 26 y 27 de la Ley Orgánica del Tribunal de Justicia Administrativa del Estado de Oaxaca, publicada en el Periódico Oficial del Estado de Oaxaca; así como los numerales </w:t>
      </w:r>
      <w:r w:rsidRPr="00D56B12">
        <w:rPr>
          <w:rFonts w:ascii="Arial" w:eastAsiaTheme="minorHAnsi" w:hAnsi="Arial" w:cs="Arial"/>
          <w:bCs/>
          <w:iCs/>
          <w:sz w:val="26"/>
          <w:szCs w:val="26"/>
          <w:lang w:val="es-ES" w:eastAsia="es-ES"/>
        </w:rPr>
        <w:t xml:space="preserve">125, 127, 129, 130 fracción I, 131, 231, 236 y 238 </w:t>
      </w:r>
      <w:r w:rsidRPr="00D56B12">
        <w:rPr>
          <w:rFonts w:ascii="Arial" w:eastAsiaTheme="minorHAnsi" w:hAnsi="Arial" w:cs="Arial"/>
          <w:bCs/>
          <w:iCs/>
          <w:sz w:val="26"/>
          <w:szCs w:val="26"/>
          <w:lang w:val="es-ES" w:eastAsia="en-US"/>
        </w:rPr>
        <w:t xml:space="preserve">de la Ley de Procedimiento y Justicia Administrativa para el Estado de Oaxaca, dado que se trata de un Recurso de Revisión interpuesto en contra del acuerdo de </w:t>
      </w:r>
      <w:r w:rsidRPr="00D56B12">
        <w:rPr>
          <w:rFonts w:ascii="Arial" w:eastAsiaTheme="minorHAnsi" w:hAnsi="Arial" w:cs="Arial"/>
          <w:bCs/>
          <w:iCs/>
          <w:sz w:val="26"/>
          <w:szCs w:val="26"/>
          <w:lang w:val="es-ES" w:eastAsia="en-US"/>
        </w:rPr>
        <w:lastRenderedPageBreak/>
        <w:t xml:space="preserve">veintiocho de octubre de dos mil diecinueve, dictado por la Magistrada de la Tercera Sala Unitaria de Primera Instancia, en el cuaderno </w:t>
      </w:r>
      <w:r w:rsidRPr="00D56B12">
        <w:rPr>
          <w:rFonts w:ascii="Arial" w:eastAsiaTheme="minorHAnsi" w:hAnsi="Arial" w:cs="Arial"/>
          <w:sz w:val="26"/>
          <w:szCs w:val="26"/>
          <w:lang w:val="es-ES" w:eastAsia="en-US"/>
        </w:rPr>
        <w:t xml:space="preserve">de suspensión derivado del expediente </w:t>
      </w:r>
      <w:r w:rsidRPr="00D56B12">
        <w:rPr>
          <w:rFonts w:ascii="Arial" w:eastAsiaTheme="minorHAnsi" w:hAnsi="Arial" w:cs="Arial"/>
          <w:b/>
          <w:sz w:val="26"/>
          <w:szCs w:val="26"/>
          <w:lang w:val="es-ES" w:eastAsia="en-US"/>
        </w:rPr>
        <w:t>0127/2019.</w:t>
      </w:r>
      <w:r w:rsidR="00281E8B">
        <w:rPr>
          <w:rFonts w:ascii="Arial" w:eastAsiaTheme="minorHAnsi" w:hAnsi="Arial" w:cs="Arial"/>
          <w:b/>
          <w:sz w:val="26"/>
          <w:szCs w:val="26"/>
          <w:lang w:val="es-ES" w:eastAsia="en-US"/>
        </w:rPr>
        <w:t xml:space="preserve"> </w:t>
      </w:r>
      <w:r w:rsidR="00281E8B" w:rsidRPr="00281E8B">
        <w:rPr>
          <w:rFonts w:ascii="Arial" w:eastAsiaTheme="minorHAnsi" w:hAnsi="Arial" w:cs="Arial"/>
          <w:bCs/>
          <w:sz w:val="26"/>
          <w:szCs w:val="26"/>
          <w:lang w:val="es-ES" w:eastAsia="en-US"/>
        </w:rPr>
        <w:t>- - - - - - - - - - - - - - - - -</w:t>
      </w:r>
      <w:r w:rsidR="00281E8B">
        <w:rPr>
          <w:rFonts w:ascii="Arial" w:eastAsiaTheme="minorHAnsi" w:hAnsi="Arial" w:cs="Arial"/>
          <w:b/>
          <w:sz w:val="26"/>
          <w:szCs w:val="26"/>
          <w:lang w:val="es-ES" w:eastAsia="en-US"/>
        </w:rPr>
        <w:t xml:space="preserve"> </w:t>
      </w:r>
    </w:p>
    <w:p w14:paraId="17733D6E" w14:textId="1196C2E3" w:rsidR="00D56B12" w:rsidRPr="00D56B12" w:rsidRDefault="00D56B12" w:rsidP="00D56B12">
      <w:pPr>
        <w:widowControl w:val="0"/>
        <w:tabs>
          <w:tab w:val="left" w:pos="7938"/>
        </w:tabs>
        <w:spacing w:after="0" w:line="360" w:lineRule="auto"/>
        <w:ind w:right="18"/>
        <w:jc w:val="both"/>
        <w:rPr>
          <w:rFonts w:ascii="Arial" w:eastAsiaTheme="minorHAnsi" w:hAnsi="Arial" w:cs="Arial"/>
          <w:sz w:val="26"/>
          <w:szCs w:val="26"/>
          <w:lang w:val="es-ES" w:eastAsia="en-US"/>
        </w:rPr>
      </w:pPr>
      <w:r>
        <w:rPr>
          <w:rFonts w:ascii="Arial" w:eastAsiaTheme="minorHAnsi" w:hAnsi="Arial" w:cs="Arial"/>
          <w:b/>
          <w:bCs/>
          <w:sz w:val="26"/>
          <w:szCs w:val="26"/>
          <w:lang w:eastAsia="en-US"/>
        </w:rPr>
        <w:t xml:space="preserve">       </w:t>
      </w:r>
      <w:r w:rsidRPr="00D56B12">
        <w:rPr>
          <w:rFonts w:ascii="Arial" w:eastAsiaTheme="minorHAnsi" w:hAnsi="Arial" w:cs="Arial"/>
          <w:b/>
          <w:bCs/>
          <w:sz w:val="26"/>
          <w:szCs w:val="26"/>
          <w:lang w:eastAsia="en-US"/>
        </w:rPr>
        <w:t>SEGUNDO.</w:t>
      </w:r>
      <w:r w:rsidRPr="00D56B12">
        <w:rPr>
          <w:rFonts w:ascii="Arial" w:eastAsiaTheme="minorHAnsi" w:hAnsi="Arial" w:cs="Arial"/>
          <w:bCs/>
          <w:sz w:val="26"/>
          <w:szCs w:val="26"/>
          <w:lang w:eastAsia="en-US"/>
        </w:rPr>
        <w:t xml:space="preserve"> </w:t>
      </w:r>
      <w:r w:rsidRPr="00D56B12">
        <w:rPr>
          <w:rFonts w:ascii="Arial" w:eastAsiaTheme="minorHAnsi" w:hAnsi="Arial" w:cs="Arial"/>
          <w:bCs/>
          <w:sz w:val="26"/>
          <w:szCs w:val="26"/>
          <w:lang w:val="es-ES" w:eastAsia="en-US"/>
        </w:rPr>
        <w:t>Los agravios hechos valer se encuentran expuestos en el escrito de la recurrente, por lo que no existe necesidad de transcribirlos, al no transgredirse derecho alguno, como tampoco se vulnera disposición expresa que imponga tal obligación</w:t>
      </w:r>
      <w:r w:rsidRPr="00D56B12">
        <w:rPr>
          <w:rFonts w:ascii="Arial" w:eastAsiaTheme="minorHAnsi" w:hAnsi="Arial" w:cs="Arial"/>
          <w:sz w:val="26"/>
          <w:szCs w:val="26"/>
          <w:lang w:val="es-ES" w:eastAsia="en-US"/>
        </w:rPr>
        <w:t xml:space="preserve">. Sirviendo de referencia </w:t>
      </w:r>
      <w:r w:rsidRPr="00D56B12">
        <w:rPr>
          <w:rFonts w:ascii="Arial" w:eastAsiaTheme="minorHAnsi" w:hAnsi="Arial" w:cs="Arial"/>
          <w:bCs/>
          <w:color w:val="000000"/>
          <w:sz w:val="26"/>
          <w:szCs w:val="26"/>
          <w:lang w:eastAsia="en-US"/>
        </w:rPr>
        <w:t>la Tesis, con número de registro 254280, publicada en la Gaceta del Semanario Judicial de la Federación, Volumen 81, Sexta Parte, Séptima Época, pagina 23, bajo el rubro y texto siguiente:</w:t>
      </w:r>
      <w:r w:rsidR="00281E8B">
        <w:rPr>
          <w:rFonts w:ascii="Arial" w:eastAsiaTheme="minorHAnsi" w:hAnsi="Arial" w:cs="Arial"/>
          <w:bCs/>
          <w:color w:val="000000"/>
          <w:sz w:val="26"/>
          <w:szCs w:val="26"/>
          <w:lang w:eastAsia="en-US"/>
        </w:rPr>
        <w:t xml:space="preserve"> - - - - -</w:t>
      </w:r>
    </w:p>
    <w:p w14:paraId="3B08501F" w14:textId="77777777" w:rsidR="00D56B12" w:rsidRPr="00D56B12" w:rsidRDefault="00D56B12" w:rsidP="00D56B12">
      <w:pPr>
        <w:widowControl w:val="0"/>
        <w:tabs>
          <w:tab w:val="left" w:pos="7938"/>
        </w:tabs>
        <w:spacing w:after="0" w:line="360" w:lineRule="auto"/>
        <w:ind w:right="18" w:firstLine="709"/>
        <w:jc w:val="both"/>
        <w:rPr>
          <w:rFonts w:ascii="Arial" w:eastAsiaTheme="minorHAnsi" w:hAnsi="Arial" w:cs="Arial"/>
          <w:sz w:val="26"/>
          <w:szCs w:val="26"/>
          <w:lang w:val="es-ES" w:eastAsia="en-US"/>
        </w:rPr>
      </w:pPr>
    </w:p>
    <w:p w14:paraId="48F680B7" w14:textId="1EB2E1A7" w:rsidR="00D56B12" w:rsidRPr="00D56B12" w:rsidRDefault="00D56B12" w:rsidP="00281E8B">
      <w:pPr>
        <w:ind w:left="1134" w:right="902"/>
        <w:jc w:val="both"/>
        <w:rPr>
          <w:rFonts w:ascii="Arial" w:eastAsia="Calibri" w:hAnsi="Arial" w:cs="Arial"/>
          <w:bCs/>
          <w:highlight w:val="yellow"/>
        </w:rPr>
      </w:pPr>
      <w:r w:rsidRPr="00D56B12">
        <w:rPr>
          <w:rFonts w:ascii="Arial" w:eastAsia="Times New Roman" w:hAnsi="Arial" w:cs="Arial"/>
          <w:b/>
          <w:bCs/>
        </w:rPr>
        <w:t>“</w:t>
      </w:r>
      <w:r w:rsidRPr="00D56B12">
        <w:rPr>
          <w:rFonts w:ascii="Arial" w:eastAsia="Times New Roman" w:hAnsi="Arial" w:cs="Arial"/>
          <w:b/>
          <w:i/>
        </w:rPr>
        <w:t xml:space="preserve">CONCEPTOS DE VIOLACIÓN. NO ES OBLIGATORIO TRANSCRIBIRLOS EN LA SENTENCIA. </w:t>
      </w:r>
      <w:r w:rsidRPr="00D56B12">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D56B12">
        <w:rPr>
          <w:rFonts w:ascii="Arial" w:eastAsia="Times New Roman" w:hAnsi="Arial" w:cs="Arial"/>
          <w:bCs/>
          <w:i/>
          <w:bdr w:val="none" w:sz="0" w:space="0" w:color="auto" w:frame="1"/>
        </w:rPr>
        <w:t>es</w:t>
      </w:r>
      <w:r w:rsidRPr="00D56B12">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56B12">
        <w:rPr>
          <w:rFonts w:ascii="Arial" w:eastAsia="Times New Roman" w:hAnsi="Arial" w:cs="Arial"/>
        </w:rPr>
        <w:t>(sic).</w:t>
      </w:r>
    </w:p>
    <w:p w14:paraId="33B4C2F3" w14:textId="3E49A1D4" w:rsidR="00D56B12" w:rsidRPr="00D56B12" w:rsidRDefault="00D56B12" w:rsidP="00D56B12">
      <w:pPr>
        <w:widowControl w:val="0"/>
        <w:tabs>
          <w:tab w:val="left" w:pos="7938"/>
        </w:tabs>
        <w:spacing w:before="240" w:line="360" w:lineRule="auto"/>
        <w:ind w:right="18"/>
        <w:jc w:val="both"/>
        <w:rPr>
          <w:rFonts w:ascii="Arial" w:eastAsia="Calibri" w:hAnsi="Arial" w:cs="Arial"/>
          <w:bCs/>
          <w:iCs/>
          <w:sz w:val="26"/>
          <w:szCs w:val="26"/>
          <w:lang w:val="es-ES" w:eastAsia="en-US"/>
        </w:rPr>
      </w:pPr>
      <w:r>
        <w:rPr>
          <w:rFonts w:ascii="Arial" w:eastAsia="Calibri" w:hAnsi="Arial" w:cs="Arial"/>
          <w:b/>
          <w:bCs/>
          <w:sz w:val="26"/>
          <w:szCs w:val="26"/>
          <w:lang w:val="es-ES" w:eastAsia="en-US"/>
        </w:rPr>
        <w:t xml:space="preserve">       </w:t>
      </w:r>
      <w:r w:rsidRPr="00D56B12">
        <w:rPr>
          <w:rFonts w:ascii="Arial" w:eastAsia="Calibri" w:hAnsi="Arial" w:cs="Arial"/>
          <w:b/>
          <w:bCs/>
          <w:sz w:val="26"/>
          <w:szCs w:val="26"/>
          <w:lang w:val="es-ES" w:eastAsia="en-US"/>
        </w:rPr>
        <w:t>TERCERO.</w:t>
      </w:r>
      <w:r w:rsidRPr="00D56B12">
        <w:rPr>
          <w:rFonts w:ascii="Arial" w:eastAsia="Calibri" w:hAnsi="Arial" w:cs="Arial"/>
          <w:bCs/>
          <w:sz w:val="26"/>
          <w:szCs w:val="26"/>
          <w:lang w:val="es-ES" w:eastAsia="en-US"/>
        </w:rPr>
        <w:t xml:space="preserve"> </w:t>
      </w:r>
      <w:r w:rsidRPr="00D56B12">
        <w:rPr>
          <w:rFonts w:ascii="Arial" w:eastAsia="Calibri" w:hAnsi="Arial" w:cs="Arial"/>
          <w:bCs/>
          <w:color w:val="000000"/>
          <w:sz w:val="26"/>
          <w:szCs w:val="26"/>
          <w:lang w:val="es-ES" w:eastAsia="en-US"/>
        </w:rPr>
        <w:t xml:space="preserve">Del escrito del recurso de revisión, se desprende que la revisionista manifiesta inconformarse en contra del acuerdo de veintiocho de octubre de dos mil diecinueve, en el que la Primera Instancia concedió la suspensión  provisional al actor, al considerar que se deja la situación que existía antes de que tuviera lugar el acto reclamado, pero sin declarar la nulidad sobre el acto, y que no se otorgan efectos restitutorios, fundándose para ello en los artículos </w:t>
      </w:r>
      <w:r w:rsidRPr="00D56B12">
        <w:rPr>
          <w:rFonts w:ascii="Arial" w:eastAsia="Calibri" w:hAnsi="Arial" w:cs="Arial"/>
          <w:bCs/>
          <w:iCs/>
          <w:sz w:val="26"/>
          <w:szCs w:val="26"/>
          <w:lang w:val="es-ES" w:eastAsia="en-US"/>
        </w:rPr>
        <w:t>215 fracciones I, II, 218 fracciones I, IV inciso a), b), c) de la Ley de Procedimiento y Justicia Administrativa para el Estado de Oaxaca.</w:t>
      </w:r>
      <w:r w:rsidR="00281E8B">
        <w:rPr>
          <w:rFonts w:ascii="Arial" w:eastAsia="Calibri" w:hAnsi="Arial" w:cs="Arial"/>
          <w:bCs/>
          <w:iCs/>
          <w:sz w:val="26"/>
          <w:szCs w:val="26"/>
          <w:lang w:val="es-ES" w:eastAsia="en-US"/>
        </w:rPr>
        <w:t xml:space="preserve">- - - - - - - - - - - - - - - - </w:t>
      </w:r>
    </w:p>
    <w:p w14:paraId="38A7AF48" w14:textId="21637EEE" w:rsidR="00D56B12" w:rsidRPr="00D56B12" w:rsidRDefault="00D56B12" w:rsidP="00D56B12">
      <w:pPr>
        <w:widowControl w:val="0"/>
        <w:tabs>
          <w:tab w:val="left" w:pos="7938"/>
        </w:tabs>
        <w:spacing w:before="240" w:line="360" w:lineRule="auto"/>
        <w:ind w:right="18"/>
        <w:jc w:val="both"/>
        <w:rPr>
          <w:rFonts w:ascii="Arial" w:eastAsia="Calibri" w:hAnsi="Arial" w:cs="Arial"/>
          <w:bCs/>
          <w:color w:val="000000"/>
          <w:sz w:val="26"/>
          <w:szCs w:val="26"/>
          <w:lang w:val="es-ES" w:eastAsia="en-US"/>
        </w:rPr>
      </w:pPr>
      <w:r>
        <w:rPr>
          <w:rFonts w:ascii="Arial" w:eastAsia="Calibri" w:hAnsi="Arial" w:cs="Arial"/>
          <w:bCs/>
          <w:color w:val="000000"/>
          <w:sz w:val="26"/>
          <w:szCs w:val="26"/>
          <w:lang w:val="es-ES" w:eastAsia="en-US"/>
        </w:rPr>
        <w:t xml:space="preserve">       </w:t>
      </w:r>
      <w:r w:rsidRPr="00D56B12">
        <w:rPr>
          <w:rFonts w:ascii="Arial" w:eastAsia="Calibri" w:hAnsi="Arial" w:cs="Arial"/>
          <w:bCs/>
          <w:color w:val="000000"/>
          <w:sz w:val="26"/>
          <w:szCs w:val="26"/>
          <w:lang w:val="es-ES" w:eastAsia="en-US"/>
        </w:rPr>
        <w:t>Previo al pronunciamiento de la presente resolución es pertinente indicar que del</w:t>
      </w:r>
      <w:r w:rsidRPr="00D56B12">
        <w:rPr>
          <w:rFonts w:ascii="Arial" w:eastAsia="Calibri" w:hAnsi="Arial" w:cs="Arial"/>
          <w:bCs/>
          <w:sz w:val="26"/>
          <w:szCs w:val="26"/>
          <w:lang w:val="es-ES" w:eastAsia="en-US"/>
        </w:rPr>
        <w:t xml:space="preserve"> análisis de las constancias que integran el cuaderno de suspensión relativo al expediente principal </w:t>
      </w:r>
      <w:r w:rsidRPr="00D56B12">
        <w:rPr>
          <w:rFonts w:ascii="Arial" w:eastAsia="Calibri" w:hAnsi="Arial" w:cs="Arial"/>
          <w:b/>
          <w:bCs/>
          <w:sz w:val="26"/>
          <w:szCs w:val="26"/>
          <w:lang w:val="es-ES" w:eastAsia="en-US"/>
        </w:rPr>
        <w:t>0127/2019</w:t>
      </w:r>
      <w:r w:rsidRPr="00D56B12">
        <w:rPr>
          <w:rFonts w:ascii="Arial" w:eastAsia="Calibri" w:hAnsi="Arial" w:cs="Arial"/>
          <w:bCs/>
          <w:sz w:val="26"/>
          <w:szCs w:val="26"/>
          <w:lang w:val="es-ES" w:eastAsia="en-US"/>
        </w:rPr>
        <w:t xml:space="preserve"> que remitió</w:t>
      </w:r>
      <w:r w:rsidRPr="00D56B12">
        <w:rPr>
          <w:rFonts w:ascii="Arial" w:eastAsiaTheme="minorHAnsi" w:hAnsi="Arial" w:cs="Arial"/>
          <w:bCs/>
          <w:color w:val="000000"/>
          <w:sz w:val="26"/>
          <w:szCs w:val="26"/>
          <w:lang w:val="es-ES" w:eastAsia="en-US"/>
        </w:rPr>
        <w:t xml:space="preserve"> la Tercera Sala de Primera Instancia, </w:t>
      </w:r>
      <w:r w:rsidRPr="00D56B12">
        <w:rPr>
          <w:rFonts w:ascii="Arial" w:eastAsia="Calibri" w:hAnsi="Arial" w:cs="Arial"/>
          <w:bCs/>
          <w:sz w:val="26"/>
          <w:szCs w:val="26"/>
          <w:lang w:val="es-ES" w:eastAsia="en-US"/>
        </w:rPr>
        <w:t>las cuales hacen prueba plena en términos del artículo 203, fracción I de la Ley de Procedimiento y Justicia Administrativa para el Estado, se advierte lo siguiente:</w:t>
      </w:r>
      <w:r w:rsidR="002D50AF">
        <w:rPr>
          <w:rFonts w:ascii="Arial" w:eastAsia="Calibri" w:hAnsi="Arial" w:cs="Arial"/>
          <w:bCs/>
          <w:sz w:val="26"/>
          <w:szCs w:val="26"/>
          <w:lang w:val="es-ES" w:eastAsia="en-US"/>
        </w:rPr>
        <w:t xml:space="preserve"> - - - - - - - - - - - - </w:t>
      </w:r>
    </w:p>
    <w:p w14:paraId="13FC302E" w14:textId="77777777" w:rsidR="00D56B12" w:rsidRPr="00D56B12" w:rsidRDefault="00D56B12" w:rsidP="00D56B12">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D56B12">
        <w:rPr>
          <w:rFonts w:ascii="Arial" w:eastAsiaTheme="minorHAnsi" w:hAnsi="Arial" w:cs="Arial"/>
          <w:bCs/>
          <w:color w:val="000000"/>
          <w:sz w:val="26"/>
          <w:szCs w:val="26"/>
          <w:lang w:val="es-ES" w:eastAsia="en-US"/>
        </w:rPr>
        <w:t xml:space="preserve">Mediante proveído de veintiocho de octubre de dos mil diecinueve, la Tercera Sala de Primera Instancia ordenó formar por cuerda separada el cuaderno de suspensión y en ese </w:t>
      </w:r>
      <w:r w:rsidRPr="00D56B12">
        <w:rPr>
          <w:rFonts w:ascii="Arial" w:eastAsiaTheme="minorHAnsi" w:hAnsi="Arial" w:cs="Arial"/>
          <w:bCs/>
          <w:color w:val="000000"/>
          <w:sz w:val="26"/>
          <w:szCs w:val="26"/>
          <w:lang w:val="es-ES" w:eastAsia="en-US"/>
        </w:rPr>
        <w:lastRenderedPageBreak/>
        <w:t>mismo acto concedió la suspensión provisional solicitada por la parte actora, y requirió a la demandada para que en el plazo de tres días hábiles rindiera su informe sobre los hechos materia del acto administrativo combatido.</w:t>
      </w:r>
    </w:p>
    <w:p w14:paraId="4CD11214" w14:textId="77777777" w:rsidR="00D56B12" w:rsidRPr="00D56B12" w:rsidRDefault="00D56B12" w:rsidP="00D56B12">
      <w:pPr>
        <w:widowControl w:val="0"/>
        <w:spacing w:after="0" w:line="360" w:lineRule="auto"/>
        <w:ind w:left="1065" w:right="18"/>
        <w:contextualSpacing/>
        <w:jc w:val="both"/>
        <w:rPr>
          <w:rFonts w:ascii="Arial" w:eastAsiaTheme="minorHAnsi" w:hAnsi="Arial" w:cs="Arial"/>
          <w:b/>
          <w:bCs/>
          <w:color w:val="000000"/>
          <w:sz w:val="26"/>
          <w:szCs w:val="26"/>
          <w:lang w:val="es-ES" w:eastAsia="en-US"/>
        </w:rPr>
      </w:pPr>
    </w:p>
    <w:p w14:paraId="0BAF5A0B" w14:textId="77777777" w:rsidR="00D56B12" w:rsidRPr="00D56B12" w:rsidRDefault="00D56B12" w:rsidP="00D56B12">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D56B12">
        <w:rPr>
          <w:rFonts w:ascii="Arial" w:eastAsiaTheme="minorHAnsi" w:hAnsi="Arial" w:cs="Arial"/>
          <w:bCs/>
          <w:color w:val="000000"/>
          <w:sz w:val="26"/>
          <w:szCs w:val="26"/>
          <w:lang w:val="es-ES" w:eastAsia="en-US"/>
        </w:rPr>
        <w:t xml:space="preserve">Mediante proveído de fecha veinte de noviembre de dos mil diecinueve, la Primera Instancia tuvo al aquí recurrente interponiendo recurso de revisión, así como por no rendido su informe requerido, motivo por el cual declaró </w:t>
      </w:r>
      <w:proofErr w:type="spellStart"/>
      <w:r w:rsidRPr="00D56B12">
        <w:rPr>
          <w:rFonts w:ascii="Arial" w:eastAsiaTheme="minorHAnsi" w:hAnsi="Arial" w:cs="Arial"/>
          <w:bCs/>
          <w:color w:val="000000"/>
          <w:sz w:val="26"/>
          <w:szCs w:val="26"/>
          <w:lang w:val="es-ES" w:eastAsia="en-US"/>
        </w:rPr>
        <w:t>pecluido</w:t>
      </w:r>
      <w:proofErr w:type="spellEnd"/>
      <w:r w:rsidRPr="00D56B12">
        <w:rPr>
          <w:rFonts w:ascii="Arial" w:eastAsiaTheme="minorHAnsi" w:hAnsi="Arial" w:cs="Arial"/>
          <w:bCs/>
          <w:color w:val="000000"/>
          <w:sz w:val="26"/>
          <w:szCs w:val="26"/>
          <w:lang w:val="es-ES" w:eastAsia="en-US"/>
        </w:rPr>
        <w:t xml:space="preserve"> el derecho que tuvo para hacerlo, ordenando turnar el presente asunto para el dictado de la resolución de la suspensión definitiva.</w:t>
      </w:r>
    </w:p>
    <w:p w14:paraId="611E0421" w14:textId="77777777" w:rsidR="00D56B12" w:rsidRPr="00D56B12" w:rsidRDefault="00D56B12" w:rsidP="00D56B12">
      <w:pPr>
        <w:widowControl w:val="0"/>
        <w:spacing w:after="0" w:line="360" w:lineRule="auto"/>
        <w:ind w:left="1065" w:right="18"/>
        <w:contextualSpacing/>
        <w:jc w:val="both"/>
        <w:rPr>
          <w:rFonts w:ascii="Arial" w:eastAsiaTheme="minorHAnsi" w:hAnsi="Arial" w:cs="Arial"/>
          <w:b/>
          <w:bCs/>
          <w:color w:val="000000"/>
          <w:sz w:val="26"/>
          <w:szCs w:val="26"/>
          <w:lang w:val="es-ES" w:eastAsia="en-US"/>
        </w:rPr>
      </w:pPr>
    </w:p>
    <w:p w14:paraId="57913F4D" w14:textId="77777777" w:rsidR="00D56B12" w:rsidRPr="00D56B12" w:rsidRDefault="00D56B12" w:rsidP="00D56B12">
      <w:pPr>
        <w:widowControl w:val="0"/>
        <w:numPr>
          <w:ilvl w:val="0"/>
          <w:numId w:val="13"/>
        </w:numPr>
        <w:spacing w:before="240" w:after="0" w:line="360" w:lineRule="auto"/>
        <w:ind w:left="1065" w:right="18"/>
        <w:contextualSpacing/>
        <w:jc w:val="both"/>
        <w:rPr>
          <w:rFonts w:ascii="Arial" w:eastAsiaTheme="minorHAnsi" w:hAnsi="Arial" w:cs="Arial"/>
          <w:bCs/>
          <w:color w:val="000000"/>
          <w:sz w:val="26"/>
          <w:szCs w:val="26"/>
          <w:lang w:val="es-ES" w:eastAsia="en-US"/>
        </w:rPr>
      </w:pPr>
      <w:r w:rsidRPr="00D56B12">
        <w:rPr>
          <w:rFonts w:ascii="Arial" w:eastAsiaTheme="minorHAnsi" w:hAnsi="Arial" w:cs="Arial"/>
          <w:bCs/>
          <w:color w:val="000000"/>
          <w:sz w:val="26"/>
          <w:szCs w:val="26"/>
          <w:lang w:val="es-ES" w:eastAsia="en-US"/>
        </w:rPr>
        <w:t xml:space="preserve">Con fecha once de febrero de dos mil veinte, la citada Sala dictó resolución interlocutoria en el cuaderno de suspensión derivado del expediente de nulidad </w:t>
      </w:r>
      <w:r w:rsidRPr="00D56B12">
        <w:rPr>
          <w:rFonts w:ascii="Arial" w:eastAsiaTheme="minorHAnsi" w:hAnsi="Arial" w:cs="Arial"/>
          <w:b/>
          <w:bCs/>
          <w:color w:val="000000"/>
          <w:sz w:val="26"/>
          <w:szCs w:val="26"/>
          <w:lang w:val="es-ES" w:eastAsia="en-US"/>
        </w:rPr>
        <w:t>0127/2019</w:t>
      </w:r>
      <w:r w:rsidRPr="00D56B12">
        <w:rPr>
          <w:rFonts w:ascii="Arial" w:eastAsiaTheme="minorHAnsi" w:hAnsi="Arial" w:cs="Arial"/>
          <w:bCs/>
          <w:color w:val="000000"/>
          <w:sz w:val="26"/>
          <w:szCs w:val="26"/>
          <w:lang w:val="es-ES" w:eastAsia="en-US"/>
        </w:rPr>
        <w:t xml:space="preserve"> de su índice, en la cual concedió la suspensión definitiva solicitada por el administrado. </w:t>
      </w:r>
    </w:p>
    <w:p w14:paraId="7A365A97" w14:textId="77777777" w:rsidR="00D56B12" w:rsidRPr="00D56B12" w:rsidRDefault="00D56B12" w:rsidP="00D56B12">
      <w:pPr>
        <w:widowControl w:val="0"/>
        <w:spacing w:after="0" w:line="360" w:lineRule="auto"/>
        <w:ind w:right="17"/>
        <w:jc w:val="both"/>
        <w:rPr>
          <w:rFonts w:ascii="Arial" w:eastAsiaTheme="minorHAnsi" w:hAnsi="Arial" w:cs="Arial"/>
          <w:bCs/>
          <w:color w:val="000000"/>
          <w:sz w:val="26"/>
          <w:szCs w:val="26"/>
          <w:lang w:val="es-ES" w:eastAsia="en-US"/>
        </w:rPr>
      </w:pPr>
    </w:p>
    <w:p w14:paraId="7A86E978" w14:textId="38A81000" w:rsidR="00D56B12" w:rsidRPr="00D56B12" w:rsidRDefault="00D56B12" w:rsidP="002D50AF">
      <w:pPr>
        <w:widowControl w:val="0"/>
        <w:spacing w:before="240" w:line="360" w:lineRule="auto"/>
        <w:ind w:right="18" w:firstLine="705"/>
        <w:contextualSpacing/>
        <w:jc w:val="both"/>
        <w:rPr>
          <w:rFonts w:ascii="Arial" w:eastAsia="Calibri" w:hAnsi="Arial" w:cs="Arial"/>
          <w:bCs/>
          <w:color w:val="000000"/>
          <w:sz w:val="26"/>
          <w:szCs w:val="26"/>
          <w:lang w:val="es-ES" w:eastAsia="en-US"/>
        </w:rPr>
      </w:pPr>
      <w:r w:rsidRPr="00D56B12">
        <w:rPr>
          <w:rFonts w:ascii="Arial" w:eastAsia="Calibri" w:hAnsi="Arial" w:cs="Arial"/>
          <w:b/>
          <w:bCs/>
          <w:color w:val="000000"/>
          <w:sz w:val="26"/>
          <w:szCs w:val="26"/>
          <w:lang w:val="es-ES" w:eastAsia="en-US"/>
        </w:rPr>
        <w:t xml:space="preserve">Ahora, </w:t>
      </w:r>
      <w:r w:rsidRPr="00D56B12">
        <w:rPr>
          <w:rFonts w:ascii="Arial" w:eastAsia="Calibri" w:hAnsi="Arial" w:cs="Arial"/>
          <w:bCs/>
          <w:color w:val="000000"/>
          <w:sz w:val="26"/>
          <w:szCs w:val="26"/>
          <w:lang w:val="es-ES" w:eastAsia="en-US"/>
        </w:rPr>
        <w:t xml:space="preserve">la suspensión constituye una medida cautelar procesal por la que se persigue que los efectos del acto demandado se paralicen </w:t>
      </w:r>
      <w:r w:rsidRPr="00D56B12">
        <w:rPr>
          <w:rFonts w:ascii="Arial" w:eastAsia="Calibri" w:hAnsi="Arial" w:cs="Arial"/>
          <w:bCs/>
          <w:i/>
          <w:color w:val="000000"/>
          <w:sz w:val="26"/>
          <w:szCs w:val="26"/>
          <w:lang w:val="es-ES" w:eastAsia="en-US"/>
        </w:rPr>
        <w:t xml:space="preserve">temporalmente </w:t>
      </w:r>
      <w:r w:rsidRPr="00D56B12">
        <w:rPr>
          <w:rFonts w:ascii="Arial" w:eastAsia="Calibri" w:hAnsi="Arial" w:cs="Arial"/>
          <w:bCs/>
          <w:color w:val="000000"/>
          <w:sz w:val="26"/>
          <w:szCs w:val="26"/>
          <w:lang w:val="es-ES" w:eastAsia="en-US"/>
        </w:rPr>
        <w:t xml:space="preserve">hasta en tanto se resuelva el fondo de la cuestión planteada al juzgador, con el objeto de evitar que la materia de la controversia quede sin materia y también para evitar daños irreparables o de difícil reparación al afectado. </w:t>
      </w:r>
      <w:r w:rsidR="00D511FD">
        <w:rPr>
          <w:rFonts w:ascii="Arial" w:eastAsia="Calibri" w:hAnsi="Arial" w:cs="Arial"/>
          <w:bCs/>
          <w:color w:val="000000"/>
          <w:sz w:val="26"/>
          <w:szCs w:val="26"/>
          <w:lang w:val="es-ES" w:eastAsia="en-US"/>
        </w:rPr>
        <w:t xml:space="preserve">- - - - - - - - - - - - - - - - - - - - - - - - - - - </w:t>
      </w:r>
    </w:p>
    <w:p w14:paraId="24B792F0" w14:textId="34F6792C" w:rsidR="00D56B12" w:rsidRPr="00D56B12" w:rsidRDefault="00D56B12" w:rsidP="00D56B12">
      <w:pPr>
        <w:widowControl w:val="0"/>
        <w:tabs>
          <w:tab w:val="left" w:pos="7938"/>
        </w:tabs>
        <w:spacing w:before="240" w:line="360" w:lineRule="auto"/>
        <w:ind w:right="18"/>
        <w:jc w:val="both"/>
        <w:rPr>
          <w:rFonts w:ascii="Arial" w:eastAsia="Calibri" w:hAnsi="Arial" w:cs="Arial"/>
          <w:bCs/>
          <w:color w:val="000000"/>
          <w:sz w:val="26"/>
          <w:szCs w:val="26"/>
          <w:lang w:val="es-ES" w:eastAsia="en-US"/>
        </w:rPr>
      </w:pPr>
      <w:r>
        <w:rPr>
          <w:rFonts w:ascii="Arial" w:eastAsia="Calibri" w:hAnsi="Arial" w:cs="Arial"/>
          <w:bCs/>
          <w:color w:val="000000"/>
          <w:sz w:val="26"/>
          <w:szCs w:val="26"/>
          <w:lang w:val="es-ES" w:eastAsia="en-US"/>
        </w:rPr>
        <w:t xml:space="preserve">        </w:t>
      </w:r>
      <w:r w:rsidRPr="00D56B12">
        <w:rPr>
          <w:rFonts w:ascii="Arial" w:eastAsia="Calibri" w:hAnsi="Arial" w:cs="Arial"/>
          <w:bCs/>
          <w:color w:val="000000"/>
          <w:sz w:val="26"/>
          <w:szCs w:val="26"/>
          <w:lang w:val="es-ES" w:eastAsia="en-US"/>
        </w:rPr>
        <w:t xml:space="preserve">En este sentido, si la Primera Instancia ya dictó la determinación que resuelve el fondo del asunto sometido a su jurisdicción (el </w:t>
      </w:r>
      <w:r w:rsidRPr="00D56B12">
        <w:rPr>
          <w:rFonts w:ascii="Arial" w:eastAsiaTheme="minorHAnsi" w:hAnsi="Arial" w:cs="Arial"/>
          <w:bCs/>
          <w:color w:val="000000"/>
          <w:sz w:val="26"/>
          <w:szCs w:val="26"/>
          <w:lang w:val="es-ES" w:eastAsia="en-US"/>
        </w:rPr>
        <w:t>once de febrero de dos mil veinte</w:t>
      </w:r>
      <w:r w:rsidRPr="00D56B12">
        <w:rPr>
          <w:rFonts w:ascii="Arial" w:eastAsia="Calibri" w:hAnsi="Arial" w:cs="Arial"/>
          <w:bCs/>
          <w:color w:val="000000"/>
          <w:sz w:val="26"/>
          <w:szCs w:val="26"/>
          <w:lang w:val="es-ES" w:eastAsia="en-US"/>
        </w:rPr>
        <w:t xml:space="preserve">) entonces los efectos temporales de la medida cautelar </w:t>
      </w:r>
      <w:r w:rsidRPr="00D56B12">
        <w:rPr>
          <w:rFonts w:ascii="Arial" w:eastAsia="Calibri" w:hAnsi="Arial" w:cs="Arial"/>
          <w:bCs/>
          <w:i/>
          <w:color w:val="000000"/>
          <w:sz w:val="26"/>
          <w:szCs w:val="26"/>
          <w:lang w:val="es-ES" w:eastAsia="en-US"/>
        </w:rPr>
        <w:t>suspensión provisional</w:t>
      </w:r>
      <w:r w:rsidRPr="00D56B12">
        <w:rPr>
          <w:rFonts w:ascii="Arial" w:eastAsia="Calibri" w:hAnsi="Arial" w:cs="Arial"/>
          <w:bCs/>
          <w:color w:val="000000"/>
          <w:sz w:val="26"/>
          <w:szCs w:val="26"/>
          <w:lang w:val="es-ES" w:eastAsia="en-US"/>
        </w:rPr>
        <w:t xml:space="preserve"> resultan infructuosos en esta instancia de la secuela procesal, al haberse emitido la resolución que resuelve la suspensión definitiva solicitada. </w:t>
      </w:r>
      <w:r w:rsidR="002D50AF">
        <w:rPr>
          <w:rFonts w:ascii="Arial" w:eastAsia="Calibri" w:hAnsi="Arial" w:cs="Arial"/>
          <w:bCs/>
          <w:color w:val="000000"/>
          <w:sz w:val="26"/>
          <w:szCs w:val="26"/>
          <w:lang w:val="es-ES" w:eastAsia="en-US"/>
        </w:rPr>
        <w:t>- - - - - - - - - - - - - - - - - - - - - - - - - - - - -</w:t>
      </w:r>
    </w:p>
    <w:p w14:paraId="318CBBDC" w14:textId="5946EDF6" w:rsidR="00D56B12" w:rsidRPr="00D56B12" w:rsidRDefault="00D56B12" w:rsidP="00D56B12">
      <w:pPr>
        <w:widowControl w:val="0"/>
        <w:tabs>
          <w:tab w:val="left" w:pos="7938"/>
        </w:tabs>
        <w:spacing w:before="240" w:line="360" w:lineRule="auto"/>
        <w:ind w:right="18"/>
        <w:jc w:val="both"/>
        <w:rPr>
          <w:rFonts w:ascii="Arial" w:eastAsia="Calibri" w:hAnsi="Arial" w:cs="Arial"/>
          <w:bCs/>
          <w:color w:val="000000"/>
          <w:sz w:val="26"/>
          <w:szCs w:val="26"/>
          <w:lang w:val="es-ES" w:eastAsia="en-US"/>
        </w:rPr>
      </w:pPr>
      <w:r>
        <w:rPr>
          <w:rFonts w:ascii="Arial" w:eastAsia="Calibri" w:hAnsi="Arial" w:cs="Arial"/>
          <w:bCs/>
          <w:color w:val="000000"/>
          <w:sz w:val="26"/>
          <w:szCs w:val="26"/>
          <w:lang w:val="es-ES" w:eastAsia="en-US"/>
        </w:rPr>
        <w:t xml:space="preserve">       </w:t>
      </w:r>
      <w:r w:rsidRPr="00D56B12">
        <w:rPr>
          <w:rFonts w:ascii="Arial" w:eastAsia="Calibri" w:hAnsi="Arial" w:cs="Arial"/>
          <w:bCs/>
          <w:color w:val="000000"/>
          <w:sz w:val="26"/>
          <w:szCs w:val="26"/>
          <w:lang w:val="es-ES" w:eastAsia="en-US"/>
        </w:rPr>
        <w:t xml:space="preserve">Por lo que se está, ante lo que se ha denominado cambio de situación jurídica pues las condiciones jurídicas que existían a la presentación de la demanda y la correspondiente solicitud de suspensión han cambiado y con ello, la presunta ilegalidad aducida en contra de la medida </w:t>
      </w:r>
      <w:proofErr w:type="spellStart"/>
      <w:r w:rsidRPr="00D56B12">
        <w:rPr>
          <w:rFonts w:ascii="Arial" w:eastAsia="Calibri" w:hAnsi="Arial" w:cs="Arial"/>
          <w:bCs/>
          <w:color w:val="000000"/>
          <w:sz w:val="26"/>
          <w:szCs w:val="26"/>
          <w:lang w:val="es-ES" w:eastAsia="en-US"/>
        </w:rPr>
        <w:t>suspensional</w:t>
      </w:r>
      <w:proofErr w:type="spellEnd"/>
      <w:r w:rsidRPr="00D56B12">
        <w:rPr>
          <w:rFonts w:ascii="Arial" w:eastAsia="Calibri" w:hAnsi="Arial" w:cs="Arial"/>
          <w:bCs/>
          <w:color w:val="000000"/>
          <w:sz w:val="26"/>
          <w:szCs w:val="26"/>
          <w:lang w:val="es-ES" w:eastAsia="en-US"/>
        </w:rPr>
        <w:t xml:space="preserve"> controvertida no surtirá sus efectos ni producirá algún perjuicio en la esfera jurídica del administrado.</w:t>
      </w:r>
      <w:r w:rsidR="00D511FD">
        <w:rPr>
          <w:rFonts w:ascii="Arial" w:eastAsia="Calibri" w:hAnsi="Arial" w:cs="Arial"/>
          <w:bCs/>
          <w:color w:val="000000"/>
          <w:sz w:val="26"/>
          <w:szCs w:val="26"/>
          <w:lang w:val="es-ES" w:eastAsia="en-US"/>
        </w:rPr>
        <w:t xml:space="preserve"> - - - - - - </w:t>
      </w:r>
    </w:p>
    <w:p w14:paraId="7F0FA303" w14:textId="1035D9FA" w:rsidR="00D56B12" w:rsidRPr="00D56B12" w:rsidRDefault="00D56B12" w:rsidP="00D56B12">
      <w:pPr>
        <w:widowControl w:val="0"/>
        <w:tabs>
          <w:tab w:val="left" w:pos="7938"/>
        </w:tabs>
        <w:spacing w:before="240" w:line="360" w:lineRule="auto"/>
        <w:ind w:right="18"/>
        <w:jc w:val="both"/>
        <w:rPr>
          <w:rFonts w:ascii="Arial" w:eastAsia="Calibri" w:hAnsi="Arial" w:cs="Arial"/>
          <w:bCs/>
          <w:color w:val="000000"/>
          <w:sz w:val="26"/>
          <w:szCs w:val="26"/>
          <w:lang w:val="es-ES" w:eastAsia="en-US"/>
        </w:rPr>
      </w:pPr>
      <w:r>
        <w:rPr>
          <w:rFonts w:ascii="Arial" w:eastAsia="Calibri" w:hAnsi="Arial" w:cs="Arial"/>
          <w:bCs/>
          <w:sz w:val="26"/>
          <w:szCs w:val="26"/>
          <w:lang w:val="es-ES" w:eastAsia="en-US"/>
        </w:rPr>
        <w:lastRenderedPageBreak/>
        <w:t xml:space="preserve">       </w:t>
      </w:r>
      <w:r w:rsidRPr="00D56B12">
        <w:rPr>
          <w:rFonts w:ascii="Arial" w:eastAsia="Calibri" w:hAnsi="Arial" w:cs="Arial"/>
          <w:bCs/>
          <w:sz w:val="26"/>
          <w:szCs w:val="26"/>
          <w:lang w:val="es-ES" w:eastAsia="en-US"/>
        </w:rPr>
        <w:t xml:space="preserve">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 </w:t>
      </w:r>
      <w:r w:rsidR="002D50AF">
        <w:rPr>
          <w:rFonts w:ascii="Arial" w:eastAsia="Calibri" w:hAnsi="Arial" w:cs="Arial"/>
          <w:bCs/>
          <w:sz w:val="26"/>
          <w:szCs w:val="26"/>
          <w:lang w:val="es-ES" w:eastAsia="en-US"/>
        </w:rPr>
        <w:t xml:space="preserve">- - - - - - - - - - - - - - - - - - - - - - - - - - - - - - - - - - - - - - - </w:t>
      </w:r>
    </w:p>
    <w:p w14:paraId="15ED9DDB" w14:textId="70B917E7" w:rsidR="00D56B12" w:rsidRPr="00D56B12" w:rsidRDefault="00D56B12" w:rsidP="002D50AF">
      <w:pPr>
        <w:spacing w:before="240" w:line="240" w:lineRule="auto"/>
        <w:ind w:left="709" w:right="1183"/>
        <w:jc w:val="both"/>
        <w:rPr>
          <w:rFonts w:ascii="Arial" w:eastAsia="Calibri" w:hAnsi="Arial" w:cs="Arial"/>
          <w:b/>
          <w:bCs/>
          <w:lang w:val="es-ES" w:eastAsia="en-US"/>
        </w:rPr>
      </w:pPr>
      <w:r w:rsidRPr="00D56B12">
        <w:rPr>
          <w:rFonts w:ascii="Arial" w:eastAsia="Calibri" w:hAnsi="Arial" w:cs="Arial"/>
          <w:b/>
          <w:bCs/>
          <w:i/>
          <w:lang w:val="es-ES" w:eastAsia="en-US"/>
        </w:rPr>
        <w:t xml:space="preserve">“CAMBIO DE SITUACIÓN JURÍDICA. REGLA GENERAL. </w:t>
      </w:r>
      <w:r w:rsidRPr="00D56B12">
        <w:rPr>
          <w:rFonts w:ascii="Arial" w:eastAsia="Calibri" w:hAnsi="Arial" w:cs="Arial"/>
          <w:bCs/>
          <w:i/>
          <w:lang w:val="es-ES" w:eastAsia="en-US"/>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57CDA676" w14:textId="433D49AF" w:rsidR="00D56B12" w:rsidRPr="00D56B12" w:rsidRDefault="00D56B12" w:rsidP="00D56B12">
      <w:pPr>
        <w:spacing w:before="240" w:line="360" w:lineRule="auto"/>
        <w:ind w:firstLine="708"/>
        <w:jc w:val="both"/>
        <w:rPr>
          <w:rFonts w:ascii="Arial" w:eastAsia="Calibri" w:hAnsi="Arial" w:cs="Arial"/>
          <w:bCs/>
          <w:sz w:val="26"/>
          <w:szCs w:val="26"/>
          <w:lang w:val="es-ES" w:eastAsia="en-US"/>
        </w:rPr>
      </w:pPr>
      <w:r w:rsidRPr="00D56B12">
        <w:rPr>
          <w:rFonts w:ascii="Arial" w:eastAsia="Calibri" w:hAnsi="Arial" w:cs="Arial"/>
          <w:b/>
          <w:bCs/>
          <w:sz w:val="26"/>
          <w:szCs w:val="26"/>
          <w:lang w:val="es-ES" w:eastAsia="en-US"/>
        </w:rPr>
        <w:t xml:space="preserve">Por estas razones, </w:t>
      </w:r>
      <w:r w:rsidRPr="00D56B12">
        <w:rPr>
          <w:rFonts w:ascii="Arial" w:eastAsia="Calibri" w:hAnsi="Arial" w:cs="Arial"/>
          <w:bCs/>
          <w:sz w:val="26"/>
          <w:szCs w:val="26"/>
          <w:lang w:val="es-ES" w:eastAsia="en-US"/>
        </w:rPr>
        <w:t xml:space="preserve">como se apuntó en líneas precedentes, al haberse pronunciado la suspensión definitiva debe decretarse sin materia el presente medio de defensa, virtud que la paralización o continuación de sus efectos del acto impugnado ya no depende de la medida </w:t>
      </w:r>
      <w:proofErr w:type="spellStart"/>
      <w:r w:rsidRPr="00D56B12">
        <w:rPr>
          <w:rFonts w:ascii="Arial" w:eastAsia="Calibri" w:hAnsi="Arial" w:cs="Arial"/>
          <w:bCs/>
          <w:sz w:val="26"/>
          <w:szCs w:val="26"/>
          <w:lang w:val="es-ES" w:eastAsia="en-US"/>
        </w:rPr>
        <w:t>suspensional</w:t>
      </w:r>
      <w:proofErr w:type="spellEnd"/>
      <w:r w:rsidRPr="00D56B12">
        <w:rPr>
          <w:rFonts w:ascii="Arial" w:eastAsia="Calibri" w:hAnsi="Arial" w:cs="Arial"/>
          <w:bCs/>
          <w:sz w:val="26"/>
          <w:szCs w:val="26"/>
          <w:lang w:val="es-ES" w:eastAsia="en-US"/>
        </w:rPr>
        <w:t xml:space="preserve"> solicitada sino de la resolución definitiva que no es materia del presente medio de defensa, por lo que no puede afectarse al resolverse este recurso.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r w:rsidR="002D50AF">
        <w:rPr>
          <w:rFonts w:ascii="Arial" w:eastAsia="Calibri" w:hAnsi="Arial" w:cs="Arial"/>
          <w:bCs/>
          <w:sz w:val="26"/>
          <w:szCs w:val="26"/>
          <w:lang w:val="es-ES" w:eastAsia="en-US"/>
        </w:rPr>
        <w:t xml:space="preserve"> - - - - - - - - - - - - - - - </w:t>
      </w:r>
    </w:p>
    <w:p w14:paraId="0777D6C9" w14:textId="6FF3D195" w:rsidR="00D56B12" w:rsidRPr="00D56B12" w:rsidRDefault="00D56B12" w:rsidP="00D56B12">
      <w:pPr>
        <w:spacing w:before="240" w:line="360" w:lineRule="auto"/>
        <w:ind w:left="851" w:right="899"/>
        <w:jc w:val="both"/>
        <w:rPr>
          <w:rFonts w:ascii="Arial" w:eastAsia="Calibri" w:hAnsi="Arial" w:cs="Arial"/>
          <w:bCs/>
          <w:i/>
          <w:lang w:val="es-ES" w:eastAsia="en-US"/>
        </w:rPr>
      </w:pPr>
      <w:r w:rsidRPr="00D56B12">
        <w:rPr>
          <w:rFonts w:ascii="Arial" w:eastAsia="Calibri" w:hAnsi="Arial" w:cs="Arial"/>
          <w:bCs/>
          <w:i/>
          <w:lang w:val="es-ES" w:eastAsia="en-US"/>
        </w:rPr>
        <w:t>“</w:t>
      </w:r>
      <w:r w:rsidRPr="00D56B12">
        <w:rPr>
          <w:rFonts w:ascii="Arial" w:eastAsia="Calibri" w:hAnsi="Arial" w:cs="Arial"/>
          <w:b/>
          <w:bCs/>
          <w:i/>
          <w:lang w:val="es-ES" w:eastAsia="en-US"/>
        </w:rPr>
        <w:t>QUEJA SIN MATERIA</w:t>
      </w:r>
      <w:r w:rsidRPr="00D56B12">
        <w:rPr>
          <w:rFonts w:ascii="Arial" w:eastAsia="Calibri" w:hAnsi="Arial" w:cs="Arial"/>
          <w:bCs/>
          <w:i/>
          <w:lang w:val="es-ES" w:eastAsia="en-US"/>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D56B12">
        <w:rPr>
          <w:rFonts w:ascii="Arial" w:eastAsia="Calibri" w:hAnsi="Arial" w:cs="Arial"/>
          <w:bCs/>
          <w:i/>
          <w:lang w:val="es-ES" w:eastAsia="en-US"/>
        </w:rPr>
        <w:t>suspensional</w:t>
      </w:r>
      <w:proofErr w:type="spellEnd"/>
      <w:r w:rsidRPr="00D56B12">
        <w:rPr>
          <w:rFonts w:ascii="Arial" w:eastAsia="Calibri" w:hAnsi="Arial" w:cs="Arial"/>
          <w:bCs/>
          <w:i/>
          <w:lang w:val="es-ES" w:eastAsia="en-US"/>
        </w:rPr>
        <w:t xml:space="preserve"> ya no depende del auto de </w:t>
      </w:r>
      <w:r w:rsidRPr="00D56B12">
        <w:rPr>
          <w:rFonts w:ascii="Arial" w:eastAsia="Calibri" w:hAnsi="Arial" w:cs="Arial"/>
          <w:bCs/>
          <w:i/>
          <w:lang w:val="es-ES" w:eastAsia="en-US"/>
        </w:rPr>
        <w:lastRenderedPageBreak/>
        <w:t>suspensión provisional, sino de la citada interlocutoria y ésta no es materia del recurso de queja, por lo cual no puede afectarse al resolver el mismo.”</w:t>
      </w:r>
    </w:p>
    <w:p w14:paraId="1B778F4D" w14:textId="08F81D7E" w:rsidR="00D56B12" w:rsidRPr="00D56B12" w:rsidRDefault="00D56B12" w:rsidP="00D56B12">
      <w:pPr>
        <w:spacing w:before="240" w:line="360" w:lineRule="auto"/>
        <w:ind w:right="49" w:firstLine="708"/>
        <w:jc w:val="both"/>
        <w:rPr>
          <w:rFonts w:ascii="Arial" w:eastAsia="Calibri" w:hAnsi="Arial" w:cs="Arial"/>
          <w:bCs/>
          <w:sz w:val="26"/>
          <w:szCs w:val="26"/>
          <w:lang w:val="es-ES" w:eastAsia="en-US"/>
        </w:rPr>
      </w:pPr>
      <w:r w:rsidRPr="00D56B12">
        <w:rPr>
          <w:rFonts w:ascii="Arial" w:eastAsia="Calibri" w:hAnsi="Arial" w:cs="Arial"/>
          <w:bCs/>
          <w:sz w:val="26"/>
          <w:szCs w:val="26"/>
          <w:lang w:val="es-ES" w:eastAsia="en-US"/>
        </w:rPr>
        <w:t xml:space="preserve">De esta manera, la nueva situación jurídica bajo la cual se rigen ahora las partes, constituye un obstáculo respecto al análisis de la legalidad o ilegalidad de la determinación que negó la suspensión provisional. </w:t>
      </w:r>
      <w:r w:rsidR="002D50AF">
        <w:rPr>
          <w:rFonts w:ascii="Arial" w:eastAsia="Calibri" w:hAnsi="Arial" w:cs="Arial"/>
          <w:bCs/>
          <w:sz w:val="26"/>
          <w:szCs w:val="26"/>
          <w:lang w:val="es-ES" w:eastAsia="en-US"/>
        </w:rPr>
        <w:t xml:space="preserve">- - - - - - - - - - - - - - - - - - - - - - - - - - - - - - - - - - - - - - - - - - - </w:t>
      </w:r>
    </w:p>
    <w:p w14:paraId="54C12BE0" w14:textId="72187228" w:rsidR="00D56B12" w:rsidRPr="00D56B12" w:rsidRDefault="00D56B12" w:rsidP="00D56B12">
      <w:pPr>
        <w:spacing w:before="240" w:line="360" w:lineRule="auto"/>
        <w:ind w:right="49" w:firstLine="708"/>
        <w:jc w:val="both"/>
        <w:rPr>
          <w:rFonts w:ascii="Arial" w:eastAsiaTheme="minorHAnsi" w:hAnsi="Arial" w:cs="Arial"/>
          <w:bCs/>
          <w:sz w:val="26"/>
          <w:szCs w:val="26"/>
          <w:lang w:val="es-ES" w:eastAsia="en-US"/>
        </w:rPr>
      </w:pPr>
      <w:r w:rsidRPr="00D56B12">
        <w:rPr>
          <w:rFonts w:ascii="Arial" w:eastAsia="Calibri" w:hAnsi="Arial" w:cs="Arial"/>
          <w:bCs/>
          <w:sz w:val="26"/>
          <w:szCs w:val="26"/>
          <w:lang w:val="es-ES" w:eastAsia="en-US"/>
        </w:rPr>
        <w:t xml:space="preserve">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trámite de la medida cautelar; pues la suspensión, se reitera, </w:t>
      </w:r>
      <w:r w:rsidRPr="00D56B12">
        <w:rPr>
          <w:rFonts w:ascii="Arial" w:eastAsiaTheme="minorHAnsi" w:hAnsi="Arial" w:cs="Arial"/>
          <w:bCs/>
          <w:sz w:val="26"/>
          <w:szCs w:val="26"/>
          <w:lang w:val="es-ES" w:eastAsia="en-US"/>
        </w:rPr>
        <w:t>tiene el carácter de temporal hasta en tanto se dicte la resolución que decida en definitiva la suspensión solicitada.</w:t>
      </w:r>
      <w:r w:rsidR="002D50AF">
        <w:rPr>
          <w:rFonts w:ascii="Arial" w:eastAsiaTheme="minorHAnsi" w:hAnsi="Arial" w:cs="Arial"/>
          <w:bCs/>
          <w:sz w:val="26"/>
          <w:szCs w:val="26"/>
          <w:lang w:val="es-ES" w:eastAsia="en-US"/>
        </w:rPr>
        <w:t xml:space="preserve"> - - - </w:t>
      </w:r>
    </w:p>
    <w:p w14:paraId="11BD2557" w14:textId="09BC4174" w:rsidR="00D56B12" w:rsidRPr="00D56B12" w:rsidRDefault="00D56B12" w:rsidP="00D56B12">
      <w:pPr>
        <w:spacing w:before="240" w:line="360" w:lineRule="auto"/>
        <w:ind w:right="49" w:firstLine="708"/>
        <w:jc w:val="both"/>
        <w:rPr>
          <w:rFonts w:ascii="Arial" w:eastAsia="Calibri" w:hAnsi="Arial" w:cs="Arial"/>
          <w:sz w:val="26"/>
          <w:szCs w:val="26"/>
          <w:lang w:val="es-ES" w:eastAsia="en-US"/>
        </w:rPr>
      </w:pPr>
      <w:r w:rsidRPr="00D56B12">
        <w:rPr>
          <w:rFonts w:ascii="Arial" w:eastAsia="Calibri" w:hAnsi="Arial" w:cs="Arial"/>
          <w:bCs/>
          <w:sz w:val="26"/>
          <w:szCs w:val="26"/>
          <w:lang w:val="es-ES" w:eastAsia="en-US"/>
        </w:rPr>
        <w:t xml:space="preserve">En consecuencia, se </w:t>
      </w:r>
      <w:r w:rsidRPr="00D56B12">
        <w:rPr>
          <w:rFonts w:ascii="Arial" w:eastAsia="Calibri" w:hAnsi="Arial" w:cs="Arial"/>
          <w:b/>
          <w:bCs/>
          <w:sz w:val="26"/>
          <w:szCs w:val="26"/>
          <w:lang w:val="es-ES" w:eastAsia="en-US"/>
        </w:rPr>
        <w:t xml:space="preserve">DEJA SIN MATERIA </w:t>
      </w:r>
      <w:r w:rsidRPr="00D56B12">
        <w:rPr>
          <w:rFonts w:ascii="Arial" w:eastAsia="Calibri" w:hAnsi="Arial" w:cs="Arial"/>
          <w:bCs/>
          <w:sz w:val="26"/>
          <w:szCs w:val="26"/>
          <w:lang w:val="es-ES" w:eastAsia="en-US"/>
        </w:rPr>
        <w:t xml:space="preserve">el presente recurso de revisión y </w:t>
      </w:r>
      <w:r w:rsidRPr="00D56B12">
        <w:rPr>
          <w:rFonts w:ascii="Arial" w:eastAsia="Calibri" w:hAnsi="Arial" w:cs="Arial"/>
          <w:sz w:val="26"/>
          <w:szCs w:val="26"/>
          <w:lang w:val="es-ES" w:eastAsia="en-US"/>
        </w:rPr>
        <w:t xml:space="preserve">con fundamento en los artículos 237 y 238 de la Ley de Procedimiento y Justicia Administrativa para el Estado de Oaxaca, se: </w:t>
      </w:r>
      <w:r w:rsidR="002D50AF">
        <w:rPr>
          <w:rFonts w:ascii="Arial" w:eastAsia="Calibri" w:hAnsi="Arial" w:cs="Arial"/>
          <w:sz w:val="26"/>
          <w:szCs w:val="26"/>
          <w:lang w:val="es-ES" w:eastAsia="en-US"/>
        </w:rPr>
        <w:t xml:space="preserve">- </w:t>
      </w:r>
    </w:p>
    <w:p w14:paraId="204E42D7" w14:textId="77777777" w:rsidR="00D56B12" w:rsidRPr="00D56B12" w:rsidRDefault="00D56B12" w:rsidP="00D56B12">
      <w:pPr>
        <w:spacing w:before="240" w:line="360" w:lineRule="auto"/>
        <w:ind w:right="49"/>
        <w:jc w:val="center"/>
        <w:rPr>
          <w:rFonts w:ascii="Arial" w:eastAsia="Calibri" w:hAnsi="Arial" w:cs="Arial"/>
          <w:b/>
          <w:bCs/>
          <w:sz w:val="26"/>
          <w:szCs w:val="26"/>
          <w:lang w:val="es-ES" w:eastAsia="en-US"/>
        </w:rPr>
      </w:pPr>
      <w:r w:rsidRPr="00D56B12">
        <w:rPr>
          <w:rFonts w:ascii="Arial" w:eastAsia="Calibri" w:hAnsi="Arial" w:cs="Arial"/>
          <w:b/>
          <w:bCs/>
          <w:sz w:val="26"/>
          <w:szCs w:val="26"/>
          <w:lang w:val="es-ES" w:eastAsia="en-US"/>
        </w:rPr>
        <w:t>R E S U E L V E:</w:t>
      </w:r>
    </w:p>
    <w:p w14:paraId="7566E979" w14:textId="716444FD" w:rsidR="00D56B12" w:rsidRPr="00D56B12" w:rsidRDefault="00D56B12" w:rsidP="00D56B12">
      <w:pPr>
        <w:spacing w:before="240" w:line="360" w:lineRule="auto"/>
        <w:ind w:right="49" w:firstLine="708"/>
        <w:jc w:val="both"/>
        <w:rPr>
          <w:rFonts w:ascii="Arial" w:eastAsia="Calibri" w:hAnsi="Arial" w:cs="Arial"/>
          <w:sz w:val="26"/>
          <w:szCs w:val="26"/>
          <w:lang w:val="es-ES" w:eastAsia="en-US"/>
        </w:rPr>
      </w:pPr>
      <w:r w:rsidRPr="00D56B12">
        <w:rPr>
          <w:rFonts w:ascii="Arial" w:eastAsia="Calibri" w:hAnsi="Arial" w:cs="Arial"/>
          <w:b/>
          <w:sz w:val="26"/>
          <w:szCs w:val="26"/>
          <w:lang w:val="es-ES" w:eastAsia="en-US"/>
        </w:rPr>
        <w:t>PRIMERO</w:t>
      </w:r>
      <w:r w:rsidRPr="00D56B12">
        <w:rPr>
          <w:rFonts w:ascii="Arial" w:eastAsia="Calibri" w:hAnsi="Arial" w:cs="Arial"/>
          <w:sz w:val="26"/>
          <w:szCs w:val="26"/>
          <w:lang w:val="es-ES" w:eastAsia="en-US"/>
        </w:rPr>
        <w:t xml:space="preserve">. Se </w:t>
      </w:r>
      <w:r w:rsidRPr="00D56B12">
        <w:rPr>
          <w:rFonts w:ascii="Arial" w:eastAsia="Calibri" w:hAnsi="Arial" w:cs="Arial"/>
          <w:b/>
          <w:sz w:val="26"/>
          <w:szCs w:val="26"/>
          <w:lang w:val="es-ES" w:eastAsia="en-US"/>
        </w:rPr>
        <w:t xml:space="preserve">DEJA SIN MATERIA </w:t>
      </w:r>
      <w:r w:rsidRPr="00D56B12">
        <w:rPr>
          <w:rFonts w:ascii="Arial" w:eastAsia="Calibri" w:hAnsi="Arial" w:cs="Arial"/>
          <w:sz w:val="26"/>
          <w:szCs w:val="26"/>
          <w:lang w:val="es-ES" w:eastAsia="en-US"/>
        </w:rPr>
        <w:t xml:space="preserve">este recurso de revisión, </w:t>
      </w:r>
      <w:r w:rsidRPr="00D56B12">
        <w:rPr>
          <w:rFonts w:ascii="Arial" w:eastAsia="Calibri" w:hAnsi="Arial" w:cs="Arial"/>
          <w:sz w:val="26"/>
          <w:szCs w:val="26"/>
          <w:lang w:val="es-ES" w:eastAsia="es-ES"/>
        </w:rPr>
        <w:t>por las razones expuestas en el considerando que antecede</w:t>
      </w:r>
      <w:r w:rsidRPr="00D56B12">
        <w:rPr>
          <w:rFonts w:ascii="Arial" w:eastAsia="Calibri" w:hAnsi="Arial" w:cs="Arial"/>
          <w:sz w:val="26"/>
          <w:szCs w:val="26"/>
          <w:lang w:val="es-ES" w:eastAsia="en-US"/>
        </w:rPr>
        <w:t xml:space="preserve">. </w:t>
      </w:r>
      <w:r w:rsidR="00D511FD">
        <w:rPr>
          <w:rFonts w:ascii="Arial" w:eastAsia="Calibri" w:hAnsi="Arial" w:cs="Arial"/>
          <w:sz w:val="26"/>
          <w:szCs w:val="26"/>
          <w:lang w:val="es-ES" w:eastAsia="en-US"/>
        </w:rPr>
        <w:t xml:space="preserve">- - - - - - - - - - </w:t>
      </w:r>
    </w:p>
    <w:p w14:paraId="0817D014" w14:textId="7A8FC56A" w:rsidR="00D56B12" w:rsidRPr="00D56B12" w:rsidRDefault="00D56B12" w:rsidP="00D56B12">
      <w:pPr>
        <w:spacing w:before="240" w:line="360" w:lineRule="auto"/>
        <w:ind w:right="49" w:firstLine="708"/>
        <w:jc w:val="both"/>
        <w:rPr>
          <w:rFonts w:ascii="Arial" w:eastAsia="Calibri" w:hAnsi="Arial" w:cs="Arial"/>
          <w:bCs/>
          <w:sz w:val="26"/>
          <w:szCs w:val="26"/>
          <w:lang w:eastAsia="en-US"/>
        </w:rPr>
      </w:pPr>
      <w:r w:rsidRPr="00D56B12">
        <w:rPr>
          <w:rFonts w:ascii="Arial" w:eastAsia="Calibri" w:hAnsi="Arial" w:cs="Arial"/>
          <w:b/>
          <w:sz w:val="26"/>
          <w:szCs w:val="26"/>
          <w:lang w:val="es-ES" w:eastAsia="en-US"/>
        </w:rPr>
        <w:t>SEGUNDO</w:t>
      </w:r>
      <w:r w:rsidRPr="00D56B12">
        <w:rPr>
          <w:rFonts w:ascii="Arial" w:eastAsia="Calibri" w:hAnsi="Arial" w:cs="Arial"/>
          <w:sz w:val="26"/>
          <w:szCs w:val="26"/>
          <w:lang w:val="es-ES" w:eastAsia="en-US"/>
        </w:rPr>
        <w:t xml:space="preserve">. </w:t>
      </w:r>
      <w:r w:rsidRPr="00D56B12">
        <w:rPr>
          <w:rFonts w:ascii="Arial" w:eastAsia="Calibri" w:hAnsi="Arial" w:cs="Arial"/>
          <w:b/>
          <w:sz w:val="26"/>
          <w:szCs w:val="26"/>
          <w:lang w:val="es-ES" w:eastAsia="en-US"/>
        </w:rPr>
        <w:t>NOTIFÍQUESE Y CÚMPLASE,</w:t>
      </w:r>
      <w:r w:rsidRPr="00D56B12">
        <w:rPr>
          <w:rFonts w:ascii="Arial" w:eastAsia="Calibri" w:hAnsi="Arial" w:cs="Arial"/>
          <w:sz w:val="26"/>
          <w:szCs w:val="26"/>
          <w:lang w:val="es-ES" w:eastAsia="en-US"/>
        </w:rPr>
        <w:t xml:space="preserve"> con copia certificada de la presente resolución, vuelvan las constancias remitidas a la Tercera Sala Unitaria de Primera Instancia </w:t>
      </w:r>
      <w:r w:rsidRPr="00D56B12">
        <w:rPr>
          <w:rFonts w:ascii="Arial" w:eastAsia="Calibri" w:hAnsi="Arial" w:cs="Arial"/>
          <w:bCs/>
          <w:sz w:val="26"/>
          <w:szCs w:val="26"/>
          <w:lang w:eastAsia="en-US"/>
        </w:rPr>
        <w:t xml:space="preserve">de este Tribunal, y en su oportunidad archívese el cuaderno de revisión como asunto concluido. </w:t>
      </w:r>
      <w:r w:rsidR="00D511FD">
        <w:rPr>
          <w:rFonts w:ascii="Arial" w:eastAsia="Calibri" w:hAnsi="Arial" w:cs="Arial"/>
          <w:bCs/>
          <w:sz w:val="26"/>
          <w:szCs w:val="26"/>
          <w:lang w:eastAsia="en-US"/>
        </w:rPr>
        <w:t xml:space="preserve">- - - - - - - - - </w:t>
      </w:r>
    </w:p>
    <w:p w14:paraId="42FE4E06" w14:textId="574199D0" w:rsidR="00281E8B" w:rsidRDefault="00D56B12" w:rsidP="00281E8B">
      <w:pPr>
        <w:spacing w:before="240" w:line="360" w:lineRule="auto"/>
        <w:ind w:firstLine="708"/>
        <w:jc w:val="both"/>
        <w:rPr>
          <w:rFonts w:ascii="Arial" w:hAnsi="Arial" w:cs="Arial"/>
          <w:sz w:val="26"/>
          <w:szCs w:val="26"/>
        </w:rPr>
      </w:pPr>
      <w:r w:rsidRPr="00D56B12">
        <w:rPr>
          <w:rFonts w:ascii="Arial" w:eastAsia="Calibri" w:hAnsi="Arial" w:cs="Arial"/>
          <w:bCs/>
          <w:sz w:val="26"/>
          <w:szCs w:val="26"/>
          <w:lang w:eastAsia="en-US"/>
        </w:rPr>
        <w:t xml:space="preserve"> </w:t>
      </w:r>
      <w:r w:rsidR="00281E8B">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r w:rsidR="00D511FD">
        <w:rPr>
          <w:rFonts w:ascii="Arial" w:hAnsi="Arial" w:cs="Arial"/>
          <w:sz w:val="26"/>
          <w:szCs w:val="26"/>
        </w:rPr>
        <w:t>- - - - - - - -</w:t>
      </w:r>
    </w:p>
    <w:p w14:paraId="310402C3" w14:textId="77777777" w:rsidR="00281E8B" w:rsidRDefault="00281E8B" w:rsidP="00281E8B">
      <w:pPr>
        <w:spacing w:before="240" w:line="360" w:lineRule="auto"/>
        <w:jc w:val="both"/>
        <w:rPr>
          <w:rFonts w:ascii="Arial" w:hAnsi="Arial" w:cs="Arial"/>
          <w:sz w:val="26"/>
          <w:szCs w:val="26"/>
        </w:rPr>
      </w:pPr>
    </w:p>
    <w:p w14:paraId="01EAD0BB" w14:textId="77777777" w:rsidR="00281E8B" w:rsidRDefault="00281E8B" w:rsidP="00281E8B">
      <w:pPr>
        <w:spacing w:before="240" w:line="360" w:lineRule="auto"/>
        <w:ind w:firstLine="708"/>
        <w:jc w:val="both"/>
        <w:rPr>
          <w:rFonts w:ascii="Arial" w:hAnsi="Arial" w:cs="Arial"/>
          <w:sz w:val="26"/>
          <w:szCs w:val="26"/>
        </w:rPr>
      </w:pPr>
    </w:p>
    <w:p w14:paraId="285639E7" w14:textId="77777777" w:rsidR="00281E8B" w:rsidRDefault="00281E8B" w:rsidP="00281E8B">
      <w:pPr>
        <w:spacing w:before="240" w:line="360" w:lineRule="auto"/>
        <w:ind w:firstLine="708"/>
        <w:jc w:val="both"/>
        <w:rPr>
          <w:rFonts w:ascii="Arial" w:hAnsi="Arial" w:cs="Arial"/>
          <w:sz w:val="26"/>
          <w:szCs w:val="26"/>
        </w:rPr>
      </w:pPr>
    </w:p>
    <w:p w14:paraId="0EF80D98" w14:textId="77777777" w:rsidR="00281E8B" w:rsidRDefault="00281E8B" w:rsidP="00281E8B">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D2E2CF3" w14:textId="77777777" w:rsidR="00281E8B" w:rsidRDefault="00281E8B" w:rsidP="00281E8B">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AA15AA9" w14:textId="77777777" w:rsidR="00D511FD" w:rsidRDefault="00D511FD" w:rsidP="00281E8B">
      <w:pPr>
        <w:tabs>
          <w:tab w:val="left" w:pos="1680"/>
          <w:tab w:val="center" w:pos="4277"/>
        </w:tabs>
        <w:spacing w:after="0" w:line="240" w:lineRule="auto"/>
        <w:jc w:val="center"/>
        <w:rPr>
          <w:rFonts w:ascii="Arial" w:hAnsi="Arial" w:cs="Arial"/>
          <w:b/>
          <w:bCs/>
          <w:sz w:val="14"/>
          <w:szCs w:val="14"/>
        </w:rPr>
      </w:pPr>
    </w:p>
    <w:p w14:paraId="4F7F50FA" w14:textId="4D11B032" w:rsidR="00281E8B" w:rsidRPr="00D511FD" w:rsidRDefault="00D511FD" w:rsidP="00281E8B">
      <w:pPr>
        <w:tabs>
          <w:tab w:val="left" w:pos="1680"/>
          <w:tab w:val="center" w:pos="4277"/>
        </w:tabs>
        <w:spacing w:after="0" w:line="240" w:lineRule="auto"/>
        <w:jc w:val="center"/>
        <w:rPr>
          <w:rFonts w:ascii="Arial" w:hAnsi="Arial" w:cs="Arial"/>
          <w:b/>
          <w:bCs/>
          <w:sz w:val="14"/>
          <w:szCs w:val="14"/>
        </w:rPr>
      </w:pPr>
      <w:r w:rsidRPr="00D511FD">
        <w:rPr>
          <w:rFonts w:ascii="Arial" w:hAnsi="Arial" w:cs="Arial"/>
          <w:b/>
          <w:bCs/>
          <w:sz w:val="14"/>
          <w:szCs w:val="14"/>
        </w:rPr>
        <w:t>LAS PRESENTES FIRMAS CORRRESPONDEN AL RECURSO DE REVISIÓN 415/2019</w:t>
      </w:r>
    </w:p>
    <w:p w14:paraId="62525378" w14:textId="77777777" w:rsidR="00281E8B" w:rsidRDefault="00281E8B" w:rsidP="00281E8B">
      <w:pPr>
        <w:tabs>
          <w:tab w:val="left" w:pos="1680"/>
          <w:tab w:val="center" w:pos="4277"/>
        </w:tabs>
        <w:spacing w:after="0" w:line="240" w:lineRule="auto"/>
        <w:jc w:val="center"/>
        <w:rPr>
          <w:rFonts w:ascii="Arial" w:hAnsi="Arial" w:cs="Arial"/>
          <w:sz w:val="26"/>
          <w:szCs w:val="26"/>
        </w:rPr>
      </w:pPr>
    </w:p>
    <w:p w14:paraId="0B591BD5" w14:textId="77777777" w:rsidR="00281E8B" w:rsidRDefault="00281E8B" w:rsidP="00281E8B">
      <w:pPr>
        <w:tabs>
          <w:tab w:val="left" w:pos="1680"/>
          <w:tab w:val="center" w:pos="4277"/>
        </w:tabs>
        <w:spacing w:after="0" w:line="240" w:lineRule="auto"/>
        <w:jc w:val="center"/>
        <w:rPr>
          <w:rFonts w:ascii="Arial" w:hAnsi="Arial" w:cs="Arial"/>
          <w:sz w:val="26"/>
          <w:szCs w:val="26"/>
        </w:rPr>
      </w:pPr>
    </w:p>
    <w:p w14:paraId="748D69CE" w14:textId="77777777" w:rsidR="00281E8B" w:rsidRDefault="00281E8B" w:rsidP="00281E8B">
      <w:pPr>
        <w:tabs>
          <w:tab w:val="left" w:pos="1680"/>
          <w:tab w:val="center" w:pos="4277"/>
        </w:tabs>
        <w:spacing w:after="0" w:line="240" w:lineRule="auto"/>
        <w:rPr>
          <w:rFonts w:ascii="Arial" w:hAnsi="Arial" w:cs="Arial"/>
          <w:sz w:val="26"/>
          <w:szCs w:val="26"/>
        </w:rPr>
      </w:pPr>
    </w:p>
    <w:p w14:paraId="70210336" w14:textId="77777777" w:rsidR="00281E8B" w:rsidRDefault="00281E8B" w:rsidP="00281E8B">
      <w:pPr>
        <w:tabs>
          <w:tab w:val="left" w:pos="1680"/>
          <w:tab w:val="center" w:pos="4277"/>
        </w:tabs>
        <w:spacing w:after="0" w:line="240" w:lineRule="auto"/>
        <w:rPr>
          <w:rFonts w:ascii="Arial" w:hAnsi="Arial" w:cs="Arial"/>
          <w:sz w:val="26"/>
          <w:szCs w:val="26"/>
        </w:rPr>
      </w:pPr>
    </w:p>
    <w:p w14:paraId="3D8526BA" w14:textId="1171A822" w:rsidR="00281E8B" w:rsidRDefault="00281E8B" w:rsidP="00281E8B">
      <w:pPr>
        <w:tabs>
          <w:tab w:val="left" w:pos="1680"/>
          <w:tab w:val="center" w:pos="4277"/>
        </w:tabs>
        <w:spacing w:after="0" w:line="240" w:lineRule="auto"/>
        <w:rPr>
          <w:rFonts w:ascii="Arial" w:hAnsi="Arial" w:cs="Arial"/>
          <w:sz w:val="26"/>
          <w:szCs w:val="26"/>
        </w:rPr>
      </w:pPr>
    </w:p>
    <w:p w14:paraId="504BE031" w14:textId="09E4885A" w:rsidR="00D511FD" w:rsidRDefault="00D511FD" w:rsidP="00281E8B">
      <w:pPr>
        <w:tabs>
          <w:tab w:val="left" w:pos="1680"/>
          <w:tab w:val="center" w:pos="4277"/>
        </w:tabs>
        <w:spacing w:after="0" w:line="240" w:lineRule="auto"/>
        <w:rPr>
          <w:rFonts w:ascii="Arial" w:hAnsi="Arial" w:cs="Arial"/>
          <w:sz w:val="26"/>
          <w:szCs w:val="26"/>
        </w:rPr>
      </w:pPr>
    </w:p>
    <w:p w14:paraId="1F4FA24A" w14:textId="77777777" w:rsidR="00D511FD" w:rsidRDefault="00D511FD" w:rsidP="00281E8B">
      <w:pPr>
        <w:tabs>
          <w:tab w:val="left" w:pos="1680"/>
          <w:tab w:val="center" w:pos="4277"/>
        </w:tabs>
        <w:spacing w:after="0" w:line="240" w:lineRule="auto"/>
        <w:rPr>
          <w:rFonts w:ascii="Arial" w:hAnsi="Arial" w:cs="Arial"/>
          <w:sz w:val="26"/>
          <w:szCs w:val="26"/>
        </w:rPr>
      </w:pPr>
    </w:p>
    <w:p w14:paraId="382B8E01" w14:textId="77777777" w:rsidR="00281E8B" w:rsidRDefault="00281E8B" w:rsidP="00281E8B">
      <w:pPr>
        <w:spacing w:after="0" w:line="240" w:lineRule="auto"/>
        <w:jc w:val="center"/>
        <w:rPr>
          <w:rFonts w:ascii="Arial" w:hAnsi="Arial" w:cs="Arial"/>
          <w:sz w:val="26"/>
          <w:szCs w:val="26"/>
        </w:rPr>
      </w:pPr>
    </w:p>
    <w:p w14:paraId="79F38D6F" w14:textId="77777777" w:rsidR="00281E8B" w:rsidRDefault="00281E8B" w:rsidP="00281E8B">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0F85C9B2"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1A977A92" w14:textId="77777777" w:rsidR="00281E8B" w:rsidRDefault="00281E8B" w:rsidP="00281E8B">
      <w:pPr>
        <w:tabs>
          <w:tab w:val="center" w:pos="4135"/>
          <w:tab w:val="left" w:pos="7515"/>
        </w:tabs>
        <w:spacing w:after="0" w:line="240" w:lineRule="auto"/>
        <w:rPr>
          <w:rFonts w:ascii="Arial" w:hAnsi="Arial" w:cs="Arial"/>
          <w:sz w:val="26"/>
          <w:szCs w:val="26"/>
        </w:rPr>
      </w:pPr>
    </w:p>
    <w:p w14:paraId="404602C3"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58E4D6DE"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5E13EF4B"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3DCFF89F"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6E81C693"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03ABD4F1"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7214C570" w14:textId="77777777" w:rsidR="00281E8B" w:rsidRDefault="00281E8B" w:rsidP="00281E8B">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21E75A1E"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4378F143"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11CC724E" w14:textId="77777777" w:rsidR="00281E8B" w:rsidRDefault="00281E8B" w:rsidP="00281E8B">
      <w:pPr>
        <w:tabs>
          <w:tab w:val="center" w:pos="4135"/>
          <w:tab w:val="left" w:pos="7515"/>
        </w:tabs>
        <w:spacing w:after="0" w:line="240" w:lineRule="auto"/>
        <w:rPr>
          <w:rFonts w:ascii="Arial" w:hAnsi="Arial" w:cs="Arial"/>
          <w:sz w:val="26"/>
          <w:szCs w:val="26"/>
        </w:rPr>
      </w:pPr>
    </w:p>
    <w:p w14:paraId="6B49E171"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0C5A945B"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09FA148B"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59F2D5C9"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54007030" w14:textId="77777777" w:rsidR="00281E8B" w:rsidRDefault="00281E8B" w:rsidP="00281E8B">
      <w:pPr>
        <w:tabs>
          <w:tab w:val="center" w:pos="4135"/>
          <w:tab w:val="left" w:pos="7515"/>
        </w:tabs>
        <w:spacing w:after="0" w:line="240" w:lineRule="auto"/>
        <w:jc w:val="center"/>
        <w:rPr>
          <w:rFonts w:ascii="Arial" w:hAnsi="Arial" w:cs="Arial"/>
          <w:sz w:val="26"/>
          <w:szCs w:val="26"/>
        </w:rPr>
      </w:pPr>
    </w:p>
    <w:p w14:paraId="2FDCB80E" w14:textId="77777777" w:rsidR="00281E8B" w:rsidRDefault="00281E8B" w:rsidP="00281E8B">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418DCA07" w14:textId="77777777" w:rsidR="00281E8B" w:rsidRDefault="00281E8B" w:rsidP="00281E8B">
      <w:pPr>
        <w:spacing w:after="0" w:line="240" w:lineRule="auto"/>
        <w:jc w:val="center"/>
        <w:rPr>
          <w:rFonts w:ascii="Arial" w:hAnsi="Arial" w:cs="Arial"/>
          <w:sz w:val="14"/>
          <w:szCs w:val="26"/>
        </w:rPr>
      </w:pPr>
      <w:r>
        <w:rPr>
          <w:rFonts w:ascii="Arial" w:hAnsi="Arial" w:cs="Arial"/>
          <w:sz w:val="26"/>
          <w:szCs w:val="26"/>
        </w:rPr>
        <w:t>SECRETARIO GENERAL DE ACUERDOS</w:t>
      </w:r>
    </w:p>
    <w:p w14:paraId="778C3951" w14:textId="77777777" w:rsidR="00281E8B" w:rsidRDefault="00281E8B" w:rsidP="00281E8B">
      <w:pPr>
        <w:spacing w:after="0" w:line="240" w:lineRule="auto"/>
        <w:ind w:firstLine="708"/>
        <w:jc w:val="both"/>
        <w:rPr>
          <w:rFonts w:ascii="Arial" w:hAnsi="Arial" w:cs="Arial"/>
          <w:sz w:val="14"/>
          <w:szCs w:val="26"/>
        </w:rPr>
      </w:pPr>
    </w:p>
    <w:p w14:paraId="597FE344" w14:textId="77777777" w:rsidR="00281E8B" w:rsidRDefault="00281E8B" w:rsidP="00281E8B">
      <w:pPr>
        <w:spacing w:before="240" w:line="360" w:lineRule="auto"/>
        <w:ind w:firstLine="708"/>
        <w:jc w:val="both"/>
        <w:rPr>
          <w:rFonts w:ascii="Arial" w:hAnsi="Arial" w:cs="Arial"/>
          <w:sz w:val="14"/>
          <w:szCs w:val="26"/>
        </w:rPr>
      </w:pPr>
    </w:p>
    <w:p w14:paraId="1A3E97E0" w14:textId="77777777" w:rsidR="00281E8B" w:rsidRDefault="00281E8B" w:rsidP="00281E8B">
      <w:pPr>
        <w:spacing w:line="360" w:lineRule="auto"/>
        <w:ind w:firstLine="708"/>
        <w:jc w:val="both"/>
        <w:rPr>
          <w:rFonts w:ascii="Arial" w:hAnsi="Arial" w:cs="Arial"/>
          <w:sz w:val="14"/>
          <w:szCs w:val="26"/>
        </w:rPr>
      </w:pPr>
    </w:p>
    <w:p w14:paraId="6E551CA0" w14:textId="77777777" w:rsidR="00281E8B" w:rsidRDefault="00281E8B" w:rsidP="00281E8B">
      <w:pPr>
        <w:spacing w:after="0" w:line="360" w:lineRule="auto"/>
        <w:ind w:firstLine="708"/>
        <w:jc w:val="both"/>
        <w:rPr>
          <w:rFonts w:ascii="Arial" w:hAnsi="Arial" w:cs="Arial"/>
          <w:sz w:val="14"/>
          <w:szCs w:val="26"/>
        </w:rPr>
      </w:pPr>
    </w:p>
    <w:p w14:paraId="5238256D" w14:textId="77777777" w:rsidR="00281E8B" w:rsidRDefault="00281E8B" w:rsidP="00281E8B">
      <w:pPr>
        <w:spacing w:after="0" w:line="360" w:lineRule="auto"/>
        <w:ind w:firstLine="567"/>
        <w:jc w:val="both"/>
        <w:rPr>
          <w:rFonts w:ascii="Arial" w:hAnsi="Arial" w:cs="Arial"/>
          <w:sz w:val="14"/>
          <w:szCs w:val="26"/>
        </w:rPr>
      </w:pPr>
    </w:p>
    <w:p w14:paraId="21D8095E" w14:textId="4F00B7D0" w:rsidR="00204105" w:rsidRPr="00D56B12" w:rsidRDefault="00204105" w:rsidP="00281E8B">
      <w:pPr>
        <w:spacing w:before="240" w:line="360" w:lineRule="auto"/>
        <w:ind w:right="49"/>
        <w:jc w:val="both"/>
      </w:pPr>
    </w:p>
    <w:sectPr w:rsidR="00204105" w:rsidRPr="00D56B12"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E6436A" w14:textId="77777777" w:rsidR="00B34A0D" w:rsidRDefault="00B34A0D">
      <w:pPr>
        <w:spacing w:after="0" w:line="240" w:lineRule="auto"/>
      </w:pPr>
      <w:r>
        <w:separator/>
      </w:r>
    </w:p>
  </w:endnote>
  <w:endnote w:type="continuationSeparator" w:id="0">
    <w:p w14:paraId="28B30A05" w14:textId="77777777" w:rsidR="00B34A0D" w:rsidRDefault="00B34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01CF07A8" w:rsidR="00A80DC8" w:rsidRDefault="004F4F85">
    <w:pPr>
      <w:pStyle w:val="Piedepgina"/>
      <w:jc w:val="center"/>
    </w:pPr>
    <w:r>
      <w:rPr>
        <w:noProof/>
      </w:rPr>
      <mc:AlternateContent>
        <mc:Choice Requires="wps">
          <w:drawing>
            <wp:anchor distT="45720" distB="45720" distL="114300" distR="114300" simplePos="0" relativeHeight="251667456" behindDoc="0" locked="0" layoutInCell="1" allowOverlap="1" wp14:anchorId="4BE1F302" wp14:editId="40863820">
              <wp:simplePos x="0" y="0"/>
              <wp:positionH relativeFrom="column">
                <wp:posOffset>-1575435</wp:posOffset>
              </wp:positionH>
              <wp:positionV relativeFrom="paragraph">
                <wp:posOffset>-5419090</wp:posOffset>
              </wp:positionV>
              <wp:extent cx="1221105" cy="723265"/>
              <wp:effectExtent l="0" t="0" r="17145" b="1968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723265"/>
                      </a:xfrm>
                      <a:prstGeom prst="rect">
                        <a:avLst/>
                      </a:prstGeom>
                      <a:solidFill>
                        <a:srgbClr val="FFFFFF"/>
                      </a:solidFill>
                      <a:ln w="9525">
                        <a:solidFill>
                          <a:srgbClr val="000000"/>
                        </a:solidFill>
                        <a:miter lim="800000"/>
                        <a:headEnd/>
                        <a:tailEnd/>
                      </a:ln>
                    </wps:spPr>
                    <wps:txbx>
                      <w:txbxContent>
                        <w:p w14:paraId="4FC0FF8B" w14:textId="0F449431" w:rsidR="004F4F85" w:rsidRDefault="004F4F85" w:rsidP="004F4F85">
                          <w:pPr>
                            <w:rPr>
                              <w:sz w:val="16"/>
                              <w:szCs w:val="16"/>
                            </w:rPr>
                          </w:pPr>
                          <w:bookmarkStart w:id="0" w:name="_GoBack"/>
                          <w:r>
                            <w:rPr>
                              <w:sz w:val="16"/>
                              <w:szCs w:val="16"/>
                            </w:rPr>
                            <w:t>Los datos personales están protegidos por el art.116 de la LGTAIP y el art. 56 de la LTAIPEO</w:t>
                          </w:r>
                        </w:p>
                        <w:bookmarkEnd w:id="0"/>
                        <w:p w14:paraId="3D815C19" w14:textId="65FBFDCD" w:rsidR="004F4F85" w:rsidRDefault="004F4F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1F302" id="_x0000_t202" coordsize="21600,21600" o:spt="202" path="m,l,21600r21600,l21600,xe">
              <v:stroke joinstyle="miter"/>
              <v:path gradientshapeok="t" o:connecttype="rect"/>
            </v:shapetype>
            <v:shape id="Cuadro de texto 2" o:spid="_x0000_s1026" type="#_x0000_t202" style="position:absolute;left:0;text-align:left;margin-left:-124.05pt;margin-top:-426.7pt;width:96.15pt;height:56.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">
              <v:textbox>
                <w:txbxContent>
                  <w:p w14:paraId="4FC0FF8B" w14:textId="0F449431" w:rsidR="004F4F85" w:rsidRDefault="004F4F85" w:rsidP="004F4F85">
                    <w:pPr>
                      <w:rPr>
                        <w:sz w:val="16"/>
                        <w:szCs w:val="16"/>
                      </w:rPr>
                    </w:pPr>
                    <w:bookmarkStart w:id="1" w:name="_GoBack"/>
                    <w:r>
                      <w:rPr>
                        <w:sz w:val="16"/>
                        <w:szCs w:val="16"/>
                      </w:rPr>
                      <w:t>Los datos personales están protegidos por el art.116 de la LGTAIP y el art. 56 de la LTAIPEO</w:t>
                    </w:r>
                  </w:p>
                  <w:bookmarkEnd w:id="1"/>
                  <w:p w14:paraId="3D815C19" w14:textId="65FBFDCD" w:rsidR="004F4F85" w:rsidRDefault="004F4F85"/>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EE68C" w14:textId="77777777" w:rsidR="00B34A0D" w:rsidRDefault="00B34A0D">
      <w:pPr>
        <w:spacing w:after="0" w:line="240" w:lineRule="auto"/>
      </w:pPr>
      <w:r>
        <w:separator/>
      </w:r>
    </w:p>
  </w:footnote>
  <w:footnote w:type="continuationSeparator" w:id="0">
    <w:p w14:paraId="0C9A3A74" w14:textId="77777777" w:rsidR="00B34A0D" w:rsidRDefault="00B34A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4F4F8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F4F85">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B081F4D" w:rsidR="000F5C41" w:rsidRDefault="004F4F8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F4F85">
          <w:rPr>
            <w:noProof/>
            <w:lang w:val="es-ES"/>
          </w:rPr>
          <w:t>1</w:t>
        </w:r>
        <w:r w:rsidR="000F5C41">
          <w:fldChar w:fldCharType="end"/>
        </w:r>
      </w:sdtContent>
    </w:sdt>
  </w:p>
  <w:p w14:paraId="51E22156" w14:textId="2484481B"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15D402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24C1FB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F4F8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0AF"/>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4F85"/>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0D"/>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3373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7ABFB-0584-4909-9517-141714BFE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2254</Words>
  <Characters>12397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2020-04-13T15:33:00Z</cp:lastPrinted>
  <dcterms:created xsi:type="dcterms:W3CDTF">2020-10-13T21:06:00Z</dcterms:created>
  <dcterms:modified xsi:type="dcterms:W3CDTF">2021-01-25T20:36:00Z</dcterms:modified>
</cp:coreProperties>
</file>