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B8E" w:rsidRDefault="00226B8E" w:rsidP="00226B8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226B8E" w:rsidRDefault="00226B8E" w:rsidP="00226B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0042/2019</w:t>
      </w:r>
    </w:p>
    <w:p w:rsidR="00226B8E" w:rsidRDefault="00226B8E" w:rsidP="00226B8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0097/2017 SEXTA SALA UNITARIA DE PRIMERA INSTANCIA</w:t>
      </w:r>
    </w:p>
    <w:p w:rsidR="00226B8E" w:rsidRDefault="00226B8E" w:rsidP="00226B8E">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226B8E" w:rsidRDefault="00970CE6" w:rsidP="00226B8E">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226B8E">
        <w:rPr>
          <w:rFonts w:ascii="Arial" w:hAnsi="Arial" w:cs="Arial"/>
          <w:b/>
          <w:sz w:val="26"/>
          <w:szCs w:val="26"/>
        </w:rPr>
        <w:t>TRECE DE JUNIO DE DOS MIL DIECINUEVE.</w:t>
      </w:r>
    </w:p>
    <w:p w:rsidR="00226B8E" w:rsidRDefault="00226B8E" w:rsidP="00226B8E">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0042/2019</w:t>
      </w:r>
      <w:r>
        <w:rPr>
          <w:rFonts w:ascii="Arial" w:hAnsi="Arial" w:cs="Arial"/>
          <w:sz w:val="26"/>
          <w:szCs w:val="26"/>
        </w:rPr>
        <w:t xml:space="preserve">, que remite la Secretaría General de Acuerdos, con motivo del recurso de revisión interpuesto por </w:t>
      </w:r>
      <w:r w:rsidR="009B17AD">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resolución de 12 doce de diciembre de 2018 dos mil dieciocho, </w:t>
      </w:r>
      <w:r>
        <w:rPr>
          <w:rFonts w:ascii="Arial" w:hAnsi="Arial" w:cs="Arial"/>
          <w:sz w:val="26"/>
          <w:szCs w:val="26"/>
        </w:rPr>
        <w:t xml:space="preserve">dictada en el expediente </w:t>
      </w:r>
      <w:r>
        <w:rPr>
          <w:rFonts w:ascii="Arial" w:hAnsi="Arial" w:cs="Arial"/>
          <w:b/>
          <w:sz w:val="26"/>
          <w:szCs w:val="26"/>
        </w:rPr>
        <w:t>0097/2017,</w:t>
      </w:r>
      <w:r>
        <w:rPr>
          <w:rFonts w:ascii="Arial" w:hAnsi="Arial" w:cs="Arial"/>
          <w:sz w:val="26"/>
          <w:szCs w:val="26"/>
        </w:rPr>
        <w:t xml:space="preserve"> de la Sexta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la </w:t>
      </w:r>
      <w:r w:rsidRPr="00F5210A">
        <w:rPr>
          <w:rFonts w:ascii="Arial" w:hAnsi="Arial" w:cs="Arial"/>
          <w:b/>
          <w:sz w:val="26"/>
          <w:szCs w:val="26"/>
        </w:rPr>
        <w:t>RECURRENTE</w:t>
      </w:r>
      <w:r>
        <w:rPr>
          <w:rFonts w:ascii="Arial" w:eastAsia="Calibri" w:hAnsi="Arial" w:cs="Arial"/>
          <w:b/>
          <w:sz w:val="26"/>
          <w:szCs w:val="26"/>
        </w:rPr>
        <w:t xml:space="preserve">, </w:t>
      </w:r>
      <w:r>
        <w:rPr>
          <w:rFonts w:ascii="Arial" w:eastAsia="Calibri" w:hAnsi="Arial" w:cs="Arial"/>
          <w:sz w:val="26"/>
          <w:szCs w:val="26"/>
        </w:rPr>
        <w:t xml:space="preserve">en contra del </w:t>
      </w:r>
      <w:r>
        <w:rPr>
          <w:rFonts w:ascii="Arial" w:eastAsia="Calibri" w:hAnsi="Arial" w:cs="Arial"/>
          <w:b/>
          <w:sz w:val="26"/>
          <w:szCs w:val="26"/>
        </w:rPr>
        <w:t>HONORABLE AYUNTAMIENTO DEL MUNICIPIO DE SANTA MARÍA ATZOMPA, OAXACA</w:t>
      </w:r>
      <w:r w:rsidRPr="00CA3845">
        <w:rPr>
          <w:rFonts w:ascii="Arial" w:eastAsia="Calibri" w:hAnsi="Arial" w:cs="Arial"/>
          <w:sz w:val="26"/>
          <w:szCs w:val="26"/>
        </w:rPr>
        <w:t xml:space="preserve">, </w:t>
      </w:r>
      <w:r>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 En consecuencia, se procede a dictar resolución en los siguientes términos:</w:t>
      </w:r>
    </w:p>
    <w:p w:rsidR="00226B8E" w:rsidRDefault="00226B8E" w:rsidP="00226B8E">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226B8E" w:rsidRDefault="00226B8E" w:rsidP="00226B8E">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12 doce de diciembre de 2018 dos mil dieciocho, dictado por la Sexta Sala Unitaria de Primera Instancia </w:t>
      </w:r>
      <w:r w:rsidR="009B17AD">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226B8E" w:rsidRDefault="00226B8E" w:rsidP="00226B8E">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resolución recurrida son los siguientes:</w:t>
      </w:r>
    </w:p>
    <w:p w:rsidR="00226B8E" w:rsidRPr="00970CE6" w:rsidRDefault="00226B8E" w:rsidP="00226B8E">
      <w:pPr>
        <w:pStyle w:val="Textoindependiente21"/>
        <w:tabs>
          <w:tab w:val="left" w:pos="7938"/>
        </w:tabs>
        <w:spacing w:before="240" w:line="360" w:lineRule="auto"/>
        <w:ind w:left="1134" w:right="616" w:firstLine="0"/>
        <w:rPr>
          <w:rFonts w:ascii="Arial" w:hAnsi="Arial" w:cs="Arial"/>
          <w:b/>
          <w:bCs/>
          <w:iCs/>
          <w:sz w:val="22"/>
          <w:szCs w:val="22"/>
        </w:rPr>
      </w:pPr>
      <w:r w:rsidRPr="00970CE6">
        <w:rPr>
          <w:rFonts w:ascii="Arial" w:hAnsi="Arial" w:cs="Arial"/>
          <w:bCs/>
          <w:iCs/>
          <w:sz w:val="22"/>
          <w:szCs w:val="22"/>
        </w:rPr>
        <w:t>“</w:t>
      </w:r>
      <w:r w:rsidRPr="00970CE6">
        <w:rPr>
          <w:rFonts w:ascii="Arial" w:hAnsi="Arial" w:cs="Arial"/>
          <w:b/>
          <w:bCs/>
          <w:i/>
          <w:iCs/>
          <w:sz w:val="22"/>
          <w:szCs w:val="22"/>
        </w:rPr>
        <w:t xml:space="preserve">PRIMERO.- </w:t>
      </w:r>
      <w:r w:rsidRPr="00970CE6">
        <w:rPr>
          <w:rFonts w:ascii="Arial" w:hAnsi="Arial" w:cs="Arial"/>
          <w:bCs/>
          <w:i/>
          <w:iCs/>
          <w:sz w:val="22"/>
          <w:szCs w:val="22"/>
        </w:rPr>
        <w:t xml:space="preserve">Esta Sexta Sala Unitaria de Primera Instancia del Tribunal de Justicia Administrativa del Estado de Oaxaca, fue competente para conocer y resolver el presente asunto.- - </w:t>
      </w:r>
      <w:r w:rsidRPr="00970CE6">
        <w:rPr>
          <w:rFonts w:ascii="Arial" w:hAnsi="Arial" w:cs="Arial"/>
          <w:b/>
          <w:bCs/>
          <w:i/>
          <w:iCs/>
          <w:sz w:val="22"/>
          <w:szCs w:val="22"/>
        </w:rPr>
        <w:t>SEGUNDO</w:t>
      </w:r>
      <w:r w:rsidRPr="00970CE6">
        <w:rPr>
          <w:rFonts w:ascii="Arial" w:hAnsi="Arial" w:cs="Arial"/>
          <w:bCs/>
          <w:i/>
          <w:iCs/>
          <w:sz w:val="22"/>
          <w:szCs w:val="22"/>
        </w:rPr>
        <w:t xml:space="preserve">.- Por las razones expuestas en el considerando CUARTO y QUINTO se SOBRESEE el juicio.- - - - - - - - - </w:t>
      </w:r>
      <w:r w:rsidRPr="00970CE6">
        <w:rPr>
          <w:rFonts w:ascii="Arial" w:hAnsi="Arial" w:cs="Arial"/>
          <w:b/>
          <w:bCs/>
          <w:i/>
          <w:iCs/>
          <w:sz w:val="22"/>
          <w:szCs w:val="22"/>
        </w:rPr>
        <w:t xml:space="preserve">CUARTO </w:t>
      </w:r>
      <w:r w:rsidRPr="00970CE6">
        <w:rPr>
          <w:rFonts w:ascii="Arial" w:hAnsi="Arial" w:cs="Arial"/>
          <w:bCs/>
          <w:i/>
          <w:iCs/>
          <w:sz w:val="22"/>
          <w:szCs w:val="22"/>
        </w:rPr>
        <w:t xml:space="preserve">(sic).- Conforme a lo dispuesto en los artículos 142, fracción I y 143 fracciones I y II, de la Ley de la materia </w:t>
      </w:r>
      <w:r w:rsidRPr="00970CE6">
        <w:rPr>
          <w:rFonts w:ascii="Arial" w:hAnsi="Arial" w:cs="Arial"/>
          <w:b/>
          <w:bCs/>
          <w:i/>
          <w:iCs/>
          <w:sz w:val="22"/>
          <w:szCs w:val="22"/>
        </w:rPr>
        <w:t>NOTIFIQUESE PERSONALMENTE A LA PARTE ACTORA Y POR OFICIO A LA AUTORIDAD DEMANDADA. CUMPLASE</w:t>
      </w:r>
      <w:r w:rsidRPr="00970CE6">
        <w:rPr>
          <w:rFonts w:ascii="Arial" w:hAnsi="Arial" w:cs="Arial"/>
          <w:bCs/>
          <w:i/>
          <w:iCs/>
          <w:sz w:val="22"/>
          <w:szCs w:val="22"/>
        </w:rPr>
        <w:t>.</w:t>
      </w:r>
      <w:r w:rsidR="00970CE6">
        <w:rPr>
          <w:rFonts w:ascii="Arial" w:hAnsi="Arial" w:cs="Arial"/>
          <w:bCs/>
          <w:i/>
          <w:iCs/>
          <w:sz w:val="22"/>
          <w:szCs w:val="22"/>
        </w:rPr>
        <w:t xml:space="preserve">- - </w:t>
      </w:r>
      <w:r w:rsidRPr="00970CE6">
        <w:rPr>
          <w:rFonts w:ascii="Arial" w:hAnsi="Arial" w:cs="Arial"/>
          <w:bCs/>
          <w:iCs/>
          <w:sz w:val="22"/>
          <w:szCs w:val="22"/>
        </w:rPr>
        <w:t>”</w:t>
      </w:r>
    </w:p>
    <w:p w:rsidR="00970CE6" w:rsidRDefault="00970CE6" w:rsidP="00226B8E">
      <w:pPr>
        <w:widowControl w:val="0"/>
        <w:tabs>
          <w:tab w:val="left" w:pos="2835"/>
          <w:tab w:val="left" w:pos="7938"/>
        </w:tabs>
        <w:spacing w:before="240" w:after="0" w:line="360" w:lineRule="auto"/>
        <w:ind w:right="17"/>
        <w:jc w:val="center"/>
        <w:rPr>
          <w:rFonts w:ascii="Arial" w:hAnsi="Arial" w:cs="Arial"/>
          <w:b/>
          <w:bCs/>
          <w:sz w:val="26"/>
          <w:szCs w:val="26"/>
          <w:lang w:eastAsia="es-ES"/>
        </w:rPr>
      </w:pPr>
    </w:p>
    <w:p w:rsidR="00226B8E" w:rsidRDefault="00226B8E" w:rsidP="00226B8E">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226B8E" w:rsidRPr="00CB6405" w:rsidRDefault="00226B8E" w:rsidP="00226B8E">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estaba vigente al inicio de juicio principal,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resolución de 12 doce de diciembre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0097/2017</w:t>
      </w:r>
      <w:r w:rsidRPr="00CB6405">
        <w:rPr>
          <w:rFonts w:ascii="Arial" w:hAnsi="Arial" w:cs="Arial"/>
          <w:sz w:val="26"/>
          <w:szCs w:val="26"/>
        </w:rPr>
        <w:t>.</w:t>
      </w:r>
    </w:p>
    <w:p w:rsidR="00226B8E" w:rsidRPr="00CB6405" w:rsidRDefault="00226B8E" w:rsidP="00226B8E">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226B8E" w:rsidRDefault="00226B8E" w:rsidP="00226B8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Alega en esencia la recurrente, que en la resolución que se combate, existe violación a sus derechos humanos fundamentales, carece de fundamentación y motivación, se dejó de aplicar lo dispuesto por la Ley del Procedimiento y Justicia Administrativa para el Estado de Oaxaca, así como los artículos 7 y 8 de la Declaración Universal de los Derechos Humanos.</w:t>
      </w:r>
    </w:p>
    <w:p w:rsidR="00226B8E" w:rsidRDefault="00226B8E" w:rsidP="00226B8E">
      <w:pPr>
        <w:spacing w:line="360" w:lineRule="auto"/>
        <w:ind w:firstLine="709"/>
        <w:jc w:val="both"/>
        <w:rPr>
          <w:rFonts w:ascii="Arial" w:eastAsia="Calibri" w:hAnsi="Arial" w:cs="Arial"/>
          <w:bCs/>
          <w:sz w:val="26"/>
          <w:szCs w:val="26"/>
        </w:rPr>
      </w:pPr>
      <w:r>
        <w:rPr>
          <w:rFonts w:ascii="Arial" w:eastAsia="Calibri" w:hAnsi="Arial" w:cs="Arial"/>
          <w:bCs/>
          <w:sz w:val="26"/>
          <w:szCs w:val="26"/>
        </w:rPr>
        <w:t>Alega también, que la Primera Instancia soslayó que las demandadas negaron la relación de trabajo y que la accionante acreditó dicho nexo con la copia certificada de su nombramiento como policía municipal.</w:t>
      </w:r>
    </w:p>
    <w:p w:rsidR="00226B8E" w:rsidRDefault="00226B8E" w:rsidP="00226B8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10B3B">
        <w:rPr>
          <w:rFonts w:ascii="Arial" w:eastAsia="Calibri" w:hAnsi="Arial" w:cs="Arial"/>
          <w:b/>
          <w:bCs/>
          <w:sz w:val="26"/>
          <w:szCs w:val="26"/>
        </w:rPr>
        <w:t>in</w:t>
      </w:r>
      <w:r>
        <w:rPr>
          <w:rFonts w:ascii="Arial" w:eastAsia="Calibri" w:hAnsi="Arial" w:cs="Arial"/>
          <w:b/>
          <w:bCs/>
          <w:sz w:val="26"/>
          <w:szCs w:val="26"/>
        </w:rPr>
        <w:t>operantes</w:t>
      </w:r>
      <w:r w:rsidRPr="00010B3B">
        <w:rPr>
          <w:rFonts w:ascii="Arial" w:eastAsia="Calibri" w:hAnsi="Arial" w:cs="Arial"/>
          <w:bCs/>
          <w:sz w:val="26"/>
          <w:szCs w:val="26"/>
        </w:rPr>
        <w:t xml:space="preserve">, </w:t>
      </w:r>
      <w:r>
        <w:rPr>
          <w:rFonts w:ascii="Arial" w:eastAsia="Calibri" w:hAnsi="Arial" w:cs="Arial"/>
          <w:bCs/>
          <w:sz w:val="26"/>
          <w:szCs w:val="26"/>
        </w:rPr>
        <w:t xml:space="preserve">al no combatir de manera alguna la consideración toral emitida por la Primera Instancia para decretar el sobreseimiento del juicio, consistente en que no se acreditó la emisión de la orden verbal demandada, porque la actora, sólo realizó aseveraciones de hechos pero sin perfeccionarla con medio de prueba idóneo, como lo sería la testimonial; pues las manifestaciones que realiza la recurrente, de manera esencial se concretan a realizar diversas aserciones superficiales sin sustento alguno, pues omite indicar en su caso, cuales son los derecho humanos que le fueron violados, tampoco precisa porque considera se dejó de aplicar la Ley del Procedimiento y Justicia Administrativa para el Estado de Oaxaca, </w:t>
      </w:r>
      <w:r>
        <w:rPr>
          <w:rFonts w:ascii="Arial" w:eastAsia="Calibri" w:hAnsi="Arial" w:cs="Arial"/>
          <w:bCs/>
          <w:sz w:val="26"/>
          <w:szCs w:val="26"/>
        </w:rPr>
        <w:lastRenderedPageBreak/>
        <w:t>así como los artículos 7 y 8 de la Declaración Universal de los Derechos Humanos; debiéndose precisar al respecto, que la Ley aplicable lo es la Ley de Justicia Administrativa y no la de Procedimiento que señala, pues es la que se encentraba  vigente al inicio del juicio; del mismo modo es omisión en explicar de qué forma la copia certificada de su nombramiento como policía municipal, en su caso acredita la existencia de la orden verbal de despido.</w:t>
      </w:r>
    </w:p>
    <w:p w:rsidR="00226B8E" w:rsidRPr="002B506D" w:rsidRDefault="00226B8E" w:rsidP="00226B8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226B8E" w:rsidRPr="004A2FA8" w:rsidRDefault="00226B8E" w:rsidP="00226B8E">
      <w:pPr>
        <w:spacing w:line="360" w:lineRule="auto"/>
        <w:ind w:left="1134" w:right="709"/>
        <w:jc w:val="both"/>
        <w:rPr>
          <w:rFonts w:ascii="Arial" w:hAnsi="Arial" w:cs="Arial"/>
          <w:bCs/>
          <w:i/>
          <w:color w:val="000000" w:themeColor="text1"/>
          <w:sz w:val="24"/>
          <w:szCs w:val="24"/>
          <w:lang w:val="es-MX"/>
        </w:rPr>
      </w:pPr>
      <w:r w:rsidRPr="00041C7F">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26B8E" w:rsidRDefault="00226B8E" w:rsidP="00226B8E">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226B8E" w:rsidRDefault="00226B8E" w:rsidP="00226B8E">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226B8E" w:rsidRDefault="00226B8E" w:rsidP="00226B8E">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resolución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226B8E" w:rsidRDefault="00226B8E" w:rsidP="00226B8E">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Sexta Sala Unitaria de Primera Instancia, </w:t>
      </w:r>
      <w:r w:rsidRPr="00D81DA7">
        <w:rPr>
          <w:rFonts w:ascii="Arial" w:hAnsi="Arial" w:cs="Arial"/>
          <w:sz w:val="26"/>
          <w:szCs w:val="26"/>
        </w:rPr>
        <w:t>y en su oportunidad archívese el cuaderno de revisión como concluido.</w:t>
      </w:r>
    </w:p>
    <w:p w:rsidR="00040581" w:rsidRDefault="00226B8E" w:rsidP="00040581">
      <w:pPr>
        <w:pStyle w:val="corte4fondo"/>
        <w:tabs>
          <w:tab w:val="left" w:pos="0"/>
        </w:tabs>
        <w:ind w:right="51" w:firstLine="0"/>
        <w:rPr>
          <w:rFonts w:eastAsia="Calibri"/>
          <w:sz w:val="26"/>
          <w:szCs w:val="26"/>
        </w:rPr>
      </w:pPr>
      <w:r>
        <w:rPr>
          <w:rFonts w:eastAsia="Calibri"/>
          <w:sz w:val="26"/>
          <w:szCs w:val="26"/>
        </w:rPr>
        <w:tab/>
        <w:t>Así por mayoría</w:t>
      </w:r>
      <w:r w:rsidR="00040581">
        <w:rPr>
          <w:rFonts w:eastAsia="Calibri"/>
          <w:sz w:val="26"/>
          <w:szCs w:val="26"/>
        </w:rPr>
        <w:t xml:space="preserve"> de votos, lo resolvieron y firmaron los Magistrados integrantes de la Sala Superior del Tribunal de Jus</w:t>
      </w:r>
      <w:r w:rsidR="004963AE">
        <w:rPr>
          <w:rFonts w:eastAsia="Calibri"/>
          <w:sz w:val="26"/>
          <w:szCs w:val="26"/>
        </w:rPr>
        <w:t xml:space="preserve">ticia </w:t>
      </w:r>
      <w:r w:rsidR="004963AE">
        <w:rPr>
          <w:rFonts w:eastAsia="Calibri"/>
          <w:sz w:val="26"/>
          <w:szCs w:val="26"/>
        </w:rPr>
        <w:lastRenderedPageBreak/>
        <w:t>Administrativa del Estado;</w:t>
      </w:r>
      <w:r>
        <w:rPr>
          <w:rFonts w:eastAsia="Calibri"/>
          <w:sz w:val="26"/>
          <w:szCs w:val="26"/>
        </w:rPr>
        <w:t xml:space="preserve"> con la ausencia de la Magistrada María Elena Villa de Jarquín y el voto particular del Magistrado Manuel Velasco Alcántara, el cual se glosa al final de la presente</w:t>
      </w:r>
      <w:r w:rsidR="004963AE">
        <w:rPr>
          <w:rFonts w:eastAsia="Calibri"/>
          <w:sz w:val="26"/>
          <w:szCs w:val="26"/>
        </w:rPr>
        <w:t xml:space="preserve">; </w:t>
      </w:r>
      <w:r w:rsidR="00040581">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301733">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301733">
      <w:pPr>
        <w:spacing w:after="0" w:line="360" w:lineRule="auto"/>
        <w:rPr>
          <w:rFonts w:ascii="Arial" w:hAnsi="Arial" w:cs="Arial"/>
          <w:sz w:val="26"/>
          <w:szCs w:val="26"/>
        </w:rPr>
      </w:pPr>
    </w:p>
    <w:p w:rsidR="00580CC9" w:rsidRDefault="00580CC9" w:rsidP="00040581">
      <w:pPr>
        <w:spacing w:after="0" w:line="360" w:lineRule="auto"/>
        <w:jc w:val="center"/>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226B8E">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7F0" w:rsidRDefault="003447F0">
      <w:pPr>
        <w:spacing w:after="0" w:line="240" w:lineRule="auto"/>
      </w:pPr>
      <w:r>
        <w:separator/>
      </w:r>
    </w:p>
  </w:endnote>
  <w:endnote w:type="continuationSeparator" w:id="0">
    <w:p w:rsidR="003447F0" w:rsidRDefault="00344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603" w:rsidRDefault="00FA160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603" w:rsidRDefault="00FA1603">
    <w:pPr>
      <w:pStyle w:val="Piedepgina"/>
    </w:pPr>
    <w:r>
      <w:rPr>
        <w:noProof/>
        <w:lang w:val="es-MX" w:eastAsia="es-MX"/>
      </w:rPr>
      <w:drawing>
        <wp:anchor distT="0" distB="0" distL="114300" distR="114300" simplePos="0" relativeHeight="251675136" behindDoc="0" locked="0" layoutInCell="1" allowOverlap="1" wp14:anchorId="21456F73" wp14:editId="7FD151E9">
          <wp:simplePos x="0" y="0"/>
          <wp:positionH relativeFrom="column">
            <wp:posOffset>-1155290</wp:posOffset>
          </wp:positionH>
          <wp:positionV relativeFrom="paragraph">
            <wp:posOffset>-4811581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603" w:rsidRDefault="00FA160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7F0" w:rsidRDefault="003447F0">
      <w:pPr>
        <w:spacing w:after="0" w:line="240" w:lineRule="auto"/>
      </w:pPr>
      <w:r>
        <w:separator/>
      </w:r>
    </w:p>
  </w:footnote>
  <w:footnote w:type="continuationSeparator" w:id="0">
    <w:p w:rsidR="003447F0" w:rsidRDefault="003447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FA1603" w:rsidP="00D25099">
        <w:pPr>
          <w:pStyle w:val="Encabezado"/>
          <w:jc w:val="center"/>
        </w:pPr>
        <w:r>
          <w:rPr>
            <w:noProof/>
            <w:lang w:val="es-MX" w:eastAsia="es-MX"/>
          </w:rPr>
          <w:drawing>
            <wp:anchor distT="0" distB="0" distL="114300" distR="114300" simplePos="0" relativeHeight="251672064" behindDoc="0" locked="0" layoutInCell="1" allowOverlap="1" wp14:anchorId="4B17EF62" wp14:editId="70476A00">
              <wp:simplePos x="0" y="0"/>
              <wp:positionH relativeFrom="column">
                <wp:posOffset>5250031</wp:posOffset>
              </wp:positionH>
              <wp:positionV relativeFrom="paragraph">
                <wp:posOffset>5600961</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FA1603">
          <w:rPr>
            <w:noProof/>
          </w:rPr>
          <w:t>1</w:t>
        </w:r>
        <w:r>
          <w:rPr>
            <w:noProof/>
          </w:rPr>
          <w:fldChar w:fldCharType="end"/>
        </w:r>
      </w:p>
      <w:p w:rsidR="005145D8" w:rsidRDefault="003447F0"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1824" behindDoc="1" locked="0" layoutInCell="1" allowOverlap="1" wp14:anchorId="67C12E7E" wp14:editId="7921846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0560" behindDoc="0" locked="0" layoutInCell="1" allowOverlap="1" wp14:anchorId="15E1E540" wp14:editId="16247CC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603" w:rsidRDefault="00FA160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26B8E"/>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47F0"/>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0CE6"/>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7AD"/>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355F"/>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76E6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1603"/>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88873A-C17C-41CC-82E6-6F6C3A5A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36B84-304D-414C-906B-5D24C3E8A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3116</TotalTime>
  <Pages>4</Pages>
  <Words>1023</Words>
  <Characters>5632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246</cp:revision>
  <cp:lastPrinted>2019-06-13T18:30:00Z</cp:lastPrinted>
  <dcterms:created xsi:type="dcterms:W3CDTF">2017-09-05T18:57:00Z</dcterms:created>
  <dcterms:modified xsi:type="dcterms:W3CDTF">2019-07-02T15:29:00Z</dcterms:modified>
</cp:coreProperties>
</file>