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D87CAF" w14:textId="77777777" w:rsidR="0029796E" w:rsidRDefault="0029796E" w:rsidP="008300AB">
      <w:pPr>
        <w:ind w:left="3119"/>
        <w:jc w:val="both"/>
        <w:rPr>
          <w:rFonts w:ascii="Arial" w:hAnsi="Arial" w:cs="Arial"/>
          <w:b/>
          <w:sz w:val="26"/>
          <w:szCs w:val="26"/>
        </w:rPr>
      </w:pPr>
      <w:r>
        <w:rPr>
          <w:rFonts w:ascii="Arial" w:hAnsi="Arial" w:cs="Arial"/>
          <w:b/>
          <w:sz w:val="26"/>
          <w:szCs w:val="26"/>
        </w:rPr>
        <w:t xml:space="preserve">SUPERIOR DEL TRIBUNAL DE JUSTICIA ADMINISTRATIVA DEL ESTADO DE OAXACA. </w:t>
      </w:r>
    </w:p>
    <w:p w14:paraId="6E3410BA" w14:textId="77777777" w:rsidR="0029796E" w:rsidRDefault="0029796E" w:rsidP="008300AB">
      <w:pPr>
        <w:ind w:left="3119"/>
        <w:jc w:val="both"/>
        <w:rPr>
          <w:rFonts w:ascii="Arial" w:hAnsi="Arial" w:cs="Arial"/>
          <w:b/>
          <w:sz w:val="26"/>
          <w:szCs w:val="26"/>
        </w:rPr>
      </w:pPr>
      <w:r>
        <w:rPr>
          <w:rFonts w:ascii="Arial" w:hAnsi="Arial" w:cs="Arial"/>
          <w:b/>
          <w:sz w:val="26"/>
          <w:szCs w:val="26"/>
        </w:rPr>
        <w:t>RECURSO DE REVISIÓN: 0421/2021.</w:t>
      </w:r>
    </w:p>
    <w:p w14:paraId="5E729087" w14:textId="77777777" w:rsidR="0029796E" w:rsidRDefault="0029796E" w:rsidP="008300AB">
      <w:pPr>
        <w:ind w:left="3119"/>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0108/2021 DE LA TERCERA SALA UNITARIA DE PRIMERA INSTANCIA.</w:t>
      </w:r>
    </w:p>
    <w:p w14:paraId="6C1F66AE" w14:textId="77777777" w:rsidR="0029796E" w:rsidRDefault="0029796E" w:rsidP="008300AB">
      <w:pPr>
        <w:ind w:left="3119"/>
        <w:jc w:val="both"/>
        <w:rPr>
          <w:rFonts w:ascii="Arial" w:hAnsi="Arial" w:cs="Arial"/>
          <w:b/>
          <w:sz w:val="26"/>
          <w:szCs w:val="26"/>
        </w:rPr>
      </w:pPr>
      <w:r>
        <w:rPr>
          <w:rFonts w:ascii="Arial" w:hAnsi="Arial" w:cs="Arial"/>
          <w:b/>
          <w:sz w:val="26"/>
          <w:szCs w:val="26"/>
        </w:rPr>
        <w:t>PONENTE: MAGISTRADA GLORIA DEL CARMEN CAMACHO MEZA.</w:t>
      </w:r>
    </w:p>
    <w:p w14:paraId="0BB300AC" w14:textId="77777777" w:rsidR="0029796E" w:rsidRDefault="0029796E" w:rsidP="0029796E">
      <w:pPr>
        <w:spacing w:line="240" w:lineRule="auto"/>
        <w:ind w:left="2124"/>
        <w:jc w:val="both"/>
        <w:rPr>
          <w:rFonts w:ascii="Arial" w:hAnsi="Arial" w:cs="Arial"/>
          <w:b/>
          <w:sz w:val="26"/>
          <w:szCs w:val="26"/>
        </w:rPr>
      </w:pPr>
    </w:p>
    <w:p w14:paraId="6D2D89D8" w14:textId="063643F5" w:rsidR="0029796E" w:rsidRDefault="0029796E" w:rsidP="0036038B">
      <w:pPr>
        <w:spacing w:line="360" w:lineRule="auto"/>
        <w:jc w:val="both"/>
        <w:rPr>
          <w:rFonts w:ascii="Arial" w:hAnsi="Arial" w:cs="Arial"/>
          <w:b/>
          <w:sz w:val="26"/>
          <w:szCs w:val="26"/>
        </w:rPr>
      </w:pPr>
      <w:r>
        <w:rPr>
          <w:rFonts w:ascii="Arial" w:hAnsi="Arial" w:cs="Arial"/>
          <w:b/>
          <w:sz w:val="26"/>
          <w:szCs w:val="26"/>
        </w:rPr>
        <w:t xml:space="preserve">OAXACA DE JUÁREZ, OAXACA, </w:t>
      </w:r>
      <w:r w:rsidR="0036038B">
        <w:rPr>
          <w:rFonts w:ascii="Arial" w:hAnsi="Arial" w:cs="Arial"/>
          <w:b/>
          <w:sz w:val="26"/>
          <w:szCs w:val="26"/>
        </w:rPr>
        <w:t xml:space="preserve">A SIETE DE JULIO </w:t>
      </w:r>
      <w:r>
        <w:rPr>
          <w:rFonts w:ascii="Arial" w:hAnsi="Arial" w:cs="Arial"/>
          <w:b/>
          <w:sz w:val="26"/>
          <w:szCs w:val="26"/>
        </w:rPr>
        <w:t xml:space="preserve">DE DOS MIL VEINTIDÓS - - - - - - - - - - - - - - - - - - - - - - - - - - - - - - - - - - - - - - - - - - - </w:t>
      </w:r>
    </w:p>
    <w:p w14:paraId="070E08A0" w14:textId="5BC00234" w:rsidR="0029796E" w:rsidRDefault="0029796E" w:rsidP="0029796E">
      <w:pPr>
        <w:spacing w:line="360" w:lineRule="auto"/>
        <w:jc w:val="both"/>
        <w:rPr>
          <w:rFonts w:ascii="Arial" w:hAnsi="Arial" w:cs="Arial"/>
          <w:sz w:val="26"/>
          <w:szCs w:val="26"/>
        </w:rPr>
      </w:pPr>
      <w:r>
        <w:rPr>
          <w:rFonts w:ascii="Arial" w:hAnsi="Arial" w:cs="Arial"/>
          <w:b/>
          <w:sz w:val="26"/>
          <w:szCs w:val="26"/>
        </w:rPr>
        <w:t xml:space="preserve">  </w:t>
      </w:r>
      <w:r>
        <w:rPr>
          <w:rFonts w:ascii="Arial" w:hAnsi="Arial" w:cs="Arial"/>
          <w:b/>
          <w:sz w:val="26"/>
          <w:szCs w:val="26"/>
        </w:rPr>
        <w:tab/>
        <w:t xml:space="preserve"> </w:t>
      </w:r>
      <w:r>
        <w:rPr>
          <w:rFonts w:ascii="Arial" w:hAnsi="Arial" w:cs="Arial"/>
          <w:sz w:val="26"/>
          <w:szCs w:val="26"/>
        </w:rPr>
        <w:t xml:space="preserve">Por recibido el cuaderno de revisión </w:t>
      </w:r>
      <w:r>
        <w:rPr>
          <w:rFonts w:ascii="Arial" w:hAnsi="Arial" w:cs="Arial"/>
          <w:b/>
          <w:sz w:val="26"/>
          <w:szCs w:val="26"/>
        </w:rPr>
        <w:t>0421/2021</w:t>
      </w:r>
      <w:r>
        <w:rPr>
          <w:rFonts w:ascii="Arial" w:hAnsi="Arial" w:cs="Arial"/>
          <w:sz w:val="26"/>
          <w:szCs w:val="26"/>
        </w:rPr>
        <w:t xml:space="preserve"> que remite la Secretaría General de Acuerdos, con motivo del recurso de revisión interpuesto por </w:t>
      </w:r>
      <w:r w:rsidR="00F35DC2">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contra del acuerdo de dieciocho de octubre de dos mil veintiuno, dictado en el expediente </w:t>
      </w:r>
      <w:r>
        <w:rPr>
          <w:rFonts w:ascii="Arial" w:hAnsi="Arial" w:cs="Arial"/>
          <w:b/>
          <w:sz w:val="26"/>
          <w:szCs w:val="26"/>
        </w:rPr>
        <w:t>0108/2021</w:t>
      </w:r>
      <w:r>
        <w:rPr>
          <w:rFonts w:ascii="Arial" w:hAnsi="Arial" w:cs="Arial"/>
          <w:sz w:val="26"/>
          <w:szCs w:val="26"/>
        </w:rPr>
        <w:t xml:space="preserve"> de la Tercera Sala Unitaria de Primera Instancia, relativo al juicio de nulidad promovido por </w:t>
      </w:r>
      <w:r w:rsidR="0070670A">
        <w:rPr>
          <w:rFonts w:ascii="Arial" w:hAnsi="Arial" w:cs="Arial"/>
          <w:b/>
          <w:sz w:val="26"/>
          <w:szCs w:val="26"/>
        </w:rPr>
        <w:t>LOS</w:t>
      </w:r>
      <w:r w:rsidR="0070670A">
        <w:rPr>
          <w:rFonts w:ascii="Arial" w:hAnsi="Arial" w:cs="Arial"/>
          <w:sz w:val="26"/>
          <w:szCs w:val="26"/>
        </w:rPr>
        <w:t xml:space="preserve"> </w:t>
      </w:r>
      <w:r w:rsidR="0070670A">
        <w:rPr>
          <w:rFonts w:ascii="Arial" w:hAnsi="Arial" w:cs="Arial"/>
          <w:b/>
          <w:bCs/>
          <w:sz w:val="26"/>
          <w:szCs w:val="26"/>
        </w:rPr>
        <w:t>RECURRENTES</w:t>
      </w:r>
      <w:r>
        <w:rPr>
          <w:rFonts w:ascii="Arial" w:hAnsi="Arial" w:cs="Arial"/>
          <w:b/>
          <w:bCs/>
          <w:sz w:val="26"/>
          <w:szCs w:val="26"/>
        </w:rPr>
        <w:t>,</w:t>
      </w:r>
      <w:r>
        <w:rPr>
          <w:rFonts w:ascii="Arial" w:hAnsi="Arial" w:cs="Arial"/>
          <w:sz w:val="26"/>
          <w:szCs w:val="26"/>
        </w:rPr>
        <w:t xml:space="preserve"> contra actos de la </w:t>
      </w:r>
      <w:r w:rsidR="0070670A">
        <w:rPr>
          <w:rFonts w:ascii="Arial" w:hAnsi="Arial" w:cs="Arial"/>
          <w:b/>
          <w:sz w:val="26"/>
          <w:szCs w:val="26"/>
        </w:rPr>
        <w:t xml:space="preserve">COORDINADORA DE COBRO COACTIVO DE LA DIRECCIÓN DE INGRESOS Y DEL NOTIFICADOR-EJECUTOR DEPENDIENTE DE LA DELEGACIÓN FISCAL 29 TUXTEPEC ZONA, DEPENDIENTE DE LA CITADA DIRECCIÓN. </w:t>
      </w:r>
      <w:r>
        <w:rPr>
          <w:rFonts w:ascii="Arial" w:hAnsi="Arial" w:cs="Arial"/>
          <w:sz w:val="26"/>
          <w:szCs w:val="26"/>
        </w:rPr>
        <w:t xml:space="preserve">Por lo que con fundamento en los artículos 236, 238 de la Ley de Procedimiento y Justicia Administrativa para el Estado de Oaxaca y </w:t>
      </w:r>
      <w:r>
        <w:rPr>
          <w:rFonts w:ascii="Arial" w:hAnsi="Arial" w:cs="Arial"/>
          <w:bCs/>
          <w:iCs/>
          <w:sz w:val="26"/>
          <w:szCs w:val="26"/>
        </w:rPr>
        <w:t xml:space="preserve">24, fracciones I y III de la Ley Orgánica del Tribunal de Justicia Administrativa del Estado de Oaxaca, </w:t>
      </w:r>
      <w:r w:rsidR="00BF0A4A">
        <w:rPr>
          <w:rFonts w:ascii="Arial" w:hAnsi="Arial" w:cs="Arial"/>
          <w:bCs/>
          <w:iCs/>
          <w:sz w:val="26"/>
          <w:szCs w:val="26"/>
        </w:rPr>
        <w:t xml:space="preserve">se da </w:t>
      </w:r>
      <w:r w:rsidR="00F35DC2">
        <w:rPr>
          <w:rFonts w:ascii="Arial" w:hAnsi="Arial" w:cs="Arial"/>
          <w:bCs/>
          <w:iCs/>
          <w:sz w:val="26"/>
          <w:szCs w:val="26"/>
        </w:rPr>
        <w:t>trámite</w:t>
      </w:r>
      <w:r w:rsidR="00BF0A4A">
        <w:rPr>
          <w:rFonts w:ascii="Arial" w:hAnsi="Arial" w:cs="Arial"/>
          <w:bCs/>
          <w:iCs/>
          <w:sz w:val="26"/>
          <w:szCs w:val="26"/>
        </w:rPr>
        <w:t xml:space="preserve">. Por lo consiguiente </w:t>
      </w:r>
      <w:r>
        <w:rPr>
          <w:rFonts w:ascii="Arial" w:hAnsi="Arial" w:cs="Arial"/>
          <w:sz w:val="26"/>
          <w:szCs w:val="26"/>
        </w:rPr>
        <w:t xml:space="preserve">se procede a dictar resolución en los siguientes </w:t>
      </w:r>
      <w:r w:rsidR="0076255E">
        <w:rPr>
          <w:rFonts w:ascii="Arial" w:hAnsi="Arial" w:cs="Arial"/>
          <w:sz w:val="26"/>
          <w:szCs w:val="26"/>
        </w:rPr>
        <w:t>términos: -</w:t>
      </w:r>
      <w:r>
        <w:rPr>
          <w:rFonts w:ascii="Arial" w:hAnsi="Arial" w:cs="Arial"/>
          <w:sz w:val="26"/>
          <w:szCs w:val="26"/>
        </w:rPr>
        <w:t xml:space="preserve"> - </w:t>
      </w:r>
      <w:r w:rsidR="00BF0A4A">
        <w:rPr>
          <w:rFonts w:ascii="Arial" w:hAnsi="Arial" w:cs="Arial"/>
          <w:sz w:val="26"/>
          <w:szCs w:val="26"/>
        </w:rPr>
        <w:t xml:space="preserve">- - - - - - - - </w:t>
      </w:r>
    </w:p>
    <w:p w14:paraId="406D9DFE" w14:textId="77777777" w:rsidR="0029796E" w:rsidRDefault="0029796E" w:rsidP="0029796E">
      <w:pPr>
        <w:spacing w:line="360" w:lineRule="auto"/>
        <w:jc w:val="center"/>
        <w:rPr>
          <w:rFonts w:ascii="Arial" w:hAnsi="Arial" w:cs="Arial"/>
          <w:sz w:val="26"/>
          <w:szCs w:val="26"/>
        </w:rPr>
      </w:pPr>
      <w:r>
        <w:rPr>
          <w:rFonts w:ascii="Arial" w:hAnsi="Arial" w:cs="Arial"/>
          <w:b/>
          <w:bCs/>
          <w:sz w:val="26"/>
          <w:szCs w:val="26"/>
        </w:rPr>
        <w:t>R E S U L T A N D O</w:t>
      </w:r>
    </w:p>
    <w:p w14:paraId="4852F822" w14:textId="1096F365" w:rsidR="0029796E" w:rsidRDefault="0029796E" w:rsidP="0029796E">
      <w:pPr>
        <w:spacing w:line="360" w:lineRule="auto"/>
        <w:jc w:val="both"/>
        <w:rPr>
          <w:rFonts w:ascii="Arial" w:hAnsi="Arial" w:cs="Arial"/>
          <w:sz w:val="26"/>
          <w:szCs w:val="26"/>
        </w:rPr>
      </w:pPr>
      <w:r>
        <w:rPr>
          <w:rFonts w:ascii="Arial" w:hAnsi="Arial" w:cs="Arial"/>
          <w:b/>
          <w:bCs/>
          <w:sz w:val="26"/>
          <w:szCs w:val="26"/>
        </w:rPr>
        <w:t xml:space="preserve">    </w:t>
      </w:r>
      <w:r>
        <w:rPr>
          <w:rFonts w:ascii="Arial" w:hAnsi="Arial" w:cs="Arial"/>
          <w:b/>
          <w:bCs/>
          <w:sz w:val="26"/>
          <w:szCs w:val="26"/>
        </w:rPr>
        <w:tab/>
        <w:t xml:space="preserve">PRIMERO. </w:t>
      </w:r>
      <w:r>
        <w:rPr>
          <w:rFonts w:ascii="Arial" w:hAnsi="Arial" w:cs="Arial"/>
          <w:sz w:val="26"/>
          <w:szCs w:val="26"/>
        </w:rPr>
        <w:t xml:space="preserve">Inconforme con el acuerdo de dieciocho de octubre de dos mil veintiuno, dictado por la Tercera Sala Unitaria de Primera Instancia, </w:t>
      </w:r>
      <w:r w:rsidR="00F35DC2">
        <w:rPr>
          <w:rFonts w:ascii="Arial" w:hAnsi="Arial" w:cs="Arial"/>
          <w:b/>
          <w:sz w:val="26"/>
          <w:szCs w:val="26"/>
        </w:rPr>
        <w:t>*******</w:t>
      </w:r>
      <w:r w:rsidR="00491617">
        <w:rPr>
          <w:rFonts w:ascii="Arial" w:hAnsi="Arial" w:cs="Arial"/>
          <w:b/>
          <w:sz w:val="26"/>
          <w:szCs w:val="26"/>
        </w:rPr>
        <w:t xml:space="preserve">, </w:t>
      </w:r>
      <w:r>
        <w:rPr>
          <w:rFonts w:ascii="Arial" w:hAnsi="Arial" w:cs="Arial"/>
          <w:sz w:val="26"/>
          <w:szCs w:val="26"/>
        </w:rPr>
        <w:t xml:space="preserve">interpusieron en su contra recurso de </w:t>
      </w:r>
      <w:r w:rsidR="00AE70BC">
        <w:rPr>
          <w:rFonts w:ascii="Arial" w:hAnsi="Arial" w:cs="Arial"/>
          <w:sz w:val="26"/>
          <w:szCs w:val="26"/>
        </w:rPr>
        <w:t>revisión. -</w:t>
      </w:r>
      <w:r>
        <w:rPr>
          <w:rFonts w:ascii="Arial" w:hAnsi="Arial" w:cs="Arial"/>
          <w:sz w:val="26"/>
          <w:szCs w:val="26"/>
        </w:rPr>
        <w:t xml:space="preserve"> - - - - </w:t>
      </w:r>
    </w:p>
    <w:p w14:paraId="3206088B" w14:textId="1B149F8F" w:rsidR="0029796E" w:rsidRDefault="0029796E" w:rsidP="0029796E">
      <w:pPr>
        <w:spacing w:before="120" w:after="0" w:line="360" w:lineRule="auto"/>
        <w:jc w:val="both"/>
        <w:rPr>
          <w:rFonts w:ascii="Arial" w:hAnsi="Arial" w:cs="Arial"/>
          <w:sz w:val="26"/>
          <w:szCs w:val="26"/>
        </w:rPr>
      </w:pPr>
      <w:r>
        <w:rPr>
          <w:rFonts w:ascii="Arial" w:hAnsi="Arial" w:cs="Arial"/>
          <w:sz w:val="26"/>
          <w:szCs w:val="26"/>
        </w:rPr>
        <w:t xml:space="preserve">    </w:t>
      </w:r>
      <w:r>
        <w:rPr>
          <w:rFonts w:ascii="Arial" w:hAnsi="Arial" w:cs="Arial"/>
          <w:sz w:val="26"/>
          <w:szCs w:val="26"/>
        </w:rPr>
        <w:tab/>
      </w:r>
      <w:r>
        <w:rPr>
          <w:rFonts w:ascii="Arial" w:hAnsi="Arial" w:cs="Arial"/>
          <w:b/>
          <w:bCs/>
          <w:sz w:val="26"/>
          <w:szCs w:val="26"/>
        </w:rPr>
        <w:t xml:space="preserve">SEGUNDO. </w:t>
      </w:r>
      <w:r>
        <w:rPr>
          <w:rFonts w:ascii="Arial" w:hAnsi="Arial" w:cs="Arial"/>
          <w:bCs/>
          <w:sz w:val="26"/>
          <w:szCs w:val="26"/>
        </w:rPr>
        <w:t>El</w:t>
      </w:r>
      <w:r>
        <w:rPr>
          <w:rFonts w:ascii="Arial" w:hAnsi="Arial" w:cs="Arial"/>
          <w:b/>
          <w:bCs/>
          <w:sz w:val="26"/>
          <w:szCs w:val="26"/>
        </w:rPr>
        <w:t xml:space="preserve"> </w:t>
      </w:r>
      <w:r>
        <w:rPr>
          <w:rFonts w:ascii="Arial" w:hAnsi="Arial" w:cs="Arial"/>
          <w:bCs/>
          <w:sz w:val="26"/>
          <w:szCs w:val="26"/>
        </w:rPr>
        <w:t xml:space="preserve">contenido del acuerdo recurrido </w:t>
      </w:r>
      <w:r>
        <w:rPr>
          <w:rFonts w:ascii="Arial" w:hAnsi="Arial" w:cs="Arial"/>
          <w:sz w:val="26"/>
          <w:szCs w:val="26"/>
        </w:rPr>
        <w:t xml:space="preserve">es el </w:t>
      </w:r>
      <w:r w:rsidR="00540D90">
        <w:rPr>
          <w:rFonts w:ascii="Arial" w:hAnsi="Arial" w:cs="Arial"/>
          <w:sz w:val="26"/>
          <w:szCs w:val="26"/>
        </w:rPr>
        <w:t>siguiente: -</w:t>
      </w:r>
      <w:r>
        <w:rPr>
          <w:rFonts w:ascii="Arial" w:hAnsi="Arial" w:cs="Arial"/>
          <w:sz w:val="26"/>
          <w:szCs w:val="26"/>
        </w:rPr>
        <w:t xml:space="preserve"> - </w:t>
      </w:r>
    </w:p>
    <w:p w14:paraId="2C828E52" w14:textId="46233146" w:rsidR="0029796E" w:rsidRDefault="0029796E" w:rsidP="0029796E">
      <w:pPr>
        <w:spacing w:before="120" w:after="0" w:line="360" w:lineRule="auto"/>
        <w:ind w:left="851" w:right="758" w:firstLine="709"/>
        <w:jc w:val="both"/>
        <w:rPr>
          <w:rFonts w:ascii="Arial" w:hAnsi="Arial" w:cs="Arial"/>
          <w:b/>
          <w:bCs/>
          <w:i/>
        </w:rPr>
      </w:pPr>
      <w:r>
        <w:rPr>
          <w:rFonts w:ascii="Arial" w:hAnsi="Arial" w:cs="Arial"/>
          <w:i/>
        </w:rPr>
        <w:t>“Por recibida la demanda en la oficialía de partes común de este Tribunal, el día quince del actual, promovida por</w:t>
      </w:r>
      <w:r w:rsidR="00F35DC2">
        <w:rPr>
          <w:rFonts w:ascii="Arial" w:hAnsi="Arial" w:cs="Arial"/>
          <w:i/>
        </w:rPr>
        <w:t xml:space="preserve"> *******</w:t>
      </w:r>
      <w:r>
        <w:rPr>
          <w:rFonts w:ascii="Arial" w:hAnsi="Arial" w:cs="Arial"/>
          <w:i/>
        </w:rPr>
        <w:t>, contra actos de las (sic) Coordinadora de Cobro Coactivo y Notificador-Ejecutor Dependiente de la Delegación Fiscal 29, Tuxtepec Zona, ambos dependientes de la dirección de Ingresos de la Secretaría de Finanzas del Gobierno del Estado de Oaxaca; en consecuencia,</w:t>
      </w:r>
      <w:r w:rsidR="00F35DC2">
        <w:rPr>
          <w:rFonts w:ascii="Arial" w:hAnsi="Arial" w:cs="Arial"/>
          <w:i/>
        </w:rPr>
        <w:t xml:space="preserve"> </w:t>
      </w:r>
      <w:r>
        <w:rPr>
          <w:rFonts w:ascii="Arial" w:hAnsi="Arial" w:cs="Arial"/>
          <w:i/>
        </w:rPr>
        <w:lastRenderedPageBreak/>
        <w:t xml:space="preserve">fórmese expediente y regístrese su ingreso en el Libro de Gobierno que para tal efecto lleva esta Tercera Sala Unitaria con el número </w:t>
      </w:r>
      <w:r>
        <w:rPr>
          <w:rFonts w:ascii="Arial" w:hAnsi="Arial" w:cs="Arial"/>
          <w:b/>
          <w:bCs/>
          <w:i/>
        </w:rPr>
        <w:t>0108/2021.</w:t>
      </w:r>
    </w:p>
    <w:p w14:paraId="279AA0C1" w14:textId="77777777" w:rsidR="0029796E" w:rsidRDefault="0029796E" w:rsidP="0029796E">
      <w:pPr>
        <w:spacing w:before="120" w:after="0" w:line="360" w:lineRule="auto"/>
        <w:ind w:left="851" w:right="758" w:firstLine="709"/>
        <w:jc w:val="both"/>
        <w:rPr>
          <w:rFonts w:ascii="Arial" w:hAnsi="Arial" w:cs="Arial"/>
          <w:b/>
          <w:bCs/>
          <w:i/>
        </w:rPr>
      </w:pPr>
      <w:r>
        <w:rPr>
          <w:rFonts w:ascii="Arial" w:hAnsi="Arial" w:cs="Arial"/>
          <w:i/>
        </w:rPr>
        <w:t>Ahora bien, de conformidad con lo dispuesto en el artículo 161 último párrafo de la Ley de procedimiento y Justicia Administrativa para el Estado de Oaxaca, esta Juzgadora procede a analizar si en el presente asunto se actualiza alguna causal de improcedencia del Juicio que impida su conocimiento</w:t>
      </w:r>
      <w:r>
        <w:rPr>
          <w:rFonts w:ascii="Arial" w:hAnsi="Arial" w:cs="Arial"/>
          <w:b/>
          <w:bCs/>
          <w:i/>
        </w:rPr>
        <w:t>.</w:t>
      </w:r>
    </w:p>
    <w:p w14:paraId="7215D218" w14:textId="5D70E655" w:rsidR="0029796E" w:rsidRDefault="0029796E" w:rsidP="0029796E">
      <w:pPr>
        <w:spacing w:before="120" w:after="0" w:line="360" w:lineRule="auto"/>
        <w:ind w:left="851" w:right="758" w:firstLine="709"/>
        <w:jc w:val="both"/>
        <w:rPr>
          <w:rFonts w:ascii="Arial" w:hAnsi="Arial" w:cs="Arial"/>
          <w:i/>
        </w:rPr>
      </w:pPr>
      <w:r>
        <w:rPr>
          <w:rFonts w:ascii="Arial" w:hAnsi="Arial" w:cs="Arial"/>
          <w:i/>
        </w:rPr>
        <w:t xml:space="preserve">En el presente asunto, los actores señalaron como actos impugnados el mandamiento de ejecución número </w:t>
      </w:r>
      <w:r w:rsidR="00F35DC2">
        <w:rPr>
          <w:rFonts w:ascii="Arial" w:hAnsi="Arial" w:cs="Arial"/>
          <w:i/>
        </w:rPr>
        <w:t>*******</w:t>
      </w:r>
      <w:r>
        <w:rPr>
          <w:rFonts w:ascii="Arial" w:hAnsi="Arial" w:cs="Arial"/>
          <w:i/>
        </w:rPr>
        <w:t xml:space="preserve">, que contiene el crédito fiscal número </w:t>
      </w:r>
      <w:r w:rsidR="00F35DC2">
        <w:rPr>
          <w:rFonts w:ascii="Arial" w:hAnsi="Arial" w:cs="Arial"/>
          <w:i/>
        </w:rPr>
        <w:t>*******</w:t>
      </w:r>
      <w:r>
        <w:rPr>
          <w:rFonts w:ascii="Arial" w:hAnsi="Arial" w:cs="Arial"/>
          <w:i/>
        </w:rPr>
        <w:t xml:space="preserve">, derivado de resolución determinante de siete de febrero de dos mil diecinueve, en el procedimiento número </w:t>
      </w:r>
      <w:r w:rsidR="00F35DC2">
        <w:rPr>
          <w:rFonts w:ascii="Arial" w:hAnsi="Arial" w:cs="Arial"/>
          <w:i/>
        </w:rPr>
        <w:t>*******</w:t>
      </w:r>
      <w:r>
        <w:rPr>
          <w:rFonts w:ascii="Arial" w:hAnsi="Arial" w:cs="Arial"/>
          <w:i/>
        </w:rPr>
        <w:t>; la falta de convenio celebrado entre la Secretaría de Finanzas y en nuevo Órgano Superior de Fiscalización para el cobro de multas y sanciones derivadas de procedimientos resarcitorios; la indebida fundamentación y motivación del mandamiento de ejecución referido, y las diligencias de notificación y requerimiento de pago efectuada el veintinueve de septiembre de dos mil veintiuno.</w:t>
      </w:r>
    </w:p>
    <w:p w14:paraId="4A29D595" w14:textId="77777777" w:rsidR="0029796E" w:rsidRDefault="0029796E" w:rsidP="0029796E">
      <w:pPr>
        <w:spacing w:before="120" w:after="0" w:line="360" w:lineRule="auto"/>
        <w:ind w:left="851" w:right="758" w:firstLine="709"/>
        <w:jc w:val="both"/>
        <w:rPr>
          <w:rFonts w:ascii="Arial" w:hAnsi="Arial" w:cs="Arial"/>
          <w:i/>
        </w:rPr>
      </w:pPr>
      <w:r>
        <w:rPr>
          <w:rFonts w:ascii="Arial" w:hAnsi="Arial" w:cs="Arial"/>
          <w:i/>
        </w:rPr>
        <w:t xml:space="preserve">Ahora bien, del contenido de los numerales 98 párrafo primero y 99 ambos de la Ley de Procedimiento y Justicia Administrativa para el Estado de Oaxaca, se advierte que solo pueden ser impugnables que </w:t>
      </w:r>
      <w:r>
        <w:rPr>
          <w:rFonts w:ascii="Arial" w:hAnsi="Arial" w:cs="Arial"/>
          <w:b/>
          <w:bCs/>
          <w:i/>
        </w:rPr>
        <w:t xml:space="preserve">determinen poner fin al procedimiento administrativo, a una instancia o resuelvan un expediente o que le causen agravio al particular, </w:t>
      </w:r>
      <w:r>
        <w:rPr>
          <w:rFonts w:ascii="Arial" w:hAnsi="Arial" w:cs="Arial"/>
          <w:i/>
        </w:rPr>
        <w:t xml:space="preserve">hipótesis en la que no se encuentran los actos impugnados por los actores, toda vez que se encuentra vigente la posibilidad de que se apersonen al procedimiento administrativo de ejecución impugnado, haciendo valer sus </w:t>
      </w:r>
      <w:r>
        <w:rPr>
          <w:rFonts w:ascii="Arial" w:hAnsi="Arial" w:cs="Arial"/>
          <w:b/>
          <w:bCs/>
          <w:i/>
        </w:rPr>
        <w:t xml:space="preserve">derechos de audiencia </w:t>
      </w:r>
      <w:r>
        <w:rPr>
          <w:rFonts w:ascii="Arial" w:hAnsi="Arial" w:cs="Arial"/>
          <w:i/>
        </w:rPr>
        <w:t>en sede administrativa, pudiendo alegar lo que a sus derechos convenga.</w:t>
      </w:r>
    </w:p>
    <w:p w14:paraId="41F3A080" w14:textId="77777777" w:rsidR="0029796E" w:rsidRDefault="0029796E" w:rsidP="0029796E">
      <w:pPr>
        <w:spacing w:before="120" w:after="0" w:line="360" w:lineRule="auto"/>
        <w:ind w:left="851" w:right="758" w:firstLine="709"/>
        <w:jc w:val="both"/>
        <w:rPr>
          <w:rFonts w:ascii="Arial" w:hAnsi="Arial" w:cs="Arial"/>
          <w:i/>
        </w:rPr>
      </w:pPr>
      <w:r>
        <w:rPr>
          <w:rFonts w:ascii="Arial" w:hAnsi="Arial" w:cs="Arial"/>
          <w:i/>
        </w:rPr>
        <w:t xml:space="preserve">También, se toma en cuenta, que el mandamiento de ejecución impugnado, </w:t>
      </w:r>
      <w:r>
        <w:rPr>
          <w:rFonts w:ascii="Arial" w:hAnsi="Arial" w:cs="Arial"/>
          <w:b/>
          <w:bCs/>
          <w:i/>
        </w:rPr>
        <w:t xml:space="preserve">no se encuentra dentro de las hipótesis prevista (sic) en los incisos a), b) y c), fracción VIII, del artículo 133 </w:t>
      </w:r>
      <w:r>
        <w:rPr>
          <w:rFonts w:ascii="Arial" w:hAnsi="Arial" w:cs="Arial"/>
          <w:i/>
        </w:rPr>
        <w:t xml:space="preserve">de la Ley de Procedimiento y Justicia Administrativa para el Estado de Oaxaca, esto es así, en virtud de que no costa en autos, que el monto del crédito fiscal sea inferior al exigido o que los actores sean poseedores a títulos de propietarios del bien embargado, en caso de que lo hubiera, lo cual no se advierte de los hechos planteados por la parte actora, y bien argumentan que el procedimiento coactivo no se ajusta a la ley, lo cierto es que en ese supuesto, solo podrán alegar cuando se haya dictado </w:t>
      </w:r>
      <w:r>
        <w:rPr>
          <w:rFonts w:ascii="Arial" w:hAnsi="Arial" w:cs="Arial"/>
          <w:b/>
          <w:bCs/>
          <w:i/>
        </w:rPr>
        <w:t xml:space="preserve">resolución que apruebe el remate </w:t>
      </w:r>
      <w:r>
        <w:rPr>
          <w:rFonts w:ascii="Arial" w:hAnsi="Arial" w:cs="Arial"/>
          <w:i/>
        </w:rPr>
        <w:t xml:space="preserve">de un bien embargado, salvo que este sea de imposible reparación, como lo dispone el inciso d) de la fracción </w:t>
      </w:r>
      <w:r>
        <w:rPr>
          <w:rFonts w:ascii="Arial" w:hAnsi="Arial" w:cs="Arial"/>
          <w:i/>
        </w:rPr>
        <w:lastRenderedPageBreak/>
        <w:t>VIII del artículo 133 de la Ley que rige a este Tribunal, situación que en el presente asunto no acontece.</w:t>
      </w:r>
    </w:p>
    <w:p w14:paraId="3A613381" w14:textId="77777777" w:rsidR="0029796E" w:rsidRDefault="0029796E" w:rsidP="0029796E">
      <w:pPr>
        <w:spacing w:before="120" w:after="0" w:line="360" w:lineRule="auto"/>
        <w:ind w:left="851" w:right="758" w:firstLine="709"/>
        <w:jc w:val="both"/>
        <w:rPr>
          <w:rFonts w:ascii="Arial" w:hAnsi="Arial" w:cs="Arial"/>
          <w:i/>
        </w:rPr>
      </w:pPr>
      <w:r>
        <w:rPr>
          <w:rFonts w:ascii="Arial" w:hAnsi="Arial" w:cs="Arial"/>
          <w:i/>
        </w:rPr>
        <w:t xml:space="preserve">En relatadas consideraciones, toda vez que el mandamiento de ejecución, y el requerimiento de pago al carecer de </w:t>
      </w:r>
      <w:proofErr w:type="spellStart"/>
      <w:r>
        <w:rPr>
          <w:rFonts w:ascii="Arial" w:hAnsi="Arial" w:cs="Arial"/>
          <w:i/>
        </w:rPr>
        <w:t>definitividad</w:t>
      </w:r>
      <w:proofErr w:type="spellEnd"/>
      <w:r>
        <w:rPr>
          <w:rFonts w:ascii="Arial" w:hAnsi="Arial" w:cs="Arial"/>
          <w:i/>
        </w:rPr>
        <w:t xml:space="preserve">, no resultan impugnables en este Tribunal, y en atención a que los actos impugnados tampoco se encuentran en las hipótesis previstas en los incisos a) y c), fracción VIII, del artículo 133, de la Ley de Procedimiento y Justicia Administrativa para el Estado de Oaxaca, </w:t>
      </w:r>
      <w:r>
        <w:rPr>
          <w:rFonts w:ascii="Arial" w:hAnsi="Arial" w:cs="Arial"/>
          <w:b/>
          <w:i/>
        </w:rPr>
        <w:t xml:space="preserve">SE DESECHA LA DEMANDA </w:t>
      </w:r>
      <w:r>
        <w:rPr>
          <w:rFonts w:ascii="Arial" w:hAnsi="Arial" w:cs="Arial"/>
          <w:i/>
        </w:rPr>
        <w:t>por notoriamente improcedente, de conformidad con lo dispuesto en los artículos 158, 161 fracción X y último párrafo, y 182 fracción I de la Ley de Procedimiento y Justicia Administrativa para el Estado de Oaxaca. Sirve de apoyo a lo anterior, la tesis con datos de identificación:</w:t>
      </w:r>
    </w:p>
    <w:p w14:paraId="3E01B002" w14:textId="77777777" w:rsidR="0029796E" w:rsidRDefault="0029796E" w:rsidP="0029796E">
      <w:pPr>
        <w:spacing w:before="120" w:after="0" w:line="360" w:lineRule="auto"/>
        <w:ind w:left="851" w:right="758" w:firstLine="709"/>
        <w:jc w:val="both"/>
        <w:rPr>
          <w:rFonts w:ascii="Arial" w:hAnsi="Arial" w:cs="Arial"/>
          <w:i/>
        </w:rPr>
      </w:pPr>
      <w:r>
        <w:rPr>
          <w:rFonts w:ascii="Arial" w:hAnsi="Arial" w:cs="Arial"/>
          <w:i/>
        </w:rPr>
        <w:t>Semanario Judicial de la Federación y su Gaceta, Tomo XVII, Febrero de 2003, Novena Época, pág. 336, registro 184733, Tesis Aislada Administrativa, Segunda Sala, de rubro</w:t>
      </w:r>
      <w:proofErr w:type="gramStart"/>
      <w:r>
        <w:rPr>
          <w:rFonts w:ascii="Arial" w:hAnsi="Arial" w:cs="Arial"/>
          <w:i/>
        </w:rPr>
        <w:t>: ”</w:t>
      </w:r>
      <w:proofErr w:type="gramEnd"/>
      <w:r>
        <w:rPr>
          <w:rFonts w:ascii="Arial" w:hAnsi="Arial" w:cs="Arial"/>
          <w:i/>
        </w:rPr>
        <w:t>TRIBUNAL FEDERAL DE JUSTICIA ADMINISTRATIVA. “RESOLUCIONES ADMINISTRATIVAS DEFINITIVAS”. ALCANCE DEL CONCEPTO A QUE SE REFIERE EL ARTÍCULO 11, PRIMER PÁRRAFO, DE LA LEY ORGÁNICA DE DICHO TRIBUNAL.”</w:t>
      </w:r>
    </w:p>
    <w:p w14:paraId="61CA15E4" w14:textId="77777777" w:rsidR="0029796E" w:rsidRDefault="0029796E" w:rsidP="0029796E">
      <w:pPr>
        <w:spacing w:before="120" w:after="0" w:line="360" w:lineRule="auto"/>
        <w:ind w:left="851" w:right="758" w:firstLine="709"/>
        <w:jc w:val="both"/>
        <w:rPr>
          <w:rFonts w:ascii="Arial" w:hAnsi="Arial" w:cs="Arial"/>
          <w:i/>
        </w:rPr>
      </w:pPr>
      <w:r>
        <w:rPr>
          <w:rFonts w:ascii="Arial" w:hAnsi="Arial" w:cs="Arial"/>
          <w:i/>
        </w:rPr>
        <w:t>[…]”</w:t>
      </w:r>
    </w:p>
    <w:p w14:paraId="20B6AB84" w14:textId="77777777" w:rsidR="0029796E" w:rsidRDefault="0029796E" w:rsidP="0029796E">
      <w:pPr>
        <w:spacing w:after="120" w:line="360" w:lineRule="auto"/>
        <w:ind w:right="49"/>
        <w:jc w:val="center"/>
        <w:rPr>
          <w:rFonts w:ascii="Arial" w:hAnsi="Arial" w:cs="Arial"/>
          <w:b/>
          <w:bCs/>
          <w:iCs/>
          <w:sz w:val="26"/>
          <w:szCs w:val="26"/>
        </w:rPr>
      </w:pPr>
      <w:r>
        <w:rPr>
          <w:rFonts w:ascii="Arial" w:hAnsi="Arial" w:cs="Arial"/>
          <w:b/>
          <w:bCs/>
          <w:iCs/>
          <w:sz w:val="26"/>
          <w:szCs w:val="26"/>
        </w:rPr>
        <w:t>CONSIDERANDO</w:t>
      </w:r>
    </w:p>
    <w:p w14:paraId="1ADE98B5" w14:textId="77777777" w:rsidR="0029796E" w:rsidRDefault="0029796E" w:rsidP="0029796E">
      <w:pPr>
        <w:spacing w:line="360" w:lineRule="auto"/>
        <w:ind w:firstLine="426"/>
        <w:jc w:val="both"/>
        <w:rPr>
          <w:rFonts w:ascii="Arial" w:hAnsi="Arial" w:cs="Arial"/>
          <w:sz w:val="26"/>
          <w:szCs w:val="26"/>
        </w:rPr>
      </w:pPr>
      <w:r>
        <w:rPr>
          <w:rFonts w:ascii="Arial" w:hAnsi="Arial" w:cs="Arial"/>
          <w:b/>
          <w:bCs/>
          <w:iCs/>
          <w:sz w:val="26"/>
          <w:szCs w:val="26"/>
        </w:rPr>
        <w:t xml:space="preserve">    PRIMERO.</w:t>
      </w:r>
      <w:r>
        <w:rPr>
          <w:rFonts w:ascii="Arial" w:hAnsi="Arial" w:cs="Arial"/>
          <w:bCs/>
          <w:iCs/>
          <w:sz w:val="26"/>
          <w:szCs w:val="26"/>
          <w:lang w:eastAsia="es-ES"/>
        </w:rPr>
        <w:t xml:space="preserve"> Esta Sala Superior es competente para conocer del presente asunto, de conformidad con lo dispuesto por los artículos 114 QUÁTER, tercer párrafo de la Constitución Política del Estado Libre y Soberano de Oaxaca; 1, 2, </w:t>
      </w:r>
      <w:r>
        <w:rPr>
          <w:rFonts w:ascii="Arial" w:hAnsi="Arial" w:cs="Arial"/>
          <w:bCs/>
          <w:iCs/>
          <w:sz w:val="26"/>
          <w:szCs w:val="26"/>
        </w:rPr>
        <w:t>23, 24 fracciones I y III, 25 fracción I, 26 y 27 de la Ley Orgánica del Tribunal de Justicia Administrativa del Estado de Oaxaca;</w:t>
      </w:r>
      <w:r>
        <w:rPr>
          <w:rFonts w:ascii="Arial" w:hAnsi="Arial" w:cs="Arial"/>
          <w:bCs/>
          <w:iCs/>
          <w:sz w:val="26"/>
          <w:szCs w:val="26"/>
          <w:lang w:eastAsia="es-ES"/>
        </w:rPr>
        <w:t xml:space="preserve"> 125, 127, 129, 130 fracción I, 131, 231, 236 y 238 </w:t>
      </w:r>
      <w:r>
        <w:rPr>
          <w:rFonts w:ascii="Arial" w:hAnsi="Arial" w:cs="Arial"/>
          <w:bCs/>
          <w:iCs/>
          <w:sz w:val="26"/>
          <w:szCs w:val="26"/>
        </w:rPr>
        <w:t>de la Ley de Procedimiento y Justicia Administrativa para el Estado de Oaxaca, dado que se trata de un recurso de Revisión interpuesto en contra del acuerdo de dieciocho de octubre de dos mil veintiuno</w:t>
      </w:r>
      <w:r>
        <w:rPr>
          <w:rFonts w:ascii="Arial" w:hAnsi="Arial" w:cs="Arial"/>
          <w:sz w:val="26"/>
          <w:szCs w:val="26"/>
        </w:rPr>
        <w:t xml:space="preserve">, dictado en el expediente </w:t>
      </w:r>
      <w:r>
        <w:rPr>
          <w:rFonts w:ascii="Arial" w:hAnsi="Arial" w:cs="Arial"/>
          <w:b/>
          <w:sz w:val="26"/>
          <w:szCs w:val="26"/>
        </w:rPr>
        <w:t xml:space="preserve">0108/2021 </w:t>
      </w:r>
      <w:r>
        <w:rPr>
          <w:rFonts w:ascii="Arial" w:hAnsi="Arial" w:cs="Arial"/>
          <w:sz w:val="26"/>
          <w:szCs w:val="26"/>
        </w:rPr>
        <w:t xml:space="preserve">del índice de la Tercera Sala Unitaria de Primera Instancia.- </w:t>
      </w:r>
    </w:p>
    <w:p w14:paraId="6895229B" w14:textId="77777777" w:rsidR="0029796E" w:rsidRDefault="0029796E" w:rsidP="0029796E">
      <w:pPr>
        <w:spacing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bCs/>
          <w:sz w:val="26"/>
          <w:szCs w:val="26"/>
        </w:rPr>
        <w:t>Los agravios hechos valer por los recurrentes se encuentran expuestos en el escrito respectivo, por lo que no existe necesidad de transcribirlos, virtud a que ello no implica transgresión a derecho alguno, como tampoco se vulnera disposición expresa que imponga tal obligación</w:t>
      </w:r>
      <w:r>
        <w:rPr>
          <w:rFonts w:ascii="Arial" w:hAnsi="Arial" w:cs="Arial"/>
          <w:sz w:val="26"/>
          <w:szCs w:val="26"/>
        </w:rPr>
        <w:t>. En apoyo a lo anterior, se invoca el criterio Jurisprudencial</w:t>
      </w:r>
      <w:r>
        <w:rPr>
          <w:rFonts w:ascii="Arial" w:hAnsi="Arial" w:cs="Arial"/>
          <w:bCs/>
          <w:color w:val="000000"/>
          <w:sz w:val="26"/>
          <w:szCs w:val="26"/>
        </w:rPr>
        <w:t xml:space="preserve"> 2a./J. 58/2010 emitido por la Segunda Sala de la Suprema Corte de Justicia de la Nación, con número de registro 164618, publicado en la Gaceta del Semanario Judicial de la Federación, Tomo </w:t>
      </w:r>
      <w:r>
        <w:rPr>
          <w:rFonts w:ascii="Arial" w:hAnsi="Arial" w:cs="Arial"/>
          <w:bCs/>
          <w:color w:val="000000"/>
          <w:sz w:val="26"/>
          <w:szCs w:val="26"/>
        </w:rPr>
        <w:lastRenderedPageBreak/>
        <w:t>XXXI, mayo de 2010, visible a página 830, Novena Época, bajo el rubro y texto siguientes:- - -  - - - - - - - - - - - - - - - - - - - - - - - - - - - - - - - - - - - -</w:t>
      </w:r>
    </w:p>
    <w:p w14:paraId="3C5D7FC2" w14:textId="77777777" w:rsidR="0029796E" w:rsidRDefault="0029796E" w:rsidP="0029796E">
      <w:pPr>
        <w:spacing w:after="120" w:line="240" w:lineRule="auto"/>
        <w:ind w:left="993" w:right="902"/>
        <w:jc w:val="both"/>
        <w:rPr>
          <w:rFonts w:ascii="Arial" w:eastAsia="Calibri" w:hAnsi="Arial" w:cs="Arial"/>
          <w:bCs/>
          <w:i/>
        </w:rPr>
      </w:pPr>
      <w:r>
        <w:rPr>
          <w:rFonts w:ascii="Arial" w:eastAsia="Calibri" w:hAnsi="Arial" w:cs="Arial"/>
          <w:b/>
          <w:bCs/>
          <w:i/>
        </w:rPr>
        <w:t xml:space="preserve">“CONCEPTOS DE VIOLACIÓN O AGRAVIOS. PARA CUMPLIR CON LOS PRINCIPIOS DE CONGRUENCIA Y EXHAUSTIVIDAD EN LAS SENTENCIAS DE AMPARO ES INNECESARIA SU TRANSCRIPCIÓN. </w:t>
      </w:r>
      <w:r>
        <w:rPr>
          <w:rFonts w:ascii="Arial" w:eastAsia="Calibri" w:hAnsi="Arial" w:cs="Arial"/>
          <w:bCs/>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demand7a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Pr>
          <w:rFonts w:ascii="Arial" w:eastAsia="Calibri" w:hAnsi="Arial" w:cs="Arial"/>
          <w:bCs/>
          <w:i/>
        </w:rPr>
        <w:t>litis</w:t>
      </w:r>
      <w:proofErr w:type="spellEnd"/>
      <w:r>
        <w:rPr>
          <w:rFonts w:ascii="Arial" w:eastAsia="Calibri" w:hAnsi="Arial" w:cs="Arial"/>
          <w:bCs/>
          <w:i/>
        </w:rPr>
        <w:t xml:space="preserve">.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 </w:t>
      </w:r>
    </w:p>
    <w:p w14:paraId="69FAFB15" w14:textId="77777777" w:rsidR="0029796E" w:rsidRDefault="0029796E" w:rsidP="0029796E">
      <w:pPr>
        <w:spacing w:after="120" w:line="240" w:lineRule="auto"/>
        <w:ind w:left="709" w:right="902"/>
        <w:jc w:val="both"/>
        <w:rPr>
          <w:rFonts w:ascii="Arial" w:eastAsia="Calibri" w:hAnsi="Arial" w:cs="Arial"/>
          <w:bCs/>
          <w:i/>
        </w:rPr>
      </w:pPr>
    </w:p>
    <w:p w14:paraId="5C7F4B04" w14:textId="77777777" w:rsidR="0029796E" w:rsidRDefault="0029796E" w:rsidP="0029796E">
      <w:pPr>
        <w:pStyle w:val="Textoindependiente"/>
        <w:spacing w:line="360" w:lineRule="auto"/>
        <w:jc w:val="both"/>
        <w:rPr>
          <w:rFonts w:ascii="Arial" w:eastAsia="Calibri" w:hAnsi="Arial" w:cs="Arial"/>
          <w:sz w:val="26"/>
          <w:szCs w:val="26"/>
        </w:rPr>
      </w:pPr>
      <w:r>
        <w:rPr>
          <w:rFonts w:ascii="Arial" w:eastAsia="Calibri" w:hAnsi="Arial" w:cs="Arial"/>
          <w:b/>
          <w:sz w:val="26"/>
          <w:szCs w:val="26"/>
        </w:rPr>
        <w:t xml:space="preserve">     </w:t>
      </w:r>
      <w:r>
        <w:rPr>
          <w:rFonts w:ascii="Arial" w:eastAsia="Calibri" w:hAnsi="Arial" w:cs="Arial"/>
          <w:b/>
          <w:sz w:val="26"/>
          <w:szCs w:val="26"/>
        </w:rPr>
        <w:tab/>
        <w:t xml:space="preserve">TERCERO. </w:t>
      </w:r>
      <w:r>
        <w:rPr>
          <w:rFonts w:ascii="Arial" w:eastAsia="Calibri" w:hAnsi="Arial" w:cs="Arial"/>
          <w:sz w:val="26"/>
          <w:szCs w:val="26"/>
        </w:rPr>
        <w:t xml:space="preserve">Exponen los recurrentes en su agravio </w:t>
      </w:r>
      <w:r>
        <w:rPr>
          <w:rFonts w:ascii="Arial" w:eastAsia="Calibri" w:hAnsi="Arial" w:cs="Arial"/>
          <w:b/>
          <w:bCs/>
          <w:sz w:val="26"/>
          <w:szCs w:val="26"/>
        </w:rPr>
        <w:t>primero,</w:t>
      </w:r>
      <w:r>
        <w:rPr>
          <w:rFonts w:ascii="Arial" w:eastAsia="Calibri" w:hAnsi="Arial" w:cs="Arial"/>
          <w:sz w:val="26"/>
          <w:szCs w:val="26"/>
        </w:rPr>
        <w:t xml:space="preserve"> que les causa perjuicio el auto de </w:t>
      </w:r>
      <w:proofErr w:type="spellStart"/>
      <w:r>
        <w:rPr>
          <w:rFonts w:ascii="Arial" w:eastAsia="Calibri" w:hAnsi="Arial" w:cs="Arial"/>
          <w:sz w:val="26"/>
          <w:szCs w:val="26"/>
        </w:rPr>
        <w:t>desechamiento</w:t>
      </w:r>
      <w:proofErr w:type="spellEnd"/>
      <w:r>
        <w:rPr>
          <w:rFonts w:ascii="Arial" w:eastAsia="Calibri" w:hAnsi="Arial" w:cs="Arial"/>
          <w:sz w:val="26"/>
          <w:szCs w:val="26"/>
        </w:rPr>
        <w:t xml:space="preserve"> de dieciocho de octubre de dos mil veintiuno, que recayó a su demanda de nulidad presentada el quince del citado mes y año, en virtud de que se ven afectados su derecho humano de acceso a la justicia o tutela judicial efectiva y en un plazo razonable, que establecen los artículos 8 y 25 de la Convención Americana sobre Derechos Humanos y 17 de la Constitución Política de los Estados Unidos Mexicanos, pues en lugar de maximizarse conforme al artículo 1 de la Constitución Federal, se les imposibilita a reclamar sus derechos mediante el debido proceso, a través de un tribunal mediante un juicio seguido con las formalidades esenciales del procedimiento, por lo tanto, se les deja en estado de indefensión porque el acto que se pretende impugnar, aun cuando goza de la presunción de validez, eso no significa que sea justo, legal y que no sea arbitrario, toda vez que toda persona tiene derechos que le son inseparables, los cuales no pueden ser violentados por autoridad alguna, sin una que tenga una base legal fundado y motivada conforme a derecho.- - - - - - - - - - -- - - - </w:t>
      </w:r>
    </w:p>
    <w:p w14:paraId="1A6DB1FF" w14:textId="77777777" w:rsidR="0029796E" w:rsidRDefault="0029796E" w:rsidP="0029796E">
      <w:pPr>
        <w:pStyle w:val="Textoindependiente"/>
        <w:spacing w:line="360" w:lineRule="auto"/>
        <w:jc w:val="both"/>
        <w:rPr>
          <w:rFonts w:ascii="Arial" w:eastAsia="Calibri" w:hAnsi="Arial" w:cs="Arial"/>
          <w:sz w:val="26"/>
          <w:szCs w:val="26"/>
        </w:rPr>
      </w:pPr>
      <w:r>
        <w:rPr>
          <w:rFonts w:ascii="Arial" w:eastAsia="Calibri" w:hAnsi="Arial" w:cs="Arial"/>
          <w:sz w:val="26"/>
          <w:szCs w:val="26"/>
        </w:rPr>
        <w:tab/>
        <w:t xml:space="preserve">Refieren que a la luz de la Convención Americana sobre Derechos Humanos, resulta </w:t>
      </w:r>
      <w:proofErr w:type="spellStart"/>
      <w:r>
        <w:rPr>
          <w:rFonts w:ascii="Arial" w:eastAsia="Calibri" w:hAnsi="Arial" w:cs="Arial"/>
          <w:sz w:val="26"/>
          <w:szCs w:val="26"/>
        </w:rPr>
        <w:t>inconvencional</w:t>
      </w:r>
      <w:proofErr w:type="spellEnd"/>
      <w:r>
        <w:rPr>
          <w:rFonts w:ascii="Arial" w:eastAsia="Calibri" w:hAnsi="Arial" w:cs="Arial"/>
          <w:sz w:val="26"/>
          <w:szCs w:val="26"/>
        </w:rPr>
        <w:t xml:space="preserve"> el artículo 133, fracción VIII, inciso d) de la Ley de Procedimiento y Justicia Administrativa para el Estado de Oaxaca, invocado en el auto que se recurren, pues señala que de una </w:t>
      </w:r>
      <w:r>
        <w:rPr>
          <w:rFonts w:ascii="Arial" w:eastAsia="Calibri" w:hAnsi="Arial" w:cs="Arial"/>
          <w:sz w:val="26"/>
          <w:szCs w:val="26"/>
        </w:rPr>
        <w:lastRenderedPageBreak/>
        <w:t xml:space="preserve">interpretación a contrario sensu a dicho precepto, se advierte que la Sala Unitaria exigió como presupuesto procesal para que sea competente de conocer y resolver del juicio promovido, que en el procedimiento de ejecución se haya interpuesto el recurso ordinario ante la autoridad competente, cuando afirme que el procedimiento coactivo no se ajuste a la ley, y si no se hubiera interpuesto dicho recurso ordinario, entonces no es competente dicha Sala Unitaria de conocer del juicio planteado, por tanto, indican que el acuerdo recurrido es violatorio en su perjuicio de los derechos humanos de protección judicial establecidos en los artículos 8.1 y 25.1 de la Convención Americana sobre Derechos Humanos, toda vez que toda persona tiene derecho de ser oída con las debidas garantías y dentro de un plazo razonable, por un juez o tribunal competente; de igual forma, en el artículo 17, párrafo primero y segundo de la Constitución Federal, se encuentra garantizado el derecho humano de acceso a la justicia de acceso a la justicia, por lo que los Estados no deben interponer trabas a las personas que acudan a los jueces o tribunales en busca de que sus derechos sean determinados o protegidos.- - - - - - - - - - - - - - - - - - - - - - - -  - - - - - - - - - - - - -  - - - - - - </w:t>
      </w:r>
    </w:p>
    <w:p w14:paraId="7D52396F" w14:textId="77777777" w:rsidR="0029796E" w:rsidRDefault="0029796E" w:rsidP="0029796E">
      <w:pPr>
        <w:pStyle w:val="Textoindependiente"/>
        <w:spacing w:line="360" w:lineRule="auto"/>
        <w:jc w:val="both"/>
        <w:rPr>
          <w:rFonts w:ascii="Arial" w:eastAsia="Calibri" w:hAnsi="Arial" w:cs="Arial"/>
          <w:sz w:val="26"/>
          <w:szCs w:val="26"/>
        </w:rPr>
      </w:pPr>
      <w:r>
        <w:rPr>
          <w:rFonts w:ascii="Arial" w:eastAsia="Calibri" w:hAnsi="Arial" w:cs="Arial"/>
          <w:sz w:val="26"/>
          <w:szCs w:val="26"/>
        </w:rPr>
        <w:tab/>
        <w:t xml:space="preserve">Siguen exponiendo que, el secretario encargado de la Cuarta Sala Unitaria de Primera Instancia, debió haber realizado una interpretación armónica de la Ley de Procedimiento y Justicia Administrativa para el Estado de Oaxaca, y no emitir un acuerdo de </w:t>
      </w:r>
      <w:proofErr w:type="spellStart"/>
      <w:r>
        <w:rPr>
          <w:rFonts w:ascii="Arial" w:eastAsia="Calibri" w:hAnsi="Arial" w:cs="Arial"/>
          <w:sz w:val="26"/>
          <w:szCs w:val="26"/>
        </w:rPr>
        <w:t>desechamiento</w:t>
      </w:r>
      <w:proofErr w:type="spellEnd"/>
      <w:r>
        <w:rPr>
          <w:rFonts w:ascii="Arial" w:eastAsia="Calibri" w:hAnsi="Arial" w:cs="Arial"/>
          <w:sz w:val="26"/>
          <w:szCs w:val="26"/>
        </w:rPr>
        <w:t xml:space="preserve"> de demanda de manera ilegal, pues el recurso ordinario que debió interponerse ante la autoridad competente para que dicha Sala se declare competente para conocer del juicio, es optativo y no de carácter obligatorio, pues el artículo 98 de la citada Ley lo establece con claridad.</w:t>
      </w:r>
    </w:p>
    <w:p w14:paraId="56724132" w14:textId="77777777" w:rsidR="0029796E" w:rsidRDefault="0029796E" w:rsidP="0029796E">
      <w:pPr>
        <w:pStyle w:val="Textoindependiente"/>
        <w:spacing w:line="360" w:lineRule="auto"/>
        <w:ind w:firstLine="708"/>
        <w:jc w:val="both"/>
        <w:rPr>
          <w:rFonts w:ascii="Arial" w:eastAsia="Calibri" w:hAnsi="Arial" w:cs="Arial"/>
          <w:sz w:val="26"/>
          <w:szCs w:val="26"/>
        </w:rPr>
      </w:pPr>
      <w:r>
        <w:rPr>
          <w:rFonts w:ascii="Arial" w:eastAsia="Calibri" w:hAnsi="Arial" w:cs="Arial"/>
          <w:sz w:val="26"/>
          <w:szCs w:val="26"/>
        </w:rPr>
        <w:t xml:space="preserve">En su agravio </w:t>
      </w:r>
      <w:r>
        <w:rPr>
          <w:rFonts w:ascii="Arial" w:eastAsia="Calibri" w:hAnsi="Arial" w:cs="Arial"/>
          <w:b/>
          <w:sz w:val="26"/>
          <w:szCs w:val="26"/>
        </w:rPr>
        <w:t xml:space="preserve">segundo </w:t>
      </w:r>
      <w:r>
        <w:rPr>
          <w:rFonts w:ascii="Arial" w:eastAsia="Calibri" w:hAnsi="Arial" w:cs="Arial"/>
          <w:sz w:val="26"/>
          <w:szCs w:val="26"/>
        </w:rPr>
        <w:t xml:space="preserve">manifiestan los recurrentes que les causa perjuicio que la Tercera Sala Unitaria haga nugatorio el acceso a la justicia o tutela efectiva y que es incorrecto lo señalado en el acuerdo recurrido, porque si la ley estableciera ese supuesto, como un acto de afectación real y de imposible reparación en su esfera jurídica a la luz de lo dispuesto por los artículos 8.1 y 25.1 de la convención Americana sobre Derechos Humanos y 17 de la Constitución Federal, por qué pone trabas para que sea oído por un Tribunal con las debidas garantías, en un plazo razonable y acceder a un recurso rápido y sencillo, pues indican que en el presente caso, el mandamiento y diligencia de requerimiento de pago y embargo, les causa una real afectación e imposible reparación, porque no se va a dejar sin efectos, si no es por una </w:t>
      </w:r>
      <w:r>
        <w:rPr>
          <w:rFonts w:ascii="Arial" w:eastAsia="Calibri" w:hAnsi="Arial" w:cs="Arial"/>
          <w:sz w:val="26"/>
          <w:szCs w:val="26"/>
        </w:rPr>
        <w:lastRenderedPageBreak/>
        <w:t xml:space="preserve">resolución de un Tribunal, pues se les causa una afectación al determinarse un crédito fiscal, pues en cualquier momento se les puede embargar algún bien mueble o inmueble, el numerario de una cuenta bancaria en la que tenga fondo, pues señalan que contrario a lo aducido por la Sala Unitaria, el hecho de que el juicio es procedente hasta que la última resolución que aprueba el remate, les causa una afectación real y de imposible reparación a su esfera jurídica. - - - - - - - - - - - - - - - - - - - </w:t>
      </w:r>
    </w:p>
    <w:p w14:paraId="783C0E53" w14:textId="77777777" w:rsidR="0029796E" w:rsidRDefault="0029796E" w:rsidP="0029796E">
      <w:pPr>
        <w:pStyle w:val="Textoindependiente"/>
        <w:spacing w:line="360" w:lineRule="auto"/>
        <w:jc w:val="both"/>
        <w:rPr>
          <w:rFonts w:ascii="Arial" w:hAnsi="Arial" w:cs="Arial"/>
          <w:color w:val="000000"/>
          <w:sz w:val="26"/>
          <w:szCs w:val="26"/>
        </w:rPr>
      </w:pPr>
      <w:r>
        <w:rPr>
          <w:rFonts w:ascii="Arial" w:eastAsia="Calibri" w:hAnsi="Arial" w:cs="Arial"/>
          <w:sz w:val="26"/>
          <w:szCs w:val="26"/>
        </w:rPr>
        <w:tab/>
      </w:r>
      <w:r>
        <w:rPr>
          <w:rFonts w:ascii="Arial" w:eastAsia="Calibri" w:hAnsi="Arial" w:cs="Arial"/>
          <w:bCs/>
          <w:sz w:val="26"/>
          <w:szCs w:val="26"/>
        </w:rPr>
        <w:t>Antes de iniciar con el estudio del agravio expuesto por el recurrente, es necesario precisar que de las constancias que obran en el expediente natural</w:t>
      </w:r>
      <w:r>
        <w:rPr>
          <w:rFonts w:ascii="Arial" w:hAnsi="Arial" w:cs="Arial"/>
          <w:color w:val="000000"/>
          <w:sz w:val="26"/>
          <w:szCs w:val="26"/>
        </w:rPr>
        <w:t xml:space="preserve">, con valor probatorio pleno de conformidad con el artículo 203 </w:t>
      </w:r>
      <w:r>
        <w:rPr>
          <w:rFonts w:ascii="Arial" w:hAnsi="Arial" w:cs="Arial"/>
          <w:bCs/>
          <w:sz w:val="26"/>
          <w:szCs w:val="26"/>
        </w:rPr>
        <w:t>fracción I</w:t>
      </w:r>
      <w:r>
        <w:rPr>
          <w:rStyle w:val="Refdenotaalpie"/>
          <w:rFonts w:ascii="Arial" w:hAnsi="Arial" w:cs="Arial"/>
          <w:bCs/>
          <w:sz w:val="26"/>
          <w:szCs w:val="26"/>
        </w:rPr>
        <w:footnoteReference w:id="1"/>
      </w:r>
      <w:r>
        <w:rPr>
          <w:rFonts w:ascii="Arial" w:hAnsi="Arial" w:cs="Arial"/>
          <w:bCs/>
          <w:sz w:val="26"/>
          <w:szCs w:val="26"/>
        </w:rPr>
        <w:t>d</w:t>
      </w:r>
      <w:r>
        <w:rPr>
          <w:rFonts w:ascii="Arial" w:hAnsi="Arial" w:cs="Arial"/>
          <w:color w:val="000000"/>
          <w:sz w:val="26"/>
          <w:szCs w:val="26"/>
        </w:rPr>
        <w:t xml:space="preserve">e la Ley de Procedimiento y Justicia Administrativa para el Estado, al tratarse de actuaciones contenidas en documentos públicos, se advierte el escrito de demanda de nulidad presentado el quince de octubre de dos mil veintiuno, ante la Oficialía de Partes Común de este Tribunal, que el recurrente señala lo siguiente:- - </w:t>
      </w:r>
    </w:p>
    <w:p w14:paraId="32FE8D53" w14:textId="77777777" w:rsidR="0029796E" w:rsidRDefault="0029796E" w:rsidP="0029796E">
      <w:pPr>
        <w:pStyle w:val="Textoindependiente"/>
        <w:spacing w:line="360" w:lineRule="auto"/>
        <w:ind w:left="1211" w:right="758"/>
        <w:rPr>
          <w:rFonts w:ascii="Arial" w:hAnsi="Arial" w:cs="Arial"/>
          <w:b/>
          <w:i/>
          <w:color w:val="000000"/>
          <w:sz w:val="22"/>
          <w:szCs w:val="22"/>
        </w:rPr>
      </w:pPr>
      <w:r>
        <w:rPr>
          <w:rFonts w:ascii="Arial" w:hAnsi="Arial" w:cs="Arial"/>
          <w:b/>
          <w:i/>
          <w:color w:val="000000"/>
          <w:sz w:val="22"/>
          <w:szCs w:val="22"/>
        </w:rPr>
        <w:t>“IV.-</w:t>
      </w:r>
      <w:r>
        <w:rPr>
          <w:rFonts w:ascii="Arial" w:hAnsi="Arial" w:cs="Arial"/>
          <w:i/>
          <w:color w:val="000000"/>
          <w:sz w:val="22"/>
          <w:szCs w:val="22"/>
        </w:rPr>
        <w:t xml:space="preserve"> </w:t>
      </w:r>
      <w:r>
        <w:rPr>
          <w:rFonts w:ascii="Arial" w:hAnsi="Arial" w:cs="Arial"/>
          <w:b/>
          <w:i/>
          <w:color w:val="000000"/>
          <w:sz w:val="22"/>
          <w:szCs w:val="22"/>
        </w:rPr>
        <w:t>LA</w:t>
      </w:r>
      <w:r>
        <w:rPr>
          <w:rFonts w:ascii="Arial" w:hAnsi="Arial" w:cs="Arial"/>
          <w:i/>
          <w:color w:val="000000"/>
          <w:sz w:val="22"/>
          <w:szCs w:val="22"/>
        </w:rPr>
        <w:t xml:space="preserve"> </w:t>
      </w:r>
      <w:r>
        <w:rPr>
          <w:rFonts w:ascii="Arial" w:hAnsi="Arial" w:cs="Arial"/>
          <w:b/>
          <w:i/>
          <w:color w:val="000000"/>
          <w:sz w:val="22"/>
          <w:szCs w:val="22"/>
        </w:rPr>
        <w:t>RESOLUCIÓN O ACTO ADMINISTRATIVO QUE SE IMPUGNA:</w:t>
      </w:r>
    </w:p>
    <w:p w14:paraId="6A8076B3" w14:textId="77777777" w:rsidR="0029796E" w:rsidRDefault="0029796E" w:rsidP="0029796E">
      <w:pPr>
        <w:pStyle w:val="Textoindependiente"/>
        <w:ind w:left="1213" w:right="760"/>
        <w:jc w:val="both"/>
        <w:rPr>
          <w:rFonts w:ascii="Arial" w:hAnsi="Arial" w:cs="Arial"/>
          <w:bCs/>
          <w:i/>
          <w:color w:val="000000"/>
          <w:sz w:val="22"/>
          <w:szCs w:val="22"/>
        </w:rPr>
      </w:pPr>
      <w:r>
        <w:rPr>
          <w:rFonts w:ascii="Arial" w:hAnsi="Arial" w:cs="Arial"/>
          <w:bCs/>
          <w:i/>
          <w:color w:val="000000"/>
          <w:sz w:val="22"/>
          <w:szCs w:val="22"/>
        </w:rPr>
        <w:t>De la coordinadora de Cobro Coactivo, dependiente de la dirección de Ingresos y Recaudación de la Secretaría de finanzas del Poder Ejecutivo del Estado de Oaxaca:</w:t>
      </w:r>
    </w:p>
    <w:p w14:paraId="5D56B127" w14:textId="37CCE082" w:rsidR="0029796E" w:rsidRDefault="0029796E" w:rsidP="0029796E">
      <w:pPr>
        <w:pStyle w:val="Textoindependiente"/>
        <w:numPr>
          <w:ilvl w:val="0"/>
          <w:numId w:val="23"/>
        </w:numPr>
        <w:spacing w:after="0"/>
        <w:ind w:left="1208" w:right="760" w:hanging="357"/>
        <w:jc w:val="both"/>
        <w:rPr>
          <w:rFonts w:ascii="Arial" w:hAnsi="Arial" w:cs="Arial"/>
          <w:bCs/>
          <w:i/>
          <w:color w:val="000000"/>
          <w:sz w:val="22"/>
          <w:szCs w:val="22"/>
        </w:rPr>
      </w:pPr>
      <w:r>
        <w:rPr>
          <w:rFonts w:ascii="Arial" w:hAnsi="Arial" w:cs="Arial"/>
          <w:bCs/>
          <w:i/>
          <w:color w:val="000000"/>
          <w:sz w:val="22"/>
          <w:szCs w:val="22"/>
        </w:rPr>
        <w:t xml:space="preserve">El mandamiento de ejecución número </w:t>
      </w:r>
      <w:r w:rsidR="00F35DC2">
        <w:rPr>
          <w:rFonts w:ascii="Arial" w:hAnsi="Arial" w:cs="Arial"/>
          <w:bCs/>
          <w:i/>
          <w:color w:val="000000"/>
          <w:sz w:val="22"/>
          <w:szCs w:val="22"/>
        </w:rPr>
        <w:t>*******</w:t>
      </w:r>
      <w:r>
        <w:rPr>
          <w:rFonts w:ascii="Arial" w:hAnsi="Arial" w:cs="Arial"/>
          <w:bCs/>
          <w:i/>
          <w:color w:val="000000"/>
          <w:sz w:val="22"/>
          <w:szCs w:val="22"/>
        </w:rPr>
        <w:t xml:space="preserve"> de 24 de junio de 2021, que contiene el crédito fiscal </w:t>
      </w:r>
      <w:r w:rsidR="00F35DC2">
        <w:rPr>
          <w:rFonts w:ascii="Arial" w:hAnsi="Arial" w:cs="Arial"/>
          <w:bCs/>
          <w:i/>
          <w:color w:val="000000"/>
          <w:sz w:val="22"/>
          <w:szCs w:val="22"/>
        </w:rPr>
        <w:t>*******</w:t>
      </w:r>
      <w:r>
        <w:rPr>
          <w:rFonts w:ascii="Arial" w:hAnsi="Arial" w:cs="Arial"/>
          <w:bCs/>
          <w:i/>
          <w:color w:val="000000"/>
          <w:sz w:val="22"/>
          <w:szCs w:val="22"/>
        </w:rPr>
        <w:t xml:space="preserve">, exigible al </w:t>
      </w:r>
      <w:r>
        <w:rPr>
          <w:rFonts w:ascii="Arial" w:hAnsi="Arial" w:cs="Arial"/>
          <w:b/>
          <w:i/>
          <w:color w:val="000000"/>
          <w:sz w:val="22"/>
          <w:szCs w:val="22"/>
        </w:rPr>
        <w:t>C</w:t>
      </w:r>
      <w:r w:rsidR="00F35DC2">
        <w:rPr>
          <w:rFonts w:ascii="Arial" w:hAnsi="Arial" w:cs="Arial"/>
          <w:b/>
          <w:i/>
          <w:color w:val="000000"/>
          <w:sz w:val="22"/>
          <w:szCs w:val="22"/>
        </w:rPr>
        <w:t>. *******</w:t>
      </w:r>
      <w:r>
        <w:rPr>
          <w:rFonts w:ascii="Arial" w:hAnsi="Arial" w:cs="Arial"/>
          <w:b/>
          <w:i/>
          <w:color w:val="000000"/>
          <w:sz w:val="22"/>
          <w:szCs w:val="22"/>
        </w:rPr>
        <w:t xml:space="preserve">, Presidente Municipal </w:t>
      </w:r>
      <w:r>
        <w:rPr>
          <w:rFonts w:ascii="Arial" w:hAnsi="Arial" w:cs="Arial"/>
          <w:bCs/>
          <w:i/>
          <w:color w:val="000000"/>
          <w:sz w:val="22"/>
          <w:szCs w:val="22"/>
        </w:rPr>
        <w:t xml:space="preserve">del Municipio de </w:t>
      </w:r>
      <w:r w:rsidR="00F35DC2">
        <w:rPr>
          <w:rFonts w:ascii="Arial" w:hAnsi="Arial" w:cs="Arial"/>
          <w:bCs/>
          <w:i/>
          <w:color w:val="000000"/>
          <w:sz w:val="22"/>
          <w:szCs w:val="22"/>
        </w:rPr>
        <w:t>*******</w:t>
      </w:r>
      <w:r>
        <w:rPr>
          <w:rFonts w:ascii="Arial" w:hAnsi="Arial" w:cs="Arial"/>
          <w:bCs/>
          <w:i/>
          <w:color w:val="000000"/>
          <w:sz w:val="22"/>
          <w:szCs w:val="22"/>
        </w:rPr>
        <w:t xml:space="preserve">, Oaxaca, derivado de la resolución determinante de 07 de febrero de 2019, en el procedimiento tramitado bajo el número </w:t>
      </w:r>
      <w:r w:rsidR="00F35DC2">
        <w:rPr>
          <w:rFonts w:ascii="Arial" w:hAnsi="Arial" w:cs="Arial"/>
          <w:b/>
          <w:i/>
          <w:color w:val="000000"/>
          <w:sz w:val="22"/>
          <w:szCs w:val="22"/>
        </w:rPr>
        <w:t>*******</w:t>
      </w:r>
      <w:r>
        <w:rPr>
          <w:rFonts w:ascii="Arial" w:hAnsi="Arial" w:cs="Arial"/>
          <w:b/>
          <w:i/>
          <w:color w:val="000000"/>
          <w:sz w:val="22"/>
          <w:szCs w:val="22"/>
        </w:rPr>
        <w:t xml:space="preserve">, </w:t>
      </w:r>
      <w:r>
        <w:rPr>
          <w:rFonts w:ascii="Arial" w:hAnsi="Arial" w:cs="Arial"/>
          <w:bCs/>
          <w:i/>
          <w:color w:val="000000"/>
          <w:sz w:val="22"/>
          <w:szCs w:val="22"/>
        </w:rPr>
        <w:t xml:space="preserve">por el importe a requerir de pago, conforme a dicho mandamiento de ejecución por: </w:t>
      </w:r>
      <w:r w:rsidR="00F35DC2">
        <w:rPr>
          <w:rFonts w:ascii="Arial" w:hAnsi="Arial" w:cs="Arial"/>
          <w:b/>
          <w:i/>
          <w:color w:val="000000"/>
          <w:sz w:val="22"/>
          <w:szCs w:val="22"/>
        </w:rPr>
        <w:t>$*******)</w:t>
      </w:r>
      <w:r>
        <w:rPr>
          <w:rFonts w:ascii="Arial" w:hAnsi="Arial" w:cs="Arial"/>
          <w:b/>
          <w:i/>
          <w:color w:val="000000"/>
          <w:sz w:val="22"/>
          <w:szCs w:val="22"/>
        </w:rPr>
        <w:t>.</w:t>
      </w:r>
    </w:p>
    <w:p w14:paraId="61D7163C" w14:textId="77777777" w:rsidR="0029796E" w:rsidRDefault="0029796E" w:rsidP="0029796E">
      <w:pPr>
        <w:pStyle w:val="Textoindependiente"/>
        <w:spacing w:after="0"/>
        <w:ind w:left="1208" w:right="760"/>
        <w:jc w:val="both"/>
        <w:rPr>
          <w:rFonts w:ascii="Arial" w:hAnsi="Arial" w:cs="Arial"/>
          <w:bCs/>
          <w:i/>
          <w:color w:val="000000"/>
          <w:sz w:val="22"/>
          <w:szCs w:val="22"/>
        </w:rPr>
      </w:pPr>
    </w:p>
    <w:p w14:paraId="137CD94F" w14:textId="716378F8" w:rsidR="0029796E" w:rsidRDefault="0029796E" w:rsidP="0029796E">
      <w:pPr>
        <w:pStyle w:val="Textoindependiente"/>
        <w:numPr>
          <w:ilvl w:val="0"/>
          <w:numId w:val="23"/>
        </w:numPr>
        <w:ind w:left="1208" w:right="760" w:hanging="357"/>
        <w:jc w:val="both"/>
        <w:rPr>
          <w:rFonts w:ascii="Arial" w:hAnsi="Arial" w:cs="Arial"/>
          <w:bCs/>
          <w:i/>
          <w:color w:val="000000"/>
          <w:sz w:val="22"/>
          <w:szCs w:val="22"/>
        </w:rPr>
      </w:pPr>
      <w:r>
        <w:rPr>
          <w:rFonts w:ascii="Arial" w:hAnsi="Arial" w:cs="Arial"/>
          <w:bCs/>
          <w:i/>
          <w:color w:val="000000"/>
          <w:sz w:val="22"/>
          <w:szCs w:val="22"/>
        </w:rPr>
        <w:t xml:space="preserve">El mandamiento de ejecución número </w:t>
      </w:r>
      <w:r w:rsidR="00F35DC2">
        <w:rPr>
          <w:rFonts w:ascii="Arial" w:hAnsi="Arial" w:cs="Arial"/>
          <w:bCs/>
          <w:i/>
          <w:color w:val="000000"/>
          <w:sz w:val="22"/>
          <w:szCs w:val="22"/>
        </w:rPr>
        <w:t>*******</w:t>
      </w:r>
      <w:r>
        <w:rPr>
          <w:rFonts w:ascii="Arial" w:hAnsi="Arial" w:cs="Arial"/>
          <w:bCs/>
          <w:i/>
          <w:color w:val="000000"/>
          <w:sz w:val="22"/>
          <w:szCs w:val="22"/>
        </w:rPr>
        <w:t xml:space="preserve"> de 24 de junio de 2021, que contiene el crédito fiscal </w:t>
      </w:r>
      <w:r w:rsidR="00F35DC2">
        <w:rPr>
          <w:rFonts w:ascii="Arial" w:hAnsi="Arial" w:cs="Arial"/>
          <w:bCs/>
          <w:i/>
          <w:color w:val="000000"/>
          <w:sz w:val="22"/>
          <w:szCs w:val="22"/>
        </w:rPr>
        <w:t>*******</w:t>
      </w:r>
      <w:r>
        <w:rPr>
          <w:rFonts w:ascii="Arial" w:hAnsi="Arial" w:cs="Arial"/>
          <w:bCs/>
          <w:i/>
          <w:color w:val="000000"/>
          <w:sz w:val="22"/>
          <w:szCs w:val="22"/>
        </w:rPr>
        <w:t xml:space="preserve">, exigible al </w:t>
      </w:r>
      <w:r>
        <w:rPr>
          <w:rFonts w:ascii="Arial" w:hAnsi="Arial" w:cs="Arial"/>
          <w:b/>
          <w:i/>
          <w:color w:val="000000"/>
          <w:sz w:val="22"/>
          <w:szCs w:val="22"/>
        </w:rPr>
        <w:t>C.</w:t>
      </w:r>
      <w:r w:rsidR="00F35DC2">
        <w:rPr>
          <w:rFonts w:ascii="Arial" w:hAnsi="Arial" w:cs="Arial"/>
          <w:b/>
          <w:i/>
          <w:color w:val="000000"/>
          <w:sz w:val="22"/>
          <w:szCs w:val="22"/>
        </w:rPr>
        <w:t xml:space="preserve"> *******</w:t>
      </w:r>
      <w:r>
        <w:rPr>
          <w:rFonts w:ascii="Arial" w:hAnsi="Arial" w:cs="Arial"/>
          <w:b/>
          <w:i/>
          <w:color w:val="000000"/>
          <w:sz w:val="22"/>
          <w:szCs w:val="22"/>
        </w:rPr>
        <w:t xml:space="preserve">, Síndico Municipal </w:t>
      </w:r>
      <w:r>
        <w:rPr>
          <w:rFonts w:ascii="Arial" w:hAnsi="Arial" w:cs="Arial"/>
          <w:bCs/>
          <w:i/>
          <w:color w:val="000000"/>
          <w:sz w:val="22"/>
          <w:szCs w:val="22"/>
        </w:rPr>
        <w:t xml:space="preserve">del Municipio de </w:t>
      </w:r>
      <w:r w:rsidR="00F35DC2">
        <w:rPr>
          <w:rFonts w:ascii="Arial" w:hAnsi="Arial" w:cs="Arial"/>
          <w:bCs/>
          <w:i/>
          <w:color w:val="000000"/>
          <w:sz w:val="22"/>
          <w:szCs w:val="22"/>
        </w:rPr>
        <w:t>*******</w:t>
      </w:r>
      <w:r>
        <w:rPr>
          <w:rFonts w:ascii="Arial" w:hAnsi="Arial" w:cs="Arial"/>
          <w:bCs/>
          <w:i/>
          <w:color w:val="000000"/>
          <w:sz w:val="22"/>
          <w:szCs w:val="22"/>
        </w:rPr>
        <w:t xml:space="preserve">, Oaxaca, derivado de la resolución determinante de 07 de febrero de 2019, en el procedimiento tramitado bajo el número </w:t>
      </w:r>
      <w:r w:rsidR="00F35DC2">
        <w:rPr>
          <w:rFonts w:ascii="Arial" w:hAnsi="Arial" w:cs="Arial"/>
          <w:b/>
          <w:i/>
          <w:color w:val="000000"/>
          <w:sz w:val="22"/>
          <w:szCs w:val="22"/>
        </w:rPr>
        <w:t>*******</w:t>
      </w:r>
      <w:r>
        <w:rPr>
          <w:rFonts w:ascii="Arial" w:hAnsi="Arial" w:cs="Arial"/>
          <w:b/>
          <w:i/>
          <w:color w:val="000000"/>
          <w:sz w:val="22"/>
          <w:szCs w:val="22"/>
        </w:rPr>
        <w:t xml:space="preserve">, </w:t>
      </w:r>
      <w:r>
        <w:rPr>
          <w:rFonts w:ascii="Arial" w:hAnsi="Arial" w:cs="Arial"/>
          <w:bCs/>
          <w:i/>
          <w:color w:val="000000"/>
          <w:sz w:val="22"/>
          <w:szCs w:val="22"/>
        </w:rPr>
        <w:t xml:space="preserve">por el importe a requerir de pago, conforme a dicho mandamiento de ejecución por: </w:t>
      </w:r>
      <w:r w:rsidR="00F35DC2">
        <w:rPr>
          <w:rFonts w:ascii="Arial" w:hAnsi="Arial" w:cs="Arial"/>
          <w:b/>
          <w:i/>
          <w:color w:val="000000"/>
          <w:sz w:val="22"/>
          <w:szCs w:val="22"/>
        </w:rPr>
        <w:t>$*******)</w:t>
      </w:r>
      <w:r>
        <w:rPr>
          <w:rFonts w:ascii="Arial" w:hAnsi="Arial" w:cs="Arial"/>
          <w:b/>
          <w:i/>
          <w:color w:val="000000"/>
          <w:sz w:val="22"/>
          <w:szCs w:val="22"/>
        </w:rPr>
        <w:t>.</w:t>
      </w:r>
    </w:p>
    <w:p w14:paraId="37A9798D" w14:textId="06CEF7A7" w:rsidR="0029796E" w:rsidRDefault="0029796E" w:rsidP="0029796E">
      <w:pPr>
        <w:pStyle w:val="Textoindependiente"/>
        <w:numPr>
          <w:ilvl w:val="0"/>
          <w:numId w:val="23"/>
        </w:numPr>
        <w:ind w:left="1208" w:right="760" w:hanging="357"/>
        <w:jc w:val="both"/>
        <w:rPr>
          <w:rFonts w:ascii="Arial" w:hAnsi="Arial" w:cs="Arial"/>
          <w:bCs/>
          <w:i/>
          <w:color w:val="000000"/>
          <w:sz w:val="22"/>
          <w:szCs w:val="22"/>
        </w:rPr>
      </w:pPr>
      <w:r>
        <w:rPr>
          <w:rFonts w:ascii="Arial" w:hAnsi="Arial" w:cs="Arial"/>
          <w:bCs/>
          <w:i/>
          <w:color w:val="000000"/>
          <w:sz w:val="22"/>
          <w:szCs w:val="22"/>
        </w:rPr>
        <w:t xml:space="preserve">El mandamiento de ejecución número </w:t>
      </w:r>
      <w:r w:rsidR="00F35DC2">
        <w:rPr>
          <w:rFonts w:ascii="Arial" w:hAnsi="Arial" w:cs="Arial"/>
          <w:bCs/>
          <w:i/>
          <w:color w:val="000000"/>
          <w:sz w:val="22"/>
          <w:szCs w:val="22"/>
        </w:rPr>
        <w:t>*******</w:t>
      </w:r>
      <w:r>
        <w:rPr>
          <w:rFonts w:ascii="Arial" w:hAnsi="Arial" w:cs="Arial"/>
          <w:bCs/>
          <w:i/>
          <w:color w:val="000000"/>
          <w:sz w:val="22"/>
          <w:szCs w:val="22"/>
        </w:rPr>
        <w:t xml:space="preserve"> de 24 de junio de 2021, que contiene el crédito fiscal </w:t>
      </w:r>
      <w:r w:rsidR="00F35DC2">
        <w:rPr>
          <w:rFonts w:ascii="Arial" w:hAnsi="Arial" w:cs="Arial"/>
          <w:bCs/>
          <w:i/>
          <w:color w:val="000000"/>
          <w:sz w:val="22"/>
          <w:szCs w:val="22"/>
        </w:rPr>
        <w:t>*******</w:t>
      </w:r>
      <w:r>
        <w:rPr>
          <w:rFonts w:ascii="Arial" w:hAnsi="Arial" w:cs="Arial"/>
          <w:bCs/>
          <w:i/>
          <w:color w:val="000000"/>
          <w:sz w:val="22"/>
          <w:szCs w:val="22"/>
        </w:rPr>
        <w:t xml:space="preserve">, exigible al </w:t>
      </w:r>
      <w:r>
        <w:rPr>
          <w:rFonts w:ascii="Arial" w:hAnsi="Arial" w:cs="Arial"/>
          <w:b/>
          <w:i/>
          <w:color w:val="000000"/>
          <w:sz w:val="22"/>
          <w:szCs w:val="22"/>
        </w:rPr>
        <w:t>C.</w:t>
      </w:r>
      <w:r w:rsidR="00F35DC2">
        <w:rPr>
          <w:rFonts w:ascii="Arial" w:hAnsi="Arial" w:cs="Arial"/>
          <w:b/>
          <w:i/>
          <w:color w:val="000000"/>
          <w:sz w:val="22"/>
          <w:szCs w:val="22"/>
        </w:rPr>
        <w:t xml:space="preserve"> *******</w:t>
      </w:r>
      <w:r>
        <w:rPr>
          <w:rFonts w:ascii="Arial" w:hAnsi="Arial" w:cs="Arial"/>
          <w:b/>
          <w:i/>
          <w:color w:val="000000"/>
          <w:sz w:val="22"/>
          <w:szCs w:val="22"/>
        </w:rPr>
        <w:t xml:space="preserve">, Regidor de Hacienda </w:t>
      </w:r>
      <w:r>
        <w:rPr>
          <w:rFonts w:ascii="Arial" w:hAnsi="Arial" w:cs="Arial"/>
          <w:bCs/>
          <w:i/>
          <w:color w:val="000000"/>
          <w:sz w:val="22"/>
          <w:szCs w:val="22"/>
        </w:rPr>
        <w:t xml:space="preserve">del Municipio de </w:t>
      </w:r>
      <w:r w:rsidR="00F35DC2">
        <w:rPr>
          <w:rFonts w:ascii="Arial" w:hAnsi="Arial" w:cs="Arial"/>
          <w:bCs/>
          <w:i/>
          <w:color w:val="000000"/>
          <w:sz w:val="22"/>
          <w:szCs w:val="22"/>
        </w:rPr>
        <w:t>*******</w:t>
      </w:r>
      <w:r>
        <w:rPr>
          <w:rFonts w:ascii="Arial" w:hAnsi="Arial" w:cs="Arial"/>
          <w:bCs/>
          <w:i/>
          <w:color w:val="000000"/>
          <w:sz w:val="22"/>
          <w:szCs w:val="22"/>
        </w:rPr>
        <w:t xml:space="preserve">, Oaxaca, derivado de la resolución determinante de 07 de febrero de 2019, en el procedimiento tramitado bajo el número </w:t>
      </w:r>
      <w:r w:rsidR="00F35DC2">
        <w:rPr>
          <w:rFonts w:ascii="Arial" w:hAnsi="Arial" w:cs="Arial"/>
          <w:b/>
          <w:i/>
          <w:color w:val="000000"/>
          <w:sz w:val="22"/>
          <w:szCs w:val="22"/>
        </w:rPr>
        <w:t>*******</w:t>
      </w:r>
      <w:r>
        <w:rPr>
          <w:rFonts w:ascii="Arial" w:hAnsi="Arial" w:cs="Arial"/>
          <w:b/>
          <w:i/>
          <w:color w:val="000000"/>
          <w:sz w:val="22"/>
          <w:szCs w:val="22"/>
        </w:rPr>
        <w:t xml:space="preserve">, </w:t>
      </w:r>
      <w:r>
        <w:rPr>
          <w:rFonts w:ascii="Arial" w:hAnsi="Arial" w:cs="Arial"/>
          <w:bCs/>
          <w:i/>
          <w:color w:val="000000"/>
          <w:sz w:val="22"/>
          <w:szCs w:val="22"/>
        </w:rPr>
        <w:t xml:space="preserve">por el importe a requerir de pago, conforme a dicho mandamiento de ejecución por: </w:t>
      </w:r>
      <w:r w:rsidR="00F35DC2">
        <w:rPr>
          <w:rFonts w:ascii="Arial" w:hAnsi="Arial" w:cs="Arial"/>
          <w:b/>
          <w:i/>
          <w:color w:val="000000"/>
          <w:sz w:val="22"/>
          <w:szCs w:val="22"/>
        </w:rPr>
        <w:t>$*******)</w:t>
      </w:r>
      <w:r>
        <w:rPr>
          <w:rFonts w:ascii="Arial" w:hAnsi="Arial" w:cs="Arial"/>
          <w:b/>
          <w:i/>
          <w:color w:val="000000"/>
          <w:sz w:val="22"/>
          <w:szCs w:val="22"/>
        </w:rPr>
        <w:t>.</w:t>
      </w:r>
    </w:p>
    <w:p w14:paraId="7BA8E57E" w14:textId="141AA808" w:rsidR="0029796E" w:rsidRDefault="0029796E" w:rsidP="0029796E">
      <w:pPr>
        <w:pStyle w:val="Textoindependiente"/>
        <w:numPr>
          <w:ilvl w:val="0"/>
          <w:numId w:val="23"/>
        </w:numPr>
        <w:spacing w:after="0"/>
        <w:ind w:left="1208" w:right="760" w:hanging="357"/>
        <w:jc w:val="both"/>
        <w:rPr>
          <w:rFonts w:ascii="Arial" w:hAnsi="Arial" w:cs="Arial"/>
          <w:bCs/>
          <w:i/>
          <w:color w:val="000000"/>
          <w:sz w:val="22"/>
          <w:szCs w:val="22"/>
        </w:rPr>
      </w:pPr>
      <w:r>
        <w:rPr>
          <w:rFonts w:ascii="Arial" w:hAnsi="Arial" w:cs="Arial"/>
          <w:bCs/>
          <w:i/>
          <w:color w:val="000000"/>
          <w:sz w:val="22"/>
          <w:szCs w:val="22"/>
        </w:rPr>
        <w:t xml:space="preserve">El mandamiento de ejecución número </w:t>
      </w:r>
      <w:r w:rsidR="00F35DC2">
        <w:rPr>
          <w:rFonts w:ascii="Arial" w:hAnsi="Arial" w:cs="Arial"/>
          <w:bCs/>
          <w:i/>
          <w:color w:val="000000"/>
          <w:sz w:val="22"/>
          <w:szCs w:val="22"/>
        </w:rPr>
        <w:t>*******</w:t>
      </w:r>
      <w:r>
        <w:rPr>
          <w:rFonts w:ascii="Arial" w:hAnsi="Arial" w:cs="Arial"/>
          <w:bCs/>
          <w:i/>
          <w:color w:val="000000"/>
          <w:sz w:val="22"/>
          <w:szCs w:val="22"/>
        </w:rPr>
        <w:t xml:space="preserve"> de 24 de junio de 2021, que contiene el crédito fiscal </w:t>
      </w:r>
      <w:r w:rsidR="00F35DC2">
        <w:rPr>
          <w:rFonts w:ascii="Arial" w:hAnsi="Arial" w:cs="Arial"/>
          <w:bCs/>
          <w:i/>
          <w:color w:val="000000"/>
          <w:sz w:val="22"/>
          <w:szCs w:val="22"/>
        </w:rPr>
        <w:t>*******</w:t>
      </w:r>
      <w:r>
        <w:rPr>
          <w:rFonts w:ascii="Arial" w:hAnsi="Arial" w:cs="Arial"/>
          <w:bCs/>
          <w:i/>
          <w:color w:val="000000"/>
          <w:sz w:val="22"/>
          <w:szCs w:val="22"/>
        </w:rPr>
        <w:t xml:space="preserve">, exigible al </w:t>
      </w:r>
      <w:r>
        <w:rPr>
          <w:rFonts w:ascii="Arial" w:hAnsi="Arial" w:cs="Arial"/>
          <w:b/>
          <w:i/>
          <w:color w:val="000000"/>
          <w:sz w:val="22"/>
          <w:szCs w:val="22"/>
        </w:rPr>
        <w:t>C.</w:t>
      </w:r>
      <w:r w:rsidR="00F35DC2">
        <w:rPr>
          <w:rFonts w:ascii="Arial" w:hAnsi="Arial" w:cs="Arial"/>
          <w:b/>
          <w:i/>
          <w:color w:val="000000"/>
          <w:sz w:val="22"/>
          <w:szCs w:val="22"/>
        </w:rPr>
        <w:t xml:space="preserve"> *******</w:t>
      </w:r>
      <w:r>
        <w:rPr>
          <w:rFonts w:ascii="Arial" w:hAnsi="Arial" w:cs="Arial"/>
          <w:b/>
          <w:i/>
          <w:color w:val="000000"/>
          <w:sz w:val="22"/>
          <w:szCs w:val="22"/>
        </w:rPr>
        <w:t xml:space="preserve">, Tesorera municipal </w:t>
      </w:r>
      <w:r>
        <w:rPr>
          <w:rFonts w:ascii="Arial" w:hAnsi="Arial" w:cs="Arial"/>
          <w:bCs/>
          <w:i/>
          <w:color w:val="000000"/>
          <w:sz w:val="22"/>
          <w:szCs w:val="22"/>
        </w:rPr>
        <w:t xml:space="preserve">del Municipio de </w:t>
      </w:r>
      <w:r w:rsidR="00F35DC2">
        <w:rPr>
          <w:rFonts w:ascii="Arial" w:hAnsi="Arial" w:cs="Arial"/>
          <w:bCs/>
          <w:i/>
          <w:color w:val="000000"/>
          <w:sz w:val="22"/>
          <w:szCs w:val="22"/>
        </w:rPr>
        <w:t>*******</w:t>
      </w:r>
      <w:r>
        <w:rPr>
          <w:rFonts w:ascii="Arial" w:hAnsi="Arial" w:cs="Arial"/>
          <w:bCs/>
          <w:i/>
          <w:color w:val="000000"/>
          <w:sz w:val="22"/>
          <w:szCs w:val="22"/>
        </w:rPr>
        <w:t xml:space="preserve">, Oaxaca, derivado de la resolución determinante de 07 de febrero de 2019, en el procedimiento tramitado bajo el número </w:t>
      </w:r>
      <w:r w:rsidR="00F35DC2">
        <w:rPr>
          <w:rFonts w:ascii="Arial" w:hAnsi="Arial" w:cs="Arial"/>
          <w:b/>
          <w:i/>
          <w:color w:val="000000"/>
          <w:sz w:val="22"/>
          <w:szCs w:val="22"/>
        </w:rPr>
        <w:t>*******</w:t>
      </w:r>
      <w:r>
        <w:rPr>
          <w:rFonts w:ascii="Arial" w:hAnsi="Arial" w:cs="Arial"/>
          <w:b/>
          <w:i/>
          <w:color w:val="000000"/>
          <w:sz w:val="22"/>
          <w:szCs w:val="22"/>
        </w:rPr>
        <w:t xml:space="preserve">, </w:t>
      </w:r>
      <w:r>
        <w:rPr>
          <w:rFonts w:ascii="Arial" w:hAnsi="Arial" w:cs="Arial"/>
          <w:bCs/>
          <w:i/>
          <w:color w:val="000000"/>
          <w:sz w:val="22"/>
          <w:szCs w:val="22"/>
        </w:rPr>
        <w:t xml:space="preserve">por el importe a </w:t>
      </w:r>
      <w:r>
        <w:rPr>
          <w:rFonts w:ascii="Arial" w:hAnsi="Arial" w:cs="Arial"/>
          <w:bCs/>
          <w:i/>
          <w:color w:val="000000"/>
          <w:sz w:val="22"/>
          <w:szCs w:val="22"/>
        </w:rPr>
        <w:lastRenderedPageBreak/>
        <w:t xml:space="preserve">requerir de pago, conforme a dicho mandamiento de ejecución por: </w:t>
      </w:r>
      <w:r w:rsidR="00F35DC2">
        <w:rPr>
          <w:rFonts w:ascii="Arial" w:hAnsi="Arial" w:cs="Arial"/>
          <w:b/>
          <w:i/>
          <w:color w:val="000000"/>
          <w:sz w:val="22"/>
          <w:szCs w:val="22"/>
        </w:rPr>
        <w:t>$*******)</w:t>
      </w:r>
      <w:r>
        <w:rPr>
          <w:rFonts w:ascii="Arial" w:hAnsi="Arial" w:cs="Arial"/>
          <w:b/>
          <w:i/>
          <w:color w:val="000000"/>
          <w:sz w:val="22"/>
          <w:szCs w:val="22"/>
        </w:rPr>
        <w:t>.</w:t>
      </w:r>
    </w:p>
    <w:p w14:paraId="197919B9" w14:textId="77777777" w:rsidR="0029796E" w:rsidRDefault="0029796E" w:rsidP="0029796E">
      <w:pPr>
        <w:pStyle w:val="Textoindependiente"/>
        <w:spacing w:after="0"/>
        <w:ind w:left="1208" w:right="760"/>
        <w:jc w:val="both"/>
        <w:rPr>
          <w:rFonts w:ascii="Arial" w:hAnsi="Arial" w:cs="Arial"/>
          <w:bCs/>
          <w:i/>
          <w:color w:val="000000"/>
          <w:sz w:val="22"/>
          <w:szCs w:val="22"/>
        </w:rPr>
      </w:pPr>
    </w:p>
    <w:p w14:paraId="55DC86ED" w14:textId="77777777" w:rsidR="0029796E" w:rsidRDefault="0029796E" w:rsidP="0029796E">
      <w:pPr>
        <w:pStyle w:val="Textoindependiente"/>
        <w:numPr>
          <w:ilvl w:val="0"/>
          <w:numId w:val="23"/>
        </w:numPr>
        <w:spacing w:after="0"/>
        <w:ind w:left="1208" w:right="760" w:hanging="357"/>
        <w:jc w:val="both"/>
        <w:rPr>
          <w:rFonts w:ascii="Arial" w:hAnsi="Arial" w:cs="Arial"/>
          <w:bCs/>
          <w:i/>
          <w:color w:val="000000"/>
          <w:sz w:val="22"/>
          <w:szCs w:val="22"/>
        </w:rPr>
      </w:pPr>
      <w:r>
        <w:rPr>
          <w:rFonts w:ascii="Arial" w:hAnsi="Arial" w:cs="Arial"/>
          <w:bCs/>
          <w:i/>
          <w:color w:val="000000"/>
          <w:sz w:val="22"/>
          <w:szCs w:val="22"/>
        </w:rPr>
        <w:t>La falta de Convenio celebrado entre la Secretaría de finanzas y el nuevo Órgano Superior de Fiscalización para el cobro de multas y sanciones derivadas de procedimientos resarcitorios, en el particular, derivada de la Ley de Fiscalización Superior para el Estado vigente a partir del 31 de agosto de 2013 hasta el 21 de septiembre de 2017.</w:t>
      </w:r>
    </w:p>
    <w:p w14:paraId="08311F32" w14:textId="77777777" w:rsidR="0029796E" w:rsidRDefault="0029796E" w:rsidP="0029796E">
      <w:pPr>
        <w:pStyle w:val="Prrafodelista"/>
        <w:spacing w:after="0"/>
        <w:rPr>
          <w:rFonts w:ascii="Arial" w:hAnsi="Arial" w:cs="Arial"/>
          <w:bCs/>
          <w:i/>
          <w:color w:val="000000"/>
        </w:rPr>
      </w:pPr>
    </w:p>
    <w:p w14:paraId="5F86869F" w14:textId="64D15F9E" w:rsidR="0029796E" w:rsidRDefault="0029796E" w:rsidP="0029796E">
      <w:pPr>
        <w:pStyle w:val="Textoindependiente"/>
        <w:numPr>
          <w:ilvl w:val="0"/>
          <w:numId w:val="23"/>
        </w:numPr>
        <w:spacing w:after="0"/>
        <w:ind w:left="1208" w:right="760" w:hanging="357"/>
        <w:jc w:val="both"/>
        <w:rPr>
          <w:rFonts w:ascii="Arial" w:hAnsi="Arial" w:cs="Arial"/>
          <w:bCs/>
          <w:i/>
          <w:color w:val="000000"/>
          <w:sz w:val="22"/>
          <w:szCs w:val="22"/>
        </w:rPr>
      </w:pPr>
      <w:r>
        <w:rPr>
          <w:rFonts w:ascii="Arial" w:hAnsi="Arial" w:cs="Arial"/>
          <w:bCs/>
          <w:i/>
          <w:color w:val="000000"/>
          <w:sz w:val="22"/>
          <w:szCs w:val="22"/>
        </w:rPr>
        <w:t xml:space="preserve">La indebida fundamentación y motivación del mandamiento de ejecución </w:t>
      </w:r>
      <w:r w:rsidR="00F35DC2">
        <w:rPr>
          <w:rFonts w:ascii="Arial" w:hAnsi="Arial" w:cs="Arial"/>
          <w:bCs/>
          <w:i/>
          <w:color w:val="000000"/>
          <w:sz w:val="22"/>
          <w:szCs w:val="22"/>
        </w:rPr>
        <w:t>*******</w:t>
      </w:r>
      <w:r>
        <w:rPr>
          <w:rFonts w:ascii="Arial" w:hAnsi="Arial" w:cs="Arial"/>
          <w:bCs/>
          <w:i/>
          <w:color w:val="000000"/>
          <w:sz w:val="22"/>
          <w:szCs w:val="22"/>
        </w:rPr>
        <w:t xml:space="preserve">, fechado el 24 de junio de 2021, que contiene los créditos fiscales (sic) número </w:t>
      </w:r>
      <w:r w:rsidR="00F35DC2">
        <w:rPr>
          <w:rFonts w:ascii="Arial" w:hAnsi="Arial" w:cs="Arial"/>
          <w:bCs/>
          <w:i/>
          <w:color w:val="000000"/>
          <w:sz w:val="22"/>
          <w:szCs w:val="22"/>
        </w:rPr>
        <w:t>*******</w:t>
      </w:r>
      <w:r>
        <w:rPr>
          <w:rFonts w:ascii="Arial" w:hAnsi="Arial" w:cs="Arial"/>
          <w:bCs/>
          <w:i/>
          <w:color w:val="000000"/>
          <w:sz w:val="22"/>
          <w:szCs w:val="22"/>
        </w:rPr>
        <w:t xml:space="preserve">, derivado de la resolución determinante de 07 de febrero de 2019, en el procedimiento tramitado bajo el número </w:t>
      </w:r>
      <w:r w:rsidR="00F35DC2">
        <w:rPr>
          <w:rFonts w:ascii="Arial" w:hAnsi="Arial" w:cs="Arial"/>
          <w:b/>
          <w:i/>
          <w:color w:val="000000"/>
          <w:sz w:val="22"/>
          <w:szCs w:val="22"/>
        </w:rPr>
        <w:t>*******</w:t>
      </w:r>
      <w:r>
        <w:rPr>
          <w:rFonts w:ascii="Arial" w:hAnsi="Arial" w:cs="Arial"/>
          <w:b/>
          <w:i/>
          <w:color w:val="000000"/>
          <w:sz w:val="22"/>
          <w:szCs w:val="22"/>
        </w:rPr>
        <w:t>.</w:t>
      </w:r>
    </w:p>
    <w:p w14:paraId="46E76A36" w14:textId="77777777" w:rsidR="0029796E" w:rsidRDefault="0029796E" w:rsidP="0029796E">
      <w:pPr>
        <w:pStyle w:val="Prrafodelista"/>
        <w:spacing w:after="0"/>
        <w:rPr>
          <w:rFonts w:ascii="Arial" w:hAnsi="Arial" w:cs="Arial"/>
          <w:bCs/>
          <w:i/>
          <w:color w:val="000000"/>
        </w:rPr>
      </w:pPr>
    </w:p>
    <w:p w14:paraId="36E27B66" w14:textId="77777777" w:rsidR="0029796E" w:rsidRDefault="0029796E" w:rsidP="0029796E">
      <w:pPr>
        <w:pStyle w:val="Textoindependiente"/>
        <w:spacing w:after="0"/>
        <w:ind w:left="1208" w:right="760"/>
        <w:jc w:val="both"/>
        <w:rPr>
          <w:rFonts w:ascii="Arial" w:hAnsi="Arial" w:cs="Arial"/>
          <w:bCs/>
          <w:i/>
          <w:color w:val="000000"/>
          <w:sz w:val="22"/>
          <w:szCs w:val="22"/>
        </w:rPr>
      </w:pPr>
      <w:r>
        <w:rPr>
          <w:rFonts w:ascii="Arial" w:hAnsi="Arial" w:cs="Arial"/>
          <w:bCs/>
          <w:i/>
          <w:color w:val="000000"/>
          <w:sz w:val="22"/>
          <w:szCs w:val="22"/>
        </w:rPr>
        <w:t>Del Notificador-Ejecutor, dependiente de la Delegación Fiscal 29 Tuxtepec Zona, dependiente de la Dirección de Ingresos y Recaudación de la Secretaría de Finanzas del Poder Ejecutivo del Estado de Oaxaca.</w:t>
      </w:r>
    </w:p>
    <w:p w14:paraId="29A4D378" w14:textId="77777777" w:rsidR="0029796E" w:rsidRDefault="0029796E" w:rsidP="0029796E">
      <w:pPr>
        <w:pStyle w:val="Textoindependiente"/>
        <w:spacing w:after="0"/>
        <w:ind w:left="1208" w:right="760"/>
        <w:jc w:val="both"/>
        <w:rPr>
          <w:rFonts w:ascii="Arial" w:hAnsi="Arial" w:cs="Arial"/>
          <w:bCs/>
          <w:i/>
          <w:color w:val="000000"/>
          <w:sz w:val="22"/>
          <w:szCs w:val="22"/>
        </w:rPr>
      </w:pPr>
    </w:p>
    <w:p w14:paraId="33516D26" w14:textId="60F240C9" w:rsidR="0029796E" w:rsidRDefault="0029796E" w:rsidP="0029796E">
      <w:pPr>
        <w:pStyle w:val="Textoindependiente"/>
        <w:spacing w:after="0"/>
        <w:ind w:left="1208" w:right="760" w:hanging="215"/>
        <w:jc w:val="both"/>
        <w:rPr>
          <w:rFonts w:ascii="Arial" w:hAnsi="Arial" w:cs="Arial"/>
          <w:bCs/>
          <w:iCs/>
          <w:color w:val="000000"/>
          <w:sz w:val="22"/>
          <w:szCs w:val="22"/>
          <w:highlight w:val="yellow"/>
        </w:rPr>
      </w:pPr>
      <w:r>
        <w:rPr>
          <w:rFonts w:ascii="Arial" w:hAnsi="Arial" w:cs="Arial"/>
          <w:bCs/>
          <w:i/>
          <w:color w:val="000000"/>
          <w:sz w:val="22"/>
          <w:szCs w:val="22"/>
        </w:rPr>
        <w:t xml:space="preserve">A) Las Diligencias de notificación y requerimiento de pago realizadas el veintinueve de septiembre de dos mil veintiuno, en cumplimiento al mandamiento de ejecución número </w:t>
      </w:r>
      <w:r w:rsidR="00F35DC2">
        <w:rPr>
          <w:rFonts w:ascii="Arial" w:hAnsi="Arial" w:cs="Arial"/>
          <w:bCs/>
          <w:i/>
          <w:color w:val="000000"/>
          <w:sz w:val="22"/>
          <w:szCs w:val="22"/>
        </w:rPr>
        <w:t>*******</w:t>
      </w:r>
      <w:r>
        <w:rPr>
          <w:rFonts w:ascii="Arial" w:hAnsi="Arial" w:cs="Arial"/>
          <w:bCs/>
          <w:i/>
          <w:color w:val="000000"/>
          <w:sz w:val="22"/>
          <w:szCs w:val="22"/>
        </w:rPr>
        <w:t xml:space="preserve">, dictado el 24 de junio de 2021, emitido por la Coordinadora de Cobro Coactivo, dependiente de la Dirección de Ingresos y Recaudación de la Secretaría de Finanzas del Poder Ejecutivo del Estado de Oaxaca, derivado de la resolución determinante de 07 de febrero de dos mil diecinueve, en el procedimiento tramitado bajo el número </w:t>
      </w:r>
      <w:r w:rsidR="00F35DC2">
        <w:rPr>
          <w:rFonts w:ascii="Arial" w:hAnsi="Arial" w:cs="Arial"/>
          <w:b/>
          <w:i/>
          <w:color w:val="000000"/>
          <w:sz w:val="22"/>
          <w:szCs w:val="22"/>
        </w:rPr>
        <w:t>*******</w:t>
      </w:r>
      <w:r>
        <w:rPr>
          <w:rFonts w:ascii="Arial" w:hAnsi="Arial" w:cs="Arial"/>
          <w:b/>
          <w:i/>
          <w:color w:val="000000"/>
          <w:sz w:val="22"/>
          <w:szCs w:val="22"/>
        </w:rPr>
        <w:t xml:space="preserve">, </w:t>
      </w:r>
      <w:r>
        <w:rPr>
          <w:rFonts w:ascii="Arial" w:hAnsi="Arial" w:cs="Arial"/>
          <w:bCs/>
          <w:i/>
          <w:color w:val="000000"/>
          <w:sz w:val="22"/>
          <w:szCs w:val="22"/>
        </w:rPr>
        <w:t xml:space="preserve">por </w:t>
      </w:r>
      <w:r>
        <w:rPr>
          <w:rFonts w:ascii="Arial" w:hAnsi="Arial" w:cs="Arial"/>
          <w:bCs/>
          <w:i/>
          <w:color w:val="000000"/>
          <w:sz w:val="22"/>
          <w:szCs w:val="22"/>
          <w:u w:val="single"/>
        </w:rPr>
        <w:t>el importe total a requerir de pago</w:t>
      </w:r>
      <w:r>
        <w:rPr>
          <w:rFonts w:ascii="Arial" w:hAnsi="Arial" w:cs="Arial"/>
          <w:bCs/>
          <w:i/>
          <w:color w:val="000000"/>
          <w:sz w:val="22"/>
          <w:szCs w:val="22"/>
        </w:rPr>
        <w:t>, conforme a dicho mandamiento de ejecución:</w:t>
      </w:r>
      <w:r>
        <w:rPr>
          <w:rFonts w:ascii="Arial" w:hAnsi="Arial" w:cs="Arial"/>
          <w:b/>
          <w:i/>
          <w:color w:val="000000"/>
          <w:sz w:val="22"/>
          <w:szCs w:val="22"/>
        </w:rPr>
        <w:t>$</w:t>
      </w:r>
      <w:r w:rsidR="00F35DC2">
        <w:rPr>
          <w:rFonts w:ascii="Arial" w:hAnsi="Arial" w:cs="Arial"/>
          <w:b/>
          <w:i/>
          <w:color w:val="000000"/>
          <w:sz w:val="22"/>
          <w:szCs w:val="22"/>
        </w:rPr>
        <w:t>*******)</w:t>
      </w:r>
    </w:p>
    <w:p w14:paraId="55D51A61" w14:textId="77777777" w:rsidR="0029796E" w:rsidRDefault="0029796E" w:rsidP="0029796E">
      <w:pPr>
        <w:pStyle w:val="Prrafodelista"/>
        <w:spacing w:after="0"/>
        <w:rPr>
          <w:rFonts w:ascii="Arial" w:hAnsi="Arial" w:cs="Arial"/>
          <w:bCs/>
          <w:iCs/>
          <w:color w:val="000000"/>
        </w:rPr>
      </w:pPr>
    </w:p>
    <w:p w14:paraId="6B61D154" w14:textId="77777777" w:rsidR="0029796E" w:rsidRDefault="0029796E" w:rsidP="0029796E">
      <w:pPr>
        <w:pStyle w:val="Textoindependiente"/>
        <w:spacing w:after="0" w:line="360" w:lineRule="auto"/>
        <w:ind w:left="851" w:right="760"/>
        <w:rPr>
          <w:rFonts w:ascii="Arial" w:hAnsi="Arial" w:cs="Arial"/>
          <w:b/>
          <w:i/>
          <w:color w:val="000000"/>
          <w:sz w:val="22"/>
          <w:szCs w:val="22"/>
        </w:rPr>
      </w:pPr>
      <w:r>
        <w:rPr>
          <w:rFonts w:ascii="Arial" w:hAnsi="Arial" w:cs="Arial"/>
          <w:b/>
          <w:i/>
          <w:color w:val="000000"/>
          <w:sz w:val="22"/>
          <w:szCs w:val="22"/>
        </w:rPr>
        <w:t>VI. PRETENSIONES DEDUCIDAS EN JUICIO:</w:t>
      </w:r>
    </w:p>
    <w:p w14:paraId="22A87868" w14:textId="131E9634" w:rsidR="0029796E" w:rsidRDefault="0029796E" w:rsidP="0029796E">
      <w:pPr>
        <w:pStyle w:val="Textoindependiente"/>
        <w:numPr>
          <w:ilvl w:val="0"/>
          <w:numId w:val="24"/>
        </w:numPr>
        <w:spacing w:after="0"/>
        <w:ind w:left="1208" w:right="760" w:hanging="357"/>
        <w:jc w:val="both"/>
        <w:rPr>
          <w:rFonts w:ascii="Arial" w:hAnsi="Arial" w:cs="Arial"/>
          <w:bCs/>
          <w:i/>
          <w:color w:val="000000"/>
          <w:sz w:val="22"/>
          <w:szCs w:val="22"/>
        </w:rPr>
      </w:pPr>
      <w:r>
        <w:rPr>
          <w:rFonts w:ascii="Arial" w:hAnsi="Arial" w:cs="Arial"/>
          <w:bCs/>
          <w:i/>
          <w:color w:val="000000"/>
          <w:sz w:val="22"/>
          <w:szCs w:val="22"/>
        </w:rPr>
        <w:t xml:space="preserve">La nulidad lisa y llana del mandamiento de ejecución número </w:t>
      </w:r>
      <w:r w:rsidR="00F35DC2">
        <w:rPr>
          <w:rFonts w:ascii="Arial" w:hAnsi="Arial" w:cs="Arial"/>
          <w:bCs/>
          <w:i/>
          <w:color w:val="000000"/>
          <w:sz w:val="22"/>
          <w:szCs w:val="22"/>
        </w:rPr>
        <w:t>*******</w:t>
      </w:r>
      <w:r>
        <w:rPr>
          <w:rFonts w:ascii="Arial" w:hAnsi="Arial" w:cs="Arial"/>
          <w:bCs/>
          <w:i/>
          <w:color w:val="000000"/>
          <w:sz w:val="22"/>
          <w:szCs w:val="22"/>
        </w:rPr>
        <w:t xml:space="preserve">, fechado el 24 de junio de 2021, que contiene los créditos fiscales (sic) número </w:t>
      </w:r>
      <w:r w:rsidR="00F35DC2">
        <w:rPr>
          <w:rFonts w:ascii="Arial" w:hAnsi="Arial" w:cs="Arial"/>
          <w:bCs/>
          <w:i/>
          <w:color w:val="000000"/>
          <w:sz w:val="22"/>
          <w:szCs w:val="22"/>
        </w:rPr>
        <w:t>*******</w:t>
      </w:r>
      <w:r>
        <w:rPr>
          <w:rFonts w:ascii="Arial" w:hAnsi="Arial" w:cs="Arial"/>
          <w:bCs/>
          <w:i/>
          <w:color w:val="000000"/>
          <w:sz w:val="22"/>
          <w:szCs w:val="22"/>
        </w:rPr>
        <w:t>, derivado de la resolución determinante de 07 de febrero de 2019, dirigido a cada uno de los demandantes porque se trata de cuatro créditos fiscales y no de uno solo determinado.</w:t>
      </w:r>
    </w:p>
    <w:p w14:paraId="341FEF0B" w14:textId="77777777" w:rsidR="0029796E" w:rsidRDefault="0029796E" w:rsidP="0029796E">
      <w:pPr>
        <w:pStyle w:val="Textoindependiente"/>
        <w:spacing w:after="0"/>
        <w:ind w:left="1208" w:right="760"/>
        <w:jc w:val="both"/>
        <w:rPr>
          <w:rFonts w:ascii="Arial" w:hAnsi="Arial" w:cs="Arial"/>
          <w:bCs/>
          <w:i/>
          <w:color w:val="000000"/>
          <w:sz w:val="22"/>
          <w:szCs w:val="22"/>
        </w:rPr>
      </w:pPr>
    </w:p>
    <w:p w14:paraId="48225ADA" w14:textId="1908B68D" w:rsidR="0029796E" w:rsidRDefault="0029796E" w:rsidP="0029796E">
      <w:pPr>
        <w:pStyle w:val="Textoindependiente"/>
        <w:numPr>
          <w:ilvl w:val="0"/>
          <w:numId w:val="24"/>
        </w:numPr>
        <w:spacing w:after="0"/>
        <w:ind w:left="1208" w:right="760" w:hanging="357"/>
        <w:jc w:val="both"/>
        <w:rPr>
          <w:rFonts w:ascii="Arial" w:hAnsi="Arial" w:cs="Arial"/>
          <w:bCs/>
          <w:i/>
          <w:color w:val="000000"/>
          <w:sz w:val="22"/>
          <w:szCs w:val="22"/>
        </w:rPr>
      </w:pPr>
      <w:r>
        <w:rPr>
          <w:rFonts w:ascii="Arial" w:hAnsi="Arial" w:cs="Arial"/>
          <w:bCs/>
          <w:i/>
          <w:color w:val="000000"/>
          <w:sz w:val="22"/>
          <w:szCs w:val="22"/>
        </w:rPr>
        <w:t xml:space="preserve">La nulidad lisa y llana de las diligencias de notificación y requerimiento de pago realizadas el veintinueve fe septiembre de dos mil veintiuno, en cumplimiento al mandamiento de ejecución número </w:t>
      </w:r>
      <w:r w:rsidR="00F35DC2">
        <w:rPr>
          <w:rFonts w:ascii="Arial" w:hAnsi="Arial" w:cs="Arial"/>
          <w:bCs/>
          <w:i/>
          <w:color w:val="000000"/>
          <w:sz w:val="22"/>
          <w:szCs w:val="22"/>
        </w:rPr>
        <w:t>*******</w:t>
      </w:r>
      <w:r>
        <w:rPr>
          <w:rFonts w:ascii="Arial" w:hAnsi="Arial" w:cs="Arial"/>
          <w:bCs/>
          <w:i/>
          <w:color w:val="000000"/>
          <w:sz w:val="22"/>
          <w:szCs w:val="22"/>
        </w:rPr>
        <w:t>, fechado el 24 de junio de 2021, emitido por la coordinadora de Cobro Coactivo, dependiente de la Dirección de Ingresos y Recaudación de la Secretaría de Finanzas del Poder Ejecutivo del Estado de Oaxaca.</w:t>
      </w:r>
    </w:p>
    <w:p w14:paraId="69043F93" w14:textId="77777777" w:rsidR="0029796E" w:rsidRDefault="0029796E" w:rsidP="0029796E">
      <w:pPr>
        <w:pStyle w:val="Prrafodelista"/>
        <w:rPr>
          <w:rFonts w:ascii="Arial" w:hAnsi="Arial" w:cs="Arial"/>
          <w:bCs/>
          <w:i/>
          <w:color w:val="000000"/>
        </w:rPr>
      </w:pPr>
    </w:p>
    <w:p w14:paraId="6307D732" w14:textId="77777777" w:rsidR="0029796E" w:rsidRDefault="0029796E" w:rsidP="0029796E">
      <w:pPr>
        <w:pStyle w:val="Textoindependiente"/>
        <w:spacing w:after="0"/>
        <w:ind w:left="1416" w:right="760"/>
        <w:jc w:val="center"/>
        <w:rPr>
          <w:rFonts w:ascii="Arial" w:hAnsi="Arial" w:cs="Arial"/>
          <w:b/>
          <w:i/>
          <w:color w:val="000000"/>
          <w:sz w:val="22"/>
          <w:szCs w:val="22"/>
        </w:rPr>
      </w:pPr>
      <w:r>
        <w:rPr>
          <w:rFonts w:ascii="Arial" w:hAnsi="Arial" w:cs="Arial"/>
          <w:b/>
          <w:i/>
          <w:color w:val="000000"/>
          <w:sz w:val="22"/>
          <w:szCs w:val="22"/>
        </w:rPr>
        <w:t>VII. HECHOS</w:t>
      </w:r>
    </w:p>
    <w:p w14:paraId="3ED78F7A" w14:textId="77777777" w:rsidR="0029796E" w:rsidRDefault="0029796E" w:rsidP="0029796E">
      <w:pPr>
        <w:pStyle w:val="Textoindependiente"/>
        <w:spacing w:after="0"/>
        <w:ind w:left="1416" w:right="760"/>
        <w:jc w:val="center"/>
        <w:rPr>
          <w:rFonts w:ascii="Arial" w:hAnsi="Arial" w:cs="Arial"/>
          <w:b/>
          <w:i/>
          <w:color w:val="000000"/>
          <w:sz w:val="22"/>
          <w:szCs w:val="22"/>
        </w:rPr>
      </w:pPr>
    </w:p>
    <w:p w14:paraId="6EA80DE4" w14:textId="1D24FD21" w:rsidR="0029796E" w:rsidRDefault="0029796E" w:rsidP="0029796E">
      <w:pPr>
        <w:pStyle w:val="Textoindependiente"/>
        <w:spacing w:after="0"/>
        <w:ind w:left="1416" w:right="760"/>
        <w:jc w:val="both"/>
        <w:rPr>
          <w:rFonts w:ascii="Arial" w:hAnsi="Arial" w:cs="Arial"/>
          <w:bCs/>
          <w:i/>
          <w:color w:val="000000"/>
          <w:sz w:val="22"/>
          <w:szCs w:val="22"/>
        </w:rPr>
      </w:pPr>
      <w:r>
        <w:rPr>
          <w:rFonts w:ascii="Arial" w:hAnsi="Arial" w:cs="Arial"/>
          <w:b/>
          <w:i/>
          <w:color w:val="000000"/>
          <w:sz w:val="22"/>
          <w:szCs w:val="22"/>
        </w:rPr>
        <w:tab/>
        <w:t>1</w:t>
      </w:r>
      <w:r>
        <w:rPr>
          <w:rFonts w:ascii="Arial" w:hAnsi="Arial" w:cs="Arial"/>
          <w:bCs/>
          <w:i/>
          <w:color w:val="000000"/>
          <w:sz w:val="22"/>
          <w:szCs w:val="22"/>
        </w:rPr>
        <w:t xml:space="preserve">. Los suscritos fungimos como Presidente Municipal, Síndico Municipal, Regidor de Hacienda y Tesorera Municipal del Ayuntamiento del Municipio de </w:t>
      </w:r>
      <w:r w:rsidR="00F35DC2">
        <w:rPr>
          <w:rFonts w:ascii="Arial" w:hAnsi="Arial" w:cs="Arial"/>
          <w:bCs/>
          <w:i/>
          <w:color w:val="000000"/>
          <w:sz w:val="22"/>
          <w:szCs w:val="22"/>
        </w:rPr>
        <w:t>*******</w:t>
      </w:r>
      <w:r>
        <w:rPr>
          <w:rFonts w:ascii="Arial" w:hAnsi="Arial" w:cs="Arial"/>
          <w:bCs/>
          <w:i/>
          <w:color w:val="000000"/>
          <w:sz w:val="22"/>
          <w:szCs w:val="22"/>
        </w:rPr>
        <w:t>, Oaxaca, respectivamente durante el periodo 2011.2013.</w:t>
      </w:r>
    </w:p>
    <w:p w14:paraId="4029C41C" w14:textId="77777777" w:rsidR="0029796E" w:rsidRDefault="0029796E" w:rsidP="0029796E">
      <w:pPr>
        <w:pStyle w:val="Textoindependiente"/>
        <w:spacing w:after="0"/>
        <w:ind w:left="1416" w:right="760"/>
        <w:jc w:val="both"/>
        <w:rPr>
          <w:rFonts w:ascii="Arial" w:hAnsi="Arial" w:cs="Arial"/>
          <w:bCs/>
          <w:i/>
          <w:color w:val="000000"/>
          <w:sz w:val="22"/>
          <w:szCs w:val="22"/>
        </w:rPr>
      </w:pPr>
    </w:p>
    <w:p w14:paraId="1D554FC0" w14:textId="77777777" w:rsidR="0029796E" w:rsidRDefault="0029796E" w:rsidP="0029796E">
      <w:pPr>
        <w:pStyle w:val="Textoindependiente"/>
        <w:spacing w:after="0"/>
        <w:ind w:left="1416" w:right="760" w:firstLine="708"/>
        <w:jc w:val="both"/>
        <w:rPr>
          <w:rFonts w:ascii="Arial" w:hAnsi="Arial" w:cs="Arial"/>
          <w:bCs/>
          <w:i/>
          <w:color w:val="000000"/>
          <w:sz w:val="22"/>
          <w:szCs w:val="22"/>
        </w:rPr>
      </w:pPr>
      <w:r>
        <w:rPr>
          <w:rFonts w:ascii="Arial" w:hAnsi="Arial" w:cs="Arial"/>
          <w:b/>
          <w:i/>
          <w:color w:val="000000"/>
          <w:sz w:val="22"/>
          <w:szCs w:val="22"/>
        </w:rPr>
        <w:t xml:space="preserve"> </w:t>
      </w:r>
      <w:r>
        <w:rPr>
          <w:rFonts w:ascii="Arial" w:hAnsi="Arial" w:cs="Arial"/>
          <w:bCs/>
          <w:i/>
          <w:color w:val="000000"/>
          <w:sz w:val="22"/>
          <w:szCs w:val="22"/>
        </w:rPr>
        <w:t>[…]”</w:t>
      </w:r>
    </w:p>
    <w:p w14:paraId="6CE1299A" w14:textId="544939BA" w:rsidR="0029796E" w:rsidRDefault="0029796E" w:rsidP="0029796E">
      <w:pPr>
        <w:pStyle w:val="Sinespaciado"/>
        <w:tabs>
          <w:tab w:val="left" w:pos="709"/>
        </w:tabs>
        <w:spacing w:before="120" w:line="360" w:lineRule="auto"/>
        <w:ind w:right="49"/>
        <w:jc w:val="both"/>
        <w:rPr>
          <w:rFonts w:ascii="Arial" w:eastAsia="Calibri" w:hAnsi="Arial" w:cs="Arial"/>
          <w:sz w:val="26"/>
          <w:szCs w:val="26"/>
        </w:rPr>
      </w:pPr>
      <w:r>
        <w:rPr>
          <w:rFonts w:ascii="Arial" w:eastAsia="Calibri" w:hAnsi="Arial" w:cs="Arial"/>
          <w:bCs/>
          <w:sz w:val="26"/>
          <w:szCs w:val="26"/>
        </w:rPr>
        <w:tab/>
        <w:t>Enseguida,</w:t>
      </w:r>
      <w:r>
        <w:rPr>
          <w:rFonts w:ascii="Arial" w:eastAsia="Calibri" w:hAnsi="Arial" w:cs="Arial"/>
          <w:b/>
          <w:bCs/>
          <w:sz w:val="26"/>
          <w:szCs w:val="26"/>
        </w:rPr>
        <w:t xml:space="preserve"> </w:t>
      </w:r>
      <w:r>
        <w:rPr>
          <w:rFonts w:ascii="Arial" w:eastAsia="Calibri" w:hAnsi="Arial" w:cs="Arial"/>
          <w:bCs/>
          <w:sz w:val="26"/>
          <w:szCs w:val="26"/>
        </w:rPr>
        <w:t>esta Sala Superior</w:t>
      </w:r>
      <w:r>
        <w:rPr>
          <w:rFonts w:ascii="Arial" w:eastAsia="Calibri" w:hAnsi="Arial" w:cs="Arial"/>
          <w:sz w:val="26"/>
          <w:szCs w:val="26"/>
        </w:rPr>
        <w:t xml:space="preserve"> a efecto de analizar adecuadamente los agravios expresados por los aquí recurrentes, </w:t>
      </w:r>
      <w:r>
        <w:rPr>
          <w:rFonts w:ascii="Arial" w:eastAsia="Calibri" w:hAnsi="Arial" w:cs="Arial"/>
          <w:b/>
          <w:sz w:val="26"/>
          <w:szCs w:val="26"/>
        </w:rPr>
        <w:t>suple la deficiencia de la queja y configura la causa de pedir</w:t>
      </w:r>
      <w:r>
        <w:rPr>
          <w:rFonts w:ascii="Arial" w:eastAsia="Calibri" w:hAnsi="Arial" w:cs="Arial"/>
          <w:sz w:val="26"/>
          <w:szCs w:val="26"/>
        </w:rPr>
        <w:t xml:space="preserve">, </w:t>
      </w:r>
      <w:r>
        <w:rPr>
          <w:rFonts w:ascii="Arial" w:hAnsi="Arial" w:cs="Arial"/>
          <w:bCs/>
          <w:sz w:val="26"/>
          <w:szCs w:val="26"/>
        </w:rPr>
        <w:t xml:space="preserve">lo que </w:t>
      </w:r>
      <w:r>
        <w:rPr>
          <w:rFonts w:ascii="Arial" w:hAnsi="Arial" w:cs="Arial"/>
          <w:sz w:val="26"/>
          <w:szCs w:val="26"/>
        </w:rPr>
        <w:t xml:space="preserve">implica, que la interpretación jurídica siempre debe buscar el mayor beneficio, acudiendo a la norma más amplia o a la interpretación más </w:t>
      </w:r>
      <w:r>
        <w:rPr>
          <w:rFonts w:ascii="Arial" w:hAnsi="Arial" w:cs="Arial"/>
          <w:sz w:val="26"/>
          <w:szCs w:val="26"/>
        </w:rPr>
        <w:lastRenderedPageBreak/>
        <w:t>favorable al gobernado,</w:t>
      </w:r>
      <w:r>
        <w:rPr>
          <w:rFonts w:ascii="Arial" w:eastAsia="Calibri" w:hAnsi="Arial" w:cs="Arial"/>
          <w:sz w:val="26"/>
          <w:szCs w:val="26"/>
        </w:rPr>
        <w:t xml:space="preserve"> conforme a lo previsto en el artículo 206</w:t>
      </w:r>
      <w:r>
        <w:rPr>
          <w:rStyle w:val="Refdenotaalpie"/>
          <w:rFonts w:ascii="Arial" w:eastAsia="Calibri" w:hAnsi="Arial" w:cs="Arial"/>
          <w:sz w:val="26"/>
          <w:szCs w:val="26"/>
        </w:rPr>
        <w:footnoteReference w:id="2"/>
      </w:r>
      <w:r>
        <w:rPr>
          <w:rFonts w:ascii="Arial" w:eastAsia="Calibri" w:hAnsi="Arial" w:cs="Arial"/>
          <w:sz w:val="26"/>
          <w:szCs w:val="26"/>
        </w:rPr>
        <w:t xml:space="preserve"> de la Ley de Procedimiento y Justicia Administrativa para el Estado de Oaxaca y en la tesis jurisprudencial 2a./J. 63/98, publicada por la Segunda Sala de la Suprema Corte de Justicia de la Nación, en el Tomo VIII, Septiembre de 1998, página 323, del Semanario Judicial de la Federación y su Gaceta, Novena Época, con registro digital 195518, de rubro y texto siguiente:</w:t>
      </w:r>
      <w:r w:rsidR="00607CBD">
        <w:rPr>
          <w:rFonts w:ascii="Arial" w:eastAsia="Calibri" w:hAnsi="Arial" w:cs="Arial"/>
          <w:sz w:val="26"/>
          <w:szCs w:val="26"/>
        </w:rPr>
        <w:t>- - - - - - - - - - - - - - - - - - - - - - - - - - - - - - - - - - - -</w:t>
      </w:r>
    </w:p>
    <w:p w14:paraId="1505E346" w14:textId="77777777" w:rsidR="0029796E" w:rsidRDefault="0029796E" w:rsidP="0029796E">
      <w:pPr>
        <w:pStyle w:val="Sinespaciado"/>
        <w:tabs>
          <w:tab w:val="left" w:pos="709"/>
        </w:tabs>
        <w:spacing w:before="120" w:line="276" w:lineRule="auto"/>
        <w:ind w:left="851" w:right="900"/>
        <w:jc w:val="both"/>
        <w:rPr>
          <w:rFonts w:ascii="Arial" w:eastAsia="Calibri" w:hAnsi="Arial" w:cs="Arial"/>
          <w:i/>
        </w:rPr>
      </w:pPr>
      <w:r>
        <w:rPr>
          <w:rFonts w:ascii="Arial" w:hAnsi="Arial" w:cs="Arial"/>
          <w:b/>
          <w:bCs/>
          <w:i/>
        </w:rPr>
        <w:t>“CONCEPTOS DE VIOLACIÓN. PARA QUE SE ESTUDIEN, BASTA CON EXPRESAR CLARAMENTE EN LA DEMANDA DE GARANTÍAS LA CAUSA DE PEDIR.</w:t>
      </w:r>
      <w:r>
        <w:rPr>
          <w:rFonts w:ascii="Arial" w:hAnsi="Arial" w:cs="Arial"/>
          <w:i/>
        </w:rPr>
        <w:t xml:space="preserve"> Esta Segunda Sala de la Suprema Corte de Justicia de la Nación, abandona el criterio formalista sustentado por la anterior Tercera Sala de este Alto Tribunal, contenido en la tesis de jurisprudencia número 3a</w:t>
      </w:r>
      <w:proofErr w:type="gramStart"/>
      <w:r>
        <w:rPr>
          <w:rFonts w:ascii="Arial" w:hAnsi="Arial" w:cs="Arial"/>
          <w:i/>
        </w:rPr>
        <w:t>./</w:t>
      </w:r>
      <w:proofErr w:type="gramEnd"/>
      <w:r>
        <w:rPr>
          <w:rFonts w:ascii="Arial" w:hAnsi="Arial" w:cs="Arial"/>
          <w:i/>
        </w:rPr>
        <w:t>J. 6/94, que en la compilación de 1995, Tomo VI, se localiza en la página 116, bajo el número 172, cuyo rubro es "CONCEPTOS DE VIOLACIÓN. REQUISITOS LÓGICO JURÍDICOS QUE DEBEN REUNIR.", en la que, en lo fundamental, se exigía que el concepto de violación, para ser tal, debía presentarse como un verdadero silogismo, siendo la premisa mayor el precepto constitucional violado, la premisa menor los actos autoritarios reclamados y la conclusión la contraposición entre aquéllas, demostrando así, jurídicamente, la inconstitucionalidad de los actos reclamados. Las razones de la separación radican en que, por una parte, la Ley Reglamentaria de los Artículos 103 y 107 Constitucionales no exige, en sus artículos 116 y 166, como requisito esencial e imprescindible, que la expresión de los conceptos de violación se haga con formalidades tan rígidas y solemnes como las que establecía la aludida jurisprudencia y, por otra, que como la demanda de amparo no debe examinarse por sus partes aisladas, sino considerarse en su conjunto, es razonable que deban tenerse como conceptos de violación todos los razonamientos que, con tal contenido, aparezcan en la demanda, aunque no estén en el capítulo relativo y aunque no guarden un apego estricto a la forma lógica del silogismo, sino que será suficiente que en alguna parte del escrito se exprese con claridad la causa de pedir, señalándose cuál es la lesión o agravio que el quejoso estima le causa el acto, resolución o ley impugnada y los motivos que originaron ese agravio, para que el Juez de amparo deba estudiarlo.”</w:t>
      </w:r>
    </w:p>
    <w:p w14:paraId="1DEC9E51" w14:textId="1112F2C7" w:rsidR="0029796E" w:rsidRDefault="0029796E" w:rsidP="0029796E">
      <w:pPr>
        <w:pStyle w:val="Sinespaciado"/>
        <w:tabs>
          <w:tab w:val="left" w:pos="709"/>
          <w:tab w:val="left" w:pos="7088"/>
        </w:tabs>
        <w:spacing w:before="120" w:line="360" w:lineRule="auto"/>
        <w:ind w:right="333"/>
        <w:jc w:val="both"/>
        <w:rPr>
          <w:rFonts w:ascii="Arial" w:eastAsia="Calibri" w:hAnsi="Arial" w:cs="Arial"/>
          <w:sz w:val="26"/>
          <w:szCs w:val="26"/>
        </w:rPr>
      </w:pPr>
      <w:r>
        <w:rPr>
          <w:rFonts w:ascii="Arial" w:eastAsia="Calibri" w:hAnsi="Arial" w:cs="Arial"/>
          <w:sz w:val="26"/>
          <w:szCs w:val="26"/>
        </w:rPr>
        <w:t xml:space="preserve">      Y la jurisprudencia 1a./J. 17/2000 de la Primera Sala de la Suprema Corte de Justicia de la Nación, consultable en la página 189, tomo XII, octubre de 2000, Novena Época del Semanario Judicial de la Federación y su Gaceta, con registro digital 191048, de rubro y texto </w:t>
      </w:r>
      <w:r w:rsidR="00315EEB">
        <w:rPr>
          <w:rFonts w:ascii="Arial" w:eastAsia="Calibri" w:hAnsi="Arial" w:cs="Arial"/>
          <w:sz w:val="26"/>
          <w:szCs w:val="26"/>
        </w:rPr>
        <w:t>siguiente: -</w:t>
      </w:r>
      <w:r w:rsidR="00FD704F">
        <w:rPr>
          <w:rFonts w:ascii="Arial" w:eastAsia="Calibri" w:hAnsi="Arial" w:cs="Arial"/>
          <w:sz w:val="26"/>
          <w:szCs w:val="26"/>
        </w:rPr>
        <w:t xml:space="preserve"> - - - - - - - - - - - - - - - - - - - - - - - - - - - - - - - - - - -- - - </w:t>
      </w:r>
    </w:p>
    <w:p w14:paraId="4976B08A" w14:textId="77777777" w:rsidR="00FD704F" w:rsidRDefault="00FD704F" w:rsidP="00FD704F">
      <w:pPr>
        <w:pStyle w:val="Sinespaciado"/>
        <w:tabs>
          <w:tab w:val="left" w:pos="709"/>
          <w:tab w:val="left" w:pos="7088"/>
        </w:tabs>
        <w:spacing w:before="120" w:line="276" w:lineRule="auto"/>
        <w:ind w:right="333"/>
        <w:jc w:val="both"/>
        <w:rPr>
          <w:rFonts w:ascii="Arial" w:eastAsia="Calibri" w:hAnsi="Arial" w:cs="Arial"/>
          <w:sz w:val="26"/>
          <w:szCs w:val="26"/>
        </w:rPr>
      </w:pPr>
    </w:p>
    <w:p w14:paraId="19825182" w14:textId="77777777" w:rsidR="0029796E" w:rsidRDefault="0029796E" w:rsidP="0029796E">
      <w:pPr>
        <w:pStyle w:val="Sinespaciado"/>
        <w:tabs>
          <w:tab w:val="left" w:pos="709"/>
          <w:tab w:val="left" w:pos="7088"/>
        </w:tabs>
        <w:spacing w:line="276" w:lineRule="auto"/>
        <w:ind w:left="851" w:right="900"/>
        <w:jc w:val="both"/>
        <w:rPr>
          <w:rFonts w:ascii="Arial" w:eastAsia="Calibri" w:hAnsi="Arial" w:cs="Arial"/>
          <w:i/>
        </w:rPr>
      </w:pPr>
      <w:r>
        <w:rPr>
          <w:rFonts w:eastAsia="Calibri" w:cs="Arial"/>
          <w:sz w:val="24"/>
          <w:szCs w:val="24"/>
        </w:rPr>
        <w:t xml:space="preserve">  </w:t>
      </w:r>
      <w:r>
        <w:rPr>
          <w:rFonts w:ascii="Arial" w:eastAsia="Calibri" w:hAnsi="Arial" w:cs="Arial"/>
        </w:rPr>
        <w:t>“</w:t>
      </w:r>
      <w:r>
        <w:rPr>
          <w:rFonts w:ascii="Arial" w:eastAsia="Calibri" w:hAnsi="Arial" w:cs="Arial"/>
          <w:b/>
          <w:bCs/>
          <w:i/>
        </w:rPr>
        <w:t xml:space="preserve">SUPLENCIA DE LA QUEJA DEFICIENTE EN MATERIA ADMINISTRATIVA. PROCEDENCIA. </w:t>
      </w:r>
      <w:r>
        <w:rPr>
          <w:rFonts w:ascii="Arial" w:eastAsia="Calibri" w:hAnsi="Arial" w:cs="Arial"/>
          <w:i/>
        </w:rPr>
        <w:t xml:space="preserve">Para que proceda la suplencia de los conceptos de violación deficientes en la demanda de amparo o de los agravios en la revisión, en materias como la </w:t>
      </w:r>
      <w:r>
        <w:rPr>
          <w:rFonts w:ascii="Arial" w:eastAsia="Calibri" w:hAnsi="Arial" w:cs="Arial"/>
          <w:i/>
        </w:rPr>
        <w:lastRenderedPageBreak/>
        <w:t xml:space="preserve">administrativa, en términos de lo dispuesto en la fracción VI del artículo 76 bis de la Ley de Amparo, se requiere que el juzgador advierta que el acto reclamado, independientemente de aquellos aspectos que se le impugnan por vicios de legalidad o de inconstitucionalidad, implique además, una violación manifiesta de la ley que deje sin defensa al quejoso o al particular recurrente. Se entiende por "violación manifiesta de la ley que deje sin defensa", aquella actuación en el auto reclamado de las autoridades responsables (ordenadoras o ejecutoras) que haga visiblemente notoria e indiscutible la vulneración a las garantías individuales del quejoso, ya sea en forma directa, o bien, indirectamente, mediante la transgresión a las normas procedimentales y sustantivas y que rigen el acto reclamado, e incluso la defensa del quejoso ante la emisión del acto de las autoridades responsables. No deben admitirse para que proceda esta suplencia aquellas actuaciones de las autoridades en el acto o las derivadas del mismo que requieran necesariamente de la demostración del promovente del amparo, para acreditar la ilegalidad o inconstitucionalidad del acto, o bien, de allegarse de cuestiones ajenas a la </w:t>
      </w:r>
      <w:proofErr w:type="spellStart"/>
      <w:r>
        <w:rPr>
          <w:rFonts w:ascii="Arial" w:eastAsia="Calibri" w:hAnsi="Arial" w:cs="Arial"/>
          <w:i/>
        </w:rPr>
        <w:t>litis</w:t>
      </w:r>
      <w:proofErr w:type="spellEnd"/>
      <w:r>
        <w:rPr>
          <w:rFonts w:ascii="Arial" w:eastAsia="Calibri" w:hAnsi="Arial" w:cs="Arial"/>
          <w:i/>
        </w:rPr>
        <w:t xml:space="preserve"> planteada, porque de ser así, ya no se estaría ante la presencia de una violación manifiesta de la ley que deje sin defensa al quejoso o agraviado.”</w:t>
      </w:r>
    </w:p>
    <w:p w14:paraId="377DB807" w14:textId="77777777" w:rsidR="0029796E" w:rsidRDefault="0029796E" w:rsidP="0029796E">
      <w:pPr>
        <w:pStyle w:val="Sinespaciado"/>
        <w:tabs>
          <w:tab w:val="left" w:pos="709"/>
          <w:tab w:val="left" w:pos="7088"/>
        </w:tabs>
        <w:spacing w:line="276" w:lineRule="auto"/>
        <w:ind w:left="851" w:right="900"/>
        <w:jc w:val="both"/>
        <w:rPr>
          <w:rFonts w:ascii="Arial" w:eastAsia="Calibri" w:hAnsi="Arial" w:cs="Arial"/>
          <w:i/>
        </w:rPr>
      </w:pPr>
    </w:p>
    <w:p w14:paraId="6D09A92D" w14:textId="2DA5E6DD" w:rsidR="0029796E" w:rsidRDefault="0029796E" w:rsidP="0029796E">
      <w:pPr>
        <w:spacing w:after="0" w:line="360" w:lineRule="auto"/>
        <w:ind w:firstLine="709"/>
        <w:jc w:val="both"/>
        <w:rPr>
          <w:rFonts w:ascii="Arial" w:eastAsia="Calibri" w:hAnsi="Arial" w:cs="Arial"/>
          <w:b/>
          <w:bCs/>
          <w:sz w:val="26"/>
          <w:szCs w:val="26"/>
          <w:lang w:eastAsia="en-US"/>
        </w:rPr>
      </w:pPr>
      <w:r>
        <w:rPr>
          <w:rFonts w:ascii="Arial" w:eastAsia="Calibri" w:hAnsi="Arial" w:cs="Arial"/>
          <w:sz w:val="26"/>
          <w:szCs w:val="26"/>
          <w:lang w:eastAsia="en-US"/>
        </w:rPr>
        <w:t xml:space="preserve">En esas condiciones, resultan </w:t>
      </w:r>
      <w:r>
        <w:rPr>
          <w:rFonts w:ascii="Arial" w:eastAsia="Calibri" w:hAnsi="Arial" w:cs="Arial"/>
          <w:b/>
          <w:sz w:val="26"/>
          <w:szCs w:val="26"/>
          <w:lang w:eastAsia="en-US"/>
        </w:rPr>
        <w:t xml:space="preserve">FUNDADOS </w:t>
      </w:r>
      <w:r>
        <w:rPr>
          <w:rFonts w:ascii="Arial" w:eastAsia="Calibri" w:hAnsi="Arial" w:cs="Arial"/>
          <w:sz w:val="26"/>
          <w:szCs w:val="26"/>
          <w:lang w:eastAsia="en-US"/>
        </w:rPr>
        <w:t xml:space="preserve">los agravios hechos valer por </w:t>
      </w:r>
      <w:r w:rsidR="00F35DC2">
        <w:rPr>
          <w:rFonts w:ascii="Arial" w:hAnsi="Arial" w:cs="Arial"/>
          <w:b/>
          <w:sz w:val="26"/>
          <w:szCs w:val="26"/>
        </w:rPr>
        <w:t>*******</w:t>
      </w:r>
      <w:r>
        <w:rPr>
          <w:rFonts w:ascii="Arial" w:eastAsia="Calibri" w:hAnsi="Arial" w:cs="Arial"/>
          <w:sz w:val="26"/>
          <w:szCs w:val="26"/>
          <w:lang w:eastAsia="en-US"/>
        </w:rPr>
        <w:t xml:space="preserve">, toda vez que resulta incorrecto lo determinado en el acuerdo de dieciocho de octubre de dos mil veintiuno, dictado por la Tercera Sala Unitaria de Primera Instancia, pues no debió desechar la demanda por notoriamente improcedente, y señalar que los mandamientos de ejecución </w:t>
      </w:r>
      <w:r w:rsidR="00F35DC2">
        <w:rPr>
          <w:rFonts w:ascii="Arial" w:hAnsi="Arial" w:cs="Arial"/>
          <w:bCs/>
          <w:iCs/>
          <w:color w:val="000000"/>
          <w:sz w:val="26"/>
          <w:szCs w:val="26"/>
        </w:rPr>
        <w:t>*******</w:t>
      </w:r>
      <w:r>
        <w:rPr>
          <w:rFonts w:ascii="Arial" w:hAnsi="Arial" w:cs="Arial"/>
          <w:bCs/>
          <w:iCs/>
          <w:color w:val="000000"/>
          <w:sz w:val="26"/>
          <w:szCs w:val="26"/>
        </w:rPr>
        <w:t>, dictados el veinticuatro de junio de dos mil veintiuno,</w:t>
      </w:r>
      <w:r>
        <w:rPr>
          <w:rFonts w:ascii="Arial" w:eastAsia="Calibri" w:hAnsi="Arial" w:cs="Arial"/>
          <w:sz w:val="26"/>
          <w:szCs w:val="26"/>
          <w:lang w:eastAsia="en-US"/>
        </w:rPr>
        <w:t xml:space="preserve"> por la Coordinadora de Cobro Coactivo de la Secretaría de Finanzas del Estado de Oaxaca y las diligencias de notificación y requerimiento de pago efectuadas el veintinueve de septiembre del citado año, no  son actos o resoluciones que pongan fin al procedimiento administrativo, a una instancia o resuelvan un expediente o que les cause agravio a los particulares, como lo establece el artículo 98, párrafo primero y 99 de la Ley de Procedimiento y Justicia Administrativa para el Estado de Oaxaca, además de que no se actualizan los supuestos previstos por la fracción VIII del artículo 133 de la Ley de Procedimiento y Justicia Administrativa para el Estado de Oaxaca, porque por regla general las violaciones cometidas en el procedimiento administrativo de ejecución antes del remate, son impugnables mediante juicio contencioso administrativo hasta que se publique la convocatoria respectiva; se dice lo anterior, en virtud de que entre los mandamientos de ejecución impugnados y la resolución de siete de febrero de dos mil diecinueve, dictada por el Órgano Superior de Fiscalización del Estado de Oaxaca, dentro del expediente </w:t>
      </w:r>
      <w:r w:rsidR="00F35DC2">
        <w:rPr>
          <w:rFonts w:ascii="Arial" w:eastAsia="Calibri" w:hAnsi="Arial" w:cs="Arial"/>
          <w:sz w:val="26"/>
          <w:szCs w:val="26"/>
          <w:lang w:eastAsia="en-US"/>
        </w:rPr>
        <w:t>*******</w:t>
      </w:r>
      <w:r>
        <w:rPr>
          <w:rFonts w:ascii="Arial" w:eastAsia="Calibri" w:hAnsi="Arial" w:cs="Arial"/>
          <w:sz w:val="26"/>
          <w:szCs w:val="26"/>
          <w:lang w:eastAsia="en-US"/>
        </w:rPr>
        <w:t xml:space="preserve">, en la cual se impuso a los aquí recurrentes, una multa por resarcimiento de </w:t>
      </w:r>
      <w:r>
        <w:rPr>
          <w:rFonts w:ascii="Arial" w:eastAsia="Calibri" w:hAnsi="Arial" w:cs="Arial"/>
          <w:sz w:val="26"/>
          <w:szCs w:val="26"/>
          <w:lang w:eastAsia="en-US"/>
        </w:rPr>
        <w:lastRenderedPageBreak/>
        <w:t xml:space="preserve">daño en cantidad de </w:t>
      </w:r>
      <w:r w:rsidR="00F35DC2">
        <w:rPr>
          <w:rFonts w:ascii="Arial" w:hAnsi="Arial" w:cs="Arial"/>
          <w:b/>
          <w:color w:val="000000"/>
          <w:sz w:val="26"/>
          <w:szCs w:val="26"/>
        </w:rPr>
        <w:t>$*******)</w:t>
      </w:r>
      <w:r>
        <w:rPr>
          <w:rFonts w:ascii="Arial" w:hAnsi="Arial" w:cs="Arial"/>
          <w:b/>
          <w:color w:val="000000"/>
          <w:sz w:val="26"/>
          <w:szCs w:val="26"/>
        </w:rPr>
        <w:t xml:space="preserve">, </w:t>
      </w:r>
      <w:r>
        <w:rPr>
          <w:rFonts w:ascii="Arial" w:hAnsi="Arial" w:cs="Arial"/>
          <w:color w:val="000000"/>
          <w:sz w:val="26"/>
          <w:szCs w:val="26"/>
        </w:rPr>
        <w:t xml:space="preserve">por concepto de resarcimiento de daños, </w:t>
      </w:r>
      <w:r>
        <w:rPr>
          <w:rFonts w:ascii="Arial" w:hAnsi="Arial" w:cs="Arial"/>
          <w:bCs/>
          <w:color w:val="000000"/>
          <w:sz w:val="26"/>
          <w:szCs w:val="26"/>
        </w:rPr>
        <w:t>quienes</w:t>
      </w:r>
      <w:r>
        <w:rPr>
          <w:rFonts w:ascii="Arial" w:hAnsi="Arial" w:cs="Arial"/>
          <w:b/>
          <w:color w:val="000000"/>
          <w:sz w:val="26"/>
          <w:szCs w:val="26"/>
        </w:rPr>
        <w:t xml:space="preserve"> </w:t>
      </w:r>
      <w:r>
        <w:rPr>
          <w:rFonts w:ascii="Arial" w:hAnsi="Arial" w:cs="Arial"/>
          <w:bCs/>
          <w:iCs/>
          <w:color w:val="000000"/>
          <w:sz w:val="26"/>
          <w:szCs w:val="26"/>
        </w:rPr>
        <w:t xml:space="preserve">fungieron como Presidente Municipal, Síndico Municipal, Regidor de Hacienda y Tesorera Municipal del Ayuntamiento del Municipio de </w:t>
      </w:r>
      <w:r w:rsidR="00F35DC2">
        <w:rPr>
          <w:rFonts w:ascii="Arial" w:hAnsi="Arial" w:cs="Arial"/>
          <w:bCs/>
          <w:iCs/>
          <w:color w:val="000000"/>
          <w:sz w:val="26"/>
          <w:szCs w:val="26"/>
        </w:rPr>
        <w:t>*******</w:t>
      </w:r>
      <w:r>
        <w:rPr>
          <w:rFonts w:ascii="Arial" w:hAnsi="Arial" w:cs="Arial"/>
          <w:bCs/>
          <w:iCs/>
          <w:color w:val="000000"/>
          <w:sz w:val="26"/>
          <w:szCs w:val="26"/>
        </w:rPr>
        <w:t>, Oaxaca, respectivamente durante el periodo dos mil once a dos mil trece,</w:t>
      </w:r>
      <w:r>
        <w:rPr>
          <w:rFonts w:ascii="Arial" w:eastAsia="Calibri" w:hAnsi="Arial" w:cs="Arial"/>
          <w:sz w:val="26"/>
          <w:szCs w:val="26"/>
          <w:lang w:eastAsia="en-US"/>
        </w:rPr>
        <w:t xml:space="preserve"> existe una estrecha vinculación que no es factible disociar, </w:t>
      </w:r>
      <w:r>
        <w:rPr>
          <w:rFonts w:ascii="Arial" w:eastAsia="Calibri" w:hAnsi="Arial" w:cs="Arial"/>
          <w:b/>
          <w:sz w:val="26"/>
          <w:szCs w:val="26"/>
          <w:lang w:eastAsia="en-US"/>
        </w:rPr>
        <w:t>puesto que ello implicaría dividir la continencia de la causa,</w:t>
      </w:r>
      <w:r>
        <w:rPr>
          <w:rFonts w:ascii="Arial" w:eastAsia="Calibri" w:hAnsi="Arial" w:cs="Arial"/>
          <w:sz w:val="26"/>
          <w:szCs w:val="26"/>
          <w:lang w:eastAsia="en-US"/>
        </w:rPr>
        <w:t xml:space="preserve"> con el riesgo eminente de generar sentencias contradictorias sobre actos que tienen el mismo origen. - - - - - - - - - - - - - - - - - - - - - - - </w:t>
      </w:r>
    </w:p>
    <w:p w14:paraId="26AC0BE0" w14:textId="77777777" w:rsidR="0029796E" w:rsidRDefault="0029796E" w:rsidP="0029796E">
      <w:pPr>
        <w:spacing w:before="120" w:after="0" w:line="360" w:lineRule="auto"/>
        <w:ind w:firstLine="709"/>
        <w:jc w:val="both"/>
        <w:rPr>
          <w:rFonts w:ascii="Arial" w:eastAsia="Calibri" w:hAnsi="Arial" w:cs="Arial"/>
          <w:sz w:val="26"/>
          <w:szCs w:val="26"/>
          <w:lang w:eastAsia="en-US"/>
        </w:rPr>
      </w:pPr>
      <w:r>
        <w:rPr>
          <w:rFonts w:ascii="Arial" w:eastAsia="Calibri" w:hAnsi="Arial" w:cs="Arial"/>
          <w:sz w:val="26"/>
          <w:szCs w:val="26"/>
          <w:lang w:eastAsia="en-US"/>
        </w:rPr>
        <w:t xml:space="preserve">En consonancia con lo anterior, tenemos al principio que rige la indivisibilidad de la demanda, cuando los actos reclamados se encuentren fuertemente ligados entre sí, formando una unidad que no es posible separar. - - - - - - - - - - - - - - - - - - - - - - - - - - - - - - - - - - - - - - </w:t>
      </w:r>
    </w:p>
    <w:p w14:paraId="315052D6" w14:textId="77777777" w:rsidR="0029796E" w:rsidRDefault="0029796E" w:rsidP="0029796E">
      <w:pPr>
        <w:spacing w:before="120" w:after="0" w:line="360" w:lineRule="auto"/>
        <w:ind w:firstLine="708"/>
        <w:jc w:val="both"/>
        <w:rPr>
          <w:rFonts w:ascii="Arial" w:hAnsi="Arial" w:cs="Arial"/>
          <w:sz w:val="26"/>
          <w:szCs w:val="26"/>
        </w:rPr>
      </w:pPr>
      <w:r>
        <w:rPr>
          <w:rFonts w:ascii="Arial" w:hAnsi="Arial" w:cs="Arial"/>
          <w:sz w:val="26"/>
          <w:szCs w:val="26"/>
        </w:rPr>
        <w:t>En términos generales se tiene que el principio de no división de continencia de la causa, que debe regir toda resolución como lo establece el artículo 31</w:t>
      </w:r>
      <w:r>
        <w:rPr>
          <w:rStyle w:val="Refdenotaalpie"/>
          <w:rFonts w:ascii="Arial" w:hAnsi="Arial" w:cs="Arial"/>
          <w:sz w:val="26"/>
          <w:szCs w:val="26"/>
        </w:rPr>
        <w:footnoteReference w:id="3"/>
      </w:r>
      <w:r>
        <w:rPr>
          <w:rFonts w:ascii="Arial" w:hAnsi="Arial" w:cs="Arial"/>
          <w:sz w:val="26"/>
          <w:szCs w:val="26"/>
        </w:rPr>
        <w:t xml:space="preserve"> del Código de Procedimientos Civiles del Estado de Oaxaca, aplicado supletoriamente a la Ley de la materia, consiste en resolver de forma concentrada, las pretensiones vinculadas por la misma causa o que tengan el mismo origen con el fin de no fragmentar el litigio, ni pronunciar resoluciones contradictorias, con el consecuente perjuicio para la pronta y expedita administración de justicia. Sirve de apoyo a lo anterior, el criterio sustentado por la Suprema Corte de Justicia de la Nación, con número de registro 172318, del Semanario Judicial de la Federación y su Gaceta, Tomo XXV, mayo de 2007, Novena Época, página mil novecientos veinticinco, bajo el rubro y texto siguientes: - - - - - - - - - - - - - - - - -- - - - - - - - - - - - - - - - - -</w:t>
      </w:r>
    </w:p>
    <w:p w14:paraId="7186BA00" w14:textId="77777777" w:rsidR="0029796E" w:rsidRDefault="0029796E" w:rsidP="0029796E">
      <w:pPr>
        <w:spacing w:before="240" w:after="0" w:line="240" w:lineRule="auto"/>
        <w:ind w:left="851" w:right="900"/>
        <w:jc w:val="both"/>
        <w:rPr>
          <w:rFonts w:ascii="Arial" w:hAnsi="Arial" w:cs="Arial"/>
          <w:i/>
        </w:rPr>
      </w:pPr>
      <w:r>
        <w:rPr>
          <w:rFonts w:ascii="Arial" w:hAnsi="Arial" w:cs="Arial"/>
          <w:b/>
          <w:bCs/>
          <w:i/>
          <w:color w:val="212529"/>
          <w:shd w:val="clear" w:color="auto" w:fill="FFFFFF"/>
        </w:rPr>
        <w:t xml:space="preserve">“SENTENCIA RECLAMADA EN EL JUICIO DE AMPARO INDIRECTO QUE CONTIENE CONDENA EN COSTAS. EL PRINCIPIO DE CONTINENCIA DE LA CAUSA OBLIGA AL JUZGADOR A ESTUDIAR LA RESOLUCIÓN EN SU INTEGRIDAD, AUNQUE DESCANSE EN ACTOS QUE POR SÍ SOLOS NO SEAN DE EJECUCIÓN IRREPARABLE. </w:t>
      </w:r>
      <w:r>
        <w:rPr>
          <w:rFonts w:ascii="Arial" w:hAnsi="Arial" w:cs="Arial"/>
          <w:i/>
          <w:color w:val="212529"/>
          <w:shd w:val="clear" w:color="auto" w:fill="FFFFFF"/>
        </w:rPr>
        <w:t xml:space="preserve">La sentencia es una unidad indivisible que guarda coherencia interna, motivo por el cual no es válido escindir su estudio a través de dos medios extraordinarios de defensa, la vía indirecta para costas ante el Juez de Distrito y la vía directa para el fondo de la cual emana aquella condena. Por lo que la circunstancia de que la determinación de fondo contenida en la resolución reclamada sea un acto en el juicio cuya ejecución no produce de manera inmediata perjuicio a la esfera jurídica del impetrante, porque para analizarla debe partirse de la procedencia o no de la cuestión de fondo planteada, pues un </w:t>
      </w:r>
      <w:r>
        <w:rPr>
          <w:rFonts w:ascii="Arial" w:hAnsi="Arial" w:cs="Arial"/>
          <w:i/>
          <w:color w:val="212529"/>
          <w:shd w:val="clear" w:color="auto" w:fill="FFFFFF"/>
        </w:rPr>
        <w:lastRenderedPageBreak/>
        <w:t>criterio contrario implicaría aceptar la división o fraccionamiento de la función de decidir el derecho a cargo de la Sala responsable, toda vez que puede llegar al grado de que coexistan dos resoluciones que podrían ser incongruentes entre sí, ya que en amparo indirecto podría confirmarse la condena en costas y quedar firme, no obstante que al ser accesoria, se sustenta en la ineficacia de los agravios vertidos en la apelación; de ahí, que aun cuando en amparo directo se modifique la determinación adoptada por la Sala no impactaría a la condena en costas por haberse negado el amparo en la vía indirecta, lo que no es posible conforme a los principios de unidad que rigen a toda resolución. Consecuentemente, basta que la resolución reclamada sea de imposible reparación (condena en costas) para que el Juez Federal esté en condiciones de examinar y resolver sobre todos los actos sometidos a su consideración aunque estos últimos no ocasionen una afectación directa e inmediata a los derechos sustantivos del quejoso.</w:t>
      </w:r>
    </w:p>
    <w:p w14:paraId="589A7F2B" w14:textId="0C3C5D47" w:rsidR="0029796E" w:rsidRDefault="0029796E" w:rsidP="0029796E">
      <w:pPr>
        <w:spacing w:before="120" w:after="0" w:line="360" w:lineRule="auto"/>
        <w:ind w:firstLine="708"/>
        <w:jc w:val="both"/>
        <w:rPr>
          <w:rFonts w:ascii="Arial" w:hAnsi="Arial" w:cs="Arial"/>
          <w:sz w:val="26"/>
          <w:szCs w:val="26"/>
        </w:rPr>
      </w:pPr>
      <w:r>
        <w:rPr>
          <w:rFonts w:ascii="Arial" w:hAnsi="Arial" w:cs="Arial"/>
          <w:sz w:val="26"/>
          <w:szCs w:val="26"/>
        </w:rPr>
        <w:t xml:space="preserve">Así como la Jurisprudencia con número de registro 160967, Semanario Judicial de la Federación y su Gaceta, Libro I, octubre de 2011, Tomo III, Décima Época, página mil cuatrocientos doce, Tribunales Colegiados de Circuito, con rubro y texto </w:t>
      </w:r>
      <w:r w:rsidR="00533B19">
        <w:rPr>
          <w:rFonts w:ascii="Arial" w:hAnsi="Arial" w:cs="Arial"/>
          <w:sz w:val="26"/>
          <w:szCs w:val="26"/>
        </w:rPr>
        <w:t>siguientes: -</w:t>
      </w:r>
      <w:r>
        <w:rPr>
          <w:rFonts w:ascii="Arial" w:hAnsi="Arial" w:cs="Arial"/>
          <w:sz w:val="26"/>
          <w:szCs w:val="26"/>
        </w:rPr>
        <w:t xml:space="preserve"> - - - - - </w:t>
      </w:r>
    </w:p>
    <w:p w14:paraId="3A0D877D" w14:textId="77777777" w:rsidR="0029796E" w:rsidRDefault="0029796E" w:rsidP="0029796E">
      <w:pPr>
        <w:pStyle w:val="NormalWeb"/>
        <w:shd w:val="clear" w:color="auto" w:fill="FFFFFF"/>
        <w:spacing w:before="120" w:beforeAutospacing="0" w:after="0" w:afterAutospacing="0"/>
        <w:ind w:left="851" w:right="900"/>
        <w:jc w:val="both"/>
        <w:rPr>
          <w:rFonts w:ascii="Arial" w:hAnsi="Arial" w:cs="Arial"/>
          <w:i/>
          <w:color w:val="212529"/>
          <w:sz w:val="22"/>
          <w:szCs w:val="22"/>
          <w:shd w:val="clear" w:color="auto" w:fill="FFFFFF"/>
        </w:rPr>
      </w:pPr>
      <w:r>
        <w:rPr>
          <w:rFonts w:ascii="Arial" w:hAnsi="Arial" w:cs="Arial"/>
          <w:b/>
          <w:bCs/>
          <w:i/>
          <w:color w:val="212529"/>
          <w:sz w:val="22"/>
          <w:szCs w:val="22"/>
        </w:rPr>
        <w:t xml:space="preserve">ACTO RECLAMADO EN EL JUICIO DE AMPARO INDIRECTO. EL PRINCIPIO DE CONTINENCIA DE LA CAUSA OBLIGA AL JUZGADOR A ESTUDIAR TODOS SUS COMPONENTES, AUNQUE ALGUNOS NO SEAN DE EJECUCIÓN IRREPARABLE. </w:t>
      </w:r>
      <w:r>
        <w:rPr>
          <w:rFonts w:ascii="Arial" w:hAnsi="Arial" w:cs="Arial"/>
          <w:i/>
          <w:color w:val="212529"/>
          <w:sz w:val="22"/>
          <w:szCs w:val="22"/>
          <w:shd w:val="clear" w:color="auto" w:fill="FFFFFF"/>
        </w:rPr>
        <w:t>En los juicios de amparo, tomando en consideración la unidad de la demanda y que se trata de un solo acto reclamado, no puede dividirse la continencia de la causa, esto es, no es posible examinar una parte de dicho acto y omitir el estudio de otra, bajo el argumento de que la determinación contenida en una de ellas sí trae aparejada una ejecución de imposible reparación y lesiona los derechos de la agraviada, en tanto que las consideraciones en que se sustenta la segunda parte no ocasiona una afectación de tal naturaleza, por tratarse de una violación procesal reclamable en el juicio de amparo directo que llegare a promoverse en contra de la sentencia definitiva, puesto que al ser procedente la vía indirecta en la primera hipótesis referida, ello es suficiente para que la autoridad jurisdiccional que conozca del juicio constitucional emprenda el estudio del resto de los argumentos que conforman el acto reclamado, aunque estos últimos no ocasionen una afectación directa e inmediata a los derechos sustantivos de la quejosa.”</w:t>
      </w:r>
    </w:p>
    <w:p w14:paraId="34138B58" w14:textId="77777777" w:rsidR="0029796E" w:rsidRDefault="0029796E" w:rsidP="0029796E">
      <w:pPr>
        <w:pStyle w:val="NormalWeb"/>
        <w:shd w:val="clear" w:color="auto" w:fill="FFFFFF"/>
        <w:spacing w:before="0" w:beforeAutospacing="0" w:after="0" w:afterAutospacing="0"/>
        <w:ind w:left="851" w:right="900"/>
        <w:jc w:val="both"/>
        <w:rPr>
          <w:rFonts w:ascii="Arial" w:hAnsi="Arial" w:cs="Arial"/>
          <w:sz w:val="26"/>
          <w:szCs w:val="26"/>
        </w:rPr>
      </w:pPr>
    </w:p>
    <w:p w14:paraId="6CD58D00" w14:textId="77777777" w:rsidR="0029796E" w:rsidRDefault="0029796E" w:rsidP="0029796E">
      <w:pPr>
        <w:spacing w:after="0" w:line="360" w:lineRule="auto"/>
        <w:ind w:firstLine="708"/>
        <w:jc w:val="both"/>
        <w:rPr>
          <w:rFonts w:ascii="Arial" w:hAnsi="Arial" w:cs="Arial"/>
          <w:sz w:val="26"/>
          <w:szCs w:val="26"/>
        </w:rPr>
      </w:pPr>
      <w:r>
        <w:rPr>
          <w:rFonts w:ascii="Arial" w:hAnsi="Arial" w:cs="Arial"/>
          <w:sz w:val="26"/>
          <w:szCs w:val="26"/>
        </w:rPr>
        <w:t xml:space="preserve"> De igual forma tiene apoyo a lo anterior, la Tesis Aislada con número de registro 213106 emitida por los Tribunales Colegiados de Circuito, publicada en el Semanario Judicial de la Federación y su Gaceta, en la Octava Época, Tomo XIII, Marzo de 1994, página 353, Materia Común, de rubro y texto siguiente: - - - - - - - - - - - - - - - - - - - - -</w:t>
      </w:r>
    </w:p>
    <w:p w14:paraId="578F37A1" w14:textId="1204E2C6" w:rsidR="0029796E" w:rsidRDefault="0029796E" w:rsidP="0029796E">
      <w:pPr>
        <w:shd w:val="clear" w:color="auto" w:fill="FFFFFF"/>
        <w:spacing w:before="120" w:after="0" w:line="240" w:lineRule="auto"/>
        <w:ind w:left="709" w:right="760"/>
        <w:jc w:val="both"/>
        <w:rPr>
          <w:rFonts w:ascii="Arial" w:eastAsia="Times New Roman" w:hAnsi="Arial" w:cs="Arial"/>
          <w:color w:val="212529"/>
        </w:rPr>
      </w:pPr>
      <w:r>
        <w:rPr>
          <w:rFonts w:ascii="Arial" w:eastAsia="Times New Roman" w:hAnsi="Arial" w:cs="Arial"/>
          <w:bCs/>
          <w:i/>
          <w:color w:val="212529"/>
        </w:rPr>
        <w:t>“</w:t>
      </w:r>
      <w:r>
        <w:rPr>
          <w:rFonts w:ascii="Arial" w:eastAsia="Times New Roman" w:hAnsi="Arial" w:cs="Arial"/>
          <w:b/>
          <w:bCs/>
          <w:i/>
          <w:color w:val="212529"/>
        </w:rPr>
        <w:t xml:space="preserve">DEMANDA DE AMPARO. EL PRINCIPIO DE SU INDIVISIBILIDAD NO ES UNA </w:t>
      </w:r>
      <w:r w:rsidR="005F02E5">
        <w:rPr>
          <w:rFonts w:ascii="Arial" w:eastAsia="Times New Roman" w:hAnsi="Arial" w:cs="Arial"/>
          <w:b/>
          <w:bCs/>
          <w:i/>
          <w:color w:val="212529"/>
        </w:rPr>
        <w:t>INTERPRETACIÓN</w:t>
      </w:r>
      <w:r>
        <w:rPr>
          <w:rFonts w:ascii="Arial" w:eastAsia="Times New Roman" w:hAnsi="Arial" w:cs="Arial"/>
          <w:b/>
          <w:bCs/>
          <w:i/>
          <w:color w:val="212529"/>
        </w:rPr>
        <w:t xml:space="preserve"> </w:t>
      </w:r>
      <w:proofErr w:type="spellStart"/>
      <w:r>
        <w:rPr>
          <w:rFonts w:ascii="Arial" w:eastAsia="Times New Roman" w:hAnsi="Arial" w:cs="Arial"/>
          <w:b/>
          <w:bCs/>
          <w:i/>
          <w:color w:val="212529"/>
        </w:rPr>
        <w:t>RIGIDA</w:t>
      </w:r>
      <w:proofErr w:type="spellEnd"/>
      <w:r>
        <w:rPr>
          <w:rFonts w:ascii="Arial" w:eastAsia="Times New Roman" w:hAnsi="Arial" w:cs="Arial"/>
          <w:b/>
          <w:bCs/>
          <w:i/>
          <w:color w:val="212529"/>
        </w:rPr>
        <w:t xml:space="preserve"> QUE PUEDA TOMARSE COMO REGLA GENERAL. </w:t>
      </w:r>
      <w:r>
        <w:rPr>
          <w:rFonts w:ascii="Arial" w:eastAsia="Times New Roman" w:hAnsi="Arial" w:cs="Arial"/>
          <w:i/>
          <w:color w:val="212529"/>
        </w:rPr>
        <w:t xml:space="preserve">Existe el criterio reiterado de la Suprema Corte de Justicia de la Nación y de los Tribunales Colegiados de Circuito, en el sentido de que la demanda de amparo es un todo, debiendo atenderse al principio de la indivisibilidad de la demanda, tanto para admitirla como para desecharla; sin embargo, es preciso considerar que no es una interpretación rígida que pueda sentarse como regla general, </w:t>
      </w:r>
      <w:r>
        <w:rPr>
          <w:rFonts w:ascii="Arial" w:eastAsia="Times New Roman" w:hAnsi="Arial" w:cs="Arial"/>
          <w:b/>
          <w:i/>
          <w:color w:val="212529"/>
        </w:rPr>
        <w:t>y tiene aplicación cuando los actos están fuertemente ligados entre sí, formando una unidad o un todo que no es posible desmembrar</w:t>
      </w:r>
      <w:r>
        <w:rPr>
          <w:rFonts w:ascii="Arial" w:eastAsia="Times New Roman" w:hAnsi="Arial" w:cs="Arial"/>
          <w:i/>
          <w:color w:val="212529"/>
        </w:rPr>
        <w:t xml:space="preserve">; y sólo cuando la demanda contenga actos aislados o independientes que puedan examinarse por </w:t>
      </w:r>
      <w:r>
        <w:rPr>
          <w:rFonts w:ascii="Arial" w:eastAsia="Times New Roman" w:hAnsi="Arial" w:cs="Arial"/>
          <w:i/>
          <w:color w:val="212529"/>
        </w:rPr>
        <w:lastRenderedPageBreak/>
        <w:t xml:space="preserve">separado, será necesario estudiar si procede aplicar las reglas anteriores, tomando en cuenta el caso concreto.”. </w:t>
      </w:r>
      <w:r>
        <w:rPr>
          <w:rFonts w:ascii="Arial" w:eastAsia="Times New Roman" w:hAnsi="Arial" w:cs="Arial"/>
          <w:b/>
          <w:color w:val="212529"/>
        </w:rPr>
        <w:t>-Énfasis añadido-.</w:t>
      </w:r>
    </w:p>
    <w:p w14:paraId="2C55F46E" w14:textId="5D768A32" w:rsidR="0029796E" w:rsidRDefault="0029796E" w:rsidP="0029796E">
      <w:pPr>
        <w:spacing w:before="240" w:after="0" w:line="360" w:lineRule="auto"/>
        <w:ind w:firstLine="709"/>
        <w:jc w:val="both"/>
        <w:rPr>
          <w:rFonts w:ascii="Arial" w:eastAsia="Calibri" w:hAnsi="Arial" w:cs="Arial"/>
          <w:sz w:val="26"/>
          <w:szCs w:val="26"/>
          <w:lang w:eastAsia="en-US"/>
        </w:rPr>
      </w:pPr>
      <w:r>
        <w:rPr>
          <w:rFonts w:ascii="Arial" w:eastAsia="Calibri" w:hAnsi="Arial" w:cs="Arial"/>
          <w:sz w:val="26"/>
          <w:szCs w:val="26"/>
          <w:lang w:eastAsia="en-US"/>
        </w:rPr>
        <w:t xml:space="preserve">Entonces, los mandamientos de ejecución </w:t>
      </w:r>
      <w:r w:rsidR="00F35DC2">
        <w:rPr>
          <w:rFonts w:ascii="Arial" w:hAnsi="Arial" w:cs="Arial"/>
          <w:bCs/>
          <w:iCs/>
          <w:color w:val="000000"/>
          <w:sz w:val="26"/>
          <w:szCs w:val="26"/>
        </w:rPr>
        <w:t>*******</w:t>
      </w:r>
      <w:r>
        <w:rPr>
          <w:rFonts w:ascii="Arial" w:hAnsi="Arial" w:cs="Arial"/>
          <w:bCs/>
          <w:iCs/>
          <w:color w:val="000000"/>
          <w:sz w:val="26"/>
          <w:szCs w:val="26"/>
        </w:rPr>
        <w:t>, dictados el</w:t>
      </w:r>
      <w:r w:rsidR="00C11058">
        <w:rPr>
          <w:rFonts w:ascii="Arial" w:hAnsi="Arial" w:cs="Arial"/>
          <w:bCs/>
          <w:iCs/>
          <w:color w:val="000000"/>
          <w:sz w:val="26"/>
          <w:szCs w:val="26"/>
        </w:rPr>
        <w:t xml:space="preserve"> veinticuatro</w:t>
      </w:r>
      <w:r>
        <w:rPr>
          <w:rFonts w:ascii="Arial" w:hAnsi="Arial" w:cs="Arial"/>
          <w:bCs/>
          <w:iCs/>
          <w:color w:val="000000"/>
          <w:sz w:val="26"/>
          <w:szCs w:val="26"/>
        </w:rPr>
        <w:t xml:space="preserve"> de junio de </w:t>
      </w:r>
      <w:r w:rsidR="00C11058">
        <w:rPr>
          <w:rFonts w:ascii="Arial" w:hAnsi="Arial" w:cs="Arial"/>
          <w:bCs/>
          <w:iCs/>
          <w:color w:val="000000"/>
          <w:sz w:val="26"/>
          <w:szCs w:val="26"/>
        </w:rPr>
        <w:t xml:space="preserve">dos mil </w:t>
      </w:r>
      <w:r w:rsidR="00A547DB">
        <w:rPr>
          <w:rFonts w:ascii="Arial" w:hAnsi="Arial" w:cs="Arial"/>
          <w:bCs/>
          <w:iCs/>
          <w:color w:val="000000"/>
          <w:sz w:val="26"/>
          <w:szCs w:val="26"/>
        </w:rPr>
        <w:t>veintiuno</w:t>
      </w:r>
      <w:r>
        <w:rPr>
          <w:rFonts w:ascii="Arial" w:eastAsia="Calibri" w:hAnsi="Arial" w:cs="Arial"/>
          <w:sz w:val="26"/>
          <w:szCs w:val="26"/>
          <w:lang w:eastAsia="en-US"/>
        </w:rPr>
        <w:t>, por la Coordinadora de Cobro Coactivo de la Secretaría de Finanzas del Estado de Oaxaca y las diligencias de notificación y requerimiento de pago efectuadas el veintinueve de septiembre del citado año</w:t>
      </w:r>
      <w:r>
        <w:rPr>
          <w:rFonts w:ascii="Arial" w:hAnsi="Arial" w:cs="Arial"/>
          <w:color w:val="000000"/>
          <w:sz w:val="26"/>
          <w:szCs w:val="26"/>
        </w:rPr>
        <w:t xml:space="preserve">, así como </w:t>
      </w:r>
      <w:r>
        <w:rPr>
          <w:rFonts w:ascii="Arial" w:eastAsia="Calibri" w:hAnsi="Arial" w:cs="Arial"/>
          <w:sz w:val="26"/>
          <w:szCs w:val="26"/>
          <w:lang w:eastAsia="en-US"/>
        </w:rPr>
        <w:t xml:space="preserve">la resolución de siete de febrero de dos mil diecinueve, dictada por  el Órgano Superior de Fiscalización del Estado de Oaxaca, dentro del expediente </w:t>
      </w:r>
      <w:r w:rsidR="00F35DC2">
        <w:rPr>
          <w:rFonts w:ascii="Arial" w:eastAsia="Calibri" w:hAnsi="Arial" w:cs="Arial"/>
          <w:sz w:val="26"/>
          <w:szCs w:val="26"/>
          <w:lang w:eastAsia="en-US"/>
        </w:rPr>
        <w:t>*******</w:t>
      </w:r>
      <w:r>
        <w:rPr>
          <w:rFonts w:ascii="Arial" w:eastAsia="Calibri" w:hAnsi="Arial" w:cs="Arial"/>
          <w:sz w:val="26"/>
          <w:szCs w:val="26"/>
          <w:lang w:eastAsia="en-US"/>
        </w:rPr>
        <w:t>, emitida por el Órgano Superior de Fiscalización del Estado de Oaxaca, están fuertemente ligados entre sí y su impugnación es procedente a través del juicio de inconformidad que corresponde conocer a la Sala Superior del Tribunal de Justicia Administrativa del Estado de Oaxaca, en términos de los artículos 1</w:t>
      </w:r>
      <w:r>
        <w:rPr>
          <w:rStyle w:val="Refdenotaalpie"/>
          <w:rFonts w:ascii="Arial" w:eastAsia="Calibri" w:hAnsi="Arial" w:cs="Arial"/>
          <w:sz w:val="26"/>
          <w:szCs w:val="26"/>
          <w:lang w:eastAsia="en-US"/>
        </w:rPr>
        <w:footnoteReference w:id="4"/>
      </w:r>
      <w:r>
        <w:rPr>
          <w:rFonts w:ascii="Arial" w:eastAsia="Calibri" w:hAnsi="Arial" w:cs="Arial"/>
          <w:sz w:val="26"/>
          <w:szCs w:val="26"/>
          <w:lang w:eastAsia="en-US"/>
        </w:rPr>
        <w:t>, 14</w:t>
      </w:r>
      <w:r>
        <w:rPr>
          <w:rStyle w:val="Refdenotaalpie"/>
          <w:rFonts w:ascii="Arial" w:eastAsia="Calibri" w:hAnsi="Arial" w:cs="Arial"/>
          <w:sz w:val="26"/>
          <w:szCs w:val="26"/>
          <w:lang w:eastAsia="en-US"/>
        </w:rPr>
        <w:footnoteReference w:id="5"/>
      </w:r>
      <w:r>
        <w:rPr>
          <w:rFonts w:ascii="Arial" w:eastAsia="Calibri" w:hAnsi="Arial" w:cs="Arial"/>
          <w:sz w:val="26"/>
          <w:szCs w:val="26"/>
          <w:lang w:eastAsia="en-US"/>
        </w:rPr>
        <w:t>, 31</w:t>
      </w:r>
      <w:r>
        <w:rPr>
          <w:rStyle w:val="Refdenotaalpie"/>
          <w:rFonts w:ascii="Arial" w:eastAsia="Calibri" w:hAnsi="Arial" w:cs="Arial"/>
          <w:sz w:val="26"/>
          <w:szCs w:val="26"/>
          <w:lang w:eastAsia="en-US"/>
        </w:rPr>
        <w:footnoteReference w:id="6"/>
      </w:r>
      <w:r>
        <w:rPr>
          <w:rFonts w:ascii="Arial" w:eastAsia="Calibri" w:hAnsi="Arial" w:cs="Arial"/>
          <w:sz w:val="26"/>
          <w:szCs w:val="26"/>
          <w:lang w:eastAsia="en-US"/>
        </w:rPr>
        <w:t xml:space="preserve"> y 38</w:t>
      </w:r>
      <w:r>
        <w:rPr>
          <w:rStyle w:val="Refdenotaalpie"/>
          <w:rFonts w:ascii="Arial" w:eastAsia="Calibri" w:hAnsi="Arial" w:cs="Arial"/>
          <w:sz w:val="26"/>
          <w:szCs w:val="26"/>
          <w:lang w:eastAsia="en-US"/>
        </w:rPr>
        <w:footnoteReference w:id="7"/>
      </w:r>
      <w:r>
        <w:rPr>
          <w:rFonts w:ascii="Arial" w:eastAsia="Calibri" w:hAnsi="Arial" w:cs="Arial"/>
          <w:sz w:val="26"/>
          <w:szCs w:val="26"/>
          <w:lang w:eastAsia="en-US"/>
        </w:rPr>
        <w:t xml:space="preserve"> de la Ley de Justicia de Fiscalización y Rendición de Cuentas para el Estado de Oaxaca.- - - - - </w:t>
      </w:r>
    </w:p>
    <w:p w14:paraId="788EEABC" w14:textId="02D30AD5" w:rsidR="0029796E" w:rsidRDefault="0029796E" w:rsidP="0029796E">
      <w:pPr>
        <w:spacing w:before="120" w:after="0" w:line="360" w:lineRule="auto"/>
        <w:ind w:firstLine="709"/>
        <w:jc w:val="both"/>
        <w:rPr>
          <w:rFonts w:ascii="Arial" w:eastAsia="Calibri" w:hAnsi="Arial" w:cs="Arial"/>
          <w:sz w:val="26"/>
          <w:szCs w:val="26"/>
          <w:lang w:eastAsia="en-US"/>
        </w:rPr>
      </w:pPr>
      <w:r>
        <w:rPr>
          <w:rFonts w:ascii="Arial" w:eastAsia="Calibri" w:hAnsi="Arial" w:cs="Arial"/>
          <w:sz w:val="26"/>
          <w:szCs w:val="26"/>
          <w:lang w:eastAsia="en-US"/>
        </w:rPr>
        <w:t xml:space="preserve">Asimismo, por su intrínseca relación, es necesario traer a colación el artículo 130, fracción VI de la Ley de Procedimiento y Justicia Administrativa para el Estado de Oaxaca, que </w:t>
      </w:r>
      <w:r w:rsidR="00433B75">
        <w:rPr>
          <w:rFonts w:ascii="Arial" w:eastAsia="Calibri" w:hAnsi="Arial" w:cs="Arial"/>
          <w:sz w:val="26"/>
          <w:szCs w:val="26"/>
          <w:lang w:eastAsia="en-US"/>
        </w:rPr>
        <w:t>señala: -</w:t>
      </w:r>
      <w:r>
        <w:rPr>
          <w:rFonts w:ascii="Arial" w:eastAsia="Calibri" w:hAnsi="Arial" w:cs="Arial"/>
          <w:sz w:val="26"/>
          <w:szCs w:val="26"/>
          <w:lang w:eastAsia="en-US"/>
        </w:rPr>
        <w:t xml:space="preserve"> - - - - - - - - - - - - </w:t>
      </w:r>
    </w:p>
    <w:p w14:paraId="306411BD" w14:textId="77777777" w:rsidR="00D66DD1" w:rsidRDefault="00D66DD1" w:rsidP="00D66DD1">
      <w:pPr>
        <w:pStyle w:val="Sinespaciado"/>
        <w:rPr>
          <w:rFonts w:eastAsia="Calibri"/>
          <w:lang w:eastAsia="en-US"/>
        </w:rPr>
      </w:pPr>
    </w:p>
    <w:p w14:paraId="1DD03924" w14:textId="77777777" w:rsidR="0029796E" w:rsidRDefault="0029796E" w:rsidP="0029796E">
      <w:pPr>
        <w:pStyle w:val="Textonotapie"/>
        <w:spacing w:before="120"/>
        <w:ind w:left="851" w:right="900"/>
        <w:jc w:val="both"/>
        <w:rPr>
          <w:rFonts w:ascii="Arial" w:hAnsi="Arial" w:cs="Arial"/>
          <w:i/>
          <w:sz w:val="22"/>
          <w:szCs w:val="22"/>
        </w:rPr>
      </w:pPr>
      <w:r>
        <w:rPr>
          <w:rFonts w:ascii="Arial" w:hAnsi="Arial" w:cs="Arial"/>
          <w:i/>
          <w:sz w:val="22"/>
          <w:szCs w:val="22"/>
        </w:rPr>
        <w:t>“</w:t>
      </w:r>
      <w:r>
        <w:rPr>
          <w:rFonts w:ascii="Arial" w:hAnsi="Arial" w:cs="Arial"/>
          <w:b/>
          <w:i/>
          <w:sz w:val="22"/>
          <w:szCs w:val="22"/>
        </w:rPr>
        <w:t>ARTÍCULO 130.-</w:t>
      </w:r>
      <w:r>
        <w:rPr>
          <w:rFonts w:ascii="Arial" w:hAnsi="Arial" w:cs="Arial"/>
          <w:i/>
          <w:sz w:val="22"/>
          <w:szCs w:val="22"/>
        </w:rPr>
        <w:t xml:space="preserve"> La Sala Superior tendrá las siguientes atribuciones:</w:t>
      </w:r>
    </w:p>
    <w:p w14:paraId="582CE3E2" w14:textId="77777777" w:rsidR="0029796E" w:rsidRDefault="0029796E" w:rsidP="0029796E">
      <w:pPr>
        <w:pStyle w:val="Textonotapie"/>
        <w:spacing w:before="120"/>
        <w:ind w:left="851" w:right="900"/>
        <w:jc w:val="both"/>
        <w:rPr>
          <w:rFonts w:ascii="Arial" w:hAnsi="Arial" w:cs="Arial"/>
          <w:i/>
          <w:sz w:val="22"/>
          <w:szCs w:val="22"/>
        </w:rPr>
      </w:pPr>
      <w:r>
        <w:rPr>
          <w:rFonts w:ascii="Arial" w:hAnsi="Arial" w:cs="Arial"/>
          <w:i/>
          <w:sz w:val="22"/>
          <w:szCs w:val="22"/>
        </w:rPr>
        <w:t>(…)</w:t>
      </w:r>
    </w:p>
    <w:p w14:paraId="4D2F2BB8" w14:textId="77777777" w:rsidR="0029796E" w:rsidRDefault="0029796E" w:rsidP="0029796E">
      <w:pPr>
        <w:spacing w:before="120" w:after="0" w:line="240" w:lineRule="auto"/>
        <w:ind w:left="851" w:right="900"/>
        <w:jc w:val="both"/>
        <w:rPr>
          <w:rFonts w:ascii="Arial" w:hAnsi="Arial" w:cs="Arial"/>
          <w:i/>
          <w:color w:val="000000"/>
        </w:rPr>
      </w:pPr>
      <w:r>
        <w:rPr>
          <w:rFonts w:ascii="Arial" w:hAnsi="Arial" w:cs="Arial"/>
          <w:b/>
          <w:i/>
          <w:color w:val="000000"/>
        </w:rPr>
        <w:t>VI.</w:t>
      </w:r>
      <w:r>
        <w:rPr>
          <w:rFonts w:ascii="Arial" w:hAnsi="Arial" w:cs="Arial"/>
          <w:i/>
          <w:color w:val="000000"/>
        </w:rPr>
        <w:t xml:space="preserve"> Conocer, substanciar y resolver mediante juicio las resoluciones en materia de responsabilidad administrativa que emitan el Órgano Superior de Fiscalización del Estado de Oaxaca, la Secretaría de la Contraloría y Transparencia Gubernamental o los Órganos de Control Interno de la Administración Pública Estatal o Municipal;”</w:t>
      </w:r>
    </w:p>
    <w:p w14:paraId="25AD0AC9" w14:textId="77777777" w:rsidR="0029796E" w:rsidRDefault="0029796E" w:rsidP="0029796E">
      <w:pPr>
        <w:spacing w:before="120" w:after="0" w:line="240" w:lineRule="auto"/>
        <w:ind w:left="851" w:right="900"/>
        <w:jc w:val="both"/>
        <w:rPr>
          <w:rFonts w:ascii="Arial" w:eastAsia="Calibri" w:hAnsi="Arial" w:cs="Arial"/>
          <w:lang w:eastAsia="en-US"/>
        </w:rPr>
      </w:pPr>
    </w:p>
    <w:p w14:paraId="7A838BCB" w14:textId="27A07A74" w:rsidR="0029796E" w:rsidRDefault="0029796E" w:rsidP="0029796E">
      <w:pPr>
        <w:spacing w:before="120" w:after="0" w:line="360" w:lineRule="auto"/>
        <w:ind w:firstLine="709"/>
        <w:jc w:val="both"/>
        <w:rPr>
          <w:rFonts w:ascii="Arial" w:eastAsia="Calibri" w:hAnsi="Arial" w:cs="Arial"/>
          <w:sz w:val="26"/>
          <w:szCs w:val="26"/>
          <w:lang w:eastAsia="en-US"/>
        </w:rPr>
      </w:pPr>
      <w:r>
        <w:rPr>
          <w:rFonts w:ascii="Arial" w:eastAsia="Calibri" w:hAnsi="Arial" w:cs="Arial"/>
          <w:sz w:val="26"/>
          <w:szCs w:val="26"/>
          <w:lang w:eastAsia="en-US"/>
        </w:rPr>
        <w:t xml:space="preserve">Bajo esa óptica, es incuestionable señalar que la resolución de siete de febrero de dos mil diecinueve, emitida por el Órgano Superior de Fiscalización del Estado de Oaxaca dentro del expediente </w:t>
      </w:r>
      <w:r w:rsidR="00F35DC2">
        <w:rPr>
          <w:rFonts w:ascii="Arial" w:eastAsia="Calibri" w:hAnsi="Arial" w:cs="Arial"/>
          <w:sz w:val="26"/>
          <w:szCs w:val="26"/>
          <w:lang w:eastAsia="en-US"/>
        </w:rPr>
        <w:t>*******</w:t>
      </w:r>
      <w:r>
        <w:rPr>
          <w:rFonts w:ascii="Arial" w:eastAsia="Calibri" w:hAnsi="Arial" w:cs="Arial"/>
          <w:sz w:val="26"/>
          <w:szCs w:val="26"/>
          <w:lang w:eastAsia="en-US"/>
        </w:rPr>
        <w:t xml:space="preserve">, dio </w:t>
      </w:r>
      <w:r>
        <w:rPr>
          <w:rFonts w:ascii="Arial" w:eastAsia="Calibri" w:hAnsi="Arial" w:cs="Arial"/>
          <w:sz w:val="26"/>
          <w:szCs w:val="26"/>
          <w:lang w:eastAsia="en-US"/>
        </w:rPr>
        <w:lastRenderedPageBreak/>
        <w:t>como resultado</w:t>
      </w:r>
      <w:r w:rsidR="00FE6137">
        <w:rPr>
          <w:rFonts w:ascii="Arial" w:eastAsia="Calibri" w:hAnsi="Arial" w:cs="Arial"/>
          <w:sz w:val="26"/>
          <w:szCs w:val="26"/>
          <w:lang w:eastAsia="en-US"/>
        </w:rPr>
        <w:t xml:space="preserve"> </w:t>
      </w:r>
      <w:r w:rsidR="001B3D99">
        <w:rPr>
          <w:rFonts w:ascii="Arial" w:eastAsia="Calibri" w:hAnsi="Arial" w:cs="Arial"/>
          <w:sz w:val="26"/>
          <w:szCs w:val="26"/>
          <w:lang w:eastAsia="en-US"/>
        </w:rPr>
        <w:t>los</w:t>
      </w:r>
      <w:r>
        <w:rPr>
          <w:rFonts w:ascii="Arial" w:eastAsia="Calibri" w:hAnsi="Arial" w:cs="Arial"/>
          <w:sz w:val="26"/>
          <w:szCs w:val="26"/>
          <w:lang w:eastAsia="en-US"/>
        </w:rPr>
        <w:t xml:space="preserve"> mandamiento</w:t>
      </w:r>
      <w:r w:rsidR="001B3D99">
        <w:rPr>
          <w:rFonts w:ascii="Arial" w:eastAsia="Calibri" w:hAnsi="Arial" w:cs="Arial"/>
          <w:sz w:val="26"/>
          <w:szCs w:val="26"/>
          <w:lang w:eastAsia="en-US"/>
        </w:rPr>
        <w:t>s</w:t>
      </w:r>
      <w:r>
        <w:rPr>
          <w:rFonts w:ascii="Arial" w:eastAsia="Calibri" w:hAnsi="Arial" w:cs="Arial"/>
          <w:sz w:val="26"/>
          <w:szCs w:val="26"/>
          <w:lang w:eastAsia="en-US"/>
        </w:rPr>
        <w:t xml:space="preserve"> de ejecución </w:t>
      </w:r>
      <w:r w:rsidR="00F35DC2">
        <w:rPr>
          <w:rFonts w:ascii="Arial" w:hAnsi="Arial" w:cs="Arial"/>
          <w:bCs/>
          <w:iCs/>
          <w:color w:val="000000"/>
          <w:sz w:val="26"/>
          <w:szCs w:val="26"/>
        </w:rPr>
        <w:t>*******</w:t>
      </w:r>
      <w:r>
        <w:rPr>
          <w:rFonts w:ascii="Arial" w:hAnsi="Arial" w:cs="Arial"/>
          <w:bCs/>
          <w:iCs/>
          <w:color w:val="000000"/>
          <w:sz w:val="26"/>
          <w:szCs w:val="26"/>
        </w:rPr>
        <w:t>, dictado</w:t>
      </w:r>
      <w:r w:rsidR="001B3D99">
        <w:rPr>
          <w:rFonts w:ascii="Arial" w:hAnsi="Arial" w:cs="Arial"/>
          <w:bCs/>
          <w:iCs/>
          <w:color w:val="000000"/>
          <w:sz w:val="26"/>
          <w:szCs w:val="26"/>
        </w:rPr>
        <w:t>s</w:t>
      </w:r>
      <w:r>
        <w:rPr>
          <w:rFonts w:ascii="Arial" w:hAnsi="Arial" w:cs="Arial"/>
          <w:bCs/>
          <w:iCs/>
          <w:color w:val="000000"/>
          <w:sz w:val="26"/>
          <w:szCs w:val="26"/>
        </w:rPr>
        <w:t xml:space="preserve"> el </w:t>
      </w:r>
      <w:r w:rsidR="00FE6137">
        <w:rPr>
          <w:rFonts w:ascii="Arial" w:hAnsi="Arial" w:cs="Arial"/>
          <w:bCs/>
          <w:iCs/>
          <w:color w:val="000000"/>
          <w:sz w:val="26"/>
          <w:szCs w:val="26"/>
        </w:rPr>
        <w:t xml:space="preserve">veinticuatro </w:t>
      </w:r>
      <w:r>
        <w:rPr>
          <w:rFonts w:ascii="Arial" w:hAnsi="Arial" w:cs="Arial"/>
          <w:bCs/>
          <w:iCs/>
          <w:color w:val="000000"/>
          <w:sz w:val="26"/>
          <w:szCs w:val="26"/>
        </w:rPr>
        <w:t xml:space="preserve">de junio de </w:t>
      </w:r>
      <w:r w:rsidR="00FE6137">
        <w:rPr>
          <w:rFonts w:ascii="Arial" w:hAnsi="Arial" w:cs="Arial"/>
          <w:bCs/>
          <w:iCs/>
          <w:color w:val="000000"/>
          <w:sz w:val="26"/>
          <w:szCs w:val="26"/>
        </w:rPr>
        <w:t>dos mil veintiuno</w:t>
      </w:r>
      <w:r>
        <w:rPr>
          <w:rFonts w:ascii="Arial" w:eastAsia="Calibri" w:hAnsi="Arial" w:cs="Arial"/>
          <w:sz w:val="26"/>
          <w:szCs w:val="26"/>
          <w:lang w:eastAsia="en-US"/>
        </w:rPr>
        <w:t>, emitido por la Coordinadora de Cobro Coactivo de la Secretaría de Finanzas del Estado de Oaxaca y las diligencias de notificación y requerimiento de pago efectuadas el veintinueve de septiembre del citado año; de ahí que, el juicio de inconformidad brinda al recurrente la oportunidad de alegar y ofrecer pruebas en contra de dicha resolución.- - - - - - - - - - - - - - - - - - -</w:t>
      </w:r>
      <w:r w:rsidR="00E513DF">
        <w:rPr>
          <w:rFonts w:ascii="Arial" w:eastAsia="Calibri" w:hAnsi="Arial" w:cs="Arial"/>
          <w:sz w:val="26"/>
          <w:szCs w:val="26"/>
          <w:lang w:eastAsia="en-US"/>
        </w:rPr>
        <w:t xml:space="preserve"> - - - - - </w:t>
      </w:r>
    </w:p>
    <w:p w14:paraId="2396F597" w14:textId="2BF62255" w:rsidR="0029796E" w:rsidRDefault="0029796E" w:rsidP="0029796E">
      <w:pPr>
        <w:spacing w:before="120" w:after="0" w:line="360" w:lineRule="auto"/>
        <w:ind w:firstLine="709"/>
        <w:jc w:val="both"/>
        <w:rPr>
          <w:rFonts w:ascii="Arial" w:eastAsia="Calibri" w:hAnsi="Arial" w:cs="Arial"/>
          <w:bCs/>
          <w:sz w:val="26"/>
          <w:szCs w:val="26"/>
        </w:rPr>
      </w:pPr>
      <w:r>
        <w:rPr>
          <w:rFonts w:ascii="Arial" w:eastAsia="Calibri" w:hAnsi="Arial" w:cs="Arial"/>
          <w:sz w:val="26"/>
          <w:szCs w:val="26"/>
          <w:lang w:eastAsia="en-US"/>
        </w:rPr>
        <w:t xml:space="preserve"> E</w:t>
      </w:r>
      <w:r>
        <w:rPr>
          <w:rFonts w:ascii="Arial" w:eastAsia="Calibri" w:hAnsi="Arial" w:cs="Arial"/>
          <w:bCs/>
          <w:sz w:val="26"/>
          <w:szCs w:val="26"/>
        </w:rPr>
        <w:t xml:space="preserve">n ese tenor se debe destacar que en todo juicio tramitado ante órganos jurisdiccionales del país, se debe anteponer los principios de debido proceso, completitud, tutela judicial efectiva, pro persona y progresividad previstos en los artículos 1, 8, 14, 16 y 17 de la Carta Magna, a efecto de que en sede ordinaria se efectúe en su oportunidad un pronunciamiento sobre lo efectivamente planteado y evitar que rigorismos impidan una completa y adecuada impartición de </w:t>
      </w:r>
      <w:r w:rsidR="004128A2">
        <w:rPr>
          <w:rFonts w:ascii="Arial" w:eastAsia="Calibri" w:hAnsi="Arial" w:cs="Arial"/>
          <w:bCs/>
          <w:sz w:val="26"/>
          <w:szCs w:val="26"/>
        </w:rPr>
        <w:t>justicia. -</w:t>
      </w:r>
      <w:r>
        <w:rPr>
          <w:rFonts w:ascii="Arial" w:eastAsia="Calibri" w:hAnsi="Arial" w:cs="Arial"/>
          <w:bCs/>
          <w:sz w:val="26"/>
          <w:szCs w:val="26"/>
        </w:rPr>
        <w:t xml:space="preserve"> - </w:t>
      </w:r>
    </w:p>
    <w:p w14:paraId="71586BA8" w14:textId="0BD35CBB" w:rsidR="0029796E" w:rsidRDefault="0029796E" w:rsidP="0029796E">
      <w:pPr>
        <w:spacing w:before="120" w:after="0" w:line="360" w:lineRule="auto"/>
        <w:ind w:firstLine="709"/>
        <w:jc w:val="both"/>
        <w:rPr>
          <w:rFonts w:ascii="Arial" w:eastAsia="Calibri" w:hAnsi="Arial" w:cs="Arial"/>
          <w:sz w:val="26"/>
          <w:szCs w:val="26"/>
          <w:lang w:eastAsia="en-US"/>
        </w:rPr>
      </w:pPr>
      <w:r>
        <w:rPr>
          <w:rFonts w:ascii="Arial" w:eastAsia="Calibri" w:hAnsi="Arial" w:cs="Arial"/>
          <w:sz w:val="26"/>
          <w:szCs w:val="26"/>
          <w:lang w:eastAsia="en-US"/>
        </w:rPr>
        <w:t>Con respecto al mismo punto, es de suma importancia hacer valer el criterio sostenido por los Tribunales Federales, respecto a que no puede escindirse la demanda por actos que están estrechamente vinculados (la resolución de siete de febrero de dos mil diecinueve, emitida por el Órgano Superior de Fiscalización del Estado de Oaxaca dentro del expediente</w:t>
      </w:r>
      <w:r w:rsidR="00071936">
        <w:rPr>
          <w:rFonts w:ascii="Arial" w:eastAsia="Calibri" w:hAnsi="Arial" w:cs="Arial"/>
          <w:sz w:val="26"/>
          <w:szCs w:val="26"/>
          <w:lang w:eastAsia="en-US"/>
        </w:rPr>
        <w:t>*******</w:t>
      </w:r>
      <w:r>
        <w:rPr>
          <w:rFonts w:ascii="Arial" w:eastAsia="Calibri" w:hAnsi="Arial" w:cs="Arial"/>
          <w:sz w:val="26"/>
          <w:szCs w:val="26"/>
          <w:lang w:eastAsia="en-US"/>
        </w:rPr>
        <w:t xml:space="preserve">), pues en lugar de privilegiar el acceso a la justicia, se genera inseguridad jurídica a las partes. - - - - </w:t>
      </w:r>
      <w:r w:rsidR="00E460EC">
        <w:rPr>
          <w:rFonts w:ascii="Arial" w:eastAsia="Calibri" w:hAnsi="Arial" w:cs="Arial"/>
          <w:sz w:val="26"/>
          <w:szCs w:val="26"/>
          <w:lang w:eastAsia="en-US"/>
        </w:rPr>
        <w:t xml:space="preserve">- - - - - - - - - - - </w:t>
      </w:r>
    </w:p>
    <w:p w14:paraId="68270902" w14:textId="77777777" w:rsidR="0029796E" w:rsidRDefault="0029796E" w:rsidP="0029796E">
      <w:pPr>
        <w:spacing w:before="120" w:after="0" w:line="360" w:lineRule="auto"/>
        <w:ind w:firstLine="709"/>
        <w:jc w:val="both"/>
        <w:rPr>
          <w:rFonts w:ascii="Arial" w:eastAsia="Calibri" w:hAnsi="Arial" w:cs="Arial"/>
          <w:sz w:val="26"/>
          <w:szCs w:val="26"/>
          <w:lang w:eastAsia="en-US"/>
        </w:rPr>
      </w:pPr>
      <w:r>
        <w:rPr>
          <w:rFonts w:ascii="Arial" w:eastAsia="Calibri" w:hAnsi="Arial" w:cs="Arial"/>
          <w:sz w:val="26"/>
          <w:szCs w:val="26"/>
          <w:lang w:eastAsia="en-US"/>
        </w:rPr>
        <w:t>Razones por las cuales se infiere que, para conocer y resolver de la presente controversia a través del juicio de inconformidad, la competencia se surte a favor de la Sala Superior de este Tribunal de Justicia Administrativa del Estado de Oaxaca, y no así de la Sala Unitaria de Primera Instancia. - - - - - - - - - - - - - - - - - - - - - - - - - - - - - - - - - - - -</w:t>
      </w:r>
    </w:p>
    <w:p w14:paraId="3C919108" w14:textId="4699355E" w:rsidR="0029796E" w:rsidRDefault="0029796E" w:rsidP="0029796E">
      <w:pPr>
        <w:spacing w:before="120" w:after="0" w:line="360" w:lineRule="auto"/>
        <w:ind w:firstLine="709"/>
        <w:jc w:val="both"/>
        <w:rPr>
          <w:rFonts w:ascii="Arial" w:eastAsia="Calibri" w:hAnsi="Arial" w:cs="Arial"/>
          <w:bCs/>
          <w:sz w:val="26"/>
          <w:szCs w:val="26"/>
        </w:rPr>
      </w:pPr>
      <w:r>
        <w:rPr>
          <w:rFonts w:ascii="Arial" w:eastAsia="Calibri" w:hAnsi="Arial" w:cs="Arial"/>
          <w:bCs/>
          <w:sz w:val="26"/>
          <w:szCs w:val="26"/>
        </w:rPr>
        <w:t xml:space="preserve">Por tanto, se concluye que resulta ilegal la determinación hecha por la Sexta Sala Unitaria, al </w:t>
      </w:r>
      <w:r>
        <w:rPr>
          <w:rFonts w:ascii="Arial" w:eastAsia="Calibri" w:hAnsi="Arial" w:cs="Arial"/>
          <w:sz w:val="26"/>
          <w:szCs w:val="26"/>
          <w:lang w:eastAsia="en-US"/>
        </w:rPr>
        <w:t xml:space="preserve">desechar la demanda por notoriamente improcedente de conformidad con lo dispuesto en los artículos 158, 161, fracción X y 182, fracción I de la Ley de Procedimiento y Justicia Administrativa para el Estado de Oaxaca, y señalar que con la expedición de los mandamientos de ejecución </w:t>
      </w:r>
      <w:r w:rsidR="00F35DC2">
        <w:rPr>
          <w:rFonts w:ascii="Arial" w:hAnsi="Arial" w:cs="Arial"/>
          <w:bCs/>
          <w:iCs/>
          <w:color w:val="000000"/>
          <w:sz w:val="26"/>
          <w:szCs w:val="26"/>
        </w:rPr>
        <w:t>*******</w:t>
      </w:r>
      <w:r>
        <w:rPr>
          <w:rFonts w:ascii="Arial" w:hAnsi="Arial" w:cs="Arial"/>
          <w:bCs/>
          <w:iCs/>
          <w:color w:val="000000"/>
          <w:sz w:val="26"/>
          <w:szCs w:val="26"/>
        </w:rPr>
        <w:t>, dictados el veinticuatro de junio de dos mil veinti</w:t>
      </w:r>
      <w:r w:rsidR="00456C5B">
        <w:rPr>
          <w:rFonts w:ascii="Arial" w:hAnsi="Arial" w:cs="Arial"/>
          <w:bCs/>
          <w:iCs/>
          <w:color w:val="000000"/>
          <w:sz w:val="26"/>
          <w:szCs w:val="26"/>
        </w:rPr>
        <w:t>uno</w:t>
      </w:r>
      <w:r>
        <w:rPr>
          <w:rFonts w:ascii="Arial" w:eastAsia="Calibri" w:hAnsi="Arial" w:cs="Arial"/>
          <w:sz w:val="26"/>
          <w:szCs w:val="26"/>
          <w:lang w:eastAsia="en-US"/>
        </w:rPr>
        <w:t xml:space="preserve">, emitidos por la Coordinadora de Cobro Coactivo de la Secretaría de Finanzas del Estado de Oaxaca y las diligencias de notificación y requerimiento de pago efectuadas el veintinueve de septiembre del citado año, no  son actos o resoluciones que pongan fin al procedimiento administrativo, a una instancia o </w:t>
      </w:r>
      <w:r>
        <w:rPr>
          <w:rFonts w:ascii="Arial" w:eastAsia="Calibri" w:hAnsi="Arial" w:cs="Arial"/>
          <w:sz w:val="26"/>
          <w:szCs w:val="26"/>
          <w:lang w:eastAsia="en-US"/>
        </w:rPr>
        <w:lastRenderedPageBreak/>
        <w:t xml:space="preserve">resuelvan un expediente o que les cause agravio a los particulares, como lo establece el artículo 98, párrafo primero y 99 de la Ley de Procedimiento y Justicia Administrativa para el Estado de Oaxaca, además de que no se actualizan los supuestos previstos por la fracción VIII del artículo 133 de la Ley de Procedimiento y Justicia Administrativa para el Estado de Oaxaca, porque por regla general las violaciones cometidas en el procedimiento administrativo de ejecución antes del remate, son impugnables mediante juicio contencioso administrativo hasta que se publique la convocatoria respectiva; toda vez que </w:t>
      </w:r>
      <w:r>
        <w:rPr>
          <w:rFonts w:ascii="Arial" w:eastAsia="Calibri" w:hAnsi="Arial" w:cs="Arial"/>
          <w:bCs/>
          <w:sz w:val="26"/>
          <w:szCs w:val="26"/>
        </w:rPr>
        <w:t xml:space="preserve">lo procedente era declararse incompetente para conocer y remitir los autos a la Sala Superior de este Tribunal, por ser la autoridad competente para conocer y resolver el juicio de inconformidad, </w:t>
      </w:r>
      <w:r>
        <w:rPr>
          <w:rFonts w:ascii="Arial" w:hAnsi="Arial" w:cs="Arial"/>
          <w:sz w:val="26"/>
          <w:szCs w:val="26"/>
        </w:rPr>
        <w:t>conforme a lo previsto en el artículo 114</w:t>
      </w:r>
      <w:r>
        <w:rPr>
          <w:rStyle w:val="Refdenotaalpie"/>
          <w:rFonts w:ascii="Arial" w:hAnsi="Arial" w:cs="Arial"/>
          <w:sz w:val="26"/>
          <w:szCs w:val="26"/>
        </w:rPr>
        <w:footnoteReference w:id="8"/>
      </w:r>
      <w:r>
        <w:rPr>
          <w:rFonts w:ascii="Arial" w:hAnsi="Arial" w:cs="Arial"/>
          <w:sz w:val="26"/>
          <w:szCs w:val="26"/>
        </w:rPr>
        <w:t xml:space="preserve"> QUÁTER, apartado B), fracción I de la Constitución Política del Estado Libre y Soberano del Estado de Oaxaca, </w:t>
      </w:r>
      <w:r>
        <w:rPr>
          <w:rFonts w:ascii="Arial" w:eastAsia="Calibri" w:hAnsi="Arial" w:cs="Arial"/>
          <w:bCs/>
          <w:sz w:val="26"/>
          <w:szCs w:val="26"/>
        </w:rPr>
        <w:t xml:space="preserve">al derivar los mandamientos de ejecución impugnados, de la resolución determinante de siete de febrero de dos mil diecinueve, emitida por la el Órgano Superior de Fiscalización del Estado de Oaxaca, dentro del expediente </w:t>
      </w:r>
      <w:r w:rsidR="00F35DC2">
        <w:rPr>
          <w:rFonts w:ascii="Arial" w:eastAsia="Calibri" w:hAnsi="Arial" w:cs="Arial"/>
          <w:sz w:val="26"/>
          <w:szCs w:val="26"/>
          <w:lang w:eastAsia="en-US"/>
        </w:rPr>
        <w:t>*******</w:t>
      </w:r>
      <w:r>
        <w:rPr>
          <w:rFonts w:ascii="Arial" w:eastAsia="Calibri" w:hAnsi="Arial" w:cs="Arial"/>
          <w:sz w:val="26"/>
          <w:szCs w:val="26"/>
          <w:lang w:eastAsia="en-US"/>
        </w:rPr>
        <w:t>.</w:t>
      </w:r>
      <w:r>
        <w:rPr>
          <w:rFonts w:ascii="Arial" w:hAnsi="Arial" w:cs="Arial"/>
          <w:sz w:val="26"/>
          <w:szCs w:val="26"/>
        </w:rPr>
        <w:t xml:space="preserve"> - - - - - - - - - - - - - - - - - - - - - - - - - - </w:t>
      </w:r>
      <w:r w:rsidR="00071936">
        <w:rPr>
          <w:rFonts w:ascii="Arial" w:hAnsi="Arial" w:cs="Arial"/>
          <w:sz w:val="26"/>
          <w:szCs w:val="26"/>
        </w:rPr>
        <w:t>- - - - - - - - - - - - -</w:t>
      </w:r>
    </w:p>
    <w:p w14:paraId="3775AAAF" w14:textId="41E11396" w:rsidR="0029796E" w:rsidRDefault="0029796E" w:rsidP="0029796E">
      <w:pPr>
        <w:spacing w:before="120" w:after="0" w:line="360" w:lineRule="auto"/>
        <w:ind w:firstLine="709"/>
        <w:jc w:val="both"/>
        <w:rPr>
          <w:rFonts w:ascii="Arial" w:eastAsia="Calibri" w:hAnsi="Arial" w:cs="Arial"/>
          <w:bCs/>
          <w:sz w:val="26"/>
          <w:szCs w:val="26"/>
        </w:rPr>
      </w:pPr>
      <w:r>
        <w:rPr>
          <w:rFonts w:ascii="Arial" w:eastAsia="Calibri" w:hAnsi="Arial" w:cs="Arial"/>
          <w:bCs/>
          <w:sz w:val="26"/>
          <w:szCs w:val="26"/>
        </w:rPr>
        <w:t>En consecuencia, a fin de privilegiar la tutela judicial efectiva prevista como derecho fundamental en el artículo 17 de la Constitución Federal, los órganos jurisdiccionales encargados de la impartición de justicia, deben garantizar la efectividad de los recursos y medios de defensa, motivo por el cual no deben condicionar su procedencia a requisitos o formalismos excesivos e innecesarios carentes de razonabilidad respecto del fin que legítimamente puede acortar el acceso a una justicia pronta y expedita. Tiene aplicación a lo anterior, al Jurisprudencia 1a</w:t>
      </w:r>
      <w:proofErr w:type="gramStart"/>
      <w:r>
        <w:rPr>
          <w:rFonts w:ascii="Arial" w:eastAsia="Calibri" w:hAnsi="Arial" w:cs="Arial"/>
          <w:bCs/>
          <w:sz w:val="26"/>
          <w:szCs w:val="26"/>
        </w:rPr>
        <w:t>./</w:t>
      </w:r>
      <w:proofErr w:type="gramEnd"/>
      <w:r>
        <w:rPr>
          <w:rFonts w:ascii="Arial" w:eastAsia="Calibri" w:hAnsi="Arial" w:cs="Arial"/>
          <w:bCs/>
          <w:sz w:val="26"/>
          <w:szCs w:val="26"/>
        </w:rPr>
        <w:t>J. 90/2017 (10a.), con número de registro digital: 2015595, Primera Sala, Décima Época de la Gaceta del Semanario Judicial de la Federación. Libro 48, noviembre de 2017, Tomo I, página 213, de rubro y texto siguientes:</w:t>
      </w:r>
      <w:r w:rsidR="00CD21DA">
        <w:rPr>
          <w:rFonts w:ascii="Arial" w:eastAsia="Calibri" w:hAnsi="Arial" w:cs="Arial"/>
          <w:bCs/>
          <w:sz w:val="26"/>
          <w:szCs w:val="26"/>
        </w:rPr>
        <w:t>- - - - - - - - - - - - - - - - - - - - - - - - - - - - -</w:t>
      </w:r>
    </w:p>
    <w:p w14:paraId="3821E00E" w14:textId="77777777" w:rsidR="0029796E" w:rsidRDefault="0029796E" w:rsidP="0029796E">
      <w:pPr>
        <w:spacing w:before="120" w:after="0" w:line="240" w:lineRule="auto"/>
        <w:ind w:left="851" w:right="902"/>
        <w:jc w:val="both"/>
        <w:rPr>
          <w:rFonts w:ascii="Arial" w:eastAsia="Calibri" w:hAnsi="Arial" w:cs="Arial"/>
          <w:bCs/>
          <w:i/>
        </w:rPr>
      </w:pPr>
      <w:r>
        <w:rPr>
          <w:rFonts w:ascii="Arial" w:eastAsia="Calibri" w:hAnsi="Arial" w:cs="Arial"/>
          <w:b/>
          <w:bCs/>
          <w:i/>
        </w:rPr>
        <w:t xml:space="preserve">“DERECHO FUNDAMENTAL DE ACCESO A LA JURISDICCIÓN. SU CONTENIDO ESPECÍFICO COMO PARTE DEL DERECHO A LA TUTELA JURISDICCIONAL EFECTIVA Y SU </w:t>
      </w:r>
      <w:r>
        <w:rPr>
          <w:rFonts w:ascii="Arial" w:eastAsia="Calibri" w:hAnsi="Arial" w:cs="Arial"/>
          <w:b/>
          <w:bCs/>
          <w:i/>
        </w:rPr>
        <w:lastRenderedPageBreak/>
        <w:t>COMPATIBILIDAD CON LA EXISTENCIA DE REQUISITOS DE PROCEDENCIA DE UNA ACCIÓN</w:t>
      </w:r>
      <w:r>
        <w:rPr>
          <w:rFonts w:ascii="Arial" w:eastAsia="Calibri" w:hAnsi="Arial" w:cs="Arial"/>
          <w:bCs/>
          <w:i/>
        </w:rPr>
        <w:t>. De la tesis de jurisprudencia de la Primera Sala de la Suprema Corte de Justicia de la Nación 1a./J. 42/2007, (1) de rubro: "GARANTÍA A LA TUTELA JURISDICCIONAL PREVISTA EN EL ARTÍCULO 17 DE LA CONSTITUCIÓN POLÍTICA DE LOS ESTADOS UNIDOS MEXICANOS. SUS ALCANCES.", deriva que el acceso a la tutela jurisdiccional comprende tres etapas, a las que corresponden tres derechos que lo integran: 1) una previa al juicio, a la que atañe el derecho de acceso a la jurisdicción; 2) otra judicial, a la que corresponden las garantías del debido proceso; y, 3) una posterior al juicio, que se identifica con la eficacia de las resoluciones emitidas con motivo de aquél. En estos términos, el derecho fundamental de acceso a la jurisdicción debe entenderse como una especie del diverso de petición, que se actualiza cuando ésta se dirige a las autoridades jurisdiccionales, motivando su pronunciamiento. Su fundamento se encuentra en el artículo 17 de la Constitución Política de los Estados Unidos Mexicanos, conforme al cual corresponde al Estado mexicano impartir justicia a través de las instituciones y procedimientos previstos para tal efecto. Así, es perfectamente compatible con el artículo constitucional referido, que el órgano legislativo establezca condiciones para el acceso a los tribunales y regule distintas vías y procedimientos, cada uno de los cuales tendrá diferentes requisitos de procedencia que deberán cumplirse para justificar el accionar del aparato jurisdiccional, dentro de los cuales pueden establecerse, por ejemplo, aquellos que regulen: I) la admisibilidad de un escrito; II) la legitimación activa y pasiva de las partes; III) la representación; IV) la oportunidad en la interposición de la acción, excepción o defensa, recurso o incidente; v) la competencia del órgano ante el cual se promueve; vi) la exhibición de ciertos documentos de los cuales depende la existencia de la acción; y, VII) la procedencia de la vía. En resumen, los requisitos de procedencia, a falta de los cuales se actualiza la improcedencia de una acción, varían dependiendo de la vía que se ejerza y, en esencia, consisten en los elementos mínimos necesarios previstos en las leyes adjetivas que deben satisfacerse para la realización de la jurisdicción, es decir, para que el juzgador se encuentre en aptitud de conocer la cuestión de fondo planteada en el caso sometido a su potestad y pueda resolverla, determinando los efectos de dicha resolución. Lo importante en cada caso será que para poder concluir que existe un verdadero acceso a la jurisdicción o a los tribunales, es necesario que se verifique la inexistencia de impedimentos jurídicos o fácticos que resulten carentes de racionalidad, proporcionalidad o que resulten discriminatorios.”</w:t>
      </w:r>
    </w:p>
    <w:p w14:paraId="069D42D2" w14:textId="4F339EFE" w:rsidR="0029796E" w:rsidRDefault="0029796E" w:rsidP="0029796E">
      <w:pPr>
        <w:spacing w:before="120" w:after="0" w:line="360" w:lineRule="auto"/>
        <w:ind w:firstLine="709"/>
        <w:jc w:val="both"/>
        <w:rPr>
          <w:rFonts w:ascii="Arial" w:hAnsi="Arial" w:cs="Arial"/>
          <w:sz w:val="26"/>
          <w:szCs w:val="26"/>
        </w:rPr>
      </w:pPr>
      <w:r>
        <w:rPr>
          <w:rFonts w:ascii="Arial" w:eastAsia="Calibri" w:hAnsi="Arial" w:cs="Arial"/>
          <w:bCs/>
          <w:sz w:val="26"/>
          <w:szCs w:val="26"/>
        </w:rPr>
        <w:t xml:space="preserve">Así como la </w:t>
      </w:r>
      <w:r>
        <w:rPr>
          <w:rFonts w:ascii="Arial" w:hAnsi="Arial" w:cs="Arial"/>
          <w:sz w:val="26"/>
          <w:szCs w:val="26"/>
        </w:rPr>
        <w:t>Tesis 1a. CCXCI/2014 (10a.) de número de registro 2007064, emitida por la Primera Sala de la Suprema Corte de Justicia de la Nación, publicada en el Semanario Judicial de la Federación y su Gaceta, en la Décima Época, Tomo I, agosto de 2014, página 536, materia Constitucional Común, de rubro y texto siguiente:</w:t>
      </w:r>
      <w:r w:rsidR="00CB1896">
        <w:rPr>
          <w:rFonts w:ascii="Arial" w:hAnsi="Arial" w:cs="Arial"/>
          <w:sz w:val="26"/>
          <w:szCs w:val="26"/>
        </w:rPr>
        <w:t>- - - - - - - - - - -</w:t>
      </w:r>
    </w:p>
    <w:p w14:paraId="0A674B3F" w14:textId="77777777" w:rsidR="00CB1896" w:rsidRDefault="00CB1896" w:rsidP="00CB1896">
      <w:pPr>
        <w:pStyle w:val="Sinespaciado"/>
      </w:pPr>
    </w:p>
    <w:p w14:paraId="5A191B93" w14:textId="77777777" w:rsidR="0029796E" w:rsidRDefault="0029796E" w:rsidP="0029796E">
      <w:pPr>
        <w:spacing w:after="0" w:line="240" w:lineRule="auto"/>
        <w:ind w:left="851" w:right="902"/>
        <w:jc w:val="both"/>
        <w:rPr>
          <w:rFonts w:ascii="Arial" w:eastAsia="Calibri" w:hAnsi="Arial" w:cs="Arial"/>
          <w:bCs/>
          <w:i/>
        </w:rPr>
      </w:pPr>
      <w:r>
        <w:rPr>
          <w:rFonts w:ascii="Arial" w:eastAsia="Calibri" w:hAnsi="Arial" w:cs="Arial"/>
          <w:bCs/>
          <w:i/>
        </w:rPr>
        <w:t>“</w:t>
      </w:r>
      <w:r>
        <w:rPr>
          <w:rFonts w:ascii="Arial" w:eastAsia="Calibri" w:hAnsi="Arial" w:cs="Arial"/>
          <w:b/>
          <w:bCs/>
          <w:i/>
        </w:rPr>
        <w:t xml:space="preserve">TUTELA JUDICIAL EFECTIVA. LOS ÓRGANOS ENCARGADOS DE ADMINISTRAR JUSTICIA, AL INTERPRETAR LOS REQUISITOS Y LAS FORMALIDADES ESTABLECIDOS EN LA LEY PARA LA ADMISIBILIDAD Y PROCEDENCIA DE LOS JUICIOS, DEBEN TENER PRESENTE LA RATIO DE LA NORMA PARA EVITAR FORMALISMOS QUE IMPIDAN UN ENJUICIAMIENTO DE FONDO DEL ASUNTO. </w:t>
      </w:r>
      <w:r>
        <w:rPr>
          <w:rFonts w:ascii="Arial" w:eastAsia="Calibri" w:hAnsi="Arial" w:cs="Arial"/>
          <w:bCs/>
          <w:i/>
        </w:rPr>
        <w:t xml:space="preserve">La tutela judicial efectiva, consagrada como derecho humano en los artículos 17 de la Constitución Política de los Estados Unidos Mexicanos y 8, numeral 1 y 25, numeral 1, de la Convención Americana sobre Derechos Humanos, en su vertiente de recurso efectivo, implica la obligación para los tribunales de resolver los conflictos que se les </w:t>
      </w:r>
      <w:r>
        <w:rPr>
          <w:rFonts w:ascii="Arial" w:eastAsia="Calibri" w:hAnsi="Arial" w:cs="Arial"/>
          <w:bCs/>
          <w:i/>
        </w:rPr>
        <w:lastRenderedPageBreak/>
        <w:t xml:space="preserve">plantean sin obstáculos o dilaciones innecesarias y evitando formalismos o interpretaciones no razonables que impidan o dificulten el enjuiciamiento de fondo y la auténtica tutela judicial, por lo que los órganos encargados de administrar justicia, al interpretar los requisitos y las formalidades procesales legalmente previstos, deben tener presente la ratio de la norma para evitar que los meros formalismos impidan un enjuiciamiento de fondo del asunto. Por tanto, los requisitos para admitir los juicios, incidentes en ellos permitidos, o recursos intentados, establecidos por el legislador, son de interpretación estricta para no limitar el derecho fundamental a la tutela judicial efectiva, haciendo posible, en lo esencial, el ejercicio de dicho derecho, por lo que debe buscarse, con apoyo en los principios pro </w:t>
      </w:r>
      <w:proofErr w:type="spellStart"/>
      <w:r>
        <w:rPr>
          <w:rFonts w:ascii="Arial" w:eastAsia="Calibri" w:hAnsi="Arial" w:cs="Arial"/>
          <w:bCs/>
          <w:i/>
        </w:rPr>
        <w:t>homine</w:t>
      </w:r>
      <w:proofErr w:type="spellEnd"/>
      <w:r>
        <w:rPr>
          <w:rFonts w:ascii="Arial" w:eastAsia="Calibri" w:hAnsi="Arial" w:cs="Arial"/>
          <w:bCs/>
          <w:i/>
        </w:rPr>
        <w:t xml:space="preserve"> e in dubio pro </w:t>
      </w:r>
      <w:proofErr w:type="spellStart"/>
      <w:r>
        <w:rPr>
          <w:rFonts w:ascii="Arial" w:eastAsia="Calibri" w:hAnsi="Arial" w:cs="Arial"/>
          <w:bCs/>
          <w:i/>
        </w:rPr>
        <w:t>actione</w:t>
      </w:r>
      <w:proofErr w:type="spellEnd"/>
      <w:r>
        <w:rPr>
          <w:rFonts w:ascii="Arial" w:eastAsia="Calibri" w:hAnsi="Arial" w:cs="Arial"/>
          <w:bCs/>
          <w:i/>
        </w:rPr>
        <w:t>, la interpretación más favorable al ejercicio de ese derecho humano, sin soslayarse los presupuestos esenciales de admisibilidad y procedencia de los juicios, incidentes en éstos permitidos o recursos intentados.”</w:t>
      </w:r>
    </w:p>
    <w:p w14:paraId="1043B377" w14:textId="77777777" w:rsidR="0029796E" w:rsidRDefault="0029796E" w:rsidP="0029796E">
      <w:pPr>
        <w:spacing w:after="0" w:line="240" w:lineRule="auto"/>
        <w:ind w:left="851" w:right="902"/>
        <w:jc w:val="both"/>
        <w:rPr>
          <w:rFonts w:ascii="Arial" w:eastAsia="Calibri" w:hAnsi="Arial" w:cs="Arial"/>
          <w:bCs/>
          <w:i/>
        </w:rPr>
      </w:pPr>
    </w:p>
    <w:p w14:paraId="1048A6A3" w14:textId="1797F67E" w:rsidR="0029796E" w:rsidRDefault="0029796E" w:rsidP="0029796E">
      <w:pPr>
        <w:spacing w:after="0" w:line="360" w:lineRule="auto"/>
        <w:ind w:firstLine="709"/>
        <w:jc w:val="both"/>
        <w:rPr>
          <w:rFonts w:ascii="Arial" w:eastAsia="Calibri" w:hAnsi="Arial" w:cs="Arial"/>
          <w:bCs/>
          <w:sz w:val="26"/>
          <w:szCs w:val="26"/>
        </w:rPr>
      </w:pPr>
      <w:r>
        <w:rPr>
          <w:rFonts w:ascii="Arial" w:eastAsia="Calibri" w:hAnsi="Arial" w:cs="Arial"/>
          <w:bCs/>
          <w:sz w:val="26"/>
          <w:szCs w:val="26"/>
        </w:rPr>
        <w:t xml:space="preserve">Por todo lo anterior, esta Sala Superior determina </w:t>
      </w:r>
      <w:r>
        <w:rPr>
          <w:rFonts w:ascii="Arial" w:eastAsia="Calibri" w:hAnsi="Arial" w:cs="Arial"/>
          <w:b/>
          <w:bCs/>
          <w:sz w:val="26"/>
          <w:szCs w:val="26"/>
        </w:rPr>
        <w:t>REVOCAR</w:t>
      </w:r>
      <w:r>
        <w:rPr>
          <w:rFonts w:ascii="Arial" w:eastAsia="Calibri" w:hAnsi="Arial" w:cs="Arial"/>
          <w:bCs/>
          <w:sz w:val="26"/>
          <w:szCs w:val="26"/>
        </w:rPr>
        <w:t xml:space="preserve"> el acuerdo de dieciocho de octubre de dos mil veintiuno, para quedar de la siguiente manera: </w:t>
      </w:r>
      <w:r w:rsidR="00967083">
        <w:rPr>
          <w:rFonts w:ascii="Arial" w:eastAsia="Calibri" w:hAnsi="Arial" w:cs="Arial"/>
          <w:bCs/>
          <w:sz w:val="26"/>
          <w:szCs w:val="26"/>
        </w:rPr>
        <w:t xml:space="preserve">- - - - - - - - - - - - - - - - - - - - - - - - - - - - - - - -- - - - - - - </w:t>
      </w:r>
    </w:p>
    <w:p w14:paraId="4E2D7CDA" w14:textId="6D71112A" w:rsidR="0029796E" w:rsidRDefault="0029796E" w:rsidP="0029796E">
      <w:pPr>
        <w:spacing w:before="120" w:after="0" w:line="360" w:lineRule="auto"/>
        <w:ind w:left="851" w:right="758" w:firstLine="709"/>
        <w:jc w:val="both"/>
        <w:rPr>
          <w:rFonts w:ascii="Arial" w:hAnsi="Arial" w:cs="Arial"/>
          <w:b/>
          <w:bCs/>
          <w:i/>
        </w:rPr>
      </w:pPr>
      <w:r>
        <w:rPr>
          <w:rFonts w:ascii="Arial" w:hAnsi="Arial" w:cs="Arial"/>
          <w:i/>
        </w:rPr>
        <w:t xml:space="preserve">““Por recibida la demanda en la oficialía de partes común de este Tribunal, el día quince del actual, promovida por </w:t>
      </w:r>
      <w:r w:rsidR="00071936">
        <w:rPr>
          <w:rFonts w:ascii="Arial" w:hAnsi="Arial" w:cs="Arial"/>
          <w:b/>
          <w:i/>
        </w:rPr>
        <w:t>*******</w:t>
      </w:r>
      <w:r>
        <w:rPr>
          <w:rFonts w:ascii="Arial" w:hAnsi="Arial" w:cs="Arial"/>
          <w:b/>
          <w:i/>
        </w:rPr>
        <w:t>,</w:t>
      </w:r>
      <w:r>
        <w:rPr>
          <w:rFonts w:ascii="Arial" w:hAnsi="Arial" w:cs="Arial"/>
          <w:i/>
        </w:rPr>
        <w:t xml:space="preserve"> quienes promueve demanda de nulidad en contra de: </w:t>
      </w:r>
      <w:r>
        <w:rPr>
          <w:rFonts w:ascii="Arial" w:hAnsi="Arial" w:cs="Arial"/>
          <w:b/>
          <w:i/>
        </w:rPr>
        <w:t>1)</w:t>
      </w:r>
      <w:r>
        <w:rPr>
          <w:rFonts w:ascii="Arial" w:hAnsi="Arial" w:cs="Arial"/>
          <w:i/>
        </w:rPr>
        <w:t xml:space="preserve"> </w:t>
      </w:r>
      <w:r>
        <w:rPr>
          <w:rFonts w:ascii="Arial" w:hAnsi="Arial" w:cs="Arial"/>
          <w:bCs/>
          <w:i/>
          <w:color w:val="000000"/>
        </w:rPr>
        <w:t xml:space="preserve">Los mandamientos de ejecución número </w:t>
      </w:r>
      <w:r w:rsidR="00F35DC2">
        <w:rPr>
          <w:rFonts w:ascii="Arial" w:hAnsi="Arial" w:cs="Arial"/>
          <w:bCs/>
          <w:i/>
          <w:color w:val="000000"/>
        </w:rPr>
        <w:t>*******</w:t>
      </w:r>
      <w:r>
        <w:rPr>
          <w:rFonts w:ascii="Arial" w:hAnsi="Arial" w:cs="Arial"/>
          <w:bCs/>
          <w:i/>
          <w:color w:val="000000"/>
        </w:rPr>
        <w:t xml:space="preserve"> de veinticuatro de junio de 2021, que contiene el crédito fiscal </w:t>
      </w:r>
      <w:r w:rsidR="00F35DC2">
        <w:rPr>
          <w:rFonts w:ascii="Arial" w:hAnsi="Arial" w:cs="Arial"/>
          <w:bCs/>
          <w:i/>
          <w:color w:val="000000"/>
        </w:rPr>
        <w:t>*******</w:t>
      </w:r>
      <w:r>
        <w:rPr>
          <w:rFonts w:ascii="Arial" w:hAnsi="Arial" w:cs="Arial"/>
          <w:bCs/>
          <w:i/>
          <w:color w:val="000000"/>
        </w:rPr>
        <w:t xml:space="preserve">, derivados de la resolución determinante de siete de febrero de dos mil diecinueve, en el procedimiento tramitado bajo el número </w:t>
      </w:r>
      <w:r w:rsidR="00F35DC2">
        <w:rPr>
          <w:rFonts w:ascii="Arial" w:hAnsi="Arial" w:cs="Arial"/>
          <w:b/>
          <w:i/>
          <w:color w:val="000000"/>
        </w:rPr>
        <w:t>*******</w:t>
      </w:r>
      <w:r>
        <w:rPr>
          <w:rFonts w:ascii="Arial" w:hAnsi="Arial" w:cs="Arial"/>
          <w:b/>
          <w:i/>
          <w:color w:val="000000"/>
        </w:rPr>
        <w:t xml:space="preserve">, </w:t>
      </w:r>
      <w:r>
        <w:rPr>
          <w:rFonts w:ascii="Arial" w:hAnsi="Arial" w:cs="Arial"/>
          <w:bCs/>
          <w:i/>
          <w:color w:val="000000"/>
        </w:rPr>
        <w:t>por el importe total a requerir de pago, conforme a dicho mandamiento de ejecución:</w:t>
      </w:r>
      <w:r w:rsidR="00071936">
        <w:rPr>
          <w:rFonts w:ascii="Arial" w:hAnsi="Arial" w:cs="Arial"/>
          <w:b/>
          <w:i/>
          <w:color w:val="000000"/>
        </w:rPr>
        <w:t>$*******</w:t>
      </w:r>
      <w:r>
        <w:rPr>
          <w:rFonts w:ascii="Arial" w:hAnsi="Arial" w:cs="Arial"/>
          <w:b/>
          <w:i/>
          <w:color w:val="000000"/>
        </w:rPr>
        <w:t>)</w:t>
      </w:r>
      <w:r>
        <w:rPr>
          <w:rFonts w:ascii="Arial" w:hAnsi="Arial" w:cs="Arial"/>
          <w:bCs/>
          <w:i/>
          <w:color w:val="000000"/>
        </w:rPr>
        <w:t xml:space="preserve">, derivado de la </w:t>
      </w:r>
      <w:r>
        <w:rPr>
          <w:rFonts w:ascii="Arial" w:hAnsi="Arial" w:cs="Arial"/>
          <w:i/>
          <w:color w:val="000000"/>
        </w:rPr>
        <w:t xml:space="preserve">multa por resarcimiento de daños, impuesta a los actores, </w:t>
      </w:r>
      <w:r>
        <w:rPr>
          <w:rFonts w:ascii="Arial" w:hAnsi="Arial" w:cs="Arial"/>
          <w:bCs/>
          <w:i/>
          <w:color w:val="000000"/>
        </w:rPr>
        <w:t>quienes</w:t>
      </w:r>
      <w:r>
        <w:rPr>
          <w:rFonts w:ascii="Arial" w:hAnsi="Arial" w:cs="Arial"/>
          <w:b/>
          <w:i/>
          <w:color w:val="000000"/>
        </w:rPr>
        <w:t xml:space="preserve"> </w:t>
      </w:r>
      <w:r>
        <w:rPr>
          <w:rFonts w:ascii="Arial" w:hAnsi="Arial" w:cs="Arial"/>
          <w:bCs/>
          <w:i/>
          <w:iCs/>
          <w:color w:val="000000"/>
        </w:rPr>
        <w:t xml:space="preserve">fungieron como Presidente Municipal, Síndico Municipal, Regidor de Hacienda y Tesorera Municipal del Ayuntamiento del Municipio de </w:t>
      </w:r>
      <w:r w:rsidR="00F35DC2">
        <w:rPr>
          <w:rFonts w:ascii="Arial" w:hAnsi="Arial" w:cs="Arial"/>
          <w:bCs/>
          <w:i/>
          <w:iCs/>
          <w:color w:val="000000"/>
        </w:rPr>
        <w:t>*******</w:t>
      </w:r>
      <w:r>
        <w:rPr>
          <w:rFonts w:ascii="Arial" w:hAnsi="Arial" w:cs="Arial"/>
          <w:bCs/>
          <w:i/>
          <w:iCs/>
          <w:color w:val="000000"/>
        </w:rPr>
        <w:t>, Oaxaca, respectivamente durante el periodo dos mil once a dos mil trece,</w:t>
      </w:r>
      <w:r>
        <w:rPr>
          <w:rFonts w:ascii="Arial" w:hAnsi="Arial" w:cs="Arial"/>
          <w:b/>
          <w:bCs/>
          <w:i/>
          <w:color w:val="000000"/>
        </w:rPr>
        <w:t>2)</w:t>
      </w:r>
      <w:r>
        <w:rPr>
          <w:rFonts w:ascii="Arial" w:hAnsi="Arial" w:cs="Arial"/>
          <w:bCs/>
          <w:i/>
          <w:color w:val="000000"/>
        </w:rPr>
        <w:t xml:space="preserve"> La falta de Convenio celebrado entre la Secretaría de Finanzas y el nuevo Órgano Superior de Fiscalización para el cobro de multas y sanciones derivadas de procedimientos resarcitorios, en el particular, derivada de la Ley de Fiscalización Superior para el Estado vigente a partir del 31 de agosto de 2013 hasta el 21 de septiembre de 2017; </w:t>
      </w:r>
      <w:r>
        <w:rPr>
          <w:rFonts w:ascii="Arial" w:hAnsi="Arial" w:cs="Arial"/>
          <w:i/>
          <w:color w:val="000000"/>
        </w:rPr>
        <w:t xml:space="preserve">y </w:t>
      </w:r>
      <w:r>
        <w:rPr>
          <w:rFonts w:ascii="Arial" w:hAnsi="Arial" w:cs="Arial"/>
          <w:b/>
          <w:i/>
          <w:color w:val="000000"/>
        </w:rPr>
        <w:t xml:space="preserve">3) </w:t>
      </w:r>
      <w:r>
        <w:rPr>
          <w:rFonts w:ascii="Arial" w:hAnsi="Arial" w:cs="Arial"/>
          <w:bCs/>
          <w:i/>
          <w:color w:val="000000"/>
        </w:rPr>
        <w:t xml:space="preserve">Las Diligencias de notificación y requerimiento de pago realizadas el veintinueve de septiembre de dos mil veintiuno; señalando como autoridades demandadas a </w:t>
      </w:r>
      <w:r>
        <w:rPr>
          <w:rFonts w:ascii="Arial" w:hAnsi="Arial" w:cs="Arial"/>
          <w:i/>
        </w:rPr>
        <w:t xml:space="preserve">la Coordinadora de Cobro Coactivo y Notificador-Ejecutor Dependiente de la Delegación Fiscal 29, Tuxtepec Zona, ambos dependientes de la Dirección de Ingresos de la Secretaría de Finanzas del Gobierno del Estado de Oaxaca; en consecuencia, fórmese expediente y regístrese su ingreso en el Libro de Gobierno que para tal efecto lleva esta Tercera Sala Unitaria con el número </w:t>
      </w:r>
      <w:r>
        <w:rPr>
          <w:rFonts w:ascii="Arial" w:hAnsi="Arial" w:cs="Arial"/>
          <w:b/>
          <w:bCs/>
          <w:i/>
        </w:rPr>
        <w:t>0108/2021.</w:t>
      </w:r>
    </w:p>
    <w:p w14:paraId="421B9588" w14:textId="7F791887" w:rsidR="0029796E" w:rsidRDefault="0029796E" w:rsidP="0029796E">
      <w:pPr>
        <w:pStyle w:val="Textoindependiente"/>
        <w:spacing w:line="360" w:lineRule="auto"/>
        <w:ind w:left="851" w:right="758" w:firstLine="565"/>
        <w:jc w:val="both"/>
        <w:rPr>
          <w:rFonts w:ascii="Arial" w:hAnsi="Arial" w:cs="Arial"/>
          <w:i/>
          <w:sz w:val="22"/>
          <w:szCs w:val="22"/>
        </w:rPr>
      </w:pPr>
      <w:r>
        <w:rPr>
          <w:rFonts w:ascii="Arial" w:hAnsi="Arial" w:cs="Arial"/>
          <w:i/>
          <w:sz w:val="22"/>
          <w:szCs w:val="22"/>
        </w:rPr>
        <w:t xml:space="preserve">De lo anterior, se </w:t>
      </w:r>
      <w:r>
        <w:rPr>
          <w:rFonts w:ascii="Arial" w:hAnsi="Arial" w:cs="Arial"/>
          <w:i/>
          <w:color w:val="000000"/>
          <w:sz w:val="22"/>
          <w:szCs w:val="22"/>
        </w:rPr>
        <w:t xml:space="preserve">advierte que los actos impugnados derivan de la resolución dictada el </w:t>
      </w:r>
      <w:r>
        <w:rPr>
          <w:rFonts w:ascii="Arial" w:hAnsi="Arial" w:cs="Arial"/>
          <w:bCs/>
          <w:i/>
          <w:color w:val="000000"/>
        </w:rPr>
        <w:t xml:space="preserve">siete </w:t>
      </w:r>
      <w:r>
        <w:rPr>
          <w:rFonts w:ascii="Arial" w:hAnsi="Arial" w:cs="Arial"/>
          <w:bCs/>
          <w:i/>
          <w:color w:val="000000"/>
          <w:sz w:val="22"/>
          <w:szCs w:val="22"/>
        </w:rPr>
        <w:t xml:space="preserve">de febrero de dos mil diecinueve, en el procedimiento tramitado bajo el número </w:t>
      </w:r>
      <w:r w:rsidR="00F35DC2">
        <w:rPr>
          <w:rFonts w:ascii="Arial" w:hAnsi="Arial" w:cs="Arial"/>
          <w:b/>
          <w:i/>
          <w:color w:val="000000"/>
          <w:sz w:val="22"/>
          <w:szCs w:val="22"/>
        </w:rPr>
        <w:t>*******</w:t>
      </w:r>
      <w:r>
        <w:rPr>
          <w:rFonts w:ascii="Arial" w:hAnsi="Arial" w:cs="Arial"/>
          <w:i/>
          <w:sz w:val="22"/>
          <w:szCs w:val="22"/>
        </w:rPr>
        <w:t xml:space="preserve">; por tanto, toda vez </w:t>
      </w:r>
      <w:r>
        <w:rPr>
          <w:rFonts w:ascii="Arial" w:hAnsi="Arial" w:cs="Arial"/>
          <w:i/>
          <w:sz w:val="22"/>
          <w:szCs w:val="22"/>
        </w:rPr>
        <w:lastRenderedPageBreak/>
        <w:t xml:space="preserve">que se trata de una sanción impuesta con motivo de rendición de cuentas, de conformidad con lo dispuesto en los artículos </w:t>
      </w:r>
      <w:r>
        <w:rPr>
          <w:rFonts w:ascii="Arial" w:eastAsia="Arial" w:hAnsi="Arial" w:cs="Arial"/>
          <w:sz w:val="22"/>
          <w:szCs w:val="22"/>
        </w:rPr>
        <w:t>158</w:t>
      </w:r>
      <w:r>
        <w:rPr>
          <w:rFonts w:ascii="Arial" w:eastAsia="Arial" w:hAnsi="Arial" w:cs="Arial"/>
          <w:sz w:val="22"/>
          <w:szCs w:val="22"/>
          <w:vertAlign w:val="superscript"/>
        </w:rPr>
        <w:footnoteReference w:id="9"/>
      </w:r>
      <w:r>
        <w:rPr>
          <w:rFonts w:ascii="Arial" w:eastAsia="Arial" w:hAnsi="Arial" w:cs="Arial"/>
          <w:sz w:val="22"/>
          <w:szCs w:val="22"/>
        </w:rPr>
        <w:t xml:space="preserve">, </w:t>
      </w:r>
      <w:r>
        <w:rPr>
          <w:rFonts w:ascii="Arial" w:hAnsi="Arial" w:cs="Arial"/>
          <w:i/>
          <w:sz w:val="22"/>
          <w:szCs w:val="22"/>
        </w:rPr>
        <w:t>161 fracción X</w:t>
      </w:r>
      <w:r>
        <w:rPr>
          <w:rFonts w:ascii="Arial" w:eastAsia="Arial" w:hAnsi="Arial" w:cs="Arial"/>
          <w:sz w:val="22"/>
          <w:szCs w:val="22"/>
          <w:vertAlign w:val="superscript"/>
        </w:rPr>
        <w:footnoteReference w:id="10"/>
      </w:r>
      <w:r>
        <w:rPr>
          <w:rFonts w:ascii="Arial" w:eastAsia="Arial" w:hAnsi="Arial" w:cs="Arial"/>
          <w:sz w:val="22"/>
          <w:szCs w:val="22"/>
        </w:rPr>
        <w:t xml:space="preserve"> </w:t>
      </w:r>
      <w:r>
        <w:rPr>
          <w:rFonts w:ascii="Arial" w:hAnsi="Arial" w:cs="Arial"/>
          <w:i/>
          <w:sz w:val="22"/>
          <w:szCs w:val="22"/>
        </w:rPr>
        <w:t>y 182 fracción I</w:t>
      </w:r>
      <w:r>
        <w:rPr>
          <w:rFonts w:ascii="Arial" w:eastAsia="Arial" w:hAnsi="Arial" w:cs="Arial"/>
          <w:sz w:val="22"/>
          <w:szCs w:val="22"/>
          <w:vertAlign w:val="superscript"/>
        </w:rPr>
        <w:footnoteReference w:id="11"/>
      </w:r>
      <w:r>
        <w:rPr>
          <w:rFonts w:ascii="Arial" w:eastAsia="Arial" w:hAnsi="Arial" w:cs="Arial"/>
          <w:sz w:val="22"/>
          <w:szCs w:val="22"/>
        </w:rPr>
        <w:t xml:space="preserve">, </w:t>
      </w:r>
      <w:r>
        <w:rPr>
          <w:rFonts w:ascii="Arial" w:hAnsi="Arial" w:cs="Arial"/>
          <w:i/>
          <w:sz w:val="22"/>
          <w:szCs w:val="22"/>
        </w:rPr>
        <w:t xml:space="preserve">de la Ley de Procedimiento y Justicia Administrativa para el Estado de Oaxaca, lo procedente es el juicio de inconformidad, del cual resulta competente para conocer y resolver la </w:t>
      </w:r>
      <w:r>
        <w:rPr>
          <w:rFonts w:ascii="Arial" w:hAnsi="Arial" w:cs="Arial"/>
          <w:b/>
          <w:i/>
          <w:sz w:val="22"/>
          <w:szCs w:val="22"/>
        </w:rPr>
        <w:t>Sala Superior del Tribunal de Justicia Administrativa de Estado</w:t>
      </w:r>
      <w:r>
        <w:rPr>
          <w:rFonts w:ascii="Arial" w:hAnsi="Arial" w:cs="Arial"/>
          <w:i/>
          <w:sz w:val="22"/>
          <w:szCs w:val="22"/>
        </w:rPr>
        <w:t>, conforme a lo previsto en el artículo 114 QUÁTER, apartado B), fracción I de la Constitución Política del Estado Libre y Soberano del Estado de Oaxaca, que establece:</w:t>
      </w:r>
    </w:p>
    <w:p w14:paraId="3744502F" w14:textId="77777777" w:rsidR="0029796E" w:rsidRDefault="0029796E" w:rsidP="0029796E">
      <w:pPr>
        <w:spacing w:before="120" w:after="0" w:line="240" w:lineRule="auto"/>
        <w:ind w:left="1418" w:right="1469"/>
        <w:jc w:val="both"/>
        <w:rPr>
          <w:rFonts w:ascii="Arial" w:hAnsi="Arial" w:cs="Arial"/>
          <w:i/>
          <w:sz w:val="20"/>
          <w:szCs w:val="20"/>
        </w:rPr>
      </w:pPr>
      <w:r>
        <w:rPr>
          <w:rFonts w:ascii="Arial" w:hAnsi="Arial" w:cs="Arial"/>
          <w:i/>
        </w:rPr>
        <w:t>“</w:t>
      </w:r>
      <w:r>
        <w:rPr>
          <w:rFonts w:ascii="Arial" w:hAnsi="Arial" w:cs="Arial"/>
          <w:i/>
          <w:sz w:val="20"/>
          <w:szCs w:val="20"/>
        </w:rPr>
        <w:t>Artículo 114 QUÁTER.- El Tribunal de Justicia Administrativa del Estado de Oaxaca, es la máxima autoridad jurisdiccional en materia de fiscalización, rendición de cuentas, responsabilidades de los servidores públicos, combate a la corrupción e impartición de Justicia Administrativa, estará dotado de plena autonomía para dictar sus fallos, establecer su organización, funcionamiento, procedimiento y su presupuesto.</w:t>
      </w:r>
    </w:p>
    <w:p w14:paraId="52C4E361" w14:textId="77777777" w:rsidR="0029796E" w:rsidRDefault="0029796E" w:rsidP="0029796E">
      <w:pPr>
        <w:spacing w:before="120" w:after="0" w:line="240" w:lineRule="auto"/>
        <w:ind w:left="1418" w:right="1469"/>
        <w:jc w:val="both"/>
        <w:rPr>
          <w:rFonts w:ascii="Arial" w:hAnsi="Arial" w:cs="Arial"/>
          <w:i/>
          <w:sz w:val="20"/>
          <w:szCs w:val="20"/>
        </w:rPr>
      </w:pPr>
      <w:r>
        <w:rPr>
          <w:rFonts w:ascii="Arial" w:hAnsi="Arial" w:cs="Arial"/>
          <w:i/>
          <w:sz w:val="20"/>
          <w:szCs w:val="20"/>
        </w:rPr>
        <w:t>B) La organización, administración, vigilancia y disciplina en este Tribunal se establecerá en los términos que disponga su Ley Orgánica y tendrá las siguientes atribuciones:</w:t>
      </w:r>
    </w:p>
    <w:p w14:paraId="6653E4F1" w14:textId="77777777" w:rsidR="0029796E" w:rsidRDefault="0029796E" w:rsidP="0029796E">
      <w:pPr>
        <w:spacing w:before="120" w:after="0" w:line="240" w:lineRule="auto"/>
        <w:ind w:left="1418" w:right="1469"/>
        <w:jc w:val="both"/>
        <w:rPr>
          <w:rFonts w:ascii="Arial" w:hAnsi="Arial" w:cs="Arial"/>
          <w:i/>
          <w:sz w:val="20"/>
          <w:szCs w:val="20"/>
        </w:rPr>
      </w:pPr>
      <w:r>
        <w:rPr>
          <w:rFonts w:ascii="Arial" w:hAnsi="Arial" w:cs="Arial"/>
          <w:i/>
          <w:sz w:val="20"/>
          <w:szCs w:val="20"/>
        </w:rPr>
        <w:t>I. Conocer y resolver mediante juicio las controversias suscitadas por resoluciones que emita el Órgano Superior de Fiscalización del Estado de Oaxaca;”</w:t>
      </w:r>
    </w:p>
    <w:p w14:paraId="3B82D030" w14:textId="77777777" w:rsidR="0029796E" w:rsidRDefault="0029796E" w:rsidP="0029796E">
      <w:pPr>
        <w:spacing w:before="120" w:after="0" w:line="240" w:lineRule="auto"/>
        <w:ind w:left="1418" w:right="1469"/>
        <w:jc w:val="both"/>
        <w:rPr>
          <w:rFonts w:ascii="Arial" w:hAnsi="Arial" w:cs="Arial"/>
          <w:i/>
          <w:sz w:val="20"/>
          <w:szCs w:val="20"/>
        </w:rPr>
      </w:pPr>
    </w:p>
    <w:p w14:paraId="247984BA" w14:textId="129F6FEF" w:rsidR="0029796E" w:rsidRDefault="0029796E" w:rsidP="0029796E">
      <w:pPr>
        <w:spacing w:before="120" w:after="0" w:line="360" w:lineRule="auto"/>
        <w:ind w:left="851" w:right="760" w:firstLine="565"/>
        <w:jc w:val="both"/>
        <w:rPr>
          <w:rFonts w:ascii="Arial" w:hAnsi="Arial" w:cs="Arial"/>
          <w:i/>
        </w:rPr>
      </w:pPr>
      <w:r>
        <w:rPr>
          <w:rFonts w:ascii="Arial" w:hAnsi="Arial" w:cs="Arial"/>
          <w:i/>
        </w:rPr>
        <w:t>Esto es así, porque el presente asunto debe conocerse como una unidad indivisible, por ser actos con coherencia interna, por lo que no es factible separarlos para su estudio, porque l</w:t>
      </w:r>
      <w:r>
        <w:rPr>
          <w:rFonts w:ascii="Arial" w:hAnsi="Arial" w:cs="Arial"/>
          <w:bCs/>
          <w:i/>
          <w:color w:val="000000"/>
        </w:rPr>
        <w:t xml:space="preserve">os mandamientos de ejecución número </w:t>
      </w:r>
      <w:r w:rsidR="00F35DC2">
        <w:rPr>
          <w:rFonts w:ascii="Arial" w:hAnsi="Arial" w:cs="Arial"/>
          <w:bCs/>
          <w:i/>
          <w:color w:val="000000"/>
        </w:rPr>
        <w:t>*******</w:t>
      </w:r>
      <w:r>
        <w:rPr>
          <w:rFonts w:ascii="Arial" w:hAnsi="Arial" w:cs="Arial"/>
          <w:bCs/>
          <w:i/>
          <w:color w:val="000000"/>
        </w:rPr>
        <w:t xml:space="preserve"> de veinticuatro de junio de</w:t>
      </w:r>
      <w:r w:rsidR="00FE2337">
        <w:rPr>
          <w:rFonts w:ascii="Arial" w:hAnsi="Arial" w:cs="Arial"/>
          <w:bCs/>
          <w:i/>
          <w:color w:val="000000"/>
        </w:rPr>
        <w:t xml:space="preserve"> dos mil veintiuno</w:t>
      </w:r>
      <w:r>
        <w:rPr>
          <w:rFonts w:ascii="Arial" w:hAnsi="Arial" w:cs="Arial"/>
          <w:bCs/>
          <w:i/>
          <w:color w:val="000000"/>
        </w:rPr>
        <w:t xml:space="preserve">, que contiene el crédito fiscal </w:t>
      </w:r>
      <w:r w:rsidR="00071936">
        <w:rPr>
          <w:rFonts w:ascii="Arial" w:hAnsi="Arial" w:cs="Arial"/>
          <w:bCs/>
          <w:i/>
          <w:color w:val="000000"/>
        </w:rPr>
        <w:t>*******</w:t>
      </w:r>
      <w:bookmarkStart w:id="0" w:name="_GoBack"/>
      <w:bookmarkEnd w:id="0"/>
      <w:r>
        <w:rPr>
          <w:rFonts w:ascii="Arial" w:hAnsi="Arial" w:cs="Arial"/>
          <w:bCs/>
          <w:i/>
          <w:color w:val="000000"/>
        </w:rPr>
        <w:t xml:space="preserve"> y las diligencias de notificación y requerimiento de pago realizadas el veintinueve de septiembre de dos mil veintiuno</w:t>
      </w:r>
      <w:r>
        <w:rPr>
          <w:rFonts w:ascii="Arial" w:hAnsi="Arial" w:cs="Arial"/>
          <w:i/>
          <w:color w:val="000000"/>
        </w:rPr>
        <w:t xml:space="preserve">, están vinculados a la resolución dictada el siete de febrero de dos mil diecinueve por el Órgano Superior de Fiscalización del Estado de Oaxaca, en el expediente </w:t>
      </w:r>
      <w:r w:rsidR="00F35DC2">
        <w:rPr>
          <w:rFonts w:ascii="Arial" w:hAnsi="Arial" w:cs="Arial"/>
          <w:i/>
          <w:color w:val="000000"/>
        </w:rPr>
        <w:t>*******</w:t>
      </w:r>
      <w:r>
        <w:rPr>
          <w:rFonts w:ascii="Arial" w:hAnsi="Arial" w:cs="Arial"/>
          <w:i/>
          <w:color w:val="000000"/>
        </w:rPr>
        <w:t xml:space="preserve">, en la cual se impone a los actores una multa por resarcimiento de daños, por lo que de resolverse por separado, se podrían originar dos resoluciones que podrían ser diferentes, contraviniendo el principio de continencia de la causa, que debe regir toda resolución, tal y como lo establece el artículo 31 del Código de Procedimientos Civiles para el Estado de Oaxaca, el cual es aplicado supletoriamente, criterio que también es sustentado por la Suprema Corte de Justicia de la Nación, en las Jurisprudencias con datos de identificación: </w:t>
      </w:r>
    </w:p>
    <w:p w14:paraId="64E58B64" w14:textId="77777777" w:rsidR="0029796E" w:rsidRDefault="0029796E" w:rsidP="0029796E">
      <w:pPr>
        <w:spacing w:before="120" w:after="0" w:line="360" w:lineRule="auto"/>
        <w:ind w:left="851" w:right="760" w:firstLine="565"/>
        <w:jc w:val="both"/>
        <w:rPr>
          <w:rFonts w:ascii="Arial" w:hAnsi="Arial" w:cs="Arial"/>
          <w:b/>
          <w:bCs/>
          <w:i/>
          <w:color w:val="212529"/>
          <w:shd w:val="clear" w:color="auto" w:fill="FFFFFF"/>
        </w:rPr>
      </w:pPr>
      <w:r>
        <w:rPr>
          <w:rFonts w:ascii="Arial" w:hAnsi="Arial" w:cs="Arial"/>
          <w:i/>
        </w:rPr>
        <w:t xml:space="preserve">Semanario Judicial de la Federación y su Gaceta, Tomo XXV, mayo de 2007, Novena Época, página mil novecientos veinticinco, </w:t>
      </w:r>
      <w:r>
        <w:rPr>
          <w:rFonts w:ascii="Arial" w:hAnsi="Arial" w:cs="Arial"/>
          <w:i/>
        </w:rPr>
        <w:lastRenderedPageBreak/>
        <w:t xml:space="preserve">registro 172318, </w:t>
      </w:r>
      <w:r>
        <w:rPr>
          <w:rFonts w:ascii="Arial" w:hAnsi="Arial" w:cs="Arial"/>
          <w:b/>
          <w:bCs/>
          <w:i/>
          <w:color w:val="212529"/>
          <w:shd w:val="clear" w:color="auto" w:fill="FFFFFF"/>
        </w:rPr>
        <w:t>“SENTENCIA RECLAMADA EN EL JUICIO DE AMPARO INDIRECTO QUE CONTIENE CONDENA EN COSTAS. EL PRINCIPIO DE CONTINENCIA DE LA CAUSA OBLIGA AL JUZGADOR A ESTUDIAR LA RESOLUCIÓN EN SU INTEGRIDAD, AUNQUE DESCANSE EN ACTOS QUE POR SÍ SOLOS NO SEAN DE EJECUCIÓN IRREPARABLE. “</w:t>
      </w:r>
    </w:p>
    <w:p w14:paraId="55216188" w14:textId="77777777" w:rsidR="0029796E" w:rsidRDefault="0029796E" w:rsidP="0029796E">
      <w:pPr>
        <w:spacing w:before="120" w:after="0" w:line="360" w:lineRule="auto"/>
        <w:ind w:left="851" w:right="758" w:firstLine="565"/>
        <w:jc w:val="both"/>
        <w:rPr>
          <w:rFonts w:ascii="Arial" w:hAnsi="Arial" w:cs="Arial"/>
          <w:b/>
          <w:bCs/>
          <w:i/>
          <w:color w:val="212529"/>
        </w:rPr>
      </w:pPr>
      <w:r>
        <w:rPr>
          <w:rFonts w:ascii="Arial" w:hAnsi="Arial" w:cs="Arial"/>
          <w:i/>
        </w:rPr>
        <w:t xml:space="preserve">Jurisprudencia con número de registro 160967, Semanario Judicial de la Federación y su Gaceta, Libro I, octubre de 2011, Tomo III, Décima Época, página mil cuatrocientos doce, Tribunales Colegiados de Circuito: </w:t>
      </w:r>
      <w:r>
        <w:rPr>
          <w:rFonts w:ascii="Arial" w:hAnsi="Arial" w:cs="Arial"/>
          <w:b/>
          <w:bCs/>
          <w:i/>
          <w:color w:val="212529"/>
        </w:rPr>
        <w:t>ACTO RECLAMADO EN EL JUICIO DE AMPARO INDIRECTO. EL PRINCIPIO DE CONTINENCIA DE LA CAUSA OBLIGA AL JUZGADOR A ESTUDIAR TODOS SUS COMPONENTES, AUNQUE ALGUNOS NO SEAN DE EJECUCIÓN IRREPARABLE. “</w:t>
      </w:r>
    </w:p>
    <w:p w14:paraId="7CA76EF3" w14:textId="48D8A91A" w:rsidR="0029796E" w:rsidRDefault="0029796E" w:rsidP="0029796E">
      <w:pPr>
        <w:spacing w:before="120" w:after="0" w:line="360" w:lineRule="auto"/>
        <w:ind w:left="851" w:right="758" w:firstLine="565"/>
        <w:jc w:val="both"/>
        <w:rPr>
          <w:rFonts w:ascii="Arial" w:eastAsia="Times New Roman" w:hAnsi="Arial" w:cs="Arial"/>
          <w:b/>
          <w:bCs/>
          <w:i/>
          <w:color w:val="212529"/>
        </w:rPr>
      </w:pPr>
      <w:r>
        <w:rPr>
          <w:rFonts w:ascii="Arial" w:hAnsi="Arial" w:cs="Arial"/>
          <w:i/>
        </w:rPr>
        <w:t xml:space="preserve">Tesis Aislada de número de registro 213106 emitida por los Tribunales Colegiados de Circuito, publicada en el Semanario Judicial de la Federación y su Gaceta, en la Octava Época, Tomo XIII, Marzo de 1994, página 353, Materia Común, </w:t>
      </w:r>
      <w:r>
        <w:rPr>
          <w:rFonts w:ascii="Arial" w:eastAsia="Times New Roman" w:hAnsi="Arial" w:cs="Arial"/>
          <w:bCs/>
          <w:i/>
          <w:color w:val="212529"/>
        </w:rPr>
        <w:t>“</w:t>
      </w:r>
      <w:r>
        <w:rPr>
          <w:rFonts w:ascii="Arial" w:eastAsia="Times New Roman" w:hAnsi="Arial" w:cs="Arial"/>
          <w:b/>
          <w:bCs/>
          <w:i/>
          <w:color w:val="212529"/>
        </w:rPr>
        <w:t xml:space="preserve">DEMANDA DE AMPARO. EL PRINCIPIO DE SU INDIVISIBILIDAD NO ES UNA </w:t>
      </w:r>
      <w:r w:rsidR="00DE3F05">
        <w:rPr>
          <w:rFonts w:ascii="Arial" w:eastAsia="Times New Roman" w:hAnsi="Arial" w:cs="Arial"/>
          <w:b/>
          <w:bCs/>
          <w:i/>
          <w:color w:val="212529"/>
        </w:rPr>
        <w:t>INTERPRETACIÓN</w:t>
      </w:r>
      <w:r>
        <w:rPr>
          <w:rFonts w:ascii="Arial" w:eastAsia="Times New Roman" w:hAnsi="Arial" w:cs="Arial"/>
          <w:b/>
          <w:bCs/>
          <w:i/>
          <w:color w:val="212529"/>
        </w:rPr>
        <w:t xml:space="preserve"> </w:t>
      </w:r>
      <w:proofErr w:type="spellStart"/>
      <w:r>
        <w:rPr>
          <w:rFonts w:ascii="Arial" w:eastAsia="Times New Roman" w:hAnsi="Arial" w:cs="Arial"/>
          <w:b/>
          <w:bCs/>
          <w:i/>
          <w:color w:val="212529"/>
        </w:rPr>
        <w:t>RIGIDA</w:t>
      </w:r>
      <w:proofErr w:type="spellEnd"/>
      <w:r>
        <w:rPr>
          <w:rFonts w:ascii="Arial" w:eastAsia="Times New Roman" w:hAnsi="Arial" w:cs="Arial"/>
          <w:b/>
          <w:bCs/>
          <w:i/>
          <w:color w:val="212529"/>
        </w:rPr>
        <w:t xml:space="preserve"> QUE PUEDA TOMARSE COMO REGLA GENERAL.”</w:t>
      </w:r>
    </w:p>
    <w:p w14:paraId="3E586A98" w14:textId="71778F28" w:rsidR="0029796E" w:rsidRDefault="0029796E" w:rsidP="0029796E">
      <w:pPr>
        <w:spacing w:line="360" w:lineRule="auto"/>
        <w:ind w:left="851" w:right="758" w:firstLine="565"/>
        <w:jc w:val="both"/>
        <w:rPr>
          <w:rFonts w:ascii="Arial" w:hAnsi="Arial" w:cs="Arial"/>
          <w:i/>
        </w:rPr>
      </w:pPr>
      <w:r>
        <w:rPr>
          <w:rFonts w:ascii="Arial" w:hAnsi="Arial" w:cs="Arial"/>
          <w:i/>
        </w:rPr>
        <w:t xml:space="preserve">En esas condiciones y para evitar mayores dilaciones que transgredan los derechos de los administrados, esta Sala Unitaria </w:t>
      </w:r>
      <w:r>
        <w:rPr>
          <w:rFonts w:ascii="Arial" w:hAnsi="Arial" w:cs="Arial"/>
          <w:b/>
          <w:i/>
        </w:rPr>
        <w:t>se declara incompetente</w:t>
      </w:r>
      <w:r>
        <w:rPr>
          <w:rFonts w:ascii="Arial" w:hAnsi="Arial" w:cs="Arial"/>
          <w:i/>
        </w:rPr>
        <w:t xml:space="preserve"> para conocer de los actos impugnados, consistente en l</w:t>
      </w:r>
      <w:r>
        <w:rPr>
          <w:rFonts w:ascii="Arial" w:hAnsi="Arial" w:cs="Arial"/>
          <w:bCs/>
          <w:i/>
          <w:color w:val="000000"/>
        </w:rPr>
        <w:t xml:space="preserve">os mandamientos de ejecución número </w:t>
      </w:r>
      <w:r w:rsidR="00F35DC2">
        <w:rPr>
          <w:rFonts w:ascii="Arial" w:hAnsi="Arial" w:cs="Arial"/>
          <w:bCs/>
          <w:i/>
          <w:color w:val="000000"/>
        </w:rPr>
        <w:t>*******</w:t>
      </w:r>
      <w:r>
        <w:rPr>
          <w:rFonts w:ascii="Arial" w:hAnsi="Arial" w:cs="Arial"/>
          <w:bCs/>
          <w:i/>
          <w:color w:val="000000"/>
        </w:rPr>
        <w:t xml:space="preserve"> de veinticuatro de junio de </w:t>
      </w:r>
      <w:r w:rsidR="00D2156E">
        <w:rPr>
          <w:rFonts w:ascii="Arial" w:hAnsi="Arial" w:cs="Arial"/>
          <w:bCs/>
          <w:i/>
          <w:color w:val="000000"/>
        </w:rPr>
        <w:t>dos mil veintiuno</w:t>
      </w:r>
      <w:r>
        <w:rPr>
          <w:rFonts w:ascii="Arial" w:hAnsi="Arial" w:cs="Arial"/>
          <w:bCs/>
          <w:i/>
          <w:color w:val="000000"/>
        </w:rPr>
        <w:t xml:space="preserve">, que contiene el crédito fiscal </w:t>
      </w:r>
      <w:r w:rsidR="00F35DC2">
        <w:rPr>
          <w:rFonts w:ascii="Arial" w:hAnsi="Arial" w:cs="Arial"/>
          <w:bCs/>
          <w:i/>
          <w:color w:val="000000"/>
        </w:rPr>
        <w:t>*******</w:t>
      </w:r>
      <w:r>
        <w:rPr>
          <w:rFonts w:ascii="Arial" w:hAnsi="Arial" w:cs="Arial"/>
          <w:bCs/>
          <w:i/>
          <w:color w:val="000000"/>
        </w:rPr>
        <w:t xml:space="preserve">, derivados de la resolución determinante de siete de febrero de dos mil diecinueve, dictada en el procedimiento tramitado bajo el número </w:t>
      </w:r>
      <w:r w:rsidR="00F35DC2">
        <w:rPr>
          <w:rFonts w:ascii="Arial" w:hAnsi="Arial" w:cs="Arial"/>
          <w:i/>
          <w:color w:val="000000"/>
        </w:rPr>
        <w:t>*******</w:t>
      </w:r>
      <w:r>
        <w:rPr>
          <w:rFonts w:ascii="Arial" w:hAnsi="Arial" w:cs="Arial"/>
          <w:i/>
          <w:color w:val="000000"/>
        </w:rPr>
        <w:t>, en la cual se impone a los actores una multa por resarcimiento de daños, así como l</w:t>
      </w:r>
      <w:r>
        <w:rPr>
          <w:rFonts w:ascii="Arial" w:hAnsi="Arial" w:cs="Arial"/>
          <w:bCs/>
          <w:i/>
          <w:color w:val="000000"/>
        </w:rPr>
        <w:t>as diligencias de notificación y requerimiento de pago realizadas el veintinueve de septiembre de dos mil veintiuno.</w:t>
      </w:r>
    </w:p>
    <w:p w14:paraId="60FE2F0B" w14:textId="099680CF" w:rsidR="0029796E" w:rsidRDefault="0029796E" w:rsidP="0029796E">
      <w:pPr>
        <w:spacing w:line="360" w:lineRule="auto"/>
        <w:ind w:left="851" w:right="758" w:firstLine="565"/>
        <w:jc w:val="both"/>
        <w:rPr>
          <w:rFonts w:ascii="Arial" w:hAnsi="Arial" w:cs="Arial"/>
          <w:i/>
        </w:rPr>
      </w:pPr>
      <w:r>
        <w:rPr>
          <w:rFonts w:ascii="Arial" w:hAnsi="Arial" w:cs="Arial"/>
          <w:i/>
        </w:rPr>
        <w:t xml:space="preserve"> Sin que sea óbice lo anterior, a fin de privilegiar la tutela judicial efectiva, procede reencausar la demanda presentada por </w:t>
      </w:r>
      <w:r w:rsidR="00071936">
        <w:rPr>
          <w:rFonts w:ascii="Arial" w:hAnsi="Arial" w:cs="Arial"/>
          <w:b/>
          <w:i/>
        </w:rPr>
        <w:t>*******</w:t>
      </w:r>
      <w:r>
        <w:rPr>
          <w:rFonts w:ascii="Arial" w:hAnsi="Arial" w:cs="Arial"/>
          <w:i/>
        </w:rPr>
        <w:t xml:space="preserve">, para regularizar su trámite ante la Sala Superior de este Tribunal de Justicia Administrativa y no vedar su derecho de acceso a la justicia que prevé el artículo 17 de la Constitución Política de los Estados Unidos Mexicanos, a través de la instancia competente para dirimir su controversia con el Órgano Superior de Fiscalización del Estado de Oaxaca; en consecuencia, esta Tercera Sala Unitaria de Primera Instancia </w:t>
      </w:r>
      <w:r>
        <w:rPr>
          <w:rFonts w:ascii="Arial" w:hAnsi="Arial" w:cs="Arial"/>
          <w:b/>
          <w:i/>
        </w:rPr>
        <w:t>ordena remitir el original de la demanda con sus anexos a la Secretaría General de Acuerdos de este Tribunal</w:t>
      </w:r>
      <w:r>
        <w:rPr>
          <w:rFonts w:ascii="Arial" w:hAnsi="Arial" w:cs="Arial"/>
          <w:i/>
        </w:rPr>
        <w:t xml:space="preserve">, a fin de que proceda a instaurar el juicio de inconformidad correspondiente, por ser la vía idónea para conocer y dirimir la </w:t>
      </w:r>
      <w:r>
        <w:rPr>
          <w:rFonts w:ascii="Arial" w:hAnsi="Arial" w:cs="Arial"/>
          <w:i/>
        </w:rPr>
        <w:lastRenderedPageBreak/>
        <w:t>legalidad de l</w:t>
      </w:r>
      <w:r>
        <w:rPr>
          <w:rFonts w:ascii="Arial" w:hAnsi="Arial" w:cs="Arial"/>
          <w:bCs/>
          <w:i/>
          <w:color w:val="000000"/>
        </w:rPr>
        <w:t xml:space="preserve">os mandamientos de ejecución número </w:t>
      </w:r>
      <w:r w:rsidR="00F35DC2">
        <w:rPr>
          <w:rFonts w:ascii="Arial" w:hAnsi="Arial" w:cs="Arial"/>
          <w:bCs/>
          <w:i/>
          <w:color w:val="000000"/>
        </w:rPr>
        <w:t>*******</w:t>
      </w:r>
      <w:r>
        <w:rPr>
          <w:rFonts w:ascii="Arial" w:hAnsi="Arial" w:cs="Arial"/>
          <w:bCs/>
          <w:i/>
          <w:color w:val="000000"/>
        </w:rPr>
        <w:t xml:space="preserve"> de veinticuatro de junio de dos mil veintiuno, que contiene el crédito fiscal </w:t>
      </w:r>
      <w:r w:rsidR="00F35DC2">
        <w:rPr>
          <w:rFonts w:ascii="Arial" w:hAnsi="Arial" w:cs="Arial"/>
          <w:bCs/>
          <w:i/>
          <w:color w:val="000000"/>
        </w:rPr>
        <w:t>*******</w:t>
      </w:r>
      <w:r>
        <w:rPr>
          <w:rFonts w:ascii="Arial" w:hAnsi="Arial" w:cs="Arial"/>
          <w:bCs/>
          <w:i/>
          <w:color w:val="000000"/>
        </w:rPr>
        <w:t xml:space="preserve">, derivados de la resolución determinante de siete de febrero de dos mil diecinueve, dictada por la entonces Auditoría Superior del Estado, ahora Órgano Superior de Fiscalización del Estado de Oaxaca, en el procedimiento tramitado bajo el número </w:t>
      </w:r>
      <w:r w:rsidR="00F35DC2">
        <w:rPr>
          <w:rFonts w:ascii="Arial" w:hAnsi="Arial" w:cs="Arial"/>
          <w:i/>
          <w:color w:val="000000"/>
        </w:rPr>
        <w:t>*******</w:t>
      </w:r>
      <w:r>
        <w:rPr>
          <w:rFonts w:ascii="Arial" w:hAnsi="Arial" w:cs="Arial"/>
          <w:i/>
          <w:color w:val="000000"/>
        </w:rPr>
        <w:t>, en la cual se impone a los actores una multa por resarcimiento de daños, así como de l</w:t>
      </w:r>
      <w:r>
        <w:rPr>
          <w:rFonts w:ascii="Arial" w:hAnsi="Arial" w:cs="Arial"/>
          <w:bCs/>
          <w:i/>
          <w:color w:val="000000"/>
        </w:rPr>
        <w:t>as diligencias de notificación y requerimiento de pago realizadas el veintinueve de septiembre de dos mil veintiuno.</w:t>
      </w:r>
    </w:p>
    <w:p w14:paraId="125FB36F" w14:textId="1A849C36" w:rsidR="0029796E" w:rsidRDefault="0029796E" w:rsidP="0029796E">
      <w:pPr>
        <w:spacing w:line="360" w:lineRule="auto"/>
        <w:ind w:left="709" w:right="758" w:firstLine="707"/>
        <w:jc w:val="both"/>
        <w:rPr>
          <w:rFonts w:ascii="Arial" w:hAnsi="Arial" w:cs="Arial"/>
          <w:i/>
        </w:rPr>
      </w:pPr>
      <w:r>
        <w:rPr>
          <w:rFonts w:ascii="Arial" w:hAnsi="Arial" w:cs="Arial"/>
          <w:i/>
        </w:rPr>
        <w:t xml:space="preserve">Finalmente, se tiene por autorizado el domicilio que indican </w:t>
      </w:r>
      <w:r w:rsidR="00071936">
        <w:rPr>
          <w:rFonts w:ascii="Arial" w:hAnsi="Arial" w:cs="Arial"/>
          <w:b/>
          <w:i/>
        </w:rPr>
        <w:t>*******</w:t>
      </w:r>
      <w:r>
        <w:rPr>
          <w:rFonts w:ascii="Arial" w:hAnsi="Arial" w:cs="Arial"/>
          <w:b/>
          <w:i/>
        </w:rPr>
        <w:t>,</w:t>
      </w:r>
      <w:r>
        <w:rPr>
          <w:rFonts w:ascii="Arial" w:hAnsi="Arial" w:cs="Arial"/>
          <w:i/>
        </w:rPr>
        <w:t xml:space="preserve"> en su escrito de demanda, para oír y recibir notificaciones y para tales efectos a las personas que menciona en su escrito de demanda.</w:t>
      </w:r>
    </w:p>
    <w:p w14:paraId="7C735527" w14:textId="77777777" w:rsidR="0029796E" w:rsidRDefault="0029796E" w:rsidP="0029796E">
      <w:pPr>
        <w:spacing w:line="360" w:lineRule="auto"/>
        <w:ind w:left="709" w:right="758" w:firstLine="707"/>
        <w:jc w:val="both"/>
        <w:rPr>
          <w:rFonts w:ascii="Arial" w:hAnsi="Arial" w:cs="Arial"/>
          <w:i/>
        </w:rPr>
      </w:pPr>
      <w:r>
        <w:rPr>
          <w:rFonts w:ascii="Arial" w:hAnsi="Arial" w:cs="Arial"/>
          <w:b/>
          <w:i/>
        </w:rPr>
        <w:t>Notifíquese</w:t>
      </w:r>
      <w:r>
        <w:rPr>
          <w:rFonts w:ascii="Arial" w:hAnsi="Arial" w:cs="Arial"/>
          <w:i/>
        </w:rPr>
        <w:t xml:space="preserve"> personalmente a los </w:t>
      </w:r>
      <w:proofErr w:type="spellStart"/>
      <w:r>
        <w:rPr>
          <w:rFonts w:ascii="Arial" w:hAnsi="Arial" w:cs="Arial"/>
          <w:i/>
        </w:rPr>
        <w:t>promoventes</w:t>
      </w:r>
      <w:proofErr w:type="spellEnd"/>
      <w:r>
        <w:rPr>
          <w:rFonts w:ascii="Arial" w:hAnsi="Arial" w:cs="Arial"/>
          <w:i/>
        </w:rPr>
        <w:t xml:space="preserve"> en el domicilio que señalaron en su escrito de demanda, lo anterior en términos de los artículos 172, fracción I y 173 de la Ley de Procedimiento y Justicia Administrativa para el Estado de Oaxaca. Cúmplase.”</w:t>
      </w:r>
    </w:p>
    <w:p w14:paraId="6F96C355" w14:textId="77777777" w:rsidR="0029796E" w:rsidRDefault="0029796E" w:rsidP="0029796E">
      <w:pPr>
        <w:spacing w:after="240" w:line="360" w:lineRule="auto"/>
        <w:jc w:val="both"/>
        <w:rPr>
          <w:rFonts w:ascii="Arial" w:eastAsia="Calibri" w:hAnsi="Arial" w:cs="Arial"/>
          <w:sz w:val="26"/>
          <w:szCs w:val="26"/>
        </w:rPr>
      </w:pPr>
      <w:r>
        <w:rPr>
          <w:rFonts w:ascii="Arial" w:eastAsia="Calibri" w:hAnsi="Arial" w:cs="Arial"/>
          <w:sz w:val="26"/>
          <w:szCs w:val="26"/>
        </w:rPr>
        <w:t xml:space="preserve">   </w:t>
      </w:r>
      <w:r>
        <w:rPr>
          <w:rFonts w:ascii="Arial" w:eastAsia="Calibri" w:hAnsi="Arial" w:cs="Arial"/>
          <w:sz w:val="26"/>
          <w:szCs w:val="26"/>
        </w:rPr>
        <w:tab/>
        <w:t xml:space="preserve">Consecuentemente, con fundamento en los artículos 236 y 238 de la Ley de Procedimiento y Justicia Administrativa para el Estado de Oaxaca, se - - - - - - - - - - - - - - - - - - - - - - - - - - - - - - - - - - - - - - - - - - - </w:t>
      </w:r>
    </w:p>
    <w:p w14:paraId="05D091FD" w14:textId="0D2C7D64" w:rsidR="0029796E" w:rsidRDefault="0029796E" w:rsidP="007D3105">
      <w:pPr>
        <w:spacing w:after="240" w:line="360" w:lineRule="auto"/>
        <w:jc w:val="center"/>
        <w:rPr>
          <w:rFonts w:ascii="Arial" w:eastAsia="Calibri" w:hAnsi="Arial" w:cs="Arial"/>
          <w:bCs/>
          <w:sz w:val="26"/>
          <w:szCs w:val="26"/>
        </w:rPr>
      </w:pPr>
      <w:r>
        <w:rPr>
          <w:rFonts w:ascii="Arial" w:eastAsia="Calibri" w:hAnsi="Arial" w:cs="Arial"/>
          <w:b/>
          <w:sz w:val="26"/>
          <w:szCs w:val="26"/>
        </w:rPr>
        <w:t>R E S U E L V E</w:t>
      </w:r>
    </w:p>
    <w:p w14:paraId="2D7D3F00" w14:textId="77777777" w:rsidR="0029796E" w:rsidRDefault="0029796E" w:rsidP="0029796E">
      <w:pPr>
        <w:spacing w:after="120" w:line="360" w:lineRule="auto"/>
        <w:jc w:val="both"/>
        <w:rPr>
          <w:rFonts w:ascii="Arial" w:eastAsia="Calibri" w:hAnsi="Arial" w:cs="Arial"/>
          <w:sz w:val="26"/>
          <w:szCs w:val="26"/>
        </w:rPr>
      </w:pPr>
      <w:r>
        <w:rPr>
          <w:rFonts w:ascii="Arial" w:eastAsia="Calibri" w:hAnsi="Arial" w:cs="Arial"/>
          <w:sz w:val="26"/>
          <w:szCs w:val="26"/>
        </w:rPr>
        <w:t xml:space="preserve"> </w:t>
      </w:r>
      <w:r>
        <w:rPr>
          <w:rFonts w:ascii="Arial" w:eastAsia="Calibri" w:hAnsi="Arial" w:cs="Arial"/>
          <w:sz w:val="26"/>
          <w:szCs w:val="26"/>
        </w:rPr>
        <w:tab/>
      </w:r>
      <w:r>
        <w:rPr>
          <w:rFonts w:ascii="Arial" w:eastAsia="Calibri" w:hAnsi="Arial" w:cs="Arial"/>
          <w:b/>
          <w:sz w:val="26"/>
          <w:szCs w:val="26"/>
        </w:rPr>
        <w:t>PRIMERO</w:t>
      </w:r>
      <w:r>
        <w:rPr>
          <w:rFonts w:ascii="Arial" w:eastAsia="Calibri" w:hAnsi="Arial" w:cs="Arial"/>
          <w:sz w:val="26"/>
          <w:szCs w:val="26"/>
        </w:rPr>
        <w:t>. Se</w:t>
      </w:r>
      <w:r>
        <w:rPr>
          <w:rFonts w:ascii="Arial" w:eastAsia="Calibri" w:hAnsi="Arial" w:cs="Arial"/>
          <w:b/>
          <w:sz w:val="26"/>
          <w:szCs w:val="26"/>
        </w:rPr>
        <w:t xml:space="preserve"> REVOCA </w:t>
      </w:r>
      <w:r>
        <w:rPr>
          <w:rFonts w:ascii="Arial" w:eastAsia="Calibri" w:hAnsi="Arial" w:cs="Arial"/>
          <w:sz w:val="26"/>
          <w:szCs w:val="26"/>
        </w:rPr>
        <w:t xml:space="preserve">el acuerdo de dieciocho de octubre de dos mil veintiuno y se dicta un nuevo en términos de lo dispuesto en el considerando tercero de esta resolución. - - - - - - - - - - - - - - - - - - - - - - </w:t>
      </w:r>
    </w:p>
    <w:p w14:paraId="38E69D4C" w14:textId="77777777" w:rsidR="0029796E" w:rsidRDefault="0029796E" w:rsidP="0029796E">
      <w:pPr>
        <w:spacing w:after="120" w:line="360" w:lineRule="auto"/>
        <w:ind w:firstLine="708"/>
        <w:jc w:val="both"/>
        <w:rPr>
          <w:rFonts w:ascii="Arial" w:hAnsi="Arial" w:cs="Arial"/>
          <w:sz w:val="26"/>
          <w:szCs w:val="26"/>
        </w:rPr>
      </w:pPr>
      <w:r>
        <w:rPr>
          <w:rFonts w:ascii="Arial" w:hAnsi="Arial" w:cs="Arial"/>
          <w:b/>
          <w:sz w:val="26"/>
          <w:szCs w:val="26"/>
        </w:rPr>
        <w:t>SEGUNDO</w:t>
      </w:r>
      <w:r>
        <w:rPr>
          <w:rFonts w:ascii="Arial" w:hAnsi="Arial" w:cs="Arial"/>
          <w:sz w:val="26"/>
          <w:szCs w:val="26"/>
        </w:rPr>
        <w:t>.</w:t>
      </w:r>
      <w:r>
        <w:rPr>
          <w:rFonts w:ascii="Arial" w:hAnsi="Arial" w:cs="Arial"/>
          <w:b/>
          <w:sz w:val="26"/>
          <w:szCs w:val="26"/>
        </w:rPr>
        <w:t xml:space="preserve"> NOTIFÍQUESE y CÚMPLASE,</w:t>
      </w:r>
      <w:r>
        <w:rPr>
          <w:rFonts w:ascii="Arial" w:hAnsi="Arial" w:cs="Arial"/>
          <w:sz w:val="26"/>
          <w:szCs w:val="26"/>
        </w:rPr>
        <w:t xml:space="preserve"> con copia certificada de la presente resolución, vuelvan las constancias remitidas a la Tercera Sala Unitaria de Primera Instancia, y en su oportunidad archívese el cuaderno de revisión como concluido.- - - - - - - - - - - - - - - - - - - - - - - - -</w:t>
      </w:r>
    </w:p>
    <w:p w14:paraId="022D2C3A" w14:textId="7ED328AF" w:rsidR="0029796E" w:rsidRDefault="007D3105" w:rsidP="0029796E">
      <w:pPr>
        <w:widowControl w:val="0"/>
        <w:tabs>
          <w:tab w:val="left" w:pos="0"/>
        </w:tabs>
        <w:spacing w:after="120" w:line="360" w:lineRule="auto"/>
        <w:ind w:right="18"/>
        <w:jc w:val="both"/>
        <w:rPr>
          <w:rFonts w:ascii="Arial" w:hAnsi="Arial" w:cs="Arial"/>
          <w:sz w:val="26"/>
          <w:szCs w:val="26"/>
        </w:rPr>
      </w:pPr>
      <w:r>
        <w:rPr>
          <w:rFonts w:ascii="Arial" w:hAnsi="Arial" w:cs="Arial"/>
          <w:sz w:val="26"/>
          <w:szCs w:val="26"/>
        </w:rPr>
        <w:tab/>
      </w:r>
      <w:r w:rsidR="0029796E">
        <w:rPr>
          <w:rFonts w:ascii="Arial" w:hAnsi="Arial" w:cs="Arial"/>
          <w:sz w:val="26"/>
          <w:szCs w:val="26"/>
        </w:rPr>
        <w:t>Por unanimidad de votos, lo resolvieron y firmaron los Magistrados Integrantes de la Sala Superior Manuel Velasco Alcántara, Raúl Palomares Palomino,</w:t>
      </w:r>
      <w:r w:rsidR="0029796E">
        <w:rPr>
          <w:rFonts w:ascii="Arial" w:hAnsi="Arial" w:cs="Arial"/>
          <w:b/>
          <w:bCs/>
          <w:sz w:val="26"/>
          <w:szCs w:val="26"/>
        </w:rPr>
        <w:t xml:space="preserve"> </w:t>
      </w:r>
      <w:r w:rsidR="0029796E">
        <w:rPr>
          <w:rFonts w:ascii="Arial" w:hAnsi="Arial" w:cs="Arial"/>
          <w:sz w:val="26"/>
          <w:szCs w:val="26"/>
        </w:rPr>
        <w:t xml:space="preserve">Gloria del Carmen Camacho Meza </w:t>
      </w:r>
      <w:r w:rsidR="0029796E">
        <w:rPr>
          <w:rFonts w:ascii="Arial" w:hAnsi="Arial" w:cs="Arial"/>
          <w:b/>
          <w:sz w:val="26"/>
          <w:szCs w:val="26"/>
        </w:rPr>
        <w:t>(ponente),</w:t>
      </w:r>
      <w:r w:rsidR="0029796E">
        <w:rPr>
          <w:rFonts w:ascii="Arial" w:hAnsi="Arial" w:cs="Arial"/>
          <w:sz w:val="26"/>
          <w:szCs w:val="26"/>
        </w:rPr>
        <w:t xml:space="preserve"> Paulo José Luis Tapia Palacios y Elías Cortés López, quienes actúan con el Licenciado Juan Edy García Coronado, Secretario General de Acuerdos de este Tribunal, que autoriza y da fe. - - - - - - - - - - - - - - - - - </w:t>
      </w:r>
    </w:p>
    <w:p w14:paraId="760ED17E" w14:textId="77777777" w:rsidR="00496047" w:rsidRDefault="00496047" w:rsidP="005E03FF">
      <w:pPr>
        <w:tabs>
          <w:tab w:val="center" w:pos="4135"/>
          <w:tab w:val="left" w:pos="7515"/>
        </w:tabs>
        <w:spacing w:line="360" w:lineRule="auto"/>
        <w:jc w:val="center"/>
        <w:rPr>
          <w:rFonts w:ascii="Arial" w:eastAsia="Times New Roman" w:hAnsi="Arial" w:cs="Arial"/>
          <w:b/>
          <w:bCs/>
          <w:sz w:val="16"/>
          <w:szCs w:val="16"/>
        </w:rPr>
      </w:pPr>
    </w:p>
    <w:p w14:paraId="41A643F2" w14:textId="77777777" w:rsidR="00496047" w:rsidRDefault="00496047" w:rsidP="005E03FF">
      <w:pPr>
        <w:tabs>
          <w:tab w:val="center" w:pos="4135"/>
          <w:tab w:val="left" w:pos="7515"/>
        </w:tabs>
        <w:spacing w:line="360" w:lineRule="auto"/>
        <w:jc w:val="center"/>
        <w:rPr>
          <w:rFonts w:ascii="Arial" w:eastAsia="Times New Roman" w:hAnsi="Arial" w:cs="Arial"/>
          <w:b/>
          <w:bCs/>
          <w:sz w:val="16"/>
          <w:szCs w:val="16"/>
        </w:rPr>
      </w:pPr>
    </w:p>
    <w:p w14:paraId="08CEC1D1" w14:textId="3187CBE8" w:rsidR="005E03FF" w:rsidRDefault="005E03FF" w:rsidP="005E03FF">
      <w:pPr>
        <w:tabs>
          <w:tab w:val="center" w:pos="4135"/>
          <w:tab w:val="left" w:pos="7515"/>
        </w:tabs>
        <w:spacing w:line="360" w:lineRule="auto"/>
        <w:jc w:val="center"/>
        <w:rPr>
          <w:rFonts w:ascii="Arial" w:eastAsia="Times New Roman" w:hAnsi="Arial" w:cs="Arial"/>
          <w:b/>
          <w:bCs/>
          <w:sz w:val="16"/>
          <w:szCs w:val="16"/>
        </w:rPr>
      </w:pPr>
      <w:r>
        <w:rPr>
          <w:rFonts w:ascii="Arial" w:eastAsia="Times New Roman" w:hAnsi="Arial" w:cs="Arial"/>
          <w:b/>
          <w:bCs/>
          <w:sz w:val="16"/>
          <w:szCs w:val="16"/>
        </w:rPr>
        <w:t>LAS PRESENTES FIRMAS CORRESPONDEN A LA RESOLUCIÓN DEL RECURSO DE REVISIÓN 0421/2021.</w:t>
      </w:r>
    </w:p>
    <w:p w14:paraId="11851144" w14:textId="38F40A96" w:rsidR="005E03FF" w:rsidRDefault="005E03FF" w:rsidP="0029796E">
      <w:pPr>
        <w:tabs>
          <w:tab w:val="center" w:pos="4135"/>
          <w:tab w:val="left" w:pos="7515"/>
        </w:tabs>
        <w:spacing w:line="360" w:lineRule="auto"/>
        <w:jc w:val="both"/>
        <w:rPr>
          <w:rFonts w:ascii="Arial" w:eastAsia="Times New Roman" w:hAnsi="Arial" w:cs="Arial"/>
          <w:sz w:val="26"/>
          <w:szCs w:val="26"/>
        </w:rPr>
      </w:pPr>
    </w:p>
    <w:p w14:paraId="0546EEC4" w14:textId="77777777" w:rsidR="005E03FF" w:rsidRDefault="005E03FF" w:rsidP="0029796E">
      <w:pPr>
        <w:tabs>
          <w:tab w:val="center" w:pos="4135"/>
          <w:tab w:val="left" w:pos="7515"/>
        </w:tabs>
        <w:spacing w:line="360" w:lineRule="auto"/>
        <w:jc w:val="both"/>
        <w:rPr>
          <w:rFonts w:ascii="Arial" w:eastAsia="Times New Roman" w:hAnsi="Arial" w:cs="Arial"/>
          <w:sz w:val="26"/>
          <w:szCs w:val="26"/>
        </w:rPr>
      </w:pPr>
    </w:p>
    <w:p w14:paraId="620F1CBC" w14:textId="77777777" w:rsidR="0029796E" w:rsidRDefault="0029796E" w:rsidP="0029796E">
      <w:pPr>
        <w:tabs>
          <w:tab w:val="center" w:pos="4135"/>
          <w:tab w:val="left" w:pos="7515"/>
        </w:tabs>
        <w:spacing w:line="360" w:lineRule="auto"/>
        <w:jc w:val="both"/>
        <w:rPr>
          <w:rFonts w:ascii="Arial" w:eastAsia="Times New Roman" w:hAnsi="Arial" w:cs="Arial"/>
          <w:sz w:val="26"/>
          <w:szCs w:val="26"/>
        </w:rPr>
      </w:pPr>
    </w:p>
    <w:p w14:paraId="78CE3BA6" w14:textId="77777777" w:rsidR="0029796E" w:rsidRDefault="0029796E" w:rsidP="0029796E">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1AD349F7" w14:textId="77777777" w:rsidR="0029796E" w:rsidRDefault="0029796E" w:rsidP="0029796E">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PRESIDENTE</w:t>
      </w:r>
    </w:p>
    <w:p w14:paraId="36C9498B" w14:textId="77777777" w:rsidR="0029796E" w:rsidRDefault="0029796E" w:rsidP="0029796E">
      <w:pPr>
        <w:tabs>
          <w:tab w:val="center" w:pos="4135"/>
          <w:tab w:val="left" w:pos="7515"/>
        </w:tabs>
        <w:spacing w:line="360" w:lineRule="auto"/>
        <w:jc w:val="center"/>
        <w:rPr>
          <w:rFonts w:ascii="Arial" w:eastAsia="Times New Roman" w:hAnsi="Arial" w:cs="Arial"/>
          <w:sz w:val="26"/>
          <w:szCs w:val="26"/>
        </w:rPr>
      </w:pPr>
    </w:p>
    <w:p w14:paraId="631737E7" w14:textId="77777777" w:rsidR="0029796E" w:rsidRDefault="0029796E" w:rsidP="0029796E">
      <w:pPr>
        <w:tabs>
          <w:tab w:val="center" w:pos="4135"/>
          <w:tab w:val="left" w:pos="7515"/>
        </w:tabs>
        <w:spacing w:line="360" w:lineRule="auto"/>
        <w:jc w:val="center"/>
        <w:rPr>
          <w:rFonts w:ascii="Arial" w:eastAsia="Times New Roman" w:hAnsi="Arial" w:cs="Arial"/>
          <w:sz w:val="26"/>
          <w:szCs w:val="26"/>
        </w:rPr>
      </w:pPr>
    </w:p>
    <w:p w14:paraId="0BE1FC73" w14:textId="77777777" w:rsidR="00DD0C6C" w:rsidRDefault="00DD0C6C" w:rsidP="0029796E">
      <w:pPr>
        <w:tabs>
          <w:tab w:val="center" w:pos="4135"/>
          <w:tab w:val="left" w:pos="7515"/>
        </w:tabs>
        <w:spacing w:line="360" w:lineRule="auto"/>
        <w:jc w:val="center"/>
        <w:rPr>
          <w:rFonts w:ascii="Arial" w:eastAsia="Times New Roman" w:hAnsi="Arial" w:cs="Arial"/>
          <w:sz w:val="26"/>
          <w:szCs w:val="26"/>
        </w:rPr>
      </w:pPr>
    </w:p>
    <w:p w14:paraId="05E394BB" w14:textId="77777777" w:rsidR="0029796E" w:rsidRDefault="0029796E" w:rsidP="0029796E">
      <w:pPr>
        <w:tabs>
          <w:tab w:val="center" w:pos="4135"/>
          <w:tab w:val="left" w:pos="7515"/>
        </w:tabs>
        <w:spacing w:line="360" w:lineRule="auto"/>
        <w:jc w:val="center"/>
        <w:rPr>
          <w:rFonts w:ascii="Arial" w:eastAsia="Times New Roman" w:hAnsi="Arial" w:cs="Arial"/>
          <w:sz w:val="26"/>
          <w:szCs w:val="26"/>
        </w:rPr>
      </w:pPr>
    </w:p>
    <w:p w14:paraId="06CD88A7" w14:textId="77777777" w:rsidR="0029796E" w:rsidRDefault="0029796E" w:rsidP="0029796E">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RAÚL PALOMARES PALOMINO</w:t>
      </w:r>
    </w:p>
    <w:p w14:paraId="1600236C" w14:textId="77777777" w:rsidR="0029796E" w:rsidRDefault="0029796E" w:rsidP="0029796E">
      <w:pPr>
        <w:tabs>
          <w:tab w:val="center" w:pos="4135"/>
          <w:tab w:val="left" w:pos="7515"/>
        </w:tabs>
        <w:spacing w:line="360" w:lineRule="auto"/>
        <w:jc w:val="center"/>
        <w:rPr>
          <w:rFonts w:ascii="Arial" w:eastAsia="Times New Roman" w:hAnsi="Arial" w:cs="Arial"/>
          <w:sz w:val="26"/>
          <w:szCs w:val="26"/>
        </w:rPr>
      </w:pPr>
    </w:p>
    <w:p w14:paraId="1E5B94EB" w14:textId="77777777" w:rsidR="0029796E" w:rsidRDefault="0029796E" w:rsidP="0029796E">
      <w:pPr>
        <w:tabs>
          <w:tab w:val="center" w:pos="4135"/>
          <w:tab w:val="left" w:pos="7515"/>
        </w:tabs>
        <w:spacing w:line="360" w:lineRule="auto"/>
        <w:jc w:val="center"/>
        <w:rPr>
          <w:rFonts w:ascii="Arial" w:eastAsia="Times New Roman" w:hAnsi="Arial" w:cs="Arial"/>
          <w:sz w:val="26"/>
          <w:szCs w:val="26"/>
        </w:rPr>
      </w:pPr>
    </w:p>
    <w:p w14:paraId="3A6CB511" w14:textId="77777777" w:rsidR="0029796E" w:rsidRDefault="0029796E" w:rsidP="0029796E">
      <w:pPr>
        <w:tabs>
          <w:tab w:val="center" w:pos="4135"/>
          <w:tab w:val="left" w:pos="7515"/>
        </w:tabs>
        <w:spacing w:line="360" w:lineRule="auto"/>
        <w:jc w:val="center"/>
        <w:rPr>
          <w:rFonts w:ascii="Arial" w:eastAsia="Times New Roman" w:hAnsi="Arial" w:cs="Arial"/>
          <w:sz w:val="26"/>
          <w:szCs w:val="26"/>
        </w:rPr>
      </w:pPr>
    </w:p>
    <w:p w14:paraId="776B21C4" w14:textId="77777777" w:rsidR="0029796E" w:rsidRDefault="0029796E" w:rsidP="0029796E">
      <w:pPr>
        <w:tabs>
          <w:tab w:val="center" w:pos="4135"/>
          <w:tab w:val="left" w:pos="7515"/>
        </w:tabs>
        <w:spacing w:line="360" w:lineRule="auto"/>
        <w:jc w:val="center"/>
        <w:rPr>
          <w:rFonts w:ascii="Arial" w:eastAsia="Times New Roman" w:hAnsi="Arial" w:cs="Arial"/>
          <w:sz w:val="26"/>
          <w:szCs w:val="26"/>
        </w:rPr>
      </w:pPr>
    </w:p>
    <w:p w14:paraId="63FB5F2D" w14:textId="77777777" w:rsidR="0029796E" w:rsidRDefault="0029796E" w:rsidP="0029796E">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MAGISTRADA GLORIA DEL CARMEN CAMACHO MEZA</w:t>
      </w:r>
    </w:p>
    <w:p w14:paraId="3D7F2EAB" w14:textId="77777777" w:rsidR="0029796E" w:rsidRDefault="0029796E" w:rsidP="0029796E">
      <w:pPr>
        <w:tabs>
          <w:tab w:val="center" w:pos="4135"/>
          <w:tab w:val="left" w:pos="7515"/>
        </w:tabs>
        <w:spacing w:line="360" w:lineRule="auto"/>
        <w:jc w:val="center"/>
        <w:rPr>
          <w:rFonts w:ascii="Arial" w:eastAsia="Times New Roman" w:hAnsi="Arial" w:cs="Arial"/>
          <w:sz w:val="26"/>
          <w:szCs w:val="26"/>
        </w:rPr>
      </w:pPr>
    </w:p>
    <w:p w14:paraId="1929F8EA" w14:textId="77777777" w:rsidR="00DD0C6C" w:rsidRDefault="00DD0C6C" w:rsidP="005E03FF">
      <w:pPr>
        <w:tabs>
          <w:tab w:val="center" w:pos="4135"/>
          <w:tab w:val="left" w:pos="7515"/>
        </w:tabs>
        <w:spacing w:line="360" w:lineRule="auto"/>
        <w:rPr>
          <w:rFonts w:ascii="Arial" w:eastAsia="Times New Roman" w:hAnsi="Arial" w:cs="Arial"/>
          <w:sz w:val="26"/>
          <w:szCs w:val="26"/>
        </w:rPr>
      </w:pPr>
    </w:p>
    <w:p w14:paraId="58F7B841" w14:textId="77777777" w:rsidR="0029796E" w:rsidRDefault="0029796E" w:rsidP="0029796E">
      <w:pPr>
        <w:tabs>
          <w:tab w:val="center" w:pos="4135"/>
          <w:tab w:val="left" w:pos="7515"/>
        </w:tabs>
        <w:spacing w:line="360" w:lineRule="auto"/>
        <w:jc w:val="center"/>
        <w:rPr>
          <w:rFonts w:ascii="Arial" w:eastAsia="Times New Roman" w:hAnsi="Arial" w:cs="Arial"/>
          <w:sz w:val="26"/>
          <w:szCs w:val="26"/>
        </w:rPr>
      </w:pPr>
    </w:p>
    <w:p w14:paraId="32648CD3" w14:textId="77777777" w:rsidR="0029796E" w:rsidRDefault="0029796E" w:rsidP="0029796E">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PAULO JOSÉ LUIS TAPIA PALACIOS</w:t>
      </w:r>
    </w:p>
    <w:p w14:paraId="567B541E" w14:textId="3F2B3310" w:rsidR="0029796E" w:rsidRDefault="0029796E" w:rsidP="0029796E">
      <w:pPr>
        <w:tabs>
          <w:tab w:val="center" w:pos="4135"/>
          <w:tab w:val="left" w:pos="7515"/>
        </w:tabs>
        <w:spacing w:line="360" w:lineRule="auto"/>
        <w:jc w:val="center"/>
        <w:rPr>
          <w:rFonts w:ascii="Arial" w:eastAsia="Times New Roman" w:hAnsi="Arial" w:cs="Arial"/>
          <w:sz w:val="26"/>
          <w:szCs w:val="26"/>
        </w:rPr>
      </w:pPr>
    </w:p>
    <w:p w14:paraId="1844C2BA" w14:textId="20EF12D1" w:rsidR="00DD0C6C" w:rsidRDefault="00DD0C6C" w:rsidP="0029796E">
      <w:pPr>
        <w:tabs>
          <w:tab w:val="center" w:pos="4135"/>
          <w:tab w:val="left" w:pos="7515"/>
        </w:tabs>
        <w:spacing w:line="360" w:lineRule="auto"/>
        <w:jc w:val="center"/>
        <w:rPr>
          <w:rFonts w:ascii="Arial" w:eastAsia="Times New Roman" w:hAnsi="Arial" w:cs="Arial"/>
          <w:sz w:val="26"/>
          <w:szCs w:val="26"/>
        </w:rPr>
      </w:pPr>
    </w:p>
    <w:p w14:paraId="0EB1AD14" w14:textId="77777777" w:rsidR="00DD0C6C" w:rsidRDefault="00DD0C6C" w:rsidP="005E03FF">
      <w:pPr>
        <w:tabs>
          <w:tab w:val="center" w:pos="4135"/>
          <w:tab w:val="left" w:pos="7515"/>
        </w:tabs>
        <w:spacing w:line="360" w:lineRule="auto"/>
        <w:jc w:val="center"/>
        <w:rPr>
          <w:rFonts w:ascii="Arial" w:eastAsia="Times New Roman" w:hAnsi="Arial" w:cs="Arial"/>
          <w:sz w:val="26"/>
          <w:szCs w:val="26"/>
        </w:rPr>
      </w:pPr>
    </w:p>
    <w:p w14:paraId="76D29D20" w14:textId="77777777" w:rsidR="0029796E" w:rsidRDefault="0029796E" w:rsidP="005E03FF">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ELÍAS CORTÉS LÓPEZ</w:t>
      </w:r>
    </w:p>
    <w:p w14:paraId="08E2C625" w14:textId="77777777" w:rsidR="0029796E" w:rsidRDefault="0029796E" w:rsidP="0029796E">
      <w:pPr>
        <w:spacing w:after="0" w:line="240" w:lineRule="auto"/>
        <w:jc w:val="center"/>
        <w:rPr>
          <w:rFonts w:ascii="Arial" w:eastAsia="Times New Roman" w:hAnsi="Arial" w:cs="Arial"/>
          <w:sz w:val="26"/>
          <w:szCs w:val="26"/>
        </w:rPr>
      </w:pPr>
    </w:p>
    <w:p w14:paraId="7ED8341B" w14:textId="77777777" w:rsidR="0029796E" w:rsidRDefault="0029796E" w:rsidP="0029796E">
      <w:pPr>
        <w:spacing w:after="0" w:line="240" w:lineRule="auto"/>
        <w:jc w:val="center"/>
        <w:rPr>
          <w:rFonts w:ascii="Arial" w:eastAsia="Times New Roman" w:hAnsi="Arial" w:cs="Arial"/>
          <w:sz w:val="26"/>
          <w:szCs w:val="26"/>
        </w:rPr>
      </w:pPr>
    </w:p>
    <w:p w14:paraId="4753F8A1" w14:textId="77777777" w:rsidR="0029796E" w:rsidRDefault="0029796E" w:rsidP="0029796E">
      <w:pPr>
        <w:spacing w:after="0" w:line="240" w:lineRule="auto"/>
        <w:jc w:val="center"/>
        <w:rPr>
          <w:rFonts w:ascii="Arial" w:eastAsia="Times New Roman" w:hAnsi="Arial" w:cs="Arial"/>
          <w:sz w:val="26"/>
          <w:szCs w:val="26"/>
        </w:rPr>
      </w:pPr>
    </w:p>
    <w:p w14:paraId="7B760609" w14:textId="77777777" w:rsidR="0029796E" w:rsidRDefault="0029796E" w:rsidP="0029796E">
      <w:pPr>
        <w:spacing w:after="0" w:line="240" w:lineRule="auto"/>
        <w:jc w:val="center"/>
        <w:rPr>
          <w:rFonts w:ascii="Arial" w:eastAsia="Times New Roman" w:hAnsi="Arial" w:cs="Arial"/>
          <w:sz w:val="26"/>
          <w:szCs w:val="26"/>
        </w:rPr>
      </w:pPr>
    </w:p>
    <w:p w14:paraId="79D28765" w14:textId="77777777" w:rsidR="0029796E" w:rsidRDefault="0029796E" w:rsidP="005E03FF">
      <w:pPr>
        <w:spacing w:after="0" w:line="240" w:lineRule="auto"/>
        <w:jc w:val="center"/>
        <w:rPr>
          <w:rFonts w:ascii="Arial" w:eastAsia="Times New Roman" w:hAnsi="Arial" w:cs="Arial"/>
          <w:sz w:val="26"/>
          <w:szCs w:val="26"/>
        </w:rPr>
      </w:pPr>
    </w:p>
    <w:p w14:paraId="1CA11EE9" w14:textId="77777777" w:rsidR="0029796E" w:rsidRDefault="0029796E" w:rsidP="005E03FF">
      <w:pPr>
        <w:spacing w:after="0" w:line="240" w:lineRule="auto"/>
        <w:jc w:val="center"/>
        <w:rPr>
          <w:rFonts w:ascii="Arial" w:eastAsia="Times New Roman" w:hAnsi="Arial" w:cs="Arial"/>
          <w:sz w:val="26"/>
          <w:szCs w:val="26"/>
        </w:rPr>
      </w:pPr>
    </w:p>
    <w:p w14:paraId="3B94CA90" w14:textId="77777777" w:rsidR="0029796E" w:rsidRDefault="0029796E" w:rsidP="005E03FF">
      <w:pPr>
        <w:spacing w:after="0" w:line="240" w:lineRule="auto"/>
        <w:jc w:val="center"/>
        <w:rPr>
          <w:rFonts w:ascii="Arial" w:eastAsia="Times New Roman" w:hAnsi="Arial" w:cs="Arial"/>
          <w:sz w:val="26"/>
          <w:szCs w:val="26"/>
        </w:rPr>
      </w:pPr>
      <w:r>
        <w:rPr>
          <w:rFonts w:ascii="Arial" w:eastAsia="Times New Roman" w:hAnsi="Arial" w:cs="Arial"/>
          <w:sz w:val="26"/>
          <w:szCs w:val="26"/>
        </w:rPr>
        <w:t>LICENCIADO JUAN EDY GARCÍA CORONADO.</w:t>
      </w:r>
    </w:p>
    <w:p w14:paraId="562BB7CC" w14:textId="77777777" w:rsidR="0029796E" w:rsidRDefault="0029796E" w:rsidP="005E03FF">
      <w:pPr>
        <w:spacing w:after="0" w:line="240" w:lineRule="auto"/>
        <w:jc w:val="center"/>
        <w:rPr>
          <w:rFonts w:ascii="Arial" w:eastAsia="Times New Roman" w:hAnsi="Arial" w:cs="Arial"/>
          <w:sz w:val="26"/>
          <w:szCs w:val="26"/>
        </w:rPr>
      </w:pPr>
      <w:r>
        <w:rPr>
          <w:rFonts w:ascii="Arial" w:eastAsia="Times New Roman" w:hAnsi="Arial" w:cs="Arial"/>
          <w:sz w:val="26"/>
          <w:szCs w:val="26"/>
        </w:rPr>
        <w:t>SECRETARIO GENERAL DE ACUERDOS.</w:t>
      </w:r>
    </w:p>
    <w:p w14:paraId="21228163" w14:textId="6564ABD1" w:rsidR="007E36E2" w:rsidRPr="007E36E2" w:rsidRDefault="007E36E2" w:rsidP="007E36E2">
      <w:pPr>
        <w:spacing w:after="0" w:line="240" w:lineRule="auto"/>
        <w:jc w:val="center"/>
        <w:rPr>
          <w:rFonts w:ascii="Arial" w:eastAsia="Times New Roman" w:hAnsi="Arial" w:cs="Arial"/>
          <w:sz w:val="26"/>
          <w:szCs w:val="26"/>
        </w:rPr>
      </w:pPr>
    </w:p>
    <w:p w14:paraId="43CA7E7E" w14:textId="77777777" w:rsidR="007E36E2" w:rsidRPr="007E36E2" w:rsidRDefault="007E36E2" w:rsidP="007E36E2">
      <w:pPr>
        <w:rPr>
          <w:rFonts w:ascii="Calibri" w:eastAsia="Times New Roman" w:hAnsi="Calibri" w:cs="Times New Roman"/>
        </w:rPr>
      </w:pPr>
      <w:r w:rsidRPr="007E36E2">
        <w:rPr>
          <w:rFonts w:ascii="Calibri" w:eastAsia="Times New Roman" w:hAnsi="Calibri" w:cs="Times New Roman"/>
        </w:rPr>
        <w:t xml:space="preserve"> </w:t>
      </w:r>
    </w:p>
    <w:p w14:paraId="59D0C4DF" w14:textId="77777777" w:rsidR="000B3F09" w:rsidRDefault="000B3F09" w:rsidP="00E4651E">
      <w:pPr>
        <w:shd w:val="clear" w:color="auto" w:fill="FFFFFF"/>
        <w:ind w:left="720"/>
        <w:rPr>
          <w:rStyle w:val="registros-movil-hide"/>
          <w:sz w:val="26"/>
          <w:szCs w:val="26"/>
        </w:rPr>
      </w:pPr>
    </w:p>
    <w:sectPr w:rsidR="000B3F09" w:rsidSect="005E03FF">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FC7A30" w14:textId="77777777" w:rsidR="001B03C2" w:rsidRDefault="001B03C2">
      <w:pPr>
        <w:spacing w:after="0" w:line="240" w:lineRule="auto"/>
      </w:pPr>
      <w:r>
        <w:separator/>
      </w:r>
    </w:p>
  </w:endnote>
  <w:endnote w:type="continuationSeparator" w:id="0">
    <w:p w14:paraId="4957870E" w14:textId="77777777" w:rsidR="001B03C2" w:rsidRDefault="001B03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8BEA0" w14:textId="77777777" w:rsidR="005D26C5" w:rsidRDefault="005D26C5">
    <w:pPr>
      <w:pStyle w:val="Piedepgina"/>
      <w:jc w:val="center"/>
    </w:pPr>
  </w:p>
  <w:p w14:paraId="1375E309" w14:textId="77777777" w:rsidR="005D26C5" w:rsidRDefault="005D26C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F94E07" w14:textId="77777777" w:rsidR="001B03C2" w:rsidRDefault="001B03C2">
      <w:pPr>
        <w:spacing w:after="0" w:line="240" w:lineRule="auto"/>
      </w:pPr>
      <w:r>
        <w:separator/>
      </w:r>
    </w:p>
  </w:footnote>
  <w:footnote w:type="continuationSeparator" w:id="0">
    <w:p w14:paraId="0B6E9600" w14:textId="77777777" w:rsidR="001B03C2" w:rsidRDefault="001B03C2">
      <w:pPr>
        <w:spacing w:after="0" w:line="240" w:lineRule="auto"/>
      </w:pPr>
      <w:r>
        <w:continuationSeparator/>
      </w:r>
    </w:p>
  </w:footnote>
  <w:footnote w:id="1">
    <w:p w14:paraId="663703DE" w14:textId="77777777" w:rsidR="0029796E" w:rsidRDefault="0029796E" w:rsidP="0029796E">
      <w:pPr>
        <w:pStyle w:val="Textonotapie"/>
        <w:jc w:val="both"/>
        <w:rPr>
          <w:rFonts w:ascii="Arial" w:hAnsi="Arial" w:cs="Arial"/>
          <w:sz w:val="16"/>
          <w:szCs w:val="16"/>
        </w:rPr>
      </w:pPr>
      <w:r>
        <w:rPr>
          <w:rStyle w:val="Refdenotaalpie"/>
          <w:rFonts w:ascii="Arial" w:hAnsi="Arial" w:cs="Arial"/>
          <w:sz w:val="16"/>
          <w:szCs w:val="16"/>
        </w:rPr>
        <w:footnoteRef/>
      </w:r>
      <w:r>
        <w:rPr>
          <w:rFonts w:ascii="Arial" w:hAnsi="Arial" w:cs="Arial"/>
          <w:sz w:val="16"/>
          <w:szCs w:val="16"/>
        </w:rPr>
        <w:t xml:space="preserve"> </w:t>
      </w:r>
      <w:r>
        <w:rPr>
          <w:rFonts w:ascii="Arial" w:hAnsi="Arial" w:cs="Arial"/>
          <w:b/>
          <w:sz w:val="16"/>
          <w:szCs w:val="16"/>
        </w:rPr>
        <w:t>ARTÍCULO 203</w:t>
      </w:r>
      <w:r>
        <w:rPr>
          <w:rFonts w:ascii="Arial" w:hAnsi="Arial" w:cs="Arial"/>
          <w:sz w:val="16"/>
          <w:szCs w:val="16"/>
        </w:rPr>
        <w:t xml:space="preserve">.- La valoración de las pruebas se hará de acuerdo con las siguientes reglas: </w:t>
      </w:r>
    </w:p>
    <w:p w14:paraId="679C5807" w14:textId="77777777" w:rsidR="0029796E" w:rsidRDefault="0029796E" w:rsidP="0029796E">
      <w:pPr>
        <w:pStyle w:val="Textonotapie"/>
        <w:jc w:val="both"/>
        <w:rPr>
          <w:rFonts w:ascii="Arial" w:hAnsi="Arial" w:cs="Arial"/>
          <w:sz w:val="16"/>
          <w:szCs w:val="16"/>
        </w:rPr>
      </w:pPr>
    </w:p>
    <w:p w14:paraId="73E9F276" w14:textId="77777777" w:rsidR="0029796E" w:rsidRDefault="0029796E" w:rsidP="0029796E">
      <w:pPr>
        <w:pStyle w:val="Textonotapie"/>
        <w:jc w:val="both"/>
        <w:rPr>
          <w:rFonts w:ascii="Arial" w:hAnsi="Arial" w:cs="Arial"/>
          <w:sz w:val="16"/>
          <w:szCs w:val="16"/>
        </w:rPr>
      </w:pPr>
      <w:r>
        <w:rPr>
          <w:rFonts w:ascii="Arial" w:hAnsi="Arial" w:cs="Arial"/>
          <w:b/>
          <w:sz w:val="16"/>
          <w:szCs w:val="16"/>
        </w:rPr>
        <w:t>I.</w:t>
      </w:r>
      <w:r>
        <w:rPr>
          <w:rFonts w:ascii="Arial" w:hAnsi="Arial" w:cs="Arial"/>
          <w:sz w:val="16"/>
          <w:szCs w:val="16"/>
        </w:rPr>
        <w:t xml:space="preserve"> Harán prueba plena la confesión expresa de las partes y los actos contenidos en documentos públicos, si en éstos últimos se contienen declaraciones de verdad o manifestaciones de hechos de particulares</w:t>
      </w:r>
    </w:p>
  </w:footnote>
  <w:footnote w:id="2">
    <w:p w14:paraId="7107849D" w14:textId="77777777" w:rsidR="0029796E" w:rsidRDefault="0029796E" w:rsidP="0029796E">
      <w:pPr>
        <w:pStyle w:val="Textonotapie"/>
        <w:jc w:val="both"/>
        <w:rPr>
          <w:rFonts w:ascii="Arial" w:hAnsi="Arial" w:cs="Arial"/>
          <w:sz w:val="18"/>
          <w:szCs w:val="18"/>
        </w:rPr>
      </w:pPr>
      <w:r>
        <w:rPr>
          <w:rStyle w:val="Refdenotaalpie"/>
          <w:sz w:val="18"/>
          <w:szCs w:val="18"/>
        </w:rPr>
        <w:footnoteRef/>
      </w:r>
      <w:r>
        <w:rPr>
          <w:sz w:val="18"/>
          <w:szCs w:val="18"/>
        </w:rPr>
        <w:t xml:space="preserve"> </w:t>
      </w:r>
      <w:r>
        <w:rPr>
          <w:rFonts w:ascii="Arial" w:hAnsi="Arial" w:cs="Arial"/>
          <w:b/>
          <w:sz w:val="18"/>
          <w:szCs w:val="18"/>
        </w:rPr>
        <w:t xml:space="preserve">ARTÍCULO 206.- </w:t>
      </w:r>
      <w:r>
        <w:rPr>
          <w:rFonts w:ascii="Arial" w:hAnsi="Arial" w:cs="Arial"/>
          <w:sz w:val="18"/>
          <w:szCs w:val="18"/>
        </w:rPr>
        <w:t>La Sala Unitaria de Primera Instancia, al pronunciar sentencia suplirá las deficiencias de la queja planteada por el actor en su demanda, siempre y cundo de los hechos narrados se deduzca el agravio, pero en todos los casos se contraerá a los puntos de la Litis.</w:t>
      </w:r>
    </w:p>
  </w:footnote>
  <w:footnote w:id="3">
    <w:p w14:paraId="48775CAB" w14:textId="77777777" w:rsidR="0029796E" w:rsidRDefault="0029796E" w:rsidP="0029796E">
      <w:pPr>
        <w:pStyle w:val="Textonotapie"/>
        <w:jc w:val="both"/>
        <w:rPr>
          <w:rFonts w:ascii="Arial" w:hAnsi="Arial" w:cs="Arial"/>
          <w:sz w:val="18"/>
          <w:szCs w:val="18"/>
        </w:rPr>
      </w:pPr>
      <w:r>
        <w:rPr>
          <w:rStyle w:val="Refdenotaalpie"/>
        </w:rPr>
        <w:footnoteRef/>
      </w:r>
      <w:r>
        <w:t xml:space="preserve"> </w:t>
      </w:r>
      <w:r>
        <w:rPr>
          <w:rFonts w:ascii="Arial" w:hAnsi="Arial" w:cs="Arial"/>
          <w:b/>
          <w:sz w:val="18"/>
          <w:szCs w:val="18"/>
        </w:rPr>
        <w:t>Artículo 31</w:t>
      </w:r>
      <w:r>
        <w:rPr>
          <w:rFonts w:ascii="Arial" w:hAnsi="Arial" w:cs="Arial"/>
          <w:sz w:val="18"/>
          <w:szCs w:val="18"/>
        </w:rPr>
        <w:t>.- Cuando haya varias acciones contra una misma persona, respecto de una misma cosa, y provengan de una misma causa, deben intentarse en una sola demanda; por el ejercicio de una o más quedan extinguidas las otras. No pueden acumularse en una sola demanda las acciones contrarias ni contradictorias, ni las que dependan entre sí por el resultado que la sentencia dictada en una de ella haya de tener sobre las otras. Queda prohibida la práctica de deducir subsidiariamente acciones contrarias o contradictorias.</w:t>
      </w:r>
    </w:p>
  </w:footnote>
  <w:footnote w:id="4">
    <w:p w14:paraId="262AD9AC" w14:textId="77777777" w:rsidR="0029796E" w:rsidRDefault="0029796E" w:rsidP="0029796E">
      <w:pPr>
        <w:autoSpaceDE w:val="0"/>
        <w:autoSpaceDN w:val="0"/>
        <w:adjustRightInd w:val="0"/>
        <w:spacing w:after="0" w:line="240" w:lineRule="auto"/>
        <w:jc w:val="both"/>
        <w:rPr>
          <w:rFonts w:ascii="Arial" w:hAnsi="Arial" w:cs="Arial"/>
          <w:i/>
          <w:sz w:val="14"/>
          <w:szCs w:val="14"/>
        </w:rPr>
      </w:pPr>
      <w:r>
        <w:rPr>
          <w:rStyle w:val="Refdenotaalpie"/>
          <w:rFonts w:ascii="Arial" w:hAnsi="Arial" w:cs="Arial"/>
          <w:i/>
          <w:sz w:val="14"/>
          <w:szCs w:val="14"/>
        </w:rPr>
        <w:footnoteRef/>
      </w:r>
      <w:r>
        <w:rPr>
          <w:rFonts w:ascii="Arial" w:hAnsi="Arial" w:cs="Arial"/>
          <w:i/>
          <w:sz w:val="14"/>
          <w:szCs w:val="14"/>
        </w:rPr>
        <w:t xml:space="preserve"> </w:t>
      </w:r>
      <w:r>
        <w:rPr>
          <w:rFonts w:ascii="Arial" w:hAnsi="Arial" w:cs="Arial"/>
          <w:b/>
          <w:bCs/>
          <w:i/>
          <w:color w:val="000000"/>
          <w:sz w:val="14"/>
          <w:szCs w:val="14"/>
        </w:rPr>
        <w:t xml:space="preserve">Artículo 1.- </w:t>
      </w:r>
      <w:r>
        <w:rPr>
          <w:rFonts w:ascii="Arial" w:hAnsi="Arial" w:cs="Arial"/>
          <w:i/>
          <w:color w:val="000000"/>
          <w:sz w:val="14"/>
          <w:szCs w:val="14"/>
        </w:rPr>
        <w:t xml:space="preserve">La presente Ley es de orden público, de observancia general en todo el territorio del Estado de Oaxaca y Reglamentaria del primer párrafo, fracción VII, y segundo párrafo, fracciones I, IV y VII, del Artículo 111 de la Constitución Política del Estado Libre y Soberano de Oaxaca, tiene por objeto garantizar que los actos y resoluciones de la Auditoría Superior del Estado, previstos en el Artículo 2 de la presente Ley se sujeten a los principios de legalidad, </w:t>
      </w:r>
      <w:proofErr w:type="spellStart"/>
      <w:r>
        <w:rPr>
          <w:rFonts w:ascii="Arial" w:hAnsi="Arial" w:cs="Arial"/>
          <w:i/>
          <w:color w:val="000000"/>
          <w:sz w:val="14"/>
          <w:szCs w:val="14"/>
        </w:rPr>
        <w:t>definitividad</w:t>
      </w:r>
      <w:proofErr w:type="spellEnd"/>
      <w:r>
        <w:rPr>
          <w:rFonts w:ascii="Arial" w:hAnsi="Arial" w:cs="Arial"/>
          <w:i/>
          <w:color w:val="000000"/>
          <w:sz w:val="14"/>
          <w:szCs w:val="14"/>
        </w:rPr>
        <w:t xml:space="preserve"> y demás principios constitucionales, a través del Juicio de Inconformidad, cuyo trámite y resolución corresponde conocer al Tribunal de lo Contencioso Administrativo y de Cuentas del Poder Judicial del Estado.</w:t>
      </w:r>
    </w:p>
  </w:footnote>
  <w:footnote w:id="5">
    <w:p w14:paraId="54ED753F" w14:textId="77777777" w:rsidR="0029796E" w:rsidRDefault="0029796E" w:rsidP="0029796E">
      <w:pPr>
        <w:autoSpaceDE w:val="0"/>
        <w:autoSpaceDN w:val="0"/>
        <w:adjustRightInd w:val="0"/>
        <w:spacing w:after="0" w:line="240" w:lineRule="auto"/>
        <w:jc w:val="both"/>
        <w:rPr>
          <w:rFonts w:ascii="Arial" w:hAnsi="Arial" w:cs="Arial"/>
          <w:i/>
          <w:sz w:val="14"/>
          <w:szCs w:val="14"/>
        </w:rPr>
      </w:pPr>
      <w:r>
        <w:rPr>
          <w:rStyle w:val="Refdenotaalpie"/>
          <w:rFonts w:ascii="Arial" w:hAnsi="Arial" w:cs="Arial"/>
          <w:i/>
          <w:sz w:val="14"/>
          <w:szCs w:val="14"/>
        </w:rPr>
        <w:footnoteRef/>
      </w:r>
      <w:r>
        <w:rPr>
          <w:rFonts w:ascii="Arial" w:hAnsi="Arial" w:cs="Arial"/>
          <w:i/>
          <w:sz w:val="14"/>
          <w:szCs w:val="14"/>
        </w:rPr>
        <w:t xml:space="preserve"> </w:t>
      </w:r>
      <w:r>
        <w:rPr>
          <w:rFonts w:ascii="Arial" w:hAnsi="Arial" w:cs="Arial"/>
          <w:b/>
          <w:bCs/>
          <w:i/>
          <w:color w:val="000000"/>
          <w:sz w:val="14"/>
          <w:szCs w:val="14"/>
        </w:rPr>
        <w:t>Artículo 14.-</w:t>
      </w:r>
      <w:r>
        <w:rPr>
          <w:rFonts w:ascii="Arial" w:hAnsi="Arial" w:cs="Arial"/>
          <w:i/>
          <w:color w:val="000000"/>
          <w:sz w:val="14"/>
          <w:szCs w:val="14"/>
        </w:rPr>
        <w:t xml:space="preserve"> La promoción del Juicio deberá presentarse por escrito ante el Tribunal, debiendo cumplir los siguientes requisitos: </w:t>
      </w:r>
    </w:p>
    <w:p w14:paraId="34B7E2F4" w14:textId="77777777" w:rsidR="0029796E" w:rsidRDefault="0029796E" w:rsidP="0029796E">
      <w:pPr>
        <w:autoSpaceDE w:val="0"/>
        <w:autoSpaceDN w:val="0"/>
        <w:adjustRightInd w:val="0"/>
        <w:spacing w:after="0" w:line="240" w:lineRule="auto"/>
        <w:jc w:val="both"/>
        <w:rPr>
          <w:rFonts w:ascii="Arial" w:hAnsi="Arial" w:cs="Arial"/>
          <w:i/>
          <w:sz w:val="14"/>
          <w:szCs w:val="14"/>
        </w:rPr>
      </w:pPr>
      <w:r>
        <w:rPr>
          <w:rFonts w:ascii="Arial" w:hAnsi="Arial" w:cs="Arial"/>
          <w:i/>
          <w:color w:val="000000"/>
          <w:sz w:val="14"/>
          <w:szCs w:val="14"/>
        </w:rPr>
        <w:t xml:space="preserve">I. El nombre y firma autógrafa de quien promueva; </w:t>
      </w:r>
    </w:p>
    <w:p w14:paraId="0D8A8828" w14:textId="77777777" w:rsidR="0029796E" w:rsidRDefault="0029796E" w:rsidP="0029796E">
      <w:pPr>
        <w:autoSpaceDE w:val="0"/>
        <w:autoSpaceDN w:val="0"/>
        <w:adjustRightInd w:val="0"/>
        <w:spacing w:after="0" w:line="240" w:lineRule="auto"/>
        <w:jc w:val="both"/>
        <w:rPr>
          <w:rFonts w:ascii="Arial" w:hAnsi="Arial" w:cs="Arial"/>
          <w:i/>
          <w:sz w:val="14"/>
          <w:szCs w:val="14"/>
        </w:rPr>
      </w:pPr>
      <w:r>
        <w:rPr>
          <w:rFonts w:ascii="Arial" w:hAnsi="Arial" w:cs="Arial"/>
          <w:i/>
          <w:color w:val="000000"/>
          <w:sz w:val="14"/>
          <w:szCs w:val="14"/>
        </w:rPr>
        <w:t xml:space="preserve">II. Señalar domicilio y personas para recibir notificaciones, en términos del Artículo 108 del Código de Procedimientos Civiles para el Estado de Oaxaca; </w:t>
      </w:r>
    </w:p>
    <w:p w14:paraId="16960E05" w14:textId="77777777" w:rsidR="0029796E" w:rsidRDefault="0029796E" w:rsidP="0029796E">
      <w:pPr>
        <w:autoSpaceDE w:val="0"/>
        <w:autoSpaceDN w:val="0"/>
        <w:adjustRightInd w:val="0"/>
        <w:spacing w:after="0" w:line="240" w:lineRule="auto"/>
        <w:jc w:val="both"/>
        <w:rPr>
          <w:rFonts w:ascii="Arial" w:hAnsi="Arial" w:cs="Arial"/>
          <w:i/>
          <w:color w:val="000000"/>
          <w:sz w:val="14"/>
          <w:szCs w:val="14"/>
        </w:rPr>
      </w:pPr>
      <w:r>
        <w:rPr>
          <w:rFonts w:ascii="Arial" w:hAnsi="Arial" w:cs="Arial"/>
          <w:i/>
          <w:color w:val="000000"/>
          <w:sz w:val="14"/>
          <w:szCs w:val="14"/>
        </w:rPr>
        <w:t>III. Acompañar en original o copias certificadas el o los documentos necesarios para acreditar la personalidad de quien promueve;</w:t>
      </w:r>
    </w:p>
    <w:p w14:paraId="15A4A518" w14:textId="77777777" w:rsidR="0029796E" w:rsidRDefault="0029796E" w:rsidP="0029796E">
      <w:pPr>
        <w:autoSpaceDE w:val="0"/>
        <w:autoSpaceDN w:val="0"/>
        <w:adjustRightInd w:val="0"/>
        <w:spacing w:after="0" w:line="240" w:lineRule="auto"/>
        <w:jc w:val="both"/>
        <w:rPr>
          <w:rFonts w:ascii="Arial" w:hAnsi="Arial" w:cs="Arial"/>
          <w:i/>
          <w:color w:val="000000"/>
          <w:sz w:val="14"/>
          <w:szCs w:val="14"/>
        </w:rPr>
      </w:pPr>
      <w:r>
        <w:rPr>
          <w:rFonts w:ascii="Arial" w:hAnsi="Arial" w:cs="Arial"/>
          <w:i/>
          <w:color w:val="000000"/>
          <w:sz w:val="14"/>
          <w:szCs w:val="14"/>
        </w:rPr>
        <w:t xml:space="preserve">IV. Señalar el acto o resolución impugnado y al responsable del mismo;  </w:t>
      </w:r>
    </w:p>
    <w:p w14:paraId="685E43F0" w14:textId="77777777" w:rsidR="0029796E" w:rsidRDefault="0029796E" w:rsidP="0029796E">
      <w:pPr>
        <w:autoSpaceDE w:val="0"/>
        <w:autoSpaceDN w:val="0"/>
        <w:adjustRightInd w:val="0"/>
        <w:spacing w:after="0" w:line="240" w:lineRule="auto"/>
        <w:jc w:val="both"/>
        <w:rPr>
          <w:rFonts w:ascii="Arial" w:hAnsi="Arial" w:cs="Arial"/>
          <w:i/>
          <w:color w:val="000000"/>
          <w:sz w:val="14"/>
          <w:szCs w:val="14"/>
        </w:rPr>
      </w:pPr>
      <w:r>
        <w:rPr>
          <w:rFonts w:ascii="Arial" w:hAnsi="Arial" w:cs="Arial"/>
          <w:i/>
          <w:color w:val="000000"/>
          <w:sz w:val="14"/>
          <w:szCs w:val="14"/>
        </w:rPr>
        <w:t xml:space="preserve">V. Mencionar los hechos en que se basa la impugnación, numerándolos y narrándolos sucintamente con claridad y precisión; los motivos de impugnación que cause el acto o resolución impugnados y los preceptos legales que estime violados; </w:t>
      </w:r>
    </w:p>
    <w:p w14:paraId="03612D33" w14:textId="77777777" w:rsidR="0029796E" w:rsidRDefault="0029796E" w:rsidP="0029796E">
      <w:pPr>
        <w:autoSpaceDE w:val="0"/>
        <w:autoSpaceDN w:val="0"/>
        <w:adjustRightInd w:val="0"/>
        <w:spacing w:after="0" w:line="240" w:lineRule="auto"/>
        <w:jc w:val="both"/>
        <w:rPr>
          <w:rFonts w:ascii="Arial" w:hAnsi="Arial" w:cs="Arial"/>
          <w:i/>
          <w:color w:val="000000"/>
          <w:sz w:val="14"/>
          <w:szCs w:val="14"/>
        </w:rPr>
      </w:pPr>
      <w:r>
        <w:rPr>
          <w:rFonts w:ascii="Arial" w:hAnsi="Arial" w:cs="Arial"/>
          <w:i/>
          <w:color w:val="000000"/>
          <w:sz w:val="14"/>
          <w:szCs w:val="14"/>
        </w:rPr>
        <w:t xml:space="preserve">VI. Señalar la fecha en que conoció del acto impugnado; y </w:t>
      </w:r>
    </w:p>
    <w:p w14:paraId="420FBD4B" w14:textId="77777777" w:rsidR="0029796E" w:rsidRDefault="0029796E" w:rsidP="0029796E">
      <w:pPr>
        <w:autoSpaceDE w:val="0"/>
        <w:autoSpaceDN w:val="0"/>
        <w:adjustRightInd w:val="0"/>
        <w:spacing w:after="0" w:line="240" w:lineRule="auto"/>
        <w:jc w:val="both"/>
        <w:rPr>
          <w:rFonts w:ascii="Arial" w:hAnsi="Arial" w:cs="Arial"/>
          <w:color w:val="000000"/>
          <w:sz w:val="14"/>
          <w:szCs w:val="14"/>
        </w:rPr>
      </w:pPr>
      <w:r>
        <w:rPr>
          <w:rFonts w:ascii="Arial" w:hAnsi="Arial" w:cs="Arial"/>
          <w:i/>
          <w:color w:val="000000"/>
          <w:sz w:val="14"/>
          <w:szCs w:val="14"/>
        </w:rPr>
        <w:t>VII. Acompañar las pruebas que se ofrezca.</w:t>
      </w:r>
    </w:p>
  </w:footnote>
  <w:footnote w:id="6">
    <w:p w14:paraId="70DDAFD3" w14:textId="77777777" w:rsidR="0029796E" w:rsidRDefault="0029796E" w:rsidP="0029796E">
      <w:pPr>
        <w:pStyle w:val="Textonotapie"/>
        <w:rPr>
          <w:rFonts w:ascii="Arial" w:hAnsi="Arial" w:cs="Arial"/>
          <w:i/>
          <w:sz w:val="14"/>
          <w:szCs w:val="14"/>
        </w:rPr>
      </w:pPr>
      <w:r>
        <w:rPr>
          <w:rStyle w:val="Refdenotaalpie"/>
          <w:rFonts w:ascii="Arial" w:hAnsi="Arial" w:cs="Arial"/>
          <w:sz w:val="14"/>
          <w:szCs w:val="14"/>
        </w:rPr>
        <w:footnoteRef/>
      </w:r>
      <w:r>
        <w:rPr>
          <w:rFonts w:ascii="Arial" w:hAnsi="Arial" w:cs="Arial"/>
          <w:sz w:val="14"/>
          <w:szCs w:val="14"/>
        </w:rPr>
        <w:t xml:space="preserve"> </w:t>
      </w:r>
      <w:r>
        <w:rPr>
          <w:rFonts w:ascii="Arial" w:hAnsi="Arial" w:cs="Arial"/>
          <w:b/>
          <w:i/>
          <w:sz w:val="14"/>
          <w:szCs w:val="14"/>
        </w:rPr>
        <w:t>Artículo 31.-</w:t>
      </w:r>
      <w:r>
        <w:rPr>
          <w:rFonts w:ascii="Arial" w:hAnsi="Arial" w:cs="Arial"/>
          <w:i/>
          <w:sz w:val="14"/>
          <w:szCs w:val="14"/>
        </w:rPr>
        <w:t xml:space="preserve"> Si la demanda satisface los requisitos de ley, o cumplidas las prevenciones si las hubiere, el Instructor, en el plazo de cinco días hábiles, dictará el acuerdo en el que se admita. </w:t>
      </w:r>
    </w:p>
    <w:p w14:paraId="03AF19BB" w14:textId="77777777" w:rsidR="0029796E" w:rsidRDefault="0029796E" w:rsidP="0029796E">
      <w:pPr>
        <w:pStyle w:val="Textonotapie"/>
        <w:rPr>
          <w:rFonts w:ascii="Arial" w:hAnsi="Arial" w:cs="Arial"/>
          <w:i/>
          <w:sz w:val="14"/>
          <w:szCs w:val="14"/>
        </w:rPr>
      </w:pPr>
      <w:r>
        <w:rPr>
          <w:rFonts w:ascii="Arial" w:hAnsi="Arial" w:cs="Arial"/>
          <w:i/>
          <w:sz w:val="14"/>
          <w:szCs w:val="14"/>
        </w:rPr>
        <w:t xml:space="preserve">Al admitirse la demanda, se ordenará el emplazamiento a la Auditoría para que rinda su informe en un plazo de cinco días hábiles, el cual deberá contener por lo menos: </w:t>
      </w:r>
    </w:p>
    <w:p w14:paraId="6F7AD9F2" w14:textId="77777777" w:rsidR="0029796E" w:rsidRDefault="0029796E" w:rsidP="0029796E">
      <w:pPr>
        <w:pStyle w:val="Textonotapie"/>
        <w:rPr>
          <w:rFonts w:ascii="Arial" w:hAnsi="Arial" w:cs="Arial"/>
          <w:i/>
          <w:sz w:val="14"/>
          <w:szCs w:val="14"/>
        </w:rPr>
      </w:pPr>
      <w:r>
        <w:rPr>
          <w:rFonts w:ascii="Arial" w:hAnsi="Arial" w:cs="Arial"/>
          <w:i/>
          <w:sz w:val="14"/>
          <w:szCs w:val="14"/>
        </w:rPr>
        <w:t>I. Si el promovente o el compareciente, tienen reconocida su personería; y</w:t>
      </w:r>
    </w:p>
    <w:p w14:paraId="57080FE6" w14:textId="77777777" w:rsidR="0029796E" w:rsidRDefault="0029796E" w:rsidP="0029796E">
      <w:pPr>
        <w:pStyle w:val="Textonotapie"/>
        <w:rPr>
          <w:rFonts w:ascii="Arial" w:hAnsi="Arial" w:cs="Arial"/>
          <w:i/>
          <w:sz w:val="14"/>
          <w:szCs w:val="14"/>
        </w:rPr>
      </w:pPr>
      <w:r>
        <w:rPr>
          <w:rFonts w:ascii="Arial" w:hAnsi="Arial" w:cs="Arial"/>
          <w:i/>
          <w:sz w:val="14"/>
          <w:szCs w:val="14"/>
        </w:rPr>
        <w:t>II. Los motivos y fundamentos jurídicos que considere pertinentes para sostener la</w:t>
      </w:r>
    </w:p>
    <w:p w14:paraId="6B56D57A" w14:textId="77777777" w:rsidR="0029796E" w:rsidRDefault="0029796E" w:rsidP="0029796E">
      <w:pPr>
        <w:pStyle w:val="Textonotapie"/>
        <w:rPr>
          <w:rFonts w:ascii="Arial" w:hAnsi="Arial" w:cs="Arial"/>
          <w:i/>
          <w:sz w:val="14"/>
          <w:szCs w:val="14"/>
        </w:rPr>
      </w:pPr>
      <w:r>
        <w:rPr>
          <w:rFonts w:ascii="Arial" w:hAnsi="Arial" w:cs="Arial"/>
          <w:i/>
          <w:sz w:val="14"/>
          <w:szCs w:val="14"/>
        </w:rPr>
        <w:t>constitucionalidad o legalidad del acto o resolución impugnada.</w:t>
      </w:r>
    </w:p>
  </w:footnote>
  <w:footnote w:id="7">
    <w:p w14:paraId="7D488AE0" w14:textId="77777777" w:rsidR="0029796E" w:rsidRDefault="0029796E" w:rsidP="0029796E">
      <w:pPr>
        <w:autoSpaceDE w:val="0"/>
        <w:autoSpaceDN w:val="0"/>
        <w:adjustRightInd w:val="0"/>
        <w:spacing w:after="0" w:line="240" w:lineRule="auto"/>
        <w:jc w:val="both"/>
      </w:pPr>
      <w:r>
        <w:rPr>
          <w:rStyle w:val="Refdenotaalpie"/>
          <w:rFonts w:ascii="Arial" w:hAnsi="Arial" w:cs="Arial"/>
          <w:i/>
          <w:sz w:val="14"/>
          <w:szCs w:val="14"/>
        </w:rPr>
        <w:footnoteRef/>
      </w:r>
      <w:r>
        <w:rPr>
          <w:rFonts w:ascii="Arial" w:hAnsi="Arial" w:cs="Arial"/>
          <w:i/>
          <w:sz w:val="14"/>
          <w:szCs w:val="14"/>
        </w:rPr>
        <w:t xml:space="preserve"> </w:t>
      </w:r>
      <w:r>
        <w:rPr>
          <w:rFonts w:ascii="Arial" w:hAnsi="Arial" w:cs="Arial"/>
          <w:b/>
          <w:bCs/>
          <w:i/>
          <w:color w:val="000000"/>
          <w:sz w:val="14"/>
          <w:szCs w:val="14"/>
        </w:rPr>
        <w:t>Artículo 38.-</w:t>
      </w:r>
      <w:r>
        <w:rPr>
          <w:rFonts w:ascii="Arial" w:hAnsi="Arial" w:cs="Arial"/>
          <w:i/>
          <w:color w:val="000000"/>
          <w:sz w:val="14"/>
          <w:szCs w:val="14"/>
        </w:rPr>
        <w:t xml:space="preserve"> Hecha la citación para sentencia el Instructor turnará el expediente al magistrado que corresponda para que presente el proyecto de sentencia ante la Sala Superior.</w:t>
      </w:r>
    </w:p>
  </w:footnote>
  <w:footnote w:id="8">
    <w:p w14:paraId="6304A065" w14:textId="77777777" w:rsidR="0029796E" w:rsidRDefault="0029796E" w:rsidP="0029796E">
      <w:pPr>
        <w:spacing w:before="120" w:after="0" w:line="240" w:lineRule="auto"/>
        <w:ind w:right="49"/>
        <w:jc w:val="both"/>
        <w:rPr>
          <w:rFonts w:ascii="Arial" w:hAnsi="Arial" w:cs="Arial"/>
          <w:sz w:val="18"/>
          <w:szCs w:val="18"/>
        </w:rPr>
      </w:pPr>
      <w:r>
        <w:rPr>
          <w:rStyle w:val="Refdenotaalpie"/>
          <w:sz w:val="18"/>
          <w:szCs w:val="18"/>
        </w:rPr>
        <w:footnoteRef/>
      </w:r>
      <w:r>
        <w:rPr>
          <w:sz w:val="18"/>
          <w:szCs w:val="18"/>
        </w:rPr>
        <w:t xml:space="preserve"> </w:t>
      </w:r>
      <w:r>
        <w:rPr>
          <w:rFonts w:ascii="Arial" w:hAnsi="Arial" w:cs="Arial"/>
          <w:b/>
          <w:sz w:val="18"/>
          <w:szCs w:val="18"/>
        </w:rPr>
        <w:t>Artículo 114 QUÁTER</w:t>
      </w:r>
      <w:r>
        <w:rPr>
          <w:rFonts w:ascii="Arial" w:hAnsi="Arial" w:cs="Arial"/>
          <w:sz w:val="18"/>
          <w:szCs w:val="18"/>
        </w:rPr>
        <w:t>.- El Tribunal de Justicia Administrativa del Estado de Oaxaca, es la máxima autoridad jurisdiccional en materia de fiscalización, rendición de cuentas, responsabilidades de los servidores públicos, combate a la corrupción e impartición de Justicia Administrativa, estará dotado de plena autonomía para dictar sus fallos, establecer su organización, funcionamiento, procedimiento y su presupuesto.</w:t>
      </w:r>
    </w:p>
    <w:p w14:paraId="438A279F" w14:textId="77777777" w:rsidR="0029796E" w:rsidRDefault="0029796E" w:rsidP="0029796E">
      <w:pPr>
        <w:spacing w:before="120" w:after="0" w:line="240" w:lineRule="auto"/>
        <w:ind w:right="49"/>
        <w:jc w:val="both"/>
        <w:rPr>
          <w:rFonts w:ascii="Arial" w:hAnsi="Arial" w:cs="Arial"/>
          <w:sz w:val="18"/>
          <w:szCs w:val="18"/>
        </w:rPr>
      </w:pPr>
      <w:r>
        <w:rPr>
          <w:rFonts w:ascii="Arial" w:hAnsi="Arial" w:cs="Arial"/>
          <w:sz w:val="18"/>
          <w:szCs w:val="18"/>
        </w:rPr>
        <w:t>B) La organización, administración, vigilancia y disciplina en este Tribunal se establecerá en los términos que disponga su Ley Orgánica y tendrá las siguientes atribuciones:</w:t>
      </w:r>
    </w:p>
    <w:p w14:paraId="261ECBF1" w14:textId="77777777" w:rsidR="0029796E" w:rsidRDefault="0029796E" w:rsidP="0029796E">
      <w:pPr>
        <w:spacing w:before="120" w:after="0" w:line="240" w:lineRule="auto"/>
        <w:ind w:right="49"/>
        <w:jc w:val="both"/>
        <w:rPr>
          <w:rFonts w:ascii="Arial" w:hAnsi="Arial" w:cs="Arial"/>
          <w:sz w:val="18"/>
          <w:szCs w:val="18"/>
        </w:rPr>
      </w:pPr>
      <w:r>
        <w:rPr>
          <w:rFonts w:ascii="Arial" w:hAnsi="Arial" w:cs="Arial"/>
          <w:sz w:val="18"/>
          <w:szCs w:val="18"/>
        </w:rPr>
        <w:t>I. Conocer y resolver mediante juicio las controversias suscitadas por resoluciones que emita el Órgano Superior de Fiscalización del Estado de Oaxaca.</w:t>
      </w:r>
    </w:p>
    <w:p w14:paraId="0682937A" w14:textId="77777777" w:rsidR="0029796E" w:rsidRDefault="0029796E" w:rsidP="0029796E">
      <w:pPr>
        <w:pStyle w:val="Textonotapie"/>
        <w:ind w:right="49"/>
        <w:rPr>
          <w:sz w:val="18"/>
          <w:szCs w:val="18"/>
        </w:rPr>
      </w:pPr>
    </w:p>
  </w:footnote>
  <w:footnote w:id="9">
    <w:p w14:paraId="5A606844" w14:textId="77777777" w:rsidR="0029796E" w:rsidRDefault="0029796E" w:rsidP="0029796E">
      <w:pPr>
        <w:spacing w:after="0" w:line="240" w:lineRule="auto"/>
        <w:jc w:val="both"/>
        <w:rPr>
          <w:rFonts w:ascii="Arial" w:hAnsi="Arial" w:cs="Arial"/>
          <w:i/>
          <w:color w:val="000000"/>
          <w:sz w:val="16"/>
          <w:szCs w:val="16"/>
        </w:rPr>
      </w:pPr>
      <w:r>
        <w:rPr>
          <w:rFonts w:ascii="Arial" w:hAnsi="Arial" w:cs="Arial"/>
          <w:i/>
          <w:sz w:val="16"/>
          <w:szCs w:val="16"/>
          <w:vertAlign w:val="superscript"/>
        </w:rPr>
        <w:footnoteRef/>
      </w:r>
      <w:r>
        <w:rPr>
          <w:rFonts w:ascii="Arial" w:hAnsi="Arial" w:cs="Arial"/>
          <w:i/>
          <w:color w:val="000000"/>
          <w:sz w:val="16"/>
          <w:szCs w:val="16"/>
        </w:rPr>
        <w:t xml:space="preserve"> “</w:t>
      </w:r>
      <w:r>
        <w:rPr>
          <w:rFonts w:ascii="Arial" w:hAnsi="Arial" w:cs="Arial"/>
          <w:b/>
          <w:i/>
          <w:color w:val="000000"/>
          <w:sz w:val="16"/>
          <w:szCs w:val="16"/>
        </w:rPr>
        <w:t>ARTÍCULO 158.-</w:t>
      </w:r>
      <w:r>
        <w:rPr>
          <w:rFonts w:ascii="Arial" w:hAnsi="Arial" w:cs="Arial"/>
          <w:i/>
          <w:color w:val="000000"/>
          <w:sz w:val="16"/>
          <w:szCs w:val="16"/>
        </w:rPr>
        <w:t xml:space="preserve"> El Tribunal está facultado para desechar de plano las promociones notoriamente improcedentes, o que se interpongan con el fin evidente de dilatar otro procedimiento.”</w:t>
      </w:r>
    </w:p>
  </w:footnote>
  <w:footnote w:id="10">
    <w:p w14:paraId="3F8CD457" w14:textId="77777777" w:rsidR="0029796E" w:rsidRDefault="0029796E" w:rsidP="0029796E">
      <w:pPr>
        <w:spacing w:after="0" w:line="240" w:lineRule="auto"/>
        <w:jc w:val="both"/>
        <w:rPr>
          <w:rFonts w:ascii="Arial" w:hAnsi="Arial" w:cs="Arial"/>
          <w:i/>
          <w:color w:val="000000"/>
          <w:sz w:val="16"/>
          <w:szCs w:val="16"/>
        </w:rPr>
      </w:pPr>
      <w:r>
        <w:rPr>
          <w:rFonts w:ascii="Arial" w:hAnsi="Arial" w:cs="Arial"/>
          <w:i/>
          <w:sz w:val="16"/>
          <w:szCs w:val="16"/>
          <w:vertAlign w:val="superscript"/>
        </w:rPr>
        <w:footnoteRef/>
      </w:r>
      <w:r>
        <w:rPr>
          <w:rFonts w:ascii="Arial" w:hAnsi="Arial" w:cs="Arial"/>
          <w:i/>
          <w:color w:val="000000"/>
          <w:sz w:val="16"/>
          <w:szCs w:val="16"/>
        </w:rPr>
        <w:t xml:space="preserve"> “</w:t>
      </w:r>
      <w:r>
        <w:rPr>
          <w:rFonts w:ascii="Arial" w:hAnsi="Arial" w:cs="Arial"/>
          <w:b/>
          <w:i/>
          <w:color w:val="000000"/>
          <w:sz w:val="16"/>
          <w:szCs w:val="16"/>
        </w:rPr>
        <w:t>ARTÍCULO 161.-</w:t>
      </w:r>
      <w:r>
        <w:rPr>
          <w:rFonts w:ascii="Arial" w:hAnsi="Arial" w:cs="Arial"/>
          <w:i/>
          <w:color w:val="000000"/>
          <w:sz w:val="16"/>
          <w:szCs w:val="16"/>
        </w:rPr>
        <w:t xml:space="preserve"> Es improcedente el juicio ante el Tribunal contra actos: (…) </w:t>
      </w:r>
    </w:p>
    <w:p w14:paraId="18BAED11" w14:textId="77777777" w:rsidR="0029796E" w:rsidRDefault="0029796E" w:rsidP="0029796E">
      <w:pPr>
        <w:spacing w:after="0" w:line="240" w:lineRule="auto"/>
        <w:jc w:val="both"/>
        <w:rPr>
          <w:rFonts w:ascii="Arial" w:hAnsi="Arial" w:cs="Arial"/>
          <w:i/>
          <w:color w:val="000000"/>
          <w:sz w:val="16"/>
          <w:szCs w:val="16"/>
        </w:rPr>
      </w:pPr>
      <w:r>
        <w:rPr>
          <w:rFonts w:ascii="Arial" w:hAnsi="Arial" w:cs="Arial"/>
          <w:b/>
          <w:i/>
          <w:color w:val="000000"/>
          <w:sz w:val="16"/>
          <w:szCs w:val="16"/>
        </w:rPr>
        <w:t>X.</w:t>
      </w:r>
      <w:r>
        <w:rPr>
          <w:rFonts w:ascii="Arial" w:hAnsi="Arial" w:cs="Arial"/>
          <w:i/>
          <w:color w:val="000000"/>
          <w:sz w:val="16"/>
          <w:szCs w:val="16"/>
        </w:rPr>
        <w:t xml:space="preserve"> En los demás casos en que la improcedencia resulte de alguna disposición de esta Ley o de cualquiera otra de naturaleza fiscal o administrativa.”</w:t>
      </w:r>
    </w:p>
  </w:footnote>
  <w:footnote w:id="11">
    <w:p w14:paraId="56256863" w14:textId="77777777" w:rsidR="0029796E" w:rsidRDefault="0029796E" w:rsidP="0029796E">
      <w:pPr>
        <w:spacing w:after="0" w:line="240" w:lineRule="auto"/>
        <w:jc w:val="both"/>
        <w:rPr>
          <w:rFonts w:ascii="Arial" w:hAnsi="Arial" w:cs="Arial"/>
          <w:i/>
          <w:color w:val="000000"/>
          <w:sz w:val="16"/>
          <w:szCs w:val="16"/>
        </w:rPr>
      </w:pPr>
      <w:r>
        <w:rPr>
          <w:rFonts w:ascii="Arial" w:hAnsi="Arial" w:cs="Arial"/>
          <w:i/>
          <w:sz w:val="16"/>
          <w:szCs w:val="16"/>
          <w:vertAlign w:val="superscript"/>
        </w:rPr>
        <w:footnoteRef/>
      </w:r>
      <w:r>
        <w:rPr>
          <w:rFonts w:ascii="Arial" w:hAnsi="Arial" w:cs="Arial"/>
          <w:i/>
          <w:color w:val="000000"/>
          <w:sz w:val="16"/>
          <w:szCs w:val="16"/>
        </w:rPr>
        <w:t xml:space="preserve"> “</w:t>
      </w:r>
      <w:r>
        <w:rPr>
          <w:rFonts w:ascii="Arial" w:hAnsi="Arial" w:cs="Arial"/>
          <w:b/>
          <w:i/>
          <w:color w:val="000000"/>
          <w:sz w:val="16"/>
          <w:szCs w:val="16"/>
        </w:rPr>
        <w:t>ARTÍCULO 182.-</w:t>
      </w:r>
      <w:r>
        <w:rPr>
          <w:rFonts w:ascii="Arial" w:hAnsi="Arial" w:cs="Arial"/>
          <w:i/>
          <w:color w:val="000000"/>
          <w:sz w:val="16"/>
          <w:szCs w:val="16"/>
        </w:rPr>
        <w:t xml:space="preserve"> Se podrá desechar la demanda:  </w:t>
      </w:r>
    </w:p>
    <w:p w14:paraId="7422752E" w14:textId="77777777" w:rsidR="0029796E" w:rsidRDefault="0029796E" w:rsidP="0029796E">
      <w:pPr>
        <w:spacing w:after="0" w:line="240" w:lineRule="auto"/>
        <w:jc w:val="both"/>
        <w:rPr>
          <w:rFonts w:ascii="Arial" w:hAnsi="Arial" w:cs="Arial"/>
          <w:i/>
          <w:color w:val="000000"/>
          <w:sz w:val="16"/>
          <w:szCs w:val="16"/>
        </w:rPr>
      </w:pPr>
      <w:r>
        <w:rPr>
          <w:rFonts w:ascii="Arial" w:hAnsi="Arial" w:cs="Arial"/>
          <w:b/>
          <w:i/>
          <w:color w:val="000000"/>
          <w:sz w:val="16"/>
          <w:szCs w:val="16"/>
        </w:rPr>
        <w:t>I.</w:t>
      </w:r>
      <w:r>
        <w:rPr>
          <w:rFonts w:ascii="Arial" w:hAnsi="Arial" w:cs="Arial"/>
          <w:i/>
          <w:color w:val="000000"/>
          <w:sz w:val="16"/>
          <w:szCs w:val="16"/>
        </w:rPr>
        <w:t xml:space="preserve"> Si se encontrare motivo manifiesto e indudable de improcedencia; y</w:t>
      </w:r>
    </w:p>
    <w:p w14:paraId="68F65008" w14:textId="77777777" w:rsidR="0029796E" w:rsidRDefault="0029796E" w:rsidP="0029796E">
      <w:pPr>
        <w:spacing w:after="0" w:line="240" w:lineRule="auto"/>
        <w:jc w:val="both"/>
        <w:rPr>
          <w:color w:val="000000"/>
          <w:sz w:val="20"/>
          <w:szCs w:val="20"/>
        </w:rPr>
      </w:pPr>
      <w:r>
        <w:rPr>
          <w:rFonts w:ascii="Arial" w:hAnsi="Arial" w:cs="Arial"/>
          <w:i/>
          <w:color w:val="000000"/>
          <w:sz w:val="16"/>
          <w:szCs w:val="16"/>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E30F618" w14:textId="77777777" w:rsidR="005D26C5" w:rsidRDefault="00071936">
        <w:pPr>
          <w:pStyle w:val="Encabezado"/>
          <w:jc w:val="center"/>
        </w:pPr>
        <w:r>
          <w:rPr>
            <w:noProof/>
          </w:rPr>
          <w:pict w14:anchorId="02BFC2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5D26C5">
          <w:fldChar w:fldCharType="begin"/>
        </w:r>
        <w:r w:rsidR="005D26C5">
          <w:instrText>PAGE   \* MERGEFORMAT</w:instrText>
        </w:r>
        <w:r w:rsidR="005D26C5">
          <w:fldChar w:fldCharType="separate"/>
        </w:r>
        <w:r w:rsidRPr="00071936">
          <w:rPr>
            <w:noProof/>
            <w:lang w:val="es-ES"/>
          </w:rPr>
          <w:t>20</w:t>
        </w:r>
        <w:r w:rsidR="005D26C5">
          <w:rPr>
            <w:noProof/>
            <w:lang w:val="es-ES"/>
          </w:rPr>
          <w:fldChar w:fldCharType="end"/>
        </w:r>
      </w:p>
    </w:sdtContent>
  </w:sdt>
  <w:p w14:paraId="475DD6C7" w14:textId="77777777" w:rsidR="005D26C5" w:rsidRDefault="005D26C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FC3513" w14:textId="77777777" w:rsidR="005D26C5" w:rsidRDefault="00071936">
    <w:pPr>
      <w:pStyle w:val="Encabezado"/>
      <w:jc w:val="center"/>
    </w:pPr>
    <w:r>
      <w:rPr>
        <w:noProof/>
      </w:rPr>
      <w:pict w14:anchorId="118FD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5D26C5">
          <w:fldChar w:fldCharType="begin"/>
        </w:r>
        <w:r w:rsidR="005D26C5">
          <w:instrText>PAGE   \* MERGEFORMAT</w:instrText>
        </w:r>
        <w:r w:rsidR="005D26C5">
          <w:fldChar w:fldCharType="separate"/>
        </w:r>
        <w:r w:rsidRPr="00071936">
          <w:rPr>
            <w:noProof/>
            <w:lang w:val="es-ES"/>
          </w:rPr>
          <w:t>19</w:t>
        </w:r>
        <w:r w:rsidR="005D26C5">
          <w:rPr>
            <w:noProof/>
            <w:lang w:val="es-ES"/>
          </w:rPr>
          <w:fldChar w:fldCharType="end"/>
        </w:r>
      </w:sdtContent>
    </w:sdt>
  </w:p>
  <w:p w14:paraId="318D0739" w14:textId="7D2B2576" w:rsidR="005D26C5" w:rsidRDefault="00F35DC2"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7B4920D1" wp14:editId="2E23870A">
              <wp:simplePos x="0" y="0"/>
              <wp:positionH relativeFrom="page">
                <wp:posOffset>232399</wp:posOffset>
              </wp:positionH>
              <wp:positionV relativeFrom="paragraph">
                <wp:posOffset>4632282</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5198095" w14:textId="77777777" w:rsidR="00F35DC2" w:rsidRDefault="00F35DC2" w:rsidP="00F35DC2">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4920D1" id="_x0000_t202" coordsize="21600,21600" o:spt="202" path="m,l,21600r21600,l21600,xe">
              <v:stroke joinstyle="miter"/>
              <v:path gradientshapeok="t" o:connecttype="rect"/>
            </v:shapetype>
            <v:shape id="Cuadro de texto 1" o:spid="_x0000_s1026" type="#_x0000_t202" style="position:absolute;left:0;text-align:left;margin-left:18.3pt;margin-top:364.75pt;width:101.05pt;height:91.3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ImbmAIAALoFAAAOAAAAZHJzL2Uyb0RvYy54bWysVEtv2zAMvg/YfxB0Xx3n0XVBnSJL0WFA&#10;0RZrh54VWWqMyqImKbGzXz9SdtKk66XDLjYlfnx9Inl+0daGbZQPFdiC5ycDzpSVUFb2qeA/H64+&#10;nXEWorClMGBVwbcq8IvZxw/njZuqIazAlMozdGLDtHEFX8XoplkW5ErVIpyAUxaVGnwtIh79U1Z6&#10;0aD32mTDweA0a8CXzoNUIeDtZafks+RfayXjrdZBRWYKjrnF9PXpu6RvNjsX0ycv3KqSfRriH7Ko&#10;RWUx6N7VpYiCrX31l6u6kh4C6Hgioc5A60qqVANWkw9eVXO/Ek6lWpCc4PY0hf/nVt5s7jyrSnw7&#10;zqyo8YkWa1F6YKViUbURWE4kNS5MEXvvEB3br9CSQX8f8JJqb7Wv6Y9VMdQj3ds9xeiJSTIano1G&#10;owlnEnV5fjrIxxPyk72YOx/iNwU1I6HgHt8wUSs21yF20B2EogUwVXlVGZMO1DdqYTzbCHxxE1OS&#10;6PwIZSxrCn46mgyS4yMdud7bL42Qz316Byj0ZyyFU6nD+rSIoo6KJMWtUYQx9ofSyHBi5I0chZTK&#10;7vNMaEJprOg9hj3+Jav3GHd1oEWKDDbujevKgu9YOqa2fN5Rqzs8vuFB3STGdtn2LbKEcoud46Eb&#10;wODkVYVEX4sQ74THicNmwS0Sb/GjDeDrQC9xtgL/+617wuMgoJazBie44OHXWnjFmflucUS+5OMx&#10;jXw6jCefh3jwh5rlocau6wVgy+AYYHZJJHw0O1F7qB9x2cwpKqqElRi74HEnLmK3V3BZSTWfJxAO&#10;uRPx2t47Sa6JXmqwh/ZReNc3OE3ZDexmXUxf9XmHJUsL83UEXaUhIII7VnvicUGkMeqXGW2gw3NC&#10;vazc2R8AAAD//wMAUEsDBBQABgAIAAAAIQAe4qUa3gAAAAoBAAAPAAAAZHJzL2Rvd25yZXYueG1s&#10;TI/BTsMwEETvSPyDtUjcqFNXpEkapwJUuHCiIM5uvLWtxnZku2n4e8yJHlfzNPO23c52IBOGaLzj&#10;sFwUQND1XhqnOHx9vj5UQGISTorBO+TwgxG23e1NKxrpL+4Dp31SJJe42AgOOqWxoTT2Gq2ICz+i&#10;y9nRBytSPoOiMohLLrcDZUVRUiuMywtajPiisT/tz5bD7lnVqq9E0LtKGjPN38d39cb5/d38tAGS&#10;cE7/MPzpZ3XostPBn52MZOCwKstMcliz+hFIBtiqWgM5cKiXjAHtWnr9QvcLAAD//wMAUEsBAi0A&#10;FAAGAAgAAAAhALaDOJL+AAAA4QEAABMAAAAAAAAAAAAAAAAAAAAAAFtDb250ZW50X1R5cGVzXS54&#10;bWxQSwECLQAUAAYACAAAACEAOP0h/9YAAACUAQAACwAAAAAAAAAAAAAAAAAvAQAAX3JlbHMvLnJl&#10;bHNQSwECLQAUAAYACAAAACEARZiJm5gCAAC6BQAADgAAAAAAAAAAAAAAAAAuAgAAZHJzL2Uyb0Rv&#10;Yy54bWxQSwECLQAUAAYACAAAACEAHuKlGt4AAAAKAQAADwAAAAAAAAAAAAAAAADyBAAAZHJzL2Rv&#10;d25yZXYueG1sUEsFBgAAAAAEAAQA8wAAAP0FAAAAAA==&#10;" fillcolor="white [3201]" strokeweight=".5pt">
              <v:textbox>
                <w:txbxContent>
                  <w:p w14:paraId="05198095" w14:textId="77777777" w:rsidR="00F35DC2" w:rsidRDefault="00F35DC2" w:rsidP="00F35DC2">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w10:wrap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D91794" w14:textId="77777777" w:rsidR="005D26C5" w:rsidRDefault="00071936">
    <w:pPr>
      <w:pStyle w:val="Encabezado"/>
    </w:pPr>
    <w:r>
      <w:rPr>
        <w:noProof/>
      </w:rPr>
      <w:pict w14:anchorId="3D1F5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4B67277"/>
    <w:multiLevelType w:val="hybridMultilevel"/>
    <w:tmpl w:val="125C955A"/>
    <w:lvl w:ilvl="0" w:tplc="49D83A34">
      <w:start w:val="1"/>
      <w:numFmt w:val="lowerLetter"/>
      <w:lvlText w:val="%1)"/>
      <w:lvlJc w:val="left"/>
      <w:pPr>
        <w:ind w:left="1429" w:hanging="360"/>
      </w:pPr>
      <w:rPr>
        <w:b/>
        <w:i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8">
    <w:nsid w:val="3EE9251B"/>
    <w:multiLevelType w:val="hybridMultilevel"/>
    <w:tmpl w:val="14742BF0"/>
    <w:lvl w:ilvl="0" w:tplc="81A07C40">
      <w:start w:val="1"/>
      <w:numFmt w:val="upperLetter"/>
      <w:lvlText w:val="%1)"/>
      <w:lvlJc w:val="left"/>
      <w:pPr>
        <w:ind w:left="1211" w:hanging="360"/>
      </w:pPr>
    </w:lvl>
    <w:lvl w:ilvl="1" w:tplc="080A0019">
      <w:start w:val="1"/>
      <w:numFmt w:val="lowerLetter"/>
      <w:lvlText w:val="%2."/>
      <w:lvlJc w:val="left"/>
      <w:pPr>
        <w:ind w:left="1931" w:hanging="360"/>
      </w:pPr>
    </w:lvl>
    <w:lvl w:ilvl="2" w:tplc="080A001B">
      <w:start w:val="1"/>
      <w:numFmt w:val="lowerRoman"/>
      <w:lvlText w:val="%3."/>
      <w:lvlJc w:val="right"/>
      <w:pPr>
        <w:ind w:left="2651" w:hanging="180"/>
      </w:pPr>
    </w:lvl>
    <w:lvl w:ilvl="3" w:tplc="080A000F">
      <w:start w:val="1"/>
      <w:numFmt w:val="decimal"/>
      <w:lvlText w:val="%4."/>
      <w:lvlJc w:val="left"/>
      <w:pPr>
        <w:ind w:left="3371" w:hanging="360"/>
      </w:pPr>
    </w:lvl>
    <w:lvl w:ilvl="4" w:tplc="080A0019">
      <w:start w:val="1"/>
      <w:numFmt w:val="lowerLetter"/>
      <w:lvlText w:val="%5."/>
      <w:lvlJc w:val="left"/>
      <w:pPr>
        <w:ind w:left="4091" w:hanging="360"/>
      </w:pPr>
    </w:lvl>
    <w:lvl w:ilvl="5" w:tplc="080A001B">
      <w:start w:val="1"/>
      <w:numFmt w:val="lowerRoman"/>
      <w:lvlText w:val="%6."/>
      <w:lvlJc w:val="right"/>
      <w:pPr>
        <w:ind w:left="4811" w:hanging="180"/>
      </w:pPr>
    </w:lvl>
    <w:lvl w:ilvl="6" w:tplc="080A000F">
      <w:start w:val="1"/>
      <w:numFmt w:val="decimal"/>
      <w:lvlText w:val="%7."/>
      <w:lvlJc w:val="left"/>
      <w:pPr>
        <w:ind w:left="5531" w:hanging="360"/>
      </w:pPr>
    </w:lvl>
    <w:lvl w:ilvl="7" w:tplc="080A0019">
      <w:start w:val="1"/>
      <w:numFmt w:val="lowerLetter"/>
      <w:lvlText w:val="%8."/>
      <w:lvlJc w:val="left"/>
      <w:pPr>
        <w:ind w:left="6251" w:hanging="360"/>
      </w:pPr>
    </w:lvl>
    <w:lvl w:ilvl="8" w:tplc="080A001B">
      <w:start w:val="1"/>
      <w:numFmt w:val="lowerRoman"/>
      <w:lvlText w:val="%9."/>
      <w:lvlJc w:val="right"/>
      <w:pPr>
        <w:ind w:left="6971" w:hanging="180"/>
      </w:p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74B4F62"/>
    <w:multiLevelType w:val="hybridMultilevel"/>
    <w:tmpl w:val="5DEA382E"/>
    <w:lvl w:ilvl="0" w:tplc="96301A40">
      <w:start w:val="1"/>
      <w:numFmt w:val="lowerLetter"/>
      <w:lvlText w:val="%1)"/>
      <w:lvlJc w:val="left"/>
      <w:pPr>
        <w:ind w:left="659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4F7E630D"/>
    <w:multiLevelType w:val="hybridMultilevel"/>
    <w:tmpl w:val="E0861510"/>
    <w:lvl w:ilvl="0" w:tplc="780AAFE8">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52431973"/>
    <w:multiLevelType w:val="hybridMultilevel"/>
    <w:tmpl w:val="5DEA382E"/>
    <w:lvl w:ilvl="0" w:tplc="96301A40">
      <w:start w:val="1"/>
      <w:numFmt w:val="lowerLetter"/>
      <w:lvlText w:val="%1)"/>
      <w:lvlJc w:val="left"/>
      <w:pPr>
        <w:ind w:left="659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52DD30EB"/>
    <w:multiLevelType w:val="hybridMultilevel"/>
    <w:tmpl w:val="0CCC4D36"/>
    <w:lvl w:ilvl="0" w:tplc="B1E88AFA">
      <w:start w:val="1"/>
      <w:numFmt w:val="upperLetter"/>
      <w:lvlText w:val="%1)"/>
      <w:lvlJc w:val="left"/>
      <w:pPr>
        <w:ind w:left="1211" w:hanging="360"/>
      </w:pPr>
    </w:lvl>
    <w:lvl w:ilvl="1" w:tplc="080A0019">
      <w:start w:val="1"/>
      <w:numFmt w:val="lowerLetter"/>
      <w:lvlText w:val="%2."/>
      <w:lvlJc w:val="left"/>
      <w:pPr>
        <w:ind w:left="1931" w:hanging="360"/>
      </w:pPr>
    </w:lvl>
    <w:lvl w:ilvl="2" w:tplc="080A001B">
      <w:start w:val="1"/>
      <w:numFmt w:val="lowerRoman"/>
      <w:lvlText w:val="%3."/>
      <w:lvlJc w:val="right"/>
      <w:pPr>
        <w:ind w:left="2651" w:hanging="180"/>
      </w:pPr>
    </w:lvl>
    <w:lvl w:ilvl="3" w:tplc="080A000F">
      <w:start w:val="1"/>
      <w:numFmt w:val="decimal"/>
      <w:lvlText w:val="%4."/>
      <w:lvlJc w:val="left"/>
      <w:pPr>
        <w:ind w:left="3371" w:hanging="360"/>
      </w:pPr>
    </w:lvl>
    <w:lvl w:ilvl="4" w:tplc="080A0019">
      <w:start w:val="1"/>
      <w:numFmt w:val="lowerLetter"/>
      <w:lvlText w:val="%5."/>
      <w:lvlJc w:val="left"/>
      <w:pPr>
        <w:ind w:left="4091" w:hanging="360"/>
      </w:pPr>
    </w:lvl>
    <w:lvl w:ilvl="5" w:tplc="080A001B">
      <w:start w:val="1"/>
      <w:numFmt w:val="lowerRoman"/>
      <w:lvlText w:val="%6."/>
      <w:lvlJc w:val="right"/>
      <w:pPr>
        <w:ind w:left="4811" w:hanging="180"/>
      </w:pPr>
    </w:lvl>
    <w:lvl w:ilvl="6" w:tplc="080A000F">
      <w:start w:val="1"/>
      <w:numFmt w:val="decimal"/>
      <w:lvlText w:val="%7."/>
      <w:lvlJc w:val="left"/>
      <w:pPr>
        <w:ind w:left="5531" w:hanging="360"/>
      </w:pPr>
    </w:lvl>
    <w:lvl w:ilvl="7" w:tplc="080A0019">
      <w:start w:val="1"/>
      <w:numFmt w:val="lowerLetter"/>
      <w:lvlText w:val="%8."/>
      <w:lvlJc w:val="left"/>
      <w:pPr>
        <w:ind w:left="6251" w:hanging="360"/>
      </w:pPr>
    </w:lvl>
    <w:lvl w:ilvl="8" w:tplc="080A001B">
      <w:start w:val="1"/>
      <w:numFmt w:val="lowerRoman"/>
      <w:lvlText w:val="%9."/>
      <w:lvlJc w:val="right"/>
      <w:pPr>
        <w:ind w:left="6971" w:hanging="180"/>
      </w:pPr>
    </w:lvl>
  </w:abstractNum>
  <w:abstractNum w:abstractNumId="16">
    <w:nsid w:val="57663198"/>
    <w:multiLevelType w:val="multilevel"/>
    <w:tmpl w:val="825A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B447F6D"/>
    <w:multiLevelType w:val="multilevel"/>
    <w:tmpl w:val="BA76D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DF540EC"/>
    <w:multiLevelType w:val="hybridMultilevel"/>
    <w:tmpl w:val="48AE8730"/>
    <w:lvl w:ilvl="0" w:tplc="7E16B90A">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610B22D1"/>
    <w:multiLevelType w:val="hybridMultilevel"/>
    <w:tmpl w:val="F52AD1FA"/>
    <w:lvl w:ilvl="0" w:tplc="E2800D74">
      <w:start w:val="1"/>
      <w:numFmt w:val="decimal"/>
      <w:lvlText w:val="%1)"/>
      <w:lvlJc w:val="left"/>
      <w:pPr>
        <w:ind w:left="1069" w:hanging="360"/>
      </w:pPr>
      <w:rPr>
        <w:rFonts w:ascii="Arial" w:eastAsia="Calibri" w:hAnsi="Arial" w:cs="Arial"/>
      </w:r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20">
    <w:nsid w:val="61AC5C90"/>
    <w:multiLevelType w:val="hybridMultilevel"/>
    <w:tmpl w:val="7F461BF0"/>
    <w:lvl w:ilvl="0" w:tplc="171AA7D0">
      <w:start w:val="1"/>
      <w:numFmt w:val="lowerLetter"/>
      <w:lvlText w:val="%1)"/>
      <w:lvlJc w:val="left"/>
      <w:pPr>
        <w:ind w:left="1068" w:hanging="360"/>
      </w:pPr>
      <w:rPr>
        <w:rFonts w:hint="default"/>
        <w:b/>
        <w:bCs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3">
    <w:nsid w:val="766138F4"/>
    <w:multiLevelType w:val="hybridMultilevel"/>
    <w:tmpl w:val="5DEA382E"/>
    <w:lvl w:ilvl="0" w:tplc="96301A40">
      <w:start w:val="1"/>
      <w:numFmt w:val="lowerLetter"/>
      <w:lvlText w:val="%1)"/>
      <w:lvlJc w:val="left"/>
      <w:pPr>
        <w:ind w:left="659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2"/>
  </w:num>
  <w:num w:numId="2">
    <w:abstractNumId w:val="2"/>
  </w:num>
  <w:num w:numId="3">
    <w:abstractNumId w:val="0"/>
  </w:num>
  <w:num w:numId="4">
    <w:abstractNumId w:val="11"/>
  </w:num>
  <w:num w:numId="5">
    <w:abstractNumId w:val="21"/>
  </w:num>
  <w:num w:numId="6">
    <w:abstractNumId w:val="6"/>
  </w:num>
  <w:num w:numId="7">
    <w:abstractNumId w:val="4"/>
  </w:num>
  <w:num w:numId="8">
    <w:abstractNumId w:val="1"/>
  </w:num>
  <w:num w:numId="9">
    <w:abstractNumId w:val="3"/>
  </w:num>
  <w:num w:numId="10">
    <w:abstractNumId w:val="9"/>
  </w:num>
  <w:num w:numId="11">
    <w:abstractNumId w:val="12"/>
  </w:num>
  <w:num w:numId="12">
    <w:abstractNumId w:val="5"/>
  </w:num>
  <w:num w:numId="13">
    <w:abstractNumId w:val="20"/>
  </w:num>
  <w:num w:numId="14">
    <w:abstractNumId w:val="7"/>
  </w:num>
  <w:num w:numId="15">
    <w:abstractNumId w:val="16"/>
  </w:num>
  <w:num w:numId="16">
    <w:abstractNumId w:val="17"/>
  </w:num>
  <w:num w:numId="17">
    <w:abstractNumId w:val="14"/>
  </w:num>
  <w:num w:numId="18">
    <w:abstractNumId w:val="10"/>
  </w:num>
  <w:num w:numId="19">
    <w:abstractNumId w:val="23"/>
  </w:num>
  <w:num w:numId="20">
    <w:abstractNumId w:val="18"/>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681"/>
    <w:rsid w:val="00000AF2"/>
    <w:rsid w:val="00000BFF"/>
    <w:rsid w:val="00000EAB"/>
    <w:rsid w:val="0000187B"/>
    <w:rsid w:val="00001D97"/>
    <w:rsid w:val="00001FA6"/>
    <w:rsid w:val="0000259B"/>
    <w:rsid w:val="00002B85"/>
    <w:rsid w:val="00002CFB"/>
    <w:rsid w:val="00003CC3"/>
    <w:rsid w:val="00004038"/>
    <w:rsid w:val="0000488B"/>
    <w:rsid w:val="00005B69"/>
    <w:rsid w:val="00005BCB"/>
    <w:rsid w:val="00005EA0"/>
    <w:rsid w:val="0000669F"/>
    <w:rsid w:val="00007105"/>
    <w:rsid w:val="00007296"/>
    <w:rsid w:val="000073F3"/>
    <w:rsid w:val="00007DE0"/>
    <w:rsid w:val="00007E09"/>
    <w:rsid w:val="00007EFD"/>
    <w:rsid w:val="00007FD5"/>
    <w:rsid w:val="00010444"/>
    <w:rsid w:val="000106FE"/>
    <w:rsid w:val="000121A9"/>
    <w:rsid w:val="000126F6"/>
    <w:rsid w:val="00012918"/>
    <w:rsid w:val="00012DC1"/>
    <w:rsid w:val="000130C8"/>
    <w:rsid w:val="000135AF"/>
    <w:rsid w:val="000140C7"/>
    <w:rsid w:val="000145D5"/>
    <w:rsid w:val="00014870"/>
    <w:rsid w:val="00014F98"/>
    <w:rsid w:val="0001695E"/>
    <w:rsid w:val="00016C0B"/>
    <w:rsid w:val="00016E88"/>
    <w:rsid w:val="0001711C"/>
    <w:rsid w:val="000174F5"/>
    <w:rsid w:val="00020680"/>
    <w:rsid w:val="00020D86"/>
    <w:rsid w:val="000215EA"/>
    <w:rsid w:val="00021989"/>
    <w:rsid w:val="00021B04"/>
    <w:rsid w:val="00021C5F"/>
    <w:rsid w:val="00021CC2"/>
    <w:rsid w:val="00022BBC"/>
    <w:rsid w:val="00023D19"/>
    <w:rsid w:val="00023F33"/>
    <w:rsid w:val="00024545"/>
    <w:rsid w:val="000255D5"/>
    <w:rsid w:val="00025BEB"/>
    <w:rsid w:val="00026116"/>
    <w:rsid w:val="000262A2"/>
    <w:rsid w:val="000264DD"/>
    <w:rsid w:val="000268FF"/>
    <w:rsid w:val="00026C11"/>
    <w:rsid w:val="0002784E"/>
    <w:rsid w:val="000306D4"/>
    <w:rsid w:val="00030BAF"/>
    <w:rsid w:val="00032237"/>
    <w:rsid w:val="000324B9"/>
    <w:rsid w:val="000329BA"/>
    <w:rsid w:val="00032D83"/>
    <w:rsid w:val="000330FB"/>
    <w:rsid w:val="00033105"/>
    <w:rsid w:val="00034433"/>
    <w:rsid w:val="00034F3F"/>
    <w:rsid w:val="0003508F"/>
    <w:rsid w:val="0003629C"/>
    <w:rsid w:val="00036809"/>
    <w:rsid w:val="00036823"/>
    <w:rsid w:val="000369AF"/>
    <w:rsid w:val="00037279"/>
    <w:rsid w:val="00037443"/>
    <w:rsid w:val="00037569"/>
    <w:rsid w:val="00037843"/>
    <w:rsid w:val="00037C6A"/>
    <w:rsid w:val="00040088"/>
    <w:rsid w:val="00040C69"/>
    <w:rsid w:val="000412D7"/>
    <w:rsid w:val="000419E9"/>
    <w:rsid w:val="00041EAA"/>
    <w:rsid w:val="00042473"/>
    <w:rsid w:val="00043077"/>
    <w:rsid w:val="000441B5"/>
    <w:rsid w:val="00044B02"/>
    <w:rsid w:val="00044C5F"/>
    <w:rsid w:val="000450F5"/>
    <w:rsid w:val="00045290"/>
    <w:rsid w:val="000466B1"/>
    <w:rsid w:val="000466D5"/>
    <w:rsid w:val="000525F8"/>
    <w:rsid w:val="0005285F"/>
    <w:rsid w:val="00053207"/>
    <w:rsid w:val="0005370C"/>
    <w:rsid w:val="000540E8"/>
    <w:rsid w:val="0005431D"/>
    <w:rsid w:val="00054465"/>
    <w:rsid w:val="00054705"/>
    <w:rsid w:val="00054D3C"/>
    <w:rsid w:val="00055248"/>
    <w:rsid w:val="00055F66"/>
    <w:rsid w:val="000562FB"/>
    <w:rsid w:val="000565B2"/>
    <w:rsid w:val="00056F41"/>
    <w:rsid w:val="00060DBB"/>
    <w:rsid w:val="00061268"/>
    <w:rsid w:val="00061414"/>
    <w:rsid w:val="00061610"/>
    <w:rsid w:val="000616B5"/>
    <w:rsid w:val="00061C4C"/>
    <w:rsid w:val="0006202A"/>
    <w:rsid w:val="000620CD"/>
    <w:rsid w:val="00062522"/>
    <w:rsid w:val="00062802"/>
    <w:rsid w:val="00062BE3"/>
    <w:rsid w:val="000640F2"/>
    <w:rsid w:val="00064193"/>
    <w:rsid w:val="00064906"/>
    <w:rsid w:val="00064E90"/>
    <w:rsid w:val="00064FD9"/>
    <w:rsid w:val="0006533C"/>
    <w:rsid w:val="00067B5A"/>
    <w:rsid w:val="00067E6B"/>
    <w:rsid w:val="00070777"/>
    <w:rsid w:val="00070AA4"/>
    <w:rsid w:val="00071936"/>
    <w:rsid w:val="00071C6F"/>
    <w:rsid w:val="00071E8C"/>
    <w:rsid w:val="00071F15"/>
    <w:rsid w:val="000728B9"/>
    <w:rsid w:val="00073320"/>
    <w:rsid w:val="000737BF"/>
    <w:rsid w:val="00074056"/>
    <w:rsid w:val="00074201"/>
    <w:rsid w:val="00074A23"/>
    <w:rsid w:val="00074C62"/>
    <w:rsid w:val="000755A5"/>
    <w:rsid w:val="000756DE"/>
    <w:rsid w:val="00076647"/>
    <w:rsid w:val="00076CEA"/>
    <w:rsid w:val="00077661"/>
    <w:rsid w:val="00077826"/>
    <w:rsid w:val="00077DFD"/>
    <w:rsid w:val="00080A85"/>
    <w:rsid w:val="00080D0E"/>
    <w:rsid w:val="0008122B"/>
    <w:rsid w:val="0008141F"/>
    <w:rsid w:val="00083375"/>
    <w:rsid w:val="00085132"/>
    <w:rsid w:val="0008514D"/>
    <w:rsid w:val="00085F74"/>
    <w:rsid w:val="00087470"/>
    <w:rsid w:val="000875DB"/>
    <w:rsid w:val="00087CF6"/>
    <w:rsid w:val="000900BD"/>
    <w:rsid w:val="000904A5"/>
    <w:rsid w:val="0009077C"/>
    <w:rsid w:val="00090D7D"/>
    <w:rsid w:val="000910E0"/>
    <w:rsid w:val="00091B93"/>
    <w:rsid w:val="00091BC8"/>
    <w:rsid w:val="00091FAC"/>
    <w:rsid w:val="000939DB"/>
    <w:rsid w:val="00093C95"/>
    <w:rsid w:val="00094EB2"/>
    <w:rsid w:val="00095419"/>
    <w:rsid w:val="000964DE"/>
    <w:rsid w:val="00096B18"/>
    <w:rsid w:val="00096C5C"/>
    <w:rsid w:val="00096CE1"/>
    <w:rsid w:val="00097571"/>
    <w:rsid w:val="000A084D"/>
    <w:rsid w:val="000A0E5E"/>
    <w:rsid w:val="000A12C0"/>
    <w:rsid w:val="000A1491"/>
    <w:rsid w:val="000A17DF"/>
    <w:rsid w:val="000A200A"/>
    <w:rsid w:val="000A2550"/>
    <w:rsid w:val="000A27AC"/>
    <w:rsid w:val="000A3282"/>
    <w:rsid w:val="000A335C"/>
    <w:rsid w:val="000A33D9"/>
    <w:rsid w:val="000A33F5"/>
    <w:rsid w:val="000A44EC"/>
    <w:rsid w:val="000A5540"/>
    <w:rsid w:val="000A578F"/>
    <w:rsid w:val="000A58B5"/>
    <w:rsid w:val="000A5D36"/>
    <w:rsid w:val="000A5FA8"/>
    <w:rsid w:val="000A6C87"/>
    <w:rsid w:val="000A73A4"/>
    <w:rsid w:val="000B0351"/>
    <w:rsid w:val="000B03B9"/>
    <w:rsid w:val="000B0431"/>
    <w:rsid w:val="000B1A06"/>
    <w:rsid w:val="000B1F22"/>
    <w:rsid w:val="000B2866"/>
    <w:rsid w:val="000B2F2E"/>
    <w:rsid w:val="000B31B3"/>
    <w:rsid w:val="000B35EE"/>
    <w:rsid w:val="000B36E5"/>
    <w:rsid w:val="000B39C8"/>
    <w:rsid w:val="000B3B3B"/>
    <w:rsid w:val="000B3F09"/>
    <w:rsid w:val="000B40FA"/>
    <w:rsid w:val="000B5281"/>
    <w:rsid w:val="000B584E"/>
    <w:rsid w:val="000B5EC8"/>
    <w:rsid w:val="000B5FE3"/>
    <w:rsid w:val="000B674B"/>
    <w:rsid w:val="000B6887"/>
    <w:rsid w:val="000B6B86"/>
    <w:rsid w:val="000B6EF2"/>
    <w:rsid w:val="000B71FE"/>
    <w:rsid w:val="000B77B4"/>
    <w:rsid w:val="000B7A3A"/>
    <w:rsid w:val="000B7CA2"/>
    <w:rsid w:val="000C02A9"/>
    <w:rsid w:val="000C03F1"/>
    <w:rsid w:val="000C0569"/>
    <w:rsid w:val="000C1B50"/>
    <w:rsid w:val="000C1E6B"/>
    <w:rsid w:val="000C238B"/>
    <w:rsid w:val="000C2764"/>
    <w:rsid w:val="000C35F6"/>
    <w:rsid w:val="000C3DC9"/>
    <w:rsid w:val="000C4139"/>
    <w:rsid w:val="000C47B5"/>
    <w:rsid w:val="000C4A0A"/>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5D43"/>
    <w:rsid w:val="000D6284"/>
    <w:rsid w:val="000D6E87"/>
    <w:rsid w:val="000D6EB3"/>
    <w:rsid w:val="000D7067"/>
    <w:rsid w:val="000D7314"/>
    <w:rsid w:val="000D7A4F"/>
    <w:rsid w:val="000D7B89"/>
    <w:rsid w:val="000D7C8C"/>
    <w:rsid w:val="000E0B89"/>
    <w:rsid w:val="000E1E0D"/>
    <w:rsid w:val="000E343A"/>
    <w:rsid w:val="000E348F"/>
    <w:rsid w:val="000E3C5E"/>
    <w:rsid w:val="000E3E99"/>
    <w:rsid w:val="000E3FF4"/>
    <w:rsid w:val="000E40FD"/>
    <w:rsid w:val="000E4AC8"/>
    <w:rsid w:val="000E4C30"/>
    <w:rsid w:val="000E5501"/>
    <w:rsid w:val="000E551A"/>
    <w:rsid w:val="000E5766"/>
    <w:rsid w:val="000E5B3C"/>
    <w:rsid w:val="000E5B66"/>
    <w:rsid w:val="000E6370"/>
    <w:rsid w:val="000E64AB"/>
    <w:rsid w:val="000E74F5"/>
    <w:rsid w:val="000E7DB2"/>
    <w:rsid w:val="000F009D"/>
    <w:rsid w:val="000F08D6"/>
    <w:rsid w:val="000F0C84"/>
    <w:rsid w:val="000F0D7B"/>
    <w:rsid w:val="000F2020"/>
    <w:rsid w:val="000F2125"/>
    <w:rsid w:val="000F28EA"/>
    <w:rsid w:val="000F2949"/>
    <w:rsid w:val="000F2B5A"/>
    <w:rsid w:val="000F2D32"/>
    <w:rsid w:val="000F3D2D"/>
    <w:rsid w:val="000F4347"/>
    <w:rsid w:val="000F50E8"/>
    <w:rsid w:val="000F54B0"/>
    <w:rsid w:val="000F5A05"/>
    <w:rsid w:val="000F5C41"/>
    <w:rsid w:val="000F5DE0"/>
    <w:rsid w:val="000F62C3"/>
    <w:rsid w:val="000F75AF"/>
    <w:rsid w:val="000F77DE"/>
    <w:rsid w:val="001002F5"/>
    <w:rsid w:val="00101449"/>
    <w:rsid w:val="001019F2"/>
    <w:rsid w:val="00101BAC"/>
    <w:rsid w:val="001025E5"/>
    <w:rsid w:val="00102AFD"/>
    <w:rsid w:val="001032A5"/>
    <w:rsid w:val="001041F6"/>
    <w:rsid w:val="0010644A"/>
    <w:rsid w:val="0010719A"/>
    <w:rsid w:val="00107CFD"/>
    <w:rsid w:val="001108F3"/>
    <w:rsid w:val="00110B09"/>
    <w:rsid w:val="00110C32"/>
    <w:rsid w:val="00111BFC"/>
    <w:rsid w:val="00111CBB"/>
    <w:rsid w:val="00111F45"/>
    <w:rsid w:val="0011210D"/>
    <w:rsid w:val="00112765"/>
    <w:rsid w:val="00112BF7"/>
    <w:rsid w:val="00113361"/>
    <w:rsid w:val="00113A46"/>
    <w:rsid w:val="00113CB5"/>
    <w:rsid w:val="00114AC5"/>
    <w:rsid w:val="001162E0"/>
    <w:rsid w:val="00116579"/>
    <w:rsid w:val="0011786C"/>
    <w:rsid w:val="00120252"/>
    <w:rsid w:val="001217D8"/>
    <w:rsid w:val="00121DE8"/>
    <w:rsid w:val="00122C63"/>
    <w:rsid w:val="00122F5E"/>
    <w:rsid w:val="001237B4"/>
    <w:rsid w:val="001239B6"/>
    <w:rsid w:val="001243FD"/>
    <w:rsid w:val="001244EC"/>
    <w:rsid w:val="001246AB"/>
    <w:rsid w:val="00124CAC"/>
    <w:rsid w:val="00126EEE"/>
    <w:rsid w:val="00126EEF"/>
    <w:rsid w:val="00126F80"/>
    <w:rsid w:val="00127248"/>
    <w:rsid w:val="00127B1F"/>
    <w:rsid w:val="00127C05"/>
    <w:rsid w:val="00130500"/>
    <w:rsid w:val="0013065F"/>
    <w:rsid w:val="00130C9B"/>
    <w:rsid w:val="001312BC"/>
    <w:rsid w:val="00131911"/>
    <w:rsid w:val="00131CDF"/>
    <w:rsid w:val="00132142"/>
    <w:rsid w:val="00132391"/>
    <w:rsid w:val="00133212"/>
    <w:rsid w:val="00133BFB"/>
    <w:rsid w:val="00133DCC"/>
    <w:rsid w:val="00134968"/>
    <w:rsid w:val="00134A68"/>
    <w:rsid w:val="00134AB5"/>
    <w:rsid w:val="00135132"/>
    <w:rsid w:val="0013555E"/>
    <w:rsid w:val="00135B0C"/>
    <w:rsid w:val="001365EE"/>
    <w:rsid w:val="00136897"/>
    <w:rsid w:val="0013695E"/>
    <w:rsid w:val="00136D3F"/>
    <w:rsid w:val="00136FB8"/>
    <w:rsid w:val="00137286"/>
    <w:rsid w:val="0014043C"/>
    <w:rsid w:val="00140D7E"/>
    <w:rsid w:val="00141B5B"/>
    <w:rsid w:val="00142417"/>
    <w:rsid w:val="001435ED"/>
    <w:rsid w:val="00143682"/>
    <w:rsid w:val="001441D3"/>
    <w:rsid w:val="001443C4"/>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3CCE"/>
    <w:rsid w:val="001542BE"/>
    <w:rsid w:val="00154490"/>
    <w:rsid w:val="00156250"/>
    <w:rsid w:val="0015691A"/>
    <w:rsid w:val="00156F22"/>
    <w:rsid w:val="001570E1"/>
    <w:rsid w:val="00157244"/>
    <w:rsid w:val="00161661"/>
    <w:rsid w:val="0016171F"/>
    <w:rsid w:val="00161F6F"/>
    <w:rsid w:val="001621EF"/>
    <w:rsid w:val="00163EBF"/>
    <w:rsid w:val="00164BCE"/>
    <w:rsid w:val="001659D0"/>
    <w:rsid w:val="0016604B"/>
    <w:rsid w:val="0016700D"/>
    <w:rsid w:val="00167686"/>
    <w:rsid w:val="00167ADD"/>
    <w:rsid w:val="001702C6"/>
    <w:rsid w:val="001711A1"/>
    <w:rsid w:val="00172205"/>
    <w:rsid w:val="0017260E"/>
    <w:rsid w:val="001729D0"/>
    <w:rsid w:val="00172B51"/>
    <w:rsid w:val="00172C89"/>
    <w:rsid w:val="00173A66"/>
    <w:rsid w:val="0017568D"/>
    <w:rsid w:val="00175C14"/>
    <w:rsid w:val="00175D81"/>
    <w:rsid w:val="001761CB"/>
    <w:rsid w:val="0017651E"/>
    <w:rsid w:val="001778B4"/>
    <w:rsid w:val="001779CB"/>
    <w:rsid w:val="00177B53"/>
    <w:rsid w:val="001805BA"/>
    <w:rsid w:val="001823DE"/>
    <w:rsid w:val="001826D0"/>
    <w:rsid w:val="0018345B"/>
    <w:rsid w:val="0018356C"/>
    <w:rsid w:val="0018358B"/>
    <w:rsid w:val="0018454F"/>
    <w:rsid w:val="001846BB"/>
    <w:rsid w:val="001854BD"/>
    <w:rsid w:val="001859BA"/>
    <w:rsid w:val="00185DC5"/>
    <w:rsid w:val="00186701"/>
    <w:rsid w:val="00186FB3"/>
    <w:rsid w:val="0018765B"/>
    <w:rsid w:val="001918AB"/>
    <w:rsid w:val="00192287"/>
    <w:rsid w:val="001923AE"/>
    <w:rsid w:val="001924B2"/>
    <w:rsid w:val="00193379"/>
    <w:rsid w:val="00194654"/>
    <w:rsid w:val="00194B7B"/>
    <w:rsid w:val="001951A3"/>
    <w:rsid w:val="00195583"/>
    <w:rsid w:val="00195C28"/>
    <w:rsid w:val="0019621E"/>
    <w:rsid w:val="001A0745"/>
    <w:rsid w:val="001A1188"/>
    <w:rsid w:val="001A1302"/>
    <w:rsid w:val="001A16CC"/>
    <w:rsid w:val="001A18E1"/>
    <w:rsid w:val="001A1BF7"/>
    <w:rsid w:val="001A2144"/>
    <w:rsid w:val="001A2FDB"/>
    <w:rsid w:val="001A3755"/>
    <w:rsid w:val="001A4127"/>
    <w:rsid w:val="001A4E1C"/>
    <w:rsid w:val="001A554E"/>
    <w:rsid w:val="001A6EBE"/>
    <w:rsid w:val="001A6F68"/>
    <w:rsid w:val="001A77FB"/>
    <w:rsid w:val="001B009D"/>
    <w:rsid w:val="001B03C2"/>
    <w:rsid w:val="001B13DB"/>
    <w:rsid w:val="001B17F6"/>
    <w:rsid w:val="001B341D"/>
    <w:rsid w:val="001B3A10"/>
    <w:rsid w:val="001B3D99"/>
    <w:rsid w:val="001B541A"/>
    <w:rsid w:val="001B6E63"/>
    <w:rsid w:val="001B7EF3"/>
    <w:rsid w:val="001C0151"/>
    <w:rsid w:val="001C0C36"/>
    <w:rsid w:val="001C100F"/>
    <w:rsid w:val="001C1402"/>
    <w:rsid w:val="001C1FDF"/>
    <w:rsid w:val="001C2557"/>
    <w:rsid w:val="001C2644"/>
    <w:rsid w:val="001C276C"/>
    <w:rsid w:val="001C2810"/>
    <w:rsid w:val="001C2B0B"/>
    <w:rsid w:val="001C2B81"/>
    <w:rsid w:val="001C36D8"/>
    <w:rsid w:val="001C39B4"/>
    <w:rsid w:val="001C3A80"/>
    <w:rsid w:val="001C421F"/>
    <w:rsid w:val="001C422B"/>
    <w:rsid w:val="001C502D"/>
    <w:rsid w:val="001C53B0"/>
    <w:rsid w:val="001C63EA"/>
    <w:rsid w:val="001C6890"/>
    <w:rsid w:val="001C7177"/>
    <w:rsid w:val="001C7EC3"/>
    <w:rsid w:val="001D07F6"/>
    <w:rsid w:val="001D0DCF"/>
    <w:rsid w:val="001D1CA5"/>
    <w:rsid w:val="001D1DBB"/>
    <w:rsid w:val="001D2F0A"/>
    <w:rsid w:val="001D31A6"/>
    <w:rsid w:val="001D3B81"/>
    <w:rsid w:val="001D40CC"/>
    <w:rsid w:val="001D4D61"/>
    <w:rsid w:val="001D4D8C"/>
    <w:rsid w:val="001D5282"/>
    <w:rsid w:val="001D529D"/>
    <w:rsid w:val="001D577C"/>
    <w:rsid w:val="001D694C"/>
    <w:rsid w:val="001D754A"/>
    <w:rsid w:val="001D77D7"/>
    <w:rsid w:val="001D7C0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3240"/>
    <w:rsid w:val="001F45E8"/>
    <w:rsid w:val="001F47CB"/>
    <w:rsid w:val="001F5050"/>
    <w:rsid w:val="001F51D3"/>
    <w:rsid w:val="001F5362"/>
    <w:rsid w:val="001F5DB8"/>
    <w:rsid w:val="001F5FF9"/>
    <w:rsid w:val="001F625A"/>
    <w:rsid w:val="001F6B28"/>
    <w:rsid w:val="001F6C56"/>
    <w:rsid w:val="001F72DF"/>
    <w:rsid w:val="001F77D0"/>
    <w:rsid w:val="002010A9"/>
    <w:rsid w:val="00201769"/>
    <w:rsid w:val="0020247E"/>
    <w:rsid w:val="002025FD"/>
    <w:rsid w:val="00203FD3"/>
    <w:rsid w:val="00205A55"/>
    <w:rsid w:val="00206114"/>
    <w:rsid w:val="00206222"/>
    <w:rsid w:val="002068A3"/>
    <w:rsid w:val="0020694D"/>
    <w:rsid w:val="00206B99"/>
    <w:rsid w:val="002073D2"/>
    <w:rsid w:val="002078AA"/>
    <w:rsid w:val="002100D4"/>
    <w:rsid w:val="00210261"/>
    <w:rsid w:val="0021074F"/>
    <w:rsid w:val="00210E0C"/>
    <w:rsid w:val="002111AC"/>
    <w:rsid w:val="0021124A"/>
    <w:rsid w:val="0021188E"/>
    <w:rsid w:val="00212E08"/>
    <w:rsid w:val="0021302A"/>
    <w:rsid w:val="00213783"/>
    <w:rsid w:val="00214685"/>
    <w:rsid w:val="002147E4"/>
    <w:rsid w:val="00214CE8"/>
    <w:rsid w:val="00215B34"/>
    <w:rsid w:val="002161AD"/>
    <w:rsid w:val="00216595"/>
    <w:rsid w:val="002165D6"/>
    <w:rsid w:val="00216AB7"/>
    <w:rsid w:val="002170A5"/>
    <w:rsid w:val="00217D9D"/>
    <w:rsid w:val="00217F57"/>
    <w:rsid w:val="00220114"/>
    <w:rsid w:val="002206C6"/>
    <w:rsid w:val="00221687"/>
    <w:rsid w:val="00221709"/>
    <w:rsid w:val="00222144"/>
    <w:rsid w:val="00222664"/>
    <w:rsid w:val="00222A05"/>
    <w:rsid w:val="00222AAD"/>
    <w:rsid w:val="00222E1E"/>
    <w:rsid w:val="0022341D"/>
    <w:rsid w:val="0022360E"/>
    <w:rsid w:val="00223F75"/>
    <w:rsid w:val="00224412"/>
    <w:rsid w:val="002246DF"/>
    <w:rsid w:val="002248E9"/>
    <w:rsid w:val="00225069"/>
    <w:rsid w:val="002250EA"/>
    <w:rsid w:val="00225738"/>
    <w:rsid w:val="00226F4D"/>
    <w:rsid w:val="002270F1"/>
    <w:rsid w:val="00227445"/>
    <w:rsid w:val="00227471"/>
    <w:rsid w:val="0023034F"/>
    <w:rsid w:val="00230D10"/>
    <w:rsid w:val="00231036"/>
    <w:rsid w:val="002313BA"/>
    <w:rsid w:val="00232D7F"/>
    <w:rsid w:val="0023417B"/>
    <w:rsid w:val="002350A1"/>
    <w:rsid w:val="00235C97"/>
    <w:rsid w:val="002369EA"/>
    <w:rsid w:val="002371FF"/>
    <w:rsid w:val="00237985"/>
    <w:rsid w:val="00237D5A"/>
    <w:rsid w:val="00237DC2"/>
    <w:rsid w:val="00237E79"/>
    <w:rsid w:val="00240C99"/>
    <w:rsid w:val="0024189D"/>
    <w:rsid w:val="00241BC3"/>
    <w:rsid w:val="00241C7D"/>
    <w:rsid w:val="00241F55"/>
    <w:rsid w:val="00242699"/>
    <w:rsid w:val="002434A0"/>
    <w:rsid w:val="00243566"/>
    <w:rsid w:val="002435C0"/>
    <w:rsid w:val="002437A7"/>
    <w:rsid w:val="002437EB"/>
    <w:rsid w:val="00243E9B"/>
    <w:rsid w:val="0024401A"/>
    <w:rsid w:val="0024497C"/>
    <w:rsid w:val="002449B1"/>
    <w:rsid w:val="002449D8"/>
    <w:rsid w:val="002450A8"/>
    <w:rsid w:val="0024549A"/>
    <w:rsid w:val="002458C0"/>
    <w:rsid w:val="00245F41"/>
    <w:rsid w:val="002466CD"/>
    <w:rsid w:val="0024672A"/>
    <w:rsid w:val="00246780"/>
    <w:rsid w:val="00246915"/>
    <w:rsid w:val="002476CF"/>
    <w:rsid w:val="00247875"/>
    <w:rsid w:val="00247B10"/>
    <w:rsid w:val="00247D11"/>
    <w:rsid w:val="00247E15"/>
    <w:rsid w:val="00247ECF"/>
    <w:rsid w:val="002502A4"/>
    <w:rsid w:val="002506C1"/>
    <w:rsid w:val="00250E2D"/>
    <w:rsid w:val="00251240"/>
    <w:rsid w:val="00252528"/>
    <w:rsid w:val="002530F3"/>
    <w:rsid w:val="00253130"/>
    <w:rsid w:val="00253A1C"/>
    <w:rsid w:val="002541B3"/>
    <w:rsid w:val="0025643B"/>
    <w:rsid w:val="00256B3C"/>
    <w:rsid w:val="00256E7D"/>
    <w:rsid w:val="00256F27"/>
    <w:rsid w:val="00257816"/>
    <w:rsid w:val="00257C5E"/>
    <w:rsid w:val="00260433"/>
    <w:rsid w:val="0026116F"/>
    <w:rsid w:val="002617F9"/>
    <w:rsid w:val="00262666"/>
    <w:rsid w:val="00262A9A"/>
    <w:rsid w:val="00262D7C"/>
    <w:rsid w:val="00263720"/>
    <w:rsid w:val="00265161"/>
    <w:rsid w:val="00265F1B"/>
    <w:rsid w:val="002665A2"/>
    <w:rsid w:val="00267221"/>
    <w:rsid w:val="00267E4D"/>
    <w:rsid w:val="00267F74"/>
    <w:rsid w:val="00270087"/>
    <w:rsid w:val="00270831"/>
    <w:rsid w:val="0027275E"/>
    <w:rsid w:val="00272A7D"/>
    <w:rsid w:val="00273171"/>
    <w:rsid w:val="0027415F"/>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87FFC"/>
    <w:rsid w:val="00291333"/>
    <w:rsid w:val="00291341"/>
    <w:rsid w:val="002926B1"/>
    <w:rsid w:val="00292CA5"/>
    <w:rsid w:val="00293B1D"/>
    <w:rsid w:val="00293E41"/>
    <w:rsid w:val="00294C57"/>
    <w:rsid w:val="00296748"/>
    <w:rsid w:val="002970CD"/>
    <w:rsid w:val="0029713B"/>
    <w:rsid w:val="0029796E"/>
    <w:rsid w:val="00297C79"/>
    <w:rsid w:val="002A0081"/>
    <w:rsid w:val="002A0713"/>
    <w:rsid w:val="002A18E6"/>
    <w:rsid w:val="002A1AAC"/>
    <w:rsid w:val="002A2625"/>
    <w:rsid w:val="002A2985"/>
    <w:rsid w:val="002A4088"/>
    <w:rsid w:val="002A4403"/>
    <w:rsid w:val="002A4AD1"/>
    <w:rsid w:val="002A4AE9"/>
    <w:rsid w:val="002A4B47"/>
    <w:rsid w:val="002A5750"/>
    <w:rsid w:val="002A657D"/>
    <w:rsid w:val="002A6B3D"/>
    <w:rsid w:val="002A6E86"/>
    <w:rsid w:val="002A6EF0"/>
    <w:rsid w:val="002B016E"/>
    <w:rsid w:val="002B0967"/>
    <w:rsid w:val="002B1C2A"/>
    <w:rsid w:val="002B1C2E"/>
    <w:rsid w:val="002B1E7C"/>
    <w:rsid w:val="002B2706"/>
    <w:rsid w:val="002B3BA3"/>
    <w:rsid w:val="002B4040"/>
    <w:rsid w:val="002B5C09"/>
    <w:rsid w:val="002B5C82"/>
    <w:rsid w:val="002B67A6"/>
    <w:rsid w:val="002B6893"/>
    <w:rsid w:val="002B6B9D"/>
    <w:rsid w:val="002B6C19"/>
    <w:rsid w:val="002B6D0D"/>
    <w:rsid w:val="002B79C4"/>
    <w:rsid w:val="002B7DE3"/>
    <w:rsid w:val="002C01BF"/>
    <w:rsid w:val="002C02F6"/>
    <w:rsid w:val="002C06FE"/>
    <w:rsid w:val="002C2259"/>
    <w:rsid w:val="002C3373"/>
    <w:rsid w:val="002C3470"/>
    <w:rsid w:val="002C348A"/>
    <w:rsid w:val="002C39F0"/>
    <w:rsid w:val="002C41D3"/>
    <w:rsid w:val="002C4419"/>
    <w:rsid w:val="002C4824"/>
    <w:rsid w:val="002C491A"/>
    <w:rsid w:val="002C509D"/>
    <w:rsid w:val="002C5345"/>
    <w:rsid w:val="002C5540"/>
    <w:rsid w:val="002C62F6"/>
    <w:rsid w:val="002C6C58"/>
    <w:rsid w:val="002C6CED"/>
    <w:rsid w:val="002C6F55"/>
    <w:rsid w:val="002C721C"/>
    <w:rsid w:val="002D0290"/>
    <w:rsid w:val="002D03BF"/>
    <w:rsid w:val="002D0C9B"/>
    <w:rsid w:val="002D0DFB"/>
    <w:rsid w:val="002D1434"/>
    <w:rsid w:val="002D1979"/>
    <w:rsid w:val="002D1B63"/>
    <w:rsid w:val="002D268B"/>
    <w:rsid w:val="002D2CEE"/>
    <w:rsid w:val="002D3701"/>
    <w:rsid w:val="002D3CF1"/>
    <w:rsid w:val="002D3F79"/>
    <w:rsid w:val="002D40DB"/>
    <w:rsid w:val="002D413F"/>
    <w:rsid w:val="002D4B99"/>
    <w:rsid w:val="002D5F02"/>
    <w:rsid w:val="002D6E4D"/>
    <w:rsid w:val="002D724E"/>
    <w:rsid w:val="002D72CE"/>
    <w:rsid w:val="002D7BA0"/>
    <w:rsid w:val="002E0BDA"/>
    <w:rsid w:val="002E1256"/>
    <w:rsid w:val="002E1666"/>
    <w:rsid w:val="002E2083"/>
    <w:rsid w:val="002E3358"/>
    <w:rsid w:val="002E3511"/>
    <w:rsid w:val="002E3777"/>
    <w:rsid w:val="002E3B43"/>
    <w:rsid w:val="002E3D1C"/>
    <w:rsid w:val="002E5953"/>
    <w:rsid w:val="002E5971"/>
    <w:rsid w:val="002E5EAB"/>
    <w:rsid w:val="002E6032"/>
    <w:rsid w:val="002E60D4"/>
    <w:rsid w:val="002E679B"/>
    <w:rsid w:val="002E7508"/>
    <w:rsid w:val="002E773F"/>
    <w:rsid w:val="002E7899"/>
    <w:rsid w:val="002E791E"/>
    <w:rsid w:val="002F02E0"/>
    <w:rsid w:val="002F19AF"/>
    <w:rsid w:val="002F1B7B"/>
    <w:rsid w:val="002F1C6A"/>
    <w:rsid w:val="002F1FCB"/>
    <w:rsid w:val="002F282F"/>
    <w:rsid w:val="002F2BC5"/>
    <w:rsid w:val="002F32F4"/>
    <w:rsid w:val="002F3B18"/>
    <w:rsid w:val="002F3DC5"/>
    <w:rsid w:val="002F4F72"/>
    <w:rsid w:val="002F511C"/>
    <w:rsid w:val="002F559F"/>
    <w:rsid w:val="002F5E12"/>
    <w:rsid w:val="002F67C7"/>
    <w:rsid w:val="002F6EC3"/>
    <w:rsid w:val="002F7173"/>
    <w:rsid w:val="002F7484"/>
    <w:rsid w:val="002F77C3"/>
    <w:rsid w:val="002F7BD3"/>
    <w:rsid w:val="00301CB4"/>
    <w:rsid w:val="00301E71"/>
    <w:rsid w:val="00302960"/>
    <w:rsid w:val="0030330D"/>
    <w:rsid w:val="00304999"/>
    <w:rsid w:val="00304F25"/>
    <w:rsid w:val="003056B2"/>
    <w:rsid w:val="00305D48"/>
    <w:rsid w:val="00305D82"/>
    <w:rsid w:val="003062E2"/>
    <w:rsid w:val="00306940"/>
    <w:rsid w:val="00307353"/>
    <w:rsid w:val="00307E06"/>
    <w:rsid w:val="0031096E"/>
    <w:rsid w:val="00310D6B"/>
    <w:rsid w:val="00311560"/>
    <w:rsid w:val="00311708"/>
    <w:rsid w:val="00311BB1"/>
    <w:rsid w:val="00312470"/>
    <w:rsid w:val="0031285C"/>
    <w:rsid w:val="00313A44"/>
    <w:rsid w:val="00315023"/>
    <w:rsid w:val="003150CD"/>
    <w:rsid w:val="003154AB"/>
    <w:rsid w:val="003155CF"/>
    <w:rsid w:val="00315BA3"/>
    <w:rsid w:val="00315EEB"/>
    <w:rsid w:val="00316707"/>
    <w:rsid w:val="00316818"/>
    <w:rsid w:val="00317B07"/>
    <w:rsid w:val="00317BDE"/>
    <w:rsid w:val="00317DC3"/>
    <w:rsid w:val="0032088F"/>
    <w:rsid w:val="003214FB"/>
    <w:rsid w:val="00321643"/>
    <w:rsid w:val="00321A91"/>
    <w:rsid w:val="00321BAE"/>
    <w:rsid w:val="00321CA1"/>
    <w:rsid w:val="00322486"/>
    <w:rsid w:val="00323295"/>
    <w:rsid w:val="00323848"/>
    <w:rsid w:val="00323DFB"/>
    <w:rsid w:val="00323FF5"/>
    <w:rsid w:val="0032464C"/>
    <w:rsid w:val="00324B78"/>
    <w:rsid w:val="00325007"/>
    <w:rsid w:val="003253CA"/>
    <w:rsid w:val="00326842"/>
    <w:rsid w:val="00326982"/>
    <w:rsid w:val="00326BD8"/>
    <w:rsid w:val="00326D5E"/>
    <w:rsid w:val="0032707A"/>
    <w:rsid w:val="00327A8E"/>
    <w:rsid w:val="00327BDD"/>
    <w:rsid w:val="00331836"/>
    <w:rsid w:val="0033190E"/>
    <w:rsid w:val="0033348C"/>
    <w:rsid w:val="00333962"/>
    <w:rsid w:val="00333B62"/>
    <w:rsid w:val="00333E45"/>
    <w:rsid w:val="00333F91"/>
    <w:rsid w:val="00334175"/>
    <w:rsid w:val="00334A65"/>
    <w:rsid w:val="003359A4"/>
    <w:rsid w:val="003364DB"/>
    <w:rsid w:val="00336A8D"/>
    <w:rsid w:val="00337583"/>
    <w:rsid w:val="003379FB"/>
    <w:rsid w:val="00337DF6"/>
    <w:rsid w:val="00337E46"/>
    <w:rsid w:val="0034068D"/>
    <w:rsid w:val="0034180B"/>
    <w:rsid w:val="00341A52"/>
    <w:rsid w:val="00341AF6"/>
    <w:rsid w:val="00342184"/>
    <w:rsid w:val="0034266B"/>
    <w:rsid w:val="00342740"/>
    <w:rsid w:val="00342B26"/>
    <w:rsid w:val="00342CE5"/>
    <w:rsid w:val="00343955"/>
    <w:rsid w:val="00343BE2"/>
    <w:rsid w:val="003448FF"/>
    <w:rsid w:val="00345910"/>
    <w:rsid w:val="00345946"/>
    <w:rsid w:val="00345C53"/>
    <w:rsid w:val="00346754"/>
    <w:rsid w:val="003467D8"/>
    <w:rsid w:val="00347AAB"/>
    <w:rsid w:val="00347FD3"/>
    <w:rsid w:val="0035006A"/>
    <w:rsid w:val="003509B6"/>
    <w:rsid w:val="00350B13"/>
    <w:rsid w:val="003515B4"/>
    <w:rsid w:val="00352CC2"/>
    <w:rsid w:val="00352DE7"/>
    <w:rsid w:val="0035300A"/>
    <w:rsid w:val="0035347E"/>
    <w:rsid w:val="003549F9"/>
    <w:rsid w:val="00355BB2"/>
    <w:rsid w:val="00355E72"/>
    <w:rsid w:val="00355ED0"/>
    <w:rsid w:val="0035659D"/>
    <w:rsid w:val="003602EB"/>
    <w:rsid w:val="0036038B"/>
    <w:rsid w:val="003611E4"/>
    <w:rsid w:val="0036133D"/>
    <w:rsid w:val="003617D9"/>
    <w:rsid w:val="00361938"/>
    <w:rsid w:val="003619B8"/>
    <w:rsid w:val="003625FB"/>
    <w:rsid w:val="00363135"/>
    <w:rsid w:val="003633B9"/>
    <w:rsid w:val="003636DE"/>
    <w:rsid w:val="003646B9"/>
    <w:rsid w:val="003646E5"/>
    <w:rsid w:val="00365148"/>
    <w:rsid w:val="003652C6"/>
    <w:rsid w:val="003654A6"/>
    <w:rsid w:val="00365A98"/>
    <w:rsid w:val="003660A9"/>
    <w:rsid w:val="003660EA"/>
    <w:rsid w:val="0036666B"/>
    <w:rsid w:val="00366829"/>
    <w:rsid w:val="003668C0"/>
    <w:rsid w:val="0036711C"/>
    <w:rsid w:val="00370629"/>
    <w:rsid w:val="003708D3"/>
    <w:rsid w:val="00371249"/>
    <w:rsid w:val="003726E1"/>
    <w:rsid w:val="00373854"/>
    <w:rsid w:val="00373A54"/>
    <w:rsid w:val="00374012"/>
    <w:rsid w:val="003743D7"/>
    <w:rsid w:val="003749C0"/>
    <w:rsid w:val="003750D6"/>
    <w:rsid w:val="003752B5"/>
    <w:rsid w:val="0037599C"/>
    <w:rsid w:val="00375FDD"/>
    <w:rsid w:val="0037634D"/>
    <w:rsid w:val="003804A7"/>
    <w:rsid w:val="003818C6"/>
    <w:rsid w:val="00381A45"/>
    <w:rsid w:val="00381DC3"/>
    <w:rsid w:val="0038228C"/>
    <w:rsid w:val="00382BDE"/>
    <w:rsid w:val="00382DEC"/>
    <w:rsid w:val="003830E1"/>
    <w:rsid w:val="003859C4"/>
    <w:rsid w:val="00385EA5"/>
    <w:rsid w:val="00386F92"/>
    <w:rsid w:val="003874C3"/>
    <w:rsid w:val="00387725"/>
    <w:rsid w:val="00387C65"/>
    <w:rsid w:val="00390CDE"/>
    <w:rsid w:val="003919B0"/>
    <w:rsid w:val="00392B20"/>
    <w:rsid w:val="003936E4"/>
    <w:rsid w:val="00394516"/>
    <w:rsid w:val="003947DD"/>
    <w:rsid w:val="00395933"/>
    <w:rsid w:val="003961E1"/>
    <w:rsid w:val="003974F9"/>
    <w:rsid w:val="0039774F"/>
    <w:rsid w:val="003A0AA1"/>
    <w:rsid w:val="003A0BCB"/>
    <w:rsid w:val="003A0E9C"/>
    <w:rsid w:val="003A0FE5"/>
    <w:rsid w:val="003A24EC"/>
    <w:rsid w:val="003A3EA0"/>
    <w:rsid w:val="003A55EE"/>
    <w:rsid w:val="003A6262"/>
    <w:rsid w:val="003A645D"/>
    <w:rsid w:val="003A6C03"/>
    <w:rsid w:val="003A7D27"/>
    <w:rsid w:val="003B0033"/>
    <w:rsid w:val="003B04B7"/>
    <w:rsid w:val="003B066F"/>
    <w:rsid w:val="003B0A5E"/>
    <w:rsid w:val="003B0AA1"/>
    <w:rsid w:val="003B0AB6"/>
    <w:rsid w:val="003B0AD5"/>
    <w:rsid w:val="003B0B21"/>
    <w:rsid w:val="003B16F0"/>
    <w:rsid w:val="003B1A71"/>
    <w:rsid w:val="003B210B"/>
    <w:rsid w:val="003B2EBA"/>
    <w:rsid w:val="003B2F00"/>
    <w:rsid w:val="003B3408"/>
    <w:rsid w:val="003B354A"/>
    <w:rsid w:val="003B3575"/>
    <w:rsid w:val="003B3697"/>
    <w:rsid w:val="003B373B"/>
    <w:rsid w:val="003B3A74"/>
    <w:rsid w:val="003B4BAF"/>
    <w:rsid w:val="003B5111"/>
    <w:rsid w:val="003B56DC"/>
    <w:rsid w:val="003B5766"/>
    <w:rsid w:val="003B57C3"/>
    <w:rsid w:val="003B5AE7"/>
    <w:rsid w:val="003B609E"/>
    <w:rsid w:val="003B6C7E"/>
    <w:rsid w:val="003B79F9"/>
    <w:rsid w:val="003C0293"/>
    <w:rsid w:val="003C0DF1"/>
    <w:rsid w:val="003C1936"/>
    <w:rsid w:val="003C1E4B"/>
    <w:rsid w:val="003C2063"/>
    <w:rsid w:val="003C268F"/>
    <w:rsid w:val="003C32DC"/>
    <w:rsid w:val="003C32FC"/>
    <w:rsid w:val="003C42AD"/>
    <w:rsid w:val="003C4C9F"/>
    <w:rsid w:val="003C5D9D"/>
    <w:rsid w:val="003C5FB0"/>
    <w:rsid w:val="003C7036"/>
    <w:rsid w:val="003C7781"/>
    <w:rsid w:val="003C7FA5"/>
    <w:rsid w:val="003D0C96"/>
    <w:rsid w:val="003D1CAA"/>
    <w:rsid w:val="003D1CF6"/>
    <w:rsid w:val="003D4395"/>
    <w:rsid w:val="003D474C"/>
    <w:rsid w:val="003D5398"/>
    <w:rsid w:val="003D588A"/>
    <w:rsid w:val="003D5BAD"/>
    <w:rsid w:val="003D5F20"/>
    <w:rsid w:val="003D62F4"/>
    <w:rsid w:val="003D6923"/>
    <w:rsid w:val="003D6E19"/>
    <w:rsid w:val="003D737D"/>
    <w:rsid w:val="003D75DB"/>
    <w:rsid w:val="003D7CC2"/>
    <w:rsid w:val="003D7E33"/>
    <w:rsid w:val="003E0C30"/>
    <w:rsid w:val="003E0F2A"/>
    <w:rsid w:val="003E1CD9"/>
    <w:rsid w:val="003E2C1C"/>
    <w:rsid w:val="003E2CF8"/>
    <w:rsid w:val="003E3169"/>
    <w:rsid w:val="003E35FB"/>
    <w:rsid w:val="003E3999"/>
    <w:rsid w:val="003E43BE"/>
    <w:rsid w:val="003E4A4E"/>
    <w:rsid w:val="003E504F"/>
    <w:rsid w:val="003E5B98"/>
    <w:rsid w:val="003E62FB"/>
    <w:rsid w:val="003E6A41"/>
    <w:rsid w:val="003E7801"/>
    <w:rsid w:val="003E7CA4"/>
    <w:rsid w:val="003E7F9F"/>
    <w:rsid w:val="003F0AF5"/>
    <w:rsid w:val="003F14E4"/>
    <w:rsid w:val="003F1FC5"/>
    <w:rsid w:val="003F2FA4"/>
    <w:rsid w:val="003F3E65"/>
    <w:rsid w:val="003F3EF6"/>
    <w:rsid w:val="003F42FC"/>
    <w:rsid w:val="003F4833"/>
    <w:rsid w:val="003F4B68"/>
    <w:rsid w:val="003F532D"/>
    <w:rsid w:val="003F7363"/>
    <w:rsid w:val="003F7A40"/>
    <w:rsid w:val="004003E7"/>
    <w:rsid w:val="00400BF4"/>
    <w:rsid w:val="00400CE8"/>
    <w:rsid w:val="00400D95"/>
    <w:rsid w:val="00401B8F"/>
    <w:rsid w:val="00401B98"/>
    <w:rsid w:val="00401FEB"/>
    <w:rsid w:val="004022FC"/>
    <w:rsid w:val="00402763"/>
    <w:rsid w:val="004027A1"/>
    <w:rsid w:val="004046A2"/>
    <w:rsid w:val="00405103"/>
    <w:rsid w:val="004051E8"/>
    <w:rsid w:val="00405DE3"/>
    <w:rsid w:val="00405E13"/>
    <w:rsid w:val="00406284"/>
    <w:rsid w:val="00406A7E"/>
    <w:rsid w:val="00406B2A"/>
    <w:rsid w:val="00406B80"/>
    <w:rsid w:val="00406C21"/>
    <w:rsid w:val="00406FC8"/>
    <w:rsid w:val="0040758D"/>
    <w:rsid w:val="00407734"/>
    <w:rsid w:val="00407A5C"/>
    <w:rsid w:val="004103A2"/>
    <w:rsid w:val="0041166F"/>
    <w:rsid w:val="00411707"/>
    <w:rsid w:val="00411BE9"/>
    <w:rsid w:val="00411C87"/>
    <w:rsid w:val="00411FB0"/>
    <w:rsid w:val="0041258E"/>
    <w:rsid w:val="004128A2"/>
    <w:rsid w:val="00412C2F"/>
    <w:rsid w:val="00413D33"/>
    <w:rsid w:val="0041486D"/>
    <w:rsid w:val="0041584F"/>
    <w:rsid w:val="00415924"/>
    <w:rsid w:val="004165A7"/>
    <w:rsid w:val="00416F89"/>
    <w:rsid w:val="004177DF"/>
    <w:rsid w:val="00417B7B"/>
    <w:rsid w:val="00420DB3"/>
    <w:rsid w:val="004211BE"/>
    <w:rsid w:val="0042205F"/>
    <w:rsid w:val="00423C26"/>
    <w:rsid w:val="00423E43"/>
    <w:rsid w:val="00424146"/>
    <w:rsid w:val="00424839"/>
    <w:rsid w:val="00424D35"/>
    <w:rsid w:val="004256FF"/>
    <w:rsid w:val="004258D6"/>
    <w:rsid w:val="004264F9"/>
    <w:rsid w:val="00426777"/>
    <w:rsid w:val="00427031"/>
    <w:rsid w:val="00427142"/>
    <w:rsid w:val="00427899"/>
    <w:rsid w:val="00427DBB"/>
    <w:rsid w:val="00427FBB"/>
    <w:rsid w:val="00430399"/>
    <w:rsid w:val="00430E42"/>
    <w:rsid w:val="0043185C"/>
    <w:rsid w:val="0043209C"/>
    <w:rsid w:val="004322A6"/>
    <w:rsid w:val="00433351"/>
    <w:rsid w:val="00433413"/>
    <w:rsid w:val="00433745"/>
    <w:rsid w:val="00433B75"/>
    <w:rsid w:val="004340BA"/>
    <w:rsid w:val="004348C5"/>
    <w:rsid w:val="00435579"/>
    <w:rsid w:val="00436B6F"/>
    <w:rsid w:val="00437D5A"/>
    <w:rsid w:val="0044044F"/>
    <w:rsid w:val="00441DE8"/>
    <w:rsid w:val="00442F67"/>
    <w:rsid w:val="00442FBB"/>
    <w:rsid w:val="00443077"/>
    <w:rsid w:val="0044311E"/>
    <w:rsid w:val="00443487"/>
    <w:rsid w:val="004439A2"/>
    <w:rsid w:val="0044467E"/>
    <w:rsid w:val="0044496C"/>
    <w:rsid w:val="00444F46"/>
    <w:rsid w:val="0044520F"/>
    <w:rsid w:val="004468EC"/>
    <w:rsid w:val="00446A05"/>
    <w:rsid w:val="00446A09"/>
    <w:rsid w:val="00446B69"/>
    <w:rsid w:val="004502C5"/>
    <w:rsid w:val="004507EA"/>
    <w:rsid w:val="004509CE"/>
    <w:rsid w:val="00450F66"/>
    <w:rsid w:val="004515BE"/>
    <w:rsid w:val="00452B43"/>
    <w:rsid w:val="00453B9A"/>
    <w:rsid w:val="00454957"/>
    <w:rsid w:val="004557F7"/>
    <w:rsid w:val="00455A62"/>
    <w:rsid w:val="00456145"/>
    <w:rsid w:val="00456294"/>
    <w:rsid w:val="00456C5B"/>
    <w:rsid w:val="004572E7"/>
    <w:rsid w:val="00457778"/>
    <w:rsid w:val="00457FE0"/>
    <w:rsid w:val="00461033"/>
    <w:rsid w:val="00461308"/>
    <w:rsid w:val="00461FB3"/>
    <w:rsid w:val="0046279F"/>
    <w:rsid w:val="00463325"/>
    <w:rsid w:val="00463B4C"/>
    <w:rsid w:val="00463D48"/>
    <w:rsid w:val="00464148"/>
    <w:rsid w:val="004647B9"/>
    <w:rsid w:val="00464816"/>
    <w:rsid w:val="00464F06"/>
    <w:rsid w:val="004652D5"/>
    <w:rsid w:val="00465BF5"/>
    <w:rsid w:val="004668E6"/>
    <w:rsid w:val="004671BF"/>
    <w:rsid w:val="004673D5"/>
    <w:rsid w:val="00467F4D"/>
    <w:rsid w:val="0047274B"/>
    <w:rsid w:val="00472B3D"/>
    <w:rsid w:val="00472D90"/>
    <w:rsid w:val="00473EB5"/>
    <w:rsid w:val="0047647A"/>
    <w:rsid w:val="004771E5"/>
    <w:rsid w:val="00477357"/>
    <w:rsid w:val="004774E8"/>
    <w:rsid w:val="00477E07"/>
    <w:rsid w:val="00480A69"/>
    <w:rsid w:val="004813E0"/>
    <w:rsid w:val="00482DAF"/>
    <w:rsid w:val="00483B0E"/>
    <w:rsid w:val="00484AE9"/>
    <w:rsid w:val="00485508"/>
    <w:rsid w:val="0048596B"/>
    <w:rsid w:val="0048659E"/>
    <w:rsid w:val="00486775"/>
    <w:rsid w:val="004874A4"/>
    <w:rsid w:val="0049126A"/>
    <w:rsid w:val="00491617"/>
    <w:rsid w:val="00491E99"/>
    <w:rsid w:val="004929E7"/>
    <w:rsid w:val="00492C63"/>
    <w:rsid w:val="0049318A"/>
    <w:rsid w:val="00493A5B"/>
    <w:rsid w:val="00494F0A"/>
    <w:rsid w:val="00495547"/>
    <w:rsid w:val="00495F9D"/>
    <w:rsid w:val="00496047"/>
    <w:rsid w:val="004961AD"/>
    <w:rsid w:val="00496339"/>
    <w:rsid w:val="004967A0"/>
    <w:rsid w:val="00496C40"/>
    <w:rsid w:val="00497059"/>
    <w:rsid w:val="00497082"/>
    <w:rsid w:val="004971E4"/>
    <w:rsid w:val="004973EC"/>
    <w:rsid w:val="00497B15"/>
    <w:rsid w:val="004A03E3"/>
    <w:rsid w:val="004A0617"/>
    <w:rsid w:val="004A08AC"/>
    <w:rsid w:val="004A1A63"/>
    <w:rsid w:val="004A2326"/>
    <w:rsid w:val="004A2A39"/>
    <w:rsid w:val="004A319F"/>
    <w:rsid w:val="004A32F1"/>
    <w:rsid w:val="004A363B"/>
    <w:rsid w:val="004A36A8"/>
    <w:rsid w:val="004A60C7"/>
    <w:rsid w:val="004A6251"/>
    <w:rsid w:val="004A6CA2"/>
    <w:rsid w:val="004A735C"/>
    <w:rsid w:val="004A770C"/>
    <w:rsid w:val="004A781C"/>
    <w:rsid w:val="004A7ECD"/>
    <w:rsid w:val="004B05CE"/>
    <w:rsid w:val="004B0B99"/>
    <w:rsid w:val="004B0EF8"/>
    <w:rsid w:val="004B117E"/>
    <w:rsid w:val="004B14A3"/>
    <w:rsid w:val="004B17F7"/>
    <w:rsid w:val="004B18B8"/>
    <w:rsid w:val="004B1E33"/>
    <w:rsid w:val="004B224C"/>
    <w:rsid w:val="004B39D5"/>
    <w:rsid w:val="004B4654"/>
    <w:rsid w:val="004B5540"/>
    <w:rsid w:val="004B5ECF"/>
    <w:rsid w:val="004B5F62"/>
    <w:rsid w:val="004B6800"/>
    <w:rsid w:val="004B69CB"/>
    <w:rsid w:val="004B6A37"/>
    <w:rsid w:val="004B6B84"/>
    <w:rsid w:val="004B6B98"/>
    <w:rsid w:val="004B748E"/>
    <w:rsid w:val="004B76C5"/>
    <w:rsid w:val="004B7C5E"/>
    <w:rsid w:val="004C03E3"/>
    <w:rsid w:val="004C05E4"/>
    <w:rsid w:val="004C1578"/>
    <w:rsid w:val="004C1927"/>
    <w:rsid w:val="004C1A34"/>
    <w:rsid w:val="004C2276"/>
    <w:rsid w:val="004C3A42"/>
    <w:rsid w:val="004C3C6A"/>
    <w:rsid w:val="004C3E1B"/>
    <w:rsid w:val="004C3FE5"/>
    <w:rsid w:val="004C4721"/>
    <w:rsid w:val="004C4B13"/>
    <w:rsid w:val="004C4B5E"/>
    <w:rsid w:val="004C5064"/>
    <w:rsid w:val="004C513B"/>
    <w:rsid w:val="004C54F2"/>
    <w:rsid w:val="004C62A2"/>
    <w:rsid w:val="004C643F"/>
    <w:rsid w:val="004C6683"/>
    <w:rsid w:val="004C6813"/>
    <w:rsid w:val="004C715A"/>
    <w:rsid w:val="004C731F"/>
    <w:rsid w:val="004D0927"/>
    <w:rsid w:val="004D12E1"/>
    <w:rsid w:val="004D1337"/>
    <w:rsid w:val="004D143D"/>
    <w:rsid w:val="004D19B6"/>
    <w:rsid w:val="004D2332"/>
    <w:rsid w:val="004D2CC5"/>
    <w:rsid w:val="004D3065"/>
    <w:rsid w:val="004D320B"/>
    <w:rsid w:val="004D3ADD"/>
    <w:rsid w:val="004D3AFC"/>
    <w:rsid w:val="004D3EB5"/>
    <w:rsid w:val="004D3EE4"/>
    <w:rsid w:val="004D3F67"/>
    <w:rsid w:val="004D431C"/>
    <w:rsid w:val="004D47DC"/>
    <w:rsid w:val="004D48D7"/>
    <w:rsid w:val="004D4DDD"/>
    <w:rsid w:val="004D500B"/>
    <w:rsid w:val="004D5713"/>
    <w:rsid w:val="004D5934"/>
    <w:rsid w:val="004D5E04"/>
    <w:rsid w:val="004D6148"/>
    <w:rsid w:val="004D66F7"/>
    <w:rsid w:val="004D709F"/>
    <w:rsid w:val="004D7340"/>
    <w:rsid w:val="004D79AB"/>
    <w:rsid w:val="004E0DB7"/>
    <w:rsid w:val="004E13BA"/>
    <w:rsid w:val="004E1A6E"/>
    <w:rsid w:val="004E1B12"/>
    <w:rsid w:val="004E3257"/>
    <w:rsid w:val="004E32FC"/>
    <w:rsid w:val="004E3E15"/>
    <w:rsid w:val="004E4A63"/>
    <w:rsid w:val="004E531A"/>
    <w:rsid w:val="004E6061"/>
    <w:rsid w:val="004E6502"/>
    <w:rsid w:val="004E6FC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76C"/>
    <w:rsid w:val="005001E5"/>
    <w:rsid w:val="00500A0B"/>
    <w:rsid w:val="00500C4C"/>
    <w:rsid w:val="005016CA"/>
    <w:rsid w:val="0050183E"/>
    <w:rsid w:val="00502093"/>
    <w:rsid w:val="00502177"/>
    <w:rsid w:val="00502B65"/>
    <w:rsid w:val="00502CDD"/>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810"/>
    <w:rsid w:val="00515B21"/>
    <w:rsid w:val="00515CF2"/>
    <w:rsid w:val="00517079"/>
    <w:rsid w:val="00520023"/>
    <w:rsid w:val="005201C4"/>
    <w:rsid w:val="00520569"/>
    <w:rsid w:val="00520CD2"/>
    <w:rsid w:val="005212AE"/>
    <w:rsid w:val="005229B8"/>
    <w:rsid w:val="00522C1A"/>
    <w:rsid w:val="00523091"/>
    <w:rsid w:val="005242CB"/>
    <w:rsid w:val="00524D42"/>
    <w:rsid w:val="00526DC4"/>
    <w:rsid w:val="00526E89"/>
    <w:rsid w:val="005274E0"/>
    <w:rsid w:val="0052771C"/>
    <w:rsid w:val="00527F7B"/>
    <w:rsid w:val="005300DF"/>
    <w:rsid w:val="005318A9"/>
    <w:rsid w:val="00531B2A"/>
    <w:rsid w:val="00531B72"/>
    <w:rsid w:val="00531C8C"/>
    <w:rsid w:val="005324A4"/>
    <w:rsid w:val="00532D69"/>
    <w:rsid w:val="00532E56"/>
    <w:rsid w:val="00533B19"/>
    <w:rsid w:val="00533B21"/>
    <w:rsid w:val="00533D34"/>
    <w:rsid w:val="00533EE1"/>
    <w:rsid w:val="00533F49"/>
    <w:rsid w:val="00534D86"/>
    <w:rsid w:val="00535462"/>
    <w:rsid w:val="00535DD1"/>
    <w:rsid w:val="00536D43"/>
    <w:rsid w:val="0053715D"/>
    <w:rsid w:val="00537700"/>
    <w:rsid w:val="00537BB3"/>
    <w:rsid w:val="00537DB4"/>
    <w:rsid w:val="00540317"/>
    <w:rsid w:val="0054049A"/>
    <w:rsid w:val="00540D90"/>
    <w:rsid w:val="00541390"/>
    <w:rsid w:val="0054184C"/>
    <w:rsid w:val="00541B18"/>
    <w:rsid w:val="00541D68"/>
    <w:rsid w:val="00542646"/>
    <w:rsid w:val="00543994"/>
    <w:rsid w:val="00543C2D"/>
    <w:rsid w:val="00543DE7"/>
    <w:rsid w:val="0054479C"/>
    <w:rsid w:val="00544E43"/>
    <w:rsid w:val="00545B03"/>
    <w:rsid w:val="005468D6"/>
    <w:rsid w:val="00546CD8"/>
    <w:rsid w:val="00546E22"/>
    <w:rsid w:val="00547361"/>
    <w:rsid w:val="00547426"/>
    <w:rsid w:val="00547737"/>
    <w:rsid w:val="00547A16"/>
    <w:rsid w:val="005502EA"/>
    <w:rsid w:val="00550F0B"/>
    <w:rsid w:val="00551154"/>
    <w:rsid w:val="005522CE"/>
    <w:rsid w:val="00552ACC"/>
    <w:rsid w:val="00553082"/>
    <w:rsid w:val="00553578"/>
    <w:rsid w:val="005549C8"/>
    <w:rsid w:val="00554C70"/>
    <w:rsid w:val="00554E0D"/>
    <w:rsid w:val="0055538E"/>
    <w:rsid w:val="0055560D"/>
    <w:rsid w:val="0055566D"/>
    <w:rsid w:val="005558DD"/>
    <w:rsid w:val="00555A41"/>
    <w:rsid w:val="0055695F"/>
    <w:rsid w:val="005569B9"/>
    <w:rsid w:val="00556D72"/>
    <w:rsid w:val="00557727"/>
    <w:rsid w:val="00557C7D"/>
    <w:rsid w:val="00557EEB"/>
    <w:rsid w:val="00560145"/>
    <w:rsid w:val="0056061C"/>
    <w:rsid w:val="005609AA"/>
    <w:rsid w:val="005614E6"/>
    <w:rsid w:val="0056172F"/>
    <w:rsid w:val="00561AFE"/>
    <w:rsid w:val="00561B8F"/>
    <w:rsid w:val="0056210B"/>
    <w:rsid w:val="00562D03"/>
    <w:rsid w:val="005632DA"/>
    <w:rsid w:val="00563692"/>
    <w:rsid w:val="00563B9C"/>
    <w:rsid w:val="00564488"/>
    <w:rsid w:val="0056508D"/>
    <w:rsid w:val="00566D1E"/>
    <w:rsid w:val="00567CCF"/>
    <w:rsid w:val="00570608"/>
    <w:rsid w:val="005707BD"/>
    <w:rsid w:val="00570A3B"/>
    <w:rsid w:val="0057187A"/>
    <w:rsid w:val="00571C23"/>
    <w:rsid w:val="005720EB"/>
    <w:rsid w:val="0057246A"/>
    <w:rsid w:val="0057273D"/>
    <w:rsid w:val="00572E8B"/>
    <w:rsid w:val="005731B2"/>
    <w:rsid w:val="00573350"/>
    <w:rsid w:val="00573D28"/>
    <w:rsid w:val="00573E34"/>
    <w:rsid w:val="005740D5"/>
    <w:rsid w:val="005740DA"/>
    <w:rsid w:val="005771B7"/>
    <w:rsid w:val="0057749B"/>
    <w:rsid w:val="00577656"/>
    <w:rsid w:val="0057772B"/>
    <w:rsid w:val="00580176"/>
    <w:rsid w:val="005802AF"/>
    <w:rsid w:val="00580CDB"/>
    <w:rsid w:val="00580FDE"/>
    <w:rsid w:val="00581327"/>
    <w:rsid w:val="005817AB"/>
    <w:rsid w:val="00582C57"/>
    <w:rsid w:val="00584BAB"/>
    <w:rsid w:val="00584EFB"/>
    <w:rsid w:val="0058621D"/>
    <w:rsid w:val="00586D72"/>
    <w:rsid w:val="00586E4F"/>
    <w:rsid w:val="00587330"/>
    <w:rsid w:val="00587691"/>
    <w:rsid w:val="00587984"/>
    <w:rsid w:val="00587A84"/>
    <w:rsid w:val="00590AF7"/>
    <w:rsid w:val="005916FB"/>
    <w:rsid w:val="00592360"/>
    <w:rsid w:val="00593333"/>
    <w:rsid w:val="00593CD4"/>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5FA2"/>
    <w:rsid w:val="005A64CA"/>
    <w:rsid w:val="005A6A9E"/>
    <w:rsid w:val="005A7140"/>
    <w:rsid w:val="005A752F"/>
    <w:rsid w:val="005B1E67"/>
    <w:rsid w:val="005B2365"/>
    <w:rsid w:val="005B296A"/>
    <w:rsid w:val="005B3184"/>
    <w:rsid w:val="005B36F5"/>
    <w:rsid w:val="005B3BB9"/>
    <w:rsid w:val="005B3F3B"/>
    <w:rsid w:val="005B51EE"/>
    <w:rsid w:val="005B5FC8"/>
    <w:rsid w:val="005B6E2C"/>
    <w:rsid w:val="005B7761"/>
    <w:rsid w:val="005C08BA"/>
    <w:rsid w:val="005C0DC0"/>
    <w:rsid w:val="005C160B"/>
    <w:rsid w:val="005C194D"/>
    <w:rsid w:val="005C1C0E"/>
    <w:rsid w:val="005C21B5"/>
    <w:rsid w:val="005C2D8D"/>
    <w:rsid w:val="005C3179"/>
    <w:rsid w:val="005C32F8"/>
    <w:rsid w:val="005C44D8"/>
    <w:rsid w:val="005C464F"/>
    <w:rsid w:val="005C49FE"/>
    <w:rsid w:val="005C565F"/>
    <w:rsid w:val="005C5844"/>
    <w:rsid w:val="005C5B71"/>
    <w:rsid w:val="005C639C"/>
    <w:rsid w:val="005C66F8"/>
    <w:rsid w:val="005C7062"/>
    <w:rsid w:val="005C714B"/>
    <w:rsid w:val="005C795A"/>
    <w:rsid w:val="005D26C5"/>
    <w:rsid w:val="005D2B1C"/>
    <w:rsid w:val="005D2CDE"/>
    <w:rsid w:val="005D2DDC"/>
    <w:rsid w:val="005D341C"/>
    <w:rsid w:val="005D3A26"/>
    <w:rsid w:val="005D3C96"/>
    <w:rsid w:val="005D3DB2"/>
    <w:rsid w:val="005D413D"/>
    <w:rsid w:val="005D4EDA"/>
    <w:rsid w:val="005D58F0"/>
    <w:rsid w:val="005D65FC"/>
    <w:rsid w:val="005D6747"/>
    <w:rsid w:val="005D6918"/>
    <w:rsid w:val="005D6A39"/>
    <w:rsid w:val="005E03FF"/>
    <w:rsid w:val="005E08EE"/>
    <w:rsid w:val="005E1980"/>
    <w:rsid w:val="005E25CA"/>
    <w:rsid w:val="005E3A57"/>
    <w:rsid w:val="005E3BA2"/>
    <w:rsid w:val="005E40A8"/>
    <w:rsid w:val="005E499E"/>
    <w:rsid w:val="005E5F15"/>
    <w:rsid w:val="005E7897"/>
    <w:rsid w:val="005F02E5"/>
    <w:rsid w:val="005F0996"/>
    <w:rsid w:val="005F1394"/>
    <w:rsid w:val="005F156F"/>
    <w:rsid w:val="005F1C5A"/>
    <w:rsid w:val="005F1D9F"/>
    <w:rsid w:val="005F2179"/>
    <w:rsid w:val="005F2E7D"/>
    <w:rsid w:val="005F2EE4"/>
    <w:rsid w:val="005F2F7D"/>
    <w:rsid w:val="005F3A8A"/>
    <w:rsid w:val="005F45C2"/>
    <w:rsid w:val="005F4ECF"/>
    <w:rsid w:val="005F569A"/>
    <w:rsid w:val="005F6073"/>
    <w:rsid w:val="005F6196"/>
    <w:rsid w:val="005F61B4"/>
    <w:rsid w:val="005F6454"/>
    <w:rsid w:val="005F7468"/>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CBD"/>
    <w:rsid w:val="00607F3D"/>
    <w:rsid w:val="0061028C"/>
    <w:rsid w:val="00610C46"/>
    <w:rsid w:val="00614079"/>
    <w:rsid w:val="00614188"/>
    <w:rsid w:val="0061465B"/>
    <w:rsid w:val="00615362"/>
    <w:rsid w:val="006157B6"/>
    <w:rsid w:val="00615A62"/>
    <w:rsid w:val="00615EBC"/>
    <w:rsid w:val="00616043"/>
    <w:rsid w:val="006163BF"/>
    <w:rsid w:val="00616F1D"/>
    <w:rsid w:val="00616FA1"/>
    <w:rsid w:val="00617516"/>
    <w:rsid w:val="00617C77"/>
    <w:rsid w:val="0062006E"/>
    <w:rsid w:val="00620357"/>
    <w:rsid w:val="00620FB8"/>
    <w:rsid w:val="006214D7"/>
    <w:rsid w:val="00621B71"/>
    <w:rsid w:val="006225CD"/>
    <w:rsid w:val="00622BEF"/>
    <w:rsid w:val="0062386E"/>
    <w:rsid w:val="00623E6B"/>
    <w:rsid w:val="0062443A"/>
    <w:rsid w:val="00624802"/>
    <w:rsid w:val="00624F20"/>
    <w:rsid w:val="00625F4E"/>
    <w:rsid w:val="006279BE"/>
    <w:rsid w:val="006304BB"/>
    <w:rsid w:val="0063071F"/>
    <w:rsid w:val="00630C62"/>
    <w:rsid w:val="00631207"/>
    <w:rsid w:val="006314C3"/>
    <w:rsid w:val="00631BBB"/>
    <w:rsid w:val="00632154"/>
    <w:rsid w:val="0063273E"/>
    <w:rsid w:val="00633242"/>
    <w:rsid w:val="00633FA0"/>
    <w:rsid w:val="00634279"/>
    <w:rsid w:val="00634534"/>
    <w:rsid w:val="00634EF5"/>
    <w:rsid w:val="00636401"/>
    <w:rsid w:val="00636905"/>
    <w:rsid w:val="00636A93"/>
    <w:rsid w:val="0063772A"/>
    <w:rsid w:val="0063772C"/>
    <w:rsid w:val="006418C8"/>
    <w:rsid w:val="006418E4"/>
    <w:rsid w:val="006427D9"/>
    <w:rsid w:val="00642BAE"/>
    <w:rsid w:val="00642CAD"/>
    <w:rsid w:val="00643498"/>
    <w:rsid w:val="00643D25"/>
    <w:rsid w:val="0064489B"/>
    <w:rsid w:val="006448DB"/>
    <w:rsid w:val="00644D3E"/>
    <w:rsid w:val="00645AB9"/>
    <w:rsid w:val="00645E2A"/>
    <w:rsid w:val="006460CB"/>
    <w:rsid w:val="00646267"/>
    <w:rsid w:val="0064668D"/>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16B"/>
    <w:rsid w:val="006555CA"/>
    <w:rsid w:val="00655793"/>
    <w:rsid w:val="00655BA3"/>
    <w:rsid w:val="006560E3"/>
    <w:rsid w:val="006564ED"/>
    <w:rsid w:val="00656C6E"/>
    <w:rsid w:val="0066021B"/>
    <w:rsid w:val="0066033E"/>
    <w:rsid w:val="0066116D"/>
    <w:rsid w:val="00661490"/>
    <w:rsid w:val="00663A05"/>
    <w:rsid w:val="00663F47"/>
    <w:rsid w:val="006648FA"/>
    <w:rsid w:val="00664AC4"/>
    <w:rsid w:val="00664FB0"/>
    <w:rsid w:val="0066505B"/>
    <w:rsid w:val="00665119"/>
    <w:rsid w:val="00665ACE"/>
    <w:rsid w:val="0066701C"/>
    <w:rsid w:val="006671D4"/>
    <w:rsid w:val="0066750D"/>
    <w:rsid w:val="00667F2F"/>
    <w:rsid w:val="00671338"/>
    <w:rsid w:val="00672B40"/>
    <w:rsid w:val="00672CE0"/>
    <w:rsid w:val="00672F8D"/>
    <w:rsid w:val="006730DE"/>
    <w:rsid w:val="006730F3"/>
    <w:rsid w:val="00673B33"/>
    <w:rsid w:val="006747AB"/>
    <w:rsid w:val="00676465"/>
    <w:rsid w:val="00677107"/>
    <w:rsid w:val="006775C4"/>
    <w:rsid w:val="006775CB"/>
    <w:rsid w:val="0068056E"/>
    <w:rsid w:val="006805B9"/>
    <w:rsid w:val="00681AC1"/>
    <w:rsid w:val="00681EE7"/>
    <w:rsid w:val="00682165"/>
    <w:rsid w:val="00682D3B"/>
    <w:rsid w:val="00683178"/>
    <w:rsid w:val="0068325D"/>
    <w:rsid w:val="00684397"/>
    <w:rsid w:val="00684F50"/>
    <w:rsid w:val="00685785"/>
    <w:rsid w:val="006860A5"/>
    <w:rsid w:val="00686F6A"/>
    <w:rsid w:val="00687667"/>
    <w:rsid w:val="00687828"/>
    <w:rsid w:val="00687BEB"/>
    <w:rsid w:val="006901B4"/>
    <w:rsid w:val="00691515"/>
    <w:rsid w:val="00692709"/>
    <w:rsid w:val="00692778"/>
    <w:rsid w:val="00692B2A"/>
    <w:rsid w:val="006937A1"/>
    <w:rsid w:val="006938F8"/>
    <w:rsid w:val="00693A52"/>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3D66"/>
    <w:rsid w:val="006A486E"/>
    <w:rsid w:val="006A5158"/>
    <w:rsid w:val="006A52BF"/>
    <w:rsid w:val="006A5821"/>
    <w:rsid w:val="006A5A6C"/>
    <w:rsid w:val="006A61E5"/>
    <w:rsid w:val="006A654C"/>
    <w:rsid w:val="006A6B9A"/>
    <w:rsid w:val="006A7061"/>
    <w:rsid w:val="006A7145"/>
    <w:rsid w:val="006B0A9C"/>
    <w:rsid w:val="006B0B08"/>
    <w:rsid w:val="006B0F00"/>
    <w:rsid w:val="006B10A8"/>
    <w:rsid w:val="006B10B6"/>
    <w:rsid w:val="006B1778"/>
    <w:rsid w:val="006B1B86"/>
    <w:rsid w:val="006B208B"/>
    <w:rsid w:val="006B3C7A"/>
    <w:rsid w:val="006B454E"/>
    <w:rsid w:val="006B462B"/>
    <w:rsid w:val="006B46C9"/>
    <w:rsid w:val="006B4FD6"/>
    <w:rsid w:val="006B511B"/>
    <w:rsid w:val="006B5508"/>
    <w:rsid w:val="006B5A9E"/>
    <w:rsid w:val="006B7267"/>
    <w:rsid w:val="006C1371"/>
    <w:rsid w:val="006C1BC7"/>
    <w:rsid w:val="006C1F9E"/>
    <w:rsid w:val="006C2F23"/>
    <w:rsid w:val="006C408C"/>
    <w:rsid w:val="006C44AE"/>
    <w:rsid w:val="006C456A"/>
    <w:rsid w:val="006C49E9"/>
    <w:rsid w:val="006C4CA2"/>
    <w:rsid w:val="006C564D"/>
    <w:rsid w:val="006C5F69"/>
    <w:rsid w:val="006C671F"/>
    <w:rsid w:val="006C6ACB"/>
    <w:rsid w:val="006C6F3C"/>
    <w:rsid w:val="006C6FB7"/>
    <w:rsid w:val="006D007C"/>
    <w:rsid w:val="006D04BD"/>
    <w:rsid w:val="006D06F5"/>
    <w:rsid w:val="006D0985"/>
    <w:rsid w:val="006D120B"/>
    <w:rsid w:val="006D3AA5"/>
    <w:rsid w:val="006D3FF8"/>
    <w:rsid w:val="006D428F"/>
    <w:rsid w:val="006D54E1"/>
    <w:rsid w:val="006D5A11"/>
    <w:rsid w:val="006D662C"/>
    <w:rsid w:val="006D6635"/>
    <w:rsid w:val="006D668F"/>
    <w:rsid w:val="006E0406"/>
    <w:rsid w:val="006E09D6"/>
    <w:rsid w:val="006E1695"/>
    <w:rsid w:val="006E1835"/>
    <w:rsid w:val="006E197B"/>
    <w:rsid w:val="006E1AC8"/>
    <w:rsid w:val="006E22C9"/>
    <w:rsid w:val="006E2B27"/>
    <w:rsid w:val="006E3401"/>
    <w:rsid w:val="006E58AF"/>
    <w:rsid w:val="006E687C"/>
    <w:rsid w:val="006E698C"/>
    <w:rsid w:val="006E6A36"/>
    <w:rsid w:val="006E7B65"/>
    <w:rsid w:val="006E7F21"/>
    <w:rsid w:val="006F017D"/>
    <w:rsid w:val="006F0329"/>
    <w:rsid w:val="006F05CC"/>
    <w:rsid w:val="006F0771"/>
    <w:rsid w:val="006F0913"/>
    <w:rsid w:val="006F2412"/>
    <w:rsid w:val="006F3230"/>
    <w:rsid w:val="006F3F32"/>
    <w:rsid w:val="006F3FE0"/>
    <w:rsid w:val="006F462B"/>
    <w:rsid w:val="006F4FB8"/>
    <w:rsid w:val="006F5392"/>
    <w:rsid w:val="006F5864"/>
    <w:rsid w:val="006F6131"/>
    <w:rsid w:val="006F650D"/>
    <w:rsid w:val="006F68C0"/>
    <w:rsid w:val="006F68E5"/>
    <w:rsid w:val="006F6D40"/>
    <w:rsid w:val="006F7BE1"/>
    <w:rsid w:val="00700013"/>
    <w:rsid w:val="007007EB"/>
    <w:rsid w:val="00701329"/>
    <w:rsid w:val="007015D5"/>
    <w:rsid w:val="007017F0"/>
    <w:rsid w:val="00702862"/>
    <w:rsid w:val="007037DD"/>
    <w:rsid w:val="00703AE1"/>
    <w:rsid w:val="00703B2F"/>
    <w:rsid w:val="0070428E"/>
    <w:rsid w:val="007042B5"/>
    <w:rsid w:val="007042F2"/>
    <w:rsid w:val="00704634"/>
    <w:rsid w:val="00704A75"/>
    <w:rsid w:val="00705A44"/>
    <w:rsid w:val="00705D6A"/>
    <w:rsid w:val="00705E84"/>
    <w:rsid w:val="00706144"/>
    <w:rsid w:val="007061EE"/>
    <w:rsid w:val="007063E6"/>
    <w:rsid w:val="0070670A"/>
    <w:rsid w:val="00707031"/>
    <w:rsid w:val="00707245"/>
    <w:rsid w:val="007073AC"/>
    <w:rsid w:val="00707E4A"/>
    <w:rsid w:val="00710B09"/>
    <w:rsid w:val="00711EB9"/>
    <w:rsid w:val="0071287D"/>
    <w:rsid w:val="007129B1"/>
    <w:rsid w:val="00712D50"/>
    <w:rsid w:val="00713419"/>
    <w:rsid w:val="007135A0"/>
    <w:rsid w:val="00713957"/>
    <w:rsid w:val="00714402"/>
    <w:rsid w:val="00714488"/>
    <w:rsid w:val="00715319"/>
    <w:rsid w:val="00715EBB"/>
    <w:rsid w:val="00716736"/>
    <w:rsid w:val="00716D69"/>
    <w:rsid w:val="00716DD4"/>
    <w:rsid w:val="007177FA"/>
    <w:rsid w:val="00717898"/>
    <w:rsid w:val="0072215B"/>
    <w:rsid w:val="00722B88"/>
    <w:rsid w:val="0072304C"/>
    <w:rsid w:val="0072368F"/>
    <w:rsid w:val="00723EC1"/>
    <w:rsid w:val="007241B6"/>
    <w:rsid w:val="00724552"/>
    <w:rsid w:val="00724C1C"/>
    <w:rsid w:val="00727C09"/>
    <w:rsid w:val="00727D9C"/>
    <w:rsid w:val="00730089"/>
    <w:rsid w:val="00730250"/>
    <w:rsid w:val="00730453"/>
    <w:rsid w:val="0073182F"/>
    <w:rsid w:val="00731E00"/>
    <w:rsid w:val="00731E02"/>
    <w:rsid w:val="0073212F"/>
    <w:rsid w:val="007324A9"/>
    <w:rsid w:val="007332CB"/>
    <w:rsid w:val="00733356"/>
    <w:rsid w:val="00734300"/>
    <w:rsid w:val="0073439D"/>
    <w:rsid w:val="00734795"/>
    <w:rsid w:val="00735333"/>
    <w:rsid w:val="0073614C"/>
    <w:rsid w:val="007369B6"/>
    <w:rsid w:val="00736F71"/>
    <w:rsid w:val="00736FB8"/>
    <w:rsid w:val="00740A60"/>
    <w:rsid w:val="00740D93"/>
    <w:rsid w:val="00741F8C"/>
    <w:rsid w:val="007426D1"/>
    <w:rsid w:val="00743325"/>
    <w:rsid w:val="00743E50"/>
    <w:rsid w:val="00743F9C"/>
    <w:rsid w:val="00744DC2"/>
    <w:rsid w:val="00744E48"/>
    <w:rsid w:val="00744EED"/>
    <w:rsid w:val="00746015"/>
    <w:rsid w:val="0074605F"/>
    <w:rsid w:val="00746730"/>
    <w:rsid w:val="00747E03"/>
    <w:rsid w:val="0075049F"/>
    <w:rsid w:val="00751760"/>
    <w:rsid w:val="0075211B"/>
    <w:rsid w:val="00752C85"/>
    <w:rsid w:val="00752CFC"/>
    <w:rsid w:val="00752DF8"/>
    <w:rsid w:val="00752EAE"/>
    <w:rsid w:val="00753D50"/>
    <w:rsid w:val="00754619"/>
    <w:rsid w:val="0075607A"/>
    <w:rsid w:val="007562AF"/>
    <w:rsid w:val="00756771"/>
    <w:rsid w:val="00756A0B"/>
    <w:rsid w:val="00757070"/>
    <w:rsid w:val="0075716B"/>
    <w:rsid w:val="00757251"/>
    <w:rsid w:val="007573A2"/>
    <w:rsid w:val="00757BFC"/>
    <w:rsid w:val="00757FD7"/>
    <w:rsid w:val="00760108"/>
    <w:rsid w:val="00760AB6"/>
    <w:rsid w:val="00760DD6"/>
    <w:rsid w:val="00760E79"/>
    <w:rsid w:val="00761447"/>
    <w:rsid w:val="0076177C"/>
    <w:rsid w:val="00762460"/>
    <w:rsid w:val="0076255E"/>
    <w:rsid w:val="00762B99"/>
    <w:rsid w:val="007656A2"/>
    <w:rsid w:val="00766389"/>
    <w:rsid w:val="00766DE1"/>
    <w:rsid w:val="0076715A"/>
    <w:rsid w:val="007677CD"/>
    <w:rsid w:val="00767ABB"/>
    <w:rsid w:val="00767FE0"/>
    <w:rsid w:val="00770340"/>
    <w:rsid w:val="00770536"/>
    <w:rsid w:val="00770AC5"/>
    <w:rsid w:val="007711A1"/>
    <w:rsid w:val="00771AF2"/>
    <w:rsid w:val="007722CF"/>
    <w:rsid w:val="00772E06"/>
    <w:rsid w:val="00773238"/>
    <w:rsid w:val="00773C44"/>
    <w:rsid w:val="00774396"/>
    <w:rsid w:val="007743DD"/>
    <w:rsid w:val="00774CB7"/>
    <w:rsid w:val="007753A4"/>
    <w:rsid w:val="007758EE"/>
    <w:rsid w:val="00775BD0"/>
    <w:rsid w:val="00775DB6"/>
    <w:rsid w:val="00776076"/>
    <w:rsid w:val="007774A3"/>
    <w:rsid w:val="007779BF"/>
    <w:rsid w:val="00777B9A"/>
    <w:rsid w:val="00777CFA"/>
    <w:rsid w:val="00777DA1"/>
    <w:rsid w:val="00777F6C"/>
    <w:rsid w:val="007806D4"/>
    <w:rsid w:val="00781322"/>
    <w:rsid w:val="00781516"/>
    <w:rsid w:val="00781E84"/>
    <w:rsid w:val="00781EFF"/>
    <w:rsid w:val="00782019"/>
    <w:rsid w:val="007841D1"/>
    <w:rsid w:val="007852EB"/>
    <w:rsid w:val="00785E98"/>
    <w:rsid w:val="00786A0E"/>
    <w:rsid w:val="00787328"/>
    <w:rsid w:val="00787FF8"/>
    <w:rsid w:val="007904C9"/>
    <w:rsid w:val="00790CF4"/>
    <w:rsid w:val="00790DA7"/>
    <w:rsid w:val="00791035"/>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65F"/>
    <w:rsid w:val="007A2727"/>
    <w:rsid w:val="007A367E"/>
    <w:rsid w:val="007A3DE9"/>
    <w:rsid w:val="007A43A0"/>
    <w:rsid w:val="007A47F2"/>
    <w:rsid w:val="007A490A"/>
    <w:rsid w:val="007A530A"/>
    <w:rsid w:val="007A65AF"/>
    <w:rsid w:val="007A719C"/>
    <w:rsid w:val="007A726F"/>
    <w:rsid w:val="007A757A"/>
    <w:rsid w:val="007B08F4"/>
    <w:rsid w:val="007B0A40"/>
    <w:rsid w:val="007B14D2"/>
    <w:rsid w:val="007B1CBC"/>
    <w:rsid w:val="007B2C51"/>
    <w:rsid w:val="007B34BC"/>
    <w:rsid w:val="007B3739"/>
    <w:rsid w:val="007B3D9B"/>
    <w:rsid w:val="007B452B"/>
    <w:rsid w:val="007B4780"/>
    <w:rsid w:val="007B4EEE"/>
    <w:rsid w:val="007B5EBB"/>
    <w:rsid w:val="007B65D2"/>
    <w:rsid w:val="007B6AD5"/>
    <w:rsid w:val="007C04A2"/>
    <w:rsid w:val="007C0D36"/>
    <w:rsid w:val="007C1271"/>
    <w:rsid w:val="007C1686"/>
    <w:rsid w:val="007C27DF"/>
    <w:rsid w:val="007C313D"/>
    <w:rsid w:val="007C3225"/>
    <w:rsid w:val="007C350E"/>
    <w:rsid w:val="007C36B7"/>
    <w:rsid w:val="007C3B2E"/>
    <w:rsid w:val="007C405D"/>
    <w:rsid w:val="007C4D7C"/>
    <w:rsid w:val="007C503D"/>
    <w:rsid w:val="007C5545"/>
    <w:rsid w:val="007C587A"/>
    <w:rsid w:val="007C6262"/>
    <w:rsid w:val="007C79F5"/>
    <w:rsid w:val="007C7A6B"/>
    <w:rsid w:val="007C7F45"/>
    <w:rsid w:val="007D0228"/>
    <w:rsid w:val="007D0A0F"/>
    <w:rsid w:val="007D131D"/>
    <w:rsid w:val="007D1719"/>
    <w:rsid w:val="007D1C94"/>
    <w:rsid w:val="007D1CBF"/>
    <w:rsid w:val="007D303D"/>
    <w:rsid w:val="007D3105"/>
    <w:rsid w:val="007D31C3"/>
    <w:rsid w:val="007D3939"/>
    <w:rsid w:val="007D3BCC"/>
    <w:rsid w:val="007D3CE0"/>
    <w:rsid w:val="007D404D"/>
    <w:rsid w:val="007D45CB"/>
    <w:rsid w:val="007D4645"/>
    <w:rsid w:val="007D51EF"/>
    <w:rsid w:val="007D5692"/>
    <w:rsid w:val="007D5976"/>
    <w:rsid w:val="007D6461"/>
    <w:rsid w:val="007E086A"/>
    <w:rsid w:val="007E2AA7"/>
    <w:rsid w:val="007E3210"/>
    <w:rsid w:val="007E32FC"/>
    <w:rsid w:val="007E36E2"/>
    <w:rsid w:val="007E4266"/>
    <w:rsid w:val="007E4EA5"/>
    <w:rsid w:val="007E5A5C"/>
    <w:rsid w:val="007E5AFE"/>
    <w:rsid w:val="007E7A9C"/>
    <w:rsid w:val="007F0633"/>
    <w:rsid w:val="007F0BA9"/>
    <w:rsid w:val="007F14CC"/>
    <w:rsid w:val="007F17A3"/>
    <w:rsid w:val="007F1A1A"/>
    <w:rsid w:val="007F1ECE"/>
    <w:rsid w:val="007F2DD4"/>
    <w:rsid w:val="007F2F32"/>
    <w:rsid w:val="007F35C6"/>
    <w:rsid w:val="007F3BF0"/>
    <w:rsid w:val="007F3CF5"/>
    <w:rsid w:val="007F4946"/>
    <w:rsid w:val="007F4B42"/>
    <w:rsid w:val="007F503E"/>
    <w:rsid w:val="007F5B11"/>
    <w:rsid w:val="007F7CB7"/>
    <w:rsid w:val="007F7F91"/>
    <w:rsid w:val="00801316"/>
    <w:rsid w:val="00801A10"/>
    <w:rsid w:val="00801F35"/>
    <w:rsid w:val="00802922"/>
    <w:rsid w:val="00803391"/>
    <w:rsid w:val="00803D63"/>
    <w:rsid w:val="00805B95"/>
    <w:rsid w:val="008061D6"/>
    <w:rsid w:val="008068C9"/>
    <w:rsid w:val="00806BDD"/>
    <w:rsid w:val="00806D14"/>
    <w:rsid w:val="0080728A"/>
    <w:rsid w:val="00807D76"/>
    <w:rsid w:val="00810C2C"/>
    <w:rsid w:val="00811182"/>
    <w:rsid w:val="00811407"/>
    <w:rsid w:val="00811B44"/>
    <w:rsid w:val="008122E4"/>
    <w:rsid w:val="00812D5A"/>
    <w:rsid w:val="00813206"/>
    <w:rsid w:val="00813494"/>
    <w:rsid w:val="00813755"/>
    <w:rsid w:val="00813833"/>
    <w:rsid w:val="008139EF"/>
    <w:rsid w:val="008161D5"/>
    <w:rsid w:val="00816FDD"/>
    <w:rsid w:val="00817A06"/>
    <w:rsid w:val="0082001A"/>
    <w:rsid w:val="008205D0"/>
    <w:rsid w:val="0082070E"/>
    <w:rsid w:val="00820D99"/>
    <w:rsid w:val="00820E06"/>
    <w:rsid w:val="00820F66"/>
    <w:rsid w:val="008211F5"/>
    <w:rsid w:val="008212FB"/>
    <w:rsid w:val="00823863"/>
    <w:rsid w:val="008240AB"/>
    <w:rsid w:val="008241FC"/>
    <w:rsid w:val="00824635"/>
    <w:rsid w:val="00824B51"/>
    <w:rsid w:val="00824FA5"/>
    <w:rsid w:val="00825DF2"/>
    <w:rsid w:val="00826459"/>
    <w:rsid w:val="008264A3"/>
    <w:rsid w:val="00826F27"/>
    <w:rsid w:val="008270BC"/>
    <w:rsid w:val="008300AB"/>
    <w:rsid w:val="008303A9"/>
    <w:rsid w:val="0083042F"/>
    <w:rsid w:val="008309C8"/>
    <w:rsid w:val="008309F3"/>
    <w:rsid w:val="00830E08"/>
    <w:rsid w:val="008312B3"/>
    <w:rsid w:val="0083287B"/>
    <w:rsid w:val="00832A83"/>
    <w:rsid w:val="00832A94"/>
    <w:rsid w:val="00832D2B"/>
    <w:rsid w:val="00833114"/>
    <w:rsid w:val="008357D2"/>
    <w:rsid w:val="00836EFC"/>
    <w:rsid w:val="008370CF"/>
    <w:rsid w:val="00837CEF"/>
    <w:rsid w:val="00840700"/>
    <w:rsid w:val="00840C89"/>
    <w:rsid w:val="0084114B"/>
    <w:rsid w:val="008413FA"/>
    <w:rsid w:val="00842756"/>
    <w:rsid w:val="008430AD"/>
    <w:rsid w:val="008433AE"/>
    <w:rsid w:val="0084355F"/>
    <w:rsid w:val="00843D17"/>
    <w:rsid w:val="008440D8"/>
    <w:rsid w:val="00845B42"/>
    <w:rsid w:val="0084703C"/>
    <w:rsid w:val="008473A8"/>
    <w:rsid w:val="00847424"/>
    <w:rsid w:val="00847B25"/>
    <w:rsid w:val="00850259"/>
    <w:rsid w:val="008504C8"/>
    <w:rsid w:val="008508A4"/>
    <w:rsid w:val="00851000"/>
    <w:rsid w:val="00851789"/>
    <w:rsid w:val="00851C7B"/>
    <w:rsid w:val="00854886"/>
    <w:rsid w:val="00854E51"/>
    <w:rsid w:val="00855029"/>
    <w:rsid w:val="0085507C"/>
    <w:rsid w:val="0085563E"/>
    <w:rsid w:val="00855D7F"/>
    <w:rsid w:val="00856409"/>
    <w:rsid w:val="0085743F"/>
    <w:rsid w:val="008575A2"/>
    <w:rsid w:val="008601DA"/>
    <w:rsid w:val="008612A8"/>
    <w:rsid w:val="00861653"/>
    <w:rsid w:val="00861978"/>
    <w:rsid w:val="008625C0"/>
    <w:rsid w:val="00863418"/>
    <w:rsid w:val="008634C5"/>
    <w:rsid w:val="00863D21"/>
    <w:rsid w:val="00863FB1"/>
    <w:rsid w:val="00864F72"/>
    <w:rsid w:val="00865A7A"/>
    <w:rsid w:val="00865B42"/>
    <w:rsid w:val="00865C98"/>
    <w:rsid w:val="00866DED"/>
    <w:rsid w:val="00866DF0"/>
    <w:rsid w:val="008672F5"/>
    <w:rsid w:val="00870822"/>
    <w:rsid w:val="0087089C"/>
    <w:rsid w:val="008709B3"/>
    <w:rsid w:val="00870DB7"/>
    <w:rsid w:val="0087135B"/>
    <w:rsid w:val="00871CF9"/>
    <w:rsid w:val="008721B7"/>
    <w:rsid w:val="00872816"/>
    <w:rsid w:val="008728A9"/>
    <w:rsid w:val="00872D12"/>
    <w:rsid w:val="00873D60"/>
    <w:rsid w:val="008740F9"/>
    <w:rsid w:val="00875679"/>
    <w:rsid w:val="008757CB"/>
    <w:rsid w:val="00875E9B"/>
    <w:rsid w:val="008764A9"/>
    <w:rsid w:val="00877075"/>
    <w:rsid w:val="0087759D"/>
    <w:rsid w:val="00877D5E"/>
    <w:rsid w:val="00880169"/>
    <w:rsid w:val="00880384"/>
    <w:rsid w:val="008804B7"/>
    <w:rsid w:val="0088052E"/>
    <w:rsid w:val="00880860"/>
    <w:rsid w:val="00880A15"/>
    <w:rsid w:val="00880AD0"/>
    <w:rsid w:val="00881102"/>
    <w:rsid w:val="0088126B"/>
    <w:rsid w:val="0088142E"/>
    <w:rsid w:val="0088144E"/>
    <w:rsid w:val="00881527"/>
    <w:rsid w:val="00881759"/>
    <w:rsid w:val="00881D7E"/>
    <w:rsid w:val="00883058"/>
    <w:rsid w:val="0088390F"/>
    <w:rsid w:val="0088401E"/>
    <w:rsid w:val="0088412E"/>
    <w:rsid w:val="00884523"/>
    <w:rsid w:val="00884613"/>
    <w:rsid w:val="00884F71"/>
    <w:rsid w:val="0088509D"/>
    <w:rsid w:val="008853FA"/>
    <w:rsid w:val="00885A50"/>
    <w:rsid w:val="00885DF2"/>
    <w:rsid w:val="008866BD"/>
    <w:rsid w:val="00887311"/>
    <w:rsid w:val="00887974"/>
    <w:rsid w:val="00887B04"/>
    <w:rsid w:val="00890833"/>
    <w:rsid w:val="00890890"/>
    <w:rsid w:val="008908BE"/>
    <w:rsid w:val="00890BC5"/>
    <w:rsid w:val="00890E9C"/>
    <w:rsid w:val="00891864"/>
    <w:rsid w:val="0089216D"/>
    <w:rsid w:val="008927FE"/>
    <w:rsid w:val="008929A8"/>
    <w:rsid w:val="00893B24"/>
    <w:rsid w:val="00894002"/>
    <w:rsid w:val="008940CD"/>
    <w:rsid w:val="008946EA"/>
    <w:rsid w:val="00894A6C"/>
    <w:rsid w:val="00894D4A"/>
    <w:rsid w:val="0089545F"/>
    <w:rsid w:val="0089557F"/>
    <w:rsid w:val="008959BA"/>
    <w:rsid w:val="00896821"/>
    <w:rsid w:val="00896F48"/>
    <w:rsid w:val="00897513"/>
    <w:rsid w:val="008979CB"/>
    <w:rsid w:val="008A0BA3"/>
    <w:rsid w:val="008A12C7"/>
    <w:rsid w:val="008A16BE"/>
    <w:rsid w:val="008A23DD"/>
    <w:rsid w:val="008A249E"/>
    <w:rsid w:val="008A4EE6"/>
    <w:rsid w:val="008A5C74"/>
    <w:rsid w:val="008A6544"/>
    <w:rsid w:val="008A65C4"/>
    <w:rsid w:val="008A6F02"/>
    <w:rsid w:val="008A7EC3"/>
    <w:rsid w:val="008A7F72"/>
    <w:rsid w:val="008B0AD8"/>
    <w:rsid w:val="008B1D4F"/>
    <w:rsid w:val="008B1DE0"/>
    <w:rsid w:val="008B299F"/>
    <w:rsid w:val="008B2A33"/>
    <w:rsid w:val="008B3030"/>
    <w:rsid w:val="008B32AC"/>
    <w:rsid w:val="008B33CF"/>
    <w:rsid w:val="008B3977"/>
    <w:rsid w:val="008B43C8"/>
    <w:rsid w:val="008B458E"/>
    <w:rsid w:val="008B4EBC"/>
    <w:rsid w:val="008B5073"/>
    <w:rsid w:val="008B5200"/>
    <w:rsid w:val="008B5DFE"/>
    <w:rsid w:val="008B604B"/>
    <w:rsid w:val="008B6325"/>
    <w:rsid w:val="008B68E8"/>
    <w:rsid w:val="008B7129"/>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9C6"/>
    <w:rsid w:val="008C7C52"/>
    <w:rsid w:val="008D05F4"/>
    <w:rsid w:val="008D1236"/>
    <w:rsid w:val="008D136A"/>
    <w:rsid w:val="008D1EDE"/>
    <w:rsid w:val="008D2763"/>
    <w:rsid w:val="008D3210"/>
    <w:rsid w:val="008D32AD"/>
    <w:rsid w:val="008D3620"/>
    <w:rsid w:val="008D458F"/>
    <w:rsid w:val="008D4A9D"/>
    <w:rsid w:val="008D5259"/>
    <w:rsid w:val="008D52D9"/>
    <w:rsid w:val="008D54AE"/>
    <w:rsid w:val="008D5B35"/>
    <w:rsid w:val="008D5B56"/>
    <w:rsid w:val="008D6772"/>
    <w:rsid w:val="008D6C62"/>
    <w:rsid w:val="008D7A62"/>
    <w:rsid w:val="008D7AC6"/>
    <w:rsid w:val="008E02E6"/>
    <w:rsid w:val="008E08A8"/>
    <w:rsid w:val="008E0B04"/>
    <w:rsid w:val="008E15B5"/>
    <w:rsid w:val="008E2B42"/>
    <w:rsid w:val="008E3006"/>
    <w:rsid w:val="008E350D"/>
    <w:rsid w:val="008E3B36"/>
    <w:rsid w:val="008E3CEC"/>
    <w:rsid w:val="008E480F"/>
    <w:rsid w:val="008E4A67"/>
    <w:rsid w:val="008E56F5"/>
    <w:rsid w:val="008F0205"/>
    <w:rsid w:val="008F0D67"/>
    <w:rsid w:val="008F0DCC"/>
    <w:rsid w:val="008F1946"/>
    <w:rsid w:val="008F1EB2"/>
    <w:rsid w:val="008F284E"/>
    <w:rsid w:val="008F2BAD"/>
    <w:rsid w:val="008F2CAE"/>
    <w:rsid w:val="008F37D5"/>
    <w:rsid w:val="008F39F2"/>
    <w:rsid w:val="008F40F3"/>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C15"/>
    <w:rsid w:val="009103B6"/>
    <w:rsid w:val="0091170B"/>
    <w:rsid w:val="00911817"/>
    <w:rsid w:val="00912F07"/>
    <w:rsid w:val="00912F68"/>
    <w:rsid w:val="009133A9"/>
    <w:rsid w:val="00913418"/>
    <w:rsid w:val="009137F9"/>
    <w:rsid w:val="00913C08"/>
    <w:rsid w:val="00914B11"/>
    <w:rsid w:val="00915282"/>
    <w:rsid w:val="00915409"/>
    <w:rsid w:val="0091567A"/>
    <w:rsid w:val="00916573"/>
    <w:rsid w:val="0091750A"/>
    <w:rsid w:val="00920287"/>
    <w:rsid w:val="00920947"/>
    <w:rsid w:val="0092099A"/>
    <w:rsid w:val="00920C90"/>
    <w:rsid w:val="009219E3"/>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1E21"/>
    <w:rsid w:val="00942CAB"/>
    <w:rsid w:val="00942E61"/>
    <w:rsid w:val="00944D6E"/>
    <w:rsid w:val="00945295"/>
    <w:rsid w:val="0094562D"/>
    <w:rsid w:val="00946E68"/>
    <w:rsid w:val="00946FB0"/>
    <w:rsid w:val="009473C5"/>
    <w:rsid w:val="009473D6"/>
    <w:rsid w:val="009475F5"/>
    <w:rsid w:val="00947785"/>
    <w:rsid w:val="00950019"/>
    <w:rsid w:val="009504AD"/>
    <w:rsid w:val="0095084D"/>
    <w:rsid w:val="009513AF"/>
    <w:rsid w:val="009514A7"/>
    <w:rsid w:val="00952111"/>
    <w:rsid w:val="009521A2"/>
    <w:rsid w:val="009524CE"/>
    <w:rsid w:val="009525E5"/>
    <w:rsid w:val="0095270A"/>
    <w:rsid w:val="00952B35"/>
    <w:rsid w:val="00952E94"/>
    <w:rsid w:val="00953386"/>
    <w:rsid w:val="00953CDB"/>
    <w:rsid w:val="00954F7D"/>
    <w:rsid w:val="00955D30"/>
    <w:rsid w:val="00956727"/>
    <w:rsid w:val="0095762B"/>
    <w:rsid w:val="00957E51"/>
    <w:rsid w:val="009608E8"/>
    <w:rsid w:val="00960E04"/>
    <w:rsid w:val="0096112B"/>
    <w:rsid w:val="009629EE"/>
    <w:rsid w:val="0096309B"/>
    <w:rsid w:val="00964A87"/>
    <w:rsid w:val="00964CE3"/>
    <w:rsid w:val="0096517E"/>
    <w:rsid w:val="00965204"/>
    <w:rsid w:val="00965931"/>
    <w:rsid w:val="00965DB7"/>
    <w:rsid w:val="0096623B"/>
    <w:rsid w:val="009663A9"/>
    <w:rsid w:val="00966C28"/>
    <w:rsid w:val="00967083"/>
    <w:rsid w:val="009700BB"/>
    <w:rsid w:val="00971321"/>
    <w:rsid w:val="00972697"/>
    <w:rsid w:val="00972B61"/>
    <w:rsid w:val="009730F2"/>
    <w:rsid w:val="00973CD7"/>
    <w:rsid w:val="00974250"/>
    <w:rsid w:val="00974AAF"/>
    <w:rsid w:val="00974DD0"/>
    <w:rsid w:val="00974F50"/>
    <w:rsid w:val="009756EC"/>
    <w:rsid w:val="009757EE"/>
    <w:rsid w:val="0097584C"/>
    <w:rsid w:val="00976FCC"/>
    <w:rsid w:val="0097768E"/>
    <w:rsid w:val="009800E3"/>
    <w:rsid w:val="009818A2"/>
    <w:rsid w:val="00981B20"/>
    <w:rsid w:val="009829E2"/>
    <w:rsid w:val="00982E04"/>
    <w:rsid w:val="00983525"/>
    <w:rsid w:val="0098426C"/>
    <w:rsid w:val="009844CE"/>
    <w:rsid w:val="00984590"/>
    <w:rsid w:val="00984F92"/>
    <w:rsid w:val="00984FB7"/>
    <w:rsid w:val="00984FD8"/>
    <w:rsid w:val="009855CB"/>
    <w:rsid w:val="00985932"/>
    <w:rsid w:val="009868FC"/>
    <w:rsid w:val="00986D6A"/>
    <w:rsid w:val="00987D6B"/>
    <w:rsid w:val="00990013"/>
    <w:rsid w:val="00990127"/>
    <w:rsid w:val="00990D44"/>
    <w:rsid w:val="00991E94"/>
    <w:rsid w:val="00992712"/>
    <w:rsid w:val="00992D67"/>
    <w:rsid w:val="00993E7E"/>
    <w:rsid w:val="00993ED8"/>
    <w:rsid w:val="00994082"/>
    <w:rsid w:val="00994CCC"/>
    <w:rsid w:val="009955FB"/>
    <w:rsid w:val="0099690A"/>
    <w:rsid w:val="00997136"/>
    <w:rsid w:val="009971A7"/>
    <w:rsid w:val="00997DB0"/>
    <w:rsid w:val="009A103E"/>
    <w:rsid w:val="009A334A"/>
    <w:rsid w:val="009A33BE"/>
    <w:rsid w:val="009A3F67"/>
    <w:rsid w:val="009A4DD5"/>
    <w:rsid w:val="009B069C"/>
    <w:rsid w:val="009B0C38"/>
    <w:rsid w:val="009B1120"/>
    <w:rsid w:val="009B127F"/>
    <w:rsid w:val="009B15EE"/>
    <w:rsid w:val="009B19C2"/>
    <w:rsid w:val="009B1EAF"/>
    <w:rsid w:val="009B229F"/>
    <w:rsid w:val="009B2AE4"/>
    <w:rsid w:val="009B30D4"/>
    <w:rsid w:val="009B38A3"/>
    <w:rsid w:val="009B38C8"/>
    <w:rsid w:val="009B4212"/>
    <w:rsid w:val="009B43C7"/>
    <w:rsid w:val="009B4E0E"/>
    <w:rsid w:val="009B5202"/>
    <w:rsid w:val="009B537A"/>
    <w:rsid w:val="009B5404"/>
    <w:rsid w:val="009B575E"/>
    <w:rsid w:val="009B6107"/>
    <w:rsid w:val="009B622A"/>
    <w:rsid w:val="009B6D2C"/>
    <w:rsid w:val="009B79D7"/>
    <w:rsid w:val="009B7AFA"/>
    <w:rsid w:val="009C0461"/>
    <w:rsid w:val="009C16E5"/>
    <w:rsid w:val="009C24D1"/>
    <w:rsid w:val="009C3841"/>
    <w:rsid w:val="009C3C89"/>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ADA"/>
    <w:rsid w:val="009D6EC6"/>
    <w:rsid w:val="009D7058"/>
    <w:rsid w:val="009D76EB"/>
    <w:rsid w:val="009E0336"/>
    <w:rsid w:val="009E10EC"/>
    <w:rsid w:val="009E10F6"/>
    <w:rsid w:val="009E1628"/>
    <w:rsid w:val="009E1C71"/>
    <w:rsid w:val="009E28AA"/>
    <w:rsid w:val="009E2B95"/>
    <w:rsid w:val="009E2C17"/>
    <w:rsid w:val="009E2F5D"/>
    <w:rsid w:val="009E34FA"/>
    <w:rsid w:val="009E3523"/>
    <w:rsid w:val="009E3D69"/>
    <w:rsid w:val="009E3DAE"/>
    <w:rsid w:val="009E3DB9"/>
    <w:rsid w:val="009E49A6"/>
    <w:rsid w:val="009E4B0C"/>
    <w:rsid w:val="009E4B72"/>
    <w:rsid w:val="009E5432"/>
    <w:rsid w:val="009E558E"/>
    <w:rsid w:val="009E646B"/>
    <w:rsid w:val="009E65F0"/>
    <w:rsid w:val="009E7A9F"/>
    <w:rsid w:val="009E7B07"/>
    <w:rsid w:val="009F046A"/>
    <w:rsid w:val="009F050C"/>
    <w:rsid w:val="009F0836"/>
    <w:rsid w:val="009F1587"/>
    <w:rsid w:val="009F344F"/>
    <w:rsid w:val="009F3537"/>
    <w:rsid w:val="009F3962"/>
    <w:rsid w:val="009F3A8E"/>
    <w:rsid w:val="009F3B12"/>
    <w:rsid w:val="009F3F93"/>
    <w:rsid w:val="009F4300"/>
    <w:rsid w:val="009F46F3"/>
    <w:rsid w:val="009F4CDD"/>
    <w:rsid w:val="009F52DB"/>
    <w:rsid w:val="009F5986"/>
    <w:rsid w:val="009F5F75"/>
    <w:rsid w:val="009F6D03"/>
    <w:rsid w:val="009F7396"/>
    <w:rsid w:val="009F74A6"/>
    <w:rsid w:val="009F75C0"/>
    <w:rsid w:val="009F7671"/>
    <w:rsid w:val="009F7CC0"/>
    <w:rsid w:val="00A00067"/>
    <w:rsid w:val="00A00501"/>
    <w:rsid w:val="00A01117"/>
    <w:rsid w:val="00A01E15"/>
    <w:rsid w:val="00A022D9"/>
    <w:rsid w:val="00A023EE"/>
    <w:rsid w:val="00A0357E"/>
    <w:rsid w:val="00A03CB6"/>
    <w:rsid w:val="00A03CB7"/>
    <w:rsid w:val="00A04078"/>
    <w:rsid w:val="00A040CB"/>
    <w:rsid w:val="00A041FD"/>
    <w:rsid w:val="00A0428C"/>
    <w:rsid w:val="00A045DB"/>
    <w:rsid w:val="00A04848"/>
    <w:rsid w:val="00A04D47"/>
    <w:rsid w:val="00A05295"/>
    <w:rsid w:val="00A05C7B"/>
    <w:rsid w:val="00A06A2F"/>
    <w:rsid w:val="00A06D1F"/>
    <w:rsid w:val="00A06F57"/>
    <w:rsid w:val="00A06FB2"/>
    <w:rsid w:val="00A07257"/>
    <w:rsid w:val="00A073BA"/>
    <w:rsid w:val="00A07A56"/>
    <w:rsid w:val="00A07D97"/>
    <w:rsid w:val="00A1031F"/>
    <w:rsid w:val="00A10464"/>
    <w:rsid w:val="00A10D42"/>
    <w:rsid w:val="00A1186C"/>
    <w:rsid w:val="00A12661"/>
    <w:rsid w:val="00A12D31"/>
    <w:rsid w:val="00A12F8B"/>
    <w:rsid w:val="00A13C0F"/>
    <w:rsid w:val="00A1496E"/>
    <w:rsid w:val="00A14EF6"/>
    <w:rsid w:val="00A164A6"/>
    <w:rsid w:val="00A165FE"/>
    <w:rsid w:val="00A16EFC"/>
    <w:rsid w:val="00A178AE"/>
    <w:rsid w:val="00A17A7F"/>
    <w:rsid w:val="00A20FD0"/>
    <w:rsid w:val="00A21357"/>
    <w:rsid w:val="00A215C1"/>
    <w:rsid w:val="00A21B13"/>
    <w:rsid w:val="00A22381"/>
    <w:rsid w:val="00A23061"/>
    <w:rsid w:val="00A23581"/>
    <w:rsid w:val="00A23D23"/>
    <w:rsid w:val="00A243B5"/>
    <w:rsid w:val="00A24A17"/>
    <w:rsid w:val="00A24B73"/>
    <w:rsid w:val="00A2522F"/>
    <w:rsid w:val="00A25247"/>
    <w:rsid w:val="00A257A4"/>
    <w:rsid w:val="00A258BB"/>
    <w:rsid w:val="00A25AF8"/>
    <w:rsid w:val="00A26CEA"/>
    <w:rsid w:val="00A27138"/>
    <w:rsid w:val="00A271B6"/>
    <w:rsid w:val="00A2790F"/>
    <w:rsid w:val="00A30D30"/>
    <w:rsid w:val="00A30EE2"/>
    <w:rsid w:val="00A31158"/>
    <w:rsid w:val="00A3215A"/>
    <w:rsid w:val="00A32881"/>
    <w:rsid w:val="00A32A4A"/>
    <w:rsid w:val="00A32B50"/>
    <w:rsid w:val="00A32D53"/>
    <w:rsid w:val="00A3359F"/>
    <w:rsid w:val="00A33F3B"/>
    <w:rsid w:val="00A34AF4"/>
    <w:rsid w:val="00A352E3"/>
    <w:rsid w:val="00A35446"/>
    <w:rsid w:val="00A3583F"/>
    <w:rsid w:val="00A35CD1"/>
    <w:rsid w:val="00A36936"/>
    <w:rsid w:val="00A37825"/>
    <w:rsid w:val="00A40044"/>
    <w:rsid w:val="00A402AB"/>
    <w:rsid w:val="00A40AA1"/>
    <w:rsid w:val="00A4105D"/>
    <w:rsid w:val="00A4116C"/>
    <w:rsid w:val="00A41757"/>
    <w:rsid w:val="00A417FE"/>
    <w:rsid w:val="00A41DB0"/>
    <w:rsid w:val="00A41FA8"/>
    <w:rsid w:val="00A426F3"/>
    <w:rsid w:val="00A42E01"/>
    <w:rsid w:val="00A431B3"/>
    <w:rsid w:val="00A44166"/>
    <w:rsid w:val="00A448E0"/>
    <w:rsid w:val="00A456F5"/>
    <w:rsid w:val="00A45C71"/>
    <w:rsid w:val="00A4628E"/>
    <w:rsid w:val="00A46C31"/>
    <w:rsid w:val="00A47209"/>
    <w:rsid w:val="00A47455"/>
    <w:rsid w:val="00A47DF5"/>
    <w:rsid w:val="00A51781"/>
    <w:rsid w:val="00A5203E"/>
    <w:rsid w:val="00A52320"/>
    <w:rsid w:val="00A52762"/>
    <w:rsid w:val="00A52BFF"/>
    <w:rsid w:val="00A537AD"/>
    <w:rsid w:val="00A53D4F"/>
    <w:rsid w:val="00A53F67"/>
    <w:rsid w:val="00A547DB"/>
    <w:rsid w:val="00A54A2D"/>
    <w:rsid w:val="00A54AAC"/>
    <w:rsid w:val="00A55548"/>
    <w:rsid w:val="00A55915"/>
    <w:rsid w:val="00A55A68"/>
    <w:rsid w:val="00A56094"/>
    <w:rsid w:val="00A5698E"/>
    <w:rsid w:val="00A56B70"/>
    <w:rsid w:val="00A57411"/>
    <w:rsid w:val="00A575B4"/>
    <w:rsid w:val="00A608CD"/>
    <w:rsid w:val="00A62815"/>
    <w:rsid w:val="00A62B80"/>
    <w:rsid w:val="00A63932"/>
    <w:rsid w:val="00A63EEF"/>
    <w:rsid w:val="00A64280"/>
    <w:rsid w:val="00A64C7D"/>
    <w:rsid w:val="00A64E0F"/>
    <w:rsid w:val="00A650CE"/>
    <w:rsid w:val="00A654A2"/>
    <w:rsid w:val="00A654DF"/>
    <w:rsid w:val="00A655E9"/>
    <w:rsid w:val="00A65A59"/>
    <w:rsid w:val="00A66CB2"/>
    <w:rsid w:val="00A67E0E"/>
    <w:rsid w:val="00A703F5"/>
    <w:rsid w:val="00A71119"/>
    <w:rsid w:val="00A72E3D"/>
    <w:rsid w:val="00A72EE1"/>
    <w:rsid w:val="00A73888"/>
    <w:rsid w:val="00A73B00"/>
    <w:rsid w:val="00A7413E"/>
    <w:rsid w:val="00A74641"/>
    <w:rsid w:val="00A746E4"/>
    <w:rsid w:val="00A758CC"/>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5E38"/>
    <w:rsid w:val="00A8689B"/>
    <w:rsid w:val="00A86C24"/>
    <w:rsid w:val="00A86E22"/>
    <w:rsid w:val="00A87174"/>
    <w:rsid w:val="00A87279"/>
    <w:rsid w:val="00A87E95"/>
    <w:rsid w:val="00A900FE"/>
    <w:rsid w:val="00A91FEE"/>
    <w:rsid w:val="00A92803"/>
    <w:rsid w:val="00A92C9A"/>
    <w:rsid w:val="00A9370A"/>
    <w:rsid w:val="00A94465"/>
    <w:rsid w:val="00A94E2C"/>
    <w:rsid w:val="00A94F2D"/>
    <w:rsid w:val="00A95DD5"/>
    <w:rsid w:val="00A96022"/>
    <w:rsid w:val="00A966F4"/>
    <w:rsid w:val="00A96770"/>
    <w:rsid w:val="00A96C07"/>
    <w:rsid w:val="00A96E7D"/>
    <w:rsid w:val="00A97932"/>
    <w:rsid w:val="00A979D7"/>
    <w:rsid w:val="00AA0197"/>
    <w:rsid w:val="00AA029D"/>
    <w:rsid w:val="00AA11A2"/>
    <w:rsid w:val="00AA1BD8"/>
    <w:rsid w:val="00AA20E4"/>
    <w:rsid w:val="00AA221F"/>
    <w:rsid w:val="00AA2C0B"/>
    <w:rsid w:val="00AA2CA6"/>
    <w:rsid w:val="00AA3786"/>
    <w:rsid w:val="00AA38B9"/>
    <w:rsid w:val="00AA438D"/>
    <w:rsid w:val="00AA55E0"/>
    <w:rsid w:val="00AA5BC8"/>
    <w:rsid w:val="00AA61B7"/>
    <w:rsid w:val="00AA689B"/>
    <w:rsid w:val="00AA7023"/>
    <w:rsid w:val="00AA7C89"/>
    <w:rsid w:val="00AB00F1"/>
    <w:rsid w:val="00AB0CE7"/>
    <w:rsid w:val="00AB0E24"/>
    <w:rsid w:val="00AB11B8"/>
    <w:rsid w:val="00AB18D3"/>
    <w:rsid w:val="00AB23B8"/>
    <w:rsid w:val="00AB2CD8"/>
    <w:rsid w:val="00AB2ED8"/>
    <w:rsid w:val="00AB3569"/>
    <w:rsid w:val="00AB511E"/>
    <w:rsid w:val="00AB5C16"/>
    <w:rsid w:val="00AB5C8E"/>
    <w:rsid w:val="00AB6057"/>
    <w:rsid w:val="00AB613B"/>
    <w:rsid w:val="00AB628D"/>
    <w:rsid w:val="00AB65B0"/>
    <w:rsid w:val="00AC00B1"/>
    <w:rsid w:val="00AC0229"/>
    <w:rsid w:val="00AC0D28"/>
    <w:rsid w:val="00AC0E47"/>
    <w:rsid w:val="00AC12CF"/>
    <w:rsid w:val="00AC1438"/>
    <w:rsid w:val="00AC154D"/>
    <w:rsid w:val="00AC2548"/>
    <w:rsid w:val="00AC36D5"/>
    <w:rsid w:val="00AC3C32"/>
    <w:rsid w:val="00AC3DB8"/>
    <w:rsid w:val="00AC543E"/>
    <w:rsid w:val="00AC59CF"/>
    <w:rsid w:val="00AD0DA8"/>
    <w:rsid w:val="00AD100C"/>
    <w:rsid w:val="00AD2540"/>
    <w:rsid w:val="00AD3815"/>
    <w:rsid w:val="00AD38ED"/>
    <w:rsid w:val="00AD39D6"/>
    <w:rsid w:val="00AD3C97"/>
    <w:rsid w:val="00AD4282"/>
    <w:rsid w:val="00AD5A42"/>
    <w:rsid w:val="00AD7073"/>
    <w:rsid w:val="00AD7559"/>
    <w:rsid w:val="00AD77FD"/>
    <w:rsid w:val="00AD79E2"/>
    <w:rsid w:val="00AD7C6A"/>
    <w:rsid w:val="00AD7FFB"/>
    <w:rsid w:val="00AE099B"/>
    <w:rsid w:val="00AE1B67"/>
    <w:rsid w:val="00AE1C5C"/>
    <w:rsid w:val="00AE271F"/>
    <w:rsid w:val="00AE3DF5"/>
    <w:rsid w:val="00AE4CFF"/>
    <w:rsid w:val="00AE4E46"/>
    <w:rsid w:val="00AE50E1"/>
    <w:rsid w:val="00AE52B0"/>
    <w:rsid w:val="00AE54F8"/>
    <w:rsid w:val="00AE5C7F"/>
    <w:rsid w:val="00AE6BA2"/>
    <w:rsid w:val="00AE70BC"/>
    <w:rsid w:val="00AF0EE5"/>
    <w:rsid w:val="00AF1629"/>
    <w:rsid w:val="00AF2172"/>
    <w:rsid w:val="00AF3B8C"/>
    <w:rsid w:val="00AF3CB8"/>
    <w:rsid w:val="00AF3E80"/>
    <w:rsid w:val="00AF4CB2"/>
    <w:rsid w:val="00AF4E0C"/>
    <w:rsid w:val="00AF4E17"/>
    <w:rsid w:val="00AF4FEA"/>
    <w:rsid w:val="00AF5B71"/>
    <w:rsid w:val="00AF67FD"/>
    <w:rsid w:val="00AF6C6B"/>
    <w:rsid w:val="00AF6E07"/>
    <w:rsid w:val="00AF6F9F"/>
    <w:rsid w:val="00AF71FA"/>
    <w:rsid w:val="00AF72B1"/>
    <w:rsid w:val="00AF76CC"/>
    <w:rsid w:val="00AF7C9E"/>
    <w:rsid w:val="00B0093A"/>
    <w:rsid w:val="00B00AAC"/>
    <w:rsid w:val="00B020E7"/>
    <w:rsid w:val="00B02152"/>
    <w:rsid w:val="00B0229E"/>
    <w:rsid w:val="00B02BB1"/>
    <w:rsid w:val="00B02FB6"/>
    <w:rsid w:val="00B03ACC"/>
    <w:rsid w:val="00B03DC2"/>
    <w:rsid w:val="00B04123"/>
    <w:rsid w:val="00B049EC"/>
    <w:rsid w:val="00B04DD6"/>
    <w:rsid w:val="00B050D6"/>
    <w:rsid w:val="00B0696E"/>
    <w:rsid w:val="00B0768C"/>
    <w:rsid w:val="00B0793C"/>
    <w:rsid w:val="00B10264"/>
    <w:rsid w:val="00B105B7"/>
    <w:rsid w:val="00B1212B"/>
    <w:rsid w:val="00B125A0"/>
    <w:rsid w:val="00B13177"/>
    <w:rsid w:val="00B13E8D"/>
    <w:rsid w:val="00B14285"/>
    <w:rsid w:val="00B15852"/>
    <w:rsid w:val="00B161B4"/>
    <w:rsid w:val="00B16527"/>
    <w:rsid w:val="00B16887"/>
    <w:rsid w:val="00B176C8"/>
    <w:rsid w:val="00B17F91"/>
    <w:rsid w:val="00B20379"/>
    <w:rsid w:val="00B20696"/>
    <w:rsid w:val="00B2074B"/>
    <w:rsid w:val="00B20905"/>
    <w:rsid w:val="00B20AEB"/>
    <w:rsid w:val="00B211BD"/>
    <w:rsid w:val="00B21544"/>
    <w:rsid w:val="00B21AB1"/>
    <w:rsid w:val="00B228FA"/>
    <w:rsid w:val="00B2361C"/>
    <w:rsid w:val="00B23719"/>
    <w:rsid w:val="00B2459C"/>
    <w:rsid w:val="00B25468"/>
    <w:rsid w:val="00B25FA6"/>
    <w:rsid w:val="00B26009"/>
    <w:rsid w:val="00B26215"/>
    <w:rsid w:val="00B26918"/>
    <w:rsid w:val="00B26C44"/>
    <w:rsid w:val="00B30025"/>
    <w:rsid w:val="00B31114"/>
    <w:rsid w:val="00B313D0"/>
    <w:rsid w:val="00B3156A"/>
    <w:rsid w:val="00B315E1"/>
    <w:rsid w:val="00B315F4"/>
    <w:rsid w:val="00B317DD"/>
    <w:rsid w:val="00B31CEC"/>
    <w:rsid w:val="00B32768"/>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3F17"/>
    <w:rsid w:val="00B453AD"/>
    <w:rsid w:val="00B45776"/>
    <w:rsid w:val="00B462D1"/>
    <w:rsid w:val="00B50446"/>
    <w:rsid w:val="00B51B10"/>
    <w:rsid w:val="00B51D5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2EE4"/>
    <w:rsid w:val="00B635E2"/>
    <w:rsid w:val="00B6364D"/>
    <w:rsid w:val="00B636E6"/>
    <w:rsid w:val="00B647EC"/>
    <w:rsid w:val="00B64AED"/>
    <w:rsid w:val="00B64DB8"/>
    <w:rsid w:val="00B6596E"/>
    <w:rsid w:val="00B65D72"/>
    <w:rsid w:val="00B661AF"/>
    <w:rsid w:val="00B6786A"/>
    <w:rsid w:val="00B67AA4"/>
    <w:rsid w:val="00B70483"/>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BE2"/>
    <w:rsid w:val="00B814A1"/>
    <w:rsid w:val="00B82205"/>
    <w:rsid w:val="00B8238D"/>
    <w:rsid w:val="00B82642"/>
    <w:rsid w:val="00B832CE"/>
    <w:rsid w:val="00B83A0B"/>
    <w:rsid w:val="00B83D7F"/>
    <w:rsid w:val="00B8477B"/>
    <w:rsid w:val="00B84942"/>
    <w:rsid w:val="00B84DE7"/>
    <w:rsid w:val="00B854B7"/>
    <w:rsid w:val="00B85F88"/>
    <w:rsid w:val="00B8650B"/>
    <w:rsid w:val="00B868E2"/>
    <w:rsid w:val="00B868FA"/>
    <w:rsid w:val="00B86B3C"/>
    <w:rsid w:val="00B876BF"/>
    <w:rsid w:val="00B877FC"/>
    <w:rsid w:val="00B87BE7"/>
    <w:rsid w:val="00B87E94"/>
    <w:rsid w:val="00B90116"/>
    <w:rsid w:val="00B90ED9"/>
    <w:rsid w:val="00B91714"/>
    <w:rsid w:val="00B923B6"/>
    <w:rsid w:val="00B9293A"/>
    <w:rsid w:val="00B92E08"/>
    <w:rsid w:val="00B92E5C"/>
    <w:rsid w:val="00B93021"/>
    <w:rsid w:val="00B93BE3"/>
    <w:rsid w:val="00B9470D"/>
    <w:rsid w:val="00B94A0F"/>
    <w:rsid w:val="00B95FE2"/>
    <w:rsid w:val="00B962EE"/>
    <w:rsid w:val="00B97246"/>
    <w:rsid w:val="00B9725F"/>
    <w:rsid w:val="00B972B2"/>
    <w:rsid w:val="00B97390"/>
    <w:rsid w:val="00BA032D"/>
    <w:rsid w:val="00BA03EE"/>
    <w:rsid w:val="00BA075D"/>
    <w:rsid w:val="00BA11FE"/>
    <w:rsid w:val="00BA1836"/>
    <w:rsid w:val="00BA18D4"/>
    <w:rsid w:val="00BA224E"/>
    <w:rsid w:val="00BA2298"/>
    <w:rsid w:val="00BA258A"/>
    <w:rsid w:val="00BA2A3D"/>
    <w:rsid w:val="00BA31EF"/>
    <w:rsid w:val="00BA3973"/>
    <w:rsid w:val="00BA42E0"/>
    <w:rsid w:val="00BA47AD"/>
    <w:rsid w:val="00BA5246"/>
    <w:rsid w:val="00BA59AD"/>
    <w:rsid w:val="00BA5A5C"/>
    <w:rsid w:val="00BA5DFF"/>
    <w:rsid w:val="00BA63BB"/>
    <w:rsid w:val="00BA65C8"/>
    <w:rsid w:val="00BA6A89"/>
    <w:rsid w:val="00BA6F7A"/>
    <w:rsid w:val="00BA785A"/>
    <w:rsid w:val="00BA79B7"/>
    <w:rsid w:val="00BA7EF5"/>
    <w:rsid w:val="00BB0D35"/>
    <w:rsid w:val="00BB13C5"/>
    <w:rsid w:val="00BB1812"/>
    <w:rsid w:val="00BB23CB"/>
    <w:rsid w:val="00BB2532"/>
    <w:rsid w:val="00BB2686"/>
    <w:rsid w:val="00BB37EA"/>
    <w:rsid w:val="00BB3A96"/>
    <w:rsid w:val="00BB454B"/>
    <w:rsid w:val="00BB4D08"/>
    <w:rsid w:val="00BB6A68"/>
    <w:rsid w:val="00BB739C"/>
    <w:rsid w:val="00BB7905"/>
    <w:rsid w:val="00BB797A"/>
    <w:rsid w:val="00BB7A83"/>
    <w:rsid w:val="00BC0108"/>
    <w:rsid w:val="00BC088B"/>
    <w:rsid w:val="00BC0E39"/>
    <w:rsid w:val="00BC1305"/>
    <w:rsid w:val="00BC2587"/>
    <w:rsid w:val="00BC2926"/>
    <w:rsid w:val="00BC327E"/>
    <w:rsid w:val="00BC342A"/>
    <w:rsid w:val="00BC35AD"/>
    <w:rsid w:val="00BC3B4D"/>
    <w:rsid w:val="00BC40F2"/>
    <w:rsid w:val="00BC45CE"/>
    <w:rsid w:val="00BC4F3D"/>
    <w:rsid w:val="00BC6164"/>
    <w:rsid w:val="00BC64CE"/>
    <w:rsid w:val="00BC64F9"/>
    <w:rsid w:val="00BC68AD"/>
    <w:rsid w:val="00BC7112"/>
    <w:rsid w:val="00BD0C00"/>
    <w:rsid w:val="00BD0DA0"/>
    <w:rsid w:val="00BD3693"/>
    <w:rsid w:val="00BD438C"/>
    <w:rsid w:val="00BD492B"/>
    <w:rsid w:val="00BD4F9A"/>
    <w:rsid w:val="00BD5E19"/>
    <w:rsid w:val="00BD62AB"/>
    <w:rsid w:val="00BD6D4E"/>
    <w:rsid w:val="00BD71F1"/>
    <w:rsid w:val="00BD74CF"/>
    <w:rsid w:val="00BE1BBE"/>
    <w:rsid w:val="00BE2C9F"/>
    <w:rsid w:val="00BE36D5"/>
    <w:rsid w:val="00BE4FDC"/>
    <w:rsid w:val="00BE5289"/>
    <w:rsid w:val="00BE6056"/>
    <w:rsid w:val="00BE6217"/>
    <w:rsid w:val="00BE7C10"/>
    <w:rsid w:val="00BF01B9"/>
    <w:rsid w:val="00BF099E"/>
    <w:rsid w:val="00BF0A4A"/>
    <w:rsid w:val="00BF0D7C"/>
    <w:rsid w:val="00BF1235"/>
    <w:rsid w:val="00BF1F39"/>
    <w:rsid w:val="00BF2502"/>
    <w:rsid w:val="00BF282A"/>
    <w:rsid w:val="00BF29E9"/>
    <w:rsid w:val="00BF2AD9"/>
    <w:rsid w:val="00BF2FDA"/>
    <w:rsid w:val="00BF2FFE"/>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6C32"/>
    <w:rsid w:val="00C0780B"/>
    <w:rsid w:val="00C07BB8"/>
    <w:rsid w:val="00C07CCB"/>
    <w:rsid w:val="00C1015F"/>
    <w:rsid w:val="00C10217"/>
    <w:rsid w:val="00C1063F"/>
    <w:rsid w:val="00C11058"/>
    <w:rsid w:val="00C11D9D"/>
    <w:rsid w:val="00C123A5"/>
    <w:rsid w:val="00C12959"/>
    <w:rsid w:val="00C1296A"/>
    <w:rsid w:val="00C13E95"/>
    <w:rsid w:val="00C1492D"/>
    <w:rsid w:val="00C14A18"/>
    <w:rsid w:val="00C14B07"/>
    <w:rsid w:val="00C14BF5"/>
    <w:rsid w:val="00C15877"/>
    <w:rsid w:val="00C15ADE"/>
    <w:rsid w:val="00C15B7A"/>
    <w:rsid w:val="00C165C5"/>
    <w:rsid w:val="00C16FBB"/>
    <w:rsid w:val="00C17608"/>
    <w:rsid w:val="00C17BA5"/>
    <w:rsid w:val="00C2004B"/>
    <w:rsid w:val="00C20DE5"/>
    <w:rsid w:val="00C2196F"/>
    <w:rsid w:val="00C219E2"/>
    <w:rsid w:val="00C21D9A"/>
    <w:rsid w:val="00C22D5B"/>
    <w:rsid w:val="00C22D64"/>
    <w:rsid w:val="00C22F22"/>
    <w:rsid w:val="00C2365F"/>
    <w:rsid w:val="00C23BF3"/>
    <w:rsid w:val="00C23FDB"/>
    <w:rsid w:val="00C24AF3"/>
    <w:rsid w:val="00C24B6B"/>
    <w:rsid w:val="00C25A02"/>
    <w:rsid w:val="00C268F6"/>
    <w:rsid w:val="00C272CA"/>
    <w:rsid w:val="00C27D1A"/>
    <w:rsid w:val="00C31200"/>
    <w:rsid w:val="00C316BB"/>
    <w:rsid w:val="00C31A08"/>
    <w:rsid w:val="00C31BE7"/>
    <w:rsid w:val="00C32229"/>
    <w:rsid w:val="00C32344"/>
    <w:rsid w:val="00C32DE7"/>
    <w:rsid w:val="00C32F73"/>
    <w:rsid w:val="00C32FD3"/>
    <w:rsid w:val="00C341CB"/>
    <w:rsid w:val="00C34E12"/>
    <w:rsid w:val="00C3542E"/>
    <w:rsid w:val="00C35B5E"/>
    <w:rsid w:val="00C36428"/>
    <w:rsid w:val="00C370A0"/>
    <w:rsid w:val="00C4017A"/>
    <w:rsid w:val="00C404FF"/>
    <w:rsid w:val="00C40770"/>
    <w:rsid w:val="00C41357"/>
    <w:rsid w:val="00C41799"/>
    <w:rsid w:val="00C4244D"/>
    <w:rsid w:val="00C42A38"/>
    <w:rsid w:val="00C42AAF"/>
    <w:rsid w:val="00C42C2F"/>
    <w:rsid w:val="00C42CB4"/>
    <w:rsid w:val="00C43B8F"/>
    <w:rsid w:val="00C44B28"/>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08B8"/>
    <w:rsid w:val="00C6124E"/>
    <w:rsid w:val="00C613CF"/>
    <w:rsid w:val="00C6230B"/>
    <w:rsid w:val="00C6256E"/>
    <w:rsid w:val="00C6257D"/>
    <w:rsid w:val="00C62E24"/>
    <w:rsid w:val="00C62F49"/>
    <w:rsid w:val="00C632FA"/>
    <w:rsid w:val="00C635D0"/>
    <w:rsid w:val="00C63A91"/>
    <w:rsid w:val="00C63DD1"/>
    <w:rsid w:val="00C64273"/>
    <w:rsid w:val="00C64A18"/>
    <w:rsid w:val="00C65B9B"/>
    <w:rsid w:val="00C67249"/>
    <w:rsid w:val="00C67698"/>
    <w:rsid w:val="00C679B5"/>
    <w:rsid w:val="00C70952"/>
    <w:rsid w:val="00C70B81"/>
    <w:rsid w:val="00C724E4"/>
    <w:rsid w:val="00C732D8"/>
    <w:rsid w:val="00C7377B"/>
    <w:rsid w:val="00C73782"/>
    <w:rsid w:val="00C737D7"/>
    <w:rsid w:val="00C73886"/>
    <w:rsid w:val="00C73DC4"/>
    <w:rsid w:val="00C73EC3"/>
    <w:rsid w:val="00C74D41"/>
    <w:rsid w:val="00C756FD"/>
    <w:rsid w:val="00C75775"/>
    <w:rsid w:val="00C75981"/>
    <w:rsid w:val="00C75C57"/>
    <w:rsid w:val="00C75E08"/>
    <w:rsid w:val="00C76261"/>
    <w:rsid w:val="00C764AA"/>
    <w:rsid w:val="00C76927"/>
    <w:rsid w:val="00C76E4E"/>
    <w:rsid w:val="00C80261"/>
    <w:rsid w:val="00C808D5"/>
    <w:rsid w:val="00C80910"/>
    <w:rsid w:val="00C80C23"/>
    <w:rsid w:val="00C810FC"/>
    <w:rsid w:val="00C822AC"/>
    <w:rsid w:val="00C82E05"/>
    <w:rsid w:val="00C83154"/>
    <w:rsid w:val="00C83651"/>
    <w:rsid w:val="00C83754"/>
    <w:rsid w:val="00C83F2B"/>
    <w:rsid w:val="00C846EB"/>
    <w:rsid w:val="00C84998"/>
    <w:rsid w:val="00C85104"/>
    <w:rsid w:val="00C855DB"/>
    <w:rsid w:val="00C86C40"/>
    <w:rsid w:val="00C8734A"/>
    <w:rsid w:val="00C9111E"/>
    <w:rsid w:val="00C91446"/>
    <w:rsid w:val="00C919AB"/>
    <w:rsid w:val="00C92681"/>
    <w:rsid w:val="00C94605"/>
    <w:rsid w:val="00C94994"/>
    <w:rsid w:val="00C94C04"/>
    <w:rsid w:val="00C951C1"/>
    <w:rsid w:val="00C95FEF"/>
    <w:rsid w:val="00C9600B"/>
    <w:rsid w:val="00C962CF"/>
    <w:rsid w:val="00C96BE2"/>
    <w:rsid w:val="00C96F07"/>
    <w:rsid w:val="00C96F6C"/>
    <w:rsid w:val="00C97806"/>
    <w:rsid w:val="00C978B4"/>
    <w:rsid w:val="00CA069E"/>
    <w:rsid w:val="00CA1A5E"/>
    <w:rsid w:val="00CA1BD1"/>
    <w:rsid w:val="00CA1D49"/>
    <w:rsid w:val="00CA2377"/>
    <w:rsid w:val="00CA265A"/>
    <w:rsid w:val="00CA2D94"/>
    <w:rsid w:val="00CA3538"/>
    <w:rsid w:val="00CA403B"/>
    <w:rsid w:val="00CA476E"/>
    <w:rsid w:val="00CA4B98"/>
    <w:rsid w:val="00CA4BFA"/>
    <w:rsid w:val="00CA5463"/>
    <w:rsid w:val="00CA5A6D"/>
    <w:rsid w:val="00CA616B"/>
    <w:rsid w:val="00CA66BE"/>
    <w:rsid w:val="00CA7888"/>
    <w:rsid w:val="00CB1896"/>
    <w:rsid w:val="00CB1AC1"/>
    <w:rsid w:val="00CB26F2"/>
    <w:rsid w:val="00CB2BAE"/>
    <w:rsid w:val="00CB3166"/>
    <w:rsid w:val="00CB40D4"/>
    <w:rsid w:val="00CB41E1"/>
    <w:rsid w:val="00CB4DFE"/>
    <w:rsid w:val="00CB638D"/>
    <w:rsid w:val="00CB6900"/>
    <w:rsid w:val="00CB6EB4"/>
    <w:rsid w:val="00CB6EE8"/>
    <w:rsid w:val="00CB7439"/>
    <w:rsid w:val="00CB748E"/>
    <w:rsid w:val="00CB7534"/>
    <w:rsid w:val="00CB7C3A"/>
    <w:rsid w:val="00CC0FC3"/>
    <w:rsid w:val="00CC1406"/>
    <w:rsid w:val="00CC154C"/>
    <w:rsid w:val="00CC1DB2"/>
    <w:rsid w:val="00CC367C"/>
    <w:rsid w:val="00CC3FEE"/>
    <w:rsid w:val="00CC416D"/>
    <w:rsid w:val="00CC45E5"/>
    <w:rsid w:val="00CC466F"/>
    <w:rsid w:val="00CC509F"/>
    <w:rsid w:val="00CC55E8"/>
    <w:rsid w:val="00CC56DA"/>
    <w:rsid w:val="00CC5DF0"/>
    <w:rsid w:val="00CC6A4D"/>
    <w:rsid w:val="00CC71C6"/>
    <w:rsid w:val="00CC7E7D"/>
    <w:rsid w:val="00CD0968"/>
    <w:rsid w:val="00CD1491"/>
    <w:rsid w:val="00CD21DA"/>
    <w:rsid w:val="00CD244B"/>
    <w:rsid w:val="00CD2580"/>
    <w:rsid w:val="00CD3739"/>
    <w:rsid w:val="00CD3AE0"/>
    <w:rsid w:val="00CD3B16"/>
    <w:rsid w:val="00CD4B83"/>
    <w:rsid w:val="00CD5020"/>
    <w:rsid w:val="00CD58BA"/>
    <w:rsid w:val="00CD6145"/>
    <w:rsid w:val="00CD64DE"/>
    <w:rsid w:val="00CD6D50"/>
    <w:rsid w:val="00CD75EC"/>
    <w:rsid w:val="00CD7638"/>
    <w:rsid w:val="00CD7CB9"/>
    <w:rsid w:val="00CD7E95"/>
    <w:rsid w:val="00CE049D"/>
    <w:rsid w:val="00CE0DF5"/>
    <w:rsid w:val="00CE1228"/>
    <w:rsid w:val="00CE123E"/>
    <w:rsid w:val="00CE140B"/>
    <w:rsid w:val="00CE2476"/>
    <w:rsid w:val="00CE25CA"/>
    <w:rsid w:val="00CE2CBA"/>
    <w:rsid w:val="00CE302C"/>
    <w:rsid w:val="00CE31BD"/>
    <w:rsid w:val="00CE449A"/>
    <w:rsid w:val="00CE4619"/>
    <w:rsid w:val="00CE4B53"/>
    <w:rsid w:val="00CE4BF2"/>
    <w:rsid w:val="00CE4CE3"/>
    <w:rsid w:val="00CE5706"/>
    <w:rsid w:val="00CE5E91"/>
    <w:rsid w:val="00CE7297"/>
    <w:rsid w:val="00CF01EA"/>
    <w:rsid w:val="00CF10EF"/>
    <w:rsid w:val="00CF1F53"/>
    <w:rsid w:val="00CF1FAE"/>
    <w:rsid w:val="00CF21C5"/>
    <w:rsid w:val="00CF2BF6"/>
    <w:rsid w:val="00CF32C3"/>
    <w:rsid w:val="00CF3BED"/>
    <w:rsid w:val="00CF4A6D"/>
    <w:rsid w:val="00CF593F"/>
    <w:rsid w:val="00CF5B89"/>
    <w:rsid w:val="00CF6384"/>
    <w:rsid w:val="00CF6510"/>
    <w:rsid w:val="00CF65E5"/>
    <w:rsid w:val="00CF664E"/>
    <w:rsid w:val="00CF66B8"/>
    <w:rsid w:val="00CF6971"/>
    <w:rsid w:val="00CF6D04"/>
    <w:rsid w:val="00CF7327"/>
    <w:rsid w:val="00CF779F"/>
    <w:rsid w:val="00CF7C57"/>
    <w:rsid w:val="00CF7DA9"/>
    <w:rsid w:val="00D000D1"/>
    <w:rsid w:val="00D0041D"/>
    <w:rsid w:val="00D0074A"/>
    <w:rsid w:val="00D00AC1"/>
    <w:rsid w:val="00D00FE3"/>
    <w:rsid w:val="00D0124D"/>
    <w:rsid w:val="00D01C63"/>
    <w:rsid w:val="00D0217F"/>
    <w:rsid w:val="00D0267B"/>
    <w:rsid w:val="00D032B4"/>
    <w:rsid w:val="00D03AC3"/>
    <w:rsid w:val="00D040A2"/>
    <w:rsid w:val="00D0547B"/>
    <w:rsid w:val="00D055E6"/>
    <w:rsid w:val="00D05CAF"/>
    <w:rsid w:val="00D06579"/>
    <w:rsid w:val="00D065AD"/>
    <w:rsid w:val="00D06BB8"/>
    <w:rsid w:val="00D072EF"/>
    <w:rsid w:val="00D07394"/>
    <w:rsid w:val="00D07A9C"/>
    <w:rsid w:val="00D10A14"/>
    <w:rsid w:val="00D113FF"/>
    <w:rsid w:val="00D11E7B"/>
    <w:rsid w:val="00D12C52"/>
    <w:rsid w:val="00D12D84"/>
    <w:rsid w:val="00D14E13"/>
    <w:rsid w:val="00D15683"/>
    <w:rsid w:val="00D16547"/>
    <w:rsid w:val="00D20368"/>
    <w:rsid w:val="00D209D8"/>
    <w:rsid w:val="00D20B6C"/>
    <w:rsid w:val="00D20DAB"/>
    <w:rsid w:val="00D20FE7"/>
    <w:rsid w:val="00D2156E"/>
    <w:rsid w:val="00D2186C"/>
    <w:rsid w:val="00D239A5"/>
    <w:rsid w:val="00D24008"/>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0E4"/>
    <w:rsid w:val="00D3635F"/>
    <w:rsid w:val="00D36532"/>
    <w:rsid w:val="00D36605"/>
    <w:rsid w:val="00D367F9"/>
    <w:rsid w:val="00D37FBA"/>
    <w:rsid w:val="00D40A87"/>
    <w:rsid w:val="00D418AA"/>
    <w:rsid w:val="00D41CA2"/>
    <w:rsid w:val="00D42026"/>
    <w:rsid w:val="00D424A2"/>
    <w:rsid w:val="00D4251B"/>
    <w:rsid w:val="00D42ECA"/>
    <w:rsid w:val="00D44BD1"/>
    <w:rsid w:val="00D45359"/>
    <w:rsid w:val="00D45E05"/>
    <w:rsid w:val="00D46572"/>
    <w:rsid w:val="00D46D83"/>
    <w:rsid w:val="00D47AB6"/>
    <w:rsid w:val="00D507D9"/>
    <w:rsid w:val="00D50BC3"/>
    <w:rsid w:val="00D528C2"/>
    <w:rsid w:val="00D52E63"/>
    <w:rsid w:val="00D5311E"/>
    <w:rsid w:val="00D53E86"/>
    <w:rsid w:val="00D545A1"/>
    <w:rsid w:val="00D545A8"/>
    <w:rsid w:val="00D548A5"/>
    <w:rsid w:val="00D548E5"/>
    <w:rsid w:val="00D55114"/>
    <w:rsid w:val="00D55BD9"/>
    <w:rsid w:val="00D5603C"/>
    <w:rsid w:val="00D56163"/>
    <w:rsid w:val="00D566F5"/>
    <w:rsid w:val="00D56BF3"/>
    <w:rsid w:val="00D56E67"/>
    <w:rsid w:val="00D600ED"/>
    <w:rsid w:val="00D60503"/>
    <w:rsid w:val="00D62605"/>
    <w:rsid w:val="00D63073"/>
    <w:rsid w:val="00D6362A"/>
    <w:rsid w:val="00D63816"/>
    <w:rsid w:val="00D63DA5"/>
    <w:rsid w:val="00D641C8"/>
    <w:rsid w:val="00D64B3A"/>
    <w:rsid w:val="00D64D09"/>
    <w:rsid w:val="00D6587E"/>
    <w:rsid w:val="00D65C48"/>
    <w:rsid w:val="00D66DD1"/>
    <w:rsid w:val="00D67688"/>
    <w:rsid w:val="00D67C48"/>
    <w:rsid w:val="00D705DA"/>
    <w:rsid w:val="00D70CA3"/>
    <w:rsid w:val="00D718E2"/>
    <w:rsid w:val="00D719E5"/>
    <w:rsid w:val="00D72097"/>
    <w:rsid w:val="00D73167"/>
    <w:rsid w:val="00D7322F"/>
    <w:rsid w:val="00D73481"/>
    <w:rsid w:val="00D739DB"/>
    <w:rsid w:val="00D73C07"/>
    <w:rsid w:val="00D743AB"/>
    <w:rsid w:val="00D74799"/>
    <w:rsid w:val="00D74F5E"/>
    <w:rsid w:val="00D74FDC"/>
    <w:rsid w:val="00D7536B"/>
    <w:rsid w:val="00D75AD5"/>
    <w:rsid w:val="00D76EE0"/>
    <w:rsid w:val="00D81033"/>
    <w:rsid w:val="00D81136"/>
    <w:rsid w:val="00D82C07"/>
    <w:rsid w:val="00D82CE9"/>
    <w:rsid w:val="00D8317A"/>
    <w:rsid w:val="00D84AEE"/>
    <w:rsid w:val="00D84EEF"/>
    <w:rsid w:val="00D84FFC"/>
    <w:rsid w:val="00D8502A"/>
    <w:rsid w:val="00D850ED"/>
    <w:rsid w:val="00D8523D"/>
    <w:rsid w:val="00D8530A"/>
    <w:rsid w:val="00D85A56"/>
    <w:rsid w:val="00D85E53"/>
    <w:rsid w:val="00D865D9"/>
    <w:rsid w:val="00D86B99"/>
    <w:rsid w:val="00D87E6B"/>
    <w:rsid w:val="00D87EB6"/>
    <w:rsid w:val="00D9154A"/>
    <w:rsid w:val="00D923F4"/>
    <w:rsid w:val="00D93271"/>
    <w:rsid w:val="00D93F15"/>
    <w:rsid w:val="00D9475D"/>
    <w:rsid w:val="00D96319"/>
    <w:rsid w:val="00D97346"/>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1F7A"/>
    <w:rsid w:val="00DB2AE9"/>
    <w:rsid w:val="00DB2C6D"/>
    <w:rsid w:val="00DB3037"/>
    <w:rsid w:val="00DB3CF8"/>
    <w:rsid w:val="00DB3D8E"/>
    <w:rsid w:val="00DB45FD"/>
    <w:rsid w:val="00DB48F6"/>
    <w:rsid w:val="00DB4D86"/>
    <w:rsid w:val="00DB516F"/>
    <w:rsid w:val="00DB6A81"/>
    <w:rsid w:val="00DB77AF"/>
    <w:rsid w:val="00DB7F38"/>
    <w:rsid w:val="00DB7F7B"/>
    <w:rsid w:val="00DC09F8"/>
    <w:rsid w:val="00DC0D1A"/>
    <w:rsid w:val="00DC1C5C"/>
    <w:rsid w:val="00DC2465"/>
    <w:rsid w:val="00DC252B"/>
    <w:rsid w:val="00DC2811"/>
    <w:rsid w:val="00DC458D"/>
    <w:rsid w:val="00DC4BE1"/>
    <w:rsid w:val="00DC4CE2"/>
    <w:rsid w:val="00DC5054"/>
    <w:rsid w:val="00DC596B"/>
    <w:rsid w:val="00DC78C5"/>
    <w:rsid w:val="00DC7910"/>
    <w:rsid w:val="00DC7CCB"/>
    <w:rsid w:val="00DD016C"/>
    <w:rsid w:val="00DD054C"/>
    <w:rsid w:val="00DD0B1B"/>
    <w:rsid w:val="00DD0B5B"/>
    <w:rsid w:val="00DD0C6C"/>
    <w:rsid w:val="00DD1994"/>
    <w:rsid w:val="00DD1BAF"/>
    <w:rsid w:val="00DD2585"/>
    <w:rsid w:val="00DD26C1"/>
    <w:rsid w:val="00DD2D97"/>
    <w:rsid w:val="00DD32BB"/>
    <w:rsid w:val="00DD3AC7"/>
    <w:rsid w:val="00DD3C71"/>
    <w:rsid w:val="00DD3CB3"/>
    <w:rsid w:val="00DD3D23"/>
    <w:rsid w:val="00DD476F"/>
    <w:rsid w:val="00DD4E98"/>
    <w:rsid w:val="00DD5490"/>
    <w:rsid w:val="00DD58B8"/>
    <w:rsid w:val="00DD5CE2"/>
    <w:rsid w:val="00DD5EFB"/>
    <w:rsid w:val="00DD618F"/>
    <w:rsid w:val="00DD6784"/>
    <w:rsid w:val="00DD6CF8"/>
    <w:rsid w:val="00DD7A5E"/>
    <w:rsid w:val="00DD7A78"/>
    <w:rsid w:val="00DE00F6"/>
    <w:rsid w:val="00DE070C"/>
    <w:rsid w:val="00DE1132"/>
    <w:rsid w:val="00DE1E31"/>
    <w:rsid w:val="00DE2C26"/>
    <w:rsid w:val="00DE2CFB"/>
    <w:rsid w:val="00DE32B0"/>
    <w:rsid w:val="00DE3F05"/>
    <w:rsid w:val="00DE414D"/>
    <w:rsid w:val="00DE4350"/>
    <w:rsid w:val="00DE5048"/>
    <w:rsid w:val="00DE68DD"/>
    <w:rsid w:val="00DE70A4"/>
    <w:rsid w:val="00DE77DC"/>
    <w:rsid w:val="00DF0FAE"/>
    <w:rsid w:val="00DF1506"/>
    <w:rsid w:val="00DF1F74"/>
    <w:rsid w:val="00DF2FA1"/>
    <w:rsid w:val="00DF44D4"/>
    <w:rsid w:val="00DF51FE"/>
    <w:rsid w:val="00DF5862"/>
    <w:rsid w:val="00DF5E93"/>
    <w:rsid w:val="00DF66BB"/>
    <w:rsid w:val="00DF72A2"/>
    <w:rsid w:val="00DF7D55"/>
    <w:rsid w:val="00E00E3A"/>
    <w:rsid w:val="00E0118B"/>
    <w:rsid w:val="00E013E9"/>
    <w:rsid w:val="00E013EF"/>
    <w:rsid w:val="00E017F2"/>
    <w:rsid w:val="00E01B2C"/>
    <w:rsid w:val="00E0267C"/>
    <w:rsid w:val="00E02932"/>
    <w:rsid w:val="00E02CE1"/>
    <w:rsid w:val="00E03B4B"/>
    <w:rsid w:val="00E043FA"/>
    <w:rsid w:val="00E04ACE"/>
    <w:rsid w:val="00E0545C"/>
    <w:rsid w:val="00E055B0"/>
    <w:rsid w:val="00E069C1"/>
    <w:rsid w:val="00E0725D"/>
    <w:rsid w:val="00E1063D"/>
    <w:rsid w:val="00E10676"/>
    <w:rsid w:val="00E10E12"/>
    <w:rsid w:val="00E119EA"/>
    <w:rsid w:val="00E11DFA"/>
    <w:rsid w:val="00E123BB"/>
    <w:rsid w:val="00E12AFD"/>
    <w:rsid w:val="00E12B19"/>
    <w:rsid w:val="00E12DB1"/>
    <w:rsid w:val="00E13157"/>
    <w:rsid w:val="00E13856"/>
    <w:rsid w:val="00E13C28"/>
    <w:rsid w:val="00E13CF3"/>
    <w:rsid w:val="00E13E2F"/>
    <w:rsid w:val="00E14C82"/>
    <w:rsid w:val="00E15278"/>
    <w:rsid w:val="00E1582A"/>
    <w:rsid w:val="00E158E9"/>
    <w:rsid w:val="00E15B98"/>
    <w:rsid w:val="00E16411"/>
    <w:rsid w:val="00E16654"/>
    <w:rsid w:val="00E17B49"/>
    <w:rsid w:val="00E17DE3"/>
    <w:rsid w:val="00E17F03"/>
    <w:rsid w:val="00E206D1"/>
    <w:rsid w:val="00E2102F"/>
    <w:rsid w:val="00E21795"/>
    <w:rsid w:val="00E21A81"/>
    <w:rsid w:val="00E21CDD"/>
    <w:rsid w:val="00E21E11"/>
    <w:rsid w:val="00E233C9"/>
    <w:rsid w:val="00E23438"/>
    <w:rsid w:val="00E23F0A"/>
    <w:rsid w:val="00E24415"/>
    <w:rsid w:val="00E2461C"/>
    <w:rsid w:val="00E24D01"/>
    <w:rsid w:val="00E25521"/>
    <w:rsid w:val="00E25917"/>
    <w:rsid w:val="00E261E0"/>
    <w:rsid w:val="00E26580"/>
    <w:rsid w:val="00E2721C"/>
    <w:rsid w:val="00E27B4B"/>
    <w:rsid w:val="00E30C9D"/>
    <w:rsid w:val="00E311CE"/>
    <w:rsid w:val="00E31D2B"/>
    <w:rsid w:val="00E31E30"/>
    <w:rsid w:val="00E31E40"/>
    <w:rsid w:val="00E33520"/>
    <w:rsid w:val="00E33736"/>
    <w:rsid w:val="00E33741"/>
    <w:rsid w:val="00E33D3D"/>
    <w:rsid w:val="00E350BE"/>
    <w:rsid w:val="00E35EC1"/>
    <w:rsid w:val="00E35F95"/>
    <w:rsid w:val="00E3623E"/>
    <w:rsid w:val="00E369E0"/>
    <w:rsid w:val="00E36AD7"/>
    <w:rsid w:val="00E36F87"/>
    <w:rsid w:val="00E36FAF"/>
    <w:rsid w:val="00E37775"/>
    <w:rsid w:val="00E37879"/>
    <w:rsid w:val="00E40128"/>
    <w:rsid w:val="00E4029A"/>
    <w:rsid w:val="00E410B5"/>
    <w:rsid w:val="00E41A0E"/>
    <w:rsid w:val="00E41DFA"/>
    <w:rsid w:val="00E4205C"/>
    <w:rsid w:val="00E42264"/>
    <w:rsid w:val="00E42378"/>
    <w:rsid w:val="00E42D1E"/>
    <w:rsid w:val="00E4340F"/>
    <w:rsid w:val="00E43435"/>
    <w:rsid w:val="00E44850"/>
    <w:rsid w:val="00E455A1"/>
    <w:rsid w:val="00E45DF0"/>
    <w:rsid w:val="00E45F05"/>
    <w:rsid w:val="00E460EC"/>
    <w:rsid w:val="00E4651E"/>
    <w:rsid w:val="00E46A0E"/>
    <w:rsid w:val="00E47A30"/>
    <w:rsid w:val="00E47CEC"/>
    <w:rsid w:val="00E50A38"/>
    <w:rsid w:val="00E50E09"/>
    <w:rsid w:val="00E50E97"/>
    <w:rsid w:val="00E513DF"/>
    <w:rsid w:val="00E51490"/>
    <w:rsid w:val="00E540CA"/>
    <w:rsid w:val="00E54462"/>
    <w:rsid w:val="00E54583"/>
    <w:rsid w:val="00E558C8"/>
    <w:rsid w:val="00E55F46"/>
    <w:rsid w:val="00E56137"/>
    <w:rsid w:val="00E5633C"/>
    <w:rsid w:val="00E56DA4"/>
    <w:rsid w:val="00E56DAB"/>
    <w:rsid w:val="00E56E97"/>
    <w:rsid w:val="00E56EE4"/>
    <w:rsid w:val="00E605AF"/>
    <w:rsid w:val="00E60A17"/>
    <w:rsid w:val="00E60A75"/>
    <w:rsid w:val="00E611B6"/>
    <w:rsid w:val="00E61A44"/>
    <w:rsid w:val="00E621FE"/>
    <w:rsid w:val="00E62CBA"/>
    <w:rsid w:val="00E648F7"/>
    <w:rsid w:val="00E64CC9"/>
    <w:rsid w:val="00E65E40"/>
    <w:rsid w:val="00E67861"/>
    <w:rsid w:val="00E67D3C"/>
    <w:rsid w:val="00E702B9"/>
    <w:rsid w:val="00E71269"/>
    <w:rsid w:val="00E71EAE"/>
    <w:rsid w:val="00E72CB3"/>
    <w:rsid w:val="00E75146"/>
    <w:rsid w:val="00E755AB"/>
    <w:rsid w:val="00E75B19"/>
    <w:rsid w:val="00E75BB5"/>
    <w:rsid w:val="00E7676F"/>
    <w:rsid w:val="00E7767C"/>
    <w:rsid w:val="00E77805"/>
    <w:rsid w:val="00E77C72"/>
    <w:rsid w:val="00E77EAB"/>
    <w:rsid w:val="00E801F8"/>
    <w:rsid w:val="00E8167D"/>
    <w:rsid w:val="00E81BCF"/>
    <w:rsid w:val="00E81D5B"/>
    <w:rsid w:val="00E8217A"/>
    <w:rsid w:val="00E82514"/>
    <w:rsid w:val="00E82708"/>
    <w:rsid w:val="00E8399A"/>
    <w:rsid w:val="00E839A4"/>
    <w:rsid w:val="00E839CE"/>
    <w:rsid w:val="00E83AB6"/>
    <w:rsid w:val="00E84F3E"/>
    <w:rsid w:val="00E85772"/>
    <w:rsid w:val="00E86711"/>
    <w:rsid w:val="00E86798"/>
    <w:rsid w:val="00E87D5F"/>
    <w:rsid w:val="00E90CAB"/>
    <w:rsid w:val="00E90E54"/>
    <w:rsid w:val="00E9118C"/>
    <w:rsid w:val="00E914A9"/>
    <w:rsid w:val="00E92595"/>
    <w:rsid w:val="00E92D6B"/>
    <w:rsid w:val="00E92FE6"/>
    <w:rsid w:val="00E93342"/>
    <w:rsid w:val="00E94929"/>
    <w:rsid w:val="00E94F66"/>
    <w:rsid w:val="00E9535A"/>
    <w:rsid w:val="00E954DD"/>
    <w:rsid w:val="00E9569C"/>
    <w:rsid w:val="00E968B6"/>
    <w:rsid w:val="00E96D3C"/>
    <w:rsid w:val="00E97839"/>
    <w:rsid w:val="00E97BE5"/>
    <w:rsid w:val="00EA08C2"/>
    <w:rsid w:val="00EA2148"/>
    <w:rsid w:val="00EA2C19"/>
    <w:rsid w:val="00EA3031"/>
    <w:rsid w:val="00EA3072"/>
    <w:rsid w:val="00EA37DF"/>
    <w:rsid w:val="00EA3B39"/>
    <w:rsid w:val="00EA3BBF"/>
    <w:rsid w:val="00EA3EA7"/>
    <w:rsid w:val="00EA4F63"/>
    <w:rsid w:val="00EA689E"/>
    <w:rsid w:val="00EA7C5F"/>
    <w:rsid w:val="00EA7FAC"/>
    <w:rsid w:val="00EB02CA"/>
    <w:rsid w:val="00EB0480"/>
    <w:rsid w:val="00EB0E25"/>
    <w:rsid w:val="00EB1BF9"/>
    <w:rsid w:val="00EB1D2C"/>
    <w:rsid w:val="00EB2497"/>
    <w:rsid w:val="00EB2A4F"/>
    <w:rsid w:val="00EB2ACC"/>
    <w:rsid w:val="00EB2D9B"/>
    <w:rsid w:val="00EB2F4D"/>
    <w:rsid w:val="00EB3C52"/>
    <w:rsid w:val="00EB51C7"/>
    <w:rsid w:val="00EB54C5"/>
    <w:rsid w:val="00EB5858"/>
    <w:rsid w:val="00EB5BE2"/>
    <w:rsid w:val="00EB5DEF"/>
    <w:rsid w:val="00EB61E5"/>
    <w:rsid w:val="00EB6248"/>
    <w:rsid w:val="00EB6550"/>
    <w:rsid w:val="00EB67AA"/>
    <w:rsid w:val="00EB70B5"/>
    <w:rsid w:val="00EB780C"/>
    <w:rsid w:val="00EC0AA1"/>
    <w:rsid w:val="00EC3CB8"/>
    <w:rsid w:val="00EC45FC"/>
    <w:rsid w:val="00EC4707"/>
    <w:rsid w:val="00EC4A4E"/>
    <w:rsid w:val="00EC4B0C"/>
    <w:rsid w:val="00EC5A01"/>
    <w:rsid w:val="00EC5C0A"/>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413"/>
    <w:rsid w:val="00ED59E7"/>
    <w:rsid w:val="00ED600F"/>
    <w:rsid w:val="00ED7403"/>
    <w:rsid w:val="00ED7AA8"/>
    <w:rsid w:val="00ED7E17"/>
    <w:rsid w:val="00EE057C"/>
    <w:rsid w:val="00EE0858"/>
    <w:rsid w:val="00EE236A"/>
    <w:rsid w:val="00EE2649"/>
    <w:rsid w:val="00EE3015"/>
    <w:rsid w:val="00EE31AF"/>
    <w:rsid w:val="00EE34A1"/>
    <w:rsid w:val="00EE41A1"/>
    <w:rsid w:val="00EE50C5"/>
    <w:rsid w:val="00EE536C"/>
    <w:rsid w:val="00EE53E7"/>
    <w:rsid w:val="00EE7006"/>
    <w:rsid w:val="00EE71BF"/>
    <w:rsid w:val="00EE721D"/>
    <w:rsid w:val="00EE7365"/>
    <w:rsid w:val="00EE73E5"/>
    <w:rsid w:val="00EE761C"/>
    <w:rsid w:val="00EE7B44"/>
    <w:rsid w:val="00EE7D04"/>
    <w:rsid w:val="00EE7FB9"/>
    <w:rsid w:val="00EF09AC"/>
    <w:rsid w:val="00EF14D1"/>
    <w:rsid w:val="00EF18F3"/>
    <w:rsid w:val="00EF1DD2"/>
    <w:rsid w:val="00EF58F2"/>
    <w:rsid w:val="00EF5A50"/>
    <w:rsid w:val="00EF60C8"/>
    <w:rsid w:val="00EF6733"/>
    <w:rsid w:val="00EF6AD7"/>
    <w:rsid w:val="00EF7CCD"/>
    <w:rsid w:val="00F006A9"/>
    <w:rsid w:val="00F009EB"/>
    <w:rsid w:val="00F017FB"/>
    <w:rsid w:val="00F01837"/>
    <w:rsid w:val="00F01F7A"/>
    <w:rsid w:val="00F02736"/>
    <w:rsid w:val="00F02A35"/>
    <w:rsid w:val="00F02DE0"/>
    <w:rsid w:val="00F030A2"/>
    <w:rsid w:val="00F03263"/>
    <w:rsid w:val="00F0344E"/>
    <w:rsid w:val="00F03930"/>
    <w:rsid w:val="00F04DD4"/>
    <w:rsid w:val="00F0502E"/>
    <w:rsid w:val="00F053FC"/>
    <w:rsid w:val="00F05564"/>
    <w:rsid w:val="00F06302"/>
    <w:rsid w:val="00F079CC"/>
    <w:rsid w:val="00F107B5"/>
    <w:rsid w:val="00F119C8"/>
    <w:rsid w:val="00F13509"/>
    <w:rsid w:val="00F1360C"/>
    <w:rsid w:val="00F1390D"/>
    <w:rsid w:val="00F13C9A"/>
    <w:rsid w:val="00F14E9A"/>
    <w:rsid w:val="00F151EA"/>
    <w:rsid w:val="00F15595"/>
    <w:rsid w:val="00F156A1"/>
    <w:rsid w:val="00F17208"/>
    <w:rsid w:val="00F208B7"/>
    <w:rsid w:val="00F20B24"/>
    <w:rsid w:val="00F20B40"/>
    <w:rsid w:val="00F21368"/>
    <w:rsid w:val="00F21535"/>
    <w:rsid w:val="00F21A7E"/>
    <w:rsid w:val="00F224D7"/>
    <w:rsid w:val="00F226DE"/>
    <w:rsid w:val="00F227F6"/>
    <w:rsid w:val="00F22851"/>
    <w:rsid w:val="00F233B1"/>
    <w:rsid w:val="00F24944"/>
    <w:rsid w:val="00F2516C"/>
    <w:rsid w:val="00F2560A"/>
    <w:rsid w:val="00F25B7F"/>
    <w:rsid w:val="00F26251"/>
    <w:rsid w:val="00F2644C"/>
    <w:rsid w:val="00F26992"/>
    <w:rsid w:val="00F26F0E"/>
    <w:rsid w:val="00F270F2"/>
    <w:rsid w:val="00F2789C"/>
    <w:rsid w:val="00F30A9D"/>
    <w:rsid w:val="00F310A3"/>
    <w:rsid w:val="00F31B8A"/>
    <w:rsid w:val="00F31FDD"/>
    <w:rsid w:val="00F323A8"/>
    <w:rsid w:val="00F334EB"/>
    <w:rsid w:val="00F34DC1"/>
    <w:rsid w:val="00F34DEA"/>
    <w:rsid w:val="00F35DBE"/>
    <w:rsid w:val="00F35DC2"/>
    <w:rsid w:val="00F36B23"/>
    <w:rsid w:val="00F370C9"/>
    <w:rsid w:val="00F37101"/>
    <w:rsid w:val="00F377CE"/>
    <w:rsid w:val="00F40094"/>
    <w:rsid w:val="00F40646"/>
    <w:rsid w:val="00F40F34"/>
    <w:rsid w:val="00F42591"/>
    <w:rsid w:val="00F426C8"/>
    <w:rsid w:val="00F4377C"/>
    <w:rsid w:val="00F44809"/>
    <w:rsid w:val="00F45459"/>
    <w:rsid w:val="00F464F5"/>
    <w:rsid w:val="00F46D5A"/>
    <w:rsid w:val="00F47305"/>
    <w:rsid w:val="00F47FCB"/>
    <w:rsid w:val="00F5036E"/>
    <w:rsid w:val="00F519A9"/>
    <w:rsid w:val="00F52AF5"/>
    <w:rsid w:val="00F53204"/>
    <w:rsid w:val="00F53860"/>
    <w:rsid w:val="00F53BC9"/>
    <w:rsid w:val="00F54021"/>
    <w:rsid w:val="00F542AA"/>
    <w:rsid w:val="00F543D3"/>
    <w:rsid w:val="00F54A5B"/>
    <w:rsid w:val="00F551B0"/>
    <w:rsid w:val="00F55452"/>
    <w:rsid w:val="00F55CC1"/>
    <w:rsid w:val="00F56834"/>
    <w:rsid w:val="00F56A49"/>
    <w:rsid w:val="00F602AB"/>
    <w:rsid w:val="00F60D33"/>
    <w:rsid w:val="00F61136"/>
    <w:rsid w:val="00F611B7"/>
    <w:rsid w:val="00F6146F"/>
    <w:rsid w:val="00F6166A"/>
    <w:rsid w:val="00F624A5"/>
    <w:rsid w:val="00F62D15"/>
    <w:rsid w:val="00F6398A"/>
    <w:rsid w:val="00F63ABA"/>
    <w:rsid w:val="00F63C51"/>
    <w:rsid w:val="00F64C5A"/>
    <w:rsid w:val="00F65F79"/>
    <w:rsid w:val="00F66007"/>
    <w:rsid w:val="00F66D81"/>
    <w:rsid w:val="00F67C3E"/>
    <w:rsid w:val="00F70281"/>
    <w:rsid w:val="00F707C2"/>
    <w:rsid w:val="00F707EE"/>
    <w:rsid w:val="00F710EA"/>
    <w:rsid w:val="00F71B3D"/>
    <w:rsid w:val="00F73249"/>
    <w:rsid w:val="00F74615"/>
    <w:rsid w:val="00F746D6"/>
    <w:rsid w:val="00F74CF0"/>
    <w:rsid w:val="00F75115"/>
    <w:rsid w:val="00F75D29"/>
    <w:rsid w:val="00F75F03"/>
    <w:rsid w:val="00F77624"/>
    <w:rsid w:val="00F804E8"/>
    <w:rsid w:val="00F80DF4"/>
    <w:rsid w:val="00F8181F"/>
    <w:rsid w:val="00F8258C"/>
    <w:rsid w:val="00F825AB"/>
    <w:rsid w:val="00F826FD"/>
    <w:rsid w:val="00F82BC8"/>
    <w:rsid w:val="00F82E77"/>
    <w:rsid w:val="00F838C1"/>
    <w:rsid w:val="00F83C99"/>
    <w:rsid w:val="00F84433"/>
    <w:rsid w:val="00F844B3"/>
    <w:rsid w:val="00F84C3A"/>
    <w:rsid w:val="00F85662"/>
    <w:rsid w:val="00F86A03"/>
    <w:rsid w:val="00F86E1B"/>
    <w:rsid w:val="00F87AB3"/>
    <w:rsid w:val="00F902E3"/>
    <w:rsid w:val="00F91DEE"/>
    <w:rsid w:val="00F92334"/>
    <w:rsid w:val="00F937E1"/>
    <w:rsid w:val="00F93EFB"/>
    <w:rsid w:val="00F94647"/>
    <w:rsid w:val="00F9524E"/>
    <w:rsid w:val="00F957C0"/>
    <w:rsid w:val="00F958CB"/>
    <w:rsid w:val="00F95BEE"/>
    <w:rsid w:val="00F95E95"/>
    <w:rsid w:val="00F966D6"/>
    <w:rsid w:val="00F96B6E"/>
    <w:rsid w:val="00F971CA"/>
    <w:rsid w:val="00F97611"/>
    <w:rsid w:val="00F97B8D"/>
    <w:rsid w:val="00F97BF6"/>
    <w:rsid w:val="00FA001C"/>
    <w:rsid w:val="00FA0211"/>
    <w:rsid w:val="00FA197C"/>
    <w:rsid w:val="00FA1B8A"/>
    <w:rsid w:val="00FA39AD"/>
    <w:rsid w:val="00FA3C84"/>
    <w:rsid w:val="00FA46ED"/>
    <w:rsid w:val="00FA4A5E"/>
    <w:rsid w:val="00FA4B22"/>
    <w:rsid w:val="00FA5829"/>
    <w:rsid w:val="00FA669C"/>
    <w:rsid w:val="00FA746C"/>
    <w:rsid w:val="00FA7B8D"/>
    <w:rsid w:val="00FB0C83"/>
    <w:rsid w:val="00FB1000"/>
    <w:rsid w:val="00FB1043"/>
    <w:rsid w:val="00FB20F3"/>
    <w:rsid w:val="00FB43AC"/>
    <w:rsid w:val="00FB47EA"/>
    <w:rsid w:val="00FB53EC"/>
    <w:rsid w:val="00FB567E"/>
    <w:rsid w:val="00FB703E"/>
    <w:rsid w:val="00FB7C38"/>
    <w:rsid w:val="00FB7F1F"/>
    <w:rsid w:val="00FC054A"/>
    <w:rsid w:val="00FC0790"/>
    <w:rsid w:val="00FC0A0D"/>
    <w:rsid w:val="00FC0F4A"/>
    <w:rsid w:val="00FC1289"/>
    <w:rsid w:val="00FC16C4"/>
    <w:rsid w:val="00FC2C91"/>
    <w:rsid w:val="00FC2FAC"/>
    <w:rsid w:val="00FC3459"/>
    <w:rsid w:val="00FC387F"/>
    <w:rsid w:val="00FC3A5C"/>
    <w:rsid w:val="00FC4C6D"/>
    <w:rsid w:val="00FC4DC2"/>
    <w:rsid w:val="00FC5311"/>
    <w:rsid w:val="00FC6C11"/>
    <w:rsid w:val="00FC7940"/>
    <w:rsid w:val="00FC7B46"/>
    <w:rsid w:val="00FC7B74"/>
    <w:rsid w:val="00FD0CFA"/>
    <w:rsid w:val="00FD1CE7"/>
    <w:rsid w:val="00FD1D4B"/>
    <w:rsid w:val="00FD1F76"/>
    <w:rsid w:val="00FD230C"/>
    <w:rsid w:val="00FD2D70"/>
    <w:rsid w:val="00FD30CD"/>
    <w:rsid w:val="00FD3979"/>
    <w:rsid w:val="00FD3EBF"/>
    <w:rsid w:val="00FD40D5"/>
    <w:rsid w:val="00FD44BF"/>
    <w:rsid w:val="00FD4636"/>
    <w:rsid w:val="00FD46BA"/>
    <w:rsid w:val="00FD4915"/>
    <w:rsid w:val="00FD4F18"/>
    <w:rsid w:val="00FD5D4A"/>
    <w:rsid w:val="00FD6B5B"/>
    <w:rsid w:val="00FD704F"/>
    <w:rsid w:val="00FD724F"/>
    <w:rsid w:val="00FE05FC"/>
    <w:rsid w:val="00FE0693"/>
    <w:rsid w:val="00FE086E"/>
    <w:rsid w:val="00FE0AF4"/>
    <w:rsid w:val="00FE127F"/>
    <w:rsid w:val="00FE2337"/>
    <w:rsid w:val="00FE27EE"/>
    <w:rsid w:val="00FE30E1"/>
    <w:rsid w:val="00FE403F"/>
    <w:rsid w:val="00FE43FC"/>
    <w:rsid w:val="00FE520C"/>
    <w:rsid w:val="00FE57BC"/>
    <w:rsid w:val="00FE6137"/>
    <w:rsid w:val="00FE65C5"/>
    <w:rsid w:val="00FE6DA0"/>
    <w:rsid w:val="00FE6F60"/>
    <w:rsid w:val="00FE7339"/>
    <w:rsid w:val="00FF0C49"/>
    <w:rsid w:val="00FF0FDB"/>
    <w:rsid w:val="00FF1282"/>
    <w:rsid w:val="00FF1339"/>
    <w:rsid w:val="00FF1682"/>
    <w:rsid w:val="00FF26C8"/>
    <w:rsid w:val="00FF33D3"/>
    <w:rsid w:val="00FF479B"/>
    <w:rsid w:val="00FF5100"/>
    <w:rsid w:val="00FF5667"/>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3E1299"/>
  <w15:docId w15:val="{72FEC396-24E0-4D07-A75F-D2176F55A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D40"/>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E4651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uiPriority w:val="99"/>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uiPriority w:val="99"/>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character" w:customStyle="1" w:styleId="bold">
    <w:name w:val="bold"/>
    <w:basedOn w:val="Fuentedeprrafopredeter"/>
    <w:rsid w:val="004B6B84"/>
  </w:style>
  <w:style w:type="character" w:customStyle="1" w:styleId="Ttulo2Car">
    <w:name w:val="Título 2 Car"/>
    <w:basedOn w:val="Fuentedeprrafopredeter"/>
    <w:link w:val="Ttulo2"/>
    <w:uiPriority w:val="9"/>
    <w:semiHidden/>
    <w:rsid w:val="00E4651E"/>
    <w:rPr>
      <w:rFonts w:asciiTheme="majorHAnsi" w:eastAsiaTheme="majorEastAsia" w:hAnsiTheme="majorHAnsi" w:cstheme="majorBidi"/>
      <w:color w:val="365F91" w:themeColor="accent1" w:themeShade="BF"/>
      <w:sz w:val="26"/>
      <w:szCs w:val="26"/>
    </w:rPr>
  </w:style>
  <w:style w:type="character" w:customStyle="1" w:styleId="registros-movil-hide">
    <w:name w:val="registros-movil-hide"/>
    <w:basedOn w:val="Fuentedeprrafopredeter"/>
    <w:rsid w:val="00E4651E"/>
  </w:style>
  <w:style w:type="paragraph" w:customStyle="1" w:styleId="page-item">
    <w:name w:val="page-item"/>
    <w:basedOn w:val="Normal"/>
    <w:rsid w:val="00E465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E465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
    <w:name w:val="ng-star-inserted"/>
    <w:basedOn w:val="Fuentedeprrafopredeter"/>
    <w:rsid w:val="00E4651E"/>
  </w:style>
  <w:style w:type="paragraph" w:styleId="NormalWeb">
    <w:name w:val="Normal (Web)"/>
    <w:basedOn w:val="Normal"/>
    <w:uiPriority w:val="99"/>
    <w:unhideWhenUsed/>
    <w:rsid w:val="00E4651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94949">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70151299">
      <w:bodyDiv w:val="1"/>
      <w:marLeft w:val="0"/>
      <w:marRight w:val="0"/>
      <w:marTop w:val="0"/>
      <w:marBottom w:val="0"/>
      <w:divBdr>
        <w:top w:val="none" w:sz="0" w:space="0" w:color="auto"/>
        <w:left w:val="none" w:sz="0" w:space="0" w:color="auto"/>
        <w:bottom w:val="none" w:sz="0" w:space="0" w:color="auto"/>
        <w:right w:val="none" w:sz="0" w:space="0" w:color="auto"/>
      </w:divBdr>
      <w:divsChild>
        <w:div w:id="2111662247">
          <w:marLeft w:val="0"/>
          <w:marRight w:val="0"/>
          <w:marTop w:val="0"/>
          <w:marBottom w:val="0"/>
          <w:divBdr>
            <w:top w:val="none" w:sz="0" w:space="0" w:color="auto"/>
            <w:left w:val="none" w:sz="0" w:space="0" w:color="auto"/>
            <w:bottom w:val="none" w:sz="0" w:space="0" w:color="auto"/>
            <w:right w:val="none" w:sz="0" w:space="0" w:color="auto"/>
          </w:divBdr>
          <w:divsChild>
            <w:div w:id="1152212852">
              <w:marLeft w:val="0"/>
              <w:marRight w:val="0"/>
              <w:marTop w:val="0"/>
              <w:marBottom w:val="0"/>
              <w:divBdr>
                <w:top w:val="none" w:sz="0" w:space="0" w:color="auto"/>
                <w:left w:val="none" w:sz="0" w:space="0" w:color="auto"/>
                <w:bottom w:val="none" w:sz="0" w:space="0" w:color="auto"/>
                <w:right w:val="none" w:sz="0" w:space="0" w:color="auto"/>
              </w:divBdr>
            </w:div>
          </w:divsChild>
        </w:div>
        <w:div w:id="179634624">
          <w:marLeft w:val="0"/>
          <w:marRight w:val="0"/>
          <w:marTop w:val="0"/>
          <w:marBottom w:val="0"/>
          <w:divBdr>
            <w:top w:val="none" w:sz="0" w:space="0" w:color="auto"/>
            <w:left w:val="none" w:sz="0" w:space="0" w:color="auto"/>
            <w:bottom w:val="none" w:sz="0" w:space="0" w:color="auto"/>
            <w:right w:val="none" w:sz="0" w:space="0" w:color="auto"/>
          </w:divBdr>
          <w:divsChild>
            <w:div w:id="2026202485">
              <w:marLeft w:val="0"/>
              <w:marRight w:val="0"/>
              <w:marTop w:val="0"/>
              <w:marBottom w:val="0"/>
              <w:divBdr>
                <w:top w:val="none" w:sz="0" w:space="0" w:color="auto"/>
                <w:left w:val="none" w:sz="0" w:space="0" w:color="auto"/>
                <w:bottom w:val="none" w:sz="0" w:space="0" w:color="auto"/>
                <w:right w:val="none" w:sz="0" w:space="0" w:color="auto"/>
              </w:divBdr>
            </w:div>
            <w:div w:id="1634479125">
              <w:marLeft w:val="0"/>
              <w:marRight w:val="0"/>
              <w:marTop w:val="0"/>
              <w:marBottom w:val="0"/>
              <w:divBdr>
                <w:top w:val="none" w:sz="0" w:space="0" w:color="auto"/>
                <w:left w:val="none" w:sz="0" w:space="0" w:color="auto"/>
                <w:bottom w:val="none" w:sz="0" w:space="0" w:color="auto"/>
                <w:right w:val="none" w:sz="0" w:space="0" w:color="auto"/>
              </w:divBdr>
            </w:div>
            <w:div w:id="1036540895">
              <w:marLeft w:val="0"/>
              <w:marRight w:val="0"/>
              <w:marTop w:val="0"/>
              <w:marBottom w:val="0"/>
              <w:divBdr>
                <w:top w:val="none" w:sz="0" w:space="0" w:color="auto"/>
                <w:left w:val="none" w:sz="0" w:space="0" w:color="auto"/>
                <w:bottom w:val="none" w:sz="0" w:space="0" w:color="auto"/>
                <w:right w:val="none" w:sz="0" w:space="0" w:color="auto"/>
              </w:divBdr>
            </w:div>
          </w:divsChild>
        </w:div>
        <w:div w:id="2049525998">
          <w:marLeft w:val="0"/>
          <w:marRight w:val="0"/>
          <w:marTop w:val="0"/>
          <w:marBottom w:val="0"/>
          <w:divBdr>
            <w:top w:val="none" w:sz="0" w:space="0" w:color="auto"/>
            <w:left w:val="none" w:sz="0" w:space="0" w:color="auto"/>
            <w:bottom w:val="none" w:sz="0" w:space="0" w:color="auto"/>
            <w:right w:val="none" w:sz="0" w:space="0" w:color="auto"/>
          </w:divBdr>
          <w:divsChild>
            <w:div w:id="756438074">
              <w:marLeft w:val="0"/>
              <w:marRight w:val="0"/>
              <w:marTop w:val="0"/>
              <w:marBottom w:val="0"/>
              <w:divBdr>
                <w:top w:val="none" w:sz="0" w:space="0" w:color="auto"/>
                <w:left w:val="none" w:sz="0" w:space="0" w:color="auto"/>
                <w:bottom w:val="none" w:sz="0" w:space="0" w:color="auto"/>
                <w:right w:val="none" w:sz="0" w:space="0" w:color="auto"/>
              </w:divBdr>
            </w:div>
            <w:div w:id="1336954809">
              <w:marLeft w:val="0"/>
              <w:marRight w:val="0"/>
              <w:marTop w:val="0"/>
              <w:marBottom w:val="0"/>
              <w:divBdr>
                <w:top w:val="none" w:sz="0" w:space="0" w:color="auto"/>
                <w:left w:val="none" w:sz="0" w:space="0" w:color="auto"/>
                <w:bottom w:val="none" w:sz="0" w:space="0" w:color="auto"/>
                <w:right w:val="none" w:sz="0" w:space="0" w:color="auto"/>
              </w:divBdr>
            </w:div>
            <w:div w:id="2144078288">
              <w:marLeft w:val="0"/>
              <w:marRight w:val="0"/>
              <w:marTop w:val="0"/>
              <w:marBottom w:val="0"/>
              <w:divBdr>
                <w:top w:val="none" w:sz="0" w:space="0" w:color="auto"/>
                <w:left w:val="none" w:sz="0" w:space="0" w:color="auto"/>
                <w:bottom w:val="none" w:sz="0" w:space="0" w:color="auto"/>
                <w:right w:val="none" w:sz="0" w:space="0" w:color="auto"/>
              </w:divBdr>
            </w:div>
          </w:divsChild>
        </w:div>
        <w:div w:id="2085688767">
          <w:marLeft w:val="0"/>
          <w:marRight w:val="0"/>
          <w:marTop w:val="0"/>
          <w:marBottom w:val="0"/>
          <w:divBdr>
            <w:top w:val="none" w:sz="0" w:space="0" w:color="auto"/>
            <w:left w:val="none" w:sz="0" w:space="0" w:color="auto"/>
            <w:bottom w:val="none" w:sz="0" w:space="0" w:color="auto"/>
            <w:right w:val="none" w:sz="0" w:space="0" w:color="auto"/>
          </w:divBdr>
        </w:div>
        <w:div w:id="1343631954">
          <w:marLeft w:val="0"/>
          <w:marRight w:val="0"/>
          <w:marTop w:val="0"/>
          <w:marBottom w:val="0"/>
          <w:divBdr>
            <w:top w:val="none" w:sz="0" w:space="0" w:color="auto"/>
            <w:left w:val="none" w:sz="0" w:space="0" w:color="auto"/>
            <w:bottom w:val="none" w:sz="0" w:space="0" w:color="auto"/>
            <w:right w:val="none" w:sz="0" w:space="0" w:color="auto"/>
          </w:divBdr>
        </w:div>
      </w:divsChild>
    </w:div>
    <w:div w:id="396707031">
      <w:bodyDiv w:val="1"/>
      <w:marLeft w:val="0"/>
      <w:marRight w:val="0"/>
      <w:marTop w:val="0"/>
      <w:marBottom w:val="0"/>
      <w:divBdr>
        <w:top w:val="none" w:sz="0" w:space="0" w:color="auto"/>
        <w:left w:val="none" w:sz="0" w:space="0" w:color="auto"/>
        <w:bottom w:val="none" w:sz="0" w:space="0" w:color="auto"/>
        <w:right w:val="none" w:sz="0" w:space="0" w:color="auto"/>
      </w:divBdr>
    </w:div>
    <w:div w:id="644311378">
      <w:bodyDiv w:val="1"/>
      <w:marLeft w:val="0"/>
      <w:marRight w:val="0"/>
      <w:marTop w:val="0"/>
      <w:marBottom w:val="0"/>
      <w:divBdr>
        <w:top w:val="none" w:sz="0" w:space="0" w:color="auto"/>
        <w:left w:val="none" w:sz="0" w:space="0" w:color="auto"/>
        <w:bottom w:val="none" w:sz="0" w:space="0" w:color="auto"/>
        <w:right w:val="none" w:sz="0" w:space="0" w:color="auto"/>
      </w:divBdr>
      <w:divsChild>
        <w:div w:id="2102601480">
          <w:marLeft w:val="0"/>
          <w:marRight w:val="0"/>
          <w:marTop w:val="300"/>
          <w:marBottom w:val="0"/>
          <w:divBdr>
            <w:top w:val="none" w:sz="0" w:space="0" w:color="auto"/>
            <w:left w:val="none" w:sz="0" w:space="0" w:color="auto"/>
            <w:bottom w:val="none" w:sz="0" w:space="0" w:color="auto"/>
            <w:right w:val="none" w:sz="0" w:space="0" w:color="auto"/>
          </w:divBdr>
          <w:divsChild>
            <w:div w:id="1148323100">
              <w:marLeft w:val="0"/>
              <w:marRight w:val="0"/>
              <w:marTop w:val="0"/>
              <w:marBottom w:val="0"/>
              <w:divBdr>
                <w:top w:val="none" w:sz="0" w:space="0" w:color="auto"/>
                <w:left w:val="none" w:sz="0" w:space="0" w:color="auto"/>
                <w:bottom w:val="none" w:sz="0" w:space="0" w:color="auto"/>
                <w:right w:val="none" w:sz="0" w:space="0" w:color="auto"/>
              </w:divBdr>
              <w:divsChild>
                <w:div w:id="1909732180">
                  <w:marLeft w:val="0"/>
                  <w:marRight w:val="0"/>
                  <w:marTop w:val="0"/>
                  <w:marBottom w:val="0"/>
                  <w:divBdr>
                    <w:top w:val="none" w:sz="0" w:space="0" w:color="auto"/>
                    <w:left w:val="none" w:sz="0" w:space="0" w:color="auto"/>
                    <w:bottom w:val="none" w:sz="0" w:space="0" w:color="auto"/>
                    <w:right w:val="none" w:sz="0" w:space="0" w:color="auto"/>
                  </w:divBdr>
                  <w:divsChild>
                    <w:div w:id="1771508233">
                      <w:marLeft w:val="0"/>
                      <w:marRight w:val="0"/>
                      <w:marTop w:val="0"/>
                      <w:marBottom w:val="0"/>
                      <w:divBdr>
                        <w:top w:val="none" w:sz="0" w:space="0" w:color="auto"/>
                        <w:left w:val="none" w:sz="0" w:space="0" w:color="auto"/>
                        <w:bottom w:val="none" w:sz="0" w:space="0" w:color="auto"/>
                        <w:right w:val="none" w:sz="0" w:space="0" w:color="auto"/>
                      </w:divBdr>
                      <w:divsChild>
                        <w:div w:id="801848000">
                          <w:marLeft w:val="0"/>
                          <w:marRight w:val="0"/>
                          <w:marTop w:val="0"/>
                          <w:marBottom w:val="0"/>
                          <w:divBdr>
                            <w:top w:val="single" w:sz="6" w:space="0" w:color="auto"/>
                            <w:left w:val="single" w:sz="6" w:space="0" w:color="auto"/>
                            <w:bottom w:val="single" w:sz="6" w:space="0" w:color="auto"/>
                            <w:right w:val="single" w:sz="6" w:space="0" w:color="auto"/>
                          </w:divBdr>
                          <w:divsChild>
                            <w:div w:id="215628138">
                              <w:marLeft w:val="0"/>
                              <w:marRight w:val="0"/>
                              <w:marTop w:val="0"/>
                              <w:marBottom w:val="0"/>
                              <w:divBdr>
                                <w:top w:val="none" w:sz="0" w:space="0" w:color="auto"/>
                                <w:left w:val="none" w:sz="0" w:space="0" w:color="auto"/>
                                <w:bottom w:val="none" w:sz="0" w:space="0" w:color="auto"/>
                                <w:right w:val="none" w:sz="0" w:space="0" w:color="auto"/>
                              </w:divBdr>
                              <w:divsChild>
                                <w:div w:id="343360793">
                                  <w:marLeft w:val="0"/>
                                  <w:marRight w:val="0"/>
                                  <w:marTop w:val="0"/>
                                  <w:marBottom w:val="0"/>
                                  <w:divBdr>
                                    <w:top w:val="none" w:sz="0" w:space="0" w:color="auto"/>
                                    <w:left w:val="none" w:sz="0" w:space="0" w:color="auto"/>
                                    <w:bottom w:val="none" w:sz="0" w:space="0" w:color="auto"/>
                                    <w:right w:val="none" w:sz="0" w:space="0" w:color="auto"/>
                                  </w:divBdr>
                                  <w:divsChild>
                                    <w:div w:id="1728215149">
                                      <w:marLeft w:val="0"/>
                                      <w:marRight w:val="0"/>
                                      <w:marTop w:val="0"/>
                                      <w:marBottom w:val="0"/>
                                      <w:divBdr>
                                        <w:top w:val="none" w:sz="0" w:space="0" w:color="auto"/>
                                        <w:left w:val="none" w:sz="0" w:space="0" w:color="auto"/>
                                        <w:bottom w:val="none" w:sz="0" w:space="0" w:color="auto"/>
                                        <w:right w:val="none" w:sz="0" w:space="0" w:color="auto"/>
                                      </w:divBdr>
                                    </w:div>
                                  </w:divsChild>
                                </w:div>
                                <w:div w:id="1698238235">
                                  <w:marLeft w:val="0"/>
                                  <w:marRight w:val="0"/>
                                  <w:marTop w:val="0"/>
                                  <w:marBottom w:val="150"/>
                                  <w:divBdr>
                                    <w:top w:val="none" w:sz="0" w:space="0" w:color="auto"/>
                                    <w:left w:val="none" w:sz="0" w:space="0" w:color="auto"/>
                                    <w:bottom w:val="single" w:sz="6" w:space="0" w:color="24135F"/>
                                    <w:right w:val="none" w:sz="0" w:space="0" w:color="auto"/>
                                  </w:divBdr>
                                </w:div>
                                <w:div w:id="269356732">
                                  <w:marLeft w:val="0"/>
                                  <w:marRight w:val="0"/>
                                  <w:marTop w:val="0"/>
                                  <w:marBottom w:val="0"/>
                                  <w:divBdr>
                                    <w:top w:val="none" w:sz="0" w:space="0" w:color="auto"/>
                                    <w:left w:val="none" w:sz="0" w:space="0" w:color="auto"/>
                                    <w:bottom w:val="none" w:sz="0" w:space="0" w:color="auto"/>
                                    <w:right w:val="none" w:sz="0" w:space="0" w:color="auto"/>
                                  </w:divBdr>
                                  <w:divsChild>
                                    <w:div w:id="557785351">
                                      <w:marLeft w:val="0"/>
                                      <w:marRight w:val="0"/>
                                      <w:marTop w:val="0"/>
                                      <w:marBottom w:val="0"/>
                                      <w:divBdr>
                                        <w:top w:val="none" w:sz="0" w:space="0" w:color="auto"/>
                                        <w:left w:val="none" w:sz="0" w:space="0" w:color="auto"/>
                                        <w:bottom w:val="none" w:sz="0" w:space="0" w:color="auto"/>
                                        <w:right w:val="none" w:sz="0" w:space="0" w:color="auto"/>
                                      </w:divBdr>
                                      <w:divsChild>
                                        <w:div w:id="71395294">
                                          <w:marLeft w:val="0"/>
                                          <w:marRight w:val="0"/>
                                          <w:marTop w:val="0"/>
                                          <w:marBottom w:val="0"/>
                                          <w:divBdr>
                                            <w:top w:val="none" w:sz="0" w:space="0" w:color="auto"/>
                                            <w:left w:val="none" w:sz="0" w:space="0" w:color="auto"/>
                                            <w:bottom w:val="none" w:sz="0" w:space="0" w:color="auto"/>
                                            <w:right w:val="none" w:sz="0" w:space="0" w:color="auto"/>
                                          </w:divBdr>
                                          <w:divsChild>
                                            <w:div w:id="2023776753">
                                              <w:marLeft w:val="0"/>
                                              <w:marRight w:val="0"/>
                                              <w:marTop w:val="0"/>
                                              <w:marBottom w:val="0"/>
                                              <w:divBdr>
                                                <w:top w:val="none" w:sz="0" w:space="0" w:color="auto"/>
                                                <w:left w:val="none" w:sz="0" w:space="0" w:color="auto"/>
                                                <w:bottom w:val="none" w:sz="0" w:space="0" w:color="auto"/>
                                                <w:right w:val="none" w:sz="0" w:space="0" w:color="auto"/>
                                              </w:divBdr>
                                            </w:div>
                                          </w:divsChild>
                                        </w:div>
                                        <w:div w:id="676616813">
                                          <w:marLeft w:val="0"/>
                                          <w:marRight w:val="0"/>
                                          <w:marTop w:val="0"/>
                                          <w:marBottom w:val="0"/>
                                          <w:divBdr>
                                            <w:top w:val="none" w:sz="0" w:space="0" w:color="auto"/>
                                            <w:left w:val="none" w:sz="0" w:space="0" w:color="auto"/>
                                            <w:bottom w:val="none" w:sz="0" w:space="0" w:color="auto"/>
                                            <w:right w:val="none" w:sz="0" w:space="0" w:color="auto"/>
                                          </w:divBdr>
                                          <w:divsChild>
                                            <w:div w:id="1369376209">
                                              <w:marLeft w:val="0"/>
                                              <w:marRight w:val="0"/>
                                              <w:marTop w:val="0"/>
                                              <w:marBottom w:val="0"/>
                                              <w:divBdr>
                                                <w:top w:val="none" w:sz="0" w:space="0" w:color="auto"/>
                                                <w:left w:val="none" w:sz="0" w:space="0" w:color="auto"/>
                                                <w:bottom w:val="none" w:sz="0" w:space="0" w:color="auto"/>
                                                <w:right w:val="none" w:sz="0" w:space="0" w:color="auto"/>
                                              </w:divBdr>
                                            </w:div>
                                            <w:div w:id="1045762430">
                                              <w:marLeft w:val="0"/>
                                              <w:marRight w:val="0"/>
                                              <w:marTop w:val="0"/>
                                              <w:marBottom w:val="0"/>
                                              <w:divBdr>
                                                <w:top w:val="none" w:sz="0" w:space="0" w:color="auto"/>
                                                <w:left w:val="none" w:sz="0" w:space="0" w:color="auto"/>
                                                <w:bottom w:val="none" w:sz="0" w:space="0" w:color="auto"/>
                                                <w:right w:val="none" w:sz="0" w:space="0" w:color="auto"/>
                                              </w:divBdr>
                                            </w:div>
                                            <w:div w:id="526261568">
                                              <w:marLeft w:val="0"/>
                                              <w:marRight w:val="0"/>
                                              <w:marTop w:val="0"/>
                                              <w:marBottom w:val="0"/>
                                              <w:divBdr>
                                                <w:top w:val="none" w:sz="0" w:space="0" w:color="auto"/>
                                                <w:left w:val="none" w:sz="0" w:space="0" w:color="auto"/>
                                                <w:bottom w:val="none" w:sz="0" w:space="0" w:color="auto"/>
                                                <w:right w:val="none" w:sz="0" w:space="0" w:color="auto"/>
                                              </w:divBdr>
                                            </w:div>
                                          </w:divsChild>
                                        </w:div>
                                        <w:div w:id="48842908">
                                          <w:marLeft w:val="0"/>
                                          <w:marRight w:val="0"/>
                                          <w:marTop w:val="0"/>
                                          <w:marBottom w:val="0"/>
                                          <w:divBdr>
                                            <w:top w:val="none" w:sz="0" w:space="0" w:color="auto"/>
                                            <w:left w:val="none" w:sz="0" w:space="0" w:color="auto"/>
                                            <w:bottom w:val="none" w:sz="0" w:space="0" w:color="auto"/>
                                            <w:right w:val="none" w:sz="0" w:space="0" w:color="auto"/>
                                          </w:divBdr>
                                          <w:divsChild>
                                            <w:div w:id="770317905">
                                              <w:marLeft w:val="0"/>
                                              <w:marRight w:val="0"/>
                                              <w:marTop w:val="0"/>
                                              <w:marBottom w:val="0"/>
                                              <w:divBdr>
                                                <w:top w:val="none" w:sz="0" w:space="0" w:color="auto"/>
                                                <w:left w:val="none" w:sz="0" w:space="0" w:color="auto"/>
                                                <w:bottom w:val="none" w:sz="0" w:space="0" w:color="auto"/>
                                                <w:right w:val="none" w:sz="0" w:space="0" w:color="auto"/>
                                              </w:divBdr>
                                            </w:div>
                                            <w:div w:id="261883728">
                                              <w:marLeft w:val="0"/>
                                              <w:marRight w:val="0"/>
                                              <w:marTop w:val="0"/>
                                              <w:marBottom w:val="0"/>
                                              <w:divBdr>
                                                <w:top w:val="none" w:sz="0" w:space="0" w:color="auto"/>
                                                <w:left w:val="none" w:sz="0" w:space="0" w:color="auto"/>
                                                <w:bottom w:val="none" w:sz="0" w:space="0" w:color="auto"/>
                                                <w:right w:val="none" w:sz="0" w:space="0" w:color="auto"/>
                                              </w:divBdr>
                                            </w:div>
                                            <w:div w:id="12158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655057">
                                      <w:marLeft w:val="0"/>
                                      <w:marRight w:val="0"/>
                                      <w:marTop w:val="0"/>
                                      <w:marBottom w:val="0"/>
                                      <w:divBdr>
                                        <w:top w:val="none" w:sz="0" w:space="0" w:color="auto"/>
                                        <w:left w:val="none" w:sz="0" w:space="0" w:color="auto"/>
                                        <w:bottom w:val="none" w:sz="0" w:space="0" w:color="auto"/>
                                        <w:right w:val="none" w:sz="0" w:space="0" w:color="auto"/>
                                      </w:divBdr>
                                    </w:div>
                                    <w:div w:id="1783038258">
                                      <w:marLeft w:val="0"/>
                                      <w:marRight w:val="0"/>
                                      <w:marTop w:val="0"/>
                                      <w:marBottom w:val="0"/>
                                      <w:divBdr>
                                        <w:top w:val="none" w:sz="0" w:space="0" w:color="auto"/>
                                        <w:left w:val="none" w:sz="0" w:space="0" w:color="auto"/>
                                        <w:bottom w:val="none" w:sz="0" w:space="0" w:color="auto"/>
                                        <w:right w:val="none" w:sz="0" w:space="0" w:color="auto"/>
                                      </w:divBdr>
                                    </w:div>
                                    <w:div w:id="1857499997">
                                      <w:marLeft w:val="0"/>
                                      <w:marRight w:val="0"/>
                                      <w:marTop w:val="0"/>
                                      <w:marBottom w:val="0"/>
                                      <w:divBdr>
                                        <w:top w:val="none" w:sz="0" w:space="0" w:color="auto"/>
                                        <w:left w:val="none" w:sz="0" w:space="0" w:color="auto"/>
                                        <w:bottom w:val="none" w:sz="0" w:space="0" w:color="auto"/>
                                        <w:right w:val="none" w:sz="0" w:space="0" w:color="auto"/>
                                      </w:divBdr>
                                    </w:div>
                                    <w:div w:id="44527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7070642">
          <w:marLeft w:val="0"/>
          <w:marRight w:val="0"/>
          <w:marTop w:val="0"/>
          <w:marBottom w:val="0"/>
          <w:divBdr>
            <w:top w:val="none" w:sz="0" w:space="0" w:color="auto"/>
            <w:left w:val="none" w:sz="0" w:space="0" w:color="auto"/>
            <w:bottom w:val="none" w:sz="0" w:space="0" w:color="auto"/>
            <w:right w:val="none" w:sz="0" w:space="0" w:color="auto"/>
          </w:divBdr>
          <w:divsChild>
            <w:div w:id="213132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824476">
      <w:bodyDiv w:val="1"/>
      <w:marLeft w:val="0"/>
      <w:marRight w:val="0"/>
      <w:marTop w:val="0"/>
      <w:marBottom w:val="0"/>
      <w:divBdr>
        <w:top w:val="none" w:sz="0" w:space="0" w:color="auto"/>
        <w:left w:val="none" w:sz="0" w:space="0" w:color="auto"/>
        <w:bottom w:val="none" w:sz="0" w:space="0" w:color="auto"/>
        <w:right w:val="none" w:sz="0" w:space="0" w:color="auto"/>
      </w:divBdr>
    </w:div>
    <w:div w:id="1047140315">
      <w:bodyDiv w:val="1"/>
      <w:marLeft w:val="0"/>
      <w:marRight w:val="0"/>
      <w:marTop w:val="0"/>
      <w:marBottom w:val="0"/>
      <w:divBdr>
        <w:top w:val="none" w:sz="0" w:space="0" w:color="auto"/>
        <w:left w:val="none" w:sz="0" w:space="0" w:color="auto"/>
        <w:bottom w:val="none" w:sz="0" w:space="0" w:color="auto"/>
        <w:right w:val="none" w:sz="0" w:space="0" w:color="auto"/>
      </w:divBdr>
    </w:div>
    <w:div w:id="115356956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92020012">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4F8B00-1A0F-41FE-8BD6-5A9471DEC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21</Pages>
  <Words>7997</Words>
  <Characters>43986</Characters>
  <Application>Microsoft Office Word</Application>
  <DocSecurity>0</DocSecurity>
  <Lines>366</Lines>
  <Paragraphs>103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51880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97</cp:revision>
  <cp:lastPrinted>2022-07-12T19:13:00Z</cp:lastPrinted>
  <dcterms:created xsi:type="dcterms:W3CDTF">2022-06-30T19:43:00Z</dcterms:created>
  <dcterms:modified xsi:type="dcterms:W3CDTF">2023-02-08T20:09:00Z</dcterms:modified>
</cp:coreProperties>
</file>