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6C507" w14:textId="77777777" w:rsidR="00F30C9B" w:rsidRPr="00CB6405" w:rsidRDefault="00F30C9B" w:rsidP="00F30C9B">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7B118D7C" w14:textId="77777777" w:rsidR="00F30C9B" w:rsidRPr="00CB6405" w:rsidRDefault="00F30C9B" w:rsidP="00F30C9B">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431</w:t>
      </w:r>
      <w:r w:rsidRPr="00CB6405">
        <w:rPr>
          <w:rFonts w:ascii="Arial" w:hAnsi="Arial" w:cs="Arial"/>
          <w:b/>
          <w:sz w:val="26"/>
          <w:szCs w:val="26"/>
        </w:rPr>
        <w:t>/201</w:t>
      </w:r>
      <w:r>
        <w:rPr>
          <w:rFonts w:ascii="Arial" w:hAnsi="Arial" w:cs="Arial"/>
          <w:b/>
          <w:sz w:val="26"/>
          <w:szCs w:val="26"/>
        </w:rPr>
        <w:t>9.</w:t>
      </w:r>
    </w:p>
    <w:p w14:paraId="6B6DB61F" w14:textId="77777777" w:rsidR="00F30C9B" w:rsidRDefault="00F30C9B" w:rsidP="00F30C9B">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0123/</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PRIMERA </w:t>
      </w:r>
      <w:r w:rsidRPr="00CB6405">
        <w:rPr>
          <w:rFonts w:ascii="Arial" w:hAnsi="Arial" w:cs="Arial"/>
          <w:b/>
          <w:sz w:val="26"/>
          <w:szCs w:val="26"/>
        </w:rPr>
        <w:t>SALA UNITARIA DE PRIMERA INSTANCIA</w:t>
      </w:r>
      <w:r>
        <w:rPr>
          <w:rFonts w:ascii="Arial" w:hAnsi="Arial" w:cs="Arial"/>
          <w:b/>
          <w:sz w:val="26"/>
          <w:szCs w:val="26"/>
        </w:rPr>
        <w:t xml:space="preserve"> (CUADERNO DE SUSPENSIÓN).</w:t>
      </w:r>
    </w:p>
    <w:p w14:paraId="6AF0A8A3" w14:textId="77777777" w:rsidR="00F30C9B" w:rsidRDefault="00F30C9B" w:rsidP="00F30C9B">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D826C47" w14:textId="77777777" w:rsidR="00F30C9B" w:rsidRDefault="00F30C9B" w:rsidP="00F30C9B">
      <w:pPr>
        <w:spacing w:before="240" w:line="360" w:lineRule="auto"/>
        <w:jc w:val="both"/>
        <w:rPr>
          <w:rFonts w:ascii="Arial" w:hAnsi="Arial" w:cs="Arial"/>
          <w:b/>
          <w:sz w:val="26"/>
          <w:szCs w:val="26"/>
        </w:rPr>
      </w:pPr>
    </w:p>
    <w:p w14:paraId="7F80AB64" w14:textId="2D4C041A" w:rsidR="00F30C9B" w:rsidRDefault="00F30C9B" w:rsidP="00F30C9B">
      <w:pPr>
        <w:spacing w:before="240" w:line="360" w:lineRule="auto"/>
        <w:jc w:val="both"/>
        <w:rPr>
          <w:rFonts w:ascii="Arial" w:hAnsi="Arial" w:cs="Arial"/>
          <w:b/>
          <w:sz w:val="26"/>
          <w:szCs w:val="26"/>
        </w:rPr>
      </w:pPr>
      <w:r>
        <w:rPr>
          <w:rFonts w:ascii="Arial" w:hAnsi="Arial" w:cs="Arial"/>
          <w:b/>
          <w:sz w:val="26"/>
          <w:szCs w:val="26"/>
        </w:rPr>
        <w:t>OAXACA DE JUÁREZ, OAXACA</w:t>
      </w:r>
      <w:r w:rsidR="006A3B22">
        <w:rPr>
          <w:rFonts w:ascii="Arial" w:hAnsi="Arial" w:cs="Arial"/>
          <w:b/>
          <w:sz w:val="26"/>
          <w:szCs w:val="26"/>
        </w:rPr>
        <w:t xml:space="preserve">, A VEINTISÉIS DE NOVIEMBRE </w:t>
      </w:r>
      <w:r>
        <w:rPr>
          <w:rFonts w:ascii="Arial" w:hAnsi="Arial" w:cs="Arial"/>
          <w:b/>
          <w:sz w:val="26"/>
          <w:szCs w:val="26"/>
        </w:rPr>
        <w:t xml:space="preserve">DE DOS MIL VEINTE. - - - - - - - - - - - - - - - - - - - - - - - - - - - - - - - - - - - - - - </w:t>
      </w:r>
    </w:p>
    <w:p w14:paraId="063C2619" w14:textId="2EF728A9" w:rsidR="00F30C9B" w:rsidRDefault="00F30C9B" w:rsidP="00F30C9B">
      <w:pPr>
        <w:spacing w:line="360" w:lineRule="auto"/>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431</w:t>
      </w:r>
      <w:r w:rsidRPr="00CB6405">
        <w:rPr>
          <w:rFonts w:ascii="Arial" w:hAnsi="Arial" w:cs="Arial"/>
          <w:b/>
          <w:sz w:val="26"/>
          <w:szCs w:val="26"/>
        </w:rPr>
        <w:t>/201</w:t>
      </w:r>
      <w:r>
        <w:rPr>
          <w:rFonts w:ascii="Arial" w:hAnsi="Arial" w:cs="Arial"/>
          <w:b/>
          <w:sz w:val="26"/>
          <w:szCs w:val="26"/>
        </w:rPr>
        <w:t>9</w:t>
      </w:r>
      <w:r>
        <w:rPr>
          <w:rFonts w:ascii="Arial" w:hAnsi="Arial" w:cs="Arial"/>
          <w:sz w:val="26"/>
          <w:szCs w:val="26"/>
        </w:rPr>
        <w:t xml:space="preserve">, turnado por la Secretaría General de Acuerdos, con motivo del recurso de revisión interpuesto por </w:t>
      </w:r>
      <w:r w:rsidR="00820EAF">
        <w:rPr>
          <w:rFonts w:ascii="Arial" w:hAnsi="Arial" w:cs="Arial"/>
          <w:b/>
          <w:bCs/>
          <w:sz w:val="26"/>
          <w:szCs w:val="26"/>
        </w:rPr>
        <w:t>***********</w:t>
      </w:r>
      <w:r w:rsidRPr="00C144FB">
        <w:rPr>
          <w:rFonts w:ascii="Arial" w:hAnsi="Arial" w:cs="Arial"/>
          <w:b/>
          <w:bCs/>
          <w:sz w:val="26"/>
          <w:szCs w:val="26"/>
        </w:rPr>
        <w:t>,</w:t>
      </w:r>
      <w:r>
        <w:rPr>
          <w:rFonts w:ascii="Arial" w:hAnsi="Arial" w:cs="Arial"/>
          <w:sz w:val="26"/>
          <w:szCs w:val="26"/>
        </w:rPr>
        <w:t xml:space="preserve"> en </w:t>
      </w:r>
      <w:r w:rsidRPr="006E349D">
        <w:rPr>
          <w:rFonts w:ascii="Arial" w:hAnsi="Arial" w:cs="Arial"/>
          <w:sz w:val="26"/>
          <w:szCs w:val="26"/>
        </w:rPr>
        <w:t>con</w:t>
      </w:r>
      <w:r>
        <w:rPr>
          <w:rFonts w:ascii="Arial" w:hAnsi="Arial" w:cs="Arial"/>
          <w:sz w:val="26"/>
          <w:szCs w:val="26"/>
        </w:rPr>
        <w:t xml:space="preserve">tra del acuerdo de fecha veintitrés de octubre de dos mil diecinueve, dictado en el cuaderno de suspensión derivado del expediente </w:t>
      </w:r>
      <w:r>
        <w:rPr>
          <w:rFonts w:ascii="Arial" w:hAnsi="Arial" w:cs="Arial"/>
          <w:b/>
          <w:sz w:val="26"/>
          <w:szCs w:val="26"/>
        </w:rPr>
        <w:t xml:space="preserve">0123/2019 </w:t>
      </w:r>
      <w:r>
        <w:rPr>
          <w:rFonts w:ascii="Arial" w:hAnsi="Arial" w:cs="Arial"/>
          <w:sz w:val="26"/>
          <w:szCs w:val="26"/>
        </w:rPr>
        <w:t>del índice de la Primera Sala Unitaria de Primera Instancia, relativo al juicio de nulidad promovido por</w:t>
      </w:r>
      <w:r>
        <w:rPr>
          <w:rFonts w:ascii="Arial" w:hAnsi="Arial" w:cs="Arial"/>
          <w:b/>
          <w:sz w:val="26"/>
          <w:szCs w:val="26"/>
        </w:rPr>
        <w:t xml:space="preserve"> </w:t>
      </w:r>
      <w:r w:rsidRPr="00C144FB">
        <w:rPr>
          <w:rFonts w:ascii="Arial" w:hAnsi="Arial" w:cs="Arial"/>
          <w:bCs/>
          <w:sz w:val="26"/>
          <w:szCs w:val="26"/>
        </w:rPr>
        <w:t>el propio recurrente,</w:t>
      </w:r>
      <w:r w:rsidRPr="0003266B">
        <w:rPr>
          <w:rFonts w:ascii="Arial" w:hAnsi="Arial" w:cs="Arial"/>
          <w:b/>
          <w:sz w:val="26"/>
          <w:szCs w:val="26"/>
        </w:rPr>
        <w:t xml:space="preserve"> </w:t>
      </w:r>
      <w:r>
        <w:rPr>
          <w:rFonts w:ascii="Arial" w:hAnsi="Arial" w:cs="Arial"/>
          <w:sz w:val="26"/>
          <w:szCs w:val="26"/>
        </w:rPr>
        <w:t xml:space="preserve">en contra del </w:t>
      </w:r>
      <w:r w:rsidRPr="0003266B">
        <w:rPr>
          <w:rFonts w:ascii="Arial" w:hAnsi="Arial" w:cs="Arial"/>
          <w:b/>
          <w:sz w:val="26"/>
          <w:szCs w:val="26"/>
        </w:rPr>
        <w:t xml:space="preserve">SECRETARIO DE </w:t>
      </w:r>
      <w:r>
        <w:rPr>
          <w:rFonts w:ascii="Arial" w:hAnsi="Arial" w:cs="Arial"/>
          <w:b/>
          <w:sz w:val="26"/>
          <w:szCs w:val="26"/>
        </w:rPr>
        <w:t>MOVILIDAD</w:t>
      </w:r>
      <w:r w:rsidRPr="0003266B">
        <w:rPr>
          <w:rFonts w:ascii="Arial" w:hAnsi="Arial" w:cs="Arial"/>
          <w:b/>
          <w:sz w:val="26"/>
          <w:szCs w:val="26"/>
        </w:rPr>
        <w:t xml:space="preserve"> DEL ESTADO</w:t>
      </w:r>
      <w:r>
        <w:rPr>
          <w:rFonts w:ascii="Arial" w:hAnsi="Arial" w:cs="Arial"/>
          <w:b/>
          <w:sz w:val="26"/>
          <w:szCs w:val="26"/>
        </w:rPr>
        <w:t xml:space="preserve"> DE OAXACA Y DIRECTOR DE CONCESIONES Y PRÓRROGAS DE LA MISMA SECRETARÍA</w:t>
      </w:r>
      <w:r w:rsidRPr="0003266B">
        <w:rPr>
          <w:rFonts w:ascii="Arial" w:hAnsi="Arial" w:cs="Arial"/>
          <w:b/>
          <w:sz w:val="26"/>
          <w:szCs w:val="26"/>
        </w:rPr>
        <w:t>;</w:t>
      </w:r>
      <w:r>
        <w:rPr>
          <w:rFonts w:ascii="Arial" w:hAnsi="Arial" w:cs="Arial"/>
          <w:sz w:val="26"/>
          <w:szCs w:val="26"/>
        </w:rPr>
        <w:t xml:space="preserve"> por lo que, con fundamento en los artículos 237 y </w:t>
      </w:r>
      <w:r w:rsidRPr="00671697">
        <w:rPr>
          <w:rFonts w:ascii="Arial" w:hAnsi="Arial" w:cs="Arial"/>
          <w:sz w:val="26"/>
          <w:szCs w:val="26"/>
        </w:rPr>
        <w:t>238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r w:rsidR="006A3B22">
        <w:rPr>
          <w:rFonts w:ascii="Arial" w:hAnsi="Arial" w:cs="Arial"/>
          <w:sz w:val="26"/>
          <w:szCs w:val="26"/>
        </w:rPr>
        <w:t xml:space="preserve"> - - - - - - - - - - - - - - - - - - - - - - - - - </w:t>
      </w:r>
    </w:p>
    <w:p w14:paraId="4C8E4FD8" w14:textId="77777777" w:rsidR="00F30C9B" w:rsidRPr="00CB6405" w:rsidRDefault="00F30C9B" w:rsidP="00F30C9B">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0A99E53E" w14:textId="1E99230D" w:rsidR="00F30C9B" w:rsidRPr="00CB6405" w:rsidRDefault="00F30C9B" w:rsidP="00F30C9B">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el acuerdo de fecha veintitrés de octubre de dos mil diecinueve,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 xml:space="preserve">Sala Unitaria de Primera Instancia, </w:t>
      </w:r>
      <w:r w:rsidR="00820EAF">
        <w:rPr>
          <w:rFonts w:ascii="Arial" w:hAnsi="Arial" w:cs="Arial"/>
          <w:b/>
          <w:bCs/>
          <w:sz w:val="26"/>
          <w:szCs w:val="26"/>
        </w:rPr>
        <w:t>***********</w:t>
      </w:r>
      <w:r>
        <w:rPr>
          <w:rFonts w:ascii="Arial" w:hAnsi="Arial" w:cs="Arial"/>
          <w:b/>
          <w:sz w:val="26"/>
          <w:szCs w:val="26"/>
        </w:rPr>
        <w:t>,</w:t>
      </w:r>
      <w:r w:rsidRPr="00CB6405">
        <w:rPr>
          <w:rFonts w:ascii="Arial" w:hAnsi="Arial" w:cs="Arial"/>
          <w:sz w:val="26"/>
          <w:szCs w:val="26"/>
        </w:rPr>
        <w:t xml:space="preserve"> interpuso en su contra recurso de revisión.</w:t>
      </w:r>
      <w:r w:rsidR="006A3B22">
        <w:rPr>
          <w:rFonts w:ascii="Arial" w:hAnsi="Arial" w:cs="Arial"/>
          <w:sz w:val="26"/>
          <w:szCs w:val="26"/>
        </w:rPr>
        <w:t xml:space="preserve"> - - - - - - - - - - - - - - - - - - - - - - - - - - - - - - - - -</w:t>
      </w:r>
    </w:p>
    <w:p w14:paraId="4CFC31D9" w14:textId="77777777" w:rsidR="00F30C9B" w:rsidRDefault="00F30C9B" w:rsidP="00F30C9B">
      <w:pPr>
        <w:spacing w:after="0" w:line="360" w:lineRule="auto"/>
        <w:ind w:firstLine="708"/>
        <w:jc w:val="both"/>
        <w:rPr>
          <w:rFonts w:ascii="Arial" w:hAnsi="Arial" w:cs="Arial"/>
          <w:sz w:val="26"/>
          <w:szCs w:val="26"/>
        </w:rPr>
      </w:pP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sz w:val="26"/>
          <w:szCs w:val="26"/>
        </w:rPr>
        <w:t>El contenido del acuerdo recurrido es el siguiente:</w:t>
      </w:r>
    </w:p>
    <w:p w14:paraId="02111FC3" w14:textId="77777777" w:rsidR="00F30C9B" w:rsidRDefault="00F30C9B" w:rsidP="00F30C9B">
      <w:pPr>
        <w:spacing w:after="0" w:line="360" w:lineRule="auto"/>
        <w:ind w:left="567" w:right="616"/>
        <w:jc w:val="both"/>
        <w:rPr>
          <w:rFonts w:ascii="Arial" w:eastAsia="Times New Roman" w:hAnsi="Arial" w:cs="Arial"/>
          <w:bCs/>
          <w:i/>
          <w:iCs/>
          <w:lang w:eastAsia="es-ES"/>
        </w:rPr>
      </w:pPr>
      <w:r w:rsidRPr="004F61C5">
        <w:rPr>
          <w:rFonts w:ascii="Arial" w:eastAsia="Times New Roman" w:hAnsi="Arial" w:cs="Arial"/>
          <w:bCs/>
          <w:i/>
          <w:iCs/>
          <w:lang w:eastAsia="es-ES"/>
        </w:rPr>
        <w:t>“</w:t>
      </w:r>
      <w:r>
        <w:rPr>
          <w:rFonts w:ascii="Arial" w:eastAsia="Times New Roman" w:hAnsi="Arial" w:cs="Arial"/>
          <w:bCs/>
          <w:i/>
          <w:iCs/>
          <w:lang w:eastAsia="es-ES"/>
        </w:rPr>
        <w:t>O</w:t>
      </w:r>
      <w:r w:rsidRPr="004F61C5">
        <w:rPr>
          <w:rFonts w:ascii="Arial" w:eastAsia="Times New Roman" w:hAnsi="Arial" w:cs="Arial"/>
          <w:bCs/>
          <w:i/>
          <w:iCs/>
          <w:lang w:eastAsia="es-ES"/>
        </w:rPr>
        <w:t xml:space="preserve">axaca de </w:t>
      </w:r>
      <w:r>
        <w:rPr>
          <w:rFonts w:ascii="Arial" w:eastAsia="Times New Roman" w:hAnsi="Arial" w:cs="Arial"/>
          <w:bCs/>
          <w:i/>
          <w:iCs/>
          <w:lang w:eastAsia="es-ES"/>
        </w:rPr>
        <w:t>J</w:t>
      </w:r>
      <w:r w:rsidRPr="004F61C5">
        <w:rPr>
          <w:rFonts w:ascii="Arial" w:eastAsia="Times New Roman" w:hAnsi="Arial" w:cs="Arial"/>
          <w:bCs/>
          <w:i/>
          <w:iCs/>
          <w:lang w:eastAsia="es-ES"/>
        </w:rPr>
        <w:t xml:space="preserve">uárez, </w:t>
      </w:r>
      <w:r>
        <w:rPr>
          <w:rFonts w:ascii="Arial" w:eastAsia="Times New Roman" w:hAnsi="Arial" w:cs="Arial"/>
          <w:bCs/>
          <w:i/>
          <w:iCs/>
          <w:lang w:eastAsia="es-ES"/>
        </w:rPr>
        <w:t>O</w:t>
      </w:r>
      <w:r w:rsidRPr="004F61C5">
        <w:rPr>
          <w:rFonts w:ascii="Arial" w:eastAsia="Times New Roman" w:hAnsi="Arial" w:cs="Arial"/>
          <w:bCs/>
          <w:i/>
          <w:iCs/>
          <w:lang w:eastAsia="es-ES"/>
        </w:rPr>
        <w:t xml:space="preserve">axaca, a </w:t>
      </w:r>
      <w:r w:rsidRPr="004F61C5">
        <w:rPr>
          <w:rFonts w:ascii="Arial" w:hAnsi="Arial" w:cs="Arial"/>
          <w:i/>
          <w:iCs/>
        </w:rPr>
        <w:t xml:space="preserve">veintitrés de octubre </w:t>
      </w:r>
      <w:r w:rsidRPr="004F61C5">
        <w:rPr>
          <w:rFonts w:ascii="Arial" w:eastAsia="Times New Roman" w:hAnsi="Arial" w:cs="Arial"/>
          <w:bCs/>
          <w:i/>
          <w:iCs/>
          <w:lang w:eastAsia="es-ES"/>
        </w:rPr>
        <w:t>de dos mil diecinueve</w:t>
      </w:r>
      <w:r w:rsidRPr="0003266B">
        <w:rPr>
          <w:rFonts w:ascii="Arial" w:eastAsia="Times New Roman" w:hAnsi="Arial" w:cs="Arial"/>
          <w:bCs/>
          <w:i/>
          <w:iCs/>
          <w:lang w:eastAsia="es-ES"/>
        </w:rPr>
        <w:t xml:space="preserve">. - - - - - - - - - - - - - - - - - - - - - - - - - </w:t>
      </w:r>
      <w:r>
        <w:rPr>
          <w:rFonts w:ascii="Arial" w:eastAsia="Times New Roman" w:hAnsi="Arial" w:cs="Arial"/>
          <w:bCs/>
          <w:i/>
          <w:iCs/>
          <w:lang w:eastAsia="es-ES"/>
        </w:rPr>
        <w:t xml:space="preserve">- - - - - - - - - - - - - - - - - - - </w:t>
      </w:r>
    </w:p>
    <w:p w14:paraId="65FC2BB8" w14:textId="4851BA2D" w:rsidR="00F30C9B" w:rsidRDefault="00F30C9B" w:rsidP="00F30C9B">
      <w:pPr>
        <w:spacing w:after="0" w:line="360" w:lineRule="auto"/>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En cumplimiento al acuerdo de la misma fecha, dictado en el expediente 0123/2019, fórmese cuaderno de suspensión, con copia simple del escrito de </w:t>
      </w:r>
      <w:r w:rsidR="00820EAF">
        <w:rPr>
          <w:rFonts w:ascii="Arial" w:eastAsia="Times New Roman" w:hAnsi="Arial" w:cs="Arial"/>
          <w:bCs/>
          <w:i/>
          <w:iCs/>
          <w:lang w:eastAsia="es-ES"/>
        </w:rPr>
        <w:t>************</w:t>
      </w:r>
      <w:r>
        <w:rPr>
          <w:rFonts w:ascii="Arial" w:eastAsia="Times New Roman" w:hAnsi="Arial" w:cs="Arial"/>
          <w:bCs/>
          <w:i/>
          <w:iCs/>
          <w:lang w:eastAsia="es-ES"/>
        </w:rPr>
        <w:t xml:space="preserve">, relativo al juicio de nulidad promovido por el administrado en contra de la configuración de la resolución negativa ficta y la nulidad de la resolución negativa ficta, recaída a la petición promovida </w:t>
      </w:r>
      <w:r>
        <w:rPr>
          <w:rFonts w:ascii="Arial" w:eastAsia="Times New Roman" w:hAnsi="Arial" w:cs="Arial"/>
          <w:bCs/>
          <w:i/>
          <w:iCs/>
          <w:lang w:eastAsia="es-ES"/>
        </w:rPr>
        <w:lastRenderedPageBreak/>
        <w:t xml:space="preserve">por el accionante de fecha veintiocho de septiembre de dos mil quince, por medio del cual solicita la renovación del acuerdo de concesión número 8714, demandando: 1.- Secretario de Vialidad y Transporte del Estado de Oaxaca hoy Secretario de Movilidad del Estado y 2.- Director de Concesiones y prórrogas de la Secretaría de Vialidad y Transporte del Estado de Oaxaca (hoy Secretario de Movilidad), teniendo como pretensión el otorgamiento de la renovación de concesión del acuerdo número </w:t>
      </w:r>
      <w:r w:rsidR="00820EAF">
        <w:rPr>
          <w:rFonts w:ascii="Arial" w:eastAsia="Times New Roman" w:hAnsi="Arial" w:cs="Arial"/>
          <w:bCs/>
          <w:i/>
          <w:iCs/>
          <w:lang w:eastAsia="es-ES"/>
        </w:rPr>
        <w:t>************</w:t>
      </w:r>
      <w:r w:rsidR="00820EAF">
        <w:rPr>
          <w:rFonts w:ascii="Arial" w:eastAsia="Times New Roman" w:hAnsi="Arial" w:cs="Arial"/>
          <w:bCs/>
          <w:i/>
          <w:iCs/>
          <w:lang w:eastAsia="es-ES"/>
        </w:rPr>
        <w:t xml:space="preserve"> </w:t>
      </w:r>
      <w:r>
        <w:rPr>
          <w:rFonts w:ascii="Arial" w:eastAsia="Times New Roman" w:hAnsi="Arial" w:cs="Arial"/>
          <w:bCs/>
          <w:i/>
          <w:iCs/>
          <w:lang w:eastAsia="es-ES"/>
        </w:rPr>
        <w:t xml:space="preserve">a nombre de </w:t>
      </w:r>
      <w:r w:rsidR="00820EAF">
        <w:rPr>
          <w:rFonts w:ascii="Arial" w:eastAsia="Times New Roman" w:hAnsi="Arial" w:cs="Arial"/>
          <w:bCs/>
          <w:i/>
          <w:iCs/>
          <w:lang w:eastAsia="es-ES"/>
        </w:rPr>
        <w:t>************</w:t>
      </w:r>
      <w:r w:rsidR="00820EAF">
        <w:rPr>
          <w:rFonts w:ascii="Arial" w:eastAsia="Times New Roman" w:hAnsi="Arial" w:cs="Arial"/>
          <w:bCs/>
          <w:i/>
          <w:iCs/>
          <w:lang w:eastAsia="es-ES"/>
        </w:rPr>
        <w:t xml:space="preserve"> </w:t>
      </w:r>
      <w:r>
        <w:rPr>
          <w:rFonts w:ascii="Arial" w:eastAsia="Times New Roman" w:hAnsi="Arial" w:cs="Arial"/>
          <w:bCs/>
          <w:i/>
          <w:iCs/>
          <w:lang w:eastAsia="es-ES"/>
        </w:rPr>
        <w:t xml:space="preserve">y la (sic) alta de unidad por cambio de vehículo de motor, marca </w:t>
      </w:r>
      <w:r w:rsidR="00820EAF">
        <w:rPr>
          <w:rFonts w:ascii="Arial" w:eastAsia="Times New Roman" w:hAnsi="Arial" w:cs="Arial"/>
          <w:bCs/>
          <w:i/>
          <w:iCs/>
          <w:lang w:eastAsia="es-ES"/>
        </w:rPr>
        <w:t>************</w:t>
      </w:r>
      <w:r>
        <w:rPr>
          <w:rFonts w:ascii="Arial" w:eastAsia="Times New Roman" w:hAnsi="Arial" w:cs="Arial"/>
          <w:bCs/>
          <w:i/>
          <w:iCs/>
          <w:lang w:eastAsia="es-ES"/>
        </w:rPr>
        <w:t xml:space="preserve">, tipo vento, </w:t>
      </w:r>
      <w:r w:rsidR="00820EAF">
        <w:rPr>
          <w:rFonts w:ascii="Arial" w:eastAsia="Times New Roman" w:hAnsi="Arial" w:cs="Arial"/>
          <w:bCs/>
          <w:i/>
          <w:iCs/>
          <w:lang w:eastAsia="es-ES"/>
        </w:rPr>
        <w:t>************</w:t>
      </w:r>
      <w:r>
        <w:rPr>
          <w:rFonts w:ascii="Arial" w:eastAsia="Times New Roman" w:hAnsi="Arial" w:cs="Arial"/>
          <w:bCs/>
          <w:i/>
          <w:iCs/>
          <w:lang w:eastAsia="es-ES"/>
        </w:rPr>
        <w:t xml:space="preserve">, modelo 2018,capacidad cinco pasajeros, número de serie </w:t>
      </w:r>
      <w:r w:rsidR="00820EAF">
        <w:rPr>
          <w:rFonts w:ascii="Arial" w:eastAsia="Times New Roman" w:hAnsi="Arial" w:cs="Arial"/>
          <w:bCs/>
          <w:i/>
          <w:iCs/>
          <w:lang w:eastAsia="es-ES"/>
        </w:rPr>
        <w:t>************</w:t>
      </w:r>
      <w:r>
        <w:rPr>
          <w:rFonts w:ascii="Arial" w:eastAsia="Times New Roman" w:hAnsi="Arial" w:cs="Arial"/>
          <w:bCs/>
          <w:i/>
          <w:iCs/>
          <w:lang w:eastAsia="es-ES"/>
        </w:rPr>
        <w:t xml:space="preserve">, número de motor </w:t>
      </w:r>
      <w:r w:rsidR="00820EAF">
        <w:rPr>
          <w:rFonts w:ascii="Arial" w:eastAsia="Times New Roman" w:hAnsi="Arial" w:cs="Arial"/>
          <w:bCs/>
          <w:i/>
          <w:iCs/>
          <w:lang w:eastAsia="es-ES"/>
        </w:rPr>
        <w:t>************</w:t>
      </w:r>
      <w:r>
        <w:rPr>
          <w:rFonts w:ascii="Arial" w:eastAsia="Times New Roman" w:hAnsi="Arial" w:cs="Arial"/>
          <w:bCs/>
          <w:i/>
          <w:iCs/>
          <w:lang w:eastAsia="es-ES"/>
        </w:rPr>
        <w:t>, con el cual presta el servicio en la modalidad de taxi en la localidad de Tlalixtac de Cabrera, Oaxaca, por medio del cual solicita la suspensión provisional del acto impugnado.</w:t>
      </w:r>
    </w:p>
    <w:p w14:paraId="16260E4F" w14:textId="77777777" w:rsidR="00F30C9B" w:rsidRDefault="00F30C9B" w:rsidP="00F30C9B">
      <w:pPr>
        <w:spacing w:after="0" w:line="360" w:lineRule="auto"/>
        <w:ind w:left="567" w:right="616"/>
        <w:jc w:val="both"/>
        <w:rPr>
          <w:rFonts w:ascii="Arial" w:hAnsi="Arial" w:cs="Arial"/>
          <w:b/>
          <w:i/>
          <w:iCs/>
        </w:rPr>
      </w:pPr>
      <w:r>
        <w:rPr>
          <w:rFonts w:ascii="Arial" w:eastAsia="Times New Roman" w:hAnsi="Arial" w:cs="Arial"/>
          <w:bCs/>
          <w:i/>
          <w:iCs/>
          <w:lang w:eastAsia="es-ES"/>
        </w:rPr>
        <w:tab/>
        <w:t xml:space="preserve">Visto su contenido, primeramente se procede a analizar el contenido del artículo 215 de la Ley de Procedimiento y Justicia Administrativa para el Estado de Oaxaca; que dispone: </w:t>
      </w:r>
      <w:r w:rsidRPr="00C511A4">
        <w:rPr>
          <w:rFonts w:ascii="Arial" w:eastAsia="Times New Roman" w:hAnsi="Arial" w:cs="Arial"/>
          <w:b/>
          <w:i/>
          <w:iCs/>
          <w:lang w:eastAsia="es-ES"/>
        </w:rPr>
        <w:t xml:space="preserve">“…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 Se deberá analizar la apariencia del buen derecho y peligro en la demora al momento de decidir los efectos de la suspensión. Se concederá la suspensión siempre que: I. Se conserve la materia del juicio; II. No se afecte el interés social, ni se contravengan disposiciones de orden público; y </w:t>
      </w:r>
      <w:r w:rsidRPr="00C511A4">
        <w:rPr>
          <w:rFonts w:ascii="Arial" w:hAnsi="Arial" w:cs="Arial"/>
          <w:b/>
          <w:i/>
          <w:iCs/>
        </w:rPr>
        <w:t>III. Sean de difícil reparación los daños o perjuicios que se causen al solicitante con la ejecución del acto impugnado…”</w:t>
      </w:r>
    </w:p>
    <w:p w14:paraId="4CFFBCB9" w14:textId="77777777" w:rsidR="00F30C9B" w:rsidRDefault="00F30C9B" w:rsidP="00F30C9B">
      <w:pPr>
        <w:spacing w:after="0" w:line="360" w:lineRule="auto"/>
        <w:ind w:left="567" w:right="616"/>
        <w:jc w:val="both"/>
        <w:rPr>
          <w:rFonts w:ascii="Arial" w:eastAsia="Times New Roman" w:hAnsi="Arial" w:cs="Arial"/>
          <w:bCs/>
          <w:i/>
          <w:iCs/>
          <w:lang w:eastAsia="es-ES"/>
        </w:rPr>
      </w:pPr>
      <w:r>
        <w:rPr>
          <w:rFonts w:ascii="Arial" w:eastAsia="Times New Roman" w:hAnsi="Arial" w:cs="Arial"/>
          <w:bCs/>
          <w:i/>
          <w:iCs/>
          <w:lang w:eastAsia="es-ES"/>
        </w:rPr>
        <w:t xml:space="preserve">Ahora bien, el recurrente solicita la suspensión provisional con efectos restitutorios, es decir, para el efecto de que no se impida, la prestación del Servicio Público de Alquiler (taxi, para prestar dicho servicio en la localidad de Tlalixtac de Cabrera, por lo que, dígase al administrado que no ha lugar a concederle la suspensión provisional del acto solicitado, ya que de concederle, </w:t>
      </w:r>
      <w:bookmarkStart w:id="0" w:name="_Hlk54301227"/>
      <w:r>
        <w:rPr>
          <w:rFonts w:ascii="Arial" w:eastAsia="Times New Roman" w:hAnsi="Arial" w:cs="Arial"/>
          <w:bCs/>
          <w:i/>
          <w:iCs/>
          <w:lang w:eastAsia="es-ES"/>
        </w:rPr>
        <w:t>se contravendrían disposiciones de orden público y se estaría sustituyendo a la autoridad administrativa en este caso al Director de Concesiones al otorgarle un derecho, respecto de una actividad que se encuentra debidamente regularizado (sic) por autoridad competente; es decir, el servicio de taxi brindado a los usuarios estaría al margen de la ley poniendo en riesgo la salud del usuario y peatón, lo que imposibilitaría a la autoridad administrativa en determinado momento imponer alguna medida preventiva o sanción al concesionario que cometa un acto constitutivo de delito.</w:t>
      </w:r>
    </w:p>
    <w:bookmarkEnd w:id="0"/>
    <w:p w14:paraId="09F7DEC0" w14:textId="77777777" w:rsidR="00F30C9B" w:rsidRDefault="00F30C9B" w:rsidP="00F30C9B">
      <w:pPr>
        <w:spacing w:after="0" w:line="360" w:lineRule="auto"/>
        <w:ind w:left="567" w:right="616"/>
        <w:jc w:val="both"/>
        <w:rPr>
          <w:rFonts w:ascii="Arial" w:eastAsia="Times New Roman" w:hAnsi="Arial" w:cs="Arial"/>
          <w:bCs/>
          <w:i/>
          <w:iCs/>
          <w:lang w:eastAsia="es-ES"/>
        </w:rPr>
      </w:pPr>
      <w:r>
        <w:rPr>
          <w:rFonts w:ascii="Arial" w:eastAsia="Times New Roman" w:hAnsi="Arial" w:cs="Arial"/>
          <w:bCs/>
          <w:i/>
          <w:iCs/>
          <w:lang w:eastAsia="es-ES"/>
        </w:rPr>
        <w:lastRenderedPageBreak/>
        <w:t xml:space="preserve">Sirve como medida de referencia la tesis sustentada por el Segundo Tribunal Colegiado en Materia Administrativa del Cuarto Circuito, que aparece publicada en la página 1871 del Semanario Judicial de la Federación y su Gaceta, Tomo XVII, enero de 2003, bajo el rubro y texto siguientes: </w:t>
      </w:r>
    </w:p>
    <w:p w14:paraId="0529218D" w14:textId="77777777" w:rsidR="00F30C9B" w:rsidRDefault="00F30C9B" w:rsidP="00F30C9B">
      <w:pPr>
        <w:spacing w:after="0" w:line="360" w:lineRule="auto"/>
        <w:ind w:left="567" w:right="616" w:firstLine="141"/>
        <w:jc w:val="both"/>
        <w:rPr>
          <w:rFonts w:ascii="Arial" w:eastAsia="Times New Roman" w:hAnsi="Arial" w:cs="Arial"/>
          <w:bCs/>
          <w:i/>
          <w:iCs/>
          <w:lang w:eastAsia="es-ES"/>
        </w:rPr>
      </w:pPr>
      <w:r w:rsidRPr="004A5FDC">
        <w:rPr>
          <w:rFonts w:ascii="Arial" w:eastAsia="Times New Roman" w:hAnsi="Arial" w:cs="Arial"/>
          <w:b/>
          <w:i/>
          <w:iCs/>
          <w:lang w:eastAsia="es-ES"/>
        </w:rPr>
        <w:t xml:space="preserve">“SUSPENSIÓN PROVISIONAL. SERVICIO PÚBLICO DE TRANSPORTE EN LA MODALIDAD DE VEHÍCULO DE ALQUILER. NO PROCEDE CONCEDERLA SI EL QUEJOSO NO CUENTA CON LA REGULARIZACIÓN DE LA CONCESIÓN RESPECTIVA (LEY DE TRANSPORTE PARA EL ESTADO DE NUEVO LEÓN). </w:t>
      </w:r>
      <w:r w:rsidRPr="004A5FDC">
        <w:rPr>
          <w:rFonts w:ascii="Arial" w:eastAsia="Times New Roman" w:hAnsi="Arial" w:cs="Arial"/>
          <w:bCs/>
          <w:i/>
          <w:iCs/>
          <w:lang w:eastAsia="es-ES"/>
        </w:rPr>
        <w:t xml:space="preserve">El artículo 124, fracción II, de la Ley de Amparo dispone </w:t>
      </w:r>
      <w:proofErr w:type="gramStart"/>
      <w:r w:rsidRPr="004A5FDC">
        <w:rPr>
          <w:rFonts w:ascii="Arial" w:eastAsia="Times New Roman" w:hAnsi="Arial" w:cs="Arial"/>
          <w:bCs/>
          <w:i/>
          <w:iCs/>
          <w:lang w:eastAsia="es-ES"/>
        </w:rPr>
        <w:t>que</w:t>
      </w:r>
      <w:proofErr w:type="gramEnd"/>
      <w:r w:rsidRPr="004A5FDC">
        <w:rPr>
          <w:rFonts w:ascii="Arial" w:eastAsia="Times New Roman" w:hAnsi="Arial" w:cs="Arial"/>
          <w:bCs/>
          <w:i/>
          <w:iCs/>
          <w:lang w:eastAsia="es-ES"/>
        </w:rPr>
        <w:t xml:space="preserve"> para conceder la suspensión de los actos reclamados, se requiere que no se siga perjuicio al interés social, ni se contravengan disposiciones de orden público. Por su parte, de la recta interpretación de los artículos 1o., 6o., fracción I, 17, fracción I, inciso f), 22, 33, fracción I, 35, 36, 38 y octavo transitorio de la Ley de Transporte para el Estado de Nuevo León, se aprecia que la necesidad de la regularización de la concesión o permiso para prestar el servicio público de transporte, que el legislador estableció en los preceptos indicados, es reveladora de que la sociedad está interesada en que el servicio público de transporte en sus distintas modalidades funcione con estricto apego a las disposiciones legales que permitan su actividad. Ahora bien, en el caso la parte agraviada no ha regularizado ante las autoridades responsables la concesión o permiso para prestar el servicio público de transporte de pasajeros en la modalidad de vehículo de alquiler, de ahí que no es válido otorgar la suspensión provisional de los actos reclamados, consistentes en las órdenes que emitan las autoridades responsables para impedir el ejercicio de la prestación del servicio público en cuestión, puesto que no se satisface el requisito previsto por la fracción II del artículo 124 de la Ley de Amparo, porque se sigue perjuicio al interés social y se contravienen disposiciones de orden público. Además, la suspensión tiene como finalidad mantener vigentes e inalterables los derechos preexistentes del gobernado, pero de ninguna manera puede ser generadora o constitutiva de derechos que sólo otorga la ley una vez satisfechos los requisitos ante las autoridades competentes, por lo que de concederse la medida cautelar sin contar con la regularización en comento, el Juez de Distrito o el Tribunal Colegiado se sustituiría en el quehacer propio de las autoridades responsables, lo que no es jurídicamente posible.</w:t>
      </w:r>
      <w:r>
        <w:rPr>
          <w:rFonts w:ascii="Arial" w:eastAsia="Times New Roman" w:hAnsi="Arial" w:cs="Arial"/>
          <w:bCs/>
          <w:i/>
          <w:iCs/>
          <w:lang w:eastAsia="es-ES"/>
        </w:rPr>
        <w:t>”</w:t>
      </w:r>
    </w:p>
    <w:p w14:paraId="15F8E1BC" w14:textId="77777777" w:rsidR="00F30C9B" w:rsidRDefault="00F30C9B" w:rsidP="00F30C9B">
      <w:pPr>
        <w:spacing w:after="0" w:line="360" w:lineRule="auto"/>
        <w:ind w:left="567" w:right="616" w:firstLine="141"/>
        <w:jc w:val="both"/>
        <w:rPr>
          <w:rFonts w:ascii="Arial" w:eastAsia="Times New Roman" w:hAnsi="Arial" w:cs="Arial"/>
          <w:bCs/>
          <w:i/>
          <w:iCs/>
          <w:lang w:eastAsia="es-ES"/>
        </w:rPr>
      </w:pPr>
      <w:r>
        <w:rPr>
          <w:rFonts w:ascii="Arial" w:eastAsia="Times New Roman" w:hAnsi="Arial" w:cs="Arial"/>
          <w:b/>
          <w:i/>
          <w:iCs/>
          <w:lang w:eastAsia="es-ES"/>
        </w:rPr>
        <w:t xml:space="preserve">Por otra parte, se requiere a las autoridades demandadas, </w:t>
      </w:r>
      <w:r w:rsidRPr="003201DC">
        <w:rPr>
          <w:rFonts w:ascii="Arial" w:eastAsia="Times New Roman" w:hAnsi="Arial" w:cs="Arial"/>
          <w:bCs/>
          <w:i/>
          <w:iCs/>
          <w:lang w:eastAsia="es-ES"/>
        </w:rPr>
        <w:t xml:space="preserve">para </w:t>
      </w:r>
      <w:r>
        <w:rPr>
          <w:rFonts w:ascii="Arial" w:eastAsia="Times New Roman" w:hAnsi="Arial" w:cs="Arial"/>
          <w:bCs/>
          <w:i/>
          <w:iCs/>
          <w:lang w:eastAsia="es-ES"/>
        </w:rPr>
        <w:t xml:space="preserve">que dentro del </w:t>
      </w:r>
      <w:r w:rsidRPr="003201DC">
        <w:rPr>
          <w:rFonts w:ascii="Arial" w:eastAsia="Times New Roman" w:hAnsi="Arial" w:cs="Arial"/>
          <w:b/>
          <w:i/>
          <w:iCs/>
          <w:lang w:eastAsia="es-ES"/>
        </w:rPr>
        <w:t>plazo de tres días hábiles</w:t>
      </w:r>
      <w:r>
        <w:rPr>
          <w:rFonts w:ascii="Arial" w:eastAsia="Times New Roman" w:hAnsi="Arial" w:cs="Arial"/>
          <w:bCs/>
          <w:i/>
          <w:iCs/>
          <w:lang w:eastAsia="es-ES"/>
        </w:rPr>
        <w:t xml:space="preserve"> contados a partir del día hábil siguiente al en que surta efectos la notificación del presente acuerdo, </w:t>
      </w:r>
      <w:r w:rsidRPr="003201DC">
        <w:rPr>
          <w:rFonts w:ascii="Arial" w:eastAsia="Times New Roman" w:hAnsi="Arial" w:cs="Arial"/>
          <w:b/>
          <w:i/>
          <w:iCs/>
          <w:lang w:eastAsia="es-ES"/>
        </w:rPr>
        <w:t>rindan sus informes sobre los hechos que impugna el actor,</w:t>
      </w:r>
      <w:r>
        <w:rPr>
          <w:rFonts w:ascii="Arial" w:eastAsia="Times New Roman" w:hAnsi="Arial" w:cs="Arial"/>
          <w:bCs/>
          <w:i/>
          <w:iCs/>
          <w:lang w:eastAsia="es-ES"/>
        </w:rPr>
        <w:t xml:space="preserve"> apercibidos que de ser omiso (sic), se resolverá sobre la suspensión </w:t>
      </w:r>
      <w:r>
        <w:rPr>
          <w:rFonts w:ascii="Arial" w:eastAsia="Times New Roman" w:hAnsi="Arial" w:cs="Arial"/>
          <w:bCs/>
          <w:i/>
          <w:iCs/>
          <w:lang w:eastAsia="es-ES"/>
        </w:rPr>
        <w:lastRenderedPageBreak/>
        <w:t>definitiva con o sin informes, lo anterior con fundamento en el artículo 218 fracción IV, inciso d) de la ley que rige a este Tribunal.</w:t>
      </w:r>
    </w:p>
    <w:p w14:paraId="07F8B607" w14:textId="77777777" w:rsidR="00F30C9B" w:rsidRDefault="00F30C9B" w:rsidP="00F30C9B">
      <w:pPr>
        <w:spacing w:after="0" w:line="360" w:lineRule="auto"/>
        <w:ind w:left="567" w:right="616" w:firstLine="141"/>
        <w:jc w:val="both"/>
        <w:rPr>
          <w:rFonts w:ascii="Arial" w:eastAsia="Times New Roman" w:hAnsi="Arial" w:cs="Arial"/>
          <w:bCs/>
          <w:i/>
          <w:iCs/>
          <w:lang w:eastAsia="es-ES"/>
        </w:rPr>
      </w:pPr>
      <w:r w:rsidRPr="003201DC">
        <w:rPr>
          <w:rFonts w:ascii="Arial" w:eastAsia="Times New Roman" w:hAnsi="Arial" w:cs="Arial"/>
          <w:b/>
          <w:i/>
          <w:iCs/>
          <w:lang w:eastAsia="es-ES"/>
        </w:rPr>
        <w:t>Notifíquese personalmente a la parte actora y por medio de oficio a las autoridades demandadas,</w:t>
      </w:r>
      <w:r>
        <w:rPr>
          <w:rFonts w:ascii="Arial" w:eastAsia="Times New Roman" w:hAnsi="Arial" w:cs="Arial"/>
          <w:bCs/>
          <w:i/>
          <w:iCs/>
          <w:lang w:eastAsia="es-ES"/>
        </w:rPr>
        <w:t xml:space="preserve"> en términos de los artículos 172 fracción I y 173 fracciones I, y II, de la Ley de Procedimiento y Justicia Administrativa para el Estado de Oaxaca.</w:t>
      </w:r>
    </w:p>
    <w:p w14:paraId="2431377E" w14:textId="2BF90AC4" w:rsidR="00F30C9B" w:rsidRPr="006A3B22" w:rsidRDefault="00F30C9B" w:rsidP="006A3B22">
      <w:pPr>
        <w:spacing w:after="0" w:line="360" w:lineRule="auto"/>
        <w:ind w:left="567" w:right="616" w:firstLine="141"/>
        <w:jc w:val="both"/>
        <w:rPr>
          <w:rFonts w:ascii="Arial" w:eastAsia="Times New Roman" w:hAnsi="Arial" w:cs="Arial"/>
          <w:bCs/>
          <w:i/>
          <w:iCs/>
          <w:lang w:eastAsia="es-ES"/>
        </w:rPr>
      </w:pPr>
      <w:r>
        <w:rPr>
          <w:rFonts w:ascii="Arial" w:eastAsia="Times New Roman" w:hAnsi="Arial" w:cs="Arial"/>
          <w:bCs/>
          <w:i/>
          <w:iCs/>
          <w:lang w:eastAsia="es-ES"/>
        </w:rPr>
        <w:t xml:space="preserve">Así lo acuerda y firma la licenciada </w:t>
      </w:r>
      <w:r w:rsidRPr="003201DC">
        <w:rPr>
          <w:rFonts w:ascii="Arial" w:eastAsia="Times New Roman" w:hAnsi="Arial" w:cs="Arial"/>
          <w:b/>
          <w:i/>
          <w:iCs/>
          <w:lang w:eastAsia="es-ES"/>
        </w:rPr>
        <w:t>Frida Jiménez Valencia,</w:t>
      </w:r>
      <w:r>
        <w:rPr>
          <w:rFonts w:ascii="Arial" w:eastAsia="Times New Roman" w:hAnsi="Arial" w:cs="Arial"/>
          <w:bCs/>
          <w:i/>
          <w:iCs/>
          <w:lang w:eastAsia="es-ES"/>
        </w:rPr>
        <w:t xml:space="preserve"> Magistrada de la Primera Sala Unitaria de Primera Instancia del Tribunal de Justicia Administrativa del Estado de Oaxaca, quien actúa con el licenciado </w:t>
      </w:r>
      <w:r w:rsidRPr="003201DC">
        <w:rPr>
          <w:rFonts w:ascii="Arial" w:eastAsia="Times New Roman" w:hAnsi="Arial" w:cs="Arial"/>
          <w:b/>
          <w:i/>
          <w:iCs/>
          <w:lang w:eastAsia="es-ES"/>
        </w:rPr>
        <w:t>Renato Gabriel Ibáñez Castellanos,</w:t>
      </w:r>
      <w:r>
        <w:rPr>
          <w:rFonts w:ascii="Arial" w:eastAsia="Times New Roman" w:hAnsi="Arial" w:cs="Arial"/>
          <w:bCs/>
          <w:i/>
          <w:iCs/>
          <w:lang w:eastAsia="es-ES"/>
        </w:rPr>
        <w:t xml:space="preserve"> Secretario de Acuerdos que autoriza y da fe.”</w:t>
      </w:r>
    </w:p>
    <w:p w14:paraId="0F2A8FF4" w14:textId="77777777" w:rsidR="00F30C9B" w:rsidRPr="00CB6405" w:rsidRDefault="00F30C9B" w:rsidP="00F30C9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6EE13970" w14:textId="77777777" w:rsidR="00F30C9B" w:rsidRDefault="00F30C9B" w:rsidP="00F30C9B">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IV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del </w:t>
      </w:r>
      <w:r>
        <w:rPr>
          <w:rFonts w:ascii="Arial" w:hAnsi="Arial" w:cs="Arial"/>
          <w:sz w:val="26"/>
          <w:szCs w:val="26"/>
        </w:rPr>
        <w:t>acuerdo de fecha veintitrés de octubre de dos mil diecinueve,</w:t>
      </w:r>
      <w:r w:rsidRPr="00CB6405">
        <w:rPr>
          <w:rFonts w:ascii="Arial" w:hAnsi="Arial" w:cs="Arial"/>
          <w:sz w:val="26"/>
          <w:szCs w:val="26"/>
        </w:rPr>
        <w:t xml:space="preserve">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en el cuaderno de suspensión derivado del juicio de nulidad </w:t>
      </w:r>
      <w:r w:rsidRPr="00DD4D5B">
        <w:rPr>
          <w:rFonts w:ascii="Arial" w:hAnsi="Arial" w:cs="Arial"/>
          <w:b/>
          <w:bCs/>
          <w:iCs/>
          <w:sz w:val="26"/>
          <w:szCs w:val="26"/>
        </w:rPr>
        <w:t>0</w:t>
      </w:r>
      <w:r>
        <w:rPr>
          <w:rFonts w:ascii="Arial" w:hAnsi="Arial" w:cs="Arial"/>
          <w:b/>
          <w:bCs/>
          <w:iCs/>
          <w:sz w:val="26"/>
          <w:szCs w:val="26"/>
        </w:rPr>
        <w:t>123</w:t>
      </w:r>
      <w:r w:rsidRPr="00DD4D5B">
        <w:rPr>
          <w:rFonts w:ascii="Arial" w:hAnsi="Arial" w:cs="Arial"/>
          <w:b/>
          <w:bCs/>
          <w:iCs/>
          <w:sz w:val="26"/>
          <w:szCs w:val="26"/>
        </w:rPr>
        <w:t>/2019.</w:t>
      </w:r>
    </w:p>
    <w:p w14:paraId="5165678F" w14:textId="77777777" w:rsidR="00F30C9B" w:rsidRDefault="00F30C9B" w:rsidP="00F30C9B">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3A42CC1D" w14:textId="77777777" w:rsidR="00F30C9B" w:rsidRPr="007E4000" w:rsidRDefault="00F30C9B" w:rsidP="006A3B22">
      <w:pPr>
        <w:spacing w:before="240" w:after="0" w:line="240" w:lineRule="auto"/>
        <w:ind w:left="1134" w:right="616"/>
        <w:jc w:val="both"/>
        <w:rPr>
          <w:rFonts w:ascii="Arial" w:hAnsi="Arial" w:cs="Arial"/>
        </w:rPr>
      </w:pPr>
      <w:r w:rsidRPr="007E4000">
        <w:rPr>
          <w:rFonts w:ascii="Arial" w:hAnsi="Arial" w:cs="Arial"/>
        </w:rPr>
        <w:t>“</w:t>
      </w:r>
      <w:r w:rsidRPr="007E4000">
        <w:rPr>
          <w:rFonts w:ascii="Arial" w:hAnsi="Arial" w:cs="Arial"/>
          <w:b/>
          <w:i/>
        </w:rPr>
        <w:t>CONCEPTOS DE VIOLACIÓN. NO ES OBLIGATORIO TRANSCRIBIRLOS EN LA SENTENCIA</w:t>
      </w:r>
      <w:r w:rsidRPr="007E4000">
        <w:rPr>
          <w:rFonts w:ascii="Arial" w:hAnsi="Arial" w:cs="Arial"/>
        </w:rPr>
        <w:t xml:space="preserve">. </w:t>
      </w:r>
      <w:r w:rsidRPr="007E4000">
        <w:rPr>
          <w:rFonts w:ascii="Arial" w:hAnsi="Arial" w:cs="Arial"/>
          <w:i/>
        </w:rPr>
        <w:t xml:space="preserve">Aun cuando sea verdad que el juzgador no transcriba en su integridad los conceptos de violación externados por la quejosa en su demanda de garantías, a pesar de indicarlo así en su sentencia, también lo es que tal omisión </w:t>
      </w:r>
      <w:r w:rsidRPr="007E4000">
        <w:rPr>
          <w:rFonts w:ascii="Arial" w:hAnsi="Arial" w:cs="Arial"/>
          <w:i/>
        </w:rPr>
        <w:lastRenderedPageBreak/>
        <w:t>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E4000">
        <w:rPr>
          <w:rFonts w:ascii="Arial" w:hAnsi="Arial" w:cs="Arial"/>
        </w:rPr>
        <w:t>.”</w:t>
      </w:r>
    </w:p>
    <w:p w14:paraId="2F9D5558" w14:textId="24632140" w:rsidR="00F30C9B" w:rsidRDefault="00F30C9B" w:rsidP="00F30C9B">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 xml:space="preserve">El recurrente argumenta que le causa agravio el acuerdo de fecha veintitrés de octubre de dos mil diecinueve, porque el magistrado de la primera sala le niega la suspensión solicitada indicándole que de concederla se contravendrían disposiciones de orden público, y que contrariamente a lo determinado por la primera instancia, en ningún momento se contravienen normas de interés social como lo es la Ley de Transporte y su Reglamento, al haber exhibido su concesión de transporte con número de acuerdo </w:t>
      </w:r>
      <w:r w:rsidR="00820EAF">
        <w:rPr>
          <w:rFonts w:ascii="Arial" w:eastAsia="Times New Roman" w:hAnsi="Arial" w:cs="Arial"/>
          <w:bCs/>
          <w:i/>
          <w:iCs/>
          <w:lang w:eastAsia="es-ES"/>
        </w:rPr>
        <w:t>************</w:t>
      </w:r>
      <w:r w:rsidR="00820EAF">
        <w:rPr>
          <w:rFonts w:ascii="Arial" w:eastAsia="Times New Roman" w:hAnsi="Arial" w:cs="Arial"/>
          <w:bCs/>
          <w:i/>
          <w:iCs/>
          <w:lang w:eastAsia="es-ES"/>
        </w:rPr>
        <w:t xml:space="preserve"> </w:t>
      </w:r>
      <w:r>
        <w:rPr>
          <w:rFonts w:ascii="Arial" w:eastAsia="Calibri" w:hAnsi="Arial" w:cs="Arial"/>
          <w:bCs/>
          <w:sz w:val="26"/>
          <w:szCs w:val="26"/>
        </w:rPr>
        <w:t>y que si no se exhibió la concesión vigente es porque la autoridad demandada no ha dado respuesta a la solicitud de renovación de concesión con número de acuerdo 8714, y es precisamente esa ilegalidad la que reclama mediante juicio de nulidad, por tal motivo no se contraviene lo establecido en la fracción I y II del artículo 215 de la Ley de Procedimiento y Justicia Administrativa.</w:t>
      </w:r>
    </w:p>
    <w:p w14:paraId="41DFDE85" w14:textId="77777777" w:rsidR="00F30C9B" w:rsidRDefault="00F30C9B" w:rsidP="00F30C9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Manifiesta el inconforme que la magistrada podrá dictar discrecionalmente las medidas cautelares que estime pertinentes para preservar el medio de subsistencia del recurrente, siempre y cuando no se lesionen derechos a terceros, ya que al contrario la población en general se ve beneficiada con el servicio público de alquiler que presta en la población de Tlalixtac de Cabrera, Oaxaca.</w:t>
      </w:r>
    </w:p>
    <w:p w14:paraId="44686E15" w14:textId="77777777" w:rsidR="00F30C9B" w:rsidRDefault="00F30C9B" w:rsidP="00F30C9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Señala el recurrente que la </w:t>
      </w:r>
      <w:r w:rsidRPr="00793BBE">
        <w:rPr>
          <w:rFonts w:ascii="Arial" w:eastAsia="Calibri" w:hAnsi="Arial" w:cs="Arial"/>
          <w:bCs/>
          <w:i/>
          <w:iCs/>
          <w:sz w:val="26"/>
          <w:szCs w:val="26"/>
        </w:rPr>
        <w:t>A quo</w:t>
      </w:r>
      <w:r>
        <w:rPr>
          <w:rFonts w:ascii="Arial" w:eastAsia="Calibri" w:hAnsi="Arial" w:cs="Arial"/>
          <w:bCs/>
          <w:sz w:val="26"/>
          <w:szCs w:val="26"/>
        </w:rPr>
        <w:t xml:space="preserve"> advierte que él no cuenta con la concesión para la prestación del servicio público de transporte que no se encuentra vigente, y que </w:t>
      </w:r>
      <w:proofErr w:type="spellStart"/>
      <w:r>
        <w:rPr>
          <w:rFonts w:ascii="Arial" w:eastAsia="Calibri" w:hAnsi="Arial" w:cs="Arial"/>
          <w:bCs/>
          <w:sz w:val="26"/>
          <w:szCs w:val="26"/>
        </w:rPr>
        <w:t>aún</w:t>
      </w:r>
      <w:proofErr w:type="spellEnd"/>
      <w:r>
        <w:rPr>
          <w:rFonts w:ascii="Arial" w:eastAsia="Calibri" w:hAnsi="Arial" w:cs="Arial"/>
          <w:bCs/>
          <w:sz w:val="26"/>
          <w:szCs w:val="26"/>
        </w:rPr>
        <w:t xml:space="preserve"> así, es claro que entonces el demandante cuenta con la autorización para poder prestar el servicio público de alquiler de pasajeros en la población de Tlalixtac de Cabrera, Oaxaca, no siéndole imputable el hecho de carecer de los documentos complementarios a que alude la A quo, sino que éstos son precisamente la sustancia del juicio, que le otorgan el derecho a reclamarlos en vía de la negativa ficta completada de la Ley de Procedimiento y Justicia Administrativa para el Estado de Oaxaca.</w:t>
      </w:r>
    </w:p>
    <w:p w14:paraId="7553E654" w14:textId="77777777" w:rsidR="00F30C9B" w:rsidRDefault="00F30C9B" w:rsidP="00F30C9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Agrega el inconforme que al negarle la suspensión que ha solicitado, sí se contraviene la fracción I del citado artículo 215, en virtud de que la negativa le causa daños de imposible reparación, ya que se le </w:t>
      </w:r>
      <w:r>
        <w:rPr>
          <w:rFonts w:ascii="Arial" w:eastAsia="Calibri" w:hAnsi="Arial" w:cs="Arial"/>
          <w:bCs/>
          <w:sz w:val="26"/>
          <w:szCs w:val="26"/>
        </w:rPr>
        <w:lastRenderedPageBreak/>
        <w:t>impide ejercer un oficio del cual dependen él y su familia, y que siendo así el Magistrado titular podría dictar discrecionalmente las medidas cautelares que estime pertinentes para preservar el medio de subsistencia del recurrente, siempre y cuando no se lesionen derechos a terceros, ya que por lo contrario los terceros, que son la población en general se ve beneficiada con el servicio público de pasajeros que presta en la localidad mencionada.</w:t>
      </w:r>
    </w:p>
    <w:p w14:paraId="2EB82864" w14:textId="77777777" w:rsidR="00F30C9B" w:rsidRDefault="00F30C9B" w:rsidP="00F30C9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Alega el recurrente que resulta infundado el acuerdo recurrido ya que la primera instancia no expone las razones lógico jurídicas que hagan patente que con el otorgamiento de la medida cautelar solicitada afectaría el interés social o transgredirían normas de orden público, ni expresó la o las disposiciones normativas que sirvieron de sustento a su consideración para negar la medida cautelar solicitada.</w:t>
      </w:r>
    </w:p>
    <w:p w14:paraId="69F2522D" w14:textId="5357E857" w:rsidR="00F30C9B" w:rsidRDefault="00F30C9B" w:rsidP="00F30C9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Finaliza el disconforme sus agravios, manifestando que en el caso de ejecutarse los actos impugnados, se le dejaría en completo estado de indefensión, pues se encontraría imposibilitado para explotar la concesión del acuerdo número </w:t>
      </w:r>
      <w:r w:rsidR="00820EAF">
        <w:rPr>
          <w:rFonts w:ascii="Arial" w:eastAsia="Times New Roman" w:hAnsi="Arial" w:cs="Arial"/>
          <w:bCs/>
          <w:i/>
          <w:iCs/>
          <w:lang w:eastAsia="es-ES"/>
        </w:rPr>
        <w:t>************</w:t>
      </w:r>
      <w:r w:rsidR="00820EAF">
        <w:rPr>
          <w:rFonts w:ascii="Arial" w:eastAsia="Times New Roman" w:hAnsi="Arial" w:cs="Arial"/>
          <w:bCs/>
          <w:i/>
          <w:iCs/>
          <w:lang w:eastAsia="es-ES"/>
        </w:rPr>
        <w:t xml:space="preserve"> </w:t>
      </w:r>
      <w:r>
        <w:rPr>
          <w:rFonts w:ascii="Arial" w:eastAsia="Calibri" w:hAnsi="Arial" w:cs="Arial"/>
          <w:bCs/>
          <w:sz w:val="26"/>
          <w:szCs w:val="26"/>
        </w:rPr>
        <w:t xml:space="preserve">de la localidad de Tlalixtac de Cabrera, Oaxaca, que dice le fue otorgada por autoridad competente, pues la litis del juicio consiste en la renovación o no de la concesión del acuerdo </w:t>
      </w:r>
      <w:r w:rsidR="00820EAF">
        <w:rPr>
          <w:rFonts w:ascii="Arial" w:eastAsia="Times New Roman" w:hAnsi="Arial" w:cs="Arial"/>
          <w:bCs/>
          <w:i/>
          <w:iCs/>
          <w:lang w:eastAsia="es-ES"/>
        </w:rPr>
        <w:t>************</w:t>
      </w:r>
      <w:r w:rsidR="00820EAF">
        <w:rPr>
          <w:rFonts w:ascii="Arial" w:eastAsia="Times New Roman" w:hAnsi="Arial" w:cs="Arial"/>
          <w:bCs/>
          <w:i/>
          <w:iCs/>
          <w:lang w:eastAsia="es-ES"/>
        </w:rPr>
        <w:t xml:space="preserve"> </w:t>
      </w:r>
      <w:r>
        <w:rPr>
          <w:rFonts w:ascii="Arial" w:eastAsia="Calibri" w:hAnsi="Arial" w:cs="Arial"/>
          <w:bCs/>
          <w:sz w:val="26"/>
          <w:szCs w:val="26"/>
        </w:rPr>
        <w:t xml:space="preserve">de esa localidad, que en copia acompañó a su escrito de demanda, y que con ello justifica su interés legítimo para comparecer a juicio. </w:t>
      </w:r>
    </w:p>
    <w:p w14:paraId="10477DFD" w14:textId="77777777" w:rsidR="00F30C9B" w:rsidRDefault="00F30C9B" w:rsidP="00F30C9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 Sala Superior advierte que son </w:t>
      </w:r>
      <w:r w:rsidRPr="00222ECF">
        <w:rPr>
          <w:rFonts w:ascii="Arial" w:eastAsia="Calibri" w:hAnsi="Arial" w:cs="Arial"/>
          <w:b/>
          <w:bCs/>
          <w:sz w:val="26"/>
          <w:szCs w:val="26"/>
        </w:rPr>
        <w:t>infundados</w:t>
      </w:r>
      <w:r>
        <w:rPr>
          <w:rFonts w:ascii="Arial" w:eastAsia="Calibri" w:hAnsi="Arial" w:cs="Arial"/>
          <w:bCs/>
          <w:sz w:val="26"/>
          <w:szCs w:val="26"/>
        </w:rPr>
        <w:t xml:space="preserve"> los argumentos expresados por el recurrente. </w:t>
      </w:r>
    </w:p>
    <w:p w14:paraId="21B90D22" w14:textId="77777777" w:rsidR="00F30C9B" w:rsidRDefault="00F30C9B" w:rsidP="00F30C9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Para empezar, es importante indicar que el artículo 215 de la Ley de Procedimiento y Justicia Administrativa para el Estado de Oaxaca, preceptúa lo siguiente:</w:t>
      </w:r>
    </w:p>
    <w:p w14:paraId="533989FF" w14:textId="77777777" w:rsidR="00F30C9B" w:rsidRPr="00676042" w:rsidRDefault="00F30C9B" w:rsidP="006A3B22">
      <w:pPr>
        <w:spacing w:after="0" w:line="360" w:lineRule="auto"/>
        <w:ind w:left="567" w:right="616"/>
        <w:jc w:val="both"/>
        <w:rPr>
          <w:rFonts w:ascii="Arial" w:eastAsia="Calibri" w:hAnsi="Arial" w:cs="Arial"/>
          <w:bCs/>
          <w:i/>
          <w:sz w:val="24"/>
          <w:szCs w:val="24"/>
        </w:rPr>
      </w:pPr>
      <w:r w:rsidRPr="00676042">
        <w:rPr>
          <w:rFonts w:ascii="Arial" w:eastAsia="Calibri" w:hAnsi="Arial" w:cs="Arial"/>
          <w:b/>
          <w:bCs/>
          <w:i/>
          <w:sz w:val="24"/>
          <w:szCs w:val="24"/>
        </w:rPr>
        <w:t>“ARTÍCULO 215.-</w:t>
      </w:r>
      <w:r w:rsidRPr="00676042">
        <w:rPr>
          <w:rFonts w:ascii="Arial" w:eastAsia="Calibri" w:hAnsi="Arial" w:cs="Arial"/>
          <w:bCs/>
          <w:i/>
          <w:sz w:val="24"/>
          <w:szCs w:val="24"/>
        </w:rPr>
        <w:t xml:space="preserve"> El actor podrá solicitar la suspensión del acto impugnado, en la demanda o en cualquier momento del juicio, hasta antes de citación para sentencia; tal medida cautelar tendrá por efecto mantener las cosas en el estado en que se encuentren hasta en tanto se pronuncia la sentencia definitiva; el Tribunal deberá resolver lo conducente, haciéndolo saber inmediatamente a la autoridad demandada para su cumplimiento.</w:t>
      </w:r>
    </w:p>
    <w:p w14:paraId="616FE1C3" w14:textId="77777777" w:rsidR="00F30C9B" w:rsidRPr="00676042" w:rsidRDefault="00F30C9B" w:rsidP="006A3B22">
      <w:pPr>
        <w:spacing w:after="0" w:line="360" w:lineRule="auto"/>
        <w:ind w:left="567" w:right="616"/>
        <w:jc w:val="both"/>
        <w:rPr>
          <w:rFonts w:ascii="Arial" w:eastAsia="Calibri" w:hAnsi="Arial" w:cs="Arial"/>
          <w:bCs/>
          <w:i/>
          <w:sz w:val="24"/>
          <w:szCs w:val="24"/>
        </w:rPr>
      </w:pPr>
      <w:r w:rsidRPr="00676042">
        <w:rPr>
          <w:rFonts w:ascii="Arial" w:eastAsia="Calibri" w:hAnsi="Arial" w:cs="Arial"/>
          <w:bCs/>
          <w:i/>
          <w:sz w:val="24"/>
          <w:szCs w:val="24"/>
        </w:rPr>
        <w:t>Se deberá analizar la apariencia del buen derecho y peligro en la demora al momento de decidir los efectos de la suspensión.</w:t>
      </w:r>
    </w:p>
    <w:p w14:paraId="1C34E5C9" w14:textId="77777777" w:rsidR="00F30C9B" w:rsidRPr="00676042" w:rsidRDefault="00F30C9B" w:rsidP="006A3B22">
      <w:pPr>
        <w:spacing w:after="0" w:line="360" w:lineRule="auto"/>
        <w:ind w:left="567" w:right="616"/>
        <w:jc w:val="both"/>
        <w:rPr>
          <w:rFonts w:ascii="Arial" w:eastAsia="Calibri" w:hAnsi="Arial" w:cs="Arial"/>
          <w:bCs/>
          <w:i/>
          <w:sz w:val="24"/>
          <w:szCs w:val="24"/>
        </w:rPr>
      </w:pPr>
      <w:r w:rsidRPr="00676042">
        <w:rPr>
          <w:rFonts w:ascii="Arial" w:eastAsia="Calibri" w:hAnsi="Arial" w:cs="Arial"/>
          <w:bCs/>
          <w:i/>
          <w:sz w:val="24"/>
          <w:szCs w:val="24"/>
        </w:rPr>
        <w:lastRenderedPageBreak/>
        <w:t>Se concederá la suspensión siempre que:</w:t>
      </w:r>
    </w:p>
    <w:p w14:paraId="346011BC" w14:textId="77777777" w:rsidR="00F30C9B" w:rsidRPr="00676042" w:rsidRDefault="00F30C9B" w:rsidP="006A3B22">
      <w:pPr>
        <w:spacing w:after="0" w:line="360" w:lineRule="auto"/>
        <w:ind w:left="567" w:right="616"/>
        <w:jc w:val="both"/>
        <w:rPr>
          <w:rFonts w:ascii="Arial" w:eastAsia="Calibri" w:hAnsi="Arial" w:cs="Arial"/>
          <w:bCs/>
          <w:i/>
          <w:sz w:val="24"/>
          <w:szCs w:val="24"/>
        </w:rPr>
      </w:pPr>
      <w:r w:rsidRPr="00676042">
        <w:rPr>
          <w:rFonts w:ascii="Arial" w:eastAsia="Calibri" w:hAnsi="Arial" w:cs="Arial"/>
          <w:bCs/>
          <w:i/>
          <w:sz w:val="24"/>
          <w:szCs w:val="24"/>
        </w:rPr>
        <w:t>I. Se conserve la materia del juicio;</w:t>
      </w:r>
    </w:p>
    <w:p w14:paraId="6495183C" w14:textId="77777777" w:rsidR="00F30C9B" w:rsidRPr="00676042" w:rsidRDefault="00F30C9B" w:rsidP="006A3B22">
      <w:pPr>
        <w:spacing w:after="0" w:line="360" w:lineRule="auto"/>
        <w:ind w:left="567" w:right="616"/>
        <w:jc w:val="both"/>
        <w:rPr>
          <w:rFonts w:ascii="Arial" w:eastAsia="Calibri" w:hAnsi="Arial" w:cs="Arial"/>
          <w:bCs/>
          <w:i/>
          <w:sz w:val="24"/>
          <w:szCs w:val="24"/>
        </w:rPr>
      </w:pPr>
      <w:r w:rsidRPr="00676042">
        <w:rPr>
          <w:rFonts w:ascii="Arial" w:eastAsia="Calibri" w:hAnsi="Arial" w:cs="Arial"/>
          <w:bCs/>
          <w:i/>
          <w:sz w:val="24"/>
          <w:szCs w:val="24"/>
        </w:rPr>
        <w:t>II. No se afecte el interés social, ni se contravengan disposiciones de orden público; y</w:t>
      </w:r>
    </w:p>
    <w:p w14:paraId="46CFA5D1" w14:textId="77777777" w:rsidR="00F30C9B" w:rsidRPr="00676042" w:rsidRDefault="00F30C9B" w:rsidP="006A3B22">
      <w:pPr>
        <w:spacing w:after="0" w:line="360" w:lineRule="auto"/>
        <w:ind w:left="567" w:right="616"/>
        <w:jc w:val="both"/>
        <w:rPr>
          <w:rFonts w:ascii="Arial" w:eastAsia="Calibri" w:hAnsi="Arial" w:cs="Arial"/>
          <w:bCs/>
          <w:i/>
          <w:sz w:val="24"/>
          <w:szCs w:val="24"/>
        </w:rPr>
      </w:pPr>
      <w:r w:rsidRPr="00676042">
        <w:rPr>
          <w:rFonts w:ascii="Arial" w:eastAsia="Calibri" w:hAnsi="Arial" w:cs="Arial"/>
          <w:bCs/>
          <w:i/>
          <w:sz w:val="24"/>
          <w:szCs w:val="24"/>
        </w:rPr>
        <w:t>III. Sean de difícil reparación los daños o perjuicios que se causen al solicitante con la ejecución del acto impugnado.”</w:t>
      </w:r>
    </w:p>
    <w:p w14:paraId="27190B9C" w14:textId="77777777" w:rsidR="00F30C9B" w:rsidRDefault="00F30C9B" w:rsidP="00F30C9B">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Como se ve, el artículo anterior permite el otorgamiento de la suspensión al peticionario, siempre que se conserve la materia del juicio, que no se contravenga el interés público y que sea de difícil reparación los daños o perjuicios que se causen si se ejecuta el acto impugnado.</w:t>
      </w:r>
    </w:p>
    <w:p w14:paraId="06DF1A7F" w14:textId="6CCE0B59" w:rsidR="00F30C9B" w:rsidRPr="00561573" w:rsidRDefault="00F30C9B" w:rsidP="00F30C9B">
      <w:pPr>
        <w:spacing w:before="240" w:line="360" w:lineRule="auto"/>
        <w:ind w:firstLine="708"/>
        <w:jc w:val="both"/>
        <w:rPr>
          <w:rFonts w:ascii="Arial" w:eastAsia="Calibri" w:hAnsi="Arial" w:cs="Arial"/>
          <w:bCs/>
          <w:i/>
          <w:iCs/>
          <w:sz w:val="26"/>
          <w:szCs w:val="26"/>
        </w:rPr>
      </w:pPr>
      <w:r>
        <w:rPr>
          <w:rFonts w:ascii="Arial" w:eastAsia="Calibri" w:hAnsi="Arial" w:cs="Arial"/>
          <w:bCs/>
          <w:sz w:val="26"/>
          <w:szCs w:val="26"/>
        </w:rPr>
        <w:t xml:space="preserve">En ese orden de ideas, se tiene que el ciudadano </w:t>
      </w:r>
      <w:r w:rsidR="00820EAF">
        <w:rPr>
          <w:rFonts w:ascii="Arial" w:eastAsia="Times New Roman" w:hAnsi="Arial" w:cs="Arial"/>
          <w:bCs/>
          <w:i/>
          <w:iCs/>
          <w:lang w:eastAsia="es-ES"/>
        </w:rPr>
        <w:t>************</w:t>
      </w:r>
      <w:r w:rsidR="00820EAF">
        <w:rPr>
          <w:rFonts w:ascii="Arial" w:eastAsia="Times New Roman" w:hAnsi="Arial" w:cs="Arial"/>
          <w:bCs/>
          <w:i/>
          <w:iCs/>
          <w:lang w:eastAsia="es-ES"/>
        </w:rPr>
        <w:t xml:space="preserve"> </w:t>
      </w:r>
      <w:r>
        <w:rPr>
          <w:rFonts w:ascii="Arial" w:eastAsia="Calibri" w:hAnsi="Arial" w:cs="Arial"/>
          <w:bCs/>
          <w:sz w:val="26"/>
          <w:szCs w:val="26"/>
        </w:rPr>
        <w:t xml:space="preserve">solicitó la suspensión provisional con efectos restitutorios, para el efecto de que no se le impidiera la prestación del servicio público de alquiler (taxi) en la localidad de Tlalixtac de Cabrera, Oaxaca, sin embargo, mediante el acuerdo recurrido de fecha veintitrés de octubre de dos mil diecinueve, la </w:t>
      </w:r>
      <w:r w:rsidRPr="00C03A4B">
        <w:rPr>
          <w:rFonts w:ascii="Arial" w:eastAsia="Calibri" w:hAnsi="Arial" w:cs="Arial"/>
          <w:bCs/>
          <w:i/>
          <w:iCs/>
          <w:sz w:val="26"/>
          <w:szCs w:val="26"/>
        </w:rPr>
        <w:t>A quo</w:t>
      </w:r>
      <w:r>
        <w:rPr>
          <w:rFonts w:ascii="Arial" w:eastAsia="Calibri" w:hAnsi="Arial" w:cs="Arial"/>
          <w:bCs/>
          <w:sz w:val="26"/>
          <w:szCs w:val="26"/>
        </w:rPr>
        <w:t xml:space="preserve"> determinó que no ha lugar a concederle la suspensión provisional porque de otorgarla, </w:t>
      </w:r>
      <w:r w:rsidRPr="00561573">
        <w:rPr>
          <w:rFonts w:ascii="Arial" w:eastAsia="Calibri" w:hAnsi="Arial" w:cs="Arial"/>
          <w:bCs/>
          <w:i/>
          <w:iCs/>
          <w:sz w:val="26"/>
          <w:szCs w:val="26"/>
        </w:rPr>
        <w:t>“se contravendrían disposiciones de orden público y se estaría sustituyendo a la autoridad administrativa en este caso al Director de Concesiones al otorgarle un derecho, respecto de una actividad que se encuentra debidamente regularizad</w:t>
      </w:r>
      <w:r>
        <w:rPr>
          <w:rFonts w:ascii="Arial" w:eastAsia="Calibri" w:hAnsi="Arial" w:cs="Arial"/>
          <w:bCs/>
          <w:i/>
          <w:iCs/>
          <w:sz w:val="26"/>
          <w:szCs w:val="26"/>
        </w:rPr>
        <w:t xml:space="preserve">a </w:t>
      </w:r>
      <w:r w:rsidRPr="00561573">
        <w:rPr>
          <w:rFonts w:ascii="Arial" w:eastAsia="Calibri" w:hAnsi="Arial" w:cs="Arial"/>
          <w:bCs/>
          <w:i/>
          <w:iCs/>
          <w:sz w:val="26"/>
          <w:szCs w:val="26"/>
        </w:rPr>
        <w:t>por autoridad competente; es decir, el servicio de taxi brindado a los usuarios estaría al margen de la ley poniendo en riesgo la salud del usuario y peatón, lo que imposibilitaría a la autoridad administrativa en determinado momento imponer alguna medida preventiva o sanción al concesionario que cometa un acto constitutivo de delito.”</w:t>
      </w:r>
    </w:p>
    <w:p w14:paraId="38081DCE" w14:textId="77777777" w:rsidR="00F30C9B" w:rsidRDefault="00F30C9B" w:rsidP="00F30C9B">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Esta Sala Superior estima que es acertado el criterio tomado por la Sala de primera instancia para negar la suspensión provisional en el caso que nos ocupa, atendiendo a lo siguiente:</w:t>
      </w:r>
    </w:p>
    <w:p w14:paraId="2A6C2CFF" w14:textId="77777777" w:rsidR="00F30C9B" w:rsidRPr="00881A4F" w:rsidRDefault="00F30C9B" w:rsidP="00F30C9B">
      <w:pPr>
        <w:spacing w:before="240" w:line="360" w:lineRule="auto"/>
        <w:ind w:firstLine="567"/>
        <w:jc w:val="both"/>
        <w:rPr>
          <w:rFonts w:ascii="Arial" w:eastAsia="Calibri" w:hAnsi="Arial" w:cs="Arial"/>
          <w:bCs/>
          <w:iCs/>
          <w:sz w:val="26"/>
          <w:szCs w:val="26"/>
        </w:rPr>
      </w:pPr>
      <w:r>
        <w:rPr>
          <w:rFonts w:ascii="Arial" w:eastAsia="Calibri" w:hAnsi="Arial" w:cs="Arial"/>
          <w:bCs/>
          <w:iCs/>
          <w:sz w:val="26"/>
          <w:szCs w:val="26"/>
        </w:rPr>
        <w:t>Para empezar, e</w:t>
      </w:r>
      <w:r w:rsidRPr="00881A4F">
        <w:rPr>
          <w:rFonts w:ascii="Arial" w:eastAsia="Calibri" w:hAnsi="Arial" w:cs="Arial"/>
          <w:bCs/>
          <w:iCs/>
          <w:sz w:val="26"/>
          <w:szCs w:val="26"/>
        </w:rPr>
        <w:t xml:space="preserve">l Pleno de la Suprema Corte de Justicia de la Nación, ha resuelto que </w:t>
      </w:r>
      <w:r w:rsidRPr="00881A4F">
        <w:rPr>
          <w:rFonts w:ascii="Arial" w:eastAsia="Calibri" w:hAnsi="Arial" w:cs="Arial"/>
          <w:bCs/>
          <w:i/>
          <w:sz w:val="26"/>
          <w:szCs w:val="26"/>
        </w:rPr>
        <w:t>“la suspensión de los actos reclamados participa de la naturaleza de una medida cautelar, cuyos presupuestos son la apariencia del buen derecho (</w:t>
      </w:r>
      <w:proofErr w:type="spellStart"/>
      <w:r w:rsidRPr="00881A4F">
        <w:rPr>
          <w:rFonts w:ascii="Arial" w:eastAsia="Calibri" w:hAnsi="Arial" w:cs="Arial"/>
          <w:bCs/>
          <w:i/>
          <w:sz w:val="26"/>
          <w:szCs w:val="26"/>
        </w:rPr>
        <w:t>fummus</w:t>
      </w:r>
      <w:proofErr w:type="spellEnd"/>
      <w:r w:rsidRPr="00881A4F">
        <w:rPr>
          <w:rFonts w:ascii="Arial" w:eastAsia="Calibri" w:hAnsi="Arial" w:cs="Arial"/>
          <w:bCs/>
          <w:i/>
          <w:sz w:val="26"/>
          <w:szCs w:val="26"/>
        </w:rPr>
        <w:t xml:space="preserve"> iuris </w:t>
      </w:r>
      <w:proofErr w:type="spellStart"/>
      <w:r w:rsidRPr="00881A4F">
        <w:rPr>
          <w:rFonts w:ascii="Arial" w:eastAsia="Calibri" w:hAnsi="Arial" w:cs="Arial"/>
          <w:bCs/>
          <w:i/>
          <w:sz w:val="26"/>
          <w:szCs w:val="26"/>
        </w:rPr>
        <w:t>bonnum</w:t>
      </w:r>
      <w:proofErr w:type="spellEnd"/>
      <w:r w:rsidRPr="00881A4F">
        <w:rPr>
          <w:rFonts w:ascii="Arial" w:eastAsia="Calibri" w:hAnsi="Arial" w:cs="Arial"/>
          <w:bCs/>
          <w:i/>
          <w:sz w:val="26"/>
          <w:szCs w:val="26"/>
        </w:rPr>
        <w:t>) y el peligro en la demora (</w:t>
      </w:r>
      <w:proofErr w:type="spellStart"/>
      <w:r w:rsidRPr="00881A4F">
        <w:rPr>
          <w:rFonts w:ascii="Arial" w:eastAsia="Calibri" w:hAnsi="Arial" w:cs="Arial"/>
          <w:bCs/>
          <w:i/>
          <w:sz w:val="26"/>
          <w:szCs w:val="26"/>
        </w:rPr>
        <w:t>periculum</w:t>
      </w:r>
      <w:proofErr w:type="spellEnd"/>
      <w:r w:rsidRPr="00881A4F">
        <w:rPr>
          <w:rFonts w:ascii="Arial" w:eastAsia="Calibri" w:hAnsi="Arial" w:cs="Arial"/>
          <w:bCs/>
          <w:i/>
          <w:sz w:val="26"/>
          <w:szCs w:val="26"/>
        </w:rPr>
        <w:t xml:space="preserve"> in mora)”</w:t>
      </w:r>
      <w:r>
        <w:rPr>
          <w:rStyle w:val="Refdenotaalpie"/>
          <w:rFonts w:ascii="Arial" w:eastAsia="Calibri" w:hAnsi="Arial" w:cs="Arial"/>
          <w:bCs/>
          <w:i/>
          <w:sz w:val="26"/>
          <w:szCs w:val="26"/>
        </w:rPr>
        <w:footnoteReference w:id="1"/>
      </w:r>
      <w:r w:rsidRPr="00881A4F">
        <w:rPr>
          <w:rFonts w:ascii="Arial" w:eastAsia="Calibri" w:hAnsi="Arial" w:cs="Arial"/>
          <w:bCs/>
          <w:i/>
          <w:sz w:val="26"/>
          <w:szCs w:val="26"/>
        </w:rPr>
        <w:t>.</w:t>
      </w:r>
      <w:r w:rsidRPr="00881A4F">
        <w:rPr>
          <w:rFonts w:ascii="Arial" w:eastAsia="Calibri" w:hAnsi="Arial" w:cs="Arial"/>
          <w:bCs/>
          <w:iCs/>
          <w:sz w:val="26"/>
          <w:szCs w:val="26"/>
        </w:rPr>
        <w:t xml:space="preserve"> En cuanto al requisito consistente en la </w:t>
      </w:r>
      <w:r w:rsidRPr="00881A4F">
        <w:rPr>
          <w:rFonts w:ascii="Arial" w:eastAsia="Calibri" w:hAnsi="Arial" w:cs="Arial"/>
          <w:bCs/>
          <w:iCs/>
          <w:sz w:val="26"/>
          <w:szCs w:val="26"/>
        </w:rPr>
        <w:lastRenderedPageBreak/>
        <w:t xml:space="preserve">apariencia del buen derecho, éste es un presupuesto que </w:t>
      </w:r>
      <w:r w:rsidRPr="00881A4F">
        <w:rPr>
          <w:rFonts w:ascii="Arial" w:eastAsia="Calibri" w:hAnsi="Arial" w:cs="Arial"/>
          <w:bCs/>
          <w:i/>
          <w:sz w:val="26"/>
          <w:szCs w:val="26"/>
        </w:rPr>
        <w:t>“condiciona la admisibilidad de la medida y apunta a una credibilidad objetiva y seria que descarte una pretensión manifiestamente infundada y temeraria o muy cuestionable, lo que se logra a través de un conocimiento superficial, dirigido a lograr una decisión de mera probabilidad respecto de la existencia del derecho discutido en el proceso”</w:t>
      </w:r>
      <w:r>
        <w:rPr>
          <w:rStyle w:val="Refdenotaalpie"/>
          <w:rFonts w:ascii="Arial" w:eastAsia="Calibri" w:hAnsi="Arial" w:cs="Arial"/>
          <w:bCs/>
          <w:i/>
          <w:sz w:val="26"/>
          <w:szCs w:val="26"/>
        </w:rPr>
        <w:footnoteReference w:id="2"/>
      </w:r>
      <w:r w:rsidRPr="00881A4F">
        <w:rPr>
          <w:rFonts w:ascii="Arial" w:eastAsia="Calibri" w:hAnsi="Arial" w:cs="Arial"/>
          <w:bCs/>
          <w:iCs/>
          <w:sz w:val="26"/>
          <w:szCs w:val="26"/>
        </w:rPr>
        <w:t>. Y el peligro en la demora “</w:t>
      </w:r>
      <w:r w:rsidRPr="008171A7">
        <w:rPr>
          <w:rFonts w:ascii="Arial" w:eastAsia="Calibri" w:hAnsi="Arial" w:cs="Arial"/>
          <w:bCs/>
          <w:i/>
          <w:sz w:val="26"/>
          <w:szCs w:val="26"/>
        </w:rPr>
        <w:t>consiste en la posible frustración de los derechos del pretendiente de la medida, que puede darse como consecuencia de la tardanza en el dictado de la resolución de fondo, aunque ésta fuere en sentido favorable”</w:t>
      </w:r>
      <w:r>
        <w:rPr>
          <w:rStyle w:val="Refdenotaalpie"/>
          <w:rFonts w:ascii="Arial" w:eastAsia="Calibri" w:hAnsi="Arial" w:cs="Arial"/>
          <w:bCs/>
          <w:i/>
          <w:sz w:val="26"/>
          <w:szCs w:val="26"/>
        </w:rPr>
        <w:footnoteReference w:id="3"/>
      </w:r>
      <w:r w:rsidRPr="008171A7">
        <w:rPr>
          <w:rFonts w:ascii="Arial" w:eastAsia="Calibri" w:hAnsi="Arial" w:cs="Arial"/>
          <w:bCs/>
          <w:i/>
          <w:sz w:val="26"/>
          <w:szCs w:val="26"/>
        </w:rPr>
        <w:t>.</w:t>
      </w:r>
    </w:p>
    <w:p w14:paraId="1306FF37" w14:textId="64FC7FC1" w:rsidR="00F30C9B" w:rsidRDefault="00F30C9B" w:rsidP="00F30C9B">
      <w:pPr>
        <w:spacing w:before="240" w:line="360" w:lineRule="auto"/>
        <w:ind w:firstLine="708"/>
        <w:jc w:val="both"/>
        <w:rPr>
          <w:rFonts w:ascii="Arial" w:eastAsia="Calibri" w:hAnsi="Arial" w:cs="Arial"/>
          <w:bCs/>
          <w:iCs/>
          <w:sz w:val="26"/>
          <w:szCs w:val="26"/>
        </w:rPr>
      </w:pPr>
      <w:r w:rsidRPr="00881A4F">
        <w:rPr>
          <w:rFonts w:ascii="Arial" w:eastAsia="Calibri" w:hAnsi="Arial" w:cs="Arial"/>
          <w:bCs/>
          <w:iCs/>
          <w:sz w:val="26"/>
          <w:szCs w:val="26"/>
        </w:rPr>
        <w:t>Ahora bien, la ponderación de la apariencia del buen derecho se aplica al propio acto impugnado, y dicho requisito aplicado a la suspensión solicitada implica que, para la concesión de la medida, sin dejar de observar los requisitos contenidos en el artículo 215 de la Ley de Procedimiento y Justicia Administrativa para el Estado de Oaxaca, basta la comprobación de la apariencia del derecho invocado por el quejoso</w:t>
      </w:r>
      <w:r>
        <w:rPr>
          <w:rFonts w:ascii="Arial" w:eastAsia="Calibri" w:hAnsi="Arial" w:cs="Arial"/>
          <w:bCs/>
          <w:iCs/>
          <w:sz w:val="26"/>
          <w:szCs w:val="26"/>
        </w:rPr>
        <w:t xml:space="preserve">, requisito que no fue cumplido por el actor ya que no acreditó su derecho vigente en el juicio natural. Ello, porque como se desprende del contenido del escrito inicial de demanda, que forma parte de las constancias procesales que integran el expediente en el juicio natural, a las cuales el artículo </w:t>
      </w:r>
      <w:r w:rsidRPr="00A24868">
        <w:rPr>
          <w:rFonts w:ascii="Arial" w:eastAsia="Calibri" w:hAnsi="Arial" w:cs="Arial"/>
          <w:bCs/>
          <w:iCs/>
          <w:sz w:val="26"/>
          <w:szCs w:val="26"/>
        </w:rPr>
        <w:t>203</w:t>
      </w:r>
      <w:r>
        <w:rPr>
          <w:rStyle w:val="Refdenotaalpie"/>
          <w:rFonts w:ascii="Arial" w:eastAsia="Calibri" w:hAnsi="Arial" w:cs="Arial"/>
          <w:bCs/>
          <w:iCs/>
          <w:sz w:val="26"/>
          <w:szCs w:val="26"/>
        </w:rPr>
        <w:footnoteReference w:id="4"/>
      </w:r>
      <w:r w:rsidRPr="00A24868">
        <w:rPr>
          <w:rFonts w:ascii="Arial" w:eastAsia="Calibri" w:hAnsi="Arial" w:cs="Arial"/>
          <w:bCs/>
          <w:iCs/>
          <w:sz w:val="26"/>
          <w:szCs w:val="26"/>
        </w:rPr>
        <w:t xml:space="preserve"> de la Ley de Procedimiento y Justicia Administr</w:t>
      </w:r>
      <w:r>
        <w:rPr>
          <w:rFonts w:ascii="Arial" w:eastAsia="Calibri" w:hAnsi="Arial" w:cs="Arial"/>
          <w:bCs/>
          <w:iCs/>
          <w:sz w:val="26"/>
          <w:szCs w:val="26"/>
        </w:rPr>
        <w:t>a</w:t>
      </w:r>
      <w:r w:rsidRPr="00A24868">
        <w:rPr>
          <w:rFonts w:ascii="Arial" w:eastAsia="Calibri" w:hAnsi="Arial" w:cs="Arial"/>
          <w:bCs/>
          <w:iCs/>
          <w:sz w:val="26"/>
          <w:szCs w:val="26"/>
        </w:rPr>
        <w:t>tiva para el Estado de Oaxaca</w:t>
      </w:r>
      <w:r>
        <w:rPr>
          <w:rFonts w:ascii="Arial" w:eastAsia="Calibri" w:hAnsi="Arial" w:cs="Arial"/>
          <w:bCs/>
          <w:iCs/>
          <w:sz w:val="26"/>
          <w:szCs w:val="26"/>
        </w:rPr>
        <w:t xml:space="preserve"> les concede valor probatorio pleno, el actor manifestó que su derecho como concesionario ya no estaba vigente, porque la concesión con número de acuerdo </w:t>
      </w:r>
      <w:r w:rsidR="00820EAF">
        <w:rPr>
          <w:rFonts w:ascii="Arial" w:eastAsia="Times New Roman" w:hAnsi="Arial" w:cs="Arial"/>
          <w:bCs/>
          <w:i/>
          <w:iCs/>
          <w:lang w:eastAsia="es-ES"/>
        </w:rPr>
        <w:t>************</w:t>
      </w:r>
      <w:r w:rsidR="00820EAF">
        <w:rPr>
          <w:rFonts w:ascii="Arial" w:eastAsia="Times New Roman" w:hAnsi="Arial" w:cs="Arial"/>
          <w:bCs/>
          <w:i/>
          <w:iCs/>
          <w:lang w:eastAsia="es-ES"/>
        </w:rPr>
        <w:t xml:space="preserve">  </w:t>
      </w:r>
      <w:r>
        <w:rPr>
          <w:rFonts w:ascii="Arial" w:eastAsia="Calibri" w:hAnsi="Arial" w:cs="Arial"/>
          <w:bCs/>
          <w:iCs/>
          <w:sz w:val="26"/>
          <w:szCs w:val="26"/>
        </w:rPr>
        <w:t>para la prestación del servicio público de alquiler en la modalidad de taxi, en la localidad de Tlalixtac de Cabrera, tuvo su vencimiento con fecha treinta de noviembre de dos mil quince, y en ese sentido, es pertinente señalar que el artículo 108</w:t>
      </w:r>
      <w:r>
        <w:rPr>
          <w:rStyle w:val="Refdenotaalpie"/>
          <w:rFonts w:ascii="Arial" w:eastAsia="Calibri" w:hAnsi="Arial" w:cs="Arial"/>
          <w:bCs/>
          <w:iCs/>
          <w:sz w:val="26"/>
          <w:szCs w:val="26"/>
        </w:rPr>
        <w:footnoteReference w:id="5"/>
      </w:r>
      <w:r>
        <w:rPr>
          <w:rFonts w:ascii="Arial" w:eastAsia="Calibri" w:hAnsi="Arial" w:cs="Arial"/>
          <w:bCs/>
          <w:iCs/>
          <w:sz w:val="26"/>
          <w:szCs w:val="26"/>
        </w:rPr>
        <w:t xml:space="preserve"> de la Ley de Movilidad para el Estado de </w:t>
      </w:r>
      <w:r>
        <w:rPr>
          <w:rFonts w:ascii="Arial" w:eastAsia="Calibri" w:hAnsi="Arial" w:cs="Arial"/>
          <w:bCs/>
          <w:iCs/>
          <w:sz w:val="26"/>
          <w:szCs w:val="26"/>
        </w:rPr>
        <w:lastRenderedPageBreak/>
        <w:t>Oaxaca, establece que para prestar el servicio público de transporte se requiere de una concesión otorgada por el Gobernador del Estado o por la Secretaría, y dispone que la concesión estará sujeta a su renovación cada cinco años.</w:t>
      </w:r>
    </w:p>
    <w:p w14:paraId="0E79ACE3" w14:textId="77777777" w:rsidR="00F30C9B" w:rsidRDefault="00F30C9B" w:rsidP="00F30C9B">
      <w:pPr>
        <w:spacing w:before="240" w:line="360" w:lineRule="auto"/>
        <w:ind w:firstLine="708"/>
        <w:jc w:val="both"/>
        <w:rPr>
          <w:rFonts w:ascii="Arial" w:eastAsia="Calibri" w:hAnsi="Arial" w:cs="Arial"/>
          <w:bCs/>
          <w:iCs/>
          <w:sz w:val="26"/>
          <w:szCs w:val="26"/>
        </w:rPr>
      </w:pPr>
      <w:r>
        <w:rPr>
          <w:rFonts w:ascii="Arial" w:eastAsia="Calibri" w:hAnsi="Arial" w:cs="Arial"/>
          <w:bCs/>
          <w:iCs/>
          <w:sz w:val="26"/>
          <w:szCs w:val="26"/>
        </w:rPr>
        <w:t xml:space="preserve">Por lo tanto, si el recurrente promovió el juicio de nulidad ostentándose como concesionario, para acreditar el interés jurídico que dice tener, </w:t>
      </w:r>
      <w:r w:rsidRPr="004F4F52">
        <w:rPr>
          <w:rFonts w:ascii="Arial" w:hAnsi="Arial" w:cs="Arial"/>
          <w:sz w:val="26"/>
          <w:szCs w:val="26"/>
        </w:rPr>
        <w:t xml:space="preserve">necesariamente debía exhibir el título de concesión que lo identificara con esa calidad o, en su defecto, algún otro documento que evidenciara el derecho subjetivo </w:t>
      </w:r>
      <w:r>
        <w:rPr>
          <w:rFonts w:ascii="Arial" w:hAnsi="Arial" w:cs="Arial"/>
          <w:sz w:val="26"/>
          <w:szCs w:val="26"/>
        </w:rPr>
        <w:t xml:space="preserve">otorgado </w:t>
      </w:r>
      <w:r w:rsidRPr="004F4F52">
        <w:rPr>
          <w:rFonts w:ascii="Arial" w:hAnsi="Arial" w:cs="Arial"/>
          <w:sz w:val="26"/>
          <w:szCs w:val="26"/>
        </w:rPr>
        <w:t xml:space="preserve">a su favor como concesionario para instar en el juicio de </w:t>
      </w:r>
      <w:r>
        <w:rPr>
          <w:rFonts w:ascii="Arial" w:hAnsi="Arial" w:cs="Arial"/>
          <w:sz w:val="26"/>
          <w:szCs w:val="26"/>
        </w:rPr>
        <w:t xml:space="preserve">nulidad, tal como lo establece el artículo 108 </w:t>
      </w:r>
      <w:r>
        <w:rPr>
          <w:rFonts w:ascii="Arial" w:eastAsia="Calibri" w:hAnsi="Arial" w:cs="Arial"/>
          <w:bCs/>
          <w:iCs/>
          <w:sz w:val="26"/>
          <w:szCs w:val="26"/>
        </w:rPr>
        <w:t>de la Ley de Movilidad para el Estado de Oaxaca antes invocado, lo que no aconteció en el presente asunto, en tal virtud, el demandante no comprobó su derecho, y tampoco acreditó su interés jurídico.</w:t>
      </w:r>
    </w:p>
    <w:p w14:paraId="6CEA3403" w14:textId="77777777" w:rsidR="00F30C9B" w:rsidRDefault="00F30C9B" w:rsidP="00F30C9B">
      <w:pPr>
        <w:spacing w:before="240" w:line="360" w:lineRule="auto"/>
        <w:ind w:firstLine="708"/>
        <w:jc w:val="both"/>
        <w:rPr>
          <w:rFonts w:ascii="Arial" w:eastAsia="Calibri" w:hAnsi="Arial" w:cs="Arial"/>
          <w:bCs/>
          <w:iCs/>
          <w:sz w:val="26"/>
          <w:szCs w:val="26"/>
        </w:rPr>
      </w:pPr>
      <w:r>
        <w:rPr>
          <w:rFonts w:ascii="Arial" w:eastAsia="Calibri" w:hAnsi="Arial" w:cs="Arial"/>
          <w:bCs/>
          <w:iCs/>
          <w:sz w:val="26"/>
          <w:szCs w:val="26"/>
        </w:rPr>
        <w:t xml:space="preserve">En apoyo a lo anterior, se invoca la </w:t>
      </w:r>
      <w:r w:rsidRPr="00CF6F5A">
        <w:rPr>
          <w:rFonts w:ascii="Arial" w:eastAsia="Calibri" w:hAnsi="Arial" w:cs="Arial"/>
          <w:bCs/>
          <w:iCs/>
          <w:sz w:val="26"/>
          <w:szCs w:val="26"/>
        </w:rPr>
        <w:t>Jurisprudencia XI.1o.A.T. J/2 (10a.)</w:t>
      </w:r>
      <w:r>
        <w:rPr>
          <w:rFonts w:ascii="Arial" w:eastAsia="Calibri" w:hAnsi="Arial" w:cs="Arial"/>
          <w:bCs/>
          <w:iCs/>
          <w:sz w:val="26"/>
          <w:szCs w:val="26"/>
        </w:rPr>
        <w:t>, con número de r</w:t>
      </w:r>
      <w:r w:rsidRPr="00CF6F5A">
        <w:rPr>
          <w:rFonts w:ascii="Arial" w:eastAsia="Calibri" w:hAnsi="Arial" w:cs="Arial"/>
          <w:bCs/>
          <w:iCs/>
          <w:sz w:val="26"/>
          <w:szCs w:val="26"/>
        </w:rPr>
        <w:t>egistro</w:t>
      </w:r>
      <w:r>
        <w:rPr>
          <w:rFonts w:ascii="Arial" w:eastAsia="Calibri" w:hAnsi="Arial" w:cs="Arial"/>
          <w:bCs/>
          <w:iCs/>
          <w:sz w:val="26"/>
          <w:szCs w:val="26"/>
        </w:rPr>
        <w:t xml:space="preserve"> </w:t>
      </w:r>
      <w:r w:rsidRPr="00CF6F5A">
        <w:rPr>
          <w:rFonts w:ascii="Arial" w:eastAsia="Calibri" w:hAnsi="Arial" w:cs="Arial"/>
          <w:bCs/>
          <w:iCs/>
          <w:sz w:val="26"/>
          <w:szCs w:val="26"/>
        </w:rPr>
        <w:t>2005266</w:t>
      </w:r>
      <w:r>
        <w:rPr>
          <w:rFonts w:ascii="Arial" w:eastAsia="Calibri" w:hAnsi="Arial" w:cs="Arial"/>
          <w:bCs/>
          <w:iCs/>
          <w:sz w:val="26"/>
          <w:szCs w:val="26"/>
        </w:rPr>
        <w:t xml:space="preserve">, emitida por los </w:t>
      </w:r>
      <w:r w:rsidRPr="00CF6F5A">
        <w:rPr>
          <w:rFonts w:ascii="Arial" w:eastAsia="Calibri" w:hAnsi="Arial" w:cs="Arial"/>
          <w:bCs/>
          <w:iCs/>
          <w:sz w:val="26"/>
          <w:szCs w:val="26"/>
        </w:rPr>
        <w:t>Tribunales Colegiados de Circuito</w:t>
      </w:r>
      <w:r>
        <w:rPr>
          <w:rFonts w:ascii="Arial" w:eastAsia="Calibri" w:hAnsi="Arial" w:cs="Arial"/>
          <w:bCs/>
          <w:iCs/>
          <w:sz w:val="26"/>
          <w:szCs w:val="26"/>
        </w:rPr>
        <w:t xml:space="preserve">, perteneciente a la </w:t>
      </w:r>
      <w:r w:rsidRPr="00CF6F5A">
        <w:rPr>
          <w:rFonts w:ascii="Arial" w:eastAsia="Calibri" w:hAnsi="Arial" w:cs="Arial"/>
          <w:bCs/>
          <w:iCs/>
          <w:sz w:val="26"/>
          <w:szCs w:val="26"/>
        </w:rPr>
        <w:t>Décima Época</w:t>
      </w:r>
      <w:r>
        <w:rPr>
          <w:rFonts w:ascii="Arial" w:eastAsia="Calibri" w:hAnsi="Arial" w:cs="Arial"/>
          <w:bCs/>
          <w:iCs/>
          <w:sz w:val="26"/>
          <w:szCs w:val="26"/>
        </w:rPr>
        <w:t xml:space="preserve">, visible en la </w:t>
      </w:r>
      <w:r w:rsidRPr="00CF6F5A">
        <w:rPr>
          <w:rFonts w:ascii="Arial" w:eastAsia="Calibri" w:hAnsi="Arial" w:cs="Arial"/>
          <w:bCs/>
          <w:iCs/>
          <w:sz w:val="26"/>
          <w:szCs w:val="26"/>
        </w:rPr>
        <w:t>Gaceta del Semanario Judicial de la Federación</w:t>
      </w:r>
      <w:r>
        <w:rPr>
          <w:rFonts w:ascii="Arial" w:eastAsia="Calibri" w:hAnsi="Arial" w:cs="Arial"/>
          <w:bCs/>
          <w:iCs/>
          <w:sz w:val="26"/>
          <w:szCs w:val="26"/>
        </w:rPr>
        <w:t xml:space="preserve">, </w:t>
      </w:r>
      <w:r w:rsidRPr="00CF6F5A">
        <w:rPr>
          <w:rFonts w:ascii="Arial" w:eastAsia="Calibri" w:hAnsi="Arial" w:cs="Arial"/>
          <w:bCs/>
          <w:iCs/>
          <w:sz w:val="26"/>
          <w:szCs w:val="26"/>
        </w:rPr>
        <w:t xml:space="preserve">Libro 2, </w:t>
      </w:r>
      <w:proofErr w:type="gramStart"/>
      <w:r w:rsidRPr="00CF6F5A">
        <w:rPr>
          <w:rFonts w:ascii="Arial" w:eastAsia="Calibri" w:hAnsi="Arial" w:cs="Arial"/>
          <w:bCs/>
          <w:iCs/>
          <w:sz w:val="26"/>
          <w:szCs w:val="26"/>
        </w:rPr>
        <w:t>Enero</w:t>
      </w:r>
      <w:proofErr w:type="gramEnd"/>
      <w:r w:rsidRPr="00CF6F5A">
        <w:rPr>
          <w:rFonts w:ascii="Arial" w:eastAsia="Calibri" w:hAnsi="Arial" w:cs="Arial"/>
          <w:bCs/>
          <w:iCs/>
          <w:sz w:val="26"/>
          <w:szCs w:val="26"/>
        </w:rPr>
        <w:t xml:space="preserve"> de 2014, Tomo IV</w:t>
      </w:r>
      <w:r>
        <w:rPr>
          <w:rFonts w:ascii="Arial" w:eastAsia="Calibri" w:hAnsi="Arial" w:cs="Arial"/>
          <w:bCs/>
          <w:iCs/>
          <w:sz w:val="26"/>
          <w:szCs w:val="26"/>
        </w:rPr>
        <w:t xml:space="preserve">, </w:t>
      </w:r>
      <w:r w:rsidRPr="00CF6F5A">
        <w:rPr>
          <w:rFonts w:ascii="Arial" w:eastAsia="Calibri" w:hAnsi="Arial" w:cs="Arial"/>
          <w:bCs/>
          <w:iCs/>
          <w:sz w:val="26"/>
          <w:szCs w:val="26"/>
        </w:rPr>
        <w:t>Página: 2678</w:t>
      </w:r>
      <w:r>
        <w:rPr>
          <w:rFonts w:ascii="Arial" w:eastAsia="Calibri" w:hAnsi="Arial" w:cs="Arial"/>
          <w:bCs/>
          <w:iCs/>
          <w:sz w:val="26"/>
          <w:szCs w:val="26"/>
        </w:rPr>
        <w:t>, de rubro y texto siguientes:</w:t>
      </w:r>
    </w:p>
    <w:p w14:paraId="6FDA5617" w14:textId="77777777" w:rsidR="00F30C9B" w:rsidRPr="001041D7" w:rsidRDefault="00F30C9B" w:rsidP="006A3B22">
      <w:pPr>
        <w:spacing w:before="240" w:line="240" w:lineRule="auto"/>
        <w:ind w:left="567" w:right="616"/>
        <w:jc w:val="both"/>
        <w:rPr>
          <w:rFonts w:ascii="Arial" w:eastAsia="Calibri" w:hAnsi="Arial" w:cs="Arial"/>
          <w:b/>
          <w:i/>
        </w:rPr>
      </w:pPr>
      <w:r w:rsidRPr="001041D7">
        <w:rPr>
          <w:rFonts w:ascii="Arial" w:eastAsia="Calibri" w:hAnsi="Arial" w:cs="Arial"/>
          <w:b/>
          <w:i/>
        </w:rPr>
        <w:t>“INTERÉS JURÍDICO EN EL AMPARO. CARECE DE ÉL QUIEN SE OSTENTA CONCESIONARIO DEL SERVICIO PÚBLICO DE TRANSPORTE, PERO NO EXHIBE EL TÍTULO DE CONCESIÓN CORRESPONDIENTE O ALGÚN OTRO DOCUMENTO QUE EVIDENCIE JURÍDICAMENTE EL DERECHO SUBJETIVO CONSAGRADO EN SU FAVOR (LEGISLACIÓN DEL ESTADO DE MICHOACÁN).</w:t>
      </w:r>
    </w:p>
    <w:p w14:paraId="2625AC10" w14:textId="77777777" w:rsidR="00F30C9B" w:rsidRPr="001041D7" w:rsidRDefault="00F30C9B" w:rsidP="006A3B22">
      <w:pPr>
        <w:spacing w:before="240" w:line="240" w:lineRule="auto"/>
        <w:ind w:left="567" w:right="616"/>
        <w:jc w:val="both"/>
        <w:rPr>
          <w:rFonts w:ascii="Arial" w:eastAsia="Calibri" w:hAnsi="Arial" w:cs="Arial"/>
          <w:bCs/>
          <w:i/>
        </w:rPr>
      </w:pPr>
      <w:r w:rsidRPr="001041D7">
        <w:rPr>
          <w:rFonts w:ascii="Arial" w:eastAsia="Calibri" w:hAnsi="Arial" w:cs="Arial"/>
          <w:bCs/>
          <w:i/>
        </w:rPr>
        <w:t>Si una persona se ostenta como concesionaria del servicio público de transporte en el Estado de Michoacán, para acreditar su interés jurídico -no legítimo- en el amparo, es necesario que exhiba el título de concesión que la identifica precisamente con esa calidad, y aun cuando fuera materialmente imposible exhibir el título, es necesario algún otro documento que evidencie jurídicamente el derecho subjetivo consagrado en su favor, como puede ser alguna prueba que llevara al conocimiento de que se verificó el procedimiento que culminó con la resolución del titular del Poder Ejecutivo de dicha entidad, en la que acordó favorable la solicitud que, en su momento, formuló, conforme al artículo 19 del Reglamento de la Ley de Comunicaciones y Transportes del Estado, o con diversa constancia expedida por la autoridad administrativa competente, en la que se certifiquen aquella calidad y los términos de la concesión, de acuerdo con el artículo 107, fracción I, de la Constitución Política de los Estados Unidos Mexicanos, que establece que el juicio de amparo se seguirá siempre a instancia de parte agraviada.</w:t>
      </w:r>
    </w:p>
    <w:p w14:paraId="0E46B775" w14:textId="77777777" w:rsidR="00F30C9B" w:rsidRPr="001041D7" w:rsidRDefault="00F30C9B" w:rsidP="006A3B22">
      <w:pPr>
        <w:spacing w:before="240" w:line="240" w:lineRule="auto"/>
        <w:ind w:left="567" w:right="616"/>
        <w:jc w:val="both"/>
        <w:rPr>
          <w:rFonts w:ascii="Arial" w:eastAsia="Calibri" w:hAnsi="Arial" w:cs="Arial"/>
          <w:bCs/>
          <w:i/>
        </w:rPr>
      </w:pPr>
      <w:r w:rsidRPr="001041D7">
        <w:rPr>
          <w:rFonts w:ascii="Arial" w:eastAsia="Calibri" w:hAnsi="Arial" w:cs="Arial"/>
          <w:bCs/>
          <w:i/>
        </w:rPr>
        <w:lastRenderedPageBreak/>
        <w:t>PRIMER TRIBUNAL COLEGIADO EN MATERIAS ADMINISTRATIVA Y DE TRABAJO DEL DÉCIMO PRIMER CIRCUITO.”</w:t>
      </w:r>
    </w:p>
    <w:p w14:paraId="49F8CE95" w14:textId="4E22639C" w:rsidR="00F30C9B" w:rsidRDefault="00F30C9B" w:rsidP="00F30C9B">
      <w:pPr>
        <w:spacing w:before="240" w:line="360" w:lineRule="auto"/>
        <w:ind w:right="49"/>
        <w:jc w:val="both"/>
        <w:rPr>
          <w:rFonts w:ascii="Arial" w:eastAsia="Calibri" w:hAnsi="Arial" w:cs="Arial"/>
          <w:bCs/>
          <w:iCs/>
          <w:sz w:val="26"/>
          <w:szCs w:val="26"/>
        </w:rPr>
      </w:pPr>
      <w:r>
        <w:rPr>
          <w:rFonts w:ascii="Arial" w:eastAsia="Calibri" w:hAnsi="Arial" w:cs="Arial"/>
          <w:bCs/>
          <w:iCs/>
          <w:sz w:val="26"/>
          <w:szCs w:val="26"/>
        </w:rPr>
        <w:tab/>
        <w:t xml:space="preserve">De lo anterior, se colige que fue correcta la interpretación y aplicación que la </w:t>
      </w:r>
      <w:r w:rsidRPr="005E2964">
        <w:rPr>
          <w:rFonts w:ascii="Arial" w:eastAsia="Calibri" w:hAnsi="Arial" w:cs="Arial"/>
          <w:bCs/>
          <w:i/>
          <w:sz w:val="26"/>
          <w:szCs w:val="26"/>
        </w:rPr>
        <w:t>A quo</w:t>
      </w:r>
      <w:r>
        <w:rPr>
          <w:rFonts w:ascii="Arial" w:eastAsia="Calibri" w:hAnsi="Arial" w:cs="Arial"/>
          <w:bCs/>
          <w:iCs/>
          <w:sz w:val="26"/>
          <w:szCs w:val="26"/>
        </w:rPr>
        <w:t xml:space="preserve"> hizo del artículo 215 de la Ley de Procedimiento y Justicia Administrativa para el Estado de Oaxaca, ya que la medida cautelar solicitada no puede tener por objeto proteger un derecho que no se haya tenido previamente a la presentación de la demanda, como lo pretende el recurrente en este caso, ya que el derecho que le otorgaría el título de concesión </w:t>
      </w:r>
      <w:r w:rsidR="00820EAF">
        <w:rPr>
          <w:rFonts w:ascii="Arial" w:eastAsia="Times New Roman" w:hAnsi="Arial" w:cs="Arial"/>
          <w:bCs/>
          <w:i/>
          <w:iCs/>
          <w:lang w:eastAsia="es-ES"/>
        </w:rPr>
        <w:t>************</w:t>
      </w:r>
      <w:r>
        <w:rPr>
          <w:rFonts w:ascii="Arial" w:eastAsia="Calibri" w:hAnsi="Arial" w:cs="Arial"/>
          <w:bCs/>
          <w:iCs/>
          <w:sz w:val="26"/>
          <w:szCs w:val="26"/>
        </w:rPr>
        <w:t>, cuya copia simple exhibió con su demanda de nulidad, carece de vigencia, y tampoco presentó documentos que evidencien que le asiste el derecho subjetivo otorgado a su favor como concesionario para la prestación del servicio de transporte público de alquiler en la modalidad de taxi.</w:t>
      </w:r>
    </w:p>
    <w:p w14:paraId="691A041E" w14:textId="77777777" w:rsidR="00F30C9B" w:rsidRDefault="00F30C9B" w:rsidP="00F30C9B">
      <w:pPr>
        <w:spacing w:before="240" w:line="360" w:lineRule="auto"/>
        <w:ind w:right="49"/>
        <w:jc w:val="both"/>
        <w:rPr>
          <w:rFonts w:ascii="Arial" w:eastAsia="Calibri" w:hAnsi="Arial" w:cs="Arial"/>
          <w:bCs/>
          <w:iCs/>
          <w:sz w:val="26"/>
          <w:szCs w:val="26"/>
        </w:rPr>
      </w:pPr>
      <w:r>
        <w:rPr>
          <w:rFonts w:ascii="Arial" w:eastAsia="Calibri" w:hAnsi="Arial" w:cs="Arial"/>
          <w:bCs/>
          <w:iCs/>
          <w:sz w:val="26"/>
          <w:szCs w:val="26"/>
        </w:rPr>
        <w:tab/>
        <w:t>Aunado a lo anterior, el artículo 85 de la Ley de Movilidad para el Estado de Oaxaca dispone lo siguiente:</w:t>
      </w:r>
    </w:p>
    <w:p w14:paraId="261CD282" w14:textId="77777777" w:rsidR="00F30C9B" w:rsidRPr="007A6C61" w:rsidRDefault="00F30C9B" w:rsidP="00F30C9B">
      <w:pPr>
        <w:spacing w:before="240" w:line="360" w:lineRule="auto"/>
        <w:ind w:left="567" w:right="616"/>
        <w:jc w:val="both"/>
        <w:rPr>
          <w:rFonts w:ascii="Arial" w:eastAsia="Calibri" w:hAnsi="Arial" w:cs="Arial"/>
          <w:bCs/>
          <w:i/>
        </w:rPr>
      </w:pPr>
      <w:r w:rsidRPr="007A6C61">
        <w:rPr>
          <w:rFonts w:ascii="Arial" w:eastAsia="Calibri" w:hAnsi="Arial" w:cs="Arial"/>
          <w:bCs/>
          <w:i/>
        </w:rPr>
        <w:t>“</w:t>
      </w:r>
      <w:r w:rsidRPr="007A6C61">
        <w:rPr>
          <w:rFonts w:ascii="Arial" w:eastAsia="Calibri" w:hAnsi="Arial" w:cs="Arial"/>
          <w:b/>
          <w:i/>
        </w:rPr>
        <w:t>Artículo 85.</w:t>
      </w:r>
      <w:r w:rsidRPr="007A6C61">
        <w:rPr>
          <w:rFonts w:ascii="Arial" w:eastAsia="Calibri" w:hAnsi="Arial" w:cs="Arial"/>
          <w:bCs/>
          <w:i/>
        </w:rPr>
        <w:t xml:space="preserve"> Quienes presten el servicio público de transporte quedan sujetos al cumplimiento de la presente Ley, su reglamento, así como de las normas técnicas y de operación que determine la Secretaría.”</w:t>
      </w:r>
    </w:p>
    <w:p w14:paraId="3AC49660" w14:textId="19E2CD95" w:rsidR="00F30C9B" w:rsidRDefault="00F30C9B" w:rsidP="00F30C9B">
      <w:pPr>
        <w:spacing w:before="240" w:line="360" w:lineRule="auto"/>
        <w:ind w:right="49" w:firstLine="567"/>
        <w:jc w:val="both"/>
        <w:rPr>
          <w:rFonts w:ascii="Arial" w:eastAsia="Calibri" w:hAnsi="Arial" w:cs="Arial"/>
          <w:bCs/>
          <w:iCs/>
          <w:sz w:val="26"/>
          <w:szCs w:val="26"/>
        </w:rPr>
      </w:pPr>
      <w:r>
        <w:rPr>
          <w:rFonts w:ascii="Arial" w:eastAsia="Calibri" w:hAnsi="Arial" w:cs="Arial"/>
          <w:bCs/>
          <w:iCs/>
          <w:sz w:val="26"/>
          <w:szCs w:val="26"/>
        </w:rPr>
        <w:t xml:space="preserve">El precepto legal supra citado indica que el servicio público concesionado se encuentra regulado por la Ley de Movilidad para el Estado de Oaxaca y su reglamento, y tomando en cuenta lo anterior, la prestación de dicho servicio debe llevarse a cabo en estricta observancia de las normas mencionadas, por lo tanto, es requisito indispensable que para prestar el servicio público de transporte, la concesión de que se trate se encuentre vigente, y en este caso, al ser materia del fondo del asunto la renovación de la concesión, fue acertado que la </w:t>
      </w:r>
      <w:r w:rsidRPr="002210D8">
        <w:rPr>
          <w:rFonts w:ascii="Arial" w:eastAsia="Calibri" w:hAnsi="Arial" w:cs="Arial"/>
          <w:bCs/>
          <w:i/>
          <w:sz w:val="26"/>
          <w:szCs w:val="26"/>
        </w:rPr>
        <w:t>A quo</w:t>
      </w:r>
      <w:r>
        <w:rPr>
          <w:rFonts w:ascii="Arial" w:eastAsia="Calibri" w:hAnsi="Arial" w:cs="Arial"/>
          <w:bCs/>
          <w:iCs/>
          <w:sz w:val="26"/>
          <w:szCs w:val="26"/>
        </w:rPr>
        <w:t xml:space="preserve"> negara la suspensión provisional, porque de haberlo hecho, se contravendrían las disposiciones de orden público ya referidas, y se causaría perjuicio a la sociedad, pues ante esas circunstancias se estaría propiciando que cualquier persona pueda prestar el servicio público de transporte sin contar con la concesión correspondiente, y dado que la prestación del servicio público de transporte es una actividad reglamentada, que debe garantizar un servicio óptimo y seguro a los usuarios, ejecutado bajo el amparo de una concesión debidamente expedida o renovada según sea el caso; por lo que, si se le otorgara al actor </w:t>
      </w:r>
      <w:r w:rsidR="00820EAF">
        <w:rPr>
          <w:rFonts w:ascii="Arial" w:eastAsia="Times New Roman" w:hAnsi="Arial" w:cs="Arial"/>
          <w:bCs/>
          <w:i/>
          <w:iCs/>
          <w:lang w:eastAsia="es-ES"/>
        </w:rPr>
        <w:t>************</w:t>
      </w:r>
      <w:r w:rsidR="00820EAF">
        <w:rPr>
          <w:rFonts w:ascii="Arial" w:eastAsia="Times New Roman" w:hAnsi="Arial" w:cs="Arial"/>
          <w:bCs/>
          <w:i/>
          <w:iCs/>
          <w:lang w:eastAsia="es-ES"/>
        </w:rPr>
        <w:t xml:space="preserve"> </w:t>
      </w:r>
      <w:r>
        <w:rPr>
          <w:rFonts w:ascii="Arial" w:eastAsia="Calibri" w:hAnsi="Arial" w:cs="Arial"/>
          <w:bCs/>
          <w:iCs/>
          <w:sz w:val="26"/>
          <w:szCs w:val="26"/>
        </w:rPr>
        <w:t xml:space="preserve">la suspensión provisional, </w:t>
      </w:r>
      <w:r w:rsidR="00AA6400">
        <w:rPr>
          <w:rFonts w:ascii="Arial" w:eastAsia="Calibri" w:hAnsi="Arial" w:cs="Arial"/>
          <w:bCs/>
          <w:iCs/>
          <w:sz w:val="26"/>
          <w:szCs w:val="26"/>
        </w:rPr>
        <w:t>aun</w:t>
      </w:r>
      <w:r>
        <w:rPr>
          <w:rFonts w:ascii="Arial" w:eastAsia="Calibri" w:hAnsi="Arial" w:cs="Arial"/>
          <w:bCs/>
          <w:iCs/>
          <w:sz w:val="26"/>
          <w:szCs w:val="26"/>
        </w:rPr>
        <w:t xml:space="preserve"> cuando no probó que tiene un derecho vigente para prestar el </w:t>
      </w:r>
      <w:r>
        <w:rPr>
          <w:rFonts w:ascii="Arial" w:eastAsia="Calibri" w:hAnsi="Arial" w:cs="Arial"/>
          <w:bCs/>
          <w:iCs/>
          <w:sz w:val="26"/>
          <w:szCs w:val="26"/>
        </w:rPr>
        <w:lastRenderedPageBreak/>
        <w:t xml:space="preserve">servicio público de transporte a través de una concesión, se estaría actuando en contravención del artículo 215 fracción II de la Ley de Procedimiento y Justicia Administrativa para el Estado de Oaxaca, en virtud de lo cual, se estima que la Sala A quo actúo conforme a derecho. De ahí lo </w:t>
      </w:r>
      <w:r w:rsidRPr="00E14E45">
        <w:rPr>
          <w:rFonts w:ascii="Arial" w:eastAsia="Calibri" w:hAnsi="Arial" w:cs="Arial"/>
          <w:b/>
          <w:iCs/>
          <w:sz w:val="26"/>
          <w:szCs w:val="26"/>
        </w:rPr>
        <w:t>infundado</w:t>
      </w:r>
      <w:r>
        <w:rPr>
          <w:rFonts w:ascii="Arial" w:eastAsia="Calibri" w:hAnsi="Arial" w:cs="Arial"/>
          <w:bCs/>
          <w:iCs/>
          <w:sz w:val="26"/>
          <w:szCs w:val="26"/>
        </w:rPr>
        <w:t xml:space="preserve"> del agravio esgrimido por el recurrente.</w:t>
      </w:r>
    </w:p>
    <w:p w14:paraId="22C9AFDA" w14:textId="77777777" w:rsidR="00F30C9B" w:rsidRPr="00E14E45" w:rsidRDefault="00F30C9B" w:rsidP="00F30C9B">
      <w:pPr>
        <w:spacing w:before="240" w:line="360" w:lineRule="auto"/>
        <w:ind w:right="49" w:firstLine="567"/>
        <w:jc w:val="both"/>
        <w:rPr>
          <w:rFonts w:ascii="Arial" w:eastAsia="Calibri" w:hAnsi="Arial" w:cs="Arial"/>
          <w:bCs/>
          <w:iCs/>
          <w:sz w:val="26"/>
          <w:szCs w:val="26"/>
        </w:rPr>
      </w:pPr>
      <w:r>
        <w:rPr>
          <w:rFonts w:ascii="Arial" w:eastAsia="Calibri" w:hAnsi="Arial" w:cs="Arial"/>
          <w:bCs/>
          <w:iCs/>
          <w:sz w:val="26"/>
          <w:szCs w:val="26"/>
        </w:rPr>
        <w:t xml:space="preserve">Robustece lo anterior la tesis </w:t>
      </w:r>
      <w:r w:rsidRPr="00E14E45">
        <w:rPr>
          <w:rFonts w:ascii="Arial" w:eastAsia="Calibri" w:hAnsi="Arial" w:cs="Arial"/>
          <w:bCs/>
          <w:iCs/>
          <w:sz w:val="26"/>
          <w:szCs w:val="26"/>
        </w:rPr>
        <w:t xml:space="preserve">IV.2o.A.46 A </w:t>
      </w:r>
      <w:r>
        <w:rPr>
          <w:rFonts w:ascii="Arial" w:eastAsia="Calibri" w:hAnsi="Arial" w:cs="Arial"/>
          <w:bCs/>
          <w:iCs/>
          <w:sz w:val="26"/>
          <w:szCs w:val="26"/>
        </w:rPr>
        <w:t xml:space="preserve">con número de registro </w:t>
      </w:r>
      <w:r w:rsidRPr="00E14E45">
        <w:rPr>
          <w:rFonts w:ascii="Arial" w:eastAsia="Calibri" w:hAnsi="Arial" w:cs="Arial"/>
          <w:bCs/>
          <w:iCs/>
          <w:sz w:val="26"/>
          <w:szCs w:val="26"/>
        </w:rPr>
        <w:t>18504</w:t>
      </w:r>
      <w:r>
        <w:rPr>
          <w:rFonts w:ascii="Arial" w:eastAsia="Calibri" w:hAnsi="Arial" w:cs="Arial"/>
          <w:bCs/>
          <w:iCs/>
          <w:sz w:val="26"/>
          <w:szCs w:val="26"/>
        </w:rPr>
        <w:t xml:space="preserve">1, emitida en la </w:t>
      </w:r>
      <w:r w:rsidRPr="00E14E45">
        <w:rPr>
          <w:rFonts w:ascii="Arial" w:eastAsia="Calibri" w:hAnsi="Arial" w:cs="Arial"/>
          <w:bCs/>
          <w:iCs/>
          <w:sz w:val="26"/>
          <w:szCs w:val="26"/>
        </w:rPr>
        <w:t>Novena Época</w:t>
      </w:r>
      <w:r>
        <w:rPr>
          <w:rFonts w:ascii="Arial" w:eastAsia="Calibri" w:hAnsi="Arial" w:cs="Arial"/>
          <w:bCs/>
          <w:iCs/>
          <w:sz w:val="26"/>
          <w:szCs w:val="26"/>
        </w:rPr>
        <w:t xml:space="preserve">, por los </w:t>
      </w:r>
      <w:r w:rsidRPr="00E14E45">
        <w:rPr>
          <w:rFonts w:ascii="Arial" w:eastAsia="Calibri" w:hAnsi="Arial" w:cs="Arial"/>
          <w:bCs/>
          <w:iCs/>
          <w:sz w:val="26"/>
          <w:szCs w:val="26"/>
        </w:rPr>
        <w:t>Tribunales Colegiados de Circuito</w:t>
      </w:r>
      <w:r>
        <w:rPr>
          <w:rFonts w:ascii="Arial" w:eastAsia="Calibri" w:hAnsi="Arial" w:cs="Arial"/>
          <w:bCs/>
          <w:iCs/>
          <w:sz w:val="26"/>
          <w:szCs w:val="26"/>
        </w:rPr>
        <w:t xml:space="preserve">, visible en el </w:t>
      </w:r>
      <w:r w:rsidRPr="00E14E45">
        <w:rPr>
          <w:rFonts w:ascii="Arial" w:eastAsia="Calibri" w:hAnsi="Arial" w:cs="Arial"/>
          <w:bCs/>
          <w:iCs/>
          <w:sz w:val="26"/>
          <w:szCs w:val="26"/>
        </w:rPr>
        <w:t>Semanario Judicial de la Federación y su Gaceta</w:t>
      </w:r>
      <w:r>
        <w:rPr>
          <w:rFonts w:ascii="Arial" w:eastAsia="Calibri" w:hAnsi="Arial" w:cs="Arial"/>
          <w:bCs/>
          <w:iCs/>
          <w:sz w:val="26"/>
          <w:szCs w:val="26"/>
        </w:rPr>
        <w:t xml:space="preserve">, </w:t>
      </w:r>
      <w:r w:rsidRPr="00E14E45">
        <w:rPr>
          <w:rFonts w:ascii="Arial" w:eastAsia="Calibri" w:hAnsi="Arial" w:cs="Arial"/>
          <w:bCs/>
          <w:iCs/>
          <w:sz w:val="26"/>
          <w:szCs w:val="26"/>
        </w:rPr>
        <w:t xml:space="preserve">Tomo XVII, </w:t>
      </w:r>
      <w:proofErr w:type="gramStart"/>
      <w:r w:rsidRPr="00E14E45">
        <w:rPr>
          <w:rFonts w:ascii="Arial" w:eastAsia="Calibri" w:hAnsi="Arial" w:cs="Arial"/>
          <w:bCs/>
          <w:iCs/>
          <w:sz w:val="26"/>
          <w:szCs w:val="26"/>
        </w:rPr>
        <w:t>Enero</w:t>
      </w:r>
      <w:proofErr w:type="gramEnd"/>
      <w:r w:rsidRPr="00E14E45">
        <w:rPr>
          <w:rFonts w:ascii="Arial" w:eastAsia="Calibri" w:hAnsi="Arial" w:cs="Arial"/>
          <w:bCs/>
          <w:iCs/>
          <w:sz w:val="26"/>
          <w:szCs w:val="26"/>
        </w:rPr>
        <w:t xml:space="preserve"> de 2003</w:t>
      </w:r>
      <w:r>
        <w:rPr>
          <w:rFonts w:ascii="Arial" w:eastAsia="Calibri" w:hAnsi="Arial" w:cs="Arial"/>
          <w:bCs/>
          <w:iCs/>
          <w:sz w:val="26"/>
          <w:szCs w:val="26"/>
        </w:rPr>
        <w:t xml:space="preserve">, </w:t>
      </w:r>
      <w:r w:rsidRPr="00E14E45">
        <w:rPr>
          <w:rFonts w:ascii="Arial" w:eastAsia="Calibri" w:hAnsi="Arial" w:cs="Arial"/>
          <w:bCs/>
          <w:iCs/>
          <w:sz w:val="26"/>
          <w:szCs w:val="26"/>
        </w:rPr>
        <w:t>Materia(s): Administrativa</w:t>
      </w:r>
      <w:r>
        <w:rPr>
          <w:rFonts w:ascii="Arial" w:eastAsia="Calibri" w:hAnsi="Arial" w:cs="Arial"/>
          <w:bCs/>
          <w:iCs/>
          <w:sz w:val="26"/>
          <w:szCs w:val="26"/>
        </w:rPr>
        <w:t xml:space="preserve">, </w:t>
      </w:r>
      <w:r w:rsidRPr="00E14E45">
        <w:rPr>
          <w:rFonts w:ascii="Arial" w:eastAsia="Calibri" w:hAnsi="Arial" w:cs="Arial"/>
          <w:bCs/>
          <w:iCs/>
          <w:sz w:val="26"/>
          <w:szCs w:val="26"/>
        </w:rPr>
        <w:t>Página: 1871</w:t>
      </w:r>
      <w:r>
        <w:rPr>
          <w:rFonts w:ascii="Arial" w:eastAsia="Calibri" w:hAnsi="Arial" w:cs="Arial"/>
          <w:bCs/>
          <w:iCs/>
          <w:sz w:val="26"/>
          <w:szCs w:val="26"/>
        </w:rPr>
        <w:t xml:space="preserve">, de rubro y texto siguientes: </w:t>
      </w:r>
    </w:p>
    <w:p w14:paraId="2E6C02E8" w14:textId="77777777" w:rsidR="00F30C9B" w:rsidRPr="00EC1A91" w:rsidRDefault="00F30C9B" w:rsidP="006A3B22">
      <w:pPr>
        <w:spacing w:before="240" w:line="240" w:lineRule="auto"/>
        <w:ind w:left="567" w:right="616"/>
        <w:jc w:val="both"/>
        <w:rPr>
          <w:rFonts w:ascii="Arial" w:eastAsia="Calibri" w:hAnsi="Arial" w:cs="Arial"/>
          <w:b/>
          <w:i/>
        </w:rPr>
      </w:pPr>
      <w:r w:rsidRPr="00EC1A91">
        <w:rPr>
          <w:rFonts w:ascii="Arial" w:eastAsia="Calibri" w:hAnsi="Arial" w:cs="Arial"/>
          <w:b/>
          <w:i/>
        </w:rPr>
        <w:t>“SUSPENSIÓN PROVISIONAL. SERVICIO PÚBLICO DE TRANSPORTE EN LA MODALIDAD DE VEHÍCULO DE ALQUILER. NO PROCEDE CONCEDERLA SI EL QUEJOSO NO CUENTA CON LA REGULARIZACIÓN DE LA CONCESIÓN RESPECTIVA (LEY DE TRANSPORTE PARA EL ESTADO DE NUEVO LEÓN).</w:t>
      </w:r>
    </w:p>
    <w:p w14:paraId="00B8476A" w14:textId="77777777" w:rsidR="00F30C9B" w:rsidRPr="00EC1A91" w:rsidRDefault="00F30C9B" w:rsidP="006A3B22">
      <w:pPr>
        <w:spacing w:before="240" w:line="240" w:lineRule="auto"/>
        <w:ind w:left="567" w:right="616"/>
        <w:jc w:val="both"/>
        <w:rPr>
          <w:rFonts w:ascii="Arial" w:eastAsia="Calibri" w:hAnsi="Arial" w:cs="Arial"/>
          <w:bCs/>
          <w:i/>
        </w:rPr>
      </w:pPr>
      <w:r w:rsidRPr="00EC1A91">
        <w:rPr>
          <w:rFonts w:ascii="Arial" w:eastAsia="Calibri" w:hAnsi="Arial" w:cs="Arial"/>
          <w:bCs/>
          <w:i/>
        </w:rPr>
        <w:t xml:space="preserve">El artículo 124, fracción II, de la Ley de Amparo dispone </w:t>
      </w:r>
      <w:proofErr w:type="gramStart"/>
      <w:r w:rsidRPr="00EC1A91">
        <w:rPr>
          <w:rFonts w:ascii="Arial" w:eastAsia="Calibri" w:hAnsi="Arial" w:cs="Arial"/>
          <w:bCs/>
          <w:i/>
        </w:rPr>
        <w:t>que</w:t>
      </w:r>
      <w:proofErr w:type="gramEnd"/>
      <w:r w:rsidRPr="00EC1A91">
        <w:rPr>
          <w:rFonts w:ascii="Arial" w:eastAsia="Calibri" w:hAnsi="Arial" w:cs="Arial"/>
          <w:bCs/>
          <w:i/>
        </w:rPr>
        <w:t xml:space="preserve"> para conceder la suspensión de los actos reclamados, se requiere que no se siga perjuicio al interés social, ni se contravengan disposiciones de orden público. Por su parte, de la recta interpretación de los artículos 1o., 6o., fracción I, 17, fracción I, inciso f), 22, 33, fracción I, 35, 36, 38 y octavo transitorio de la Ley de Transporte para el Estado de Nuevo León, se aprecia que la necesidad de la regularización de la concesión o permiso para prestar el servicio público de transporte, que el legislador estableció en los preceptos indicados, es reveladora de que la sociedad está interesada en que el servicio público de transporte en sus distintas modalidades funcione con estricto apego a las disposiciones legales que permitan su actividad. Ahora bien, en el caso la parte agraviada no ha regularizado ante las autoridades responsables la concesión o permiso para prestar el servicio público de transporte de pasajeros en la modalidad de vehículo de alquiler, de ahí que no es válido otorgar la suspensión provisional de los actos reclamados, consistentes en las órdenes que emitan las autoridades responsables para impedir el ejercicio de la prestación del servicio público en cuestión, puesto que no se satisface el requisito previsto por la fracción II del artículo 124 de la Ley de Amparo, porque se sigue perjuicio al interés social y se contravienen disposiciones de orden público. Además, la suspensión tiene como finalidad mantener vigentes e inalterables los derechos preexistentes del gobernado, pero de ninguna manera puede ser generadora o constitutiva de derechos que sólo otorga la ley una vez satisfechos los requisitos ante las autoridades competentes, por lo que de concederse la medida cautelar sin contar con la regularización en comento, el Juez de Distrito o el Tribunal Colegiado se sustituiría en el quehacer propio de las autoridades responsables, lo que no es jurídicamente posible.</w:t>
      </w:r>
    </w:p>
    <w:p w14:paraId="4A6B6299" w14:textId="117B2C65" w:rsidR="00F30C9B" w:rsidRDefault="00F30C9B" w:rsidP="006A3B22">
      <w:pPr>
        <w:spacing w:before="240" w:line="240" w:lineRule="auto"/>
        <w:ind w:left="567" w:right="616"/>
        <w:jc w:val="both"/>
        <w:rPr>
          <w:rFonts w:ascii="Arial" w:eastAsia="Calibri" w:hAnsi="Arial" w:cs="Arial"/>
          <w:bCs/>
          <w:i/>
        </w:rPr>
      </w:pPr>
      <w:r w:rsidRPr="00EC1A91">
        <w:rPr>
          <w:rFonts w:ascii="Arial" w:eastAsia="Calibri" w:hAnsi="Arial" w:cs="Arial"/>
          <w:bCs/>
          <w:i/>
        </w:rPr>
        <w:t>SEGUNDO TRIBUNAL COLEGIADO EN MATERIA ADMINISTRATIVA DEL CUARTO CIRCUITO.”</w:t>
      </w:r>
    </w:p>
    <w:p w14:paraId="3D62E02E" w14:textId="77777777" w:rsidR="00645CDF" w:rsidRPr="006A3B22" w:rsidRDefault="00645CDF" w:rsidP="006A3B22">
      <w:pPr>
        <w:spacing w:before="240" w:line="240" w:lineRule="auto"/>
        <w:ind w:left="567" w:right="616"/>
        <w:jc w:val="both"/>
        <w:rPr>
          <w:rFonts w:ascii="Arial" w:eastAsia="Calibri" w:hAnsi="Arial" w:cs="Arial"/>
          <w:bCs/>
          <w:i/>
        </w:rPr>
      </w:pPr>
    </w:p>
    <w:p w14:paraId="338C217D" w14:textId="77777777" w:rsidR="00645CDF" w:rsidRDefault="00645CDF" w:rsidP="00F30C9B">
      <w:pPr>
        <w:spacing w:before="240" w:line="360" w:lineRule="auto"/>
        <w:ind w:right="49" w:firstLine="567"/>
        <w:jc w:val="both"/>
        <w:rPr>
          <w:rFonts w:ascii="Arial" w:eastAsia="Calibri" w:hAnsi="Arial" w:cs="Arial"/>
          <w:bCs/>
          <w:iCs/>
          <w:sz w:val="26"/>
          <w:szCs w:val="26"/>
        </w:rPr>
      </w:pPr>
    </w:p>
    <w:p w14:paraId="14B25A75" w14:textId="153F2C1D" w:rsidR="00F30C9B" w:rsidRDefault="00F30C9B" w:rsidP="00F30C9B">
      <w:pPr>
        <w:spacing w:before="240" w:line="360" w:lineRule="auto"/>
        <w:ind w:right="49" w:firstLine="567"/>
        <w:jc w:val="both"/>
        <w:rPr>
          <w:rFonts w:ascii="Arial" w:eastAsia="Calibri" w:hAnsi="Arial" w:cs="Arial"/>
          <w:bCs/>
          <w:iCs/>
          <w:sz w:val="26"/>
          <w:szCs w:val="26"/>
        </w:rPr>
      </w:pPr>
      <w:r>
        <w:rPr>
          <w:rFonts w:ascii="Arial" w:eastAsia="Calibri" w:hAnsi="Arial" w:cs="Arial"/>
          <w:bCs/>
          <w:iCs/>
          <w:sz w:val="26"/>
          <w:szCs w:val="26"/>
        </w:rPr>
        <w:t xml:space="preserve">A lo anterior se agrega que, tampoco es dable que la Sala </w:t>
      </w:r>
      <w:r w:rsidRPr="000D5E22">
        <w:rPr>
          <w:rFonts w:ascii="Arial" w:eastAsia="Calibri" w:hAnsi="Arial" w:cs="Arial"/>
          <w:bCs/>
          <w:i/>
          <w:sz w:val="26"/>
          <w:szCs w:val="26"/>
        </w:rPr>
        <w:t>A quo</w:t>
      </w:r>
      <w:r>
        <w:rPr>
          <w:rFonts w:ascii="Arial" w:eastAsia="Calibri" w:hAnsi="Arial" w:cs="Arial"/>
          <w:bCs/>
          <w:iCs/>
          <w:sz w:val="26"/>
          <w:szCs w:val="26"/>
        </w:rPr>
        <w:t xml:space="preserve"> realice la valoración del posible </w:t>
      </w:r>
      <w:r w:rsidRPr="00881A4F">
        <w:rPr>
          <w:rFonts w:ascii="Arial" w:eastAsia="Calibri" w:hAnsi="Arial" w:cs="Arial"/>
          <w:bCs/>
          <w:iCs/>
          <w:sz w:val="26"/>
          <w:szCs w:val="26"/>
        </w:rPr>
        <w:t>peligro en la demora</w:t>
      </w:r>
      <w:r>
        <w:rPr>
          <w:rFonts w:ascii="Arial" w:eastAsia="Calibri" w:hAnsi="Arial" w:cs="Arial"/>
          <w:bCs/>
          <w:iCs/>
          <w:sz w:val="26"/>
          <w:szCs w:val="26"/>
        </w:rPr>
        <w:t xml:space="preserve">, relativo a que el </w:t>
      </w:r>
      <w:r>
        <w:rPr>
          <w:rFonts w:ascii="Arial" w:eastAsia="Calibri" w:hAnsi="Arial" w:cs="Arial"/>
          <w:bCs/>
          <w:iCs/>
          <w:sz w:val="26"/>
          <w:szCs w:val="26"/>
        </w:rPr>
        <w:lastRenderedPageBreak/>
        <w:t xml:space="preserve">recurrente expuso en su escrito de demanda que, de concederse la suspensión, se le causarían daños y perjuicios de imposible reparación al impedírsele ejercer un oficio del cual dependen él y su familia, toda vez que no acreditó su derecho, como se dijo en párrafos anteriores. De ahí lo </w:t>
      </w:r>
      <w:r w:rsidRPr="00A70838">
        <w:rPr>
          <w:rFonts w:ascii="Arial" w:eastAsia="Calibri" w:hAnsi="Arial" w:cs="Arial"/>
          <w:b/>
          <w:iCs/>
          <w:sz w:val="26"/>
          <w:szCs w:val="26"/>
        </w:rPr>
        <w:t>infundado</w:t>
      </w:r>
      <w:r>
        <w:rPr>
          <w:rFonts w:ascii="Arial" w:eastAsia="Calibri" w:hAnsi="Arial" w:cs="Arial"/>
          <w:bCs/>
          <w:iCs/>
          <w:sz w:val="26"/>
          <w:szCs w:val="26"/>
        </w:rPr>
        <w:t xml:space="preserve"> del agravio del recurrente.</w:t>
      </w:r>
    </w:p>
    <w:p w14:paraId="5F84B692" w14:textId="015CECF7" w:rsidR="006A3B22" w:rsidRDefault="00F30C9B" w:rsidP="00F30C9B">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atendiendo a las consideraciones anteriormente expuestas, es procedente </w:t>
      </w:r>
      <w:r w:rsidRPr="007E0A00">
        <w:rPr>
          <w:rFonts w:ascii="Arial" w:eastAsia="Calibri" w:hAnsi="Arial" w:cs="Arial"/>
          <w:b/>
          <w:bCs/>
          <w:sz w:val="26"/>
          <w:szCs w:val="26"/>
        </w:rPr>
        <w:t xml:space="preserve">CONFIRMAR </w:t>
      </w:r>
      <w:r>
        <w:rPr>
          <w:rFonts w:ascii="Arial" w:eastAsia="Calibri" w:hAnsi="Arial" w:cs="Arial"/>
          <w:bCs/>
          <w:sz w:val="26"/>
          <w:szCs w:val="26"/>
        </w:rPr>
        <w:t xml:space="preserve">el acuerdo recurrido,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p>
    <w:p w14:paraId="03CF4ED8" w14:textId="77777777" w:rsidR="00F30C9B" w:rsidRDefault="00F30C9B" w:rsidP="00F30C9B">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43105FDA" w14:textId="20ACC0B4" w:rsidR="00F30C9B" w:rsidRDefault="00F30C9B" w:rsidP="00F30C9B">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el acuerdo recurrido, por las razones expuestas en el considerando que antecede.</w:t>
      </w:r>
      <w:r w:rsidR="006A3B22">
        <w:rPr>
          <w:rFonts w:ascii="Arial" w:hAnsi="Arial" w:cs="Arial"/>
          <w:color w:val="000000"/>
          <w:sz w:val="26"/>
          <w:szCs w:val="26"/>
          <w:lang w:val="es-MX"/>
        </w:rPr>
        <w:t xml:space="preserve"> - - - - - - - - - - - - - - - - - - - </w:t>
      </w:r>
    </w:p>
    <w:p w14:paraId="663A0E8D" w14:textId="7456BEB5" w:rsidR="00F30C9B" w:rsidRDefault="00F30C9B" w:rsidP="00F30C9B">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r>
      <w:proofErr w:type="gramStart"/>
      <w:r>
        <w:rPr>
          <w:rFonts w:ascii="Arial" w:hAnsi="Arial" w:cs="Arial"/>
          <w:b/>
          <w:sz w:val="26"/>
          <w:szCs w:val="26"/>
        </w:rPr>
        <w:t>SEGUNDO.-</w:t>
      </w:r>
      <w:proofErr w:type="gramEnd"/>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r w:rsidR="006A3B22">
        <w:rPr>
          <w:rFonts w:ascii="Arial" w:hAnsi="Arial" w:cs="Arial"/>
          <w:sz w:val="26"/>
          <w:szCs w:val="26"/>
        </w:rPr>
        <w:t xml:space="preserve"> - - - - - - - - - - - - </w:t>
      </w:r>
    </w:p>
    <w:p w14:paraId="1915C357" w14:textId="77777777" w:rsidR="006A3B22" w:rsidRDefault="006A3B22" w:rsidP="006A3B22">
      <w:pPr>
        <w:spacing w:before="240" w:after="240" w:line="360" w:lineRule="auto"/>
        <w:ind w:firstLine="708"/>
        <w:jc w:val="both"/>
        <w:rPr>
          <w:rFonts w:ascii="Arial" w:eastAsia="Calibri" w:hAnsi="Arial" w:cs="Arial"/>
          <w:sz w:val="26"/>
          <w:szCs w:val="26"/>
        </w:rPr>
      </w:pPr>
      <w:r>
        <w:rPr>
          <w:rFonts w:ascii="Arial" w:eastAsia="Calibri"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09618ED1" w14:textId="21ED80CB" w:rsidR="006A3B22" w:rsidRDefault="006A3B22" w:rsidP="006A3B22">
      <w:pPr>
        <w:spacing w:before="240" w:line="360" w:lineRule="auto"/>
        <w:jc w:val="both"/>
        <w:rPr>
          <w:rFonts w:ascii="Arial" w:eastAsia="Calibri" w:hAnsi="Arial" w:cs="Arial"/>
          <w:sz w:val="26"/>
          <w:szCs w:val="26"/>
        </w:rPr>
      </w:pPr>
    </w:p>
    <w:p w14:paraId="2F72B10E" w14:textId="48BC6FF9" w:rsidR="00645CDF" w:rsidRDefault="00645CDF" w:rsidP="006A3B22">
      <w:pPr>
        <w:spacing w:before="240" w:line="360" w:lineRule="auto"/>
        <w:jc w:val="both"/>
        <w:rPr>
          <w:rFonts w:ascii="Arial" w:eastAsia="Calibri" w:hAnsi="Arial" w:cs="Arial"/>
          <w:sz w:val="26"/>
          <w:szCs w:val="26"/>
        </w:rPr>
      </w:pPr>
    </w:p>
    <w:p w14:paraId="0020750F" w14:textId="77777777" w:rsidR="00645CDF" w:rsidRDefault="00645CDF" w:rsidP="006A3B22">
      <w:pPr>
        <w:spacing w:before="240" w:line="360" w:lineRule="auto"/>
        <w:jc w:val="both"/>
        <w:rPr>
          <w:rFonts w:ascii="Arial" w:eastAsia="Calibri" w:hAnsi="Arial" w:cs="Arial"/>
          <w:sz w:val="26"/>
          <w:szCs w:val="26"/>
        </w:rPr>
      </w:pPr>
    </w:p>
    <w:p w14:paraId="7EB09CE6" w14:textId="77777777" w:rsidR="006A3B22" w:rsidRDefault="006A3B22" w:rsidP="006A3B22">
      <w:pPr>
        <w:tabs>
          <w:tab w:val="left" w:pos="1680"/>
          <w:tab w:val="center" w:pos="4277"/>
        </w:tabs>
        <w:spacing w:after="0" w:line="240" w:lineRule="auto"/>
        <w:jc w:val="center"/>
        <w:rPr>
          <w:rFonts w:ascii="Arial" w:eastAsia="Calibri" w:hAnsi="Arial" w:cs="Arial"/>
          <w:sz w:val="26"/>
          <w:szCs w:val="26"/>
        </w:rPr>
      </w:pPr>
      <w:r>
        <w:rPr>
          <w:rFonts w:ascii="Arial" w:eastAsia="Calibri" w:hAnsi="Arial" w:cs="Arial"/>
          <w:sz w:val="26"/>
          <w:szCs w:val="26"/>
        </w:rPr>
        <w:t xml:space="preserve">MAGISTRADO MANUEL VELASCO ALCANTARA </w:t>
      </w:r>
    </w:p>
    <w:p w14:paraId="58800D81" w14:textId="77777777" w:rsidR="006A3B22" w:rsidRDefault="006A3B22" w:rsidP="006A3B22">
      <w:pPr>
        <w:tabs>
          <w:tab w:val="left" w:pos="1680"/>
          <w:tab w:val="center" w:pos="4277"/>
        </w:tabs>
        <w:spacing w:after="0" w:line="240" w:lineRule="auto"/>
        <w:jc w:val="center"/>
        <w:rPr>
          <w:rFonts w:ascii="Arial" w:eastAsia="Calibri" w:hAnsi="Arial" w:cs="Arial"/>
          <w:sz w:val="26"/>
          <w:szCs w:val="26"/>
        </w:rPr>
      </w:pPr>
      <w:r>
        <w:rPr>
          <w:rFonts w:ascii="Arial" w:eastAsia="Calibri" w:hAnsi="Arial" w:cs="Arial"/>
          <w:sz w:val="26"/>
          <w:szCs w:val="26"/>
        </w:rPr>
        <w:t xml:space="preserve">PRESIDENTE </w:t>
      </w:r>
    </w:p>
    <w:p w14:paraId="4392E1B5" w14:textId="77777777" w:rsidR="006A3B22" w:rsidRDefault="006A3B22" w:rsidP="006A3B22">
      <w:pPr>
        <w:tabs>
          <w:tab w:val="left" w:pos="1680"/>
          <w:tab w:val="center" w:pos="4277"/>
        </w:tabs>
        <w:jc w:val="center"/>
        <w:rPr>
          <w:rFonts w:ascii="Arial" w:eastAsia="Calibri" w:hAnsi="Arial" w:cs="Arial"/>
          <w:sz w:val="26"/>
          <w:szCs w:val="26"/>
        </w:rPr>
      </w:pPr>
    </w:p>
    <w:p w14:paraId="245E179C" w14:textId="77777777" w:rsidR="00645CDF" w:rsidRDefault="00645CDF" w:rsidP="006A3B22">
      <w:pPr>
        <w:tabs>
          <w:tab w:val="left" w:pos="1680"/>
          <w:tab w:val="center" w:pos="4277"/>
        </w:tabs>
        <w:jc w:val="center"/>
        <w:rPr>
          <w:rFonts w:ascii="Arial" w:eastAsia="Calibri" w:hAnsi="Arial" w:cs="Arial"/>
          <w:sz w:val="26"/>
          <w:szCs w:val="26"/>
        </w:rPr>
      </w:pPr>
    </w:p>
    <w:p w14:paraId="468745F3" w14:textId="77777777" w:rsidR="006A3B22" w:rsidRDefault="006A3B22" w:rsidP="006A3B22">
      <w:pPr>
        <w:jc w:val="center"/>
        <w:rPr>
          <w:rFonts w:ascii="Arial" w:eastAsia="Calibri" w:hAnsi="Arial" w:cs="Arial"/>
          <w:sz w:val="26"/>
          <w:szCs w:val="26"/>
        </w:rPr>
      </w:pPr>
    </w:p>
    <w:p w14:paraId="4E9351F8" w14:textId="77777777" w:rsidR="006A3B22" w:rsidRDefault="006A3B22" w:rsidP="006A3B22">
      <w:pPr>
        <w:tabs>
          <w:tab w:val="center" w:pos="4135"/>
          <w:tab w:val="left" w:pos="7515"/>
        </w:tabs>
        <w:jc w:val="center"/>
        <w:rPr>
          <w:rFonts w:ascii="Arial" w:eastAsia="Calibri" w:hAnsi="Arial" w:cs="Arial"/>
          <w:sz w:val="26"/>
          <w:szCs w:val="26"/>
        </w:rPr>
      </w:pPr>
      <w:r>
        <w:rPr>
          <w:rFonts w:ascii="Arial" w:eastAsia="Calibri" w:hAnsi="Arial" w:cs="Arial"/>
          <w:sz w:val="26"/>
          <w:szCs w:val="26"/>
        </w:rPr>
        <w:t>MAGISTRADO RAÚL PALOMARES PALOMINO</w:t>
      </w:r>
    </w:p>
    <w:p w14:paraId="04BC7702" w14:textId="77777777" w:rsidR="006A3B22" w:rsidRDefault="006A3B22" w:rsidP="006A3B22">
      <w:pPr>
        <w:tabs>
          <w:tab w:val="center" w:pos="4135"/>
          <w:tab w:val="left" w:pos="7515"/>
        </w:tabs>
        <w:rPr>
          <w:rFonts w:ascii="Arial" w:eastAsia="Calibri" w:hAnsi="Arial" w:cs="Arial"/>
          <w:sz w:val="26"/>
          <w:szCs w:val="26"/>
        </w:rPr>
      </w:pPr>
    </w:p>
    <w:p w14:paraId="7A3888B0" w14:textId="1AC52040" w:rsidR="006A3B22" w:rsidRPr="00645CDF" w:rsidRDefault="00645CDF" w:rsidP="00645CDF">
      <w:pPr>
        <w:tabs>
          <w:tab w:val="center" w:pos="4135"/>
          <w:tab w:val="left" w:pos="7515"/>
        </w:tabs>
        <w:jc w:val="center"/>
        <w:rPr>
          <w:rFonts w:ascii="Arial" w:eastAsia="Calibri" w:hAnsi="Arial" w:cs="Arial"/>
          <w:b/>
          <w:bCs/>
          <w:sz w:val="14"/>
          <w:szCs w:val="14"/>
        </w:rPr>
      </w:pPr>
      <w:r w:rsidRPr="00645CDF">
        <w:rPr>
          <w:rFonts w:ascii="Arial" w:eastAsia="Calibri" w:hAnsi="Arial" w:cs="Arial"/>
          <w:b/>
          <w:bCs/>
          <w:sz w:val="14"/>
          <w:szCs w:val="14"/>
        </w:rPr>
        <w:t>LAS PRESENTES FIRMAS CORRESPONDEN AL RECURSO DE REVISIÓN 431/2019</w:t>
      </w:r>
    </w:p>
    <w:p w14:paraId="08B81294" w14:textId="1772ED0D" w:rsidR="006A3B22" w:rsidRDefault="006A3B22" w:rsidP="006A3B22">
      <w:pPr>
        <w:tabs>
          <w:tab w:val="center" w:pos="4135"/>
          <w:tab w:val="left" w:pos="7515"/>
        </w:tabs>
        <w:rPr>
          <w:rFonts w:ascii="Arial" w:eastAsia="Calibri" w:hAnsi="Arial" w:cs="Arial"/>
          <w:sz w:val="26"/>
          <w:szCs w:val="26"/>
        </w:rPr>
      </w:pPr>
    </w:p>
    <w:p w14:paraId="2EFCCF3C" w14:textId="1ABF1B4C" w:rsidR="00645CDF" w:rsidRDefault="00645CDF" w:rsidP="006A3B22">
      <w:pPr>
        <w:tabs>
          <w:tab w:val="center" w:pos="4135"/>
          <w:tab w:val="left" w:pos="7515"/>
        </w:tabs>
        <w:rPr>
          <w:rFonts w:ascii="Arial" w:eastAsia="Calibri" w:hAnsi="Arial" w:cs="Arial"/>
          <w:sz w:val="26"/>
          <w:szCs w:val="26"/>
        </w:rPr>
      </w:pPr>
    </w:p>
    <w:p w14:paraId="3086F2D3" w14:textId="77777777" w:rsidR="00645CDF" w:rsidRDefault="00645CDF" w:rsidP="006A3B22">
      <w:pPr>
        <w:tabs>
          <w:tab w:val="center" w:pos="4135"/>
          <w:tab w:val="left" w:pos="7515"/>
        </w:tabs>
        <w:rPr>
          <w:rFonts w:ascii="Arial" w:eastAsia="Calibri" w:hAnsi="Arial" w:cs="Arial"/>
          <w:sz w:val="26"/>
          <w:szCs w:val="26"/>
        </w:rPr>
      </w:pPr>
    </w:p>
    <w:p w14:paraId="2858D785" w14:textId="7350DAFC" w:rsidR="00645CDF" w:rsidRDefault="00645CDF" w:rsidP="006A3B22">
      <w:pPr>
        <w:tabs>
          <w:tab w:val="center" w:pos="4135"/>
          <w:tab w:val="left" w:pos="7515"/>
        </w:tabs>
        <w:rPr>
          <w:rFonts w:ascii="Arial" w:eastAsia="Calibri" w:hAnsi="Arial" w:cs="Arial"/>
          <w:sz w:val="26"/>
          <w:szCs w:val="26"/>
        </w:rPr>
      </w:pPr>
    </w:p>
    <w:p w14:paraId="7AB5A539" w14:textId="77777777" w:rsidR="00645CDF" w:rsidRDefault="00645CDF" w:rsidP="006A3B22">
      <w:pPr>
        <w:tabs>
          <w:tab w:val="center" w:pos="4135"/>
          <w:tab w:val="left" w:pos="7515"/>
        </w:tabs>
        <w:rPr>
          <w:rFonts w:ascii="Arial" w:eastAsia="Calibri" w:hAnsi="Arial" w:cs="Arial"/>
          <w:sz w:val="26"/>
          <w:szCs w:val="26"/>
        </w:rPr>
      </w:pPr>
    </w:p>
    <w:p w14:paraId="3E0155DC" w14:textId="3EDF1373" w:rsidR="006A3B22" w:rsidRDefault="006A3B22" w:rsidP="006A3B22">
      <w:pPr>
        <w:tabs>
          <w:tab w:val="center" w:pos="4135"/>
          <w:tab w:val="left" w:pos="7515"/>
        </w:tabs>
        <w:jc w:val="center"/>
        <w:rPr>
          <w:rFonts w:ascii="Arial" w:eastAsia="Calibri" w:hAnsi="Arial" w:cs="Arial"/>
          <w:sz w:val="26"/>
          <w:szCs w:val="26"/>
        </w:rPr>
      </w:pPr>
      <w:r>
        <w:rPr>
          <w:rFonts w:ascii="Arial" w:eastAsia="Calibri" w:hAnsi="Arial" w:cs="Arial"/>
          <w:sz w:val="26"/>
          <w:szCs w:val="26"/>
        </w:rPr>
        <w:t>MAGISTRADO ABRAHAM SANTIAGO SORIANO</w:t>
      </w:r>
    </w:p>
    <w:p w14:paraId="51B86705" w14:textId="77777777" w:rsidR="006A3B22" w:rsidRDefault="006A3B22" w:rsidP="006A3B22">
      <w:pPr>
        <w:tabs>
          <w:tab w:val="center" w:pos="4135"/>
          <w:tab w:val="left" w:pos="7515"/>
        </w:tabs>
        <w:jc w:val="center"/>
        <w:rPr>
          <w:rFonts w:ascii="Arial" w:eastAsia="Calibri" w:hAnsi="Arial" w:cs="Arial"/>
          <w:sz w:val="26"/>
          <w:szCs w:val="26"/>
        </w:rPr>
      </w:pPr>
    </w:p>
    <w:p w14:paraId="26EA103F" w14:textId="259070E6" w:rsidR="006A3B22" w:rsidRDefault="006A3B22" w:rsidP="006A3B22">
      <w:pPr>
        <w:tabs>
          <w:tab w:val="center" w:pos="4135"/>
          <w:tab w:val="left" w:pos="7515"/>
        </w:tabs>
        <w:jc w:val="center"/>
        <w:rPr>
          <w:rFonts w:ascii="Arial" w:eastAsia="Calibri" w:hAnsi="Arial" w:cs="Arial"/>
          <w:sz w:val="26"/>
          <w:szCs w:val="26"/>
        </w:rPr>
      </w:pPr>
    </w:p>
    <w:p w14:paraId="3147DE54" w14:textId="2D290DE4" w:rsidR="00645CDF" w:rsidRDefault="00645CDF" w:rsidP="006A3B22">
      <w:pPr>
        <w:tabs>
          <w:tab w:val="center" w:pos="4135"/>
          <w:tab w:val="left" w:pos="7515"/>
        </w:tabs>
        <w:jc w:val="center"/>
        <w:rPr>
          <w:rFonts w:ascii="Arial" w:eastAsia="Calibri" w:hAnsi="Arial" w:cs="Arial"/>
          <w:sz w:val="26"/>
          <w:szCs w:val="26"/>
        </w:rPr>
      </w:pPr>
    </w:p>
    <w:p w14:paraId="1B06A159" w14:textId="68688BAD" w:rsidR="00645CDF" w:rsidRDefault="00645CDF" w:rsidP="006A3B22">
      <w:pPr>
        <w:tabs>
          <w:tab w:val="center" w:pos="4135"/>
          <w:tab w:val="left" w:pos="7515"/>
        </w:tabs>
        <w:jc w:val="center"/>
        <w:rPr>
          <w:rFonts w:ascii="Arial" w:eastAsia="Calibri" w:hAnsi="Arial" w:cs="Arial"/>
          <w:sz w:val="26"/>
          <w:szCs w:val="26"/>
        </w:rPr>
      </w:pPr>
    </w:p>
    <w:p w14:paraId="0DC35C78" w14:textId="77777777" w:rsidR="00645CDF" w:rsidRDefault="00645CDF" w:rsidP="006A3B22">
      <w:pPr>
        <w:tabs>
          <w:tab w:val="center" w:pos="4135"/>
          <w:tab w:val="left" w:pos="7515"/>
        </w:tabs>
        <w:jc w:val="center"/>
        <w:rPr>
          <w:rFonts w:ascii="Arial" w:eastAsia="Calibri" w:hAnsi="Arial" w:cs="Arial"/>
          <w:sz w:val="26"/>
          <w:szCs w:val="26"/>
        </w:rPr>
      </w:pPr>
    </w:p>
    <w:p w14:paraId="5B404FED" w14:textId="77777777" w:rsidR="006A3B22" w:rsidRDefault="006A3B22" w:rsidP="006A3B22">
      <w:pPr>
        <w:tabs>
          <w:tab w:val="left" w:pos="1925"/>
          <w:tab w:val="center" w:pos="4135"/>
        </w:tabs>
        <w:spacing w:after="0" w:line="240" w:lineRule="auto"/>
        <w:jc w:val="center"/>
        <w:rPr>
          <w:rFonts w:ascii="Arial" w:eastAsia="Calibri" w:hAnsi="Arial" w:cs="Arial"/>
          <w:sz w:val="26"/>
          <w:szCs w:val="26"/>
        </w:rPr>
      </w:pPr>
      <w:r>
        <w:rPr>
          <w:rFonts w:ascii="Arial" w:eastAsia="Calibri" w:hAnsi="Arial" w:cs="Arial"/>
          <w:sz w:val="26"/>
          <w:szCs w:val="26"/>
        </w:rPr>
        <w:t>LICENCIADO JUAN EDY GARCIA CORONADO</w:t>
      </w:r>
    </w:p>
    <w:p w14:paraId="3A94CA80" w14:textId="79295295" w:rsidR="00BC0AED" w:rsidRPr="00BC0AED" w:rsidRDefault="006A3B22" w:rsidP="00BC0AED">
      <w:pPr>
        <w:spacing w:after="0" w:line="240" w:lineRule="auto"/>
        <w:jc w:val="center"/>
        <w:rPr>
          <w:rFonts w:ascii="Arial" w:eastAsia="Calibri" w:hAnsi="Arial" w:cs="Arial"/>
          <w:sz w:val="26"/>
          <w:szCs w:val="26"/>
        </w:rPr>
      </w:pPr>
      <w:r>
        <w:rPr>
          <w:rFonts w:ascii="Arial" w:eastAsia="Calibri" w:hAnsi="Arial" w:cs="Arial"/>
          <w:sz w:val="26"/>
          <w:szCs w:val="26"/>
        </w:rPr>
        <w:t>SECRETARIO GENERAL DE ACUERDOS</w:t>
      </w:r>
    </w:p>
    <w:sectPr w:rsidR="00BC0AED" w:rsidRPr="00BC0AED" w:rsidSect="006A3B22">
      <w:headerReference w:type="even" r:id="rId8"/>
      <w:headerReference w:type="default" r:id="rId9"/>
      <w:footerReference w:type="default" r:id="rId10"/>
      <w:headerReference w:type="first" r:id="rId11"/>
      <w:pgSz w:w="12240" w:h="20160" w:code="5"/>
      <w:pgMar w:top="567" w:right="1134" w:bottom="1985" w:left="2835"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1AD678" w14:textId="77777777" w:rsidR="00125126" w:rsidRDefault="00125126">
      <w:pPr>
        <w:spacing w:after="0" w:line="240" w:lineRule="auto"/>
      </w:pPr>
      <w:r>
        <w:separator/>
      </w:r>
    </w:p>
  </w:endnote>
  <w:endnote w:type="continuationSeparator" w:id="0">
    <w:p w14:paraId="25EE49D1" w14:textId="77777777" w:rsidR="00125126" w:rsidRDefault="00125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56B3E" w14:textId="37E2B64F" w:rsidR="00A80DC8" w:rsidRDefault="00820EAF">
    <w:pPr>
      <w:pStyle w:val="Piedepgina"/>
      <w:jc w:val="center"/>
    </w:pPr>
    <w:r>
      <w:rPr>
        <w:noProof/>
      </w:rPr>
      <mc:AlternateContent>
        <mc:Choice Requires="wps">
          <w:drawing>
            <wp:anchor distT="45720" distB="45720" distL="114300" distR="114300" simplePos="0" relativeHeight="251667456" behindDoc="0" locked="0" layoutInCell="1" allowOverlap="1" wp14:anchorId="4638834E" wp14:editId="322171B5">
              <wp:simplePos x="0" y="0"/>
              <wp:positionH relativeFrom="leftMargin">
                <wp:posOffset>326390</wp:posOffset>
              </wp:positionH>
              <wp:positionV relativeFrom="paragraph">
                <wp:posOffset>-5451475</wp:posOffset>
              </wp:positionV>
              <wp:extent cx="1294130" cy="635000"/>
              <wp:effectExtent l="0" t="0" r="20320" b="127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130" cy="635000"/>
                      </a:xfrm>
                      <a:prstGeom prst="rect">
                        <a:avLst/>
                      </a:prstGeom>
                      <a:solidFill>
                        <a:srgbClr val="FFFFFF"/>
                      </a:solidFill>
                      <a:ln w="9525">
                        <a:solidFill>
                          <a:srgbClr val="000000"/>
                        </a:solidFill>
                        <a:miter lim="800000"/>
                        <a:headEnd/>
                        <a:tailEnd/>
                      </a:ln>
                    </wps:spPr>
                    <wps:txbx>
                      <w:txbxContent>
                        <w:p w14:paraId="1716F4EB" w14:textId="59BA1A39" w:rsidR="00820EAF" w:rsidRDefault="00820EAF" w:rsidP="00820EAF">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370A9A01" w14:textId="0444AD54" w:rsidR="00820EAF" w:rsidRDefault="00820E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8834E" id="_x0000_t202" coordsize="21600,21600" o:spt="202" path="m,l,21600r21600,l21600,xe">
              <v:stroke joinstyle="miter"/>
              <v:path gradientshapeok="t" o:connecttype="rect"/>
            </v:shapetype>
            <v:shape id="Cuadro de texto 2" o:spid="_x0000_s1026" type="#_x0000_t202" style="position:absolute;left:0;text-align:left;margin-left:25.7pt;margin-top:-429.25pt;width:101.9pt;height:50pt;z-index:2516674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I/6LAIAAE0EAAAOAAAAZHJzL2Uyb0RvYy54bWysVNtu2zAMfR+wfxD0vjhxk7Yx4hRdugwD&#10;ugvQ7QNoSY6FyaInKbG7rx8lp2nWYS/D8iCIIXV4eEh6dTO0hh2U8xptyWeTKWfKCpTa7kr+7ev2&#10;zTVnPoCVYNCqkj8qz2/Wr1+t+q5QOTZopHKMQKwv+q7kTQhdkWVeNKoFP8FOWXLW6FoIZLpdJh30&#10;hN6aLJ9OL7MenewcCuU9/Xs3Ovk64de1EuFzXXsVmCk5cQvpdOms4pmtV1DsHHSNFkca8A8sWtCW&#10;kp6g7iAA2zv9B1SrhUOPdZgIbDOsay1UqoGqmU1fVPPQQKdSLSSO704y+f8HKz4dvjimZcnz2RVn&#10;Flpq0mYP0iGTigU1BGR5lKnvfEHRDx3Fh+EtDtTuVLLv7lF898zipgG7U7fOYd8okERzFl9mZ09H&#10;HB9Bqv4jSsoG+4AJaKhdGzUkVRihU7seTy0iHkzElPlyPrsglyDf5cViOk09zKB4et05H94rbFm8&#10;lNzRCCR0ONz7ENlA8RQSk3k0Wm61Mclwu2pjHDsAjcs2/VIBL8KMZX3Jl4t8MQrwVwhi90zwt0yt&#10;DjT3Rrclvz4FQRFle2dlmsoA2ox3omzsUcco3ShiGKrh2JcK5SMp6nCcb9pHujTofnLW02yX3P/Y&#10;g1OcmQ+WurKczedxGZIxX1zlZLhzT3XuASsIquSBs/G6CWmBomAWb6l7tU7CxjaPTI5caWaT3sf9&#10;iktxbqeo56/A+hcAAAD//wMAUEsDBBQABgAIAAAAIQBiekL54QAAAAwBAAAPAAAAZHJzL2Rvd25y&#10;ZXYueG1sTI/LTsMwEEX3SPyDNUhsUOs01G0IcSqEBIIdFARbN54mEX4E203D3zNdwXLuHN05U20m&#10;a9iIIfbeSVjMM2DoGq9710p4f3uYFcBiUk4r4x1K+MEIm/r8rFKl9kf3iuM2tYxKXCyVhC6loeQ8&#10;Nh1aFed+QEe7vQ9WJRpDy3VQRyq3hudZtuJW9Y4udGrA+w6br+3BSiiWT+NnfL5++WhWe3OTrtbj&#10;43eQ8vJiursFlnBKfzCc9EkdanLa+YPTkRkJYrEkUsKsEIUARkQuRA5sR9H6FPG64v+fqH8BAAD/&#10;/wMAUEsBAi0AFAAGAAgAAAAhALaDOJL+AAAA4QEAABMAAAAAAAAAAAAAAAAAAAAAAFtDb250ZW50&#10;X1R5cGVzXS54bWxQSwECLQAUAAYACAAAACEAOP0h/9YAAACUAQAACwAAAAAAAAAAAAAAAAAvAQAA&#10;X3JlbHMvLnJlbHNQSwECLQAUAAYACAAAACEAtYCP+iwCAABNBAAADgAAAAAAAAAAAAAAAAAuAgAA&#10;ZHJzL2Uyb0RvYy54bWxQSwECLQAUAAYACAAAACEAYnpC+eEAAAAMAQAADwAAAAAAAAAAAAAAAACG&#10;BAAAZHJzL2Rvd25yZXYueG1sUEsFBgAAAAAEAAQA8wAAAJQFAAAAAA==&#10;">
              <v:textbox>
                <w:txbxContent>
                  <w:p w14:paraId="1716F4EB" w14:textId="59BA1A39" w:rsidR="00820EAF" w:rsidRDefault="00820EAF" w:rsidP="00820EAF">
                    <w:pPr>
                      <w:jc w:val="both"/>
                    </w:pPr>
                    <w:r>
                      <w:rPr>
                        <w:sz w:val="16"/>
                        <w:szCs w:val="16"/>
                      </w:rPr>
                      <w:t xml:space="preserve">Los datos personales están protegidos por el art. 116 de la </w:t>
                    </w:r>
                    <w:proofErr w:type="spellStart"/>
                    <w:r>
                      <w:rPr>
                        <w:sz w:val="16"/>
                        <w:szCs w:val="16"/>
                      </w:rPr>
                      <w:t>LGTAIP</w:t>
                    </w:r>
                    <w:proofErr w:type="spellEnd"/>
                    <w:r>
                      <w:rPr>
                        <w:sz w:val="16"/>
                        <w:szCs w:val="16"/>
                      </w:rPr>
                      <w:t xml:space="preserve"> y el art. 56 de la </w:t>
                    </w:r>
                    <w:proofErr w:type="spellStart"/>
                    <w:r>
                      <w:rPr>
                        <w:sz w:val="16"/>
                        <w:szCs w:val="16"/>
                      </w:rPr>
                      <w:t>LTAIPEO</w:t>
                    </w:r>
                    <w:proofErr w:type="spellEnd"/>
                    <w:r>
                      <w:rPr>
                        <w:sz w:val="16"/>
                        <w:szCs w:val="16"/>
                      </w:rPr>
                      <w:t>.</w:t>
                    </w:r>
                  </w:p>
                  <w:p w14:paraId="370A9A01" w14:textId="0444AD54" w:rsidR="00820EAF" w:rsidRDefault="00820EAF"/>
                </w:txbxContent>
              </v:textbox>
              <w10:wrap type="square" anchorx="margin"/>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6AAC23" w14:textId="77777777" w:rsidR="00125126" w:rsidRDefault="00125126">
      <w:pPr>
        <w:spacing w:after="0" w:line="240" w:lineRule="auto"/>
      </w:pPr>
      <w:r>
        <w:separator/>
      </w:r>
    </w:p>
  </w:footnote>
  <w:footnote w:type="continuationSeparator" w:id="0">
    <w:p w14:paraId="2201863D" w14:textId="77777777" w:rsidR="00125126" w:rsidRDefault="00125126">
      <w:pPr>
        <w:spacing w:after="0" w:line="240" w:lineRule="auto"/>
      </w:pPr>
      <w:r>
        <w:continuationSeparator/>
      </w:r>
    </w:p>
  </w:footnote>
  <w:footnote w:id="1">
    <w:p w14:paraId="0EF3BFDA" w14:textId="77777777" w:rsidR="00F30C9B" w:rsidRPr="00E017CF" w:rsidRDefault="00F30C9B" w:rsidP="00F30C9B">
      <w:pPr>
        <w:pStyle w:val="Textonotapie"/>
        <w:jc w:val="both"/>
        <w:rPr>
          <w:rFonts w:ascii="Arial" w:hAnsi="Arial" w:cs="Arial"/>
          <w:i/>
          <w:iCs/>
        </w:rPr>
      </w:pPr>
      <w:r>
        <w:rPr>
          <w:rStyle w:val="Refdenotaalpie"/>
        </w:rPr>
        <w:footnoteRef/>
      </w:r>
      <w:r>
        <w:t xml:space="preserve"> </w:t>
      </w:r>
      <w:r w:rsidRPr="00E017CF">
        <w:rPr>
          <w:rFonts w:ascii="Arial" w:hAnsi="Arial" w:cs="Arial"/>
        </w:rPr>
        <w:t xml:space="preserve">Época: Novena Época, Registro: 200136, Instancia: Pleno, Tipo de Tesis: Jurisprudencia, Fuente: Semanario Judicial de la Federación y su Gaceta, Tomo III, abril de 1996, Materia(s): Común, Tesis: P./J. 15/96, Página: 16, Rubro: </w:t>
      </w:r>
      <w:r w:rsidRPr="00E017CF">
        <w:rPr>
          <w:rFonts w:ascii="Arial" w:hAnsi="Arial" w:cs="Arial"/>
          <w:i/>
          <w:iCs/>
        </w:rPr>
        <w:t>“SUSPENSION. PARA RESOLVER SOBRE ELLA ES FACTIBLE, SIN DEJAR DE OBSERVAR LOS REQUISITOS CONTENIDOS EN EL ARTICULO 124 DE LA LEY DE AMPARO, HACER UNA APRECIACION DE CARACTER PROVISIONAL DE LA INCONSTITUCIONALIDAD DEL ACTO RECLAMADO”.</w:t>
      </w:r>
    </w:p>
  </w:footnote>
  <w:footnote w:id="2">
    <w:p w14:paraId="3813BD67" w14:textId="77777777" w:rsidR="00F30C9B" w:rsidRPr="00E017CF" w:rsidRDefault="00F30C9B" w:rsidP="00F30C9B">
      <w:pPr>
        <w:pStyle w:val="Textonotapie"/>
        <w:jc w:val="both"/>
        <w:rPr>
          <w:rFonts w:ascii="Arial" w:hAnsi="Arial" w:cs="Arial"/>
        </w:rPr>
      </w:pPr>
      <w:r w:rsidRPr="00E017CF">
        <w:rPr>
          <w:rStyle w:val="Refdenotaalpie"/>
          <w:rFonts w:ascii="Arial" w:hAnsi="Arial" w:cs="Arial"/>
        </w:rPr>
        <w:footnoteRef/>
      </w:r>
      <w:r w:rsidRPr="00E017CF">
        <w:rPr>
          <w:rFonts w:ascii="Arial" w:hAnsi="Arial" w:cs="Arial"/>
        </w:rPr>
        <w:t xml:space="preserve"> Ejecutoria 3575, Novena Época, Semanario Judicial de la Federación y su Gaceta, Pleno, Tomo III, abril de 1996, página 37.</w:t>
      </w:r>
      <w:r w:rsidRPr="00E017CF">
        <w:rPr>
          <w:rFonts w:ascii="Arial" w:hAnsi="Arial" w:cs="Arial"/>
        </w:rPr>
        <w:tab/>
      </w:r>
    </w:p>
  </w:footnote>
  <w:footnote w:id="3">
    <w:p w14:paraId="6855DC87" w14:textId="77777777" w:rsidR="00F30C9B" w:rsidRPr="00E017CF" w:rsidRDefault="00F30C9B" w:rsidP="00F30C9B">
      <w:pPr>
        <w:pStyle w:val="Textonotapie"/>
        <w:jc w:val="both"/>
        <w:rPr>
          <w:rFonts w:ascii="Arial" w:hAnsi="Arial" w:cs="Arial"/>
        </w:rPr>
      </w:pPr>
      <w:r w:rsidRPr="00E017CF">
        <w:rPr>
          <w:rStyle w:val="Refdenotaalpie"/>
          <w:rFonts w:ascii="Arial" w:hAnsi="Arial" w:cs="Arial"/>
        </w:rPr>
        <w:footnoteRef/>
      </w:r>
      <w:r w:rsidRPr="00E017CF">
        <w:rPr>
          <w:rFonts w:ascii="Arial" w:hAnsi="Arial" w:cs="Arial"/>
        </w:rPr>
        <w:t xml:space="preserve"> Ídem.</w:t>
      </w:r>
    </w:p>
  </w:footnote>
  <w:footnote w:id="4">
    <w:p w14:paraId="40FA0527" w14:textId="77777777" w:rsidR="00F30C9B" w:rsidRPr="000A6DF1" w:rsidRDefault="00F30C9B" w:rsidP="00F30C9B">
      <w:pPr>
        <w:pStyle w:val="Textonotapie"/>
        <w:jc w:val="both"/>
        <w:rPr>
          <w:rFonts w:ascii="Arial" w:hAnsi="Arial" w:cs="Arial"/>
          <w:i/>
          <w:iCs/>
        </w:rPr>
      </w:pPr>
      <w:r>
        <w:rPr>
          <w:rStyle w:val="Refdenotaalpie"/>
        </w:rPr>
        <w:footnoteRef/>
      </w:r>
      <w:r>
        <w:t xml:space="preserve"> </w:t>
      </w:r>
      <w:r>
        <w:rPr>
          <w:rFonts w:ascii="Arial" w:hAnsi="Arial" w:cs="Arial"/>
          <w:i/>
          <w:iCs/>
        </w:rPr>
        <w:t>“</w:t>
      </w:r>
      <w:r w:rsidRPr="000A6DF1">
        <w:rPr>
          <w:rFonts w:ascii="Arial" w:hAnsi="Arial" w:cs="Arial"/>
          <w:b/>
          <w:bCs/>
          <w:i/>
          <w:iCs/>
        </w:rPr>
        <w:t xml:space="preserve">ARTÍCULO 203.- </w:t>
      </w:r>
      <w:r w:rsidRPr="000A6DF1">
        <w:rPr>
          <w:rFonts w:ascii="Arial" w:hAnsi="Arial" w:cs="Arial"/>
          <w:i/>
          <w:iCs/>
        </w:rPr>
        <w:t>La valoración de las pruebas se hará de acuerdo con las siguientes reglas:</w:t>
      </w:r>
    </w:p>
    <w:p w14:paraId="52A48867" w14:textId="77777777" w:rsidR="00F30C9B" w:rsidRPr="000A6DF1" w:rsidRDefault="00F30C9B" w:rsidP="00F30C9B">
      <w:pPr>
        <w:pStyle w:val="Textonotapie"/>
        <w:jc w:val="both"/>
        <w:rPr>
          <w:rFonts w:ascii="Arial" w:hAnsi="Arial" w:cs="Arial"/>
          <w:i/>
          <w:iCs/>
        </w:rPr>
      </w:pPr>
      <w:r w:rsidRPr="000A6DF1">
        <w:rPr>
          <w:rFonts w:ascii="Arial" w:hAnsi="Arial" w:cs="Arial"/>
          <w:i/>
          <w:iCs/>
        </w:rPr>
        <w:t>I. Harán prueba plena la confesión expresa de las partes y los actos contenidos en documentos públicos, si en éstos últimos se contienen declaraciones de verdad o manifestaciones de hechos de particulares;</w:t>
      </w:r>
      <w:r>
        <w:rPr>
          <w:rFonts w:ascii="Arial" w:hAnsi="Arial" w:cs="Arial"/>
          <w:i/>
          <w:iCs/>
        </w:rPr>
        <w:t>”</w:t>
      </w:r>
    </w:p>
    <w:p w14:paraId="0D11AC17" w14:textId="77777777" w:rsidR="00F30C9B" w:rsidRPr="00A24868" w:rsidRDefault="00F30C9B" w:rsidP="00F30C9B">
      <w:pPr>
        <w:pStyle w:val="Textonotapie"/>
      </w:pPr>
    </w:p>
  </w:footnote>
  <w:footnote w:id="5">
    <w:p w14:paraId="7A03AB92" w14:textId="77777777" w:rsidR="00F30C9B" w:rsidRPr="00025635" w:rsidRDefault="00F30C9B" w:rsidP="00F30C9B">
      <w:pPr>
        <w:pStyle w:val="Textonotapie"/>
        <w:jc w:val="both"/>
        <w:rPr>
          <w:rFonts w:ascii="Arial" w:hAnsi="Arial" w:cs="Arial"/>
          <w:i/>
          <w:iCs/>
        </w:rPr>
      </w:pPr>
      <w:r>
        <w:rPr>
          <w:rStyle w:val="Refdenotaalpie"/>
        </w:rPr>
        <w:footnoteRef/>
      </w:r>
      <w:r>
        <w:t xml:space="preserve"> “</w:t>
      </w:r>
      <w:r w:rsidRPr="00025635">
        <w:rPr>
          <w:rFonts w:ascii="Arial" w:hAnsi="Arial" w:cs="Arial"/>
          <w:b/>
          <w:bCs/>
          <w:i/>
          <w:iCs/>
        </w:rPr>
        <w:t>ARTÍCULO 108.</w:t>
      </w:r>
      <w:r w:rsidRPr="00025635">
        <w:rPr>
          <w:rFonts w:ascii="Arial" w:hAnsi="Arial" w:cs="Arial"/>
          <w:i/>
          <w:iCs/>
        </w:rPr>
        <w:t xml:space="preserve"> Para prestar el servicio público de transporte, se requiere de una concesión otorgada por el Gobernador del Estado o por la Secretaría, conforme al procedimiento que señala esta Ley y su Reglamento.</w:t>
      </w:r>
    </w:p>
    <w:p w14:paraId="79D9E93C" w14:textId="77777777" w:rsidR="00F30C9B" w:rsidRPr="00025635" w:rsidRDefault="00F30C9B" w:rsidP="00F30C9B">
      <w:pPr>
        <w:pStyle w:val="Textonotapie"/>
        <w:jc w:val="both"/>
        <w:rPr>
          <w:rFonts w:ascii="Arial" w:hAnsi="Arial" w:cs="Arial"/>
          <w:i/>
          <w:iCs/>
        </w:rPr>
      </w:pPr>
      <w:r w:rsidRPr="00025635">
        <w:rPr>
          <w:rFonts w:ascii="Arial" w:hAnsi="Arial" w:cs="Arial"/>
          <w:i/>
          <w:iCs/>
        </w:rPr>
        <w:t>La concesión estará sujeta a su renovación cada cinco años y en la fracción que reste en su vigencia, la Secretaría asentara la constancia de renovación en el título de concesión y hará la anotación del trámite en la sección del registro que corresponda de conformidad con los periodos y condiciones que determine la presente Ley y su Reglamento.</w:t>
      </w:r>
    </w:p>
    <w:p w14:paraId="37D5A3E6" w14:textId="77777777" w:rsidR="00F30C9B" w:rsidRPr="00025635" w:rsidRDefault="00F30C9B" w:rsidP="00F30C9B">
      <w:pPr>
        <w:pStyle w:val="Textonotapie"/>
        <w:jc w:val="both"/>
        <w:rPr>
          <w:rFonts w:ascii="Arial" w:hAnsi="Arial" w:cs="Arial"/>
          <w:i/>
          <w:iCs/>
        </w:rPr>
      </w:pPr>
      <w:r w:rsidRPr="00025635">
        <w:rPr>
          <w:rFonts w:ascii="Arial" w:hAnsi="Arial" w:cs="Arial"/>
          <w:i/>
          <w:iCs/>
        </w:rPr>
        <w:t>Las concesiones se otorgarán en favor de personas físicas o morales de nacionalidad mexicana, que acrediten documentalmente contar con la capacidad legal, administrativa, técnica y financiera necesaria para proporcionar un servicio eficiente y de calidad.</w:t>
      </w:r>
      <w:r>
        <w:rPr>
          <w:rFonts w:ascii="Arial" w:hAnsi="Arial" w:cs="Arial"/>
          <w:i/>
          <w:iCs/>
        </w:rPr>
        <w:t>”</w:t>
      </w:r>
    </w:p>
    <w:p w14:paraId="19FD8733" w14:textId="77777777" w:rsidR="00F30C9B" w:rsidRPr="00025635" w:rsidRDefault="00F30C9B" w:rsidP="00F30C9B">
      <w:pPr>
        <w:pStyle w:val="Textonotapie"/>
        <w:jc w:val="both"/>
        <w:rPr>
          <w:rFonts w:ascii="Arial" w:hAnsi="Arial" w:cs="Arial"/>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081766"/>
      <w:docPartObj>
        <w:docPartGallery w:val="Page Numbers (Top of Page)"/>
        <w:docPartUnique/>
      </w:docPartObj>
    </w:sdtPr>
    <w:sdtEndPr/>
    <w:sdtContent>
      <w:p w14:paraId="0409FE29" w14:textId="6CDD1B42" w:rsidR="000F5C41" w:rsidRDefault="00820EA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D322CD" w:rsidRPr="00D322CD">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B874C" w14:textId="1052891F" w:rsidR="000F5C41" w:rsidRDefault="00820EA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D322CD" w:rsidRPr="00D322CD">
          <w:rPr>
            <w:noProof/>
            <w:lang w:val="es-ES"/>
          </w:rPr>
          <w:t>1</w:t>
        </w:r>
        <w:r w:rsidR="000F5C41">
          <w:fldChar w:fldCharType="end"/>
        </w:r>
      </w:sdtContent>
    </w:sdt>
  </w:p>
  <w:p w14:paraId="51E22156" w14:textId="78FDB3AC"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429D3888">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62A8079"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E3C94" w14:textId="2C1A9D1C" w:rsidR="00D73C07" w:rsidRDefault="00820EA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094157"/>
    <w:multiLevelType w:val="hybridMultilevel"/>
    <w:tmpl w:val="D5B03D00"/>
    <w:lvl w:ilvl="0" w:tplc="91722CA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3"/>
  </w:num>
  <w:num w:numId="3">
    <w:abstractNumId w:val="0"/>
  </w:num>
  <w:num w:numId="4">
    <w:abstractNumId w:val="8"/>
  </w:num>
  <w:num w:numId="5">
    <w:abstractNumId w:val="10"/>
  </w:num>
  <w:num w:numId="6">
    <w:abstractNumId w:val="6"/>
  </w:num>
  <w:num w:numId="7">
    <w:abstractNumId w:val="5"/>
  </w:num>
  <w:num w:numId="8">
    <w:abstractNumId w:val="1"/>
  </w:num>
  <w:num w:numId="9">
    <w:abstractNumId w:val="4"/>
  </w:num>
  <w:num w:numId="10">
    <w:abstractNumId w:val="7"/>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375"/>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40F"/>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126"/>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C1F"/>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71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6F13"/>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41B"/>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659"/>
    <w:rsid w:val="003379FB"/>
    <w:rsid w:val="00337DF6"/>
    <w:rsid w:val="0034068D"/>
    <w:rsid w:val="0034180B"/>
    <w:rsid w:val="00341A52"/>
    <w:rsid w:val="00342184"/>
    <w:rsid w:val="0034266B"/>
    <w:rsid w:val="00342740"/>
    <w:rsid w:val="00342B26"/>
    <w:rsid w:val="00342CE5"/>
    <w:rsid w:val="00343BE2"/>
    <w:rsid w:val="003448FF"/>
    <w:rsid w:val="003455A2"/>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5CD"/>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0FDE"/>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E95"/>
    <w:rsid w:val="0063772A"/>
    <w:rsid w:val="006418C8"/>
    <w:rsid w:val="006427D9"/>
    <w:rsid w:val="00642BAE"/>
    <w:rsid w:val="00642CAD"/>
    <w:rsid w:val="00643498"/>
    <w:rsid w:val="00643D25"/>
    <w:rsid w:val="006448DB"/>
    <w:rsid w:val="00644D3E"/>
    <w:rsid w:val="00645AB9"/>
    <w:rsid w:val="00645CDF"/>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3B22"/>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0EAF"/>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400"/>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07"/>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AED"/>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22CD"/>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0C9B"/>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15611374">
      <w:bodyDiv w:val="1"/>
      <w:marLeft w:val="0"/>
      <w:marRight w:val="0"/>
      <w:marTop w:val="0"/>
      <w:marBottom w:val="0"/>
      <w:divBdr>
        <w:top w:val="none" w:sz="0" w:space="0" w:color="auto"/>
        <w:left w:val="none" w:sz="0" w:space="0" w:color="auto"/>
        <w:bottom w:val="none" w:sz="0" w:space="0" w:color="auto"/>
        <w:right w:val="none" w:sz="0" w:space="0" w:color="auto"/>
      </w:divBdr>
    </w:div>
    <w:div w:id="124290955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7485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66974-0A23-45F4-A48B-B6B926344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4421</Words>
  <Characters>24321</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Rossy</cp:lastModifiedBy>
  <cp:revision>6</cp:revision>
  <cp:lastPrinted>2020-12-04T16:58:00Z</cp:lastPrinted>
  <dcterms:created xsi:type="dcterms:W3CDTF">2020-11-09T16:02:00Z</dcterms:created>
  <dcterms:modified xsi:type="dcterms:W3CDTF">2021-02-08T05:48:00Z</dcterms:modified>
</cp:coreProperties>
</file>