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8A522D"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14:paraId="557F4257" w14:textId="780D21DA" w:rsidR="00C06661" w:rsidRPr="00CB6405" w:rsidRDefault="00187EB8" w:rsidP="00C06661">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445</w:t>
      </w:r>
      <w:r w:rsidR="00FF518D">
        <w:rPr>
          <w:rFonts w:ascii="Arial" w:hAnsi="Arial" w:cs="Arial"/>
          <w:b/>
          <w:sz w:val="26"/>
          <w:szCs w:val="26"/>
        </w:rPr>
        <w:t>/20</w:t>
      </w:r>
      <w:r>
        <w:rPr>
          <w:rFonts w:ascii="Arial" w:hAnsi="Arial" w:cs="Arial"/>
          <w:b/>
          <w:sz w:val="26"/>
          <w:szCs w:val="26"/>
        </w:rPr>
        <w:t>19</w:t>
      </w:r>
    </w:p>
    <w:p w14:paraId="0E20F414" w14:textId="0D5E16FE"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187EB8">
        <w:rPr>
          <w:rFonts w:ascii="Arial" w:hAnsi="Arial" w:cs="Arial"/>
          <w:b/>
          <w:sz w:val="26"/>
          <w:szCs w:val="26"/>
        </w:rPr>
        <w:t>82</w:t>
      </w:r>
      <w:r>
        <w:rPr>
          <w:rFonts w:ascii="Arial" w:hAnsi="Arial" w:cs="Arial"/>
          <w:b/>
          <w:sz w:val="26"/>
          <w:szCs w:val="26"/>
        </w:rPr>
        <w:t>/</w:t>
      </w:r>
      <w:r w:rsidRPr="00CB6405">
        <w:rPr>
          <w:rFonts w:ascii="Arial" w:hAnsi="Arial" w:cs="Arial"/>
          <w:b/>
          <w:sz w:val="26"/>
          <w:szCs w:val="26"/>
        </w:rPr>
        <w:t>201</w:t>
      </w:r>
      <w:r w:rsidR="006B7AEC">
        <w:rPr>
          <w:rFonts w:ascii="Arial" w:hAnsi="Arial" w:cs="Arial"/>
          <w:b/>
          <w:sz w:val="26"/>
          <w:szCs w:val="26"/>
        </w:rPr>
        <w:t>9</w:t>
      </w:r>
      <w:r w:rsidRPr="00CB6405">
        <w:rPr>
          <w:rFonts w:ascii="Arial" w:hAnsi="Arial" w:cs="Arial"/>
          <w:b/>
          <w:sz w:val="26"/>
          <w:szCs w:val="26"/>
        </w:rPr>
        <w:t xml:space="preserve"> </w:t>
      </w:r>
      <w:r w:rsidR="00431ECB">
        <w:rPr>
          <w:rFonts w:ascii="Arial" w:hAnsi="Arial" w:cs="Arial"/>
          <w:b/>
          <w:sz w:val="26"/>
          <w:szCs w:val="26"/>
        </w:rPr>
        <w:t>QUINTA</w:t>
      </w:r>
      <w:r w:rsidR="00D60731">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14:paraId="2140547F" w14:textId="18F2D1D4"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w:t>
      </w:r>
      <w:r w:rsidR="00431ECB">
        <w:rPr>
          <w:rFonts w:ascii="Arial" w:hAnsi="Arial" w:cs="Arial"/>
          <w:b/>
          <w:sz w:val="26"/>
          <w:szCs w:val="26"/>
        </w:rPr>
        <w:t>O ABRAHAM SANTIAGO SORIANO.</w:t>
      </w:r>
    </w:p>
    <w:p w14:paraId="72E48555" w14:textId="0AEC2480" w:rsidR="000F560C" w:rsidRDefault="000F560C" w:rsidP="000F560C">
      <w:pPr>
        <w:spacing w:before="240" w:line="360" w:lineRule="auto"/>
        <w:jc w:val="both"/>
        <w:rPr>
          <w:rFonts w:ascii="Arial" w:hAnsi="Arial" w:cs="Arial"/>
          <w:b/>
          <w:sz w:val="26"/>
          <w:szCs w:val="26"/>
        </w:rPr>
      </w:pPr>
      <w:r>
        <w:rPr>
          <w:rFonts w:ascii="Arial" w:hAnsi="Arial" w:cs="Arial"/>
          <w:b/>
          <w:sz w:val="26"/>
          <w:szCs w:val="26"/>
        </w:rPr>
        <w:t>OAXACA DE JUÁREZ, OAXACA</w:t>
      </w:r>
      <w:r w:rsidR="007A7126">
        <w:rPr>
          <w:rFonts w:ascii="Arial" w:hAnsi="Arial" w:cs="Arial"/>
          <w:b/>
          <w:sz w:val="26"/>
          <w:szCs w:val="26"/>
        </w:rPr>
        <w:t xml:space="preserve">, A UNO DE OCTUBRE </w:t>
      </w:r>
      <w:r>
        <w:rPr>
          <w:rFonts w:ascii="Arial" w:hAnsi="Arial" w:cs="Arial"/>
          <w:b/>
          <w:sz w:val="26"/>
          <w:szCs w:val="26"/>
        </w:rPr>
        <w:t xml:space="preserve">DE DOS MIL </w:t>
      </w:r>
      <w:r w:rsidR="006B7AEC">
        <w:rPr>
          <w:rFonts w:ascii="Arial" w:hAnsi="Arial" w:cs="Arial"/>
          <w:b/>
          <w:sz w:val="26"/>
          <w:szCs w:val="26"/>
        </w:rPr>
        <w:t>VEINTE</w:t>
      </w:r>
      <w:r>
        <w:rPr>
          <w:rFonts w:ascii="Arial" w:hAnsi="Arial" w:cs="Arial"/>
          <w:b/>
          <w:sz w:val="26"/>
          <w:szCs w:val="26"/>
        </w:rPr>
        <w:t>.</w:t>
      </w:r>
      <w:r w:rsidR="007A7126">
        <w:rPr>
          <w:rFonts w:ascii="Arial" w:hAnsi="Arial" w:cs="Arial"/>
          <w:b/>
          <w:sz w:val="26"/>
          <w:szCs w:val="26"/>
        </w:rPr>
        <w:t xml:space="preserve"> - - - - - - - - - - - - - - - - - - - - - - - - - - - - - - - - - - - - - - - - - - - - - </w:t>
      </w:r>
    </w:p>
    <w:p w14:paraId="43DBF73A" w14:textId="0245819C" w:rsidR="004446D8" w:rsidRPr="00CB6405" w:rsidRDefault="00B525A6" w:rsidP="00D82AEB">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00187EB8">
        <w:rPr>
          <w:rFonts w:ascii="Arial" w:hAnsi="Arial" w:cs="Arial"/>
          <w:b/>
          <w:sz w:val="26"/>
          <w:szCs w:val="26"/>
        </w:rPr>
        <w:t>445</w:t>
      </w:r>
      <w:r w:rsidRPr="00CB6405">
        <w:rPr>
          <w:rFonts w:ascii="Arial" w:hAnsi="Arial" w:cs="Arial"/>
          <w:b/>
          <w:sz w:val="26"/>
          <w:szCs w:val="26"/>
        </w:rPr>
        <w:t>/201</w:t>
      </w:r>
      <w:r w:rsidR="006B7AEC">
        <w:rPr>
          <w:rFonts w:ascii="Arial" w:hAnsi="Arial" w:cs="Arial"/>
          <w:b/>
          <w:sz w:val="26"/>
          <w:szCs w:val="26"/>
        </w:rPr>
        <w:t>9</w:t>
      </w:r>
      <w:r w:rsidRPr="00CB6405">
        <w:rPr>
          <w:rFonts w:ascii="Arial" w:hAnsi="Arial" w:cs="Arial"/>
          <w:sz w:val="26"/>
          <w:szCs w:val="26"/>
        </w:rPr>
        <w:t>, que remite la Secretaría General de Acuerdos, con motivo del recurso de revisión interpuesto por</w:t>
      </w:r>
      <w:r w:rsidR="00665C64">
        <w:rPr>
          <w:rFonts w:ascii="Arial" w:hAnsi="Arial" w:cs="Arial"/>
          <w:sz w:val="26"/>
          <w:szCs w:val="26"/>
        </w:rPr>
        <w:t xml:space="preserve"> </w:t>
      </w:r>
      <w:r w:rsidR="0081379B">
        <w:rPr>
          <w:rFonts w:ascii="Arial" w:hAnsi="Arial" w:cs="Arial"/>
          <w:sz w:val="24"/>
          <w:szCs w:val="24"/>
        </w:rPr>
        <w:t>***********</w:t>
      </w:r>
      <w:r w:rsidR="009207FE">
        <w:rPr>
          <w:rFonts w:ascii="Arial" w:hAnsi="Arial" w:cs="Arial"/>
          <w:sz w:val="26"/>
          <w:szCs w:val="26"/>
        </w:rPr>
        <w:t>,</w:t>
      </w:r>
      <w:r w:rsidRPr="00CB6405">
        <w:rPr>
          <w:rFonts w:ascii="Arial" w:hAnsi="Arial" w:cs="Arial"/>
          <w:sz w:val="26"/>
          <w:szCs w:val="26"/>
        </w:rPr>
        <w:t xml:space="preserve"> en contra de</w:t>
      </w:r>
      <w:r w:rsidR="00187EB8">
        <w:rPr>
          <w:rFonts w:ascii="Arial" w:hAnsi="Arial" w:cs="Arial"/>
          <w:sz w:val="26"/>
          <w:szCs w:val="26"/>
        </w:rPr>
        <w:t>l acuerdo</w:t>
      </w:r>
      <w:r>
        <w:rPr>
          <w:rFonts w:ascii="Arial" w:hAnsi="Arial" w:cs="Arial"/>
          <w:sz w:val="26"/>
          <w:szCs w:val="26"/>
        </w:rPr>
        <w:t xml:space="preserve"> de </w:t>
      </w:r>
      <w:r w:rsidR="00431ECB">
        <w:rPr>
          <w:rFonts w:ascii="Arial" w:hAnsi="Arial" w:cs="Arial"/>
          <w:sz w:val="26"/>
          <w:szCs w:val="26"/>
        </w:rPr>
        <w:t>trece</w:t>
      </w:r>
      <w:r w:rsidR="00187EB8">
        <w:rPr>
          <w:rFonts w:ascii="Arial" w:hAnsi="Arial" w:cs="Arial"/>
          <w:sz w:val="26"/>
          <w:szCs w:val="26"/>
        </w:rPr>
        <w:t xml:space="preserve"> de noviembre</w:t>
      </w:r>
      <w:r w:rsidR="00D60731">
        <w:rPr>
          <w:rFonts w:ascii="Arial" w:hAnsi="Arial" w:cs="Arial"/>
          <w:sz w:val="26"/>
          <w:szCs w:val="26"/>
        </w:rPr>
        <w:t xml:space="preserve"> </w:t>
      </w:r>
      <w:r w:rsidR="00665C64">
        <w:rPr>
          <w:rFonts w:ascii="Arial" w:hAnsi="Arial" w:cs="Arial"/>
          <w:sz w:val="26"/>
          <w:szCs w:val="26"/>
        </w:rPr>
        <w:t>de dos mil</w:t>
      </w:r>
      <w:r w:rsidR="00D60731">
        <w:rPr>
          <w:rFonts w:ascii="Arial" w:hAnsi="Arial" w:cs="Arial"/>
          <w:sz w:val="26"/>
          <w:szCs w:val="26"/>
        </w:rPr>
        <w:t xml:space="preserve"> diecinueve</w:t>
      </w:r>
      <w:r w:rsidR="00187EB8">
        <w:rPr>
          <w:rFonts w:ascii="Arial" w:hAnsi="Arial" w:cs="Arial"/>
          <w:sz w:val="26"/>
          <w:szCs w:val="26"/>
        </w:rPr>
        <w:t>, dictado</w:t>
      </w:r>
      <w:r w:rsidRPr="00CB6405">
        <w:rPr>
          <w:rFonts w:ascii="Arial" w:hAnsi="Arial" w:cs="Arial"/>
          <w:sz w:val="26"/>
          <w:szCs w:val="26"/>
        </w:rPr>
        <w:t xml:space="preserve"> en el expediente </w:t>
      </w:r>
      <w:r w:rsidR="00187EB8">
        <w:rPr>
          <w:rFonts w:ascii="Arial" w:hAnsi="Arial" w:cs="Arial"/>
          <w:b/>
          <w:sz w:val="26"/>
          <w:szCs w:val="26"/>
        </w:rPr>
        <w:t>82/2019</w:t>
      </w:r>
      <w:r w:rsidRPr="00CB6405">
        <w:rPr>
          <w:rFonts w:ascii="Arial" w:hAnsi="Arial" w:cs="Arial"/>
          <w:sz w:val="26"/>
          <w:szCs w:val="26"/>
        </w:rPr>
        <w:t xml:space="preserve"> de la </w:t>
      </w:r>
      <w:r w:rsidR="00431ECB">
        <w:rPr>
          <w:rFonts w:ascii="Arial" w:hAnsi="Arial" w:cs="Arial"/>
          <w:sz w:val="26"/>
          <w:szCs w:val="26"/>
        </w:rPr>
        <w:t>Quinta</w:t>
      </w:r>
      <w:r w:rsidR="00D60731">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187EB8">
        <w:rPr>
          <w:rFonts w:ascii="Arial" w:hAnsi="Arial" w:cs="Arial"/>
          <w:b/>
          <w:sz w:val="26"/>
          <w:szCs w:val="26"/>
        </w:rPr>
        <w:t>LA RECURRENTE</w:t>
      </w:r>
      <w:r w:rsidRPr="00CB6405">
        <w:rPr>
          <w:rFonts w:ascii="Arial" w:hAnsi="Arial" w:cs="Arial"/>
          <w:b/>
          <w:sz w:val="26"/>
          <w:szCs w:val="26"/>
        </w:rPr>
        <w:t xml:space="preserve">, </w:t>
      </w:r>
      <w:r w:rsidRPr="00CB6405">
        <w:rPr>
          <w:rFonts w:ascii="Arial" w:hAnsi="Arial" w:cs="Arial"/>
          <w:sz w:val="26"/>
          <w:szCs w:val="26"/>
        </w:rPr>
        <w:t xml:space="preserve">en contra </w:t>
      </w:r>
      <w:r w:rsidR="00187EB8">
        <w:rPr>
          <w:rFonts w:ascii="Arial" w:hAnsi="Arial" w:cs="Arial"/>
          <w:b/>
          <w:sz w:val="26"/>
          <w:szCs w:val="26"/>
        </w:rPr>
        <w:t>de la COORDINADORA DE COBRO CACTIVO, DEPENDIENTE DE LA DIRECCIÓN DE INGRESOS Y RECAUDACIÓN DE LA SECRETARÍA DE FINANZAS DEL GOBIERNO DEL ESTADO DE OAXACA</w:t>
      </w:r>
      <w:r w:rsidRPr="006B3BEA">
        <w:rPr>
          <w:rFonts w:ascii="Arial" w:hAnsi="Arial" w:cs="Arial"/>
          <w:sz w:val="26"/>
          <w:szCs w:val="26"/>
        </w:rPr>
        <w:t>;</w:t>
      </w:r>
      <w:r w:rsidRPr="00CB6405">
        <w:rPr>
          <w:rFonts w:ascii="Arial" w:hAnsi="Arial" w:cs="Arial"/>
          <w:b/>
          <w:sz w:val="26"/>
          <w:szCs w:val="26"/>
        </w:rPr>
        <w:t xml:space="preserve"> </w:t>
      </w:r>
      <w:r w:rsidR="004446D8" w:rsidRPr="00CB6405">
        <w:rPr>
          <w:rFonts w:ascii="Arial" w:hAnsi="Arial" w:cs="Arial"/>
          <w:sz w:val="26"/>
          <w:szCs w:val="26"/>
        </w:rPr>
        <w:t>por lo que co</w:t>
      </w:r>
      <w:r w:rsidR="004446D8">
        <w:rPr>
          <w:rFonts w:ascii="Arial" w:hAnsi="Arial" w:cs="Arial"/>
          <w:sz w:val="26"/>
          <w:szCs w:val="26"/>
        </w:rPr>
        <w:t>n fundamento en los artículos 236 y 23</w:t>
      </w:r>
      <w:r w:rsidR="004446D8" w:rsidRPr="00CB6405">
        <w:rPr>
          <w:rFonts w:ascii="Arial" w:hAnsi="Arial" w:cs="Arial"/>
          <w:sz w:val="26"/>
          <w:szCs w:val="26"/>
        </w:rPr>
        <w:t xml:space="preserve">8 de la Ley de </w:t>
      </w:r>
      <w:r w:rsidR="004446D8">
        <w:rPr>
          <w:rFonts w:ascii="Arial" w:hAnsi="Arial" w:cs="Arial"/>
          <w:sz w:val="26"/>
          <w:szCs w:val="26"/>
        </w:rPr>
        <w:t xml:space="preserve">Procedimiento y Justicia Administrativa para el </w:t>
      </w:r>
      <w:r w:rsidR="004446D8" w:rsidRPr="00CB6405">
        <w:rPr>
          <w:rFonts w:ascii="Arial" w:hAnsi="Arial" w:cs="Arial"/>
          <w:sz w:val="26"/>
          <w:szCs w:val="26"/>
        </w:rPr>
        <w:t>Estado de Oaxaca</w:t>
      </w:r>
      <w:r w:rsidR="004446D8">
        <w:rPr>
          <w:rFonts w:ascii="Arial" w:hAnsi="Arial" w:cs="Arial"/>
          <w:sz w:val="26"/>
          <w:szCs w:val="26"/>
        </w:rPr>
        <w:t xml:space="preserve">, </w:t>
      </w:r>
      <w:r w:rsidR="004446D8" w:rsidRPr="00CB6405">
        <w:rPr>
          <w:rFonts w:ascii="Arial" w:hAnsi="Arial" w:cs="Arial"/>
          <w:sz w:val="26"/>
          <w:szCs w:val="26"/>
        </w:rPr>
        <w:t>se admite. En consecuencia, se procede a dictar resolución en los siguientes términos:</w:t>
      </w:r>
    </w:p>
    <w:p w14:paraId="68A854E5" w14:textId="77777777" w:rsidR="00B525A6" w:rsidRPr="00CB6405" w:rsidRDefault="00B525A6" w:rsidP="006B7AEC">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1CCDB374" w14:textId="04EF601C" w:rsidR="00B525A6" w:rsidRPr="00CB6405" w:rsidRDefault="00B525A6" w:rsidP="00B525A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187EB8">
        <w:rPr>
          <w:rFonts w:ascii="Arial" w:hAnsi="Arial" w:cs="Arial"/>
          <w:sz w:val="26"/>
          <w:szCs w:val="26"/>
        </w:rPr>
        <w:t>el acuerdo</w:t>
      </w:r>
      <w:r>
        <w:rPr>
          <w:rFonts w:ascii="Arial" w:hAnsi="Arial" w:cs="Arial"/>
          <w:sz w:val="26"/>
          <w:szCs w:val="26"/>
        </w:rPr>
        <w:t xml:space="preserve"> </w:t>
      </w:r>
      <w:r w:rsidRPr="00CB6405">
        <w:rPr>
          <w:rFonts w:ascii="Arial" w:hAnsi="Arial" w:cs="Arial"/>
          <w:sz w:val="26"/>
          <w:szCs w:val="26"/>
        </w:rPr>
        <w:t xml:space="preserve">de </w:t>
      </w:r>
      <w:r w:rsidR="00431ECB">
        <w:rPr>
          <w:rFonts w:ascii="Arial" w:hAnsi="Arial" w:cs="Arial"/>
          <w:sz w:val="26"/>
          <w:szCs w:val="26"/>
        </w:rPr>
        <w:t>trece</w:t>
      </w:r>
      <w:r w:rsidR="00187EB8">
        <w:rPr>
          <w:rFonts w:ascii="Arial" w:hAnsi="Arial" w:cs="Arial"/>
          <w:sz w:val="26"/>
          <w:szCs w:val="26"/>
        </w:rPr>
        <w:t xml:space="preserve"> de noviembre</w:t>
      </w:r>
      <w:r w:rsidR="00D60731">
        <w:rPr>
          <w:rFonts w:ascii="Arial" w:hAnsi="Arial" w:cs="Arial"/>
          <w:sz w:val="26"/>
          <w:szCs w:val="26"/>
        </w:rPr>
        <w:t xml:space="preserve"> 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187EB8">
        <w:rPr>
          <w:rFonts w:ascii="Arial" w:hAnsi="Arial" w:cs="Arial"/>
          <w:sz w:val="26"/>
          <w:szCs w:val="26"/>
        </w:rPr>
        <w:t>Quinta</w:t>
      </w:r>
      <w:r w:rsidR="00D60731">
        <w:rPr>
          <w:rFonts w:ascii="Arial" w:hAnsi="Arial" w:cs="Arial"/>
          <w:sz w:val="26"/>
          <w:szCs w:val="26"/>
        </w:rPr>
        <w:t xml:space="preserve"> </w:t>
      </w:r>
      <w:r w:rsidRPr="00CB6405">
        <w:rPr>
          <w:rFonts w:ascii="Arial" w:hAnsi="Arial" w:cs="Arial"/>
          <w:sz w:val="26"/>
          <w:szCs w:val="26"/>
        </w:rPr>
        <w:t>Sala</w:t>
      </w:r>
      <w:r w:rsidR="007D070C">
        <w:rPr>
          <w:rFonts w:ascii="Arial" w:hAnsi="Arial" w:cs="Arial"/>
          <w:sz w:val="26"/>
          <w:szCs w:val="26"/>
        </w:rPr>
        <w:t xml:space="preserve"> Unitaria de Primera Instancia,</w:t>
      </w:r>
      <w:r w:rsidR="009207FE">
        <w:rPr>
          <w:rFonts w:ascii="Arial" w:hAnsi="Arial" w:cs="Arial"/>
          <w:sz w:val="26"/>
          <w:szCs w:val="26"/>
        </w:rPr>
        <w:t xml:space="preserve"> </w:t>
      </w:r>
      <w:r w:rsidR="0081379B">
        <w:rPr>
          <w:rFonts w:ascii="Arial" w:hAnsi="Arial" w:cs="Arial"/>
          <w:sz w:val="24"/>
          <w:szCs w:val="24"/>
        </w:rPr>
        <w:t>***********</w:t>
      </w:r>
      <w:r w:rsidRPr="00CB6405">
        <w:rPr>
          <w:rFonts w:ascii="Arial" w:hAnsi="Arial" w:cs="Arial"/>
          <w:sz w:val="26"/>
          <w:szCs w:val="26"/>
        </w:rPr>
        <w:t>, interpuso en su contra r</w:t>
      </w:r>
      <w:bookmarkStart w:id="0" w:name="_GoBack"/>
      <w:bookmarkEnd w:id="0"/>
      <w:r w:rsidRPr="00CB6405">
        <w:rPr>
          <w:rFonts w:ascii="Arial" w:hAnsi="Arial" w:cs="Arial"/>
          <w:sz w:val="26"/>
          <w:szCs w:val="26"/>
        </w:rPr>
        <w:t>ecurso de revisión.</w:t>
      </w:r>
    </w:p>
    <w:p w14:paraId="1A6A2FF3" w14:textId="7CF9B7F5" w:rsidR="00B525A6" w:rsidRDefault="00B525A6" w:rsidP="00B525A6">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820FA7">
        <w:rPr>
          <w:rFonts w:ascii="Arial" w:hAnsi="Arial" w:cs="Arial"/>
          <w:bCs/>
          <w:sz w:val="26"/>
          <w:szCs w:val="26"/>
        </w:rPr>
        <w:t>El acuerdo recurrido es del tenor literal siguiente</w:t>
      </w:r>
      <w:r>
        <w:rPr>
          <w:rFonts w:ascii="Arial" w:hAnsi="Arial" w:cs="Arial"/>
          <w:bCs/>
          <w:sz w:val="26"/>
          <w:szCs w:val="26"/>
        </w:rPr>
        <w:t>:</w:t>
      </w:r>
    </w:p>
    <w:p w14:paraId="05D4451D" w14:textId="3BEB1D68" w:rsidR="004B3A2F" w:rsidRDefault="00B525A6" w:rsidP="0084256F">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00820FA7" w:rsidRPr="00820FA7">
        <w:rPr>
          <w:rFonts w:ascii="Arial" w:eastAsia="Times New Roman" w:hAnsi="Arial" w:cs="Arial"/>
          <w:bCs/>
          <w:i/>
          <w:iCs/>
          <w:sz w:val="24"/>
          <w:szCs w:val="24"/>
          <w:lang w:eastAsia="es-ES"/>
        </w:rPr>
        <w:t>Dada</w:t>
      </w:r>
      <w:r w:rsidR="00820FA7">
        <w:rPr>
          <w:rFonts w:ascii="Arial" w:eastAsia="Times New Roman" w:hAnsi="Arial" w:cs="Arial"/>
          <w:b/>
          <w:bCs/>
          <w:i/>
          <w:iCs/>
          <w:sz w:val="24"/>
          <w:szCs w:val="24"/>
          <w:lang w:eastAsia="es-ES"/>
        </w:rPr>
        <w:t xml:space="preserve"> </w:t>
      </w:r>
      <w:r w:rsidR="00820FA7">
        <w:rPr>
          <w:rFonts w:ascii="Arial" w:eastAsia="Times New Roman" w:hAnsi="Arial" w:cs="Arial"/>
          <w:bCs/>
          <w:i/>
          <w:iCs/>
          <w:sz w:val="24"/>
          <w:szCs w:val="24"/>
          <w:lang w:eastAsia="es-ES"/>
        </w:rPr>
        <w:t xml:space="preserve">cuenta con el </w:t>
      </w:r>
      <w:r w:rsidR="00860E78">
        <w:rPr>
          <w:rFonts w:ascii="Arial" w:eastAsia="Times New Roman" w:hAnsi="Arial" w:cs="Arial"/>
          <w:bCs/>
          <w:i/>
          <w:iCs/>
          <w:sz w:val="24"/>
          <w:szCs w:val="24"/>
          <w:lang w:eastAsia="es-ES"/>
        </w:rPr>
        <w:t>escrito</w:t>
      </w:r>
      <w:r w:rsidR="00820FA7">
        <w:rPr>
          <w:rFonts w:ascii="Arial" w:eastAsia="Times New Roman" w:hAnsi="Arial" w:cs="Arial"/>
          <w:bCs/>
          <w:i/>
          <w:iCs/>
          <w:sz w:val="24"/>
          <w:szCs w:val="24"/>
          <w:lang w:eastAsia="es-ES"/>
        </w:rPr>
        <w:t xml:space="preserve"> signado por la actora, </w:t>
      </w:r>
      <w:r w:rsidR="00860E78">
        <w:rPr>
          <w:rFonts w:ascii="Arial" w:eastAsia="Times New Roman" w:hAnsi="Arial" w:cs="Arial"/>
          <w:bCs/>
          <w:i/>
          <w:iCs/>
          <w:sz w:val="24"/>
          <w:szCs w:val="24"/>
          <w:lang w:eastAsia="es-ES"/>
        </w:rPr>
        <w:t>presentado</w:t>
      </w:r>
      <w:r w:rsidR="00820FA7">
        <w:rPr>
          <w:rFonts w:ascii="Arial" w:eastAsia="Times New Roman" w:hAnsi="Arial" w:cs="Arial"/>
          <w:bCs/>
          <w:i/>
          <w:iCs/>
          <w:sz w:val="24"/>
          <w:szCs w:val="24"/>
          <w:lang w:eastAsia="es-ES"/>
        </w:rPr>
        <w:t xml:space="preserve"> ante la </w:t>
      </w:r>
      <w:r w:rsidR="00860E78">
        <w:rPr>
          <w:rFonts w:ascii="Arial" w:eastAsia="Times New Roman" w:hAnsi="Arial" w:cs="Arial"/>
          <w:bCs/>
          <w:i/>
          <w:iCs/>
          <w:sz w:val="24"/>
          <w:szCs w:val="24"/>
          <w:lang w:eastAsia="es-ES"/>
        </w:rPr>
        <w:t>Oficialía</w:t>
      </w:r>
      <w:r w:rsidR="00820FA7">
        <w:rPr>
          <w:rFonts w:ascii="Arial" w:eastAsia="Times New Roman" w:hAnsi="Arial" w:cs="Arial"/>
          <w:bCs/>
          <w:i/>
          <w:iCs/>
          <w:sz w:val="24"/>
          <w:szCs w:val="24"/>
          <w:lang w:eastAsia="es-ES"/>
        </w:rPr>
        <w:t xml:space="preserve"> de Partes Común de este Tribunal, el veintitrés de octubre del año en que se actúa</w:t>
      </w:r>
      <w:r w:rsidR="00860E78">
        <w:rPr>
          <w:rFonts w:ascii="Arial" w:eastAsia="Times New Roman" w:hAnsi="Arial" w:cs="Arial"/>
          <w:bCs/>
          <w:i/>
          <w:iCs/>
          <w:sz w:val="24"/>
          <w:szCs w:val="24"/>
          <w:lang w:eastAsia="es-ES"/>
        </w:rPr>
        <w:t>; atendiendo</w:t>
      </w:r>
      <w:r w:rsidR="007F7BD1">
        <w:rPr>
          <w:rFonts w:ascii="Arial" w:eastAsia="Times New Roman" w:hAnsi="Arial" w:cs="Arial"/>
          <w:bCs/>
          <w:i/>
          <w:iCs/>
          <w:sz w:val="24"/>
          <w:szCs w:val="24"/>
          <w:lang w:eastAsia="es-ES"/>
        </w:rPr>
        <w:t xml:space="preserve"> a su contenido, téngasele </w:t>
      </w:r>
      <w:r w:rsidR="00860E78">
        <w:rPr>
          <w:rFonts w:ascii="Arial" w:eastAsia="Times New Roman" w:hAnsi="Arial" w:cs="Arial"/>
          <w:bCs/>
          <w:i/>
          <w:iCs/>
          <w:sz w:val="24"/>
          <w:szCs w:val="24"/>
          <w:lang w:eastAsia="es-ES"/>
        </w:rPr>
        <w:t>dando</w:t>
      </w:r>
      <w:r w:rsidR="007F7BD1">
        <w:rPr>
          <w:rFonts w:ascii="Arial" w:eastAsia="Times New Roman" w:hAnsi="Arial" w:cs="Arial"/>
          <w:bCs/>
          <w:i/>
          <w:iCs/>
          <w:sz w:val="24"/>
          <w:szCs w:val="24"/>
          <w:lang w:eastAsia="es-ES"/>
        </w:rPr>
        <w:t xml:space="preserve"> </w:t>
      </w:r>
      <w:r w:rsidR="00860E78">
        <w:rPr>
          <w:rFonts w:ascii="Arial" w:eastAsia="Times New Roman" w:hAnsi="Arial" w:cs="Arial"/>
          <w:bCs/>
          <w:i/>
          <w:iCs/>
          <w:sz w:val="24"/>
          <w:szCs w:val="24"/>
          <w:lang w:eastAsia="es-ES"/>
        </w:rPr>
        <w:t>cumplimiento al requerimiento</w:t>
      </w:r>
      <w:r w:rsidR="007F7BD1">
        <w:rPr>
          <w:rFonts w:ascii="Arial" w:eastAsia="Times New Roman" w:hAnsi="Arial" w:cs="Arial"/>
          <w:bCs/>
          <w:i/>
          <w:iCs/>
          <w:sz w:val="24"/>
          <w:szCs w:val="24"/>
          <w:lang w:eastAsia="es-ES"/>
        </w:rPr>
        <w:t xml:space="preserve"> efectuado mediante </w:t>
      </w:r>
      <w:r w:rsidR="00860E78">
        <w:rPr>
          <w:rFonts w:ascii="Arial" w:eastAsia="Times New Roman" w:hAnsi="Arial" w:cs="Arial"/>
          <w:bCs/>
          <w:i/>
          <w:iCs/>
          <w:sz w:val="24"/>
          <w:szCs w:val="24"/>
          <w:lang w:eastAsia="es-ES"/>
        </w:rPr>
        <w:t>proveído</w:t>
      </w:r>
      <w:r w:rsidR="007F7BD1">
        <w:rPr>
          <w:rFonts w:ascii="Arial" w:eastAsia="Times New Roman" w:hAnsi="Arial" w:cs="Arial"/>
          <w:bCs/>
          <w:i/>
          <w:iCs/>
          <w:sz w:val="24"/>
          <w:szCs w:val="24"/>
          <w:lang w:eastAsia="es-ES"/>
        </w:rPr>
        <w:t xml:space="preserve"> de fecha veintidós de agosto de do</w:t>
      </w:r>
      <w:r w:rsidR="00B93406">
        <w:rPr>
          <w:rFonts w:ascii="Arial" w:eastAsia="Times New Roman" w:hAnsi="Arial" w:cs="Arial"/>
          <w:bCs/>
          <w:i/>
          <w:iCs/>
          <w:sz w:val="24"/>
          <w:szCs w:val="24"/>
          <w:lang w:eastAsia="es-ES"/>
        </w:rPr>
        <w:t>s mil diecinueve y manifestando</w:t>
      </w:r>
      <w:r w:rsidR="007F7BD1">
        <w:rPr>
          <w:rFonts w:ascii="Arial" w:eastAsia="Times New Roman" w:hAnsi="Arial" w:cs="Arial"/>
          <w:bCs/>
          <w:i/>
          <w:iCs/>
          <w:sz w:val="24"/>
          <w:szCs w:val="24"/>
          <w:lang w:eastAsia="es-ES"/>
        </w:rPr>
        <w:t xml:space="preserve"> que promueve por su propio derecho </w:t>
      </w:r>
      <w:r w:rsidR="007F7BD1" w:rsidRPr="00B93406">
        <w:rPr>
          <w:rFonts w:ascii="Arial" w:eastAsia="Times New Roman" w:hAnsi="Arial" w:cs="Arial"/>
          <w:b/>
          <w:bCs/>
          <w:i/>
          <w:iCs/>
          <w:sz w:val="24"/>
          <w:szCs w:val="24"/>
          <w:lang w:eastAsia="es-ES"/>
        </w:rPr>
        <w:t>Juicio de Nulidad</w:t>
      </w:r>
      <w:r w:rsidR="007F7BD1">
        <w:rPr>
          <w:rFonts w:ascii="Arial" w:eastAsia="Times New Roman" w:hAnsi="Arial" w:cs="Arial"/>
          <w:bCs/>
          <w:i/>
          <w:iCs/>
          <w:sz w:val="24"/>
          <w:szCs w:val="24"/>
          <w:lang w:eastAsia="es-ES"/>
        </w:rPr>
        <w:t xml:space="preserve"> en contra del </w:t>
      </w:r>
      <w:r w:rsidR="00B93406">
        <w:rPr>
          <w:rFonts w:ascii="Arial" w:eastAsia="Times New Roman" w:hAnsi="Arial" w:cs="Arial"/>
          <w:bCs/>
          <w:i/>
          <w:iCs/>
          <w:sz w:val="24"/>
          <w:szCs w:val="24"/>
          <w:lang w:eastAsia="es-ES"/>
        </w:rPr>
        <w:t>Mandamiento</w:t>
      </w:r>
      <w:r w:rsidR="007F7BD1">
        <w:rPr>
          <w:rFonts w:ascii="Arial" w:eastAsia="Times New Roman" w:hAnsi="Arial" w:cs="Arial"/>
          <w:bCs/>
          <w:i/>
          <w:iCs/>
          <w:sz w:val="24"/>
          <w:szCs w:val="24"/>
          <w:lang w:eastAsia="es-ES"/>
        </w:rPr>
        <w:t xml:space="preserve">  de </w:t>
      </w:r>
      <w:r w:rsidR="00B93406">
        <w:rPr>
          <w:rFonts w:ascii="Arial" w:eastAsia="Times New Roman" w:hAnsi="Arial" w:cs="Arial"/>
          <w:bCs/>
          <w:i/>
          <w:iCs/>
          <w:sz w:val="24"/>
          <w:szCs w:val="24"/>
          <w:lang w:eastAsia="es-ES"/>
        </w:rPr>
        <w:t>Ejecución</w:t>
      </w:r>
      <w:r w:rsidR="007F7BD1">
        <w:rPr>
          <w:rFonts w:ascii="Arial" w:eastAsia="Times New Roman" w:hAnsi="Arial" w:cs="Arial"/>
          <w:bCs/>
          <w:i/>
          <w:iCs/>
          <w:sz w:val="24"/>
          <w:szCs w:val="24"/>
          <w:lang w:eastAsia="es-ES"/>
        </w:rPr>
        <w:t xml:space="preserve"> número </w:t>
      </w:r>
      <w:r w:rsidR="0081379B">
        <w:rPr>
          <w:rFonts w:ascii="Arial" w:hAnsi="Arial" w:cs="Arial"/>
          <w:sz w:val="24"/>
          <w:szCs w:val="24"/>
        </w:rPr>
        <w:t>***********</w:t>
      </w:r>
      <w:r w:rsidR="0081379B">
        <w:rPr>
          <w:rFonts w:ascii="Arial" w:hAnsi="Arial" w:cs="Arial"/>
          <w:sz w:val="24"/>
          <w:szCs w:val="24"/>
        </w:rPr>
        <w:t xml:space="preserve"> </w:t>
      </w:r>
      <w:r w:rsidR="007F7BD1">
        <w:rPr>
          <w:rFonts w:ascii="Arial" w:eastAsia="Times New Roman" w:hAnsi="Arial" w:cs="Arial"/>
          <w:bCs/>
          <w:i/>
          <w:iCs/>
          <w:sz w:val="24"/>
          <w:szCs w:val="24"/>
          <w:lang w:eastAsia="es-ES"/>
        </w:rPr>
        <w:t xml:space="preserve">de fecha veinte de mayo del año en que se actúa (20/05/2019) emitido por la COORDINADORA DE COBRO COACTIVO dependiente de </w:t>
      </w:r>
      <w:r w:rsidR="007F7BD1">
        <w:rPr>
          <w:rFonts w:ascii="Arial" w:eastAsia="Times New Roman" w:hAnsi="Arial" w:cs="Arial"/>
          <w:bCs/>
          <w:i/>
          <w:iCs/>
          <w:sz w:val="24"/>
          <w:szCs w:val="24"/>
          <w:lang w:eastAsia="es-ES"/>
        </w:rPr>
        <w:lastRenderedPageBreak/>
        <w:t xml:space="preserve">la </w:t>
      </w:r>
      <w:r w:rsidR="00B93406">
        <w:rPr>
          <w:rFonts w:ascii="Arial" w:eastAsia="Times New Roman" w:hAnsi="Arial" w:cs="Arial"/>
          <w:bCs/>
          <w:i/>
          <w:iCs/>
          <w:sz w:val="24"/>
          <w:szCs w:val="24"/>
          <w:lang w:eastAsia="es-ES"/>
        </w:rPr>
        <w:t>Dirección</w:t>
      </w:r>
      <w:r w:rsidR="007F7BD1">
        <w:rPr>
          <w:rFonts w:ascii="Arial" w:eastAsia="Times New Roman" w:hAnsi="Arial" w:cs="Arial"/>
          <w:bCs/>
          <w:i/>
          <w:iCs/>
          <w:sz w:val="24"/>
          <w:szCs w:val="24"/>
          <w:lang w:eastAsia="es-ES"/>
        </w:rPr>
        <w:t xml:space="preserve"> de Ingresos y </w:t>
      </w:r>
      <w:r w:rsidR="00B93406">
        <w:rPr>
          <w:rFonts w:ascii="Arial" w:eastAsia="Times New Roman" w:hAnsi="Arial" w:cs="Arial"/>
          <w:bCs/>
          <w:i/>
          <w:iCs/>
          <w:sz w:val="24"/>
          <w:szCs w:val="24"/>
          <w:lang w:eastAsia="es-ES"/>
        </w:rPr>
        <w:t>Recaudación</w:t>
      </w:r>
      <w:r w:rsidR="007F7BD1">
        <w:rPr>
          <w:rFonts w:ascii="Arial" w:eastAsia="Times New Roman" w:hAnsi="Arial" w:cs="Arial"/>
          <w:bCs/>
          <w:i/>
          <w:iCs/>
          <w:sz w:val="24"/>
          <w:szCs w:val="24"/>
          <w:lang w:eastAsia="es-ES"/>
        </w:rPr>
        <w:t xml:space="preserve"> de la </w:t>
      </w:r>
      <w:r w:rsidR="00B93406">
        <w:rPr>
          <w:rFonts w:ascii="Arial" w:eastAsia="Times New Roman" w:hAnsi="Arial" w:cs="Arial"/>
          <w:bCs/>
          <w:i/>
          <w:iCs/>
          <w:sz w:val="24"/>
          <w:szCs w:val="24"/>
          <w:lang w:eastAsia="es-ES"/>
        </w:rPr>
        <w:t>Secretaría</w:t>
      </w:r>
      <w:r w:rsidR="007F7BD1">
        <w:rPr>
          <w:rFonts w:ascii="Arial" w:eastAsia="Times New Roman" w:hAnsi="Arial" w:cs="Arial"/>
          <w:bCs/>
          <w:i/>
          <w:iCs/>
          <w:sz w:val="24"/>
          <w:szCs w:val="24"/>
          <w:lang w:eastAsia="es-ES"/>
        </w:rPr>
        <w:t xml:space="preserve"> de Finanzas  del </w:t>
      </w:r>
      <w:r w:rsidR="00B93406">
        <w:rPr>
          <w:rFonts w:ascii="Arial" w:eastAsia="Times New Roman" w:hAnsi="Arial" w:cs="Arial"/>
          <w:bCs/>
          <w:i/>
          <w:iCs/>
          <w:sz w:val="24"/>
          <w:szCs w:val="24"/>
          <w:lang w:eastAsia="es-ES"/>
        </w:rPr>
        <w:t>Gobierno</w:t>
      </w:r>
      <w:r w:rsidR="007F7BD1">
        <w:rPr>
          <w:rFonts w:ascii="Arial" w:eastAsia="Times New Roman" w:hAnsi="Arial" w:cs="Arial"/>
          <w:bCs/>
          <w:i/>
          <w:iCs/>
          <w:sz w:val="24"/>
          <w:szCs w:val="24"/>
          <w:lang w:eastAsia="es-ES"/>
        </w:rPr>
        <w:t xml:space="preserve"> del Estado de Oaxaca; por lo que atendiendo a su </w:t>
      </w:r>
      <w:r w:rsidR="00B93406">
        <w:rPr>
          <w:rFonts w:ascii="Arial" w:eastAsia="Times New Roman" w:hAnsi="Arial" w:cs="Arial"/>
          <w:bCs/>
          <w:i/>
          <w:iCs/>
          <w:sz w:val="24"/>
          <w:szCs w:val="24"/>
          <w:lang w:eastAsia="es-ES"/>
        </w:rPr>
        <w:t>escrito</w:t>
      </w:r>
      <w:r w:rsidR="007F7BD1">
        <w:rPr>
          <w:rFonts w:ascii="Arial" w:eastAsia="Times New Roman" w:hAnsi="Arial" w:cs="Arial"/>
          <w:bCs/>
          <w:i/>
          <w:iCs/>
          <w:sz w:val="24"/>
          <w:szCs w:val="24"/>
          <w:lang w:eastAsia="es-ES"/>
        </w:rPr>
        <w:t xml:space="preserve">  inicial y el de cuenta, y toda vez que este Juzgador advierte que el acto impugnado  deviene de la </w:t>
      </w:r>
      <w:r w:rsidR="00B93406">
        <w:rPr>
          <w:rFonts w:ascii="Arial" w:eastAsia="Times New Roman" w:hAnsi="Arial" w:cs="Arial"/>
          <w:bCs/>
          <w:i/>
          <w:iCs/>
          <w:sz w:val="24"/>
          <w:szCs w:val="24"/>
          <w:lang w:eastAsia="es-ES"/>
        </w:rPr>
        <w:t>resolución</w:t>
      </w:r>
      <w:r w:rsidR="007F7BD1">
        <w:rPr>
          <w:rFonts w:ascii="Arial" w:eastAsia="Times New Roman" w:hAnsi="Arial" w:cs="Arial"/>
          <w:bCs/>
          <w:i/>
          <w:iCs/>
          <w:sz w:val="24"/>
          <w:szCs w:val="24"/>
          <w:lang w:eastAsia="es-ES"/>
        </w:rPr>
        <w:t xml:space="preserve"> determinante </w:t>
      </w:r>
      <w:r w:rsidR="0081379B">
        <w:rPr>
          <w:rFonts w:ascii="Arial" w:hAnsi="Arial" w:cs="Arial"/>
          <w:sz w:val="24"/>
          <w:szCs w:val="24"/>
        </w:rPr>
        <w:t>***********</w:t>
      </w:r>
      <w:r w:rsidR="0081379B">
        <w:rPr>
          <w:rFonts w:ascii="Arial" w:hAnsi="Arial" w:cs="Arial"/>
          <w:sz w:val="24"/>
          <w:szCs w:val="24"/>
        </w:rPr>
        <w:t xml:space="preserve"> </w:t>
      </w:r>
      <w:r w:rsidR="007F7BD1">
        <w:rPr>
          <w:rFonts w:ascii="Arial" w:eastAsia="Times New Roman" w:hAnsi="Arial" w:cs="Arial"/>
          <w:bCs/>
          <w:i/>
          <w:iCs/>
          <w:sz w:val="24"/>
          <w:szCs w:val="24"/>
          <w:lang w:eastAsia="es-ES"/>
        </w:rPr>
        <w:t xml:space="preserve">de treinta de septiembre de dos mil catorce (30/09/2014), la cual refiere la actora </w:t>
      </w:r>
      <w:r w:rsidR="00B93406">
        <w:rPr>
          <w:rFonts w:ascii="Arial" w:eastAsia="Times New Roman" w:hAnsi="Arial" w:cs="Arial"/>
          <w:bCs/>
          <w:i/>
          <w:iCs/>
          <w:sz w:val="24"/>
          <w:szCs w:val="24"/>
          <w:lang w:eastAsia="es-ES"/>
        </w:rPr>
        <w:t>desconocer</w:t>
      </w:r>
      <w:r w:rsidR="007F7BD1">
        <w:rPr>
          <w:rFonts w:ascii="Arial" w:eastAsia="Times New Roman" w:hAnsi="Arial" w:cs="Arial"/>
          <w:bCs/>
          <w:i/>
          <w:iCs/>
          <w:sz w:val="24"/>
          <w:szCs w:val="24"/>
          <w:lang w:eastAsia="es-ES"/>
        </w:rPr>
        <w:t xml:space="preserve">, en la que se impuso  a la actora Multa por la </w:t>
      </w:r>
      <w:r w:rsidR="00B93406">
        <w:rPr>
          <w:rFonts w:ascii="Arial" w:eastAsia="Times New Roman" w:hAnsi="Arial" w:cs="Arial"/>
          <w:bCs/>
          <w:i/>
          <w:iCs/>
          <w:sz w:val="24"/>
          <w:szCs w:val="24"/>
          <w:lang w:eastAsia="es-ES"/>
        </w:rPr>
        <w:t>Omisión</w:t>
      </w:r>
      <w:r w:rsidR="007F7BD1">
        <w:rPr>
          <w:rFonts w:ascii="Arial" w:eastAsia="Times New Roman" w:hAnsi="Arial" w:cs="Arial"/>
          <w:bCs/>
          <w:i/>
          <w:iCs/>
          <w:sz w:val="24"/>
          <w:szCs w:val="24"/>
          <w:lang w:eastAsia="es-ES"/>
        </w:rPr>
        <w:t xml:space="preserve"> del Primer Informe  de </w:t>
      </w:r>
      <w:r w:rsidR="00B93406">
        <w:rPr>
          <w:rFonts w:ascii="Arial" w:eastAsia="Times New Roman" w:hAnsi="Arial" w:cs="Arial"/>
          <w:bCs/>
          <w:i/>
          <w:iCs/>
          <w:sz w:val="24"/>
          <w:szCs w:val="24"/>
          <w:lang w:eastAsia="es-ES"/>
        </w:rPr>
        <w:t>Avance</w:t>
      </w:r>
      <w:r w:rsidR="007F7BD1">
        <w:rPr>
          <w:rFonts w:ascii="Arial" w:eastAsia="Times New Roman" w:hAnsi="Arial" w:cs="Arial"/>
          <w:bCs/>
          <w:i/>
          <w:iCs/>
          <w:sz w:val="24"/>
          <w:szCs w:val="24"/>
          <w:lang w:eastAsia="es-ES"/>
        </w:rPr>
        <w:t xml:space="preserve">  de </w:t>
      </w:r>
      <w:r w:rsidR="00B93406">
        <w:rPr>
          <w:rFonts w:ascii="Arial" w:eastAsia="Times New Roman" w:hAnsi="Arial" w:cs="Arial"/>
          <w:bCs/>
          <w:i/>
          <w:iCs/>
          <w:sz w:val="24"/>
          <w:szCs w:val="24"/>
          <w:lang w:eastAsia="es-ES"/>
        </w:rPr>
        <w:t>Gestión</w:t>
      </w:r>
      <w:r w:rsidR="007F7BD1">
        <w:rPr>
          <w:rFonts w:ascii="Arial" w:eastAsia="Times New Roman" w:hAnsi="Arial" w:cs="Arial"/>
          <w:bCs/>
          <w:i/>
          <w:iCs/>
          <w:sz w:val="24"/>
          <w:szCs w:val="24"/>
          <w:lang w:eastAsia="es-ES"/>
        </w:rPr>
        <w:t xml:space="preserve"> Financiera </w:t>
      </w:r>
      <w:r w:rsidR="00B93406">
        <w:rPr>
          <w:rFonts w:ascii="Arial" w:eastAsia="Times New Roman" w:hAnsi="Arial" w:cs="Arial"/>
          <w:bCs/>
          <w:i/>
          <w:iCs/>
          <w:sz w:val="24"/>
          <w:szCs w:val="24"/>
          <w:lang w:eastAsia="es-ES"/>
        </w:rPr>
        <w:t>correspondientes</w:t>
      </w:r>
      <w:r w:rsidR="007F7BD1">
        <w:rPr>
          <w:rFonts w:ascii="Arial" w:eastAsia="Times New Roman" w:hAnsi="Arial" w:cs="Arial"/>
          <w:bCs/>
          <w:i/>
          <w:iCs/>
          <w:sz w:val="24"/>
          <w:szCs w:val="24"/>
          <w:lang w:eastAsia="es-ES"/>
        </w:rPr>
        <w:t xml:space="preserve"> al Trimestre Enero-Marzo del </w:t>
      </w:r>
      <w:r w:rsidR="00B93406">
        <w:rPr>
          <w:rFonts w:ascii="Arial" w:eastAsia="Times New Roman" w:hAnsi="Arial" w:cs="Arial"/>
          <w:bCs/>
          <w:i/>
          <w:iCs/>
          <w:sz w:val="24"/>
          <w:szCs w:val="24"/>
          <w:lang w:eastAsia="es-ES"/>
        </w:rPr>
        <w:t>Ejercicio</w:t>
      </w:r>
      <w:r w:rsidR="007F7BD1">
        <w:rPr>
          <w:rFonts w:ascii="Arial" w:eastAsia="Times New Roman" w:hAnsi="Arial" w:cs="Arial"/>
          <w:bCs/>
          <w:i/>
          <w:iCs/>
          <w:sz w:val="24"/>
          <w:szCs w:val="24"/>
          <w:lang w:eastAsia="es-ES"/>
        </w:rPr>
        <w:t xml:space="preserve"> Fiscal 2014 y omisión </w:t>
      </w:r>
      <w:r w:rsidR="00B93406">
        <w:rPr>
          <w:rFonts w:ascii="Arial" w:eastAsia="Times New Roman" w:hAnsi="Arial" w:cs="Arial"/>
          <w:bCs/>
          <w:i/>
          <w:iCs/>
          <w:sz w:val="24"/>
          <w:szCs w:val="24"/>
          <w:lang w:eastAsia="es-ES"/>
        </w:rPr>
        <w:t>del segundo informe</w:t>
      </w:r>
      <w:r w:rsidR="007F7BD1">
        <w:rPr>
          <w:rFonts w:ascii="Arial" w:eastAsia="Times New Roman" w:hAnsi="Arial" w:cs="Arial"/>
          <w:bCs/>
          <w:i/>
          <w:iCs/>
          <w:sz w:val="24"/>
          <w:szCs w:val="24"/>
          <w:lang w:eastAsia="es-ES"/>
        </w:rPr>
        <w:t xml:space="preserve"> de </w:t>
      </w:r>
      <w:r w:rsidR="00B93406">
        <w:rPr>
          <w:rFonts w:ascii="Arial" w:eastAsia="Times New Roman" w:hAnsi="Arial" w:cs="Arial"/>
          <w:bCs/>
          <w:i/>
          <w:iCs/>
          <w:sz w:val="24"/>
          <w:szCs w:val="24"/>
          <w:lang w:eastAsia="es-ES"/>
        </w:rPr>
        <w:t>Avance</w:t>
      </w:r>
      <w:r w:rsidR="007F7BD1">
        <w:rPr>
          <w:rFonts w:ascii="Arial" w:eastAsia="Times New Roman" w:hAnsi="Arial" w:cs="Arial"/>
          <w:bCs/>
          <w:i/>
          <w:iCs/>
          <w:sz w:val="24"/>
          <w:szCs w:val="24"/>
          <w:lang w:eastAsia="es-ES"/>
        </w:rPr>
        <w:t xml:space="preserve"> de </w:t>
      </w:r>
      <w:r w:rsidR="00B93406">
        <w:rPr>
          <w:rFonts w:ascii="Arial" w:eastAsia="Times New Roman" w:hAnsi="Arial" w:cs="Arial"/>
          <w:bCs/>
          <w:i/>
          <w:iCs/>
          <w:sz w:val="24"/>
          <w:szCs w:val="24"/>
          <w:lang w:eastAsia="es-ES"/>
        </w:rPr>
        <w:t>Gestión</w:t>
      </w:r>
      <w:r w:rsidR="007F7BD1">
        <w:rPr>
          <w:rFonts w:ascii="Arial" w:eastAsia="Times New Roman" w:hAnsi="Arial" w:cs="Arial"/>
          <w:bCs/>
          <w:i/>
          <w:iCs/>
          <w:sz w:val="24"/>
          <w:szCs w:val="24"/>
          <w:lang w:eastAsia="es-ES"/>
        </w:rPr>
        <w:t xml:space="preserve"> Financiera del Trimestre Abril-Junio del </w:t>
      </w:r>
      <w:r w:rsidR="00B93406">
        <w:rPr>
          <w:rFonts w:ascii="Arial" w:eastAsia="Times New Roman" w:hAnsi="Arial" w:cs="Arial"/>
          <w:bCs/>
          <w:i/>
          <w:iCs/>
          <w:sz w:val="24"/>
          <w:szCs w:val="24"/>
          <w:lang w:eastAsia="es-ES"/>
        </w:rPr>
        <w:t>ejercicio</w:t>
      </w:r>
      <w:r w:rsidR="007F7BD1">
        <w:rPr>
          <w:rFonts w:ascii="Arial" w:eastAsia="Times New Roman" w:hAnsi="Arial" w:cs="Arial"/>
          <w:bCs/>
          <w:i/>
          <w:iCs/>
          <w:sz w:val="24"/>
          <w:szCs w:val="24"/>
          <w:lang w:eastAsia="es-ES"/>
        </w:rPr>
        <w:t xml:space="preserve"> Fiscal dos mil catorce, es decir, de </w:t>
      </w:r>
      <w:r w:rsidR="00B93406">
        <w:rPr>
          <w:rFonts w:ascii="Arial" w:eastAsia="Times New Roman" w:hAnsi="Arial" w:cs="Arial"/>
          <w:bCs/>
          <w:i/>
          <w:iCs/>
          <w:sz w:val="24"/>
          <w:szCs w:val="24"/>
          <w:lang w:eastAsia="es-ES"/>
        </w:rPr>
        <w:t>sanciones</w:t>
      </w:r>
      <w:r w:rsidR="007F7BD1">
        <w:rPr>
          <w:rFonts w:ascii="Arial" w:eastAsia="Times New Roman" w:hAnsi="Arial" w:cs="Arial"/>
          <w:bCs/>
          <w:i/>
          <w:iCs/>
          <w:sz w:val="24"/>
          <w:szCs w:val="24"/>
          <w:lang w:eastAsia="es-ES"/>
        </w:rPr>
        <w:t xml:space="preserve"> impuestas con motivo de </w:t>
      </w:r>
      <w:r w:rsidR="007F7BD1" w:rsidRPr="00B93406">
        <w:rPr>
          <w:rFonts w:ascii="Arial" w:eastAsia="Times New Roman" w:hAnsi="Arial" w:cs="Arial"/>
          <w:bCs/>
          <w:i/>
          <w:iCs/>
          <w:sz w:val="24"/>
          <w:szCs w:val="24"/>
          <w:u w:val="single"/>
          <w:lang w:eastAsia="es-ES"/>
        </w:rPr>
        <w:t>rendición de cuentas</w:t>
      </w:r>
      <w:r w:rsidR="007F7BD1">
        <w:rPr>
          <w:rFonts w:ascii="Arial" w:eastAsia="Times New Roman" w:hAnsi="Arial" w:cs="Arial"/>
          <w:bCs/>
          <w:i/>
          <w:iCs/>
          <w:sz w:val="24"/>
          <w:szCs w:val="24"/>
          <w:lang w:eastAsia="es-ES"/>
        </w:rPr>
        <w:t xml:space="preserve">, y que corresponde a la </w:t>
      </w:r>
      <w:r w:rsidR="007F7BD1" w:rsidRPr="00B93406">
        <w:rPr>
          <w:rFonts w:ascii="Arial" w:eastAsia="Times New Roman" w:hAnsi="Arial" w:cs="Arial"/>
          <w:b/>
          <w:bCs/>
          <w:i/>
          <w:iCs/>
          <w:sz w:val="24"/>
          <w:szCs w:val="24"/>
          <w:lang w:eastAsia="es-ES"/>
        </w:rPr>
        <w:t xml:space="preserve">Sala </w:t>
      </w:r>
      <w:r w:rsidR="00B93406" w:rsidRPr="00B93406">
        <w:rPr>
          <w:rFonts w:ascii="Arial" w:eastAsia="Times New Roman" w:hAnsi="Arial" w:cs="Arial"/>
          <w:b/>
          <w:bCs/>
          <w:i/>
          <w:iCs/>
          <w:sz w:val="24"/>
          <w:szCs w:val="24"/>
          <w:lang w:eastAsia="es-ES"/>
        </w:rPr>
        <w:t>Superior</w:t>
      </w:r>
      <w:r w:rsidR="007F7BD1">
        <w:rPr>
          <w:rFonts w:ascii="Arial" w:eastAsia="Times New Roman" w:hAnsi="Arial" w:cs="Arial"/>
          <w:bCs/>
          <w:i/>
          <w:iCs/>
          <w:sz w:val="24"/>
          <w:szCs w:val="24"/>
          <w:lang w:eastAsia="es-ES"/>
        </w:rPr>
        <w:t xml:space="preserve"> de este Tribunal el conocer del </w:t>
      </w:r>
      <w:r w:rsidR="00B93406">
        <w:rPr>
          <w:rFonts w:ascii="Arial" w:eastAsia="Times New Roman" w:hAnsi="Arial" w:cs="Arial"/>
          <w:bCs/>
          <w:i/>
          <w:iCs/>
          <w:sz w:val="24"/>
          <w:szCs w:val="24"/>
          <w:lang w:eastAsia="es-ES"/>
        </w:rPr>
        <w:t>presente</w:t>
      </w:r>
      <w:r w:rsidR="007F7BD1">
        <w:rPr>
          <w:rFonts w:ascii="Arial" w:eastAsia="Times New Roman" w:hAnsi="Arial" w:cs="Arial"/>
          <w:bCs/>
          <w:i/>
          <w:iCs/>
          <w:sz w:val="24"/>
          <w:szCs w:val="24"/>
          <w:lang w:eastAsia="es-ES"/>
        </w:rPr>
        <w:t xml:space="preserve"> asunto, de conformidad  con lo establecido  en el </w:t>
      </w:r>
      <w:r w:rsidR="00B93406">
        <w:rPr>
          <w:rFonts w:ascii="Arial" w:eastAsia="Times New Roman" w:hAnsi="Arial" w:cs="Arial"/>
          <w:bCs/>
          <w:i/>
          <w:iCs/>
          <w:sz w:val="24"/>
          <w:szCs w:val="24"/>
          <w:lang w:eastAsia="es-ES"/>
        </w:rPr>
        <w:t>artículo</w:t>
      </w:r>
      <w:r w:rsidR="007F7BD1">
        <w:rPr>
          <w:rFonts w:ascii="Arial" w:eastAsia="Times New Roman" w:hAnsi="Arial" w:cs="Arial"/>
          <w:bCs/>
          <w:i/>
          <w:iCs/>
          <w:sz w:val="24"/>
          <w:szCs w:val="24"/>
          <w:lang w:eastAsia="es-ES"/>
        </w:rPr>
        <w:t xml:space="preserve"> 130, fracción VI de la Ley de </w:t>
      </w:r>
      <w:r w:rsidR="00B93406">
        <w:rPr>
          <w:rFonts w:ascii="Arial" w:eastAsia="Times New Roman" w:hAnsi="Arial" w:cs="Arial"/>
          <w:bCs/>
          <w:i/>
          <w:iCs/>
          <w:sz w:val="24"/>
          <w:szCs w:val="24"/>
          <w:lang w:eastAsia="es-ES"/>
        </w:rPr>
        <w:t>Procedimiento</w:t>
      </w:r>
      <w:r w:rsidR="007F7BD1">
        <w:rPr>
          <w:rFonts w:ascii="Arial" w:eastAsia="Times New Roman" w:hAnsi="Arial" w:cs="Arial"/>
          <w:bCs/>
          <w:i/>
          <w:iCs/>
          <w:sz w:val="24"/>
          <w:szCs w:val="24"/>
          <w:lang w:eastAsia="es-ES"/>
        </w:rPr>
        <w:t xml:space="preserve"> y Justicia Administrativa  para el Estado de Oaxaca; pues como se señaló con antelación, se trata de una resolución emitida por la otrora Auditoria </w:t>
      </w:r>
      <w:r w:rsidR="00B93406">
        <w:rPr>
          <w:rFonts w:ascii="Arial" w:eastAsia="Times New Roman" w:hAnsi="Arial" w:cs="Arial"/>
          <w:bCs/>
          <w:i/>
          <w:iCs/>
          <w:sz w:val="24"/>
          <w:szCs w:val="24"/>
          <w:lang w:eastAsia="es-ES"/>
        </w:rPr>
        <w:t>Superior</w:t>
      </w:r>
      <w:r w:rsidR="007F7BD1">
        <w:rPr>
          <w:rFonts w:ascii="Arial" w:eastAsia="Times New Roman" w:hAnsi="Arial" w:cs="Arial"/>
          <w:bCs/>
          <w:i/>
          <w:iCs/>
          <w:sz w:val="24"/>
          <w:szCs w:val="24"/>
          <w:lang w:eastAsia="es-ES"/>
        </w:rPr>
        <w:t xml:space="preserve"> del Estado de Oaxaca, siendo la instancia antes aludida la competente para conocer  a través del Juicio de Inconformidad, del </w:t>
      </w:r>
      <w:r w:rsidR="00B93406">
        <w:rPr>
          <w:rFonts w:ascii="Arial" w:eastAsia="Times New Roman" w:hAnsi="Arial" w:cs="Arial"/>
          <w:bCs/>
          <w:i/>
          <w:iCs/>
          <w:sz w:val="24"/>
          <w:szCs w:val="24"/>
          <w:lang w:eastAsia="es-ES"/>
        </w:rPr>
        <w:t>presente</w:t>
      </w:r>
      <w:r w:rsidR="007F7BD1">
        <w:rPr>
          <w:rFonts w:ascii="Arial" w:eastAsia="Times New Roman" w:hAnsi="Arial" w:cs="Arial"/>
          <w:bCs/>
          <w:i/>
          <w:iCs/>
          <w:sz w:val="24"/>
          <w:szCs w:val="24"/>
          <w:lang w:eastAsia="es-ES"/>
        </w:rPr>
        <w:t xml:space="preserve"> asunto, pues éste debe conocerse como una unidad </w:t>
      </w:r>
      <w:r w:rsidR="00B93406">
        <w:rPr>
          <w:rFonts w:ascii="Arial" w:eastAsia="Times New Roman" w:hAnsi="Arial" w:cs="Arial"/>
          <w:bCs/>
          <w:i/>
          <w:iCs/>
          <w:sz w:val="24"/>
          <w:szCs w:val="24"/>
          <w:lang w:eastAsia="es-ES"/>
        </w:rPr>
        <w:t>indivisible</w:t>
      </w:r>
      <w:r w:rsidR="007F7BD1">
        <w:rPr>
          <w:rFonts w:ascii="Arial" w:eastAsia="Times New Roman" w:hAnsi="Arial" w:cs="Arial"/>
          <w:bCs/>
          <w:i/>
          <w:iCs/>
          <w:sz w:val="24"/>
          <w:szCs w:val="24"/>
          <w:lang w:eastAsia="es-ES"/>
        </w:rPr>
        <w:t xml:space="preserve">, porque no es factible </w:t>
      </w:r>
      <w:r w:rsidR="00B93406">
        <w:rPr>
          <w:rFonts w:ascii="Arial" w:eastAsia="Times New Roman" w:hAnsi="Arial" w:cs="Arial"/>
          <w:bCs/>
          <w:i/>
          <w:iCs/>
          <w:sz w:val="24"/>
          <w:szCs w:val="24"/>
          <w:lang w:eastAsia="es-ES"/>
        </w:rPr>
        <w:t>separarlos</w:t>
      </w:r>
      <w:r w:rsidR="007F7BD1">
        <w:rPr>
          <w:rFonts w:ascii="Arial" w:eastAsia="Times New Roman" w:hAnsi="Arial" w:cs="Arial"/>
          <w:bCs/>
          <w:i/>
          <w:iCs/>
          <w:sz w:val="24"/>
          <w:szCs w:val="24"/>
          <w:lang w:eastAsia="es-ES"/>
        </w:rPr>
        <w:t xml:space="preserve"> para su </w:t>
      </w:r>
      <w:r w:rsidR="00B93406">
        <w:rPr>
          <w:rFonts w:ascii="Arial" w:eastAsia="Times New Roman" w:hAnsi="Arial" w:cs="Arial"/>
          <w:bCs/>
          <w:i/>
          <w:iCs/>
          <w:sz w:val="24"/>
          <w:szCs w:val="24"/>
          <w:lang w:eastAsia="es-ES"/>
        </w:rPr>
        <w:t>estudio</w:t>
      </w:r>
      <w:r w:rsidR="007F7BD1">
        <w:rPr>
          <w:rFonts w:ascii="Arial" w:eastAsia="Times New Roman" w:hAnsi="Arial" w:cs="Arial"/>
          <w:bCs/>
          <w:i/>
          <w:iCs/>
          <w:sz w:val="24"/>
          <w:szCs w:val="24"/>
          <w:lang w:eastAsia="es-ES"/>
        </w:rPr>
        <w:t xml:space="preserve">, ya que le </w:t>
      </w:r>
      <w:r w:rsidR="00B93406">
        <w:rPr>
          <w:rFonts w:ascii="Arial" w:eastAsia="Times New Roman" w:hAnsi="Arial" w:cs="Arial"/>
          <w:bCs/>
          <w:i/>
          <w:iCs/>
          <w:sz w:val="24"/>
          <w:szCs w:val="24"/>
          <w:lang w:eastAsia="es-ES"/>
        </w:rPr>
        <w:t>Mandamiento</w:t>
      </w:r>
      <w:r w:rsidR="007F7BD1">
        <w:rPr>
          <w:rFonts w:ascii="Arial" w:eastAsia="Times New Roman" w:hAnsi="Arial" w:cs="Arial"/>
          <w:bCs/>
          <w:i/>
          <w:iCs/>
          <w:sz w:val="24"/>
          <w:szCs w:val="24"/>
          <w:lang w:eastAsia="es-ES"/>
        </w:rPr>
        <w:t xml:space="preserve"> de </w:t>
      </w:r>
      <w:r w:rsidR="00B93406">
        <w:rPr>
          <w:rFonts w:ascii="Arial" w:eastAsia="Times New Roman" w:hAnsi="Arial" w:cs="Arial"/>
          <w:bCs/>
          <w:i/>
          <w:iCs/>
          <w:sz w:val="24"/>
          <w:szCs w:val="24"/>
          <w:lang w:eastAsia="es-ES"/>
        </w:rPr>
        <w:t>Ejecución</w:t>
      </w:r>
      <w:r w:rsidR="007F7BD1">
        <w:rPr>
          <w:rFonts w:ascii="Arial" w:eastAsia="Times New Roman" w:hAnsi="Arial" w:cs="Arial"/>
          <w:bCs/>
          <w:i/>
          <w:iCs/>
          <w:sz w:val="24"/>
          <w:szCs w:val="24"/>
          <w:lang w:eastAsia="es-ES"/>
        </w:rPr>
        <w:t xml:space="preserve"> es vinculante  con la resolución dictada  por la Auditoría </w:t>
      </w:r>
      <w:r w:rsidR="00B93406">
        <w:rPr>
          <w:rFonts w:ascii="Arial" w:eastAsia="Times New Roman" w:hAnsi="Arial" w:cs="Arial"/>
          <w:bCs/>
          <w:i/>
          <w:iCs/>
          <w:sz w:val="24"/>
          <w:szCs w:val="24"/>
          <w:lang w:eastAsia="es-ES"/>
        </w:rPr>
        <w:t>Superior</w:t>
      </w:r>
      <w:r w:rsidR="007F7BD1">
        <w:rPr>
          <w:rFonts w:ascii="Arial" w:eastAsia="Times New Roman" w:hAnsi="Arial" w:cs="Arial"/>
          <w:bCs/>
          <w:i/>
          <w:iCs/>
          <w:sz w:val="24"/>
          <w:szCs w:val="24"/>
          <w:lang w:eastAsia="es-ES"/>
        </w:rPr>
        <w:t xml:space="preserve"> del Estado, mediante oficio número </w:t>
      </w:r>
      <w:r w:rsidR="0081379B">
        <w:rPr>
          <w:rFonts w:ascii="Arial" w:hAnsi="Arial" w:cs="Arial"/>
          <w:sz w:val="24"/>
          <w:szCs w:val="24"/>
        </w:rPr>
        <w:t>***********</w:t>
      </w:r>
      <w:r w:rsidR="0081379B">
        <w:rPr>
          <w:rFonts w:ascii="Arial" w:hAnsi="Arial" w:cs="Arial"/>
          <w:sz w:val="24"/>
          <w:szCs w:val="24"/>
        </w:rPr>
        <w:t xml:space="preserve"> </w:t>
      </w:r>
      <w:r w:rsidR="007F7BD1">
        <w:rPr>
          <w:rFonts w:ascii="Arial" w:eastAsia="Times New Roman" w:hAnsi="Arial" w:cs="Arial"/>
          <w:bCs/>
          <w:i/>
          <w:iCs/>
          <w:sz w:val="24"/>
          <w:szCs w:val="24"/>
          <w:lang w:eastAsia="es-ES"/>
        </w:rPr>
        <w:t xml:space="preserve">de treinta de septiembre  de dos mil catorce (30/09/2014), y el resolverlas por separado podría originar resoluciones diferentes, contraviniendo con ello el </w:t>
      </w:r>
      <w:r w:rsidR="00B93406">
        <w:rPr>
          <w:rFonts w:ascii="Arial" w:eastAsia="Times New Roman" w:hAnsi="Arial" w:cs="Arial"/>
          <w:bCs/>
          <w:i/>
          <w:iCs/>
          <w:sz w:val="24"/>
          <w:szCs w:val="24"/>
          <w:lang w:eastAsia="es-ES"/>
        </w:rPr>
        <w:t>Principio</w:t>
      </w:r>
      <w:r w:rsidR="007F7BD1">
        <w:rPr>
          <w:rFonts w:ascii="Arial" w:eastAsia="Times New Roman" w:hAnsi="Arial" w:cs="Arial"/>
          <w:bCs/>
          <w:i/>
          <w:iCs/>
          <w:sz w:val="24"/>
          <w:szCs w:val="24"/>
          <w:lang w:eastAsia="es-ES"/>
        </w:rPr>
        <w:t xml:space="preserve"> de Continencia de la Causa. </w:t>
      </w:r>
      <w:r w:rsidR="004B3A2F">
        <w:rPr>
          <w:rFonts w:ascii="Arial" w:eastAsia="Times New Roman" w:hAnsi="Arial" w:cs="Arial"/>
          <w:bCs/>
          <w:i/>
          <w:iCs/>
          <w:sz w:val="24"/>
          <w:szCs w:val="24"/>
          <w:lang w:eastAsia="es-ES"/>
        </w:rPr>
        <w:t xml:space="preserve">Sirva (sic) de Apoyo a lo antes </w:t>
      </w:r>
      <w:r w:rsidR="00B93406">
        <w:rPr>
          <w:rFonts w:ascii="Arial" w:eastAsia="Times New Roman" w:hAnsi="Arial" w:cs="Arial"/>
          <w:bCs/>
          <w:i/>
          <w:iCs/>
          <w:sz w:val="24"/>
          <w:szCs w:val="24"/>
          <w:lang w:eastAsia="es-ES"/>
        </w:rPr>
        <w:t>vertido</w:t>
      </w:r>
      <w:r w:rsidR="004B3A2F">
        <w:rPr>
          <w:rFonts w:ascii="Arial" w:eastAsia="Times New Roman" w:hAnsi="Arial" w:cs="Arial"/>
          <w:bCs/>
          <w:i/>
          <w:iCs/>
          <w:sz w:val="24"/>
          <w:szCs w:val="24"/>
          <w:lang w:eastAsia="es-ES"/>
        </w:rPr>
        <w:t xml:space="preserve"> la (sic) Jurisprudencia en Materia Común, Décima Época, registro electrónico 160967 de rubro: “ACTO RECLAMADO EN EL JUICIO DE AMPARO INDIRECTO. EL PRINCIPIO DE </w:t>
      </w:r>
      <w:r w:rsidR="00B93406">
        <w:rPr>
          <w:rFonts w:ascii="Arial" w:eastAsia="Times New Roman" w:hAnsi="Arial" w:cs="Arial"/>
          <w:bCs/>
          <w:i/>
          <w:iCs/>
          <w:sz w:val="24"/>
          <w:szCs w:val="24"/>
          <w:lang w:eastAsia="es-ES"/>
        </w:rPr>
        <w:t>CONTINENCIA DE</w:t>
      </w:r>
      <w:r w:rsidR="004B3A2F">
        <w:rPr>
          <w:rFonts w:ascii="Arial" w:eastAsia="Times New Roman" w:hAnsi="Arial" w:cs="Arial"/>
          <w:bCs/>
          <w:i/>
          <w:iCs/>
          <w:sz w:val="24"/>
          <w:szCs w:val="24"/>
          <w:lang w:eastAsia="es-ES"/>
        </w:rPr>
        <w:t xml:space="preserve"> LA CAUSA OBLIGA AL JUZGADOR A ESTUDIAR TODOS SUS COMPONENTES, AUNQUE ALGUNOS NO SEAN DE EJECUCIÓN IRREPARABLE.”, así como la Jurisprudencia en materia Común, Décima Época, Registro electrónico 2008443, de rubro: “SENTENCIA QUE DECIDE DOS O MÁS ACCIONES O CUESTIONES JURÍDICAS EN EL MISMO DOCUMENTO. FORMA DE IMPUGNARLA, TANTO EN EL SUPUESTO DE QUE AQUÉLLAS ESTÉN ESTRECHAMENTE VINCULADAS O QUE UNA ACCIÓN DEPENDA DE OTRA, COMO CUANDO DICHAS ACCIONES SEAN AUTÓNOMAS O </w:t>
      </w:r>
      <w:r w:rsidR="004B3A2F">
        <w:rPr>
          <w:rFonts w:ascii="Arial" w:eastAsia="Times New Roman" w:hAnsi="Arial" w:cs="Arial"/>
          <w:bCs/>
          <w:i/>
          <w:iCs/>
          <w:sz w:val="24"/>
          <w:szCs w:val="24"/>
          <w:lang w:eastAsia="es-ES"/>
        </w:rPr>
        <w:lastRenderedPageBreak/>
        <w:t>INDEPENDIENTES ENTRE SÍ.”</w:t>
      </w:r>
    </w:p>
    <w:p w14:paraId="0A2E09B5" w14:textId="6E6E75B0" w:rsidR="00860E78" w:rsidRDefault="004B3A2F" w:rsidP="0084256F">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En esas consideraciones, y para evitar mayores dilaciones, que transgredan los derechos del administrado, esta Quinta Sala Unitaria, se declara</w:t>
      </w:r>
      <w:r w:rsidRPr="00B93406">
        <w:rPr>
          <w:rFonts w:ascii="Arial" w:eastAsia="Times New Roman" w:hAnsi="Arial" w:cs="Arial"/>
          <w:bCs/>
          <w:i/>
          <w:iCs/>
          <w:sz w:val="24"/>
          <w:szCs w:val="24"/>
          <w:u w:val="single"/>
          <w:lang w:eastAsia="es-ES"/>
        </w:rPr>
        <w:t xml:space="preserve"> incompetent</w:t>
      </w:r>
      <w:r w:rsidR="00B93406" w:rsidRPr="00B93406">
        <w:rPr>
          <w:rFonts w:ascii="Arial" w:eastAsia="Times New Roman" w:hAnsi="Arial" w:cs="Arial"/>
          <w:bCs/>
          <w:i/>
          <w:iCs/>
          <w:sz w:val="24"/>
          <w:szCs w:val="24"/>
          <w:u w:val="single"/>
          <w:lang w:eastAsia="es-ES"/>
        </w:rPr>
        <w:t xml:space="preserve">e </w:t>
      </w:r>
      <w:r w:rsidR="00B93406">
        <w:rPr>
          <w:rFonts w:ascii="Arial" w:eastAsia="Times New Roman" w:hAnsi="Arial" w:cs="Arial"/>
          <w:bCs/>
          <w:i/>
          <w:iCs/>
          <w:sz w:val="24"/>
          <w:szCs w:val="24"/>
          <w:lang w:eastAsia="es-ES"/>
        </w:rPr>
        <w:t>para conocer actos referentes</w:t>
      </w:r>
      <w:r>
        <w:rPr>
          <w:rFonts w:ascii="Arial" w:eastAsia="Times New Roman" w:hAnsi="Arial" w:cs="Arial"/>
          <w:bCs/>
          <w:i/>
          <w:iCs/>
          <w:sz w:val="24"/>
          <w:szCs w:val="24"/>
          <w:lang w:eastAsia="es-ES"/>
        </w:rPr>
        <w:t xml:space="preserve"> a la rendición de cuentas, porque de hacerlo, invadiría  la esfera de competencia  de la Sala </w:t>
      </w:r>
      <w:r w:rsidR="00B93406">
        <w:rPr>
          <w:rFonts w:ascii="Arial" w:eastAsia="Times New Roman" w:hAnsi="Arial" w:cs="Arial"/>
          <w:bCs/>
          <w:i/>
          <w:iCs/>
          <w:sz w:val="24"/>
          <w:szCs w:val="24"/>
          <w:lang w:eastAsia="es-ES"/>
        </w:rPr>
        <w:t>Superior</w:t>
      </w:r>
      <w:r>
        <w:rPr>
          <w:rFonts w:ascii="Arial" w:eastAsia="Times New Roman" w:hAnsi="Arial" w:cs="Arial"/>
          <w:bCs/>
          <w:i/>
          <w:iCs/>
          <w:sz w:val="24"/>
          <w:szCs w:val="24"/>
          <w:lang w:eastAsia="es-ES"/>
        </w:rPr>
        <w:t xml:space="preserve">, violentando el </w:t>
      </w:r>
      <w:r w:rsidR="00B93406">
        <w:rPr>
          <w:rFonts w:ascii="Arial" w:eastAsia="Times New Roman" w:hAnsi="Arial" w:cs="Arial"/>
          <w:bCs/>
          <w:i/>
          <w:iCs/>
          <w:sz w:val="24"/>
          <w:szCs w:val="24"/>
          <w:lang w:eastAsia="es-ES"/>
        </w:rPr>
        <w:t>Principio</w:t>
      </w:r>
      <w:r>
        <w:rPr>
          <w:rFonts w:ascii="Arial" w:eastAsia="Times New Roman" w:hAnsi="Arial" w:cs="Arial"/>
          <w:bCs/>
          <w:i/>
          <w:iCs/>
          <w:sz w:val="24"/>
          <w:szCs w:val="24"/>
          <w:lang w:eastAsia="es-ES"/>
        </w:rPr>
        <w:t xml:space="preserve"> de Legalidad  previsto en el </w:t>
      </w:r>
      <w:r w:rsidR="00B93406">
        <w:rPr>
          <w:rFonts w:ascii="Arial" w:eastAsia="Times New Roman" w:hAnsi="Arial" w:cs="Arial"/>
          <w:bCs/>
          <w:i/>
          <w:iCs/>
          <w:sz w:val="24"/>
          <w:szCs w:val="24"/>
          <w:lang w:eastAsia="es-ES"/>
        </w:rPr>
        <w:t>artículo</w:t>
      </w:r>
      <w:r>
        <w:rPr>
          <w:rFonts w:ascii="Arial" w:eastAsia="Times New Roman" w:hAnsi="Arial" w:cs="Arial"/>
          <w:bCs/>
          <w:i/>
          <w:iCs/>
          <w:sz w:val="24"/>
          <w:szCs w:val="24"/>
          <w:lang w:eastAsia="es-ES"/>
        </w:rPr>
        <w:t xml:space="preserve"> 119 de la Ley de </w:t>
      </w:r>
      <w:r w:rsidR="00B93406">
        <w:rPr>
          <w:rFonts w:ascii="Arial" w:eastAsia="Times New Roman" w:hAnsi="Arial" w:cs="Arial"/>
          <w:bCs/>
          <w:i/>
          <w:iCs/>
          <w:sz w:val="24"/>
          <w:szCs w:val="24"/>
          <w:lang w:eastAsia="es-ES"/>
        </w:rPr>
        <w:t>Procedimiento</w:t>
      </w:r>
      <w:r>
        <w:rPr>
          <w:rFonts w:ascii="Arial" w:eastAsia="Times New Roman" w:hAnsi="Arial" w:cs="Arial"/>
          <w:bCs/>
          <w:i/>
          <w:iCs/>
          <w:sz w:val="24"/>
          <w:szCs w:val="24"/>
          <w:lang w:eastAsia="es-ES"/>
        </w:rPr>
        <w:t xml:space="preserve"> y Justicia Administrativa para el Estado de Oaxaca; así como el </w:t>
      </w:r>
      <w:r w:rsidR="00B93406">
        <w:rPr>
          <w:rFonts w:ascii="Arial" w:eastAsia="Times New Roman" w:hAnsi="Arial" w:cs="Arial"/>
          <w:bCs/>
          <w:i/>
          <w:iCs/>
          <w:sz w:val="24"/>
          <w:szCs w:val="24"/>
          <w:lang w:eastAsia="es-ES"/>
        </w:rPr>
        <w:t>Principio</w:t>
      </w:r>
      <w:r>
        <w:rPr>
          <w:rFonts w:ascii="Arial" w:eastAsia="Times New Roman" w:hAnsi="Arial" w:cs="Arial"/>
          <w:bCs/>
          <w:i/>
          <w:iCs/>
          <w:sz w:val="24"/>
          <w:szCs w:val="24"/>
          <w:lang w:eastAsia="es-ES"/>
        </w:rPr>
        <w:t xml:space="preserve"> de Seguridad Jurídica</w:t>
      </w:r>
      <w:r w:rsidR="00860E78">
        <w:rPr>
          <w:rFonts w:ascii="Arial" w:eastAsia="Times New Roman" w:hAnsi="Arial" w:cs="Arial"/>
          <w:bCs/>
          <w:i/>
          <w:iCs/>
          <w:sz w:val="24"/>
          <w:szCs w:val="24"/>
          <w:lang w:eastAsia="es-ES"/>
        </w:rPr>
        <w:t xml:space="preserve">, contenido en el </w:t>
      </w:r>
      <w:r w:rsidR="00B93406">
        <w:rPr>
          <w:rFonts w:ascii="Arial" w:eastAsia="Times New Roman" w:hAnsi="Arial" w:cs="Arial"/>
          <w:bCs/>
          <w:i/>
          <w:iCs/>
          <w:sz w:val="24"/>
          <w:szCs w:val="24"/>
          <w:lang w:eastAsia="es-ES"/>
        </w:rPr>
        <w:t>artículo</w:t>
      </w:r>
      <w:r w:rsidR="00860E78">
        <w:rPr>
          <w:rFonts w:ascii="Arial" w:eastAsia="Times New Roman" w:hAnsi="Arial" w:cs="Arial"/>
          <w:bCs/>
          <w:i/>
          <w:iCs/>
          <w:sz w:val="24"/>
          <w:szCs w:val="24"/>
          <w:lang w:eastAsia="es-ES"/>
        </w:rPr>
        <w:t xml:space="preserve"> 16 de la </w:t>
      </w:r>
      <w:r w:rsidR="00B93406">
        <w:rPr>
          <w:rFonts w:ascii="Arial" w:eastAsia="Times New Roman" w:hAnsi="Arial" w:cs="Arial"/>
          <w:bCs/>
          <w:i/>
          <w:iCs/>
          <w:sz w:val="24"/>
          <w:szCs w:val="24"/>
          <w:lang w:eastAsia="es-ES"/>
        </w:rPr>
        <w:t>Constitución</w:t>
      </w:r>
      <w:r w:rsidR="00860E78">
        <w:rPr>
          <w:rFonts w:ascii="Arial" w:eastAsia="Times New Roman" w:hAnsi="Arial" w:cs="Arial"/>
          <w:bCs/>
          <w:i/>
          <w:iCs/>
          <w:sz w:val="24"/>
          <w:szCs w:val="24"/>
          <w:lang w:eastAsia="es-ES"/>
        </w:rPr>
        <w:t xml:space="preserve"> </w:t>
      </w:r>
      <w:r w:rsidR="00B93406">
        <w:rPr>
          <w:rFonts w:ascii="Arial" w:eastAsia="Times New Roman" w:hAnsi="Arial" w:cs="Arial"/>
          <w:bCs/>
          <w:i/>
          <w:iCs/>
          <w:sz w:val="24"/>
          <w:szCs w:val="24"/>
          <w:lang w:eastAsia="es-ES"/>
        </w:rPr>
        <w:t>Política</w:t>
      </w:r>
      <w:r w:rsidR="00860E78">
        <w:rPr>
          <w:rFonts w:ascii="Arial" w:eastAsia="Times New Roman" w:hAnsi="Arial" w:cs="Arial"/>
          <w:bCs/>
          <w:i/>
          <w:iCs/>
          <w:sz w:val="24"/>
          <w:szCs w:val="24"/>
          <w:lang w:eastAsia="es-ES"/>
        </w:rPr>
        <w:t xml:space="preserve"> de los Estados Unidos Mexicanos, en cuanto  a que las autoridades  solo pueden hacer lo que la ley les permite; criterio  del más alto </w:t>
      </w:r>
      <w:r w:rsidR="00B93406">
        <w:rPr>
          <w:rFonts w:ascii="Arial" w:eastAsia="Times New Roman" w:hAnsi="Arial" w:cs="Arial"/>
          <w:bCs/>
          <w:i/>
          <w:iCs/>
          <w:sz w:val="24"/>
          <w:szCs w:val="24"/>
          <w:lang w:eastAsia="es-ES"/>
        </w:rPr>
        <w:t>Tribunal</w:t>
      </w:r>
      <w:r w:rsidR="00860E78">
        <w:rPr>
          <w:rFonts w:ascii="Arial" w:eastAsia="Times New Roman" w:hAnsi="Arial" w:cs="Arial"/>
          <w:bCs/>
          <w:i/>
          <w:iCs/>
          <w:sz w:val="24"/>
          <w:szCs w:val="24"/>
          <w:lang w:eastAsia="es-ES"/>
        </w:rPr>
        <w:t xml:space="preserve"> de este País, plasmado en la Jurisprudencia, visible en el </w:t>
      </w:r>
      <w:r w:rsidR="00B93406">
        <w:rPr>
          <w:rFonts w:ascii="Arial" w:eastAsia="Times New Roman" w:hAnsi="Arial" w:cs="Arial"/>
          <w:bCs/>
          <w:i/>
          <w:iCs/>
          <w:sz w:val="24"/>
          <w:szCs w:val="24"/>
          <w:lang w:eastAsia="es-ES"/>
        </w:rPr>
        <w:t>Apéndice</w:t>
      </w:r>
      <w:r w:rsidR="00860E78">
        <w:rPr>
          <w:rFonts w:ascii="Arial" w:eastAsia="Times New Roman" w:hAnsi="Arial" w:cs="Arial"/>
          <w:bCs/>
          <w:i/>
          <w:iCs/>
          <w:sz w:val="24"/>
          <w:szCs w:val="24"/>
          <w:lang w:eastAsia="es-ES"/>
        </w:rPr>
        <w:t xml:space="preserve"> de 2011, Tomo I. Constitucional 3. Derechos </w:t>
      </w:r>
      <w:r w:rsidR="00B93406">
        <w:rPr>
          <w:rFonts w:ascii="Arial" w:eastAsia="Times New Roman" w:hAnsi="Arial" w:cs="Arial"/>
          <w:bCs/>
          <w:i/>
          <w:iCs/>
          <w:sz w:val="24"/>
          <w:szCs w:val="24"/>
          <w:lang w:eastAsia="es-ES"/>
        </w:rPr>
        <w:t>Fundamentales</w:t>
      </w:r>
      <w:r w:rsidR="00860E78">
        <w:rPr>
          <w:rFonts w:ascii="Arial" w:eastAsia="Times New Roman" w:hAnsi="Arial" w:cs="Arial"/>
          <w:bCs/>
          <w:i/>
          <w:iCs/>
          <w:sz w:val="24"/>
          <w:szCs w:val="24"/>
          <w:lang w:eastAsia="es-ES"/>
        </w:rPr>
        <w:t xml:space="preserve"> Primera Parte, -SCJN Décima Tercera </w:t>
      </w:r>
      <w:r w:rsidR="00B93406">
        <w:rPr>
          <w:rFonts w:ascii="Arial" w:eastAsia="Times New Roman" w:hAnsi="Arial" w:cs="Arial"/>
          <w:bCs/>
          <w:i/>
          <w:iCs/>
          <w:sz w:val="24"/>
          <w:szCs w:val="24"/>
          <w:lang w:eastAsia="es-ES"/>
        </w:rPr>
        <w:t>Sección</w:t>
      </w:r>
      <w:r w:rsidR="00860E78">
        <w:rPr>
          <w:rFonts w:ascii="Arial" w:eastAsia="Times New Roman" w:hAnsi="Arial" w:cs="Arial"/>
          <w:bCs/>
          <w:i/>
          <w:iCs/>
          <w:sz w:val="24"/>
          <w:szCs w:val="24"/>
          <w:lang w:eastAsia="es-ES"/>
        </w:rPr>
        <w:t xml:space="preserve"> – </w:t>
      </w:r>
      <w:r w:rsidR="00B93406">
        <w:rPr>
          <w:rFonts w:ascii="Arial" w:eastAsia="Times New Roman" w:hAnsi="Arial" w:cs="Arial"/>
          <w:bCs/>
          <w:i/>
          <w:iCs/>
          <w:sz w:val="24"/>
          <w:szCs w:val="24"/>
          <w:lang w:eastAsia="es-ES"/>
        </w:rPr>
        <w:t>Fundamentación</w:t>
      </w:r>
      <w:r w:rsidR="00860E78">
        <w:rPr>
          <w:rFonts w:ascii="Arial" w:eastAsia="Times New Roman" w:hAnsi="Arial" w:cs="Arial"/>
          <w:bCs/>
          <w:i/>
          <w:iCs/>
          <w:sz w:val="24"/>
          <w:szCs w:val="24"/>
          <w:lang w:eastAsia="es-ES"/>
        </w:rPr>
        <w:t xml:space="preserve"> y </w:t>
      </w:r>
      <w:r w:rsidR="00B93406">
        <w:rPr>
          <w:rFonts w:ascii="Arial" w:eastAsia="Times New Roman" w:hAnsi="Arial" w:cs="Arial"/>
          <w:bCs/>
          <w:i/>
          <w:iCs/>
          <w:sz w:val="24"/>
          <w:szCs w:val="24"/>
          <w:lang w:eastAsia="es-ES"/>
        </w:rPr>
        <w:t>Motivación</w:t>
      </w:r>
      <w:r w:rsidR="00860E78">
        <w:rPr>
          <w:rFonts w:ascii="Arial" w:eastAsia="Times New Roman" w:hAnsi="Arial" w:cs="Arial"/>
          <w:bCs/>
          <w:i/>
          <w:iCs/>
          <w:sz w:val="24"/>
          <w:szCs w:val="24"/>
          <w:lang w:eastAsia="es-ES"/>
        </w:rPr>
        <w:t xml:space="preserve">, </w:t>
      </w:r>
      <w:r w:rsidR="00B93406">
        <w:rPr>
          <w:rFonts w:ascii="Arial" w:eastAsia="Times New Roman" w:hAnsi="Arial" w:cs="Arial"/>
          <w:bCs/>
          <w:i/>
          <w:iCs/>
          <w:sz w:val="24"/>
          <w:szCs w:val="24"/>
          <w:lang w:eastAsia="es-ES"/>
        </w:rPr>
        <w:t>Quinta</w:t>
      </w:r>
      <w:r w:rsidR="00860E78">
        <w:rPr>
          <w:rFonts w:ascii="Arial" w:eastAsia="Times New Roman" w:hAnsi="Arial" w:cs="Arial"/>
          <w:bCs/>
          <w:i/>
          <w:iCs/>
          <w:sz w:val="24"/>
          <w:szCs w:val="24"/>
          <w:lang w:eastAsia="es-ES"/>
        </w:rPr>
        <w:t xml:space="preserve"> Época, pág. 1228, registro 1011549, Jurisprudencia Común, Pleno, y de rubro: “AUTORIDADES”. Y en la contenida en la </w:t>
      </w:r>
      <w:r w:rsidR="00B93406">
        <w:rPr>
          <w:rFonts w:ascii="Arial" w:eastAsia="Times New Roman" w:hAnsi="Arial" w:cs="Arial"/>
          <w:bCs/>
          <w:i/>
          <w:iCs/>
          <w:sz w:val="24"/>
          <w:szCs w:val="24"/>
          <w:lang w:eastAsia="es-ES"/>
        </w:rPr>
        <w:t>Gaceta del</w:t>
      </w:r>
      <w:r w:rsidR="00860E78">
        <w:rPr>
          <w:rFonts w:ascii="Arial" w:eastAsia="Times New Roman" w:hAnsi="Arial" w:cs="Arial"/>
          <w:bCs/>
          <w:i/>
          <w:iCs/>
          <w:sz w:val="24"/>
          <w:szCs w:val="24"/>
          <w:lang w:eastAsia="es-ES"/>
        </w:rPr>
        <w:t xml:space="preserve"> </w:t>
      </w:r>
      <w:r w:rsidR="00B93406">
        <w:rPr>
          <w:rFonts w:ascii="Arial" w:eastAsia="Times New Roman" w:hAnsi="Arial" w:cs="Arial"/>
          <w:bCs/>
          <w:i/>
          <w:iCs/>
          <w:sz w:val="24"/>
          <w:szCs w:val="24"/>
          <w:lang w:eastAsia="es-ES"/>
        </w:rPr>
        <w:t>Semanario</w:t>
      </w:r>
      <w:r w:rsidR="00860E78">
        <w:rPr>
          <w:rFonts w:ascii="Arial" w:eastAsia="Times New Roman" w:hAnsi="Arial" w:cs="Arial"/>
          <w:bCs/>
          <w:i/>
          <w:iCs/>
          <w:sz w:val="24"/>
          <w:szCs w:val="24"/>
          <w:lang w:eastAsia="es-ES"/>
        </w:rPr>
        <w:t xml:space="preserve"> Judicial de la </w:t>
      </w:r>
      <w:r w:rsidR="00B93406">
        <w:rPr>
          <w:rFonts w:ascii="Arial" w:eastAsia="Times New Roman" w:hAnsi="Arial" w:cs="Arial"/>
          <w:bCs/>
          <w:i/>
          <w:iCs/>
          <w:sz w:val="24"/>
          <w:szCs w:val="24"/>
          <w:lang w:eastAsia="es-ES"/>
        </w:rPr>
        <w:t>Federación</w:t>
      </w:r>
      <w:r w:rsidR="00860E78">
        <w:rPr>
          <w:rFonts w:ascii="Arial" w:eastAsia="Times New Roman" w:hAnsi="Arial" w:cs="Arial"/>
          <w:bCs/>
          <w:i/>
          <w:iCs/>
          <w:sz w:val="24"/>
          <w:szCs w:val="24"/>
          <w:lang w:eastAsia="es-ES"/>
        </w:rPr>
        <w:t>, Núm. 77 Mayo de 1994, Octava Época, Pág. 12, registro 205463, Jurisprudencia Com</w:t>
      </w:r>
      <w:r w:rsidR="00B93406">
        <w:rPr>
          <w:rFonts w:ascii="Arial" w:eastAsia="Times New Roman" w:hAnsi="Arial" w:cs="Arial"/>
          <w:bCs/>
          <w:i/>
          <w:iCs/>
          <w:sz w:val="24"/>
          <w:szCs w:val="24"/>
          <w:lang w:eastAsia="es-ES"/>
        </w:rPr>
        <w:t>ún, Pleno</w:t>
      </w:r>
      <w:r w:rsidR="00860E78">
        <w:rPr>
          <w:rFonts w:ascii="Arial" w:eastAsia="Times New Roman" w:hAnsi="Arial" w:cs="Arial"/>
          <w:bCs/>
          <w:i/>
          <w:iCs/>
          <w:sz w:val="24"/>
          <w:szCs w:val="24"/>
          <w:lang w:eastAsia="es-ES"/>
        </w:rPr>
        <w:t>, y de rubro: “COMPETENCIA. SU FUNDAMENTACION (sic) ES UN REQUISITO ESENCIAL DEL ACTO DE AUTORIDAD.”</w:t>
      </w:r>
    </w:p>
    <w:p w14:paraId="76BE49B4" w14:textId="2100B6FC" w:rsidR="00B525A6" w:rsidRPr="00C06661" w:rsidRDefault="00860E78" w:rsidP="0084256F">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Cs/>
          <w:i/>
          <w:iCs/>
          <w:sz w:val="24"/>
          <w:szCs w:val="24"/>
          <w:lang w:eastAsia="es-ES"/>
        </w:rPr>
        <w:t xml:space="preserve">En razón de lo antes vertido, al considerarse </w:t>
      </w:r>
      <w:r w:rsidR="00B93406">
        <w:rPr>
          <w:rFonts w:ascii="Arial" w:eastAsia="Times New Roman" w:hAnsi="Arial" w:cs="Arial"/>
          <w:bCs/>
          <w:i/>
          <w:iCs/>
          <w:sz w:val="24"/>
          <w:szCs w:val="24"/>
          <w:lang w:eastAsia="es-ES"/>
        </w:rPr>
        <w:t>actualizada</w:t>
      </w:r>
      <w:r>
        <w:rPr>
          <w:rFonts w:ascii="Arial" w:eastAsia="Times New Roman" w:hAnsi="Arial" w:cs="Arial"/>
          <w:bCs/>
          <w:i/>
          <w:iCs/>
          <w:sz w:val="24"/>
          <w:szCs w:val="24"/>
          <w:lang w:eastAsia="es-ES"/>
        </w:rPr>
        <w:t xml:space="preserve"> la causal de improcedencia prevista en la fracción X, del </w:t>
      </w:r>
      <w:r w:rsidR="00B93406">
        <w:rPr>
          <w:rFonts w:ascii="Arial" w:eastAsia="Times New Roman" w:hAnsi="Arial" w:cs="Arial"/>
          <w:bCs/>
          <w:i/>
          <w:iCs/>
          <w:sz w:val="24"/>
          <w:szCs w:val="24"/>
          <w:lang w:eastAsia="es-ES"/>
        </w:rPr>
        <w:t>artículo</w:t>
      </w:r>
      <w:r>
        <w:rPr>
          <w:rFonts w:ascii="Arial" w:eastAsia="Times New Roman" w:hAnsi="Arial" w:cs="Arial"/>
          <w:bCs/>
          <w:i/>
          <w:iCs/>
          <w:sz w:val="24"/>
          <w:szCs w:val="24"/>
          <w:lang w:eastAsia="es-ES"/>
        </w:rPr>
        <w:t xml:space="preserve"> 161 de la Ley de </w:t>
      </w:r>
      <w:r w:rsidR="00B93406">
        <w:rPr>
          <w:rFonts w:ascii="Arial" w:eastAsia="Times New Roman" w:hAnsi="Arial" w:cs="Arial"/>
          <w:bCs/>
          <w:i/>
          <w:iCs/>
          <w:sz w:val="24"/>
          <w:szCs w:val="24"/>
          <w:lang w:eastAsia="es-ES"/>
        </w:rPr>
        <w:t>Procedimiento</w:t>
      </w:r>
      <w:r>
        <w:rPr>
          <w:rFonts w:ascii="Arial" w:eastAsia="Times New Roman" w:hAnsi="Arial" w:cs="Arial"/>
          <w:bCs/>
          <w:i/>
          <w:iCs/>
          <w:sz w:val="24"/>
          <w:szCs w:val="24"/>
          <w:lang w:eastAsia="es-ES"/>
        </w:rPr>
        <w:t xml:space="preserve"> (sic) </w:t>
      </w:r>
      <w:r w:rsidR="00B93406">
        <w:rPr>
          <w:rFonts w:ascii="Arial" w:eastAsia="Times New Roman" w:hAnsi="Arial" w:cs="Arial"/>
          <w:bCs/>
          <w:i/>
          <w:iCs/>
          <w:sz w:val="24"/>
          <w:szCs w:val="24"/>
          <w:lang w:eastAsia="es-ES"/>
        </w:rPr>
        <w:t>Justicia</w:t>
      </w:r>
      <w:r>
        <w:rPr>
          <w:rFonts w:ascii="Arial" w:eastAsia="Times New Roman" w:hAnsi="Arial" w:cs="Arial"/>
          <w:bCs/>
          <w:i/>
          <w:iCs/>
          <w:sz w:val="24"/>
          <w:szCs w:val="24"/>
          <w:lang w:eastAsia="es-ES"/>
        </w:rPr>
        <w:t xml:space="preserve"> </w:t>
      </w:r>
      <w:r w:rsidR="00B93406">
        <w:rPr>
          <w:rFonts w:ascii="Arial" w:eastAsia="Times New Roman" w:hAnsi="Arial" w:cs="Arial"/>
          <w:bCs/>
          <w:i/>
          <w:iCs/>
          <w:sz w:val="24"/>
          <w:szCs w:val="24"/>
          <w:lang w:eastAsia="es-ES"/>
        </w:rPr>
        <w:t>Administrativa</w:t>
      </w:r>
      <w:r>
        <w:rPr>
          <w:rFonts w:ascii="Arial" w:eastAsia="Times New Roman" w:hAnsi="Arial" w:cs="Arial"/>
          <w:bCs/>
          <w:i/>
          <w:iCs/>
          <w:sz w:val="24"/>
          <w:szCs w:val="24"/>
          <w:lang w:eastAsia="es-ES"/>
        </w:rPr>
        <w:t xml:space="preserve"> para el Estado de </w:t>
      </w:r>
      <w:r w:rsidR="00B93406">
        <w:rPr>
          <w:rFonts w:ascii="Arial" w:eastAsia="Times New Roman" w:hAnsi="Arial" w:cs="Arial"/>
          <w:bCs/>
          <w:i/>
          <w:iCs/>
          <w:sz w:val="24"/>
          <w:szCs w:val="24"/>
          <w:lang w:eastAsia="es-ES"/>
        </w:rPr>
        <w:t>Oaxaca</w:t>
      </w:r>
      <w:r>
        <w:rPr>
          <w:rFonts w:ascii="Arial" w:eastAsia="Times New Roman" w:hAnsi="Arial" w:cs="Arial"/>
          <w:bCs/>
          <w:i/>
          <w:iCs/>
          <w:sz w:val="24"/>
          <w:szCs w:val="24"/>
          <w:lang w:eastAsia="es-ES"/>
        </w:rPr>
        <w:t xml:space="preserve">, respecto del acto </w:t>
      </w:r>
      <w:r w:rsidR="00B93406">
        <w:rPr>
          <w:rFonts w:ascii="Arial" w:eastAsia="Times New Roman" w:hAnsi="Arial" w:cs="Arial"/>
          <w:bCs/>
          <w:i/>
          <w:iCs/>
          <w:sz w:val="24"/>
          <w:szCs w:val="24"/>
          <w:lang w:eastAsia="es-ES"/>
        </w:rPr>
        <w:t>impugnado</w:t>
      </w:r>
      <w:r>
        <w:rPr>
          <w:rFonts w:ascii="Arial" w:eastAsia="Times New Roman" w:hAnsi="Arial" w:cs="Arial"/>
          <w:bCs/>
          <w:i/>
          <w:iCs/>
          <w:sz w:val="24"/>
          <w:szCs w:val="24"/>
          <w:lang w:eastAsia="es-ES"/>
        </w:rPr>
        <w:t xml:space="preserve">, se </w:t>
      </w:r>
      <w:r w:rsidRPr="00B93406">
        <w:rPr>
          <w:rFonts w:ascii="Arial" w:eastAsia="Times New Roman" w:hAnsi="Arial" w:cs="Arial"/>
          <w:b/>
          <w:bCs/>
          <w:i/>
          <w:iCs/>
          <w:sz w:val="24"/>
          <w:szCs w:val="24"/>
          <w:lang w:eastAsia="es-ES"/>
        </w:rPr>
        <w:t>DESECHA</w:t>
      </w:r>
      <w:r>
        <w:rPr>
          <w:rFonts w:ascii="Arial" w:eastAsia="Times New Roman" w:hAnsi="Arial" w:cs="Arial"/>
          <w:bCs/>
          <w:i/>
          <w:iCs/>
          <w:sz w:val="24"/>
          <w:szCs w:val="24"/>
          <w:lang w:eastAsia="es-ES"/>
        </w:rPr>
        <w:t xml:space="preserve"> la </w:t>
      </w:r>
      <w:r w:rsidR="00B93406">
        <w:rPr>
          <w:rFonts w:ascii="Arial" w:eastAsia="Times New Roman" w:hAnsi="Arial" w:cs="Arial"/>
          <w:bCs/>
          <w:i/>
          <w:iCs/>
          <w:sz w:val="24"/>
          <w:szCs w:val="24"/>
          <w:lang w:eastAsia="es-ES"/>
        </w:rPr>
        <w:t>presente</w:t>
      </w:r>
      <w:r>
        <w:rPr>
          <w:rFonts w:ascii="Arial" w:eastAsia="Times New Roman" w:hAnsi="Arial" w:cs="Arial"/>
          <w:bCs/>
          <w:i/>
          <w:iCs/>
          <w:sz w:val="24"/>
          <w:szCs w:val="24"/>
          <w:lang w:eastAsia="es-ES"/>
        </w:rPr>
        <w:t xml:space="preserve"> demanda por notoriamente </w:t>
      </w:r>
      <w:r w:rsidRPr="00B93406">
        <w:rPr>
          <w:rFonts w:ascii="Arial" w:eastAsia="Times New Roman" w:hAnsi="Arial" w:cs="Arial"/>
          <w:b/>
          <w:bCs/>
          <w:i/>
          <w:iCs/>
          <w:sz w:val="24"/>
          <w:szCs w:val="24"/>
          <w:lang w:eastAsia="es-ES"/>
        </w:rPr>
        <w:t>IMPROCEDENTE</w:t>
      </w:r>
      <w:r>
        <w:rPr>
          <w:rFonts w:ascii="Arial" w:eastAsia="Times New Roman" w:hAnsi="Arial" w:cs="Arial"/>
          <w:bCs/>
          <w:i/>
          <w:iCs/>
          <w:sz w:val="24"/>
          <w:szCs w:val="24"/>
          <w:lang w:eastAsia="es-ES"/>
        </w:rPr>
        <w:t xml:space="preserve">, de conformidad con lo establecido en la fracción I del </w:t>
      </w:r>
      <w:r w:rsidR="00B93406">
        <w:rPr>
          <w:rFonts w:ascii="Arial" w:eastAsia="Times New Roman" w:hAnsi="Arial" w:cs="Arial"/>
          <w:bCs/>
          <w:i/>
          <w:iCs/>
          <w:sz w:val="24"/>
          <w:szCs w:val="24"/>
          <w:lang w:eastAsia="es-ES"/>
        </w:rPr>
        <w:t>artículo</w:t>
      </w:r>
      <w:r>
        <w:rPr>
          <w:rFonts w:ascii="Arial" w:eastAsia="Times New Roman" w:hAnsi="Arial" w:cs="Arial"/>
          <w:bCs/>
          <w:i/>
          <w:iCs/>
          <w:sz w:val="24"/>
          <w:szCs w:val="24"/>
          <w:lang w:eastAsia="es-ES"/>
        </w:rPr>
        <w:t xml:space="preserve"> 182 de la ley antes invocada </w:t>
      </w:r>
      <w:r w:rsidR="00B93406">
        <w:rPr>
          <w:rFonts w:ascii="Arial" w:eastAsia="Times New Roman" w:hAnsi="Arial" w:cs="Arial"/>
          <w:bCs/>
          <w:i/>
          <w:iCs/>
          <w:sz w:val="24"/>
          <w:szCs w:val="24"/>
          <w:lang w:eastAsia="es-ES"/>
        </w:rPr>
        <w:t>ordenándose</w:t>
      </w:r>
      <w:r>
        <w:rPr>
          <w:rFonts w:ascii="Arial" w:eastAsia="Times New Roman" w:hAnsi="Arial" w:cs="Arial"/>
          <w:bCs/>
          <w:i/>
          <w:iCs/>
          <w:sz w:val="24"/>
          <w:szCs w:val="24"/>
          <w:lang w:eastAsia="es-ES"/>
        </w:rPr>
        <w:t xml:space="preserve"> remitir la demanda original, así como copia certificada del </w:t>
      </w:r>
      <w:r w:rsidR="00B93406">
        <w:rPr>
          <w:rFonts w:ascii="Arial" w:eastAsia="Times New Roman" w:hAnsi="Arial" w:cs="Arial"/>
          <w:bCs/>
          <w:i/>
          <w:iCs/>
          <w:sz w:val="24"/>
          <w:szCs w:val="24"/>
          <w:lang w:eastAsia="es-ES"/>
        </w:rPr>
        <w:t>presente</w:t>
      </w:r>
      <w:r>
        <w:rPr>
          <w:rFonts w:ascii="Arial" w:eastAsia="Times New Roman" w:hAnsi="Arial" w:cs="Arial"/>
          <w:bCs/>
          <w:i/>
          <w:iCs/>
          <w:sz w:val="24"/>
          <w:szCs w:val="24"/>
          <w:lang w:eastAsia="es-ES"/>
        </w:rPr>
        <w:t xml:space="preserve"> </w:t>
      </w:r>
      <w:r w:rsidR="00B93406">
        <w:rPr>
          <w:rFonts w:ascii="Arial" w:eastAsia="Times New Roman" w:hAnsi="Arial" w:cs="Arial"/>
          <w:bCs/>
          <w:i/>
          <w:iCs/>
          <w:sz w:val="24"/>
          <w:szCs w:val="24"/>
          <w:lang w:eastAsia="es-ES"/>
        </w:rPr>
        <w:t>proveído</w:t>
      </w:r>
      <w:r>
        <w:rPr>
          <w:rFonts w:ascii="Arial" w:eastAsia="Times New Roman" w:hAnsi="Arial" w:cs="Arial"/>
          <w:bCs/>
          <w:i/>
          <w:iCs/>
          <w:sz w:val="24"/>
          <w:szCs w:val="24"/>
          <w:lang w:eastAsia="es-ES"/>
        </w:rPr>
        <w:t xml:space="preserve">, a la Sala </w:t>
      </w:r>
      <w:r w:rsidR="00B93406">
        <w:rPr>
          <w:rFonts w:ascii="Arial" w:eastAsia="Times New Roman" w:hAnsi="Arial" w:cs="Arial"/>
          <w:bCs/>
          <w:i/>
          <w:iCs/>
          <w:sz w:val="24"/>
          <w:szCs w:val="24"/>
          <w:lang w:eastAsia="es-ES"/>
        </w:rPr>
        <w:t>Superior</w:t>
      </w:r>
      <w:r>
        <w:rPr>
          <w:rFonts w:ascii="Arial" w:eastAsia="Times New Roman" w:hAnsi="Arial" w:cs="Arial"/>
          <w:bCs/>
          <w:i/>
          <w:iCs/>
          <w:sz w:val="24"/>
          <w:szCs w:val="24"/>
          <w:lang w:eastAsia="es-ES"/>
        </w:rPr>
        <w:t xml:space="preserve"> de este Tribunal para que </w:t>
      </w:r>
      <w:r w:rsidR="00B93406">
        <w:rPr>
          <w:rFonts w:ascii="Arial" w:eastAsia="Times New Roman" w:hAnsi="Arial" w:cs="Arial"/>
          <w:bCs/>
          <w:i/>
          <w:iCs/>
          <w:sz w:val="24"/>
          <w:szCs w:val="24"/>
          <w:lang w:eastAsia="es-ES"/>
        </w:rPr>
        <w:t>determine</w:t>
      </w:r>
      <w:r>
        <w:rPr>
          <w:rFonts w:ascii="Arial" w:eastAsia="Times New Roman" w:hAnsi="Arial" w:cs="Arial"/>
          <w:bCs/>
          <w:i/>
          <w:iCs/>
          <w:sz w:val="24"/>
          <w:szCs w:val="24"/>
          <w:lang w:eastAsia="es-ES"/>
        </w:rPr>
        <w:t xml:space="preserve"> lo conducente.</w:t>
      </w:r>
      <w:r w:rsidR="00B525A6" w:rsidRPr="00C06661">
        <w:rPr>
          <w:rFonts w:ascii="Arial" w:eastAsia="Times New Roman" w:hAnsi="Arial" w:cs="Arial"/>
          <w:bCs/>
          <w:i/>
          <w:iCs/>
          <w:sz w:val="24"/>
          <w:szCs w:val="24"/>
          <w:lang w:eastAsia="es-ES"/>
        </w:rPr>
        <w:t>”</w:t>
      </w:r>
    </w:p>
    <w:p w14:paraId="7D1E62B7" w14:textId="77777777" w:rsidR="00B525A6" w:rsidRPr="00CB6405" w:rsidRDefault="00B525A6" w:rsidP="00B525A6">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11BE0F14" w14:textId="220AF0DF" w:rsidR="00822141" w:rsidRPr="00CB6405" w:rsidRDefault="00822141" w:rsidP="00822141">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w:t>
      </w:r>
      <w:r>
        <w:rPr>
          <w:rFonts w:ascii="Arial" w:hAnsi="Arial" w:cs="Arial"/>
          <w:bCs/>
          <w:iCs/>
          <w:sz w:val="26"/>
          <w:szCs w:val="26"/>
        </w:rPr>
        <w:lastRenderedPageBreak/>
        <w:t xml:space="preserve">23, 24 fracción I, 25 fracción I y 27 de la Ley Orgánica del Tribunal de Justicia Administrativa del Estado de Oaxaca, publicada en el Periódico Oficial del Estado de Oaxaca, el siete de noviembre de dos mil diecinueve; así como los diversos </w:t>
      </w:r>
      <w:r>
        <w:rPr>
          <w:rFonts w:ascii="Arial" w:hAnsi="Arial" w:cs="Arial"/>
          <w:bCs/>
          <w:iCs/>
          <w:sz w:val="26"/>
          <w:szCs w:val="26"/>
          <w:lang w:eastAsia="es-ES"/>
        </w:rPr>
        <w:t>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w:t>
      </w:r>
      <w:r w:rsidR="00685496">
        <w:rPr>
          <w:rFonts w:ascii="Arial" w:hAnsi="Arial" w:cs="Arial"/>
          <w:bCs/>
          <w:iCs/>
          <w:sz w:val="26"/>
          <w:szCs w:val="26"/>
        </w:rPr>
        <w:t xml:space="preserve">evisión interpuesto en contra del acuerdo </w:t>
      </w:r>
      <w:r>
        <w:rPr>
          <w:rFonts w:ascii="Arial" w:hAnsi="Arial" w:cs="Arial"/>
          <w:bCs/>
          <w:iCs/>
          <w:sz w:val="26"/>
          <w:szCs w:val="26"/>
        </w:rPr>
        <w:t xml:space="preserve">de </w:t>
      </w:r>
      <w:r w:rsidR="00830ED6">
        <w:rPr>
          <w:rFonts w:ascii="Arial" w:hAnsi="Arial" w:cs="Arial"/>
          <w:bCs/>
          <w:iCs/>
          <w:sz w:val="26"/>
          <w:szCs w:val="26"/>
        </w:rPr>
        <w:t>trece</w:t>
      </w:r>
      <w:r w:rsidR="00685496">
        <w:rPr>
          <w:rFonts w:ascii="Arial" w:hAnsi="Arial" w:cs="Arial"/>
          <w:bCs/>
          <w:iCs/>
          <w:sz w:val="26"/>
          <w:szCs w:val="26"/>
        </w:rPr>
        <w:t xml:space="preserve"> de noviembre</w:t>
      </w:r>
      <w:r w:rsidR="0084256F">
        <w:rPr>
          <w:rFonts w:ascii="Arial" w:hAnsi="Arial" w:cs="Arial"/>
          <w:bCs/>
          <w:iCs/>
          <w:sz w:val="26"/>
          <w:szCs w:val="26"/>
        </w:rPr>
        <w:t xml:space="preserve"> de dos mil diecinueve</w:t>
      </w:r>
      <w:r>
        <w:rPr>
          <w:rFonts w:ascii="Arial" w:hAnsi="Arial" w:cs="Arial"/>
          <w:bCs/>
          <w:iCs/>
          <w:sz w:val="26"/>
          <w:szCs w:val="26"/>
        </w:rPr>
        <w:t xml:space="preserve">, dictado </w:t>
      </w:r>
      <w:r w:rsidRPr="00CB6405">
        <w:rPr>
          <w:rFonts w:ascii="Arial" w:hAnsi="Arial" w:cs="Arial"/>
          <w:bCs/>
          <w:iCs/>
          <w:sz w:val="26"/>
          <w:szCs w:val="26"/>
        </w:rPr>
        <w:t xml:space="preserve">por la </w:t>
      </w:r>
      <w:r w:rsidR="00830ED6">
        <w:rPr>
          <w:rFonts w:ascii="Arial" w:hAnsi="Arial" w:cs="Arial"/>
          <w:bCs/>
          <w:iCs/>
          <w:sz w:val="26"/>
          <w:szCs w:val="26"/>
        </w:rPr>
        <w:t>Quinta</w:t>
      </w:r>
      <w:r w:rsidR="0084256F">
        <w:rPr>
          <w:rFonts w:ascii="Arial" w:hAnsi="Arial" w:cs="Arial"/>
          <w:bCs/>
          <w:iCs/>
          <w:sz w:val="26"/>
          <w:szCs w:val="26"/>
        </w:rPr>
        <w:t xml:space="preserve"> </w:t>
      </w:r>
      <w:r w:rsidRPr="00CB6405">
        <w:rPr>
          <w:rFonts w:ascii="Arial" w:hAnsi="Arial" w:cs="Arial"/>
          <w:bCs/>
          <w:iCs/>
          <w:sz w:val="26"/>
          <w:szCs w:val="26"/>
        </w:rPr>
        <w:t xml:space="preserve">Sala Unitaria de Primera Instancia de este Tribunal, en el expediente </w:t>
      </w:r>
      <w:r w:rsidR="00685496">
        <w:rPr>
          <w:rFonts w:ascii="Arial" w:hAnsi="Arial" w:cs="Arial"/>
          <w:b/>
          <w:bCs/>
          <w:iCs/>
          <w:sz w:val="26"/>
          <w:szCs w:val="26"/>
        </w:rPr>
        <w:t>82</w:t>
      </w:r>
      <w:r>
        <w:rPr>
          <w:rFonts w:ascii="Arial" w:hAnsi="Arial" w:cs="Arial"/>
          <w:b/>
          <w:bCs/>
          <w:iCs/>
          <w:sz w:val="26"/>
          <w:szCs w:val="26"/>
        </w:rPr>
        <w:t>/2019</w:t>
      </w:r>
      <w:r w:rsidRPr="00CB6405">
        <w:rPr>
          <w:rFonts w:ascii="Arial" w:hAnsi="Arial" w:cs="Arial"/>
          <w:sz w:val="26"/>
          <w:szCs w:val="26"/>
        </w:rPr>
        <w:t>.</w:t>
      </w:r>
    </w:p>
    <w:p w14:paraId="0CE5C4E5" w14:textId="77777777" w:rsidR="00830ED6" w:rsidRDefault="00822141" w:rsidP="00830ED6">
      <w:pPr>
        <w:spacing w:line="360" w:lineRule="auto"/>
        <w:ind w:firstLine="708"/>
        <w:jc w:val="both"/>
        <w:rPr>
          <w:rFonts w:ascii="Arial" w:hAnsi="Arial" w:cs="Arial"/>
          <w:sz w:val="26"/>
          <w:szCs w:val="26"/>
        </w:rPr>
      </w:pPr>
      <w:r w:rsidRPr="00CB6405">
        <w:rPr>
          <w:rFonts w:ascii="Arial" w:hAnsi="Arial" w:cs="Arial"/>
          <w:b/>
          <w:sz w:val="26"/>
          <w:szCs w:val="26"/>
        </w:rPr>
        <w:t>SEGUNDO</w:t>
      </w:r>
      <w:r w:rsidRPr="00A351D0">
        <w:rPr>
          <w:rFonts w:ascii="Arial" w:hAnsi="Arial" w:cs="Arial"/>
          <w:b/>
          <w:sz w:val="26"/>
          <w:szCs w:val="26"/>
        </w:rPr>
        <w:t>.</w:t>
      </w:r>
      <w:r w:rsidRPr="00CB6405">
        <w:rPr>
          <w:rFonts w:ascii="Arial" w:hAnsi="Arial" w:cs="Arial"/>
          <w:sz w:val="26"/>
          <w:szCs w:val="26"/>
        </w:rPr>
        <w:t xml:space="preserve"> </w:t>
      </w:r>
      <w:r w:rsidR="00830ED6">
        <w:rPr>
          <w:rFonts w:ascii="Arial" w:hAnsi="Arial" w:cs="Arial"/>
          <w:bCs/>
          <w:sz w:val="26"/>
          <w:szCs w:val="26"/>
        </w:rPr>
        <w:t>Los agravios hechos valer se encuentran expuestos en el respectivo escrito del recurrente, por lo que no existe necesidad de transcribirlos, virtud a que ello no implica transgresión a derecho alguno del recurrente, como tampoco se vulnera disposición expresa que imponga tal obligación</w:t>
      </w:r>
      <w:r w:rsidR="00830ED6">
        <w:rPr>
          <w:rFonts w:ascii="Arial" w:hAnsi="Arial" w:cs="Arial"/>
          <w:sz w:val="26"/>
          <w:szCs w:val="26"/>
        </w:rPr>
        <w:t>. En apoyo a lo anterior, se invoca la T</w:t>
      </w:r>
      <w:proofErr w:type="spellStart"/>
      <w:r w:rsidR="00830ED6">
        <w:rPr>
          <w:rFonts w:ascii="Arial" w:hAnsi="Arial" w:cs="Arial"/>
          <w:bCs/>
          <w:color w:val="000000"/>
          <w:sz w:val="26"/>
          <w:szCs w:val="26"/>
          <w:lang w:val="es-MX"/>
        </w:rPr>
        <w:t>esis</w:t>
      </w:r>
      <w:proofErr w:type="spellEnd"/>
      <w:r w:rsidR="00830ED6">
        <w:rPr>
          <w:rFonts w:ascii="Arial" w:hAnsi="Arial" w:cs="Arial"/>
          <w:bCs/>
          <w:color w:val="000000"/>
          <w:sz w:val="26"/>
          <w:szCs w:val="26"/>
          <w:lang w:val="es-MX"/>
        </w:rPr>
        <w:t xml:space="preserve"> XVII.1o.C.T.30 K, emitida por los Tribunales Colegiados de Circuito, con número de registro 175433, publicada en la Gaceta del Semanario Judicial de la Federación, Tomo XXIII, Marzo de 2006, visible a página 2115, Novena Época, bajo el rubro y texto siguiente:</w:t>
      </w:r>
    </w:p>
    <w:p w14:paraId="355932E7" w14:textId="11DF4A6A" w:rsidR="00822141" w:rsidRPr="00830ED6" w:rsidRDefault="00830ED6" w:rsidP="00830ED6">
      <w:pPr>
        <w:ind w:left="851" w:right="900"/>
        <w:jc w:val="both"/>
        <w:rPr>
          <w:rFonts w:ascii="Arial" w:eastAsia="Times New Roman" w:hAnsi="Arial" w:cs="Arial"/>
          <w:b/>
          <w:bCs/>
          <w:i/>
          <w:sz w:val="24"/>
          <w:szCs w:val="24"/>
          <w:lang w:val="es-MX" w:eastAsia="es-MX"/>
        </w:rPr>
      </w:pPr>
      <w:r w:rsidRPr="00C41C98">
        <w:rPr>
          <w:rFonts w:ascii="Arial" w:eastAsia="Times New Roman" w:hAnsi="Arial" w:cs="Arial"/>
          <w:b/>
          <w:bCs/>
          <w:i/>
          <w:sz w:val="24"/>
          <w:szCs w:val="24"/>
          <w:lang w:val="es-MX" w:eastAsia="es-MX"/>
        </w:rPr>
        <w:t xml:space="preserve">“SENTENCIAS DE LOS TRIBUNALES COLEGIADOS DE CIRCUITO. AL EMITIRLAS NO SE ENCUENTRAN OBLIGADOS A TRANSCRIBIR LA RESOLUCIÓN RECURRIDA. </w:t>
      </w:r>
      <w:r w:rsidRPr="00C41C98">
        <w:rPr>
          <w:rFonts w:ascii="Arial" w:eastAsia="Times New Roman" w:hAnsi="Arial" w:cs="Arial"/>
          <w:bCs/>
          <w:i/>
          <w:sz w:val="24"/>
          <w:szCs w:val="24"/>
          <w:lang w:val="es-MX" w:eastAsia="es-MX"/>
        </w:rPr>
        <w:t>El hecho de que en las sentencias que emitan los Tribunales Colegiados de Circuito no se transcriba la resolución recurrida, no infringe disposiciones de la Ley de Amparo, a la cual quedan sujetas sus actuaciones, pues el artículo 77 de dicha legislación, que establece los requisitos que deben contener las sentencias, no lo prevé así, ni existe precepto alguno que establezca esa obligación; además, dicha omisión no deja en estado de indefensión al recurrente, puesto que ese fallo obra en los autos y se toma en cuenta al resolver</w:t>
      </w:r>
      <w:r w:rsidRPr="00C41C98">
        <w:rPr>
          <w:rFonts w:ascii="Arial" w:eastAsia="Times New Roman" w:hAnsi="Arial" w:cs="Arial"/>
          <w:i/>
          <w:sz w:val="24"/>
          <w:szCs w:val="24"/>
          <w:lang w:val="es-MX" w:eastAsia="es-MX"/>
        </w:rPr>
        <w:t>.”</w:t>
      </w:r>
    </w:p>
    <w:p w14:paraId="060A9545" w14:textId="0155EC65" w:rsidR="00685496" w:rsidRDefault="00B525A6" w:rsidP="00685496">
      <w:pPr>
        <w:spacing w:before="240"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00685496">
        <w:rPr>
          <w:rFonts w:ascii="Arial" w:eastAsia="Calibri" w:hAnsi="Arial" w:cs="Arial"/>
          <w:bCs/>
          <w:sz w:val="26"/>
          <w:szCs w:val="26"/>
        </w:rPr>
        <w:t>Inicia sus argumentos la</w:t>
      </w:r>
      <w:r w:rsidR="009207FE">
        <w:rPr>
          <w:rFonts w:ascii="Arial" w:eastAsia="Calibri" w:hAnsi="Arial" w:cs="Arial"/>
          <w:bCs/>
          <w:sz w:val="26"/>
          <w:szCs w:val="26"/>
        </w:rPr>
        <w:t xml:space="preserve"> recurrente</w:t>
      </w:r>
      <w:r w:rsidR="00BD7209">
        <w:rPr>
          <w:rFonts w:ascii="Arial" w:eastAsia="Calibri" w:hAnsi="Arial" w:cs="Arial"/>
          <w:bCs/>
          <w:sz w:val="26"/>
          <w:szCs w:val="26"/>
        </w:rPr>
        <w:t xml:space="preserve">, </w:t>
      </w:r>
      <w:r w:rsidR="009207FE">
        <w:rPr>
          <w:rFonts w:ascii="Arial" w:eastAsia="Calibri" w:hAnsi="Arial" w:cs="Arial"/>
          <w:bCs/>
          <w:sz w:val="26"/>
          <w:szCs w:val="26"/>
        </w:rPr>
        <w:t xml:space="preserve">señalando </w:t>
      </w:r>
      <w:r w:rsidR="00685496">
        <w:rPr>
          <w:rFonts w:ascii="Arial" w:eastAsia="Calibri" w:hAnsi="Arial" w:cs="Arial"/>
          <w:bCs/>
          <w:sz w:val="26"/>
          <w:szCs w:val="26"/>
        </w:rPr>
        <w:t xml:space="preserve">que el acuerdo que combate viola en su perjuicio el artículo 133, fracción VIII, inciso d), 158 y 182, fracción I, de la Ley de Procedimiento y Justicia Administrativa para el Estado de Oaxaca, ya que no fue dictada conforme a derecho; al hacer una incorrecta interpretación de los </w:t>
      </w:r>
      <w:r w:rsidR="00EA6E66">
        <w:rPr>
          <w:rFonts w:ascii="Arial" w:eastAsia="Calibri" w:hAnsi="Arial" w:cs="Arial"/>
          <w:bCs/>
          <w:sz w:val="26"/>
          <w:szCs w:val="26"/>
        </w:rPr>
        <w:t>artículos</w:t>
      </w:r>
      <w:r w:rsidR="00685496">
        <w:rPr>
          <w:rFonts w:ascii="Arial" w:eastAsia="Calibri" w:hAnsi="Arial" w:cs="Arial"/>
          <w:bCs/>
          <w:sz w:val="26"/>
          <w:szCs w:val="26"/>
        </w:rPr>
        <w:t xml:space="preserve"> 132, fracciones I y II, 133, fracciones II y III, de la Ley invocada.</w:t>
      </w:r>
    </w:p>
    <w:p w14:paraId="4414F35C" w14:textId="52E1462D" w:rsidR="00685496" w:rsidRDefault="00685496" w:rsidP="00685496">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los cuales se advierte la competencia, ya </w:t>
      </w:r>
      <w:r w:rsidR="00EA6E66">
        <w:rPr>
          <w:rFonts w:ascii="Arial" w:eastAsia="Calibri" w:hAnsi="Arial" w:cs="Arial"/>
          <w:bCs/>
          <w:sz w:val="26"/>
          <w:szCs w:val="26"/>
        </w:rPr>
        <w:t>que</w:t>
      </w:r>
      <w:r>
        <w:rPr>
          <w:rFonts w:ascii="Arial" w:eastAsia="Calibri" w:hAnsi="Arial" w:cs="Arial"/>
          <w:bCs/>
          <w:sz w:val="26"/>
          <w:szCs w:val="26"/>
        </w:rPr>
        <w:t xml:space="preserve"> el asunto sustancial se </w:t>
      </w:r>
      <w:r w:rsidR="00EA6E66">
        <w:rPr>
          <w:rFonts w:ascii="Arial" w:eastAsia="Calibri" w:hAnsi="Arial" w:cs="Arial"/>
          <w:bCs/>
          <w:sz w:val="26"/>
          <w:szCs w:val="26"/>
        </w:rPr>
        <w:t>trata</w:t>
      </w:r>
      <w:r>
        <w:rPr>
          <w:rFonts w:ascii="Arial" w:eastAsia="Calibri" w:hAnsi="Arial" w:cs="Arial"/>
          <w:bCs/>
          <w:sz w:val="26"/>
          <w:szCs w:val="26"/>
        </w:rPr>
        <w:t xml:space="preserve"> de una resolución emitida por una autoridad fiscal estatal, y de donde proviene</w:t>
      </w:r>
      <w:r w:rsidR="00EA6E66">
        <w:rPr>
          <w:rFonts w:ascii="Arial" w:eastAsia="Calibri" w:hAnsi="Arial" w:cs="Arial"/>
          <w:bCs/>
          <w:sz w:val="26"/>
          <w:szCs w:val="26"/>
        </w:rPr>
        <w:t xml:space="preserve">, por lo que, la recurrente aduce que no lo sabe, pero no obstante que proviniera de una resolución de responsabilidad administrativa como asunto secundario, el artículo 133, </w:t>
      </w:r>
      <w:r w:rsidR="00EA6E66">
        <w:rPr>
          <w:rFonts w:ascii="Arial" w:eastAsia="Calibri" w:hAnsi="Arial" w:cs="Arial"/>
          <w:bCs/>
          <w:sz w:val="26"/>
          <w:szCs w:val="26"/>
        </w:rPr>
        <w:lastRenderedPageBreak/>
        <w:t>fracción III, de la Ley de Procedimiento y Justicia Administrativa para el Estado de Oaxaca le otorga competencia a la Sala Unitaria para conocer del asunto.</w:t>
      </w:r>
    </w:p>
    <w:p w14:paraId="66D4ECF3" w14:textId="501C829E" w:rsidR="00EA6E66" w:rsidRDefault="00EA6E66" w:rsidP="00685496">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Continúa argumentando que, la Ley de Procedimiento y Justicia Administrativa para el Estado de Oaxaca otorga a la Sala Superior y Salas Unitarias, conocer y resolver sobre resoluciones de responsabilidad administrativa, por lo cual desechar una demanda por incompetencia, constituye una trampa procesal para el justiciable, porque ambas tienen competencia, por lo cual hay una pluralidad de competencias derivadas de la misma ley, lo que constituye una denegación de justicia.</w:t>
      </w:r>
    </w:p>
    <w:p w14:paraId="70CBBF23" w14:textId="3DDD6497" w:rsidR="00982020" w:rsidRDefault="00FE1D24" w:rsidP="00FE1D24">
      <w:pPr>
        <w:spacing w:before="240" w:line="360" w:lineRule="auto"/>
        <w:jc w:val="both"/>
        <w:rPr>
          <w:rFonts w:ascii="Arial" w:eastAsia="Calibri" w:hAnsi="Arial" w:cs="Arial"/>
          <w:b/>
          <w:bCs/>
          <w:sz w:val="26"/>
          <w:szCs w:val="26"/>
        </w:rPr>
      </w:pPr>
      <w:r>
        <w:rPr>
          <w:rFonts w:ascii="Arial" w:eastAsia="Calibri" w:hAnsi="Arial" w:cs="Arial"/>
          <w:b/>
          <w:bCs/>
          <w:sz w:val="26"/>
          <w:szCs w:val="26"/>
        </w:rPr>
        <w:t xml:space="preserve">     </w:t>
      </w:r>
      <w:r w:rsidR="00982020" w:rsidRPr="00982020">
        <w:rPr>
          <w:rFonts w:ascii="Arial" w:eastAsia="Calibri" w:hAnsi="Arial" w:cs="Arial"/>
          <w:b/>
          <w:bCs/>
          <w:sz w:val="26"/>
          <w:szCs w:val="26"/>
        </w:rPr>
        <w:t>Son sustancialmente fundados los agravios expuestos por la recurrente.</w:t>
      </w:r>
    </w:p>
    <w:p w14:paraId="5C63B500" w14:textId="04EA5982" w:rsidR="00982020" w:rsidRPr="00FE1D24" w:rsidRDefault="00982020" w:rsidP="00982020">
      <w:pPr>
        <w:spacing w:before="240" w:line="360" w:lineRule="auto"/>
        <w:jc w:val="both"/>
        <w:rPr>
          <w:rFonts w:ascii="Arial" w:eastAsia="Calibri" w:hAnsi="Arial" w:cs="Arial"/>
          <w:bCs/>
          <w:sz w:val="26"/>
          <w:szCs w:val="26"/>
        </w:rPr>
      </w:pPr>
      <w:r w:rsidRPr="00FE1D24">
        <w:rPr>
          <w:rFonts w:ascii="Arial" w:eastAsia="Calibri" w:hAnsi="Arial" w:cs="Arial"/>
          <w:b/>
          <w:bCs/>
          <w:sz w:val="26"/>
          <w:szCs w:val="26"/>
        </w:rPr>
        <w:t xml:space="preserve">   </w:t>
      </w:r>
      <w:r w:rsidR="00FE1D24">
        <w:rPr>
          <w:rFonts w:ascii="Arial" w:eastAsia="Calibri" w:hAnsi="Arial" w:cs="Arial"/>
          <w:b/>
          <w:bCs/>
          <w:sz w:val="26"/>
          <w:szCs w:val="26"/>
        </w:rPr>
        <w:t xml:space="preserve">  </w:t>
      </w:r>
      <w:r w:rsidRPr="00FE1D24">
        <w:rPr>
          <w:rFonts w:ascii="Arial" w:eastAsia="Calibri" w:hAnsi="Arial" w:cs="Arial"/>
          <w:bCs/>
          <w:sz w:val="26"/>
          <w:szCs w:val="26"/>
        </w:rPr>
        <w:t>Antes de iniciar con el estudio de las alegaciones vertidas, es necesario destacar que,</w:t>
      </w:r>
      <w:r w:rsidRPr="00FE1D24">
        <w:rPr>
          <w:rFonts w:ascii="Arial" w:eastAsia="Arial Unicode MS" w:hAnsi="Arial" w:cs="Arial"/>
          <w:sz w:val="26"/>
          <w:szCs w:val="26"/>
        </w:rPr>
        <w:t xml:space="preserve"> </w:t>
      </w:r>
      <w:r w:rsidRPr="00FE1D24">
        <w:rPr>
          <w:rFonts w:ascii="Arial" w:hAnsi="Arial" w:cs="Arial"/>
          <w:sz w:val="26"/>
          <w:szCs w:val="26"/>
        </w:rPr>
        <w:t>e</w:t>
      </w:r>
      <w:r w:rsidRPr="00FE1D24">
        <w:rPr>
          <w:rFonts w:ascii="Arial" w:hAnsi="Arial" w:cs="Arial"/>
          <w:color w:val="000000"/>
          <w:sz w:val="26"/>
          <w:szCs w:val="26"/>
          <w:shd w:val="clear" w:color="auto" w:fill="FFFFFF"/>
        </w:rPr>
        <w:t xml:space="preserve">l </w:t>
      </w:r>
      <w:r w:rsidR="00FE1D24" w:rsidRPr="00FE1D24">
        <w:rPr>
          <w:rFonts w:ascii="Arial" w:hAnsi="Arial" w:cs="Arial"/>
          <w:color w:val="000000"/>
          <w:sz w:val="26"/>
          <w:szCs w:val="26"/>
          <w:shd w:val="clear" w:color="auto" w:fill="FFFFFF"/>
        </w:rPr>
        <w:t>artículo</w:t>
      </w:r>
      <w:r w:rsidRPr="00FE1D24">
        <w:rPr>
          <w:rFonts w:ascii="Arial" w:hAnsi="Arial" w:cs="Arial"/>
          <w:color w:val="000000"/>
          <w:sz w:val="26"/>
          <w:szCs w:val="26"/>
          <w:shd w:val="clear" w:color="auto" w:fill="FFFFFF"/>
        </w:rPr>
        <w:t xml:space="preserve"> 7 de la </w:t>
      </w:r>
      <w:r w:rsidRPr="00FE1D24">
        <w:rPr>
          <w:rFonts w:ascii="Arial" w:hAnsi="Arial" w:cs="Arial"/>
          <w:sz w:val="26"/>
          <w:szCs w:val="26"/>
        </w:rPr>
        <w:t xml:space="preserve">Ley de Justicia de Fiscalización y Rendición de Cuentas para </w:t>
      </w:r>
      <w:r w:rsidR="00FE1D24" w:rsidRPr="00FE1D24">
        <w:rPr>
          <w:rFonts w:ascii="Arial" w:hAnsi="Arial" w:cs="Arial"/>
          <w:sz w:val="26"/>
          <w:szCs w:val="26"/>
        </w:rPr>
        <w:t xml:space="preserve"> el Estado de Oaxaca,  establece</w:t>
      </w:r>
      <w:r w:rsidR="005B09D6">
        <w:rPr>
          <w:rFonts w:ascii="Arial" w:hAnsi="Arial" w:cs="Arial"/>
          <w:sz w:val="26"/>
          <w:szCs w:val="26"/>
        </w:rPr>
        <w:t xml:space="preserve"> que le</w:t>
      </w:r>
      <w:r w:rsidRPr="00FE1D24">
        <w:rPr>
          <w:rFonts w:ascii="Arial" w:hAnsi="Arial" w:cs="Arial"/>
          <w:sz w:val="26"/>
          <w:szCs w:val="26"/>
        </w:rPr>
        <w:t xml:space="preserve"> </w:t>
      </w:r>
      <w:r w:rsidR="005B09D6">
        <w:rPr>
          <w:rFonts w:ascii="Arial" w:hAnsi="Arial" w:cs="Arial"/>
          <w:color w:val="000000"/>
          <w:sz w:val="26"/>
          <w:szCs w:val="26"/>
          <w:shd w:val="clear" w:color="auto" w:fill="FFFFFF"/>
        </w:rPr>
        <w:t>corresponde</w:t>
      </w:r>
      <w:r w:rsidRPr="00FE1D24">
        <w:rPr>
          <w:rFonts w:ascii="Arial" w:hAnsi="Arial" w:cs="Arial"/>
          <w:color w:val="000000"/>
          <w:sz w:val="26"/>
          <w:szCs w:val="26"/>
          <w:shd w:val="clear" w:color="auto" w:fill="FFFFFF"/>
        </w:rPr>
        <w:t xml:space="preserve"> la Sala Superior de este órgano jurisdiccional, conocer, tramitar y resolver actos emitidos por l</w:t>
      </w:r>
      <w:r w:rsidRPr="00FE1D24">
        <w:rPr>
          <w:rFonts w:ascii="Arial" w:hAnsi="Arial" w:cs="Arial"/>
          <w:sz w:val="26"/>
          <w:szCs w:val="26"/>
        </w:rPr>
        <w:t>a</w:t>
      </w:r>
      <w:r w:rsidRPr="00FE1D24">
        <w:rPr>
          <w:rFonts w:ascii="Arial" w:hAnsi="Arial" w:cs="Arial"/>
          <w:spacing w:val="-14"/>
          <w:sz w:val="26"/>
          <w:szCs w:val="26"/>
        </w:rPr>
        <w:t xml:space="preserve"> </w:t>
      </w:r>
      <w:r w:rsidRPr="00FE1D24">
        <w:rPr>
          <w:rFonts w:ascii="Arial" w:hAnsi="Arial" w:cs="Arial"/>
          <w:sz w:val="26"/>
          <w:szCs w:val="26"/>
        </w:rPr>
        <w:t>Auditoría,</w:t>
      </w:r>
      <w:r w:rsidRPr="00FE1D24">
        <w:rPr>
          <w:rFonts w:ascii="Arial" w:hAnsi="Arial" w:cs="Arial"/>
          <w:spacing w:val="-13"/>
          <w:sz w:val="26"/>
          <w:szCs w:val="26"/>
        </w:rPr>
        <w:t xml:space="preserve"> </w:t>
      </w:r>
      <w:r w:rsidRPr="00FE1D24">
        <w:rPr>
          <w:rFonts w:ascii="Arial" w:hAnsi="Arial" w:cs="Arial"/>
          <w:sz w:val="26"/>
          <w:szCs w:val="26"/>
        </w:rPr>
        <w:t>las</w:t>
      </w:r>
      <w:r w:rsidRPr="00FE1D24">
        <w:rPr>
          <w:rFonts w:ascii="Arial" w:hAnsi="Arial" w:cs="Arial"/>
          <w:spacing w:val="-16"/>
          <w:sz w:val="26"/>
          <w:szCs w:val="26"/>
        </w:rPr>
        <w:t xml:space="preserve"> </w:t>
      </w:r>
      <w:r w:rsidRPr="00FE1D24">
        <w:rPr>
          <w:rFonts w:ascii="Arial" w:hAnsi="Arial" w:cs="Arial"/>
          <w:sz w:val="26"/>
          <w:szCs w:val="26"/>
        </w:rPr>
        <w:t>autoridades</w:t>
      </w:r>
      <w:r w:rsidRPr="00FE1D24">
        <w:rPr>
          <w:rFonts w:ascii="Arial" w:hAnsi="Arial" w:cs="Arial"/>
          <w:spacing w:val="-13"/>
          <w:sz w:val="26"/>
          <w:szCs w:val="26"/>
        </w:rPr>
        <w:t xml:space="preserve"> </w:t>
      </w:r>
      <w:r w:rsidRPr="00FE1D24">
        <w:rPr>
          <w:rFonts w:ascii="Arial" w:hAnsi="Arial" w:cs="Arial"/>
          <w:sz w:val="26"/>
          <w:szCs w:val="26"/>
        </w:rPr>
        <w:t>Estatales</w:t>
      </w:r>
      <w:r w:rsidRPr="00FE1D24">
        <w:rPr>
          <w:rFonts w:ascii="Arial" w:hAnsi="Arial" w:cs="Arial"/>
          <w:spacing w:val="-16"/>
          <w:sz w:val="26"/>
          <w:szCs w:val="26"/>
        </w:rPr>
        <w:t xml:space="preserve"> </w:t>
      </w:r>
      <w:r w:rsidRPr="00FE1D24">
        <w:rPr>
          <w:rFonts w:ascii="Arial" w:hAnsi="Arial" w:cs="Arial"/>
          <w:sz w:val="26"/>
          <w:szCs w:val="26"/>
        </w:rPr>
        <w:t>y</w:t>
      </w:r>
      <w:r w:rsidRPr="00FE1D24">
        <w:rPr>
          <w:rFonts w:ascii="Arial" w:hAnsi="Arial" w:cs="Arial"/>
          <w:spacing w:val="-18"/>
          <w:sz w:val="26"/>
          <w:szCs w:val="26"/>
        </w:rPr>
        <w:t xml:space="preserve"> </w:t>
      </w:r>
      <w:r w:rsidRPr="00FE1D24">
        <w:rPr>
          <w:rFonts w:ascii="Arial" w:hAnsi="Arial" w:cs="Arial"/>
          <w:sz w:val="26"/>
          <w:szCs w:val="26"/>
        </w:rPr>
        <w:t>Municipales</w:t>
      </w:r>
      <w:r w:rsidRPr="00FE1D24">
        <w:rPr>
          <w:rFonts w:ascii="Arial" w:hAnsi="Arial" w:cs="Arial"/>
          <w:spacing w:val="-13"/>
          <w:sz w:val="26"/>
          <w:szCs w:val="26"/>
        </w:rPr>
        <w:t xml:space="preserve"> </w:t>
      </w:r>
      <w:r w:rsidRPr="00FE1D24">
        <w:rPr>
          <w:rFonts w:ascii="Arial" w:hAnsi="Arial" w:cs="Arial"/>
          <w:sz w:val="26"/>
          <w:szCs w:val="26"/>
        </w:rPr>
        <w:t>del</w:t>
      </w:r>
      <w:r w:rsidRPr="00FE1D24">
        <w:rPr>
          <w:rFonts w:ascii="Arial" w:hAnsi="Arial" w:cs="Arial"/>
          <w:spacing w:val="-14"/>
          <w:sz w:val="26"/>
          <w:szCs w:val="26"/>
        </w:rPr>
        <w:t xml:space="preserve"> </w:t>
      </w:r>
      <w:r w:rsidRPr="00FE1D24">
        <w:rPr>
          <w:rFonts w:ascii="Arial" w:hAnsi="Arial" w:cs="Arial"/>
          <w:sz w:val="26"/>
          <w:szCs w:val="26"/>
        </w:rPr>
        <w:t>Estado</w:t>
      </w:r>
      <w:r w:rsidRPr="00FE1D24">
        <w:rPr>
          <w:rFonts w:ascii="Arial" w:hAnsi="Arial" w:cs="Arial"/>
          <w:spacing w:val="-16"/>
          <w:sz w:val="26"/>
          <w:szCs w:val="26"/>
        </w:rPr>
        <w:t xml:space="preserve"> </w:t>
      </w:r>
      <w:r w:rsidRPr="00FE1D24">
        <w:rPr>
          <w:rFonts w:ascii="Arial" w:hAnsi="Arial" w:cs="Arial"/>
          <w:sz w:val="26"/>
          <w:szCs w:val="26"/>
        </w:rPr>
        <w:t>de</w:t>
      </w:r>
      <w:r w:rsidRPr="00FE1D24">
        <w:rPr>
          <w:rFonts w:ascii="Arial" w:hAnsi="Arial" w:cs="Arial"/>
          <w:spacing w:val="-19"/>
          <w:sz w:val="26"/>
          <w:szCs w:val="26"/>
        </w:rPr>
        <w:t xml:space="preserve"> </w:t>
      </w:r>
      <w:r w:rsidRPr="00FE1D24">
        <w:rPr>
          <w:rFonts w:ascii="Arial" w:hAnsi="Arial" w:cs="Arial"/>
          <w:sz w:val="26"/>
          <w:szCs w:val="26"/>
        </w:rPr>
        <w:t>Oaxaca,</w:t>
      </w:r>
      <w:r w:rsidRPr="00FE1D24">
        <w:rPr>
          <w:rFonts w:ascii="Arial" w:hAnsi="Arial" w:cs="Arial"/>
          <w:spacing w:val="-12"/>
          <w:sz w:val="26"/>
          <w:szCs w:val="26"/>
        </w:rPr>
        <w:t xml:space="preserve"> </w:t>
      </w:r>
      <w:r w:rsidRPr="00FE1D24">
        <w:rPr>
          <w:rFonts w:ascii="Arial" w:hAnsi="Arial" w:cs="Arial"/>
          <w:sz w:val="26"/>
          <w:szCs w:val="26"/>
        </w:rPr>
        <w:t>así</w:t>
      </w:r>
      <w:r w:rsidRPr="00FE1D24">
        <w:rPr>
          <w:rFonts w:ascii="Arial" w:hAnsi="Arial" w:cs="Arial"/>
          <w:spacing w:val="-17"/>
          <w:sz w:val="26"/>
          <w:szCs w:val="26"/>
        </w:rPr>
        <w:t xml:space="preserve"> </w:t>
      </w:r>
      <w:r w:rsidRPr="00FE1D24">
        <w:rPr>
          <w:rFonts w:ascii="Arial" w:hAnsi="Arial" w:cs="Arial"/>
          <w:sz w:val="26"/>
          <w:szCs w:val="26"/>
        </w:rPr>
        <w:t xml:space="preserve">como sus servidores públicos, personas físicas o morales, pública o privadas que haya recaudado, administrado, manejado, o ejercido recursos públicos, que con motivo del trámite, sustanciación y resolución del juicio a que se refiere el Artículo 2 de la misma ley. </w:t>
      </w:r>
    </w:p>
    <w:p w14:paraId="0F6ABF39" w14:textId="1C4F73A6" w:rsidR="00982020" w:rsidRDefault="00FE1D24" w:rsidP="00FE1D24">
      <w:pPr>
        <w:spacing w:before="240" w:after="0" w:line="360" w:lineRule="auto"/>
        <w:jc w:val="both"/>
        <w:rPr>
          <w:rFonts w:ascii="Arial" w:eastAsia="Arial Unicode MS" w:hAnsi="Arial" w:cs="Arial"/>
          <w:sz w:val="26"/>
          <w:szCs w:val="26"/>
        </w:rPr>
      </w:pPr>
      <w:r w:rsidRPr="00FE1D24">
        <w:rPr>
          <w:rFonts w:ascii="Arial" w:eastAsia="Arial Unicode MS" w:hAnsi="Arial" w:cs="Arial"/>
          <w:sz w:val="26"/>
          <w:szCs w:val="26"/>
        </w:rPr>
        <w:t xml:space="preserve">   </w:t>
      </w:r>
      <w:r>
        <w:rPr>
          <w:rFonts w:ascii="Arial" w:eastAsia="Arial Unicode MS" w:hAnsi="Arial" w:cs="Arial"/>
          <w:sz w:val="26"/>
          <w:szCs w:val="26"/>
        </w:rPr>
        <w:t xml:space="preserve"> </w:t>
      </w:r>
      <w:r w:rsidRPr="00FE1D24">
        <w:rPr>
          <w:rFonts w:ascii="Arial" w:eastAsia="Arial Unicode MS" w:hAnsi="Arial" w:cs="Arial"/>
          <w:sz w:val="26"/>
          <w:szCs w:val="26"/>
        </w:rPr>
        <w:t xml:space="preserve"> Asimismo</w:t>
      </w:r>
      <w:r w:rsidR="00982020" w:rsidRPr="00FE1D24">
        <w:rPr>
          <w:rFonts w:ascii="Arial" w:eastAsia="Arial Unicode MS" w:hAnsi="Arial" w:cs="Arial"/>
          <w:sz w:val="26"/>
          <w:szCs w:val="26"/>
        </w:rPr>
        <w:t xml:space="preserve">, </w:t>
      </w:r>
      <w:r w:rsidRPr="00FE1D24">
        <w:rPr>
          <w:rFonts w:ascii="Arial" w:eastAsia="Arial Unicode MS" w:hAnsi="Arial" w:cs="Arial"/>
          <w:sz w:val="26"/>
          <w:szCs w:val="26"/>
        </w:rPr>
        <w:t xml:space="preserve">el artículo 130, fracción VI, de </w:t>
      </w:r>
      <w:r w:rsidR="00982020" w:rsidRPr="00FE1D24">
        <w:rPr>
          <w:rFonts w:ascii="Arial" w:eastAsia="Arial Unicode MS" w:hAnsi="Arial" w:cs="Arial"/>
          <w:sz w:val="26"/>
          <w:szCs w:val="26"/>
        </w:rPr>
        <w:t>la Ley de Procedimiento y Justicia Administrativa para el Estado de Oaxaca,</w:t>
      </w:r>
      <w:r w:rsidRPr="00FE1D24">
        <w:rPr>
          <w:rFonts w:ascii="Arial" w:eastAsia="Arial Unicode MS" w:hAnsi="Arial" w:cs="Arial"/>
          <w:sz w:val="26"/>
          <w:szCs w:val="26"/>
        </w:rPr>
        <w:t xml:space="preserve"> establece que </w:t>
      </w:r>
      <w:r w:rsidRPr="00FE1D24">
        <w:rPr>
          <w:rFonts w:ascii="Arial" w:hAnsi="Arial" w:cs="Arial"/>
          <w:sz w:val="26"/>
          <w:szCs w:val="26"/>
        </w:rPr>
        <w:t>la misma Sala Superior tiene las atribuciones de c</w:t>
      </w:r>
      <w:r w:rsidR="00982020" w:rsidRPr="00FE1D24">
        <w:rPr>
          <w:rFonts w:ascii="Arial" w:hAnsi="Arial" w:cs="Arial"/>
          <w:sz w:val="26"/>
          <w:szCs w:val="26"/>
        </w:rPr>
        <w:t>onocer, substanciar y resolver mediante juicio las resoluciones en materia de responsabilidad administrativa que emitan el Órgano Superior de Fiscalización del Estado de Oaxaca, la Secretaría de la Contraloría y Transparencia Gubernamental o los Órganos de Control Interno de la Administraci</w:t>
      </w:r>
      <w:r w:rsidRPr="00FE1D24">
        <w:rPr>
          <w:rFonts w:ascii="Arial" w:hAnsi="Arial" w:cs="Arial"/>
          <w:sz w:val="26"/>
          <w:szCs w:val="26"/>
        </w:rPr>
        <w:t>ón Pública Estatal o Municipal.</w:t>
      </w:r>
    </w:p>
    <w:p w14:paraId="02F223D6" w14:textId="02ADC56A" w:rsidR="00982020" w:rsidRPr="00CE1F13" w:rsidRDefault="000D1597" w:rsidP="00CE1F13">
      <w:pPr>
        <w:spacing w:line="360" w:lineRule="auto"/>
        <w:jc w:val="both"/>
        <w:rPr>
          <w:rFonts w:ascii="Arial" w:eastAsia="Calibri" w:hAnsi="Arial" w:cs="Arial"/>
          <w:bCs/>
          <w:sz w:val="26"/>
          <w:szCs w:val="26"/>
          <w:lang w:val="es-MX"/>
        </w:rPr>
      </w:pPr>
      <w:r>
        <w:rPr>
          <w:rFonts w:ascii="Arial" w:eastAsia="Arial Unicode MS" w:hAnsi="Arial" w:cs="Arial"/>
          <w:sz w:val="26"/>
          <w:szCs w:val="26"/>
        </w:rPr>
        <w:t xml:space="preserve">    </w:t>
      </w:r>
      <w:r w:rsidRPr="000D1597">
        <w:rPr>
          <w:rFonts w:ascii="Arial" w:eastAsia="Arial Unicode MS" w:hAnsi="Arial" w:cs="Arial"/>
          <w:b/>
          <w:sz w:val="26"/>
          <w:szCs w:val="26"/>
        </w:rPr>
        <w:t>Ahora bien</w:t>
      </w:r>
      <w:r>
        <w:rPr>
          <w:rFonts w:ascii="Arial" w:eastAsia="Arial Unicode MS" w:hAnsi="Arial" w:cs="Arial"/>
          <w:sz w:val="26"/>
          <w:szCs w:val="26"/>
        </w:rPr>
        <w:t>,</w:t>
      </w:r>
      <w:r w:rsidR="00982020" w:rsidRPr="006745A9">
        <w:rPr>
          <w:rFonts w:ascii="Arial" w:hAnsi="Arial" w:cs="Arial"/>
          <w:sz w:val="26"/>
          <w:szCs w:val="26"/>
        </w:rPr>
        <w:t xml:space="preserve"> </w:t>
      </w:r>
      <w:r w:rsidR="00982020">
        <w:rPr>
          <w:rFonts w:ascii="Arial" w:hAnsi="Arial" w:cs="Arial"/>
          <w:sz w:val="26"/>
          <w:szCs w:val="26"/>
        </w:rPr>
        <w:t xml:space="preserve">de los </w:t>
      </w:r>
      <w:r w:rsidR="00FE1D24">
        <w:rPr>
          <w:rFonts w:ascii="Arial" w:hAnsi="Arial" w:cs="Arial"/>
          <w:sz w:val="26"/>
          <w:szCs w:val="26"/>
        </w:rPr>
        <w:t>citados preceptos legales</w:t>
      </w:r>
      <w:r w:rsidR="00982020" w:rsidRPr="006745A9">
        <w:rPr>
          <w:rFonts w:ascii="Arial" w:hAnsi="Arial" w:cs="Arial"/>
          <w:sz w:val="26"/>
          <w:szCs w:val="26"/>
        </w:rPr>
        <w:t xml:space="preserve"> se desprende que el Tribunal de Justicia Administrativa del Estado de Oaxaca</w:t>
      </w:r>
      <w:r w:rsidR="00FE1D24">
        <w:rPr>
          <w:rFonts w:ascii="Arial" w:hAnsi="Arial" w:cs="Arial"/>
          <w:sz w:val="26"/>
          <w:szCs w:val="26"/>
        </w:rPr>
        <w:t>,</w:t>
      </w:r>
      <w:r w:rsidR="00982020" w:rsidRPr="006745A9">
        <w:rPr>
          <w:rFonts w:ascii="Arial" w:hAnsi="Arial" w:cs="Arial"/>
          <w:sz w:val="26"/>
          <w:szCs w:val="26"/>
        </w:rPr>
        <w:t xml:space="preserve"> es competente para conocer y resolver de los actos y resoluciones que emita el Órgano Superior de Fiscalización del Estado (antes Auditoria Superior del </w:t>
      </w:r>
      <w:r w:rsidR="00982020" w:rsidRPr="006745A9">
        <w:rPr>
          <w:rFonts w:ascii="Arial" w:hAnsi="Arial" w:cs="Arial"/>
          <w:sz w:val="26"/>
          <w:szCs w:val="26"/>
        </w:rPr>
        <w:lastRenderedPageBreak/>
        <w:t>Estado) y</w:t>
      </w:r>
      <w:r w:rsidR="00FE1D24">
        <w:rPr>
          <w:rFonts w:ascii="Arial" w:hAnsi="Arial" w:cs="Arial"/>
          <w:sz w:val="26"/>
          <w:szCs w:val="26"/>
        </w:rPr>
        <w:t>,</w:t>
      </w:r>
      <w:r w:rsidR="00982020" w:rsidRPr="006745A9">
        <w:rPr>
          <w:rFonts w:ascii="Arial" w:hAnsi="Arial" w:cs="Arial"/>
          <w:sz w:val="26"/>
          <w:szCs w:val="26"/>
        </w:rPr>
        <w:t xml:space="preserve"> que tales controversias se plantearán a través </w:t>
      </w:r>
      <w:r w:rsidR="00982020" w:rsidRPr="00FE1D24">
        <w:rPr>
          <w:rFonts w:ascii="Arial" w:hAnsi="Arial" w:cs="Arial"/>
          <w:sz w:val="26"/>
          <w:szCs w:val="26"/>
        </w:rPr>
        <w:t>de juicio de inconformidad</w:t>
      </w:r>
      <w:r w:rsidR="00982020" w:rsidRPr="006745A9">
        <w:rPr>
          <w:rFonts w:ascii="Arial" w:hAnsi="Arial" w:cs="Arial"/>
          <w:sz w:val="26"/>
          <w:szCs w:val="26"/>
        </w:rPr>
        <w:t xml:space="preserve"> y se promoverán ante la </w:t>
      </w:r>
      <w:r w:rsidR="00982020" w:rsidRPr="00FE1D24">
        <w:rPr>
          <w:rFonts w:ascii="Arial" w:hAnsi="Arial" w:cs="Arial"/>
          <w:sz w:val="26"/>
          <w:szCs w:val="26"/>
        </w:rPr>
        <w:t>Sala Superior de este órgano jurisdiccional</w:t>
      </w:r>
      <w:r w:rsidR="00FE1D24">
        <w:rPr>
          <w:rFonts w:ascii="Arial" w:hAnsi="Arial" w:cs="Arial"/>
          <w:sz w:val="26"/>
          <w:szCs w:val="26"/>
        </w:rPr>
        <w:t xml:space="preserve">; </w:t>
      </w:r>
      <w:r w:rsidR="00FE1D24" w:rsidRPr="00FE1D24">
        <w:rPr>
          <w:rFonts w:ascii="Arial" w:hAnsi="Arial" w:cs="Arial"/>
          <w:b/>
          <w:sz w:val="26"/>
          <w:szCs w:val="26"/>
        </w:rPr>
        <w:t>s</w:t>
      </w:r>
      <w:r w:rsidR="00982020" w:rsidRPr="00FE1D24">
        <w:rPr>
          <w:rFonts w:ascii="Arial" w:hAnsi="Arial" w:cs="Arial"/>
          <w:b/>
          <w:sz w:val="26"/>
          <w:szCs w:val="26"/>
        </w:rPr>
        <w:t>in embargo</w:t>
      </w:r>
      <w:r w:rsidR="00FE1D24">
        <w:rPr>
          <w:rFonts w:ascii="Arial" w:hAnsi="Arial" w:cs="Arial"/>
          <w:sz w:val="26"/>
          <w:szCs w:val="26"/>
        </w:rPr>
        <w:t>,</w:t>
      </w:r>
      <w:r w:rsidR="00982020">
        <w:rPr>
          <w:rFonts w:ascii="Arial" w:hAnsi="Arial" w:cs="Arial"/>
          <w:sz w:val="26"/>
          <w:szCs w:val="26"/>
        </w:rPr>
        <w:t xml:space="preserve"> del escrito de demanda </w:t>
      </w:r>
      <w:r w:rsidR="005B09D6">
        <w:rPr>
          <w:rFonts w:ascii="Arial" w:hAnsi="Arial" w:cs="Arial"/>
          <w:sz w:val="26"/>
          <w:szCs w:val="26"/>
        </w:rPr>
        <w:t>de nulidad</w:t>
      </w:r>
      <w:r>
        <w:rPr>
          <w:rFonts w:ascii="Arial" w:hAnsi="Arial" w:cs="Arial"/>
          <w:sz w:val="26"/>
          <w:szCs w:val="26"/>
        </w:rPr>
        <w:t xml:space="preserve"> se advierte que la </w:t>
      </w:r>
      <w:r w:rsidR="00982020">
        <w:rPr>
          <w:rFonts w:ascii="Arial" w:hAnsi="Arial" w:cs="Arial"/>
          <w:sz w:val="26"/>
          <w:szCs w:val="26"/>
        </w:rPr>
        <w:t>actor</w:t>
      </w:r>
      <w:r>
        <w:rPr>
          <w:rFonts w:ascii="Arial" w:hAnsi="Arial" w:cs="Arial"/>
          <w:sz w:val="26"/>
          <w:szCs w:val="26"/>
        </w:rPr>
        <w:t>a</w:t>
      </w:r>
      <w:r w:rsidR="00982020">
        <w:rPr>
          <w:rFonts w:ascii="Arial" w:hAnsi="Arial" w:cs="Arial"/>
          <w:sz w:val="26"/>
          <w:szCs w:val="26"/>
        </w:rPr>
        <w:t xml:space="preserve"> impugna el mandamiento de ejecución</w:t>
      </w:r>
      <w:r w:rsidR="00CE1F13">
        <w:rPr>
          <w:rFonts w:ascii="Arial" w:hAnsi="Arial" w:cs="Arial"/>
          <w:sz w:val="26"/>
          <w:szCs w:val="26"/>
        </w:rPr>
        <w:t xml:space="preserve"> número </w:t>
      </w:r>
      <w:r w:rsidR="0081379B">
        <w:rPr>
          <w:rFonts w:ascii="Arial" w:hAnsi="Arial" w:cs="Arial"/>
          <w:sz w:val="24"/>
          <w:szCs w:val="24"/>
        </w:rPr>
        <w:t>***********</w:t>
      </w:r>
      <w:r w:rsidR="0081379B">
        <w:rPr>
          <w:rFonts w:ascii="Arial" w:hAnsi="Arial" w:cs="Arial"/>
          <w:sz w:val="24"/>
          <w:szCs w:val="24"/>
        </w:rPr>
        <w:t xml:space="preserve"> </w:t>
      </w:r>
      <w:r w:rsidR="00982020">
        <w:rPr>
          <w:rFonts w:ascii="Arial" w:hAnsi="Arial" w:cs="Arial"/>
          <w:sz w:val="26"/>
          <w:szCs w:val="26"/>
        </w:rPr>
        <w:t xml:space="preserve">y </w:t>
      </w:r>
      <w:r>
        <w:rPr>
          <w:rFonts w:ascii="Arial" w:hAnsi="Arial" w:cs="Arial"/>
          <w:sz w:val="26"/>
          <w:szCs w:val="26"/>
        </w:rPr>
        <w:t>el procedimiento administrativo de ejecución instaurado en su contra</w:t>
      </w:r>
      <w:r w:rsidR="00982020" w:rsidRPr="00E94F0C">
        <w:rPr>
          <w:rFonts w:ascii="Arial" w:eastAsia="Calibri" w:hAnsi="Arial" w:cs="Arial"/>
          <w:bCs/>
          <w:sz w:val="26"/>
          <w:szCs w:val="26"/>
          <w:lang w:val="es-MX"/>
        </w:rPr>
        <w:t xml:space="preserve"> por la Coordinadora de Cobro Coactivo de la Dirección de Ingresos y Recaudación de la Secretaría de Finanzas de Oaxaca, determina</w:t>
      </w:r>
      <w:r>
        <w:rPr>
          <w:rFonts w:ascii="Arial" w:eastAsia="Calibri" w:hAnsi="Arial" w:cs="Arial"/>
          <w:bCs/>
          <w:sz w:val="26"/>
          <w:szCs w:val="26"/>
          <w:lang w:val="es-MX"/>
        </w:rPr>
        <w:t>ción que puede ser controvertida ante este Tribunal</w:t>
      </w:r>
      <w:r w:rsidR="00982020" w:rsidRPr="00E94F0C">
        <w:rPr>
          <w:rFonts w:ascii="Arial" w:hAnsi="Arial" w:cs="Arial"/>
          <w:bCs/>
          <w:sz w:val="26"/>
          <w:szCs w:val="26"/>
          <w:lang w:val="es-MX"/>
        </w:rPr>
        <w:t xml:space="preserve"> acorde a lo dispuesto por la </w:t>
      </w:r>
      <w:r w:rsidR="00982020" w:rsidRPr="00E94F0C">
        <w:rPr>
          <w:rFonts w:ascii="Arial" w:eastAsia="Arial Unicode MS" w:hAnsi="Arial" w:cs="Arial"/>
          <w:color w:val="000000"/>
          <w:kern w:val="3"/>
          <w:sz w:val="26"/>
          <w:szCs w:val="26"/>
          <w:lang w:eastAsia="es-MX"/>
        </w:rPr>
        <w:t>Ley de Procedimiento y Justicia Administrativa para el Estado de Oaxaca</w:t>
      </w:r>
      <w:r w:rsidR="00982020" w:rsidRPr="00E94F0C">
        <w:rPr>
          <w:rFonts w:ascii="Arial" w:hAnsi="Arial" w:cs="Arial"/>
          <w:bCs/>
          <w:sz w:val="26"/>
          <w:szCs w:val="26"/>
          <w:lang w:val="es-MX"/>
        </w:rPr>
        <w:t>, a través del cual se desarrolla el Juicio Contencioso Administrativo, ante las Salas de Primera Instancia de este Tribunal.</w:t>
      </w:r>
    </w:p>
    <w:p w14:paraId="072814E3" w14:textId="4152DC95" w:rsidR="00FB21BA" w:rsidRDefault="00635A9B" w:rsidP="00982020">
      <w:pPr>
        <w:spacing w:line="360" w:lineRule="auto"/>
        <w:ind w:right="49"/>
        <w:jc w:val="both"/>
        <w:rPr>
          <w:rFonts w:ascii="Arial" w:hAnsi="Arial" w:cs="Arial"/>
          <w:sz w:val="26"/>
          <w:szCs w:val="26"/>
        </w:rPr>
      </w:pPr>
      <w:r>
        <w:rPr>
          <w:rFonts w:ascii="Arial" w:hAnsi="Arial" w:cs="Arial"/>
          <w:sz w:val="26"/>
          <w:szCs w:val="26"/>
        </w:rPr>
        <w:t xml:space="preserve">     </w:t>
      </w:r>
      <w:r w:rsidR="00CE1F13">
        <w:rPr>
          <w:rFonts w:ascii="Arial" w:hAnsi="Arial" w:cs="Arial"/>
          <w:sz w:val="26"/>
          <w:szCs w:val="26"/>
        </w:rPr>
        <w:t>Es entonces que, atendiendo la naturaleza coactiva de los</w:t>
      </w:r>
      <w:r w:rsidR="00982020">
        <w:rPr>
          <w:rFonts w:ascii="Arial" w:hAnsi="Arial" w:cs="Arial"/>
          <w:sz w:val="26"/>
          <w:szCs w:val="26"/>
        </w:rPr>
        <w:t xml:space="preserve"> acto</w:t>
      </w:r>
      <w:r w:rsidR="00CE1F13">
        <w:rPr>
          <w:rFonts w:ascii="Arial" w:hAnsi="Arial" w:cs="Arial"/>
          <w:sz w:val="26"/>
          <w:szCs w:val="26"/>
        </w:rPr>
        <w:t>s</w:t>
      </w:r>
      <w:r w:rsidR="00982020">
        <w:rPr>
          <w:rFonts w:ascii="Arial" w:hAnsi="Arial" w:cs="Arial"/>
          <w:sz w:val="26"/>
          <w:szCs w:val="26"/>
        </w:rPr>
        <w:t xml:space="preserve"> impugnado</w:t>
      </w:r>
      <w:r w:rsidR="00CE1F13">
        <w:rPr>
          <w:rFonts w:ascii="Arial" w:hAnsi="Arial" w:cs="Arial"/>
          <w:sz w:val="26"/>
          <w:szCs w:val="26"/>
        </w:rPr>
        <w:t>s</w:t>
      </w:r>
      <w:r w:rsidR="00FB21BA">
        <w:rPr>
          <w:rFonts w:ascii="Arial" w:hAnsi="Arial" w:cs="Arial"/>
          <w:sz w:val="26"/>
          <w:szCs w:val="26"/>
        </w:rPr>
        <w:t>,</w:t>
      </w:r>
      <w:r>
        <w:rPr>
          <w:rFonts w:ascii="Arial" w:hAnsi="Arial" w:cs="Arial"/>
          <w:sz w:val="26"/>
          <w:szCs w:val="26"/>
        </w:rPr>
        <w:t xml:space="preserve"> </w:t>
      </w:r>
      <w:r w:rsidR="00FB21BA">
        <w:rPr>
          <w:rFonts w:ascii="Arial" w:hAnsi="Arial" w:cs="Arial"/>
          <w:sz w:val="26"/>
          <w:szCs w:val="26"/>
        </w:rPr>
        <w:t>el resolutor de primera instancia debió de ser congruente con la pretensión solicitada por el administrado</w:t>
      </w:r>
      <w:r w:rsidR="005F20E4">
        <w:rPr>
          <w:rFonts w:ascii="Arial" w:hAnsi="Arial" w:cs="Arial"/>
          <w:sz w:val="26"/>
          <w:szCs w:val="26"/>
        </w:rPr>
        <w:t>, pues</w:t>
      </w:r>
      <w:r w:rsidR="00FB21BA">
        <w:rPr>
          <w:rFonts w:ascii="Arial" w:hAnsi="Arial" w:cs="Arial"/>
          <w:sz w:val="26"/>
          <w:szCs w:val="26"/>
        </w:rPr>
        <w:t xml:space="preserve"> entre las diversas garantías </w:t>
      </w:r>
      <w:r w:rsidR="005F20E4">
        <w:rPr>
          <w:rFonts w:ascii="Arial" w:hAnsi="Arial" w:cs="Arial"/>
          <w:sz w:val="26"/>
          <w:szCs w:val="26"/>
        </w:rPr>
        <w:t>contenidas</w:t>
      </w:r>
      <w:r w:rsidR="00FB21BA">
        <w:rPr>
          <w:rFonts w:ascii="Arial" w:hAnsi="Arial" w:cs="Arial"/>
          <w:sz w:val="26"/>
          <w:szCs w:val="26"/>
        </w:rPr>
        <w:t xml:space="preserve"> en el segundo párrafo </w:t>
      </w:r>
      <w:r w:rsidR="005F20E4">
        <w:rPr>
          <w:rFonts w:ascii="Arial" w:hAnsi="Arial" w:cs="Arial"/>
          <w:sz w:val="26"/>
          <w:szCs w:val="26"/>
        </w:rPr>
        <w:t>del</w:t>
      </w:r>
      <w:r w:rsidR="00FB21BA">
        <w:rPr>
          <w:rFonts w:ascii="Arial" w:hAnsi="Arial" w:cs="Arial"/>
          <w:sz w:val="26"/>
          <w:szCs w:val="26"/>
        </w:rPr>
        <w:t xml:space="preserve"> </w:t>
      </w:r>
      <w:r w:rsidR="005F20E4">
        <w:rPr>
          <w:rFonts w:ascii="Arial" w:hAnsi="Arial" w:cs="Arial"/>
          <w:sz w:val="26"/>
          <w:szCs w:val="26"/>
        </w:rPr>
        <w:t>artículo</w:t>
      </w:r>
      <w:r w:rsidR="00FB21BA">
        <w:rPr>
          <w:rFonts w:ascii="Arial" w:hAnsi="Arial" w:cs="Arial"/>
          <w:sz w:val="26"/>
          <w:szCs w:val="26"/>
        </w:rPr>
        <w:t xml:space="preserve"> 14 de la </w:t>
      </w:r>
      <w:r w:rsidR="005F20E4">
        <w:rPr>
          <w:rFonts w:ascii="Arial" w:hAnsi="Arial" w:cs="Arial"/>
          <w:sz w:val="26"/>
          <w:szCs w:val="26"/>
        </w:rPr>
        <w:t>Constitución</w:t>
      </w:r>
      <w:r w:rsidR="00FB21BA">
        <w:rPr>
          <w:rFonts w:ascii="Arial" w:hAnsi="Arial" w:cs="Arial"/>
          <w:sz w:val="26"/>
          <w:szCs w:val="26"/>
        </w:rPr>
        <w:t xml:space="preserve"> </w:t>
      </w:r>
      <w:r w:rsidR="005F20E4">
        <w:rPr>
          <w:rFonts w:ascii="Arial" w:hAnsi="Arial" w:cs="Arial"/>
          <w:sz w:val="26"/>
          <w:szCs w:val="26"/>
        </w:rPr>
        <w:t>Política</w:t>
      </w:r>
      <w:r w:rsidR="00FB21BA">
        <w:rPr>
          <w:rFonts w:ascii="Arial" w:hAnsi="Arial" w:cs="Arial"/>
          <w:sz w:val="26"/>
          <w:szCs w:val="26"/>
        </w:rPr>
        <w:t xml:space="preserve"> de los Estados Unidos Mexicanos, sustento de la </w:t>
      </w:r>
      <w:r w:rsidR="005F20E4">
        <w:rPr>
          <w:rFonts w:ascii="Arial" w:hAnsi="Arial" w:cs="Arial"/>
          <w:sz w:val="26"/>
          <w:szCs w:val="26"/>
        </w:rPr>
        <w:t>garantía</w:t>
      </w:r>
      <w:r w:rsidR="00FB21BA">
        <w:rPr>
          <w:rFonts w:ascii="Arial" w:hAnsi="Arial" w:cs="Arial"/>
          <w:sz w:val="26"/>
          <w:szCs w:val="26"/>
        </w:rPr>
        <w:t xml:space="preserve"> de audiencia, está la relativa </w:t>
      </w:r>
      <w:r w:rsidR="005F20E4">
        <w:rPr>
          <w:rFonts w:ascii="Arial" w:hAnsi="Arial" w:cs="Arial"/>
          <w:sz w:val="26"/>
          <w:szCs w:val="26"/>
        </w:rPr>
        <w:t>al</w:t>
      </w:r>
      <w:r w:rsidR="00FB21BA">
        <w:rPr>
          <w:rFonts w:ascii="Arial" w:hAnsi="Arial" w:cs="Arial"/>
          <w:sz w:val="26"/>
          <w:szCs w:val="26"/>
        </w:rPr>
        <w:t xml:space="preserve"> respeto de las formalidades </w:t>
      </w:r>
      <w:r w:rsidR="005F20E4">
        <w:rPr>
          <w:rFonts w:ascii="Arial" w:hAnsi="Arial" w:cs="Arial"/>
          <w:sz w:val="26"/>
          <w:szCs w:val="26"/>
        </w:rPr>
        <w:t>esenciales</w:t>
      </w:r>
      <w:r w:rsidR="00FB21BA">
        <w:rPr>
          <w:rFonts w:ascii="Arial" w:hAnsi="Arial" w:cs="Arial"/>
          <w:sz w:val="26"/>
          <w:szCs w:val="26"/>
        </w:rPr>
        <w:t xml:space="preserve"> del </w:t>
      </w:r>
      <w:r w:rsidR="005F20E4">
        <w:rPr>
          <w:rFonts w:ascii="Arial" w:hAnsi="Arial" w:cs="Arial"/>
          <w:sz w:val="26"/>
          <w:szCs w:val="26"/>
        </w:rPr>
        <w:t>procedimiento</w:t>
      </w:r>
      <w:r w:rsidR="00FB21BA">
        <w:rPr>
          <w:rFonts w:ascii="Arial" w:hAnsi="Arial" w:cs="Arial"/>
          <w:sz w:val="26"/>
          <w:szCs w:val="26"/>
        </w:rPr>
        <w:t xml:space="preserve">, también conocida como el </w:t>
      </w:r>
      <w:r w:rsidR="005F20E4">
        <w:rPr>
          <w:rFonts w:ascii="Arial" w:hAnsi="Arial" w:cs="Arial"/>
          <w:sz w:val="26"/>
          <w:szCs w:val="26"/>
        </w:rPr>
        <w:t>debido proceso legal, la cual s</w:t>
      </w:r>
      <w:r w:rsidR="00FB21BA">
        <w:rPr>
          <w:rFonts w:ascii="Arial" w:hAnsi="Arial" w:cs="Arial"/>
          <w:sz w:val="26"/>
          <w:szCs w:val="26"/>
        </w:rPr>
        <w:t>e</w:t>
      </w:r>
      <w:r w:rsidR="005F20E4">
        <w:rPr>
          <w:rFonts w:ascii="Arial" w:hAnsi="Arial" w:cs="Arial"/>
          <w:sz w:val="26"/>
          <w:szCs w:val="26"/>
        </w:rPr>
        <w:t xml:space="preserve"> </w:t>
      </w:r>
      <w:r w:rsidR="00FB21BA">
        <w:rPr>
          <w:rFonts w:ascii="Arial" w:hAnsi="Arial" w:cs="Arial"/>
          <w:sz w:val="26"/>
          <w:szCs w:val="26"/>
        </w:rPr>
        <w:t xml:space="preserve">refiere al </w:t>
      </w:r>
      <w:r w:rsidR="005F20E4">
        <w:rPr>
          <w:rFonts w:ascii="Arial" w:hAnsi="Arial" w:cs="Arial"/>
          <w:sz w:val="26"/>
          <w:szCs w:val="26"/>
        </w:rPr>
        <w:t>cumplimiento de las condiciones</w:t>
      </w:r>
      <w:r w:rsidR="00FB21BA">
        <w:rPr>
          <w:rFonts w:ascii="Arial" w:hAnsi="Arial" w:cs="Arial"/>
          <w:sz w:val="26"/>
          <w:szCs w:val="26"/>
        </w:rPr>
        <w:t xml:space="preserve"> fundamentales que deben satisfacerse en el procedimiento jurisdiccional que </w:t>
      </w:r>
      <w:r w:rsidR="005F20E4">
        <w:rPr>
          <w:rFonts w:ascii="Arial" w:hAnsi="Arial" w:cs="Arial"/>
          <w:sz w:val="26"/>
          <w:szCs w:val="26"/>
        </w:rPr>
        <w:t>concluye</w:t>
      </w:r>
      <w:r w:rsidR="00FB21BA">
        <w:rPr>
          <w:rFonts w:ascii="Arial" w:hAnsi="Arial" w:cs="Arial"/>
          <w:sz w:val="26"/>
          <w:szCs w:val="26"/>
        </w:rPr>
        <w:t xml:space="preserve"> con el </w:t>
      </w:r>
      <w:r w:rsidR="005F20E4">
        <w:rPr>
          <w:rFonts w:ascii="Arial" w:hAnsi="Arial" w:cs="Arial"/>
          <w:sz w:val="26"/>
          <w:szCs w:val="26"/>
        </w:rPr>
        <w:t>dictado</w:t>
      </w:r>
      <w:r w:rsidR="00FB21BA">
        <w:rPr>
          <w:rFonts w:ascii="Arial" w:hAnsi="Arial" w:cs="Arial"/>
          <w:sz w:val="26"/>
          <w:szCs w:val="26"/>
        </w:rPr>
        <w:t xml:space="preserve"> de una resolución que dirime las </w:t>
      </w:r>
      <w:r w:rsidR="005F20E4">
        <w:rPr>
          <w:rFonts w:ascii="Arial" w:hAnsi="Arial" w:cs="Arial"/>
          <w:sz w:val="26"/>
          <w:szCs w:val="26"/>
        </w:rPr>
        <w:t xml:space="preserve">cuestiones debatidas. </w:t>
      </w:r>
      <w:r w:rsidR="00FB21BA">
        <w:rPr>
          <w:rFonts w:ascii="Arial" w:hAnsi="Arial" w:cs="Arial"/>
          <w:sz w:val="26"/>
          <w:szCs w:val="26"/>
        </w:rPr>
        <w:t xml:space="preserve">Esta </w:t>
      </w:r>
      <w:r w:rsidR="005F20E4">
        <w:rPr>
          <w:rFonts w:ascii="Arial" w:hAnsi="Arial" w:cs="Arial"/>
          <w:sz w:val="26"/>
          <w:szCs w:val="26"/>
        </w:rPr>
        <w:t>garantía</w:t>
      </w:r>
      <w:r w:rsidR="00FB21BA">
        <w:rPr>
          <w:rFonts w:ascii="Arial" w:hAnsi="Arial" w:cs="Arial"/>
          <w:sz w:val="26"/>
          <w:szCs w:val="26"/>
        </w:rPr>
        <w:t xml:space="preserve"> obliga al juzgador a decidir las </w:t>
      </w:r>
      <w:r w:rsidR="005F20E4">
        <w:rPr>
          <w:rFonts w:ascii="Arial" w:hAnsi="Arial" w:cs="Arial"/>
          <w:sz w:val="26"/>
          <w:szCs w:val="26"/>
        </w:rPr>
        <w:t>controversias</w:t>
      </w:r>
      <w:r w:rsidR="00FB21BA">
        <w:rPr>
          <w:rFonts w:ascii="Arial" w:hAnsi="Arial" w:cs="Arial"/>
          <w:sz w:val="26"/>
          <w:szCs w:val="26"/>
        </w:rPr>
        <w:t xml:space="preserve"> sometidas a su </w:t>
      </w:r>
      <w:r w:rsidR="005F20E4">
        <w:rPr>
          <w:rFonts w:ascii="Arial" w:hAnsi="Arial" w:cs="Arial"/>
          <w:sz w:val="26"/>
          <w:szCs w:val="26"/>
        </w:rPr>
        <w:t>conocimiento</w:t>
      </w:r>
      <w:r w:rsidR="00FB21BA">
        <w:rPr>
          <w:rFonts w:ascii="Arial" w:hAnsi="Arial" w:cs="Arial"/>
          <w:sz w:val="26"/>
          <w:szCs w:val="26"/>
        </w:rPr>
        <w:t xml:space="preserve">, considerando todos y cada uno de los argumentos </w:t>
      </w:r>
      <w:r w:rsidR="005F20E4">
        <w:rPr>
          <w:rFonts w:ascii="Arial" w:hAnsi="Arial" w:cs="Arial"/>
          <w:sz w:val="26"/>
          <w:szCs w:val="26"/>
        </w:rPr>
        <w:t xml:space="preserve">aducidos </w:t>
      </w:r>
      <w:r w:rsidR="00FB21BA">
        <w:rPr>
          <w:rFonts w:ascii="Arial" w:hAnsi="Arial" w:cs="Arial"/>
          <w:sz w:val="26"/>
          <w:szCs w:val="26"/>
        </w:rPr>
        <w:t xml:space="preserve">en la </w:t>
      </w:r>
      <w:r w:rsidR="005F20E4">
        <w:rPr>
          <w:rFonts w:ascii="Arial" w:hAnsi="Arial" w:cs="Arial"/>
          <w:sz w:val="26"/>
          <w:szCs w:val="26"/>
        </w:rPr>
        <w:t>demanda</w:t>
      </w:r>
      <w:r w:rsidR="00FB21BA">
        <w:rPr>
          <w:rFonts w:ascii="Arial" w:hAnsi="Arial" w:cs="Arial"/>
          <w:sz w:val="26"/>
          <w:szCs w:val="26"/>
        </w:rPr>
        <w:t xml:space="preserve">, en su contestación, </w:t>
      </w:r>
      <w:r w:rsidR="005F20E4">
        <w:rPr>
          <w:rFonts w:ascii="Arial" w:hAnsi="Arial" w:cs="Arial"/>
          <w:sz w:val="26"/>
          <w:szCs w:val="26"/>
        </w:rPr>
        <w:t>así</w:t>
      </w:r>
      <w:r w:rsidR="00FB21BA">
        <w:rPr>
          <w:rFonts w:ascii="Arial" w:hAnsi="Arial" w:cs="Arial"/>
          <w:sz w:val="26"/>
          <w:szCs w:val="26"/>
        </w:rPr>
        <w:t xml:space="preserve"> como las demás pretensiones deducidas </w:t>
      </w:r>
      <w:r w:rsidR="005F20E4">
        <w:rPr>
          <w:rFonts w:ascii="Arial" w:hAnsi="Arial" w:cs="Arial"/>
          <w:sz w:val="26"/>
          <w:szCs w:val="26"/>
        </w:rPr>
        <w:t>oportunamente</w:t>
      </w:r>
      <w:r w:rsidR="00FB21BA">
        <w:rPr>
          <w:rFonts w:ascii="Arial" w:hAnsi="Arial" w:cs="Arial"/>
          <w:sz w:val="26"/>
          <w:szCs w:val="26"/>
        </w:rPr>
        <w:t xml:space="preserve"> en el pleito, de tal forma que se condene o absuelva al demandado, resolviendo sobre todos los puntos </w:t>
      </w:r>
      <w:r w:rsidR="005F20E4">
        <w:rPr>
          <w:rFonts w:ascii="Arial" w:hAnsi="Arial" w:cs="Arial"/>
          <w:sz w:val="26"/>
          <w:szCs w:val="26"/>
        </w:rPr>
        <w:t>litigiosos</w:t>
      </w:r>
      <w:r w:rsidR="00FB21BA">
        <w:rPr>
          <w:rFonts w:ascii="Arial" w:hAnsi="Arial" w:cs="Arial"/>
          <w:sz w:val="26"/>
          <w:szCs w:val="26"/>
        </w:rPr>
        <w:t xml:space="preserve"> materia del </w:t>
      </w:r>
      <w:r w:rsidR="005F20E4">
        <w:rPr>
          <w:rFonts w:ascii="Arial" w:hAnsi="Arial" w:cs="Arial"/>
          <w:sz w:val="26"/>
          <w:szCs w:val="26"/>
        </w:rPr>
        <w:t>debate, como lo medularmente establece la Primera Sala de la Suprema Corte de Justicia de la Nación al emitir la jurisprudencia 1a./J. 139/2005</w:t>
      </w:r>
      <w:r w:rsidR="005F20E4">
        <w:rPr>
          <w:rStyle w:val="Refdenotaalpie"/>
          <w:rFonts w:ascii="Arial" w:hAnsi="Arial" w:cs="Arial"/>
          <w:sz w:val="26"/>
          <w:szCs w:val="26"/>
        </w:rPr>
        <w:footnoteReference w:id="1"/>
      </w:r>
      <w:r w:rsidR="005F20E4">
        <w:rPr>
          <w:rFonts w:ascii="Arial" w:hAnsi="Arial" w:cs="Arial"/>
          <w:sz w:val="26"/>
          <w:szCs w:val="26"/>
        </w:rPr>
        <w:t>.</w:t>
      </w:r>
    </w:p>
    <w:p w14:paraId="1E558A4F" w14:textId="04710A30" w:rsidR="00982020" w:rsidRPr="002156D2" w:rsidRDefault="005F20E4" w:rsidP="00982020">
      <w:pPr>
        <w:spacing w:line="360" w:lineRule="auto"/>
        <w:ind w:right="49"/>
        <w:jc w:val="both"/>
        <w:rPr>
          <w:rFonts w:ascii="Arial" w:hAnsi="Arial" w:cs="Arial"/>
          <w:b/>
          <w:sz w:val="26"/>
          <w:szCs w:val="26"/>
        </w:rPr>
      </w:pPr>
      <w:r>
        <w:rPr>
          <w:rFonts w:ascii="Arial" w:hAnsi="Arial" w:cs="Arial"/>
          <w:sz w:val="26"/>
          <w:szCs w:val="26"/>
        </w:rPr>
        <w:lastRenderedPageBreak/>
        <w:t xml:space="preserve">     Consecuentemente </w:t>
      </w:r>
      <w:r w:rsidR="00635A9B">
        <w:rPr>
          <w:rFonts w:ascii="Arial" w:hAnsi="Arial" w:cs="Arial"/>
          <w:sz w:val="26"/>
          <w:szCs w:val="26"/>
        </w:rPr>
        <w:t>y</w:t>
      </w:r>
      <w:r>
        <w:rPr>
          <w:rFonts w:ascii="Arial" w:hAnsi="Arial" w:cs="Arial"/>
          <w:sz w:val="26"/>
          <w:szCs w:val="26"/>
        </w:rPr>
        <w:t>,</w:t>
      </w:r>
      <w:r w:rsidR="00635A9B">
        <w:rPr>
          <w:rFonts w:ascii="Arial" w:hAnsi="Arial" w:cs="Arial"/>
          <w:sz w:val="26"/>
          <w:szCs w:val="26"/>
        </w:rPr>
        <w:t xml:space="preserve"> contrario a lo considerado por el resolutor de primera instancia</w:t>
      </w:r>
      <w:r w:rsidR="00CE1F13">
        <w:rPr>
          <w:rFonts w:ascii="Arial" w:hAnsi="Arial" w:cs="Arial"/>
          <w:sz w:val="26"/>
          <w:szCs w:val="26"/>
        </w:rPr>
        <w:t>,</w:t>
      </w:r>
      <w:r w:rsidR="00982020">
        <w:rPr>
          <w:rFonts w:ascii="Arial" w:hAnsi="Arial" w:cs="Arial"/>
          <w:sz w:val="26"/>
          <w:szCs w:val="26"/>
        </w:rPr>
        <w:t xml:space="preserve"> le corresponde conocer y resolver a las </w:t>
      </w:r>
      <w:r w:rsidR="00982020" w:rsidRPr="002156D2">
        <w:rPr>
          <w:rFonts w:ascii="Arial" w:hAnsi="Arial" w:cs="Arial"/>
          <w:sz w:val="26"/>
          <w:szCs w:val="26"/>
        </w:rPr>
        <w:t>Salas Unitarias de Primera</w:t>
      </w:r>
      <w:r w:rsidR="00635A9B">
        <w:rPr>
          <w:rFonts w:ascii="Arial" w:hAnsi="Arial" w:cs="Arial"/>
          <w:sz w:val="26"/>
          <w:szCs w:val="26"/>
        </w:rPr>
        <w:t xml:space="preserve"> Instancia</w:t>
      </w:r>
      <w:r>
        <w:rPr>
          <w:rFonts w:ascii="Arial" w:hAnsi="Arial" w:cs="Arial"/>
          <w:sz w:val="26"/>
          <w:szCs w:val="26"/>
        </w:rPr>
        <w:t xml:space="preserve"> de las pretensiones aducidas por la administrada</w:t>
      </w:r>
      <w:r w:rsidR="00635A9B">
        <w:rPr>
          <w:rFonts w:ascii="Arial" w:hAnsi="Arial" w:cs="Arial"/>
          <w:sz w:val="26"/>
          <w:szCs w:val="26"/>
        </w:rPr>
        <w:t xml:space="preserve"> y no a la Sala Superior de este Tribunal</w:t>
      </w:r>
      <w:r w:rsidR="00CE1F13">
        <w:rPr>
          <w:rFonts w:ascii="Arial" w:hAnsi="Arial" w:cs="Arial"/>
          <w:sz w:val="26"/>
          <w:szCs w:val="26"/>
        </w:rPr>
        <w:t>, tal como lo prevén</w:t>
      </w:r>
      <w:r w:rsidR="00982020" w:rsidRPr="002156D2">
        <w:rPr>
          <w:rFonts w:ascii="Arial" w:hAnsi="Arial" w:cs="Arial"/>
          <w:sz w:val="26"/>
          <w:szCs w:val="26"/>
        </w:rPr>
        <w:t xml:space="preserve"> los artículos 132 y 133 de la Ley de Procedimiento y Justicia Administr</w:t>
      </w:r>
      <w:r w:rsidR="00CE1F13">
        <w:rPr>
          <w:rFonts w:ascii="Arial" w:hAnsi="Arial" w:cs="Arial"/>
          <w:sz w:val="26"/>
          <w:szCs w:val="26"/>
        </w:rPr>
        <w:t>ativa para el Estado de Oaxaca,</w:t>
      </w:r>
      <w:r w:rsidR="00982020" w:rsidRPr="002156D2">
        <w:rPr>
          <w:rFonts w:ascii="Arial" w:hAnsi="Arial" w:cs="Arial"/>
          <w:sz w:val="26"/>
          <w:szCs w:val="26"/>
        </w:rPr>
        <w:t xml:space="preserve"> señalan </w:t>
      </w:r>
      <w:r w:rsidR="00CE1F13">
        <w:rPr>
          <w:rFonts w:ascii="Arial" w:hAnsi="Arial" w:cs="Arial"/>
          <w:sz w:val="26"/>
          <w:szCs w:val="26"/>
        </w:rPr>
        <w:t xml:space="preserve">en la parte que interesa </w:t>
      </w:r>
      <w:r w:rsidR="00982020" w:rsidRPr="002156D2">
        <w:rPr>
          <w:rFonts w:ascii="Arial" w:hAnsi="Arial" w:cs="Arial"/>
          <w:sz w:val="26"/>
          <w:szCs w:val="26"/>
        </w:rPr>
        <w:t xml:space="preserve">lo siguiente: </w:t>
      </w:r>
    </w:p>
    <w:p w14:paraId="52A7A9B4" w14:textId="77777777" w:rsidR="00982020" w:rsidRPr="002156D2" w:rsidRDefault="00982020" w:rsidP="00982020">
      <w:pPr>
        <w:spacing w:line="240" w:lineRule="auto"/>
        <w:ind w:left="1276" w:right="900"/>
        <w:jc w:val="both"/>
        <w:rPr>
          <w:rFonts w:ascii="Arial" w:hAnsi="Arial" w:cs="Arial"/>
        </w:rPr>
      </w:pPr>
      <w:r w:rsidRPr="002156D2">
        <w:rPr>
          <w:rFonts w:ascii="Arial" w:hAnsi="Arial" w:cs="Arial"/>
          <w:b/>
        </w:rPr>
        <w:t>“ARTÍCULO 132</w:t>
      </w:r>
      <w:r w:rsidRPr="002156D2">
        <w:rPr>
          <w:rFonts w:ascii="Arial" w:hAnsi="Arial" w:cs="Arial"/>
        </w:rPr>
        <w:t xml:space="preserve">.- Son atribuciones de las salas unitarias de primera instancia: </w:t>
      </w:r>
    </w:p>
    <w:p w14:paraId="0526474B" w14:textId="77777777" w:rsidR="00982020" w:rsidRPr="002156D2" w:rsidRDefault="00982020" w:rsidP="00982020">
      <w:pPr>
        <w:spacing w:line="240" w:lineRule="auto"/>
        <w:ind w:left="1276" w:right="900"/>
        <w:jc w:val="both"/>
        <w:rPr>
          <w:rFonts w:ascii="Arial" w:hAnsi="Arial" w:cs="Arial"/>
        </w:rPr>
      </w:pPr>
      <w:r w:rsidRPr="002156D2">
        <w:rPr>
          <w:rFonts w:ascii="Arial" w:hAnsi="Arial" w:cs="Arial"/>
        </w:rPr>
        <w:t xml:space="preserve">I. Instruir y resolver el Procedimiento Contencioso </w:t>
      </w:r>
      <w:r>
        <w:rPr>
          <w:rFonts w:ascii="Arial" w:hAnsi="Arial" w:cs="Arial"/>
        </w:rPr>
        <w:t>Administrativo…</w:t>
      </w:r>
      <w:r w:rsidRPr="002156D2">
        <w:rPr>
          <w:rFonts w:ascii="Arial" w:hAnsi="Arial" w:cs="Arial"/>
        </w:rPr>
        <w:t>”</w:t>
      </w:r>
    </w:p>
    <w:p w14:paraId="2889C71D" w14:textId="77777777" w:rsidR="00982020" w:rsidRPr="002156D2" w:rsidRDefault="00982020" w:rsidP="00982020">
      <w:pPr>
        <w:ind w:left="1276" w:right="900"/>
        <w:jc w:val="both"/>
        <w:rPr>
          <w:rFonts w:ascii="Arial" w:hAnsi="Arial" w:cs="Arial"/>
        </w:rPr>
      </w:pPr>
      <w:r w:rsidRPr="002156D2">
        <w:rPr>
          <w:rFonts w:ascii="Arial" w:hAnsi="Arial" w:cs="Arial"/>
          <w:b/>
        </w:rPr>
        <w:t>“ARTÍCULO 133.-</w:t>
      </w:r>
      <w:r w:rsidRPr="002156D2">
        <w:rPr>
          <w:rFonts w:ascii="Arial" w:hAnsi="Arial" w:cs="Arial"/>
        </w:rPr>
        <w:t xml:space="preserve"> Las Salas Unitarias del Tribunal son competentes para conocer y resolver los juicios que se promuevan en contra de: </w:t>
      </w:r>
    </w:p>
    <w:p w14:paraId="48A86639" w14:textId="55D23001" w:rsidR="00982020" w:rsidRDefault="00982020" w:rsidP="00982020">
      <w:pPr>
        <w:spacing w:before="240" w:after="0" w:line="360" w:lineRule="auto"/>
        <w:ind w:left="1276" w:right="1041"/>
        <w:jc w:val="both"/>
        <w:rPr>
          <w:rFonts w:ascii="Arial" w:hAnsi="Arial" w:cs="Arial"/>
        </w:rPr>
      </w:pPr>
      <w:r w:rsidRPr="002156D2">
        <w:rPr>
          <w:rFonts w:ascii="Arial" w:hAnsi="Arial" w:cs="Arial"/>
        </w:rPr>
        <w:t xml:space="preserve">II.- Las resoluciones dictadas por las autoridades fiscales, estatales, municipales y de sus órganos descentralizados y desconcentrados, en que se determine la existencia de una obligación fiscal, se fije ésta en cantidad líquida o se den las bases para su liquidación, nieguen la devolución de cantidades que procedan conforme a la ley o cualquiera otra que cause agravios de carácter </w:t>
      </w:r>
      <w:r>
        <w:rPr>
          <w:rFonts w:ascii="Arial" w:hAnsi="Arial" w:cs="Arial"/>
        </w:rPr>
        <w:t>fiscal…</w:t>
      </w:r>
      <w:r w:rsidRPr="002156D2">
        <w:rPr>
          <w:rFonts w:ascii="Arial" w:hAnsi="Arial" w:cs="Arial"/>
        </w:rPr>
        <w:t>”</w:t>
      </w:r>
    </w:p>
    <w:p w14:paraId="7B8885B4" w14:textId="77777777" w:rsidR="00CE1F13" w:rsidRPr="002156D2" w:rsidRDefault="00CE1F13" w:rsidP="00982020">
      <w:pPr>
        <w:spacing w:before="240" w:after="0" w:line="360" w:lineRule="auto"/>
        <w:ind w:left="1276" w:right="1041"/>
        <w:jc w:val="both"/>
        <w:rPr>
          <w:rFonts w:ascii="Arial" w:hAnsi="Arial" w:cs="Arial"/>
        </w:rPr>
      </w:pPr>
    </w:p>
    <w:p w14:paraId="7F666581" w14:textId="4BF0C7A1" w:rsidR="00982020" w:rsidRPr="002156D2" w:rsidRDefault="00CE1F13" w:rsidP="00982020">
      <w:pPr>
        <w:spacing w:line="360" w:lineRule="auto"/>
        <w:ind w:right="49"/>
        <w:jc w:val="both"/>
        <w:rPr>
          <w:rFonts w:ascii="Arial" w:hAnsi="Arial" w:cs="Arial"/>
          <w:sz w:val="26"/>
          <w:szCs w:val="26"/>
        </w:rPr>
      </w:pPr>
      <w:r>
        <w:rPr>
          <w:rFonts w:ascii="Arial" w:hAnsi="Arial" w:cs="Arial"/>
          <w:sz w:val="26"/>
          <w:szCs w:val="26"/>
        </w:rPr>
        <w:tab/>
        <w:t xml:space="preserve">Por </w:t>
      </w:r>
      <w:r w:rsidR="005B09D6">
        <w:rPr>
          <w:rFonts w:ascii="Arial" w:hAnsi="Arial" w:cs="Arial"/>
          <w:sz w:val="26"/>
          <w:szCs w:val="26"/>
        </w:rPr>
        <w:t>identidad</w:t>
      </w:r>
      <w:r>
        <w:rPr>
          <w:rFonts w:ascii="Arial" w:hAnsi="Arial" w:cs="Arial"/>
          <w:sz w:val="26"/>
          <w:szCs w:val="26"/>
        </w:rPr>
        <w:t xml:space="preserve"> jurídica,</w:t>
      </w:r>
      <w:r w:rsidR="00982020" w:rsidRPr="002156D2">
        <w:rPr>
          <w:rFonts w:ascii="Arial" w:hAnsi="Arial" w:cs="Arial"/>
          <w:sz w:val="26"/>
          <w:szCs w:val="26"/>
        </w:rPr>
        <w:t xml:space="preserve"> </w:t>
      </w:r>
      <w:r w:rsidR="00635A9B">
        <w:rPr>
          <w:rFonts w:ascii="Arial" w:hAnsi="Arial" w:cs="Arial"/>
          <w:sz w:val="26"/>
          <w:szCs w:val="26"/>
        </w:rPr>
        <w:t>sirve de apoyo</w:t>
      </w:r>
      <w:r w:rsidR="00982020" w:rsidRPr="002156D2">
        <w:rPr>
          <w:rFonts w:ascii="Arial" w:hAnsi="Arial" w:cs="Arial"/>
          <w:sz w:val="26"/>
          <w:szCs w:val="26"/>
        </w:rPr>
        <w:t xml:space="preserve"> la </w:t>
      </w:r>
      <w:r w:rsidR="00982020" w:rsidRPr="002156D2">
        <w:rPr>
          <w:rFonts w:ascii="Arial" w:hAnsi="Arial" w:cs="Arial"/>
          <w:color w:val="333333"/>
          <w:sz w:val="26"/>
          <w:szCs w:val="26"/>
          <w:shd w:val="clear" w:color="auto" w:fill="FFFFFF"/>
        </w:rPr>
        <w:t xml:space="preserve">Jurisprudencia </w:t>
      </w:r>
      <w:r w:rsidR="00635A9B">
        <w:rPr>
          <w:rFonts w:ascii="Arial" w:hAnsi="Arial" w:cs="Arial"/>
          <w:color w:val="333333"/>
          <w:sz w:val="26"/>
          <w:szCs w:val="26"/>
          <w:shd w:val="clear" w:color="auto" w:fill="FFFFFF"/>
        </w:rPr>
        <w:t>2a./J. 109/2005, publicada</w:t>
      </w:r>
      <w:r w:rsidR="00982020">
        <w:rPr>
          <w:rFonts w:ascii="Arial" w:hAnsi="Arial" w:cs="Arial"/>
          <w:color w:val="000000"/>
          <w:sz w:val="26"/>
          <w:szCs w:val="26"/>
          <w:shd w:val="clear" w:color="auto" w:fill="FFFFFF"/>
        </w:rPr>
        <w:t xml:space="preserve"> por la </w:t>
      </w:r>
      <w:r w:rsidR="00982020" w:rsidRPr="002156D2">
        <w:rPr>
          <w:rFonts w:ascii="Arial" w:hAnsi="Arial" w:cs="Arial"/>
          <w:color w:val="000000"/>
          <w:sz w:val="26"/>
          <w:szCs w:val="26"/>
          <w:shd w:val="clear" w:color="auto" w:fill="FFFFFF"/>
        </w:rPr>
        <w:t>Segunda Sala de la Suprema Corte de Justicia de la Nación</w:t>
      </w:r>
      <w:r w:rsidR="00635A9B">
        <w:rPr>
          <w:rFonts w:ascii="Arial" w:hAnsi="Arial" w:cs="Arial"/>
          <w:color w:val="000000"/>
          <w:sz w:val="26"/>
          <w:szCs w:val="26"/>
          <w:shd w:val="clear" w:color="auto" w:fill="FFFFFF"/>
        </w:rPr>
        <w:t>, en el Semanario Judicial de la Federación y su Gaceta Tomo XXII, noviembre de 2005, visible a página 48, Novena Época</w:t>
      </w:r>
      <w:r w:rsidR="00982020" w:rsidRPr="002156D2">
        <w:rPr>
          <w:rFonts w:ascii="Arial" w:hAnsi="Arial" w:cs="Arial"/>
          <w:color w:val="000000"/>
          <w:sz w:val="26"/>
          <w:szCs w:val="26"/>
          <w:shd w:val="clear" w:color="auto" w:fill="FFFFFF"/>
        </w:rPr>
        <w:t>, de rubro siguiente:</w:t>
      </w:r>
      <w:r w:rsidR="00982020" w:rsidRPr="002156D2">
        <w:rPr>
          <w:rFonts w:ascii="Arial" w:hAnsi="Arial" w:cs="Arial"/>
          <w:sz w:val="26"/>
          <w:szCs w:val="26"/>
        </w:rPr>
        <w:t xml:space="preserve"> </w:t>
      </w:r>
    </w:p>
    <w:p w14:paraId="3E6DDFD2" w14:textId="0FF5883F" w:rsidR="00982020" w:rsidRPr="00635A9B" w:rsidRDefault="00982020" w:rsidP="00635A9B">
      <w:pPr>
        <w:spacing w:line="360" w:lineRule="auto"/>
        <w:ind w:left="851" w:right="333"/>
        <w:jc w:val="both"/>
        <w:rPr>
          <w:rFonts w:ascii="Arial" w:hAnsi="Arial" w:cs="Arial"/>
          <w:color w:val="000000"/>
          <w:shd w:val="clear" w:color="auto" w:fill="FFFFFF"/>
        </w:rPr>
      </w:pPr>
      <w:r w:rsidRPr="002156D2">
        <w:rPr>
          <w:rFonts w:ascii="Arial" w:hAnsi="Arial" w:cs="Arial"/>
          <w:color w:val="000000"/>
          <w:shd w:val="clear" w:color="auto" w:fill="FFFFFF"/>
        </w:rPr>
        <w:t>“</w:t>
      </w:r>
      <w:r w:rsidRPr="00635A9B">
        <w:rPr>
          <w:rFonts w:ascii="Arial" w:hAnsi="Arial" w:cs="Arial"/>
          <w:b/>
          <w:color w:val="000000"/>
          <w:shd w:val="clear" w:color="auto" w:fill="FFFFFF"/>
        </w:rPr>
        <w:t>EJECUCIÓN EN MATERIA FISCAL. CONTRA LOS ACTOS DEL PROCEDIMIENTO PROCEDE EL JUICIO DE NULIDAD</w:t>
      </w:r>
      <w:r w:rsidR="00635A9B">
        <w:rPr>
          <w:rFonts w:ascii="Arial" w:hAnsi="Arial" w:cs="Arial"/>
          <w:color w:val="000000"/>
          <w:shd w:val="clear" w:color="auto" w:fill="FFFFFF"/>
        </w:rPr>
        <w:t xml:space="preserve">. </w:t>
      </w:r>
      <w:r>
        <w:rPr>
          <w:rFonts w:ascii="Arial" w:hAnsi="Arial" w:cs="Arial"/>
          <w:color w:val="000000"/>
          <w:shd w:val="clear" w:color="auto" w:fill="FFFFFF"/>
        </w:rPr>
        <w:t xml:space="preserve"> </w:t>
      </w:r>
      <w:r w:rsidRPr="002156D2">
        <w:rPr>
          <w:rFonts w:ascii="Arial" w:hAnsi="Arial" w:cs="Arial"/>
          <w:color w:val="000000"/>
          <w:shd w:val="clear" w:color="auto" w:fill="FFFFFF"/>
        </w:rPr>
        <w:t xml:space="preserve">Conforme al artículo 120 del Código Fiscal de la Federación, la interposición del recurso de revocación en contra de los actos dictados en el procedimiento administrativo de ejecución es optativa para el interesado antes de acudir al Tribunal Federal de Justicia Fiscal y Administrativa. Ahora bien, de la interpretación armónica del citado precepto con los artículos 116, 117, fracción II, inciso b), 127 del Código Fiscal de la Federación y 11 de la Ley Orgánica del Tribunal Federal de Justicia Fiscal y Administrativa, se </w:t>
      </w:r>
      <w:r w:rsidRPr="002156D2">
        <w:rPr>
          <w:rFonts w:ascii="Arial" w:hAnsi="Arial" w:cs="Arial"/>
          <w:color w:val="000000"/>
          <w:shd w:val="clear" w:color="auto" w:fill="FFFFFF"/>
        </w:rPr>
        <w:lastRenderedPageBreak/>
        <w:t>advierte que los actos a que se refiere el aludido procedimiento pueden impugnarse válidamente a través del recurso de revocación o, en su caso, mediante el juicio de nulidad ante dicho tribunal, dado que no se encuentran regidos por el principio de definitividad, sino por el contrario, la fracción II, inciso b) antes citada, expresamente otorga al contribuyente tal beneficio; de ahí que los actos que vayan suscitándose durante la tramitación del procedimiento de referencia podrán impugnarse a través del juicio de nulidad ante el tribunal mencionado cuando se considere que no están ajustados a la ley.”</w:t>
      </w:r>
    </w:p>
    <w:p w14:paraId="3F69AF00" w14:textId="42C53DAB" w:rsidR="00685496" w:rsidRPr="005117C3" w:rsidRDefault="00982020" w:rsidP="005117C3">
      <w:pPr>
        <w:spacing w:line="360" w:lineRule="auto"/>
        <w:ind w:right="49"/>
        <w:jc w:val="both"/>
        <w:rPr>
          <w:rFonts w:ascii="Arial" w:hAnsi="Arial" w:cs="Arial"/>
          <w:sz w:val="26"/>
          <w:szCs w:val="26"/>
        </w:rPr>
      </w:pPr>
      <w:r>
        <w:rPr>
          <w:rFonts w:ascii="Arial" w:hAnsi="Arial" w:cs="Arial"/>
          <w:sz w:val="26"/>
          <w:szCs w:val="26"/>
        </w:rPr>
        <w:tab/>
      </w:r>
      <w:r w:rsidR="00635A9B">
        <w:rPr>
          <w:rFonts w:ascii="Arial" w:hAnsi="Arial" w:cs="Arial"/>
          <w:sz w:val="26"/>
          <w:szCs w:val="26"/>
        </w:rPr>
        <w:t>Por lo que</w:t>
      </w:r>
      <w:r w:rsidRPr="002156D2">
        <w:rPr>
          <w:rFonts w:ascii="Arial" w:hAnsi="Arial" w:cs="Arial"/>
          <w:sz w:val="26"/>
          <w:szCs w:val="26"/>
        </w:rPr>
        <w:t>, a fin de salvaguardar los derechos de audie</w:t>
      </w:r>
      <w:r>
        <w:rPr>
          <w:rFonts w:ascii="Arial" w:hAnsi="Arial" w:cs="Arial"/>
          <w:sz w:val="26"/>
          <w:szCs w:val="26"/>
        </w:rPr>
        <w:t xml:space="preserve">ncia y tutela judicial efectiva del accionante </w:t>
      </w:r>
      <w:r w:rsidRPr="002156D2">
        <w:rPr>
          <w:rFonts w:ascii="Arial" w:hAnsi="Arial" w:cs="Arial"/>
          <w:sz w:val="26"/>
          <w:szCs w:val="26"/>
        </w:rPr>
        <w:t xml:space="preserve">regulados en los artículos 14 y 17 de la Constitución Política de los Estados Unidos Mexicanos, </w:t>
      </w:r>
      <w:r w:rsidRPr="00E162E9">
        <w:rPr>
          <w:rFonts w:ascii="Arial" w:hAnsi="Arial" w:cs="Arial"/>
          <w:b/>
          <w:sz w:val="26"/>
          <w:szCs w:val="26"/>
        </w:rPr>
        <w:t>se ordena</w:t>
      </w:r>
      <w:r w:rsidR="00635A9B">
        <w:rPr>
          <w:rFonts w:ascii="Arial" w:hAnsi="Arial" w:cs="Arial"/>
          <w:b/>
          <w:sz w:val="26"/>
          <w:szCs w:val="26"/>
        </w:rPr>
        <w:t xml:space="preserve"> </w:t>
      </w:r>
      <w:r w:rsidR="00635A9B" w:rsidRPr="005117C3">
        <w:rPr>
          <w:rFonts w:ascii="Arial" w:hAnsi="Arial" w:cs="Arial"/>
          <w:sz w:val="26"/>
          <w:szCs w:val="26"/>
        </w:rPr>
        <w:t>a la Quinta Sala Unitaria de Primera Instancia de este Tribunal de Justicia Administrativa del Estado de Oaxaca</w:t>
      </w:r>
      <w:r w:rsidR="005117C3">
        <w:rPr>
          <w:rFonts w:ascii="Arial" w:hAnsi="Arial" w:cs="Arial"/>
          <w:b/>
          <w:sz w:val="26"/>
          <w:szCs w:val="26"/>
        </w:rPr>
        <w:t xml:space="preserve">, </w:t>
      </w:r>
      <w:r w:rsidR="005117C3" w:rsidRPr="005117C3">
        <w:rPr>
          <w:rFonts w:ascii="Arial" w:hAnsi="Arial" w:cs="Arial"/>
          <w:b/>
          <w:sz w:val="26"/>
          <w:szCs w:val="26"/>
        </w:rPr>
        <w:t xml:space="preserve">para que conozca y se pronuncie </w:t>
      </w:r>
      <w:r w:rsidR="005117C3">
        <w:rPr>
          <w:rFonts w:ascii="Arial" w:hAnsi="Arial" w:cs="Arial"/>
          <w:sz w:val="26"/>
          <w:szCs w:val="26"/>
        </w:rPr>
        <w:t xml:space="preserve">sobre la procedencia del juicio contencioso administrativo que promueve </w:t>
      </w:r>
      <w:r w:rsidR="0081379B">
        <w:rPr>
          <w:rFonts w:ascii="Arial" w:hAnsi="Arial" w:cs="Arial"/>
          <w:sz w:val="24"/>
          <w:szCs w:val="24"/>
        </w:rPr>
        <w:t>***********</w:t>
      </w:r>
      <w:r w:rsidR="0081379B">
        <w:rPr>
          <w:rFonts w:ascii="Arial" w:hAnsi="Arial" w:cs="Arial"/>
          <w:sz w:val="24"/>
          <w:szCs w:val="24"/>
        </w:rPr>
        <w:t xml:space="preserve"> </w:t>
      </w:r>
      <w:r w:rsidR="005117C3">
        <w:rPr>
          <w:rFonts w:ascii="Arial" w:hAnsi="Arial" w:cs="Arial"/>
          <w:sz w:val="26"/>
          <w:szCs w:val="26"/>
        </w:rPr>
        <w:t>en contra de los</w:t>
      </w:r>
      <w:r w:rsidRPr="002156D2">
        <w:rPr>
          <w:rFonts w:ascii="Arial" w:hAnsi="Arial" w:cs="Arial"/>
          <w:sz w:val="26"/>
          <w:szCs w:val="26"/>
        </w:rPr>
        <w:t xml:space="preserve"> acto</w:t>
      </w:r>
      <w:r w:rsidR="005117C3">
        <w:rPr>
          <w:rFonts w:ascii="Arial" w:hAnsi="Arial" w:cs="Arial"/>
          <w:sz w:val="26"/>
          <w:szCs w:val="26"/>
        </w:rPr>
        <w:t>s</w:t>
      </w:r>
      <w:r w:rsidRPr="002156D2">
        <w:rPr>
          <w:rFonts w:ascii="Arial" w:hAnsi="Arial" w:cs="Arial"/>
          <w:sz w:val="26"/>
          <w:szCs w:val="26"/>
        </w:rPr>
        <w:t xml:space="preserve"> </w:t>
      </w:r>
      <w:r>
        <w:rPr>
          <w:rFonts w:ascii="Arial" w:hAnsi="Arial" w:cs="Arial"/>
          <w:sz w:val="26"/>
          <w:szCs w:val="26"/>
        </w:rPr>
        <w:t>administrativo</w:t>
      </w:r>
      <w:r w:rsidR="005117C3">
        <w:rPr>
          <w:rFonts w:ascii="Arial" w:hAnsi="Arial" w:cs="Arial"/>
          <w:sz w:val="26"/>
          <w:szCs w:val="26"/>
        </w:rPr>
        <w:t>s</w:t>
      </w:r>
      <w:r>
        <w:rPr>
          <w:rFonts w:ascii="Arial" w:hAnsi="Arial" w:cs="Arial"/>
          <w:sz w:val="26"/>
          <w:szCs w:val="26"/>
        </w:rPr>
        <w:t xml:space="preserve"> </w:t>
      </w:r>
      <w:r w:rsidR="005117C3">
        <w:rPr>
          <w:rFonts w:ascii="Arial" w:hAnsi="Arial" w:cs="Arial"/>
          <w:sz w:val="26"/>
          <w:szCs w:val="26"/>
        </w:rPr>
        <w:t>que impugna</w:t>
      </w:r>
      <w:r>
        <w:rPr>
          <w:rFonts w:ascii="Arial" w:hAnsi="Arial" w:cs="Arial"/>
          <w:sz w:val="26"/>
          <w:szCs w:val="26"/>
        </w:rPr>
        <w:t>,</w:t>
      </w:r>
      <w:r w:rsidRPr="002156D2">
        <w:rPr>
          <w:rFonts w:ascii="Arial" w:hAnsi="Arial" w:cs="Arial"/>
          <w:sz w:val="26"/>
          <w:szCs w:val="26"/>
        </w:rPr>
        <w:t xml:space="preserve"> consistente</w:t>
      </w:r>
      <w:r w:rsidR="005117C3">
        <w:rPr>
          <w:rFonts w:ascii="Arial" w:hAnsi="Arial" w:cs="Arial"/>
          <w:sz w:val="26"/>
          <w:szCs w:val="26"/>
        </w:rPr>
        <w:t>s</w:t>
      </w:r>
      <w:r w:rsidRPr="002156D2">
        <w:rPr>
          <w:rFonts w:ascii="Arial" w:hAnsi="Arial" w:cs="Arial"/>
          <w:sz w:val="26"/>
          <w:szCs w:val="26"/>
        </w:rPr>
        <w:t xml:space="preserve"> en el mandamiento de ejecución</w:t>
      </w:r>
      <w:r w:rsidR="005117C3">
        <w:rPr>
          <w:rFonts w:ascii="Arial" w:hAnsi="Arial" w:cs="Arial"/>
          <w:sz w:val="26"/>
          <w:szCs w:val="26"/>
        </w:rPr>
        <w:t xml:space="preserve"> y procedimiento administrativo de ejecución.</w:t>
      </w:r>
    </w:p>
    <w:p w14:paraId="6D6B8EE9" w14:textId="114B69D7" w:rsidR="00B525A6" w:rsidRDefault="000410EE" w:rsidP="00B525A6">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5117C3">
        <w:rPr>
          <w:rFonts w:ascii="Arial" w:eastAsia="Calibri" w:hAnsi="Arial" w:cs="Arial"/>
          <w:bCs/>
          <w:sz w:val="26"/>
          <w:szCs w:val="26"/>
        </w:rPr>
        <w:t xml:space="preserve">Consecuentemente, </w:t>
      </w:r>
      <w:r w:rsidR="005117C3" w:rsidRPr="005117C3">
        <w:rPr>
          <w:rFonts w:ascii="Arial" w:eastAsia="Calibri" w:hAnsi="Arial" w:cs="Arial"/>
          <w:b/>
          <w:bCs/>
          <w:sz w:val="26"/>
          <w:szCs w:val="26"/>
        </w:rPr>
        <w:t>al resultar sustancialmente fundados los agravios expuesto por la recurrente</w:t>
      </w:r>
      <w:r w:rsidR="005117C3">
        <w:rPr>
          <w:rFonts w:ascii="Arial" w:eastAsia="Calibri" w:hAnsi="Arial" w:cs="Arial"/>
          <w:bCs/>
          <w:sz w:val="26"/>
          <w:szCs w:val="26"/>
        </w:rPr>
        <w:t xml:space="preserve">, lo procedente es </w:t>
      </w:r>
      <w:r w:rsidR="005117C3" w:rsidRPr="005117C3">
        <w:rPr>
          <w:rFonts w:ascii="Arial" w:eastAsia="Calibri" w:hAnsi="Arial" w:cs="Arial"/>
          <w:b/>
          <w:bCs/>
          <w:sz w:val="26"/>
          <w:szCs w:val="26"/>
        </w:rPr>
        <w:t>REVOCAR</w:t>
      </w:r>
      <w:r w:rsidR="00B525A6">
        <w:rPr>
          <w:rFonts w:ascii="Arial" w:eastAsia="Calibri" w:hAnsi="Arial" w:cs="Arial"/>
          <w:b/>
          <w:bCs/>
          <w:sz w:val="26"/>
          <w:szCs w:val="26"/>
        </w:rPr>
        <w:t xml:space="preserve"> </w:t>
      </w:r>
      <w:r w:rsidR="005117C3">
        <w:rPr>
          <w:rFonts w:ascii="Arial" w:eastAsia="Calibri" w:hAnsi="Arial" w:cs="Arial"/>
          <w:bCs/>
          <w:sz w:val="26"/>
          <w:szCs w:val="26"/>
        </w:rPr>
        <w:t>el acuerdo alzado</w:t>
      </w:r>
      <w:r w:rsidR="004325E2">
        <w:rPr>
          <w:rFonts w:ascii="Arial" w:eastAsia="Calibri" w:hAnsi="Arial" w:cs="Arial"/>
          <w:bCs/>
          <w:sz w:val="26"/>
          <w:szCs w:val="26"/>
        </w:rPr>
        <w:t>; y</w:t>
      </w:r>
      <w:r w:rsidR="00312EEA">
        <w:rPr>
          <w:rFonts w:ascii="Arial" w:eastAsia="Calibri" w:hAnsi="Arial" w:cs="Arial"/>
          <w:bCs/>
          <w:sz w:val="26"/>
          <w:szCs w:val="26"/>
        </w:rPr>
        <w:t>,</w:t>
      </w:r>
      <w:r w:rsidR="004325E2">
        <w:rPr>
          <w:rFonts w:ascii="Arial" w:eastAsia="Calibri" w:hAnsi="Arial" w:cs="Arial"/>
          <w:bCs/>
          <w:sz w:val="26"/>
          <w:szCs w:val="26"/>
        </w:rPr>
        <w:t xml:space="preserve"> </w:t>
      </w:r>
      <w:r w:rsidR="00B525A6">
        <w:rPr>
          <w:rFonts w:ascii="Arial" w:hAnsi="Arial" w:cs="Arial"/>
          <w:sz w:val="26"/>
          <w:szCs w:val="26"/>
        </w:rPr>
        <w:t xml:space="preserve">con fundamento en los </w:t>
      </w:r>
      <w:r w:rsidR="00872784">
        <w:rPr>
          <w:rFonts w:ascii="Arial" w:hAnsi="Arial" w:cs="Arial"/>
          <w:sz w:val="26"/>
          <w:szCs w:val="26"/>
        </w:rPr>
        <w:t xml:space="preserve">en los artículos 237 y 238 de la Ley de Procedimiento y Justicia Administrativa para el Estado de Oaxaca, </w:t>
      </w:r>
      <w:r w:rsidR="00B525A6">
        <w:rPr>
          <w:rFonts w:ascii="Arial" w:hAnsi="Arial" w:cs="Arial"/>
          <w:sz w:val="26"/>
          <w:szCs w:val="26"/>
        </w:rPr>
        <w:t>se:</w:t>
      </w:r>
    </w:p>
    <w:p w14:paraId="52567D8D" w14:textId="77777777" w:rsidR="00B525A6" w:rsidRDefault="00B525A6" w:rsidP="00B525A6">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5B1B5C45" w14:textId="16A16F22" w:rsidR="004325E2" w:rsidRDefault="00B525A6" w:rsidP="004325E2">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sidRPr="00312EEA">
        <w:rPr>
          <w:rFonts w:ascii="Arial" w:hAnsi="Arial" w:cs="Arial"/>
          <w:b/>
          <w:color w:val="000000"/>
          <w:sz w:val="26"/>
          <w:szCs w:val="26"/>
        </w:rPr>
        <w:t>.</w:t>
      </w:r>
      <w:r>
        <w:rPr>
          <w:rFonts w:ascii="Arial" w:hAnsi="Arial" w:cs="Arial"/>
          <w:color w:val="000000"/>
          <w:sz w:val="26"/>
          <w:szCs w:val="26"/>
        </w:rPr>
        <w:t xml:space="preserve"> </w:t>
      </w:r>
      <w:r>
        <w:rPr>
          <w:rFonts w:ascii="Arial" w:hAnsi="Arial" w:cs="Arial"/>
          <w:color w:val="000000"/>
          <w:sz w:val="26"/>
          <w:szCs w:val="26"/>
          <w:lang w:val="es-MX"/>
        </w:rPr>
        <w:t xml:space="preserve">Se </w:t>
      </w:r>
      <w:r w:rsidR="005117C3">
        <w:rPr>
          <w:rFonts w:ascii="Arial" w:hAnsi="Arial" w:cs="Arial"/>
          <w:b/>
          <w:color w:val="000000"/>
          <w:sz w:val="26"/>
          <w:szCs w:val="26"/>
          <w:lang w:val="es-MX"/>
        </w:rPr>
        <w:t>REVOCA</w:t>
      </w:r>
      <w:r>
        <w:rPr>
          <w:rFonts w:ascii="Arial" w:hAnsi="Arial" w:cs="Arial"/>
          <w:b/>
          <w:color w:val="000000"/>
          <w:sz w:val="26"/>
          <w:szCs w:val="26"/>
          <w:lang w:val="es-MX"/>
        </w:rPr>
        <w:t xml:space="preserve"> </w:t>
      </w:r>
      <w:r w:rsidR="005117C3">
        <w:rPr>
          <w:rFonts w:ascii="Arial" w:hAnsi="Arial" w:cs="Arial"/>
          <w:color w:val="000000"/>
          <w:sz w:val="26"/>
          <w:szCs w:val="26"/>
          <w:lang w:val="es-MX"/>
        </w:rPr>
        <w:t>el acuerdo recurrido de fecha trece de noviembre</w:t>
      </w:r>
      <w:r w:rsidR="00312EEA">
        <w:rPr>
          <w:rFonts w:ascii="Arial" w:hAnsi="Arial" w:cs="Arial"/>
          <w:color w:val="000000"/>
          <w:sz w:val="26"/>
          <w:szCs w:val="26"/>
          <w:lang w:val="es-MX"/>
        </w:rPr>
        <w:t xml:space="preserve"> de dos mil diecinueve</w:t>
      </w:r>
      <w:r>
        <w:rPr>
          <w:rFonts w:ascii="Arial" w:hAnsi="Arial" w:cs="Arial"/>
          <w:color w:val="000000"/>
          <w:sz w:val="26"/>
          <w:szCs w:val="26"/>
          <w:lang w:val="es-MX"/>
        </w:rPr>
        <w:t xml:space="preserve">, por las razones expuestas en el considerando que </w:t>
      </w:r>
      <w:r w:rsidR="00312EEA">
        <w:rPr>
          <w:rFonts w:ascii="Arial" w:hAnsi="Arial" w:cs="Arial"/>
          <w:color w:val="000000"/>
          <w:sz w:val="26"/>
          <w:szCs w:val="26"/>
          <w:lang w:val="es-MX"/>
        </w:rPr>
        <w:t>antecede.</w:t>
      </w:r>
    </w:p>
    <w:p w14:paraId="43AF98EF" w14:textId="4A311696" w:rsidR="0028420C" w:rsidRDefault="00312EEA"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SEGUNDO.</w:t>
      </w:r>
      <w:r w:rsidR="0028420C">
        <w:rPr>
          <w:rFonts w:ascii="Arial" w:hAnsi="Arial" w:cs="Arial"/>
          <w:b/>
          <w:sz w:val="26"/>
          <w:szCs w:val="26"/>
        </w:rPr>
        <w:t xml:space="preserve"> </w:t>
      </w:r>
      <w:r w:rsidR="0028420C" w:rsidRPr="007B1E95">
        <w:rPr>
          <w:rFonts w:ascii="Arial" w:hAnsi="Arial" w:cs="Arial"/>
          <w:b/>
          <w:sz w:val="26"/>
          <w:szCs w:val="26"/>
        </w:rPr>
        <w:t>N</w:t>
      </w:r>
      <w:r w:rsidR="0028420C" w:rsidRPr="006E349D">
        <w:rPr>
          <w:rFonts w:ascii="Arial" w:hAnsi="Arial" w:cs="Arial"/>
          <w:b/>
          <w:sz w:val="26"/>
          <w:szCs w:val="26"/>
        </w:rPr>
        <w:t>OTIFÍQUESE</w:t>
      </w:r>
      <w:r w:rsidR="0028420C">
        <w:rPr>
          <w:rFonts w:ascii="Arial" w:hAnsi="Arial" w:cs="Arial"/>
          <w:b/>
          <w:sz w:val="26"/>
          <w:szCs w:val="26"/>
        </w:rPr>
        <w:t xml:space="preserve"> Y CÚMPLASE,</w:t>
      </w:r>
      <w:r w:rsidR="0028420C" w:rsidRPr="00986534">
        <w:rPr>
          <w:rFonts w:ascii="Arial" w:hAnsi="Arial" w:cs="Arial"/>
          <w:sz w:val="26"/>
          <w:szCs w:val="26"/>
        </w:rPr>
        <w:t xml:space="preserve"> </w:t>
      </w:r>
      <w:r w:rsidR="0028420C">
        <w:rPr>
          <w:rFonts w:ascii="Arial" w:hAnsi="Arial" w:cs="Arial"/>
          <w:sz w:val="26"/>
          <w:szCs w:val="26"/>
        </w:rPr>
        <w:t xml:space="preserve">remítase copia certificada de la presente resolución a la </w:t>
      </w:r>
      <w:r>
        <w:rPr>
          <w:rFonts w:ascii="Arial" w:hAnsi="Arial" w:cs="Arial"/>
          <w:sz w:val="26"/>
          <w:szCs w:val="26"/>
        </w:rPr>
        <w:t>Quinta</w:t>
      </w:r>
      <w:r w:rsidR="00B65FA9">
        <w:rPr>
          <w:rFonts w:ascii="Arial" w:hAnsi="Arial" w:cs="Arial"/>
          <w:sz w:val="26"/>
          <w:szCs w:val="26"/>
        </w:rPr>
        <w:t xml:space="preserve"> </w:t>
      </w:r>
      <w:r w:rsidR="0028420C">
        <w:rPr>
          <w:rFonts w:ascii="Arial" w:hAnsi="Arial" w:cs="Arial"/>
          <w:sz w:val="26"/>
          <w:szCs w:val="26"/>
        </w:rPr>
        <w:t xml:space="preserve">Sala Unitaria de Primera Instancia de este Tribunal y en su oportunidad archívese el presente cuaderno de revisión como asunto </w:t>
      </w:r>
      <w:r>
        <w:rPr>
          <w:rFonts w:ascii="Arial" w:hAnsi="Arial" w:cs="Arial"/>
          <w:sz w:val="26"/>
          <w:szCs w:val="26"/>
        </w:rPr>
        <w:t xml:space="preserve">concluido. </w:t>
      </w:r>
    </w:p>
    <w:p w14:paraId="50ADCDE0" w14:textId="77777777" w:rsidR="007A7126" w:rsidRDefault="007A7126" w:rsidP="007A7126">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 que autoriza y da fe.</w:t>
      </w:r>
    </w:p>
    <w:p w14:paraId="36BFE749" w14:textId="77777777" w:rsidR="007A7126" w:rsidRDefault="007A7126" w:rsidP="007A7126">
      <w:pPr>
        <w:tabs>
          <w:tab w:val="left" w:pos="1680"/>
          <w:tab w:val="center" w:pos="4277"/>
        </w:tabs>
        <w:spacing w:line="240" w:lineRule="auto"/>
        <w:jc w:val="center"/>
        <w:rPr>
          <w:rFonts w:ascii="Arial" w:hAnsi="Arial" w:cs="Arial"/>
          <w:sz w:val="26"/>
          <w:szCs w:val="26"/>
        </w:rPr>
      </w:pPr>
    </w:p>
    <w:p w14:paraId="7F4B4C92" w14:textId="583C4AEA" w:rsidR="007A7126" w:rsidRDefault="007A7126" w:rsidP="007A7126">
      <w:pPr>
        <w:tabs>
          <w:tab w:val="left" w:pos="1680"/>
          <w:tab w:val="center" w:pos="4277"/>
        </w:tabs>
        <w:spacing w:line="240" w:lineRule="auto"/>
        <w:rPr>
          <w:rFonts w:ascii="Arial" w:hAnsi="Arial" w:cs="Arial"/>
          <w:sz w:val="26"/>
          <w:szCs w:val="26"/>
        </w:rPr>
      </w:pPr>
    </w:p>
    <w:p w14:paraId="1C12C55B" w14:textId="77777777" w:rsidR="007A7126" w:rsidRDefault="007A7126" w:rsidP="007A7126">
      <w:pPr>
        <w:tabs>
          <w:tab w:val="left" w:pos="1680"/>
          <w:tab w:val="center" w:pos="4277"/>
        </w:tabs>
        <w:spacing w:line="240" w:lineRule="auto"/>
        <w:rPr>
          <w:rFonts w:ascii="Arial" w:hAnsi="Arial" w:cs="Arial"/>
          <w:sz w:val="26"/>
          <w:szCs w:val="26"/>
        </w:rPr>
      </w:pPr>
    </w:p>
    <w:p w14:paraId="06C58124" w14:textId="77777777" w:rsidR="007A7126" w:rsidRDefault="007A7126" w:rsidP="007A7126">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lastRenderedPageBreak/>
        <w:t xml:space="preserve">MAGISTRADO MANUEL VELASCO ALCANTARA </w:t>
      </w:r>
    </w:p>
    <w:p w14:paraId="61F7FE8B" w14:textId="77777777" w:rsidR="007A7126" w:rsidRDefault="007A7126" w:rsidP="007A7126">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01ED0ABE" w14:textId="1440DB1B" w:rsidR="007A7126" w:rsidRPr="007A7126" w:rsidRDefault="007A7126" w:rsidP="007A7126">
      <w:pPr>
        <w:spacing w:after="0" w:line="360" w:lineRule="auto"/>
        <w:jc w:val="center"/>
        <w:rPr>
          <w:rFonts w:ascii="Arial" w:hAnsi="Arial" w:cs="Arial"/>
          <w:b/>
          <w:bCs/>
          <w:sz w:val="14"/>
          <w:szCs w:val="14"/>
        </w:rPr>
      </w:pPr>
      <w:r w:rsidRPr="007A7126">
        <w:rPr>
          <w:rFonts w:ascii="Arial" w:hAnsi="Arial" w:cs="Arial"/>
          <w:b/>
          <w:bCs/>
          <w:sz w:val="14"/>
          <w:szCs w:val="14"/>
        </w:rPr>
        <w:t>LAS PRESENTES FIRMAS CORRRESPONDEN AL RECURSO DE REVISIÓN 445/2019</w:t>
      </w:r>
    </w:p>
    <w:p w14:paraId="7DC1D23E" w14:textId="77777777" w:rsidR="007A7126" w:rsidRDefault="007A7126" w:rsidP="007A7126">
      <w:pPr>
        <w:spacing w:after="0" w:line="360" w:lineRule="auto"/>
        <w:jc w:val="center"/>
        <w:rPr>
          <w:rFonts w:ascii="Arial" w:hAnsi="Arial" w:cs="Arial"/>
          <w:sz w:val="26"/>
          <w:szCs w:val="26"/>
        </w:rPr>
      </w:pPr>
    </w:p>
    <w:p w14:paraId="0FAB8FB6" w14:textId="77777777" w:rsidR="007A7126" w:rsidRDefault="007A7126" w:rsidP="007A7126">
      <w:pPr>
        <w:spacing w:after="0" w:line="360" w:lineRule="auto"/>
        <w:jc w:val="center"/>
        <w:rPr>
          <w:rFonts w:ascii="Arial" w:hAnsi="Arial" w:cs="Arial"/>
          <w:sz w:val="26"/>
          <w:szCs w:val="26"/>
        </w:rPr>
      </w:pPr>
    </w:p>
    <w:p w14:paraId="43B4F4FC" w14:textId="77777777" w:rsidR="007A7126" w:rsidRDefault="007A7126" w:rsidP="007A7126">
      <w:pPr>
        <w:spacing w:after="0" w:line="360" w:lineRule="auto"/>
        <w:jc w:val="center"/>
        <w:rPr>
          <w:rFonts w:ascii="Arial" w:hAnsi="Arial" w:cs="Arial"/>
          <w:sz w:val="26"/>
          <w:szCs w:val="26"/>
        </w:rPr>
      </w:pPr>
    </w:p>
    <w:p w14:paraId="10274669" w14:textId="1722461F" w:rsidR="007A7126" w:rsidRDefault="007A7126" w:rsidP="007A7126">
      <w:pPr>
        <w:spacing w:after="0" w:line="360" w:lineRule="auto"/>
        <w:jc w:val="center"/>
        <w:rPr>
          <w:rFonts w:ascii="Arial" w:hAnsi="Arial" w:cs="Arial"/>
          <w:sz w:val="26"/>
          <w:szCs w:val="26"/>
        </w:rPr>
      </w:pPr>
    </w:p>
    <w:p w14:paraId="18E8C64A" w14:textId="77777777" w:rsidR="007A7126" w:rsidRDefault="007A7126" w:rsidP="007A7126">
      <w:pPr>
        <w:spacing w:after="0" w:line="360" w:lineRule="auto"/>
        <w:jc w:val="center"/>
        <w:rPr>
          <w:rFonts w:ascii="Arial" w:hAnsi="Arial" w:cs="Arial"/>
          <w:sz w:val="26"/>
          <w:szCs w:val="26"/>
        </w:rPr>
      </w:pPr>
    </w:p>
    <w:p w14:paraId="4DC4DBF9" w14:textId="77777777" w:rsidR="007A7126" w:rsidRPr="00FC1FFB" w:rsidRDefault="007A7126" w:rsidP="007A7126">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1437B148" w14:textId="77777777" w:rsidR="007A7126" w:rsidRDefault="007A7126" w:rsidP="007A7126">
      <w:pPr>
        <w:tabs>
          <w:tab w:val="center" w:pos="4135"/>
          <w:tab w:val="left" w:pos="7515"/>
        </w:tabs>
        <w:spacing w:after="0" w:line="360" w:lineRule="auto"/>
        <w:jc w:val="center"/>
        <w:rPr>
          <w:rFonts w:ascii="Arial" w:hAnsi="Arial" w:cs="Arial"/>
          <w:sz w:val="26"/>
          <w:szCs w:val="26"/>
        </w:rPr>
      </w:pPr>
    </w:p>
    <w:p w14:paraId="3798D81F" w14:textId="77777777" w:rsidR="007A7126" w:rsidRDefault="007A7126" w:rsidP="007A7126">
      <w:pPr>
        <w:tabs>
          <w:tab w:val="center" w:pos="4135"/>
          <w:tab w:val="left" w:pos="7515"/>
        </w:tabs>
        <w:spacing w:line="360" w:lineRule="auto"/>
        <w:rPr>
          <w:rFonts w:ascii="Arial" w:hAnsi="Arial" w:cs="Arial"/>
          <w:sz w:val="26"/>
          <w:szCs w:val="26"/>
        </w:rPr>
      </w:pPr>
    </w:p>
    <w:p w14:paraId="7DA7E33E" w14:textId="77777777" w:rsidR="007A7126" w:rsidRDefault="007A7126" w:rsidP="007A7126">
      <w:pPr>
        <w:tabs>
          <w:tab w:val="center" w:pos="4135"/>
          <w:tab w:val="left" w:pos="7515"/>
        </w:tabs>
        <w:spacing w:line="360" w:lineRule="auto"/>
        <w:rPr>
          <w:rFonts w:ascii="Arial" w:hAnsi="Arial" w:cs="Arial"/>
          <w:sz w:val="26"/>
          <w:szCs w:val="26"/>
        </w:rPr>
      </w:pPr>
    </w:p>
    <w:p w14:paraId="2CC5B464" w14:textId="77777777" w:rsidR="007A7126" w:rsidRDefault="007A7126" w:rsidP="007A7126">
      <w:pPr>
        <w:tabs>
          <w:tab w:val="center" w:pos="4135"/>
          <w:tab w:val="left" w:pos="7515"/>
        </w:tabs>
        <w:spacing w:after="0" w:line="360" w:lineRule="auto"/>
        <w:jc w:val="center"/>
        <w:rPr>
          <w:rFonts w:ascii="Arial" w:hAnsi="Arial" w:cs="Arial"/>
          <w:sz w:val="26"/>
          <w:szCs w:val="26"/>
        </w:rPr>
      </w:pPr>
    </w:p>
    <w:p w14:paraId="37A62557" w14:textId="77777777" w:rsidR="007A7126" w:rsidRDefault="007A7126" w:rsidP="007A7126">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7BF3393E" w14:textId="77777777" w:rsidR="007A7126" w:rsidRDefault="007A7126" w:rsidP="007A7126">
      <w:pPr>
        <w:tabs>
          <w:tab w:val="center" w:pos="4135"/>
          <w:tab w:val="left" w:pos="7515"/>
        </w:tabs>
        <w:spacing w:after="0" w:line="360" w:lineRule="auto"/>
        <w:jc w:val="center"/>
        <w:rPr>
          <w:rFonts w:ascii="Arial" w:hAnsi="Arial" w:cs="Arial"/>
          <w:sz w:val="26"/>
          <w:szCs w:val="26"/>
        </w:rPr>
      </w:pPr>
    </w:p>
    <w:p w14:paraId="3CE7FA08" w14:textId="77777777" w:rsidR="007A7126" w:rsidRDefault="007A7126" w:rsidP="007A7126">
      <w:pPr>
        <w:tabs>
          <w:tab w:val="center" w:pos="4135"/>
          <w:tab w:val="left" w:pos="7515"/>
        </w:tabs>
        <w:spacing w:after="0" w:line="360" w:lineRule="auto"/>
        <w:jc w:val="center"/>
        <w:rPr>
          <w:rFonts w:ascii="Arial" w:hAnsi="Arial" w:cs="Arial"/>
          <w:sz w:val="26"/>
          <w:szCs w:val="26"/>
        </w:rPr>
      </w:pPr>
    </w:p>
    <w:p w14:paraId="2A6FDE26" w14:textId="350BD31C" w:rsidR="007A7126" w:rsidRDefault="007A7126" w:rsidP="007A7126">
      <w:pPr>
        <w:tabs>
          <w:tab w:val="center" w:pos="4135"/>
          <w:tab w:val="left" w:pos="7515"/>
        </w:tabs>
        <w:spacing w:after="0" w:line="360" w:lineRule="auto"/>
        <w:rPr>
          <w:rFonts w:ascii="Arial" w:hAnsi="Arial" w:cs="Arial"/>
          <w:sz w:val="26"/>
          <w:szCs w:val="26"/>
        </w:rPr>
      </w:pPr>
    </w:p>
    <w:p w14:paraId="21AEA4ED" w14:textId="77777777" w:rsidR="007A7126" w:rsidRDefault="007A7126" w:rsidP="007A7126">
      <w:pPr>
        <w:tabs>
          <w:tab w:val="center" w:pos="4135"/>
          <w:tab w:val="left" w:pos="7515"/>
        </w:tabs>
        <w:spacing w:after="0" w:line="360" w:lineRule="auto"/>
        <w:rPr>
          <w:rFonts w:ascii="Arial" w:hAnsi="Arial" w:cs="Arial"/>
          <w:sz w:val="26"/>
          <w:szCs w:val="26"/>
        </w:rPr>
      </w:pPr>
    </w:p>
    <w:p w14:paraId="20AA1818" w14:textId="77777777" w:rsidR="007A7126" w:rsidRDefault="007A7126" w:rsidP="007A7126">
      <w:pPr>
        <w:tabs>
          <w:tab w:val="center" w:pos="4135"/>
          <w:tab w:val="left" w:pos="7515"/>
        </w:tabs>
        <w:spacing w:after="0" w:line="360" w:lineRule="auto"/>
        <w:jc w:val="center"/>
        <w:rPr>
          <w:rFonts w:ascii="Arial" w:hAnsi="Arial" w:cs="Arial"/>
          <w:sz w:val="26"/>
          <w:szCs w:val="26"/>
        </w:rPr>
      </w:pPr>
    </w:p>
    <w:p w14:paraId="386B24B7" w14:textId="77777777" w:rsidR="007A7126" w:rsidRDefault="007A7126" w:rsidP="007A7126">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016C4BB6" w14:textId="77777777" w:rsidR="007A7126" w:rsidRDefault="007A7126" w:rsidP="007A7126">
      <w:pPr>
        <w:spacing w:after="0"/>
        <w:jc w:val="center"/>
        <w:rPr>
          <w:sz w:val="26"/>
          <w:szCs w:val="26"/>
        </w:rPr>
      </w:pPr>
      <w:r>
        <w:rPr>
          <w:rFonts w:ascii="Arial" w:hAnsi="Arial" w:cs="Arial"/>
          <w:sz w:val="26"/>
          <w:szCs w:val="26"/>
        </w:rPr>
        <w:t>SECRETARIO GENERAL DE ACUERDOS</w:t>
      </w:r>
    </w:p>
    <w:p w14:paraId="32A146AE" w14:textId="77777777" w:rsidR="007A7126" w:rsidRDefault="007A7126" w:rsidP="007A7126">
      <w:pPr>
        <w:spacing w:before="240" w:line="360" w:lineRule="auto"/>
        <w:ind w:firstLine="708"/>
        <w:jc w:val="both"/>
        <w:rPr>
          <w:sz w:val="26"/>
          <w:szCs w:val="26"/>
        </w:rPr>
      </w:pPr>
    </w:p>
    <w:p w14:paraId="5C9B1390" w14:textId="3135210E" w:rsidR="002E1762" w:rsidRDefault="002E1762" w:rsidP="007A7126">
      <w:pPr>
        <w:spacing w:before="240" w:line="360" w:lineRule="auto"/>
        <w:ind w:firstLine="708"/>
        <w:jc w:val="both"/>
        <w:rPr>
          <w:sz w:val="26"/>
          <w:szCs w:val="26"/>
        </w:rPr>
      </w:pPr>
    </w:p>
    <w:sectPr w:rsidR="002E1762" w:rsidSect="007A7126">
      <w:headerReference w:type="even" r:id="rId8"/>
      <w:headerReference w:type="default" r:id="rId9"/>
      <w:headerReference w:type="firs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2D0A10" w14:textId="77777777" w:rsidR="00C50723" w:rsidRDefault="00C50723">
      <w:pPr>
        <w:spacing w:after="0" w:line="240" w:lineRule="auto"/>
      </w:pPr>
      <w:r>
        <w:separator/>
      </w:r>
    </w:p>
  </w:endnote>
  <w:endnote w:type="continuationSeparator" w:id="0">
    <w:p w14:paraId="1597E30D" w14:textId="77777777" w:rsidR="00C50723" w:rsidRDefault="00C50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1FBF5D" w14:textId="77777777" w:rsidR="00C50723" w:rsidRDefault="00C50723">
      <w:pPr>
        <w:spacing w:after="0" w:line="240" w:lineRule="auto"/>
      </w:pPr>
      <w:r>
        <w:separator/>
      </w:r>
    </w:p>
  </w:footnote>
  <w:footnote w:type="continuationSeparator" w:id="0">
    <w:p w14:paraId="33297F52" w14:textId="77777777" w:rsidR="00C50723" w:rsidRDefault="00C50723">
      <w:pPr>
        <w:spacing w:after="0" w:line="240" w:lineRule="auto"/>
      </w:pPr>
      <w:r>
        <w:continuationSeparator/>
      </w:r>
    </w:p>
  </w:footnote>
  <w:footnote w:id="1">
    <w:p w14:paraId="22E50D9B" w14:textId="370CA2AE" w:rsidR="005F20E4" w:rsidRPr="005F20E4" w:rsidRDefault="005F20E4" w:rsidP="005F20E4">
      <w:pPr>
        <w:pStyle w:val="Textonotapie"/>
        <w:jc w:val="both"/>
        <w:rPr>
          <w:sz w:val="18"/>
          <w:szCs w:val="18"/>
        </w:rPr>
      </w:pPr>
      <w:r>
        <w:rPr>
          <w:rStyle w:val="Refdenotaalpie"/>
        </w:rPr>
        <w:footnoteRef/>
      </w:r>
      <w:r>
        <w:t xml:space="preserve"> </w:t>
      </w:r>
      <w:r w:rsidRPr="005F20E4">
        <w:rPr>
          <w:sz w:val="18"/>
          <w:szCs w:val="18"/>
        </w:rPr>
        <w:t>“</w:t>
      </w:r>
      <w:r w:rsidRPr="005F20E4">
        <w:rPr>
          <w:b/>
          <w:sz w:val="18"/>
          <w:szCs w:val="18"/>
        </w:rPr>
        <w:t>FUNDAMENTACIÓN Y MOTIVACIÓN DE LAS RESOLUCIONES JURISDICCIONALES, DEBEN ANALIZARSE A LA LUZ DE LOS ARTÍCULOS 14 Y 16 DE LA CONSTITUCIÓN POLÍTICA DE LOS ESTADOS UNIDOS MEXICANOS, RESPECTIVAMENTE</w:t>
      </w:r>
      <w:r w:rsidRPr="005F20E4">
        <w:rPr>
          <w:sz w:val="18"/>
          <w:szCs w:val="18"/>
        </w:rPr>
        <w:t>. Entre las diversas garantías contenidas en el segundo párrafo del artículo 14 de la Constitución Política de los Estados Unidos Mexicanos, sustento de la garantía de audiencia, está la relativa al respeto de las formalidades esenciales del procedimiento, también conocida como de debido proceso legal, la cual se refiere al cumplimiento de las condiciones fundamentales que deben satisfacerse en el procedimiento jurisdiccional que concluye con el dictado de una resolución que dirime las cuestiones debatidas. Esta garantía obliga al juzgador a decidir las controversias sometidas a su conocimiento, considerando todos y cada uno de los argumentos aducidos en la demanda, en su contestación, así como las demás pretensiones deducidas oportunamente en el pleito, de tal forma que se condene o absuelva al demandado, resolviendo sobre todos los puntos litigiosos materia del debate. Sin embargo, esta determinación del juzgador no debe desvincularse de lo dispuesto por el primer párrafo del artículo 16 constitucional, que impone a las autoridades la obligación de fundar y motivar debidamente los actos que emitan, esto es, que se expresen las razones de derecho y los motivos de hecho considerados para su dictado, los cuales deberán ser reales, ciertos e investidos de la fuerza legal suficiente para provocar el acto de autoridad. Ahora bien, como a las garantías individuales previstas en la Carta Magna les son aplicables las consideraciones sobre la supremacía constitucional en términos de su artículo 133, es indudable que las resoluciones que emitan deben cumplir con las garantías de debido proceso legal y de legalidad contenidas en los artículos 14 y 16 de la Constitución Política de los Estados Unidos Mexicanos. Así, la fundamentación y motivación de una resolución jurisdiccional se encuentra en el análisis exhaustivo de los puntos que integran la litis, es decir, en el estudio de las acciones y excepciones del debate, apoyándose en el o los preceptos jurídicos que permiten expedirla y que establezcan la hipótesis que genere su emisión, así como en la exposición concreta de las circunstancias especiales, razones particulares o causas inmediatas tomadas en consideración para la emisión del acto, siendo necesario, además, que exista adecuación entre los motivos aducidos y las normas aplicables al caso.</w:t>
      </w:r>
      <w:r>
        <w:rPr>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02CDE4F6" w14:textId="25122401" w:rsidR="00534AC4" w:rsidRDefault="00C50723" w:rsidP="00D25099">
        <w:pPr>
          <w:pStyle w:val="Encabezado"/>
          <w:jc w:val="center"/>
        </w:pPr>
        <w:r>
          <w:rPr>
            <w:noProof/>
          </w:rPr>
          <w:pict w14:anchorId="43FC07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649485" o:spid="_x0000_s2066"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r w:rsidR="00C158D5">
          <w:fldChar w:fldCharType="begin"/>
        </w:r>
        <w:r w:rsidR="00C158D5">
          <w:instrText>PAGE   \* MERGEFORMAT</w:instrText>
        </w:r>
        <w:r w:rsidR="00C158D5">
          <w:fldChar w:fldCharType="separate"/>
        </w:r>
        <w:r w:rsidR="0081379B">
          <w:rPr>
            <w:noProof/>
          </w:rPr>
          <w:t>2</w:t>
        </w:r>
        <w:r w:rsidR="00C158D5">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6A1B08" w14:textId="05B6ADAE" w:rsidR="0081379B" w:rsidRDefault="0081379B" w:rsidP="00206B99">
    <w:pPr>
      <w:pStyle w:val="Encabezado"/>
      <w:jc w:val="center"/>
    </w:pPr>
  </w:p>
  <w:sdt>
    <w:sdtPr>
      <w:id w:val="-1748483066"/>
      <w:docPartObj>
        <w:docPartGallery w:val="Page Numbers (Top of Page)"/>
        <w:docPartUnique/>
      </w:docPartObj>
    </w:sdtPr>
    <w:sdtEndPr/>
    <w:sdtContent>
      <w:p w14:paraId="297359AB" w14:textId="7B5E1A04" w:rsidR="00534AC4" w:rsidRDefault="00C50723" w:rsidP="00206B99">
        <w:pPr>
          <w:pStyle w:val="Encabezado"/>
          <w:jc w:val="center"/>
          <w:rPr>
            <w:noProof/>
          </w:rPr>
        </w:pPr>
        <w:r>
          <w:rPr>
            <w:noProof/>
          </w:rPr>
          <w:pict w14:anchorId="19B105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649486" o:spid="_x0000_s2067"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C158D5">
          <w:fldChar w:fldCharType="begin"/>
        </w:r>
        <w:r w:rsidR="00C158D5">
          <w:instrText xml:space="preserve"> PAGE   \* MERGEFORMAT </w:instrText>
        </w:r>
        <w:r w:rsidR="00C158D5">
          <w:fldChar w:fldCharType="separate"/>
        </w:r>
        <w:r w:rsidR="0081379B">
          <w:rPr>
            <w:noProof/>
          </w:rPr>
          <w:t>1</w:t>
        </w:r>
        <w:r w:rsidR="00C158D5">
          <w:rPr>
            <w:noProof/>
          </w:rPr>
          <w:fldChar w:fldCharType="end"/>
        </w:r>
      </w:p>
      <w:p w14:paraId="4943CA9D" w14:textId="13FE2666" w:rsidR="00534AC4" w:rsidRDefault="00C50723" w:rsidP="008C74CA">
        <w:pPr>
          <w:pStyle w:val="Encabezado"/>
          <w:jc w:val="center"/>
        </w:pPr>
      </w:p>
    </w:sdtContent>
  </w:sdt>
  <w:p w14:paraId="48C0CC8A" w14:textId="577510A3" w:rsidR="00534AC4" w:rsidRDefault="00534AC4" w:rsidP="00256B01">
    <w:pPr>
      <w:pStyle w:val="Encabezado"/>
      <w:jc w:val="center"/>
    </w:pPr>
  </w:p>
  <w:p w14:paraId="2773AC5E" w14:textId="2552AD1D" w:rsidR="00534AC4" w:rsidRDefault="0081379B" w:rsidP="00256B01">
    <w:pPr>
      <w:pStyle w:val="Encabezado"/>
      <w:jc w:val="center"/>
    </w:pPr>
    <w:r>
      <w:rPr>
        <w:noProof/>
      </w:rPr>
      <mc:AlternateContent>
        <mc:Choice Requires="wps">
          <w:drawing>
            <wp:anchor distT="45720" distB="45720" distL="114300" distR="114300" simplePos="0" relativeHeight="251663360" behindDoc="0" locked="0" layoutInCell="1" allowOverlap="1" wp14:anchorId="7AEC13C1" wp14:editId="076B6292">
              <wp:simplePos x="0" y="0"/>
              <wp:positionH relativeFrom="column">
                <wp:posOffset>-1568450</wp:posOffset>
              </wp:positionH>
              <wp:positionV relativeFrom="paragraph">
                <wp:posOffset>5194935</wp:posOffset>
              </wp:positionV>
              <wp:extent cx="1265555" cy="661670"/>
              <wp:effectExtent l="0" t="0" r="10795" b="2413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5555" cy="661670"/>
                      </a:xfrm>
                      <a:prstGeom prst="rect">
                        <a:avLst/>
                      </a:prstGeom>
                      <a:solidFill>
                        <a:srgbClr val="FFFFFF"/>
                      </a:solidFill>
                      <a:ln w="9525">
                        <a:solidFill>
                          <a:srgbClr val="000000"/>
                        </a:solidFill>
                        <a:miter lim="800000"/>
                        <a:headEnd/>
                        <a:tailEnd/>
                      </a:ln>
                    </wps:spPr>
                    <wps:txbx>
                      <w:txbxContent>
                        <w:p w14:paraId="01FCC3E8" w14:textId="4DFB8D3B" w:rsidR="0081379B" w:rsidRPr="0081379B" w:rsidRDefault="0081379B" w:rsidP="0081379B">
                          <w:pPr>
                            <w:jc w:val="both"/>
                            <w:rPr>
                              <w:sz w:val="16"/>
                              <w:szCs w:val="16"/>
                            </w:rPr>
                          </w:pPr>
                          <w:r w:rsidRPr="0081379B">
                            <w:rPr>
                              <w:sz w:val="16"/>
                              <w:szCs w:val="16"/>
                            </w:rPr>
                            <w:t xml:space="preserve">Los datos personales están protegidos por el art.116 de la LGTAIP y el art.56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EC13C1" id="_x0000_t202" coordsize="21600,21600" o:spt="202" path="m,l,21600r21600,l21600,xe">
              <v:stroke joinstyle="miter"/>
              <v:path gradientshapeok="t" o:connecttype="rect"/>
            </v:shapetype>
            <v:shape id="Cuadro de texto 2" o:spid="_x0000_s1026" type="#_x0000_t202" style="position:absolute;left:0;text-align:left;margin-left:-123.5pt;margin-top:409.05pt;width:99.65pt;height:52.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">
              <v:textbox>
                <w:txbxContent>
                  <w:p w14:paraId="01FCC3E8" w14:textId="4DFB8D3B" w:rsidR="0081379B" w:rsidRPr="0081379B" w:rsidRDefault="0081379B" w:rsidP="0081379B">
                    <w:pPr>
                      <w:jc w:val="both"/>
                      <w:rPr>
                        <w:sz w:val="16"/>
                        <w:szCs w:val="16"/>
                      </w:rPr>
                    </w:pPr>
                    <w:r w:rsidRPr="0081379B">
                      <w:rPr>
                        <w:sz w:val="16"/>
                        <w:szCs w:val="16"/>
                      </w:rPr>
                      <w:t xml:space="preserve">Los datos personales están protegidos por el art.116 de la LGTAIP y el art.56 de la LTAIPEO. </w:t>
                    </w:r>
                  </w:p>
                </w:txbxContent>
              </v:textbox>
              <w10:wrap type="square"/>
            </v:shape>
          </w:pict>
        </mc:Fallback>
      </mc:AlternateContent>
    </w:r>
    <w:r w:rsidR="007A7126">
      <w:rPr>
        <w:noProof/>
        <w:lang w:val="es-MX" w:eastAsia="es-MX"/>
      </w:rPr>
      <mc:AlternateContent>
        <mc:Choice Requires="wpg">
          <w:drawing>
            <wp:anchor distT="0" distB="0" distL="114300" distR="114300" simplePos="0" relativeHeight="251658240" behindDoc="0" locked="0" layoutInCell="1" allowOverlap="1" wp14:anchorId="160EAE52" wp14:editId="6CABE77C">
              <wp:simplePos x="0" y="0"/>
              <wp:positionH relativeFrom="margin">
                <wp:posOffset>-1447800</wp:posOffset>
              </wp:positionH>
              <wp:positionV relativeFrom="page">
                <wp:posOffset>5194935</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264573F" id="Grupo 3" o:spid="_x0000_s1026" style="position:absolute;margin-left:-114pt;margin-top:409.05pt;width:90pt;height:63.6pt;z-index:251658240;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67E189" w14:textId="1D2C75BF" w:rsidR="007A7126" w:rsidRDefault="00C50723">
    <w:pPr>
      <w:pStyle w:val="Encabezado"/>
    </w:pPr>
    <w:r>
      <w:rPr>
        <w:noProof/>
      </w:rPr>
      <w:pict w14:anchorId="4DADF1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649484" o:spid="_x0000_s2065"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200646D"/>
    <w:multiLevelType w:val="hybridMultilevel"/>
    <w:tmpl w:val="2B0CE20C"/>
    <w:lvl w:ilvl="0" w:tplc="17F2E66A">
      <w:start w:val="6"/>
      <w:numFmt w:val="upperRoman"/>
      <w:lvlText w:val="%1."/>
      <w:lvlJc w:val="left"/>
      <w:pPr>
        <w:ind w:left="2193" w:hanging="720"/>
      </w:pPr>
      <w:rPr>
        <w:rFonts w:hint="default"/>
        <w:sz w:val="22"/>
      </w:rPr>
    </w:lvl>
    <w:lvl w:ilvl="1" w:tplc="080A0019" w:tentative="1">
      <w:start w:val="1"/>
      <w:numFmt w:val="lowerLetter"/>
      <w:lvlText w:val="%2."/>
      <w:lvlJc w:val="left"/>
      <w:pPr>
        <w:ind w:left="2553" w:hanging="360"/>
      </w:pPr>
    </w:lvl>
    <w:lvl w:ilvl="2" w:tplc="080A001B" w:tentative="1">
      <w:start w:val="1"/>
      <w:numFmt w:val="lowerRoman"/>
      <w:lvlText w:val="%3."/>
      <w:lvlJc w:val="right"/>
      <w:pPr>
        <w:ind w:left="3273" w:hanging="180"/>
      </w:pPr>
    </w:lvl>
    <w:lvl w:ilvl="3" w:tplc="080A000F" w:tentative="1">
      <w:start w:val="1"/>
      <w:numFmt w:val="decimal"/>
      <w:lvlText w:val="%4."/>
      <w:lvlJc w:val="left"/>
      <w:pPr>
        <w:ind w:left="3993" w:hanging="360"/>
      </w:pPr>
    </w:lvl>
    <w:lvl w:ilvl="4" w:tplc="080A0019" w:tentative="1">
      <w:start w:val="1"/>
      <w:numFmt w:val="lowerLetter"/>
      <w:lvlText w:val="%5."/>
      <w:lvlJc w:val="left"/>
      <w:pPr>
        <w:ind w:left="4713" w:hanging="360"/>
      </w:pPr>
    </w:lvl>
    <w:lvl w:ilvl="5" w:tplc="080A001B" w:tentative="1">
      <w:start w:val="1"/>
      <w:numFmt w:val="lowerRoman"/>
      <w:lvlText w:val="%6."/>
      <w:lvlJc w:val="right"/>
      <w:pPr>
        <w:ind w:left="5433" w:hanging="180"/>
      </w:pPr>
    </w:lvl>
    <w:lvl w:ilvl="6" w:tplc="080A000F" w:tentative="1">
      <w:start w:val="1"/>
      <w:numFmt w:val="decimal"/>
      <w:lvlText w:val="%7."/>
      <w:lvlJc w:val="left"/>
      <w:pPr>
        <w:ind w:left="6153" w:hanging="360"/>
      </w:pPr>
    </w:lvl>
    <w:lvl w:ilvl="7" w:tplc="080A0019" w:tentative="1">
      <w:start w:val="1"/>
      <w:numFmt w:val="lowerLetter"/>
      <w:lvlText w:val="%8."/>
      <w:lvlJc w:val="left"/>
      <w:pPr>
        <w:ind w:left="6873" w:hanging="360"/>
      </w:pPr>
    </w:lvl>
    <w:lvl w:ilvl="8" w:tplc="080A001B" w:tentative="1">
      <w:start w:val="1"/>
      <w:numFmt w:val="lowerRoman"/>
      <w:lvlText w:val="%9."/>
      <w:lvlJc w:val="right"/>
      <w:pPr>
        <w:ind w:left="7593"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2"/>
  </w:num>
  <w:num w:numId="8">
    <w:abstractNumId w:val="7"/>
  </w:num>
  <w:num w:numId="9">
    <w:abstractNumId w:val="5"/>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6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DC"/>
    <w:rsid w:val="00004A31"/>
    <w:rsid w:val="0000725B"/>
    <w:rsid w:val="000114B9"/>
    <w:rsid w:val="00011594"/>
    <w:rsid w:val="000169A3"/>
    <w:rsid w:val="00017C09"/>
    <w:rsid w:val="00021DF1"/>
    <w:rsid w:val="0002236D"/>
    <w:rsid w:val="00026C11"/>
    <w:rsid w:val="00026F35"/>
    <w:rsid w:val="000330FB"/>
    <w:rsid w:val="0003331C"/>
    <w:rsid w:val="00035047"/>
    <w:rsid w:val="00035379"/>
    <w:rsid w:val="00036496"/>
    <w:rsid w:val="00036D01"/>
    <w:rsid w:val="000410A1"/>
    <w:rsid w:val="000410EE"/>
    <w:rsid w:val="00041D15"/>
    <w:rsid w:val="00042B31"/>
    <w:rsid w:val="00042D04"/>
    <w:rsid w:val="0004575F"/>
    <w:rsid w:val="00045A11"/>
    <w:rsid w:val="00046F11"/>
    <w:rsid w:val="00047409"/>
    <w:rsid w:val="00050B7F"/>
    <w:rsid w:val="00053617"/>
    <w:rsid w:val="00053C13"/>
    <w:rsid w:val="00055CE8"/>
    <w:rsid w:val="0005701D"/>
    <w:rsid w:val="00057174"/>
    <w:rsid w:val="00057817"/>
    <w:rsid w:val="000612E4"/>
    <w:rsid w:val="000616B5"/>
    <w:rsid w:val="00070777"/>
    <w:rsid w:val="00072A51"/>
    <w:rsid w:val="000737BF"/>
    <w:rsid w:val="0007458B"/>
    <w:rsid w:val="00075234"/>
    <w:rsid w:val="000752E9"/>
    <w:rsid w:val="00076CEA"/>
    <w:rsid w:val="000803AB"/>
    <w:rsid w:val="00081361"/>
    <w:rsid w:val="000822AF"/>
    <w:rsid w:val="00083BEB"/>
    <w:rsid w:val="00085132"/>
    <w:rsid w:val="00085720"/>
    <w:rsid w:val="00085F69"/>
    <w:rsid w:val="00090B95"/>
    <w:rsid w:val="00094546"/>
    <w:rsid w:val="0009618C"/>
    <w:rsid w:val="000961D2"/>
    <w:rsid w:val="000A1494"/>
    <w:rsid w:val="000A4E40"/>
    <w:rsid w:val="000A55D7"/>
    <w:rsid w:val="000A6360"/>
    <w:rsid w:val="000A6EC7"/>
    <w:rsid w:val="000A7BA9"/>
    <w:rsid w:val="000B0E70"/>
    <w:rsid w:val="000B1A06"/>
    <w:rsid w:val="000B3B3B"/>
    <w:rsid w:val="000B4122"/>
    <w:rsid w:val="000C1F7C"/>
    <w:rsid w:val="000C313C"/>
    <w:rsid w:val="000C3DBF"/>
    <w:rsid w:val="000D0E1D"/>
    <w:rsid w:val="000D1597"/>
    <w:rsid w:val="000D1BD0"/>
    <w:rsid w:val="000D29A1"/>
    <w:rsid w:val="000D29D8"/>
    <w:rsid w:val="000D2FDE"/>
    <w:rsid w:val="000E12D3"/>
    <w:rsid w:val="000E218B"/>
    <w:rsid w:val="000E2E24"/>
    <w:rsid w:val="000E322A"/>
    <w:rsid w:val="000E329B"/>
    <w:rsid w:val="000E504E"/>
    <w:rsid w:val="000F018A"/>
    <w:rsid w:val="000F5004"/>
    <w:rsid w:val="000F54B0"/>
    <w:rsid w:val="000F560C"/>
    <w:rsid w:val="000F5D12"/>
    <w:rsid w:val="000F62C3"/>
    <w:rsid w:val="000F7CF6"/>
    <w:rsid w:val="00103FE7"/>
    <w:rsid w:val="001058D3"/>
    <w:rsid w:val="00105DF0"/>
    <w:rsid w:val="0010644A"/>
    <w:rsid w:val="00111B33"/>
    <w:rsid w:val="00111BFC"/>
    <w:rsid w:val="001134A3"/>
    <w:rsid w:val="001144A1"/>
    <w:rsid w:val="00114AC5"/>
    <w:rsid w:val="00116579"/>
    <w:rsid w:val="00120740"/>
    <w:rsid w:val="001208F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3A4F"/>
    <w:rsid w:val="00174CF4"/>
    <w:rsid w:val="001761CB"/>
    <w:rsid w:val="00180F55"/>
    <w:rsid w:val="00181505"/>
    <w:rsid w:val="001827CF"/>
    <w:rsid w:val="00183FF0"/>
    <w:rsid w:val="001843E8"/>
    <w:rsid w:val="00184B23"/>
    <w:rsid w:val="00187CEF"/>
    <w:rsid w:val="00187EB8"/>
    <w:rsid w:val="0019080F"/>
    <w:rsid w:val="00190DE9"/>
    <w:rsid w:val="00191A27"/>
    <w:rsid w:val="00192287"/>
    <w:rsid w:val="00194A88"/>
    <w:rsid w:val="00194C5C"/>
    <w:rsid w:val="0019600D"/>
    <w:rsid w:val="001A15DC"/>
    <w:rsid w:val="001A2DD1"/>
    <w:rsid w:val="001A3755"/>
    <w:rsid w:val="001A5951"/>
    <w:rsid w:val="001A5B4D"/>
    <w:rsid w:val="001A608E"/>
    <w:rsid w:val="001A7D56"/>
    <w:rsid w:val="001B1297"/>
    <w:rsid w:val="001B34B1"/>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7D6"/>
    <w:rsid w:val="001D68F4"/>
    <w:rsid w:val="001D694C"/>
    <w:rsid w:val="001D730F"/>
    <w:rsid w:val="001D7FCD"/>
    <w:rsid w:val="001E1758"/>
    <w:rsid w:val="001E3B11"/>
    <w:rsid w:val="001E503D"/>
    <w:rsid w:val="001E631B"/>
    <w:rsid w:val="001E680E"/>
    <w:rsid w:val="001F03C6"/>
    <w:rsid w:val="001F147E"/>
    <w:rsid w:val="001F62ED"/>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131C"/>
    <w:rsid w:val="00242891"/>
    <w:rsid w:val="00243181"/>
    <w:rsid w:val="0024497C"/>
    <w:rsid w:val="00245BAC"/>
    <w:rsid w:val="00246862"/>
    <w:rsid w:val="00246915"/>
    <w:rsid w:val="00246F70"/>
    <w:rsid w:val="00247875"/>
    <w:rsid w:val="00247D11"/>
    <w:rsid w:val="00254ED2"/>
    <w:rsid w:val="00256B01"/>
    <w:rsid w:val="00262666"/>
    <w:rsid w:val="00263720"/>
    <w:rsid w:val="002639E6"/>
    <w:rsid w:val="0026762A"/>
    <w:rsid w:val="00267A88"/>
    <w:rsid w:val="002729E4"/>
    <w:rsid w:val="00273171"/>
    <w:rsid w:val="00274366"/>
    <w:rsid w:val="00276599"/>
    <w:rsid w:val="002802EC"/>
    <w:rsid w:val="002805AC"/>
    <w:rsid w:val="002811D0"/>
    <w:rsid w:val="0028174E"/>
    <w:rsid w:val="0028299E"/>
    <w:rsid w:val="00283967"/>
    <w:rsid w:val="00283B3F"/>
    <w:rsid w:val="0028420C"/>
    <w:rsid w:val="002844AF"/>
    <w:rsid w:val="002870CA"/>
    <w:rsid w:val="002905F5"/>
    <w:rsid w:val="002908C0"/>
    <w:rsid w:val="00291333"/>
    <w:rsid w:val="00292316"/>
    <w:rsid w:val="00292C7D"/>
    <w:rsid w:val="0029542B"/>
    <w:rsid w:val="00296748"/>
    <w:rsid w:val="00297344"/>
    <w:rsid w:val="002A0B1C"/>
    <w:rsid w:val="002A2817"/>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0BE0"/>
    <w:rsid w:val="002C291C"/>
    <w:rsid w:val="002C7363"/>
    <w:rsid w:val="002D1979"/>
    <w:rsid w:val="002D2BC6"/>
    <w:rsid w:val="002D3B49"/>
    <w:rsid w:val="002D7BCE"/>
    <w:rsid w:val="002E07CB"/>
    <w:rsid w:val="002E1762"/>
    <w:rsid w:val="002E26EB"/>
    <w:rsid w:val="002E796C"/>
    <w:rsid w:val="002F19AF"/>
    <w:rsid w:val="002F45B6"/>
    <w:rsid w:val="002F4F72"/>
    <w:rsid w:val="002F69D0"/>
    <w:rsid w:val="002F7173"/>
    <w:rsid w:val="002F7484"/>
    <w:rsid w:val="00302511"/>
    <w:rsid w:val="00302C57"/>
    <w:rsid w:val="00303020"/>
    <w:rsid w:val="003032E2"/>
    <w:rsid w:val="00304999"/>
    <w:rsid w:val="003058D3"/>
    <w:rsid w:val="003076B0"/>
    <w:rsid w:val="00307E06"/>
    <w:rsid w:val="00310EFD"/>
    <w:rsid w:val="00312470"/>
    <w:rsid w:val="003124A7"/>
    <w:rsid w:val="00312EEA"/>
    <w:rsid w:val="00314E8F"/>
    <w:rsid w:val="00315C76"/>
    <w:rsid w:val="0031730E"/>
    <w:rsid w:val="00321AAB"/>
    <w:rsid w:val="00321C10"/>
    <w:rsid w:val="003253CA"/>
    <w:rsid w:val="003267FD"/>
    <w:rsid w:val="003312FD"/>
    <w:rsid w:val="00331836"/>
    <w:rsid w:val="0033426E"/>
    <w:rsid w:val="00335EF4"/>
    <w:rsid w:val="003362D5"/>
    <w:rsid w:val="00337583"/>
    <w:rsid w:val="0034013A"/>
    <w:rsid w:val="0034180B"/>
    <w:rsid w:val="00342CE5"/>
    <w:rsid w:val="003462AA"/>
    <w:rsid w:val="003505C2"/>
    <w:rsid w:val="00355E72"/>
    <w:rsid w:val="003606C9"/>
    <w:rsid w:val="00360A0B"/>
    <w:rsid w:val="00362E0E"/>
    <w:rsid w:val="003633B9"/>
    <w:rsid w:val="003646B9"/>
    <w:rsid w:val="003669F1"/>
    <w:rsid w:val="003708D3"/>
    <w:rsid w:val="00371360"/>
    <w:rsid w:val="003731F5"/>
    <w:rsid w:val="00374D85"/>
    <w:rsid w:val="00375176"/>
    <w:rsid w:val="003779D8"/>
    <w:rsid w:val="00380BAC"/>
    <w:rsid w:val="003818BD"/>
    <w:rsid w:val="00381DC3"/>
    <w:rsid w:val="00382FD0"/>
    <w:rsid w:val="00383FB5"/>
    <w:rsid w:val="003873E7"/>
    <w:rsid w:val="00387C97"/>
    <w:rsid w:val="00395802"/>
    <w:rsid w:val="003965ED"/>
    <w:rsid w:val="003A0ACC"/>
    <w:rsid w:val="003A1F55"/>
    <w:rsid w:val="003A3A38"/>
    <w:rsid w:val="003A7955"/>
    <w:rsid w:val="003B09B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19BC"/>
    <w:rsid w:val="003F47AD"/>
    <w:rsid w:val="003F5528"/>
    <w:rsid w:val="003F5E8A"/>
    <w:rsid w:val="00400164"/>
    <w:rsid w:val="00400449"/>
    <w:rsid w:val="00403C9F"/>
    <w:rsid w:val="0040457E"/>
    <w:rsid w:val="00404D0E"/>
    <w:rsid w:val="00407B2F"/>
    <w:rsid w:val="00411707"/>
    <w:rsid w:val="00412972"/>
    <w:rsid w:val="0041349D"/>
    <w:rsid w:val="004138D3"/>
    <w:rsid w:val="0041760B"/>
    <w:rsid w:val="00423A9D"/>
    <w:rsid w:val="00424229"/>
    <w:rsid w:val="00427081"/>
    <w:rsid w:val="00431ECB"/>
    <w:rsid w:val="004325E2"/>
    <w:rsid w:val="00433FAD"/>
    <w:rsid w:val="004407BC"/>
    <w:rsid w:val="00441D6B"/>
    <w:rsid w:val="004426E6"/>
    <w:rsid w:val="004446D8"/>
    <w:rsid w:val="00444733"/>
    <w:rsid w:val="00447469"/>
    <w:rsid w:val="004503A6"/>
    <w:rsid w:val="00451BE8"/>
    <w:rsid w:val="00454494"/>
    <w:rsid w:val="004547D3"/>
    <w:rsid w:val="004567C7"/>
    <w:rsid w:val="00457CC7"/>
    <w:rsid w:val="004608C1"/>
    <w:rsid w:val="00460B31"/>
    <w:rsid w:val="004633DC"/>
    <w:rsid w:val="00470924"/>
    <w:rsid w:val="004715AF"/>
    <w:rsid w:val="00472E19"/>
    <w:rsid w:val="00474E30"/>
    <w:rsid w:val="00475221"/>
    <w:rsid w:val="0047763B"/>
    <w:rsid w:val="0048005F"/>
    <w:rsid w:val="0048396A"/>
    <w:rsid w:val="00485388"/>
    <w:rsid w:val="004870D8"/>
    <w:rsid w:val="00491DA5"/>
    <w:rsid w:val="004961AD"/>
    <w:rsid w:val="00496E71"/>
    <w:rsid w:val="00497E3B"/>
    <w:rsid w:val="004A2326"/>
    <w:rsid w:val="004A319F"/>
    <w:rsid w:val="004A4ECC"/>
    <w:rsid w:val="004A54A3"/>
    <w:rsid w:val="004B02D5"/>
    <w:rsid w:val="004B3A2F"/>
    <w:rsid w:val="004B3A33"/>
    <w:rsid w:val="004B3D2E"/>
    <w:rsid w:val="004B483F"/>
    <w:rsid w:val="004B6F87"/>
    <w:rsid w:val="004B748E"/>
    <w:rsid w:val="004B74CE"/>
    <w:rsid w:val="004B7A3D"/>
    <w:rsid w:val="004C10F3"/>
    <w:rsid w:val="004C20AC"/>
    <w:rsid w:val="004C3E7C"/>
    <w:rsid w:val="004C4306"/>
    <w:rsid w:val="004C456C"/>
    <w:rsid w:val="004C489E"/>
    <w:rsid w:val="004C4A02"/>
    <w:rsid w:val="004C57A9"/>
    <w:rsid w:val="004D316A"/>
    <w:rsid w:val="004D3AC9"/>
    <w:rsid w:val="004D3ADD"/>
    <w:rsid w:val="004D5713"/>
    <w:rsid w:val="004D5934"/>
    <w:rsid w:val="004D6FEE"/>
    <w:rsid w:val="004D7564"/>
    <w:rsid w:val="004E154D"/>
    <w:rsid w:val="004E16A4"/>
    <w:rsid w:val="004E661E"/>
    <w:rsid w:val="004F03BE"/>
    <w:rsid w:val="004F1CDA"/>
    <w:rsid w:val="004F1E03"/>
    <w:rsid w:val="004F4970"/>
    <w:rsid w:val="004F4B8D"/>
    <w:rsid w:val="004F5821"/>
    <w:rsid w:val="004F674E"/>
    <w:rsid w:val="00501DFC"/>
    <w:rsid w:val="00501EAB"/>
    <w:rsid w:val="005043E1"/>
    <w:rsid w:val="005053FA"/>
    <w:rsid w:val="005068F2"/>
    <w:rsid w:val="00510956"/>
    <w:rsid w:val="00510C9F"/>
    <w:rsid w:val="005115C3"/>
    <w:rsid w:val="005117C3"/>
    <w:rsid w:val="00512FF2"/>
    <w:rsid w:val="0051428C"/>
    <w:rsid w:val="00515E05"/>
    <w:rsid w:val="00516F56"/>
    <w:rsid w:val="00517C59"/>
    <w:rsid w:val="00520000"/>
    <w:rsid w:val="00526DC4"/>
    <w:rsid w:val="005274F2"/>
    <w:rsid w:val="005300DF"/>
    <w:rsid w:val="00531A5A"/>
    <w:rsid w:val="00531A6D"/>
    <w:rsid w:val="00531B0F"/>
    <w:rsid w:val="00531B2A"/>
    <w:rsid w:val="00531DE3"/>
    <w:rsid w:val="0053422E"/>
    <w:rsid w:val="00534AC4"/>
    <w:rsid w:val="00534C95"/>
    <w:rsid w:val="005351E1"/>
    <w:rsid w:val="0053715D"/>
    <w:rsid w:val="005410B3"/>
    <w:rsid w:val="00541ACF"/>
    <w:rsid w:val="00541B18"/>
    <w:rsid w:val="00542671"/>
    <w:rsid w:val="005443FC"/>
    <w:rsid w:val="00544A76"/>
    <w:rsid w:val="005452AF"/>
    <w:rsid w:val="005455C1"/>
    <w:rsid w:val="00545D35"/>
    <w:rsid w:val="00547036"/>
    <w:rsid w:val="005478F9"/>
    <w:rsid w:val="00551263"/>
    <w:rsid w:val="00551897"/>
    <w:rsid w:val="00552AAF"/>
    <w:rsid w:val="00553578"/>
    <w:rsid w:val="00557727"/>
    <w:rsid w:val="005609AA"/>
    <w:rsid w:val="00561910"/>
    <w:rsid w:val="00563B9C"/>
    <w:rsid w:val="00564C75"/>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09D6"/>
    <w:rsid w:val="005B13A7"/>
    <w:rsid w:val="005B2365"/>
    <w:rsid w:val="005B4AA8"/>
    <w:rsid w:val="005B597F"/>
    <w:rsid w:val="005B74A1"/>
    <w:rsid w:val="005C0B46"/>
    <w:rsid w:val="005C2C8E"/>
    <w:rsid w:val="005C32A7"/>
    <w:rsid w:val="005C3AA7"/>
    <w:rsid w:val="005C3D13"/>
    <w:rsid w:val="005C414F"/>
    <w:rsid w:val="005C484C"/>
    <w:rsid w:val="005C4F8D"/>
    <w:rsid w:val="005C770C"/>
    <w:rsid w:val="005C7C2F"/>
    <w:rsid w:val="005D1684"/>
    <w:rsid w:val="005D31EB"/>
    <w:rsid w:val="005D3F0B"/>
    <w:rsid w:val="005D4300"/>
    <w:rsid w:val="005D536A"/>
    <w:rsid w:val="005D62CD"/>
    <w:rsid w:val="005D65FC"/>
    <w:rsid w:val="005D74CC"/>
    <w:rsid w:val="005D751A"/>
    <w:rsid w:val="005E18B0"/>
    <w:rsid w:val="005E28FF"/>
    <w:rsid w:val="005E3275"/>
    <w:rsid w:val="005E40A8"/>
    <w:rsid w:val="005E48F2"/>
    <w:rsid w:val="005E5273"/>
    <w:rsid w:val="005E74C5"/>
    <w:rsid w:val="005E76E1"/>
    <w:rsid w:val="005F0B76"/>
    <w:rsid w:val="005F0D57"/>
    <w:rsid w:val="005F1575"/>
    <w:rsid w:val="005F20E4"/>
    <w:rsid w:val="005F2C92"/>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084F"/>
    <w:rsid w:val="00621035"/>
    <w:rsid w:val="00621070"/>
    <w:rsid w:val="006226BF"/>
    <w:rsid w:val="00626B35"/>
    <w:rsid w:val="00630C62"/>
    <w:rsid w:val="00633FA0"/>
    <w:rsid w:val="006345EE"/>
    <w:rsid w:val="00635A9B"/>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21D0"/>
    <w:rsid w:val="0066306B"/>
    <w:rsid w:val="0066335A"/>
    <w:rsid w:val="0066407D"/>
    <w:rsid w:val="006640C5"/>
    <w:rsid w:val="00665C64"/>
    <w:rsid w:val="00670A3B"/>
    <w:rsid w:val="00672CCF"/>
    <w:rsid w:val="006735F6"/>
    <w:rsid w:val="00674D05"/>
    <w:rsid w:val="00675661"/>
    <w:rsid w:val="00676DFB"/>
    <w:rsid w:val="00681F17"/>
    <w:rsid w:val="00682164"/>
    <w:rsid w:val="006826DA"/>
    <w:rsid w:val="0068325D"/>
    <w:rsid w:val="00683DC9"/>
    <w:rsid w:val="00685496"/>
    <w:rsid w:val="00685A2A"/>
    <w:rsid w:val="00687B92"/>
    <w:rsid w:val="006921D8"/>
    <w:rsid w:val="00692778"/>
    <w:rsid w:val="00696616"/>
    <w:rsid w:val="00696F11"/>
    <w:rsid w:val="00697ECB"/>
    <w:rsid w:val="006A0EFD"/>
    <w:rsid w:val="006A141D"/>
    <w:rsid w:val="006A4C24"/>
    <w:rsid w:val="006A5F24"/>
    <w:rsid w:val="006A6FE7"/>
    <w:rsid w:val="006B0915"/>
    <w:rsid w:val="006B0B08"/>
    <w:rsid w:val="006B10A8"/>
    <w:rsid w:val="006B119B"/>
    <w:rsid w:val="006B26D3"/>
    <w:rsid w:val="006B3BEA"/>
    <w:rsid w:val="006B485E"/>
    <w:rsid w:val="006B4B65"/>
    <w:rsid w:val="006B4FD6"/>
    <w:rsid w:val="006B52CD"/>
    <w:rsid w:val="006B78C5"/>
    <w:rsid w:val="006B7AEC"/>
    <w:rsid w:val="006B7F22"/>
    <w:rsid w:val="006C1383"/>
    <w:rsid w:val="006C2F23"/>
    <w:rsid w:val="006C31AF"/>
    <w:rsid w:val="006C3540"/>
    <w:rsid w:val="006C3E47"/>
    <w:rsid w:val="006D1203"/>
    <w:rsid w:val="006D4142"/>
    <w:rsid w:val="006D4B71"/>
    <w:rsid w:val="006D5E68"/>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5689"/>
    <w:rsid w:val="0070679D"/>
    <w:rsid w:val="00706C96"/>
    <w:rsid w:val="00707019"/>
    <w:rsid w:val="00707245"/>
    <w:rsid w:val="00710E5B"/>
    <w:rsid w:val="00712EE0"/>
    <w:rsid w:val="0071697F"/>
    <w:rsid w:val="00716A80"/>
    <w:rsid w:val="0071716F"/>
    <w:rsid w:val="0072215B"/>
    <w:rsid w:val="0072271C"/>
    <w:rsid w:val="00723286"/>
    <w:rsid w:val="00724F1A"/>
    <w:rsid w:val="00727C09"/>
    <w:rsid w:val="00733866"/>
    <w:rsid w:val="00736256"/>
    <w:rsid w:val="007372AF"/>
    <w:rsid w:val="007372F0"/>
    <w:rsid w:val="007402AF"/>
    <w:rsid w:val="00742461"/>
    <w:rsid w:val="00742758"/>
    <w:rsid w:val="0074315B"/>
    <w:rsid w:val="007449ED"/>
    <w:rsid w:val="00745F93"/>
    <w:rsid w:val="00747AB7"/>
    <w:rsid w:val="00752052"/>
    <w:rsid w:val="00752B02"/>
    <w:rsid w:val="00755251"/>
    <w:rsid w:val="00755A91"/>
    <w:rsid w:val="00755EDD"/>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A7126"/>
    <w:rsid w:val="007B0E0D"/>
    <w:rsid w:val="007B29E4"/>
    <w:rsid w:val="007B3F61"/>
    <w:rsid w:val="007B448D"/>
    <w:rsid w:val="007B6958"/>
    <w:rsid w:val="007C4D7C"/>
    <w:rsid w:val="007C4FC7"/>
    <w:rsid w:val="007C5134"/>
    <w:rsid w:val="007C6CD3"/>
    <w:rsid w:val="007C7AD1"/>
    <w:rsid w:val="007D070C"/>
    <w:rsid w:val="007D2543"/>
    <w:rsid w:val="007D4645"/>
    <w:rsid w:val="007D4E0F"/>
    <w:rsid w:val="007D55DA"/>
    <w:rsid w:val="007D5638"/>
    <w:rsid w:val="007D58E9"/>
    <w:rsid w:val="007D61EC"/>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BD1"/>
    <w:rsid w:val="007F7F91"/>
    <w:rsid w:val="0080043A"/>
    <w:rsid w:val="00801F35"/>
    <w:rsid w:val="0080399F"/>
    <w:rsid w:val="00805C67"/>
    <w:rsid w:val="00807736"/>
    <w:rsid w:val="00807D70"/>
    <w:rsid w:val="00812A0A"/>
    <w:rsid w:val="0081379B"/>
    <w:rsid w:val="0081414F"/>
    <w:rsid w:val="00815878"/>
    <w:rsid w:val="0082010D"/>
    <w:rsid w:val="00820FA7"/>
    <w:rsid w:val="00821C04"/>
    <w:rsid w:val="00822141"/>
    <w:rsid w:val="0083002A"/>
    <w:rsid w:val="00830884"/>
    <w:rsid w:val="00830ED6"/>
    <w:rsid w:val="00831537"/>
    <w:rsid w:val="00832757"/>
    <w:rsid w:val="00832BFA"/>
    <w:rsid w:val="00832FE5"/>
    <w:rsid w:val="0084114B"/>
    <w:rsid w:val="00841573"/>
    <w:rsid w:val="00841CA9"/>
    <w:rsid w:val="0084256F"/>
    <w:rsid w:val="00842ED4"/>
    <w:rsid w:val="00845EA4"/>
    <w:rsid w:val="00847A1D"/>
    <w:rsid w:val="00847F39"/>
    <w:rsid w:val="008550F0"/>
    <w:rsid w:val="00855650"/>
    <w:rsid w:val="008561AA"/>
    <w:rsid w:val="00857BD3"/>
    <w:rsid w:val="00860037"/>
    <w:rsid w:val="00860E78"/>
    <w:rsid w:val="00860FEF"/>
    <w:rsid w:val="008618D9"/>
    <w:rsid w:val="0086361E"/>
    <w:rsid w:val="008649E5"/>
    <w:rsid w:val="00864F72"/>
    <w:rsid w:val="00872784"/>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3E8"/>
    <w:rsid w:val="008C297E"/>
    <w:rsid w:val="008C380D"/>
    <w:rsid w:val="008C508D"/>
    <w:rsid w:val="008C5745"/>
    <w:rsid w:val="008C74CA"/>
    <w:rsid w:val="008D04B8"/>
    <w:rsid w:val="008D1236"/>
    <w:rsid w:val="008D38EC"/>
    <w:rsid w:val="008D69D0"/>
    <w:rsid w:val="008E215F"/>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7FE"/>
    <w:rsid w:val="00920D15"/>
    <w:rsid w:val="009210A6"/>
    <w:rsid w:val="00922508"/>
    <w:rsid w:val="009233B3"/>
    <w:rsid w:val="00926FCD"/>
    <w:rsid w:val="00927607"/>
    <w:rsid w:val="00931E3D"/>
    <w:rsid w:val="0094005B"/>
    <w:rsid w:val="00943709"/>
    <w:rsid w:val="00943B62"/>
    <w:rsid w:val="009443A6"/>
    <w:rsid w:val="0094607A"/>
    <w:rsid w:val="00947785"/>
    <w:rsid w:val="009509E2"/>
    <w:rsid w:val="00956CD1"/>
    <w:rsid w:val="009623FA"/>
    <w:rsid w:val="00964969"/>
    <w:rsid w:val="00964A87"/>
    <w:rsid w:val="00965794"/>
    <w:rsid w:val="00965870"/>
    <w:rsid w:val="00966603"/>
    <w:rsid w:val="00970BC4"/>
    <w:rsid w:val="00973D8D"/>
    <w:rsid w:val="009752F6"/>
    <w:rsid w:val="009758DB"/>
    <w:rsid w:val="009768B5"/>
    <w:rsid w:val="0097768E"/>
    <w:rsid w:val="00982020"/>
    <w:rsid w:val="00983201"/>
    <w:rsid w:val="00984197"/>
    <w:rsid w:val="00985FF1"/>
    <w:rsid w:val="00986534"/>
    <w:rsid w:val="00991037"/>
    <w:rsid w:val="00991B75"/>
    <w:rsid w:val="009928D1"/>
    <w:rsid w:val="00995692"/>
    <w:rsid w:val="00996B6C"/>
    <w:rsid w:val="00997217"/>
    <w:rsid w:val="00997F96"/>
    <w:rsid w:val="009A33AC"/>
    <w:rsid w:val="009A33BE"/>
    <w:rsid w:val="009A5AE2"/>
    <w:rsid w:val="009A5D8D"/>
    <w:rsid w:val="009B1106"/>
    <w:rsid w:val="009B1EAF"/>
    <w:rsid w:val="009B38C8"/>
    <w:rsid w:val="009B3FAA"/>
    <w:rsid w:val="009B4DEF"/>
    <w:rsid w:val="009C187A"/>
    <w:rsid w:val="009C4221"/>
    <w:rsid w:val="009D1ED8"/>
    <w:rsid w:val="009D4A0A"/>
    <w:rsid w:val="009D6659"/>
    <w:rsid w:val="009D7058"/>
    <w:rsid w:val="009E0336"/>
    <w:rsid w:val="009E06CD"/>
    <w:rsid w:val="009E10EC"/>
    <w:rsid w:val="009E14E2"/>
    <w:rsid w:val="009E2797"/>
    <w:rsid w:val="009E3A9A"/>
    <w:rsid w:val="009E5841"/>
    <w:rsid w:val="009F3C2D"/>
    <w:rsid w:val="009F50FA"/>
    <w:rsid w:val="00A022D9"/>
    <w:rsid w:val="00A033BB"/>
    <w:rsid w:val="00A0357E"/>
    <w:rsid w:val="00A03990"/>
    <w:rsid w:val="00A045F4"/>
    <w:rsid w:val="00A05B4F"/>
    <w:rsid w:val="00A10387"/>
    <w:rsid w:val="00A21B13"/>
    <w:rsid w:val="00A21E0F"/>
    <w:rsid w:val="00A24358"/>
    <w:rsid w:val="00A2508C"/>
    <w:rsid w:val="00A2572E"/>
    <w:rsid w:val="00A25FC0"/>
    <w:rsid w:val="00A262B6"/>
    <w:rsid w:val="00A26D41"/>
    <w:rsid w:val="00A27138"/>
    <w:rsid w:val="00A3359F"/>
    <w:rsid w:val="00A33A89"/>
    <w:rsid w:val="00A351D0"/>
    <w:rsid w:val="00A3709C"/>
    <w:rsid w:val="00A3728F"/>
    <w:rsid w:val="00A4105D"/>
    <w:rsid w:val="00A442A4"/>
    <w:rsid w:val="00A4466C"/>
    <w:rsid w:val="00A4628E"/>
    <w:rsid w:val="00A51216"/>
    <w:rsid w:val="00A51F5A"/>
    <w:rsid w:val="00A5314A"/>
    <w:rsid w:val="00A57F60"/>
    <w:rsid w:val="00A61A6E"/>
    <w:rsid w:val="00A65B8D"/>
    <w:rsid w:val="00A67424"/>
    <w:rsid w:val="00A67E6B"/>
    <w:rsid w:val="00A703CE"/>
    <w:rsid w:val="00A7188F"/>
    <w:rsid w:val="00A7216C"/>
    <w:rsid w:val="00A7622C"/>
    <w:rsid w:val="00A76546"/>
    <w:rsid w:val="00A77949"/>
    <w:rsid w:val="00A8007D"/>
    <w:rsid w:val="00A80B43"/>
    <w:rsid w:val="00A8244C"/>
    <w:rsid w:val="00A83D36"/>
    <w:rsid w:val="00A85B97"/>
    <w:rsid w:val="00A86899"/>
    <w:rsid w:val="00A870FA"/>
    <w:rsid w:val="00A87174"/>
    <w:rsid w:val="00A923D9"/>
    <w:rsid w:val="00A93F22"/>
    <w:rsid w:val="00A94D13"/>
    <w:rsid w:val="00A94E2C"/>
    <w:rsid w:val="00A97466"/>
    <w:rsid w:val="00A977D1"/>
    <w:rsid w:val="00AA0100"/>
    <w:rsid w:val="00AA0A4A"/>
    <w:rsid w:val="00AA27AB"/>
    <w:rsid w:val="00AA29E9"/>
    <w:rsid w:val="00AA38C5"/>
    <w:rsid w:val="00AA3DF2"/>
    <w:rsid w:val="00AA4B1C"/>
    <w:rsid w:val="00AA512C"/>
    <w:rsid w:val="00AB00F1"/>
    <w:rsid w:val="00AB0764"/>
    <w:rsid w:val="00AB10A6"/>
    <w:rsid w:val="00AB19C6"/>
    <w:rsid w:val="00AB1E7B"/>
    <w:rsid w:val="00AB2CB9"/>
    <w:rsid w:val="00AB4741"/>
    <w:rsid w:val="00AB628D"/>
    <w:rsid w:val="00AB641E"/>
    <w:rsid w:val="00AC1530"/>
    <w:rsid w:val="00AC1D64"/>
    <w:rsid w:val="00AC2BA3"/>
    <w:rsid w:val="00AC5EBC"/>
    <w:rsid w:val="00AD0059"/>
    <w:rsid w:val="00AD0330"/>
    <w:rsid w:val="00AD1E25"/>
    <w:rsid w:val="00AD38ED"/>
    <w:rsid w:val="00AD4282"/>
    <w:rsid w:val="00AD77FD"/>
    <w:rsid w:val="00AE1A7A"/>
    <w:rsid w:val="00AE4894"/>
    <w:rsid w:val="00AE5AC8"/>
    <w:rsid w:val="00AF15FC"/>
    <w:rsid w:val="00AF3316"/>
    <w:rsid w:val="00AF6B54"/>
    <w:rsid w:val="00AF6F6A"/>
    <w:rsid w:val="00B049EC"/>
    <w:rsid w:val="00B04DD6"/>
    <w:rsid w:val="00B078A6"/>
    <w:rsid w:val="00B10264"/>
    <w:rsid w:val="00B10FF6"/>
    <w:rsid w:val="00B1212B"/>
    <w:rsid w:val="00B14213"/>
    <w:rsid w:val="00B15800"/>
    <w:rsid w:val="00B173E2"/>
    <w:rsid w:val="00B177F2"/>
    <w:rsid w:val="00B216FE"/>
    <w:rsid w:val="00B2186A"/>
    <w:rsid w:val="00B235F3"/>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25A6"/>
    <w:rsid w:val="00B53176"/>
    <w:rsid w:val="00B55C20"/>
    <w:rsid w:val="00B60F70"/>
    <w:rsid w:val="00B61158"/>
    <w:rsid w:val="00B61D3E"/>
    <w:rsid w:val="00B61F76"/>
    <w:rsid w:val="00B626F5"/>
    <w:rsid w:val="00B64A03"/>
    <w:rsid w:val="00B64AED"/>
    <w:rsid w:val="00B65FA9"/>
    <w:rsid w:val="00B66885"/>
    <w:rsid w:val="00B7058E"/>
    <w:rsid w:val="00B70873"/>
    <w:rsid w:val="00B70A9C"/>
    <w:rsid w:val="00B70EC1"/>
    <w:rsid w:val="00B7103E"/>
    <w:rsid w:val="00B71315"/>
    <w:rsid w:val="00B7173A"/>
    <w:rsid w:val="00B72F47"/>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3406"/>
    <w:rsid w:val="00B94DC9"/>
    <w:rsid w:val="00B95F1A"/>
    <w:rsid w:val="00BA05BF"/>
    <w:rsid w:val="00BA0DB3"/>
    <w:rsid w:val="00BA0E19"/>
    <w:rsid w:val="00BA0E31"/>
    <w:rsid w:val="00BA2FEE"/>
    <w:rsid w:val="00BA42E0"/>
    <w:rsid w:val="00BA485B"/>
    <w:rsid w:val="00BB1D6B"/>
    <w:rsid w:val="00BB1EC2"/>
    <w:rsid w:val="00BB2686"/>
    <w:rsid w:val="00BB48B1"/>
    <w:rsid w:val="00BB62D7"/>
    <w:rsid w:val="00BB7BCF"/>
    <w:rsid w:val="00BC05E2"/>
    <w:rsid w:val="00BC0C9A"/>
    <w:rsid w:val="00BC7BD0"/>
    <w:rsid w:val="00BC7DE1"/>
    <w:rsid w:val="00BD08FE"/>
    <w:rsid w:val="00BD249F"/>
    <w:rsid w:val="00BD5CAE"/>
    <w:rsid w:val="00BD7208"/>
    <w:rsid w:val="00BD7209"/>
    <w:rsid w:val="00BD7C52"/>
    <w:rsid w:val="00BE01B0"/>
    <w:rsid w:val="00BE1BBE"/>
    <w:rsid w:val="00BE32C7"/>
    <w:rsid w:val="00BE4652"/>
    <w:rsid w:val="00BE4A75"/>
    <w:rsid w:val="00BE4FDC"/>
    <w:rsid w:val="00BE5382"/>
    <w:rsid w:val="00BE5C36"/>
    <w:rsid w:val="00BF01B4"/>
    <w:rsid w:val="00BF0DCB"/>
    <w:rsid w:val="00BF161E"/>
    <w:rsid w:val="00BF1EC0"/>
    <w:rsid w:val="00BF2AD9"/>
    <w:rsid w:val="00BF2F98"/>
    <w:rsid w:val="00BF698D"/>
    <w:rsid w:val="00C00D17"/>
    <w:rsid w:val="00C02A64"/>
    <w:rsid w:val="00C06278"/>
    <w:rsid w:val="00C06502"/>
    <w:rsid w:val="00C06661"/>
    <w:rsid w:val="00C11344"/>
    <w:rsid w:val="00C1297D"/>
    <w:rsid w:val="00C14017"/>
    <w:rsid w:val="00C148AE"/>
    <w:rsid w:val="00C14B07"/>
    <w:rsid w:val="00C1506F"/>
    <w:rsid w:val="00C158D5"/>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25C"/>
    <w:rsid w:val="00C50723"/>
    <w:rsid w:val="00C52510"/>
    <w:rsid w:val="00C539E3"/>
    <w:rsid w:val="00C53F32"/>
    <w:rsid w:val="00C55168"/>
    <w:rsid w:val="00C56885"/>
    <w:rsid w:val="00C57680"/>
    <w:rsid w:val="00C57997"/>
    <w:rsid w:val="00C57C9F"/>
    <w:rsid w:val="00C57DE8"/>
    <w:rsid w:val="00C606BD"/>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4BFC"/>
    <w:rsid w:val="00C904A0"/>
    <w:rsid w:val="00C9115E"/>
    <w:rsid w:val="00C9167C"/>
    <w:rsid w:val="00C926A1"/>
    <w:rsid w:val="00C9405A"/>
    <w:rsid w:val="00C94AA0"/>
    <w:rsid w:val="00C94AC7"/>
    <w:rsid w:val="00C95207"/>
    <w:rsid w:val="00C962CF"/>
    <w:rsid w:val="00CA1B76"/>
    <w:rsid w:val="00CA4E8C"/>
    <w:rsid w:val="00CA5FA7"/>
    <w:rsid w:val="00CA6573"/>
    <w:rsid w:val="00CA6EEF"/>
    <w:rsid w:val="00CA7887"/>
    <w:rsid w:val="00CB27A4"/>
    <w:rsid w:val="00CB2F1C"/>
    <w:rsid w:val="00CB621B"/>
    <w:rsid w:val="00CB65EC"/>
    <w:rsid w:val="00CB6E8A"/>
    <w:rsid w:val="00CC1DB1"/>
    <w:rsid w:val="00CC1F58"/>
    <w:rsid w:val="00CC7CEF"/>
    <w:rsid w:val="00CD0468"/>
    <w:rsid w:val="00CD1491"/>
    <w:rsid w:val="00CD2E70"/>
    <w:rsid w:val="00CD353C"/>
    <w:rsid w:val="00CD64DE"/>
    <w:rsid w:val="00CD6EC0"/>
    <w:rsid w:val="00CE1F13"/>
    <w:rsid w:val="00CE50AD"/>
    <w:rsid w:val="00CE5195"/>
    <w:rsid w:val="00CE51E4"/>
    <w:rsid w:val="00CF10FC"/>
    <w:rsid w:val="00CF1E45"/>
    <w:rsid w:val="00CF3428"/>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3A63"/>
    <w:rsid w:val="00D44218"/>
    <w:rsid w:val="00D4494B"/>
    <w:rsid w:val="00D45843"/>
    <w:rsid w:val="00D5482F"/>
    <w:rsid w:val="00D54C8F"/>
    <w:rsid w:val="00D566F5"/>
    <w:rsid w:val="00D56752"/>
    <w:rsid w:val="00D56F54"/>
    <w:rsid w:val="00D5720A"/>
    <w:rsid w:val="00D60731"/>
    <w:rsid w:val="00D62375"/>
    <w:rsid w:val="00D63A6F"/>
    <w:rsid w:val="00D70AB8"/>
    <w:rsid w:val="00D7104A"/>
    <w:rsid w:val="00D718E2"/>
    <w:rsid w:val="00D73282"/>
    <w:rsid w:val="00D73B5B"/>
    <w:rsid w:val="00D74FDC"/>
    <w:rsid w:val="00D81429"/>
    <w:rsid w:val="00D818E1"/>
    <w:rsid w:val="00D82506"/>
    <w:rsid w:val="00D82AEB"/>
    <w:rsid w:val="00D871A9"/>
    <w:rsid w:val="00D9154A"/>
    <w:rsid w:val="00D91AF2"/>
    <w:rsid w:val="00D927CA"/>
    <w:rsid w:val="00D93271"/>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B7EB1"/>
    <w:rsid w:val="00DC0207"/>
    <w:rsid w:val="00DC1DD2"/>
    <w:rsid w:val="00DC3F3A"/>
    <w:rsid w:val="00DC638A"/>
    <w:rsid w:val="00DC68E2"/>
    <w:rsid w:val="00DC691A"/>
    <w:rsid w:val="00DC6A6C"/>
    <w:rsid w:val="00DC6CDC"/>
    <w:rsid w:val="00DC6D72"/>
    <w:rsid w:val="00DC71EE"/>
    <w:rsid w:val="00DC76BD"/>
    <w:rsid w:val="00DC7E64"/>
    <w:rsid w:val="00DD0702"/>
    <w:rsid w:val="00DD190B"/>
    <w:rsid w:val="00DD1BAF"/>
    <w:rsid w:val="00DD4CC6"/>
    <w:rsid w:val="00DD4E98"/>
    <w:rsid w:val="00DD58B8"/>
    <w:rsid w:val="00DD664B"/>
    <w:rsid w:val="00DE06FD"/>
    <w:rsid w:val="00DE2129"/>
    <w:rsid w:val="00DE28BF"/>
    <w:rsid w:val="00DE44E9"/>
    <w:rsid w:val="00DE5048"/>
    <w:rsid w:val="00DE6690"/>
    <w:rsid w:val="00DE73A1"/>
    <w:rsid w:val="00DE7637"/>
    <w:rsid w:val="00DF09B8"/>
    <w:rsid w:val="00DF15EE"/>
    <w:rsid w:val="00DF20A8"/>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5CD"/>
    <w:rsid w:val="00E164E7"/>
    <w:rsid w:val="00E16654"/>
    <w:rsid w:val="00E21CDD"/>
    <w:rsid w:val="00E22360"/>
    <w:rsid w:val="00E23669"/>
    <w:rsid w:val="00E25425"/>
    <w:rsid w:val="00E25B8B"/>
    <w:rsid w:val="00E25C3E"/>
    <w:rsid w:val="00E308DF"/>
    <w:rsid w:val="00E31D43"/>
    <w:rsid w:val="00E31EBB"/>
    <w:rsid w:val="00E32EEE"/>
    <w:rsid w:val="00E33520"/>
    <w:rsid w:val="00E3462A"/>
    <w:rsid w:val="00E3623E"/>
    <w:rsid w:val="00E37775"/>
    <w:rsid w:val="00E40BC0"/>
    <w:rsid w:val="00E41A8D"/>
    <w:rsid w:val="00E427DF"/>
    <w:rsid w:val="00E43435"/>
    <w:rsid w:val="00E475A6"/>
    <w:rsid w:val="00E47828"/>
    <w:rsid w:val="00E500B1"/>
    <w:rsid w:val="00E52305"/>
    <w:rsid w:val="00E52319"/>
    <w:rsid w:val="00E57493"/>
    <w:rsid w:val="00E57ACD"/>
    <w:rsid w:val="00E60ED0"/>
    <w:rsid w:val="00E61AB6"/>
    <w:rsid w:val="00E61CDE"/>
    <w:rsid w:val="00E64061"/>
    <w:rsid w:val="00E65459"/>
    <w:rsid w:val="00E66951"/>
    <w:rsid w:val="00E67D3C"/>
    <w:rsid w:val="00E7006D"/>
    <w:rsid w:val="00E705F5"/>
    <w:rsid w:val="00E72540"/>
    <w:rsid w:val="00E74393"/>
    <w:rsid w:val="00E74817"/>
    <w:rsid w:val="00E75BB5"/>
    <w:rsid w:val="00E808D6"/>
    <w:rsid w:val="00E80E37"/>
    <w:rsid w:val="00E83450"/>
    <w:rsid w:val="00E8389D"/>
    <w:rsid w:val="00E86739"/>
    <w:rsid w:val="00E90E54"/>
    <w:rsid w:val="00E91FF2"/>
    <w:rsid w:val="00E94929"/>
    <w:rsid w:val="00E94FF3"/>
    <w:rsid w:val="00E9514D"/>
    <w:rsid w:val="00E95F4A"/>
    <w:rsid w:val="00E96B8B"/>
    <w:rsid w:val="00EA0F7F"/>
    <w:rsid w:val="00EA2590"/>
    <w:rsid w:val="00EA2C19"/>
    <w:rsid w:val="00EA2D35"/>
    <w:rsid w:val="00EA379C"/>
    <w:rsid w:val="00EA37E1"/>
    <w:rsid w:val="00EA4780"/>
    <w:rsid w:val="00EA4997"/>
    <w:rsid w:val="00EA4DC3"/>
    <w:rsid w:val="00EA4F63"/>
    <w:rsid w:val="00EA5167"/>
    <w:rsid w:val="00EA6E66"/>
    <w:rsid w:val="00EA7123"/>
    <w:rsid w:val="00EB37B1"/>
    <w:rsid w:val="00EB3956"/>
    <w:rsid w:val="00EB4DFF"/>
    <w:rsid w:val="00EB50B4"/>
    <w:rsid w:val="00EB73B0"/>
    <w:rsid w:val="00EC2980"/>
    <w:rsid w:val="00EC2DA8"/>
    <w:rsid w:val="00EC45FC"/>
    <w:rsid w:val="00EC4A4E"/>
    <w:rsid w:val="00EC6A8E"/>
    <w:rsid w:val="00EC6BCB"/>
    <w:rsid w:val="00ED073E"/>
    <w:rsid w:val="00ED2E55"/>
    <w:rsid w:val="00ED54D9"/>
    <w:rsid w:val="00ED5DDA"/>
    <w:rsid w:val="00ED7D48"/>
    <w:rsid w:val="00EE1352"/>
    <w:rsid w:val="00EE3E2A"/>
    <w:rsid w:val="00EE480B"/>
    <w:rsid w:val="00EE4B2A"/>
    <w:rsid w:val="00EE695C"/>
    <w:rsid w:val="00EF738E"/>
    <w:rsid w:val="00F0156D"/>
    <w:rsid w:val="00F02DE0"/>
    <w:rsid w:val="00F053FC"/>
    <w:rsid w:val="00F06CB3"/>
    <w:rsid w:val="00F079CC"/>
    <w:rsid w:val="00F07A83"/>
    <w:rsid w:val="00F07FC2"/>
    <w:rsid w:val="00F123A4"/>
    <w:rsid w:val="00F13DD5"/>
    <w:rsid w:val="00F1519C"/>
    <w:rsid w:val="00F16359"/>
    <w:rsid w:val="00F1764F"/>
    <w:rsid w:val="00F21698"/>
    <w:rsid w:val="00F24A07"/>
    <w:rsid w:val="00F2514D"/>
    <w:rsid w:val="00F278EC"/>
    <w:rsid w:val="00F27F68"/>
    <w:rsid w:val="00F3026A"/>
    <w:rsid w:val="00F321E1"/>
    <w:rsid w:val="00F34F31"/>
    <w:rsid w:val="00F3568E"/>
    <w:rsid w:val="00F35DBE"/>
    <w:rsid w:val="00F36D77"/>
    <w:rsid w:val="00F37880"/>
    <w:rsid w:val="00F4125C"/>
    <w:rsid w:val="00F42116"/>
    <w:rsid w:val="00F4377C"/>
    <w:rsid w:val="00F4392A"/>
    <w:rsid w:val="00F44524"/>
    <w:rsid w:val="00F448E0"/>
    <w:rsid w:val="00F4491E"/>
    <w:rsid w:val="00F466A1"/>
    <w:rsid w:val="00F469C7"/>
    <w:rsid w:val="00F46C66"/>
    <w:rsid w:val="00F512B9"/>
    <w:rsid w:val="00F530D1"/>
    <w:rsid w:val="00F54415"/>
    <w:rsid w:val="00F54463"/>
    <w:rsid w:val="00F54E38"/>
    <w:rsid w:val="00F551B0"/>
    <w:rsid w:val="00F56523"/>
    <w:rsid w:val="00F62D24"/>
    <w:rsid w:val="00F6398A"/>
    <w:rsid w:val="00F668B1"/>
    <w:rsid w:val="00F72E7B"/>
    <w:rsid w:val="00F762D5"/>
    <w:rsid w:val="00F76381"/>
    <w:rsid w:val="00F7668F"/>
    <w:rsid w:val="00F77C87"/>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7264"/>
    <w:rsid w:val="00FB0E2A"/>
    <w:rsid w:val="00FB1E09"/>
    <w:rsid w:val="00FB21BA"/>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4E0"/>
    <w:rsid w:val="00FE09B0"/>
    <w:rsid w:val="00FE0F9D"/>
    <w:rsid w:val="00FE10E6"/>
    <w:rsid w:val="00FE1705"/>
    <w:rsid w:val="00FE1D24"/>
    <w:rsid w:val="00FE48CB"/>
    <w:rsid w:val="00FE6F33"/>
    <w:rsid w:val="00FE7A9A"/>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1"/>
    </o:shapelayout>
  </w:shapeDefaults>
  <w:decimalSymbol w:val="."/>
  <w:listSeparator w:val=","/>
  <w14:docId w14:val="72271BEF"/>
  <w15:docId w15:val="{FAE0E7DD-61F9-422F-A02F-78E7B5DA3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1"/>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53783">
      <w:bodyDiv w:val="1"/>
      <w:marLeft w:val="0"/>
      <w:marRight w:val="0"/>
      <w:marTop w:val="0"/>
      <w:marBottom w:val="0"/>
      <w:divBdr>
        <w:top w:val="none" w:sz="0" w:space="0" w:color="auto"/>
        <w:left w:val="none" w:sz="0" w:space="0" w:color="auto"/>
        <w:bottom w:val="none" w:sz="0" w:space="0" w:color="auto"/>
        <w:right w:val="none" w:sz="0" w:space="0" w:color="auto"/>
      </w:divBdr>
      <w:divsChild>
        <w:div w:id="506752641">
          <w:marLeft w:val="0"/>
          <w:marRight w:val="0"/>
          <w:marTop w:val="0"/>
          <w:marBottom w:val="0"/>
          <w:divBdr>
            <w:top w:val="none" w:sz="0" w:space="0" w:color="auto"/>
            <w:left w:val="none" w:sz="0" w:space="0" w:color="auto"/>
            <w:bottom w:val="none" w:sz="0" w:space="0" w:color="auto"/>
            <w:right w:val="none" w:sz="0" w:space="0" w:color="auto"/>
          </w:divBdr>
        </w:div>
      </w:divsChild>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45266158">
      <w:bodyDiv w:val="1"/>
      <w:marLeft w:val="0"/>
      <w:marRight w:val="0"/>
      <w:marTop w:val="0"/>
      <w:marBottom w:val="0"/>
      <w:divBdr>
        <w:top w:val="none" w:sz="0" w:space="0" w:color="auto"/>
        <w:left w:val="none" w:sz="0" w:space="0" w:color="auto"/>
        <w:bottom w:val="none" w:sz="0" w:space="0" w:color="auto"/>
        <w:right w:val="none" w:sz="0" w:space="0" w:color="auto"/>
      </w:divBdr>
      <w:divsChild>
        <w:div w:id="795372759">
          <w:marLeft w:val="0"/>
          <w:marRight w:val="0"/>
          <w:marTop w:val="0"/>
          <w:marBottom w:val="0"/>
          <w:divBdr>
            <w:top w:val="none" w:sz="0" w:space="0" w:color="auto"/>
            <w:left w:val="none" w:sz="0" w:space="0" w:color="auto"/>
            <w:bottom w:val="none" w:sz="0" w:space="0" w:color="auto"/>
            <w:right w:val="none" w:sz="0" w:space="0" w:color="auto"/>
          </w:divBdr>
        </w:div>
      </w:divsChild>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47470558">
      <w:bodyDiv w:val="1"/>
      <w:marLeft w:val="0"/>
      <w:marRight w:val="0"/>
      <w:marTop w:val="0"/>
      <w:marBottom w:val="0"/>
      <w:divBdr>
        <w:top w:val="none" w:sz="0" w:space="0" w:color="auto"/>
        <w:left w:val="none" w:sz="0" w:space="0" w:color="auto"/>
        <w:bottom w:val="none" w:sz="0" w:space="0" w:color="auto"/>
        <w:right w:val="none" w:sz="0" w:space="0" w:color="auto"/>
      </w:divBdr>
    </w:div>
    <w:div w:id="191766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9E7750-1CEE-47C1-850E-AAD14C387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2705</Words>
  <Characters>14879</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JuanEdy</cp:lastModifiedBy>
  <cp:revision>5</cp:revision>
  <cp:lastPrinted>2018-11-28T17:50:00Z</cp:lastPrinted>
  <dcterms:created xsi:type="dcterms:W3CDTF">2020-07-06T04:52:00Z</dcterms:created>
  <dcterms:modified xsi:type="dcterms:W3CDTF">2021-01-21T19:42:00Z</dcterms:modified>
</cp:coreProperties>
</file>