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51" w:tblpY="-350"/>
        <w:tblW w:w="9780" w:type="dxa"/>
        <w:tblLayout w:type="fixed"/>
        <w:tblCellMar>
          <w:left w:w="70" w:type="dxa"/>
          <w:right w:w="70" w:type="dxa"/>
        </w:tblCellMar>
        <w:tblLook w:val="04A0" w:firstRow="1" w:lastRow="0" w:firstColumn="1" w:lastColumn="0" w:noHBand="0" w:noVBand="1"/>
      </w:tblPr>
      <w:tblGrid>
        <w:gridCol w:w="2356"/>
        <w:gridCol w:w="7424"/>
      </w:tblGrid>
      <w:tr w:rsidR="00D93BD7" w:rsidRPr="00C43594" w:rsidTr="00D93BD7">
        <w:tc>
          <w:tcPr>
            <w:tcW w:w="2356" w:type="dxa"/>
            <w:hideMark/>
          </w:tcPr>
          <w:p w:rsidR="00D93BD7" w:rsidRPr="00C43594" w:rsidRDefault="00D93BD7" w:rsidP="00D93BD7">
            <w:pPr>
              <w:rPr>
                <w:rFonts w:ascii="Arial" w:hAnsi="Arial" w:cs="Arial"/>
                <w:b/>
                <w:sz w:val="26"/>
                <w:szCs w:val="26"/>
              </w:rPr>
            </w:pPr>
            <w:r w:rsidRPr="00C43594">
              <w:rPr>
                <w:rFonts w:ascii="Arial" w:hAnsi="Arial" w:cs="Arial"/>
                <w:b/>
                <w:sz w:val="26"/>
                <w:szCs w:val="26"/>
              </w:rPr>
              <w:t xml:space="preserve">     </w:t>
            </w:r>
          </w:p>
        </w:tc>
        <w:tc>
          <w:tcPr>
            <w:tcW w:w="7424" w:type="dxa"/>
          </w:tcPr>
          <w:p w:rsidR="00D93BD7" w:rsidRPr="00C43594" w:rsidRDefault="00D93BD7" w:rsidP="00D93BD7">
            <w:pPr>
              <w:tabs>
                <w:tab w:val="left" w:pos="3103"/>
              </w:tabs>
              <w:ind w:left="2394"/>
              <w:jc w:val="both"/>
              <w:rPr>
                <w:rFonts w:ascii="Arial" w:hAnsi="Arial" w:cs="Arial"/>
                <w:b/>
                <w:i/>
                <w:iCs/>
                <w:caps/>
                <w:sz w:val="26"/>
                <w:szCs w:val="26"/>
              </w:rPr>
            </w:pPr>
            <w:r w:rsidRPr="00C43594">
              <w:rPr>
                <w:rFonts w:ascii="Arial" w:hAnsi="Arial" w:cs="Arial"/>
                <w:b/>
                <w:i/>
                <w:iCs/>
                <w:caps/>
                <w:sz w:val="26"/>
                <w:szCs w:val="26"/>
              </w:rPr>
              <w:t xml:space="preserve">                       </w:t>
            </w:r>
          </w:p>
          <w:p w:rsidR="00D93BD7" w:rsidRPr="00C43594" w:rsidRDefault="00D93BD7" w:rsidP="00D93BD7">
            <w:pPr>
              <w:tabs>
                <w:tab w:val="left" w:pos="3103"/>
              </w:tabs>
              <w:ind w:left="2394"/>
              <w:jc w:val="both"/>
              <w:rPr>
                <w:rFonts w:ascii="Arial" w:hAnsi="Arial" w:cs="Arial"/>
                <w:b/>
                <w:iCs/>
                <w:caps/>
                <w:sz w:val="26"/>
                <w:szCs w:val="26"/>
              </w:rPr>
            </w:pPr>
            <w:r w:rsidRPr="00C43594">
              <w:rPr>
                <w:rFonts w:ascii="Arial" w:hAnsi="Arial" w:cs="Arial"/>
                <w:b/>
                <w:iCs/>
                <w:caps/>
                <w:sz w:val="26"/>
                <w:szCs w:val="26"/>
              </w:rPr>
              <w:t>SALA SUPERIOR DEL TRIBUNAL DE JUSTICIA ADMINISTRATIVA DEL ESTADO DE OAXACA.</w:t>
            </w: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r w:rsidRPr="00C43594">
              <w:rPr>
                <w:rFonts w:ascii="Arial" w:hAnsi="Arial" w:cs="Arial"/>
                <w:b/>
                <w:iCs/>
                <w:caps/>
                <w:sz w:val="26"/>
                <w:szCs w:val="26"/>
                <w:lang w:val="es-PE"/>
              </w:rPr>
              <w:t xml:space="preserve">               </w:t>
            </w: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r w:rsidRPr="00C43594">
              <w:rPr>
                <w:rFonts w:ascii="Arial" w:hAnsi="Arial" w:cs="Arial"/>
                <w:b/>
                <w:iCs/>
                <w:caps/>
                <w:sz w:val="26"/>
                <w:szCs w:val="26"/>
                <w:lang w:val="es-PE"/>
              </w:rPr>
              <w:t xml:space="preserve">RECURSO DE REVISIÓN:   0448/2018 </w:t>
            </w: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r w:rsidRPr="00C43594">
              <w:rPr>
                <w:rFonts w:ascii="Arial" w:hAnsi="Arial" w:cs="Arial"/>
                <w:b/>
                <w:iCs/>
                <w:caps/>
                <w:sz w:val="26"/>
                <w:szCs w:val="26"/>
                <w:lang w:val="es-PE"/>
              </w:rPr>
              <w:t>EXPEDIENTE: 034/2018 DE LA SEGUNDA SALA UNITARIA DE PRIMERA INSTANCIA</w:t>
            </w: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r w:rsidRPr="00C43594">
              <w:rPr>
                <w:rFonts w:ascii="Arial" w:hAnsi="Arial" w:cs="Arial"/>
                <w:b/>
                <w:iCs/>
                <w:caps/>
                <w:sz w:val="26"/>
                <w:szCs w:val="26"/>
                <w:lang w:val="es-PE"/>
              </w:rPr>
              <w:t xml:space="preserve">       </w:t>
            </w:r>
          </w:p>
          <w:p w:rsidR="00D93BD7" w:rsidRPr="00C43594" w:rsidRDefault="00D93BD7" w:rsidP="00D93BD7">
            <w:pPr>
              <w:pStyle w:val="Encabezado"/>
              <w:tabs>
                <w:tab w:val="clear" w:pos="4252"/>
              </w:tabs>
              <w:spacing w:line="256" w:lineRule="auto"/>
              <w:ind w:left="2394" w:right="51"/>
              <w:jc w:val="both"/>
              <w:rPr>
                <w:rFonts w:ascii="Arial" w:hAnsi="Arial" w:cs="Arial"/>
                <w:b/>
                <w:iCs/>
                <w:caps/>
                <w:sz w:val="26"/>
                <w:szCs w:val="26"/>
                <w:lang w:val="es-PE"/>
              </w:rPr>
            </w:pPr>
            <w:r w:rsidRPr="00C43594">
              <w:rPr>
                <w:rFonts w:ascii="Arial" w:hAnsi="Arial" w:cs="Arial"/>
                <w:b/>
                <w:iCs/>
                <w:caps/>
                <w:sz w:val="26"/>
                <w:szCs w:val="26"/>
                <w:lang w:val="es-PE"/>
              </w:rPr>
              <w:t>ponente:  magistrado HUGO VILLEGAS AQUINO</w:t>
            </w:r>
            <w:r w:rsidR="00C43594" w:rsidRPr="00C43594">
              <w:rPr>
                <w:rFonts w:ascii="Arial" w:hAnsi="Arial" w:cs="Arial"/>
                <w:b/>
                <w:iCs/>
                <w:caps/>
                <w:sz w:val="26"/>
                <w:szCs w:val="26"/>
                <w:lang w:val="es-PE"/>
              </w:rPr>
              <w:t>.</w:t>
            </w:r>
          </w:p>
        </w:tc>
      </w:tr>
      <w:tr w:rsidR="00D93BD7" w:rsidRPr="00C43594" w:rsidTr="00D93BD7">
        <w:tc>
          <w:tcPr>
            <w:tcW w:w="2356" w:type="dxa"/>
          </w:tcPr>
          <w:p w:rsidR="00D93BD7" w:rsidRPr="00C43594" w:rsidRDefault="00D93BD7" w:rsidP="00D93BD7">
            <w:pPr>
              <w:rPr>
                <w:rFonts w:ascii="Arial" w:hAnsi="Arial" w:cs="Arial"/>
                <w:b/>
                <w:sz w:val="26"/>
                <w:szCs w:val="26"/>
                <w:lang w:val="es-ES"/>
              </w:rPr>
            </w:pPr>
          </w:p>
        </w:tc>
        <w:tc>
          <w:tcPr>
            <w:tcW w:w="7424" w:type="dxa"/>
            <w:hideMark/>
          </w:tcPr>
          <w:p w:rsidR="00D93BD7" w:rsidRPr="00C43594" w:rsidRDefault="00D93BD7" w:rsidP="00D93BD7">
            <w:pPr>
              <w:tabs>
                <w:tab w:val="left" w:pos="3103"/>
              </w:tabs>
              <w:ind w:left="2678" w:hanging="2961"/>
              <w:jc w:val="both"/>
              <w:rPr>
                <w:rFonts w:ascii="Arial" w:hAnsi="Arial" w:cs="Arial"/>
                <w:b/>
                <w:iCs/>
                <w:caps/>
                <w:sz w:val="26"/>
                <w:szCs w:val="26"/>
              </w:rPr>
            </w:pPr>
            <w:r w:rsidRPr="00C43594">
              <w:rPr>
                <w:rFonts w:ascii="Arial" w:hAnsi="Arial" w:cs="Arial"/>
                <w:b/>
                <w:i/>
                <w:iCs/>
                <w:caps/>
                <w:sz w:val="26"/>
                <w:szCs w:val="26"/>
              </w:rPr>
              <w:t xml:space="preserve">                                          </w:t>
            </w:r>
          </w:p>
        </w:tc>
      </w:tr>
      <w:tr w:rsidR="00D93BD7" w:rsidRPr="00C43594" w:rsidTr="00D93BD7">
        <w:tc>
          <w:tcPr>
            <w:tcW w:w="2356" w:type="dxa"/>
          </w:tcPr>
          <w:p w:rsidR="00D93BD7" w:rsidRPr="00C43594" w:rsidRDefault="00D93BD7" w:rsidP="00D93BD7">
            <w:pPr>
              <w:rPr>
                <w:rFonts w:ascii="Arial" w:hAnsi="Arial" w:cs="Arial"/>
                <w:b/>
                <w:sz w:val="26"/>
                <w:szCs w:val="26"/>
              </w:rPr>
            </w:pPr>
          </w:p>
        </w:tc>
        <w:tc>
          <w:tcPr>
            <w:tcW w:w="7424" w:type="dxa"/>
          </w:tcPr>
          <w:p w:rsidR="00D93BD7" w:rsidRPr="00C43594" w:rsidRDefault="00D93BD7" w:rsidP="00D93BD7">
            <w:pPr>
              <w:tabs>
                <w:tab w:val="left" w:pos="3103"/>
              </w:tabs>
              <w:ind w:left="2961" w:hanging="2961"/>
              <w:jc w:val="both"/>
              <w:rPr>
                <w:rFonts w:ascii="Arial" w:hAnsi="Arial" w:cs="Arial"/>
                <w:b/>
                <w:i/>
                <w:iCs/>
                <w:caps/>
                <w:sz w:val="26"/>
                <w:szCs w:val="26"/>
              </w:rPr>
            </w:pPr>
          </w:p>
        </w:tc>
      </w:tr>
    </w:tbl>
    <w:p w:rsidR="00D93BD7" w:rsidRPr="00C43594" w:rsidRDefault="00D93BD7" w:rsidP="00D93BD7">
      <w:pPr>
        <w:spacing w:line="360" w:lineRule="auto"/>
        <w:jc w:val="both"/>
        <w:rPr>
          <w:rFonts w:ascii="Arial" w:eastAsia="Times New Roman" w:hAnsi="Arial" w:cs="Arial"/>
          <w:sz w:val="26"/>
          <w:szCs w:val="26"/>
          <w:lang w:eastAsia="es-MX"/>
        </w:rPr>
      </w:pPr>
    </w:p>
    <w:p w:rsidR="00D93BD7" w:rsidRPr="00C43594" w:rsidRDefault="00D93BD7" w:rsidP="00C43594">
      <w:pPr>
        <w:spacing w:line="360" w:lineRule="auto"/>
        <w:jc w:val="both"/>
        <w:rPr>
          <w:rFonts w:ascii="Arial" w:hAnsi="Arial" w:cs="Arial"/>
          <w:b/>
          <w:sz w:val="26"/>
          <w:szCs w:val="26"/>
        </w:rPr>
      </w:pPr>
      <w:r w:rsidRPr="00C43594">
        <w:rPr>
          <w:rFonts w:ascii="Arial" w:hAnsi="Arial" w:cs="Arial"/>
          <w:b/>
          <w:sz w:val="26"/>
          <w:szCs w:val="26"/>
        </w:rPr>
        <w:t xml:space="preserve">OAXACA DE JUÁREZ, OAXACA, CUATRO DE ABRIL DE DOS MIL DIECINUEVE.  </w:t>
      </w:r>
    </w:p>
    <w:p w:rsidR="00D93BD7" w:rsidRPr="00C43594" w:rsidRDefault="00D93BD7" w:rsidP="00C43594">
      <w:pPr>
        <w:spacing w:line="360" w:lineRule="auto"/>
        <w:ind w:firstLine="708"/>
        <w:jc w:val="both"/>
        <w:rPr>
          <w:rFonts w:ascii="Arial" w:hAnsi="Arial" w:cs="Arial"/>
          <w:sz w:val="26"/>
          <w:szCs w:val="26"/>
        </w:rPr>
      </w:pPr>
      <w:r w:rsidRPr="00C43594">
        <w:rPr>
          <w:rFonts w:ascii="Arial" w:hAnsi="Arial" w:cs="Arial"/>
          <w:sz w:val="26"/>
          <w:szCs w:val="26"/>
        </w:rPr>
        <w:t xml:space="preserve">Por recibido el Cuaderno de Revisión </w:t>
      </w:r>
      <w:r w:rsidRPr="00C43594">
        <w:rPr>
          <w:rFonts w:ascii="Arial" w:hAnsi="Arial" w:cs="Arial"/>
          <w:b/>
          <w:sz w:val="26"/>
          <w:szCs w:val="26"/>
        </w:rPr>
        <w:t>448/2018</w:t>
      </w:r>
      <w:r w:rsidRPr="00C43594">
        <w:rPr>
          <w:rFonts w:ascii="Arial" w:hAnsi="Arial" w:cs="Arial"/>
          <w:sz w:val="26"/>
          <w:szCs w:val="26"/>
        </w:rPr>
        <w:t xml:space="preserve">, que remite la Secretaría General de Acuerdos, con motivo del recurso de revisión interpuesto por </w:t>
      </w:r>
      <w:r w:rsidR="001A6501">
        <w:rPr>
          <w:rFonts w:ascii="Arial" w:hAnsi="Arial" w:cs="Arial"/>
          <w:b/>
          <w:sz w:val="26"/>
          <w:szCs w:val="26"/>
        </w:rPr>
        <w:t>**********</w:t>
      </w:r>
      <w:r w:rsidRPr="00C43594">
        <w:rPr>
          <w:rFonts w:ascii="Arial" w:hAnsi="Arial" w:cs="Arial"/>
          <w:b/>
          <w:sz w:val="26"/>
          <w:szCs w:val="26"/>
        </w:rPr>
        <w:t xml:space="preserve"> </w:t>
      </w:r>
      <w:r w:rsidRPr="00C43594">
        <w:rPr>
          <w:rFonts w:ascii="Arial" w:hAnsi="Arial" w:cs="Arial"/>
          <w:sz w:val="26"/>
          <w:szCs w:val="26"/>
        </w:rPr>
        <w:t>actora del juicio natural, en contra del proveído de 23 veintitrés de octubre de 2018 dos mil dieciocho</w:t>
      </w:r>
      <w:r w:rsidR="00C43594">
        <w:rPr>
          <w:rFonts w:ascii="Arial" w:hAnsi="Arial" w:cs="Arial"/>
          <w:sz w:val="26"/>
          <w:szCs w:val="26"/>
        </w:rPr>
        <w:t>,</w:t>
      </w:r>
      <w:r w:rsidRPr="00C43594">
        <w:rPr>
          <w:rFonts w:ascii="Arial" w:hAnsi="Arial" w:cs="Arial"/>
          <w:sz w:val="26"/>
          <w:szCs w:val="26"/>
        </w:rPr>
        <w:t xml:space="preserve"> dictado por la Segunda Sala Unitaria de Primera Instancia de este Tribunal en el expediente </w:t>
      </w:r>
      <w:r w:rsidRPr="00C43594">
        <w:rPr>
          <w:rFonts w:ascii="Arial" w:hAnsi="Arial" w:cs="Arial"/>
          <w:b/>
          <w:sz w:val="26"/>
          <w:szCs w:val="26"/>
        </w:rPr>
        <w:t xml:space="preserve">0034/2018 </w:t>
      </w:r>
      <w:r w:rsidRPr="00C43594">
        <w:rPr>
          <w:rFonts w:ascii="Arial" w:hAnsi="Arial" w:cs="Arial"/>
          <w:sz w:val="26"/>
          <w:szCs w:val="26"/>
        </w:rPr>
        <w:t xml:space="preserve">de su índice, relativo al juicio de nulidad promovido por la </w:t>
      </w:r>
      <w:r w:rsidRPr="00C43594">
        <w:rPr>
          <w:rFonts w:ascii="Arial" w:hAnsi="Arial" w:cs="Arial"/>
          <w:b/>
          <w:i/>
          <w:sz w:val="26"/>
          <w:szCs w:val="26"/>
        </w:rPr>
        <w:t>RECURRENTE</w:t>
      </w:r>
      <w:r w:rsidRPr="00C43594">
        <w:rPr>
          <w:rFonts w:ascii="Arial" w:hAnsi="Arial" w:cs="Arial"/>
          <w:b/>
          <w:sz w:val="26"/>
          <w:szCs w:val="26"/>
        </w:rPr>
        <w:t xml:space="preserve"> </w:t>
      </w:r>
      <w:r w:rsidRPr="00C43594">
        <w:rPr>
          <w:rFonts w:ascii="Arial" w:hAnsi="Arial" w:cs="Arial"/>
          <w:sz w:val="26"/>
          <w:szCs w:val="26"/>
        </w:rPr>
        <w:t xml:space="preserve">en contra del </w:t>
      </w:r>
      <w:r w:rsidRPr="00C43594">
        <w:rPr>
          <w:rFonts w:ascii="Arial" w:hAnsi="Arial" w:cs="Arial"/>
          <w:b/>
          <w:sz w:val="26"/>
          <w:szCs w:val="26"/>
        </w:rPr>
        <w:t xml:space="preserve">POLICÍA VIAL DE LA COMISARÍA DE SEGURIDAD PÚBLICA Y VIALIDAD DEL MUNICIPIO DE OAXACA DE JUÁREZ, OAXACA CON NÚMERO ESTADÍSTICO PV-130, </w:t>
      </w:r>
      <w:r w:rsidRPr="00C43594">
        <w:rPr>
          <w:rFonts w:ascii="Arial" w:hAnsi="Arial" w:cs="Arial"/>
          <w:sz w:val="26"/>
          <w:szCs w:val="26"/>
        </w:rPr>
        <w:t>por lo que con fundamento en los artículos 236 y 237 de la Ley de Procedimiento y Justicia Administrativa para el Estado de Oaxaca, se procede a dictar resolución en los siguientes términos:</w:t>
      </w:r>
    </w:p>
    <w:p w:rsidR="00D93BD7" w:rsidRPr="00C43594" w:rsidRDefault="00D93BD7" w:rsidP="00D93BD7">
      <w:pPr>
        <w:spacing w:line="360" w:lineRule="auto"/>
        <w:jc w:val="center"/>
        <w:rPr>
          <w:rFonts w:ascii="Arial" w:hAnsi="Arial" w:cs="Arial"/>
          <w:b/>
          <w:bCs/>
          <w:sz w:val="26"/>
          <w:szCs w:val="26"/>
        </w:rPr>
      </w:pPr>
      <w:r w:rsidRPr="00C43594">
        <w:rPr>
          <w:rFonts w:ascii="Arial" w:hAnsi="Arial" w:cs="Arial"/>
          <w:b/>
          <w:bCs/>
          <w:sz w:val="26"/>
          <w:szCs w:val="26"/>
        </w:rPr>
        <w:t>R E S U L T A N D O</w:t>
      </w:r>
    </w:p>
    <w:p w:rsidR="00D93BD7" w:rsidRPr="00C43594" w:rsidRDefault="00D93BD7" w:rsidP="00D93BD7">
      <w:pPr>
        <w:spacing w:line="360" w:lineRule="auto"/>
        <w:ind w:firstLine="709"/>
        <w:jc w:val="both"/>
        <w:rPr>
          <w:rFonts w:ascii="Arial" w:hAnsi="Arial" w:cs="Arial"/>
          <w:sz w:val="26"/>
          <w:szCs w:val="26"/>
        </w:rPr>
      </w:pPr>
      <w:r w:rsidRPr="00C43594">
        <w:rPr>
          <w:rFonts w:ascii="Arial" w:hAnsi="Arial" w:cs="Arial"/>
          <w:b/>
          <w:bCs/>
          <w:sz w:val="26"/>
          <w:szCs w:val="26"/>
        </w:rPr>
        <w:t xml:space="preserve">PRIMERO. </w:t>
      </w:r>
      <w:r w:rsidRPr="00C43594">
        <w:rPr>
          <w:rFonts w:ascii="Arial" w:hAnsi="Arial" w:cs="Arial"/>
          <w:sz w:val="26"/>
          <w:szCs w:val="26"/>
        </w:rPr>
        <w:t>Inconforme con el proveído de 23 veintitrés de octubre de 2018 dos mil dieciocho</w:t>
      </w:r>
      <w:r w:rsidR="00C43594">
        <w:rPr>
          <w:rFonts w:ascii="Arial" w:hAnsi="Arial" w:cs="Arial"/>
          <w:sz w:val="26"/>
          <w:szCs w:val="26"/>
        </w:rPr>
        <w:t xml:space="preserve">, </w:t>
      </w:r>
      <w:r w:rsidRPr="00C43594">
        <w:rPr>
          <w:rFonts w:ascii="Arial" w:hAnsi="Arial" w:cs="Arial"/>
          <w:sz w:val="26"/>
          <w:szCs w:val="26"/>
        </w:rPr>
        <w:t xml:space="preserve">dictado por la Segunda Sala Unitaria de este Tribunal, </w:t>
      </w:r>
      <w:r w:rsidR="001A6501">
        <w:rPr>
          <w:rFonts w:ascii="Arial" w:hAnsi="Arial" w:cs="Arial"/>
          <w:b/>
          <w:sz w:val="26"/>
          <w:szCs w:val="26"/>
        </w:rPr>
        <w:t>**********</w:t>
      </w:r>
      <w:r w:rsidRPr="00C43594">
        <w:rPr>
          <w:rFonts w:ascii="Arial" w:hAnsi="Arial" w:cs="Arial"/>
          <w:sz w:val="26"/>
          <w:szCs w:val="26"/>
        </w:rPr>
        <w:t xml:space="preserve"> parte actora del juicio natural interpone en su contra recurso de revisión. </w:t>
      </w:r>
    </w:p>
    <w:p w:rsidR="00D93BD7" w:rsidRPr="00C43594" w:rsidRDefault="00D93BD7" w:rsidP="00D93BD7">
      <w:pPr>
        <w:spacing w:line="360" w:lineRule="auto"/>
        <w:jc w:val="both"/>
        <w:rPr>
          <w:rFonts w:ascii="Arial" w:eastAsia="Calibri" w:hAnsi="Arial" w:cs="Arial"/>
          <w:sz w:val="26"/>
          <w:szCs w:val="26"/>
          <w:lang w:val="es-ES"/>
        </w:rPr>
      </w:pPr>
      <w:r w:rsidRPr="00C43594">
        <w:rPr>
          <w:rFonts w:ascii="Arial" w:hAnsi="Arial" w:cs="Arial"/>
          <w:b/>
          <w:bCs/>
          <w:sz w:val="26"/>
          <w:szCs w:val="26"/>
        </w:rPr>
        <w:tab/>
        <w:t xml:space="preserve">SEGUNDO.- </w:t>
      </w:r>
      <w:r w:rsidRPr="00C43594">
        <w:rPr>
          <w:rFonts w:ascii="Arial" w:hAnsi="Arial" w:cs="Arial"/>
          <w:bCs/>
          <w:sz w:val="26"/>
          <w:szCs w:val="26"/>
        </w:rPr>
        <w:t>El proveído en revisión es como sigue:</w:t>
      </w:r>
      <w:r w:rsidRPr="00C43594">
        <w:rPr>
          <w:rFonts w:ascii="Arial" w:eastAsia="Calibri" w:hAnsi="Arial" w:cs="Arial"/>
          <w:sz w:val="26"/>
          <w:szCs w:val="26"/>
        </w:rPr>
        <w:t xml:space="preserve"> </w:t>
      </w:r>
    </w:p>
    <w:p w:rsidR="00D93BD7" w:rsidRDefault="00D93BD7" w:rsidP="00D93BD7">
      <w:pPr>
        <w:spacing w:line="360" w:lineRule="auto"/>
        <w:ind w:left="1134" w:right="902"/>
        <w:jc w:val="both"/>
        <w:rPr>
          <w:rFonts w:ascii="Arial" w:hAnsi="Arial" w:cs="Arial"/>
          <w:b/>
          <w:bCs/>
          <w:i/>
          <w:iCs/>
        </w:rPr>
      </w:pPr>
      <w:r>
        <w:rPr>
          <w:rFonts w:ascii="Arial" w:hAnsi="Arial" w:cs="Arial"/>
          <w:b/>
          <w:bCs/>
          <w:i/>
          <w:iCs/>
        </w:rPr>
        <w:t>“</w:t>
      </w:r>
    </w:p>
    <w:p w:rsidR="00D93BD7" w:rsidRDefault="00D93BD7" w:rsidP="00B24BD8">
      <w:pPr>
        <w:spacing w:line="276" w:lineRule="auto"/>
        <w:ind w:left="1134" w:right="902"/>
        <w:jc w:val="both"/>
        <w:rPr>
          <w:rFonts w:ascii="Arial" w:hAnsi="Arial" w:cs="Arial"/>
          <w:b/>
          <w:bCs/>
          <w:i/>
          <w:iCs/>
        </w:rPr>
      </w:pPr>
      <w:r>
        <w:rPr>
          <w:rFonts w:ascii="Arial" w:hAnsi="Arial" w:cs="Arial"/>
          <w:b/>
          <w:bCs/>
          <w:i/>
          <w:iCs/>
        </w:rPr>
        <w:t xml:space="preserve">… </w:t>
      </w:r>
    </w:p>
    <w:p w:rsidR="00D93BD7" w:rsidRDefault="00D93BD7" w:rsidP="00B24BD8">
      <w:pPr>
        <w:spacing w:line="276" w:lineRule="auto"/>
        <w:ind w:left="1134" w:right="902"/>
        <w:jc w:val="both"/>
        <w:rPr>
          <w:rFonts w:ascii="Arial" w:hAnsi="Arial" w:cs="Arial"/>
          <w:bCs/>
          <w:i/>
          <w:iCs/>
        </w:rPr>
      </w:pPr>
      <w:r>
        <w:rPr>
          <w:rFonts w:ascii="Arial" w:hAnsi="Arial" w:cs="Arial"/>
          <w:bCs/>
          <w:i/>
          <w:iCs/>
        </w:rPr>
        <w:t xml:space="preserve">Visto su contenido y en consideración que el escrito fue presentado el último día del plazo concedido en el acuerdo de trece de agosto de dos mil dieciocho, que se le requirió el original o copia certificada de la factura y la tarjeta de circulación del vehículo que fue motivo de la infracción con número de folio 41447, que se ostenta como propietaria del vehículo marca Honda tipo CR-V color blanco, con placas de </w:t>
      </w:r>
      <w:r>
        <w:rPr>
          <w:rFonts w:ascii="Arial" w:hAnsi="Arial" w:cs="Arial"/>
          <w:bCs/>
          <w:i/>
          <w:iCs/>
        </w:rPr>
        <w:lastRenderedPageBreak/>
        <w:t>circulación MNP-1-69 del Estado de México; sin que haya exhibido los documentos solicitados.</w:t>
      </w:r>
    </w:p>
    <w:p w:rsidR="00D93BD7" w:rsidRDefault="00D93BD7" w:rsidP="00B24BD8">
      <w:pPr>
        <w:spacing w:line="276" w:lineRule="auto"/>
        <w:ind w:left="1134" w:right="902"/>
        <w:jc w:val="both"/>
        <w:rPr>
          <w:rFonts w:ascii="Arial" w:hAnsi="Arial" w:cs="Arial"/>
          <w:bCs/>
          <w:i/>
          <w:iCs/>
        </w:rPr>
      </w:pPr>
      <w:r>
        <w:rPr>
          <w:rFonts w:ascii="Arial" w:hAnsi="Arial" w:cs="Arial"/>
          <w:bCs/>
          <w:i/>
          <w:iCs/>
        </w:rPr>
        <w:t xml:space="preserve">Por lo anterior, se hace efectivo el apercibimiento decretado en proveído de trece de agosto de dos mil dieciocho y con fundamento en el artículo 179, de la Ley de Procedimiento y Justicia Administrativa para el Estado de Oaxaca se desecha la demanda de nulidad, al no exhibir la factura del vehículo de motor y la tarjeta de circulación y la copia certificada de cada documental, pues la </w:t>
      </w:r>
      <w:r>
        <w:rPr>
          <w:rFonts w:ascii="Arial" w:hAnsi="Arial" w:cs="Arial"/>
          <w:b/>
          <w:bCs/>
          <w:i/>
          <w:iCs/>
          <w:u w:val="single"/>
        </w:rPr>
        <w:t>copia simple</w:t>
      </w:r>
      <w:r>
        <w:rPr>
          <w:rFonts w:ascii="Arial" w:hAnsi="Arial" w:cs="Arial"/>
          <w:bCs/>
          <w:i/>
          <w:iCs/>
        </w:rPr>
        <w:t xml:space="preserve"> de la tarjeta de circulación es insuficiente para acreditar el interés jurídico; aunado que tampoco se advierte el interés legítimo ya que en el acta de infracción no aparece su nombre como propietaria o conductora. </w:t>
      </w:r>
    </w:p>
    <w:p w:rsidR="00D93BD7" w:rsidRDefault="00D93BD7" w:rsidP="00B24BD8">
      <w:pPr>
        <w:spacing w:line="276" w:lineRule="auto"/>
        <w:ind w:left="1134" w:right="902"/>
        <w:jc w:val="both"/>
        <w:rPr>
          <w:rFonts w:ascii="Arial" w:hAnsi="Arial" w:cs="Arial"/>
          <w:bCs/>
          <w:i/>
          <w:iCs/>
        </w:rPr>
      </w:pPr>
      <w:r>
        <w:rPr>
          <w:rFonts w:ascii="Arial" w:hAnsi="Arial" w:cs="Arial"/>
          <w:bCs/>
          <w:i/>
          <w:iCs/>
        </w:rPr>
        <w:t>Sirve de apoyo la Jurisprudencia de rubro y texto siguientes.</w:t>
      </w:r>
    </w:p>
    <w:p w:rsidR="00D93BD7" w:rsidRDefault="00D93BD7" w:rsidP="00B24BD8">
      <w:pPr>
        <w:spacing w:line="276" w:lineRule="auto"/>
        <w:ind w:left="1134" w:right="902"/>
        <w:jc w:val="both"/>
        <w:rPr>
          <w:rFonts w:ascii="Arial" w:hAnsi="Arial" w:cs="Arial"/>
          <w:bCs/>
          <w:i/>
          <w:iCs/>
        </w:rPr>
      </w:pPr>
      <w:r>
        <w:rPr>
          <w:rFonts w:ascii="Arial" w:hAnsi="Arial" w:cs="Arial"/>
          <w:bCs/>
          <w:i/>
          <w:iCs/>
        </w:rPr>
        <w:t>Época: Novena Época</w:t>
      </w:r>
    </w:p>
    <w:p w:rsidR="00D93BD7" w:rsidRDefault="00D93BD7" w:rsidP="00B24BD8">
      <w:pPr>
        <w:spacing w:line="276" w:lineRule="auto"/>
        <w:ind w:left="1134" w:right="902"/>
        <w:jc w:val="both"/>
        <w:rPr>
          <w:rFonts w:ascii="Arial" w:hAnsi="Arial" w:cs="Arial"/>
          <w:bCs/>
          <w:i/>
          <w:iCs/>
        </w:rPr>
      </w:pPr>
      <w:r>
        <w:rPr>
          <w:rFonts w:ascii="Arial" w:hAnsi="Arial" w:cs="Arial"/>
          <w:bCs/>
          <w:i/>
          <w:iCs/>
        </w:rPr>
        <w:t>Registro: 171897</w:t>
      </w:r>
    </w:p>
    <w:p w:rsidR="00D93BD7" w:rsidRDefault="00D93BD7" w:rsidP="00B24BD8">
      <w:pPr>
        <w:spacing w:line="276" w:lineRule="auto"/>
        <w:ind w:left="1134" w:right="902"/>
        <w:jc w:val="both"/>
        <w:rPr>
          <w:rFonts w:ascii="Arial" w:hAnsi="Arial" w:cs="Arial"/>
          <w:bCs/>
          <w:i/>
          <w:iCs/>
        </w:rPr>
      </w:pPr>
      <w:r>
        <w:rPr>
          <w:rFonts w:ascii="Arial" w:hAnsi="Arial" w:cs="Arial"/>
          <w:bCs/>
          <w:i/>
          <w:iCs/>
        </w:rPr>
        <w:t>Instancia: Primera Sala</w:t>
      </w:r>
    </w:p>
    <w:p w:rsidR="00D93BD7" w:rsidRDefault="00D93BD7" w:rsidP="00B24BD8">
      <w:pPr>
        <w:spacing w:line="276" w:lineRule="auto"/>
        <w:ind w:left="1134" w:right="902"/>
        <w:jc w:val="both"/>
        <w:rPr>
          <w:rFonts w:ascii="Arial" w:hAnsi="Arial" w:cs="Arial"/>
          <w:bCs/>
          <w:i/>
          <w:iCs/>
        </w:rPr>
      </w:pPr>
      <w:r>
        <w:rPr>
          <w:rFonts w:ascii="Arial" w:hAnsi="Arial" w:cs="Arial"/>
          <w:bCs/>
          <w:i/>
          <w:iCs/>
        </w:rPr>
        <w:t>Tipo de Tesis: Jurisprudencia</w:t>
      </w:r>
    </w:p>
    <w:p w:rsidR="00D93BD7" w:rsidRDefault="00D93BD7" w:rsidP="00B24BD8">
      <w:pPr>
        <w:spacing w:line="276" w:lineRule="auto"/>
        <w:ind w:left="1134" w:right="902"/>
        <w:jc w:val="both"/>
        <w:rPr>
          <w:rFonts w:ascii="Arial" w:hAnsi="Arial" w:cs="Arial"/>
          <w:bCs/>
          <w:i/>
          <w:iCs/>
        </w:rPr>
      </w:pPr>
      <w:r>
        <w:rPr>
          <w:rFonts w:ascii="Arial" w:hAnsi="Arial" w:cs="Arial"/>
          <w:bCs/>
          <w:i/>
          <w:iCs/>
        </w:rPr>
        <w:t>Fuente: Semanario Judicial de la Federación y su Gaceta</w:t>
      </w:r>
    </w:p>
    <w:p w:rsidR="00D93BD7" w:rsidRDefault="00D93BD7" w:rsidP="00B24BD8">
      <w:pPr>
        <w:spacing w:line="276" w:lineRule="auto"/>
        <w:ind w:left="1134" w:right="902"/>
        <w:jc w:val="both"/>
        <w:rPr>
          <w:rFonts w:ascii="Arial" w:hAnsi="Arial" w:cs="Arial"/>
          <w:bCs/>
          <w:i/>
          <w:iCs/>
        </w:rPr>
      </w:pPr>
      <w:r>
        <w:rPr>
          <w:rFonts w:ascii="Arial" w:hAnsi="Arial" w:cs="Arial"/>
          <w:bCs/>
          <w:i/>
          <w:iCs/>
        </w:rPr>
        <w:t>Tomo XXVI, Julio de 2007</w:t>
      </w:r>
    </w:p>
    <w:p w:rsidR="00D93BD7" w:rsidRDefault="00D93BD7" w:rsidP="00B24BD8">
      <w:pPr>
        <w:spacing w:line="276" w:lineRule="auto"/>
        <w:ind w:left="1134" w:right="902"/>
        <w:jc w:val="both"/>
        <w:rPr>
          <w:rFonts w:ascii="Arial" w:hAnsi="Arial" w:cs="Arial"/>
          <w:bCs/>
          <w:i/>
          <w:iCs/>
        </w:rPr>
      </w:pPr>
      <w:r>
        <w:rPr>
          <w:rFonts w:ascii="Arial" w:hAnsi="Arial" w:cs="Arial"/>
          <w:bCs/>
          <w:i/>
          <w:iCs/>
        </w:rPr>
        <w:t>Materia (s): Civil</w:t>
      </w:r>
    </w:p>
    <w:p w:rsidR="00D93BD7" w:rsidRDefault="00D93BD7" w:rsidP="00B24BD8">
      <w:pPr>
        <w:spacing w:line="276" w:lineRule="auto"/>
        <w:ind w:left="1134" w:right="902"/>
        <w:jc w:val="both"/>
        <w:rPr>
          <w:rFonts w:ascii="Arial" w:hAnsi="Arial" w:cs="Arial"/>
          <w:bCs/>
          <w:i/>
          <w:iCs/>
        </w:rPr>
      </w:pPr>
      <w:r>
        <w:rPr>
          <w:rFonts w:ascii="Arial" w:hAnsi="Arial" w:cs="Arial"/>
          <w:bCs/>
          <w:i/>
          <w:iCs/>
        </w:rPr>
        <w:t>Tesis: 1a./J. 61/2007</w:t>
      </w:r>
    </w:p>
    <w:p w:rsidR="00D93BD7" w:rsidRDefault="00D93BD7" w:rsidP="00B24BD8">
      <w:pPr>
        <w:spacing w:line="276" w:lineRule="auto"/>
        <w:ind w:left="1134" w:right="902"/>
        <w:jc w:val="both"/>
        <w:rPr>
          <w:rFonts w:ascii="Arial" w:hAnsi="Arial" w:cs="Arial"/>
          <w:bCs/>
          <w:i/>
          <w:iCs/>
        </w:rPr>
      </w:pPr>
      <w:r>
        <w:rPr>
          <w:rFonts w:ascii="Arial" w:hAnsi="Arial" w:cs="Arial"/>
          <w:bCs/>
          <w:i/>
          <w:iCs/>
        </w:rPr>
        <w:t>Página: 175</w:t>
      </w:r>
    </w:p>
    <w:p w:rsidR="00D93BD7" w:rsidRDefault="00D93BD7" w:rsidP="00B24BD8">
      <w:pPr>
        <w:spacing w:line="276" w:lineRule="auto"/>
        <w:ind w:left="1134" w:right="902"/>
        <w:jc w:val="both"/>
        <w:rPr>
          <w:rFonts w:ascii="Arial" w:hAnsi="Arial" w:cs="Arial"/>
          <w:bCs/>
          <w:i/>
          <w:iCs/>
        </w:rPr>
      </w:pPr>
      <w:r>
        <w:rPr>
          <w:rFonts w:ascii="Arial" w:hAnsi="Arial" w:cs="Arial"/>
          <w:b/>
          <w:bCs/>
          <w:i/>
          <w:iCs/>
        </w:rPr>
        <w:t>“TARJETA DE CIRCULACIÓN VEHICULAR. NO ES UN DOCUMENTO IDÓNEO, POR SÍ MISMO, PARA ACREDITAR EL INTERÉS JURÍDICO DE QUIEN PROMUEVE EL JUICIO DE AMPARO EN CALIDAD DE PROPIETARIO DE VEHÍCULO AUTOMOTRIZ A QUE SE REFIERE…</w:t>
      </w:r>
      <w:r>
        <w:rPr>
          <w:rFonts w:ascii="Arial" w:hAnsi="Arial" w:cs="Arial"/>
          <w:bCs/>
          <w:i/>
          <w:iCs/>
        </w:rPr>
        <w:t>”</w:t>
      </w:r>
    </w:p>
    <w:p w:rsidR="00D93BD7" w:rsidRDefault="00D93BD7" w:rsidP="00D93BD7">
      <w:pPr>
        <w:spacing w:before="240" w:line="360" w:lineRule="auto"/>
        <w:jc w:val="center"/>
        <w:rPr>
          <w:rFonts w:ascii="Arial" w:hAnsi="Arial" w:cs="Arial"/>
          <w:b/>
          <w:bCs/>
          <w:sz w:val="26"/>
          <w:szCs w:val="26"/>
        </w:rPr>
      </w:pPr>
      <w:r w:rsidRPr="00C43594">
        <w:rPr>
          <w:rFonts w:ascii="Arial" w:hAnsi="Arial" w:cs="Arial"/>
          <w:b/>
          <w:bCs/>
          <w:sz w:val="26"/>
          <w:szCs w:val="26"/>
        </w:rPr>
        <w:t>C O N S I D E R A N D O</w:t>
      </w:r>
    </w:p>
    <w:p w:rsidR="00C43594" w:rsidRPr="00C43594" w:rsidRDefault="00C43594" w:rsidP="00D93BD7">
      <w:pPr>
        <w:spacing w:before="240" w:line="360" w:lineRule="auto"/>
        <w:jc w:val="center"/>
        <w:rPr>
          <w:rFonts w:ascii="Arial" w:hAnsi="Arial" w:cs="Arial"/>
          <w:b/>
          <w:bCs/>
          <w:sz w:val="26"/>
          <w:szCs w:val="26"/>
        </w:rPr>
      </w:pPr>
    </w:p>
    <w:p w:rsidR="00D93BD7" w:rsidRPr="00C43594" w:rsidRDefault="00D93BD7" w:rsidP="00D93BD7">
      <w:pPr>
        <w:widowControl w:val="0"/>
        <w:tabs>
          <w:tab w:val="left" w:pos="7938"/>
        </w:tabs>
        <w:spacing w:line="360" w:lineRule="auto"/>
        <w:ind w:right="18" w:firstLine="709"/>
        <w:jc w:val="both"/>
        <w:rPr>
          <w:rFonts w:ascii="Arial" w:hAnsi="Arial" w:cs="Arial"/>
          <w:bCs/>
          <w:iCs/>
          <w:sz w:val="26"/>
          <w:szCs w:val="26"/>
          <w:lang w:val="es-ES" w:eastAsia="es-ES"/>
        </w:rPr>
      </w:pPr>
      <w:r w:rsidRPr="00C43594">
        <w:rPr>
          <w:rFonts w:ascii="Arial" w:hAnsi="Arial" w:cs="Arial"/>
          <w:b/>
          <w:bCs/>
          <w:iCs/>
          <w:sz w:val="26"/>
          <w:szCs w:val="26"/>
        </w:rPr>
        <w:t xml:space="preserve">PRIMERO. </w:t>
      </w:r>
      <w:r w:rsidRPr="00C4359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1, 118, 119, 120, 125, 129 y 130 fracción I de la Ley de Procedimiento y Justicia Administrativa para el Estado de Oaxaca dado que se trata de un proveído de 23 veintitrés de octubre de 2018 dos mil dieciocho</w:t>
      </w:r>
      <w:r w:rsidR="00C43594">
        <w:rPr>
          <w:rFonts w:ascii="Arial" w:hAnsi="Arial" w:cs="Arial"/>
          <w:bCs/>
          <w:iCs/>
          <w:sz w:val="26"/>
          <w:szCs w:val="26"/>
          <w:lang w:eastAsia="es-ES"/>
        </w:rPr>
        <w:t>,</w:t>
      </w:r>
      <w:r w:rsidRPr="00C43594">
        <w:rPr>
          <w:rFonts w:ascii="Arial" w:hAnsi="Arial" w:cs="Arial"/>
          <w:bCs/>
          <w:iCs/>
          <w:sz w:val="26"/>
          <w:szCs w:val="26"/>
          <w:lang w:eastAsia="es-ES"/>
        </w:rPr>
        <w:t xml:space="preserve"> dictado por la Segunda Sala Unitaria de Primera Instancia dentro del juicio </w:t>
      </w:r>
      <w:r w:rsidRPr="00C43594">
        <w:rPr>
          <w:rFonts w:ascii="Arial" w:hAnsi="Arial" w:cs="Arial"/>
          <w:b/>
          <w:bCs/>
          <w:iCs/>
          <w:sz w:val="26"/>
          <w:szCs w:val="26"/>
          <w:lang w:eastAsia="es-ES"/>
        </w:rPr>
        <w:t xml:space="preserve">034/2018 </w:t>
      </w:r>
      <w:r w:rsidRPr="00C43594">
        <w:rPr>
          <w:rFonts w:ascii="Arial" w:hAnsi="Arial" w:cs="Arial"/>
          <w:bCs/>
          <w:iCs/>
          <w:sz w:val="26"/>
          <w:szCs w:val="26"/>
          <w:lang w:eastAsia="es-ES"/>
        </w:rPr>
        <w:t xml:space="preserve">de su índice. </w:t>
      </w:r>
    </w:p>
    <w:p w:rsidR="00C43594" w:rsidRPr="00C43594" w:rsidRDefault="00D93BD7" w:rsidP="00C43594">
      <w:pPr>
        <w:widowControl w:val="0"/>
        <w:tabs>
          <w:tab w:val="left" w:pos="7938"/>
        </w:tabs>
        <w:spacing w:before="240" w:line="360" w:lineRule="auto"/>
        <w:ind w:right="18" w:firstLine="709"/>
        <w:jc w:val="both"/>
        <w:rPr>
          <w:rFonts w:ascii="Arial" w:hAnsi="Arial" w:cs="Arial"/>
          <w:sz w:val="26"/>
          <w:szCs w:val="26"/>
        </w:rPr>
      </w:pPr>
      <w:r w:rsidRPr="00C43594">
        <w:rPr>
          <w:rFonts w:ascii="Arial" w:hAnsi="Arial" w:cs="Arial"/>
          <w:b/>
          <w:bCs/>
          <w:sz w:val="26"/>
          <w:szCs w:val="26"/>
        </w:rPr>
        <w:t>SEGUNDO.</w:t>
      </w:r>
      <w:r w:rsidRPr="00C4359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43594">
        <w:rPr>
          <w:rFonts w:ascii="Arial" w:hAnsi="Arial" w:cs="Arial"/>
          <w:sz w:val="26"/>
          <w:szCs w:val="26"/>
        </w:rPr>
        <w:t>.</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
          <w:bCs/>
          <w:sz w:val="26"/>
          <w:szCs w:val="26"/>
        </w:rPr>
        <w:lastRenderedPageBreak/>
        <w:t>TERCERO.</w:t>
      </w:r>
      <w:r w:rsidRPr="00C43594">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D93BD7" w:rsidRPr="00C43594" w:rsidRDefault="00D93BD7" w:rsidP="00D93BD7">
      <w:pPr>
        <w:spacing w:line="360" w:lineRule="auto"/>
        <w:ind w:firstLine="709"/>
        <w:jc w:val="both"/>
        <w:rPr>
          <w:rFonts w:ascii="Arial" w:hAnsi="Arial" w:cs="Arial"/>
          <w:b/>
          <w:bCs/>
          <w:sz w:val="26"/>
          <w:szCs w:val="26"/>
        </w:rPr>
      </w:pPr>
      <w:r w:rsidRPr="00C43594">
        <w:rPr>
          <w:rFonts w:ascii="Arial" w:hAnsi="Arial" w:cs="Arial"/>
          <w:b/>
          <w:bCs/>
          <w:sz w:val="26"/>
          <w:szCs w:val="26"/>
        </w:rPr>
        <w:t xml:space="preserve">CUARTO. </w:t>
      </w:r>
      <w:r w:rsidRPr="00C43594">
        <w:rPr>
          <w:rFonts w:ascii="Arial" w:hAnsi="Arial" w:cs="Arial"/>
          <w:bCs/>
          <w:sz w:val="26"/>
          <w:szCs w:val="26"/>
        </w:rPr>
        <w:t xml:space="preserve">Inicia sus inconformidades diciendo que el desechamiento de su demanda viola en su perjuicio el derecho humano de acceso a la justicia el cual está regulado en el artículo 17 de la Constitución Federal y los diversos 8 numeral 1 y 25 de la Convención Americana sobre Derechos Humanos, dice que para comprender este argumento es pertinente invocar la jurisprudencia: </w:t>
      </w:r>
      <w:r w:rsidRPr="00C43594">
        <w:rPr>
          <w:rFonts w:ascii="Arial" w:hAnsi="Arial" w:cs="Arial"/>
          <w:b/>
          <w:bCs/>
          <w:sz w:val="26"/>
          <w:szCs w:val="26"/>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Dice lo anterior porque sostiene que en su demanda indicó que promovía por propio derecho y colmando al efecto los requisitos establecidos por los artículos 176, 177 y 178 de la Ley de la materia para la procedencia e interposición de la demanda que expresó: </w:t>
      </w:r>
      <w:r w:rsidRPr="00C43594">
        <w:rPr>
          <w:rFonts w:ascii="Arial" w:hAnsi="Arial" w:cs="Arial"/>
          <w:bCs/>
          <w:i/>
          <w:sz w:val="26"/>
          <w:szCs w:val="26"/>
        </w:rPr>
        <w:t>“…El acto que se impugna lo es el contenido del acta de infracción con folio 41447…respecto de MI CAMIONETA PARTICULAR…”</w:t>
      </w:r>
      <w:r w:rsidRPr="00C43594">
        <w:rPr>
          <w:rFonts w:ascii="Arial" w:hAnsi="Arial" w:cs="Arial"/>
          <w:bCs/>
          <w:sz w:val="26"/>
          <w:szCs w:val="26"/>
        </w:rPr>
        <w:t xml:space="preserve">, que más adelante expresó la relación clara y sucinta de los hechos, en los cuales manifestó, entre otras cosas que el vehículo infraccionado es de su propiedad. </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Añade que de la copia simple de su credencial de elector se puede concatenar que ella es la propietaria del vehículo que ha sido infraccionado. Que es absurdo que si el acta de infracción que impugna no afectara su esfera derechos estuviera solicitando su nulidad, que debe tenérsele demandando por mutuo propio y en todo caso que la </w:t>
      </w:r>
      <w:r w:rsidRPr="00C43594">
        <w:rPr>
          <w:rFonts w:ascii="Arial" w:hAnsi="Arial" w:cs="Arial"/>
          <w:bCs/>
          <w:sz w:val="26"/>
          <w:szCs w:val="26"/>
        </w:rPr>
        <w:lastRenderedPageBreak/>
        <w:t xml:space="preserve">demandada tiene la carga de la prueba de desacreditar que ella no es la propietaria del citado vehículo. </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En otra parte de sus agravios dice que el auto sujeto a revisión es ilegal al estar indebidamente fundado y motivado, porque el desechamiento está basado en el artículo 179 de la Ley de Procedimiento y Justicia Administrativa para el Estado de Oaxaca conforme al cual la demanda se desechará si incumple con los requisitos exigidos por los diversos 176, 177 y 178 de la citada ley que rige el proceso contencioso administrativo. Es decir, que la demanda se desechara cuando se incumpla con los requisitos de la demanda y que en el caso la motivación de la sala de origen está encaminada a indicar que la no admisión de la demanda debido a que no demuestra su interés jurídico para promover el juicio, por lo que dice la invocación del artículo 179 de la Ley de Procedimiento y Justicia Administrativa para el Estado de Oaxaca es insuficiente porque los motivos otorgados no son compatibles con el mismo de donde surge la indebida fundamentación y motivación del acuerdo sujeto a revisión. </w:t>
      </w:r>
    </w:p>
    <w:p w:rsidR="00D93BD7" w:rsidRPr="00C43594" w:rsidRDefault="00D93BD7" w:rsidP="00D93BD7">
      <w:pPr>
        <w:spacing w:line="360" w:lineRule="auto"/>
        <w:ind w:firstLine="709"/>
        <w:jc w:val="both"/>
        <w:rPr>
          <w:rFonts w:ascii="Arial" w:hAnsi="Arial" w:cs="Arial"/>
          <w:b/>
          <w:bCs/>
          <w:iCs/>
          <w:sz w:val="26"/>
          <w:szCs w:val="26"/>
          <w:lang w:val="es-ES"/>
        </w:rPr>
      </w:pPr>
      <w:r w:rsidRPr="00C43594">
        <w:rPr>
          <w:rFonts w:ascii="Arial" w:hAnsi="Arial" w:cs="Arial"/>
          <w:b/>
          <w:bCs/>
          <w:sz w:val="26"/>
          <w:szCs w:val="26"/>
        </w:rPr>
        <w:t xml:space="preserve">Ahora bien, </w:t>
      </w:r>
      <w:r w:rsidRPr="00C43594">
        <w:rPr>
          <w:rFonts w:ascii="Arial" w:hAnsi="Arial" w:cs="Arial"/>
          <w:bCs/>
          <w:sz w:val="26"/>
          <w:szCs w:val="26"/>
        </w:rPr>
        <w:t>al respecto es pertinente indicar que conforme a las constancia de autos remitidas para la solución del presente asunto y que tienen pleno valor probatorio por tratarse de actuaciones judiciales en términos del artículo 203 fracción I de la Ley de Justicia Administrativa para el Estado de Oaxaca, se tiene el auto sujeto a revisión del que se desprende que la resolutora de primer grado con base en un escrito de la aquí disconforme por medio del cual da cumplimiento a un requerimiento previo, estableció que la “copia simple” de la tarjeta de circulación que acompañó es insuficiente para que acreditara su interés jurídico para impugnar el acta de infracción 41447 y por tanto desechó la demanda con fundamento en el artículo 179 de la Ley de Procedimiento y Justicia Administrativa para el Estado de Oaxaca, invocando el criterio:</w:t>
      </w:r>
      <w:r w:rsidRPr="00C43594">
        <w:rPr>
          <w:rFonts w:ascii="Arial" w:hAnsi="Arial" w:cs="Arial"/>
          <w:b/>
          <w:bCs/>
          <w:i/>
          <w:iCs/>
          <w:sz w:val="26"/>
          <w:szCs w:val="26"/>
        </w:rPr>
        <w:t xml:space="preserve"> “</w:t>
      </w:r>
      <w:r w:rsidRPr="00C43594">
        <w:rPr>
          <w:rFonts w:ascii="Arial" w:hAnsi="Arial" w:cs="Arial"/>
          <w:b/>
          <w:bCs/>
          <w:iCs/>
          <w:sz w:val="26"/>
          <w:szCs w:val="26"/>
        </w:rPr>
        <w:t>TARJETA DE CIRCULACIÓN VEHICULAR. NO ES UN DOCUMENTO IDÓNEO, POR SÍ MISMO, PARA ACREDITAR EL INTERÉS JURÍDICO DE QUIEN PROMUEVE EL JUICIO DE AMPARO EN CALIDAD DE PROPIETARIO DE VEHÍCULO AUTOMOTRIZ A QUE SE REFIERE”</w:t>
      </w:r>
    </w:p>
    <w:p w:rsidR="00D93BD7" w:rsidRPr="00C43594" w:rsidRDefault="00D93BD7" w:rsidP="00D93BD7">
      <w:pPr>
        <w:spacing w:line="360" w:lineRule="auto"/>
        <w:ind w:firstLine="709"/>
        <w:jc w:val="both"/>
        <w:rPr>
          <w:rFonts w:ascii="Arial" w:hAnsi="Arial" w:cs="Arial"/>
          <w:bCs/>
          <w:iCs/>
          <w:sz w:val="26"/>
          <w:szCs w:val="26"/>
        </w:rPr>
      </w:pPr>
      <w:r w:rsidRPr="00C43594">
        <w:rPr>
          <w:rFonts w:ascii="Arial" w:hAnsi="Arial" w:cs="Arial"/>
          <w:bCs/>
          <w:iCs/>
          <w:sz w:val="26"/>
          <w:szCs w:val="26"/>
        </w:rPr>
        <w:t xml:space="preserve">Esta manera de resolver es </w:t>
      </w:r>
      <w:r w:rsidRPr="00C43594">
        <w:rPr>
          <w:rFonts w:ascii="Arial" w:hAnsi="Arial" w:cs="Arial"/>
          <w:b/>
          <w:bCs/>
          <w:iCs/>
          <w:sz w:val="26"/>
          <w:szCs w:val="26"/>
        </w:rPr>
        <w:t xml:space="preserve">ilegal, </w:t>
      </w:r>
      <w:r w:rsidRPr="00C43594">
        <w:rPr>
          <w:rFonts w:ascii="Arial" w:hAnsi="Arial" w:cs="Arial"/>
          <w:bCs/>
          <w:iCs/>
          <w:sz w:val="26"/>
          <w:szCs w:val="26"/>
        </w:rPr>
        <w:t xml:space="preserve">porque en efecto, como lo refiere la disconforme existe una indebida fundamentación y motivación del proveído sujeto a revisión ya que el dispositivo 179 de la Ley de Procedimiento y Justicia Administrativa para el Estado de Oaxaca no </w:t>
      </w:r>
      <w:r w:rsidRPr="00C43594">
        <w:rPr>
          <w:rFonts w:ascii="Arial" w:hAnsi="Arial" w:cs="Arial"/>
          <w:bCs/>
          <w:iCs/>
          <w:sz w:val="26"/>
          <w:szCs w:val="26"/>
        </w:rPr>
        <w:lastRenderedPageBreak/>
        <w:t xml:space="preserve">es el fundamento legal pertinente para desechar la demanda por la razón que aduce la instructora, en el sentido de que </w:t>
      </w:r>
      <w:r w:rsidR="001A6501">
        <w:rPr>
          <w:rFonts w:ascii="Arial" w:hAnsi="Arial" w:cs="Arial"/>
          <w:b/>
          <w:bCs/>
          <w:iCs/>
          <w:sz w:val="26"/>
          <w:szCs w:val="26"/>
        </w:rPr>
        <w:t>**********</w:t>
      </w:r>
      <w:r w:rsidRPr="00C43594">
        <w:rPr>
          <w:rFonts w:ascii="Arial" w:hAnsi="Arial" w:cs="Arial"/>
          <w:b/>
          <w:bCs/>
          <w:iCs/>
          <w:sz w:val="26"/>
          <w:szCs w:val="26"/>
        </w:rPr>
        <w:t xml:space="preserve"> </w:t>
      </w:r>
      <w:r w:rsidRPr="00C43594">
        <w:rPr>
          <w:rFonts w:ascii="Arial" w:hAnsi="Arial" w:cs="Arial"/>
          <w:bCs/>
          <w:iCs/>
          <w:sz w:val="26"/>
          <w:szCs w:val="26"/>
        </w:rPr>
        <w:t xml:space="preserve">no demuestra tener interés jurídico en el asunto para combatir el acta de infracción de tránsito folio 41447. </w:t>
      </w:r>
    </w:p>
    <w:p w:rsidR="00D93BD7" w:rsidRPr="00C43594" w:rsidRDefault="00D93BD7" w:rsidP="00D93BD7">
      <w:pPr>
        <w:spacing w:line="360" w:lineRule="auto"/>
        <w:ind w:firstLine="709"/>
        <w:jc w:val="both"/>
        <w:rPr>
          <w:rFonts w:ascii="Arial" w:hAnsi="Arial" w:cs="Arial"/>
          <w:bCs/>
          <w:iCs/>
          <w:sz w:val="26"/>
          <w:szCs w:val="26"/>
        </w:rPr>
      </w:pPr>
      <w:r w:rsidRPr="00C43594">
        <w:rPr>
          <w:rFonts w:ascii="Arial" w:hAnsi="Arial" w:cs="Arial"/>
          <w:bCs/>
          <w:iCs/>
          <w:sz w:val="26"/>
          <w:szCs w:val="26"/>
        </w:rPr>
        <w:t>Es así porque el artículo 179 de la Ley de Procedimiento y Justicia Administrativa para el Estado de Oaxaca es del tenor literal siguiente:</w:t>
      </w:r>
    </w:p>
    <w:p w:rsidR="00D93BD7" w:rsidRDefault="00D93BD7" w:rsidP="00B24BD8">
      <w:pPr>
        <w:spacing w:line="276" w:lineRule="auto"/>
        <w:ind w:left="851" w:right="920"/>
        <w:jc w:val="both"/>
        <w:rPr>
          <w:rFonts w:ascii="Arial" w:hAnsi="Arial" w:cs="Arial"/>
          <w:bCs/>
          <w:i/>
          <w:iCs/>
        </w:rPr>
      </w:pPr>
      <w:r>
        <w:rPr>
          <w:rFonts w:ascii="Arial" w:hAnsi="Arial" w:cs="Arial"/>
          <w:b/>
          <w:bCs/>
          <w:i/>
          <w:iCs/>
        </w:rPr>
        <w:t xml:space="preserve">“Artículo 179.- </w:t>
      </w:r>
      <w:r>
        <w:rPr>
          <w:rFonts w:ascii="Arial" w:hAnsi="Arial" w:cs="Arial"/>
          <w:bCs/>
          <w:i/>
          <w:iCs/>
        </w:rPr>
        <w:t>Cuando no se satisfaga alguno de los requisitos de la demanda, cuando fuere obscura o imprecisa, o cuando no se anexen los documentos a que se refieren los artículos anteriores la Sala debe requerir al actor par que en el plazo de tres días hábiles subsane las omisiones y formule las aclaraciones correspondientes, apercibiéndoles que de no hacerlo se le desechará la demanda”.</w:t>
      </w:r>
    </w:p>
    <w:p w:rsidR="00C43594" w:rsidRDefault="00C43594" w:rsidP="00D93BD7">
      <w:pPr>
        <w:spacing w:line="360" w:lineRule="auto"/>
        <w:ind w:firstLine="709"/>
        <w:jc w:val="both"/>
        <w:rPr>
          <w:rFonts w:ascii="Arial" w:hAnsi="Arial" w:cs="Arial"/>
          <w:bCs/>
          <w:iCs/>
          <w:sz w:val="24"/>
          <w:szCs w:val="24"/>
        </w:rPr>
      </w:pPr>
    </w:p>
    <w:p w:rsidR="00D93BD7" w:rsidRPr="00C43594" w:rsidRDefault="00D93BD7" w:rsidP="00D93BD7">
      <w:pPr>
        <w:spacing w:line="360" w:lineRule="auto"/>
        <w:ind w:firstLine="709"/>
        <w:jc w:val="both"/>
        <w:rPr>
          <w:rFonts w:ascii="Arial" w:hAnsi="Arial" w:cs="Arial"/>
          <w:bCs/>
          <w:iCs/>
          <w:sz w:val="26"/>
          <w:szCs w:val="26"/>
        </w:rPr>
      </w:pPr>
      <w:r w:rsidRPr="00C43594">
        <w:rPr>
          <w:rFonts w:ascii="Arial" w:hAnsi="Arial" w:cs="Arial"/>
          <w:bCs/>
          <w:iCs/>
          <w:sz w:val="26"/>
          <w:szCs w:val="26"/>
        </w:rPr>
        <w:t xml:space="preserve">Este artículo prevé los casos en que la primera instancia está en posibilidad de prevenir a la parte actora para que subsane las omisiones que detecte en los elementos que integran la debida presentación de la demanda y además la posibilidad de imponer un apercibimiento consistente en el futuro desechamiento, </w:t>
      </w:r>
      <w:r w:rsidRPr="00C43594">
        <w:rPr>
          <w:rFonts w:ascii="Arial" w:hAnsi="Arial" w:cs="Arial"/>
          <w:b/>
          <w:bCs/>
          <w:iCs/>
          <w:sz w:val="26"/>
          <w:szCs w:val="26"/>
        </w:rPr>
        <w:t xml:space="preserve">empero </w:t>
      </w:r>
      <w:r w:rsidRPr="00C43594">
        <w:rPr>
          <w:rFonts w:ascii="Arial" w:hAnsi="Arial" w:cs="Arial"/>
          <w:bCs/>
          <w:iCs/>
          <w:sz w:val="26"/>
          <w:szCs w:val="26"/>
        </w:rPr>
        <w:t xml:space="preserve">tal artículo no es el indicado para fundar el desechamiento de la demanda </w:t>
      </w:r>
      <w:r w:rsidRPr="00C43594">
        <w:rPr>
          <w:rFonts w:ascii="Arial" w:hAnsi="Arial" w:cs="Arial"/>
          <w:b/>
          <w:bCs/>
          <w:iCs/>
          <w:sz w:val="26"/>
          <w:szCs w:val="26"/>
        </w:rPr>
        <w:t xml:space="preserve">menos aún </w:t>
      </w:r>
      <w:r w:rsidRPr="00C43594">
        <w:rPr>
          <w:rFonts w:ascii="Arial" w:hAnsi="Arial" w:cs="Arial"/>
          <w:bCs/>
          <w:iCs/>
          <w:sz w:val="26"/>
          <w:szCs w:val="26"/>
        </w:rPr>
        <w:t xml:space="preserve">es el apropiado para desechar la demanda por las razones que  otorgó la sala consistentes en que, en la apreciación de la primera instancia, </w:t>
      </w:r>
      <w:r w:rsidR="001A6501">
        <w:rPr>
          <w:rFonts w:ascii="Arial" w:hAnsi="Arial" w:cs="Arial"/>
          <w:b/>
          <w:bCs/>
          <w:iCs/>
          <w:sz w:val="26"/>
          <w:szCs w:val="26"/>
        </w:rPr>
        <w:t>**********</w:t>
      </w:r>
      <w:r w:rsidRPr="00C43594">
        <w:rPr>
          <w:rFonts w:ascii="Arial" w:hAnsi="Arial" w:cs="Arial"/>
          <w:b/>
          <w:bCs/>
          <w:iCs/>
          <w:sz w:val="26"/>
          <w:szCs w:val="26"/>
        </w:rPr>
        <w:t xml:space="preserve"> </w:t>
      </w:r>
      <w:r w:rsidRPr="00C43594">
        <w:rPr>
          <w:rFonts w:ascii="Arial" w:hAnsi="Arial" w:cs="Arial"/>
          <w:bCs/>
          <w:iCs/>
          <w:sz w:val="26"/>
          <w:szCs w:val="26"/>
        </w:rPr>
        <w:t>no demostró su interés jurídico para combatir el acta de infracción de tránsito. Aunado a que la invocación del criterio de la primera instancia es desacertado porque el tema que aborda dicho criterio es sobre el tema de propiedad derivado del embargo de un vehículo y en el caso el interés jurídico que ocupa en el proceso contencioso administrativo, es el relacionado con la afectación que sufre el administrado en su esfera de derechos, con lo que es suficiente contar un interés legítimo para ello</w:t>
      </w:r>
      <w:r w:rsidRPr="00C43594">
        <w:rPr>
          <w:rFonts w:ascii="Arial" w:hAnsi="Arial" w:cs="Arial"/>
          <w:b/>
          <w:bCs/>
          <w:iCs/>
          <w:sz w:val="26"/>
          <w:szCs w:val="26"/>
        </w:rPr>
        <w:t xml:space="preserve"> luego, </w:t>
      </w:r>
      <w:r w:rsidRPr="00C43594">
        <w:rPr>
          <w:rFonts w:ascii="Arial" w:hAnsi="Arial" w:cs="Arial"/>
          <w:bCs/>
          <w:iCs/>
          <w:sz w:val="26"/>
          <w:szCs w:val="26"/>
        </w:rPr>
        <w:t xml:space="preserve">es </w:t>
      </w:r>
      <w:r w:rsidRPr="00C43594">
        <w:rPr>
          <w:rFonts w:ascii="Arial" w:hAnsi="Arial" w:cs="Arial"/>
          <w:b/>
          <w:bCs/>
          <w:iCs/>
          <w:sz w:val="26"/>
          <w:szCs w:val="26"/>
        </w:rPr>
        <w:t xml:space="preserve">fundado </w:t>
      </w:r>
      <w:r w:rsidRPr="00C43594">
        <w:rPr>
          <w:rFonts w:ascii="Arial" w:hAnsi="Arial" w:cs="Arial"/>
          <w:bCs/>
          <w:iCs/>
          <w:sz w:val="26"/>
          <w:szCs w:val="26"/>
        </w:rPr>
        <w:t>el agravio expuesto.</w:t>
      </w:r>
    </w:p>
    <w:p w:rsidR="00C43594" w:rsidRPr="00C43594" w:rsidRDefault="00D93BD7" w:rsidP="00B24BD8">
      <w:pPr>
        <w:spacing w:line="360" w:lineRule="auto"/>
        <w:ind w:firstLine="709"/>
        <w:jc w:val="both"/>
        <w:rPr>
          <w:rFonts w:ascii="Arial" w:hAnsi="Arial" w:cs="Arial"/>
          <w:sz w:val="26"/>
          <w:szCs w:val="26"/>
        </w:rPr>
      </w:pPr>
      <w:r w:rsidRPr="00C43594">
        <w:rPr>
          <w:rFonts w:ascii="Arial" w:hAnsi="Arial" w:cs="Arial"/>
          <w:bCs/>
          <w:iCs/>
          <w:sz w:val="26"/>
          <w:szCs w:val="26"/>
        </w:rPr>
        <w:t xml:space="preserve">Sin que sea óbice destacar que la exigencia de un interés jurídico en el auto admisorio constituye una grave transgresión al derecho de acceso a la jurisdicción que está reconocido en el artículo 17 de la Constitución Política de los Estados Unidos Mexicanos y el 164 de la </w:t>
      </w:r>
      <w:r w:rsidRPr="00C43594">
        <w:rPr>
          <w:rFonts w:ascii="Arial" w:hAnsi="Arial" w:cs="Arial"/>
          <w:bCs/>
          <w:sz w:val="26"/>
          <w:szCs w:val="26"/>
        </w:rPr>
        <w:t xml:space="preserve">Ley de Procedimiento y Justicia Administrativa para el Estado de Oaxaca, de cuyo texto se deriva la posibilidad de acudir al juicio de nulidad demostrando tener un interés jurídico o </w:t>
      </w:r>
      <w:r w:rsidRPr="00C43594">
        <w:rPr>
          <w:rFonts w:ascii="Arial" w:hAnsi="Arial" w:cs="Arial"/>
          <w:b/>
          <w:bCs/>
          <w:sz w:val="26"/>
          <w:szCs w:val="26"/>
        </w:rPr>
        <w:t xml:space="preserve">legítimo </w:t>
      </w:r>
      <w:r w:rsidRPr="00C43594">
        <w:rPr>
          <w:rFonts w:ascii="Arial" w:hAnsi="Arial" w:cs="Arial"/>
          <w:bCs/>
          <w:sz w:val="26"/>
          <w:szCs w:val="26"/>
        </w:rPr>
        <w:t xml:space="preserve">de ahí que la juzgadora de primer grado se aparta de la obligación constitucional que </w:t>
      </w:r>
      <w:r w:rsidRPr="00C43594">
        <w:rPr>
          <w:rFonts w:ascii="Arial" w:hAnsi="Arial" w:cs="Arial"/>
          <w:bCs/>
          <w:sz w:val="26"/>
          <w:szCs w:val="26"/>
        </w:rPr>
        <w:lastRenderedPageBreak/>
        <w:t xml:space="preserve">tienen todas las autoridades de promover, proteger, respetar y garantizar los derechos humanos de las personas y que como ya se dijo, también está asegurado en la Ley que rige el proceso contencioso administrativo. De donde, la exigencia de formalismos excesivos y trabas, sólo impide la efectiva tutela jurisdiccional y se contrapone al orden jurídico mexicano que vela por la protección de las personas ante los actos de las autoridades. Resulta invocación de la jurisprudencia </w:t>
      </w:r>
      <w:r w:rsidRPr="00C43594">
        <w:rPr>
          <w:rFonts w:ascii="Arial" w:hAnsi="Arial" w:cs="Arial"/>
          <w:sz w:val="26"/>
          <w:szCs w:val="26"/>
        </w:rPr>
        <w:t>2a./J. 141/2002 de la Segunda Sala de la Suprema Corte de Justicia de la Nación, la cual está publicada en el Semanario Judicial de la Federación y su Gaceta Tomo XVI de Diciembre de 2002 a página 241 con el rubro y texto siguientes:</w:t>
      </w:r>
    </w:p>
    <w:p w:rsidR="00D93BD7" w:rsidRDefault="00D93BD7" w:rsidP="00B24BD8">
      <w:pPr>
        <w:spacing w:line="276" w:lineRule="auto"/>
        <w:ind w:left="851" w:right="353"/>
        <w:jc w:val="both"/>
        <w:rPr>
          <w:rFonts w:ascii="Arial" w:hAnsi="Arial" w:cs="Arial"/>
          <w:i/>
        </w:rPr>
      </w:pPr>
      <w:r>
        <w:rPr>
          <w:rFonts w:ascii="Arial" w:hAnsi="Arial" w:cs="Arial"/>
          <w:b/>
          <w:i/>
        </w:rPr>
        <w:t>“INTERÉS LEGÍTIMO E INTERÉS JURÍDICO. AMBOS TÉRMINOS TIENEN DIFERENTE CONNOTACIÓN EN EL JUICIO CONTENCIOSO ADMINISTRATIVO</w:t>
      </w:r>
      <w:r>
        <w:rPr>
          <w:rFonts w:ascii="Arial" w:hAnsi="Arial" w:cs="Arial"/>
          <w:i/>
        </w:rPr>
        <w:t>.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D93BD7" w:rsidRDefault="00D93BD7" w:rsidP="00D93BD7">
      <w:pPr>
        <w:spacing w:line="360" w:lineRule="auto"/>
        <w:ind w:firstLine="709"/>
        <w:jc w:val="both"/>
        <w:rPr>
          <w:rFonts w:ascii="Arial" w:hAnsi="Arial" w:cs="Arial"/>
          <w:bCs/>
          <w:sz w:val="24"/>
          <w:szCs w:val="24"/>
        </w:rPr>
      </w:pPr>
    </w:p>
    <w:p w:rsidR="00D93BD7" w:rsidRPr="00C43594" w:rsidRDefault="00D93BD7" w:rsidP="00D93BD7">
      <w:pPr>
        <w:spacing w:line="360" w:lineRule="auto"/>
        <w:ind w:firstLine="709"/>
        <w:jc w:val="both"/>
        <w:rPr>
          <w:rFonts w:ascii="Arial" w:hAnsi="Arial" w:cs="Arial"/>
          <w:bCs/>
          <w:iCs/>
          <w:sz w:val="26"/>
          <w:szCs w:val="26"/>
        </w:rPr>
      </w:pPr>
      <w:r w:rsidRPr="00C43594">
        <w:rPr>
          <w:rFonts w:ascii="Arial" w:hAnsi="Arial" w:cs="Arial"/>
          <w:bCs/>
          <w:sz w:val="26"/>
          <w:szCs w:val="26"/>
        </w:rPr>
        <w:t xml:space="preserve">Es por esto que al haber resultado </w:t>
      </w:r>
      <w:r w:rsidRPr="00C43594">
        <w:rPr>
          <w:rFonts w:ascii="Arial" w:hAnsi="Arial" w:cs="Arial"/>
          <w:b/>
          <w:bCs/>
          <w:sz w:val="26"/>
          <w:szCs w:val="26"/>
        </w:rPr>
        <w:t xml:space="preserve">fundado </w:t>
      </w:r>
      <w:r w:rsidRPr="00C43594">
        <w:rPr>
          <w:rFonts w:ascii="Arial" w:hAnsi="Arial" w:cs="Arial"/>
          <w:bCs/>
          <w:sz w:val="26"/>
          <w:szCs w:val="26"/>
        </w:rPr>
        <w:t>el agravio estudiado a fin de</w:t>
      </w:r>
      <w:r w:rsidRPr="00C43594">
        <w:rPr>
          <w:rFonts w:ascii="Arial" w:hAnsi="Arial" w:cs="Arial"/>
          <w:bCs/>
          <w:iCs/>
          <w:sz w:val="26"/>
          <w:szCs w:val="26"/>
        </w:rPr>
        <w:t xml:space="preserve"> repararlo se procede a reasumir jurisdicción como sigue. </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Con el escrito de </w:t>
      </w:r>
      <w:r w:rsidR="001A6501">
        <w:rPr>
          <w:rFonts w:ascii="Arial" w:hAnsi="Arial" w:cs="Arial"/>
          <w:b/>
          <w:bCs/>
          <w:sz w:val="26"/>
          <w:szCs w:val="26"/>
        </w:rPr>
        <w:t>**********</w:t>
      </w:r>
      <w:r w:rsidRPr="00C43594">
        <w:rPr>
          <w:rFonts w:ascii="Arial" w:hAnsi="Arial" w:cs="Arial"/>
          <w:b/>
          <w:bCs/>
          <w:sz w:val="26"/>
          <w:szCs w:val="26"/>
        </w:rPr>
        <w:t xml:space="preserve"> </w:t>
      </w:r>
      <w:r w:rsidRPr="00C43594">
        <w:rPr>
          <w:rFonts w:ascii="Arial" w:hAnsi="Arial" w:cs="Arial"/>
          <w:bCs/>
          <w:sz w:val="26"/>
          <w:szCs w:val="26"/>
        </w:rPr>
        <w:t xml:space="preserve">la actora del juicio acompañó la copia simple de la tarjeta de circulación folio  </w:t>
      </w:r>
      <w:r w:rsidR="00137747">
        <w:rPr>
          <w:rFonts w:ascii="Arial" w:hAnsi="Arial" w:cs="Arial"/>
          <w:bCs/>
          <w:sz w:val="26"/>
          <w:szCs w:val="26"/>
        </w:rPr>
        <w:t>**********</w:t>
      </w:r>
      <w:r w:rsidRPr="00C43594">
        <w:rPr>
          <w:rFonts w:ascii="Arial" w:hAnsi="Arial" w:cs="Arial"/>
          <w:bCs/>
          <w:sz w:val="26"/>
          <w:szCs w:val="26"/>
        </w:rPr>
        <w:t xml:space="preserve">expedida por la Dirección de Recaudación de la Secretaría de Finanzas de Gobierno del Estado de México, y la cual fue emitida en favor de </w:t>
      </w:r>
      <w:r w:rsidR="001A6501">
        <w:rPr>
          <w:rFonts w:ascii="Arial" w:hAnsi="Arial" w:cs="Arial"/>
          <w:bCs/>
          <w:sz w:val="26"/>
          <w:szCs w:val="26"/>
        </w:rPr>
        <w:t>**********</w:t>
      </w:r>
      <w:r w:rsidRPr="00C43594">
        <w:rPr>
          <w:rFonts w:ascii="Arial" w:hAnsi="Arial" w:cs="Arial"/>
          <w:bCs/>
          <w:sz w:val="26"/>
          <w:szCs w:val="26"/>
        </w:rPr>
        <w:t xml:space="preserve"> respecto de un vehículo HONDA CR-V 5 PUERTAS con placas de circulación</w:t>
      </w:r>
      <w:r w:rsidR="00137747">
        <w:rPr>
          <w:rFonts w:ascii="Arial" w:hAnsi="Arial" w:cs="Arial"/>
          <w:bCs/>
          <w:sz w:val="26"/>
          <w:szCs w:val="26"/>
        </w:rPr>
        <w:t>**********</w:t>
      </w:r>
      <w:r w:rsidRPr="00C43594">
        <w:rPr>
          <w:rFonts w:ascii="Arial" w:hAnsi="Arial" w:cs="Arial"/>
          <w:b/>
          <w:bCs/>
          <w:sz w:val="26"/>
          <w:szCs w:val="26"/>
        </w:rPr>
        <w:t xml:space="preserve">, </w:t>
      </w:r>
      <w:r w:rsidRPr="00C43594">
        <w:rPr>
          <w:rFonts w:ascii="Arial" w:hAnsi="Arial" w:cs="Arial"/>
          <w:bCs/>
          <w:sz w:val="26"/>
          <w:szCs w:val="26"/>
        </w:rPr>
        <w:t xml:space="preserve">en este sentido, si bien dicha tarjeta de circulación solo demuestra presuntamente de manera indiciaria el derecho que tiene la actora para que el vehículo ahí descrito pueda circular legalmente, tal documento demuestra la relación que existe entre </w:t>
      </w:r>
      <w:r w:rsidR="001A6501">
        <w:rPr>
          <w:rFonts w:ascii="Arial" w:hAnsi="Arial" w:cs="Arial"/>
          <w:b/>
          <w:bCs/>
          <w:sz w:val="26"/>
          <w:szCs w:val="26"/>
        </w:rPr>
        <w:t>**********</w:t>
      </w:r>
      <w:r w:rsidRPr="00C43594">
        <w:rPr>
          <w:rFonts w:ascii="Arial" w:hAnsi="Arial" w:cs="Arial"/>
          <w:b/>
          <w:bCs/>
          <w:sz w:val="26"/>
          <w:szCs w:val="26"/>
        </w:rPr>
        <w:t xml:space="preserve"> </w:t>
      </w:r>
      <w:r w:rsidRPr="00C43594">
        <w:rPr>
          <w:rFonts w:ascii="Arial" w:hAnsi="Arial" w:cs="Arial"/>
          <w:bCs/>
          <w:sz w:val="26"/>
          <w:szCs w:val="26"/>
        </w:rPr>
        <w:t>y el vehículo con placas de circulación</w:t>
      </w:r>
      <w:r w:rsidR="00137747">
        <w:rPr>
          <w:rFonts w:ascii="Arial" w:hAnsi="Arial" w:cs="Arial"/>
          <w:bCs/>
          <w:sz w:val="26"/>
          <w:szCs w:val="26"/>
        </w:rPr>
        <w:t>**********</w:t>
      </w:r>
      <w:r w:rsidRPr="00C43594">
        <w:rPr>
          <w:rFonts w:ascii="Arial" w:hAnsi="Arial" w:cs="Arial"/>
          <w:bCs/>
          <w:sz w:val="26"/>
          <w:szCs w:val="26"/>
        </w:rPr>
        <w:t xml:space="preserve"> </w:t>
      </w:r>
      <w:r w:rsidRPr="00C43594">
        <w:rPr>
          <w:rFonts w:ascii="Arial" w:hAnsi="Arial" w:cs="Arial"/>
          <w:b/>
          <w:bCs/>
          <w:sz w:val="26"/>
          <w:szCs w:val="26"/>
        </w:rPr>
        <w:t xml:space="preserve">y, </w:t>
      </w:r>
      <w:r w:rsidRPr="00C43594">
        <w:rPr>
          <w:rFonts w:ascii="Arial" w:hAnsi="Arial" w:cs="Arial"/>
          <w:bCs/>
          <w:sz w:val="26"/>
          <w:szCs w:val="26"/>
        </w:rPr>
        <w:t xml:space="preserve">en el acta </w:t>
      </w:r>
      <w:r w:rsidRPr="00C43594">
        <w:rPr>
          <w:rFonts w:ascii="Arial" w:hAnsi="Arial" w:cs="Arial"/>
          <w:bCs/>
          <w:sz w:val="26"/>
          <w:szCs w:val="26"/>
        </w:rPr>
        <w:lastRenderedPageBreak/>
        <w:t>de infracción 41447 de 26 veintiséis de junio de 2018 dos mil dieciocho se deduce que la autoridad emisora atribuyó dicha infracción al vehículo con placas de circulación</w:t>
      </w:r>
      <w:r w:rsidR="00137747">
        <w:rPr>
          <w:rFonts w:ascii="Arial" w:hAnsi="Arial" w:cs="Arial"/>
          <w:bCs/>
          <w:sz w:val="26"/>
          <w:szCs w:val="26"/>
        </w:rPr>
        <w:t>**********</w:t>
      </w:r>
      <w:r w:rsidRPr="00C43594">
        <w:rPr>
          <w:rFonts w:ascii="Arial" w:hAnsi="Arial" w:cs="Arial"/>
          <w:bCs/>
          <w:sz w:val="26"/>
          <w:szCs w:val="26"/>
        </w:rPr>
        <w:t xml:space="preserve"> Estado México pues así está indicado en el apartado denominado PLACAS DEL VEHÍCULO. En consecuencia, de la concatenación que se hace de ambas documentales es posible decir que </w:t>
      </w:r>
      <w:r w:rsidRPr="00C43594">
        <w:rPr>
          <w:rFonts w:ascii="Arial" w:hAnsi="Arial" w:cs="Arial"/>
          <w:b/>
          <w:bCs/>
          <w:sz w:val="26"/>
          <w:szCs w:val="26"/>
        </w:rPr>
        <w:t xml:space="preserve">si </w:t>
      </w:r>
      <w:r w:rsidR="001A6501">
        <w:rPr>
          <w:rFonts w:ascii="Arial" w:hAnsi="Arial" w:cs="Arial"/>
          <w:bCs/>
          <w:sz w:val="26"/>
          <w:szCs w:val="26"/>
        </w:rPr>
        <w:t>**********</w:t>
      </w:r>
      <w:r w:rsidRPr="00C43594">
        <w:rPr>
          <w:rFonts w:ascii="Arial" w:hAnsi="Arial" w:cs="Arial"/>
          <w:bCs/>
          <w:sz w:val="26"/>
          <w:szCs w:val="26"/>
        </w:rPr>
        <w:t xml:space="preserve"> tiene una relación jurídica con el vehículo con placas de circulación</w:t>
      </w:r>
      <w:r w:rsidR="00137747">
        <w:rPr>
          <w:rFonts w:ascii="Arial" w:hAnsi="Arial" w:cs="Arial"/>
          <w:bCs/>
          <w:sz w:val="26"/>
          <w:szCs w:val="26"/>
        </w:rPr>
        <w:t>**********</w:t>
      </w:r>
      <w:r w:rsidRPr="00C43594">
        <w:rPr>
          <w:rFonts w:ascii="Arial" w:hAnsi="Arial" w:cs="Arial"/>
          <w:bCs/>
          <w:sz w:val="26"/>
          <w:szCs w:val="26"/>
        </w:rPr>
        <w:t xml:space="preserve"> y así está reconocido por la autoridad que expidió la tarjeta de circulación </w:t>
      </w:r>
      <w:r w:rsidRPr="00C43594">
        <w:rPr>
          <w:rFonts w:ascii="Arial" w:hAnsi="Arial" w:cs="Arial"/>
          <w:b/>
          <w:bCs/>
          <w:sz w:val="26"/>
          <w:szCs w:val="26"/>
        </w:rPr>
        <w:t xml:space="preserve">entonces </w:t>
      </w:r>
      <w:r w:rsidRPr="00C43594">
        <w:rPr>
          <w:rFonts w:ascii="Arial" w:hAnsi="Arial" w:cs="Arial"/>
          <w:bCs/>
          <w:sz w:val="26"/>
          <w:szCs w:val="26"/>
        </w:rPr>
        <w:t>la emisión del acta de infracción de tránsito 41447 de 26 veintiséis de junio de 2018 dos mil dieciocho respecto del vehículo con placas de circulación</w:t>
      </w:r>
      <w:r w:rsidR="00137747">
        <w:rPr>
          <w:rFonts w:ascii="Arial" w:hAnsi="Arial" w:cs="Arial"/>
          <w:bCs/>
          <w:sz w:val="26"/>
          <w:szCs w:val="26"/>
        </w:rPr>
        <w:t>**********</w:t>
      </w:r>
      <w:r w:rsidRPr="00C43594">
        <w:rPr>
          <w:rFonts w:ascii="Arial" w:hAnsi="Arial" w:cs="Arial"/>
          <w:b/>
          <w:bCs/>
          <w:sz w:val="26"/>
          <w:szCs w:val="26"/>
        </w:rPr>
        <w:t xml:space="preserve"> del estado de México </w:t>
      </w:r>
      <w:r w:rsidRPr="00C43594">
        <w:rPr>
          <w:rFonts w:ascii="Arial" w:hAnsi="Arial" w:cs="Arial"/>
          <w:bCs/>
          <w:sz w:val="26"/>
          <w:szCs w:val="26"/>
        </w:rPr>
        <w:t xml:space="preserve">afecta la esfera de derechos de la administrada y con ello se cumple la exigencia contenida en el artículo </w:t>
      </w:r>
      <w:r w:rsidRPr="00C43594">
        <w:rPr>
          <w:rFonts w:ascii="Arial" w:hAnsi="Arial" w:cs="Arial"/>
          <w:b/>
          <w:bCs/>
          <w:sz w:val="26"/>
          <w:szCs w:val="26"/>
        </w:rPr>
        <w:t xml:space="preserve">164 </w:t>
      </w:r>
      <w:r w:rsidRPr="00C43594">
        <w:rPr>
          <w:rFonts w:ascii="Arial" w:hAnsi="Arial" w:cs="Arial"/>
          <w:bCs/>
          <w:sz w:val="26"/>
          <w:szCs w:val="26"/>
        </w:rPr>
        <w:t xml:space="preserve">de la Ley de Procedimiento y Justicia Administrativa para el Estado de Oaxaca que dispone: “Sólo podrán demandar o intervenir en el juicio, las personas que tengan una interés jurídico o legítimo que funde su pretensión”. </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Es así, porque la relación que existe entre </w:t>
      </w:r>
      <w:r w:rsidR="001A6501">
        <w:rPr>
          <w:rFonts w:ascii="Arial" w:hAnsi="Arial" w:cs="Arial"/>
          <w:bCs/>
          <w:sz w:val="26"/>
          <w:szCs w:val="26"/>
        </w:rPr>
        <w:t>**********</w:t>
      </w:r>
      <w:r w:rsidRPr="00C43594">
        <w:rPr>
          <w:rFonts w:ascii="Arial" w:hAnsi="Arial" w:cs="Arial"/>
          <w:bCs/>
          <w:sz w:val="26"/>
          <w:szCs w:val="26"/>
        </w:rPr>
        <w:t xml:space="preserve"> y el vehículo con placas de circulación</w:t>
      </w:r>
      <w:r w:rsidR="00137747">
        <w:rPr>
          <w:rFonts w:ascii="Arial" w:hAnsi="Arial" w:cs="Arial"/>
          <w:bCs/>
          <w:sz w:val="26"/>
          <w:szCs w:val="26"/>
        </w:rPr>
        <w:t>**********</w:t>
      </w:r>
      <w:r w:rsidRPr="00C43594">
        <w:rPr>
          <w:rFonts w:ascii="Arial" w:hAnsi="Arial" w:cs="Arial"/>
          <w:bCs/>
          <w:sz w:val="26"/>
          <w:szCs w:val="26"/>
        </w:rPr>
        <w:t xml:space="preserve"> del Estado de México se obtiene de la copia simple de la tarjeta de circulación agregada a folio 16 (dieciséis) del sumario, y debido a que el acta de infracción combatida fue emitida en contra del vehículo con placas de circulación</w:t>
      </w:r>
      <w:r w:rsidR="00137747">
        <w:rPr>
          <w:rFonts w:ascii="Arial" w:hAnsi="Arial" w:cs="Arial"/>
          <w:bCs/>
          <w:sz w:val="26"/>
          <w:szCs w:val="26"/>
        </w:rPr>
        <w:t>**********</w:t>
      </w:r>
      <w:r w:rsidRPr="00C43594">
        <w:rPr>
          <w:rFonts w:ascii="Arial" w:hAnsi="Arial" w:cs="Arial"/>
          <w:bCs/>
          <w:sz w:val="26"/>
          <w:szCs w:val="26"/>
        </w:rPr>
        <w:t xml:space="preserve"> del Estado de México de su armonización se logra establecer la existencia de un </w:t>
      </w:r>
      <w:r w:rsidRPr="00C43594">
        <w:rPr>
          <w:rFonts w:ascii="Arial" w:hAnsi="Arial" w:cs="Arial"/>
          <w:b/>
          <w:bCs/>
          <w:sz w:val="26"/>
          <w:szCs w:val="26"/>
        </w:rPr>
        <w:t xml:space="preserve">interés legítimo </w:t>
      </w:r>
      <w:r w:rsidRPr="00C43594">
        <w:rPr>
          <w:rFonts w:ascii="Arial" w:hAnsi="Arial" w:cs="Arial"/>
          <w:bCs/>
          <w:sz w:val="26"/>
          <w:szCs w:val="26"/>
        </w:rPr>
        <w:t xml:space="preserve">para </w:t>
      </w:r>
      <w:r w:rsidRPr="00C43594">
        <w:rPr>
          <w:rFonts w:ascii="Arial" w:hAnsi="Arial" w:cs="Arial"/>
          <w:b/>
          <w:bCs/>
          <w:sz w:val="26"/>
          <w:szCs w:val="26"/>
        </w:rPr>
        <w:t xml:space="preserve">demandar o intervenir </w:t>
      </w:r>
      <w:r w:rsidRPr="00C43594">
        <w:rPr>
          <w:rFonts w:ascii="Arial" w:hAnsi="Arial" w:cs="Arial"/>
          <w:bCs/>
          <w:sz w:val="26"/>
          <w:szCs w:val="26"/>
        </w:rPr>
        <w:t xml:space="preserve">en el juicio, sin </w:t>
      </w:r>
      <w:r w:rsidRPr="00C43594">
        <w:rPr>
          <w:rFonts w:ascii="Arial" w:hAnsi="Arial" w:cs="Arial"/>
          <w:b/>
          <w:bCs/>
          <w:sz w:val="26"/>
          <w:szCs w:val="26"/>
        </w:rPr>
        <w:t xml:space="preserve">prejuzgar </w:t>
      </w:r>
      <w:r w:rsidRPr="00C43594">
        <w:rPr>
          <w:rFonts w:ascii="Arial" w:hAnsi="Arial" w:cs="Arial"/>
          <w:bCs/>
          <w:sz w:val="26"/>
          <w:szCs w:val="26"/>
        </w:rPr>
        <w:t xml:space="preserve">sobre su interés jurídico el cual </w:t>
      </w:r>
      <w:r w:rsidRPr="00C43594">
        <w:rPr>
          <w:rFonts w:ascii="Arial" w:hAnsi="Arial" w:cs="Arial"/>
          <w:b/>
          <w:bCs/>
          <w:sz w:val="26"/>
          <w:szCs w:val="26"/>
        </w:rPr>
        <w:t>no</w:t>
      </w:r>
      <w:r w:rsidRPr="00C43594">
        <w:rPr>
          <w:rFonts w:ascii="Arial" w:hAnsi="Arial" w:cs="Arial"/>
          <w:bCs/>
          <w:sz w:val="26"/>
          <w:szCs w:val="26"/>
        </w:rPr>
        <w:t xml:space="preserve"> es </w:t>
      </w:r>
      <w:r w:rsidRPr="00C43594">
        <w:rPr>
          <w:rFonts w:ascii="Arial" w:hAnsi="Arial" w:cs="Arial"/>
          <w:b/>
          <w:bCs/>
          <w:sz w:val="26"/>
          <w:szCs w:val="26"/>
        </w:rPr>
        <w:t xml:space="preserve">obligatorio ni limitativo </w:t>
      </w:r>
      <w:r w:rsidRPr="00C43594">
        <w:rPr>
          <w:rFonts w:ascii="Arial" w:hAnsi="Arial" w:cs="Arial"/>
          <w:bCs/>
          <w:sz w:val="26"/>
          <w:szCs w:val="26"/>
        </w:rPr>
        <w:t xml:space="preserve">en términos del artículo 164 de la Ley de Procedimiento y Justicia Administrativa para el Estado de Oaxaca, porque el citado numeral permite que se pueda presentar la demanda con un interés jurídico o </w:t>
      </w:r>
      <w:r w:rsidRPr="00C43594">
        <w:rPr>
          <w:rFonts w:ascii="Arial" w:hAnsi="Arial" w:cs="Arial"/>
          <w:b/>
          <w:bCs/>
          <w:sz w:val="26"/>
          <w:szCs w:val="26"/>
        </w:rPr>
        <w:t>legítimo</w:t>
      </w:r>
      <w:r w:rsidRPr="00C43594">
        <w:rPr>
          <w:rFonts w:ascii="Arial" w:hAnsi="Arial" w:cs="Arial"/>
          <w:bCs/>
          <w:sz w:val="26"/>
          <w:szCs w:val="26"/>
        </w:rPr>
        <w:t xml:space="preserve">. </w:t>
      </w:r>
    </w:p>
    <w:p w:rsidR="00D93BD7" w:rsidRPr="00C43594" w:rsidRDefault="00D93BD7" w:rsidP="00D93BD7">
      <w:pPr>
        <w:spacing w:line="360" w:lineRule="auto"/>
        <w:ind w:firstLine="709"/>
        <w:jc w:val="both"/>
        <w:rPr>
          <w:rFonts w:ascii="Arial" w:hAnsi="Arial" w:cs="Arial"/>
          <w:bCs/>
          <w:sz w:val="26"/>
          <w:szCs w:val="26"/>
        </w:rPr>
      </w:pPr>
      <w:r w:rsidRPr="00C43594">
        <w:rPr>
          <w:rFonts w:ascii="Arial" w:hAnsi="Arial" w:cs="Arial"/>
          <w:bCs/>
          <w:sz w:val="26"/>
          <w:szCs w:val="26"/>
        </w:rPr>
        <w:t xml:space="preserve">En este orden de ideas, y dado que existe una vinculación entre </w:t>
      </w:r>
      <w:r w:rsidR="001A6501">
        <w:rPr>
          <w:rFonts w:ascii="Arial" w:hAnsi="Arial" w:cs="Arial"/>
          <w:b/>
          <w:bCs/>
          <w:sz w:val="26"/>
          <w:szCs w:val="26"/>
        </w:rPr>
        <w:t>**********</w:t>
      </w:r>
      <w:r w:rsidRPr="00C43594">
        <w:rPr>
          <w:rFonts w:ascii="Arial" w:hAnsi="Arial" w:cs="Arial"/>
          <w:b/>
          <w:bCs/>
          <w:sz w:val="26"/>
          <w:szCs w:val="26"/>
        </w:rPr>
        <w:t xml:space="preserve"> </w:t>
      </w:r>
      <w:r w:rsidRPr="00C43594">
        <w:rPr>
          <w:rFonts w:ascii="Arial" w:hAnsi="Arial" w:cs="Arial"/>
          <w:bCs/>
          <w:sz w:val="26"/>
          <w:szCs w:val="26"/>
        </w:rPr>
        <w:t>y el vehículo con placas de circulación</w:t>
      </w:r>
      <w:r w:rsidR="00137747">
        <w:rPr>
          <w:rFonts w:ascii="Arial" w:hAnsi="Arial" w:cs="Arial"/>
          <w:bCs/>
          <w:sz w:val="26"/>
          <w:szCs w:val="26"/>
        </w:rPr>
        <w:t>**********</w:t>
      </w:r>
      <w:r w:rsidRPr="00C43594">
        <w:rPr>
          <w:rFonts w:ascii="Arial" w:hAnsi="Arial" w:cs="Arial"/>
          <w:bCs/>
          <w:sz w:val="26"/>
          <w:szCs w:val="26"/>
        </w:rPr>
        <w:t xml:space="preserve"> del Estado de México, se tiene que la actora </w:t>
      </w:r>
      <w:r w:rsidRPr="00C43594">
        <w:rPr>
          <w:rFonts w:ascii="Arial" w:hAnsi="Arial" w:cs="Arial"/>
          <w:b/>
          <w:bCs/>
          <w:sz w:val="26"/>
          <w:szCs w:val="26"/>
        </w:rPr>
        <w:t xml:space="preserve">tiene interés legítimo </w:t>
      </w:r>
      <w:r w:rsidRPr="00C43594">
        <w:rPr>
          <w:rFonts w:ascii="Arial" w:hAnsi="Arial" w:cs="Arial"/>
          <w:bCs/>
          <w:sz w:val="26"/>
          <w:szCs w:val="26"/>
        </w:rPr>
        <w:t>para combatir el acta de infracción de tránsito 41447 de 26 veintiséis de junio de 2018 dos mil dieciocho respecto del vehículo con placas de circulación</w:t>
      </w:r>
      <w:r w:rsidR="00137747">
        <w:rPr>
          <w:rFonts w:ascii="Arial" w:hAnsi="Arial" w:cs="Arial"/>
          <w:bCs/>
          <w:sz w:val="26"/>
          <w:szCs w:val="26"/>
        </w:rPr>
        <w:t>**********</w:t>
      </w:r>
      <w:r w:rsidRPr="00C43594">
        <w:rPr>
          <w:rFonts w:ascii="Arial" w:hAnsi="Arial" w:cs="Arial"/>
          <w:b/>
          <w:bCs/>
          <w:sz w:val="26"/>
          <w:szCs w:val="26"/>
        </w:rPr>
        <w:t xml:space="preserve"> del estado de México, </w:t>
      </w:r>
      <w:r w:rsidRPr="00C43594">
        <w:rPr>
          <w:rFonts w:ascii="Arial" w:hAnsi="Arial" w:cs="Arial"/>
          <w:bCs/>
          <w:sz w:val="26"/>
          <w:szCs w:val="26"/>
        </w:rPr>
        <w:t xml:space="preserve">esto con independencia que demuestre ser la propietaria del citado automotor, porque la ley que rige el proceso contencioso administrativo no exige colmar tal circunstancia. </w:t>
      </w:r>
    </w:p>
    <w:p w:rsidR="00D93BD7" w:rsidRDefault="00D93BD7" w:rsidP="00D93BD7">
      <w:pPr>
        <w:spacing w:line="360" w:lineRule="auto"/>
        <w:jc w:val="both"/>
        <w:rPr>
          <w:rFonts w:ascii="Arial" w:hAnsi="Arial" w:cs="Arial"/>
          <w:bCs/>
          <w:sz w:val="24"/>
          <w:szCs w:val="24"/>
        </w:rPr>
      </w:pPr>
      <w:r w:rsidRPr="00C43594">
        <w:rPr>
          <w:rFonts w:ascii="Arial" w:hAnsi="Arial" w:cs="Arial"/>
          <w:bCs/>
          <w:sz w:val="26"/>
          <w:szCs w:val="26"/>
        </w:rPr>
        <w:lastRenderedPageBreak/>
        <w:t xml:space="preserve"> </w:t>
      </w:r>
      <w:r w:rsidRPr="00C43594">
        <w:rPr>
          <w:rFonts w:ascii="Arial" w:hAnsi="Arial" w:cs="Arial"/>
          <w:bCs/>
          <w:sz w:val="26"/>
          <w:szCs w:val="26"/>
        </w:rPr>
        <w:tab/>
        <w:t xml:space="preserve">Por estas razones, </w:t>
      </w:r>
      <w:r w:rsidRPr="00C43594">
        <w:rPr>
          <w:rFonts w:ascii="Arial" w:hAnsi="Arial" w:cs="Arial"/>
          <w:b/>
          <w:bCs/>
          <w:sz w:val="26"/>
          <w:szCs w:val="26"/>
        </w:rPr>
        <w:t xml:space="preserve">se REVOCA </w:t>
      </w:r>
      <w:r w:rsidRPr="00C43594">
        <w:rPr>
          <w:rFonts w:ascii="Arial" w:hAnsi="Arial" w:cs="Arial"/>
          <w:bCs/>
          <w:sz w:val="26"/>
          <w:szCs w:val="26"/>
        </w:rPr>
        <w:t>el auto sujeto a revisión y se provee en consecuencia.</w:t>
      </w:r>
      <w:r>
        <w:rPr>
          <w:rFonts w:ascii="Arial" w:hAnsi="Arial" w:cs="Arial"/>
          <w:bCs/>
          <w:sz w:val="24"/>
          <w:szCs w:val="24"/>
        </w:rPr>
        <w:t xml:space="preserve"> </w:t>
      </w:r>
    </w:p>
    <w:p w:rsidR="00D93BD7" w:rsidRDefault="00D93BD7" w:rsidP="00B24BD8">
      <w:pPr>
        <w:spacing w:line="276" w:lineRule="auto"/>
        <w:ind w:left="851"/>
        <w:jc w:val="both"/>
        <w:rPr>
          <w:rFonts w:ascii="Arial" w:hAnsi="Arial" w:cs="Arial"/>
          <w:bCs/>
          <w:i/>
          <w:sz w:val="24"/>
          <w:szCs w:val="24"/>
        </w:rPr>
      </w:pPr>
      <w:r>
        <w:rPr>
          <w:rFonts w:ascii="Arial" w:hAnsi="Arial" w:cs="Arial"/>
          <w:bCs/>
          <w:i/>
          <w:sz w:val="24"/>
          <w:szCs w:val="24"/>
        </w:rPr>
        <w:t>“…</w:t>
      </w:r>
    </w:p>
    <w:p w:rsidR="00D93BD7" w:rsidRDefault="00D93BD7" w:rsidP="00B24BD8">
      <w:pPr>
        <w:spacing w:line="276" w:lineRule="auto"/>
        <w:ind w:left="851"/>
        <w:jc w:val="both"/>
        <w:rPr>
          <w:rFonts w:ascii="Arial" w:hAnsi="Arial" w:cs="Arial"/>
          <w:bCs/>
          <w:i/>
          <w:sz w:val="24"/>
          <w:szCs w:val="24"/>
        </w:rPr>
      </w:pPr>
      <w:r>
        <w:rPr>
          <w:rFonts w:ascii="Arial" w:hAnsi="Arial" w:cs="Arial"/>
          <w:bCs/>
          <w:i/>
          <w:sz w:val="24"/>
          <w:szCs w:val="24"/>
        </w:rPr>
        <w:t xml:space="preserve">Con su escrito </w:t>
      </w:r>
      <w:r w:rsidR="001A6501">
        <w:rPr>
          <w:rFonts w:ascii="Arial" w:hAnsi="Arial" w:cs="Arial"/>
          <w:bCs/>
          <w:i/>
          <w:sz w:val="24"/>
          <w:szCs w:val="24"/>
        </w:rPr>
        <w:t>**********</w:t>
      </w:r>
      <w:r>
        <w:rPr>
          <w:rFonts w:ascii="Arial" w:hAnsi="Arial" w:cs="Arial"/>
          <w:bCs/>
          <w:i/>
          <w:sz w:val="24"/>
          <w:szCs w:val="24"/>
        </w:rPr>
        <w:t xml:space="preserve"> exhibe la copia simple de la tarjeta de circulación folio </w:t>
      </w:r>
      <w:r w:rsidR="00137747">
        <w:rPr>
          <w:rFonts w:ascii="Arial" w:hAnsi="Arial" w:cs="Arial"/>
          <w:bCs/>
          <w:i/>
          <w:sz w:val="24"/>
          <w:szCs w:val="24"/>
        </w:rPr>
        <w:t>**********</w:t>
      </w:r>
      <w:r>
        <w:rPr>
          <w:rFonts w:ascii="Arial" w:hAnsi="Arial" w:cs="Arial"/>
          <w:bCs/>
          <w:i/>
          <w:sz w:val="24"/>
          <w:szCs w:val="24"/>
        </w:rPr>
        <w:t xml:space="preserve">expedida por la Dirección de Recaudación de la Secretaría de Finanzas de Gobierno del Estado de México, y la cual fue emitida en favor de </w:t>
      </w:r>
      <w:r w:rsidR="001A6501">
        <w:rPr>
          <w:rFonts w:ascii="Arial" w:hAnsi="Arial" w:cs="Arial"/>
          <w:bCs/>
          <w:i/>
          <w:sz w:val="24"/>
          <w:szCs w:val="24"/>
        </w:rPr>
        <w:t>**********</w:t>
      </w:r>
      <w:r>
        <w:rPr>
          <w:rFonts w:ascii="Arial" w:hAnsi="Arial" w:cs="Arial"/>
          <w:bCs/>
          <w:i/>
          <w:sz w:val="24"/>
          <w:szCs w:val="24"/>
        </w:rPr>
        <w:t xml:space="preserve"> respecto de un vehículo HONDA CR-V 5 PUERTAS con placas de circulación</w:t>
      </w:r>
      <w:r w:rsidR="00137747">
        <w:rPr>
          <w:rFonts w:ascii="Arial" w:hAnsi="Arial" w:cs="Arial"/>
          <w:bCs/>
          <w:i/>
          <w:sz w:val="24"/>
          <w:szCs w:val="24"/>
        </w:rPr>
        <w:t>**********</w:t>
      </w:r>
      <w:r>
        <w:rPr>
          <w:rFonts w:ascii="Arial" w:hAnsi="Arial" w:cs="Arial"/>
          <w:b/>
          <w:bCs/>
          <w:i/>
          <w:sz w:val="24"/>
          <w:szCs w:val="24"/>
        </w:rPr>
        <w:t xml:space="preserve">, </w:t>
      </w:r>
      <w:r>
        <w:rPr>
          <w:rFonts w:ascii="Arial" w:hAnsi="Arial" w:cs="Arial"/>
          <w:bCs/>
          <w:i/>
          <w:sz w:val="24"/>
          <w:szCs w:val="24"/>
        </w:rPr>
        <w:t xml:space="preserve">en este sentido, si bien dicha tarjeta de circulación solo demuestra de manera indiciaria el derecho que tiene la actora para que el vehículo ahí descrito pueda circular legalmente, tal documento demuestra la relación que existe entre </w:t>
      </w:r>
      <w:r w:rsidR="001A6501">
        <w:rPr>
          <w:rFonts w:ascii="Arial" w:hAnsi="Arial" w:cs="Arial"/>
          <w:b/>
          <w:bCs/>
          <w:i/>
          <w:sz w:val="24"/>
          <w:szCs w:val="24"/>
        </w:rPr>
        <w:t>**********</w:t>
      </w:r>
      <w:r>
        <w:rPr>
          <w:rFonts w:ascii="Arial" w:hAnsi="Arial" w:cs="Arial"/>
          <w:b/>
          <w:bCs/>
          <w:i/>
          <w:sz w:val="24"/>
          <w:szCs w:val="24"/>
        </w:rPr>
        <w:t xml:space="preserve"> </w:t>
      </w:r>
      <w:r>
        <w:rPr>
          <w:rFonts w:ascii="Arial" w:hAnsi="Arial" w:cs="Arial"/>
          <w:bCs/>
          <w:i/>
          <w:sz w:val="24"/>
          <w:szCs w:val="24"/>
        </w:rPr>
        <w:t>y el vehículo con placas de circulación</w:t>
      </w:r>
      <w:r w:rsidR="00137747">
        <w:rPr>
          <w:rFonts w:ascii="Arial" w:hAnsi="Arial" w:cs="Arial"/>
          <w:bCs/>
          <w:i/>
          <w:sz w:val="24"/>
          <w:szCs w:val="24"/>
        </w:rPr>
        <w:t>**********</w:t>
      </w:r>
      <w:r>
        <w:rPr>
          <w:rFonts w:ascii="Arial" w:hAnsi="Arial" w:cs="Arial"/>
          <w:bCs/>
          <w:i/>
          <w:sz w:val="24"/>
          <w:szCs w:val="24"/>
        </w:rPr>
        <w:t xml:space="preserve"> </w:t>
      </w:r>
      <w:r>
        <w:rPr>
          <w:rFonts w:ascii="Arial" w:hAnsi="Arial" w:cs="Arial"/>
          <w:b/>
          <w:bCs/>
          <w:i/>
          <w:sz w:val="24"/>
          <w:szCs w:val="24"/>
        </w:rPr>
        <w:t xml:space="preserve">y, </w:t>
      </w:r>
      <w:r>
        <w:rPr>
          <w:rFonts w:ascii="Arial" w:hAnsi="Arial" w:cs="Arial"/>
          <w:bCs/>
          <w:i/>
          <w:sz w:val="24"/>
          <w:szCs w:val="24"/>
        </w:rPr>
        <w:t>en el acta de infracción 41447 de 26 veintiséis de junio de 2018 dos mil dieciocho se deduce que la autoridad emisora atribuyó dicha infracción al vehículo con placas de circulación</w:t>
      </w:r>
      <w:r w:rsidR="00137747">
        <w:rPr>
          <w:rFonts w:ascii="Arial" w:hAnsi="Arial" w:cs="Arial"/>
          <w:bCs/>
          <w:i/>
          <w:sz w:val="24"/>
          <w:szCs w:val="24"/>
        </w:rPr>
        <w:t>**********</w:t>
      </w:r>
      <w:r>
        <w:rPr>
          <w:rFonts w:ascii="Arial" w:hAnsi="Arial" w:cs="Arial"/>
          <w:bCs/>
          <w:i/>
          <w:sz w:val="24"/>
          <w:szCs w:val="24"/>
        </w:rPr>
        <w:t xml:space="preserve"> Estado México pues así está indicado en el apartado denominado PLACAS DEL VEHÍCULO. En consecuencia, de la concatenación que se hace de ambas documentales es posible decir que </w:t>
      </w:r>
      <w:r>
        <w:rPr>
          <w:rFonts w:ascii="Arial" w:hAnsi="Arial" w:cs="Arial"/>
          <w:b/>
          <w:bCs/>
          <w:i/>
          <w:sz w:val="24"/>
          <w:szCs w:val="24"/>
        </w:rPr>
        <w:t xml:space="preserve">si </w:t>
      </w:r>
      <w:r w:rsidR="001A6501">
        <w:rPr>
          <w:rFonts w:ascii="Arial" w:hAnsi="Arial" w:cs="Arial"/>
          <w:bCs/>
          <w:i/>
          <w:sz w:val="24"/>
          <w:szCs w:val="24"/>
        </w:rPr>
        <w:t>**********</w:t>
      </w:r>
      <w:r>
        <w:rPr>
          <w:rFonts w:ascii="Arial" w:hAnsi="Arial" w:cs="Arial"/>
          <w:bCs/>
          <w:i/>
          <w:sz w:val="24"/>
          <w:szCs w:val="24"/>
        </w:rPr>
        <w:t xml:space="preserve"> tiene una relación jurídica con el vehículo con placas de circulación</w:t>
      </w:r>
      <w:r w:rsidR="00137747">
        <w:rPr>
          <w:rFonts w:ascii="Arial" w:hAnsi="Arial" w:cs="Arial"/>
          <w:bCs/>
          <w:i/>
          <w:sz w:val="24"/>
          <w:szCs w:val="24"/>
        </w:rPr>
        <w:t>**********</w:t>
      </w:r>
      <w:r>
        <w:rPr>
          <w:rFonts w:ascii="Arial" w:hAnsi="Arial" w:cs="Arial"/>
          <w:bCs/>
          <w:i/>
          <w:sz w:val="24"/>
          <w:szCs w:val="24"/>
        </w:rPr>
        <w:t xml:space="preserve"> y así está reconocido por la autoridad que expidió la tarjeta de circulación </w:t>
      </w:r>
      <w:r>
        <w:rPr>
          <w:rFonts w:ascii="Arial" w:hAnsi="Arial" w:cs="Arial"/>
          <w:b/>
          <w:bCs/>
          <w:i/>
          <w:sz w:val="24"/>
          <w:szCs w:val="24"/>
        </w:rPr>
        <w:t xml:space="preserve">entonces </w:t>
      </w:r>
      <w:r>
        <w:rPr>
          <w:rFonts w:ascii="Arial" w:hAnsi="Arial" w:cs="Arial"/>
          <w:bCs/>
          <w:i/>
          <w:sz w:val="24"/>
          <w:szCs w:val="24"/>
        </w:rPr>
        <w:t>la emisión del acta de infracción de tránsito 41447 de 26 veintiséis de junio de 2018 dos mil dieciocho respecto del vehículo con placas de circulación</w:t>
      </w:r>
      <w:r w:rsidR="00137747">
        <w:rPr>
          <w:rFonts w:ascii="Arial" w:hAnsi="Arial" w:cs="Arial"/>
          <w:bCs/>
          <w:i/>
          <w:sz w:val="24"/>
          <w:szCs w:val="24"/>
        </w:rPr>
        <w:t>**********</w:t>
      </w:r>
      <w:r>
        <w:rPr>
          <w:rFonts w:ascii="Arial" w:hAnsi="Arial" w:cs="Arial"/>
          <w:b/>
          <w:bCs/>
          <w:i/>
          <w:sz w:val="24"/>
          <w:szCs w:val="24"/>
        </w:rPr>
        <w:t xml:space="preserve"> del estado de México </w:t>
      </w:r>
      <w:r>
        <w:rPr>
          <w:rFonts w:ascii="Arial" w:hAnsi="Arial" w:cs="Arial"/>
          <w:bCs/>
          <w:i/>
          <w:sz w:val="24"/>
          <w:szCs w:val="24"/>
        </w:rPr>
        <w:t xml:space="preserve">afecta la esfera de derechos de la administrada y con ello se cumple la exigencia contenida en el artículo </w:t>
      </w:r>
      <w:r>
        <w:rPr>
          <w:rFonts w:ascii="Arial" w:hAnsi="Arial" w:cs="Arial"/>
          <w:b/>
          <w:bCs/>
          <w:i/>
          <w:sz w:val="24"/>
          <w:szCs w:val="24"/>
        </w:rPr>
        <w:t xml:space="preserve">164 </w:t>
      </w:r>
      <w:r>
        <w:rPr>
          <w:rFonts w:ascii="Arial" w:hAnsi="Arial" w:cs="Arial"/>
          <w:bCs/>
          <w:i/>
          <w:sz w:val="24"/>
          <w:szCs w:val="24"/>
        </w:rPr>
        <w:t xml:space="preserve">de la Ley de Procedimiento y Justicia Administrativa para el Estado de Oaxaca que dispone: “Sólo podrán demandar o intervenir en el juicio, las personas que tengan una interés jurídico o legítimo que funde su pretensión”, </w:t>
      </w:r>
      <w:r>
        <w:rPr>
          <w:rFonts w:ascii="Arial" w:hAnsi="Arial" w:cs="Arial"/>
          <w:b/>
          <w:bCs/>
          <w:i/>
          <w:sz w:val="24"/>
          <w:szCs w:val="24"/>
        </w:rPr>
        <w:t xml:space="preserve">por tanto, </w:t>
      </w:r>
      <w:r>
        <w:rPr>
          <w:rFonts w:ascii="Arial" w:hAnsi="Arial" w:cs="Arial"/>
          <w:bCs/>
          <w:i/>
          <w:sz w:val="24"/>
          <w:szCs w:val="24"/>
        </w:rPr>
        <w:t xml:space="preserve">SE ADMITE a trámite la demanda de </w:t>
      </w:r>
      <w:r w:rsidR="00137747">
        <w:rPr>
          <w:rFonts w:ascii="Arial" w:hAnsi="Arial" w:cs="Arial"/>
          <w:bCs/>
          <w:i/>
          <w:sz w:val="24"/>
          <w:szCs w:val="24"/>
        </w:rPr>
        <w:t>**********</w:t>
      </w:r>
      <w:r>
        <w:rPr>
          <w:rFonts w:ascii="Arial" w:hAnsi="Arial" w:cs="Arial"/>
          <w:bCs/>
          <w:i/>
          <w:sz w:val="24"/>
          <w:szCs w:val="24"/>
        </w:rPr>
        <w:t xml:space="preserve">en contra del acta de infracción de tránsito 41447 de 26 veintiséis de junio de 2018 dos mil dieciocho expedida por el Policía Vial de la Comisión de Seguridad Pública y Vialidad de Oaxaca de Juárez Oaxaca con número estadístico PV-130. Así mismo, con fundamento en los artículos 188 y 159 de la Ley de Procedimiento y Justicia Administrativa para el Estado de Oaxaca, téngasele por ofrecidas y admitidas las siguientes pruebas: </w:t>
      </w:r>
      <w:r>
        <w:rPr>
          <w:rFonts w:ascii="Arial" w:hAnsi="Arial" w:cs="Arial"/>
          <w:b/>
          <w:bCs/>
          <w:i/>
          <w:sz w:val="24"/>
          <w:szCs w:val="24"/>
        </w:rPr>
        <w:t xml:space="preserve">1.  </w:t>
      </w:r>
      <w:r>
        <w:rPr>
          <w:rFonts w:ascii="Arial" w:hAnsi="Arial" w:cs="Arial"/>
          <w:bCs/>
          <w:i/>
          <w:sz w:val="24"/>
          <w:szCs w:val="24"/>
        </w:rPr>
        <w:t xml:space="preserve">Original del acta de infracción folio 41447 de 26 veintiséis de junio de 2018 dos mil dieciocho; </w:t>
      </w:r>
      <w:r>
        <w:rPr>
          <w:rFonts w:ascii="Arial" w:hAnsi="Arial" w:cs="Arial"/>
          <w:b/>
          <w:bCs/>
          <w:i/>
          <w:sz w:val="24"/>
          <w:szCs w:val="24"/>
        </w:rPr>
        <w:t xml:space="preserve">2. </w:t>
      </w:r>
      <w:r>
        <w:rPr>
          <w:rFonts w:ascii="Arial" w:hAnsi="Arial" w:cs="Arial"/>
          <w:bCs/>
          <w:i/>
          <w:sz w:val="24"/>
          <w:szCs w:val="24"/>
        </w:rPr>
        <w:t xml:space="preserve">copia simple de la credencial de elector expedida a nombre de </w:t>
      </w:r>
      <w:r w:rsidR="001A6501">
        <w:rPr>
          <w:rFonts w:ascii="Arial" w:hAnsi="Arial" w:cs="Arial"/>
          <w:bCs/>
          <w:i/>
          <w:sz w:val="24"/>
          <w:szCs w:val="24"/>
        </w:rPr>
        <w:t>**********</w:t>
      </w:r>
      <w:r>
        <w:rPr>
          <w:rFonts w:ascii="Arial" w:hAnsi="Arial" w:cs="Arial"/>
          <w:bCs/>
          <w:i/>
          <w:sz w:val="24"/>
          <w:szCs w:val="24"/>
        </w:rPr>
        <w:t xml:space="preserve">, </w:t>
      </w:r>
      <w:r>
        <w:rPr>
          <w:rFonts w:ascii="Arial" w:hAnsi="Arial" w:cs="Arial"/>
          <w:b/>
          <w:bCs/>
          <w:i/>
          <w:sz w:val="24"/>
          <w:szCs w:val="24"/>
        </w:rPr>
        <w:t xml:space="preserve">3. </w:t>
      </w:r>
      <w:r>
        <w:rPr>
          <w:rFonts w:ascii="Arial" w:hAnsi="Arial" w:cs="Arial"/>
          <w:bCs/>
          <w:i/>
          <w:sz w:val="24"/>
          <w:szCs w:val="24"/>
        </w:rPr>
        <w:t xml:space="preserve">Instrumental de actuaciones y </w:t>
      </w:r>
      <w:r>
        <w:rPr>
          <w:rFonts w:ascii="Arial" w:hAnsi="Arial" w:cs="Arial"/>
          <w:b/>
          <w:bCs/>
          <w:i/>
          <w:sz w:val="24"/>
          <w:szCs w:val="24"/>
        </w:rPr>
        <w:t xml:space="preserve">4. </w:t>
      </w:r>
      <w:r>
        <w:rPr>
          <w:rFonts w:ascii="Arial" w:hAnsi="Arial" w:cs="Arial"/>
          <w:bCs/>
          <w:i/>
          <w:sz w:val="24"/>
          <w:szCs w:val="24"/>
        </w:rPr>
        <w:t xml:space="preserve">Presuncional legal y humana. </w:t>
      </w:r>
    </w:p>
    <w:p w:rsidR="00D93BD7" w:rsidRDefault="00D93BD7" w:rsidP="00B24BD8">
      <w:pPr>
        <w:spacing w:line="276" w:lineRule="auto"/>
        <w:ind w:left="851"/>
        <w:jc w:val="both"/>
        <w:rPr>
          <w:rFonts w:ascii="Arial" w:hAnsi="Arial" w:cs="Arial"/>
          <w:bCs/>
          <w:i/>
          <w:sz w:val="24"/>
          <w:szCs w:val="24"/>
        </w:rPr>
      </w:pPr>
      <w:r>
        <w:rPr>
          <w:rFonts w:ascii="Arial" w:hAnsi="Arial" w:cs="Arial"/>
          <w:bCs/>
          <w:i/>
          <w:sz w:val="24"/>
          <w:szCs w:val="24"/>
        </w:rPr>
        <w:tab/>
        <w:t xml:space="preserve">En consecuencia, con la copia de la demanda y anexos </w:t>
      </w:r>
      <w:r>
        <w:rPr>
          <w:rFonts w:ascii="Arial" w:hAnsi="Arial" w:cs="Arial"/>
          <w:b/>
          <w:bCs/>
          <w:i/>
          <w:sz w:val="24"/>
          <w:szCs w:val="24"/>
        </w:rPr>
        <w:t xml:space="preserve">notifíquese, emplácese y córrase traslado al </w:t>
      </w:r>
      <w:r>
        <w:rPr>
          <w:rFonts w:ascii="Arial" w:hAnsi="Arial" w:cs="Arial"/>
          <w:bCs/>
          <w:i/>
          <w:sz w:val="24"/>
          <w:szCs w:val="24"/>
        </w:rPr>
        <w:t xml:space="preserve">POLICÍA VIAL DE LA COMISIÓN DE SEGURIDAD PÚBLICA Y VIALIDAD DE OAXACA DE JUÁREZ OAXACA con número estadístico PV-130 en el domicilio indicado por la actora en su demanda para que en el plazo de </w:t>
      </w:r>
      <w:r>
        <w:rPr>
          <w:rFonts w:ascii="Arial" w:hAnsi="Arial" w:cs="Arial"/>
          <w:b/>
          <w:bCs/>
          <w:i/>
          <w:sz w:val="24"/>
          <w:szCs w:val="24"/>
          <w:u w:val="single"/>
        </w:rPr>
        <w:t>9 nueve días hábiles</w:t>
      </w:r>
      <w:r>
        <w:rPr>
          <w:rFonts w:ascii="Arial" w:hAnsi="Arial" w:cs="Arial"/>
          <w:bCs/>
          <w:i/>
          <w:sz w:val="24"/>
          <w:szCs w:val="24"/>
        </w:rPr>
        <w:t xml:space="preserve"> contados a partir del día siguiente a aquél en que surta efectos la notificación del presente proveído conteste la demanda de mérito, debiendo referirse a todos y cada uno de los hechos de la demanda, ya sea afirmándolos o negándolos, apercibido que en caso de omisión se le tendrán por presuntivamente ciertos, salvo prueba en contrario. Igualmente, con su libelo de contestación deberá ofrecer y exhibir las pruebas que estime </w:t>
      </w:r>
      <w:r>
        <w:rPr>
          <w:rFonts w:ascii="Arial" w:hAnsi="Arial" w:cs="Arial"/>
          <w:bCs/>
          <w:i/>
          <w:sz w:val="24"/>
          <w:szCs w:val="24"/>
        </w:rPr>
        <w:lastRenderedPageBreak/>
        <w:t xml:space="preserve">pertinentes, apercibido que en caso de incumplimiento se le tendrá por perdido su derecho. </w:t>
      </w:r>
      <w:r>
        <w:rPr>
          <w:rFonts w:ascii="Arial" w:hAnsi="Arial" w:cs="Arial"/>
          <w:b/>
          <w:bCs/>
          <w:i/>
          <w:sz w:val="24"/>
          <w:szCs w:val="24"/>
        </w:rPr>
        <w:t xml:space="preserve">Se requiere </w:t>
      </w:r>
      <w:r>
        <w:rPr>
          <w:rFonts w:ascii="Arial" w:hAnsi="Arial" w:cs="Arial"/>
          <w:bCs/>
          <w:i/>
          <w:sz w:val="24"/>
          <w:szCs w:val="24"/>
        </w:rPr>
        <w:t xml:space="preserve">a la demandada para que al contestar la demanda exhiba una copia de su escrito de contestación y anexos para cada una de las partes, apercibido que en caso de incumplimiento se le tendrá contestando  la demanda en sentido afirmativo, salvo prueba en contrario. Todo esto con fundamento en los artículos 183, 184, 185, 186, 188 y 189 de la Ley de Procedimiento y Justicia Administrativa para el Estado de Oaxaca. </w:t>
      </w:r>
    </w:p>
    <w:p w:rsidR="00D93BD7" w:rsidRDefault="00D93BD7" w:rsidP="00B24BD8">
      <w:pPr>
        <w:spacing w:line="276" w:lineRule="auto"/>
        <w:ind w:left="851"/>
        <w:jc w:val="both"/>
        <w:rPr>
          <w:rFonts w:ascii="Arial" w:hAnsi="Arial" w:cs="Arial"/>
          <w:bCs/>
          <w:i/>
          <w:sz w:val="24"/>
          <w:szCs w:val="24"/>
        </w:rPr>
      </w:pPr>
      <w:r>
        <w:rPr>
          <w:rFonts w:ascii="Arial" w:hAnsi="Arial" w:cs="Arial"/>
          <w:bCs/>
          <w:i/>
          <w:sz w:val="24"/>
          <w:szCs w:val="24"/>
        </w:rPr>
        <w:tab/>
        <w:t>Por último, con fundamento en el artículo 218 fracción IV inciso b) de la Ley de Procedimiento y Justicia Administrativa para el Estado de Oaxaca, virtud que la actora del juicio solicita la suspensión del acto combatido, fórmese cuaderno de suspensión por cuerda separada y provéase al respecto.</w:t>
      </w:r>
    </w:p>
    <w:p w:rsidR="00D93BD7" w:rsidRDefault="00D93BD7" w:rsidP="00B24BD8">
      <w:pPr>
        <w:spacing w:line="276" w:lineRule="auto"/>
        <w:ind w:left="851"/>
        <w:jc w:val="both"/>
        <w:rPr>
          <w:rFonts w:ascii="Arial" w:hAnsi="Arial" w:cs="Arial"/>
          <w:bCs/>
          <w:i/>
          <w:sz w:val="24"/>
          <w:szCs w:val="24"/>
        </w:rPr>
      </w:pPr>
      <w:r>
        <w:rPr>
          <w:rFonts w:ascii="Arial" w:hAnsi="Arial" w:cs="Arial"/>
          <w:bCs/>
          <w:i/>
          <w:sz w:val="24"/>
          <w:szCs w:val="24"/>
        </w:rPr>
        <w:t>…”</w:t>
      </w:r>
    </w:p>
    <w:p w:rsidR="00D93BD7" w:rsidRDefault="00D93BD7" w:rsidP="00D93BD7">
      <w:pPr>
        <w:spacing w:line="360" w:lineRule="auto"/>
        <w:ind w:right="69" w:firstLine="708"/>
        <w:jc w:val="both"/>
        <w:rPr>
          <w:rFonts w:ascii="Arial" w:hAnsi="Arial" w:cs="Arial"/>
          <w:bCs/>
        </w:rPr>
      </w:pPr>
    </w:p>
    <w:p w:rsidR="00D93BD7" w:rsidRDefault="00D93BD7" w:rsidP="00C43594">
      <w:pPr>
        <w:spacing w:line="360" w:lineRule="auto"/>
        <w:ind w:firstLine="708"/>
        <w:jc w:val="both"/>
        <w:rPr>
          <w:rFonts w:ascii="Arial" w:eastAsia="Calibri" w:hAnsi="Arial" w:cs="Arial"/>
          <w:sz w:val="26"/>
          <w:szCs w:val="26"/>
        </w:rPr>
      </w:pPr>
      <w:r w:rsidRPr="00C43594">
        <w:rPr>
          <w:rFonts w:ascii="Arial" w:eastAsia="Calibri" w:hAnsi="Arial" w:cs="Arial"/>
          <w:sz w:val="26"/>
          <w:szCs w:val="26"/>
        </w:rPr>
        <w:t xml:space="preserve">En </w:t>
      </w:r>
      <w:r w:rsidR="004A25C0" w:rsidRPr="00C43594">
        <w:rPr>
          <w:rFonts w:ascii="Arial" w:eastAsia="Calibri" w:hAnsi="Arial" w:cs="Arial"/>
          <w:sz w:val="26"/>
          <w:szCs w:val="26"/>
        </w:rPr>
        <w:t>consecuencia,</w:t>
      </w:r>
      <w:r w:rsidRPr="00C43594">
        <w:rPr>
          <w:rFonts w:ascii="Arial" w:eastAsia="Calibri" w:hAnsi="Arial" w:cs="Arial"/>
          <w:sz w:val="26"/>
          <w:szCs w:val="26"/>
        </w:rPr>
        <w:t xml:space="preserve"> ante las anteriores consideraciones, se </w:t>
      </w:r>
      <w:r w:rsidRPr="00C43594">
        <w:rPr>
          <w:rFonts w:ascii="Arial" w:eastAsia="Calibri" w:hAnsi="Arial" w:cs="Arial"/>
          <w:b/>
          <w:sz w:val="26"/>
          <w:szCs w:val="26"/>
        </w:rPr>
        <w:t xml:space="preserve">REVOCA </w:t>
      </w:r>
      <w:r w:rsidRPr="00C43594">
        <w:rPr>
          <w:rFonts w:ascii="Arial" w:eastAsia="Calibri" w:hAnsi="Arial" w:cs="Arial"/>
          <w:sz w:val="26"/>
          <w:szCs w:val="26"/>
        </w:rPr>
        <w:t>el proveído sujeto a revisión y con fundamento en los artículos 237 y 238 de la Ley de</w:t>
      </w:r>
      <w:r w:rsidR="00C43594">
        <w:rPr>
          <w:rFonts w:ascii="Arial" w:eastAsia="Calibri" w:hAnsi="Arial" w:cs="Arial"/>
          <w:sz w:val="26"/>
          <w:szCs w:val="26"/>
        </w:rPr>
        <w:t xml:space="preserve"> Procedimiento y </w:t>
      </w:r>
      <w:r w:rsidRPr="00C43594">
        <w:rPr>
          <w:rFonts w:ascii="Arial" w:eastAsia="Calibri" w:hAnsi="Arial" w:cs="Arial"/>
          <w:sz w:val="26"/>
          <w:szCs w:val="26"/>
        </w:rPr>
        <w:t>Justicia Administrativa para el Estado de Oaxaca, se:</w:t>
      </w:r>
    </w:p>
    <w:p w:rsidR="00B24BD8" w:rsidRPr="00C43594" w:rsidRDefault="00B24BD8" w:rsidP="00C43594">
      <w:pPr>
        <w:spacing w:line="360" w:lineRule="auto"/>
        <w:ind w:firstLine="708"/>
        <w:jc w:val="both"/>
        <w:rPr>
          <w:rFonts w:ascii="Arial" w:eastAsia="Calibri" w:hAnsi="Arial" w:cs="Arial"/>
          <w:sz w:val="26"/>
          <w:szCs w:val="26"/>
        </w:rPr>
      </w:pPr>
    </w:p>
    <w:p w:rsidR="00D93BD7" w:rsidRPr="00C43594" w:rsidRDefault="00D93BD7" w:rsidP="00D93BD7">
      <w:pPr>
        <w:spacing w:line="360" w:lineRule="auto"/>
        <w:ind w:firstLine="708"/>
        <w:jc w:val="center"/>
        <w:rPr>
          <w:rFonts w:ascii="Arial" w:eastAsia="Calibri" w:hAnsi="Arial" w:cs="Arial"/>
          <w:b/>
          <w:sz w:val="26"/>
          <w:szCs w:val="26"/>
          <w:lang w:val="es-ES"/>
        </w:rPr>
      </w:pPr>
      <w:r w:rsidRPr="00C43594">
        <w:rPr>
          <w:rFonts w:ascii="Arial" w:eastAsia="Calibri" w:hAnsi="Arial" w:cs="Arial"/>
          <w:b/>
          <w:sz w:val="26"/>
          <w:szCs w:val="26"/>
        </w:rPr>
        <w:t>R E S U E L V E</w:t>
      </w:r>
    </w:p>
    <w:p w:rsidR="00D93BD7" w:rsidRPr="00C43594" w:rsidRDefault="00D93BD7" w:rsidP="00D93BD7">
      <w:pPr>
        <w:spacing w:line="360" w:lineRule="auto"/>
        <w:ind w:firstLine="708"/>
        <w:jc w:val="both"/>
        <w:rPr>
          <w:rFonts w:ascii="Arial" w:eastAsia="Calibri" w:hAnsi="Arial" w:cs="Arial"/>
          <w:sz w:val="26"/>
          <w:szCs w:val="26"/>
        </w:rPr>
      </w:pPr>
    </w:p>
    <w:p w:rsidR="00D93BD7" w:rsidRPr="00C43594" w:rsidRDefault="00D93BD7" w:rsidP="00D93BD7">
      <w:pPr>
        <w:spacing w:line="360" w:lineRule="auto"/>
        <w:ind w:firstLine="709"/>
        <w:jc w:val="both"/>
        <w:rPr>
          <w:rFonts w:ascii="Arial" w:eastAsia="Calibri" w:hAnsi="Arial" w:cs="Arial"/>
          <w:sz w:val="26"/>
          <w:szCs w:val="26"/>
        </w:rPr>
      </w:pPr>
      <w:r w:rsidRPr="00C43594">
        <w:rPr>
          <w:rFonts w:ascii="Arial" w:eastAsia="Calibri" w:hAnsi="Arial" w:cs="Arial"/>
          <w:b/>
          <w:sz w:val="26"/>
          <w:szCs w:val="26"/>
        </w:rPr>
        <w:t>PRIMERO</w:t>
      </w:r>
      <w:r w:rsidRPr="00C43594">
        <w:rPr>
          <w:rFonts w:ascii="Arial" w:eastAsia="Calibri" w:hAnsi="Arial" w:cs="Arial"/>
          <w:sz w:val="26"/>
          <w:szCs w:val="26"/>
        </w:rPr>
        <w:t xml:space="preserve">. Se </w:t>
      </w:r>
      <w:r w:rsidRPr="00C43594">
        <w:rPr>
          <w:rFonts w:ascii="Arial" w:eastAsia="Calibri" w:hAnsi="Arial" w:cs="Arial"/>
          <w:b/>
          <w:sz w:val="26"/>
          <w:szCs w:val="26"/>
        </w:rPr>
        <w:t xml:space="preserve">REVOCA </w:t>
      </w:r>
      <w:r w:rsidRPr="00C43594">
        <w:rPr>
          <w:rFonts w:ascii="Arial" w:eastAsia="Calibri" w:hAnsi="Arial" w:cs="Arial"/>
          <w:sz w:val="26"/>
          <w:szCs w:val="26"/>
        </w:rPr>
        <w:t xml:space="preserve">el proveído de 23 veintitrés de octubre de 2018 dos mil dieciocho, </w:t>
      </w:r>
      <w:r w:rsidRPr="00C43594">
        <w:rPr>
          <w:rFonts w:ascii="Arial" w:eastAsia="Calibri" w:hAnsi="Arial" w:cs="Arial"/>
          <w:sz w:val="26"/>
          <w:szCs w:val="26"/>
          <w:lang w:eastAsia="es-ES"/>
        </w:rPr>
        <w:t>por las razones expuestas en el considerando que antecede</w:t>
      </w:r>
      <w:r w:rsidRPr="00C43594">
        <w:rPr>
          <w:rFonts w:ascii="Arial" w:eastAsia="Calibri" w:hAnsi="Arial" w:cs="Arial"/>
          <w:sz w:val="26"/>
          <w:szCs w:val="26"/>
        </w:rPr>
        <w:t xml:space="preserve">. </w:t>
      </w:r>
    </w:p>
    <w:p w:rsidR="00D93BD7" w:rsidRPr="00C43594" w:rsidRDefault="00D93BD7" w:rsidP="00D93BD7">
      <w:pPr>
        <w:spacing w:before="240" w:line="360" w:lineRule="auto"/>
        <w:ind w:firstLine="708"/>
        <w:jc w:val="both"/>
        <w:rPr>
          <w:rFonts w:ascii="Arial" w:eastAsia="Calibri" w:hAnsi="Arial" w:cs="Arial"/>
          <w:sz w:val="26"/>
          <w:szCs w:val="26"/>
        </w:rPr>
      </w:pPr>
      <w:r w:rsidRPr="00C43594">
        <w:rPr>
          <w:rFonts w:ascii="Arial" w:hAnsi="Arial" w:cs="Arial"/>
          <w:b/>
          <w:sz w:val="26"/>
          <w:szCs w:val="26"/>
        </w:rPr>
        <w:t xml:space="preserve">SEGUNDO. NOTIFÍQUESE </w:t>
      </w:r>
      <w:r w:rsidRPr="00C43594">
        <w:rPr>
          <w:rFonts w:ascii="Arial" w:hAnsi="Arial" w:cs="Arial"/>
          <w:sz w:val="26"/>
          <w:szCs w:val="26"/>
        </w:rPr>
        <w:t>en los términos precisados en el considerando TERCERO de la presente resolución y</w:t>
      </w:r>
      <w:r w:rsidRPr="00C43594">
        <w:rPr>
          <w:rFonts w:ascii="Arial" w:hAnsi="Arial" w:cs="Arial"/>
          <w:b/>
          <w:sz w:val="26"/>
          <w:szCs w:val="26"/>
        </w:rPr>
        <w:t xml:space="preserve"> C</w:t>
      </w:r>
      <w:r w:rsidR="004A25C0">
        <w:rPr>
          <w:rFonts w:ascii="Arial" w:hAnsi="Arial" w:cs="Arial"/>
          <w:b/>
          <w:sz w:val="26"/>
          <w:szCs w:val="26"/>
        </w:rPr>
        <w:t>Ú</w:t>
      </w:r>
      <w:r w:rsidRPr="00C43594">
        <w:rPr>
          <w:rFonts w:ascii="Arial" w:hAnsi="Arial" w:cs="Arial"/>
          <w:b/>
          <w:sz w:val="26"/>
          <w:szCs w:val="26"/>
        </w:rPr>
        <w:t>MPLASE,</w:t>
      </w:r>
      <w:r w:rsidRPr="00C43594">
        <w:rPr>
          <w:rFonts w:ascii="Arial" w:hAnsi="Arial" w:cs="Arial"/>
          <w:sz w:val="26"/>
          <w:szCs w:val="26"/>
        </w:rPr>
        <w:t xml:space="preserve"> con copia certificada de la presente resolución, vuelvan las constancias remitidas a la Segunda Sala Unitaria de Primera Instancia, </w:t>
      </w:r>
      <w:r w:rsidRPr="00C43594">
        <w:rPr>
          <w:rFonts w:ascii="Arial" w:eastAsia="Calibri" w:hAnsi="Arial" w:cs="Arial"/>
          <w:sz w:val="26"/>
          <w:szCs w:val="26"/>
        </w:rPr>
        <w:t>y en su oportunidad archívese el cuaderno de revisión como concluido.</w:t>
      </w:r>
    </w:p>
    <w:p w:rsidR="00D93BD7" w:rsidRPr="00C43594" w:rsidRDefault="00D93BD7" w:rsidP="0094234B">
      <w:pPr>
        <w:spacing w:line="360" w:lineRule="auto"/>
        <w:ind w:firstLine="708"/>
        <w:jc w:val="both"/>
        <w:rPr>
          <w:rFonts w:ascii="Arial" w:eastAsia="Times New Roman" w:hAnsi="Arial" w:cs="Arial"/>
          <w:sz w:val="26"/>
          <w:szCs w:val="26"/>
          <w:lang w:eastAsia="es-MX"/>
        </w:rPr>
      </w:pPr>
    </w:p>
    <w:p w:rsidR="0094234B" w:rsidRPr="00C43594" w:rsidRDefault="0094234B" w:rsidP="0094234B">
      <w:pPr>
        <w:spacing w:line="360" w:lineRule="auto"/>
        <w:ind w:firstLine="708"/>
        <w:jc w:val="both"/>
        <w:rPr>
          <w:rFonts w:ascii="Arial" w:eastAsia="Times New Roman" w:hAnsi="Arial" w:cs="Arial"/>
          <w:sz w:val="26"/>
          <w:szCs w:val="26"/>
          <w:lang w:eastAsia="es-MX"/>
        </w:rPr>
      </w:pPr>
      <w:r w:rsidRPr="00C43594">
        <w:rPr>
          <w:rFonts w:ascii="Arial" w:eastAsia="Times New Roman" w:hAnsi="Arial" w:cs="Arial"/>
          <w:sz w:val="26"/>
          <w:szCs w:val="26"/>
          <w:lang w:eastAsia="es-MX"/>
        </w:rPr>
        <w:t xml:space="preserve">Así por </w:t>
      </w:r>
      <w:r w:rsidR="004A25C0">
        <w:rPr>
          <w:rFonts w:ascii="Arial" w:eastAsia="Times New Roman" w:hAnsi="Arial" w:cs="Arial"/>
          <w:sz w:val="26"/>
          <w:szCs w:val="26"/>
          <w:lang w:eastAsia="es-MX"/>
        </w:rPr>
        <w:t>mayoría</w:t>
      </w:r>
      <w:r w:rsidRPr="00C43594">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 </w:t>
      </w:r>
      <w:r w:rsidR="004A25C0">
        <w:rPr>
          <w:rFonts w:ascii="Arial" w:eastAsia="Times New Roman" w:hAnsi="Arial" w:cs="Arial"/>
          <w:sz w:val="26"/>
          <w:szCs w:val="26"/>
          <w:lang w:eastAsia="es-MX"/>
        </w:rPr>
        <w:t>con el voto</w:t>
      </w:r>
      <w:r w:rsidR="00751444">
        <w:rPr>
          <w:rFonts w:ascii="Arial" w:eastAsia="Times New Roman" w:hAnsi="Arial" w:cs="Arial"/>
          <w:sz w:val="26"/>
          <w:szCs w:val="26"/>
          <w:lang w:eastAsia="es-MX"/>
        </w:rPr>
        <w:t xml:space="preserve"> </w:t>
      </w:r>
      <w:r w:rsidR="004A25C0">
        <w:rPr>
          <w:rFonts w:ascii="Arial" w:eastAsia="Times New Roman" w:hAnsi="Arial" w:cs="Arial"/>
          <w:sz w:val="26"/>
          <w:szCs w:val="26"/>
          <w:lang w:eastAsia="es-MX"/>
        </w:rPr>
        <w:t xml:space="preserve">particular del Magistrado Manuel Velasco Alcántara, el cual </w:t>
      </w:r>
      <w:r w:rsidR="00751444">
        <w:rPr>
          <w:rFonts w:ascii="Arial" w:eastAsia="Times New Roman" w:hAnsi="Arial" w:cs="Arial"/>
          <w:sz w:val="26"/>
          <w:szCs w:val="26"/>
          <w:lang w:eastAsia="es-MX"/>
        </w:rPr>
        <w:t xml:space="preserve">se glosa al final de la presente, </w:t>
      </w:r>
      <w:r w:rsidRPr="00C43594">
        <w:rPr>
          <w:rFonts w:ascii="Arial" w:eastAsia="Times New Roman" w:hAnsi="Arial" w:cs="Arial"/>
          <w:sz w:val="26"/>
          <w:szCs w:val="26"/>
          <w:lang w:eastAsia="es-MX"/>
        </w:rPr>
        <w:t>quienes actúan con la Secretaria General de Acuerdos de este Tribunal, que autoriza y da fe.</w:t>
      </w:r>
    </w:p>
    <w:p w:rsidR="0094234B" w:rsidRPr="00C43594" w:rsidRDefault="0094234B" w:rsidP="0094234B">
      <w:pPr>
        <w:tabs>
          <w:tab w:val="left" w:pos="1985"/>
        </w:tabs>
        <w:spacing w:line="360" w:lineRule="auto"/>
        <w:ind w:firstLine="708"/>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B24BD8" w:rsidRDefault="00B24BD8"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lastRenderedPageBreak/>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B24BD8" w:rsidRDefault="00B24BD8" w:rsidP="0094234B">
      <w:pPr>
        <w:rPr>
          <w:rFonts w:ascii="Arial" w:hAnsi="Arial" w:cs="Arial"/>
          <w:sz w:val="26"/>
          <w:szCs w:val="26"/>
        </w:rPr>
      </w:pPr>
    </w:p>
    <w:p w:rsidR="00B24BD8" w:rsidRDefault="00B24BD8" w:rsidP="0094234B">
      <w:pPr>
        <w:rPr>
          <w:rFonts w:ascii="Arial" w:hAnsi="Arial" w:cs="Arial"/>
          <w:sz w:val="26"/>
          <w:szCs w:val="26"/>
        </w:rPr>
      </w:pPr>
    </w:p>
    <w:p w:rsidR="0094234B" w:rsidRDefault="0094234B" w:rsidP="00751444">
      <w:pP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94234B" w:rsidRDefault="0094234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94234B" w:rsidRDefault="0094234B" w:rsidP="0094234B">
      <w:pPr>
        <w:spacing w:line="360" w:lineRule="auto"/>
        <w:jc w:val="center"/>
        <w:rPr>
          <w:rFonts w:ascii="Arial" w:hAnsi="Arial" w:cs="Arial"/>
          <w:sz w:val="26"/>
          <w:szCs w:val="26"/>
        </w:rPr>
      </w:pPr>
    </w:p>
    <w:p w:rsidR="001C5A99" w:rsidRDefault="001C5A99"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751444" w:rsidRDefault="00751444"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691BFA" w:rsidRPr="00F6655D" w:rsidRDefault="0094234B" w:rsidP="00E5750D">
      <w:pPr>
        <w:jc w:val="center"/>
        <w:rPr>
          <w:rFonts w:ascii="Arial" w:hAnsi="Arial" w:cs="Arial"/>
          <w:sz w:val="26"/>
          <w:szCs w:val="26"/>
        </w:rPr>
      </w:pPr>
      <w:r>
        <w:rPr>
          <w:rFonts w:ascii="Arial" w:hAnsi="Arial" w:cs="Arial"/>
          <w:sz w:val="26"/>
          <w:szCs w:val="26"/>
        </w:rPr>
        <w:t xml:space="preserve">  SECRETARIA GENERAL DE ACUERDOS.</w:t>
      </w:r>
    </w:p>
    <w:sectPr w:rsidR="00691BFA" w:rsidRPr="00F6655D" w:rsidSect="00231CEF">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B5B" w:rsidRDefault="009A4B5B">
      <w:r>
        <w:separator/>
      </w:r>
    </w:p>
  </w:endnote>
  <w:endnote w:type="continuationSeparator" w:id="0">
    <w:p w:rsidR="009A4B5B" w:rsidRDefault="009A4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63" w:rsidRDefault="00F84A6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63" w:rsidRDefault="00F84A6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63" w:rsidRDefault="00F84A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B5B" w:rsidRDefault="009A4B5B">
      <w:r>
        <w:separator/>
      </w:r>
    </w:p>
  </w:footnote>
  <w:footnote w:type="continuationSeparator" w:id="0">
    <w:p w:rsidR="009A4B5B" w:rsidRDefault="009A4B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F84A63">
          <w:rPr>
            <w:noProof/>
          </w:rPr>
          <w:t>2</w:t>
        </w:r>
        <w:r>
          <w:rPr>
            <w:noProof/>
          </w:rPr>
          <w:fldChar w:fldCharType="end"/>
        </w:r>
      </w:p>
    </w:sdtContent>
  </w:sdt>
  <w:p w:rsidR="00FB125E" w:rsidRDefault="00F84A63">
    <w:pPr>
      <w:pStyle w:val="Encabezado"/>
    </w:pPr>
    <w:r>
      <w:rPr>
        <w:noProof/>
        <w:lang w:eastAsia="es-MX"/>
      </w:rPr>
      <w:drawing>
        <wp:anchor distT="0" distB="0" distL="114300" distR="114300" simplePos="0" relativeHeight="251664896" behindDoc="0" locked="0" layoutInCell="1" allowOverlap="1" wp14:anchorId="66D801FB" wp14:editId="07D0D659">
          <wp:simplePos x="0" y="0"/>
          <wp:positionH relativeFrom="column">
            <wp:posOffset>5515610</wp:posOffset>
          </wp:positionH>
          <wp:positionV relativeFrom="paragraph">
            <wp:posOffset>4531946</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F84A63">
          <w:rPr>
            <w:noProof/>
          </w:rPr>
          <w:t>1</w:t>
        </w:r>
        <w:r>
          <w:rPr>
            <w:noProof/>
          </w:rPr>
          <w:fldChar w:fldCharType="end"/>
        </w:r>
      </w:p>
      <w:p w:rsidR="00FB125E" w:rsidRDefault="009A4B5B" w:rsidP="00D2291D">
        <w:pPr>
          <w:pStyle w:val="Encabezado"/>
          <w:jc w:val="center"/>
        </w:pPr>
      </w:p>
    </w:sdtContent>
  </w:sdt>
  <w:p w:rsidR="00FB125E" w:rsidRDefault="00F84A63" w:rsidP="00D2291D">
    <w:pPr>
      <w:pStyle w:val="Encabezado"/>
      <w:tabs>
        <w:tab w:val="left" w:pos="142"/>
      </w:tabs>
      <w:ind w:left="284"/>
    </w:pPr>
    <w:bookmarkStart w:id="0" w:name="_GoBack"/>
    <w:r>
      <w:rPr>
        <w:noProof/>
        <w:lang w:eastAsia="es-MX"/>
      </w:rPr>
      <w:drawing>
        <wp:anchor distT="0" distB="0" distL="114300" distR="114300" simplePos="0" relativeHeight="251662848" behindDoc="0" locked="0" layoutInCell="1" allowOverlap="1" wp14:anchorId="1ECB48E6" wp14:editId="77B87233">
          <wp:simplePos x="0" y="0"/>
          <wp:positionH relativeFrom="column">
            <wp:posOffset>-1495279</wp:posOffset>
          </wp:positionH>
          <wp:positionV relativeFrom="paragraph">
            <wp:posOffset>5576276</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FB125E" w:rsidRPr="003E6AD7">
      <w:rPr>
        <w:noProof/>
        <w:lang w:val="es-MX" w:eastAsia="es-MX"/>
      </w:rPr>
      <w:drawing>
        <wp:anchor distT="0" distB="0" distL="114300" distR="114300" simplePos="0" relativeHeight="251658752" behindDoc="0" locked="0" layoutInCell="1" allowOverlap="1" wp14:anchorId="11138085" wp14:editId="34361A60">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4656" behindDoc="1" locked="0" layoutInCell="1" allowOverlap="1" wp14:anchorId="1A9EA739" wp14:editId="53820116">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63" w:rsidRDefault="00F84A6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5F10CC2"/>
    <w:multiLevelType w:val="hybridMultilevel"/>
    <w:tmpl w:val="22800AF4"/>
    <w:lvl w:ilvl="0" w:tplc="8C3A039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4D5ED1"/>
    <w:multiLevelType w:val="hybridMultilevel"/>
    <w:tmpl w:val="B44AEF36"/>
    <w:lvl w:ilvl="0" w:tplc="C554B22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0">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2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8"/>
  </w:num>
  <w:num w:numId="3">
    <w:abstractNumId w:val="23"/>
  </w:num>
  <w:num w:numId="4">
    <w:abstractNumId w:val="20"/>
  </w:num>
  <w:num w:numId="5">
    <w:abstractNumId w:val="5"/>
  </w:num>
  <w:num w:numId="6">
    <w:abstractNumId w:val="24"/>
  </w:num>
  <w:num w:numId="7">
    <w:abstractNumId w:val="0"/>
  </w:num>
  <w:num w:numId="8">
    <w:abstractNumId w:val="21"/>
  </w:num>
  <w:num w:numId="9">
    <w:abstractNumId w:val="15"/>
  </w:num>
  <w:num w:numId="10">
    <w:abstractNumId w:val="9"/>
  </w:num>
  <w:num w:numId="11">
    <w:abstractNumId w:val="12"/>
  </w:num>
  <w:num w:numId="12">
    <w:abstractNumId w:val="18"/>
  </w:num>
  <w:num w:numId="13">
    <w:abstractNumId w:val="7"/>
  </w:num>
  <w:num w:numId="14">
    <w:abstractNumId w:val="22"/>
  </w:num>
  <w:num w:numId="15">
    <w:abstractNumId w:val="19"/>
  </w:num>
  <w:num w:numId="16">
    <w:abstractNumId w:val="4"/>
  </w:num>
  <w:num w:numId="17">
    <w:abstractNumId w:val="2"/>
  </w:num>
  <w:num w:numId="18">
    <w:abstractNumId w:val="16"/>
  </w:num>
  <w:num w:numId="19">
    <w:abstractNumId w:val="14"/>
  </w:num>
  <w:num w:numId="20">
    <w:abstractNumId w:val="17"/>
  </w:num>
  <w:num w:numId="21">
    <w:abstractNumId w:val="11"/>
  </w:num>
  <w:num w:numId="22">
    <w:abstractNumId w:val="10"/>
  </w:num>
  <w:num w:numId="23">
    <w:abstractNumId w:val="13"/>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0E03"/>
    <w:rsid w:val="00034661"/>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0F6BCD"/>
    <w:rsid w:val="0010116F"/>
    <w:rsid w:val="00112977"/>
    <w:rsid w:val="001233BF"/>
    <w:rsid w:val="001236FF"/>
    <w:rsid w:val="0012652F"/>
    <w:rsid w:val="00127CA2"/>
    <w:rsid w:val="00132D70"/>
    <w:rsid w:val="00134084"/>
    <w:rsid w:val="001346F2"/>
    <w:rsid w:val="00137747"/>
    <w:rsid w:val="00147F10"/>
    <w:rsid w:val="001548AE"/>
    <w:rsid w:val="00163736"/>
    <w:rsid w:val="00164724"/>
    <w:rsid w:val="00164900"/>
    <w:rsid w:val="00166448"/>
    <w:rsid w:val="00166DA6"/>
    <w:rsid w:val="00173F96"/>
    <w:rsid w:val="00185992"/>
    <w:rsid w:val="001866F5"/>
    <w:rsid w:val="00186E02"/>
    <w:rsid w:val="00190E4C"/>
    <w:rsid w:val="0019363B"/>
    <w:rsid w:val="00194DAA"/>
    <w:rsid w:val="00195BEA"/>
    <w:rsid w:val="001A6501"/>
    <w:rsid w:val="001A7270"/>
    <w:rsid w:val="001B49BA"/>
    <w:rsid w:val="001B4BF9"/>
    <w:rsid w:val="001C362A"/>
    <w:rsid w:val="001C49AF"/>
    <w:rsid w:val="001C5A99"/>
    <w:rsid w:val="001D1CC8"/>
    <w:rsid w:val="001D449A"/>
    <w:rsid w:val="001E1D05"/>
    <w:rsid w:val="001E54F8"/>
    <w:rsid w:val="001E5ED9"/>
    <w:rsid w:val="001F2610"/>
    <w:rsid w:val="001F5246"/>
    <w:rsid w:val="001F60FB"/>
    <w:rsid w:val="002120E1"/>
    <w:rsid w:val="002147B8"/>
    <w:rsid w:val="002150C4"/>
    <w:rsid w:val="002226C7"/>
    <w:rsid w:val="00222723"/>
    <w:rsid w:val="00231CEF"/>
    <w:rsid w:val="00232956"/>
    <w:rsid w:val="00240FFF"/>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4FCD"/>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50FC"/>
    <w:rsid w:val="00446F54"/>
    <w:rsid w:val="004505CE"/>
    <w:rsid w:val="00452E9D"/>
    <w:rsid w:val="00453503"/>
    <w:rsid w:val="0046514D"/>
    <w:rsid w:val="004672DE"/>
    <w:rsid w:val="004717D1"/>
    <w:rsid w:val="00471F7C"/>
    <w:rsid w:val="00477889"/>
    <w:rsid w:val="00477E39"/>
    <w:rsid w:val="004816C1"/>
    <w:rsid w:val="00487E10"/>
    <w:rsid w:val="004910F5"/>
    <w:rsid w:val="00492852"/>
    <w:rsid w:val="00492858"/>
    <w:rsid w:val="0049627F"/>
    <w:rsid w:val="004A0D4D"/>
    <w:rsid w:val="004A25C0"/>
    <w:rsid w:val="004A5D49"/>
    <w:rsid w:val="004B0BA6"/>
    <w:rsid w:val="004C4BEF"/>
    <w:rsid w:val="004D2667"/>
    <w:rsid w:val="004E06C4"/>
    <w:rsid w:val="004E4378"/>
    <w:rsid w:val="00500A28"/>
    <w:rsid w:val="00502A34"/>
    <w:rsid w:val="00503C04"/>
    <w:rsid w:val="005046F5"/>
    <w:rsid w:val="00504721"/>
    <w:rsid w:val="0050685C"/>
    <w:rsid w:val="00511DA6"/>
    <w:rsid w:val="005156E2"/>
    <w:rsid w:val="00517757"/>
    <w:rsid w:val="00517BA8"/>
    <w:rsid w:val="00517C71"/>
    <w:rsid w:val="00521FE5"/>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856A0"/>
    <w:rsid w:val="00691BFA"/>
    <w:rsid w:val="006B246A"/>
    <w:rsid w:val="006B670E"/>
    <w:rsid w:val="006B77A0"/>
    <w:rsid w:val="006C2BDB"/>
    <w:rsid w:val="006C530F"/>
    <w:rsid w:val="006C5486"/>
    <w:rsid w:val="006C7FC4"/>
    <w:rsid w:val="006F0298"/>
    <w:rsid w:val="006F271C"/>
    <w:rsid w:val="006F7A7A"/>
    <w:rsid w:val="00704BEF"/>
    <w:rsid w:val="007072C4"/>
    <w:rsid w:val="007114E9"/>
    <w:rsid w:val="0071510F"/>
    <w:rsid w:val="0072015D"/>
    <w:rsid w:val="00720A67"/>
    <w:rsid w:val="0072208F"/>
    <w:rsid w:val="0072648B"/>
    <w:rsid w:val="007317E2"/>
    <w:rsid w:val="0073383B"/>
    <w:rsid w:val="007424DA"/>
    <w:rsid w:val="00746018"/>
    <w:rsid w:val="00751444"/>
    <w:rsid w:val="00752691"/>
    <w:rsid w:val="00754338"/>
    <w:rsid w:val="007557B3"/>
    <w:rsid w:val="00760D05"/>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A4B5B"/>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B03795"/>
    <w:rsid w:val="00B06703"/>
    <w:rsid w:val="00B24BD8"/>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137BE"/>
    <w:rsid w:val="00C269CC"/>
    <w:rsid w:val="00C26DF1"/>
    <w:rsid w:val="00C345FA"/>
    <w:rsid w:val="00C368FF"/>
    <w:rsid w:val="00C413FC"/>
    <w:rsid w:val="00C43594"/>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3D88"/>
    <w:rsid w:val="00D149B5"/>
    <w:rsid w:val="00D172D0"/>
    <w:rsid w:val="00D2291D"/>
    <w:rsid w:val="00D336A0"/>
    <w:rsid w:val="00D37493"/>
    <w:rsid w:val="00D54DEE"/>
    <w:rsid w:val="00D73FCC"/>
    <w:rsid w:val="00D755DB"/>
    <w:rsid w:val="00D80903"/>
    <w:rsid w:val="00D81032"/>
    <w:rsid w:val="00D87C80"/>
    <w:rsid w:val="00D93BD7"/>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750D"/>
    <w:rsid w:val="00E623DB"/>
    <w:rsid w:val="00E65999"/>
    <w:rsid w:val="00E7288B"/>
    <w:rsid w:val="00E803DF"/>
    <w:rsid w:val="00E81A1F"/>
    <w:rsid w:val="00E82872"/>
    <w:rsid w:val="00E8373D"/>
    <w:rsid w:val="00E9739E"/>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4A6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F4B455-F68D-46DE-BF98-AA538B4E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44298124">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ACD5ECB3-456D-4F29-BD83-3EB194715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10</Pages>
  <Words>3405</Words>
  <Characters>18729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112</cp:revision>
  <cp:lastPrinted>2018-06-28T19:06:00Z</cp:lastPrinted>
  <dcterms:created xsi:type="dcterms:W3CDTF">2018-08-24T02:19:00Z</dcterms:created>
  <dcterms:modified xsi:type="dcterms:W3CDTF">2019-06-25T16:38:00Z</dcterms:modified>
</cp:coreProperties>
</file>