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781" w:type="dxa"/>
        <w:tblLayout w:type="fixed"/>
        <w:tblCellMar>
          <w:left w:w="70" w:type="dxa"/>
          <w:right w:w="70" w:type="dxa"/>
        </w:tblCellMar>
        <w:tblLook w:val="04A0" w:firstRow="1" w:lastRow="0" w:firstColumn="1" w:lastColumn="0" w:noHBand="0" w:noVBand="1"/>
      </w:tblPr>
      <w:tblGrid>
        <w:gridCol w:w="2356"/>
        <w:gridCol w:w="6717"/>
      </w:tblGrid>
      <w:tr w:rsidR="009F3B39" w:rsidTr="009F3B39">
        <w:tc>
          <w:tcPr>
            <w:tcW w:w="2356" w:type="dxa"/>
          </w:tcPr>
          <w:p w:rsidR="009F3B39" w:rsidRDefault="009F3B39">
            <w:pPr>
              <w:spacing w:after="0" w:line="240" w:lineRule="auto"/>
              <w:rPr>
                <w:rFonts w:ascii="Arial" w:hAnsi="Arial" w:cs="Arial"/>
                <w:b/>
                <w:sz w:val="26"/>
                <w:szCs w:val="26"/>
              </w:rPr>
            </w:pPr>
          </w:p>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9F3B39" w:rsidRPr="009F3B39" w:rsidRDefault="009F3B39" w:rsidP="009F3B39">
            <w:pPr>
              <w:tabs>
                <w:tab w:val="left" w:pos="3103"/>
              </w:tabs>
              <w:spacing w:after="0" w:line="240" w:lineRule="auto"/>
              <w:ind w:left="1260"/>
              <w:jc w:val="both"/>
              <w:rPr>
                <w:rFonts w:ascii="Arial" w:hAnsi="Arial" w:cs="Arial"/>
                <w:b/>
                <w:iCs/>
                <w:caps/>
                <w:sz w:val="26"/>
                <w:szCs w:val="26"/>
              </w:rPr>
            </w:pPr>
            <w:r w:rsidRPr="009F3B39">
              <w:rPr>
                <w:rFonts w:ascii="Arial" w:hAnsi="Arial" w:cs="Arial"/>
                <w:b/>
                <w:iCs/>
                <w:caps/>
                <w:sz w:val="26"/>
                <w:szCs w:val="26"/>
              </w:rPr>
              <w:t>SALA SUPERIOR DEL TRIBUNAL DE JUSTICIA ADMINISTRATIVA DEL ESTADO DE OAXACA</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RECURSO DE REVISIÓN:   0045/2018</w:t>
            </w:r>
          </w:p>
          <w:p w:rsidR="009F3B39" w:rsidRPr="009F3B39" w:rsidRDefault="009F3B39" w:rsidP="009F3B39">
            <w:pPr>
              <w:pStyle w:val="Encabezado"/>
              <w:tabs>
                <w:tab w:val="clear" w:pos="4252"/>
              </w:tabs>
              <w:ind w:left="1260" w:right="51"/>
              <w:jc w:val="both"/>
              <w:rPr>
                <w:rFonts w:ascii="Arial" w:hAnsi="Arial" w:cs="Arial"/>
                <w:b/>
                <w:iCs/>
                <w:caps/>
                <w:sz w:val="26"/>
                <w:szCs w:val="26"/>
              </w:rPr>
            </w:pP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EXPE</w:t>
            </w:r>
            <w:r>
              <w:rPr>
                <w:rFonts w:ascii="Arial" w:hAnsi="Arial" w:cs="Arial"/>
                <w:b/>
                <w:iCs/>
                <w:caps/>
                <w:sz w:val="26"/>
                <w:szCs w:val="26"/>
              </w:rPr>
              <w:t xml:space="preserve">DIENTE: 0306/2016 DE LA SépTimA salA </w:t>
            </w:r>
            <w:r w:rsidRPr="009F3B39">
              <w:rPr>
                <w:rFonts w:ascii="Arial" w:hAnsi="Arial" w:cs="Arial"/>
                <w:b/>
                <w:iCs/>
                <w:caps/>
                <w:sz w:val="26"/>
                <w:szCs w:val="26"/>
              </w:rPr>
              <w:t>UNITARIA de prime</w:t>
            </w:r>
            <w:bookmarkStart w:id="0" w:name="_GoBack"/>
            <w:bookmarkEnd w:id="0"/>
            <w:r w:rsidRPr="009F3B39">
              <w:rPr>
                <w:rFonts w:ascii="Arial" w:hAnsi="Arial" w:cs="Arial"/>
                <w:b/>
                <w:iCs/>
                <w:caps/>
                <w:sz w:val="26"/>
                <w:szCs w:val="26"/>
              </w:rPr>
              <w:t xml:space="preserve">ra instancia </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9F3B39" w:rsidP="009F3B39">
            <w:pPr>
              <w:pStyle w:val="Encabezado"/>
              <w:tabs>
                <w:tab w:val="clear" w:pos="4252"/>
              </w:tabs>
              <w:ind w:left="1260" w:right="51" w:hanging="1260"/>
              <w:jc w:val="both"/>
              <w:rPr>
                <w:rFonts w:ascii="Arial" w:hAnsi="Arial" w:cs="Arial"/>
                <w:b/>
                <w:iCs/>
                <w:caps/>
                <w:sz w:val="26"/>
                <w:szCs w:val="26"/>
              </w:rPr>
            </w:pPr>
            <w:r w:rsidRPr="009F3B39">
              <w:rPr>
                <w:rFonts w:ascii="Arial" w:hAnsi="Arial" w:cs="Arial"/>
                <w:b/>
                <w:iCs/>
                <w:caps/>
                <w:sz w:val="26"/>
                <w:szCs w:val="26"/>
              </w:rPr>
              <w:t xml:space="preserve">                 pone</w:t>
            </w:r>
            <w:r>
              <w:rPr>
                <w:rFonts w:ascii="Arial" w:hAnsi="Arial" w:cs="Arial"/>
                <w:b/>
                <w:iCs/>
                <w:caps/>
                <w:sz w:val="26"/>
                <w:szCs w:val="26"/>
              </w:rPr>
              <w:t xml:space="preserve">nte: magISTRADO MANUEL VELASCO </w:t>
            </w:r>
            <w:r w:rsidRPr="009F3B39">
              <w:rPr>
                <w:rFonts w:ascii="Arial" w:hAnsi="Arial" w:cs="Arial"/>
                <w:b/>
                <w:iCs/>
                <w:caps/>
                <w:sz w:val="26"/>
                <w:szCs w:val="26"/>
              </w:rPr>
              <w:t>ALCÁNTARA.</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tcPr>
          <w:p w:rsidR="009F3B39" w:rsidRDefault="009F3B39">
            <w:pPr>
              <w:tabs>
                <w:tab w:val="left" w:pos="3103"/>
              </w:tabs>
              <w:spacing w:after="0" w:line="240" w:lineRule="auto"/>
              <w:ind w:left="2961" w:hanging="2961"/>
              <w:jc w:val="both"/>
              <w:rPr>
                <w:rFonts w:ascii="Arial" w:hAnsi="Arial" w:cs="Arial"/>
                <w:b/>
                <w:i/>
                <w:iCs/>
                <w:caps/>
                <w:sz w:val="26"/>
                <w:szCs w:val="26"/>
              </w:rPr>
            </w:pPr>
          </w:p>
        </w:tc>
      </w:tr>
    </w:tbl>
    <w:p w:rsidR="009F3B39" w:rsidRDefault="009F3B39" w:rsidP="009F3B39">
      <w:pPr>
        <w:spacing w:line="360" w:lineRule="auto"/>
        <w:jc w:val="both"/>
        <w:rPr>
          <w:rFonts w:ascii="Arial" w:hAnsi="Arial" w:cs="Arial"/>
          <w:b/>
          <w:sz w:val="24"/>
          <w:szCs w:val="24"/>
        </w:rPr>
      </w:pPr>
      <w:r>
        <w:rPr>
          <w:rFonts w:ascii="Arial" w:hAnsi="Arial" w:cs="Arial"/>
          <w:b/>
          <w:sz w:val="24"/>
          <w:szCs w:val="24"/>
        </w:rPr>
        <w:t>OAXACA DE JUÁREZ, OAXACA, VEINTIDÓS DE NOVIEMBRE DE DOS MIL DIECIOCHO.</w:t>
      </w:r>
    </w:p>
    <w:p w:rsidR="009F3B39" w:rsidRPr="009F3B39" w:rsidRDefault="009F3B39" w:rsidP="009F3B39">
      <w:pPr>
        <w:spacing w:before="240" w:after="0" w:line="360" w:lineRule="auto"/>
        <w:ind w:firstLine="708"/>
        <w:jc w:val="both"/>
        <w:rPr>
          <w:rFonts w:ascii="Arial" w:hAnsi="Arial" w:cs="Arial"/>
          <w:sz w:val="26"/>
          <w:szCs w:val="26"/>
          <w:lang w:val="es-MX"/>
        </w:rPr>
      </w:pPr>
      <w:r>
        <w:rPr>
          <w:rFonts w:ascii="Arial" w:hAnsi="Arial" w:cs="Arial"/>
          <w:sz w:val="26"/>
          <w:szCs w:val="26"/>
          <w:lang w:val="es-MX"/>
        </w:rPr>
        <w:t>Se</w:t>
      </w:r>
      <w:r>
        <w:rPr>
          <w:rFonts w:ascii="Arial" w:hAnsi="Arial" w:cs="Arial"/>
          <w:sz w:val="26"/>
          <w:szCs w:val="26"/>
        </w:rPr>
        <w:t xml:space="preserve"> tiene por recibido el Cuaderno de Revisión </w:t>
      </w:r>
      <w:r>
        <w:rPr>
          <w:rFonts w:ascii="Arial" w:hAnsi="Arial" w:cs="Arial"/>
          <w:b/>
          <w:sz w:val="26"/>
          <w:szCs w:val="26"/>
        </w:rPr>
        <w:t>0045/2018,</w:t>
      </w:r>
      <w:r>
        <w:rPr>
          <w:rFonts w:ascii="Arial" w:hAnsi="Arial" w:cs="Arial"/>
          <w:sz w:val="26"/>
          <w:szCs w:val="26"/>
        </w:rPr>
        <w:t xml:space="preserve"> que remite la Secretaría General de Acuerdos, </w:t>
      </w:r>
      <w:r>
        <w:rPr>
          <w:rFonts w:ascii="Arial" w:hAnsi="Arial" w:cs="Arial"/>
          <w:sz w:val="26"/>
          <w:szCs w:val="26"/>
          <w:lang w:val="es-MX"/>
        </w:rPr>
        <w:t xml:space="preserve">con motivo del recurso de revisión interpuesto por </w:t>
      </w:r>
      <w:r>
        <w:rPr>
          <w:rFonts w:ascii="Arial" w:hAnsi="Arial" w:cs="Arial"/>
          <w:b/>
          <w:sz w:val="26"/>
          <w:szCs w:val="26"/>
          <w:lang w:val="es-MX"/>
        </w:rPr>
        <w:t>MARTÍN NEFTALÍ MENDOZA MORALES, DIRECTOR GENERAL DE ASUNTOS JURÍDICOS DE LA SECRETARÍA DE SEGURIDAD PÚBLICA DE OAXACA</w:t>
      </w:r>
      <w:r w:rsidR="003D7788">
        <w:rPr>
          <w:rFonts w:ascii="Arial" w:hAnsi="Arial" w:cs="Arial"/>
          <w:sz w:val="26"/>
          <w:szCs w:val="26"/>
          <w:lang w:val="es-MX"/>
        </w:rPr>
        <w:t>, en contra de la sentencia de</w:t>
      </w:r>
      <w:r>
        <w:rPr>
          <w:rFonts w:ascii="Arial" w:hAnsi="Arial" w:cs="Arial"/>
          <w:sz w:val="26"/>
          <w:szCs w:val="26"/>
          <w:lang w:val="es-MX"/>
        </w:rPr>
        <w:t xml:space="preserve"> seis de diciembre de dos mil diecisiete, dictada en el expediente </w:t>
      </w:r>
      <w:r>
        <w:rPr>
          <w:rFonts w:ascii="Arial" w:hAnsi="Arial" w:cs="Arial"/>
          <w:b/>
          <w:bCs/>
          <w:iCs/>
          <w:sz w:val="26"/>
          <w:szCs w:val="26"/>
        </w:rPr>
        <w:t>0306</w:t>
      </w:r>
      <w:r>
        <w:rPr>
          <w:rFonts w:ascii="Arial" w:hAnsi="Arial" w:cs="Arial"/>
          <w:b/>
          <w:sz w:val="26"/>
          <w:szCs w:val="26"/>
          <w:lang w:val="es-MX"/>
        </w:rPr>
        <w:t>/2016,</w:t>
      </w:r>
      <w:r>
        <w:rPr>
          <w:rFonts w:ascii="Arial" w:hAnsi="Arial" w:cs="Arial"/>
          <w:sz w:val="26"/>
          <w:szCs w:val="26"/>
          <w:lang w:val="es-MX"/>
        </w:rPr>
        <w:t xml:space="preserve"> del índice de la Séptima Sala Unitaria de Primera Instancia del otrora Tribunal de lo Contencioso Administrativo y de Cuentas del Poder Judicial del Estado, relativo al juicio de nulidad promovido por </w:t>
      </w:r>
      <w:r w:rsidR="003371F5">
        <w:rPr>
          <w:rFonts w:ascii="Arial" w:hAnsi="Arial" w:cs="Arial"/>
          <w:b/>
          <w:sz w:val="26"/>
          <w:szCs w:val="26"/>
          <w:lang w:val="es-MX"/>
        </w:rPr>
        <w:t>***********</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SECRETARIO DE SEGURIDAD PÚBLICA DEL ESTADO DE OAXACA, DIRECTOR GENERAL DE REINSERCIÓN SOCIAL Y DEL DIRECTOR DEL RECLUSORIO REGIONAL DE TEHUANTEPEC, OAXACA, </w:t>
      </w:r>
      <w:r>
        <w:rPr>
          <w:rFonts w:ascii="Arial" w:hAnsi="Arial" w:cs="Arial"/>
          <w:sz w:val="26"/>
          <w:szCs w:val="26"/>
          <w:lang w:val="es-MX"/>
        </w:rPr>
        <w:t>por lo que con fundamento en los artículos 207 y 208,  de la Ley de Justicia Administrativa para el Estado de Oaxaca, vigente hasta el veinte de octubre de dos mil diecisiete, se admite. En consecuencia, se procede a dictar resolución en los siguientes términos:</w:t>
      </w:r>
    </w:p>
    <w:p w:rsidR="009F3B39" w:rsidRDefault="009F3B39" w:rsidP="009F3B39">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9F3B39" w:rsidRDefault="009F3B39" w:rsidP="009F3B39">
      <w:pPr>
        <w:spacing w:before="240" w:line="360" w:lineRule="auto"/>
        <w:jc w:val="both"/>
        <w:rPr>
          <w:rFonts w:ascii="Arial" w:hAnsi="Arial" w:cs="Arial"/>
          <w:sz w:val="26"/>
          <w:szCs w:val="26"/>
          <w:lang w:val="es-MX"/>
        </w:rPr>
      </w:pPr>
      <w:r>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6 seis de diciembre de 2017 dos mil diecisiete, dictada por la Séptima Sala Unitaria de Primera Instancia, </w:t>
      </w:r>
      <w:r>
        <w:rPr>
          <w:rFonts w:ascii="Arial" w:hAnsi="Arial" w:cs="Arial"/>
          <w:b/>
          <w:sz w:val="26"/>
          <w:szCs w:val="26"/>
          <w:lang w:val="es-MX"/>
        </w:rPr>
        <w:t>MARTÍN NEFTALÍ MENDOZA MORALES, DIRECTOR GENERAL DE ASUNTOS JURÍDICOS DE LA SECRETARÍA DE SEGURIDAD PÚBLICA DE OAXACA</w:t>
      </w:r>
      <w:r>
        <w:rPr>
          <w:rFonts w:ascii="Arial" w:hAnsi="Arial" w:cs="Arial"/>
          <w:sz w:val="26"/>
          <w:szCs w:val="26"/>
          <w:lang w:val="es-MX"/>
        </w:rPr>
        <w:t>, interpuso en su contra recurso de revisión.</w:t>
      </w:r>
    </w:p>
    <w:p w:rsidR="009F3B39" w:rsidRDefault="009F3B39" w:rsidP="009F3B39">
      <w:pPr>
        <w:spacing w:before="240" w:line="360" w:lineRule="auto"/>
        <w:jc w:val="both"/>
        <w:rPr>
          <w:rFonts w:ascii="Arial" w:hAnsi="Arial" w:cs="Arial"/>
          <w:sz w:val="26"/>
          <w:szCs w:val="26"/>
          <w:lang w:val="es-MX"/>
        </w:rPr>
      </w:pPr>
      <w:r>
        <w:rPr>
          <w:rFonts w:ascii="Arial" w:hAnsi="Arial" w:cs="Arial"/>
          <w:sz w:val="26"/>
          <w:szCs w:val="26"/>
          <w:lang w:val="es-MX"/>
        </w:rPr>
        <w:lastRenderedPageBreak/>
        <w:tab/>
      </w:r>
      <w:r>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9F3B39" w:rsidRDefault="009F3B39" w:rsidP="009F3B39">
      <w:pPr>
        <w:autoSpaceDE w:val="0"/>
        <w:autoSpaceDN w:val="0"/>
        <w:adjustRightInd w:val="0"/>
        <w:spacing w:after="0" w:line="360" w:lineRule="auto"/>
        <w:ind w:left="1134"/>
        <w:jc w:val="both"/>
        <w:rPr>
          <w:rFonts w:ascii="Calibri" w:hAnsi="Calibri" w:cs="Calibri"/>
          <w:i/>
          <w:sz w:val="24"/>
          <w:szCs w:val="24"/>
          <w:lang w:val="es-MX"/>
        </w:rPr>
      </w:pPr>
      <w:r>
        <w:rPr>
          <w:rFonts w:cs="Calibri"/>
          <w:i/>
          <w:sz w:val="24"/>
          <w:szCs w:val="24"/>
          <w:lang w:val="es-MX"/>
        </w:rPr>
        <w:t>“</w:t>
      </w:r>
      <w:r>
        <w:rPr>
          <w:rFonts w:cs="Calibri"/>
          <w:b/>
          <w:i/>
          <w:sz w:val="24"/>
          <w:szCs w:val="24"/>
          <w:lang w:val="es-MX"/>
        </w:rPr>
        <w:t xml:space="preserve">PRIMERO. </w:t>
      </w:r>
      <w:r>
        <w:rPr>
          <w:rFonts w:cs="Calibri"/>
          <w:i/>
          <w:sz w:val="24"/>
          <w:szCs w:val="24"/>
          <w:lang w:val="es-MX"/>
        </w:rPr>
        <w:t>Esta Séptima Sala Unitaria de Primera Instancia del Tribunal de lo Contencioso Administrativo y de Cuentas del Poder Judicial del Estado, es legalmente competente para conocer y resolver del presente juicio de Nulidad.------------------------------------------------------------------------</w:t>
      </w:r>
    </w:p>
    <w:p w:rsidR="009F3B39" w:rsidRDefault="009F3B39" w:rsidP="009F3B39">
      <w:pPr>
        <w:autoSpaceDE w:val="0"/>
        <w:autoSpaceDN w:val="0"/>
        <w:adjustRightInd w:val="0"/>
        <w:spacing w:after="0" w:line="360" w:lineRule="auto"/>
        <w:ind w:left="1134"/>
        <w:jc w:val="both"/>
        <w:rPr>
          <w:rFonts w:cs="Calibri"/>
          <w:i/>
          <w:sz w:val="24"/>
          <w:szCs w:val="24"/>
          <w:lang w:val="es-MX"/>
        </w:rPr>
      </w:pPr>
      <w:r>
        <w:rPr>
          <w:rFonts w:cs="Calibri"/>
          <w:b/>
          <w:i/>
          <w:sz w:val="24"/>
          <w:szCs w:val="24"/>
          <w:lang w:val="es-MX"/>
        </w:rPr>
        <w:t>SEGUNDO</w:t>
      </w:r>
      <w:r>
        <w:rPr>
          <w:rFonts w:cs="Calibri"/>
          <w:i/>
          <w:sz w:val="24"/>
          <w:szCs w:val="24"/>
          <w:lang w:val="es-MX"/>
        </w:rPr>
        <w:t xml:space="preserve">. No se actualizó causal de improcedencia alguna, por lo que </w:t>
      </w:r>
      <w:r>
        <w:rPr>
          <w:rFonts w:cs="Calibri"/>
          <w:b/>
          <w:i/>
          <w:sz w:val="24"/>
          <w:szCs w:val="24"/>
          <w:lang w:val="es-MX"/>
        </w:rPr>
        <w:t>NO SE SOBRESEE EL JUICIO,</w:t>
      </w:r>
      <w:r>
        <w:rPr>
          <w:rFonts w:cs="Calibri"/>
          <w:i/>
          <w:sz w:val="24"/>
          <w:szCs w:val="24"/>
          <w:lang w:val="es-MX"/>
        </w:rPr>
        <w:t xml:space="preserve"> de conformidad con lo expuesto en el considerando QUINTO de esta resolución. ---------------------------------------</w:t>
      </w:r>
    </w:p>
    <w:p w:rsidR="009F3B39" w:rsidRDefault="009F3B39" w:rsidP="009F3B39">
      <w:pPr>
        <w:autoSpaceDE w:val="0"/>
        <w:autoSpaceDN w:val="0"/>
        <w:adjustRightInd w:val="0"/>
        <w:spacing w:after="0" w:line="360" w:lineRule="auto"/>
        <w:ind w:left="1134"/>
        <w:jc w:val="both"/>
        <w:rPr>
          <w:rFonts w:cs="Calibri"/>
          <w:i/>
          <w:sz w:val="24"/>
          <w:szCs w:val="24"/>
          <w:lang w:val="es-MX"/>
        </w:rPr>
      </w:pPr>
      <w:r>
        <w:rPr>
          <w:rFonts w:cs="Calibri"/>
          <w:b/>
          <w:i/>
          <w:sz w:val="24"/>
          <w:szCs w:val="24"/>
          <w:lang w:val="es-MX"/>
        </w:rPr>
        <w:t xml:space="preserve">TERCERO. </w:t>
      </w:r>
      <w:r>
        <w:rPr>
          <w:rFonts w:cs="Calibri"/>
          <w:i/>
          <w:sz w:val="24"/>
          <w:szCs w:val="24"/>
          <w:lang w:val="es-MX"/>
        </w:rPr>
        <w:t xml:space="preserve">Se declara la NULIDAD de la orden verbal de despido de la actora C. </w:t>
      </w:r>
      <w:r w:rsidR="003371F5">
        <w:rPr>
          <w:rFonts w:cs="Calibri"/>
          <w:i/>
          <w:sz w:val="24"/>
          <w:szCs w:val="24"/>
          <w:lang w:val="es-MX"/>
        </w:rPr>
        <w:t>***********</w:t>
      </w:r>
      <w:r>
        <w:rPr>
          <w:rFonts w:cs="Calibri"/>
          <w:i/>
          <w:sz w:val="24"/>
          <w:szCs w:val="24"/>
          <w:lang w:val="es-MX"/>
        </w:rPr>
        <w:t xml:space="preserve">, del cargo de CELADORA NIVEL 2 adscrita a la Secretaría de Seguridad Pública del Estado, y como consecuencia </w:t>
      </w:r>
      <w:r>
        <w:rPr>
          <w:rFonts w:cs="Calibri"/>
          <w:b/>
          <w:i/>
          <w:sz w:val="24"/>
          <w:szCs w:val="24"/>
          <w:lang w:val="es-MX"/>
        </w:rPr>
        <w:t xml:space="preserve">se ordena </w:t>
      </w:r>
      <w:r>
        <w:rPr>
          <w:rFonts w:cs="Calibri"/>
          <w:i/>
          <w:sz w:val="24"/>
          <w:szCs w:val="24"/>
          <w:lang w:val="es-MX"/>
        </w:rPr>
        <w:t xml:space="preserve">a las autoridades demandadas, realicen la </w:t>
      </w:r>
      <w:r>
        <w:rPr>
          <w:rFonts w:cs="Calibri"/>
          <w:b/>
          <w:i/>
          <w:sz w:val="24"/>
          <w:szCs w:val="24"/>
          <w:lang w:val="es-MX"/>
        </w:rPr>
        <w:t xml:space="preserve">anotación en el expediente personal </w:t>
      </w:r>
      <w:r>
        <w:rPr>
          <w:rFonts w:cs="Calibri"/>
          <w:i/>
          <w:sz w:val="24"/>
          <w:szCs w:val="24"/>
          <w:lang w:val="es-MX"/>
        </w:rPr>
        <w:t>de la actora, y realizar los trámites correspondientes para la anotación en el Registro Nacional de Seguridad Pública de que ésta fue separada o destituida de manera injustificada, lo anterior de conformidad con lo expuesto en el considerando SEXTO de esta resolución. --------------------------------------------------------------------------</w:t>
      </w:r>
    </w:p>
    <w:p w:rsidR="009F3B39" w:rsidRDefault="009F3B39" w:rsidP="009F3B39">
      <w:pPr>
        <w:autoSpaceDE w:val="0"/>
        <w:autoSpaceDN w:val="0"/>
        <w:adjustRightInd w:val="0"/>
        <w:spacing w:after="0" w:line="360" w:lineRule="auto"/>
        <w:ind w:left="1134"/>
        <w:jc w:val="both"/>
        <w:rPr>
          <w:rFonts w:cs="Calibri"/>
          <w:i/>
          <w:sz w:val="24"/>
          <w:szCs w:val="24"/>
          <w:lang w:val="es-MX"/>
        </w:rPr>
      </w:pPr>
      <w:r>
        <w:rPr>
          <w:rFonts w:cs="Calibri"/>
          <w:b/>
          <w:i/>
          <w:sz w:val="24"/>
          <w:szCs w:val="24"/>
          <w:lang w:val="es-MX"/>
        </w:rPr>
        <w:t>CUARTO.</w:t>
      </w:r>
      <w:r>
        <w:rPr>
          <w:rFonts w:cs="Calibri"/>
          <w:i/>
          <w:sz w:val="24"/>
          <w:szCs w:val="24"/>
          <w:lang w:val="es-MX"/>
        </w:rPr>
        <w:t xml:space="preserve"> Se ordena a las autoridades demandadas, realicen el pago de las prestaciones descritas en la primera parte del considerando SÉPTIMO de esta resolución, en los términos ahí indicados. ------------------------------- </w:t>
      </w:r>
    </w:p>
    <w:p w:rsidR="009F3B39" w:rsidRDefault="009F3B39" w:rsidP="009F3B39">
      <w:pPr>
        <w:autoSpaceDE w:val="0"/>
        <w:autoSpaceDN w:val="0"/>
        <w:adjustRightInd w:val="0"/>
        <w:spacing w:after="0" w:line="360" w:lineRule="auto"/>
        <w:ind w:left="1134"/>
        <w:jc w:val="both"/>
        <w:rPr>
          <w:rFonts w:cs="Calibri"/>
          <w:i/>
          <w:sz w:val="24"/>
          <w:szCs w:val="24"/>
          <w:lang w:val="es-MX"/>
        </w:rPr>
      </w:pPr>
      <w:r>
        <w:rPr>
          <w:rFonts w:cs="Calibri"/>
          <w:b/>
          <w:i/>
          <w:sz w:val="24"/>
          <w:szCs w:val="24"/>
          <w:lang w:val="es-MX"/>
        </w:rPr>
        <w:t xml:space="preserve">QUINTO.- </w:t>
      </w:r>
      <w:r>
        <w:rPr>
          <w:rFonts w:cs="Calibri"/>
          <w:i/>
          <w:sz w:val="24"/>
          <w:szCs w:val="24"/>
          <w:lang w:val="es-MX"/>
        </w:rPr>
        <w:t xml:space="preserve">Conforme a lo dispuesto en el artículo 142 fracción I y 143 fracción I y II, de la Ley de Justicia Administrativa para el Estado, </w:t>
      </w:r>
      <w:r>
        <w:rPr>
          <w:rFonts w:cs="Calibri"/>
          <w:b/>
          <w:i/>
          <w:sz w:val="24"/>
          <w:szCs w:val="24"/>
          <w:lang w:val="es-MX"/>
        </w:rPr>
        <w:t>NOTIFÍQUESE PERSONALMENTE A LA PARTE ACTORA Y POR OFICIO A LAS AUTORIDADES DEMANDADAS. CÚMPLASE</w:t>
      </w:r>
      <w:r>
        <w:rPr>
          <w:rFonts w:cs="Calibri"/>
          <w:i/>
          <w:sz w:val="24"/>
          <w:szCs w:val="24"/>
          <w:lang w:val="es-MX"/>
        </w:rPr>
        <w:t>.----------------------------- “</w:t>
      </w:r>
    </w:p>
    <w:p w:rsidR="009F3B39" w:rsidRDefault="009F3B39" w:rsidP="009F3B39">
      <w:pPr>
        <w:spacing w:before="240" w:line="360" w:lineRule="auto"/>
        <w:jc w:val="center"/>
        <w:rPr>
          <w:rFonts w:ascii="Arial" w:hAnsi="Arial" w:cs="Arial"/>
          <w:b/>
          <w:bCs/>
          <w:sz w:val="26"/>
          <w:szCs w:val="26"/>
          <w:lang w:val="es-MX"/>
        </w:rPr>
      </w:pPr>
      <w:r>
        <w:rPr>
          <w:rFonts w:ascii="Arial" w:hAnsi="Arial" w:cs="Arial"/>
          <w:b/>
          <w:bCs/>
          <w:sz w:val="26"/>
          <w:szCs w:val="26"/>
          <w:lang w:val="es-MX"/>
        </w:rPr>
        <w:t>C O N S I D E R A N D O</w:t>
      </w:r>
    </w:p>
    <w:p w:rsidR="009F3B39" w:rsidRDefault="009F3B39" w:rsidP="009F3B39">
      <w:pPr>
        <w:pStyle w:val="Textoindependiente21"/>
        <w:spacing w:before="240" w:line="360" w:lineRule="auto"/>
        <w:ind w:right="18" w:firstLine="0"/>
        <w:rPr>
          <w:rFonts w:ascii="Arial" w:hAnsi="Arial" w:cs="Arial"/>
          <w:b/>
          <w:bCs/>
          <w:iCs/>
          <w:sz w:val="26"/>
          <w:szCs w:val="26"/>
          <w:lang w:val="es-ES"/>
        </w:rPr>
      </w:pPr>
      <w:r>
        <w:rPr>
          <w:rFonts w:ascii="Arial" w:hAnsi="Arial" w:cs="Arial"/>
          <w:b/>
          <w:bCs/>
          <w:sz w:val="26"/>
          <w:szCs w:val="26"/>
        </w:rPr>
        <w:tab/>
      </w: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83, fracción III, 86, 88, 92, 93 fracción I, 94, 201, 206 y 208 de la Ley de Justicia Administrativa para el Estado de Oaxaca, vigente hasta el veinte de octubre de dos mil diecisiete, dado que se trata de Recurso de Revisión interpuesto en contra de sentencia de seis de diciembre </w:t>
      </w:r>
      <w:r>
        <w:rPr>
          <w:rFonts w:ascii="Arial" w:hAnsi="Arial" w:cs="Arial"/>
          <w:sz w:val="26"/>
          <w:szCs w:val="26"/>
        </w:rPr>
        <w:t>de dos mil diecisiete, dictada por la Séptima Sala Unitaria de Primera Instancia del entonces Tribunal de lo Contencioso Administrativo y de Cuentas del Poder Judicial del Estado,</w:t>
      </w:r>
      <w:r>
        <w:rPr>
          <w:rFonts w:ascii="Arial" w:hAnsi="Arial" w:cs="Arial"/>
          <w:bCs/>
          <w:iCs/>
          <w:sz w:val="26"/>
          <w:szCs w:val="26"/>
        </w:rPr>
        <w:t xml:space="preserve"> en el Juicio de nulidad </w:t>
      </w:r>
      <w:r>
        <w:rPr>
          <w:rFonts w:ascii="Arial" w:hAnsi="Arial" w:cs="Arial"/>
          <w:b/>
          <w:bCs/>
          <w:iCs/>
          <w:sz w:val="26"/>
          <w:szCs w:val="26"/>
        </w:rPr>
        <w:t>0306</w:t>
      </w:r>
      <w:r>
        <w:rPr>
          <w:rFonts w:ascii="Arial" w:hAnsi="Arial" w:cs="Arial"/>
          <w:b/>
          <w:sz w:val="26"/>
          <w:szCs w:val="26"/>
        </w:rPr>
        <w:t>/2016</w:t>
      </w:r>
      <w:r>
        <w:rPr>
          <w:rFonts w:ascii="Arial" w:hAnsi="Arial" w:cs="Arial"/>
          <w:b/>
          <w:bCs/>
          <w:iCs/>
          <w:sz w:val="26"/>
          <w:szCs w:val="26"/>
        </w:rPr>
        <w:t>.</w:t>
      </w:r>
    </w:p>
    <w:p w:rsidR="009F3B39" w:rsidRDefault="009F3B39" w:rsidP="009F3B39">
      <w:pPr>
        <w:spacing w:before="100" w:beforeAutospacing="1" w:line="360" w:lineRule="auto"/>
        <w:ind w:right="51" w:firstLine="567"/>
        <w:jc w:val="both"/>
        <w:rPr>
          <w:rFonts w:ascii="Arial" w:hAnsi="Arial" w:cs="Arial"/>
          <w:bCs/>
          <w:sz w:val="26"/>
          <w:szCs w:val="26"/>
        </w:rPr>
      </w:pPr>
      <w:r>
        <w:rPr>
          <w:rFonts w:ascii="Arial" w:hAnsi="Arial" w:cs="Arial"/>
          <w:b/>
          <w:sz w:val="26"/>
          <w:szCs w:val="26"/>
        </w:rPr>
        <w:lastRenderedPageBreak/>
        <w:t>SEGUNDO</w:t>
      </w:r>
      <w:r>
        <w:rPr>
          <w:rFonts w:ascii="Arial" w:hAnsi="Arial" w:cs="Arial"/>
          <w:sz w:val="26"/>
          <w:szCs w:val="26"/>
        </w:rPr>
        <w:t xml:space="preserve">. </w:t>
      </w:r>
      <w:r>
        <w:rPr>
          <w:rFonts w:ascii="Arial" w:hAnsi="Arial" w:cs="Arial"/>
          <w:bCs/>
          <w:sz w:val="26"/>
          <w:szCs w:val="26"/>
        </w:rPr>
        <w:t>Los agravios hechos valer se encuentran expuestos en el escrito respectivo de la recurrente, por lo que no existe necesidad de transcribirlos, virtud a que ello no implica transgresión a derecho alguno, como tampoco se vulnera disposición expresa que imponga tal obligación.</w:t>
      </w:r>
    </w:p>
    <w:p w:rsidR="009F3B39" w:rsidRDefault="009F3B39" w:rsidP="009F3B39">
      <w:pPr>
        <w:spacing w:before="100" w:beforeAutospacing="1" w:line="360" w:lineRule="auto"/>
        <w:ind w:right="51" w:firstLine="567"/>
        <w:jc w:val="both"/>
        <w:rPr>
          <w:rFonts w:ascii="Arial" w:hAnsi="Arial" w:cs="Arial"/>
          <w:bCs/>
          <w:color w:val="000000"/>
          <w:sz w:val="26"/>
          <w:szCs w:val="26"/>
        </w:rPr>
      </w:pPr>
      <w:r>
        <w:rPr>
          <w:rFonts w:ascii="Arial" w:hAnsi="Arial" w:cs="Arial"/>
          <w:bCs/>
          <w:color w:val="000000"/>
          <w:sz w:val="26"/>
          <w:szCs w:val="26"/>
        </w:rPr>
        <w:t xml:space="preserve">Se invoca en apoyo, la Tesis, con número de registro 254280, publicada en la Gaceta del Semanario Judicial de la Federación, Volumen 81, Sexta Parte, Séptima  Época, pagina 23, bajo el rubro y texto siguiente: </w:t>
      </w:r>
    </w:p>
    <w:p w:rsidR="009F3B39" w:rsidRDefault="009F3B39" w:rsidP="009F3B39">
      <w:pPr>
        <w:spacing w:line="360" w:lineRule="auto"/>
        <w:ind w:left="709" w:right="709" w:firstLine="567"/>
        <w:jc w:val="both"/>
        <w:rPr>
          <w:rFonts w:ascii="Calibri" w:hAnsi="Calibri"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9F3B39" w:rsidRDefault="009F3B39" w:rsidP="009F3B39">
      <w:pPr>
        <w:spacing w:line="360" w:lineRule="auto"/>
        <w:ind w:firstLine="708"/>
        <w:jc w:val="both"/>
        <w:rPr>
          <w:rFonts w:ascii="Arial" w:hAnsi="Arial" w:cs="Arial"/>
          <w:bCs/>
          <w:sz w:val="26"/>
          <w:szCs w:val="26"/>
        </w:rPr>
      </w:pPr>
      <w:r>
        <w:rPr>
          <w:rFonts w:ascii="Arial" w:hAnsi="Arial" w:cs="Arial"/>
          <w:b/>
          <w:bCs/>
          <w:sz w:val="26"/>
          <w:szCs w:val="26"/>
        </w:rPr>
        <w:t xml:space="preserve">TERCERO. </w:t>
      </w:r>
      <w:r>
        <w:rPr>
          <w:rFonts w:ascii="Arial" w:hAnsi="Arial" w:cs="Arial"/>
          <w:bCs/>
          <w:sz w:val="26"/>
          <w:szCs w:val="26"/>
        </w:rPr>
        <w:t>Son</w:t>
      </w:r>
      <w:r>
        <w:rPr>
          <w:rFonts w:ascii="Arial" w:hAnsi="Arial" w:cs="Arial"/>
          <w:b/>
          <w:bCs/>
          <w:sz w:val="26"/>
          <w:szCs w:val="26"/>
        </w:rPr>
        <w:t xml:space="preserve"> INOPERANTES E INFUNDADOS</w:t>
      </w:r>
      <w:r>
        <w:rPr>
          <w:rFonts w:ascii="Arial" w:hAnsi="Arial" w:cs="Arial"/>
          <w:bCs/>
          <w:sz w:val="26"/>
          <w:szCs w:val="26"/>
        </w:rPr>
        <w:t xml:space="preserve"> los motivos de inconformidad hechos valer por el recurrente.</w:t>
      </w: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Alega el revisionista que la resolución impugnada le causa daños y perjuicios a su representada, ya que contraviene disposiciones legales y de orden público dado que en su considerando quinto y resolutivo segundo de la sentencia que se combate, indebidamente omitió sobreseer el juicio por lo que hace a esa representación, al quedar probado en autos que esa autoridad no dictó, expidió u ordenó los actos reclamados por la actora, relacionado con la orden verbal de separación del cargo, dejándose con ello de observar la causal de improcedencia prevista por el artículo 131, fracción IX, de la Ley de Justicia Administrativa para el Estado de Oaxaca.</w:t>
      </w: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Señala que la actora ofreció pruebas, que no acreditaron que su representado haya dictado los actos reclamados, mismas que hacen prueba plena en su contra y que la Magistrada dejó de observar y valorar al momento de dictar sentencia, sobreseyendo el juicio como lo establece el artículo 132, fracción V, de la Ley de la materia.</w:t>
      </w:r>
    </w:p>
    <w:p w:rsidR="009F3B39" w:rsidRDefault="009F3B39" w:rsidP="009F3B39">
      <w:pPr>
        <w:spacing w:after="0" w:line="360" w:lineRule="auto"/>
        <w:ind w:firstLine="709"/>
        <w:jc w:val="both"/>
        <w:rPr>
          <w:rFonts w:ascii="Calibri" w:hAnsi="Calibri" w:cs="Calibri"/>
          <w:bCs/>
          <w:i/>
        </w:rPr>
      </w:pPr>
      <w:r>
        <w:rPr>
          <w:rFonts w:ascii="Arial" w:hAnsi="Arial" w:cs="Arial"/>
          <w:bCs/>
          <w:sz w:val="26"/>
          <w:szCs w:val="26"/>
        </w:rPr>
        <w:lastRenderedPageBreak/>
        <w:t xml:space="preserve">Que al dejarse de aplicar los referidos preceptos legales, erróneamente no se pronunció al respecto y no sobreseyó el juicio por lo que hace a esa representación; lo que debe tomarse en consideración y sobreseer el juicio en relación a su representado, haciendo valer para ello las jurisprudencias y tesis de rubros siguientes: </w:t>
      </w:r>
      <w:r>
        <w:rPr>
          <w:rFonts w:cs="Calibri"/>
          <w:bCs/>
          <w:i/>
        </w:rPr>
        <w:t>“SOBRESEIMIENTO, PROCEDE DECRETARLOFUERA DE LA AUDIENCIA CONSTITUCIONAL, CUANDO SE ACTUALICE UNA CAUSAL DE IMPROCEDENCIA, MANIFIESTA E INDUDABLE”; “SOBRESEIMIENTO EN EL AMPARO. SE ACTUALIZA LA CAUSAL PREVISTA EN EL ARTÍCULO 74, FRACCIÓN IV, DE LA LEY DE LA MATERIA, CUANDO LA AUTORIDAD RESPONSABLE NIEGA LA CERTEZA DE LOS ACTOS RECLAMADOS Y EL QUEJOSO NO DEMUESTRA FEHACIENTEMENTE QUE ELLA LOS LLEVÓ A CABO”; “IMPROCEDENCIA DEL JUICIO CONTENCIOSO ADMINISTRATIVO. EL ANÁLISIS DE LAS CAUSAS RELATIVAS ES DE ORDEN PÚBLICO Y, POR LO TANTO, SI EN EL RECURSO DE REVISIÓN EL JUZGADOR ADVIERTE LA ACTUALIZACIÓN DE ALGUNA, CUYO ESTUDIO ES PREFERENTE A LAS EXAMINADAS POR EL AQUO O A LAS HECHAS VALER POR LAS PARTES, DEBE PRONUNCIARSE DE OFICIO AL RESPECTO SIN ESTUDIAR LOS AGRAVIOS (LEGISLACIÓN DEL ESTADO DE NUEVO LEÓN)”; “PROCEDIMIENTO CONTENCIOSO ADMINISTRATIVO, CONFORME AL TERCER PÁRRAFO DEL ARTÍCULO 50 DE LA LEY FEDERAL RELATIVA, LA SALA DEL CONOCIMIENTO, AL EMITIR SU SENTENCIA, DEBE EXAMINAR TODOS LOS ARGUMENTOS DE LAS PARTES, CON LAS SALVEDADES CORRESPONDIENTES”; “SENTENCIA DE NULIDAD, SI LA SALA FISCAL AL EMITIRLA OMITE ANALIZAR LOS ARGUMENTOS PLANTEADOS POR LA AUTORIDAD EN LA CONTESTACIÓN A LA DEMANDA, VIOLA EL PRINCIPIO DE CONGRUENCIA PREVISTO POR EL ARTÍCULO 50 DE LA LEY FEDERAL DE PROCEDIMIENTO CONTENCIOSO ADMINISTRATIVO (LEGISLACIÓN VIGENTE A PARTIR DEL 1º DE ENERO DE 2006”; “REVISIÓN EN AMPARO DIRECTO. SI EL TRIBUNAL COLEGIADO DE CIRCUITO NO AGOTA EL ESTUDIO DE TODAS LAS CAUSAS DE IMPROCEDENCIA QUE IMPIDAN ANALIZAR EL PROBLEMA DE CONSTITUCIONALIDAD PLANTEADO, DEBE DEVOLVERSELE EL EXPEDIENTE PARA QUE LO HAGA (ACUERDO GENERAL 5/2001 DEL TRIBUNAL PLENO DE LA SUPREMA CORTE DE JUSTICIA DE LA NACIÓN)”; “SOBRESEIMIENTO EN EL AMPARO, OMITIDO EN EL FALLO IMPUGNADO EN REVISIÓN” Y “FUNDAMENTACIÓN Y MOTIVACIÓN DE LAS RESOLUCIONES JURISDICCIONALES DEBEN ANALIZARSE A LA LUZ DE LOS ARTÍCULOS 14 Y 16 DE LA CONSTITUCIÓN POLITICA DE LOS ESTADOS UNIDOS MEXICANOS, RESPECTIVAMENTE.”.</w:t>
      </w:r>
    </w:p>
    <w:p w:rsidR="009F3B39" w:rsidRDefault="009F3B39" w:rsidP="009F3B39">
      <w:pPr>
        <w:spacing w:after="0" w:line="240" w:lineRule="auto"/>
        <w:ind w:firstLine="708"/>
        <w:jc w:val="both"/>
        <w:rPr>
          <w:rFonts w:ascii="Arial" w:hAnsi="Arial" w:cs="Arial"/>
          <w:sz w:val="26"/>
          <w:szCs w:val="26"/>
        </w:rPr>
      </w:pPr>
    </w:p>
    <w:p w:rsidR="009F3B39" w:rsidRDefault="009F3B39" w:rsidP="009F3B39">
      <w:pPr>
        <w:spacing w:after="0" w:line="360" w:lineRule="auto"/>
        <w:ind w:firstLine="708"/>
        <w:jc w:val="both"/>
        <w:rPr>
          <w:rFonts w:ascii="Arial" w:eastAsia="Times New Roman" w:hAnsi="Arial" w:cs="Arial"/>
          <w:color w:val="000000"/>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173, fracción I, de la Ley de Justicia Administrativa para el Estado de Oaxaca,  se advierte que los argumentos expresados por la recurrente son inoperantes, al no controvertir las consideraciones torales de la resolución alzada; ello es así, dado que con sus manifestaciones no controvierte las consideraciones en que funda su determinación la Magistrada de Primera Instancia; de donde resulta que los agravios expresados son inoperantes, al no exponer razonamientos lógico jurídicos que controviertan las consideraciones en que se sustenta el fallo alzado, </w:t>
      </w:r>
      <w:r>
        <w:rPr>
          <w:rFonts w:ascii="Arial" w:eastAsia="Times New Roman" w:hAnsi="Arial" w:cs="Arial"/>
          <w:color w:val="000000"/>
          <w:sz w:val="26"/>
          <w:szCs w:val="26"/>
          <w:lang w:val="es-MX"/>
        </w:rPr>
        <w:t>sin que en el recurso en estudio se precise argumentos tendentes a evidenciar la ilegalidad de la sentencia recurrida, pues no se combaten los fundamentos legales y consideraciones torales en que se sustenta el fallo.</w:t>
      </w:r>
    </w:p>
    <w:p w:rsidR="009F3B39" w:rsidRDefault="009F3B39" w:rsidP="009F3B39">
      <w:pPr>
        <w:spacing w:before="240" w:after="0" w:line="360" w:lineRule="auto"/>
        <w:ind w:firstLine="708"/>
        <w:jc w:val="both"/>
        <w:rPr>
          <w:rFonts w:ascii="Arial" w:eastAsia="Calibri" w:hAnsi="Arial" w:cs="Arial"/>
          <w:bCs/>
          <w:sz w:val="26"/>
          <w:szCs w:val="26"/>
          <w:lang w:val="es-MX"/>
        </w:rPr>
      </w:pPr>
      <w:r>
        <w:rPr>
          <w:rFonts w:ascii="Arial" w:hAnsi="Arial" w:cs="Arial"/>
          <w:bCs/>
          <w:sz w:val="26"/>
          <w:szCs w:val="26"/>
          <w:lang w:val="es-MX"/>
        </w:rPr>
        <w:t>Es así, pues los agravios expresados no se destinan a combatir la materia del presente recurso de revisión, esto es, los motivos y fundamentos dados por la primera instancia para determinar que no se sobresee el juicio de nulidad, consistentes en:</w:t>
      </w:r>
    </w:p>
    <w:p w:rsidR="009F3B39" w:rsidRDefault="009F3B39" w:rsidP="009F3B39">
      <w:pPr>
        <w:spacing w:before="240" w:after="0"/>
        <w:ind w:firstLine="708"/>
        <w:jc w:val="both"/>
        <w:rPr>
          <w:rFonts w:ascii="Calibri" w:hAnsi="Calibri" w:cs="Calibri"/>
          <w:bCs/>
          <w:i/>
          <w:sz w:val="24"/>
          <w:szCs w:val="24"/>
          <w:lang w:val="es-MX"/>
        </w:rPr>
      </w:pPr>
      <w:r>
        <w:rPr>
          <w:rFonts w:cs="Calibri"/>
          <w:bCs/>
          <w:i/>
          <w:sz w:val="24"/>
          <w:szCs w:val="24"/>
          <w:lang w:val="es-MX"/>
        </w:rPr>
        <w:t xml:space="preserve">“… </w:t>
      </w:r>
    </w:p>
    <w:p w:rsidR="009F3B39" w:rsidRDefault="009F3B39" w:rsidP="009F3B39">
      <w:pPr>
        <w:pStyle w:val="corte4fondoCarCarCar"/>
        <w:spacing w:line="276" w:lineRule="auto"/>
        <w:ind w:left="709" w:right="709"/>
        <w:rPr>
          <w:rFonts w:ascii="Calibri" w:hAnsi="Calibri" w:cs="Calibri"/>
          <w:bCs/>
          <w:sz w:val="24"/>
        </w:rPr>
      </w:pPr>
      <w:r>
        <w:rPr>
          <w:rFonts w:ascii="Calibri" w:hAnsi="Calibri" w:cs="Calibri"/>
          <w:b/>
          <w:color w:val="000000"/>
          <w:sz w:val="24"/>
        </w:rPr>
        <w:t xml:space="preserve">QUINTO.- </w:t>
      </w:r>
      <w:r>
        <w:rPr>
          <w:rFonts w:ascii="Calibri" w:hAnsi="Calibri" w:cs="Calibri"/>
          <w:color w:val="000000"/>
          <w:sz w:val="24"/>
        </w:rPr>
        <w:t xml:space="preserve">Las causales de </w:t>
      </w:r>
      <w:r>
        <w:rPr>
          <w:rFonts w:ascii="Calibri" w:hAnsi="Calibri" w:cs="Calibri"/>
          <w:b/>
          <w:color w:val="000000"/>
          <w:sz w:val="24"/>
        </w:rPr>
        <w:t>improcedencia y sobreseimiento</w:t>
      </w:r>
      <w:r>
        <w:rPr>
          <w:rFonts w:ascii="Calibri" w:hAnsi="Calibri" w:cs="Calibri"/>
          <w:color w:val="000000"/>
          <w:sz w:val="24"/>
        </w:rPr>
        <w:t xml:space="preserve"> son  de orden público y de estudio preferente a cualquier otra cuestión, porque aún de oficio deben ser examinadas, pues </w:t>
      </w:r>
      <w:r>
        <w:rPr>
          <w:rFonts w:ascii="Calibri" w:hAnsi="Calibri" w:cs="Calibri"/>
          <w:bCs/>
          <w:sz w:val="24"/>
        </w:rPr>
        <w:t>de actualizarse alguna de las  hipótesis normativas, surge un impedimento para resolver el fondo del asunto, que obliga a decretar el sobreseimiento, tal y como se  establece en  los artículos 131 y 132, de la ley de la materia.</w:t>
      </w:r>
    </w:p>
    <w:p w:rsidR="009F3B39" w:rsidRDefault="009F3B39" w:rsidP="009F3B39">
      <w:pPr>
        <w:pStyle w:val="corte4fondoCarCarCar"/>
        <w:spacing w:line="276" w:lineRule="auto"/>
        <w:ind w:left="709" w:right="709"/>
        <w:rPr>
          <w:rFonts w:ascii="Calibri" w:hAnsi="Calibri" w:cs="Calibri"/>
          <w:sz w:val="24"/>
          <w:lang w:val="es-ES_tradnl" w:eastAsia="es-ES"/>
        </w:rPr>
      </w:pPr>
      <w:r>
        <w:rPr>
          <w:rFonts w:ascii="Calibri" w:hAnsi="Calibri" w:cs="Calibri"/>
          <w:bCs/>
          <w:sz w:val="24"/>
        </w:rPr>
        <w:t xml:space="preserve"> En el presente asunto, las autoridades demandadas, </w:t>
      </w:r>
      <w:r>
        <w:rPr>
          <w:rFonts w:ascii="Calibri" w:hAnsi="Calibri" w:cs="Calibri"/>
          <w:sz w:val="24"/>
          <w:lang w:val="es-ES_tradnl" w:eastAsia="es-ES"/>
        </w:rPr>
        <w:t>hicieron valer las excepciones consistentes en: 1.- Improcedencia; 2.- Prescripción; 3.- Falta de acción y Derecho; 4.- Falsedad; y, 5.- Oscuridad de la demanda.</w:t>
      </w:r>
    </w:p>
    <w:p w:rsidR="009F3B39" w:rsidRDefault="009F3B39" w:rsidP="009F3B39">
      <w:pPr>
        <w:pStyle w:val="corte4fondoCarCarCar"/>
        <w:spacing w:line="276" w:lineRule="auto"/>
        <w:ind w:left="709" w:right="709"/>
        <w:rPr>
          <w:rFonts w:ascii="Calibri" w:hAnsi="Calibri" w:cs="Calibri"/>
          <w:sz w:val="24"/>
          <w:lang w:eastAsia="es-ES"/>
        </w:rPr>
      </w:pPr>
      <w:r>
        <w:rPr>
          <w:rFonts w:ascii="Calibri" w:hAnsi="Calibri" w:cs="Calibri"/>
          <w:sz w:val="24"/>
          <w:lang w:eastAsia="es-ES"/>
        </w:rPr>
        <w:t xml:space="preserve">Por lo que respecta a </w:t>
      </w:r>
      <w:r>
        <w:rPr>
          <w:rFonts w:ascii="Calibri" w:hAnsi="Calibri" w:cs="Calibri"/>
          <w:b/>
          <w:sz w:val="24"/>
          <w:lang w:eastAsia="es-ES"/>
        </w:rPr>
        <w:t>la improcedencia</w:t>
      </w:r>
      <w:r>
        <w:rPr>
          <w:rFonts w:ascii="Calibri" w:hAnsi="Calibri" w:cs="Calibri"/>
          <w:sz w:val="24"/>
          <w:lang w:eastAsia="es-ES"/>
        </w:rPr>
        <w:t xml:space="preserve"> invocada, la sustentan las oferentes en que a su consideración no existe el acto impugnado, porque la orden verbal de despido es atribuida a otra autoridad; dicha causal </w:t>
      </w:r>
      <w:r>
        <w:rPr>
          <w:rFonts w:ascii="Calibri" w:hAnsi="Calibri" w:cs="Calibri"/>
          <w:b/>
          <w:sz w:val="24"/>
          <w:lang w:eastAsia="es-ES"/>
        </w:rPr>
        <w:t>no se actualiza</w:t>
      </w:r>
      <w:r>
        <w:rPr>
          <w:rFonts w:ascii="Calibri" w:hAnsi="Calibri" w:cs="Calibri"/>
          <w:sz w:val="24"/>
          <w:lang w:eastAsia="es-ES"/>
        </w:rPr>
        <w:t>, esto es así, porque admiten la existencia de la orden verbal, aun cuando no refieren a que otra autoridad se atribuye el despido, advirtiéndose (sic) la narración de hechos, que es al Director del Reclusorio Regional de Tehuantepec, Oaxaca al que le atribuye dicho acto, por lo que sus agravios respecto a esta excepción son improcedentes.</w:t>
      </w:r>
    </w:p>
    <w:p w:rsidR="009F3B39" w:rsidRDefault="009F3B39" w:rsidP="009F3B39">
      <w:pPr>
        <w:pStyle w:val="corte4fondoCarCarCar"/>
        <w:spacing w:line="276" w:lineRule="auto"/>
        <w:ind w:left="709" w:right="709"/>
        <w:rPr>
          <w:rFonts w:ascii="Calibri" w:hAnsi="Calibri" w:cs="Calibri"/>
          <w:sz w:val="24"/>
          <w:lang w:val="es-ES_tradnl" w:eastAsia="es-ES"/>
        </w:rPr>
      </w:pPr>
      <w:r>
        <w:rPr>
          <w:rFonts w:ascii="Calibri" w:hAnsi="Calibri" w:cs="Calibri"/>
          <w:sz w:val="24"/>
          <w:lang w:eastAsia="es-ES"/>
        </w:rPr>
        <w:t xml:space="preserve">Por lo que se refiere a la </w:t>
      </w:r>
      <w:r>
        <w:rPr>
          <w:rFonts w:ascii="Calibri" w:hAnsi="Calibri" w:cs="Calibri"/>
          <w:b/>
          <w:sz w:val="24"/>
          <w:lang w:eastAsia="es-ES"/>
        </w:rPr>
        <w:t>prescripción</w:t>
      </w:r>
      <w:r>
        <w:rPr>
          <w:rFonts w:ascii="Calibri" w:hAnsi="Calibri" w:cs="Calibri"/>
          <w:sz w:val="24"/>
          <w:lang w:eastAsia="es-ES"/>
        </w:rPr>
        <w:t xml:space="preserve">,  </w:t>
      </w:r>
      <w:r>
        <w:rPr>
          <w:rFonts w:ascii="Calibri" w:hAnsi="Calibri" w:cs="Calibri"/>
          <w:b/>
          <w:sz w:val="24"/>
          <w:lang w:val="es-ES_tradnl" w:eastAsia="es-ES"/>
        </w:rPr>
        <w:t>tampoco se actualiza</w:t>
      </w:r>
      <w:r>
        <w:rPr>
          <w:rFonts w:ascii="Calibri" w:hAnsi="Calibri" w:cs="Calibri"/>
          <w:sz w:val="24"/>
          <w:lang w:val="es-ES_tradnl" w:eastAsia="es-ES"/>
        </w:rPr>
        <w:t xml:space="preserve">, ya que si bien es cierto, las autoridades demandadas argumentan, que fue el día catorce de marzo de dos mil catorce (14/03/2014), la fecha en que la actora conoció el contenido del oficio SSPO/OM/DRH/0769/2014, en que se indicaba el fin de su relación laboral, lo cierto es que la actora argumentó su baja mediante una orden verbal, máxime que en autos únicamente obra copia simple del oficio antes referido y de la notificación (fojas 76 y 77), por lo que no se tiene la convicción de que efectivamente esa instancia escrita se haya realizado, porque el documento que le otorgaría tal eficacia, que es el oficio SSPO/OM/DRH/0769/2014, también obra en copia fotostática, además, en dicha notificación no se advierte plasmada la firma de la actora, consecuentemente </w:t>
      </w:r>
      <w:r>
        <w:rPr>
          <w:rFonts w:ascii="Calibri" w:hAnsi="Calibri" w:cs="Calibri"/>
          <w:b/>
          <w:sz w:val="24"/>
          <w:lang w:val="es-ES_tradnl" w:eastAsia="es-ES"/>
        </w:rPr>
        <w:t>se desestima</w:t>
      </w:r>
      <w:r>
        <w:rPr>
          <w:rFonts w:ascii="Calibri" w:hAnsi="Calibri" w:cs="Calibri"/>
          <w:sz w:val="24"/>
          <w:lang w:val="es-ES_tradnl" w:eastAsia="es-ES"/>
        </w:rPr>
        <w:t xml:space="preserve"> que la fecha de conocimiento del acto impugnado, haya sido el referido por las demandadas. Ahora bien, si tomamos en cuenta la fecha de terminación del contrato remitido por las demandadas, treinta y uno de marzo de dos mil catorce, (31/03/2014), o bien la fecha en que la actora refirió tuvo conocimiento de la orden verbal de despido, dieciséis de abril de dos mil catorce (16/04/2014), en ambos supuestos la demanda se encontraba dentro del plazo de treinta días, que dispone la Ley de la Materia para promover el Juico de Nulidad, ya que el plazo vencía para la primer fecha, el día diecinueve de mayo de dos mil catorce (19/05/2014) y para la segunda, el dos de junio del mismo año (02/06/2014), descontándose del dieciséis al dieciocho de abril, inhábiles con motivo de la semana santa, y uno de mayo inhábil por el día del trabajo, los sábados y domingos por ser inhábiles, pues presentó su demanda ante la Junta de Arbitraje, para los Empleados al Servicio de los Poderes del Estado, el día quince de mayo de dos mil catorce (15/05/2014), de ahí que la presentación resulta oportuna.</w:t>
      </w:r>
    </w:p>
    <w:p w:rsidR="009F3B39" w:rsidRDefault="009F3B39" w:rsidP="009F3B39">
      <w:pPr>
        <w:pStyle w:val="corte4fondoCarCarCar"/>
        <w:spacing w:line="276" w:lineRule="auto"/>
        <w:ind w:left="709" w:right="709"/>
        <w:rPr>
          <w:rFonts w:ascii="Calibri" w:hAnsi="Calibri" w:cs="Calibri"/>
          <w:sz w:val="24"/>
          <w:lang w:val="es-ES_tradnl" w:eastAsia="es-ES"/>
        </w:rPr>
      </w:pPr>
      <w:r>
        <w:rPr>
          <w:rFonts w:ascii="Calibri" w:hAnsi="Calibri" w:cs="Calibri"/>
          <w:sz w:val="24"/>
          <w:lang w:val="es-ES_tradnl" w:eastAsia="es-ES"/>
        </w:rPr>
        <w:t xml:space="preserve">Por lo que respecta a </w:t>
      </w:r>
      <w:r>
        <w:rPr>
          <w:rFonts w:ascii="Calibri" w:hAnsi="Calibri" w:cs="Calibri"/>
          <w:b/>
          <w:sz w:val="24"/>
          <w:lang w:val="es-ES_tradnl" w:eastAsia="es-ES"/>
        </w:rPr>
        <w:t>la falta de acción y derecho</w:t>
      </w:r>
      <w:r>
        <w:rPr>
          <w:rFonts w:ascii="Calibri" w:hAnsi="Calibri" w:cs="Calibri"/>
          <w:sz w:val="24"/>
          <w:lang w:val="es-ES_tradnl" w:eastAsia="es-ES"/>
        </w:rPr>
        <w:t xml:space="preserve"> de la actora para impugnar en este Juicio, tampoco se actualiza, porque como ya se dijo en el considerando que antecede, la actora acredito su interés jurídico en este Juicio, pues de las constancias de autos, puede advertirse que desempeñaba el cargo de CELADORA NIVEL 2, adscrita a la Secretaría de Seguridad Pública del Gobierno del Estado, previo a la baja o cese del que fue objeto, de ahí su derecho de recurrir el acto que aquí impugna.</w:t>
      </w:r>
    </w:p>
    <w:p w:rsidR="009F3B39" w:rsidRDefault="009F3B39" w:rsidP="009F3B39">
      <w:pPr>
        <w:tabs>
          <w:tab w:val="center" w:pos="4574"/>
        </w:tabs>
        <w:ind w:left="709" w:right="709" w:firstLine="709"/>
        <w:jc w:val="both"/>
        <w:rPr>
          <w:rFonts w:ascii="Calibri" w:hAnsi="Calibri" w:cs="Calibri"/>
          <w:sz w:val="24"/>
        </w:rPr>
      </w:pPr>
      <w:r>
        <w:rPr>
          <w:rFonts w:cs="Calibri"/>
          <w:sz w:val="24"/>
          <w:lang w:val="es-ES_tradnl" w:eastAsia="es-ES"/>
        </w:rPr>
        <w:t xml:space="preserve">Por lo que se refiere a la </w:t>
      </w:r>
      <w:r>
        <w:rPr>
          <w:rFonts w:cs="Calibri"/>
          <w:b/>
          <w:sz w:val="24"/>
          <w:lang w:val="es-ES_tradnl" w:eastAsia="es-ES"/>
        </w:rPr>
        <w:t>falsedad</w:t>
      </w:r>
      <w:r>
        <w:rPr>
          <w:rFonts w:cs="Calibri"/>
          <w:sz w:val="24"/>
          <w:lang w:val="es-ES_tradnl" w:eastAsia="es-ES"/>
        </w:rPr>
        <w:t xml:space="preserve">, </w:t>
      </w:r>
      <w:r>
        <w:rPr>
          <w:rFonts w:cs="Calibri"/>
          <w:sz w:val="24"/>
        </w:rPr>
        <w:t>ésta Juzgadora considera que ésta no es propiamente una excepción; toda vez que las excepciones son defensas que las autoridades demandadas oponen a las pretensiones del actor, pero sin llegar a negar la existencia de los hechos constitutivos de la acción, sino alegando hechos impeditivos, extintivos y modificativos que constituyen un obstáculo para el reconocimiento de la pretensión jurídica deducida en la acción, siendo que las autoridades demandadas argumentan que se actualiza esta excepción, porque la actora falsea los hechos, sin embargo esta circunstancia únicamente será analizada en el fondo del asunto.</w:t>
      </w:r>
    </w:p>
    <w:p w:rsidR="009F3B39" w:rsidRDefault="009F3B39" w:rsidP="009F3B39">
      <w:pPr>
        <w:pStyle w:val="corte4fondoCarCarCar"/>
        <w:spacing w:line="276" w:lineRule="auto"/>
        <w:ind w:left="709" w:right="709"/>
        <w:rPr>
          <w:rFonts w:ascii="Calibri" w:hAnsi="Calibri" w:cs="Calibri"/>
          <w:sz w:val="24"/>
          <w:lang w:val="es-ES_tradnl" w:eastAsia="es-ES"/>
        </w:rPr>
      </w:pPr>
      <w:r>
        <w:rPr>
          <w:rFonts w:ascii="Calibri" w:hAnsi="Calibri" w:cs="Calibri"/>
          <w:sz w:val="24"/>
          <w:lang w:val="es-ES_tradnl" w:eastAsia="es-ES"/>
        </w:rPr>
        <w:t xml:space="preserve">Por lo que respecta a la </w:t>
      </w:r>
      <w:r>
        <w:rPr>
          <w:rFonts w:ascii="Calibri" w:hAnsi="Calibri" w:cs="Calibri"/>
          <w:b/>
          <w:sz w:val="24"/>
          <w:lang w:val="es-ES_tradnl" w:eastAsia="es-ES"/>
        </w:rPr>
        <w:t>excepción de oscuridad de la demanda,</w:t>
      </w:r>
      <w:r>
        <w:rPr>
          <w:rFonts w:ascii="Calibri" w:hAnsi="Calibri" w:cs="Calibri"/>
          <w:sz w:val="24"/>
          <w:lang w:val="es-ES_tradnl" w:eastAsia="es-ES"/>
        </w:rPr>
        <w:t xml:space="preserve"> </w:t>
      </w:r>
      <w:r>
        <w:rPr>
          <w:rFonts w:ascii="Calibri" w:hAnsi="Calibri" w:cs="Calibri"/>
          <w:b/>
          <w:sz w:val="24"/>
          <w:lang w:val="es-ES_tradnl" w:eastAsia="es-ES"/>
        </w:rPr>
        <w:t>tampoco es procedente</w:t>
      </w:r>
      <w:r>
        <w:rPr>
          <w:rFonts w:ascii="Calibri" w:hAnsi="Calibri" w:cs="Calibri"/>
          <w:sz w:val="24"/>
          <w:lang w:val="es-ES_tradnl" w:eastAsia="es-ES"/>
        </w:rPr>
        <w:t xml:space="preserve">, ya que dicha excepción se traduce en el defecto legal para proponer una pretensión, y en el presente asunto, no se advierte un defecto en el escrito de demanda, que impidiera en su momento la continuación del Juicio, al contrario, éste cumplió con los requisitos dispuestos en los artículos 146 y 147 de la Ley de Justicia Administrativa para el Estado de Oaxaca,  y por ello fue admitida a trámite, tal y como se puede advertir del acuerdo de admisión de fecha veintiuno de noviembre de dos mil catorce (21/11/2014). </w:t>
      </w:r>
    </w:p>
    <w:p w:rsidR="009F3B39" w:rsidRDefault="009F3B39" w:rsidP="009F3B39">
      <w:pPr>
        <w:spacing w:before="240" w:after="0"/>
        <w:ind w:left="709" w:right="709" w:firstLine="709"/>
        <w:jc w:val="both"/>
        <w:rPr>
          <w:rFonts w:cs="Calibri"/>
          <w:sz w:val="24"/>
          <w:lang w:val="es-ES_tradnl" w:eastAsia="es-ES"/>
        </w:rPr>
      </w:pPr>
      <w:r>
        <w:rPr>
          <w:rFonts w:cs="Calibri"/>
          <w:sz w:val="24"/>
          <w:lang w:val="es-ES_tradnl" w:eastAsia="es-ES"/>
        </w:rPr>
        <w:t>Esta Juzgadora no advierte que se actualice alguna otra causa que impida entrar al estudio de fondo del presente asunto, consecuentemente, NO SE SOBRESEE este Juicio de Nulidad.</w:t>
      </w:r>
    </w:p>
    <w:p w:rsidR="009F3B39" w:rsidRDefault="009F3B39" w:rsidP="009F3B39">
      <w:pPr>
        <w:spacing w:before="240" w:after="0"/>
        <w:ind w:left="709" w:right="709" w:firstLine="709"/>
        <w:jc w:val="both"/>
        <w:rPr>
          <w:rFonts w:cs="Calibri"/>
          <w:bCs/>
          <w:i/>
          <w:sz w:val="24"/>
          <w:szCs w:val="24"/>
          <w:lang w:val="es-MX"/>
        </w:rPr>
      </w:pPr>
      <w:r>
        <w:rPr>
          <w:rFonts w:cs="Calibri"/>
          <w:i/>
          <w:sz w:val="24"/>
          <w:szCs w:val="24"/>
        </w:rPr>
        <w:t>…”</w:t>
      </w:r>
    </w:p>
    <w:p w:rsidR="009F3B39" w:rsidRDefault="009F3B39" w:rsidP="009F3B39">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9F3B39" w:rsidRDefault="009F3B39" w:rsidP="009F3B39">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9F3B39" w:rsidRDefault="009F3B39" w:rsidP="009F3B39">
      <w:pPr>
        <w:spacing w:line="240" w:lineRule="auto"/>
        <w:ind w:left="709" w:right="709"/>
        <w:jc w:val="both"/>
        <w:rPr>
          <w:rFonts w:ascii="Arial" w:eastAsia="Calibri" w:hAnsi="Arial" w:cs="Arial"/>
          <w:sz w:val="26"/>
          <w:szCs w:val="26"/>
        </w:rPr>
      </w:pPr>
      <w:r>
        <w:rPr>
          <w:rFonts w:ascii="Arial" w:hAnsi="Arial" w:cs="Arial"/>
          <w:sz w:val="20"/>
          <w:szCs w:val="20"/>
        </w:rPr>
        <w:t>“</w:t>
      </w:r>
      <w:r>
        <w:rPr>
          <w:rFonts w:cs="Arial"/>
          <w:b/>
          <w:i/>
          <w:sz w:val="26"/>
          <w:szCs w:val="26"/>
        </w:rPr>
        <w:t>AGRAVIOS. DEBEN DE IMPUGNAR LA ILEGALIDAD DEL FALLO RECURRIDO</w:t>
      </w:r>
      <w:r>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9F3B39" w:rsidRDefault="009F3B39" w:rsidP="009F3B39">
      <w:pPr>
        <w:spacing w:after="0" w:line="240" w:lineRule="auto"/>
        <w:ind w:firstLine="708"/>
        <w:jc w:val="both"/>
        <w:rPr>
          <w:rFonts w:ascii="Arial" w:hAnsi="Arial" w:cs="Arial"/>
          <w:bCs/>
          <w:sz w:val="26"/>
          <w:szCs w:val="26"/>
          <w:lang w:val="es-MX"/>
        </w:rPr>
      </w:pPr>
    </w:p>
    <w:p w:rsidR="009F3B39" w:rsidRDefault="009F3B39" w:rsidP="009F3B39">
      <w:pPr>
        <w:spacing w:after="0" w:line="360" w:lineRule="auto"/>
        <w:ind w:firstLine="708"/>
        <w:jc w:val="both"/>
        <w:rPr>
          <w:rFonts w:ascii="Arial" w:hAnsi="Arial" w:cs="Arial"/>
          <w:bCs/>
          <w:sz w:val="26"/>
          <w:szCs w:val="26"/>
        </w:rPr>
      </w:pPr>
      <w:r>
        <w:rPr>
          <w:rFonts w:ascii="Arial" w:hAnsi="Arial" w:cs="Arial"/>
          <w:bCs/>
          <w:sz w:val="26"/>
          <w:szCs w:val="26"/>
          <w:lang w:val="es-MX"/>
        </w:rPr>
        <w:t xml:space="preserve">Ante tal situación, </w:t>
      </w:r>
      <w:r>
        <w:rPr>
          <w:rFonts w:ascii="Arial" w:hAnsi="Arial" w:cs="Arial"/>
          <w:sz w:val="26"/>
          <w:szCs w:val="26"/>
        </w:rPr>
        <w:t>lo determinado por la primera instancia sigue rigiendo el sentido de la sentencia recurrida, porque la parte actora con sus manifestaciones no destruye esas consideraciones, lo que era menester que hiciera ya que fue precisamente en atención a ellas que la Magistrada determinó no sobreseer el Juicio de Nulidad.</w:t>
      </w:r>
    </w:p>
    <w:p w:rsidR="009F3B39" w:rsidRDefault="009F3B39" w:rsidP="009F3B39">
      <w:pPr>
        <w:spacing w:after="0" w:line="240" w:lineRule="auto"/>
        <w:ind w:firstLine="708"/>
        <w:jc w:val="both"/>
        <w:rPr>
          <w:rFonts w:ascii="Arial" w:eastAsia="Times New Roman" w:hAnsi="Arial" w:cs="Arial"/>
          <w:color w:val="000000"/>
          <w:sz w:val="26"/>
          <w:szCs w:val="26"/>
          <w:lang w:val="es-MX"/>
        </w:rPr>
      </w:pPr>
    </w:p>
    <w:p w:rsidR="009F3B39" w:rsidRDefault="009F3B39" w:rsidP="009F3B39">
      <w:pPr>
        <w:spacing w:after="0" w:line="360" w:lineRule="auto"/>
        <w:ind w:firstLine="708"/>
        <w:jc w:val="both"/>
        <w:rPr>
          <w:rFonts w:ascii="Arial" w:eastAsia="Times New Roman" w:hAnsi="Arial" w:cs="Times New Roman"/>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9F3B39" w:rsidRDefault="009F3B39" w:rsidP="009F3B39">
      <w:pPr>
        <w:spacing w:line="240" w:lineRule="auto"/>
        <w:ind w:left="709" w:right="709"/>
        <w:jc w:val="both"/>
        <w:rPr>
          <w:rFonts w:ascii="Arial" w:eastAsia="Times New Roman" w:hAnsi="Arial" w:cs="Arial"/>
          <w:b/>
          <w:color w:val="000000"/>
        </w:rPr>
      </w:pPr>
    </w:p>
    <w:p w:rsidR="009F3B39" w:rsidRDefault="009F3B39" w:rsidP="009F3B39">
      <w:pPr>
        <w:spacing w:after="0" w:line="360" w:lineRule="auto"/>
        <w:ind w:left="709" w:right="709" w:firstLine="709"/>
        <w:jc w:val="both"/>
        <w:rPr>
          <w:rFonts w:ascii="Arial" w:eastAsia="Calibri" w:hAnsi="Arial" w:cs="Arial"/>
          <w:bCs/>
          <w:sz w:val="26"/>
          <w:szCs w:val="26"/>
        </w:rPr>
      </w:pPr>
      <w:r>
        <w:rPr>
          <w:rFonts w:ascii="Arial" w:eastAsia="Times New Roman" w:hAnsi="Arial" w:cs="Arial"/>
          <w:b/>
          <w:color w:val="000000"/>
        </w:rPr>
        <w:t xml:space="preserve">AGRAVIOS EN LA RECLAMACIÓN. SON INOPERANTES CUANDO NO CONTROVIERTEN LAS CONSIDERACIONES QUE RIGEN EL AUTO COMBATIDO. </w:t>
      </w:r>
      <w:r>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9F3B39" w:rsidRDefault="009F3B39" w:rsidP="009F3B39">
      <w:pPr>
        <w:spacing w:after="0" w:line="240" w:lineRule="auto"/>
        <w:ind w:firstLine="709"/>
        <w:jc w:val="both"/>
        <w:rPr>
          <w:rFonts w:ascii="Arial" w:hAnsi="Arial" w:cs="Arial"/>
          <w:bCs/>
          <w:sz w:val="26"/>
          <w:szCs w:val="26"/>
        </w:rPr>
      </w:pP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Argumenta el recurrente son inconstitucionales el considerando séptimo y resolutivo cuarto de la sentencia, al no estar fundada y motivada, ya que la Magistrada se excedió en sus funciones al condenar a su representado al pago de diversas prestaciones que no reclamó la actora (pago de percepciones diarias) y cuya figura no se encuentra contemplada en la Constitución Política de los Estados Unidos Mexicanos, vulnerándose con ello los artículos 14, 16, primer párrafo y 123, apartado B, fracción XIII, primer y segundo párrafo Constitucionales.</w:t>
      </w: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 xml:space="preserve">Continúa señalando que de la lectura integral de la demanda no se advierte que la actora haya demandado el pago de percepciones diarias, que señala la Magistrada instructora, ya que la actora reclamó las prestaciones consistentes en salarios caídos y salarios devengados, y dichas prestaciones sólo figuran en la Ley Federal del Trabajo, que no es aplicable en forma supletoria a la Ley de Justicia Administrativa para el Estado de Oaxaca, por lo que se deberá revocar o modificar la sentencia y no condenar a su representada al pago de percepciones diarias ya que la actora no lo reclamó; sustentando su argumento con las jurisprudencias de rubros siguientes: </w:t>
      </w:r>
      <w:r>
        <w:rPr>
          <w:rFonts w:cs="Calibri"/>
          <w:bCs/>
          <w:i/>
        </w:rPr>
        <w:t>“SEGURIDAD PÚBLICA. PARA DETERMINAR LOS CONCEPTOS QUE DEBEN INTEGRAR LA INDEMNIZACIÓN ESTABLECIDA EN EL ARTÍCULO 123, APARTADO B, FRACCIÓN XIII, DE LA CONSTITUCIÓN POLÍTICA DE LOS ESTADOS UNIDOS MEXICANOS, NO ES APLICABLE NI AÚN SUPLETORIAMENTE, LA LEY FEDERAL DEL TRABAJO”; “SEGURIDAD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 Y “POLICÍAS. ANTE LA BAJA DEL SERVICIO PÚBLICO SIN EN DESAHOGO DEL PROCEDIMIENTO DE AUDIENCIA PREVIA, PROCEDE CONCEDER EL AMPAROPARA EL PAGO DE PRESTACIONES CON EXCEPCIÓN DE LOS SALARIOS VENCIDOS O CAIDOS, POR DISPOSICIÓN EXPRESA DEL ARTÍCULO 27 DE LA LEY DEL SERVICIO CIVIL DEL ESTADO DE NUEVO LEÓN”.</w:t>
      </w: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 xml:space="preserve">  Continúa señalando, le causa agravio la sentencia al no estar fundada y motivada, causándole agravios debido que la Magistrada dictó sentencia de conformidad con la Ley Federal del Trabajo, aunque no la citó expresamente, ya que los razonamientos que esgrimió fueron basados en criterios de materia laboral, condenando a su representada al pago de prestaciones que reclamó la actora y prestaciones que no contempla la Constitución Política de los Estados Unidos Mexicanos.</w:t>
      </w:r>
    </w:p>
    <w:p w:rsidR="009F3B39" w:rsidRDefault="009F3B39" w:rsidP="009F3B39">
      <w:pPr>
        <w:spacing w:line="360" w:lineRule="auto"/>
        <w:ind w:firstLine="709"/>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infundados</w:t>
      </w:r>
      <w:r>
        <w:rPr>
          <w:rFonts w:ascii="Arial" w:hAnsi="Arial" w:cs="Arial"/>
          <w:bCs/>
          <w:sz w:val="26"/>
          <w:szCs w:val="26"/>
        </w:rPr>
        <w:t xml:space="preserve"> los agravios expresados por el recurrente, dado que, del</w:t>
      </w:r>
      <w:r>
        <w:rPr>
          <w:rFonts w:ascii="Arial" w:hAnsi="Arial" w:cs="Arial"/>
          <w:bCs/>
          <w:color w:val="000000"/>
          <w:sz w:val="26"/>
          <w:szCs w:val="26"/>
          <w:lang w:val="es-MX"/>
        </w:rPr>
        <w:t xml:space="preserve"> análisis del expediente remitido a esta Sala para la sustanciación del presente recurso, con pleno valor probatorio, de conformidad con lo dispuesto por el artículo 173, fracción I, de la Ley de Justicia Administrativa para el Estado, al tratarse de actuaciones judiciales</w:t>
      </w:r>
      <w:r>
        <w:rPr>
          <w:rFonts w:ascii="Arial" w:hAnsi="Arial" w:cs="Arial"/>
          <w:bCs/>
          <w:sz w:val="26"/>
          <w:szCs w:val="26"/>
        </w:rPr>
        <w:t>, se advierte que en la parte relativa del considerando séptimo, la Magistrada de Primera Instancia, determinó:</w:t>
      </w:r>
    </w:p>
    <w:p w:rsidR="009F3B39" w:rsidRDefault="009F3B39" w:rsidP="009F3B39">
      <w:pPr>
        <w:spacing w:after="0"/>
        <w:ind w:left="709" w:right="709"/>
        <w:jc w:val="both"/>
        <w:rPr>
          <w:rFonts w:ascii="Arial" w:hAnsi="Arial" w:cs="Arial"/>
          <w:bCs/>
          <w:sz w:val="26"/>
          <w:szCs w:val="26"/>
        </w:rPr>
      </w:pPr>
      <w:r>
        <w:rPr>
          <w:rFonts w:ascii="Arial" w:hAnsi="Arial" w:cs="Arial"/>
          <w:bCs/>
          <w:sz w:val="26"/>
          <w:szCs w:val="26"/>
        </w:rPr>
        <w:t>“…</w:t>
      </w:r>
    </w:p>
    <w:p w:rsidR="009F3B39" w:rsidRDefault="009F3B39" w:rsidP="009F3B39">
      <w:pPr>
        <w:pStyle w:val="corte4fondoCarCarCar"/>
        <w:spacing w:line="276" w:lineRule="auto"/>
        <w:ind w:left="709" w:right="709"/>
        <w:rPr>
          <w:rFonts w:ascii="Calibri" w:hAnsi="Calibri" w:cs="Calibri"/>
          <w:sz w:val="22"/>
          <w:szCs w:val="22"/>
        </w:rPr>
      </w:pPr>
      <w:r>
        <w:rPr>
          <w:rFonts w:ascii="Calibri" w:hAnsi="Calibri" w:cs="Calibri"/>
          <w:b/>
          <w:bCs/>
          <w:sz w:val="22"/>
          <w:szCs w:val="22"/>
        </w:rPr>
        <w:t xml:space="preserve">SÉPTIMO.- </w:t>
      </w:r>
      <w:r>
        <w:rPr>
          <w:rFonts w:ascii="Calibri" w:hAnsi="Calibri" w:cs="Calibri"/>
          <w:bCs/>
          <w:sz w:val="22"/>
          <w:szCs w:val="22"/>
        </w:rPr>
        <w:t xml:space="preserve">La </w:t>
      </w:r>
      <w:r>
        <w:rPr>
          <w:rFonts w:ascii="Calibri" w:hAnsi="Calibri" w:cs="Calibri"/>
          <w:sz w:val="22"/>
          <w:szCs w:val="22"/>
        </w:rPr>
        <w:t>Constitución Política de los Estados Unidos Mexicanos, en su artículo 123 apartado B, fracción XIII, expresamente dispone: “…</w:t>
      </w:r>
      <w:r>
        <w:rPr>
          <w:rFonts w:ascii="Calibri" w:hAnsi="Calibri" w:cs="Calibri"/>
          <w:i/>
          <w:sz w:val="22"/>
          <w:szCs w:val="22"/>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r>
        <w:rPr>
          <w:rFonts w:ascii="Calibri" w:hAnsi="Calibri" w:cs="Calibri"/>
          <w:sz w:val="22"/>
          <w:szCs w:val="22"/>
        </w:rPr>
        <w:t xml:space="preserve">…”, refiriéndose a los Agentes del Ministerio Público,  peritos y </w:t>
      </w:r>
      <w:r>
        <w:rPr>
          <w:rFonts w:ascii="Calibri" w:hAnsi="Calibri" w:cs="Calibri"/>
          <w:sz w:val="22"/>
          <w:szCs w:val="22"/>
          <w:u w:val="single"/>
        </w:rPr>
        <w:t>miembros de las instituciones policiales,</w:t>
      </w:r>
      <w:r>
        <w:rPr>
          <w:rFonts w:ascii="Calibri" w:hAnsi="Calibri" w:cs="Calibri"/>
          <w:sz w:val="22"/>
          <w:szCs w:val="22"/>
        </w:rPr>
        <w:t xml:space="preserve"> de la Federación, el Distrito Federal, </w:t>
      </w:r>
      <w:r>
        <w:rPr>
          <w:rFonts w:ascii="Calibri" w:hAnsi="Calibri" w:cs="Calibri"/>
          <w:sz w:val="22"/>
          <w:szCs w:val="22"/>
          <w:u w:val="single"/>
        </w:rPr>
        <w:t>los Estados</w:t>
      </w:r>
      <w:r>
        <w:rPr>
          <w:rFonts w:ascii="Calibri" w:hAnsi="Calibri" w:cs="Calibri"/>
          <w:sz w:val="22"/>
          <w:szCs w:val="22"/>
        </w:rPr>
        <w:t xml:space="preserve"> y los Municipios, además, se toma en cuenta lo dispuesto en la fracción X del artículo 118 de la Ley del Sistema Estatal de Seguridad Pública de Oaxaca, que se refiere a los derechos a la indemnización de los integrantes de las Instituciones policiales. </w:t>
      </w:r>
    </w:p>
    <w:p w:rsidR="009F3B39" w:rsidRDefault="009F3B39" w:rsidP="009F3B39">
      <w:pPr>
        <w:pStyle w:val="corte4fondoCarCarCar"/>
        <w:spacing w:line="276" w:lineRule="auto"/>
        <w:ind w:left="709" w:right="709"/>
        <w:rPr>
          <w:rFonts w:ascii="Calibri" w:hAnsi="Calibri" w:cs="Calibri"/>
          <w:sz w:val="22"/>
          <w:szCs w:val="22"/>
        </w:rPr>
      </w:pPr>
      <w:r>
        <w:rPr>
          <w:rFonts w:ascii="Calibri" w:hAnsi="Calibri" w:cs="Calibri"/>
          <w:b/>
          <w:bCs/>
          <w:sz w:val="22"/>
          <w:szCs w:val="22"/>
        </w:rPr>
        <w:t>…</w:t>
      </w:r>
    </w:p>
    <w:p w:rsidR="009F3B39" w:rsidRDefault="009F3B39" w:rsidP="009F3B39">
      <w:pPr>
        <w:pStyle w:val="corte4fondoCarCarCar"/>
        <w:spacing w:line="276" w:lineRule="auto"/>
        <w:ind w:left="709" w:right="709"/>
        <w:rPr>
          <w:rFonts w:ascii="Calibri" w:hAnsi="Calibri" w:cs="Calibri"/>
          <w:sz w:val="22"/>
          <w:szCs w:val="22"/>
        </w:rPr>
      </w:pPr>
      <w:r>
        <w:rPr>
          <w:rFonts w:ascii="Calibri" w:hAnsi="Calibri" w:cs="Calibri"/>
          <w:sz w:val="22"/>
          <w:szCs w:val="22"/>
        </w:rPr>
        <w:t xml:space="preserve">Por lo que respecta al </w:t>
      </w:r>
      <w:r>
        <w:rPr>
          <w:rFonts w:ascii="Calibri" w:hAnsi="Calibri" w:cs="Calibri"/>
          <w:b/>
          <w:sz w:val="22"/>
          <w:szCs w:val="22"/>
        </w:rPr>
        <w:t xml:space="preserve">pago de </w:t>
      </w:r>
      <w:r>
        <w:rPr>
          <w:rFonts w:ascii="Calibri" w:hAnsi="Calibri" w:cs="Calibri"/>
          <w:b/>
          <w:sz w:val="22"/>
          <w:szCs w:val="22"/>
          <w:u w:val="single"/>
        </w:rPr>
        <w:t>percepciones diarias</w:t>
      </w:r>
      <w:r>
        <w:rPr>
          <w:rFonts w:ascii="Calibri" w:hAnsi="Calibri" w:cs="Calibri"/>
          <w:sz w:val="22"/>
          <w:szCs w:val="22"/>
        </w:rPr>
        <w:t xml:space="preserve"> que la actora ha dejado de percibir por la injustificada separación al cargo, (salarios caídos y salarios devengados), tomando como base la fecha del cese, esto es el día treinta y uno de marzo de dos mil catorce (31/03/2014) deberá enterársele la cantidad de $ </w:t>
      </w:r>
      <w:r w:rsidR="003371F5">
        <w:rPr>
          <w:rFonts w:ascii="Calibri" w:hAnsi="Calibri" w:cs="Calibri"/>
          <w:b/>
          <w:sz w:val="22"/>
          <w:szCs w:val="22"/>
        </w:rPr>
        <w:t>***********</w:t>
      </w:r>
      <w:r>
        <w:rPr>
          <w:rFonts w:ascii="Calibri" w:hAnsi="Calibri" w:cs="Calibri"/>
          <w:sz w:val="22"/>
          <w:szCs w:val="22"/>
        </w:rPr>
        <w:t>por cada día, a partir de esa fecha, hasta el día en que se dé cabal cumplimiento a esta sentencia.</w:t>
      </w:r>
    </w:p>
    <w:p w:rsidR="009F3B39" w:rsidRDefault="009F3B39" w:rsidP="009F3B39">
      <w:pPr>
        <w:pStyle w:val="corte4fondoCarCarCar"/>
        <w:spacing w:line="276" w:lineRule="auto"/>
        <w:ind w:left="709" w:right="709"/>
        <w:rPr>
          <w:rFonts w:ascii="Calibri" w:hAnsi="Calibri" w:cs="Calibri"/>
          <w:sz w:val="22"/>
          <w:szCs w:val="22"/>
        </w:rPr>
      </w:pPr>
      <w:r>
        <w:rPr>
          <w:rFonts w:ascii="Calibri" w:hAnsi="Calibri" w:cs="Calibri"/>
          <w:sz w:val="22"/>
          <w:szCs w:val="22"/>
        </w:rPr>
        <w:t>…</w:t>
      </w:r>
    </w:p>
    <w:p w:rsidR="009F3B39" w:rsidRDefault="009F3B39" w:rsidP="009F3B39">
      <w:pPr>
        <w:pStyle w:val="corte4fondoCarCarCar"/>
        <w:spacing w:line="276" w:lineRule="auto"/>
        <w:ind w:left="709" w:right="709"/>
        <w:rPr>
          <w:rFonts w:ascii="Calibri" w:hAnsi="Calibri" w:cs="Calibri"/>
          <w:i/>
          <w:sz w:val="22"/>
          <w:szCs w:val="22"/>
        </w:rPr>
      </w:pPr>
      <w:r>
        <w:rPr>
          <w:rFonts w:ascii="Calibri" w:hAnsi="Calibri" w:cs="Calibri"/>
          <w:i/>
          <w:sz w:val="22"/>
          <w:szCs w:val="22"/>
        </w:rPr>
        <w:t xml:space="preserve">Lo anterior obedece a la consecuencia de la baja o cese injustificado de la actora C. </w:t>
      </w:r>
      <w:r w:rsidR="003371F5">
        <w:rPr>
          <w:rFonts w:ascii="Calibri" w:hAnsi="Calibri" w:cs="Calibri"/>
          <w:i/>
          <w:sz w:val="22"/>
          <w:szCs w:val="22"/>
        </w:rPr>
        <w:t>***********</w:t>
      </w:r>
      <w:r>
        <w:rPr>
          <w:rFonts w:ascii="Calibri" w:hAnsi="Calibri" w:cs="Calibri"/>
          <w:i/>
          <w:sz w:val="22"/>
          <w:szCs w:val="22"/>
        </w:rPr>
        <w:t>, lo que trajo como resultado, la restitución al pleno goce de sus derechos afectados, y que deriva de los actos aquí declarados nulos al existir disposición constitucional expresa, como se precisó al inicio de éste considerando, y con apoyo en las Jurisprudencias sustentadas por la Suprema Corta  (sic) de Justicia de la Nación, con datos de identificación: Gaceta del Semanario Judicial de la Federación, Libro 35, Octubre de 2016, Tomo I, Décima Época, pág. 897, registro 2012722, Jurisprudencia Común, Administrativa, Segunda Sala, y de rubro: “MIEMBROS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 Así como la publicada en el Semanario Judicial de la Federación y su Gaceta, Libro XII, Septiembre de 2012, Tomo 2, Décima Época, pág. 617, registro 2001770, Jurisprudencia (Constitucional), Segunda Sala, y bajo el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p>
    <w:p w:rsidR="009F3B39" w:rsidRDefault="009F3B39" w:rsidP="009F3B39">
      <w:pPr>
        <w:pStyle w:val="corte4fondoCarCarCar"/>
        <w:ind w:left="709" w:right="709"/>
        <w:rPr>
          <w:rFonts w:ascii="Calibri" w:hAnsi="Calibri" w:cs="Calibri"/>
          <w:bCs/>
          <w:i/>
          <w:sz w:val="22"/>
          <w:szCs w:val="22"/>
        </w:rPr>
      </w:pPr>
      <w:r>
        <w:rPr>
          <w:rFonts w:ascii="Calibri" w:hAnsi="Calibri" w:cs="Calibri"/>
          <w:bCs/>
          <w:i/>
          <w:sz w:val="22"/>
          <w:szCs w:val="22"/>
        </w:rPr>
        <w:t>…”</w:t>
      </w:r>
    </w:p>
    <w:p w:rsidR="009F3B39" w:rsidRDefault="009F3B39" w:rsidP="009F3B39">
      <w:pPr>
        <w:spacing w:after="0" w:line="360" w:lineRule="auto"/>
        <w:ind w:right="49"/>
        <w:jc w:val="both"/>
        <w:rPr>
          <w:rFonts w:ascii="Arial" w:hAnsi="Arial" w:cs="Arial"/>
          <w:bCs/>
          <w:sz w:val="26"/>
          <w:szCs w:val="26"/>
        </w:rPr>
      </w:pPr>
      <w:r>
        <w:rPr>
          <w:rFonts w:ascii="Arial" w:hAnsi="Arial" w:cs="Arial"/>
          <w:bCs/>
          <w:sz w:val="26"/>
          <w:szCs w:val="26"/>
        </w:rPr>
        <w:tab/>
        <w:t>De ahí lo infundado respecto a lo argumentado por el recurrente, virtud que la primera instancia sustenta su determinación en las Jurisprudencias señaladas con antelación, sin que de lo anteriormente transcrito se advierta aplicación supletoria de la Ley Federal del Trabajo.</w:t>
      </w:r>
    </w:p>
    <w:p w:rsidR="009F3B39" w:rsidRDefault="009F3B39" w:rsidP="009F3B39">
      <w:pPr>
        <w:spacing w:before="240" w:after="0" w:line="360" w:lineRule="auto"/>
        <w:ind w:right="49" w:firstLine="708"/>
        <w:jc w:val="both"/>
        <w:rPr>
          <w:rFonts w:ascii="Arial" w:hAnsi="Arial" w:cs="Arial"/>
          <w:bCs/>
          <w:sz w:val="26"/>
          <w:szCs w:val="26"/>
        </w:rPr>
      </w:pPr>
      <w:r>
        <w:rPr>
          <w:rFonts w:ascii="Arial" w:hAnsi="Arial" w:cs="Arial"/>
          <w:bCs/>
          <w:sz w:val="26"/>
          <w:szCs w:val="26"/>
        </w:rPr>
        <w:t>A mayor abundamiento, respecto a lo determinado por la Magistrada de Primera Instancia, también es importante considerar por una parte, lo que señala la Constitución Política de los Estados Unidos Mexicanos, en su artículo 1°, al establecer, que en México “</w:t>
      </w:r>
      <w:r>
        <w:rPr>
          <w:rFonts w:ascii="Arial" w:hAnsi="Arial" w:cs="Arial"/>
          <w:bCs/>
          <w:i/>
          <w:sz w:val="26"/>
          <w:szCs w:val="26"/>
        </w:rPr>
        <w:t>todas las personas gozarán de los derechos humanos reconocidos en esta Constitución y en los tratados internacionales de los que el Estado Mexicano sea parte, así como de las garantías para su protección… Las normas relativas a los derechos humanos se interpretarán de conformidad con esta Constitución y con los tratados internacionales de la materia favoreciendo en todo tiempo a las personas la protección más amplia” y que está prohibida toda discriminación que “atente contra la dignidad humana y tenga por objeto anular o menoscabar los derechos y libertades de las personas</w:t>
      </w:r>
      <w:r>
        <w:rPr>
          <w:rFonts w:ascii="Arial" w:hAnsi="Arial" w:cs="Arial"/>
          <w:bCs/>
          <w:sz w:val="26"/>
          <w:szCs w:val="26"/>
        </w:rPr>
        <w:t>”.</w:t>
      </w:r>
    </w:p>
    <w:p w:rsidR="009F3B39" w:rsidRDefault="009F3B39" w:rsidP="009F3B39">
      <w:pPr>
        <w:spacing w:line="360" w:lineRule="auto"/>
        <w:ind w:firstLine="708"/>
        <w:jc w:val="both"/>
        <w:rPr>
          <w:rFonts w:ascii="Arial" w:hAnsi="Arial" w:cs="Arial"/>
          <w:bCs/>
          <w:sz w:val="26"/>
          <w:szCs w:val="26"/>
        </w:rPr>
      </w:pPr>
      <w:r>
        <w:rPr>
          <w:rFonts w:ascii="Arial" w:hAnsi="Arial" w:cs="Arial"/>
          <w:bCs/>
          <w:sz w:val="26"/>
          <w:szCs w:val="26"/>
          <w:lang w:val="es-MX"/>
        </w:rPr>
        <w:t>Por otra parte, debe destacarse que los ordenamientos administrativos que regulan las funciones de los miembros de los cuerpos policiales, no establecen de forma expresa las prestaciones que reclama el actor, como así se advierte de la Ley de Seguridad Pública para el Estado de Oaxaca, del Reglamento de la Policía Estatal de Oaxaca y de la Ley Orgánica de la Policía del Estado de Oaxaca; no obstante, ello no puede ser obstáculo para determinar que los miembros de las instituciones policiales, al ser separados de forma injustificada de su empleo, se les debe indemnizar, respetando las prestaciones a que tienen derecho como trabajadores; pues de no ser así, se les daría un trato discriminatorio, lo que atentaría contra su dignidad humana, porque se les daría un trato distinto, que anula la igualdad de oportunidades y trato, derivado de su ocupación, pues como se ve en el caso, se trata de las prestaciones económicas de que gozaba cuando desempeñaba su encomienda como celadora nivel 2.</w:t>
      </w:r>
    </w:p>
    <w:p w:rsidR="009F3B39" w:rsidRDefault="009F3B39" w:rsidP="009F3B39">
      <w:pPr>
        <w:spacing w:line="360" w:lineRule="auto"/>
        <w:ind w:firstLine="708"/>
        <w:jc w:val="both"/>
        <w:rPr>
          <w:rFonts w:ascii="Arial" w:hAnsi="Arial" w:cs="Arial"/>
          <w:bCs/>
          <w:sz w:val="26"/>
          <w:szCs w:val="26"/>
        </w:rPr>
      </w:pPr>
      <w:r>
        <w:rPr>
          <w:rFonts w:ascii="Arial" w:hAnsi="Arial" w:cs="Arial"/>
          <w:bCs/>
          <w:sz w:val="26"/>
          <w:szCs w:val="26"/>
        </w:rPr>
        <w:t>Por tanto, debe atenderse a lo establecido en el CONVENIO RELATIVO A LA DISCRIMINACIÓN EN MATERIA DE EMPLEO Y OCUPACIÓN, publicado en el Diario Oficial de la Federación, el 11 once de agosto de 1972 mil novecientos sesenta y dos, que en la parte relativa dice:</w:t>
      </w:r>
    </w:p>
    <w:p w:rsidR="009F3B39" w:rsidRDefault="009F3B39" w:rsidP="009F3B39">
      <w:pPr>
        <w:spacing w:line="360" w:lineRule="auto"/>
        <w:ind w:left="851" w:right="778"/>
        <w:jc w:val="both"/>
        <w:rPr>
          <w:rFonts w:ascii="Arial" w:hAnsi="Arial" w:cs="Arial"/>
          <w:bCs/>
          <w:i/>
          <w:lang w:val="es-MX"/>
        </w:rPr>
      </w:pPr>
      <w:r>
        <w:rPr>
          <w:rFonts w:ascii="Arial" w:hAnsi="Arial" w:cs="Arial"/>
          <w:bCs/>
          <w:i/>
          <w:lang w:val="es-MX"/>
        </w:rPr>
        <w:t>“…Artículo 1</w:t>
      </w:r>
    </w:p>
    <w:p w:rsidR="009F3B39" w:rsidRDefault="009F3B39" w:rsidP="009F3B39">
      <w:pPr>
        <w:spacing w:line="360" w:lineRule="auto"/>
        <w:ind w:left="851" w:right="778"/>
        <w:jc w:val="both"/>
        <w:rPr>
          <w:rFonts w:ascii="Arial" w:hAnsi="Arial" w:cs="Arial"/>
          <w:bCs/>
          <w:i/>
          <w:lang w:val="es-MX"/>
        </w:rPr>
      </w:pPr>
      <w:r>
        <w:rPr>
          <w:rFonts w:ascii="Arial" w:hAnsi="Arial" w:cs="Arial"/>
          <w:bCs/>
          <w:i/>
          <w:lang w:val="es-MX"/>
        </w:rPr>
        <w:t>1. A los efectos de este Convenio, el término discriminación comprende:</w:t>
      </w:r>
    </w:p>
    <w:p w:rsidR="009F3B39" w:rsidRDefault="009F3B39" w:rsidP="009F3B39">
      <w:pPr>
        <w:spacing w:line="360" w:lineRule="auto"/>
        <w:ind w:left="851" w:right="778"/>
        <w:jc w:val="both"/>
        <w:rPr>
          <w:rFonts w:ascii="Arial" w:hAnsi="Arial" w:cs="Arial"/>
          <w:bCs/>
          <w:i/>
          <w:lang w:val="es-MX"/>
        </w:rPr>
      </w:pPr>
      <w:r>
        <w:rPr>
          <w:rFonts w:ascii="Arial" w:hAnsi="Arial" w:cs="Arial"/>
          <w:bCs/>
          <w:i/>
          <w:lang w:val="es-MX"/>
        </w:rPr>
        <w:t>(a).- Cualquier distinción, exclusión o preferencia basada en motivos de raza, color, sexo, religión, opinión política, ascendencia nacional u origen social, que tenga por efecto anular o alterar la igualdad de oportunidades o de trato en el empleo y la ocupación.</w:t>
      </w:r>
    </w:p>
    <w:p w:rsidR="009F3B39" w:rsidRDefault="009F3B39" w:rsidP="009F3B39">
      <w:pPr>
        <w:spacing w:line="360" w:lineRule="auto"/>
        <w:ind w:left="851" w:right="778"/>
        <w:jc w:val="both"/>
        <w:rPr>
          <w:rFonts w:ascii="Arial" w:hAnsi="Arial" w:cs="Arial"/>
          <w:bCs/>
          <w:lang w:val="es-MX"/>
        </w:rPr>
      </w:pPr>
      <w:r>
        <w:rPr>
          <w:rFonts w:ascii="Arial" w:hAnsi="Arial" w:cs="Arial"/>
          <w:bCs/>
          <w:i/>
          <w:lang w:val="es-MX"/>
        </w:rPr>
        <w:t>(b).- Cualquier otra distinción, exclusión (sic) o preferencia que tenga por efecto anular o alterar la igualdad de oportunidades o de trato en el empleo u ocupación…”</w:t>
      </w:r>
    </w:p>
    <w:p w:rsidR="009F3B39" w:rsidRDefault="009F3B39" w:rsidP="009F3B39">
      <w:pPr>
        <w:spacing w:line="360" w:lineRule="auto"/>
        <w:ind w:firstLine="708"/>
        <w:jc w:val="both"/>
        <w:rPr>
          <w:rFonts w:ascii="Arial" w:hAnsi="Arial" w:cs="Arial"/>
          <w:bCs/>
          <w:sz w:val="26"/>
          <w:szCs w:val="26"/>
        </w:rPr>
      </w:pPr>
      <w:r>
        <w:rPr>
          <w:rFonts w:ascii="Arial" w:hAnsi="Arial" w:cs="Arial"/>
          <w:bCs/>
          <w:sz w:val="26"/>
          <w:szCs w:val="26"/>
        </w:rPr>
        <w:t>En el mismo sentido se ha pronunciado el Primer Tribunal Colegiado en materia administrativa, en sus tesis P/J.24/95 y 2ª/J.119/2011, publicadas en el Semanario Judicial de la Federación, de la novena época, tomo II, septiembre 1995, página 43 y tomo XXXIV agosto del 2011, página 412 respectivamente, con rubros:</w:t>
      </w:r>
    </w:p>
    <w:p w:rsidR="009F3B39" w:rsidRDefault="009F3B39" w:rsidP="009F3B39">
      <w:pPr>
        <w:spacing w:line="360" w:lineRule="auto"/>
        <w:ind w:left="851" w:right="778"/>
        <w:jc w:val="both"/>
        <w:rPr>
          <w:rFonts w:ascii="Arial" w:hAnsi="Arial" w:cs="Arial"/>
          <w:bCs/>
          <w:i/>
        </w:rPr>
      </w:pPr>
      <w:r>
        <w:rPr>
          <w:rFonts w:ascii="Arial" w:hAnsi="Arial" w:cs="Arial"/>
          <w:b/>
          <w:bCs/>
          <w:i/>
        </w:rPr>
        <w:t>“POLICÍAS. LA NATURALEZA DE SUS FUNCIONES OBLIGA A QUE, ANTE LA SEPARACIÓN INJUSTIFICADA DE SUS EMPLEO, SU INDEMNIZACIÓN SE CALCULA CON EL MINIMO DE PRESTACIONES ESTABLECIDAS PARA LOS TRABAJADORES EN GENERAL</w:t>
      </w:r>
      <w:r>
        <w:rPr>
          <w:rFonts w:ascii="Arial" w:hAnsi="Arial" w:cs="Arial"/>
          <w:bCs/>
        </w:rPr>
        <w:t xml:space="preserve">. </w:t>
      </w:r>
      <w:r>
        <w:rPr>
          <w:rFonts w:ascii="Arial" w:hAnsi="Arial" w:cs="Arial"/>
          <w:bCs/>
          <w:i/>
        </w:rPr>
        <w:t>Conforme al artículo 155 de la Ley de Seguridad Pública para el Estado de Nuevo León, los integrantes de las instituciones policiales tienen el deber de velar por la seguridad y protección de los ciudadanos y de la integridad de sus bienes; proteger a los menores, ancianos, enfermos, débiles o incapaces que se encuentran en situaciones de riesgo, amenaza o peligro en su integridad física y corporal; atender sin dilación ni objeción alguna las órdenes emitidas por sus superiores jerárquicos; investigar y perseguir a delincuentes, así como apoyar en situaciones de grave riesgo, catástrofes o desastres. Así, tales funciones son sustanciales para el orden, la estabilidad y la defensa de la sociedad a la que pertenecen, lo que constriñe a ésta a  reconocerles el esfuerzo que desarrollan para mantener el orden social. En esos términos, los miembros pertenecientes a los cuerpos de seguridad que sufran la separación injustificada de su empleo deben ser indemnizados, en igualdad de trato, como los trabajadores en general pues, de no hacerlo no sólo se desconoce su labor trascendental en al que incluso está implícito el riesgo a su integridad, sino que se genera un trato evidentemente discriminatorio, al ni siquiera pagarles el mínimo de prestaciones que tienen aquellos trabajadores, y que prohíbe el Convenio relativo a la Discriminación en Materia de Empleo y Ocupación, publicado en el Diario Oficial de la Federación el once de agosto de mil novecientos sesenta y dos.”</w:t>
      </w:r>
    </w:p>
    <w:p w:rsidR="009F3B39" w:rsidRDefault="009F3B39" w:rsidP="009F3B39">
      <w:pPr>
        <w:spacing w:line="360" w:lineRule="auto"/>
        <w:ind w:left="851" w:right="778"/>
        <w:jc w:val="both"/>
        <w:rPr>
          <w:rFonts w:ascii="Arial" w:hAnsi="Arial" w:cs="Arial"/>
          <w:bCs/>
          <w:i/>
        </w:rPr>
      </w:pPr>
      <w:r>
        <w:rPr>
          <w:rFonts w:ascii="Arial" w:hAnsi="Arial" w:cs="Arial"/>
          <w:b/>
          <w:bCs/>
          <w:i/>
        </w:rPr>
        <w:t xml:space="preserve">“POLICÍAS PARA EL PAGO DE SU INDEMNIZACIÓN PROCEDE DESAPLICAR LAS REGLAS QUE EN LA INTERPRETACIÓN DEL ARTÍCULO 123, APARTADO B, FRACCIÓN XIII DE LA CONSTITUCIÓN FEDERAL. HA ESTABLECIDO LA SUPREMA CORTE DE JUSTICIA DE LA NACIÓN.- </w:t>
      </w:r>
      <w:r>
        <w:rPr>
          <w:rFonts w:ascii="Arial" w:hAnsi="Arial" w:cs="Arial"/>
          <w:bCs/>
          <w:i/>
        </w:rPr>
        <w:t>En la jurisprudencia 24/95, de rubro: “POLICÍAS MUNICIPALES Y JUDICIALES AL SERVICIO DEL GOBIERNO DEL ESTADO DE MÉXICO Y DE SUS MUNICIPIOS. SU RELACIÓN JURÍDICA ES DE NATURALEZA ADMINISTRATIVA.”, el Pleno de la Suprema Corte de Justicia de la Nación estableció que tanto el artículo 123 de la Constitución Federal, como las leyes secundarias, reconocen un trato desigual en las relaciones laborales entre los particulares y para los miembros de las instituciones policiales. Por su parte, la Segunda Sala de la Suprema Corete de Justicia de la Nación, emitió la jurisprudencia 119/2011, de rubro: “SEGURIDAD PÚBLICA. PARA DETERMINAR LOS CONCEPTOS QUE DEBEN INTEGRAR LA INDEMNIZACIÓN ESTABLECIDA EN EL ARTÍCULO 123, APARTADO B, FRACCIÓN XIII DE LA CONSTITUCIÓN POLÍTICA DE LOS ESTADOS UNIDOS MEXICANOS, NO ES APLICABLE NI AUN SUPLETORIAMENTE LA LEY FEDERAL DEL TRABAJO.” Sin embargo, las reformas constitucionales publicadas en el Diario Oficial de la Federación los días seis y diez de junio de dos mi once, obligan a los juzgadores a eliminar tecnicismo y formalismos extremos en el juicio de amparo y a aplicar su marco de protección a fin de que mediante el juicio de amparo se protejan de manera directa, además de las garantías que preveía nuestra Constitución, los derechos contenidos en los instrumentos internacionales que en materia de derechos humanos ha ratificado el Estado Mexicano. En esos términos, conforme a los artículos 1º. y 133 de la Constitución Política de los Estados Unidos Mexicanos y a la determinación de la Suprema Corte de Justicia de la Nación, de catorce de julio de dos mil once, emitida en el expediente varios 912/2010; y a fin de asegurar la primacía  aplicación efectiva del derecho humano consistente en la ocupación, como una forma de proveerse de recursos económicos para la manutención personal y de la familia, reconocido en el Convenio relativo a la Discriminación en Materia de Empleo y Ocupación, del que el Estado Mexicano forma parte, publicado en el Diario oficial de la Federación el once de agosto de mil novecientos sesenta y dos, que constriñe a hacer efectiva la igualdad en materia de empleo y ocupación y a eliminar cualquier forma de discriminación; procede desaplicar las reglas de interpretación que ha establecido la Suprema Corte de Justicia de la Nación, en el sentido de que en relación con los policías o encargados de la seguridad pública, debe estarse sólo a lo dispuesto en el artículo 123, apartado B, de la Constitución Política de los Estados Unidos Mexicanos y, en su caso, a las leyes administrativas correspondientes. En efecto, si las relaciones de trabajo comprendidas en el artículo 123, apartado A, de la Constitución Política de los Estados Unidos Mexicanos, se rigen por la ley Federal del trabajo y conforme a este ordenamiento de indemnización, en caso de despido injustificado, se integra por el importe de tres meses de salario, veinte días de salario por año laborado, pago proporcional de vacaciones, aguinaldo, cualquier otra prestación a la que la parte quejosa tuviera derecho, así como los salarios y emolumentos que hubiera dejado de percibir, desde la fecha de su baja y hasta el momento en que se le pague la indemnización aludida, resulta evidentemente discriminatorio que los miembros de las instituciones policiales, que también resientan la separación injustificada de su empleo, no reciban los beneficios mínimos que, en ese supuesto, se establecen para aquéllos, pues ello implica que respecto de una misma situación jurídica no se logre el trato igual al que constriñe el Convenio relativo a la Discriminación en materia de Empleo y Ocupación, que el estado Mexicano se encuentra obligado a respetar y a hacer cumplir en sus leyes ordinarias. Por tanto, para hacer efectiva la garantía de igualdad y para garantizarles una protección equivalente a los trabajadores en general y, fundamentalmente, para eliminar un trato discriminatorio a los miembros adscritos a los cuerpos de seguridad cuando resientan la separación injustificada de su empleo, la indemnización debe calcularse conforme se establece en la Ley Federal del Trabajo, pues en dicho ordenamiento se reconocen mejores prestaciones laborales.”</w:t>
      </w:r>
    </w:p>
    <w:p w:rsidR="009F3B39" w:rsidRDefault="009F3B39" w:rsidP="009F3B39">
      <w:pPr>
        <w:spacing w:before="240" w:after="0" w:line="360" w:lineRule="auto"/>
        <w:ind w:right="49" w:firstLine="708"/>
        <w:jc w:val="both"/>
        <w:rPr>
          <w:rFonts w:ascii="Calibri" w:hAnsi="Calibri" w:cs="Calibri"/>
          <w:bCs/>
          <w:i/>
          <w:sz w:val="24"/>
          <w:szCs w:val="24"/>
        </w:rPr>
      </w:pPr>
      <w:r>
        <w:rPr>
          <w:rFonts w:ascii="Arial" w:hAnsi="Arial" w:cs="Arial"/>
          <w:bCs/>
          <w:sz w:val="26"/>
          <w:szCs w:val="26"/>
        </w:rPr>
        <w:t xml:space="preserve">Teniendo aplicación la jurisprudencia con número de registro 2001768, de rubro </w:t>
      </w:r>
      <w:r>
        <w:rPr>
          <w:rFonts w:cs="Calibri"/>
          <w:bCs/>
          <w:i/>
          <w:sz w:val="24"/>
          <w:szCs w:val="24"/>
        </w:rPr>
        <w:t>“</w:t>
      </w:r>
      <w:r>
        <w:rPr>
          <w:rFonts w:cs="Calibri"/>
          <w:b/>
          <w:bCs/>
          <w:i/>
          <w:sz w:val="24"/>
          <w:szCs w:val="24"/>
        </w:rPr>
        <w:t xml:space="preserve">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w:t>
      </w:r>
      <w:r>
        <w:rPr>
          <w:rFonts w:cs="Calibri"/>
          <w:b/>
          <w:bCs/>
          <w:i/>
          <w:color w:val="000000"/>
          <w:sz w:val="24"/>
          <w:szCs w:val="24"/>
        </w:rPr>
        <w:t>SALARIOS VENCIDOS</w:t>
      </w:r>
      <w:r>
        <w:rPr>
          <w:rFonts w:cs="Calibri"/>
          <w:bCs/>
          <w:i/>
          <w:sz w:val="24"/>
          <w:szCs w:val="24"/>
        </w:rPr>
        <w:t xml:space="preserve">. Siguiendo ese orden de ideas, si bien es cierto que el concepto de salarios vencidos, se encuentra inmerso en el campo del derecho del trabajo y tiene su fundamento en el artículo 48 de la Ley Federal del Trabajo, legislación que no resulta aplicable en la relación </w:t>
      </w:r>
      <w:r>
        <w:rPr>
          <w:rFonts w:cs="Calibri"/>
          <w:bCs/>
          <w:i/>
          <w:color w:val="000000"/>
          <w:sz w:val="24"/>
          <w:szCs w:val="24"/>
        </w:rPr>
        <w:t>entre los miembros de instituciones policiales y el Estado,</w:t>
      </w:r>
      <w:r>
        <w:rPr>
          <w:rFonts w:cs="Calibri"/>
          <w:bCs/>
          <w:i/>
          <w:sz w:val="24"/>
          <w:szCs w:val="24"/>
        </w:rPr>
        <w:t xml:space="preserve"> por ser ésta de naturaleza administrativa; también lo es que todo servidor público, incluidos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9F3B39" w:rsidRDefault="009F3B39" w:rsidP="009F3B39">
      <w:pPr>
        <w:spacing w:line="360" w:lineRule="auto"/>
        <w:jc w:val="both"/>
        <w:rPr>
          <w:rFonts w:ascii="Arial" w:hAnsi="Arial" w:cs="Arial"/>
          <w:bCs/>
          <w:sz w:val="26"/>
          <w:szCs w:val="26"/>
        </w:rPr>
      </w:pPr>
      <w:r>
        <w:rPr>
          <w:rFonts w:cs="Calibri"/>
          <w:bCs/>
          <w:i/>
          <w:sz w:val="24"/>
          <w:szCs w:val="24"/>
        </w:rPr>
        <w:tab/>
        <w:t xml:space="preserve">Con base en lo anterior, al resolverse por la autoridad jurisdiccional correspondiente que la separación, remoción, baja, cese o cualquier otra forma de terminación del servicio de los miembros de las instituciones policiales, fue injustificada, ante la prohibición de su reincorporación al cargo que venía desempeñando, el Estado estará obligado a resarcirlo con el pago de la indemnización y demás prestaciones a que tenga derecho, que como ya se señaló, dentro de éstas, se encuentra incluido el pago de la </w:t>
      </w:r>
      <w:r>
        <w:rPr>
          <w:rFonts w:cs="Calibri"/>
          <w:b/>
          <w:bCs/>
          <w:i/>
          <w:sz w:val="24"/>
          <w:szCs w:val="24"/>
        </w:rPr>
        <w:t>remuneración diaria ordinaria</w:t>
      </w:r>
      <w:r>
        <w:rPr>
          <w:rFonts w:cs="Calibri"/>
          <w:bCs/>
          <w:i/>
          <w:sz w:val="24"/>
          <w:szCs w:val="24"/>
        </w:rPr>
        <w:t>.”</w:t>
      </w:r>
      <w:r>
        <w:rPr>
          <w:rFonts w:ascii="Arial" w:hAnsi="Arial" w:cs="Arial"/>
          <w:bCs/>
          <w:sz w:val="26"/>
          <w:szCs w:val="26"/>
        </w:rPr>
        <w:t xml:space="preserve"> </w:t>
      </w:r>
    </w:p>
    <w:p w:rsidR="009F3B39" w:rsidRDefault="009F3B39" w:rsidP="009F3B39">
      <w:pPr>
        <w:spacing w:line="360" w:lineRule="auto"/>
        <w:jc w:val="both"/>
        <w:rPr>
          <w:rFonts w:ascii="Arial" w:hAnsi="Arial" w:cs="Arial"/>
          <w:bCs/>
          <w:sz w:val="26"/>
          <w:szCs w:val="26"/>
        </w:rPr>
      </w:pPr>
      <w:r>
        <w:rPr>
          <w:rFonts w:ascii="Arial" w:hAnsi="Arial" w:cs="Arial"/>
          <w:bCs/>
          <w:sz w:val="26"/>
          <w:szCs w:val="26"/>
        </w:rPr>
        <w:tab/>
        <w:t xml:space="preserve">En ese sentido, al haberse resuelto injustificada la baja definitiva de </w:t>
      </w:r>
      <w:r w:rsidR="003371F5">
        <w:rPr>
          <w:rFonts w:ascii="Arial" w:hAnsi="Arial" w:cs="Arial"/>
          <w:i/>
          <w:sz w:val="26"/>
          <w:szCs w:val="26"/>
          <w:lang w:val="es-MX"/>
        </w:rPr>
        <w:t>***********</w:t>
      </w:r>
      <w:r>
        <w:rPr>
          <w:rFonts w:ascii="Arial" w:hAnsi="Arial" w:cs="Arial"/>
          <w:i/>
          <w:sz w:val="26"/>
          <w:szCs w:val="26"/>
          <w:lang w:val="es-MX"/>
        </w:rPr>
        <w:t>, al cargo que venía desempeñando como CELADORA NIVEL 2 adscrita a la Secretaría de Seguridad Pública del Estado</w:t>
      </w:r>
      <w:r>
        <w:rPr>
          <w:rFonts w:ascii="Arial" w:hAnsi="Arial" w:cs="Arial"/>
          <w:bCs/>
          <w:sz w:val="26"/>
          <w:szCs w:val="26"/>
        </w:rPr>
        <w:t xml:space="preserve">, procede cubrirle la </w:t>
      </w:r>
      <w:r>
        <w:rPr>
          <w:rFonts w:ascii="Arial" w:hAnsi="Arial" w:cs="Arial"/>
          <w:b/>
          <w:bCs/>
          <w:sz w:val="26"/>
          <w:szCs w:val="26"/>
        </w:rPr>
        <w:t>remuneración diaria ordinaria</w:t>
      </w:r>
      <w:r>
        <w:rPr>
          <w:rFonts w:ascii="Arial" w:hAnsi="Arial" w:cs="Arial"/>
          <w:bCs/>
          <w:sz w:val="26"/>
          <w:szCs w:val="26"/>
        </w:rPr>
        <w:t xml:space="preserve"> que dejó de percibir, desde el 31 treinta y uno de marzo de 2014 dos mil catorce, fecha en que se decretó la separación definitiva al cargo y hasta que se realice el pago correspondiente, al formar parte de la obligación resarcitoria del Estado, por el cese injustificado.</w:t>
      </w:r>
    </w:p>
    <w:p w:rsidR="009F3B39" w:rsidRDefault="009F3B39" w:rsidP="009F3B39">
      <w:pPr>
        <w:spacing w:line="360" w:lineRule="auto"/>
        <w:jc w:val="both"/>
        <w:rPr>
          <w:rFonts w:ascii="Arial" w:hAnsi="Arial" w:cs="Arial"/>
          <w:bCs/>
          <w:sz w:val="26"/>
          <w:szCs w:val="26"/>
        </w:rPr>
      </w:pPr>
      <w:r>
        <w:rPr>
          <w:rFonts w:ascii="Arial" w:hAnsi="Arial" w:cs="Arial"/>
          <w:bCs/>
          <w:sz w:val="26"/>
          <w:szCs w:val="26"/>
        </w:rPr>
        <w:t xml:space="preserve"> </w:t>
      </w:r>
      <w:r>
        <w:rPr>
          <w:rFonts w:ascii="Arial" w:hAnsi="Arial" w:cs="Arial"/>
          <w:bCs/>
          <w:sz w:val="26"/>
          <w:szCs w:val="26"/>
        </w:rPr>
        <w:tab/>
        <w:t xml:space="preserve">Sirve de sustento la jurisprudencia de la Décima Época, con número de registro 2001770, emitida por la Segunda Sala de la Suprema Corte de Justicia de la Nación, publicada en el Semanario Judicial de la Federación y su Gaceta, Libro XII, Septiembre de 2012, Tomo 2, visible en la página 617, de rubro y tenor siguientes: </w:t>
      </w:r>
    </w:p>
    <w:p w:rsidR="009F3B39" w:rsidRDefault="009F3B39" w:rsidP="009F3B39">
      <w:pPr>
        <w:ind w:left="709" w:right="474"/>
        <w:jc w:val="both"/>
        <w:rPr>
          <w:rFonts w:ascii="Arial" w:hAnsi="Arial" w:cs="Arial"/>
          <w:bCs/>
          <w:sz w:val="26"/>
          <w:szCs w:val="26"/>
        </w:rPr>
      </w:pPr>
      <w:r>
        <w:rPr>
          <w:rFonts w:ascii="Arial" w:hAnsi="Arial" w:cs="Arial"/>
          <w:b/>
          <w:bCs/>
          <w:i/>
          <w:sz w:val="24"/>
          <w:szCs w:val="24"/>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Pr>
          <w:rFonts w:ascii="Arial" w:hAnsi="Arial" w:cs="Arial"/>
          <w:bCs/>
          <w:i/>
          <w:sz w:val="24"/>
          <w:szCs w:val="24"/>
        </w:rPr>
        <w:t xml:space="preserve">. 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w:t>
      </w:r>
      <w:r>
        <w:rPr>
          <w:rFonts w:ascii="Arial" w:hAnsi="Arial" w:cs="Arial"/>
          <w:b/>
          <w:bCs/>
          <w:i/>
          <w:sz w:val="24"/>
          <w:szCs w:val="24"/>
        </w:rPr>
        <w:t xml:space="preserve">el enunciado normativo "y demás prestaciones a que tenga derecho" forma parte de la obligación resarcitoria del Estado y debe interpretarse como el deber de pagar la remuneración diaria ordinaria, </w:t>
      </w:r>
      <w:r>
        <w:rPr>
          <w:rFonts w:ascii="Arial" w:hAnsi="Arial" w:cs="Arial"/>
          <w:bCs/>
          <w:i/>
          <w:sz w:val="24"/>
          <w:szCs w:val="24"/>
        </w:rPr>
        <w:t>así como los beneficios, recompensas, estipendios, asignaciones, gratificaciones, premios, retribuciones, subvenciones, haberes, dietas, compensaciones o cualquier otro concepto que percibía el servidor público por la prestación de sus servicios,</w:t>
      </w:r>
      <w:r>
        <w:rPr>
          <w:rFonts w:ascii="Arial" w:hAnsi="Arial" w:cs="Arial"/>
          <w:b/>
          <w:bCs/>
          <w:i/>
          <w:sz w:val="24"/>
          <w:szCs w:val="24"/>
        </w:rPr>
        <w:t xml:space="preserve"> desde que se concretó su separación, remoción, baja, cese o cualquier otra forma de terminación del servicio y hasta que se realice el pago correspondiente.</w:t>
      </w:r>
      <w:r>
        <w:rPr>
          <w:rFonts w:ascii="Arial" w:hAnsi="Arial" w:cs="Arial"/>
          <w:bCs/>
          <w:i/>
          <w:sz w:val="24"/>
          <w:szCs w:val="24"/>
        </w:rPr>
        <w:t xml:space="preserve">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 (</w:t>
      </w:r>
      <w:r>
        <w:rPr>
          <w:rFonts w:ascii="Arial" w:hAnsi="Arial" w:cs="Arial"/>
          <w:bCs/>
          <w:sz w:val="26"/>
          <w:szCs w:val="26"/>
        </w:rPr>
        <w:t>Énfasis añadido).</w:t>
      </w:r>
    </w:p>
    <w:p w:rsidR="009F3B39" w:rsidRDefault="009F3B39" w:rsidP="009F3B39">
      <w:pPr>
        <w:spacing w:line="360" w:lineRule="auto"/>
        <w:ind w:firstLine="708"/>
        <w:jc w:val="both"/>
        <w:rPr>
          <w:rFonts w:ascii="Arial" w:hAnsi="Arial" w:cs="Arial"/>
          <w:bCs/>
          <w:sz w:val="26"/>
          <w:szCs w:val="26"/>
        </w:rPr>
      </w:pPr>
      <w:r>
        <w:rPr>
          <w:rFonts w:ascii="Arial" w:hAnsi="Arial" w:cs="Arial"/>
          <w:bCs/>
          <w:sz w:val="26"/>
          <w:szCs w:val="26"/>
        </w:rPr>
        <w:t xml:space="preserve">Por tanto, se conviene en cuanto a la procedencia de la prestación otorgada a la actora, consistente en la </w:t>
      </w:r>
      <w:r>
        <w:rPr>
          <w:rFonts w:ascii="Arial" w:hAnsi="Arial" w:cs="Arial"/>
          <w:b/>
          <w:bCs/>
          <w:sz w:val="26"/>
          <w:szCs w:val="26"/>
        </w:rPr>
        <w:t>REMUNERACIÓN DIARIA ORDINARIA</w:t>
      </w:r>
      <w:r>
        <w:rPr>
          <w:rFonts w:ascii="Arial" w:hAnsi="Arial" w:cs="Arial"/>
          <w:bCs/>
          <w:sz w:val="26"/>
          <w:szCs w:val="26"/>
        </w:rPr>
        <w:t xml:space="preserve">, como señalada por la primera instancia como </w:t>
      </w:r>
      <w:r>
        <w:rPr>
          <w:rFonts w:ascii="Arial" w:hAnsi="Arial" w:cs="Arial"/>
          <w:b/>
          <w:bCs/>
          <w:sz w:val="26"/>
          <w:szCs w:val="26"/>
        </w:rPr>
        <w:t>PERCEPCIONES DIARIAS</w:t>
      </w:r>
      <w:r>
        <w:rPr>
          <w:rFonts w:ascii="Arial" w:hAnsi="Arial" w:cs="Arial"/>
          <w:bCs/>
          <w:sz w:val="26"/>
          <w:szCs w:val="26"/>
        </w:rPr>
        <w:t>.</w:t>
      </w:r>
    </w:p>
    <w:p w:rsidR="009F3B39" w:rsidRDefault="009F3B39" w:rsidP="009F3B39">
      <w:pPr>
        <w:widowControl w:val="0"/>
        <w:tabs>
          <w:tab w:val="left" w:pos="0"/>
        </w:tabs>
        <w:spacing w:before="240" w:after="0" w:line="360" w:lineRule="auto"/>
        <w:ind w:right="18"/>
        <w:jc w:val="both"/>
        <w:rPr>
          <w:rFonts w:ascii="Arial" w:hAnsi="Arial" w:cs="Arial"/>
          <w:bCs/>
          <w:sz w:val="26"/>
          <w:szCs w:val="26"/>
          <w:lang w:val="es-MX"/>
        </w:rPr>
      </w:pPr>
      <w:r>
        <w:rPr>
          <w:rFonts w:ascii="Arial" w:hAnsi="Arial" w:cs="Arial"/>
          <w:bCs/>
          <w:sz w:val="26"/>
          <w:szCs w:val="26"/>
          <w:lang w:val="es-MX"/>
        </w:rPr>
        <w:tab/>
        <w:t>De ahí es que resulta lo infundado del agravio esgrimido por el recurrente.</w:t>
      </w:r>
    </w:p>
    <w:p w:rsidR="009F3B39" w:rsidRDefault="009F3B39" w:rsidP="009F3B39">
      <w:pPr>
        <w:widowControl w:val="0"/>
        <w:tabs>
          <w:tab w:val="left" w:pos="0"/>
        </w:tabs>
        <w:spacing w:before="240" w:after="0" w:line="360" w:lineRule="auto"/>
        <w:ind w:right="18"/>
        <w:jc w:val="both"/>
        <w:rPr>
          <w:rFonts w:ascii="Arial" w:hAnsi="Arial" w:cs="Arial"/>
          <w:bCs/>
          <w:sz w:val="26"/>
          <w:szCs w:val="26"/>
        </w:rPr>
      </w:pPr>
      <w:r>
        <w:rPr>
          <w:rFonts w:ascii="Arial" w:hAnsi="Arial" w:cs="Arial"/>
          <w:bCs/>
          <w:sz w:val="26"/>
          <w:szCs w:val="26"/>
          <w:lang w:val="es-MX"/>
        </w:rPr>
        <w:tab/>
      </w:r>
      <w:r>
        <w:rPr>
          <w:rFonts w:ascii="Arial" w:hAnsi="Arial" w:cs="Arial"/>
          <w:bCs/>
          <w:sz w:val="26"/>
          <w:szCs w:val="26"/>
        </w:rPr>
        <w:t xml:space="preserve">En consecuencia, ante lo </w:t>
      </w:r>
      <w:r>
        <w:rPr>
          <w:rFonts w:ascii="Arial" w:hAnsi="Arial" w:cs="Arial"/>
          <w:b/>
          <w:bCs/>
          <w:sz w:val="26"/>
          <w:szCs w:val="26"/>
        </w:rPr>
        <w:t xml:space="preserve">INOPERANTE E INFUNDADO </w:t>
      </w:r>
      <w:r>
        <w:rPr>
          <w:rFonts w:ascii="Arial" w:hAnsi="Arial" w:cs="Arial"/>
          <w:bCs/>
          <w:sz w:val="26"/>
          <w:szCs w:val="26"/>
        </w:rPr>
        <w:t xml:space="preserve">de los agravios planteados, lo procedente es </w:t>
      </w:r>
      <w:r>
        <w:rPr>
          <w:rFonts w:ascii="Arial" w:hAnsi="Arial" w:cs="Arial"/>
          <w:b/>
          <w:bCs/>
          <w:sz w:val="26"/>
          <w:szCs w:val="26"/>
        </w:rPr>
        <w:t xml:space="preserve">CONFIRMAR </w:t>
      </w:r>
      <w:r>
        <w:rPr>
          <w:rFonts w:ascii="Arial" w:hAnsi="Arial" w:cs="Arial"/>
          <w:bCs/>
          <w:sz w:val="26"/>
          <w:szCs w:val="26"/>
        </w:rPr>
        <w:t>la sentencia alzada por las razones vertidas por esta Sala.</w:t>
      </w:r>
    </w:p>
    <w:p w:rsidR="009F3B39" w:rsidRDefault="009F3B39" w:rsidP="009F3B39">
      <w:pPr>
        <w:widowControl w:val="0"/>
        <w:tabs>
          <w:tab w:val="left" w:pos="0"/>
        </w:tabs>
        <w:spacing w:before="240" w:after="0" w:line="360" w:lineRule="auto"/>
        <w:ind w:right="18"/>
        <w:jc w:val="both"/>
        <w:rPr>
          <w:rFonts w:ascii="Arial" w:hAnsi="Arial" w:cs="Arial"/>
          <w:sz w:val="26"/>
          <w:szCs w:val="26"/>
        </w:rPr>
      </w:pPr>
      <w:r>
        <w:rPr>
          <w:rFonts w:ascii="Arial" w:hAnsi="Arial" w:cs="Arial"/>
          <w:sz w:val="26"/>
          <w:szCs w:val="26"/>
        </w:rPr>
        <w:tab/>
        <w:t>En mérito de lo anterior, con fundamento en los artículos 207 y 208 de la Ley de Justicia Administrativa para el Estado, vigente hasta el veinte de octubre de dos mil diecisiete, se:</w:t>
      </w:r>
    </w:p>
    <w:p w:rsidR="009F3B39" w:rsidRDefault="009F3B39" w:rsidP="009F3B39">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rsidR="009F3B39" w:rsidRDefault="009F3B39" w:rsidP="009F3B39">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 xml:space="preserve">recurrida, por las razones expuestas por ésta Sala Superior en el considerando que antecede. </w:t>
      </w:r>
    </w:p>
    <w:p w:rsidR="009F3B39" w:rsidRDefault="009F3B39" w:rsidP="009F3B39">
      <w:pPr>
        <w:pStyle w:val="Sinespaciado"/>
        <w:spacing w:before="240" w:line="360" w:lineRule="auto"/>
        <w:ind w:firstLine="708"/>
        <w:jc w:val="both"/>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Sala de origen de este Tribunal y en su oportunidad archívese el presente cuaderno de revisión como asunto concluido.</w:t>
      </w:r>
    </w:p>
    <w:p w:rsidR="009F3B39" w:rsidRDefault="009F3B39"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AA6F27">
      <w:pPr>
        <w:tabs>
          <w:tab w:val="left" w:pos="1985"/>
        </w:tabs>
        <w:spacing w:after="0" w:line="360" w:lineRule="auto"/>
        <w:jc w:val="both"/>
        <w:rPr>
          <w:rFonts w:ascii="Arial" w:hAnsi="Arial" w:cs="Arial"/>
          <w:bCs/>
          <w:sz w:val="26"/>
          <w:szCs w:val="26"/>
        </w:rPr>
      </w:pPr>
    </w:p>
    <w:p w:rsidR="006403E2" w:rsidRDefault="006403E2" w:rsidP="009F3B39">
      <w:pPr>
        <w:tabs>
          <w:tab w:val="left" w:pos="1985"/>
        </w:tabs>
        <w:spacing w:after="0" w:line="360" w:lineRule="auto"/>
        <w:jc w:val="both"/>
        <w:rPr>
          <w:rFonts w:ascii="Arial" w:hAnsi="Arial" w:cs="Arial"/>
          <w:bCs/>
          <w:sz w:val="26"/>
          <w:szCs w:val="26"/>
        </w:rPr>
      </w:pPr>
    </w:p>
    <w:p w:rsidR="006403E2" w:rsidRPr="007433DD" w:rsidRDefault="006403E2"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6403E2" w:rsidRDefault="006403E2" w:rsidP="00801603">
      <w:pPr>
        <w:spacing w:line="360" w:lineRule="auto"/>
        <w:rPr>
          <w:rFonts w:ascii="Arial" w:hAnsi="Arial" w:cs="Arial"/>
          <w:sz w:val="26"/>
          <w:szCs w:val="26"/>
        </w:rPr>
      </w:pPr>
    </w:p>
    <w:p w:rsidR="006403E2" w:rsidRDefault="006403E2"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6403E2" w:rsidRDefault="006403E2" w:rsidP="009F3B39">
      <w:pPr>
        <w:tabs>
          <w:tab w:val="left" w:pos="6645"/>
        </w:tabs>
        <w:spacing w:line="360" w:lineRule="auto"/>
        <w:rPr>
          <w:rFonts w:ascii="Arial" w:hAnsi="Arial" w:cs="Arial"/>
          <w:sz w:val="26"/>
          <w:szCs w:val="26"/>
        </w:rPr>
      </w:pPr>
    </w:p>
    <w:p w:rsidR="006403E2" w:rsidRPr="008E57C1" w:rsidRDefault="006403E2"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6403E2" w:rsidRDefault="006403E2" w:rsidP="00801603">
      <w:pPr>
        <w:spacing w:line="360" w:lineRule="auto"/>
        <w:rPr>
          <w:rFonts w:ascii="Arial" w:hAnsi="Arial" w:cs="Arial"/>
          <w:sz w:val="26"/>
          <w:szCs w:val="26"/>
        </w:rPr>
      </w:pPr>
    </w:p>
    <w:p w:rsidR="006403E2" w:rsidRPr="008E57C1" w:rsidRDefault="006403E2"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6403E2" w:rsidRDefault="006403E2" w:rsidP="00AA6F27">
      <w:pPr>
        <w:rPr>
          <w:rFonts w:ascii="Arial" w:hAnsi="Arial" w:cs="Arial"/>
          <w:sz w:val="26"/>
          <w:szCs w:val="26"/>
        </w:rPr>
      </w:pPr>
    </w:p>
    <w:p w:rsidR="009F3B39" w:rsidRDefault="009F3B39" w:rsidP="00AA6F27">
      <w:pPr>
        <w:rPr>
          <w:rFonts w:ascii="Arial" w:eastAsia="Times New Roman" w:hAnsi="Arial" w:cs="Arial"/>
          <w:sz w:val="26"/>
          <w:szCs w:val="26"/>
          <w:lang w:eastAsia="es-MX"/>
        </w:rPr>
      </w:pPr>
    </w:p>
    <w:p w:rsidR="006403E2" w:rsidRPr="00D92955" w:rsidRDefault="006403E2" w:rsidP="00AA6F27">
      <w:pPr>
        <w:rPr>
          <w:rFonts w:ascii="Arial" w:eastAsia="Times New Roman" w:hAnsi="Arial" w:cs="Arial"/>
          <w:sz w:val="26"/>
          <w:szCs w:val="26"/>
          <w:lang w:eastAsia="es-MX"/>
        </w:rPr>
      </w:pPr>
    </w:p>
    <w:p w:rsidR="00801603" w:rsidRDefault="00801603" w:rsidP="00AA6F27">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AA6F27" w:rsidRDefault="00AA6F27" w:rsidP="00801603">
      <w:pPr>
        <w:rPr>
          <w:rFonts w:ascii="Arial" w:hAnsi="Arial" w:cs="Arial"/>
          <w:sz w:val="26"/>
          <w:szCs w:val="26"/>
        </w:rPr>
      </w:pPr>
    </w:p>
    <w:p w:rsidR="006403E2" w:rsidRDefault="006403E2" w:rsidP="00801603">
      <w:pPr>
        <w:rPr>
          <w:rFonts w:ascii="Arial" w:hAnsi="Arial" w:cs="Arial"/>
          <w:sz w:val="26"/>
          <w:szCs w:val="26"/>
        </w:rPr>
      </w:pPr>
    </w:p>
    <w:p w:rsidR="00AA6F27" w:rsidRPr="008E57C1" w:rsidRDefault="00AA6F27"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05764A">
      <w:headerReference w:type="even" r:id="rId7"/>
      <w:headerReference w:type="default" r:id="rId8"/>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5801" w:rsidRDefault="007C5801">
      <w:pPr>
        <w:spacing w:after="0" w:line="240" w:lineRule="auto"/>
      </w:pPr>
      <w:r>
        <w:separator/>
      </w:r>
    </w:p>
  </w:endnote>
  <w:endnote w:type="continuationSeparator" w:id="0">
    <w:p w:rsidR="007C5801" w:rsidRDefault="007C58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5801" w:rsidRDefault="007C5801">
      <w:pPr>
        <w:spacing w:after="0" w:line="240" w:lineRule="auto"/>
      </w:pPr>
      <w:r>
        <w:separator/>
      </w:r>
    </w:p>
  </w:footnote>
  <w:footnote w:type="continuationSeparator" w:id="0">
    <w:p w:rsidR="007C5801" w:rsidRDefault="007C58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627D8">
          <w:rPr>
            <w:noProof/>
          </w:rPr>
          <w:t>2</w:t>
        </w:r>
        <w:r>
          <w:fldChar w:fldCharType="end"/>
        </w:r>
      </w:p>
    </w:sdtContent>
  </w:sdt>
  <w:p w:rsidR="00D2291D" w:rsidRDefault="00B627D8">
    <w:pPr>
      <w:pStyle w:val="Encabezado"/>
    </w:pPr>
    <w:r>
      <w:rPr>
        <w:noProof/>
        <w:lang w:val="es-MX" w:eastAsia="es-MX"/>
      </w:rPr>
      <w:drawing>
        <wp:anchor distT="0" distB="0" distL="114300" distR="114300" simplePos="0" relativeHeight="251657728" behindDoc="0" locked="0" layoutInCell="1" allowOverlap="1" wp14:anchorId="6067FA44" wp14:editId="0FF8DFC4">
          <wp:simplePos x="0" y="0"/>
          <wp:positionH relativeFrom="column">
            <wp:posOffset>5746728</wp:posOffset>
          </wp:positionH>
          <wp:positionV relativeFrom="paragraph">
            <wp:posOffset>4368252</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627D8">
          <w:rPr>
            <w:noProof/>
          </w:rPr>
          <w:t>1</w:t>
        </w:r>
        <w:r>
          <w:rPr>
            <w:noProof/>
          </w:rPr>
          <w:fldChar w:fldCharType="end"/>
        </w:r>
      </w:p>
      <w:p w:rsidR="00D2291D" w:rsidRDefault="00B627D8" w:rsidP="00D2291D">
        <w:pPr>
          <w:pStyle w:val="Encabezado"/>
          <w:jc w:val="center"/>
        </w:pPr>
      </w:p>
    </w:sdtContent>
  </w:sdt>
  <w:p w:rsidR="00D2291D" w:rsidRDefault="00B627D8" w:rsidP="00D2291D">
    <w:pPr>
      <w:pStyle w:val="Encabezado"/>
      <w:tabs>
        <w:tab w:val="left" w:pos="142"/>
      </w:tabs>
      <w:ind w:left="284"/>
    </w:pPr>
    <w:r>
      <w:rPr>
        <w:noProof/>
        <w:lang w:val="es-MX" w:eastAsia="es-MX"/>
      </w:rPr>
      <w:drawing>
        <wp:anchor distT="0" distB="0" distL="114300" distR="114300" simplePos="0" relativeHeight="251662848" behindDoc="0" locked="0" layoutInCell="1" allowOverlap="1" wp14:anchorId="4E0E826C" wp14:editId="1DAE4DB7">
          <wp:simplePos x="0" y="0"/>
          <wp:positionH relativeFrom="column">
            <wp:posOffset>-1390715</wp:posOffset>
          </wp:positionH>
          <wp:positionV relativeFrom="paragraph">
            <wp:posOffset>5142558</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B28D3"/>
    <w:rsid w:val="001B3376"/>
    <w:rsid w:val="001C78EB"/>
    <w:rsid w:val="001F1852"/>
    <w:rsid w:val="0022359F"/>
    <w:rsid w:val="00240FBF"/>
    <w:rsid w:val="002A4476"/>
    <w:rsid w:val="002D5CD9"/>
    <w:rsid w:val="002F2948"/>
    <w:rsid w:val="00326A65"/>
    <w:rsid w:val="003371F5"/>
    <w:rsid w:val="00384F6F"/>
    <w:rsid w:val="003D7788"/>
    <w:rsid w:val="00402396"/>
    <w:rsid w:val="00422368"/>
    <w:rsid w:val="00473052"/>
    <w:rsid w:val="00492A65"/>
    <w:rsid w:val="004A4B22"/>
    <w:rsid w:val="00506596"/>
    <w:rsid w:val="00516E57"/>
    <w:rsid w:val="00525AC3"/>
    <w:rsid w:val="00526A51"/>
    <w:rsid w:val="005A4CC2"/>
    <w:rsid w:val="005B7469"/>
    <w:rsid w:val="005D541C"/>
    <w:rsid w:val="005F4AD5"/>
    <w:rsid w:val="00627433"/>
    <w:rsid w:val="006403E2"/>
    <w:rsid w:val="00652D2C"/>
    <w:rsid w:val="00660756"/>
    <w:rsid w:val="006F0D66"/>
    <w:rsid w:val="007270F3"/>
    <w:rsid w:val="007846CD"/>
    <w:rsid w:val="00792A64"/>
    <w:rsid w:val="007B032E"/>
    <w:rsid w:val="007C5801"/>
    <w:rsid w:val="00801603"/>
    <w:rsid w:val="008261CB"/>
    <w:rsid w:val="00895DBE"/>
    <w:rsid w:val="008C5CE8"/>
    <w:rsid w:val="0090201D"/>
    <w:rsid w:val="00985CF6"/>
    <w:rsid w:val="009B0BE8"/>
    <w:rsid w:val="009F3B39"/>
    <w:rsid w:val="00A203EB"/>
    <w:rsid w:val="00A544EE"/>
    <w:rsid w:val="00AA6F27"/>
    <w:rsid w:val="00AD01F9"/>
    <w:rsid w:val="00B056BE"/>
    <w:rsid w:val="00B56295"/>
    <w:rsid w:val="00B627D8"/>
    <w:rsid w:val="00BA554F"/>
    <w:rsid w:val="00BC481E"/>
    <w:rsid w:val="00BD032D"/>
    <w:rsid w:val="00C40BC8"/>
    <w:rsid w:val="00C64FB6"/>
    <w:rsid w:val="00C65E13"/>
    <w:rsid w:val="00C76252"/>
    <w:rsid w:val="00CE69FF"/>
    <w:rsid w:val="00CF1754"/>
    <w:rsid w:val="00CF3371"/>
    <w:rsid w:val="00D50DB8"/>
    <w:rsid w:val="00D61341"/>
    <w:rsid w:val="00DA75AB"/>
    <w:rsid w:val="00DB6E83"/>
    <w:rsid w:val="00DD5EF0"/>
    <w:rsid w:val="00E742F7"/>
    <w:rsid w:val="00F03672"/>
    <w:rsid w:val="00F04C03"/>
    <w:rsid w:val="00F44A42"/>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55D603-6F85-4B5B-AD97-EEB8CEEEB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D61341"/>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customStyle="1" w:styleId="corte4fondoCarCarCar">
    <w:name w:val="corte4 fondo Car Car Car"/>
    <w:basedOn w:val="Normal"/>
    <w:rsid w:val="009F3B39"/>
    <w:pPr>
      <w:spacing w:after="0" w:line="360" w:lineRule="auto"/>
      <w:ind w:firstLine="709"/>
      <w:jc w:val="both"/>
    </w:pPr>
    <w:rPr>
      <w:rFonts w:ascii="Arial" w:eastAsia="Times New Roman" w:hAnsi="Arial" w:cs="Times New Roman"/>
      <w:sz w:val="30"/>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848899">
      <w:bodyDiv w:val="1"/>
      <w:marLeft w:val="0"/>
      <w:marRight w:val="0"/>
      <w:marTop w:val="0"/>
      <w:marBottom w:val="0"/>
      <w:divBdr>
        <w:top w:val="none" w:sz="0" w:space="0" w:color="auto"/>
        <w:left w:val="none" w:sz="0" w:space="0" w:color="auto"/>
        <w:bottom w:val="none" w:sz="0" w:space="0" w:color="auto"/>
        <w:right w:val="none" w:sz="0" w:space="0" w:color="auto"/>
      </w:divBdr>
    </w:div>
    <w:div w:id="17025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6054</Words>
  <Characters>33300</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27</cp:revision>
  <cp:lastPrinted>2018-11-28T19:28:00Z</cp:lastPrinted>
  <dcterms:created xsi:type="dcterms:W3CDTF">2018-10-09T17:36:00Z</dcterms:created>
  <dcterms:modified xsi:type="dcterms:W3CDTF">2019-02-05T05:08:00Z</dcterms:modified>
</cp:coreProperties>
</file>