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58810E9D"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A616E">
        <w:rPr>
          <w:rFonts w:ascii="Arial" w:eastAsia="Times New Roman" w:hAnsi="Arial" w:cs="Arial"/>
          <w:bCs/>
          <w:sz w:val="24"/>
          <w:szCs w:val="27"/>
          <w:lang w:val="es-ES_tradnl" w:eastAsia="es-ES"/>
        </w:rPr>
        <w:t>45</w:t>
      </w:r>
      <w:r w:rsidR="00003A18">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1FE3BCDF"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735348">
        <w:rPr>
          <w:rFonts w:ascii="Arial" w:eastAsia="Times New Roman" w:hAnsi="Arial" w:cs="Arial"/>
          <w:sz w:val="24"/>
          <w:szCs w:val="27"/>
          <w:lang w:val="es-ES_tradnl" w:eastAsia="es-ES"/>
        </w:rPr>
        <w:t>***** ***** ***** *****</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2BDCEBF4"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FE5E73">
        <w:rPr>
          <w:rFonts w:ascii="Arial" w:eastAsia="Times New Roman" w:hAnsi="Arial" w:cs="Arial"/>
          <w:sz w:val="24"/>
          <w:szCs w:val="27"/>
          <w:lang w:val="es-ES_tradnl" w:eastAsia="es-ES"/>
        </w:rPr>
        <w:t>DIRECTOR GENERAL DE LA OFICINA DE PENSIONES DEL GOBIERNO DEL ESTADO DE OAXACA</w:t>
      </w:r>
      <w:r w:rsidR="008F53BA" w:rsidRPr="008F53BA">
        <w:rPr>
          <w:rFonts w:ascii="Arial" w:eastAsia="Times New Roman" w:hAnsi="Arial" w:cs="Arial"/>
          <w:sz w:val="24"/>
          <w:szCs w:val="27"/>
          <w:lang w:val="es-ES_tradnl" w:eastAsia="es-ES"/>
        </w:rPr>
        <w:t>.</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2F874B99"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sidR="00D70930" w:rsidRPr="009C0C09">
        <w:rPr>
          <w:rFonts w:ascii="Arial" w:eastAsia="Times New Roman" w:hAnsi="Arial" w:cs="Arial"/>
          <w:b/>
          <w:sz w:val="24"/>
          <w:szCs w:val="27"/>
          <w:lang w:val="es-ES" w:eastAsia="es-ES"/>
        </w:rPr>
        <w:t>, A</w:t>
      </w:r>
      <w:r w:rsidR="00D70930">
        <w:rPr>
          <w:rFonts w:ascii="Arial" w:eastAsia="Times New Roman" w:hAnsi="Arial" w:cs="Arial"/>
          <w:b/>
          <w:sz w:val="24"/>
          <w:szCs w:val="27"/>
          <w:lang w:val="es-ES" w:eastAsia="es-ES"/>
        </w:rPr>
        <w:t xml:space="preserve"> VEINTIUNO DE FEBRERO DE DOS MIL VEINTIDÓS</w:t>
      </w:r>
      <w:r w:rsidR="00D70930" w:rsidRPr="009C0C09">
        <w:rPr>
          <w:rFonts w:ascii="Arial" w:eastAsia="Times New Roman" w:hAnsi="Arial" w:cs="Arial"/>
          <w:b/>
          <w:sz w:val="24"/>
          <w:szCs w:val="27"/>
          <w:lang w:val="es-ES" w:eastAsia="es-ES"/>
        </w:rPr>
        <w:t>.</w:t>
      </w:r>
      <w:r w:rsidR="00D70930" w:rsidRPr="009C0C09">
        <w:rPr>
          <w:sz w:val="24"/>
          <w:szCs w:val="27"/>
        </w:rPr>
        <w:t xml:space="preserve"> </w:t>
      </w:r>
    </w:p>
    <w:p w14:paraId="044BF535" w14:textId="45A98FA8"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2A616E">
        <w:rPr>
          <w:rFonts w:ascii="Arial" w:eastAsia="Times New Roman" w:hAnsi="Arial" w:cs="Arial"/>
          <w:b/>
          <w:bCs/>
          <w:sz w:val="24"/>
          <w:szCs w:val="27"/>
          <w:lang w:val="es-ES_tradnl" w:eastAsia="es-ES"/>
        </w:rPr>
        <w:t>45</w:t>
      </w:r>
      <w:r w:rsidR="00003A18">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xml:space="preserve">, interpuesto por </w:t>
      </w:r>
      <w:r w:rsidR="00735348">
        <w:rPr>
          <w:rFonts w:ascii="Arial" w:eastAsia="Times New Roman" w:hAnsi="Arial" w:cs="Arial"/>
          <w:b/>
          <w:bCs/>
          <w:sz w:val="24"/>
          <w:szCs w:val="27"/>
          <w:lang w:val="es-ES_tradnl" w:eastAsia="es-ES"/>
        </w:rPr>
        <w:t>***** ***** ***** *****</w:t>
      </w:r>
      <w:r w:rsidR="00102315" w:rsidRPr="009C0C09">
        <w:rPr>
          <w:rFonts w:ascii="Arial" w:eastAsia="Times New Roman" w:hAnsi="Arial" w:cs="Arial"/>
          <w:sz w:val="24"/>
          <w:szCs w:val="27"/>
          <w:lang w:val="es-ES_tradnl" w:eastAsia="es-ES"/>
        </w:rPr>
        <w:t>, en contra de</w:t>
      </w:r>
      <w:r w:rsidR="00E65256">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FE5E73">
        <w:rPr>
          <w:rFonts w:ascii="Arial" w:eastAsia="Times New Roman" w:hAnsi="Arial" w:cs="Arial"/>
          <w:b/>
          <w:sz w:val="24"/>
          <w:szCs w:val="27"/>
          <w:lang w:val="es-ES_tradnl" w:eastAsia="es-ES"/>
        </w:rPr>
        <w:t>DIRECTOR GENERAL DE LA OFICINA DE PENSIONES DEL GOBIERNO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5781900F" w14:textId="5735AE23" w:rsidR="00735348" w:rsidRPr="00735348" w:rsidRDefault="00102315" w:rsidP="00735348">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0C3FA572" w:rsidR="00B17404" w:rsidRDefault="007215BC"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D01DD0">
        <w:rPr>
          <w:rFonts w:ascii="Arial" w:hAnsi="Arial" w:cs="Arial"/>
          <w:bCs/>
          <w:spacing w:val="-3"/>
          <w:sz w:val="24"/>
          <w:szCs w:val="27"/>
          <w:lang w:val="es-ES_tradnl"/>
        </w:rPr>
        <w:t>once de agosto</w:t>
      </w:r>
      <w:r w:rsidR="000B26D1">
        <w:rPr>
          <w:rFonts w:ascii="Arial" w:hAnsi="Arial" w:cs="Arial"/>
          <w:bCs/>
          <w:spacing w:val="-3"/>
          <w:sz w:val="24"/>
          <w:szCs w:val="27"/>
          <w:lang w:val="es-ES_tradnl"/>
        </w:rPr>
        <w:t xml:space="preserve"> de dos mil veinte</w:t>
      </w:r>
      <w:r w:rsidR="0013603B">
        <w:rPr>
          <w:rFonts w:ascii="Arial" w:hAnsi="Arial" w:cs="Arial"/>
          <w:bCs/>
          <w:spacing w:val="-3"/>
          <w:sz w:val="24"/>
          <w:szCs w:val="27"/>
          <w:lang w:val="es-ES_tradnl"/>
        </w:rPr>
        <w:t xml:space="preserve">, </w:t>
      </w:r>
      <w:r w:rsidR="00735348">
        <w:rPr>
          <w:rFonts w:ascii="Arial" w:eastAsia="Times New Roman" w:hAnsi="Arial" w:cs="Arial"/>
          <w:sz w:val="24"/>
          <w:szCs w:val="27"/>
          <w:lang w:val="es-ES_tradnl" w:eastAsia="es-ES"/>
        </w:rPr>
        <w:t>***** ***** ***** *****</w:t>
      </w:r>
      <w:r w:rsidR="00B17404" w:rsidRPr="00B17404">
        <w:rPr>
          <w:rFonts w:ascii="Arial" w:hAnsi="Arial" w:cs="Arial"/>
          <w:bCs/>
          <w:spacing w:val="-3"/>
          <w:sz w:val="24"/>
          <w:szCs w:val="27"/>
          <w:lang w:val="es-ES_tradnl"/>
        </w:rPr>
        <w:t xml:space="preserve"> presentó en la Oficialía de Partes Común de este Tribunal, su escrito de demanda, en el cual solicitó la nulidad </w:t>
      </w:r>
      <w:r w:rsidR="00E7442C" w:rsidRPr="00E7442C">
        <w:rPr>
          <w:rFonts w:ascii="Arial" w:hAnsi="Arial" w:cs="Arial"/>
          <w:bCs/>
          <w:spacing w:val="-3"/>
          <w:sz w:val="24"/>
          <w:szCs w:val="27"/>
          <w:lang w:val="es-ES_tradnl"/>
        </w:rPr>
        <w:t xml:space="preserve">del oficio número </w:t>
      </w:r>
      <w:r w:rsidR="00735348">
        <w:rPr>
          <w:rFonts w:ascii="Arial" w:hAnsi="Arial" w:cs="Arial"/>
          <w:bCs/>
          <w:spacing w:val="-3"/>
          <w:sz w:val="24"/>
          <w:szCs w:val="27"/>
          <w:lang w:val="es-ES_tradnl"/>
        </w:rPr>
        <w:t>OP/DG/DPE/*****/2020</w:t>
      </w:r>
      <w:r w:rsidR="00D70930">
        <w:rPr>
          <w:rFonts w:ascii="Arial" w:hAnsi="Arial" w:cs="Arial"/>
          <w:bCs/>
          <w:spacing w:val="-3"/>
          <w:sz w:val="24"/>
          <w:szCs w:val="27"/>
          <w:lang w:val="es-ES_tradnl"/>
        </w:rPr>
        <w:t>,</w:t>
      </w:r>
      <w:r w:rsidR="00E7442C">
        <w:rPr>
          <w:rFonts w:ascii="Arial" w:hAnsi="Arial" w:cs="Arial"/>
          <w:bCs/>
          <w:spacing w:val="-3"/>
          <w:sz w:val="24"/>
          <w:szCs w:val="27"/>
          <w:lang w:val="es-ES_tradnl"/>
        </w:rPr>
        <w:t xml:space="preserve"> de </w:t>
      </w:r>
      <w:r w:rsidR="00735348">
        <w:rPr>
          <w:rFonts w:ascii="Arial" w:hAnsi="Arial" w:cs="Arial"/>
          <w:bCs/>
          <w:spacing w:val="-3"/>
          <w:sz w:val="24"/>
          <w:szCs w:val="27"/>
          <w:lang w:val="es-ES_tradnl"/>
        </w:rPr>
        <w:t>fecha ***** de ***** de dos mil veinte</w:t>
      </w:r>
      <w:r>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emitido por </w:t>
      </w:r>
      <w:r w:rsidR="00E7442C" w:rsidRPr="00551879">
        <w:rPr>
          <w:rFonts w:ascii="Arial" w:hAnsi="Arial" w:cs="Arial"/>
          <w:bCs/>
          <w:spacing w:val="-3"/>
          <w:sz w:val="24"/>
          <w:szCs w:val="27"/>
          <w:lang w:val="es-ES_tradnl"/>
        </w:rPr>
        <w:t xml:space="preserve">JESÚS PARADA </w:t>
      </w:r>
      <w:proofErr w:type="spellStart"/>
      <w:r w:rsidR="00E7442C" w:rsidRPr="00551879">
        <w:rPr>
          <w:rFonts w:ascii="Arial" w:hAnsi="Arial" w:cs="Arial"/>
          <w:bCs/>
          <w:spacing w:val="-3"/>
          <w:sz w:val="24"/>
          <w:szCs w:val="27"/>
          <w:lang w:val="es-ES_tradnl"/>
        </w:rPr>
        <w:t>PARADA</w:t>
      </w:r>
      <w:proofErr w:type="spellEnd"/>
      <w:r w:rsidR="00D70930">
        <w:rPr>
          <w:rFonts w:ascii="Arial" w:hAnsi="Arial" w:cs="Arial"/>
          <w:bCs/>
          <w:spacing w:val="-3"/>
          <w:sz w:val="24"/>
          <w:szCs w:val="27"/>
          <w:lang w:val="es-ES_tradnl"/>
        </w:rPr>
        <w:t>,</w:t>
      </w:r>
      <w:r w:rsidR="00E7442C" w:rsidRPr="00551879">
        <w:rPr>
          <w:rFonts w:ascii="Arial" w:hAnsi="Arial" w:cs="Arial"/>
          <w:bCs/>
          <w:spacing w:val="-3"/>
          <w:sz w:val="24"/>
          <w:szCs w:val="27"/>
          <w:lang w:val="es-ES_tradnl"/>
        </w:rPr>
        <w:t xml:space="preserve"> </w:t>
      </w:r>
      <w:proofErr w:type="gramStart"/>
      <w:r w:rsidR="00E7442C" w:rsidRPr="00E7442C">
        <w:rPr>
          <w:rFonts w:ascii="Arial" w:hAnsi="Arial" w:cs="Arial"/>
          <w:bCs/>
          <w:spacing w:val="-3"/>
          <w:sz w:val="24"/>
          <w:szCs w:val="27"/>
          <w:lang w:val="es-ES_tradnl"/>
        </w:rPr>
        <w:t>Director General</w:t>
      </w:r>
      <w:proofErr w:type="gramEnd"/>
      <w:r w:rsidR="00E7442C" w:rsidRPr="00E7442C">
        <w:rPr>
          <w:rFonts w:ascii="Arial" w:hAnsi="Arial" w:cs="Arial"/>
          <w:bCs/>
          <w:spacing w:val="-3"/>
          <w:sz w:val="24"/>
          <w:szCs w:val="27"/>
          <w:lang w:val="es-ES_tradnl"/>
        </w:rPr>
        <w:t xml:space="preserve"> de la Oficina de Pensiones del Gobierno del Estado de Oaxaca</w:t>
      </w:r>
      <w:r w:rsidR="00B17404" w:rsidRPr="00B17404">
        <w:rPr>
          <w:rFonts w:ascii="Arial" w:hAnsi="Arial" w:cs="Arial"/>
          <w:bCs/>
          <w:spacing w:val="-3"/>
          <w:sz w:val="24"/>
          <w:szCs w:val="27"/>
          <w:lang w:val="es-ES_tradnl"/>
        </w:rPr>
        <w:t xml:space="preserve">. Por lo que mediante acuerdo </w:t>
      </w:r>
      <w:r w:rsidR="00E7442C">
        <w:rPr>
          <w:rFonts w:ascii="Arial" w:hAnsi="Arial" w:cs="Arial"/>
          <w:bCs/>
          <w:spacing w:val="-3"/>
          <w:sz w:val="24"/>
          <w:szCs w:val="27"/>
          <w:lang w:val="es-ES_tradnl"/>
        </w:rPr>
        <w:t xml:space="preserve">de fecha </w:t>
      </w:r>
      <w:r w:rsidR="00BA2A85">
        <w:rPr>
          <w:rFonts w:ascii="Arial" w:hAnsi="Arial" w:cs="Arial"/>
          <w:bCs/>
          <w:spacing w:val="-3"/>
          <w:sz w:val="24"/>
          <w:szCs w:val="27"/>
          <w:lang w:val="es-ES_tradnl"/>
        </w:rPr>
        <w:t>trece de agost</w:t>
      </w:r>
      <w:r w:rsidR="00BE7B40">
        <w:rPr>
          <w:rFonts w:ascii="Arial" w:hAnsi="Arial" w:cs="Arial"/>
          <w:bCs/>
          <w:spacing w:val="-3"/>
          <w:sz w:val="24"/>
          <w:szCs w:val="27"/>
          <w:lang w:val="es-ES_tradnl"/>
        </w:rPr>
        <w:t>o de dos mil veinte</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r w:rsidR="002C6608">
        <w:rPr>
          <w:rFonts w:ascii="Arial" w:hAnsi="Arial" w:cs="Arial"/>
          <w:bCs/>
          <w:spacing w:val="-3"/>
          <w:sz w:val="24"/>
          <w:szCs w:val="27"/>
          <w:lang w:val="es-ES_tradnl"/>
        </w:rPr>
        <w:t>.</w:t>
      </w:r>
    </w:p>
    <w:p w14:paraId="594964B9" w14:textId="4520B36A" w:rsidR="00793DA7" w:rsidRDefault="007215BC" w:rsidP="00A155F9">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Mediante proveído de fecha </w:t>
      </w:r>
      <w:r w:rsidR="00617713">
        <w:rPr>
          <w:rFonts w:ascii="Arial" w:hAnsi="Arial" w:cs="Arial"/>
          <w:bCs/>
          <w:spacing w:val="-3"/>
          <w:sz w:val="24"/>
          <w:szCs w:val="27"/>
          <w:lang w:val="es-ES_tradnl"/>
        </w:rPr>
        <w:t>dieciséis de febrero de dos mil veintiuno, en atención a los acuerdos generales ahí mencionados, se reanudó la actividad en el presente expediente, en consecuencia</w:t>
      </w:r>
      <w:r w:rsidR="0013603B">
        <w:rPr>
          <w:rFonts w:ascii="Arial" w:hAnsi="Arial" w:cs="Arial"/>
          <w:bCs/>
          <w:spacing w:val="-3"/>
          <w:sz w:val="24"/>
          <w:szCs w:val="27"/>
          <w:lang w:val="es-ES_tradnl"/>
        </w:rPr>
        <w:t xml:space="preserve">, </w:t>
      </w:r>
      <w:r w:rsidR="00E7442C" w:rsidRPr="00E7442C">
        <w:rPr>
          <w:rFonts w:ascii="Arial" w:hAnsi="Arial" w:cs="Arial"/>
          <w:bCs/>
          <w:spacing w:val="-3"/>
          <w:sz w:val="24"/>
          <w:szCs w:val="27"/>
          <w:lang w:val="es-ES_tradnl"/>
        </w:rPr>
        <w:t xml:space="preserve">se dio cuenta con el escrito del Contador Público </w:t>
      </w:r>
      <w:r w:rsidR="00E7442C" w:rsidRPr="00B06090">
        <w:rPr>
          <w:rFonts w:ascii="Arial" w:hAnsi="Arial" w:cs="Arial"/>
          <w:bCs/>
          <w:spacing w:val="-3"/>
          <w:sz w:val="24"/>
          <w:szCs w:val="27"/>
          <w:lang w:val="es-ES_tradnl"/>
        </w:rPr>
        <w:t xml:space="preserve">JESÚS PARADA </w:t>
      </w:r>
      <w:proofErr w:type="spellStart"/>
      <w:r w:rsidR="00E7442C" w:rsidRPr="00B06090">
        <w:rPr>
          <w:rFonts w:ascii="Arial" w:hAnsi="Arial" w:cs="Arial"/>
          <w:bCs/>
          <w:spacing w:val="-3"/>
          <w:sz w:val="24"/>
          <w:szCs w:val="27"/>
          <w:lang w:val="es-ES_tradnl"/>
        </w:rPr>
        <w:t>PARADA</w:t>
      </w:r>
      <w:proofErr w:type="spellEnd"/>
      <w:r w:rsidR="00E7442C" w:rsidRPr="00E7442C">
        <w:rPr>
          <w:rFonts w:ascii="Arial" w:hAnsi="Arial" w:cs="Arial"/>
          <w:bCs/>
          <w:spacing w:val="-3"/>
          <w:sz w:val="24"/>
          <w:szCs w:val="27"/>
          <w:lang w:val="es-ES_tradnl"/>
        </w:rPr>
        <w:t>, Director General de la Oficina de Pensiones del Estado de Oaxaca, personalidad que se tuvo por acreditada, por lo que se le tuvo contestando la demanda en tiempo y forma, y en los términos en los que lo hizo, admitiéndose las pruebas que aportó, ordenándose correr traslado a la parte actora para los efe</w:t>
      </w:r>
      <w:r w:rsidR="00370F15">
        <w:rPr>
          <w:rFonts w:ascii="Arial" w:hAnsi="Arial" w:cs="Arial"/>
          <w:bCs/>
          <w:spacing w:val="-3"/>
          <w:sz w:val="24"/>
          <w:szCs w:val="27"/>
          <w:lang w:val="es-ES_tradnl"/>
        </w:rPr>
        <w:t>ctos legales correspondientes.</w:t>
      </w:r>
    </w:p>
    <w:p w14:paraId="128FC586" w14:textId="53E364F9" w:rsidR="00D70930" w:rsidRDefault="00D70930"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señaló fecha y hora para la celebración de la audiencia final.</w:t>
      </w:r>
    </w:p>
    <w:p w14:paraId="1BDE4A8A" w14:textId="16AD953A" w:rsidR="00E93FAB" w:rsidRDefault="00850D9A" w:rsidP="00E93FAB">
      <w:pPr>
        <w:spacing w:line="360" w:lineRule="auto"/>
        <w:ind w:firstLine="567"/>
        <w:jc w:val="both"/>
        <w:rPr>
          <w:rFonts w:ascii="Arial" w:hAnsi="Arial" w:cs="Arial"/>
          <w:bCs/>
          <w:spacing w:val="-3"/>
          <w:sz w:val="24"/>
          <w:szCs w:val="27"/>
          <w:lang w:val="es-ES_tradnl"/>
        </w:rPr>
      </w:pPr>
      <w:r w:rsidRPr="00850D9A">
        <w:rPr>
          <w:rFonts w:ascii="Arial" w:hAnsi="Arial" w:cs="Arial"/>
          <w:b/>
          <w:bCs/>
          <w:spacing w:val="-3"/>
          <w:sz w:val="24"/>
          <w:szCs w:val="27"/>
          <w:lang w:val="es-ES_tradnl"/>
        </w:rPr>
        <w:t>TERCERO.</w:t>
      </w:r>
      <w:r>
        <w:rPr>
          <w:rFonts w:ascii="Arial" w:hAnsi="Arial" w:cs="Arial"/>
          <w:bCs/>
          <w:spacing w:val="-3"/>
          <w:sz w:val="24"/>
          <w:szCs w:val="27"/>
          <w:lang w:val="es-ES_tradnl"/>
        </w:rPr>
        <w:t xml:space="preserve"> </w:t>
      </w:r>
      <w:r w:rsidR="00931E40">
        <w:rPr>
          <w:rFonts w:ascii="Arial" w:hAnsi="Arial" w:cs="Arial"/>
          <w:bCs/>
          <w:spacing w:val="-3"/>
          <w:sz w:val="24"/>
          <w:szCs w:val="27"/>
          <w:lang w:val="es-ES_tradnl"/>
        </w:rPr>
        <w:t>El</w:t>
      </w:r>
      <w:r w:rsidR="00D70930">
        <w:rPr>
          <w:rFonts w:ascii="Arial" w:hAnsi="Arial" w:cs="Arial"/>
          <w:bCs/>
          <w:spacing w:val="-3"/>
          <w:sz w:val="24"/>
          <w:szCs w:val="27"/>
          <w:lang w:val="es-ES_tradnl"/>
        </w:rPr>
        <w:t xml:space="preserve"> veintiuno </w:t>
      </w:r>
      <w:r w:rsidR="00931E40">
        <w:rPr>
          <w:rFonts w:ascii="Arial" w:hAnsi="Arial" w:cs="Arial"/>
          <w:bCs/>
          <w:spacing w:val="-3"/>
          <w:sz w:val="24"/>
          <w:szCs w:val="27"/>
          <w:lang w:val="es-ES_tradnl"/>
        </w:rPr>
        <w:t>de</w:t>
      </w:r>
      <w:r w:rsidR="00D70930">
        <w:rPr>
          <w:rFonts w:ascii="Arial" w:hAnsi="Arial" w:cs="Arial"/>
          <w:bCs/>
          <w:spacing w:val="-3"/>
          <w:sz w:val="24"/>
          <w:szCs w:val="27"/>
          <w:lang w:val="es-ES_tradnl"/>
        </w:rPr>
        <w:t xml:space="preserve"> mayo</w:t>
      </w:r>
      <w:r w:rsidR="002471A1">
        <w:rPr>
          <w:rFonts w:ascii="Arial" w:hAnsi="Arial" w:cs="Arial"/>
          <w:bCs/>
          <w:spacing w:val="-3"/>
          <w:sz w:val="24"/>
          <w:szCs w:val="27"/>
          <w:lang w:val="es-ES_tradnl"/>
        </w:rPr>
        <w:t xml:space="preserve"> de dos mil veintiuno</w:t>
      </w:r>
      <w:r w:rsidR="00E93FAB">
        <w:rPr>
          <w:rFonts w:ascii="Arial" w:hAnsi="Arial" w:cs="Arial"/>
          <w:bCs/>
          <w:spacing w:val="-3"/>
          <w:sz w:val="24"/>
          <w:szCs w:val="27"/>
          <w:lang w:val="es-ES_tradnl"/>
        </w:rPr>
        <w:t>, se llevó a cabo la audiencia final, sin la asistencia de las partes ni de persona que legalmente las</w:t>
      </w:r>
      <w:r w:rsidR="000A2879">
        <w:rPr>
          <w:rFonts w:ascii="Arial" w:hAnsi="Arial" w:cs="Arial"/>
          <w:bCs/>
          <w:spacing w:val="-3"/>
          <w:sz w:val="24"/>
          <w:szCs w:val="27"/>
          <w:lang w:val="es-ES_tradnl"/>
        </w:rPr>
        <w:t xml:space="preserve"> </w:t>
      </w:r>
      <w:r w:rsidR="00E93FAB">
        <w:rPr>
          <w:rFonts w:ascii="Arial" w:hAnsi="Arial" w:cs="Arial"/>
          <w:bCs/>
          <w:spacing w:val="-3"/>
          <w:sz w:val="24"/>
          <w:szCs w:val="27"/>
          <w:lang w:val="es-ES_tradnl"/>
        </w:rPr>
        <w:t xml:space="preserve">representara, desahogándose las pruebas ahí mencionadas, asentando que las </w:t>
      </w:r>
      <w:r w:rsidR="00E93FAB">
        <w:rPr>
          <w:rFonts w:ascii="Arial" w:hAnsi="Arial" w:cs="Arial"/>
          <w:bCs/>
          <w:spacing w:val="-3"/>
          <w:sz w:val="24"/>
          <w:szCs w:val="27"/>
          <w:lang w:val="es-ES_tradnl"/>
        </w:rPr>
        <w:lastRenderedPageBreak/>
        <w:t>partes no formularon alegatos, por lo que se citó a las partes para oír sentencia dentro del término de ley, y;</w:t>
      </w:r>
    </w:p>
    <w:p w14:paraId="463632DC" w14:textId="77777777" w:rsidR="00E93FAB" w:rsidRPr="00E93FAB" w:rsidRDefault="00E93FAB" w:rsidP="00E93FAB">
      <w:pPr>
        <w:spacing w:line="360" w:lineRule="auto"/>
        <w:ind w:firstLine="567"/>
        <w:jc w:val="both"/>
        <w:rPr>
          <w:rFonts w:ascii="Arial" w:hAnsi="Arial" w:cs="Arial"/>
          <w:bCs/>
          <w:spacing w:val="-3"/>
          <w:sz w:val="14"/>
          <w:szCs w:val="16"/>
          <w:lang w:val="es-ES_tradnl"/>
        </w:rPr>
      </w:pP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C899D4E"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del Tribunal de Justicia Administrativa del Estado de Oaxaca, es competente para conocer y resolver el presente juicio, con fundamento en el artículo 116 fracción V de la Constitución Política de los Estados Unidos Mexicanos</w:t>
      </w:r>
      <w:r w:rsidR="00CF001F">
        <w:rPr>
          <w:rFonts w:ascii="Arial" w:hAnsi="Arial" w:cs="Arial"/>
          <w:sz w:val="24"/>
          <w:szCs w:val="24"/>
        </w:rPr>
        <w:t>;</w:t>
      </w:r>
      <w:r w:rsidR="00DD3570" w:rsidRPr="00DD3570">
        <w:rPr>
          <w:rFonts w:ascii="Arial" w:hAnsi="Arial" w:cs="Arial"/>
          <w:sz w:val="24"/>
          <w:szCs w:val="24"/>
        </w:rPr>
        <w:t xml:space="preserve"> 114 QUATER, 115 de la Constitución Política del Estado Libre y Soberano de Oaxaca, así como en términos de los artículos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36C4E2A4"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A343E5">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40C7DB4D" w14:textId="483F4BA3"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A343E5">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Sala Unitaria, advierte que no se configura alguna causal de improcedencia o sobreseimiento</w:t>
      </w:r>
      <w:r w:rsidR="00C32644">
        <w:rPr>
          <w:rFonts w:ascii="Arial" w:hAnsi="Arial" w:cs="Arial"/>
          <w:sz w:val="24"/>
          <w:szCs w:val="24"/>
        </w:rPr>
        <w:t>,</w:t>
      </w:r>
      <w:r w:rsidR="007409F2" w:rsidRPr="007409F2">
        <w:rPr>
          <w:rFonts w:ascii="Arial" w:hAnsi="Arial" w:cs="Arial"/>
          <w:sz w:val="24"/>
          <w:szCs w:val="24"/>
        </w:rPr>
        <w:t xml:space="preserve"> por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5584157D" w14:textId="08CE8A05" w:rsidR="00A45F82" w:rsidRDefault="00DC5AA8" w:rsidP="00A45F82">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F2683E" w:rsidRPr="00F2683E">
        <w:rPr>
          <w:rFonts w:ascii="Arial" w:hAnsi="Arial" w:cs="Arial"/>
          <w:bCs/>
          <w:snapToGrid w:val="0"/>
          <w:sz w:val="24"/>
          <w:szCs w:val="27"/>
        </w:rPr>
        <w:t>El actor en sus co</w:t>
      </w:r>
      <w:r w:rsidR="00E456C6">
        <w:rPr>
          <w:rFonts w:ascii="Arial" w:hAnsi="Arial" w:cs="Arial"/>
          <w:bCs/>
          <w:snapToGrid w:val="0"/>
          <w:sz w:val="24"/>
          <w:szCs w:val="27"/>
        </w:rPr>
        <w:t>nceptos de impugnación PRIMERO a</w:t>
      </w:r>
      <w:r w:rsidR="00F122BB">
        <w:rPr>
          <w:rFonts w:ascii="Arial" w:hAnsi="Arial" w:cs="Arial"/>
          <w:bCs/>
          <w:snapToGrid w:val="0"/>
          <w:sz w:val="24"/>
          <w:szCs w:val="27"/>
        </w:rPr>
        <w:t>l</w:t>
      </w:r>
      <w:r w:rsidR="00F2683E" w:rsidRPr="00F2683E">
        <w:rPr>
          <w:rFonts w:ascii="Arial" w:hAnsi="Arial" w:cs="Arial"/>
          <w:bCs/>
          <w:snapToGrid w:val="0"/>
          <w:sz w:val="24"/>
          <w:szCs w:val="27"/>
        </w:rPr>
        <w:t xml:space="preserve"> </w:t>
      </w:r>
      <w:r w:rsidR="00E456C6">
        <w:rPr>
          <w:rFonts w:ascii="Arial" w:hAnsi="Arial" w:cs="Arial"/>
          <w:bCs/>
          <w:snapToGrid w:val="0"/>
          <w:sz w:val="24"/>
          <w:szCs w:val="27"/>
        </w:rPr>
        <w:t>CUARTO</w:t>
      </w:r>
      <w:r w:rsidR="00F122BB">
        <w:rPr>
          <w:rFonts w:ascii="Arial" w:hAnsi="Arial" w:cs="Arial"/>
          <w:bCs/>
          <w:snapToGrid w:val="0"/>
          <w:sz w:val="24"/>
          <w:szCs w:val="27"/>
        </w:rPr>
        <w:t>,</w:t>
      </w:r>
      <w:r w:rsidR="00F2683E" w:rsidRPr="00F2683E">
        <w:rPr>
          <w:rFonts w:ascii="Arial" w:hAnsi="Arial" w:cs="Arial"/>
          <w:bCs/>
          <w:snapToGrid w:val="0"/>
          <w:sz w:val="24"/>
          <w:szCs w:val="27"/>
        </w:rPr>
        <w:t xml:space="preserve"> en términos del artículo 206 de la Ley de Procedimiento y Justicia Administrativa para el Estado de Oaxaca, manifiesta que la resolución controvertida no reúne el elemento de validez que refiere la fracción V del artículo 17 de la Ley de Procedimiento y Justicia Administrati</w:t>
      </w:r>
      <w:r w:rsidR="00912B4E">
        <w:rPr>
          <w:rFonts w:ascii="Arial" w:hAnsi="Arial" w:cs="Arial"/>
          <w:bCs/>
          <w:snapToGrid w:val="0"/>
          <w:sz w:val="24"/>
          <w:szCs w:val="27"/>
        </w:rPr>
        <w:t>va para el Estado de</w:t>
      </w:r>
      <w:r w:rsidR="00A45F82">
        <w:rPr>
          <w:rFonts w:ascii="Arial" w:hAnsi="Arial" w:cs="Arial"/>
          <w:bCs/>
          <w:snapToGrid w:val="0"/>
          <w:sz w:val="24"/>
          <w:szCs w:val="27"/>
        </w:rPr>
        <w:t xml:space="preserve"> Oaxaca.</w:t>
      </w:r>
    </w:p>
    <w:p w14:paraId="4CA34A09" w14:textId="0EFE8C00" w:rsidR="00F2683E" w:rsidRPr="00F2683E" w:rsidRDefault="00F2683E" w:rsidP="00A45F82">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En ese sentido, esta Sala al hacer un estudio pormenorizado del oficio número </w:t>
      </w:r>
      <w:r w:rsidR="00735348">
        <w:rPr>
          <w:rFonts w:ascii="Arial" w:hAnsi="Arial" w:cs="Arial"/>
          <w:bCs/>
          <w:snapToGrid w:val="0"/>
          <w:sz w:val="24"/>
          <w:szCs w:val="27"/>
        </w:rPr>
        <w:t>OP/DG/DPE/*****/2020</w:t>
      </w:r>
      <w:r w:rsidR="00F122BB">
        <w:rPr>
          <w:rFonts w:ascii="Arial" w:hAnsi="Arial" w:cs="Arial"/>
          <w:bCs/>
          <w:snapToGrid w:val="0"/>
          <w:sz w:val="24"/>
          <w:szCs w:val="27"/>
        </w:rPr>
        <w:t>,</w:t>
      </w:r>
      <w:r w:rsidR="00E7442C">
        <w:rPr>
          <w:rFonts w:ascii="Arial" w:hAnsi="Arial" w:cs="Arial"/>
          <w:bCs/>
          <w:snapToGrid w:val="0"/>
          <w:sz w:val="24"/>
          <w:szCs w:val="27"/>
        </w:rPr>
        <w:t xml:space="preserve"> de </w:t>
      </w:r>
      <w:r w:rsidR="00735348">
        <w:rPr>
          <w:rFonts w:ascii="Arial" w:hAnsi="Arial" w:cs="Arial"/>
          <w:bCs/>
          <w:snapToGrid w:val="0"/>
          <w:sz w:val="24"/>
          <w:szCs w:val="27"/>
        </w:rPr>
        <w:t>fecha ***** de ***** de dos mil veinte</w:t>
      </w:r>
      <w:r w:rsidR="00683284">
        <w:rPr>
          <w:rFonts w:ascii="Arial" w:hAnsi="Arial" w:cs="Arial"/>
          <w:bCs/>
          <w:snapToGrid w:val="0"/>
          <w:sz w:val="24"/>
          <w:szCs w:val="27"/>
        </w:rPr>
        <w:t xml:space="preserve">, </w:t>
      </w:r>
      <w:r w:rsidRPr="00F2683E">
        <w:rPr>
          <w:rFonts w:ascii="Arial" w:hAnsi="Arial" w:cs="Arial"/>
          <w:bCs/>
          <w:snapToGrid w:val="0"/>
          <w:sz w:val="24"/>
          <w:szCs w:val="27"/>
        </w:rPr>
        <w:t xml:space="preserve">emitido por el </w:t>
      </w:r>
      <w:proofErr w:type="gramStart"/>
      <w:r w:rsidRPr="00F2683E">
        <w:rPr>
          <w:rFonts w:ascii="Arial" w:hAnsi="Arial" w:cs="Arial"/>
          <w:bCs/>
          <w:snapToGrid w:val="0"/>
          <w:sz w:val="24"/>
          <w:szCs w:val="27"/>
        </w:rPr>
        <w:t>Director General</w:t>
      </w:r>
      <w:proofErr w:type="gramEnd"/>
      <w:r w:rsidRPr="00F2683E">
        <w:rPr>
          <w:rFonts w:ascii="Arial" w:hAnsi="Arial" w:cs="Arial"/>
          <w:bCs/>
          <w:snapToGrid w:val="0"/>
          <w:sz w:val="24"/>
          <w:szCs w:val="27"/>
        </w:rPr>
        <w:t xml:space="preserve"> de la Oficina de Pensiones del Gobierno del Estado de</w:t>
      </w:r>
      <w:r w:rsidR="00FD71E9">
        <w:rPr>
          <w:rFonts w:ascii="Arial" w:hAnsi="Arial" w:cs="Arial"/>
          <w:bCs/>
          <w:snapToGrid w:val="0"/>
          <w:sz w:val="24"/>
          <w:szCs w:val="27"/>
        </w:rPr>
        <w:t xml:space="preserve"> Oaxaca </w:t>
      </w:r>
      <w:r w:rsidR="005E65BA">
        <w:rPr>
          <w:rFonts w:ascii="Arial" w:hAnsi="Arial" w:cs="Arial"/>
          <w:bCs/>
          <w:snapToGrid w:val="0"/>
          <w:sz w:val="24"/>
          <w:szCs w:val="27"/>
        </w:rPr>
        <w:t>(foja 21</w:t>
      </w:r>
      <w:r w:rsidR="005D64B9">
        <w:rPr>
          <w:rFonts w:ascii="Arial" w:hAnsi="Arial" w:cs="Arial"/>
          <w:bCs/>
          <w:snapToGrid w:val="0"/>
          <w:sz w:val="24"/>
          <w:szCs w:val="27"/>
        </w:rPr>
        <w:t>)</w:t>
      </w:r>
      <w:r w:rsidRPr="00F2683E">
        <w:rPr>
          <w:rFonts w:ascii="Arial" w:hAnsi="Arial" w:cs="Arial"/>
          <w:bCs/>
          <w:snapToGrid w:val="0"/>
          <w:sz w:val="24"/>
          <w:szCs w:val="27"/>
        </w:rPr>
        <w:t>, documental que adquiere valor probatorio pleno en términos del artículo 203 fracción I de la Ley de Procedimiento y Justicia Administrativa,</w:t>
      </w:r>
      <w:r w:rsidR="00F122BB">
        <w:rPr>
          <w:rFonts w:ascii="Arial" w:hAnsi="Arial" w:cs="Arial"/>
          <w:bCs/>
          <w:snapToGrid w:val="0"/>
          <w:sz w:val="24"/>
          <w:szCs w:val="27"/>
        </w:rPr>
        <w:t xml:space="preserve"> del cual se desprende</w:t>
      </w:r>
      <w:r w:rsidR="00FD71E9">
        <w:rPr>
          <w:rFonts w:ascii="Arial" w:hAnsi="Arial" w:cs="Arial"/>
          <w:bCs/>
          <w:snapToGrid w:val="0"/>
          <w:sz w:val="24"/>
          <w:szCs w:val="27"/>
        </w:rPr>
        <w:t>:</w:t>
      </w:r>
    </w:p>
    <w:p w14:paraId="1DB2BF2D" w14:textId="32F87BC9" w:rsidR="00BA302B" w:rsidRDefault="00F2683E" w:rsidP="00BA302B">
      <w:pPr>
        <w:ind w:left="567" w:right="48"/>
        <w:jc w:val="both"/>
        <w:rPr>
          <w:rFonts w:ascii="Arial" w:hAnsi="Arial" w:cs="Arial"/>
          <w:bCs/>
          <w:i/>
          <w:snapToGrid w:val="0"/>
          <w:sz w:val="24"/>
          <w:szCs w:val="27"/>
        </w:rPr>
      </w:pPr>
      <w:r w:rsidRPr="00A20957">
        <w:rPr>
          <w:rFonts w:ascii="Arial" w:hAnsi="Arial" w:cs="Arial"/>
          <w:bCs/>
          <w:i/>
          <w:snapToGrid w:val="0"/>
          <w:sz w:val="24"/>
          <w:szCs w:val="27"/>
        </w:rPr>
        <w:t>“</w:t>
      </w:r>
      <w:r w:rsidR="00BA302B">
        <w:rPr>
          <w:rFonts w:ascii="Arial" w:hAnsi="Arial" w:cs="Arial"/>
          <w:bCs/>
          <w:i/>
          <w:snapToGrid w:val="0"/>
          <w:sz w:val="24"/>
          <w:szCs w:val="27"/>
        </w:rPr>
        <w:t>De acuerdo a los registros existente en el Sistema de Pensiones (SISPE), usted cotizó</w:t>
      </w:r>
      <w:r w:rsidR="00E47FD5">
        <w:rPr>
          <w:rFonts w:ascii="Arial" w:hAnsi="Arial" w:cs="Arial"/>
          <w:bCs/>
          <w:i/>
          <w:snapToGrid w:val="0"/>
          <w:sz w:val="24"/>
          <w:szCs w:val="27"/>
        </w:rPr>
        <w:t xml:space="preserve"> del 16 de octubre de 2005</w:t>
      </w:r>
      <w:r w:rsidR="00BA302B">
        <w:rPr>
          <w:rFonts w:ascii="Arial" w:hAnsi="Arial" w:cs="Arial"/>
          <w:bCs/>
          <w:i/>
          <w:snapToGrid w:val="0"/>
          <w:sz w:val="24"/>
          <w:szCs w:val="27"/>
        </w:rPr>
        <w:t xml:space="preserve"> al </w:t>
      </w:r>
      <w:r w:rsidR="00E47FD5">
        <w:rPr>
          <w:rFonts w:ascii="Arial" w:hAnsi="Arial" w:cs="Arial"/>
          <w:bCs/>
          <w:i/>
          <w:snapToGrid w:val="0"/>
          <w:sz w:val="24"/>
          <w:szCs w:val="27"/>
        </w:rPr>
        <w:t>28</w:t>
      </w:r>
      <w:r w:rsidR="00BA302B">
        <w:rPr>
          <w:rFonts w:ascii="Arial" w:hAnsi="Arial" w:cs="Arial"/>
          <w:bCs/>
          <w:i/>
          <w:snapToGrid w:val="0"/>
          <w:sz w:val="24"/>
          <w:szCs w:val="27"/>
        </w:rPr>
        <w:t xml:space="preserve"> de </w:t>
      </w:r>
      <w:r w:rsidR="00E47FD5">
        <w:rPr>
          <w:rFonts w:ascii="Arial" w:hAnsi="Arial" w:cs="Arial"/>
          <w:bCs/>
          <w:i/>
          <w:snapToGrid w:val="0"/>
          <w:sz w:val="24"/>
          <w:szCs w:val="27"/>
        </w:rPr>
        <w:t>febrero de 2007</w:t>
      </w:r>
      <w:r w:rsidR="00BA302B">
        <w:rPr>
          <w:rFonts w:ascii="Arial" w:hAnsi="Arial" w:cs="Arial"/>
          <w:bCs/>
          <w:i/>
          <w:snapToGrid w:val="0"/>
          <w:sz w:val="24"/>
          <w:szCs w:val="27"/>
        </w:rPr>
        <w:t xml:space="preserve"> fecha en que renuncia</w:t>
      </w:r>
      <w:r w:rsidR="005D64B9">
        <w:rPr>
          <w:rFonts w:ascii="Arial" w:hAnsi="Arial" w:cs="Arial"/>
          <w:bCs/>
          <w:i/>
          <w:snapToGrid w:val="0"/>
          <w:sz w:val="24"/>
          <w:szCs w:val="27"/>
        </w:rPr>
        <w:t>.</w:t>
      </w:r>
    </w:p>
    <w:p w14:paraId="357A299F" w14:textId="15F04F9C" w:rsidR="005D64B9" w:rsidRDefault="00BA302B" w:rsidP="00BA302B">
      <w:pPr>
        <w:ind w:left="567" w:right="48"/>
        <w:jc w:val="both"/>
        <w:rPr>
          <w:rFonts w:ascii="Arial" w:hAnsi="Arial" w:cs="Arial"/>
          <w:bCs/>
          <w:i/>
          <w:snapToGrid w:val="0"/>
          <w:sz w:val="24"/>
          <w:szCs w:val="27"/>
        </w:rPr>
      </w:pPr>
      <w:r>
        <w:rPr>
          <w:rFonts w:ascii="Arial" w:hAnsi="Arial" w:cs="Arial"/>
          <w:bCs/>
          <w:i/>
          <w:snapToGrid w:val="0"/>
          <w:sz w:val="24"/>
          <w:szCs w:val="27"/>
        </w:rPr>
        <w:lastRenderedPageBreak/>
        <w:t xml:space="preserve">De conformidad con la fecha de </w:t>
      </w:r>
      <w:r w:rsidR="00851CF4">
        <w:rPr>
          <w:rFonts w:ascii="Arial" w:hAnsi="Arial" w:cs="Arial"/>
          <w:bCs/>
          <w:i/>
          <w:snapToGrid w:val="0"/>
          <w:sz w:val="24"/>
          <w:szCs w:val="27"/>
        </w:rPr>
        <w:t>baja al 28</w:t>
      </w:r>
      <w:r>
        <w:rPr>
          <w:rFonts w:ascii="Arial" w:hAnsi="Arial" w:cs="Arial"/>
          <w:bCs/>
          <w:i/>
          <w:snapToGrid w:val="0"/>
          <w:sz w:val="24"/>
          <w:szCs w:val="27"/>
        </w:rPr>
        <w:t xml:space="preserve"> de </w:t>
      </w:r>
      <w:r w:rsidR="00851CF4">
        <w:rPr>
          <w:rFonts w:ascii="Arial" w:hAnsi="Arial" w:cs="Arial"/>
          <w:bCs/>
          <w:i/>
          <w:snapToGrid w:val="0"/>
          <w:sz w:val="24"/>
          <w:szCs w:val="27"/>
        </w:rPr>
        <w:t>febrero de 2007</w:t>
      </w:r>
      <w:r>
        <w:rPr>
          <w:rFonts w:ascii="Arial" w:hAnsi="Arial" w:cs="Arial"/>
          <w:bCs/>
          <w:i/>
          <w:snapToGrid w:val="0"/>
          <w:sz w:val="24"/>
          <w:szCs w:val="27"/>
        </w:rPr>
        <w:t xml:space="preserve"> y la última aportación que obran en su expediente de Aportador al Fondo de Pensiones de esta </w:t>
      </w:r>
      <w:r w:rsidR="00851CF4">
        <w:rPr>
          <w:rFonts w:ascii="Arial" w:hAnsi="Arial" w:cs="Arial"/>
          <w:bCs/>
          <w:i/>
          <w:snapToGrid w:val="0"/>
          <w:sz w:val="24"/>
          <w:szCs w:val="27"/>
        </w:rPr>
        <w:t>Dirección, hasta el 30</w:t>
      </w:r>
      <w:r>
        <w:rPr>
          <w:rFonts w:ascii="Arial" w:hAnsi="Arial" w:cs="Arial"/>
          <w:bCs/>
          <w:i/>
          <w:snapToGrid w:val="0"/>
          <w:sz w:val="24"/>
          <w:szCs w:val="27"/>
        </w:rPr>
        <w:t xml:space="preserve"> de </w:t>
      </w:r>
      <w:r w:rsidR="00851CF4">
        <w:rPr>
          <w:rFonts w:ascii="Arial" w:hAnsi="Arial" w:cs="Arial"/>
          <w:bCs/>
          <w:i/>
          <w:snapToGrid w:val="0"/>
          <w:sz w:val="24"/>
          <w:szCs w:val="27"/>
        </w:rPr>
        <w:t>marzo</w:t>
      </w:r>
      <w:r>
        <w:rPr>
          <w:rFonts w:ascii="Arial" w:hAnsi="Arial" w:cs="Arial"/>
          <w:bCs/>
          <w:i/>
          <w:snapToGrid w:val="0"/>
          <w:sz w:val="24"/>
          <w:szCs w:val="27"/>
        </w:rPr>
        <w:t xml:space="preserve"> de</w:t>
      </w:r>
      <w:r w:rsidR="00851CF4">
        <w:rPr>
          <w:rFonts w:ascii="Arial" w:hAnsi="Arial" w:cs="Arial"/>
          <w:bCs/>
          <w:i/>
          <w:snapToGrid w:val="0"/>
          <w:sz w:val="24"/>
          <w:szCs w:val="27"/>
        </w:rPr>
        <w:t>l año 2010</w:t>
      </w:r>
      <w:r w:rsidR="007D6CC5">
        <w:rPr>
          <w:rFonts w:ascii="Arial" w:hAnsi="Arial" w:cs="Arial"/>
          <w:bCs/>
          <w:i/>
          <w:snapToGrid w:val="0"/>
          <w:sz w:val="24"/>
          <w:szCs w:val="27"/>
        </w:rPr>
        <w:t xml:space="preserve"> sus cuo</w:t>
      </w:r>
      <w:r>
        <w:rPr>
          <w:rFonts w:ascii="Arial" w:hAnsi="Arial" w:cs="Arial"/>
          <w:bCs/>
          <w:i/>
          <w:snapToGrid w:val="0"/>
          <w:sz w:val="24"/>
          <w:szCs w:val="27"/>
        </w:rPr>
        <w:t>tas aportadas al Fondo de Pensiones eran exigibles; los tres años contemplados en el artículo 63 de la Ley de Pensiones para los Trabajadores del Gobierno del Estado de Oaxac</w:t>
      </w:r>
      <w:r w:rsidR="009D214C">
        <w:rPr>
          <w:rFonts w:ascii="Arial" w:hAnsi="Arial" w:cs="Arial"/>
          <w:bCs/>
          <w:i/>
          <w:snapToGrid w:val="0"/>
          <w:sz w:val="24"/>
          <w:szCs w:val="27"/>
        </w:rPr>
        <w:t>a vigente, concluyeron el día 30</w:t>
      </w:r>
      <w:r>
        <w:rPr>
          <w:rFonts w:ascii="Arial" w:hAnsi="Arial" w:cs="Arial"/>
          <w:bCs/>
          <w:i/>
          <w:snapToGrid w:val="0"/>
          <w:sz w:val="24"/>
          <w:szCs w:val="27"/>
        </w:rPr>
        <w:t xml:space="preserve"> de </w:t>
      </w:r>
      <w:r w:rsidR="009D214C">
        <w:rPr>
          <w:rFonts w:ascii="Arial" w:hAnsi="Arial" w:cs="Arial"/>
          <w:bCs/>
          <w:i/>
          <w:snapToGrid w:val="0"/>
          <w:sz w:val="24"/>
          <w:szCs w:val="27"/>
        </w:rPr>
        <w:t>marzo de 2010</w:t>
      </w:r>
      <w:r>
        <w:rPr>
          <w:rFonts w:ascii="Arial" w:hAnsi="Arial" w:cs="Arial"/>
          <w:bCs/>
          <w:i/>
          <w:snapToGrid w:val="0"/>
          <w:sz w:val="24"/>
          <w:szCs w:val="27"/>
        </w:rPr>
        <w:t>, razón por la cual no es posible atender favorablemente su solicitud.</w:t>
      </w:r>
      <w:r w:rsidR="005D64B9">
        <w:rPr>
          <w:rFonts w:ascii="Arial" w:hAnsi="Arial" w:cs="Arial"/>
          <w:bCs/>
          <w:i/>
          <w:snapToGrid w:val="0"/>
          <w:sz w:val="24"/>
          <w:szCs w:val="27"/>
        </w:rPr>
        <w:t>”</w:t>
      </w:r>
    </w:p>
    <w:p w14:paraId="63B2DA32" w14:textId="51172C21" w:rsidR="00661E96" w:rsidRDefault="006641A2" w:rsidP="00413E7C">
      <w:pPr>
        <w:spacing w:line="360" w:lineRule="auto"/>
        <w:ind w:firstLine="567"/>
        <w:jc w:val="both"/>
        <w:rPr>
          <w:rFonts w:ascii="Arial" w:hAnsi="Arial" w:cs="Arial"/>
          <w:bCs/>
          <w:snapToGrid w:val="0"/>
          <w:sz w:val="24"/>
          <w:szCs w:val="27"/>
        </w:rPr>
      </w:pPr>
      <w:r>
        <w:rPr>
          <w:rFonts w:ascii="Arial" w:hAnsi="Arial" w:cs="Arial"/>
          <w:bCs/>
          <w:snapToGrid w:val="0"/>
          <w:sz w:val="24"/>
          <w:szCs w:val="27"/>
        </w:rPr>
        <w:t>La transcripción anterior permite establecer que</w:t>
      </w:r>
      <w:r w:rsidR="00F2683E" w:rsidRPr="00F2683E">
        <w:rPr>
          <w:rFonts w:ascii="Arial" w:hAnsi="Arial" w:cs="Arial"/>
          <w:bCs/>
          <w:snapToGrid w:val="0"/>
          <w:sz w:val="24"/>
          <w:szCs w:val="27"/>
        </w:rPr>
        <w:t xml:space="preserve"> </w:t>
      </w:r>
      <w:r w:rsidR="00661E96">
        <w:rPr>
          <w:rFonts w:ascii="Arial" w:hAnsi="Arial" w:cs="Arial"/>
          <w:bCs/>
          <w:snapToGrid w:val="0"/>
          <w:sz w:val="24"/>
          <w:szCs w:val="27"/>
        </w:rPr>
        <w:t>las razones inmediatas por las cuales la autoridad demandada</w:t>
      </w:r>
      <w:r>
        <w:rPr>
          <w:rFonts w:ascii="Arial" w:hAnsi="Arial" w:cs="Arial"/>
          <w:bCs/>
          <w:snapToGrid w:val="0"/>
          <w:sz w:val="24"/>
          <w:szCs w:val="27"/>
        </w:rPr>
        <w:t>,</w:t>
      </w:r>
      <w:r w:rsidR="00661E96">
        <w:rPr>
          <w:rFonts w:ascii="Arial" w:hAnsi="Arial" w:cs="Arial"/>
          <w:bCs/>
          <w:snapToGrid w:val="0"/>
          <w:sz w:val="24"/>
          <w:szCs w:val="27"/>
        </w:rPr>
        <w:t xml:space="preserve"> negó la devolución de las aportaciones</w:t>
      </w:r>
      <w:r>
        <w:rPr>
          <w:rFonts w:ascii="Arial" w:hAnsi="Arial" w:cs="Arial"/>
          <w:bCs/>
          <w:snapToGrid w:val="0"/>
          <w:sz w:val="24"/>
          <w:szCs w:val="27"/>
        </w:rPr>
        <w:t xml:space="preserve"> solicitadas por el actor,</w:t>
      </w:r>
      <w:r w:rsidR="00661E96">
        <w:rPr>
          <w:rFonts w:ascii="Arial" w:hAnsi="Arial" w:cs="Arial"/>
          <w:bCs/>
          <w:snapToGrid w:val="0"/>
          <w:sz w:val="24"/>
          <w:szCs w:val="27"/>
        </w:rPr>
        <w:t xml:space="preserve"> fue porque la solicitud </w:t>
      </w:r>
      <w:r w:rsidR="00262048">
        <w:rPr>
          <w:rFonts w:ascii="Arial" w:hAnsi="Arial" w:cs="Arial"/>
          <w:bCs/>
          <w:snapToGrid w:val="0"/>
          <w:sz w:val="24"/>
          <w:szCs w:val="27"/>
        </w:rPr>
        <w:t>fue hecha con posterioridad a los tres años que indica</w:t>
      </w:r>
      <w:r>
        <w:rPr>
          <w:rFonts w:ascii="Arial" w:hAnsi="Arial" w:cs="Arial"/>
          <w:bCs/>
          <w:snapToGrid w:val="0"/>
          <w:sz w:val="24"/>
          <w:szCs w:val="27"/>
        </w:rPr>
        <w:t xml:space="preserve"> </w:t>
      </w:r>
      <w:r w:rsidR="00413E7C">
        <w:rPr>
          <w:rFonts w:ascii="Arial" w:hAnsi="Arial" w:cs="Arial"/>
          <w:bCs/>
          <w:snapToGrid w:val="0"/>
          <w:sz w:val="24"/>
          <w:szCs w:val="27"/>
        </w:rPr>
        <w:t xml:space="preserve">el artículo 63 de la Ley </w:t>
      </w:r>
      <w:r w:rsidR="00413E7C" w:rsidRPr="00413E7C">
        <w:rPr>
          <w:rFonts w:ascii="Arial" w:hAnsi="Arial" w:cs="Arial"/>
          <w:bCs/>
          <w:snapToGrid w:val="0"/>
          <w:sz w:val="24"/>
          <w:szCs w:val="27"/>
        </w:rPr>
        <w:t>de Pensiones para los Trabajadores del Gobierno del Estado de Oaxaca</w:t>
      </w:r>
      <w:r w:rsidR="001E0A4C">
        <w:rPr>
          <w:rFonts w:ascii="Arial" w:hAnsi="Arial" w:cs="Arial"/>
          <w:bCs/>
          <w:snapToGrid w:val="0"/>
          <w:sz w:val="24"/>
          <w:szCs w:val="27"/>
        </w:rPr>
        <w:t>, que dice:</w:t>
      </w:r>
    </w:p>
    <w:p w14:paraId="497DB1F4" w14:textId="53BC5679" w:rsidR="00413E7C" w:rsidRPr="00413E7C" w:rsidRDefault="00413E7C" w:rsidP="00413E7C">
      <w:pPr>
        <w:ind w:left="567"/>
        <w:jc w:val="both"/>
        <w:rPr>
          <w:rFonts w:ascii="Arial" w:hAnsi="Arial" w:cs="Arial"/>
          <w:bCs/>
          <w:i/>
          <w:snapToGrid w:val="0"/>
          <w:sz w:val="24"/>
          <w:szCs w:val="27"/>
        </w:rPr>
      </w:pPr>
      <w:r>
        <w:rPr>
          <w:rFonts w:ascii="Arial" w:hAnsi="Arial" w:cs="Arial"/>
          <w:b/>
          <w:bCs/>
          <w:i/>
          <w:snapToGrid w:val="0"/>
          <w:sz w:val="24"/>
          <w:szCs w:val="27"/>
        </w:rPr>
        <w:t>“</w:t>
      </w:r>
      <w:r w:rsidRPr="00413E7C">
        <w:rPr>
          <w:rFonts w:ascii="Arial" w:hAnsi="Arial" w:cs="Arial"/>
          <w:b/>
          <w:bCs/>
          <w:i/>
          <w:snapToGrid w:val="0"/>
          <w:sz w:val="24"/>
          <w:szCs w:val="27"/>
        </w:rPr>
        <w:t>ARTÍCULO 63.-</w:t>
      </w:r>
      <w:r w:rsidRPr="00413E7C">
        <w:rPr>
          <w:rFonts w:ascii="Arial" w:hAnsi="Arial" w:cs="Arial"/>
          <w:bCs/>
          <w:i/>
          <w:snapToGrid w:val="0"/>
          <w:sz w:val="24"/>
          <w:szCs w:val="27"/>
        </w:rPr>
        <w:t xml:space="preserve">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Pr>
          <w:rFonts w:ascii="Arial" w:hAnsi="Arial" w:cs="Arial"/>
          <w:bCs/>
          <w:i/>
          <w:snapToGrid w:val="0"/>
          <w:sz w:val="24"/>
          <w:szCs w:val="27"/>
        </w:rPr>
        <w:t>”</w:t>
      </w:r>
    </w:p>
    <w:p w14:paraId="1D715D52" w14:textId="5CA019D5" w:rsidR="00AA4133" w:rsidRDefault="00413E7C"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Ahora, </w:t>
      </w:r>
      <w:r w:rsidR="00F32FC5">
        <w:rPr>
          <w:rFonts w:ascii="Arial" w:hAnsi="Arial" w:cs="Arial"/>
          <w:bCs/>
          <w:snapToGrid w:val="0"/>
          <w:sz w:val="24"/>
          <w:szCs w:val="27"/>
        </w:rPr>
        <w:t>como se advierte de</w:t>
      </w:r>
      <w:r w:rsidR="00324282">
        <w:rPr>
          <w:rFonts w:ascii="Arial" w:hAnsi="Arial" w:cs="Arial"/>
          <w:bCs/>
          <w:snapToGrid w:val="0"/>
          <w:sz w:val="24"/>
          <w:szCs w:val="27"/>
        </w:rPr>
        <w:t xml:space="preserve">l </w:t>
      </w:r>
      <w:r w:rsidR="00024574">
        <w:rPr>
          <w:rFonts w:ascii="Arial" w:hAnsi="Arial" w:cs="Arial"/>
          <w:bCs/>
          <w:snapToGrid w:val="0"/>
          <w:sz w:val="24"/>
          <w:szCs w:val="27"/>
        </w:rPr>
        <w:t>último</w:t>
      </w:r>
      <w:r w:rsidR="00F32FC5">
        <w:rPr>
          <w:rFonts w:ascii="Arial" w:hAnsi="Arial" w:cs="Arial"/>
          <w:bCs/>
          <w:snapToGrid w:val="0"/>
          <w:sz w:val="24"/>
          <w:szCs w:val="27"/>
        </w:rPr>
        <w:t xml:space="preserve"> nombramiento</w:t>
      </w:r>
      <w:r w:rsidR="00324282">
        <w:rPr>
          <w:rFonts w:ascii="Arial" w:hAnsi="Arial" w:cs="Arial"/>
          <w:bCs/>
          <w:snapToGrid w:val="0"/>
          <w:sz w:val="24"/>
          <w:szCs w:val="27"/>
        </w:rPr>
        <w:t xml:space="preserve"> del actor</w:t>
      </w:r>
      <w:r w:rsidR="00F32FC5">
        <w:rPr>
          <w:rFonts w:ascii="Arial" w:hAnsi="Arial" w:cs="Arial"/>
          <w:bCs/>
          <w:snapToGrid w:val="0"/>
          <w:sz w:val="24"/>
          <w:szCs w:val="27"/>
        </w:rPr>
        <w:t xml:space="preserve"> </w:t>
      </w:r>
      <w:r w:rsidR="00450B3C">
        <w:rPr>
          <w:rFonts w:ascii="Arial" w:hAnsi="Arial" w:cs="Arial"/>
          <w:bCs/>
          <w:snapToGrid w:val="0"/>
          <w:sz w:val="24"/>
          <w:szCs w:val="27"/>
        </w:rPr>
        <w:t xml:space="preserve">de </w:t>
      </w:r>
      <w:r w:rsidR="00024574">
        <w:rPr>
          <w:rFonts w:ascii="Arial" w:hAnsi="Arial" w:cs="Arial"/>
          <w:bCs/>
          <w:snapToGrid w:val="0"/>
          <w:sz w:val="24"/>
          <w:szCs w:val="27"/>
        </w:rPr>
        <w:t xml:space="preserve">fecha </w:t>
      </w:r>
      <w:r w:rsidR="00735348">
        <w:rPr>
          <w:rFonts w:ascii="Arial" w:hAnsi="Arial" w:cs="Arial"/>
          <w:bCs/>
          <w:snapToGrid w:val="0"/>
          <w:sz w:val="24"/>
          <w:szCs w:val="27"/>
        </w:rPr>
        <w:t>***** de ***** de dos mil cinco</w:t>
      </w:r>
      <w:r w:rsidR="00A30B97">
        <w:rPr>
          <w:rFonts w:ascii="Arial" w:hAnsi="Arial" w:cs="Arial"/>
          <w:bCs/>
          <w:snapToGrid w:val="0"/>
          <w:sz w:val="24"/>
          <w:szCs w:val="27"/>
        </w:rPr>
        <w:t xml:space="preserve"> (foja 37)</w:t>
      </w:r>
      <w:r w:rsidR="00324282">
        <w:rPr>
          <w:rFonts w:ascii="Arial" w:hAnsi="Arial" w:cs="Arial"/>
          <w:bCs/>
          <w:snapToGrid w:val="0"/>
          <w:sz w:val="24"/>
          <w:szCs w:val="27"/>
        </w:rPr>
        <w:t>,</w:t>
      </w:r>
      <w:r w:rsidR="00A30B97">
        <w:rPr>
          <w:rFonts w:ascii="Arial" w:hAnsi="Arial" w:cs="Arial"/>
          <w:bCs/>
          <w:snapToGrid w:val="0"/>
          <w:sz w:val="24"/>
          <w:szCs w:val="27"/>
        </w:rPr>
        <w:t xml:space="preserve"> así como de la constancia de</w:t>
      </w:r>
      <w:r w:rsidR="00324282">
        <w:rPr>
          <w:rFonts w:ascii="Arial" w:hAnsi="Arial" w:cs="Arial"/>
          <w:bCs/>
          <w:snapToGrid w:val="0"/>
          <w:sz w:val="24"/>
          <w:szCs w:val="27"/>
        </w:rPr>
        <w:t xml:space="preserve"> servicios,</w:t>
      </w:r>
      <w:r w:rsidR="00A30B97">
        <w:rPr>
          <w:rFonts w:ascii="Arial" w:hAnsi="Arial" w:cs="Arial"/>
          <w:bCs/>
          <w:snapToGrid w:val="0"/>
          <w:sz w:val="24"/>
          <w:szCs w:val="27"/>
        </w:rPr>
        <w:t xml:space="preserve"> de </w:t>
      </w:r>
      <w:r w:rsidR="00764670">
        <w:rPr>
          <w:rFonts w:ascii="Arial" w:hAnsi="Arial" w:cs="Arial"/>
          <w:bCs/>
          <w:snapToGrid w:val="0"/>
          <w:sz w:val="24"/>
          <w:szCs w:val="27"/>
        </w:rPr>
        <w:t xml:space="preserve">fecha ***** de ***** de dos mil dieciocho </w:t>
      </w:r>
      <w:r w:rsidR="00A30B97">
        <w:rPr>
          <w:rFonts w:ascii="Arial" w:hAnsi="Arial" w:cs="Arial"/>
          <w:bCs/>
          <w:snapToGrid w:val="0"/>
          <w:sz w:val="24"/>
          <w:szCs w:val="27"/>
        </w:rPr>
        <w:t>(foja 33</w:t>
      </w:r>
      <w:r w:rsidR="006F3E80">
        <w:rPr>
          <w:rFonts w:ascii="Arial" w:hAnsi="Arial" w:cs="Arial"/>
          <w:bCs/>
          <w:snapToGrid w:val="0"/>
          <w:sz w:val="24"/>
          <w:szCs w:val="27"/>
        </w:rPr>
        <w:t>)</w:t>
      </w:r>
      <w:r w:rsidR="00324282">
        <w:rPr>
          <w:rFonts w:ascii="Arial" w:hAnsi="Arial" w:cs="Arial"/>
          <w:bCs/>
          <w:snapToGrid w:val="0"/>
          <w:sz w:val="24"/>
          <w:szCs w:val="27"/>
        </w:rPr>
        <w:t>,</w:t>
      </w:r>
      <w:r w:rsidR="006F3E80">
        <w:rPr>
          <w:rFonts w:ascii="Arial" w:hAnsi="Arial" w:cs="Arial"/>
          <w:bCs/>
          <w:snapToGrid w:val="0"/>
          <w:sz w:val="24"/>
          <w:szCs w:val="27"/>
        </w:rPr>
        <w:t xml:space="preserve"> documentales que adquieren valor probatorio pleno en términos del artículo 203 fracción I</w:t>
      </w:r>
      <w:r w:rsidR="0052515D">
        <w:rPr>
          <w:rFonts w:ascii="Arial" w:hAnsi="Arial" w:cs="Arial"/>
          <w:bCs/>
          <w:snapToGrid w:val="0"/>
          <w:sz w:val="24"/>
          <w:szCs w:val="27"/>
        </w:rPr>
        <w:t xml:space="preserve"> </w:t>
      </w:r>
      <w:r w:rsidR="006F3E80">
        <w:rPr>
          <w:rFonts w:ascii="Arial" w:hAnsi="Arial" w:cs="Arial"/>
          <w:bCs/>
          <w:snapToGrid w:val="0"/>
          <w:sz w:val="24"/>
          <w:szCs w:val="27"/>
        </w:rPr>
        <w:t xml:space="preserve">de la Ley de Procedimiento y Justicia Administrativa para el Estado de Oaxaca, </w:t>
      </w:r>
      <w:r w:rsidR="005D3CC9">
        <w:rPr>
          <w:rFonts w:ascii="Arial" w:hAnsi="Arial" w:cs="Arial"/>
          <w:bCs/>
          <w:snapToGrid w:val="0"/>
          <w:sz w:val="24"/>
          <w:szCs w:val="27"/>
        </w:rPr>
        <w:t>se</w:t>
      </w:r>
      <w:r w:rsidR="00324282">
        <w:rPr>
          <w:rFonts w:ascii="Arial" w:hAnsi="Arial" w:cs="Arial"/>
          <w:bCs/>
          <w:snapToGrid w:val="0"/>
          <w:sz w:val="24"/>
          <w:szCs w:val="27"/>
        </w:rPr>
        <w:t xml:space="preserve"> pone de manifiesto que el </w:t>
      </w:r>
      <w:r w:rsidR="005D3CC9">
        <w:rPr>
          <w:rFonts w:ascii="Arial" w:hAnsi="Arial" w:cs="Arial"/>
          <w:bCs/>
          <w:snapToGrid w:val="0"/>
          <w:sz w:val="24"/>
          <w:szCs w:val="27"/>
        </w:rPr>
        <w:t xml:space="preserve">actor laboró </w:t>
      </w:r>
      <w:r w:rsidR="00F52177">
        <w:rPr>
          <w:rFonts w:ascii="Arial" w:hAnsi="Arial" w:cs="Arial"/>
          <w:bCs/>
          <w:snapToGrid w:val="0"/>
          <w:sz w:val="24"/>
          <w:szCs w:val="27"/>
        </w:rPr>
        <w:t>en diversas áreas de la administración pública</w:t>
      </w:r>
      <w:r w:rsidR="00324282">
        <w:rPr>
          <w:rFonts w:ascii="Arial" w:hAnsi="Arial" w:cs="Arial"/>
          <w:bCs/>
          <w:snapToGrid w:val="0"/>
          <w:sz w:val="24"/>
          <w:szCs w:val="27"/>
        </w:rPr>
        <w:t xml:space="preserve"> estatal</w:t>
      </w:r>
      <w:r w:rsidR="00F52177">
        <w:rPr>
          <w:rFonts w:ascii="Arial" w:hAnsi="Arial" w:cs="Arial"/>
          <w:bCs/>
          <w:snapToGrid w:val="0"/>
          <w:sz w:val="24"/>
          <w:szCs w:val="27"/>
        </w:rPr>
        <w:t xml:space="preserve">, siendo su último nombramiento </w:t>
      </w:r>
      <w:r w:rsidR="005D3CC9">
        <w:rPr>
          <w:rFonts w:ascii="Arial" w:hAnsi="Arial" w:cs="Arial"/>
          <w:bCs/>
          <w:snapToGrid w:val="0"/>
          <w:sz w:val="24"/>
          <w:szCs w:val="27"/>
        </w:rPr>
        <w:t xml:space="preserve">como </w:t>
      </w:r>
      <w:r w:rsidR="00F52177">
        <w:rPr>
          <w:rFonts w:ascii="Arial" w:hAnsi="Arial" w:cs="Arial"/>
          <w:bCs/>
          <w:snapToGrid w:val="0"/>
          <w:sz w:val="24"/>
          <w:szCs w:val="27"/>
        </w:rPr>
        <w:t>Supervisor de Obra de la Secretaría de Obras Públicas del Estado de Oaxaca</w:t>
      </w:r>
      <w:r w:rsidR="005D3CC9">
        <w:rPr>
          <w:rFonts w:ascii="Arial" w:hAnsi="Arial" w:cs="Arial"/>
          <w:bCs/>
          <w:snapToGrid w:val="0"/>
          <w:sz w:val="24"/>
          <w:szCs w:val="27"/>
        </w:rPr>
        <w:t>,</w:t>
      </w:r>
      <w:r w:rsidR="0052515D">
        <w:rPr>
          <w:rFonts w:ascii="Arial" w:hAnsi="Arial" w:cs="Arial"/>
          <w:bCs/>
          <w:snapToGrid w:val="0"/>
          <w:sz w:val="24"/>
          <w:szCs w:val="27"/>
        </w:rPr>
        <w:t xml:space="preserve"> como </w:t>
      </w:r>
      <w:r w:rsidR="005D3CC9">
        <w:rPr>
          <w:rFonts w:ascii="Arial" w:hAnsi="Arial" w:cs="Arial"/>
          <w:bCs/>
          <w:snapToGrid w:val="0"/>
          <w:sz w:val="24"/>
          <w:szCs w:val="27"/>
        </w:rPr>
        <w:t>empleado de confianza y su relación laboral terminó</w:t>
      </w:r>
      <w:r w:rsidR="00EF7DD2">
        <w:rPr>
          <w:rFonts w:ascii="Arial" w:hAnsi="Arial" w:cs="Arial"/>
          <w:bCs/>
          <w:snapToGrid w:val="0"/>
          <w:sz w:val="24"/>
          <w:szCs w:val="27"/>
        </w:rPr>
        <w:t xml:space="preserve"> por renuncia </w:t>
      </w:r>
      <w:r w:rsidR="005D3CC9">
        <w:rPr>
          <w:rFonts w:ascii="Arial" w:hAnsi="Arial" w:cs="Arial"/>
          <w:bCs/>
          <w:snapToGrid w:val="0"/>
          <w:sz w:val="24"/>
          <w:szCs w:val="27"/>
        </w:rPr>
        <w:t>el</w:t>
      </w:r>
      <w:r w:rsidR="00764670">
        <w:rPr>
          <w:rFonts w:ascii="Arial" w:hAnsi="Arial" w:cs="Arial"/>
          <w:bCs/>
          <w:snapToGrid w:val="0"/>
          <w:sz w:val="24"/>
          <w:szCs w:val="27"/>
        </w:rPr>
        <w:t xml:space="preserve"> ******</w:t>
      </w:r>
      <w:r w:rsidR="00F52177">
        <w:rPr>
          <w:rFonts w:ascii="Arial" w:hAnsi="Arial" w:cs="Arial"/>
          <w:bCs/>
          <w:snapToGrid w:val="0"/>
          <w:sz w:val="24"/>
          <w:szCs w:val="27"/>
        </w:rPr>
        <w:t xml:space="preserve"> de </w:t>
      </w:r>
      <w:r w:rsidR="00764670">
        <w:rPr>
          <w:rFonts w:ascii="Arial" w:hAnsi="Arial" w:cs="Arial"/>
          <w:bCs/>
          <w:snapToGrid w:val="0"/>
          <w:sz w:val="24"/>
          <w:szCs w:val="27"/>
        </w:rPr>
        <w:t>*****</w:t>
      </w:r>
      <w:r w:rsidR="00F52177">
        <w:rPr>
          <w:rFonts w:ascii="Arial" w:hAnsi="Arial" w:cs="Arial"/>
          <w:bCs/>
          <w:snapToGrid w:val="0"/>
          <w:sz w:val="24"/>
          <w:szCs w:val="27"/>
        </w:rPr>
        <w:t xml:space="preserve"> de dos mil siete</w:t>
      </w:r>
      <w:r w:rsidR="005D3CC9">
        <w:rPr>
          <w:rFonts w:ascii="Arial" w:hAnsi="Arial" w:cs="Arial"/>
          <w:bCs/>
          <w:snapToGrid w:val="0"/>
          <w:sz w:val="24"/>
          <w:szCs w:val="27"/>
        </w:rPr>
        <w:t xml:space="preserve">, y su solicitud </w:t>
      </w:r>
      <w:r w:rsidR="00CB0EA1">
        <w:rPr>
          <w:rFonts w:ascii="Arial" w:hAnsi="Arial" w:cs="Arial"/>
          <w:bCs/>
          <w:snapToGrid w:val="0"/>
          <w:sz w:val="24"/>
          <w:szCs w:val="27"/>
        </w:rPr>
        <w:t xml:space="preserve">de devolución de las aportaciones hechas al </w:t>
      </w:r>
      <w:r w:rsidR="00EF7DD2">
        <w:rPr>
          <w:rFonts w:ascii="Arial" w:hAnsi="Arial" w:cs="Arial"/>
          <w:bCs/>
          <w:snapToGrid w:val="0"/>
          <w:sz w:val="24"/>
          <w:szCs w:val="27"/>
        </w:rPr>
        <w:t>F</w:t>
      </w:r>
      <w:r w:rsidR="00CB0EA1">
        <w:rPr>
          <w:rFonts w:ascii="Arial" w:hAnsi="Arial" w:cs="Arial"/>
          <w:bCs/>
          <w:snapToGrid w:val="0"/>
          <w:sz w:val="24"/>
          <w:szCs w:val="27"/>
        </w:rPr>
        <w:t xml:space="preserve">ondo de </w:t>
      </w:r>
      <w:r w:rsidR="00EF7DD2">
        <w:rPr>
          <w:rFonts w:ascii="Arial" w:hAnsi="Arial" w:cs="Arial"/>
          <w:bCs/>
          <w:snapToGrid w:val="0"/>
          <w:sz w:val="24"/>
          <w:szCs w:val="27"/>
        </w:rPr>
        <w:t>P</w:t>
      </w:r>
      <w:r w:rsidR="00CB0EA1">
        <w:rPr>
          <w:rFonts w:ascii="Arial" w:hAnsi="Arial" w:cs="Arial"/>
          <w:bCs/>
          <w:snapToGrid w:val="0"/>
          <w:sz w:val="24"/>
          <w:szCs w:val="27"/>
        </w:rPr>
        <w:t>ensiones fue presentada el</w:t>
      </w:r>
      <w:r w:rsidR="00764670">
        <w:rPr>
          <w:rFonts w:ascii="Arial" w:hAnsi="Arial" w:cs="Arial"/>
          <w:bCs/>
          <w:snapToGrid w:val="0"/>
          <w:sz w:val="24"/>
          <w:szCs w:val="27"/>
        </w:rPr>
        <w:t xml:space="preserve"> *****</w:t>
      </w:r>
      <w:r w:rsidR="00F52177">
        <w:rPr>
          <w:rFonts w:ascii="Arial" w:hAnsi="Arial" w:cs="Arial"/>
          <w:bCs/>
          <w:snapToGrid w:val="0"/>
          <w:sz w:val="24"/>
          <w:szCs w:val="27"/>
        </w:rPr>
        <w:t xml:space="preserve"> de </w:t>
      </w:r>
      <w:r w:rsidR="00764670">
        <w:rPr>
          <w:rFonts w:ascii="Arial" w:hAnsi="Arial" w:cs="Arial"/>
          <w:bCs/>
          <w:snapToGrid w:val="0"/>
          <w:sz w:val="24"/>
          <w:szCs w:val="27"/>
        </w:rPr>
        <w:t>*****</w:t>
      </w:r>
      <w:r w:rsidR="00F52177">
        <w:rPr>
          <w:rFonts w:ascii="Arial" w:hAnsi="Arial" w:cs="Arial"/>
          <w:bCs/>
          <w:snapToGrid w:val="0"/>
          <w:sz w:val="24"/>
          <w:szCs w:val="27"/>
        </w:rPr>
        <w:t xml:space="preserve"> de dos mil veinte</w:t>
      </w:r>
      <w:r w:rsidR="00CB0EA1">
        <w:rPr>
          <w:rFonts w:ascii="Arial" w:hAnsi="Arial" w:cs="Arial"/>
          <w:bCs/>
          <w:snapToGrid w:val="0"/>
          <w:sz w:val="24"/>
          <w:szCs w:val="27"/>
        </w:rPr>
        <w:t>,</w:t>
      </w:r>
      <w:r w:rsidR="00FB7D6E">
        <w:rPr>
          <w:rFonts w:ascii="Arial" w:hAnsi="Arial" w:cs="Arial"/>
          <w:bCs/>
          <w:snapToGrid w:val="0"/>
          <w:sz w:val="24"/>
          <w:szCs w:val="27"/>
        </w:rPr>
        <w:t xml:space="preserve"> como se advierte </w:t>
      </w:r>
      <w:r w:rsidR="00CB0EA1">
        <w:rPr>
          <w:rFonts w:ascii="Arial" w:hAnsi="Arial" w:cs="Arial"/>
          <w:bCs/>
          <w:snapToGrid w:val="0"/>
          <w:sz w:val="24"/>
          <w:szCs w:val="27"/>
        </w:rPr>
        <w:t>del acuse de su escrito de fecha</w:t>
      </w:r>
      <w:r w:rsidR="00764670">
        <w:rPr>
          <w:rFonts w:ascii="Arial" w:hAnsi="Arial" w:cs="Arial"/>
          <w:bCs/>
          <w:snapToGrid w:val="0"/>
          <w:sz w:val="24"/>
          <w:szCs w:val="27"/>
        </w:rPr>
        <w:t xml:space="preserve"> *****</w:t>
      </w:r>
      <w:r w:rsidR="0068650C">
        <w:rPr>
          <w:rFonts w:ascii="Arial" w:hAnsi="Arial" w:cs="Arial"/>
          <w:bCs/>
          <w:snapToGrid w:val="0"/>
          <w:sz w:val="24"/>
          <w:szCs w:val="27"/>
        </w:rPr>
        <w:t xml:space="preserve"> de </w:t>
      </w:r>
      <w:r w:rsidR="00764670">
        <w:rPr>
          <w:rFonts w:ascii="Arial" w:hAnsi="Arial" w:cs="Arial"/>
          <w:bCs/>
          <w:snapToGrid w:val="0"/>
          <w:sz w:val="24"/>
          <w:szCs w:val="27"/>
        </w:rPr>
        <w:t>****¨*</w:t>
      </w:r>
      <w:r w:rsidR="0068650C">
        <w:rPr>
          <w:rFonts w:ascii="Arial" w:hAnsi="Arial" w:cs="Arial"/>
          <w:bCs/>
          <w:snapToGrid w:val="0"/>
          <w:sz w:val="24"/>
          <w:szCs w:val="27"/>
        </w:rPr>
        <w:t xml:space="preserve"> de dos mil veinte</w:t>
      </w:r>
      <w:r w:rsidR="00CB0EA1">
        <w:rPr>
          <w:rFonts w:ascii="Arial" w:hAnsi="Arial" w:cs="Arial"/>
          <w:bCs/>
          <w:snapToGrid w:val="0"/>
          <w:sz w:val="24"/>
          <w:szCs w:val="27"/>
        </w:rPr>
        <w:t xml:space="preserve"> (foja</w:t>
      </w:r>
      <w:r w:rsidR="0068650C">
        <w:rPr>
          <w:rFonts w:ascii="Arial" w:hAnsi="Arial" w:cs="Arial"/>
          <w:bCs/>
          <w:snapToGrid w:val="0"/>
          <w:sz w:val="24"/>
          <w:szCs w:val="27"/>
        </w:rPr>
        <w:t>s 49 y 50</w:t>
      </w:r>
      <w:r w:rsidR="00CB0EA1">
        <w:rPr>
          <w:rFonts w:ascii="Arial" w:hAnsi="Arial" w:cs="Arial"/>
          <w:bCs/>
          <w:snapToGrid w:val="0"/>
          <w:sz w:val="24"/>
          <w:szCs w:val="27"/>
        </w:rPr>
        <w:t>)</w:t>
      </w:r>
      <w:r w:rsidR="00FB7D6E">
        <w:rPr>
          <w:rFonts w:ascii="Arial" w:hAnsi="Arial" w:cs="Arial"/>
          <w:bCs/>
          <w:snapToGrid w:val="0"/>
          <w:sz w:val="24"/>
          <w:szCs w:val="27"/>
        </w:rPr>
        <w:t>,</w:t>
      </w:r>
      <w:r w:rsidR="00CB0EA1">
        <w:rPr>
          <w:rFonts w:ascii="Arial" w:hAnsi="Arial" w:cs="Arial"/>
          <w:bCs/>
          <w:snapToGrid w:val="0"/>
          <w:sz w:val="24"/>
          <w:szCs w:val="27"/>
        </w:rPr>
        <w:t xml:space="preserve"> documental que adquiere valor probatorio pleno en términos del artículo 203 fracción I de la Ley de Procedimiento y Justicia Administrativa para el Estado de Oaxaca, por lo que resulta ser cierto lo manifestado por la autoridad demandada en el </w:t>
      </w:r>
      <w:r w:rsidR="00780B90">
        <w:rPr>
          <w:rFonts w:ascii="Arial" w:hAnsi="Arial" w:cs="Arial"/>
          <w:bCs/>
          <w:snapToGrid w:val="0"/>
          <w:sz w:val="24"/>
          <w:szCs w:val="27"/>
        </w:rPr>
        <w:t>acto reclamado.</w:t>
      </w:r>
    </w:p>
    <w:p w14:paraId="3EA99D93" w14:textId="36B5646B" w:rsidR="00780B90" w:rsidRDefault="00780B90"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No </w:t>
      </w:r>
      <w:proofErr w:type="gramStart"/>
      <w:r w:rsidR="008341DC">
        <w:rPr>
          <w:rFonts w:ascii="Arial" w:hAnsi="Arial" w:cs="Arial"/>
          <w:bCs/>
          <w:snapToGrid w:val="0"/>
          <w:sz w:val="24"/>
          <w:szCs w:val="27"/>
        </w:rPr>
        <w:t>obstante</w:t>
      </w:r>
      <w:proofErr w:type="gramEnd"/>
      <w:r w:rsidR="00FB7D6E">
        <w:rPr>
          <w:rFonts w:ascii="Arial" w:hAnsi="Arial" w:cs="Arial"/>
          <w:bCs/>
          <w:snapToGrid w:val="0"/>
          <w:sz w:val="24"/>
          <w:szCs w:val="27"/>
        </w:rPr>
        <w:t xml:space="preserve"> </w:t>
      </w:r>
      <w:r>
        <w:rPr>
          <w:rFonts w:ascii="Arial" w:hAnsi="Arial" w:cs="Arial"/>
          <w:bCs/>
          <w:snapToGrid w:val="0"/>
          <w:sz w:val="24"/>
          <w:szCs w:val="27"/>
        </w:rPr>
        <w:t xml:space="preserve">lo anterior, debe decirse que conforme a los criterios emitidos por la Suprema Corte de Justicia de la Nación, las aportaciones que realice un trabajador al Fondo de Pensiones </w:t>
      </w:r>
      <w:r w:rsidRPr="00780B90">
        <w:rPr>
          <w:rFonts w:ascii="Arial" w:hAnsi="Arial" w:cs="Arial"/>
          <w:bCs/>
          <w:snapToGrid w:val="0"/>
          <w:sz w:val="24"/>
          <w:szCs w:val="27"/>
        </w:rPr>
        <w:t>tiene como fin brindar certeza jurídica al trabajador sobre los recursos que pagarán su pensión</w:t>
      </w:r>
      <w:r>
        <w:rPr>
          <w:rFonts w:ascii="Arial" w:hAnsi="Arial" w:cs="Arial"/>
          <w:bCs/>
          <w:snapToGrid w:val="0"/>
          <w:sz w:val="24"/>
          <w:szCs w:val="27"/>
        </w:rPr>
        <w:t>, por ello, la cantidad monetaria ahí aportada es de su propiedad y no puede ser considerada como propiedad de la institución que administre tales ahorr</w:t>
      </w:r>
      <w:r w:rsidR="00A04DE9">
        <w:rPr>
          <w:rFonts w:ascii="Arial" w:hAnsi="Arial" w:cs="Arial"/>
          <w:bCs/>
          <w:snapToGrid w:val="0"/>
          <w:sz w:val="24"/>
          <w:szCs w:val="27"/>
        </w:rPr>
        <w:t xml:space="preserve">os. </w:t>
      </w:r>
    </w:p>
    <w:p w14:paraId="0740C7EC" w14:textId="56CC4AE4" w:rsidR="00A04DE9" w:rsidRDefault="00A04DE9"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Sin embargo, conforme a lo</w:t>
      </w:r>
      <w:r w:rsidRPr="00A04DE9">
        <w:rPr>
          <w:rFonts w:ascii="Arial" w:hAnsi="Arial" w:cs="Arial"/>
          <w:bCs/>
          <w:snapToGrid w:val="0"/>
          <w:sz w:val="24"/>
          <w:szCs w:val="27"/>
        </w:rPr>
        <w:t>s principios de seguridad y certeza jurídica contenidos en los artículos 14 y 16 de la Constitución Política de los Estados Unidos Mexicanos</w:t>
      </w:r>
      <w:r>
        <w:rPr>
          <w:rFonts w:ascii="Arial" w:hAnsi="Arial" w:cs="Arial"/>
          <w:bCs/>
          <w:snapToGrid w:val="0"/>
          <w:sz w:val="24"/>
          <w:szCs w:val="27"/>
        </w:rPr>
        <w:t xml:space="preserve">, </w:t>
      </w:r>
      <w:r w:rsidR="005E7231">
        <w:rPr>
          <w:rFonts w:ascii="Arial" w:hAnsi="Arial" w:cs="Arial"/>
          <w:bCs/>
          <w:snapToGrid w:val="0"/>
          <w:sz w:val="24"/>
          <w:szCs w:val="27"/>
        </w:rPr>
        <w:t>se advierte q</w:t>
      </w:r>
      <w:r w:rsidR="003A382C">
        <w:rPr>
          <w:rFonts w:ascii="Arial" w:hAnsi="Arial" w:cs="Arial"/>
          <w:bCs/>
          <w:snapToGrid w:val="0"/>
          <w:sz w:val="24"/>
          <w:szCs w:val="27"/>
        </w:rPr>
        <w:t>ue el</w:t>
      </w:r>
      <w:r w:rsidR="005E7231">
        <w:rPr>
          <w:rFonts w:ascii="Arial" w:hAnsi="Arial" w:cs="Arial"/>
          <w:bCs/>
          <w:snapToGrid w:val="0"/>
          <w:sz w:val="24"/>
          <w:szCs w:val="27"/>
        </w:rPr>
        <w:t xml:space="preserve"> artículo que prevé el plazo de tres años para solicitar </w:t>
      </w:r>
      <w:r w:rsidR="005E7231">
        <w:rPr>
          <w:rFonts w:ascii="Arial" w:hAnsi="Arial" w:cs="Arial"/>
          <w:bCs/>
          <w:snapToGrid w:val="0"/>
          <w:sz w:val="24"/>
          <w:szCs w:val="27"/>
        </w:rPr>
        <w:lastRenderedPageBreak/>
        <w:t xml:space="preserve">la devolución, </w:t>
      </w:r>
      <w:r w:rsidR="003A382C" w:rsidRPr="003A382C">
        <w:rPr>
          <w:rFonts w:ascii="Arial" w:hAnsi="Arial" w:cs="Arial"/>
          <w:bCs/>
          <w:snapToGrid w:val="0"/>
          <w:sz w:val="24"/>
          <w:szCs w:val="27"/>
        </w:rPr>
        <w:t xml:space="preserve">a partir "de que sean exigibles", contraviniendo los mencionados principios de seguridad y certeza jurídica, al no señalar con precisión el momento en que comenzará a contar dicho plazo prescriptivo, aunado a que no prevé que se dé oportunamente algún aviso al asegurado o a sus beneficiarios, a efecto de evitar que opere la prescripción de su derecho a disponer de los recursos </w:t>
      </w:r>
      <w:r w:rsidR="003A382C">
        <w:rPr>
          <w:rFonts w:ascii="Arial" w:hAnsi="Arial" w:cs="Arial"/>
          <w:bCs/>
          <w:snapToGrid w:val="0"/>
          <w:sz w:val="24"/>
          <w:szCs w:val="27"/>
        </w:rPr>
        <w:t>aportados</w:t>
      </w:r>
      <w:r w:rsidR="003A382C" w:rsidRPr="003A382C">
        <w:rPr>
          <w:rFonts w:ascii="Arial" w:hAnsi="Arial" w:cs="Arial"/>
          <w:bCs/>
          <w:snapToGrid w:val="0"/>
          <w:sz w:val="24"/>
          <w:szCs w:val="27"/>
        </w:rPr>
        <w:t>, lo que evidencia la incertidumbre jurídica sobre el particular y la violación a la garantía de seguridad social que consagra el artículo 123, Apartado B, fracción XI,</w:t>
      </w:r>
      <w:r w:rsidR="00FC7EAE">
        <w:rPr>
          <w:rFonts w:ascii="Arial" w:hAnsi="Arial" w:cs="Arial"/>
          <w:bCs/>
          <w:snapToGrid w:val="0"/>
          <w:sz w:val="24"/>
          <w:szCs w:val="27"/>
        </w:rPr>
        <w:t xml:space="preserve"> de la Constitución Política de los Estados Unidos Mexicanos</w:t>
      </w:r>
      <w:r w:rsidR="003A382C" w:rsidRPr="003A382C">
        <w:rPr>
          <w:rFonts w:ascii="Arial" w:hAnsi="Arial" w:cs="Arial"/>
          <w:bCs/>
          <w:snapToGrid w:val="0"/>
          <w:sz w:val="24"/>
          <w:szCs w:val="27"/>
        </w:rPr>
        <w:t>, al privar a los trabajadores de disponer en su momento de los recursos acumulados en la referida cuenta para contar con una pensión, máxime que el derecho a ésta es imprescriptible.</w:t>
      </w:r>
    </w:p>
    <w:p w14:paraId="79CCD4B3" w14:textId="5646F67C" w:rsidR="003A382C" w:rsidRDefault="003A382C" w:rsidP="0099777C">
      <w:pPr>
        <w:spacing w:line="360" w:lineRule="auto"/>
        <w:ind w:firstLine="567"/>
        <w:jc w:val="both"/>
        <w:rPr>
          <w:rFonts w:ascii="Arial" w:hAnsi="Arial" w:cs="Arial"/>
          <w:bCs/>
          <w:snapToGrid w:val="0"/>
          <w:sz w:val="24"/>
          <w:szCs w:val="27"/>
        </w:rPr>
      </w:pPr>
      <w:r>
        <w:rPr>
          <w:rFonts w:ascii="Arial" w:hAnsi="Arial" w:cs="Arial"/>
          <w:bCs/>
          <w:snapToGrid w:val="0"/>
          <w:sz w:val="24"/>
          <w:szCs w:val="27"/>
        </w:rPr>
        <w:t>Sirve de sustento a lo anterior por analogía sustancial la jurisprudencia</w:t>
      </w:r>
      <w:r w:rsidR="0099777C">
        <w:rPr>
          <w:rStyle w:val="Refdenotaalpie"/>
          <w:rFonts w:ascii="Arial" w:hAnsi="Arial" w:cs="Arial"/>
          <w:bCs/>
          <w:snapToGrid w:val="0"/>
          <w:sz w:val="24"/>
          <w:szCs w:val="27"/>
        </w:rPr>
        <w:footnoteReference w:id="1"/>
      </w:r>
      <w:r w:rsidR="00FC7EAE" w:rsidRPr="00FC7EAE">
        <w:rPr>
          <w:rFonts w:ascii="Arial" w:hAnsi="Arial" w:cs="Arial"/>
          <w:bCs/>
          <w:snapToGrid w:val="0"/>
          <w:sz w:val="24"/>
          <w:szCs w:val="27"/>
        </w:rPr>
        <w:t xml:space="preserve"> </w:t>
      </w:r>
      <w:r w:rsidR="00FC7EAE">
        <w:rPr>
          <w:rFonts w:ascii="Arial" w:hAnsi="Arial" w:cs="Arial"/>
          <w:bCs/>
          <w:snapToGrid w:val="0"/>
          <w:sz w:val="24"/>
          <w:szCs w:val="27"/>
        </w:rPr>
        <w:t>bajo el rubro y texto siguiente:</w:t>
      </w:r>
      <w:bookmarkStart w:id="0" w:name="_Hlk101992151"/>
    </w:p>
    <w:bookmarkEnd w:id="0"/>
    <w:p w14:paraId="4E5C00E8" w14:textId="3B06F0F2" w:rsidR="003A382C" w:rsidRPr="00F54425" w:rsidRDefault="00F54425" w:rsidP="00F54425">
      <w:pPr>
        <w:ind w:left="567"/>
        <w:jc w:val="both"/>
        <w:rPr>
          <w:rFonts w:ascii="Arial" w:hAnsi="Arial" w:cs="Arial"/>
          <w:bCs/>
          <w:i/>
          <w:snapToGrid w:val="0"/>
          <w:sz w:val="24"/>
          <w:szCs w:val="27"/>
        </w:rPr>
      </w:pPr>
      <w:r>
        <w:rPr>
          <w:rFonts w:ascii="Arial" w:hAnsi="Arial" w:cs="Arial"/>
          <w:b/>
          <w:bCs/>
          <w:i/>
          <w:snapToGrid w:val="0"/>
          <w:sz w:val="24"/>
          <w:szCs w:val="27"/>
        </w:rPr>
        <w:t>“</w:t>
      </w:r>
      <w:r w:rsidR="003A382C" w:rsidRPr="00F54425">
        <w:rPr>
          <w:rFonts w:ascii="Arial" w:hAnsi="Arial" w:cs="Arial"/>
          <w:b/>
          <w:bCs/>
          <w:i/>
          <w:snapToGrid w:val="0"/>
          <w:sz w:val="24"/>
          <w:szCs w:val="27"/>
        </w:rPr>
        <w:t>ISSSTE. EL ARTÍCULO 251 DE LA LEY RELATIVA, AL ESTABLECER UN PLAZO DE DIEZ AÑOS PARA LA PRESCRIPCIÓN DEL DERECHO A RECIBIR LOS RECURSOS DE LA CUENTA INDIVIDUAL DEL TRABAJADOR SIN PRECISAR EL MOMENTO DE SU INICIO, ES VIOLATORIO DE LAS GARANTÍAS DE SEGURIDAD Y CERTEZA JURÍDICA Y SEGURIDAD SOCIAL (LEGISLACIÓN VIGENTE A PARTIR DEL 1o. DE ABRIL DE 2007).</w:t>
      </w:r>
      <w:r w:rsidR="003A382C" w:rsidRPr="00F54425">
        <w:rPr>
          <w:rFonts w:ascii="Arial" w:hAnsi="Arial" w:cs="Arial"/>
          <w:bCs/>
          <w:i/>
          <w:snapToGrid w:val="0"/>
          <w:sz w:val="24"/>
          <w:szCs w:val="27"/>
        </w:rPr>
        <w:t xml:space="preserve"> La Suprema Corte de Justicia de la Nación, en diversos precedentes ha reconocido que los principios de seguridad y certeza jurídica contenidos en los artículos 14 y 16 de la Constitución Política de los Estados Unidos Mexicanos, se respetan por las autoridades legislativas cuando las disposiciones de observancia general que crean, generan certidumbre a sus destinatarios sobre las consecuencias jurídicas de su conducta al ubicarse en cualquier hipótesis que contemple la norma, por lo que, cuando se confiere alguna facultad a una autoridad, estas garantías se cumplen, cuando acotan en la medida necesaria y razonable tal atribución, en forma tal que se impida a la autoridad </w:t>
      </w:r>
      <w:proofErr w:type="spellStart"/>
      <w:r w:rsidR="003A382C" w:rsidRPr="00F54425">
        <w:rPr>
          <w:rFonts w:ascii="Arial" w:hAnsi="Arial" w:cs="Arial"/>
          <w:bCs/>
          <w:i/>
          <w:snapToGrid w:val="0"/>
          <w:sz w:val="24"/>
          <w:szCs w:val="27"/>
        </w:rPr>
        <w:t>aplicadora</w:t>
      </w:r>
      <w:proofErr w:type="spellEnd"/>
      <w:r w:rsidR="003A382C" w:rsidRPr="00F54425">
        <w:rPr>
          <w:rFonts w:ascii="Arial" w:hAnsi="Arial" w:cs="Arial"/>
          <w:bCs/>
          <w:i/>
          <w:snapToGrid w:val="0"/>
          <w:sz w:val="24"/>
          <w:szCs w:val="27"/>
        </w:rPr>
        <w:t xml:space="preserve"> actuar de manera arbitraria o caprichosa. Por su parte, el sistema de cuentas individuales contenido en la Ley del Instituto de Seguridad y Servicios Sociales de los Trabajadores del Estado, tiene como fin brindar certeza jurídica al trabajador sobre los recursos que pagarán su pensión, ya que la cuenta individual es de su propiedad; también se establecen distintas modalidades para que los asegurados puedan retirar los recursos de dicha cuenta individual; sin embargo, el artículo 251 prevé que el derecho a disponer de los mismos prescribirá a favor del Instituto en un plazo de 10 años a partir "de que sean exigibles", contraviniendo los mencionados principios de seguridad y certeza jurídica, al no señalar con precisión el momento en que comenzará a contar dicho plazo prescriptivo, aunado a que no prevé que se dé oportunamente algún aviso al asegurado o a sus beneficiarios, a efecto de evitar que opere la prescripción de su derecho a disponer de los recursos de su cuenta individual, lo que evidencia la incertidumbre jurídica sobre el particular y la violación a la garantía de seguridad social que consagra el artículo 123, Apartado B, fracción XI, constitucional, al privar a los trabajadores de disponer en su momento de los </w:t>
      </w:r>
      <w:r w:rsidR="003A382C" w:rsidRPr="00F54425">
        <w:rPr>
          <w:rFonts w:ascii="Arial" w:hAnsi="Arial" w:cs="Arial"/>
          <w:bCs/>
          <w:i/>
          <w:snapToGrid w:val="0"/>
          <w:sz w:val="24"/>
          <w:szCs w:val="27"/>
        </w:rPr>
        <w:lastRenderedPageBreak/>
        <w:t>recursos acumulados en la referida cuenta para contar con una pensión, máxime que el derecho a ésta es imprescriptible.</w:t>
      </w:r>
      <w:r>
        <w:rPr>
          <w:rFonts w:ascii="Arial" w:hAnsi="Arial" w:cs="Arial"/>
          <w:bCs/>
          <w:i/>
          <w:snapToGrid w:val="0"/>
          <w:sz w:val="24"/>
          <w:szCs w:val="27"/>
        </w:rPr>
        <w:t>”</w:t>
      </w:r>
    </w:p>
    <w:p w14:paraId="4666225F" w14:textId="2E55765A" w:rsidR="003A382C" w:rsidRDefault="003A382C" w:rsidP="003A382C">
      <w:pPr>
        <w:spacing w:line="360" w:lineRule="auto"/>
        <w:ind w:firstLine="567"/>
        <w:jc w:val="both"/>
        <w:rPr>
          <w:rFonts w:ascii="Arial" w:hAnsi="Arial" w:cs="Arial"/>
          <w:bCs/>
          <w:snapToGrid w:val="0"/>
          <w:sz w:val="24"/>
          <w:szCs w:val="27"/>
        </w:rPr>
      </w:pPr>
      <w:r>
        <w:rPr>
          <w:rFonts w:ascii="Arial" w:hAnsi="Arial" w:cs="Arial"/>
          <w:bCs/>
          <w:snapToGrid w:val="0"/>
          <w:sz w:val="24"/>
          <w:szCs w:val="27"/>
        </w:rPr>
        <w:t>En tales consideraciones</w:t>
      </w:r>
      <w:r w:rsidR="002352A6">
        <w:rPr>
          <w:rFonts w:ascii="Arial" w:hAnsi="Arial" w:cs="Arial"/>
          <w:bCs/>
          <w:snapToGrid w:val="0"/>
          <w:sz w:val="24"/>
          <w:szCs w:val="27"/>
        </w:rPr>
        <w:t>,</w:t>
      </w:r>
      <w:r w:rsidR="005C3C52">
        <w:rPr>
          <w:rFonts w:ascii="Arial" w:hAnsi="Arial" w:cs="Arial"/>
          <w:bCs/>
          <w:snapToGrid w:val="0"/>
          <w:sz w:val="24"/>
          <w:szCs w:val="27"/>
        </w:rPr>
        <w:t xml:space="preserve"> </w:t>
      </w:r>
      <w:r w:rsidR="00A90874">
        <w:rPr>
          <w:rFonts w:ascii="Arial" w:hAnsi="Arial" w:cs="Arial"/>
          <w:bCs/>
          <w:snapToGrid w:val="0"/>
          <w:sz w:val="24"/>
          <w:szCs w:val="27"/>
        </w:rPr>
        <w:t xml:space="preserve">resulta incorrecto lo asentado por la autoridad demandada en el oficio controvertido, por lo </w:t>
      </w:r>
      <w:proofErr w:type="gramStart"/>
      <w:r w:rsidR="00A90874">
        <w:rPr>
          <w:rFonts w:ascii="Arial" w:hAnsi="Arial" w:cs="Arial"/>
          <w:bCs/>
          <w:snapToGrid w:val="0"/>
          <w:sz w:val="24"/>
          <w:szCs w:val="27"/>
        </w:rPr>
        <w:t>que</w:t>
      </w:r>
      <w:proofErr w:type="gramEnd"/>
      <w:r w:rsidR="00A90874">
        <w:rPr>
          <w:rFonts w:ascii="Arial" w:hAnsi="Arial" w:cs="Arial"/>
          <w:bCs/>
          <w:snapToGrid w:val="0"/>
          <w:sz w:val="24"/>
          <w:szCs w:val="27"/>
        </w:rPr>
        <w:t xml:space="preserve"> a efecto de restituir al </w:t>
      </w:r>
      <w:r w:rsidR="000C74C4">
        <w:rPr>
          <w:rFonts w:ascii="Arial" w:hAnsi="Arial" w:cs="Arial"/>
          <w:bCs/>
          <w:snapToGrid w:val="0"/>
          <w:sz w:val="24"/>
          <w:szCs w:val="27"/>
        </w:rPr>
        <w:t>administrado en sus derechos vulnerados</w:t>
      </w:r>
      <w:r w:rsidR="002352A6">
        <w:rPr>
          <w:rFonts w:ascii="Arial" w:hAnsi="Arial" w:cs="Arial"/>
          <w:bCs/>
          <w:snapToGrid w:val="0"/>
          <w:sz w:val="24"/>
          <w:szCs w:val="27"/>
        </w:rPr>
        <w:t>,</w:t>
      </w:r>
      <w:r w:rsidR="000C74C4">
        <w:rPr>
          <w:rFonts w:ascii="Arial" w:hAnsi="Arial" w:cs="Arial"/>
          <w:bCs/>
          <w:snapToGrid w:val="0"/>
          <w:sz w:val="24"/>
          <w:szCs w:val="27"/>
        </w:rPr>
        <w:t xml:space="preserve"> lo procedente es otorgar la devolución de las</w:t>
      </w:r>
      <w:r w:rsidR="002352A6">
        <w:rPr>
          <w:rFonts w:ascii="Arial" w:hAnsi="Arial" w:cs="Arial"/>
          <w:bCs/>
          <w:snapToGrid w:val="0"/>
          <w:sz w:val="24"/>
          <w:szCs w:val="27"/>
        </w:rPr>
        <w:t xml:space="preserve"> cuotas</w:t>
      </w:r>
      <w:r w:rsidR="000C74C4">
        <w:rPr>
          <w:rFonts w:ascii="Arial" w:hAnsi="Arial" w:cs="Arial"/>
          <w:bCs/>
          <w:snapToGrid w:val="0"/>
          <w:sz w:val="24"/>
          <w:szCs w:val="27"/>
        </w:rPr>
        <w:t xml:space="preserve"> aporta</w:t>
      </w:r>
      <w:r w:rsidR="002352A6">
        <w:rPr>
          <w:rFonts w:ascii="Arial" w:hAnsi="Arial" w:cs="Arial"/>
          <w:bCs/>
          <w:snapToGrid w:val="0"/>
          <w:sz w:val="24"/>
          <w:szCs w:val="27"/>
        </w:rPr>
        <w:t xml:space="preserve">das </w:t>
      </w:r>
      <w:r w:rsidR="000C74C4">
        <w:rPr>
          <w:rFonts w:ascii="Arial" w:hAnsi="Arial" w:cs="Arial"/>
          <w:bCs/>
          <w:snapToGrid w:val="0"/>
          <w:sz w:val="24"/>
          <w:szCs w:val="27"/>
        </w:rPr>
        <w:t>al Fondo de Pensiones.</w:t>
      </w:r>
    </w:p>
    <w:p w14:paraId="7DA5022E" w14:textId="08C7C3C7" w:rsidR="00F2683E" w:rsidRPr="00F2683E" w:rsidRDefault="00D573CC"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Derivado de lo anterior, </w:t>
      </w:r>
      <w:r w:rsidR="00F2683E" w:rsidRPr="00F2683E">
        <w:rPr>
          <w:rFonts w:ascii="Arial" w:hAnsi="Arial" w:cs="Arial"/>
          <w:bCs/>
          <w:snapToGrid w:val="0"/>
          <w:sz w:val="24"/>
          <w:szCs w:val="27"/>
        </w:rPr>
        <w:t xml:space="preserve">el artículo </w:t>
      </w:r>
      <w:bookmarkStart w:id="1" w:name="_Hlk101992796"/>
      <w:r w:rsidR="00F2683E" w:rsidRPr="00F2683E">
        <w:rPr>
          <w:rFonts w:ascii="Arial" w:hAnsi="Arial" w:cs="Arial"/>
          <w:bCs/>
          <w:snapToGrid w:val="0"/>
          <w:sz w:val="24"/>
          <w:szCs w:val="27"/>
        </w:rPr>
        <w:t>4º</w:t>
      </w:r>
      <w:bookmarkEnd w:id="1"/>
      <w:r w:rsidR="00F2683E" w:rsidRPr="00F2683E">
        <w:rPr>
          <w:rFonts w:ascii="Arial" w:hAnsi="Arial" w:cs="Arial"/>
          <w:bCs/>
          <w:snapToGrid w:val="0"/>
          <w:sz w:val="24"/>
          <w:szCs w:val="27"/>
        </w:rPr>
        <w:t xml:space="preserve"> de la Ley de Pensiones para los Trabajadores del Gobierno del Estado de Oaxaca, invocado por la autoridad demandada, se advierte que ésta hizo una mala interpretación del mismo, ya que el espíritu del legislador no fue la de diferenciar los derechos de un trabajador de base y un trabajador de confianza, el cual para tener una m</w:t>
      </w:r>
      <w:r w:rsidR="0044699F">
        <w:rPr>
          <w:rFonts w:ascii="Arial" w:hAnsi="Arial" w:cs="Arial"/>
          <w:bCs/>
          <w:snapToGrid w:val="0"/>
          <w:sz w:val="24"/>
          <w:szCs w:val="27"/>
        </w:rPr>
        <w:t>ayor comprensión se transcribe:</w:t>
      </w:r>
      <w:r w:rsidR="00F2683E" w:rsidRPr="00F2683E">
        <w:rPr>
          <w:rFonts w:ascii="Arial" w:hAnsi="Arial" w:cs="Arial"/>
          <w:bCs/>
          <w:snapToGrid w:val="0"/>
          <w:sz w:val="24"/>
          <w:szCs w:val="27"/>
        </w:rPr>
        <w:t xml:space="preserve"> </w:t>
      </w:r>
    </w:p>
    <w:p w14:paraId="3E51A68E" w14:textId="7990BD32" w:rsidR="00F2683E" w:rsidRPr="0044699F" w:rsidRDefault="00683284" w:rsidP="008275D7">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44699F">
        <w:rPr>
          <w:rFonts w:ascii="Arial" w:hAnsi="Arial" w:cs="Arial"/>
          <w:b/>
          <w:bCs/>
          <w:i/>
          <w:snapToGrid w:val="0"/>
          <w:sz w:val="24"/>
          <w:szCs w:val="27"/>
        </w:rPr>
        <w:t>ARTÍCULO 4.-</w:t>
      </w:r>
      <w:r w:rsidR="00F2683E" w:rsidRPr="0044699F">
        <w:rPr>
          <w:rFonts w:ascii="Arial" w:hAnsi="Arial" w:cs="Arial"/>
          <w:bCs/>
          <w:i/>
          <w:snapToGrid w:val="0"/>
          <w:sz w:val="24"/>
          <w:szCs w:val="27"/>
        </w:rPr>
        <w:t xml:space="preserve"> Para los efectos de esta Ley los derechos entre los trabajadores de confianza y de base se adecuarán a lo que especifica la propia ley.</w:t>
      </w:r>
      <w:r>
        <w:rPr>
          <w:rFonts w:ascii="Arial" w:hAnsi="Arial" w:cs="Arial"/>
          <w:bCs/>
          <w:i/>
          <w:snapToGrid w:val="0"/>
          <w:sz w:val="24"/>
          <w:szCs w:val="27"/>
        </w:rPr>
        <w:t>”</w:t>
      </w:r>
    </w:p>
    <w:p w14:paraId="5D6F7B90" w14:textId="2D298BC4"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De lo anterior, se deduce que la palabra adecuarán significa que el derecho de los mismos se aplicará e igualará a los supuestos normativos en que cada uno de ellos se encuentren en un momento determinado y no a la diferenciación de un estatus de trabajador, tomando en cuenta que la palabra adecuar, es un verbo transitivo activo que etimológicamente proviene del latín </w:t>
      </w:r>
      <w:r w:rsidRPr="00311CB2">
        <w:rPr>
          <w:rFonts w:ascii="Arial" w:hAnsi="Arial" w:cs="Arial"/>
          <w:bCs/>
          <w:i/>
          <w:snapToGrid w:val="0"/>
          <w:sz w:val="24"/>
          <w:szCs w:val="27"/>
        </w:rPr>
        <w:t>“</w:t>
      </w:r>
      <w:proofErr w:type="spellStart"/>
      <w:r w:rsidRPr="00311CB2">
        <w:rPr>
          <w:rFonts w:ascii="Arial" w:hAnsi="Arial" w:cs="Arial"/>
          <w:bCs/>
          <w:i/>
          <w:snapToGrid w:val="0"/>
          <w:sz w:val="24"/>
          <w:szCs w:val="27"/>
        </w:rPr>
        <w:t>adaequare</w:t>
      </w:r>
      <w:proofErr w:type="spellEnd"/>
      <w:r w:rsidRPr="00311CB2">
        <w:rPr>
          <w:rFonts w:ascii="Arial" w:hAnsi="Arial" w:cs="Arial"/>
          <w:bCs/>
          <w:i/>
          <w:snapToGrid w:val="0"/>
          <w:sz w:val="24"/>
          <w:szCs w:val="27"/>
        </w:rPr>
        <w:t>”</w:t>
      </w:r>
      <w:r w:rsidRPr="00F2683E">
        <w:rPr>
          <w:rFonts w:ascii="Arial" w:hAnsi="Arial" w:cs="Arial"/>
          <w:bCs/>
          <w:snapToGrid w:val="0"/>
          <w:sz w:val="24"/>
          <w:szCs w:val="27"/>
        </w:rPr>
        <w:t xml:space="preserve"> que significa igualar de una cosa a otra, compuesto del prefijo </w:t>
      </w:r>
      <w:r w:rsidRPr="00311CB2">
        <w:rPr>
          <w:rFonts w:ascii="Arial" w:hAnsi="Arial" w:cs="Arial"/>
          <w:bCs/>
          <w:i/>
          <w:snapToGrid w:val="0"/>
          <w:sz w:val="24"/>
          <w:szCs w:val="27"/>
        </w:rPr>
        <w:t>“ad”</w:t>
      </w:r>
      <w:r w:rsidRPr="00F2683E">
        <w:rPr>
          <w:rFonts w:ascii="Arial" w:hAnsi="Arial" w:cs="Arial"/>
          <w:bCs/>
          <w:snapToGrid w:val="0"/>
          <w:sz w:val="24"/>
          <w:szCs w:val="27"/>
        </w:rPr>
        <w:t xml:space="preserve"> y de </w:t>
      </w:r>
      <w:r w:rsidRPr="00311CB2">
        <w:rPr>
          <w:rFonts w:ascii="Arial" w:hAnsi="Arial" w:cs="Arial"/>
          <w:bCs/>
          <w:i/>
          <w:snapToGrid w:val="0"/>
          <w:sz w:val="24"/>
          <w:szCs w:val="27"/>
        </w:rPr>
        <w:t>“</w:t>
      </w:r>
      <w:proofErr w:type="spellStart"/>
      <w:r w:rsidRPr="00311CB2">
        <w:rPr>
          <w:rFonts w:ascii="Arial" w:hAnsi="Arial" w:cs="Arial"/>
          <w:bCs/>
          <w:i/>
          <w:snapToGrid w:val="0"/>
          <w:sz w:val="24"/>
          <w:szCs w:val="27"/>
        </w:rPr>
        <w:t>aequare</w:t>
      </w:r>
      <w:proofErr w:type="spellEnd"/>
      <w:r w:rsidR="002352A6">
        <w:rPr>
          <w:rFonts w:ascii="Arial" w:hAnsi="Arial" w:cs="Arial"/>
          <w:bCs/>
          <w:i/>
          <w:snapToGrid w:val="0"/>
          <w:sz w:val="24"/>
          <w:szCs w:val="27"/>
        </w:rPr>
        <w:t>”,</w:t>
      </w:r>
      <w:r w:rsidRPr="00F2683E">
        <w:rPr>
          <w:rFonts w:ascii="Arial" w:hAnsi="Arial" w:cs="Arial"/>
          <w:bCs/>
          <w:snapToGrid w:val="0"/>
          <w:sz w:val="24"/>
          <w:szCs w:val="27"/>
        </w:rPr>
        <w:t xml:space="preserve"> igual cuya definición es acomodar, acoplar, adaptar, habituar, e igualar, por tanto se tiene que la autoridad al motivar su actuar hace una mala interpretación del precepto aludido. </w:t>
      </w:r>
    </w:p>
    <w:p w14:paraId="511BC172" w14:textId="5BE1C6FA" w:rsidR="00ED7C96" w:rsidRDefault="00F2683E" w:rsidP="00ED7C96">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En consecuencia, lo dispuesto por el artículo</w:t>
      </w:r>
      <w:r w:rsidR="002352A6">
        <w:rPr>
          <w:rFonts w:ascii="Arial" w:hAnsi="Arial" w:cs="Arial"/>
          <w:bCs/>
          <w:snapToGrid w:val="0"/>
          <w:sz w:val="24"/>
          <w:szCs w:val="27"/>
        </w:rPr>
        <w:t xml:space="preserve"> </w:t>
      </w:r>
      <w:r w:rsidR="002352A6" w:rsidRPr="00F2683E">
        <w:rPr>
          <w:rFonts w:ascii="Arial" w:hAnsi="Arial" w:cs="Arial"/>
          <w:bCs/>
          <w:snapToGrid w:val="0"/>
          <w:sz w:val="24"/>
          <w:szCs w:val="27"/>
        </w:rPr>
        <w:t>4º</w:t>
      </w:r>
      <w:r w:rsidRPr="00F2683E">
        <w:rPr>
          <w:rFonts w:ascii="Arial" w:hAnsi="Arial" w:cs="Arial"/>
          <w:bCs/>
          <w:snapToGrid w:val="0"/>
          <w:sz w:val="24"/>
          <w:szCs w:val="27"/>
        </w:rPr>
        <w:t xml:space="preserve"> del ordenamiento invocado, involucra tanto a los trabajadores de base como a los trabajadores de confianza, resultando que el contenido del oficio impugnado es violatorio de garantías individuales consagradas por los artículos 1º, 14 y 16 de la Constitución Política de los Estados Unidos Mexicanos, al mencionar que todas las personas gozarán de los derechos humanos reconocidos por ella, por lo que esta autoridad pasa por alto lo dispuesto en Nuestra Carta Magna, al soslayar el derecho establecido en la Ley, situación que se vincula con la contestación de demanda, ya que la autoridad manifiesta que en la Ley de Pensiones para los Trabajadores del Gobierno del Estado de Oaxaca, no existe precepto legal o figura jurídica que establezca expresamente que sean devueltas las aportaciones hechas al </w:t>
      </w:r>
      <w:r w:rsidR="00E6638B">
        <w:rPr>
          <w:rFonts w:ascii="Arial" w:hAnsi="Arial" w:cs="Arial"/>
          <w:bCs/>
          <w:snapToGrid w:val="0"/>
          <w:sz w:val="24"/>
          <w:szCs w:val="27"/>
        </w:rPr>
        <w:t>F</w:t>
      </w:r>
      <w:r w:rsidRPr="00F2683E">
        <w:rPr>
          <w:rFonts w:ascii="Arial" w:hAnsi="Arial" w:cs="Arial"/>
          <w:bCs/>
          <w:snapToGrid w:val="0"/>
          <w:sz w:val="24"/>
          <w:szCs w:val="27"/>
        </w:rPr>
        <w:t xml:space="preserve">ondo de </w:t>
      </w:r>
      <w:r w:rsidR="00E6638B">
        <w:rPr>
          <w:rFonts w:ascii="Arial" w:hAnsi="Arial" w:cs="Arial"/>
          <w:bCs/>
          <w:snapToGrid w:val="0"/>
          <w:sz w:val="24"/>
          <w:szCs w:val="27"/>
        </w:rPr>
        <w:t>P</w:t>
      </w:r>
      <w:r w:rsidRPr="00F2683E">
        <w:rPr>
          <w:rFonts w:ascii="Arial" w:hAnsi="Arial" w:cs="Arial"/>
          <w:bCs/>
          <w:snapToGrid w:val="0"/>
          <w:sz w:val="24"/>
          <w:szCs w:val="27"/>
        </w:rPr>
        <w:t>ensiones</w:t>
      </w:r>
      <w:r w:rsidR="00E6638B">
        <w:rPr>
          <w:rFonts w:ascii="Arial" w:hAnsi="Arial" w:cs="Arial"/>
          <w:bCs/>
          <w:snapToGrid w:val="0"/>
          <w:sz w:val="24"/>
          <w:szCs w:val="27"/>
        </w:rPr>
        <w:t>,</w:t>
      </w:r>
      <w:r w:rsidRPr="00F2683E">
        <w:rPr>
          <w:rFonts w:ascii="Arial" w:hAnsi="Arial" w:cs="Arial"/>
          <w:bCs/>
          <w:snapToGrid w:val="0"/>
          <w:sz w:val="24"/>
          <w:szCs w:val="27"/>
        </w:rPr>
        <w:t xml:space="preserve"> mientras tuvo el carácter de trabajador con nombramiento de empleado de confianza del Gobierno del Est</w:t>
      </w:r>
      <w:r w:rsidR="00124C47">
        <w:rPr>
          <w:rFonts w:ascii="Arial" w:hAnsi="Arial" w:cs="Arial"/>
          <w:bCs/>
          <w:snapToGrid w:val="0"/>
          <w:sz w:val="24"/>
          <w:szCs w:val="27"/>
        </w:rPr>
        <w:t>ado Libre y Soberano de Oaxaca.</w:t>
      </w:r>
      <w:r w:rsidR="00ED7C96">
        <w:rPr>
          <w:rFonts w:ascii="Arial" w:hAnsi="Arial" w:cs="Arial"/>
          <w:bCs/>
          <w:snapToGrid w:val="0"/>
          <w:sz w:val="24"/>
          <w:szCs w:val="27"/>
        </w:rPr>
        <w:t xml:space="preserve"> </w:t>
      </w:r>
    </w:p>
    <w:p w14:paraId="037884BF" w14:textId="1987C701" w:rsidR="00F2683E" w:rsidRPr="00F2683E" w:rsidRDefault="00F2683E" w:rsidP="00ED7C96">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Por lo que, al hacer una aplicación difusa del control de constitucionalidad facultado a esta autoridad jurisdiccional, se advierte que dicho acto resulta ser discriminatorio del derecho humano de igualdad laboral consagrado en el artículo </w:t>
      </w:r>
      <w:r w:rsidRPr="00F2683E">
        <w:rPr>
          <w:rFonts w:ascii="Arial" w:hAnsi="Arial" w:cs="Arial"/>
          <w:bCs/>
          <w:snapToGrid w:val="0"/>
          <w:sz w:val="24"/>
          <w:szCs w:val="27"/>
        </w:rPr>
        <w:lastRenderedPageBreak/>
        <w:t xml:space="preserve">123, apartado B, fracción V de la Constitución Política de los Estados Unidos Mexicanos y en el artículo 23 de la Declaración Universal de los Derechos Humanos, toda vez que dichos ordenamientos tutelan el trato igualitario que se les dará a los trabajadores, </w:t>
      </w:r>
      <w:r w:rsidR="000C74C4">
        <w:rPr>
          <w:rFonts w:ascii="Arial" w:hAnsi="Arial" w:cs="Arial"/>
          <w:bCs/>
          <w:snapToGrid w:val="0"/>
          <w:sz w:val="24"/>
          <w:szCs w:val="27"/>
        </w:rPr>
        <w:t>sin que exista</w:t>
      </w:r>
      <w:r w:rsidRPr="00F2683E">
        <w:rPr>
          <w:rFonts w:ascii="Arial" w:hAnsi="Arial" w:cs="Arial"/>
          <w:bCs/>
          <w:snapToGrid w:val="0"/>
          <w:sz w:val="24"/>
          <w:szCs w:val="27"/>
        </w:rPr>
        <w:t xml:space="preserve"> distinción entre los trabajadores de confianza y de base, no pasa desapercibido que el artículo 64 de la Ley de Pensiones para los Trabajadores del Gobierno del Estad</w:t>
      </w:r>
      <w:r w:rsidR="00ED7C96">
        <w:rPr>
          <w:rFonts w:ascii="Arial" w:hAnsi="Arial" w:cs="Arial"/>
          <w:bCs/>
          <w:snapToGrid w:val="0"/>
          <w:sz w:val="24"/>
          <w:szCs w:val="27"/>
        </w:rPr>
        <w:t>o de Oaxaca, dice lo siguiente:</w:t>
      </w:r>
      <w:r w:rsidRPr="00F2683E">
        <w:rPr>
          <w:rFonts w:ascii="Arial" w:hAnsi="Arial" w:cs="Arial"/>
          <w:bCs/>
          <w:snapToGrid w:val="0"/>
          <w:sz w:val="24"/>
          <w:szCs w:val="27"/>
        </w:rPr>
        <w:t xml:space="preserve"> </w:t>
      </w:r>
    </w:p>
    <w:p w14:paraId="41895194" w14:textId="409255D3" w:rsidR="00F2683E" w:rsidRPr="00ED7C96" w:rsidRDefault="00AC4DE8" w:rsidP="008275D7">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ED7C96">
        <w:rPr>
          <w:rFonts w:ascii="Arial" w:hAnsi="Arial" w:cs="Arial"/>
          <w:b/>
          <w:bCs/>
          <w:i/>
          <w:snapToGrid w:val="0"/>
          <w:sz w:val="24"/>
          <w:szCs w:val="27"/>
        </w:rPr>
        <w:t>ARTÍCULO 64.-</w:t>
      </w:r>
      <w:r w:rsidR="00F2683E" w:rsidRPr="00ED7C96">
        <w:rPr>
          <w:rFonts w:ascii="Arial" w:hAnsi="Arial" w:cs="Arial"/>
          <w:bCs/>
          <w:i/>
          <w:snapToGrid w:val="0"/>
          <w:sz w:val="24"/>
          <w:szCs w:val="27"/>
        </w:rPr>
        <w:t xml:space="preserve">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14:paraId="4C0B6B77" w14:textId="0B9864D8" w:rsidR="00F2683E" w:rsidRPr="00ED7C96" w:rsidRDefault="00F2683E" w:rsidP="008275D7">
      <w:pPr>
        <w:ind w:left="567" w:right="48"/>
        <w:jc w:val="both"/>
        <w:rPr>
          <w:rFonts w:ascii="Arial" w:hAnsi="Arial" w:cs="Arial"/>
          <w:bCs/>
          <w:i/>
          <w:snapToGrid w:val="0"/>
          <w:sz w:val="24"/>
          <w:szCs w:val="27"/>
        </w:rPr>
      </w:pPr>
      <w:r w:rsidRPr="00ED7C96">
        <w:rPr>
          <w:rFonts w:ascii="Arial" w:hAnsi="Arial" w:cs="Arial"/>
          <w:bCs/>
          <w:i/>
          <w:snapToGrid w:val="0"/>
          <w:sz w:val="24"/>
          <w:szCs w:val="27"/>
        </w:rPr>
        <w:t>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w:t>
      </w:r>
      <w:r w:rsidR="00AC4DE8">
        <w:rPr>
          <w:rFonts w:ascii="Arial" w:hAnsi="Arial" w:cs="Arial"/>
          <w:bCs/>
          <w:i/>
          <w:snapToGrid w:val="0"/>
          <w:sz w:val="24"/>
          <w:szCs w:val="27"/>
        </w:rPr>
        <w:t>”</w:t>
      </w:r>
    </w:p>
    <w:p w14:paraId="6D267FC1" w14:textId="36953AFC"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Lo anterior, se traduce en el caso que el trabajador de base no tenga derecho a una pensión, se le devolverán los descuentos hechos para el Fondo de Pensiones, y como se mencionó en líneas anteriores, la autoridad demandada vulnera el derecho de igual</w:t>
      </w:r>
      <w:r w:rsidR="00C5474C">
        <w:rPr>
          <w:rFonts w:ascii="Arial" w:hAnsi="Arial" w:cs="Arial"/>
          <w:bCs/>
          <w:snapToGrid w:val="0"/>
          <w:sz w:val="24"/>
          <w:szCs w:val="27"/>
        </w:rPr>
        <w:t>dad</w:t>
      </w:r>
      <w:r w:rsidRPr="00F2683E">
        <w:rPr>
          <w:rFonts w:ascii="Arial" w:hAnsi="Arial" w:cs="Arial"/>
          <w:bCs/>
          <w:snapToGrid w:val="0"/>
          <w:sz w:val="24"/>
          <w:szCs w:val="27"/>
        </w:rPr>
        <w:t xml:space="preserve"> laboral, ya que</w:t>
      </w:r>
      <w:r w:rsidR="00C5474C">
        <w:rPr>
          <w:rFonts w:ascii="Arial" w:hAnsi="Arial" w:cs="Arial"/>
          <w:bCs/>
          <w:snapToGrid w:val="0"/>
          <w:sz w:val="24"/>
          <w:szCs w:val="27"/>
        </w:rPr>
        <w:t xml:space="preserve"> </w:t>
      </w:r>
      <w:r w:rsidRPr="00F2683E">
        <w:rPr>
          <w:rFonts w:ascii="Arial" w:hAnsi="Arial" w:cs="Arial"/>
          <w:bCs/>
          <w:snapToGrid w:val="0"/>
          <w:sz w:val="24"/>
          <w:szCs w:val="27"/>
        </w:rPr>
        <w:t>el actor al haber laborado como personal de confianza, también se le realizaron los descuentos, sin que exista disposición expresa en la que se diga que al actor al haber laborado como personal de confianza vaya recibir una pensión</w:t>
      </w:r>
      <w:r w:rsidR="00585EFB">
        <w:rPr>
          <w:rFonts w:ascii="Arial" w:hAnsi="Arial" w:cs="Arial"/>
          <w:bCs/>
          <w:snapToGrid w:val="0"/>
          <w:sz w:val="24"/>
          <w:szCs w:val="27"/>
        </w:rPr>
        <w:t>;</w:t>
      </w:r>
      <w:r w:rsidRPr="00F2683E">
        <w:rPr>
          <w:rFonts w:ascii="Arial" w:hAnsi="Arial" w:cs="Arial"/>
          <w:bCs/>
          <w:snapToGrid w:val="0"/>
          <w:sz w:val="24"/>
          <w:szCs w:val="27"/>
        </w:rPr>
        <w:t xml:space="preserve"> en ese tenor, haciendo una interpretación armónica y respetando el principio de progresividad de los derechos humanos, resulta coherente pensar que un trabajador de confianza por su especial naturaleza tampoco tendrá derecho a una pensión o en su caso renunciar a ella, por lo que es igualmente aplicable la regla estipulada en el artículo transcrito anteriormente, y por ende, a que se le devuelvan las aportaciones</w:t>
      </w:r>
      <w:r w:rsidR="002302BA">
        <w:rPr>
          <w:rFonts w:ascii="Arial" w:hAnsi="Arial" w:cs="Arial"/>
          <w:bCs/>
          <w:snapToGrid w:val="0"/>
          <w:sz w:val="24"/>
          <w:szCs w:val="27"/>
        </w:rPr>
        <w:t xml:space="preserve"> hechas al Fondo de Pensiones.</w:t>
      </w:r>
    </w:p>
    <w:p w14:paraId="32C1113C" w14:textId="77777777" w:rsidR="00585EFB" w:rsidRDefault="002302BA"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En consecuencia,</w:t>
      </w:r>
      <w:r w:rsidR="00F2683E" w:rsidRPr="00F2683E">
        <w:rPr>
          <w:rFonts w:ascii="Arial" w:hAnsi="Arial" w:cs="Arial"/>
          <w:bCs/>
          <w:snapToGrid w:val="0"/>
          <w:sz w:val="24"/>
          <w:szCs w:val="27"/>
        </w:rPr>
        <w:t xml:space="preserve"> en atención a</w:t>
      </w:r>
      <w:r w:rsidR="00585EFB">
        <w:rPr>
          <w:rFonts w:ascii="Arial" w:hAnsi="Arial" w:cs="Arial"/>
          <w:bCs/>
          <w:snapToGrid w:val="0"/>
          <w:sz w:val="24"/>
          <w:szCs w:val="27"/>
        </w:rPr>
        <w:t xml:space="preserve"> </w:t>
      </w:r>
      <w:r w:rsidR="00F2683E" w:rsidRPr="00F2683E">
        <w:rPr>
          <w:rFonts w:ascii="Arial" w:hAnsi="Arial" w:cs="Arial"/>
          <w:bCs/>
          <w:snapToGrid w:val="0"/>
          <w:sz w:val="24"/>
          <w:szCs w:val="27"/>
        </w:rPr>
        <w:t>l</w:t>
      </w:r>
      <w:r w:rsidR="00585EFB">
        <w:rPr>
          <w:rFonts w:ascii="Arial" w:hAnsi="Arial" w:cs="Arial"/>
          <w:bCs/>
          <w:snapToGrid w:val="0"/>
          <w:sz w:val="24"/>
          <w:szCs w:val="27"/>
        </w:rPr>
        <w:t>os</w:t>
      </w:r>
      <w:r w:rsidR="00F2683E" w:rsidRPr="00F2683E">
        <w:rPr>
          <w:rFonts w:ascii="Arial" w:hAnsi="Arial" w:cs="Arial"/>
          <w:bCs/>
          <w:snapToGrid w:val="0"/>
          <w:sz w:val="24"/>
          <w:szCs w:val="27"/>
        </w:rPr>
        <w:t xml:space="preserve"> principio</w:t>
      </w:r>
      <w:r w:rsidR="00585EFB">
        <w:rPr>
          <w:rFonts w:ascii="Arial" w:hAnsi="Arial" w:cs="Arial"/>
          <w:bCs/>
          <w:snapToGrid w:val="0"/>
          <w:sz w:val="24"/>
          <w:szCs w:val="27"/>
        </w:rPr>
        <w:t>s</w:t>
      </w:r>
      <w:r w:rsidR="00F2683E" w:rsidRPr="00F2683E">
        <w:rPr>
          <w:rFonts w:ascii="Arial" w:hAnsi="Arial" w:cs="Arial"/>
          <w:bCs/>
          <w:snapToGrid w:val="0"/>
          <w:sz w:val="24"/>
          <w:szCs w:val="27"/>
        </w:rPr>
        <w:t xml:space="preserve"> </w:t>
      </w:r>
      <w:r w:rsidR="00F2683E" w:rsidRPr="002302BA">
        <w:rPr>
          <w:rFonts w:ascii="Arial" w:hAnsi="Arial" w:cs="Arial"/>
          <w:bCs/>
          <w:i/>
          <w:snapToGrid w:val="0"/>
          <w:sz w:val="24"/>
          <w:szCs w:val="27"/>
        </w:rPr>
        <w:t xml:space="preserve">pro </w:t>
      </w:r>
      <w:proofErr w:type="spellStart"/>
      <w:r w:rsidR="00F2683E" w:rsidRPr="002302BA">
        <w:rPr>
          <w:rFonts w:ascii="Arial" w:hAnsi="Arial" w:cs="Arial"/>
          <w:bCs/>
          <w:i/>
          <w:snapToGrid w:val="0"/>
          <w:sz w:val="24"/>
          <w:szCs w:val="27"/>
        </w:rPr>
        <w:t>personae</w:t>
      </w:r>
      <w:proofErr w:type="spellEnd"/>
      <w:r w:rsidR="00F2683E" w:rsidRPr="00F2683E">
        <w:rPr>
          <w:rFonts w:ascii="Arial" w:hAnsi="Arial" w:cs="Arial"/>
          <w:bCs/>
          <w:snapToGrid w:val="0"/>
          <w:sz w:val="24"/>
          <w:szCs w:val="27"/>
        </w:rPr>
        <w:t xml:space="preserve"> y de igualdad laboral, previsto en el artículo 1° de la Constitución Política de los Estados Unidos Mexicanos, así como en el Convenio 169 de la Organización Internacional del Trabajo, firmado y ratificado por el Estado Mexicano, debe maximizar</w:t>
      </w:r>
      <w:r w:rsidR="00585EFB">
        <w:rPr>
          <w:rFonts w:ascii="Arial" w:hAnsi="Arial" w:cs="Arial"/>
          <w:bCs/>
          <w:snapToGrid w:val="0"/>
          <w:sz w:val="24"/>
          <w:szCs w:val="27"/>
        </w:rPr>
        <w:t>se</w:t>
      </w:r>
      <w:r w:rsidR="00F2683E" w:rsidRPr="00F2683E">
        <w:rPr>
          <w:rFonts w:ascii="Arial" w:hAnsi="Arial" w:cs="Arial"/>
          <w:bCs/>
          <w:snapToGrid w:val="0"/>
          <w:sz w:val="24"/>
          <w:szCs w:val="27"/>
        </w:rPr>
        <w:t xml:space="preserve"> el ejercicio de los derechos fundamentales</w:t>
      </w:r>
      <w:r w:rsidR="00585EFB">
        <w:rPr>
          <w:rFonts w:ascii="Arial" w:hAnsi="Arial" w:cs="Arial"/>
          <w:bCs/>
          <w:snapToGrid w:val="0"/>
          <w:sz w:val="24"/>
          <w:szCs w:val="27"/>
        </w:rPr>
        <w:t xml:space="preserve"> </w:t>
      </w:r>
      <w:r w:rsidR="00F2683E" w:rsidRPr="00F2683E">
        <w:rPr>
          <w:rFonts w:ascii="Arial" w:hAnsi="Arial" w:cs="Arial"/>
          <w:bCs/>
          <w:snapToGrid w:val="0"/>
          <w:sz w:val="24"/>
          <w:szCs w:val="27"/>
        </w:rPr>
        <w:t>del</w:t>
      </w:r>
      <w:r w:rsidR="00585EFB">
        <w:rPr>
          <w:rFonts w:ascii="Arial" w:hAnsi="Arial" w:cs="Arial"/>
          <w:bCs/>
          <w:snapToGrid w:val="0"/>
          <w:sz w:val="24"/>
          <w:szCs w:val="27"/>
        </w:rPr>
        <w:t xml:space="preserve"> </w:t>
      </w:r>
      <w:r w:rsidR="00F2683E" w:rsidRPr="00F2683E">
        <w:rPr>
          <w:rFonts w:ascii="Arial" w:hAnsi="Arial" w:cs="Arial"/>
          <w:bCs/>
          <w:snapToGrid w:val="0"/>
          <w:sz w:val="24"/>
          <w:szCs w:val="27"/>
        </w:rPr>
        <w:t>administrado, en el sentido de aplicar la interpretación de la norma que busque el mayor beneficio de las personas, aunado a que</w:t>
      </w:r>
      <w:r w:rsidR="00585EFB">
        <w:rPr>
          <w:rFonts w:ascii="Arial" w:hAnsi="Arial" w:cs="Arial"/>
          <w:bCs/>
          <w:snapToGrid w:val="0"/>
          <w:sz w:val="24"/>
          <w:szCs w:val="27"/>
        </w:rPr>
        <w:t xml:space="preserve"> </w:t>
      </w:r>
      <w:r w:rsidR="00F2683E" w:rsidRPr="00F2683E">
        <w:rPr>
          <w:rFonts w:ascii="Arial" w:hAnsi="Arial" w:cs="Arial"/>
          <w:bCs/>
          <w:snapToGrid w:val="0"/>
          <w:sz w:val="24"/>
          <w:szCs w:val="27"/>
        </w:rPr>
        <w:t>la función esencial de esta Sala</w:t>
      </w:r>
      <w:r w:rsidR="00585EFB">
        <w:rPr>
          <w:rFonts w:ascii="Arial" w:hAnsi="Arial" w:cs="Arial"/>
          <w:bCs/>
          <w:snapToGrid w:val="0"/>
          <w:sz w:val="24"/>
          <w:szCs w:val="27"/>
        </w:rPr>
        <w:t xml:space="preserve"> Unitaria</w:t>
      </w:r>
      <w:r w:rsidR="00F2683E" w:rsidRPr="00F2683E">
        <w:rPr>
          <w:rFonts w:ascii="Arial" w:hAnsi="Arial" w:cs="Arial"/>
          <w:bCs/>
          <w:snapToGrid w:val="0"/>
          <w:sz w:val="24"/>
          <w:szCs w:val="27"/>
        </w:rPr>
        <w:t>, es garantizar que los actos administrativos, se ajusten al principio de legalidad y seguridad jurídica, así como con los principios tutelados por los tratados internacionales y convencionales, privilegiando la observancia de los derechos de los gobernados.</w:t>
      </w:r>
    </w:p>
    <w:p w14:paraId="790012E9" w14:textId="7F3E3DF8" w:rsidR="00F2683E" w:rsidRDefault="00F2683E" w:rsidP="00585EFB">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lastRenderedPageBreak/>
        <w:t xml:space="preserve"> Sirve de apoyo a lo anterior por analogía sustancial la tesis</w:t>
      </w:r>
      <w:r w:rsidR="0023614D">
        <w:rPr>
          <w:rStyle w:val="Refdenotaalpie"/>
          <w:rFonts w:ascii="Arial" w:hAnsi="Arial" w:cs="Arial"/>
          <w:bCs/>
          <w:snapToGrid w:val="0"/>
          <w:sz w:val="24"/>
          <w:szCs w:val="27"/>
        </w:rPr>
        <w:footnoteReference w:id="2"/>
      </w:r>
      <w:r w:rsidR="00585EFB">
        <w:rPr>
          <w:rFonts w:ascii="Arial" w:hAnsi="Arial" w:cs="Arial"/>
          <w:bCs/>
          <w:snapToGrid w:val="0"/>
          <w:sz w:val="24"/>
          <w:szCs w:val="27"/>
        </w:rPr>
        <w:t xml:space="preserve"> </w:t>
      </w:r>
      <w:r w:rsidR="00585EFB" w:rsidRPr="00F2683E">
        <w:rPr>
          <w:rFonts w:ascii="Arial" w:hAnsi="Arial" w:cs="Arial"/>
          <w:bCs/>
          <w:snapToGrid w:val="0"/>
          <w:sz w:val="24"/>
          <w:szCs w:val="27"/>
        </w:rPr>
        <w:t>bajo</w:t>
      </w:r>
      <w:r w:rsidR="00585EFB">
        <w:rPr>
          <w:rFonts w:ascii="Arial" w:hAnsi="Arial" w:cs="Arial"/>
          <w:bCs/>
          <w:snapToGrid w:val="0"/>
          <w:sz w:val="24"/>
          <w:szCs w:val="27"/>
        </w:rPr>
        <w:t xml:space="preserve"> el rubro y texto siguiente:</w:t>
      </w:r>
      <w:bookmarkStart w:id="2" w:name="_Hlk101994201"/>
    </w:p>
    <w:p w14:paraId="6E346F05" w14:textId="77777777" w:rsidR="00585EFB" w:rsidRPr="00585EFB" w:rsidRDefault="00585EFB" w:rsidP="00585EFB">
      <w:pPr>
        <w:spacing w:line="360" w:lineRule="auto"/>
        <w:jc w:val="both"/>
        <w:rPr>
          <w:rFonts w:ascii="Arial" w:hAnsi="Arial" w:cs="Arial"/>
          <w:bCs/>
          <w:snapToGrid w:val="0"/>
          <w:sz w:val="2"/>
          <w:szCs w:val="2"/>
        </w:rPr>
      </w:pPr>
    </w:p>
    <w:bookmarkEnd w:id="2"/>
    <w:p w14:paraId="12E261F8" w14:textId="3C608218" w:rsidR="00F2683E" w:rsidRPr="008275D7" w:rsidRDefault="008275D7" w:rsidP="008275D7">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8275D7">
        <w:rPr>
          <w:rFonts w:ascii="Arial" w:hAnsi="Arial" w:cs="Arial"/>
          <w:b/>
          <w:bCs/>
          <w:i/>
          <w:snapToGrid w:val="0"/>
          <w:sz w:val="24"/>
          <w:szCs w:val="27"/>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00F2683E" w:rsidRPr="008275D7">
        <w:rPr>
          <w:rFonts w:ascii="Arial" w:hAnsi="Arial" w:cs="Arial"/>
          <w:bCs/>
          <w:i/>
          <w:snapToGrid w:val="0"/>
          <w:sz w:val="24"/>
          <w:szCs w:val="27"/>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w:t>
      </w:r>
      <w:r w:rsidR="00F2683E" w:rsidRPr="008275D7">
        <w:rPr>
          <w:rFonts w:ascii="Arial" w:hAnsi="Arial" w:cs="Arial"/>
          <w:bCs/>
          <w:i/>
          <w:snapToGrid w:val="0"/>
          <w:sz w:val="24"/>
          <w:szCs w:val="27"/>
        </w:rPr>
        <w:lastRenderedPageBreak/>
        <w:t>los derechos fundamentales de igualdad y no discriminación en relación con el derecho al trabajo.</w:t>
      </w:r>
      <w:r>
        <w:rPr>
          <w:rFonts w:ascii="Arial" w:hAnsi="Arial" w:cs="Arial"/>
          <w:bCs/>
          <w:i/>
          <w:snapToGrid w:val="0"/>
          <w:sz w:val="24"/>
          <w:szCs w:val="27"/>
        </w:rPr>
        <w:t>”</w:t>
      </w:r>
    </w:p>
    <w:p w14:paraId="7F3BD1FC" w14:textId="4B12C2C7" w:rsidR="0063365D" w:rsidRDefault="00F2683E" w:rsidP="002A5F3D">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Por todo lo anteriormente expuesto, se concluye que el acto impugnado fue emitido de manera ilegal y discriminatoria de los derechos humanos de igualdad laboral y no discriminación al no existir una correcta fundamentación y motivación, máxime que su actuar se encuentra fundado en una mala interpretación de la norma legal que contempla el supuesto que nos ocupa, vulnerando también el derecho del actor a la devolución de las c</w:t>
      </w:r>
      <w:r w:rsidR="00810717">
        <w:rPr>
          <w:rFonts w:ascii="Arial" w:hAnsi="Arial" w:cs="Arial"/>
          <w:bCs/>
          <w:snapToGrid w:val="0"/>
          <w:sz w:val="24"/>
          <w:szCs w:val="27"/>
        </w:rPr>
        <w:t>uotas</w:t>
      </w:r>
      <w:r w:rsidRPr="00F2683E">
        <w:rPr>
          <w:rFonts w:ascii="Arial" w:hAnsi="Arial" w:cs="Arial"/>
          <w:bCs/>
          <w:snapToGrid w:val="0"/>
          <w:sz w:val="24"/>
          <w:szCs w:val="27"/>
        </w:rPr>
        <w:t xml:space="preserve"> que le fueron descontadas de su sueldo,</w:t>
      </w:r>
      <w:r w:rsidR="006C7F1A">
        <w:rPr>
          <w:rFonts w:ascii="Arial" w:hAnsi="Arial" w:cs="Arial"/>
          <w:bCs/>
          <w:snapToGrid w:val="0"/>
          <w:sz w:val="24"/>
          <w:szCs w:val="27"/>
        </w:rPr>
        <w:t xml:space="preserve"> </w:t>
      </w:r>
      <w:r w:rsidR="006B62EA" w:rsidRPr="00F2683E">
        <w:rPr>
          <w:rFonts w:ascii="Arial" w:hAnsi="Arial" w:cs="Arial"/>
          <w:bCs/>
          <w:snapToGrid w:val="0"/>
          <w:sz w:val="24"/>
          <w:szCs w:val="27"/>
        </w:rPr>
        <w:t>durante el tiempo qu</w:t>
      </w:r>
      <w:r w:rsidR="00810717">
        <w:rPr>
          <w:rFonts w:ascii="Arial" w:hAnsi="Arial" w:cs="Arial"/>
          <w:bCs/>
          <w:snapToGrid w:val="0"/>
          <w:sz w:val="24"/>
          <w:szCs w:val="27"/>
        </w:rPr>
        <w:t>e</w:t>
      </w:r>
      <w:r w:rsidR="006B62EA" w:rsidRPr="00F2683E">
        <w:rPr>
          <w:rFonts w:ascii="Arial" w:hAnsi="Arial" w:cs="Arial"/>
          <w:bCs/>
          <w:snapToGrid w:val="0"/>
          <w:sz w:val="24"/>
          <w:szCs w:val="27"/>
        </w:rPr>
        <w:t xml:space="preserve"> laboró para el </w:t>
      </w:r>
      <w:r w:rsidR="005D423E">
        <w:rPr>
          <w:rFonts w:ascii="Arial" w:hAnsi="Arial" w:cs="Arial"/>
          <w:bCs/>
          <w:snapToGrid w:val="0"/>
          <w:sz w:val="24"/>
          <w:szCs w:val="27"/>
        </w:rPr>
        <w:t xml:space="preserve">Poder Ejecutivo </w:t>
      </w:r>
      <w:r w:rsidR="006B62EA" w:rsidRPr="00F2683E">
        <w:rPr>
          <w:rFonts w:ascii="Arial" w:hAnsi="Arial" w:cs="Arial"/>
          <w:bCs/>
          <w:snapToGrid w:val="0"/>
          <w:sz w:val="24"/>
          <w:szCs w:val="27"/>
        </w:rPr>
        <w:t>del Estado de Oaxaca, como servidor público por concepto de Fondo de Pensiones</w:t>
      </w:r>
      <w:r w:rsidR="002A5F3D">
        <w:rPr>
          <w:rFonts w:ascii="Arial" w:hAnsi="Arial" w:cs="Arial"/>
          <w:bCs/>
          <w:snapToGrid w:val="0"/>
          <w:sz w:val="24"/>
          <w:szCs w:val="27"/>
        </w:rPr>
        <w:t xml:space="preserve">; </w:t>
      </w:r>
      <w:r w:rsidR="006C7F1A">
        <w:rPr>
          <w:rFonts w:ascii="Arial" w:hAnsi="Arial" w:cs="Arial"/>
          <w:bCs/>
          <w:snapToGrid w:val="0"/>
          <w:sz w:val="24"/>
          <w:szCs w:val="27"/>
        </w:rPr>
        <w:t xml:space="preserve">por ello, </w:t>
      </w:r>
      <w:r w:rsidR="006B62EA">
        <w:rPr>
          <w:rFonts w:ascii="Arial" w:hAnsi="Arial" w:cs="Arial"/>
          <w:bCs/>
          <w:snapToGrid w:val="0"/>
          <w:sz w:val="24"/>
          <w:szCs w:val="27"/>
        </w:rPr>
        <w:t>esta Sala</w:t>
      </w:r>
      <w:r w:rsidR="002A5F3D">
        <w:rPr>
          <w:rFonts w:ascii="Arial" w:hAnsi="Arial" w:cs="Arial"/>
          <w:bCs/>
          <w:snapToGrid w:val="0"/>
          <w:sz w:val="24"/>
          <w:szCs w:val="27"/>
        </w:rPr>
        <w:t xml:space="preserve"> Unitaria</w:t>
      </w:r>
      <w:r w:rsidR="004A3D22">
        <w:rPr>
          <w:rFonts w:ascii="Arial" w:hAnsi="Arial" w:cs="Arial"/>
          <w:bCs/>
          <w:snapToGrid w:val="0"/>
          <w:sz w:val="24"/>
          <w:szCs w:val="27"/>
        </w:rPr>
        <w:t xml:space="preserve"> </w:t>
      </w:r>
      <w:r w:rsidRPr="00F2683E">
        <w:rPr>
          <w:rFonts w:ascii="Arial" w:hAnsi="Arial" w:cs="Arial"/>
          <w:bCs/>
          <w:snapToGrid w:val="0"/>
          <w:sz w:val="24"/>
          <w:szCs w:val="27"/>
        </w:rPr>
        <w:t>advierte que el actor realizó la última aportación al</w:t>
      </w:r>
      <w:r w:rsidR="004A3D22">
        <w:rPr>
          <w:rFonts w:ascii="Arial" w:hAnsi="Arial" w:cs="Arial"/>
          <w:bCs/>
          <w:snapToGrid w:val="0"/>
          <w:sz w:val="24"/>
          <w:szCs w:val="27"/>
        </w:rPr>
        <w:t xml:space="preserve"> F</w:t>
      </w:r>
      <w:r w:rsidRPr="00F2683E">
        <w:rPr>
          <w:rFonts w:ascii="Arial" w:hAnsi="Arial" w:cs="Arial"/>
          <w:bCs/>
          <w:snapToGrid w:val="0"/>
          <w:sz w:val="24"/>
          <w:szCs w:val="27"/>
        </w:rPr>
        <w:t>ondo</w:t>
      </w:r>
      <w:r w:rsidR="004A3D22">
        <w:rPr>
          <w:rFonts w:ascii="Arial" w:hAnsi="Arial" w:cs="Arial"/>
          <w:bCs/>
          <w:snapToGrid w:val="0"/>
          <w:sz w:val="24"/>
          <w:szCs w:val="27"/>
        </w:rPr>
        <w:t xml:space="preserve"> de Pensiones</w:t>
      </w:r>
      <w:r w:rsidRPr="00F2683E">
        <w:rPr>
          <w:rFonts w:ascii="Arial" w:hAnsi="Arial" w:cs="Arial"/>
          <w:bCs/>
          <w:snapToGrid w:val="0"/>
          <w:sz w:val="24"/>
          <w:szCs w:val="27"/>
        </w:rPr>
        <w:t xml:space="preserve"> </w:t>
      </w:r>
      <w:r w:rsidR="006B62EA">
        <w:rPr>
          <w:rFonts w:ascii="Arial" w:hAnsi="Arial" w:cs="Arial"/>
          <w:bCs/>
          <w:snapToGrid w:val="0"/>
          <w:sz w:val="24"/>
          <w:szCs w:val="27"/>
        </w:rPr>
        <w:t xml:space="preserve">en </w:t>
      </w:r>
      <w:r w:rsidRPr="00F2683E">
        <w:rPr>
          <w:rFonts w:ascii="Arial" w:hAnsi="Arial" w:cs="Arial"/>
          <w:bCs/>
          <w:snapToGrid w:val="0"/>
          <w:sz w:val="24"/>
          <w:szCs w:val="27"/>
        </w:rPr>
        <w:t xml:space="preserve">el </w:t>
      </w:r>
      <w:r w:rsidR="006B62EA">
        <w:rPr>
          <w:rFonts w:ascii="Arial" w:hAnsi="Arial" w:cs="Arial"/>
          <w:bCs/>
          <w:snapToGrid w:val="0"/>
          <w:sz w:val="24"/>
          <w:szCs w:val="27"/>
        </w:rPr>
        <w:t xml:space="preserve">mes de </w:t>
      </w:r>
      <w:r w:rsidR="0002621E">
        <w:rPr>
          <w:rFonts w:ascii="Arial" w:hAnsi="Arial" w:cs="Arial"/>
          <w:bCs/>
          <w:snapToGrid w:val="0"/>
          <w:sz w:val="24"/>
          <w:szCs w:val="27"/>
        </w:rPr>
        <w:t>*****</w:t>
      </w:r>
      <w:r w:rsidR="00CB27C8">
        <w:rPr>
          <w:rFonts w:ascii="Arial" w:hAnsi="Arial" w:cs="Arial"/>
          <w:bCs/>
          <w:snapToGrid w:val="0"/>
          <w:sz w:val="24"/>
          <w:szCs w:val="27"/>
        </w:rPr>
        <w:t xml:space="preserve"> de dos mil siete</w:t>
      </w:r>
      <w:r w:rsidRPr="00F2683E">
        <w:rPr>
          <w:rFonts w:ascii="Arial" w:hAnsi="Arial" w:cs="Arial"/>
          <w:bCs/>
          <w:snapToGrid w:val="0"/>
          <w:sz w:val="24"/>
          <w:szCs w:val="27"/>
        </w:rPr>
        <w:t>, a</w:t>
      </w:r>
      <w:r w:rsidR="006B62EA">
        <w:rPr>
          <w:rFonts w:ascii="Arial" w:hAnsi="Arial" w:cs="Arial"/>
          <w:bCs/>
          <w:snapToGrid w:val="0"/>
          <w:sz w:val="24"/>
          <w:szCs w:val="27"/>
        </w:rPr>
        <w:t>portación que demuestra haberla</w:t>
      </w:r>
      <w:r w:rsidRPr="00F2683E">
        <w:rPr>
          <w:rFonts w:ascii="Arial" w:hAnsi="Arial" w:cs="Arial"/>
          <w:bCs/>
          <w:snapToGrid w:val="0"/>
          <w:sz w:val="24"/>
          <w:szCs w:val="27"/>
        </w:rPr>
        <w:t xml:space="preserve"> realizado con un comprobante de pago expedido por el </w:t>
      </w:r>
      <w:r w:rsidR="00F737C5">
        <w:rPr>
          <w:rFonts w:ascii="Arial" w:hAnsi="Arial" w:cs="Arial"/>
          <w:bCs/>
          <w:snapToGrid w:val="0"/>
          <w:sz w:val="24"/>
          <w:szCs w:val="27"/>
        </w:rPr>
        <w:t>Gobierno</w:t>
      </w:r>
      <w:r w:rsidR="006B62EA">
        <w:rPr>
          <w:rFonts w:ascii="Arial" w:hAnsi="Arial" w:cs="Arial"/>
          <w:bCs/>
          <w:snapToGrid w:val="0"/>
          <w:sz w:val="24"/>
          <w:szCs w:val="27"/>
        </w:rPr>
        <w:t xml:space="preserve"> del Estado de Oaxaca</w:t>
      </w:r>
      <w:r w:rsidR="0063365D">
        <w:rPr>
          <w:rFonts w:ascii="Arial" w:hAnsi="Arial" w:cs="Arial"/>
          <w:bCs/>
          <w:snapToGrid w:val="0"/>
          <w:sz w:val="24"/>
          <w:szCs w:val="27"/>
        </w:rPr>
        <w:t xml:space="preserve"> </w:t>
      </w:r>
      <w:r w:rsidR="00A806F0">
        <w:rPr>
          <w:rFonts w:ascii="Arial" w:hAnsi="Arial" w:cs="Arial"/>
          <w:bCs/>
          <w:snapToGrid w:val="0"/>
          <w:sz w:val="24"/>
          <w:szCs w:val="27"/>
        </w:rPr>
        <w:t>(</w:t>
      </w:r>
      <w:r w:rsidR="00CB27C8">
        <w:rPr>
          <w:rFonts w:ascii="Arial" w:hAnsi="Arial" w:cs="Arial"/>
          <w:bCs/>
          <w:snapToGrid w:val="0"/>
          <w:sz w:val="24"/>
          <w:szCs w:val="27"/>
        </w:rPr>
        <w:t>foja 55</w:t>
      </w:r>
      <w:r w:rsidRPr="00F2683E">
        <w:rPr>
          <w:rFonts w:ascii="Arial" w:hAnsi="Arial" w:cs="Arial"/>
          <w:bCs/>
          <w:snapToGrid w:val="0"/>
          <w:sz w:val="24"/>
          <w:szCs w:val="27"/>
        </w:rPr>
        <w:t>), documental que adquiere valor probatorio pleno en térm</w:t>
      </w:r>
      <w:r w:rsidR="00CB27C8">
        <w:rPr>
          <w:rFonts w:ascii="Arial" w:hAnsi="Arial" w:cs="Arial"/>
          <w:bCs/>
          <w:snapToGrid w:val="0"/>
          <w:sz w:val="24"/>
          <w:szCs w:val="27"/>
        </w:rPr>
        <w:t xml:space="preserve">inos del artículo 203 fracción </w:t>
      </w:r>
      <w:r w:rsidR="00B87CD4">
        <w:rPr>
          <w:rFonts w:ascii="Arial" w:hAnsi="Arial" w:cs="Arial"/>
          <w:bCs/>
          <w:snapToGrid w:val="0"/>
          <w:sz w:val="24"/>
          <w:szCs w:val="27"/>
        </w:rPr>
        <w:t>I</w:t>
      </w:r>
      <w:r w:rsidRPr="00F2683E">
        <w:rPr>
          <w:rFonts w:ascii="Arial" w:hAnsi="Arial" w:cs="Arial"/>
          <w:bCs/>
          <w:snapToGrid w:val="0"/>
          <w:sz w:val="24"/>
          <w:szCs w:val="27"/>
        </w:rPr>
        <w:t xml:space="preserve"> de la Ley de Procedimiento y Justicia Administrativa para el Estado de Oaxaca</w:t>
      </w:r>
      <w:r w:rsidR="0063365D">
        <w:rPr>
          <w:rFonts w:ascii="Arial" w:hAnsi="Arial" w:cs="Arial"/>
          <w:bCs/>
          <w:snapToGrid w:val="0"/>
          <w:sz w:val="24"/>
          <w:szCs w:val="27"/>
        </w:rPr>
        <w:t>;</w:t>
      </w:r>
      <w:r w:rsidRPr="00F2683E">
        <w:rPr>
          <w:rFonts w:ascii="Arial" w:hAnsi="Arial" w:cs="Arial"/>
          <w:bCs/>
          <w:snapToGrid w:val="0"/>
          <w:sz w:val="24"/>
          <w:szCs w:val="27"/>
        </w:rPr>
        <w:t xml:space="preserve"> por lo que en ese sentido y en</w:t>
      </w:r>
      <w:r w:rsidR="0063365D">
        <w:rPr>
          <w:rFonts w:ascii="Arial" w:hAnsi="Arial" w:cs="Arial"/>
          <w:bCs/>
          <w:snapToGrid w:val="0"/>
          <w:sz w:val="24"/>
          <w:szCs w:val="27"/>
        </w:rPr>
        <w:t xml:space="preserve"> atención al material </w:t>
      </w:r>
      <w:r w:rsidRPr="00F2683E">
        <w:rPr>
          <w:rFonts w:ascii="Arial" w:hAnsi="Arial" w:cs="Arial"/>
          <w:bCs/>
          <w:snapToGrid w:val="0"/>
          <w:sz w:val="24"/>
          <w:szCs w:val="27"/>
        </w:rPr>
        <w:t>probatorio aporta</w:t>
      </w:r>
      <w:r w:rsidR="002C50AB">
        <w:rPr>
          <w:rFonts w:ascii="Arial" w:hAnsi="Arial" w:cs="Arial"/>
          <w:bCs/>
          <w:snapToGrid w:val="0"/>
          <w:sz w:val="24"/>
          <w:szCs w:val="27"/>
        </w:rPr>
        <w:t>do por la parte actora</w:t>
      </w:r>
      <w:r w:rsidR="0063365D">
        <w:rPr>
          <w:rFonts w:ascii="Arial" w:hAnsi="Arial" w:cs="Arial"/>
          <w:bCs/>
          <w:snapToGrid w:val="0"/>
          <w:sz w:val="24"/>
          <w:szCs w:val="27"/>
        </w:rPr>
        <w:t xml:space="preserve">, </w:t>
      </w:r>
      <w:r w:rsidR="002C50AB">
        <w:rPr>
          <w:rFonts w:ascii="Arial" w:hAnsi="Arial" w:cs="Arial"/>
          <w:bCs/>
          <w:snapToGrid w:val="0"/>
          <w:sz w:val="24"/>
          <w:szCs w:val="27"/>
        </w:rPr>
        <w:t>resulta</w:t>
      </w:r>
      <w:r w:rsidRPr="00F2683E">
        <w:rPr>
          <w:rFonts w:ascii="Arial" w:hAnsi="Arial" w:cs="Arial"/>
          <w:bCs/>
          <w:snapToGrid w:val="0"/>
          <w:sz w:val="24"/>
          <w:szCs w:val="27"/>
        </w:rPr>
        <w:t xml:space="preserve"> procedente que la autoridad demandada ac</w:t>
      </w:r>
      <w:r w:rsidR="0063365D">
        <w:rPr>
          <w:rFonts w:ascii="Arial" w:hAnsi="Arial" w:cs="Arial"/>
          <w:bCs/>
          <w:snapToGrid w:val="0"/>
          <w:sz w:val="24"/>
          <w:szCs w:val="27"/>
        </w:rPr>
        <w:t xml:space="preserve">uerde </w:t>
      </w:r>
      <w:r w:rsidRPr="00F2683E">
        <w:rPr>
          <w:rFonts w:ascii="Arial" w:hAnsi="Arial" w:cs="Arial"/>
          <w:bCs/>
          <w:snapToGrid w:val="0"/>
          <w:sz w:val="24"/>
          <w:szCs w:val="27"/>
        </w:rPr>
        <w:t>en forma favorable la petición del administrado</w:t>
      </w:r>
      <w:r w:rsidR="0063365D">
        <w:rPr>
          <w:rFonts w:ascii="Arial" w:hAnsi="Arial" w:cs="Arial"/>
          <w:bCs/>
          <w:snapToGrid w:val="0"/>
          <w:sz w:val="24"/>
          <w:szCs w:val="27"/>
        </w:rPr>
        <w:t>.</w:t>
      </w:r>
    </w:p>
    <w:p w14:paraId="11D51B2C" w14:textId="38C7C1E3" w:rsidR="00F2683E" w:rsidRPr="00F2683E" w:rsidRDefault="00F2683E" w:rsidP="0063365D">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 </w:t>
      </w:r>
      <w:r w:rsidR="0063365D">
        <w:rPr>
          <w:rFonts w:ascii="Arial" w:hAnsi="Arial" w:cs="Arial"/>
          <w:bCs/>
          <w:snapToGrid w:val="0"/>
          <w:sz w:val="24"/>
          <w:szCs w:val="27"/>
        </w:rPr>
        <w:t>S</w:t>
      </w:r>
      <w:r w:rsidRPr="00F2683E">
        <w:rPr>
          <w:rFonts w:ascii="Arial" w:hAnsi="Arial" w:cs="Arial"/>
          <w:bCs/>
          <w:snapToGrid w:val="0"/>
          <w:sz w:val="24"/>
          <w:szCs w:val="27"/>
        </w:rPr>
        <w:t>irve de sustento la jurisprudencia</w:t>
      </w:r>
      <w:r w:rsidR="008C335E">
        <w:rPr>
          <w:rStyle w:val="Refdenotaalpie"/>
          <w:rFonts w:ascii="Arial" w:hAnsi="Arial" w:cs="Arial"/>
          <w:bCs/>
          <w:snapToGrid w:val="0"/>
          <w:sz w:val="24"/>
          <w:szCs w:val="27"/>
        </w:rPr>
        <w:footnoteReference w:id="3"/>
      </w:r>
      <w:r w:rsidRPr="00F2683E">
        <w:rPr>
          <w:rFonts w:ascii="Arial" w:hAnsi="Arial" w:cs="Arial"/>
          <w:bCs/>
          <w:snapToGrid w:val="0"/>
          <w:sz w:val="24"/>
          <w:szCs w:val="27"/>
        </w:rPr>
        <w:t xml:space="preserve"> ba</w:t>
      </w:r>
      <w:r w:rsidR="00A806F0">
        <w:rPr>
          <w:rFonts w:ascii="Arial" w:hAnsi="Arial" w:cs="Arial"/>
          <w:bCs/>
          <w:snapToGrid w:val="0"/>
          <w:sz w:val="24"/>
          <w:szCs w:val="27"/>
        </w:rPr>
        <w:t>jo el texto y rubro siguiente:</w:t>
      </w:r>
    </w:p>
    <w:p w14:paraId="378023AD" w14:textId="0CA06822" w:rsidR="00F2683E" w:rsidRPr="003877DB" w:rsidRDefault="003877DB" w:rsidP="003877DB">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3877DB">
        <w:rPr>
          <w:rFonts w:ascii="Arial" w:hAnsi="Arial" w:cs="Arial"/>
          <w:b/>
          <w:bCs/>
          <w:i/>
          <w:snapToGrid w:val="0"/>
          <w:sz w:val="24"/>
          <w:szCs w:val="27"/>
        </w:rPr>
        <w:t>TRABAJADORES DE CONFIANZA AL SERVICIO DEL ESTADO. SU FALTA DE ESTABILIDAD EN EL EMPLEO NO ES CONTRARIA A LA CONSTITUCIÓN GENERAL DE LA REPÚBLICA.</w:t>
      </w:r>
      <w:r w:rsidR="00F2683E" w:rsidRPr="003877DB">
        <w:rPr>
          <w:rFonts w:ascii="Arial" w:hAnsi="Arial" w:cs="Arial"/>
          <w:bCs/>
          <w:i/>
          <w:snapToGrid w:val="0"/>
          <w:sz w:val="24"/>
          <w:szCs w:val="27"/>
        </w:rPr>
        <w:t xml:space="preserve"> La Constitución Política de los Estados Unidos Mexicanos, en su artículo 1o., dispone que las personas gozarán de los derechos humanos reconocidos en la propia Constitución Federal y en los tratados internacionales. Ahora bien, si el Constituyente Permanente no tuvo la intención de otorgar a los trabajadores de confianza el derecho a la estabilidad en el empleo, acorde con la interpretación que la 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w:t>
      </w:r>
      <w:r>
        <w:rPr>
          <w:rFonts w:ascii="Arial" w:hAnsi="Arial" w:cs="Arial"/>
          <w:bCs/>
          <w:i/>
          <w:snapToGrid w:val="0"/>
          <w:sz w:val="24"/>
          <w:szCs w:val="27"/>
        </w:rPr>
        <w:t>”</w:t>
      </w:r>
      <w:r w:rsidR="00F2683E" w:rsidRPr="003877DB">
        <w:rPr>
          <w:rFonts w:ascii="Arial" w:hAnsi="Arial" w:cs="Arial"/>
          <w:bCs/>
          <w:i/>
          <w:snapToGrid w:val="0"/>
          <w:sz w:val="24"/>
          <w:szCs w:val="27"/>
        </w:rPr>
        <w:t xml:space="preserve"> </w:t>
      </w:r>
    </w:p>
    <w:p w14:paraId="49E582A2" w14:textId="475C4844"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lastRenderedPageBreak/>
        <w:t xml:space="preserve">De igual forma sirve de sustento la </w:t>
      </w:r>
      <w:r w:rsidR="002C09AC">
        <w:rPr>
          <w:rFonts w:ascii="Arial" w:hAnsi="Arial" w:cs="Arial"/>
          <w:bCs/>
          <w:snapToGrid w:val="0"/>
          <w:sz w:val="24"/>
          <w:szCs w:val="27"/>
        </w:rPr>
        <w:t>t</w:t>
      </w:r>
      <w:r w:rsidRPr="00F2683E">
        <w:rPr>
          <w:rFonts w:ascii="Arial" w:hAnsi="Arial" w:cs="Arial"/>
          <w:bCs/>
          <w:snapToGrid w:val="0"/>
          <w:sz w:val="24"/>
          <w:szCs w:val="27"/>
        </w:rPr>
        <w:t>esis</w:t>
      </w:r>
      <w:r w:rsidR="00FE6B8F">
        <w:rPr>
          <w:rStyle w:val="Refdenotaalpie"/>
          <w:rFonts w:ascii="Arial" w:hAnsi="Arial" w:cs="Arial"/>
          <w:bCs/>
          <w:snapToGrid w:val="0"/>
          <w:sz w:val="24"/>
          <w:szCs w:val="27"/>
        </w:rPr>
        <w:footnoteReference w:id="4"/>
      </w:r>
      <w:r w:rsidRPr="00F2683E">
        <w:rPr>
          <w:rFonts w:ascii="Arial" w:hAnsi="Arial" w:cs="Arial"/>
          <w:bCs/>
          <w:snapToGrid w:val="0"/>
          <w:sz w:val="24"/>
          <w:szCs w:val="27"/>
        </w:rPr>
        <w:t xml:space="preserve"> ba</w:t>
      </w:r>
      <w:r w:rsidR="00A806F0">
        <w:rPr>
          <w:rFonts w:ascii="Arial" w:hAnsi="Arial" w:cs="Arial"/>
          <w:bCs/>
          <w:snapToGrid w:val="0"/>
          <w:sz w:val="24"/>
          <w:szCs w:val="27"/>
        </w:rPr>
        <w:t>jo el rubro y texto siguiente:</w:t>
      </w:r>
    </w:p>
    <w:p w14:paraId="04D15214" w14:textId="5B799A4F" w:rsidR="00F2683E" w:rsidRPr="005C6B2C" w:rsidRDefault="005C6B2C" w:rsidP="005C6B2C">
      <w:pPr>
        <w:ind w:left="567" w:right="48"/>
        <w:jc w:val="both"/>
        <w:rPr>
          <w:rFonts w:ascii="Arial" w:hAnsi="Arial" w:cs="Arial"/>
          <w:bCs/>
          <w:i/>
          <w:snapToGrid w:val="0"/>
          <w:sz w:val="24"/>
          <w:szCs w:val="27"/>
        </w:rPr>
      </w:pPr>
      <w:r>
        <w:rPr>
          <w:rFonts w:ascii="Arial" w:hAnsi="Arial" w:cs="Arial"/>
          <w:b/>
          <w:bCs/>
          <w:i/>
          <w:snapToGrid w:val="0"/>
          <w:sz w:val="24"/>
          <w:szCs w:val="27"/>
        </w:rPr>
        <w:t>“</w:t>
      </w:r>
      <w:r w:rsidR="00F2683E" w:rsidRPr="005C6B2C">
        <w:rPr>
          <w:rFonts w:ascii="Arial" w:hAnsi="Arial" w:cs="Arial"/>
          <w:b/>
          <w:bCs/>
          <w:i/>
          <w:snapToGrid w:val="0"/>
          <w:sz w:val="24"/>
          <w:szCs w:val="27"/>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00F2683E" w:rsidRPr="005C6B2C">
        <w:rPr>
          <w:rFonts w:ascii="Arial" w:hAnsi="Arial" w:cs="Arial"/>
          <w:bCs/>
          <w:i/>
          <w:snapToGrid w:val="0"/>
          <w:sz w:val="24"/>
          <w:szCs w:val="27"/>
        </w:rPr>
        <w:t xml:space="preserve"> El artículo 123, apartado B, de la Constitución Política de los Estados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clasifica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tienen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bCs/>
          <w:i/>
          <w:snapToGrid w:val="0"/>
          <w:sz w:val="24"/>
          <w:szCs w:val="27"/>
        </w:rPr>
        <w:t>”</w:t>
      </w:r>
    </w:p>
    <w:p w14:paraId="6D4678D8" w14:textId="321C9142"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En abundancia a lo anterior, es menester hacer énfasis que las garantías mencionadas con antelación tienen rango constitucional, a fin de procurar el mejoramiento del nivel de vida de los trabajadores y sus familiares, y que ha adoptado bases mínimas de seguridad social con igual propósito, en el entendido que éstas pueden ampliarse pero nunca restringirse, por ello, es válido concluir que la seguridad social para los trabajadores al servicio del Estado, está dirigida a todos ellos sin exclusión, es decir, no sólo a los de base sino también a los de confianza; además, que esta garantía incluye el derecho a que se disfrute de todos los beneficios de su afiliación al régimen de seguridad social, dentro de los que se incluyen los relativos a la pensión, por ello, no existe razón jurídica ni práctica para considerar que únicamente los trabajadores de base y no los de confianza tengan derecho a que se le devuelvan dichas aportaciones</w:t>
      </w:r>
      <w:r w:rsidR="00087DE7">
        <w:rPr>
          <w:rFonts w:ascii="Arial" w:hAnsi="Arial" w:cs="Arial"/>
          <w:bCs/>
          <w:snapToGrid w:val="0"/>
          <w:sz w:val="24"/>
          <w:szCs w:val="27"/>
        </w:rPr>
        <w:t xml:space="preserve"> del </w:t>
      </w:r>
      <w:r w:rsidR="002C09AC">
        <w:rPr>
          <w:rFonts w:ascii="Arial" w:hAnsi="Arial" w:cs="Arial"/>
          <w:bCs/>
          <w:snapToGrid w:val="0"/>
          <w:sz w:val="24"/>
          <w:szCs w:val="27"/>
        </w:rPr>
        <w:t>F</w:t>
      </w:r>
      <w:r w:rsidRPr="00F2683E">
        <w:rPr>
          <w:rFonts w:ascii="Arial" w:hAnsi="Arial" w:cs="Arial"/>
          <w:bCs/>
          <w:snapToGrid w:val="0"/>
          <w:sz w:val="24"/>
          <w:szCs w:val="27"/>
        </w:rPr>
        <w:t xml:space="preserve">ondo de </w:t>
      </w:r>
      <w:r w:rsidR="002C09AC">
        <w:rPr>
          <w:rFonts w:ascii="Arial" w:hAnsi="Arial" w:cs="Arial"/>
          <w:bCs/>
          <w:snapToGrid w:val="0"/>
          <w:sz w:val="24"/>
          <w:szCs w:val="27"/>
        </w:rPr>
        <w:t>P</w:t>
      </w:r>
      <w:r w:rsidRPr="00F2683E">
        <w:rPr>
          <w:rFonts w:ascii="Arial" w:hAnsi="Arial" w:cs="Arial"/>
          <w:bCs/>
          <w:snapToGrid w:val="0"/>
          <w:sz w:val="24"/>
          <w:szCs w:val="27"/>
        </w:rPr>
        <w:t xml:space="preserve">ensiones, una vez que ha quedado determinado que no tienen derecho a pensión y se separen o sean separados definitivamente del servicio, puesto que al tratarse de un beneficio </w:t>
      </w:r>
      <w:r w:rsidRPr="00F2683E">
        <w:rPr>
          <w:rFonts w:ascii="Arial" w:hAnsi="Arial" w:cs="Arial"/>
          <w:bCs/>
          <w:snapToGrid w:val="0"/>
          <w:sz w:val="24"/>
          <w:szCs w:val="27"/>
        </w:rPr>
        <w:lastRenderedPageBreak/>
        <w:t>derivado de la seguridad social, ambos trabajadores tienen el mismo derecho, acorde a lo establecido en el artículo 123, apartado B, fracción XIV</w:t>
      </w:r>
      <w:r w:rsidR="002C09AC">
        <w:rPr>
          <w:rFonts w:ascii="Arial" w:hAnsi="Arial" w:cs="Arial"/>
          <w:bCs/>
          <w:snapToGrid w:val="0"/>
          <w:sz w:val="24"/>
          <w:szCs w:val="27"/>
        </w:rPr>
        <w:t>,</w:t>
      </w:r>
      <w:r w:rsidRPr="00F2683E">
        <w:rPr>
          <w:rFonts w:ascii="Arial" w:hAnsi="Arial" w:cs="Arial"/>
          <w:bCs/>
          <w:snapToGrid w:val="0"/>
          <w:sz w:val="24"/>
          <w:szCs w:val="27"/>
        </w:rPr>
        <w:t xml:space="preserve"> de la Constitución Política de los Estados Unidos Mexicanos; en tanto, que en ese precepto se prevé que los trabajadores de confianza gozarán también de los benefic</w:t>
      </w:r>
      <w:r w:rsidR="008F793E">
        <w:rPr>
          <w:rFonts w:ascii="Arial" w:hAnsi="Arial" w:cs="Arial"/>
          <w:bCs/>
          <w:snapToGrid w:val="0"/>
          <w:sz w:val="24"/>
          <w:szCs w:val="27"/>
        </w:rPr>
        <w:t>ios de la seguridad social.</w:t>
      </w:r>
    </w:p>
    <w:p w14:paraId="4396DD6C" w14:textId="663950B7" w:rsidR="00F2683E" w:rsidRPr="00F2683E" w:rsidRDefault="00F2683E" w:rsidP="00F2683E">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 xml:space="preserve">Luego entonces, si tanto los trabajadores de base como los trabajadores de confianza realizan sus aportaciones al </w:t>
      </w:r>
      <w:r w:rsidR="002C09AC">
        <w:rPr>
          <w:rFonts w:ascii="Arial" w:hAnsi="Arial" w:cs="Arial"/>
          <w:bCs/>
          <w:snapToGrid w:val="0"/>
          <w:sz w:val="24"/>
          <w:szCs w:val="27"/>
        </w:rPr>
        <w:t>F</w:t>
      </w:r>
      <w:r w:rsidRPr="00F2683E">
        <w:rPr>
          <w:rFonts w:ascii="Arial" w:hAnsi="Arial" w:cs="Arial"/>
          <w:bCs/>
          <w:snapToGrid w:val="0"/>
          <w:sz w:val="24"/>
          <w:szCs w:val="27"/>
        </w:rPr>
        <w:t xml:space="preserve">ondo de </w:t>
      </w:r>
      <w:r w:rsidR="002C09AC">
        <w:rPr>
          <w:rFonts w:ascii="Arial" w:hAnsi="Arial" w:cs="Arial"/>
          <w:bCs/>
          <w:snapToGrid w:val="0"/>
          <w:sz w:val="24"/>
          <w:szCs w:val="27"/>
        </w:rPr>
        <w:t>P</w:t>
      </w:r>
      <w:r w:rsidRPr="00F2683E">
        <w:rPr>
          <w:rFonts w:ascii="Arial" w:hAnsi="Arial" w:cs="Arial"/>
          <w:bCs/>
          <w:snapToGrid w:val="0"/>
          <w:sz w:val="24"/>
          <w:szCs w:val="27"/>
        </w:rPr>
        <w:t xml:space="preserve">ensiones para asegurar su disfrute a una pensión, cuya finalidad es garantizar que el trabajador que ha prestado servicios por determinado número de años y ha llegado a una edad avanzada, pueda retirarse de su trabajo con la confianza de que tendrá derecho a recibir ese beneficio, el cual le permita vivir con dignidad la etapa más difícil de la vida humana; es evidente, que tanto el trabajador de base como el trabajador de confianza, una vez determinado que no tiene derecho a pensión y se separe o sea separado definitivamente del servicio, tendrá derecho a que se le devuelvan los descuentos que se le hubieren hecho para el Fondo de Pensiones, </w:t>
      </w:r>
      <w:r w:rsidR="00C42E19">
        <w:rPr>
          <w:rFonts w:ascii="Arial" w:hAnsi="Arial" w:cs="Arial"/>
          <w:bCs/>
          <w:snapToGrid w:val="0"/>
          <w:sz w:val="24"/>
          <w:szCs w:val="27"/>
        </w:rPr>
        <w:t>en caso de que los trabajadores no sean reincorporados y deseen retirar la cantidad monetaria aportada,</w:t>
      </w:r>
      <w:r w:rsidRPr="00F2683E">
        <w:rPr>
          <w:rFonts w:ascii="Arial" w:hAnsi="Arial" w:cs="Arial"/>
          <w:bCs/>
          <w:snapToGrid w:val="0"/>
          <w:sz w:val="24"/>
          <w:szCs w:val="27"/>
        </w:rPr>
        <w:t xml:space="preserve"> devolución que deberá hacerse, conforme a lo dispuesto en el segundo párrafo del artículo 64 de la Ley de Pensiones para los Trabajadores del </w:t>
      </w:r>
      <w:r w:rsidR="00C42E19">
        <w:rPr>
          <w:rFonts w:ascii="Arial" w:hAnsi="Arial" w:cs="Arial"/>
          <w:bCs/>
          <w:snapToGrid w:val="0"/>
          <w:sz w:val="24"/>
          <w:szCs w:val="27"/>
        </w:rPr>
        <w:t>Gobierno del Estado de Oaxaca.</w:t>
      </w:r>
    </w:p>
    <w:p w14:paraId="0DB941E4" w14:textId="70072523" w:rsidR="00F2683E" w:rsidRPr="00790179" w:rsidRDefault="00F2683E" w:rsidP="00154F33">
      <w:pPr>
        <w:spacing w:line="360" w:lineRule="auto"/>
        <w:ind w:firstLine="567"/>
        <w:jc w:val="both"/>
        <w:rPr>
          <w:rFonts w:ascii="Arial" w:hAnsi="Arial" w:cs="Arial"/>
          <w:bCs/>
          <w:snapToGrid w:val="0"/>
          <w:sz w:val="24"/>
          <w:szCs w:val="27"/>
        </w:rPr>
      </w:pPr>
      <w:r w:rsidRPr="00F2683E">
        <w:rPr>
          <w:rFonts w:ascii="Arial" w:hAnsi="Arial" w:cs="Arial"/>
          <w:bCs/>
          <w:snapToGrid w:val="0"/>
          <w:sz w:val="24"/>
          <w:szCs w:val="27"/>
        </w:rPr>
        <w:t>En ese tenor,</w:t>
      </w:r>
      <w:r w:rsidR="002C09AC">
        <w:rPr>
          <w:rFonts w:ascii="Arial" w:hAnsi="Arial" w:cs="Arial"/>
          <w:bCs/>
          <w:snapToGrid w:val="0"/>
          <w:sz w:val="24"/>
          <w:szCs w:val="27"/>
        </w:rPr>
        <w:t xml:space="preserve"> debe decirse</w:t>
      </w:r>
      <w:r w:rsidRPr="00F2683E">
        <w:rPr>
          <w:rFonts w:ascii="Arial" w:hAnsi="Arial" w:cs="Arial"/>
          <w:bCs/>
          <w:snapToGrid w:val="0"/>
          <w:sz w:val="24"/>
          <w:szCs w:val="27"/>
        </w:rPr>
        <w:t xml:space="preserve"> que el </w:t>
      </w:r>
      <w:r w:rsidR="002C09AC">
        <w:rPr>
          <w:rFonts w:ascii="Arial" w:hAnsi="Arial" w:cs="Arial"/>
          <w:bCs/>
          <w:snapToGrid w:val="0"/>
          <w:sz w:val="24"/>
          <w:szCs w:val="27"/>
        </w:rPr>
        <w:t>F</w:t>
      </w:r>
      <w:r w:rsidRPr="00F2683E">
        <w:rPr>
          <w:rFonts w:ascii="Arial" w:hAnsi="Arial" w:cs="Arial"/>
          <w:bCs/>
          <w:snapToGrid w:val="0"/>
          <w:sz w:val="24"/>
          <w:szCs w:val="27"/>
        </w:rPr>
        <w:t xml:space="preserve">ondo de </w:t>
      </w:r>
      <w:r w:rsidR="002C09AC">
        <w:rPr>
          <w:rFonts w:ascii="Arial" w:hAnsi="Arial" w:cs="Arial"/>
          <w:bCs/>
          <w:snapToGrid w:val="0"/>
          <w:sz w:val="24"/>
          <w:szCs w:val="27"/>
        </w:rPr>
        <w:t>P</w:t>
      </w:r>
      <w:r w:rsidRPr="00F2683E">
        <w:rPr>
          <w:rFonts w:ascii="Arial" w:hAnsi="Arial" w:cs="Arial"/>
          <w:bCs/>
          <w:snapToGrid w:val="0"/>
          <w:sz w:val="24"/>
          <w:szCs w:val="27"/>
        </w:rPr>
        <w:t>ensiones es parte integrante de las medidas de protección al salario y es también un beneficio de seguridad social, por</w:t>
      </w:r>
      <w:r w:rsidR="002C09AC">
        <w:rPr>
          <w:rFonts w:ascii="Arial" w:hAnsi="Arial" w:cs="Arial"/>
          <w:bCs/>
          <w:snapToGrid w:val="0"/>
          <w:sz w:val="24"/>
          <w:szCs w:val="27"/>
        </w:rPr>
        <w:t xml:space="preserve"> </w:t>
      </w:r>
      <w:r w:rsidRPr="00F2683E">
        <w:rPr>
          <w:rFonts w:ascii="Arial" w:hAnsi="Arial" w:cs="Arial"/>
          <w:bCs/>
          <w:snapToGrid w:val="0"/>
          <w:sz w:val="24"/>
          <w:szCs w:val="27"/>
        </w:rPr>
        <w:t>tanto el actor tiene</w:t>
      </w:r>
      <w:r w:rsidR="002C09AC">
        <w:rPr>
          <w:rFonts w:ascii="Arial" w:hAnsi="Arial" w:cs="Arial"/>
          <w:bCs/>
          <w:snapToGrid w:val="0"/>
          <w:sz w:val="24"/>
          <w:szCs w:val="27"/>
        </w:rPr>
        <w:t xml:space="preserve"> el</w:t>
      </w:r>
      <w:r w:rsidRPr="00F2683E">
        <w:rPr>
          <w:rFonts w:ascii="Arial" w:hAnsi="Arial" w:cs="Arial"/>
          <w:bCs/>
          <w:snapToGrid w:val="0"/>
          <w:sz w:val="24"/>
          <w:szCs w:val="27"/>
        </w:rPr>
        <w:t xml:space="preserve"> derecho constitucional a la devolución de las cantidades que le fueron descontadas de su sueldo por concepto y a favor del </w:t>
      </w:r>
      <w:r w:rsidR="002C09AC">
        <w:rPr>
          <w:rFonts w:ascii="Arial" w:hAnsi="Arial" w:cs="Arial"/>
          <w:bCs/>
          <w:snapToGrid w:val="0"/>
          <w:sz w:val="24"/>
          <w:szCs w:val="27"/>
        </w:rPr>
        <w:t>F</w:t>
      </w:r>
      <w:r w:rsidRPr="00F2683E">
        <w:rPr>
          <w:rFonts w:ascii="Arial" w:hAnsi="Arial" w:cs="Arial"/>
          <w:bCs/>
          <w:snapToGrid w:val="0"/>
          <w:sz w:val="24"/>
          <w:szCs w:val="27"/>
        </w:rPr>
        <w:t xml:space="preserve">ondo de </w:t>
      </w:r>
      <w:r w:rsidR="002C09AC">
        <w:rPr>
          <w:rFonts w:ascii="Arial" w:hAnsi="Arial" w:cs="Arial"/>
          <w:bCs/>
          <w:snapToGrid w:val="0"/>
          <w:sz w:val="24"/>
          <w:szCs w:val="27"/>
        </w:rPr>
        <w:t>P</w:t>
      </w:r>
      <w:r w:rsidRPr="00F2683E">
        <w:rPr>
          <w:rFonts w:ascii="Arial" w:hAnsi="Arial" w:cs="Arial"/>
          <w:bCs/>
          <w:snapToGrid w:val="0"/>
          <w:sz w:val="24"/>
          <w:szCs w:val="27"/>
        </w:rPr>
        <w:t>ensiones, durante el tiempo que laboró para el</w:t>
      </w:r>
      <w:r w:rsidR="0002621E">
        <w:rPr>
          <w:rFonts w:ascii="Arial" w:hAnsi="Arial" w:cs="Arial"/>
          <w:bCs/>
          <w:snapToGrid w:val="0"/>
          <w:sz w:val="24"/>
          <w:szCs w:val="27"/>
        </w:rPr>
        <w:t xml:space="preserve"> ******</w:t>
      </w:r>
      <w:r w:rsidR="002C09AC">
        <w:rPr>
          <w:rFonts w:ascii="Arial" w:hAnsi="Arial" w:cs="Arial"/>
          <w:bCs/>
          <w:snapToGrid w:val="0"/>
          <w:sz w:val="24"/>
          <w:szCs w:val="27"/>
        </w:rPr>
        <w:t xml:space="preserve"> </w:t>
      </w:r>
      <w:r w:rsidR="0002621E">
        <w:rPr>
          <w:rFonts w:ascii="Arial" w:hAnsi="Arial" w:cs="Arial"/>
          <w:bCs/>
          <w:snapToGrid w:val="0"/>
          <w:sz w:val="24"/>
          <w:szCs w:val="27"/>
        </w:rPr>
        <w:t>******</w:t>
      </w:r>
      <w:r w:rsidRPr="00F2683E">
        <w:rPr>
          <w:rFonts w:ascii="Arial" w:hAnsi="Arial" w:cs="Arial"/>
          <w:bCs/>
          <w:snapToGrid w:val="0"/>
          <w:sz w:val="24"/>
          <w:szCs w:val="27"/>
        </w:rPr>
        <w:t xml:space="preserve"> del Estado de Oaxaca, en consecuencia, y tomando en consideración las pr</w:t>
      </w:r>
      <w:r w:rsidR="004D4CEC">
        <w:rPr>
          <w:rFonts w:ascii="Arial" w:hAnsi="Arial" w:cs="Arial"/>
          <w:bCs/>
          <w:snapToGrid w:val="0"/>
          <w:sz w:val="24"/>
          <w:szCs w:val="27"/>
        </w:rPr>
        <w:t>obanzas exhibidas por el actor así como</w:t>
      </w:r>
      <w:r w:rsidR="00BE36BD">
        <w:rPr>
          <w:rFonts w:ascii="Arial" w:hAnsi="Arial" w:cs="Arial"/>
          <w:bCs/>
          <w:snapToGrid w:val="0"/>
          <w:sz w:val="24"/>
          <w:szCs w:val="27"/>
        </w:rPr>
        <w:t xml:space="preserve"> del </w:t>
      </w:r>
      <w:r w:rsidR="004D4CEC">
        <w:rPr>
          <w:rFonts w:ascii="Arial" w:hAnsi="Arial" w:cs="Arial"/>
          <w:bCs/>
          <w:snapToGrid w:val="0"/>
          <w:sz w:val="24"/>
          <w:szCs w:val="27"/>
        </w:rPr>
        <w:t xml:space="preserve">dicho de la autoridad demandada, </w:t>
      </w:r>
      <w:r w:rsidR="00154F33">
        <w:rPr>
          <w:rFonts w:ascii="Arial" w:hAnsi="Arial" w:cs="Arial"/>
          <w:bCs/>
          <w:snapToGrid w:val="0"/>
          <w:sz w:val="24"/>
          <w:szCs w:val="27"/>
        </w:rPr>
        <w:t>se advierte que el</w:t>
      </w:r>
      <w:r w:rsidR="002C09AC">
        <w:rPr>
          <w:rFonts w:ascii="Arial" w:hAnsi="Arial" w:cs="Arial"/>
          <w:bCs/>
          <w:snapToGrid w:val="0"/>
          <w:sz w:val="24"/>
          <w:szCs w:val="27"/>
        </w:rPr>
        <w:t xml:space="preserve"> </w:t>
      </w:r>
      <w:r w:rsidR="00154F33">
        <w:rPr>
          <w:rFonts w:ascii="Arial" w:hAnsi="Arial" w:cs="Arial"/>
          <w:bCs/>
          <w:snapToGrid w:val="0"/>
          <w:sz w:val="24"/>
          <w:szCs w:val="27"/>
        </w:rPr>
        <w:t>a</w:t>
      </w:r>
      <w:r w:rsidR="004D4CEC">
        <w:rPr>
          <w:rFonts w:ascii="Arial" w:hAnsi="Arial" w:cs="Arial"/>
          <w:bCs/>
          <w:snapToGrid w:val="0"/>
          <w:sz w:val="24"/>
          <w:szCs w:val="27"/>
        </w:rPr>
        <w:t>ctor no ha sido reincorporado a la vida laboral dentro de los tres niveles de poderes de</w:t>
      </w:r>
      <w:r w:rsidR="002C09AC">
        <w:rPr>
          <w:rFonts w:ascii="Arial" w:hAnsi="Arial" w:cs="Arial"/>
          <w:bCs/>
          <w:snapToGrid w:val="0"/>
          <w:sz w:val="24"/>
          <w:szCs w:val="27"/>
        </w:rPr>
        <w:t xml:space="preserve">l </w:t>
      </w:r>
      <w:r w:rsidR="004D4CEC">
        <w:rPr>
          <w:rFonts w:ascii="Arial" w:hAnsi="Arial" w:cs="Arial"/>
          <w:bCs/>
          <w:snapToGrid w:val="0"/>
          <w:sz w:val="24"/>
          <w:szCs w:val="27"/>
        </w:rPr>
        <w:t>Estado</w:t>
      </w:r>
      <w:r w:rsidR="002C09AC">
        <w:rPr>
          <w:rFonts w:ascii="Arial" w:hAnsi="Arial" w:cs="Arial"/>
          <w:bCs/>
          <w:snapToGrid w:val="0"/>
          <w:sz w:val="24"/>
          <w:szCs w:val="27"/>
        </w:rPr>
        <w:t>;</w:t>
      </w:r>
      <w:r w:rsidR="004D4CEC">
        <w:rPr>
          <w:rFonts w:ascii="Arial" w:hAnsi="Arial" w:cs="Arial"/>
          <w:bCs/>
          <w:snapToGrid w:val="0"/>
          <w:sz w:val="24"/>
          <w:szCs w:val="27"/>
        </w:rPr>
        <w:t xml:space="preserve"> en consecuencia,</w:t>
      </w:r>
      <w:r w:rsidRPr="00F2683E">
        <w:rPr>
          <w:rFonts w:ascii="Arial" w:hAnsi="Arial" w:cs="Arial"/>
          <w:bCs/>
          <w:snapToGrid w:val="0"/>
          <w:sz w:val="24"/>
          <w:szCs w:val="27"/>
        </w:rPr>
        <w:t xml:space="preserve"> los co</w:t>
      </w:r>
      <w:r w:rsidR="001060BD">
        <w:rPr>
          <w:rFonts w:ascii="Arial" w:hAnsi="Arial" w:cs="Arial"/>
          <w:bCs/>
          <w:snapToGrid w:val="0"/>
          <w:sz w:val="24"/>
          <w:szCs w:val="27"/>
        </w:rPr>
        <w:t>nceptos de impugnació</w:t>
      </w:r>
      <w:r w:rsidR="002C09AC">
        <w:rPr>
          <w:rFonts w:ascii="Arial" w:hAnsi="Arial" w:cs="Arial"/>
          <w:bCs/>
          <w:snapToGrid w:val="0"/>
          <w:sz w:val="24"/>
          <w:szCs w:val="27"/>
        </w:rPr>
        <w:t xml:space="preserve">n </w:t>
      </w:r>
      <w:r w:rsidR="00154F33">
        <w:rPr>
          <w:rFonts w:ascii="Arial" w:hAnsi="Arial" w:cs="Arial"/>
          <w:bCs/>
          <w:snapToGrid w:val="0"/>
          <w:sz w:val="24"/>
          <w:szCs w:val="27"/>
        </w:rPr>
        <w:t xml:space="preserve">hechos valer por el accionante, </w:t>
      </w:r>
      <w:r w:rsidRPr="00F2683E">
        <w:rPr>
          <w:rFonts w:ascii="Arial" w:hAnsi="Arial" w:cs="Arial"/>
          <w:bCs/>
          <w:snapToGrid w:val="0"/>
          <w:sz w:val="24"/>
          <w:szCs w:val="27"/>
        </w:rPr>
        <w:t xml:space="preserve">resultan </w:t>
      </w:r>
      <w:r w:rsidRPr="002C09AC">
        <w:rPr>
          <w:rFonts w:ascii="Arial" w:hAnsi="Arial" w:cs="Arial"/>
          <w:b/>
          <w:bCs/>
          <w:snapToGrid w:val="0"/>
          <w:sz w:val="24"/>
          <w:szCs w:val="27"/>
        </w:rPr>
        <w:t>FUNDADOS</w:t>
      </w:r>
      <w:r w:rsidRPr="00F2683E">
        <w:rPr>
          <w:rFonts w:ascii="Arial" w:hAnsi="Arial" w:cs="Arial"/>
          <w:bCs/>
          <w:snapToGrid w:val="0"/>
          <w:sz w:val="24"/>
          <w:szCs w:val="27"/>
        </w:rPr>
        <w:t>,</w:t>
      </w:r>
      <w:r w:rsidR="00BE36BD">
        <w:rPr>
          <w:rFonts w:ascii="Arial" w:hAnsi="Arial" w:cs="Arial"/>
          <w:bCs/>
          <w:snapToGrid w:val="0"/>
          <w:sz w:val="24"/>
          <w:szCs w:val="27"/>
        </w:rPr>
        <w:t xml:space="preserve"> y por ende,</w:t>
      </w:r>
      <w:r w:rsidR="00592562">
        <w:rPr>
          <w:rFonts w:ascii="Arial" w:hAnsi="Arial" w:cs="Arial"/>
          <w:bCs/>
          <w:snapToGrid w:val="0"/>
          <w:sz w:val="24"/>
          <w:szCs w:val="27"/>
        </w:rPr>
        <w:t xml:space="preserve"> </w:t>
      </w:r>
      <w:r w:rsidR="00BE36BD">
        <w:rPr>
          <w:rFonts w:ascii="Arial" w:hAnsi="Arial" w:cs="Arial"/>
          <w:bCs/>
          <w:snapToGrid w:val="0"/>
          <w:sz w:val="24"/>
          <w:szCs w:val="27"/>
        </w:rPr>
        <w:t>se</w:t>
      </w:r>
      <w:r w:rsidR="002C09AC">
        <w:rPr>
          <w:rFonts w:ascii="Arial" w:hAnsi="Arial" w:cs="Arial"/>
          <w:bCs/>
          <w:snapToGrid w:val="0"/>
          <w:sz w:val="24"/>
          <w:szCs w:val="27"/>
        </w:rPr>
        <w:t xml:space="preserve"> </w:t>
      </w:r>
      <w:r w:rsidRPr="00F2683E">
        <w:rPr>
          <w:rFonts w:ascii="Arial" w:hAnsi="Arial" w:cs="Arial"/>
          <w:bCs/>
          <w:snapToGrid w:val="0"/>
          <w:sz w:val="24"/>
          <w:szCs w:val="27"/>
        </w:rPr>
        <w:t xml:space="preserve">estima procedente decretar la </w:t>
      </w:r>
      <w:r w:rsidR="00154F33" w:rsidRPr="00154F33">
        <w:rPr>
          <w:rFonts w:ascii="Arial" w:hAnsi="Arial" w:cs="Arial"/>
          <w:b/>
          <w:bCs/>
          <w:snapToGrid w:val="0"/>
          <w:sz w:val="24"/>
          <w:szCs w:val="27"/>
        </w:rPr>
        <w:t>NULIDAD</w:t>
      </w:r>
      <w:r w:rsidRPr="00F2683E">
        <w:rPr>
          <w:rFonts w:ascii="Arial" w:hAnsi="Arial" w:cs="Arial"/>
          <w:bCs/>
          <w:snapToGrid w:val="0"/>
          <w:sz w:val="24"/>
          <w:szCs w:val="27"/>
        </w:rPr>
        <w:t xml:space="preserve"> del oficio número </w:t>
      </w:r>
      <w:r w:rsidR="00735348">
        <w:rPr>
          <w:rFonts w:ascii="Arial" w:hAnsi="Arial" w:cs="Arial"/>
          <w:bCs/>
          <w:snapToGrid w:val="0"/>
          <w:sz w:val="24"/>
          <w:szCs w:val="27"/>
        </w:rPr>
        <w:t>OP/DG/DPE/*****/2020</w:t>
      </w:r>
      <w:r w:rsidR="00790179">
        <w:rPr>
          <w:rFonts w:ascii="Arial" w:hAnsi="Arial" w:cs="Arial"/>
          <w:bCs/>
          <w:snapToGrid w:val="0"/>
          <w:sz w:val="24"/>
          <w:szCs w:val="27"/>
        </w:rPr>
        <w:t>,</w:t>
      </w:r>
      <w:r w:rsidR="00E7442C">
        <w:rPr>
          <w:rFonts w:ascii="Arial" w:hAnsi="Arial" w:cs="Arial"/>
          <w:bCs/>
          <w:snapToGrid w:val="0"/>
          <w:sz w:val="24"/>
          <w:szCs w:val="27"/>
        </w:rPr>
        <w:t xml:space="preserve"> de </w:t>
      </w:r>
      <w:r w:rsidR="00735348">
        <w:rPr>
          <w:rFonts w:ascii="Arial" w:hAnsi="Arial" w:cs="Arial"/>
          <w:bCs/>
          <w:snapToGrid w:val="0"/>
          <w:sz w:val="24"/>
          <w:szCs w:val="27"/>
        </w:rPr>
        <w:t>fecha ***** de ***** de dos mil veinte</w:t>
      </w:r>
      <w:r w:rsidR="00800F45">
        <w:rPr>
          <w:rFonts w:ascii="Arial" w:hAnsi="Arial" w:cs="Arial"/>
          <w:bCs/>
          <w:snapToGrid w:val="0"/>
          <w:sz w:val="24"/>
          <w:szCs w:val="27"/>
        </w:rPr>
        <w:t xml:space="preserve">, </w:t>
      </w:r>
      <w:r w:rsidRPr="00F2683E">
        <w:rPr>
          <w:rFonts w:ascii="Arial" w:hAnsi="Arial" w:cs="Arial"/>
          <w:bCs/>
          <w:snapToGrid w:val="0"/>
          <w:sz w:val="24"/>
          <w:szCs w:val="27"/>
        </w:rPr>
        <w:t xml:space="preserve">emitido por el Director General de la Oficina de Pensiones del Gobierno del Estado de Oaxaca, </w:t>
      </w:r>
      <w:r w:rsidR="00154F33" w:rsidRPr="00154F33">
        <w:rPr>
          <w:rFonts w:ascii="Arial" w:hAnsi="Arial" w:cs="Arial"/>
          <w:b/>
          <w:bCs/>
          <w:snapToGrid w:val="0"/>
          <w:sz w:val="24"/>
          <w:szCs w:val="27"/>
        </w:rPr>
        <w:t>PARA EL EFECTO</w:t>
      </w:r>
      <w:r w:rsidR="00154F33">
        <w:rPr>
          <w:rFonts w:ascii="Arial" w:hAnsi="Arial" w:cs="Arial"/>
          <w:bCs/>
          <w:snapToGrid w:val="0"/>
          <w:sz w:val="24"/>
          <w:szCs w:val="27"/>
        </w:rPr>
        <w:t xml:space="preserve"> de </w:t>
      </w:r>
      <w:r w:rsidR="00154F33" w:rsidRPr="00790179">
        <w:rPr>
          <w:rFonts w:ascii="Arial" w:hAnsi="Arial" w:cs="Arial"/>
          <w:bCs/>
          <w:snapToGrid w:val="0"/>
          <w:sz w:val="24"/>
          <w:szCs w:val="27"/>
        </w:rPr>
        <w:t>que la autoridad demandada deje sin efecto dicho oficio y emita otro debidamente fundado y motivado en el que en términos de la presente resolución,</w:t>
      </w:r>
      <w:r w:rsidR="00790179">
        <w:rPr>
          <w:rFonts w:ascii="Arial" w:hAnsi="Arial" w:cs="Arial"/>
          <w:bCs/>
          <w:snapToGrid w:val="0"/>
          <w:sz w:val="24"/>
          <w:szCs w:val="27"/>
        </w:rPr>
        <w:t xml:space="preserve"> </w:t>
      </w:r>
      <w:r w:rsidR="00C25F4B" w:rsidRPr="00790179">
        <w:rPr>
          <w:rFonts w:ascii="Arial" w:hAnsi="Arial" w:cs="Arial"/>
          <w:bCs/>
          <w:snapToGrid w:val="0"/>
          <w:sz w:val="24"/>
          <w:szCs w:val="27"/>
        </w:rPr>
        <w:t>devuelva</w:t>
      </w:r>
      <w:r w:rsidR="00154F33" w:rsidRPr="00790179">
        <w:rPr>
          <w:rFonts w:ascii="Arial" w:hAnsi="Arial" w:cs="Arial"/>
          <w:bCs/>
          <w:snapToGrid w:val="0"/>
          <w:sz w:val="24"/>
          <w:szCs w:val="27"/>
        </w:rPr>
        <w:t xml:space="preserve"> las aportaciones</w:t>
      </w:r>
      <w:r w:rsidR="0041690D" w:rsidRPr="00790179">
        <w:rPr>
          <w:rFonts w:ascii="Arial" w:hAnsi="Arial" w:cs="Arial"/>
          <w:bCs/>
          <w:snapToGrid w:val="0"/>
          <w:sz w:val="24"/>
          <w:szCs w:val="27"/>
        </w:rPr>
        <w:t xml:space="preserve"> hechas por concepto de “FONDO</w:t>
      </w:r>
      <w:r w:rsidR="00154F33" w:rsidRPr="00790179">
        <w:rPr>
          <w:rFonts w:ascii="Arial" w:hAnsi="Arial" w:cs="Arial"/>
          <w:bCs/>
          <w:snapToGrid w:val="0"/>
          <w:sz w:val="24"/>
          <w:szCs w:val="27"/>
        </w:rPr>
        <w:t xml:space="preserve"> PENSIONES</w:t>
      </w:r>
      <w:r w:rsidR="0041690D" w:rsidRPr="00790179">
        <w:rPr>
          <w:rFonts w:ascii="Arial" w:hAnsi="Arial" w:cs="Arial"/>
          <w:bCs/>
          <w:snapToGrid w:val="0"/>
          <w:sz w:val="24"/>
          <w:szCs w:val="27"/>
        </w:rPr>
        <w:t>”</w:t>
      </w:r>
      <w:r w:rsidR="00592562">
        <w:rPr>
          <w:rFonts w:ascii="Arial" w:hAnsi="Arial" w:cs="Arial"/>
          <w:bCs/>
          <w:snapToGrid w:val="0"/>
          <w:sz w:val="24"/>
          <w:szCs w:val="27"/>
        </w:rPr>
        <w:t>,</w:t>
      </w:r>
      <w:r w:rsidR="00154F33" w:rsidRPr="00790179">
        <w:rPr>
          <w:rFonts w:ascii="Arial" w:hAnsi="Arial" w:cs="Arial"/>
          <w:bCs/>
          <w:snapToGrid w:val="0"/>
          <w:sz w:val="24"/>
          <w:szCs w:val="27"/>
        </w:rPr>
        <w:t xml:space="preserve"> rea</w:t>
      </w:r>
      <w:r w:rsidR="001861F5" w:rsidRPr="00790179">
        <w:rPr>
          <w:rFonts w:ascii="Arial" w:hAnsi="Arial" w:cs="Arial"/>
          <w:bCs/>
          <w:snapToGrid w:val="0"/>
          <w:sz w:val="24"/>
          <w:szCs w:val="27"/>
        </w:rPr>
        <w:t>lizadas dentro del periodo</w:t>
      </w:r>
      <w:r w:rsidR="00D96B1E" w:rsidRPr="00790179">
        <w:rPr>
          <w:rFonts w:ascii="Arial" w:hAnsi="Arial" w:cs="Arial"/>
          <w:bCs/>
          <w:snapToGrid w:val="0"/>
          <w:sz w:val="24"/>
          <w:szCs w:val="27"/>
        </w:rPr>
        <w:t xml:space="preserve"> comprendido</w:t>
      </w:r>
      <w:r w:rsidR="001861F5" w:rsidRPr="00790179">
        <w:rPr>
          <w:rFonts w:ascii="Arial" w:hAnsi="Arial" w:cs="Arial"/>
          <w:bCs/>
          <w:snapToGrid w:val="0"/>
          <w:sz w:val="24"/>
          <w:szCs w:val="27"/>
        </w:rPr>
        <w:t xml:space="preserve"> del </w:t>
      </w:r>
      <w:r w:rsidR="00735348">
        <w:rPr>
          <w:rFonts w:ascii="Arial" w:hAnsi="Arial" w:cs="Arial"/>
          <w:bCs/>
          <w:snapToGrid w:val="0"/>
          <w:sz w:val="24"/>
          <w:szCs w:val="27"/>
        </w:rPr>
        <w:t>***** de ***** de dos mil cinco</w:t>
      </w:r>
      <w:r w:rsidR="00B96427" w:rsidRPr="00790179">
        <w:rPr>
          <w:rFonts w:ascii="Arial" w:hAnsi="Arial" w:cs="Arial"/>
          <w:bCs/>
          <w:snapToGrid w:val="0"/>
          <w:sz w:val="24"/>
          <w:szCs w:val="27"/>
        </w:rPr>
        <w:t xml:space="preserve"> al </w:t>
      </w:r>
      <w:r w:rsidR="0002621E">
        <w:rPr>
          <w:rFonts w:ascii="Arial" w:hAnsi="Arial" w:cs="Arial"/>
          <w:bCs/>
          <w:snapToGrid w:val="0"/>
          <w:sz w:val="24"/>
          <w:szCs w:val="27"/>
        </w:rPr>
        <w:t xml:space="preserve">****** </w:t>
      </w:r>
      <w:r w:rsidR="00FE08D0" w:rsidRPr="00790179">
        <w:rPr>
          <w:rFonts w:ascii="Arial" w:hAnsi="Arial" w:cs="Arial"/>
          <w:bCs/>
          <w:snapToGrid w:val="0"/>
          <w:sz w:val="24"/>
          <w:szCs w:val="27"/>
        </w:rPr>
        <w:t xml:space="preserve">de </w:t>
      </w:r>
      <w:r w:rsidR="0002621E">
        <w:rPr>
          <w:rFonts w:ascii="Arial" w:hAnsi="Arial" w:cs="Arial"/>
          <w:bCs/>
          <w:snapToGrid w:val="0"/>
          <w:sz w:val="24"/>
          <w:szCs w:val="27"/>
        </w:rPr>
        <w:t>******</w:t>
      </w:r>
      <w:r w:rsidR="00FE08D0" w:rsidRPr="00790179">
        <w:rPr>
          <w:rFonts w:ascii="Arial" w:hAnsi="Arial" w:cs="Arial"/>
          <w:bCs/>
          <w:snapToGrid w:val="0"/>
          <w:sz w:val="24"/>
          <w:szCs w:val="27"/>
        </w:rPr>
        <w:t xml:space="preserve"> de dos mil siete</w:t>
      </w:r>
      <w:r w:rsidR="00154F33" w:rsidRPr="00790179">
        <w:rPr>
          <w:rFonts w:ascii="Arial" w:hAnsi="Arial" w:cs="Arial"/>
          <w:bCs/>
          <w:snapToGrid w:val="0"/>
          <w:sz w:val="24"/>
          <w:szCs w:val="27"/>
        </w:rPr>
        <w:t>.</w:t>
      </w:r>
      <w:r w:rsidRPr="00790179">
        <w:rPr>
          <w:rFonts w:ascii="Arial" w:hAnsi="Arial" w:cs="Arial"/>
          <w:bCs/>
          <w:snapToGrid w:val="0"/>
          <w:sz w:val="24"/>
          <w:szCs w:val="27"/>
        </w:rPr>
        <w:t xml:space="preserve"> </w:t>
      </w:r>
    </w:p>
    <w:p w14:paraId="7DB1AC68" w14:textId="43AC4693" w:rsidR="00F2683E" w:rsidRDefault="00592562" w:rsidP="00F2683E">
      <w:pPr>
        <w:spacing w:line="360" w:lineRule="auto"/>
        <w:ind w:firstLine="567"/>
        <w:jc w:val="both"/>
        <w:rPr>
          <w:rFonts w:ascii="Arial" w:hAnsi="Arial" w:cs="Arial"/>
          <w:bCs/>
          <w:snapToGrid w:val="0"/>
          <w:sz w:val="24"/>
          <w:szCs w:val="27"/>
        </w:rPr>
      </w:pPr>
      <w:r>
        <w:rPr>
          <w:rFonts w:ascii="Arial" w:hAnsi="Arial" w:cs="Arial"/>
          <w:bCs/>
          <w:snapToGrid w:val="0"/>
          <w:sz w:val="24"/>
          <w:szCs w:val="27"/>
        </w:rPr>
        <w:t>Finalmente</w:t>
      </w:r>
      <w:r w:rsidR="00F2683E" w:rsidRPr="00F2683E">
        <w:rPr>
          <w:rFonts w:ascii="Arial" w:hAnsi="Arial" w:cs="Arial"/>
          <w:bCs/>
          <w:snapToGrid w:val="0"/>
          <w:sz w:val="24"/>
          <w:szCs w:val="27"/>
        </w:rPr>
        <w:t>, en cuanto a las excepciones</w:t>
      </w:r>
      <w:r>
        <w:rPr>
          <w:rFonts w:ascii="Arial" w:hAnsi="Arial" w:cs="Arial"/>
          <w:bCs/>
          <w:snapToGrid w:val="0"/>
          <w:sz w:val="24"/>
          <w:szCs w:val="27"/>
        </w:rPr>
        <w:t xml:space="preserve"> </w:t>
      </w:r>
      <w:r w:rsidR="00F2683E" w:rsidRPr="00F2683E">
        <w:rPr>
          <w:rFonts w:ascii="Arial" w:hAnsi="Arial" w:cs="Arial"/>
          <w:bCs/>
          <w:snapToGrid w:val="0"/>
          <w:sz w:val="24"/>
          <w:szCs w:val="27"/>
        </w:rPr>
        <w:t>opuestas</w:t>
      </w:r>
      <w:r>
        <w:rPr>
          <w:rFonts w:ascii="Arial" w:hAnsi="Arial" w:cs="Arial"/>
          <w:bCs/>
          <w:snapToGrid w:val="0"/>
          <w:sz w:val="24"/>
          <w:szCs w:val="27"/>
        </w:rPr>
        <w:t xml:space="preserve"> </w:t>
      </w:r>
      <w:r w:rsidR="00F2683E" w:rsidRPr="00F2683E">
        <w:rPr>
          <w:rFonts w:ascii="Arial" w:hAnsi="Arial" w:cs="Arial"/>
          <w:bCs/>
          <w:snapToGrid w:val="0"/>
          <w:sz w:val="24"/>
          <w:szCs w:val="27"/>
        </w:rPr>
        <w:t xml:space="preserve">por la autoridad demandada resultan ser inoperantes por las razones expuestas, en esta sentencia. </w:t>
      </w:r>
    </w:p>
    <w:p w14:paraId="497D691A" w14:textId="140CF4CF"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lastRenderedPageBreak/>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2B6F56D4" w:rsidR="003E0CBC" w:rsidRPr="009C0C09" w:rsidRDefault="003E0CBC" w:rsidP="00724429">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00800F45">
        <w:rPr>
          <w:rFonts w:cs="Arial"/>
          <w:b/>
          <w:sz w:val="24"/>
          <w:szCs w:val="27"/>
        </w:rPr>
        <w:t>.</w:t>
      </w:r>
      <w:r w:rsidR="0017012B">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5DEBF47A" w:rsidR="003E0CBC" w:rsidRPr="009C0C09" w:rsidRDefault="003E0CBC" w:rsidP="00724429">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4BC17A26" w:rsidR="003E0CBC" w:rsidRPr="009C0C09" w:rsidRDefault="003E0CBC" w:rsidP="00724429">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E8005C">
        <w:rPr>
          <w:rFonts w:cs="Arial"/>
          <w:b w:val="0"/>
          <w:bCs/>
          <w:i w:val="0"/>
          <w:szCs w:val="27"/>
        </w:rPr>
        <w:t xml:space="preserve"> Unitaria</w:t>
      </w:r>
      <w:r w:rsidRPr="009C0C09">
        <w:rPr>
          <w:rFonts w:cs="Arial"/>
          <w:b w:val="0"/>
          <w:bCs/>
          <w:i w:val="0"/>
          <w:szCs w:val="27"/>
        </w:rPr>
        <w:t xml:space="preserve"> advierte que, en el presente juicio no se configura alguna causal de improc</w:t>
      </w:r>
      <w:r w:rsidR="00801F14">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310B6203" w:rsidR="003E0CBC" w:rsidRPr="009C0C09" w:rsidRDefault="003E0CBC" w:rsidP="00724429">
      <w:pPr>
        <w:pStyle w:val="Sangra2detindependiente1"/>
        <w:spacing w:after="200" w:line="360" w:lineRule="auto"/>
        <w:ind w:right="51" w:firstLine="567"/>
        <w:rPr>
          <w:rFonts w:cs="Arial"/>
          <w:i w:val="0"/>
          <w:szCs w:val="27"/>
        </w:rPr>
      </w:pPr>
      <w:r w:rsidRPr="009C0C09">
        <w:rPr>
          <w:rFonts w:cs="Arial"/>
          <w:i w:val="0"/>
          <w:szCs w:val="27"/>
        </w:rPr>
        <w:t>CUARTO.</w:t>
      </w:r>
      <w:r w:rsidR="00800F45">
        <w:rPr>
          <w:rFonts w:cs="Arial"/>
          <w:i w:val="0"/>
          <w:szCs w:val="27"/>
        </w:rPr>
        <w:t xml:space="preserve"> </w:t>
      </w:r>
      <w:r w:rsidRPr="009C0C09">
        <w:rPr>
          <w:rFonts w:cs="Arial"/>
          <w:b w:val="0"/>
          <w:bCs/>
          <w:i w:val="0"/>
          <w:szCs w:val="27"/>
        </w:rPr>
        <w:t xml:space="preserve">Se declara la </w:t>
      </w:r>
      <w:r w:rsidR="00926CF7" w:rsidRPr="00926CF7">
        <w:rPr>
          <w:rFonts w:cs="Arial"/>
          <w:i w:val="0"/>
          <w:szCs w:val="27"/>
        </w:rPr>
        <w:t xml:space="preserve">NULIDAD </w:t>
      </w:r>
      <w:r w:rsidR="00AD613C">
        <w:rPr>
          <w:rFonts w:cs="Arial"/>
          <w:b w:val="0"/>
          <w:i w:val="0"/>
          <w:szCs w:val="27"/>
        </w:rPr>
        <w:t xml:space="preserve">del oficio número </w:t>
      </w:r>
      <w:r w:rsidR="00735348">
        <w:rPr>
          <w:rFonts w:cs="Arial"/>
          <w:b w:val="0"/>
          <w:i w:val="0"/>
          <w:szCs w:val="27"/>
        </w:rPr>
        <w:t>OP/DG/DPE/*****/2020</w:t>
      </w:r>
      <w:r w:rsidR="00E8005C">
        <w:rPr>
          <w:rFonts w:cs="Arial"/>
          <w:b w:val="0"/>
          <w:i w:val="0"/>
          <w:szCs w:val="27"/>
        </w:rPr>
        <w:t>,</w:t>
      </w:r>
      <w:r w:rsidR="00B96427" w:rsidRPr="00B96427">
        <w:rPr>
          <w:rFonts w:cs="Arial"/>
          <w:b w:val="0"/>
          <w:i w:val="0"/>
          <w:szCs w:val="27"/>
        </w:rPr>
        <w:t xml:space="preserve"> de </w:t>
      </w:r>
      <w:r w:rsidR="00735348">
        <w:rPr>
          <w:rFonts w:cs="Arial"/>
          <w:b w:val="0"/>
          <w:i w:val="0"/>
          <w:szCs w:val="27"/>
        </w:rPr>
        <w:t>fecha ***** de ***** de dos mil veinte</w:t>
      </w:r>
      <w:r w:rsidR="00926CF7" w:rsidRPr="00926CF7">
        <w:rPr>
          <w:rFonts w:cs="Arial"/>
          <w:b w:val="0"/>
          <w:i w:val="0"/>
          <w:szCs w:val="27"/>
        </w:rPr>
        <w:t xml:space="preserve">, emitido por el Director General de la Oficina de Pensiones del Gobierno del Estado de Oaxaca, </w:t>
      </w:r>
      <w:r w:rsidR="00926CF7" w:rsidRPr="00926CF7">
        <w:rPr>
          <w:rFonts w:cs="Arial"/>
          <w:i w:val="0"/>
          <w:szCs w:val="27"/>
        </w:rPr>
        <w:t xml:space="preserve">PARA EL </w:t>
      </w:r>
      <w:r w:rsidR="00926CF7" w:rsidRPr="00E8005C">
        <w:rPr>
          <w:rFonts w:cs="Arial"/>
          <w:i w:val="0"/>
          <w:szCs w:val="27"/>
        </w:rPr>
        <w:t>EFECTO</w:t>
      </w:r>
      <w:r w:rsidR="00926CF7" w:rsidRPr="00E8005C">
        <w:rPr>
          <w:rFonts w:cs="Arial"/>
          <w:b w:val="0"/>
          <w:i w:val="0"/>
          <w:szCs w:val="27"/>
        </w:rPr>
        <w:t xml:space="preserve"> de que la autoridad demandada deje sin efecto dicho oficio y emita otro debidamente fundado y motivado en el que en términos de la presente resolución,</w:t>
      </w:r>
      <w:r w:rsidR="00E8005C" w:rsidRPr="00E8005C">
        <w:rPr>
          <w:rFonts w:cs="Arial"/>
          <w:b w:val="0"/>
          <w:i w:val="0"/>
          <w:szCs w:val="27"/>
        </w:rPr>
        <w:t xml:space="preserve"> </w:t>
      </w:r>
      <w:r w:rsidR="00FB4752" w:rsidRPr="00E8005C">
        <w:rPr>
          <w:rFonts w:cs="Arial"/>
          <w:b w:val="0"/>
          <w:i w:val="0"/>
          <w:szCs w:val="27"/>
        </w:rPr>
        <w:t>devuelva</w:t>
      </w:r>
      <w:r w:rsidR="00926CF7" w:rsidRPr="00E8005C">
        <w:rPr>
          <w:rFonts w:cs="Arial"/>
          <w:b w:val="0"/>
          <w:i w:val="0"/>
          <w:szCs w:val="27"/>
        </w:rPr>
        <w:t xml:space="preserve"> las aportaciones</w:t>
      </w:r>
      <w:r w:rsidR="0041690D" w:rsidRPr="00E8005C">
        <w:rPr>
          <w:rFonts w:cs="Arial"/>
          <w:b w:val="0"/>
          <w:i w:val="0"/>
          <w:szCs w:val="27"/>
        </w:rPr>
        <w:t xml:space="preserve"> hechas por concepto de “FONDO</w:t>
      </w:r>
      <w:r w:rsidR="00926CF7" w:rsidRPr="00E8005C">
        <w:rPr>
          <w:rFonts w:cs="Arial"/>
          <w:b w:val="0"/>
          <w:i w:val="0"/>
          <w:szCs w:val="27"/>
        </w:rPr>
        <w:t xml:space="preserve"> PENSIONES</w:t>
      </w:r>
      <w:r w:rsidR="0041690D" w:rsidRPr="00E8005C">
        <w:rPr>
          <w:rFonts w:cs="Arial"/>
          <w:b w:val="0"/>
          <w:i w:val="0"/>
          <w:szCs w:val="27"/>
        </w:rPr>
        <w:t>”</w:t>
      </w:r>
      <w:r w:rsidR="00592562">
        <w:rPr>
          <w:rFonts w:cs="Arial"/>
          <w:b w:val="0"/>
          <w:i w:val="0"/>
          <w:szCs w:val="27"/>
        </w:rPr>
        <w:t>,</w:t>
      </w:r>
      <w:r w:rsidR="00926CF7" w:rsidRPr="00E8005C">
        <w:rPr>
          <w:rFonts w:cs="Arial"/>
          <w:b w:val="0"/>
          <w:i w:val="0"/>
          <w:szCs w:val="27"/>
        </w:rPr>
        <w:t xml:space="preserve"> realizada</w:t>
      </w:r>
      <w:r w:rsidR="00725DC8" w:rsidRPr="00E8005C">
        <w:rPr>
          <w:rFonts w:cs="Arial"/>
          <w:b w:val="0"/>
          <w:i w:val="0"/>
          <w:szCs w:val="27"/>
        </w:rPr>
        <w:t>s dentro del periodo</w:t>
      </w:r>
      <w:r w:rsidR="00457003" w:rsidRPr="00E8005C">
        <w:rPr>
          <w:rFonts w:cs="Arial"/>
          <w:b w:val="0"/>
          <w:i w:val="0"/>
          <w:szCs w:val="27"/>
        </w:rPr>
        <w:t xml:space="preserve"> comprendido</w:t>
      </w:r>
      <w:r w:rsidR="00725DC8" w:rsidRPr="00E8005C">
        <w:rPr>
          <w:rFonts w:cs="Arial"/>
          <w:b w:val="0"/>
          <w:i w:val="0"/>
          <w:szCs w:val="27"/>
        </w:rPr>
        <w:t xml:space="preserve"> del </w:t>
      </w:r>
      <w:r w:rsidR="00735348">
        <w:rPr>
          <w:rFonts w:cs="Arial"/>
          <w:b w:val="0"/>
          <w:i w:val="0"/>
          <w:szCs w:val="27"/>
        </w:rPr>
        <w:t>***** de ***** de dos mil cinco</w:t>
      </w:r>
      <w:r w:rsidR="00B96427" w:rsidRPr="00E8005C">
        <w:rPr>
          <w:rFonts w:cs="Arial"/>
          <w:b w:val="0"/>
          <w:i w:val="0"/>
          <w:szCs w:val="27"/>
        </w:rPr>
        <w:t xml:space="preserve"> al </w:t>
      </w:r>
      <w:r w:rsidR="0002621E">
        <w:rPr>
          <w:rFonts w:cs="Arial"/>
          <w:b w:val="0"/>
          <w:i w:val="0"/>
          <w:szCs w:val="27"/>
        </w:rPr>
        <w:t>*****</w:t>
      </w:r>
      <w:r w:rsidR="00FE08D0" w:rsidRPr="00E8005C">
        <w:rPr>
          <w:rFonts w:cs="Arial"/>
          <w:b w:val="0"/>
          <w:i w:val="0"/>
          <w:szCs w:val="27"/>
        </w:rPr>
        <w:t xml:space="preserve">de </w:t>
      </w:r>
      <w:r w:rsidR="0002621E">
        <w:rPr>
          <w:rFonts w:cs="Arial"/>
          <w:b w:val="0"/>
          <w:i w:val="0"/>
          <w:szCs w:val="27"/>
        </w:rPr>
        <w:t>*****</w:t>
      </w:r>
      <w:r w:rsidR="00FE08D0" w:rsidRPr="00E8005C">
        <w:rPr>
          <w:rFonts w:cs="Arial"/>
          <w:b w:val="0"/>
          <w:i w:val="0"/>
          <w:szCs w:val="27"/>
        </w:rPr>
        <w:t xml:space="preserve"> de dos mil siete</w:t>
      </w:r>
      <w:r w:rsidRPr="009C0C09">
        <w:rPr>
          <w:rFonts w:cs="Arial"/>
          <w:b w:val="0"/>
          <w:bCs/>
          <w:i w:val="0"/>
          <w:szCs w:val="27"/>
        </w:rPr>
        <w:t>, por las razones ya exp</w:t>
      </w:r>
      <w:r w:rsidR="0017012B">
        <w:rPr>
          <w:rFonts w:cs="Arial"/>
          <w:b w:val="0"/>
          <w:bCs/>
          <w:i w:val="0"/>
          <w:szCs w:val="27"/>
        </w:rPr>
        <w:t>uestas en el considerando</w:t>
      </w:r>
      <w:r w:rsidR="00926CF7">
        <w:rPr>
          <w:rFonts w:cs="Arial"/>
          <w:b w:val="0"/>
          <w:bCs/>
          <w:i w:val="0"/>
          <w:szCs w:val="27"/>
        </w:rPr>
        <w:t xml:space="preserve"> CUAR</w:t>
      </w:r>
      <w:r w:rsidRPr="009C0C09">
        <w:rPr>
          <w:rFonts w:cs="Arial"/>
          <w:b w:val="0"/>
          <w:bCs/>
          <w:i w:val="0"/>
          <w:szCs w:val="27"/>
        </w:rPr>
        <w:t>TO de esta sentencia.</w:t>
      </w:r>
    </w:p>
    <w:p w14:paraId="055CA884" w14:textId="591C34E5" w:rsidR="003E0CBC" w:rsidRPr="009C0C09" w:rsidRDefault="003E0CBC" w:rsidP="00724429">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45FB8569" w:rsidR="004B22DE" w:rsidRDefault="004B22DE" w:rsidP="00724429">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w:t>
      </w:r>
      <w:r w:rsidR="00E8005C">
        <w:rPr>
          <w:rFonts w:ascii="Arial" w:eastAsia="Times New Roman" w:hAnsi="Arial" w:cs="Arial"/>
          <w:sz w:val="24"/>
          <w:szCs w:val="24"/>
          <w:lang w:val="es-ES" w:eastAsia="es-ES"/>
        </w:rPr>
        <w:t xml:space="preserve"> </w:t>
      </w:r>
      <w:r w:rsidRPr="00604752">
        <w:rPr>
          <w:rFonts w:ascii="Arial" w:eastAsia="Times New Roman" w:hAnsi="Arial" w:cs="Arial"/>
          <w:sz w:val="24"/>
          <w:szCs w:val="24"/>
          <w:lang w:val="es-ES" w:eastAsia="es-ES"/>
        </w:rPr>
        <w:t xml:space="preserve">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4883D91B" w14:textId="77777777" w:rsidR="004B22DE" w:rsidRPr="007C7071" w:rsidRDefault="004B22DE" w:rsidP="004B22DE">
      <w:pPr>
        <w:widowControl w:val="0"/>
        <w:spacing w:after="0" w:line="360" w:lineRule="auto"/>
        <w:ind w:right="51" w:firstLine="567"/>
        <w:jc w:val="both"/>
        <w:rPr>
          <w:rFonts w:ascii="Arial" w:eastAsia="Times New Roman" w:hAnsi="Arial" w:cs="Arial"/>
          <w:sz w:val="10"/>
          <w:szCs w:val="24"/>
          <w:lang w:val="es-ES" w:eastAsia="es-ES"/>
        </w:rPr>
      </w:pPr>
    </w:p>
    <w:p w14:paraId="47AA0690" w14:textId="5467143C" w:rsidR="004B22DE" w:rsidRPr="00604752" w:rsidRDefault="004B22DE" w:rsidP="008341DC">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735348">
      <w:headerReference w:type="even" r:id="rId8"/>
      <w:headerReference w:type="default" r:id="rId9"/>
      <w:footerReference w:type="default" r:id="rId10"/>
      <w:headerReference w:type="first" r:id="rId11"/>
      <w:pgSz w:w="12240" w:h="20160" w:code="5"/>
      <w:pgMar w:top="1135"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452C6" w14:textId="77777777" w:rsidR="003F06D0" w:rsidRDefault="003F06D0" w:rsidP="00604752">
      <w:pPr>
        <w:spacing w:after="0" w:line="240" w:lineRule="auto"/>
      </w:pPr>
      <w:r>
        <w:separator/>
      </w:r>
    </w:p>
  </w:endnote>
  <w:endnote w:type="continuationSeparator" w:id="0">
    <w:p w14:paraId="2549DE03" w14:textId="77777777" w:rsidR="003F06D0" w:rsidRDefault="003F06D0"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6D8561AC"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931E40" w:rsidRPr="00931E40">
          <w:rPr>
            <w:rFonts w:ascii="Arial" w:hAnsi="Arial" w:cs="Arial"/>
            <w:noProof/>
            <w:sz w:val="24"/>
            <w:szCs w:val="24"/>
            <w:lang w:val="es-ES"/>
          </w:rPr>
          <w:t>12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BC245" w14:textId="77777777" w:rsidR="003F06D0" w:rsidRDefault="003F06D0" w:rsidP="00604752">
      <w:pPr>
        <w:spacing w:after="0" w:line="240" w:lineRule="auto"/>
      </w:pPr>
      <w:r>
        <w:separator/>
      </w:r>
    </w:p>
  </w:footnote>
  <w:footnote w:type="continuationSeparator" w:id="0">
    <w:p w14:paraId="58C11363" w14:textId="77777777" w:rsidR="003F06D0" w:rsidRDefault="003F06D0" w:rsidP="00604752">
      <w:pPr>
        <w:spacing w:after="0" w:line="240" w:lineRule="auto"/>
      </w:pPr>
      <w:r>
        <w:continuationSeparator/>
      </w:r>
    </w:p>
  </w:footnote>
  <w:footnote w:id="1">
    <w:p w14:paraId="7B6AD3C7" w14:textId="1D66BF59" w:rsidR="0099777C" w:rsidRPr="0021047B" w:rsidRDefault="0099777C" w:rsidP="0021047B">
      <w:pPr>
        <w:pStyle w:val="Textonotapie"/>
        <w:jc w:val="both"/>
        <w:rPr>
          <w:sz w:val="18"/>
          <w:szCs w:val="18"/>
        </w:rPr>
      </w:pPr>
      <w:r>
        <w:rPr>
          <w:rStyle w:val="Refdenotaalpie"/>
        </w:rPr>
        <w:footnoteRef/>
      </w:r>
      <w:r>
        <w:t xml:space="preserve"> </w:t>
      </w:r>
      <w:r w:rsidR="0000535D" w:rsidRPr="0021047B">
        <w:rPr>
          <w:rFonts w:ascii="Arial" w:hAnsi="Arial" w:cs="Arial"/>
          <w:bCs/>
          <w:snapToGrid w:val="0"/>
          <w:sz w:val="18"/>
          <w:szCs w:val="18"/>
        </w:rPr>
        <w:t>Jurisprudencia n</w:t>
      </w:r>
      <w:r w:rsidRPr="0021047B">
        <w:rPr>
          <w:rFonts w:ascii="Arial" w:hAnsi="Arial" w:cs="Arial"/>
          <w:bCs/>
          <w:snapToGrid w:val="0"/>
          <w:sz w:val="18"/>
          <w:szCs w:val="18"/>
        </w:rPr>
        <w:t>úmero P./J. 158/2008, con número de registro 165969, por el Pleno de la Suprema Corte de Justicia de la Nación</w:t>
      </w:r>
      <w:r w:rsidR="0000535D" w:rsidRPr="0021047B">
        <w:rPr>
          <w:rFonts w:ascii="Arial" w:hAnsi="Arial" w:cs="Arial"/>
          <w:bCs/>
          <w:snapToGrid w:val="0"/>
          <w:sz w:val="18"/>
          <w:szCs w:val="18"/>
        </w:rPr>
        <w:t>, publicada</w:t>
      </w:r>
      <w:r w:rsidRPr="0021047B">
        <w:rPr>
          <w:rFonts w:ascii="Arial" w:hAnsi="Arial" w:cs="Arial"/>
          <w:bCs/>
          <w:snapToGrid w:val="0"/>
          <w:sz w:val="18"/>
          <w:szCs w:val="18"/>
        </w:rPr>
        <w:t xml:space="preserve"> en el Semanario Judicial de la Federación y su Gaceta, Tomo XXX, Noviembre de 2009, página 15, Novena Época</w:t>
      </w:r>
      <w:r w:rsidR="0000535D" w:rsidRPr="0021047B">
        <w:rPr>
          <w:rFonts w:ascii="Arial" w:hAnsi="Arial" w:cs="Arial"/>
          <w:bCs/>
          <w:snapToGrid w:val="0"/>
          <w:sz w:val="18"/>
          <w:szCs w:val="18"/>
        </w:rPr>
        <w:t>.</w:t>
      </w:r>
    </w:p>
  </w:footnote>
  <w:footnote w:id="2">
    <w:p w14:paraId="38986F5F" w14:textId="35DE7C69" w:rsidR="0023614D" w:rsidRPr="00F2683E" w:rsidRDefault="0023614D" w:rsidP="0023614D">
      <w:pPr>
        <w:spacing w:line="240" w:lineRule="auto"/>
        <w:jc w:val="both"/>
        <w:rPr>
          <w:rFonts w:ascii="Arial" w:hAnsi="Arial" w:cs="Arial"/>
          <w:bCs/>
          <w:snapToGrid w:val="0"/>
          <w:sz w:val="24"/>
          <w:szCs w:val="27"/>
        </w:rPr>
      </w:pPr>
      <w:r>
        <w:rPr>
          <w:rStyle w:val="Refdenotaalpie"/>
        </w:rPr>
        <w:footnoteRef/>
      </w:r>
      <w:r>
        <w:t xml:space="preserve"> </w:t>
      </w:r>
      <w:r w:rsidRPr="0023614D">
        <w:rPr>
          <w:rFonts w:ascii="Arial" w:hAnsi="Arial" w:cs="Arial"/>
          <w:bCs/>
          <w:snapToGrid w:val="0"/>
          <w:sz w:val="18"/>
          <w:szCs w:val="18"/>
        </w:rPr>
        <w:t>Tesis con número III.4o.T.33 L (10a.), con número de registro 2015338, por los Tribunales Colegiados de Circuito, publicada en el Semanario Judicial de la Federación, Libro 47, Octubre de 2017, Tomo IV, página 2418, Décima Época</w:t>
      </w:r>
      <w:r>
        <w:rPr>
          <w:rFonts w:ascii="Arial" w:hAnsi="Arial" w:cs="Arial"/>
          <w:bCs/>
          <w:snapToGrid w:val="0"/>
          <w:sz w:val="24"/>
          <w:szCs w:val="27"/>
        </w:rPr>
        <w:t>.</w:t>
      </w:r>
    </w:p>
    <w:p w14:paraId="11DC6009" w14:textId="4AF574BD" w:rsidR="0023614D" w:rsidRDefault="0023614D">
      <w:pPr>
        <w:pStyle w:val="Textonotapie"/>
      </w:pPr>
    </w:p>
  </w:footnote>
  <w:footnote w:id="3">
    <w:p w14:paraId="20D65121" w14:textId="75B828BC" w:rsidR="008C335E" w:rsidRPr="00F7728E" w:rsidRDefault="008C335E" w:rsidP="00F7728E">
      <w:pPr>
        <w:spacing w:line="240" w:lineRule="auto"/>
        <w:jc w:val="both"/>
        <w:rPr>
          <w:rFonts w:ascii="Arial" w:hAnsi="Arial" w:cs="Arial"/>
          <w:bCs/>
          <w:snapToGrid w:val="0"/>
          <w:sz w:val="18"/>
          <w:szCs w:val="18"/>
        </w:rPr>
      </w:pPr>
      <w:r>
        <w:rPr>
          <w:rStyle w:val="Refdenotaalpie"/>
        </w:rPr>
        <w:footnoteRef/>
      </w:r>
      <w:r>
        <w:t xml:space="preserve"> </w:t>
      </w:r>
      <w:r w:rsidR="00F7728E" w:rsidRPr="00F7728E">
        <w:rPr>
          <w:rFonts w:ascii="Arial" w:hAnsi="Arial" w:cs="Arial"/>
          <w:sz w:val="18"/>
          <w:szCs w:val="18"/>
        </w:rPr>
        <w:t>Jurisprudencia n</w:t>
      </w:r>
      <w:r w:rsidRPr="00F7728E">
        <w:rPr>
          <w:rFonts w:ascii="Arial" w:hAnsi="Arial" w:cs="Arial"/>
          <w:bCs/>
          <w:snapToGrid w:val="0"/>
          <w:sz w:val="18"/>
          <w:szCs w:val="18"/>
        </w:rPr>
        <w:t>úmero 2a./J. 21/2014 (10a) con número de registro 2005825 por la Segunda Sala de la Suprema Corte de Justicia de la Nación</w:t>
      </w:r>
      <w:r w:rsidR="00FE6B8F">
        <w:rPr>
          <w:rFonts w:ascii="Arial" w:hAnsi="Arial" w:cs="Arial"/>
          <w:bCs/>
          <w:snapToGrid w:val="0"/>
          <w:sz w:val="18"/>
          <w:szCs w:val="18"/>
        </w:rPr>
        <w:t xml:space="preserve">, publicada en el </w:t>
      </w:r>
      <w:r w:rsidRPr="00F7728E">
        <w:rPr>
          <w:rFonts w:ascii="Arial" w:hAnsi="Arial" w:cs="Arial"/>
          <w:bCs/>
          <w:snapToGrid w:val="0"/>
          <w:sz w:val="18"/>
          <w:szCs w:val="18"/>
        </w:rPr>
        <w:t>Semanario Judicial de la Federación</w:t>
      </w:r>
      <w:r w:rsidR="00FE6B8F">
        <w:rPr>
          <w:rFonts w:ascii="Arial" w:hAnsi="Arial" w:cs="Arial"/>
          <w:bCs/>
          <w:snapToGrid w:val="0"/>
          <w:sz w:val="18"/>
          <w:szCs w:val="18"/>
        </w:rPr>
        <w:t xml:space="preserve"> y su Gaceta</w:t>
      </w:r>
      <w:r w:rsidRPr="00F7728E">
        <w:rPr>
          <w:rFonts w:ascii="Arial" w:hAnsi="Arial" w:cs="Arial"/>
          <w:bCs/>
          <w:snapToGrid w:val="0"/>
          <w:sz w:val="18"/>
          <w:szCs w:val="18"/>
        </w:rPr>
        <w:t>, Libro 4, Marzo de 2014, Pág. 877</w:t>
      </w:r>
      <w:r w:rsidR="00FE6B8F">
        <w:rPr>
          <w:rFonts w:ascii="Arial" w:hAnsi="Arial" w:cs="Arial"/>
          <w:bCs/>
          <w:snapToGrid w:val="0"/>
          <w:sz w:val="18"/>
          <w:szCs w:val="18"/>
        </w:rPr>
        <w:t>.</w:t>
      </w:r>
    </w:p>
    <w:p w14:paraId="626602A5" w14:textId="58F31DB4" w:rsidR="008C335E" w:rsidRPr="00B26CCE" w:rsidRDefault="008C335E" w:rsidP="00F7728E">
      <w:pPr>
        <w:pStyle w:val="Textonotapie"/>
        <w:jc w:val="both"/>
        <w:rPr>
          <w:rFonts w:ascii="Arial" w:hAnsi="Arial" w:cs="Arial"/>
          <w:sz w:val="18"/>
          <w:szCs w:val="18"/>
        </w:rPr>
      </w:pPr>
    </w:p>
  </w:footnote>
  <w:footnote w:id="4">
    <w:p w14:paraId="52FD5F5B" w14:textId="19B0024A" w:rsidR="00FE6B8F" w:rsidRPr="00FE6B8F" w:rsidRDefault="00FE6B8F" w:rsidP="00FE6B8F">
      <w:pPr>
        <w:spacing w:line="240" w:lineRule="auto"/>
        <w:jc w:val="both"/>
        <w:rPr>
          <w:rFonts w:ascii="Arial" w:hAnsi="Arial" w:cs="Arial"/>
          <w:bCs/>
          <w:snapToGrid w:val="0"/>
          <w:sz w:val="18"/>
          <w:szCs w:val="18"/>
        </w:rPr>
      </w:pPr>
      <w:r>
        <w:rPr>
          <w:rStyle w:val="Refdenotaalpie"/>
        </w:rPr>
        <w:footnoteRef/>
      </w:r>
      <w:r>
        <w:t xml:space="preserve"> Tesis </w:t>
      </w:r>
      <w:r w:rsidRPr="00FE6B8F">
        <w:rPr>
          <w:rFonts w:ascii="Arial" w:hAnsi="Arial" w:cs="Arial"/>
          <w:bCs/>
          <w:snapToGrid w:val="0"/>
          <w:sz w:val="18"/>
          <w:szCs w:val="18"/>
        </w:rPr>
        <w:t>número 1012200. 908. por la Segunda Sala de la Suprema Corte de Justicia de la Nación en el Apéndice 1917-Septiembre 2011. Tomo I. Constitucional 3. Derechos Fundamentales Primera Parte - SCJN Vigésima Segunda Sección - Derechos laborales, Pág. 2169</w:t>
      </w:r>
      <w:r>
        <w:rPr>
          <w:rFonts w:ascii="Arial" w:hAnsi="Arial" w:cs="Arial"/>
          <w:bCs/>
          <w:snapToGrid w:val="0"/>
          <w:sz w:val="18"/>
          <w:szCs w:val="18"/>
        </w:rPr>
        <w:t>.</w:t>
      </w:r>
    </w:p>
    <w:p w14:paraId="2DBFAAEB" w14:textId="5D40031E" w:rsidR="00FE6B8F" w:rsidRDefault="00FE6B8F">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EDE0C" w14:textId="2A1C4516" w:rsidR="00735348" w:rsidRDefault="00735348">
    <w:pPr>
      <w:pStyle w:val="Encabezado"/>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19931A96" wp14:editId="09B534B9">
              <wp:simplePos x="0" y="0"/>
              <wp:positionH relativeFrom="rightMargin">
                <wp:posOffset>38100</wp:posOffset>
              </wp:positionH>
              <wp:positionV relativeFrom="paragraph">
                <wp:posOffset>4655185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8CDCC1D" w14:textId="684D91FF" w:rsidR="00735348" w:rsidRPr="003B6E97" w:rsidRDefault="00735348" w:rsidP="0073534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w:t>
                          </w:r>
                          <w:r w:rsidR="00896EB4">
                            <w:rPr>
                              <w:rFonts w:ascii="Arial" w:hAnsi="Arial" w:cs="Arial"/>
                              <w:b/>
                            </w:rPr>
                            <w:t xml:space="preserve"> 61 </w:t>
                          </w:r>
                          <w:r w:rsidR="00896EB4" w:rsidRPr="003B6E97">
                            <w:rPr>
                              <w:rFonts w:ascii="Arial" w:hAnsi="Arial" w:cs="Arial"/>
                              <w:b/>
                            </w:rPr>
                            <w:t>de</w:t>
                          </w:r>
                          <w:r w:rsidR="00896EB4">
                            <w:rPr>
                              <w:rFonts w:ascii="Arial" w:hAnsi="Arial" w:cs="Arial"/>
                              <w:b/>
                            </w:rPr>
                            <w:t xml:space="preserve"> </w:t>
                          </w:r>
                          <w:r w:rsidR="00896EB4" w:rsidRPr="003B6E97">
                            <w:rPr>
                              <w:rFonts w:ascii="Arial" w:hAnsi="Arial" w:cs="Arial"/>
                              <w:b/>
                            </w:rPr>
                            <w:t xml:space="preserve">la </w:t>
                          </w:r>
                          <w:proofErr w:type="gramStart"/>
                          <w:r w:rsidR="00896EB4" w:rsidRPr="003B6E97">
                            <w:rPr>
                              <w:rFonts w:ascii="Arial" w:hAnsi="Arial" w:cs="Arial"/>
                              <w:b/>
                            </w:rPr>
                            <w:t>LTAIP</w:t>
                          </w:r>
                          <w:r w:rsidR="00896EB4">
                            <w:rPr>
                              <w:rFonts w:ascii="Arial" w:hAnsi="Arial" w:cs="Arial"/>
                              <w:b/>
                            </w:rPr>
                            <w:t>BG</w:t>
                          </w:r>
                          <w:r w:rsidR="00896EB4" w:rsidRPr="003B6E97">
                            <w:rPr>
                              <w:rFonts w:ascii="Arial" w:hAnsi="Arial" w:cs="Arial"/>
                              <w:b/>
                            </w:rPr>
                            <w:t>EO.</w:t>
                          </w:r>
                          <w:r w:rsidRPr="003B6E97">
                            <w:rPr>
                              <w:rFonts w:ascii="Arial" w:hAnsi="Arial" w:cs="Arial"/>
                              <w:b/>
                            </w:rPr>
                            <w:t>.</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931A96" id="_x0000_t202" coordsize="21600,21600" o:spt="202" path="m,l,21600r21600,l21600,xe">
              <v:stroke joinstyle="miter"/>
              <v:path gradientshapeok="t" o:connecttype="rect"/>
            </v:shapetype>
            <v:shape id="Cuadro de texto 3" o:spid="_x0000_s1026" type="#_x0000_t202" style="position:absolute;margin-left:3pt;margin-top:366.55pt;width:93pt;height:125.25pt;z-index:-25164288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">
              <v:textbox>
                <w:txbxContent>
                  <w:p w14:paraId="18CDCC1D" w14:textId="684D91FF" w:rsidR="00735348" w:rsidRPr="003B6E97" w:rsidRDefault="00735348" w:rsidP="0073534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w:t>
                    </w:r>
                    <w:r w:rsidR="00896EB4">
                      <w:rPr>
                        <w:rFonts w:ascii="Arial" w:hAnsi="Arial" w:cs="Arial"/>
                        <w:b/>
                      </w:rPr>
                      <w:t xml:space="preserve"> </w:t>
                    </w:r>
                    <w:r w:rsidR="00896EB4">
                      <w:rPr>
                        <w:rFonts w:ascii="Arial" w:hAnsi="Arial" w:cs="Arial"/>
                        <w:b/>
                      </w:rPr>
                      <w:t xml:space="preserve">61 </w:t>
                    </w:r>
                    <w:r w:rsidR="00896EB4" w:rsidRPr="003B6E97">
                      <w:rPr>
                        <w:rFonts w:ascii="Arial" w:hAnsi="Arial" w:cs="Arial"/>
                        <w:b/>
                      </w:rPr>
                      <w:t>de</w:t>
                    </w:r>
                    <w:r w:rsidR="00896EB4">
                      <w:rPr>
                        <w:rFonts w:ascii="Arial" w:hAnsi="Arial" w:cs="Arial"/>
                        <w:b/>
                      </w:rPr>
                      <w:t xml:space="preserve"> </w:t>
                    </w:r>
                    <w:r w:rsidR="00896EB4" w:rsidRPr="003B6E97">
                      <w:rPr>
                        <w:rFonts w:ascii="Arial" w:hAnsi="Arial" w:cs="Arial"/>
                        <w:b/>
                      </w:rPr>
                      <w:t>la LTAIP</w:t>
                    </w:r>
                    <w:r w:rsidR="00896EB4">
                      <w:rPr>
                        <w:rFonts w:ascii="Arial" w:hAnsi="Arial" w:cs="Arial"/>
                        <w:b/>
                      </w:rPr>
                      <w:t>BG</w:t>
                    </w:r>
                    <w:r w:rsidR="00896EB4" w:rsidRPr="003B6E97">
                      <w:rPr>
                        <w:rFonts w:ascii="Arial" w:hAnsi="Arial" w:cs="Arial"/>
                        <w:b/>
                      </w:rPr>
                      <w:t>EO.</w:t>
                    </w:r>
                    <w:r w:rsidRPr="003B6E97">
                      <w:rPr>
                        <w:rFonts w:ascii="Arial" w:hAnsi="Arial" w:cs="Arial"/>
                        <w:b/>
                      </w:rPr>
                      <w:t>.</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3C9F423" w:rsidR="0076338B" w:rsidRDefault="00735348">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45A7AB78" wp14:editId="7104EEF9">
              <wp:simplePos x="0" y="0"/>
              <wp:positionH relativeFrom="leftMargin">
                <wp:align>right</wp:align>
              </wp:positionH>
              <wp:positionV relativeFrom="paragraph">
                <wp:posOffset>4731385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5873271" w14:textId="641C1141" w:rsidR="00735348" w:rsidRPr="003B6E97" w:rsidRDefault="00735348" w:rsidP="0073534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3" w:name="_Hlk108096333"/>
                          <w:r w:rsidR="00764670">
                            <w:rPr>
                              <w:rFonts w:ascii="Arial" w:hAnsi="Arial" w:cs="Arial"/>
                              <w:b/>
                            </w:rPr>
                            <w:t xml:space="preserve">61 </w:t>
                          </w:r>
                          <w:r w:rsidRPr="003B6E97">
                            <w:rPr>
                              <w:rFonts w:ascii="Arial" w:hAnsi="Arial" w:cs="Arial"/>
                              <w:b/>
                            </w:rPr>
                            <w:t>de</w:t>
                          </w:r>
                          <w:r w:rsidR="00764670">
                            <w:rPr>
                              <w:rFonts w:ascii="Arial" w:hAnsi="Arial" w:cs="Arial"/>
                              <w:b/>
                            </w:rPr>
                            <w:t xml:space="preserve"> </w:t>
                          </w:r>
                          <w:r w:rsidRPr="003B6E97">
                            <w:rPr>
                              <w:rFonts w:ascii="Arial" w:hAnsi="Arial" w:cs="Arial"/>
                              <w:b/>
                            </w:rPr>
                            <w:t>la LTAIP</w:t>
                          </w:r>
                          <w:r w:rsidR="00764670">
                            <w:rPr>
                              <w:rFonts w:ascii="Arial" w:hAnsi="Arial" w:cs="Arial"/>
                              <w:b/>
                            </w:rPr>
                            <w:t>BG</w:t>
                          </w:r>
                          <w:r w:rsidRPr="003B6E97">
                            <w:rPr>
                              <w:rFonts w:ascii="Arial" w:hAnsi="Arial" w:cs="Arial"/>
                              <w:b/>
                            </w:rPr>
                            <w:t>EO.</w:t>
                          </w:r>
                          <w:bookmarkEnd w:id="3"/>
                          <w:r w:rsidR="007F60A7" w:rsidRPr="007F60A7">
                            <w:rPr>
                              <w:rFonts w:ascii="Arial" w:eastAsia="Times New Roman" w:hAnsi="Arial" w:cs="Arial"/>
                              <w:sz w:val="24"/>
                              <w:szCs w:val="27"/>
                              <w:lang w:val="es-ES_tradnl" w:eastAsia="es-ES"/>
                            </w:rPr>
                            <w:t xml:space="preserve"> </w:t>
                          </w:r>
                          <w:r w:rsidR="007F60A7">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A7AB78" id="_x0000_t202" coordsize="21600,21600" o:spt="202" path="m,l,21600r21600,l21600,xe">
              <v:stroke joinstyle="miter"/>
              <v:path gradientshapeok="t" o:connecttype="rect"/>
            </v:shapetype>
            <v:shape id="Cuadro de texto 1" o:spid="_x0000_s1027" type="#_x0000_t202" style="position:absolute;margin-left:41.8pt;margin-top:372.55pt;width:93pt;height:125.25pt;z-index:-25164492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">
              <v:textbox>
                <w:txbxContent>
                  <w:p w14:paraId="45873271" w14:textId="641C1141" w:rsidR="00735348" w:rsidRPr="003B6E97" w:rsidRDefault="00735348" w:rsidP="0073534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4" w:name="_Hlk108096333"/>
                    <w:r w:rsidR="00764670">
                      <w:rPr>
                        <w:rFonts w:ascii="Arial" w:hAnsi="Arial" w:cs="Arial"/>
                        <w:b/>
                      </w:rPr>
                      <w:t xml:space="preserve">61 </w:t>
                    </w:r>
                    <w:r w:rsidRPr="003B6E97">
                      <w:rPr>
                        <w:rFonts w:ascii="Arial" w:hAnsi="Arial" w:cs="Arial"/>
                        <w:b/>
                      </w:rPr>
                      <w:t>de</w:t>
                    </w:r>
                    <w:r w:rsidR="00764670">
                      <w:rPr>
                        <w:rFonts w:ascii="Arial" w:hAnsi="Arial" w:cs="Arial"/>
                        <w:b/>
                      </w:rPr>
                      <w:t xml:space="preserve"> </w:t>
                    </w:r>
                    <w:r w:rsidRPr="003B6E97">
                      <w:rPr>
                        <w:rFonts w:ascii="Arial" w:hAnsi="Arial" w:cs="Arial"/>
                        <w:b/>
                      </w:rPr>
                      <w:t>la LTAIP</w:t>
                    </w:r>
                    <w:r w:rsidR="00764670">
                      <w:rPr>
                        <w:rFonts w:ascii="Arial" w:hAnsi="Arial" w:cs="Arial"/>
                        <w:b/>
                      </w:rPr>
                      <w:t>BG</w:t>
                    </w:r>
                    <w:r w:rsidRPr="003B6E97">
                      <w:rPr>
                        <w:rFonts w:ascii="Arial" w:hAnsi="Arial" w:cs="Arial"/>
                        <w:b/>
                      </w:rPr>
                      <w:t>EO.</w:t>
                    </w:r>
                    <w:bookmarkEnd w:id="4"/>
                    <w:r w:rsidR="007F60A7" w:rsidRPr="007F60A7">
                      <w:rPr>
                        <w:rFonts w:ascii="Arial" w:eastAsia="Times New Roman" w:hAnsi="Arial" w:cs="Arial"/>
                        <w:sz w:val="24"/>
                        <w:szCs w:val="27"/>
                        <w:lang w:val="es-ES_tradnl" w:eastAsia="es-ES"/>
                      </w:rPr>
                      <w:t xml:space="preserve"> </w:t>
                    </w:r>
                    <w:r w:rsidR="007F60A7">
                      <w:rPr>
                        <w:rFonts w:ascii="Arial" w:eastAsia="Times New Roman" w:hAnsi="Arial" w:cs="Arial"/>
                        <w:sz w:val="24"/>
                        <w:szCs w:val="27"/>
                        <w:lang w:val="es-ES_tradnl" w:eastAsia="es-ES"/>
                      </w:rPr>
                      <w:t>AZALIA LOPEZ O AZALIA LOPEZ PAEZ</w:t>
                    </w:r>
                  </w:p>
                </w:txbxContent>
              </v:textbox>
              <w10:wrap anchorx="margin"/>
            </v:shape>
          </w:pict>
        </mc:Fallback>
      </mc:AlternateContent>
    </w:r>
    <w:r w:rsidR="009D3AE7">
      <w:rPr>
        <w:noProof/>
        <w:lang w:val="es-ES" w:eastAsia="es-ES"/>
      </w:rPr>
      <w:drawing>
        <wp:anchor distT="0" distB="0" distL="114300" distR="114300" simplePos="0" relativeHeight="251667456" behindDoc="1" locked="0" layoutInCell="1" allowOverlap="1" wp14:anchorId="7059FA07" wp14:editId="53C739DA">
          <wp:simplePos x="0" y="0"/>
          <wp:positionH relativeFrom="margin">
            <wp:align>center</wp:align>
          </wp:positionH>
          <wp:positionV relativeFrom="paragraph">
            <wp:posOffset>4514215</wp:posOffset>
          </wp:positionV>
          <wp:extent cx="7711312" cy="2869325"/>
          <wp:effectExtent l="0" t="0" r="4445" b="762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7BC3DFF" w:rsidR="0076338B" w:rsidRDefault="00735348">
    <w:pPr>
      <w:pStyle w:val="Encabezado"/>
    </w:pPr>
    <w:r>
      <w:rPr>
        <w:rFonts w:ascii="Bookman Old Style" w:hAnsi="Bookman Old Style"/>
        <w:noProof/>
        <w:lang w:eastAsia="es-MX"/>
      </w:rPr>
      <mc:AlternateContent>
        <mc:Choice Requires="wps">
          <w:drawing>
            <wp:anchor distT="45720" distB="45720" distL="114300" distR="114300" simplePos="0" relativeHeight="251669504" behindDoc="1" locked="0" layoutInCell="1" allowOverlap="1" wp14:anchorId="6BA33E0B" wp14:editId="63E5602C">
              <wp:simplePos x="0" y="0"/>
              <wp:positionH relativeFrom="leftMargin">
                <wp:align>right</wp:align>
              </wp:positionH>
              <wp:positionV relativeFrom="paragraph">
                <wp:posOffset>5140960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7F0A76A" w14:textId="77777777" w:rsidR="00735348" w:rsidRPr="003B6E97" w:rsidRDefault="00735348" w:rsidP="0073534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A33E0B" id="_x0000_t202" coordsize="21600,21600" o:spt="202" path="m,l,21600r21600,l21600,xe">
              <v:stroke joinstyle="miter"/>
              <v:path gradientshapeok="t" o:connecttype="rect"/>
            </v:shapetype>
            <v:shape id="Cuadro de texto 5" o:spid="_x0000_s1028" type="#_x0000_t202" style="position:absolute;margin-left:41.8pt;margin-top:404.8pt;width:93pt;height:125.25pt;z-index:-25164697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">
              <v:textbox>
                <w:txbxContent>
                  <w:p w14:paraId="27F0A76A" w14:textId="77777777" w:rsidR="00735348" w:rsidRPr="003B6E97" w:rsidRDefault="00735348" w:rsidP="0073534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9D3AE7">
      <w:rPr>
        <w:noProof/>
        <w:lang w:val="es-ES" w:eastAsia="es-ES"/>
      </w:rPr>
      <w:drawing>
        <wp:anchor distT="0" distB="0" distL="114300" distR="114300" simplePos="0" relativeHeight="251665408" behindDoc="1" locked="0" layoutInCell="1" allowOverlap="1" wp14:anchorId="707F6CA1" wp14:editId="52A79893">
          <wp:simplePos x="0" y="0"/>
          <wp:positionH relativeFrom="margin">
            <wp:align>center</wp:align>
          </wp:positionH>
          <wp:positionV relativeFrom="paragraph">
            <wp:posOffset>4514215</wp:posOffset>
          </wp:positionV>
          <wp:extent cx="7711312" cy="2869325"/>
          <wp:effectExtent l="0" t="0" r="4445" b="762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150262ED">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3"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5A5036E"/>
    <w:multiLevelType w:val="hybridMultilevel"/>
    <w:tmpl w:val="2F1A5860"/>
    <w:lvl w:ilvl="0" w:tplc="1CFA1822">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0"/>
  </w:num>
  <w:num w:numId="5">
    <w:abstractNumId w:val="4"/>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3A18"/>
    <w:rsid w:val="0000535D"/>
    <w:rsid w:val="00012F54"/>
    <w:rsid w:val="000203B2"/>
    <w:rsid w:val="00021165"/>
    <w:rsid w:val="00023E0F"/>
    <w:rsid w:val="00024574"/>
    <w:rsid w:val="0002521A"/>
    <w:rsid w:val="000261A8"/>
    <w:rsid w:val="0002621E"/>
    <w:rsid w:val="00026BB2"/>
    <w:rsid w:val="00030491"/>
    <w:rsid w:val="00030CAE"/>
    <w:rsid w:val="00032827"/>
    <w:rsid w:val="000337D1"/>
    <w:rsid w:val="000363E1"/>
    <w:rsid w:val="00036A0C"/>
    <w:rsid w:val="00043748"/>
    <w:rsid w:val="00045125"/>
    <w:rsid w:val="00045E11"/>
    <w:rsid w:val="00051177"/>
    <w:rsid w:val="0005415A"/>
    <w:rsid w:val="000662B7"/>
    <w:rsid w:val="00070FF6"/>
    <w:rsid w:val="00087DE7"/>
    <w:rsid w:val="000913DC"/>
    <w:rsid w:val="00092E1F"/>
    <w:rsid w:val="00094E83"/>
    <w:rsid w:val="000951F5"/>
    <w:rsid w:val="000A25F3"/>
    <w:rsid w:val="000A2814"/>
    <w:rsid w:val="000A2879"/>
    <w:rsid w:val="000A2A86"/>
    <w:rsid w:val="000A3369"/>
    <w:rsid w:val="000A5644"/>
    <w:rsid w:val="000A5C47"/>
    <w:rsid w:val="000B1C0B"/>
    <w:rsid w:val="000B26D1"/>
    <w:rsid w:val="000B426C"/>
    <w:rsid w:val="000B48CB"/>
    <w:rsid w:val="000C1184"/>
    <w:rsid w:val="000C35D8"/>
    <w:rsid w:val="000C6172"/>
    <w:rsid w:val="000C6FAD"/>
    <w:rsid w:val="000C74C4"/>
    <w:rsid w:val="000D23FD"/>
    <w:rsid w:val="000E1601"/>
    <w:rsid w:val="000E2FD3"/>
    <w:rsid w:val="000E728E"/>
    <w:rsid w:val="001009AB"/>
    <w:rsid w:val="00102315"/>
    <w:rsid w:val="00104150"/>
    <w:rsid w:val="001060BD"/>
    <w:rsid w:val="00115274"/>
    <w:rsid w:val="00120A2E"/>
    <w:rsid w:val="00124C47"/>
    <w:rsid w:val="00125DC6"/>
    <w:rsid w:val="001275B8"/>
    <w:rsid w:val="00131EDE"/>
    <w:rsid w:val="00132658"/>
    <w:rsid w:val="001350AA"/>
    <w:rsid w:val="001352D8"/>
    <w:rsid w:val="0013532F"/>
    <w:rsid w:val="0013603B"/>
    <w:rsid w:val="00140805"/>
    <w:rsid w:val="00151127"/>
    <w:rsid w:val="001514E4"/>
    <w:rsid w:val="00154F33"/>
    <w:rsid w:val="001628B3"/>
    <w:rsid w:val="001636E6"/>
    <w:rsid w:val="001658D6"/>
    <w:rsid w:val="0016624C"/>
    <w:rsid w:val="0017012B"/>
    <w:rsid w:val="00181533"/>
    <w:rsid w:val="001861F5"/>
    <w:rsid w:val="00187883"/>
    <w:rsid w:val="00196279"/>
    <w:rsid w:val="001A1FE9"/>
    <w:rsid w:val="001A2788"/>
    <w:rsid w:val="001B0663"/>
    <w:rsid w:val="001B77BA"/>
    <w:rsid w:val="001C0E70"/>
    <w:rsid w:val="001C0F76"/>
    <w:rsid w:val="001C6514"/>
    <w:rsid w:val="001D267C"/>
    <w:rsid w:val="001E0A4C"/>
    <w:rsid w:val="001E1A1B"/>
    <w:rsid w:val="001E49C1"/>
    <w:rsid w:val="001E4A0B"/>
    <w:rsid w:val="001F2FF9"/>
    <w:rsid w:val="001F549A"/>
    <w:rsid w:val="00203B91"/>
    <w:rsid w:val="0021047B"/>
    <w:rsid w:val="0021561E"/>
    <w:rsid w:val="002222BB"/>
    <w:rsid w:val="002257D3"/>
    <w:rsid w:val="00226128"/>
    <w:rsid w:val="002302BA"/>
    <w:rsid w:val="00230E4C"/>
    <w:rsid w:val="002318D5"/>
    <w:rsid w:val="002352A6"/>
    <w:rsid w:val="0023614D"/>
    <w:rsid w:val="00236589"/>
    <w:rsid w:val="002419CF"/>
    <w:rsid w:val="00245075"/>
    <w:rsid w:val="00245D82"/>
    <w:rsid w:val="002471A1"/>
    <w:rsid w:val="00251577"/>
    <w:rsid w:val="002524BD"/>
    <w:rsid w:val="00252E0F"/>
    <w:rsid w:val="00262048"/>
    <w:rsid w:val="00265704"/>
    <w:rsid w:val="00267C69"/>
    <w:rsid w:val="0027164D"/>
    <w:rsid w:val="002747AF"/>
    <w:rsid w:val="0027572E"/>
    <w:rsid w:val="0027767F"/>
    <w:rsid w:val="00280F20"/>
    <w:rsid w:val="0028475A"/>
    <w:rsid w:val="002914F2"/>
    <w:rsid w:val="00292144"/>
    <w:rsid w:val="00295133"/>
    <w:rsid w:val="002A5F3D"/>
    <w:rsid w:val="002A616E"/>
    <w:rsid w:val="002A6281"/>
    <w:rsid w:val="002A7FE6"/>
    <w:rsid w:val="002B245A"/>
    <w:rsid w:val="002B2C0E"/>
    <w:rsid w:val="002B52BC"/>
    <w:rsid w:val="002B7376"/>
    <w:rsid w:val="002C09AC"/>
    <w:rsid w:val="002C0FD7"/>
    <w:rsid w:val="002C50AB"/>
    <w:rsid w:val="002C6608"/>
    <w:rsid w:val="002D696F"/>
    <w:rsid w:val="002E0F64"/>
    <w:rsid w:val="002F08AA"/>
    <w:rsid w:val="002F2F88"/>
    <w:rsid w:val="002F71C8"/>
    <w:rsid w:val="00301470"/>
    <w:rsid w:val="003039BE"/>
    <w:rsid w:val="00304F2A"/>
    <w:rsid w:val="003057ED"/>
    <w:rsid w:val="003119B9"/>
    <w:rsid w:val="00311CB2"/>
    <w:rsid w:val="00314C35"/>
    <w:rsid w:val="003173F3"/>
    <w:rsid w:val="00324282"/>
    <w:rsid w:val="00327322"/>
    <w:rsid w:val="00327ABE"/>
    <w:rsid w:val="003300CB"/>
    <w:rsid w:val="00330516"/>
    <w:rsid w:val="00331255"/>
    <w:rsid w:val="003337E5"/>
    <w:rsid w:val="00341525"/>
    <w:rsid w:val="00346EA0"/>
    <w:rsid w:val="00350413"/>
    <w:rsid w:val="00351EF2"/>
    <w:rsid w:val="0035374B"/>
    <w:rsid w:val="00354B88"/>
    <w:rsid w:val="003569E3"/>
    <w:rsid w:val="00363A10"/>
    <w:rsid w:val="00363EFF"/>
    <w:rsid w:val="00370E42"/>
    <w:rsid w:val="00370F15"/>
    <w:rsid w:val="00371394"/>
    <w:rsid w:val="00375C9A"/>
    <w:rsid w:val="003877DB"/>
    <w:rsid w:val="00387930"/>
    <w:rsid w:val="00387B42"/>
    <w:rsid w:val="003905EF"/>
    <w:rsid w:val="003A382C"/>
    <w:rsid w:val="003C1032"/>
    <w:rsid w:val="003C37D1"/>
    <w:rsid w:val="003C3CAD"/>
    <w:rsid w:val="003C7C99"/>
    <w:rsid w:val="003D0D95"/>
    <w:rsid w:val="003D6C41"/>
    <w:rsid w:val="003E0CBC"/>
    <w:rsid w:val="003E3CFA"/>
    <w:rsid w:val="003E65D9"/>
    <w:rsid w:val="003E727C"/>
    <w:rsid w:val="003F06D0"/>
    <w:rsid w:val="003F2E0D"/>
    <w:rsid w:val="004018A4"/>
    <w:rsid w:val="00404A2C"/>
    <w:rsid w:val="004107AC"/>
    <w:rsid w:val="00410B01"/>
    <w:rsid w:val="00413E7C"/>
    <w:rsid w:val="0041690D"/>
    <w:rsid w:val="00423C8C"/>
    <w:rsid w:val="00425036"/>
    <w:rsid w:val="00427278"/>
    <w:rsid w:val="00430B1C"/>
    <w:rsid w:val="0043159F"/>
    <w:rsid w:val="00432832"/>
    <w:rsid w:val="00435550"/>
    <w:rsid w:val="00440813"/>
    <w:rsid w:val="004432E7"/>
    <w:rsid w:val="00443701"/>
    <w:rsid w:val="0044699F"/>
    <w:rsid w:val="00446A6F"/>
    <w:rsid w:val="004471F8"/>
    <w:rsid w:val="00450B3C"/>
    <w:rsid w:val="00451D96"/>
    <w:rsid w:val="00457003"/>
    <w:rsid w:val="00460CAD"/>
    <w:rsid w:val="00464066"/>
    <w:rsid w:val="004660BC"/>
    <w:rsid w:val="00471718"/>
    <w:rsid w:val="00471CEB"/>
    <w:rsid w:val="004723BF"/>
    <w:rsid w:val="00481380"/>
    <w:rsid w:val="0048308A"/>
    <w:rsid w:val="00485E2A"/>
    <w:rsid w:val="004A0097"/>
    <w:rsid w:val="004A0EDA"/>
    <w:rsid w:val="004A23FF"/>
    <w:rsid w:val="004A3D22"/>
    <w:rsid w:val="004A3D3D"/>
    <w:rsid w:val="004A57D6"/>
    <w:rsid w:val="004A6487"/>
    <w:rsid w:val="004B030F"/>
    <w:rsid w:val="004B0D7E"/>
    <w:rsid w:val="004B22DE"/>
    <w:rsid w:val="004C0019"/>
    <w:rsid w:val="004D40B5"/>
    <w:rsid w:val="004D4CEC"/>
    <w:rsid w:val="004E54EA"/>
    <w:rsid w:val="004E6EA5"/>
    <w:rsid w:val="004F202C"/>
    <w:rsid w:val="004F5EA4"/>
    <w:rsid w:val="00504B18"/>
    <w:rsid w:val="00504C8D"/>
    <w:rsid w:val="00504CD6"/>
    <w:rsid w:val="00511877"/>
    <w:rsid w:val="00522225"/>
    <w:rsid w:val="00524C59"/>
    <w:rsid w:val="0052515D"/>
    <w:rsid w:val="005277D3"/>
    <w:rsid w:val="00530924"/>
    <w:rsid w:val="00533365"/>
    <w:rsid w:val="0053425C"/>
    <w:rsid w:val="005359BA"/>
    <w:rsid w:val="005428ED"/>
    <w:rsid w:val="00543881"/>
    <w:rsid w:val="00551613"/>
    <w:rsid w:val="00551879"/>
    <w:rsid w:val="00554D73"/>
    <w:rsid w:val="00555D1C"/>
    <w:rsid w:val="0055660F"/>
    <w:rsid w:val="005579FF"/>
    <w:rsid w:val="00564CE2"/>
    <w:rsid w:val="00566787"/>
    <w:rsid w:val="00571FEB"/>
    <w:rsid w:val="00573D74"/>
    <w:rsid w:val="00583B55"/>
    <w:rsid w:val="00583E3A"/>
    <w:rsid w:val="00585EFB"/>
    <w:rsid w:val="00591D82"/>
    <w:rsid w:val="00592562"/>
    <w:rsid w:val="00594FDB"/>
    <w:rsid w:val="005A4A79"/>
    <w:rsid w:val="005B2116"/>
    <w:rsid w:val="005B5E0B"/>
    <w:rsid w:val="005B650F"/>
    <w:rsid w:val="005C329C"/>
    <w:rsid w:val="005C3C52"/>
    <w:rsid w:val="005C6B2C"/>
    <w:rsid w:val="005D2676"/>
    <w:rsid w:val="005D28D8"/>
    <w:rsid w:val="005D3B58"/>
    <w:rsid w:val="005D3CC9"/>
    <w:rsid w:val="005D423E"/>
    <w:rsid w:val="005D5A0B"/>
    <w:rsid w:val="005D64B9"/>
    <w:rsid w:val="005E65BA"/>
    <w:rsid w:val="005E7231"/>
    <w:rsid w:val="005F5334"/>
    <w:rsid w:val="005F6C33"/>
    <w:rsid w:val="00604752"/>
    <w:rsid w:val="00617713"/>
    <w:rsid w:val="00620928"/>
    <w:rsid w:val="00624FF8"/>
    <w:rsid w:val="00625ECE"/>
    <w:rsid w:val="0063365D"/>
    <w:rsid w:val="00633E37"/>
    <w:rsid w:val="00641215"/>
    <w:rsid w:val="00641CD0"/>
    <w:rsid w:val="00642CF7"/>
    <w:rsid w:val="00642D22"/>
    <w:rsid w:val="00653CF6"/>
    <w:rsid w:val="0066005E"/>
    <w:rsid w:val="00661E96"/>
    <w:rsid w:val="006641A2"/>
    <w:rsid w:val="00670A60"/>
    <w:rsid w:val="00676E1F"/>
    <w:rsid w:val="00683284"/>
    <w:rsid w:val="0068650C"/>
    <w:rsid w:val="0069002D"/>
    <w:rsid w:val="006908BC"/>
    <w:rsid w:val="00694F98"/>
    <w:rsid w:val="00696128"/>
    <w:rsid w:val="00696743"/>
    <w:rsid w:val="00697132"/>
    <w:rsid w:val="0069779C"/>
    <w:rsid w:val="006A39A2"/>
    <w:rsid w:val="006A54B9"/>
    <w:rsid w:val="006B091C"/>
    <w:rsid w:val="006B2272"/>
    <w:rsid w:val="006B62EA"/>
    <w:rsid w:val="006B6EE7"/>
    <w:rsid w:val="006B7E96"/>
    <w:rsid w:val="006C030B"/>
    <w:rsid w:val="006C66B7"/>
    <w:rsid w:val="006C7F1A"/>
    <w:rsid w:val="006D29F5"/>
    <w:rsid w:val="006D5469"/>
    <w:rsid w:val="006E71B3"/>
    <w:rsid w:val="006F3E80"/>
    <w:rsid w:val="006F3FD9"/>
    <w:rsid w:val="00700A6E"/>
    <w:rsid w:val="00701933"/>
    <w:rsid w:val="00704070"/>
    <w:rsid w:val="00705168"/>
    <w:rsid w:val="00711DCC"/>
    <w:rsid w:val="00714DB4"/>
    <w:rsid w:val="0071655A"/>
    <w:rsid w:val="00720051"/>
    <w:rsid w:val="0072112F"/>
    <w:rsid w:val="007215BC"/>
    <w:rsid w:val="00721FC5"/>
    <w:rsid w:val="00724429"/>
    <w:rsid w:val="00725DC8"/>
    <w:rsid w:val="00731A17"/>
    <w:rsid w:val="00732F50"/>
    <w:rsid w:val="00734A25"/>
    <w:rsid w:val="00735348"/>
    <w:rsid w:val="007409F2"/>
    <w:rsid w:val="00740E6B"/>
    <w:rsid w:val="00742B73"/>
    <w:rsid w:val="00742C49"/>
    <w:rsid w:val="00744373"/>
    <w:rsid w:val="00747EB3"/>
    <w:rsid w:val="00750B8A"/>
    <w:rsid w:val="00754B12"/>
    <w:rsid w:val="0076119B"/>
    <w:rsid w:val="0076338B"/>
    <w:rsid w:val="00764670"/>
    <w:rsid w:val="00765C49"/>
    <w:rsid w:val="00775EA3"/>
    <w:rsid w:val="00780B90"/>
    <w:rsid w:val="00783959"/>
    <w:rsid w:val="00785B67"/>
    <w:rsid w:val="007866EA"/>
    <w:rsid w:val="00787341"/>
    <w:rsid w:val="00790179"/>
    <w:rsid w:val="00793DA7"/>
    <w:rsid w:val="007960F5"/>
    <w:rsid w:val="007A14F2"/>
    <w:rsid w:val="007B2C4C"/>
    <w:rsid w:val="007B5995"/>
    <w:rsid w:val="007C4592"/>
    <w:rsid w:val="007C4EBB"/>
    <w:rsid w:val="007C7071"/>
    <w:rsid w:val="007D0F26"/>
    <w:rsid w:val="007D5781"/>
    <w:rsid w:val="007D64EC"/>
    <w:rsid w:val="007D64ED"/>
    <w:rsid w:val="007D6CC5"/>
    <w:rsid w:val="007E112A"/>
    <w:rsid w:val="007F03CD"/>
    <w:rsid w:val="007F293B"/>
    <w:rsid w:val="007F54D9"/>
    <w:rsid w:val="007F60A7"/>
    <w:rsid w:val="00800787"/>
    <w:rsid w:val="00800F45"/>
    <w:rsid w:val="00801C91"/>
    <w:rsid w:val="00801F14"/>
    <w:rsid w:val="00804B71"/>
    <w:rsid w:val="00804C16"/>
    <w:rsid w:val="008067B1"/>
    <w:rsid w:val="00806EAC"/>
    <w:rsid w:val="008072E7"/>
    <w:rsid w:val="00807E34"/>
    <w:rsid w:val="00810717"/>
    <w:rsid w:val="00812C40"/>
    <w:rsid w:val="00817A5C"/>
    <w:rsid w:val="00820DC4"/>
    <w:rsid w:val="00821AFB"/>
    <w:rsid w:val="0082290F"/>
    <w:rsid w:val="008275D7"/>
    <w:rsid w:val="00830200"/>
    <w:rsid w:val="0083186B"/>
    <w:rsid w:val="00832B4F"/>
    <w:rsid w:val="008341DC"/>
    <w:rsid w:val="00835131"/>
    <w:rsid w:val="00842AD9"/>
    <w:rsid w:val="00844D2C"/>
    <w:rsid w:val="00850D9A"/>
    <w:rsid w:val="00851CF4"/>
    <w:rsid w:val="00855326"/>
    <w:rsid w:val="00856627"/>
    <w:rsid w:val="00856D6D"/>
    <w:rsid w:val="0085714C"/>
    <w:rsid w:val="0088558F"/>
    <w:rsid w:val="00885E7B"/>
    <w:rsid w:val="00891558"/>
    <w:rsid w:val="00896EB4"/>
    <w:rsid w:val="008A2064"/>
    <w:rsid w:val="008A2FD4"/>
    <w:rsid w:val="008A3A19"/>
    <w:rsid w:val="008A4435"/>
    <w:rsid w:val="008B0405"/>
    <w:rsid w:val="008B0DBF"/>
    <w:rsid w:val="008B7C4F"/>
    <w:rsid w:val="008C0D59"/>
    <w:rsid w:val="008C1AC1"/>
    <w:rsid w:val="008C335E"/>
    <w:rsid w:val="008C6A3C"/>
    <w:rsid w:val="008C764E"/>
    <w:rsid w:val="008D71C0"/>
    <w:rsid w:val="008D748B"/>
    <w:rsid w:val="008E453F"/>
    <w:rsid w:val="008F0098"/>
    <w:rsid w:val="008F0BE4"/>
    <w:rsid w:val="008F53BA"/>
    <w:rsid w:val="008F793E"/>
    <w:rsid w:val="00903B51"/>
    <w:rsid w:val="00910E7B"/>
    <w:rsid w:val="0091257C"/>
    <w:rsid w:val="00912B4E"/>
    <w:rsid w:val="00920C87"/>
    <w:rsid w:val="009210BB"/>
    <w:rsid w:val="00926CF7"/>
    <w:rsid w:val="0093055C"/>
    <w:rsid w:val="00931E40"/>
    <w:rsid w:val="00942F68"/>
    <w:rsid w:val="009433DD"/>
    <w:rsid w:val="009441FE"/>
    <w:rsid w:val="00944977"/>
    <w:rsid w:val="009518EB"/>
    <w:rsid w:val="009544F4"/>
    <w:rsid w:val="00960A43"/>
    <w:rsid w:val="0096662B"/>
    <w:rsid w:val="00966F53"/>
    <w:rsid w:val="00975C4C"/>
    <w:rsid w:val="00982481"/>
    <w:rsid w:val="00993610"/>
    <w:rsid w:val="0099777C"/>
    <w:rsid w:val="009A0AF0"/>
    <w:rsid w:val="009A3A46"/>
    <w:rsid w:val="009A4EB1"/>
    <w:rsid w:val="009A5429"/>
    <w:rsid w:val="009A7918"/>
    <w:rsid w:val="009B6304"/>
    <w:rsid w:val="009B70EA"/>
    <w:rsid w:val="009B727A"/>
    <w:rsid w:val="009C0670"/>
    <w:rsid w:val="009C0C09"/>
    <w:rsid w:val="009C3AB3"/>
    <w:rsid w:val="009C68FE"/>
    <w:rsid w:val="009D03BC"/>
    <w:rsid w:val="009D214C"/>
    <w:rsid w:val="009D3AE7"/>
    <w:rsid w:val="009E5B18"/>
    <w:rsid w:val="009E6F49"/>
    <w:rsid w:val="00A02773"/>
    <w:rsid w:val="00A04B22"/>
    <w:rsid w:val="00A04DE9"/>
    <w:rsid w:val="00A05B91"/>
    <w:rsid w:val="00A061F4"/>
    <w:rsid w:val="00A127E8"/>
    <w:rsid w:val="00A12CD4"/>
    <w:rsid w:val="00A155F9"/>
    <w:rsid w:val="00A17D80"/>
    <w:rsid w:val="00A20957"/>
    <w:rsid w:val="00A25FB6"/>
    <w:rsid w:val="00A30B97"/>
    <w:rsid w:val="00A343E5"/>
    <w:rsid w:val="00A4179A"/>
    <w:rsid w:val="00A43413"/>
    <w:rsid w:val="00A45F82"/>
    <w:rsid w:val="00A56DBD"/>
    <w:rsid w:val="00A646F1"/>
    <w:rsid w:val="00A66CB3"/>
    <w:rsid w:val="00A75BA6"/>
    <w:rsid w:val="00A75EDF"/>
    <w:rsid w:val="00A76F90"/>
    <w:rsid w:val="00A775C0"/>
    <w:rsid w:val="00A77769"/>
    <w:rsid w:val="00A806F0"/>
    <w:rsid w:val="00A81ED2"/>
    <w:rsid w:val="00A853A8"/>
    <w:rsid w:val="00A86463"/>
    <w:rsid w:val="00A86917"/>
    <w:rsid w:val="00A87F32"/>
    <w:rsid w:val="00A90874"/>
    <w:rsid w:val="00A9124C"/>
    <w:rsid w:val="00A92EC1"/>
    <w:rsid w:val="00A94B98"/>
    <w:rsid w:val="00A95C95"/>
    <w:rsid w:val="00AA4133"/>
    <w:rsid w:val="00AA5876"/>
    <w:rsid w:val="00AA68B4"/>
    <w:rsid w:val="00AB34AE"/>
    <w:rsid w:val="00AC4DE8"/>
    <w:rsid w:val="00AC7A12"/>
    <w:rsid w:val="00AD0B97"/>
    <w:rsid w:val="00AD2DBD"/>
    <w:rsid w:val="00AD2FD7"/>
    <w:rsid w:val="00AD4F5A"/>
    <w:rsid w:val="00AD613C"/>
    <w:rsid w:val="00AD6617"/>
    <w:rsid w:val="00AD728C"/>
    <w:rsid w:val="00AD7452"/>
    <w:rsid w:val="00AE51B3"/>
    <w:rsid w:val="00AF4B3A"/>
    <w:rsid w:val="00AF69FC"/>
    <w:rsid w:val="00B027D1"/>
    <w:rsid w:val="00B042DC"/>
    <w:rsid w:val="00B058FC"/>
    <w:rsid w:val="00B06090"/>
    <w:rsid w:val="00B10C7A"/>
    <w:rsid w:val="00B15B86"/>
    <w:rsid w:val="00B17404"/>
    <w:rsid w:val="00B17526"/>
    <w:rsid w:val="00B20292"/>
    <w:rsid w:val="00B26CCE"/>
    <w:rsid w:val="00B342F2"/>
    <w:rsid w:val="00B416AA"/>
    <w:rsid w:val="00B41B7D"/>
    <w:rsid w:val="00B443A5"/>
    <w:rsid w:val="00B605A5"/>
    <w:rsid w:val="00B6175C"/>
    <w:rsid w:val="00B7672E"/>
    <w:rsid w:val="00B8023E"/>
    <w:rsid w:val="00B82C06"/>
    <w:rsid w:val="00B84660"/>
    <w:rsid w:val="00B8697C"/>
    <w:rsid w:val="00B87CD4"/>
    <w:rsid w:val="00B96427"/>
    <w:rsid w:val="00B96496"/>
    <w:rsid w:val="00BA097E"/>
    <w:rsid w:val="00BA2A85"/>
    <w:rsid w:val="00BA302B"/>
    <w:rsid w:val="00BA763A"/>
    <w:rsid w:val="00BB3845"/>
    <w:rsid w:val="00BB3ADA"/>
    <w:rsid w:val="00BB485D"/>
    <w:rsid w:val="00BD0277"/>
    <w:rsid w:val="00BD30CE"/>
    <w:rsid w:val="00BD3726"/>
    <w:rsid w:val="00BD5D6A"/>
    <w:rsid w:val="00BD7643"/>
    <w:rsid w:val="00BE36BD"/>
    <w:rsid w:val="00BE5B63"/>
    <w:rsid w:val="00BE617D"/>
    <w:rsid w:val="00BE7B40"/>
    <w:rsid w:val="00BF034F"/>
    <w:rsid w:val="00BF1D3E"/>
    <w:rsid w:val="00BF4D78"/>
    <w:rsid w:val="00C07985"/>
    <w:rsid w:val="00C07DAF"/>
    <w:rsid w:val="00C07F53"/>
    <w:rsid w:val="00C1151D"/>
    <w:rsid w:val="00C14639"/>
    <w:rsid w:val="00C21B1E"/>
    <w:rsid w:val="00C22BD2"/>
    <w:rsid w:val="00C25F4B"/>
    <w:rsid w:val="00C26A2D"/>
    <w:rsid w:val="00C3147A"/>
    <w:rsid w:val="00C32644"/>
    <w:rsid w:val="00C33E0E"/>
    <w:rsid w:val="00C35AD9"/>
    <w:rsid w:val="00C3660B"/>
    <w:rsid w:val="00C36E94"/>
    <w:rsid w:val="00C372A6"/>
    <w:rsid w:val="00C42E19"/>
    <w:rsid w:val="00C44636"/>
    <w:rsid w:val="00C53AEE"/>
    <w:rsid w:val="00C5474C"/>
    <w:rsid w:val="00C57303"/>
    <w:rsid w:val="00C57648"/>
    <w:rsid w:val="00C61D30"/>
    <w:rsid w:val="00C659D1"/>
    <w:rsid w:val="00C67B7C"/>
    <w:rsid w:val="00C7360C"/>
    <w:rsid w:val="00C84C1F"/>
    <w:rsid w:val="00C86257"/>
    <w:rsid w:val="00C908F5"/>
    <w:rsid w:val="00C91890"/>
    <w:rsid w:val="00C934CE"/>
    <w:rsid w:val="00C93E6D"/>
    <w:rsid w:val="00CA0FC8"/>
    <w:rsid w:val="00CA18A3"/>
    <w:rsid w:val="00CA4007"/>
    <w:rsid w:val="00CB0EA1"/>
    <w:rsid w:val="00CB2571"/>
    <w:rsid w:val="00CB27C8"/>
    <w:rsid w:val="00CB43BB"/>
    <w:rsid w:val="00CB512D"/>
    <w:rsid w:val="00CB5F39"/>
    <w:rsid w:val="00CC01DB"/>
    <w:rsid w:val="00CC10B7"/>
    <w:rsid w:val="00CC3A04"/>
    <w:rsid w:val="00CC3C63"/>
    <w:rsid w:val="00CD643E"/>
    <w:rsid w:val="00CD6AA0"/>
    <w:rsid w:val="00CE19F5"/>
    <w:rsid w:val="00CE43E4"/>
    <w:rsid w:val="00CF001F"/>
    <w:rsid w:val="00CF31A1"/>
    <w:rsid w:val="00D008EC"/>
    <w:rsid w:val="00D01DD0"/>
    <w:rsid w:val="00D03C91"/>
    <w:rsid w:val="00D0523A"/>
    <w:rsid w:val="00D06B45"/>
    <w:rsid w:val="00D07184"/>
    <w:rsid w:val="00D352E5"/>
    <w:rsid w:val="00D3679B"/>
    <w:rsid w:val="00D36828"/>
    <w:rsid w:val="00D419D5"/>
    <w:rsid w:val="00D46647"/>
    <w:rsid w:val="00D52F55"/>
    <w:rsid w:val="00D573CC"/>
    <w:rsid w:val="00D604D6"/>
    <w:rsid w:val="00D63CB2"/>
    <w:rsid w:val="00D70930"/>
    <w:rsid w:val="00D75A2B"/>
    <w:rsid w:val="00D80AB3"/>
    <w:rsid w:val="00D829B2"/>
    <w:rsid w:val="00D83D36"/>
    <w:rsid w:val="00D84538"/>
    <w:rsid w:val="00D870CD"/>
    <w:rsid w:val="00D93CA4"/>
    <w:rsid w:val="00D96B1E"/>
    <w:rsid w:val="00D96FCD"/>
    <w:rsid w:val="00DA6A9E"/>
    <w:rsid w:val="00DA7969"/>
    <w:rsid w:val="00DB0414"/>
    <w:rsid w:val="00DB2E20"/>
    <w:rsid w:val="00DB32CF"/>
    <w:rsid w:val="00DB342F"/>
    <w:rsid w:val="00DB3BD6"/>
    <w:rsid w:val="00DC2B07"/>
    <w:rsid w:val="00DC47AE"/>
    <w:rsid w:val="00DC5AA8"/>
    <w:rsid w:val="00DC7145"/>
    <w:rsid w:val="00DD2E27"/>
    <w:rsid w:val="00DD3570"/>
    <w:rsid w:val="00DD53B9"/>
    <w:rsid w:val="00DD6510"/>
    <w:rsid w:val="00DD658D"/>
    <w:rsid w:val="00DD6947"/>
    <w:rsid w:val="00DE37D8"/>
    <w:rsid w:val="00DE5172"/>
    <w:rsid w:val="00DE59D1"/>
    <w:rsid w:val="00DF1F3C"/>
    <w:rsid w:val="00DF473B"/>
    <w:rsid w:val="00DF63A3"/>
    <w:rsid w:val="00E02C34"/>
    <w:rsid w:val="00E06C2E"/>
    <w:rsid w:val="00E12823"/>
    <w:rsid w:val="00E24A0B"/>
    <w:rsid w:val="00E25135"/>
    <w:rsid w:val="00E2529D"/>
    <w:rsid w:val="00E309E5"/>
    <w:rsid w:val="00E30A39"/>
    <w:rsid w:val="00E32BB5"/>
    <w:rsid w:val="00E32EC7"/>
    <w:rsid w:val="00E4118C"/>
    <w:rsid w:val="00E4191B"/>
    <w:rsid w:val="00E423E9"/>
    <w:rsid w:val="00E4400C"/>
    <w:rsid w:val="00E4494C"/>
    <w:rsid w:val="00E4538B"/>
    <w:rsid w:val="00E456C6"/>
    <w:rsid w:val="00E47755"/>
    <w:rsid w:val="00E47FD5"/>
    <w:rsid w:val="00E62ACB"/>
    <w:rsid w:val="00E65256"/>
    <w:rsid w:val="00E6638B"/>
    <w:rsid w:val="00E70102"/>
    <w:rsid w:val="00E70E1C"/>
    <w:rsid w:val="00E7377C"/>
    <w:rsid w:val="00E7442C"/>
    <w:rsid w:val="00E75B34"/>
    <w:rsid w:val="00E75B62"/>
    <w:rsid w:val="00E8005C"/>
    <w:rsid w:val="00E81231"/>
    <w:rsid w:val="00E81450"/>
    <w:rsid w:val="00E823FD"/>
    <w:rsid w:val="00E871EF"/>
    <w:rsid w:val="00E9031A"/>
    <w:rsid w:val="00E93845"/>
    <w:rsid w:val="00E93CFD"/>
    <w:rsid w:val="00E93FAB"/>
    <w:rsid w:val="00E94133"/>
    <w:rsid w:val="00EA59C0"/>
    <w:rsid w:val="00EA6EDA"/>
    <w:rsid w:val="00EB0CEB"/>
    <w:rsid w:val="00EB758B"/>
    <w:rsid w:val="00EC1F3D"/>
    <w:rsid w:val="00EC3012"/>
    <w:rsid w:val="00EC4690"/>
    <w:rsid w:val="00ED7C96"/>
    <w:rsid w:val="00EF2D5B"/>
    <w:rsid w:val="00EF689F"/>
    <w:rsid w:val="00EF7DD2"/>
    <w:rsid w:val="00F11637"/>
    <w:rsid w:val="00F122BB"/>
    <w:rsid w:val="00F12439"/>
    <w:rsid w:val="00F130F6"/>
    <w:rsid w:val="00F23495"/>
    <w:rsid w:val="00F2683E"/>
    <w:rsid w:val="00F2718B"/>
    <w:rsid w:val="00F27766"/>
    <w:rsid w:val="00F32FC5"/>
    <w:rsid w:val="00F3684C"/>
    <w:rsid w:val="00F40571"/>
    <w:rsid w:val="00F41707"/>
    <w:rsid w:val="00F4400B"/>
    <w:rsid w:val="00F444B9"/>
    <w:rsid w:val="00F446A8"/>
    <w:rsid w:val="00F45547"/>
    <w:rsid w:val="00F52177"/>
    <w:rsid w:val="00F54425"/>
    <w:rsid w:val="00F55045"/>
    <w:rsid w:val="00F571F9"/>
    <w:rsid w:val="00F737C5"/>
    <w:rsid w:val="00F74FC8"/>
    <w:rsid w:val="00F75388"/>
    <w:rsid w:val="00F7728E"/>
    <w:rsid w:val="00F80253"/>
    <w:rsid w:val="00F86678"/>
    <w:rsid w:val="00F92915"/>
    <w:rsid w:val="00F97BD9"/>
    <w:rsid w:val="00FA3926"/>
    <w:rsid w:val="00FA3E8A"/>
    <w:rsid w:val="00FA46E9"/>
    <w:rsid w:val="00FB1D3A"/>
    <w:rsid w:val="00FB3950"/>
    <w:rsid w:val="00FB4752"/>
    <w:rsid w:val="00FB6589"/>
    <w:rsid w:val="00FB7D6E"/>
    <w:rsid w:val="00FC14CA"/>
    <w:rsid w:val="00FC2772"/>
    <w:rsid w:val="00FC3B2A"/>
    <w:rsid w:val="00FC7EAE"/>
    <w:rsid w:val="00FD0735"/>
    <w:rsid w:val="00FD51E9"/>
    <w:rsid w:val="00FD6FE7"/>
    <w:rsid w:val="00FD71E9"/>
    <w:rsid w:val="00FE08D0"/>
    <w:rsid w:val="00FE3F7D"/>
    <w:rsid w:val="00FE5E73"/>
    <w:rsid w:val="00FE5F7B"/>
    <w:rsid w:val="00FE6B8F"/>
    <w:rsid w:val="00FF5124"/>
    <w:rsid w:val="00FF6F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055422312">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50B2D-80B4-4C2E-9B4A-E2F160EAB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4627</Words>
  <Characters>25453</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7</cp:revision>
  <cp:lastPrinted>2022-04-29T17:03:00Z</cp:lastPrinted>
  <dcterms:created xsi:type="dcterms:W3CDTF">2022-04-29T17:00:00Z</dcterms:created>
  <dcterms:modified xsi:type="dcterms:W3CDTF">2022-07-07T20:44:00Z</dcterms:modified>
</cp:coreProperties>
</file>