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8A952" w14:textId="77777777" w:rsidR="00A25B7F" w:rsidRPr="00CB6405" w:rsidRDefault="00A25B7F" w:rsidP="00A25B7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49149524" w14:textId="77777777" w:rsidR="00A25B7F" w:rsidRPr="00CB6405" w:rsidRDefault="00A25B7F" w:rsidP="00A25B7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046/2020.</w:t>
      </w:r>
    </w:p>
    <w:p w14:paraId="35AA6490" w14:textId="77777777" w:rsidR="00A25B7F" w:rsidRDefault="00A25B7F" w:rsidP="00A25B7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0001/</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QUINTA </w:t>
      </w:r>
      <w:r w:rsidRPr="00CB6405">
        <w:rPr>
          <w:rFonts w:ascii="Arial" w:hAnsi="Arial" w:cs="Arial"/>
          <w:b/>
          <w:sz w:val="26"/>
          <w:szCs w:val="26"/>
        </w:rPr>
        <w:t>SALA UNITARIA DE PRIMERA INSTANCIA</w:t>
      </w:r>
      <w:r>
        <w:rPr>
          <w:rFonts w:ascii="Arial" w:hAnsi="Arial" w:cs="Arial"/>
          <w:b/>
          <w:sz w:val="26"/>
          <w:szCs w:val="26"/>
        </w:rPr>
        <w:t>.</w:t>
      </w:r>
    </w:p>
    <w:p w14:paraId="64E0C406" w14:textId="77777777" w:rsidR="00A25B7F" w:rsidRDefault="00A25B7F" w:rsidP="00A25B7F">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1DCD009C" w14:textId="77777777" w:rsidR="00A25B7F" w:rsidRDefault="00A25B7F" w:rsidP="00A25B7F">
      <w:pPr>
        <w:spacing w:before="240" w:line="360" w:lineRule="auto"/>
        <w:jc w:val="both"/>
        <w:rPr>
          <w:rFonts w:ascii="Arial" w:hAnsi="Arial" w:cs="Arial"/>
          <w:b/>
          <w:sz w:val="26"/>
          <w:szCs w:val="26"/>
        </w:rPr>
      </w:pPr>
    </w:p>
    <w:p w14:paraId="5C9D1FC3" w14:textId="6F56CC62" w:rsidR="00A25B7F" w:rsidRDefault="00A25B7F" w:rsidP="00A25B7F">
      <w:pPr>
        <w:spacing w:before="240" w:line="360" w:lineRule="auto"/>
        <w:jc w:val="both"/>
        <w:rPr>
          <w:rFonts w:ascii="Arial" w:hAnsi="Arial" w:cs="Arial"/>
          <w:b/>
          <w:sz w:val="26"/>
          <w:szCs w:val="26"/>
        </w:rPr>
      </w:pPr>
      <w:r>
        <w:rPr>
          <w:rFonts w:ascii="Arial" w:hAnsi="Arial" w:cs="Arial"/>
          <w:b/>
          <w:sz w:val="26"/>
          <w:szCs w:val="26"/>
        </w:rPr>
        <w:t>OAXACA DE JUÁREZ, OAXACA A</w:t>
      </w:r>
      <w:r w:rsidR="001423AF">
        <w:rPr>
          <w:rFonts w:ascii="Arial" w:hAnsi="Arial" w:cs="Arial"/>
          <w:b/>
          <w:sz w:val="26"/>
          <w:szCs w:val="26"/>
        </w:rPr>
        <w:t xml:space="preserve"> ONCE</w:t>
      </w:r>
      <w:r>
        <w:rPr>
          <w:rFonts w:ascii="Arial" w:hAnsi="Arial" w:cs="Arial"/>
          <w:b/>
          <w:sz w:val="26"/>
          <w:szCs w:val="26"/>
        </w:rPr>
        <w:t xml:space="preserve"> DE</w:t>
      </w:r>
      <w:r w:rsidR="001423AF">
        <w:rPr>
          <w:rFonts w:ascii="Arial" w:hAnsi="Arial" w:cs="Arial"/>
          <w:b/>
          <w:sz w:val="26"/>
          <w:szCs w:val="26"/>
        </w:rPr>
        <w:t xml:space="preserve"> MARZO </w:t>
      </w:r>
      <w:r>
        <w:rPr>
          <w:rFonts w:ascii="Arial" w:hAnsi="Arial" w:cs="Arial"/>
          <w:b/>
          <w:sz w:val="26"/>
          <w:szCs w:val="26"/>
        </w:rPr>
        <w:t xml:space="preserve">DE DOS MIL VEINTIUNO. - - - - - - - - - - - - - - - - - - - - - - - - - - - - - - - - - - - - - - - - - - </w:t>
      </w:r>
    </w:p>
    <w:p w14:paraId="12D8536F" w14:textId="385CFB89" w:rsidR="00A25B7F" w:rsidRPr="007664BE" w:rsidRDefault="00A25B7F" w:rsidP="00D6568E">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046</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Pr="00210D99">
        <w:rPr>
          <w:rFonts w:ascii="Arial" w:hAnsi="Arial" w:cs="Arial"/>
          <w:sz w:val="26"/>
          <w:szCs w:val="26"/>
        </w:rPr>
        <w:t>la</w:t>
      </w:r>
      <w:r>
        <w:rPr>
          <w:rFonts w:ascii="Arial" w:hAnsi="Arial" w:cs="Arial"/>
          <w:b/>
          <w:sz w:val="26"/>
          <w:szCs w:val="26"/>
        </w:rPr>
        <w:t xml:space="preserve"> JEFA DE LA UNIDAD DE RECAUDACIÓN DEL MUNICIPIO DE OAXACA DE JUÁREZ</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w:t>
      </w:r>
      <w:r w:rsidR="00D6568E">
        <w:rPr>
          <w:rFonts w:ascii="Arial" w:hAnsi="Arial" w:cs="Arial"/>
          <w:sz w:val="26"/>
          <w:szCs w:val="26"/>
        </w:rPr>
        <w:t xml:space="preserve">sentencia </w:t>
      </w:r>
      <w:r>
        <w:rPr>
          <w:rFonts w:ascii="Arial" w:hAnsi="Arial" w:cs="Arial"/>
          <w:sz w:val="26"/>
          <w:szCs w:val="26"/>
        </w:rPr>
        <w:t xml:space="preserve">de fecha veintinueve de noviembre de dos mil diecinueve, dictada en el expediente </w:t>
      </w:r>
      <w:r>
        <w:rPr>
          <w:rFonts w:ascii="Arial" w:hAnsi="Arial" w:cs="Arial"/>
          <w:b/>
          <w:sz w:val="26"/>
          <w:szCs w:val="26"/>
        </w:rPr>
        <w:t xml:space="preserve">0001/2019 </w:t>
      </w:r>
      <w:r>
        <w:rPr>
          <w:rFonts w:ascii="Arial" w:hAnsi="Arial" w:cs="Arial"/>
          <w:sz w:val="26"/>
          <w:szCs w:val="26"/>
        </w:rPr>
        <w:t xml:space="preserve">del índice de la Quinta Sala Unitaria de Primera Instancia, relativo al juicio de nulidad promovido por </w:t>
      </w:r>
      <w:r w:rsidR="003D1038">
        <w:rPr>
          <w:rFonts w:ascii="Arial" w:hAnsi="Arial" w:cs="Arial"/>
          <w:b/>
          <w:sz w:val="26"/>
          <w:szCs w:val="26"/>
        </w:rPr>
        <w:t>***********</w:t>
      </w:r>
      <w:r w:rsidRPr="00707DE3">
        <w:rPr>
          <w:rFonts w:ascii="Arial" w:hAnsi="Arial" w:cs="Arial"/>
          <w:b/>
          <w:sz w:val="26"/>
          <w:szCs w:val="26"/>
        </w:rPr>
        <w:t>,</w:t>
      </w:r>
      <w:r>
        <w:rPr>
          <w:rFonts w:ascii="Arial" w:hAnsi="Arial" w:cs="Arial"/>
          <w:sz w:val="26"/>
          <w:szCs w:val="26"/>
        </w:rPr>
        <w:t xml:space="preserve"> en contra de </w:t>
      </w:r>
      <w:r>
        <w:rPr>
          <w:rFonts w:ascii="Arial" w:hAnsi="Arial" w:cs="Arial"/>
          <w:b/>
          <w:sz w:val="26"/>
          <w:szCs w:val="26"/>
        </w:rPr>
        <w:t>SILVIA ALEJANDRA PACHECO GARCÍA,</w:t>
      </w:r>
      <w:r>
        <w:rPr>
          <w:rFonts w:ascii="Arial" w:hAnsi="Arial" w:cs="Arial"/>
          <w:sz w:val="26"/>
          <w:szCs w:val="26"/>
        </w:rPr>
        <w:t xml:space="preserve"> </w:t>
      </w:r>
      <w:r>
        <w:rPr>
          <w:rFonts w:ascii="Arial" w:hAnsi="Arial" w:cs="Arial"/>
          <w:b/>
          <w:sz w:val="26"/>
          <w:szCs w:val="26"/>
        </w:rPr>
        <w:t>JEFA DE LA UNIDAD DE RECAUDACIÓN DEL MUNICIPIO DE OAXACA DE JUÁREZ</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D6568E">
        <w:rPr>
          <w:rFonts w:ascii="Arial" w:hAnsi="Arial" w:cs="Arial"/>
          <w:sz w:val="26"/>
          <w:szCs w:val="26"/>
        </w:rPr>
        <w:t xml:space="preserve"> </w:t>
      </w:r>
      <w:bookmarkStart w:id="0" w:name="_Hlk66456742"/>
      <w:r w:rsidR="00D6568E">
        <w:rPr>
          <w:rFonts w:ascii="Arial" w:hAnsi="Arial" w:cs="Arial"/>
          <w:sz w:val="26"/>
          <w:szCs w:val="26"/>
        </w:rPr>
        <w:t xml:space="preserve">- - - - - - - - - - - - - - - - - - - - - - - - - </w:t>
      </w:r>
      <w:bookmarkEnd w:id="0"/>
    </w:p>
    <w:p w14:paraId="100589C4" w14:textId="77777777" w:rsidR="00A25B7F" w:rsidRPr="00CB6405" w:rsidRDefault="00A25B7F" w:rsidP="00A25B7F">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F82DFC5" w14:textId="7FBA2852" w:rsidR="00A25B7F" w:rsidRPr="00CB6405" w:rsidRDefault="00A25B7F" w:rsidP="00A25B7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veintinueve de noviembre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Sala</w:t>
      </w:r>
      <w:r>
        <w:rPr>
          <w:rFonts w:ascii="Arial" w:hAnsi="Arial" w:cs="Arial"/>
          <w:sz w:val="26"/>
          <w:szCs w:val="26"/>
        </w:rPr>
        <w:t xml:space="preserve"> Unitaria de Primera Instancia, </w:t>
      </w:r>
      <w:r>
        <w:rPr>
          <w:rFonts w:ascii="Arial" w:hAnsi="Arial" w:cs="Arial"/>
          <w:b/>
          <w:sz w:val="26"/>
          <w:szCs w:val="26"/>
        </w:rPr>
        <w:t>la JEFA DE LA UNIDAD DE RECAUDACIÓN DEL MUNICIPIO DE OAXACA DE JUÁREZ</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 - - - - - - - - - - - </w:t>
      </w:r>
    </w:p>
    <w:p w14:paraId="1ACF71EB" w14:textId="72F817D0" w:rsidR="00A25B7F" w:rsidRDefault="00A25B7F" w:rsidP="00A25B7F">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D6568E" w:rsidRPr="00D6568E">
        <w:rPr>
          <w:rFonts w:ascii="Arial" w:hAnsi="Arial" w:cs="Arial"/>
          <w:sz w:val="26"/>
          <w:szCs w:val="26"/>
        </w:rPr>
        <w:t xml:space="preserve"> </w:t>
      </w:r>
      <w:r w:rsidR="00D6568E">
        <w:rPr>
          <w:rFonts w:ascii="Arial" w:hAnsi="Arial" w:cs="Arial"/>
          <w:sz w:val="26"/>
          <w:szCs w:val="26"/>
        </w:rPr>
        <w:t>- - - - - - - - - - - - - - - - - - - - - - - - - - - - - - - - - - - - - - - - - -</w:t>
      </w:r>
    </w:p>
    <w:p w14:paraId="235206AF" w14:textId="77777777" w:rsidR="00A25B7F" w:rsidRPr="0097371E" w:rsidRDefault="00A25B7F" w:rsidP="00A25B7F">
      <w:pPr>
        <w:ind w:left="567" w:right="616"/>
        <w:jc w:val="both"/>
        <w:rPr>
          <w:rFonts w:ascii="Arial" w:hAnsi="Arial" w:cs="Arial"/>
          <w:i/>
        </w:rPr>
      </w:pPr>
      <w:r w:rsidRPr="0097371E">
        <w:rPr>
          <w:rFonts w:ascii="Arial" w:eastAsia="Times New Roman" w:hAnsi="Arial" w:cs="Arial"/>
          <w:b/>
          <w:bCs/>
          <w:i/>
          <w:iCs/>
          <w:lang w:eastAsia="es-ES"/>
        </w:rPr>
        <w:t>“</w:t>
      </w:r>
      <w:r w:rsidRPr="0097371E">
        <w:rPr>
          <w:rFonts w:ascii="Arial" w:hAnsi="Arial" w:cs="Arial"/>
          <w:b/>
          <w:i/>
        </w:rPr>
        <w:t xml:space="preserve">PRIMERO. - </w:t>
      </w:r>
      <w:r w:rsidRPr="0097371E">
        <w:rPr>
          <w:rFonts w:ascii="Arial" w:hAnsi="Arial" w:cs="Arial"/>
          <w:i/>
        </w:rPr>
        <w:t xml:space="preserve">Esta Quinta Sala Unitaria del Tribunal de Justicia Administrativa para el Estado de Oaxaca, fue competente para conocer y resolver del presente juicio. - - - - - - - - - - </w:t>
      </w:r>
      <w:r>
        <w:rPr>
          <w:rFonts w:ascii="Arial" w:hAnsi="Arial" w:cs="Arial"/>
          <w:i/>
        </w:rPr>
        <w:t>- - - - - - - - - - - - - - - - - - - - -</w:t>
      </w:r>
    </w:p>
    <w:p w14:paraId="1CD737E6" w14:textId="77777777" w:rsidR="00A25B7F" w:rsidRPr="0097371E" w:rsidRDefault="00A25B7F" w:rsidP="00A25B7F">
      <w:pPr>
        <w:ind w:left="567" w:right="616"/>
        <w:jc w:val="both"/>
        <w:rPr>
          <w:rFonts w:ascii="Arial" w:hAnsi="Arial" w:cs="Arial"/>
          <w:i/>
        </w:rPr>
      </w:pPr>
      <w:r>
        <w:rPr>
          <w:i/>
        </w:rPr>
        <w:tab/>
      </w:r>
      <w:r w:rsidRPr="0097371E">
        <w:rPr>
          <w:rFonts w:ascii="Arial" w:hAnsi="Arial" w:cs="Arial"/>
          <w:b/>
          <w:i/>
        </w:rPr>
        <w:t xml:space="preserve">SEGUNDO. - </w:t>
      </w:r>
      <w:r w:rsidRPr="0097371E">
        <w:rPr>
          <w:rFonts w:ascii="Arial" w:hAnsi="Arial" w:cs="Arial"/>
          <w:i/>
        </w:rPr>
        <w:t xml:space="preserve">La personalidad de las partes quedaron debidamente acreditadas en autos, pues la parte actora promueve por su propio </w:t>
      </w:r>
      <w:r w:rsidRPr="0097371E">
        <w:rPr>
          <w:rFonts w:ascii="Arial" w:hAnsi="Arial" w:cs="Arial"/>
          <w:i/>
        </w:rPr>
        <w:lastRenderedPageBreak/>
        <w:t xml:space="preserve">derecho y la autoridad demandada exhibió copia certificada de su nombramiento y protesta de ley. - - - - - - - - - - - - - - - - - - - - - - - - - - - - </w:t>
      </w:r>
    </w:p>
    <w:p w14:paraId="0788419C" w14:textId="77777777" w:rsidR="00A25B7F" w:rsidRPr="0097371E" w:rsidRDefault="00A25B7F" w:rsidP="00A25B7F">
      <w:pPr>
        <w:ind w:left="567" w:right="616"/>
        <w:jc w:val="both"/>
        <w:rPr>
          <w:rFonts w:ascii="Arial" w:hAnsi="Arial" w:cs="Arial"/>
          <w:i/>
        </w:rPr>
      </w:pPr>
      <w:r w:rsidRPr="0097371E">
        <w:rPr>
          <w:rFonts w:ascii="Arial" w:hAnsi="Arial" w:cs="Arial"/>
          <w:i/>
        </w:rPr>
        <w:tab/>
      </w:r>
      <w:r w:rsidRPr="0097371E">
        <w:rPr>
          <w:rFonts w:ascii="Arial" w:hAnsi="Arial" w:cs="Arial"/>
          <w:b/>
          <w:i/>
        </w:rPr>
        <w:t xml:space="preserve">TERCERO. -  </w:t>
      </w:r>
      <w:r w:rsidRPr="0097371E">
        <w:rPr>
          <w:rFonts w:ascii="Arial" w:hAnsi="Arial" w:cs="Arial"/>
          <w:i/>
        </w:rPr>
        <w:t>Este Juzgador advierte que, en el presente juicio no se configura alguna la</w:t>
      </w:r>
      <w:r>
        <w:rPr>
          <w:rFonts w:ascii="Arial" w:hAnsi="Arial" w:cs="Arial"/>
          <w:i/>
        </w:rPr>
        <w:t xml:space="preserve"> (sic)</w:t>
      </w:r>
      <w:r w:rsidRPr="0097371E">
        <w:rPr>
          <w:rFonts w:ascii="Arial" w:hAnsi="Arial" w:cs="Arial"/>
          <w:i/>
        </w:rPr>
        <w:t xml:space="preserve"> causal de improcedencia contenida en los artículos 161 y 162 de la Ley que rige a este Tribunal, por tanto, </w:t>
      </w:r>
      <w:r w:rsidRPr="0097371E">
        <w:rPr>
          <w:rFonts w:ascii="Arial" w:hAnsi="Arial" w:cs="Arial"/>
          <w:b/>
          <w:i/>
        </w:rPr>
        <w:t>NO SE SOBRESEE EL PRESENTE JUICIO DE NULIDAD.</w:t>
      </w:r>
      <w:r w:rsidRPr="0097371E">
        <w:rPr>
          <w:rFonts w:ascii="Arial" w:hAnsi="Arial" w:cs="Arial"/>
          <w:i/>
        </w:rPr>
        <w:t xml:space="preserve"> - - - - - - - - - - - - - - </w:t>
      </w:r>
    </w:p>
    <w:p w14:paraId="1149A2FD" w14:textId="0B85D4D8" w:rsidR="00A25B7F" w:rsidRPr="0097371E" w:rsidRDefault="00A25B7F" w:rsidP="00A25B7F">
      <w:pPr>
        <w:ind w:left="567" w:right="616"/>
        <w:jc w:val="both"/>
        <w:rPr>
          <w:rFonts w:ascii="Arial" w:hAnsi="Arial" w:cs="Arial"/>
          <w:i/>
        </w:rPr>
      </w:pPr>
      <w:r w:rsidRPr="0097371E">
        <w:rPr>
          <w:rFonts w:ascii="Arial" w:hAnsi="Arial" w:cs="Arial"/>
          <w:i/>
        </w:rPr>
        <w:tab/>
      </w:r>
      <w:r w:rsidRPr="0097371E">
        <w:rPr>
          <w:rFonts w:ascii="Arial" w:hAnsi="Arial" w:cs="Arial"/>
          <w:b/>
          <w:i/>
        </w:rPr>
        <w:t xml:space="preserve">CUARTO. – </w:t>
      </w:r>
      <w:r w:rsidRPr="0097371E">
        <w:rPr>
          <w:rFonts w:ascii="Arial" w:hAnsi="Arial" w:cs="Arial"/>
          <w:i/>
        </w:rPr>
        <w:t xml:space="preserve">Se </w:t>
      </w:r>
      <w:r w:rsidRPr="0097371E">
        <w:rPr>
          <w:rFonts w:ascii="Arial" w:hAnsi="Arial" w:cs="Arial"/>
          <w:b/>
          <w:i/>
        </w:rPr>
        <w:t xml:space="preserve">declara la nulidad lisa y llana </w:t>
      </w:r>
      <w:r w:rsidRPr="0097371E">
        <w:rPr>
          <w:rFonts w:ascii="Arial" w:hAnsi="Arial" w:cs="Arial"/>
          <w:i/>
        </w:rPr>
        <w:t xml:space="preserve">consistente en el Crédito Fiscal folio </w:t>
      </w:r>
      <w:r w:rsidR="003D1038">
        <w:rPr>
          <w:rFonts w:ascii="Arial" w:hAnsi="Arial" w:cs="Arial"/>
          <w:i/>
        </w:rPr>
        <w:t>***********</w:t>
      </w:r>
      <w:r w:rsidRPr="0097371E">
        <w:rPr>
          <w:rFonts w:ascii="Arial" w:hAnsi="Arial" w:cs="Arial"/>
          <w:i/>
        </w:rPr>
        <w:t xml:space="preserve">, de ocho de noviembre de dos mil dieciocho, emitido por la </w:t>
      </w:r>
      <w:r w:rsidRPr="0097371E">
        <w:rPr>
          <w:rFonts w:ascii="Arial" w:hAnsi="Arial" w:cs="Arial"/>
          <w:b/>
          <w:i/>
        </w:rPr>
        <w:t>JEFA DE LA UNID</w:t>
      </w:r>
      <w:r>
        <w:rPr>
          <w:rFonts w:ascii="Arial" w:hAnsi="Arial" w:cs="Arial"/>
          <w:b/>
          <w:i/>
        </w:rPr>
        <w:t>AD DE RECAUDACIÓN</w:t>
      </w:r>
      <w:r w:rsidRPr="0097371E">
        <w:rPr>
          <w:rFonts w:ascii="Arial" w:hAnsi="Arial" w:cs="Arial"/>
          <w:b/>
          <w:i/>
        </w:rPr>
        <w:t xml:space="preserve"> MUNICIPAL DE OAXACA DE JUÁREZ, </w:t>
      </w:r>
      <w:r w:rsidRPr="0097371E">
        <w:rPr>
          <w:rFonts w:ascii="Arial" w:hAnsi="Arial" w:cs="Arial"/>
          <w:i/>
        </w:rPr>
        <w:t xml:space="preserve">en los términos señalados en el considerando </w:t>
      </w:r>
      <w:r w:rsidRPr="0097371E">
        <w:rPr>
          <w:rFonts w:ascii="Arial" w:hAnsi="Arial" w:cs="Arial"/>
          <w:b/>
          <w:i/>
        </w:rPr>
        <w:t xml:space="preserve">CUARTO </w:t>
      </w:r>
      <w:r w:rsidRPr="0097371E">
        <w:rPr>
          <w:rFonts w:ascii="Arial" w:hAnsi="Arial" w:cs="Arial"/>
          <w:i/>
        </w:rPr>
        <w:t xml:space="preserve">de esta sentencia. - - - - - - - - - - - - - - - - - - - </w:t>
      </w:r>
      <w:r w:rsidR="003D1038">
        <w:rPr>
          <w:rFonts w:ascii="Arial" w:hAnsi="Arial" w:cs="Arial"/>
          <w:i/>
        </w:rPr>
        <w:t>- - - - - - - - - - - - -</w:t>
      </w:r>
    </w:p>
    <w:p w14:paraId="50FE88EB" w14:textId="77777777" w:rsidR="00A25B7F" w:rsidRPr="0097371E" w:rsidRDefault="00A25B7F" w:rsidP="00A25B7F">
      <w:pPr>
        <w:ind w:left="567" w:right="616"/>
        <w:jc w:val="both"/>
        <w:rPr>
          <w:rFonts w:ascii="Arial" w:hAnsi="Arial" w:cs="Arial"/>
          <w:i/>
        </w:rPr>
      </w:pPr>
      <w:r w:rsidRPr="0097371E">
        <w:rPr>
          <w:rFonts w:ascii="Arial" w:hAnsi="Arial" w:cs="Arial"/>
          <w:i/>
        </w:rPr>
        <w:tab/>
      </w:r>
      <w:r w:rsidRPr="0097371E">
        <w:rPr>
          <w:rFonts w:ascii="Arial" w:hAnsi="Arial" w:cs="Arial"/>
          <w:b/>
          <w:i/>
        </w:rPr>
        <w:t xml:space="preserve">QUINTO. - </w:t>
      </w:r>
      <w:r w:rsidRPr="0097371E">
        <w:rPr>
          <w:rFonts w:ascii="Arial" w:hAnsi="Arial" w:cs="Arial"/>
          <w:i/>
        </w:rPr>
        <w:t xml:space="preserve">Con fundamento en los artículos 172  y 173 de la Ley de Procedimiento y Justicia Administrativa para el Estado de Oaxaca, </w:t>
      </w:r>
      <w:r w:rsidRPr="0097371E">
        <w:rPr>
          <w:rFonts w:ascii="Arial" w:hAnsi="Arial" w:cs="Arial"/>
          <w:b/>
          <w:i/>
        </w:rPr>
        <w:t xml:space="preserve">NOTIFÍQUESE </w:t>
      </w:r>
      <w:r w:rsidRPr="0097371E">
        <w:rPr>
          <w:rFonts w:ascii="Arial" w:hAnsi="Arial" w:cs="Arial"/>
          <w:i/>
        </w:rPr>
        <w:t xml:space="preserve">personalmente al actor y por oficio a la autoridad demandada, </w:t>
      </w:r>
      <w:r w:rsidRPr="0097371E">
        <w:rPr>
          <w:rFonts w:ascii="Arial" w:hAnsi="Arial" w:cs="Arial"/>
          <w:b/>
          <w:i/>
        </w:rPr>
        <w:t xml:space="preserve">CÚMPLASE. </w:t>
      </w:r>
      <w:r w:rsidRPr="0097371E">
        <w:rPr>
          <w:rFonts w:ascii="Arial" w:hAnsi="Arial" w:cs="Arial"/>
          <w:i/>
        </w:rPr>
        <w:t>- - - - - - - - - - - - -</w:t>
      </w:r>
      <w:r>
        <w:rPr>
          <w:rFonts w:ascii="Arial" w:hAnsi="Arial" w:cs="Arial"/>
          <w:i/>
        </w:rPr>
        <w:t xml:space="preserve"> </w:t>
      </w:r>
      <w:r w:rsidRPr="0097371E">
        <w:rPr>
          <w:rFonts w:ascii="Arial" w:hAnsi="Arial" w:cs="Arial"/>
          <w:i/>
        </w:rPr>
        <w:t xml:space="preserve">- - - - - </w:t>
      </w:r>
      <w:r>
        <w:rPr>
          <w:rFonts w:ascii="Arial" w:hAnsi="Arial" w:cs="Arial"/>
          <w:i/>
        </w:rPr>
        <w:t>- - - - - - - - - - - - - - -</w:t>
      </w:r>
    </w:p>
    <w:p w14:paraId="4FD78460" w14:textId="77777777" w:rsidR="00A25B7F" w:rsidRPr="0097371E" w:rsidRDefault="00A25B7F" w:rsidP="00A25B7F">
      <w:pPr>
        <w:ind w:left="567" w:right="616"/>
        <w:jc w:val="both"/>
        <w:rPr>
          <w:rFonts w:ascii="Arial" w:eastAsia="Times New Roman" w:hAnsi="Arial" w:cs="Arial"/>
          <w:bCs/>
          <w:i/>
          <w:iCs/>
          <w:lang w:eastAsia="es-ES"/>
        </w:rPr>
      </w:pPr>
      <w:r w:rsidRPr="0097371E">
        <w:rPr>
          <w:rFonts w:ascii="Arial" w:hAnsi="Arial" w:cs="Arial"/>
          <w:i/>
        </w:rPr>
        <w:tab/>
        <w:t xml:space="preserve">Así lo resolvió y firmó el </w:t>
      </w:r>
      <w:r>
        <w:rPr>
          <w:rFonts w:ascii="Arial" w:hAnsi="Arial" w:cs="Arial"/>
          <w:i/>
        </w:rPr>
        <w:t xml:space="preserve">Magistrado Licenciado Julián Hernández Carrillo, </w:t>
      </w:r>
      <w:r w:rsidRPr="0097371E">
        <w:rPr>
          <w:rFonts w:ascii="Arial" w:hAnsi="Arial" w:cs="Arial"/>
          <w:i/>
        </w:rPr>
        <w:t xml:space="preserve">de la </w:t>
      </w:r>
      <w:r>
        <w:rPr>
          <w:rFonts w:ascii="Arial" w:hAnsi="Arial" w:cs="Arial"/>
          <w:i/>
        </w:rPr>
        <w:t xml:space="preserve">Quinta </w:t>
      </w:r>
      <w:r w:rsidRPr="0097371E">
        <w:rPr>
          <w:rFonts w:ascii="Arial" w:hAnsi="Arial" w:cs="Arial"/>
          <w:i/>
        </w:rPr>
        <w:t>Sala Unitaria de Primera Instancia del Tribunal de Justicia Administrativa del Estado de Oaxaca,</w:t>
      </w:r>
      <w:r>
        <w:rPr>
          <w:rFonts w:ascii="Arial" w:hAnsi="Arial" w:cs="Arial"/>
          <w:i/>
        </w:rPr>
        <w:t xml:space="preserve"> </w:t>
      </w:r>
      <w:r w:rsidRPr="0097371E">
        <w:rPr>
          <w:rFonts w:ascii="Arial" w:hAnsi="Arial" w:cs="Arial"/>
          <w:i/>
        </w:rPr>
        <w:t xml:space="preserve">quien actúa </w:t>
      </w:r>
      <w:r>
        <w:rPr>
          <w:rFonts w:ascii="Arial" w:hAnsi="Arial" w:cs="Arial"/>
          <w:i/>
        </w:rPr>
        <w:t>con</w:t>
      </w:r>
      <w:r w:rsidRPr="0097371E">
        <w:rPr>
          <w:rFonts w:ascii="Arial" w:hAnsi="Arial" w:cs="Arial"/>
          <w:i/>
        </w:rPr>
        <w:t xml:space="preserve"> la Licenciada </w:t>
      </w:r>
      <w:r>
        <w:rPr>
          <w:rFonts w:ascii="Arial" w:hAnsi="Arial" w:cs="Arial"/>
          <w:i/>
        </w:rPr>
        <w:t>Marissa Ignacio Valencia</w:t>
      </w:r>
      <w:r w:rsidRPr="0097371E">
        <w:rPr>
          <w:rFonts w:ascii="Arial" w:hAnsi="Arial" w:cs="Arial"/>
          <w:i/>
        </w:rPr>
        <w:t>, Secretaria de Acuerdos</w:t>
      </w:r>
      <w:r>
        <w:rPr>
          <w:rFonts w:ascii="Arial" w:hAnsi="Arial" w:cs="Arial"/>
          <w:i/>
        </w:rPr>
        <w:t>, que autoriza y da fe</w:t>
      </w:r>
      <w:r w:rsidRPr="0097371E">
        <w:rPr>
          <w:rFonts w:ascii="Arial" w:eastAsia="Times New Roman" w:hAnsi="Arial" w:cs="Arial"/>
          <w:b/>
          <w:bCs/>
          <w:i/>
          <w:iCs/>
          <w:lang w:eastAsia="es-ES"/>
        </w:rPr>
        <w:t xml:space="preserve">.” </w:t>
      </w:r>
    </w:p>
    <w:p w14:paraId="19FE2B06" w14:textId="32B6833F" w:rsidR="00A25B7F" w:rsidRPr="00CB6405" w:rsidRDefault="00A25B7F" w:rsidP="00A25B7F">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6C537FB" w14:textId="159043E7" w:rsidR="00A25B7F" w:rsidRPr="00AE78C3" w:rsidRDefault="00A25B7F" w:rsidP="00A25B7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bookmarkStart w:id="1" w:name="_Hlk61191924"/>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 de veintinueve de noviembre de dos mil diecinueve</w:t>
      </w:r>
      <w:r w:rsidRPr="008E3662">
        <w:rPr>
          <w:rFonts w:ascii="Arial" w:hAnsi="Arial" w:cs="Arial"/>
          <w:bCs/>
          <w:iCs/>
          <w:sz w:val="26"/>
          <w:szCs w:val="26"/>
        </w:rPr>
        <w:t xml:space="preserve">, dictada por la </w:t>
      </w:r>
      <w:r>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001</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 </w:t>
      </w:r>
    </w:p>
    <w:bookmarkEnd w:id="1"/>
    <w:p w14:paraId="170177DF" w14:textId="2B3803DB" w:rsidR="00A25B7F" w:rsidRDefault="00A25B7F" w:rsidP="00A25B7F">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w:t>
      </w:r>
      <w:r>
        <w:rPr>
          <w:rFonts w:ascii="Arial" w:hAnsi="Arial" w:cs="Arial"/>
          <w:sz w:val="26"/>
          <w:szCs w:val="26"/>
        </w:rPr>
        <w:lastRenderedPageBreak/>
        <w:t>volumen 81, sexta parte, página 23, materia común, de rubro y texto siguientes:</w:t>
      </w:r>
      <w:r w:rsidR="00D6568E" w:rsidRPr="00D6568E">
        <w:rPr>
          <w:rFonts w:ascii="Arial" w:hAnsi="Arial" w:cs="Arial"/>
          <w:sz w:val="26"/>
          <w:szCs w:val="26"/>
        </w:rPr>
        <w:t xml:space="preserve"> </w:t>
      </w:r>
      <w:r w:rsidR="00D6568E">
        <w:rPr>
          <w:rFonts w:ascii="Arial" w:hAnsi="Arial" w:cs="Arial"/>
          <w:sz w:val="26"/>
          <w:szCs w:val="26"/>
        </w:rPr>
        <w:t>- - - - - - - - - - - - - - - - - - - - - - - - - - - - - - - - - - - - - - - - - - - -</w:t>
      </w:r>
    </w:p>
    <w:p w14:paraId="2E6057C4" w14:textId="77777777" w:rsidR="00A25B7F" w:rsidRPr="007E4000" w:rsidRDefault="00A25B7F" w:rsidP="00A25B7F">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4113C50F" w14:textId="5FB23000"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La autoridad inconforme argumenta en el agravio </w:t>
      </w:r>
      <w:r w:rsidRPr="00332030">
        <w:rPr>
          <w:rFonts w:ascii="Arial" w:eastAsia="Calibri" w:hAnsi="Arial" w:cs="Arial"/>
          <w:b/>
          <w:bCs/>
          <w:sz w:val="26"/>
          <w:szCs w:val="26"/>
        </w:rPr>
        <w:t>primero</w:t>
      </w:r>
      <w:r>
        <w:rPr>
          <w:rFonts w:ascii="Arial" w:eastAsia="Calibri" w:hAnsi="Arial" w:cs="Arial"/>
          <w:bCs/>
          <w:sz w:val="26"/>
          <w:szCs w:val="26"/>
        </w:rPr>
        <w:t xml:space="preserve"> de su oficio de recurso de revisión, que le causa agravio la sentencia combatida, porque viola en su perjuicio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ya que a pesar de que quedó debidamente acreditada la correcta fundamentación y motivación del acto, y con ello la validez del mismo, y que el </w:t>
      </w:r>
      <w:r w:rsidRPr="00332030">
        <w:rPr>
          <w:rFonts w:ascii="Arial" w:eastAsia="Calibri" w:hAnsi="Arial" w:cs="Arial"/>
          <w:bCs/>
          <w:i/>
          <w:sz w:val="26"/>
          <w:szCs w:val="26"/>
        </w:rPr>
        <w:t>A quo</w:t>
      </w:r>
      <w:r>
        <w:rPr>
          <w:rFonts w:ascii="Arial" w:eastAsia="Calibri" w:hAnsi="Arial" w:cs="Arial"/>
          <w:bCs/>
          <w:sz w:val="26"/>
          <w:szCs w:val="26"/>
        </w:rPr>
        <w:t xml:space="preserve"> hace un razonamiento engañoso, cuando determina la nulidad lisa y llana del acto impugnado.</w:t>
      </w:r>
      <w:r w:rsidR="00D6568E">
        <w:rPr>
          <w:rFonts w:ascii="Arial" w:eastAsia="Calibri" w:hAnsi="Arial" w:cs="Arial"/>
          <w:bCs/>
          <w:sz w:val="26"/>
          <w:szCs w:val="26"/>
        </w:rPr>
        <w:t xml:space="preserve"> - - - - - - - - - - - - - - - - - - - - - - - - - - - - - - - - - - - - - - - </w:t>
      </w:r>
    </w:p>
    <w:p w14:paraId="2E7B9589" w14:textId="6E778CDE"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mismo agravio </w:t>
      </w:r>
      <w:r w:rsidRPr="00C83D14">
        <w:rPr>
          <w:rFonts w:ascii="Arial" w:eastAsia="Calibri" w:hAnsi="Arial" w:cs="Arial"/>
          <w:b/>
          <w:sz w:val="26"/>
          <w:szCs w:val="26"/>
        </w:rPr>
        <w:t>primero,</w:t>
      </w:r>
      <w:r>
        <w:rPr>
          <w:rFonts w:ascii="Arial" w:eastAsia="Calibri" w:hAnsi="Arial" w:cs="Arial"/>
          <w:bCs/>
          <w:sz w:val="26"/>
          <w:szCs w:val="26"/>
        </w:rPr>
        <w:t xml:space="preserve"> afirma la autoridad recurrente que, la Sala de Primera Instancia señala que al entrar al análisis de las causales de improcedencia del presente juicio de nulidad, de manera oficiosa como lo señala el artículo 161 último párrafo de la propia Ley de Justicia Administrativa para el Estado de Oaxaca, y así no entrar al análisis de fondo de manera innecesaria, por el que debiera declararse su sobreseimiento, señala de manera clara y concreta que “se configura la causal de improcedencia contenida en el numeral 161 y 162 de la Ley que rige este Tribunal, no obstante y contrario a su análisis determina que no se sobresee el presente juicio, contraviniendo así el principio de congruencia y exhaustividad, que consagra el artículo 17 constitucional y que se traduce en que el órgano resolutor deberá fijar una posición argumentativa frente a la asumida por el peticionario, estimando, o bien, desechando su pretensión, explicando para tal efecto los motivos que </w:t>
      </w:r>
      <w:r>
        <w:rPr>
          <w:rFonts w:ascii="Arial" w:eastAsia="Calibri" w:hAnsi="Arial" w:cs="Arial"/>
          <w:bCs/>
          <w:sz w:val="26"/>
          <w:szCs w:val="26"/>
        </w:rPr>
        <w:lastRenderedPageBreak/>
        <w:t>tuvo en consideración para acoger o apartarse de la propuesta del recurrente. Por tanto, ante la omisión en el pronunciamiento puntual sobre los elementos argumentados por esta autoridad, se impide la conformación de una resolución formalmente válida, como lo apuntó el ilustre Barón de Montesquieu, no se trata de hacer leer, sino de pensar, recurrir a la “retórica” en su sentido fino, argumentar para justificar y convencer, y no peyorativo, hablar por hablar o escribir por escribir, lo que implica entonces, que los fallos deben dictarse para resolver litigios, hacer justicia, atender los planteamientos serios de las partes, razonar para justificar y convencer, y hacer para pensar, no para hacer leer, de manera que agotando esos extremos, pueda afirmarse que se cumplen a cabalidad los principios de exhaustividad y congruencia correlativos a la satisfacción del servicio público de administración de justicia, y que por ello esta Honorable Sala Superior deberá analizar que en efecto y tomando en consideración lo consagrado en el artículo 149 de la ley de la materia referido a que el juicio de nulidad es de estricto derecho, así mismo lo deben ser las sentencias, pues no debe ser de manera interpretativa, pues refiriéndonos al principio de congruencia, debe decirse que está referido a que la sentencia debe ser congruente  no sólo consigo misma, sino también con la Litis tal como haya quedado establecida en la etapa oportuna; de ahí que se hable, por un lado, de congruencia interna, entendida como aquella característica de que la sentencia no contenga resoluciones o afirmaciones que se contradigan entre sí, y por otro, de congruencia externa, que en sí atañe a la concordancia que debe haber con la demanda y contestación formuladas por las partes, esto es, que la sentencia no distorsione o altere lo pedido o alegado en la defensa, sino que sólo se ocupe de las pretensiones de las partes y de éstas, sin ser contradictorio en la resolución.</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 - - - - - - - - - - - - </w:t>
      </w:r>
    </w:p>
    <w:p w14:paraId="56246E60" w14:textId="67A31502" w:rsidR="00A25B7F" w:rsidRDefault="00A25B7F" w:rsidP="00A25B7F">
      <w:pPr>
        <w:pStyle w:val="Sinespaciado"/>
        <w:spacing w:before="240" w:line="360" w:lineRule="auto"/>
        <w:ind w:firstLine="708"/>
        <w:jc w:val="both"/>
        <w:rPr>
          <w:rFonts w:ascii="Arial" w:hAnsi="Arial" w:cs="Arial"/>
          <w:sz w:val="26"/>
          <w:szCs w:val="26"/>
        </w:rPr>
      </w:pPr>
      <w:r>
        <w:rPr>
          <w:rFonts w:ascii="Arial" w:eastAsia="Calibri" w:hAnsi="Arial" w:cs="Arial"/>
          <w:bCs/>
          <w:sz w:val="26"/>
          <w:szCs w:val="26"/>
        </w:rPr>
        <w:t xml:space="preserve">Esta Sala Superior advierte que son </w:t>
      </w:r>
      <w:r w:rsidRPr="00FE1DC1">
        <w:rPr>
          <w:rFonts w:ascii="Arial" w:eastAsia="Calibri" w:hAnsi="Arial" w:cs="Arial"/>
          <w:b/>
          <w:bCs/>
          <w:sz w:val="26"/>
          <w:szCs w:val="26"/>
        </w:rPr>
        <w:t>inoperantes</w:t>
      </w:r>
      <w:r>
        <w:rPr>
          <w:rFonts w:ascii="Arial" w:eastAsia="Calibri" w:hAnsi="Arial" w:cs="Arial"/>
          <w:bCs/>
          <w:sz w:val="26"/>
          <w:szCs w:val="26"/>
        </w:rPr>
        <w:t xml:space="preserve"> los argumentos formulados en el agravio en estudio, porque la autoridad inconforme en primer término, únicamente afirma</w:t>
      </w:r>
      <w:r w:rsidRPr="000B76C1">
        <w:rPr>
          <w:rFonts w:ascii="Arial" w:eastAsia="Calibri" w:hAnsi="Arial" w:cs="Arial"/>
          <w:bCs/>
          <w:sz w:val="26"/>
          <w:szCs w:val="26"/>
        </w:rPr>
        <w:t xml:space="preserve"> </w:t>
      </w:r>
      <w:r>
        <w:rPr>
          <w:rFonts w:ascii="Arial" w:eastAsia="Calibri" w:hAnsi="Arial" w:cs="Arial"/>
          <w:bCs/>
          <w:sz w:val="26"/>
          <w:szCs w:val="26"/>
        </w:rPr>
        <w:t xml:space="preserve">que la </w:t>
      </w:r>
      <w:r w:rsidRPr="00780CB7">
        <w:rPr>
          <w:rFonts w:ascii="Arial" w:eastAsia="Calibri" w:hAnsi="Arial" w:cs="Arial"/>
          <w:bCs/>
          <w:i/>
          <w:iCs/>
          <w:sz w:val="26"/>
          <w:szCs w:val="26"/>
        </w:rPr>
        <w:t>A quo</w:t>
      </w:r>
      <w:r>
        <w:rPr>
          <w:rFonts w:ascii="Arial" w:eastAsia="Calibri" w:hAnsi="Arial" w:cs="Arial"/>
          <w:bCs/>
          <w:sz w:val="26"/>
          <w:szCs w:val="26"/>
        </w:rPr>
        <w:t xml:space="preserve"> violó en su perjuicio los numerales 14 y 16 de la Constitución Federal y 207 de la Ley de Procedimiento y Justicia Administrativa para el Estado de Oaxaca, sin explicar de qué manera, a su entendimiento, considera que se infringieron dichos preceptos legales al dictar la sentencia combatida, y aunado a ello, en segundo término tampoco expone con argumentos </w:t>
      </w:r>
      <w:r>
        <w:rPr>
          <w:rFonts w:ascii="Arial" w:eastAsia="Calibri" w:hAnsi="Arial" w:cs="Arial"/>
          <w:bCs/>
          <w:sz w:val="26"/>
          <w:szCs w:val="26"/>
        </w:rPr>
        <w:lastRenderedPageBreak/>
        <w:t xml:space="preserve">lógico - jurídicos, el por qué a su entendimiento, la Sala </w:t>
      </w:r>
      <w:r w:rsidRPr="00817186">
        <w:rPr>
          <w:rFonts w:ascii="Arial" w:eastAsia="Calibri" w:hAnsi="Arial" w:cs="Arial"/>
          <w:bCs/>
          <w:i/>
          <w:iCs/>
          <w:sz w:val="26"/>
          <w:szCs w:val="26"/>
        </w:rPr>
        <w:t>A quo</w:t>
      </w:r>
      <w:r>
        <w:rPr>
          <w:rFonts w:ascii="Arial" w:eastAsia="Calibri" w:hAnsi="Arial" w:cs="Arial"/>
          <w:bCs/>
          <w:sz w:val="26"/>
          <w:szCs w:val="26"/>
        </w:rPr>
        <w:t xml:space="preserve"> dejó de observar los principios de exhaustividad y de congruencia al emitir la sentencia en revisión, y soslayó señalar la recurrente, en qué consisten las omisiones que estima que se cometieron por parte de la </w:t>
      </w:r>
      <w:r w:rsidRPr="00887CD1">
        <w:rPr>
          <w:rFonts w:ascii="Arial" w:eastAsia="Calibri" w:hAnsi="Arial" w:cs="Arial"/>
          <w:bCs/>
          <w:i/>
          <w:iCs/>
          <w:sz w:val="26"/>
          <w:szCs w:val="26"/>
        </w:rPr>
        <w:t>A quo</w:t>
      </w:r>
      <w:r>
        <w:rPr>
          <w:rFonts w:ascii="Arial" w:eastAsia="Calibri" w:hAnsi="Arial" w:cs="Arial"/>
          <w:bCs/>
          <w:i/>
          <w:iCs/>
          <w:sz w:val="26"/>
          <w:szCs w:val="26"/>
        </w:rPr>
        <w:t>,</w:t>
      </w:r>
      <w:r>
        <w:rPr>
          <w:rFonts w:ascii="Arial" w:eastAsia="Calibri" w:hAnsi="Arial" w:cs="Arial"/>
          <w:bCs/>
          <w:sz w:val="26"/>
          <w:szCs w:val="26"/>
        </w:rPr>
        <w:t xml:space="preserve"> en relación a los elementos argumentados por la autoridad demandada en el juicio de primera instancia, pues con hacer alusión a ello únicamente, no impugna las consideraciones torales de la sentencia de fecha veintinueve de noviembre de dos mil diecinueve, en la que se declaró la nulidad lisa y llana del crédito fiscal con número de folio </w:t>
      </w:r>
      <w:r w:rsidR="003906FF">
        <w:rPr>
          <w:rFonts w:ascii="Arial" w:eastAsia="Calibri" w:hAnsi="Arial" w:cs="Arial"/>
          <w:bCs/>
          <w:sz w:val="26"/>
          <w:szCs w:val="26"/>
        </w:rPr>
        <w:t>***********</w:t>
      </w:r>
      <w:r>
        <w:rPr>
          <w:rFonts w:ascii="Arial" w:eastAsia="Calibri" w:hAnsi="Arial" w:cs="Arial"/>
          <w:bCs/>
          <w:sz w:val="26"/>
          <w:szCs w:val="26"/>
        </w:rPr>
        <w:t xml:space="preserve">, de fecha ocho de noviembre de dos mil dieciocho, emitido por </w:t>
      </w:r>
      <w:r w:rsidRPr="00492876">
        <w:rPr>
          <w:rFonts w:ascii="Arial" w:eastAsia="Calibri" w:hAnsi="Arial" w:cs="Arial"/>
          <w:bCs/>
          <w:sz w:val="26"/>
          <w:szCs w:val="26"/>
        </w:rPr>
        <w:t>la Jefa de la Unidad de Recaudación Municipal del Municipio de Oaxaca de Juárez,</w:t>
      </w:r>
      <w:r>
        <w:rPr>
          <w:rFonts w:ascii="Arial" w:eastAsia="Calibri" w:hAnsi="Arial" w:cs="Arial"/>
          <w:bCs/>
          <w:sz w:val="26"/>
          <w:szCs w:val="26"/>
        </w:rPr>
        <w:t xml:space="preserve"> lo cual era indispensable que hiciera, y al no realizarlo, prevalece el sentido de la sentencia en revisión. De ahí lo </w:t>
      </w:r>
      <w:r w:rsidRPr="00854165">
        <w:rPr>
          <w:rFonts w:ascii="Arial" w:eastAsia="Calibri" w:hAnsi="Arial" w:cs="Arial"/>
          <w:b/>
          <w:sz w:val="26"/>
          <w:szCs w:val="26"/>
        </w:rPr>
        <w:t xml:space="preserve">inoperante </w:t>
      </w:r>
      <w:r>
        <w:rPr>
          <w:rFonts w:ascii="Arial" w:eastAsia="Calibri" w:hAnsi="Arial" w:cs="Arial"/>
          <w:bCs/>
          <w:sz w:val="26"/>
          <w:szCs w:val="26"/>
        </w:rPr>
        <w:t xml:space="preserve">del agravio primero. </w:t>
      </w:r>
      <w:r w:rsidR="00D6568E">
        <w:rPr>
          <w:rFonts w:ascii="Arial" w:hAnsi="Arial" w:cs="Arial"/>
          <w:sz w:val="26"/>
          <w:szCs w:val="26"/>
        </w:rPr>
        <w:t xml:space="preserve">- - - - - - - - - - - - - - - - - - - - - - - - - - - - - </w:t>
      </w:r>
      <w:r w:rsidR="003906FF">
        <w:rPr>
          <w:rFonts w:ascii="Arial" w:hAnsi="Arial" w:cs="Arial"/>
          <w:sz w:val="26"/>
          <w:szCs w:val="26"/>
        </w:rPr>
        <w:t>- - - - - - - - - - - - - - - - -</w:t>
      </w:r>
    </w:p>
    <w:p w14:paraId="74CE5471" w14:textId="77777777" w:rsidR="00D6568E" w:rsidRPr="00D6568E" w:rsidRDefault="00D6568E" w:rsidP="00D6568E">
      <w:pPr>
        <w:pStyle w:val="Sinespaciado"/>
      </w:pPr>
    </w:p>
    <w:p w14:paraId="4EAB4F43" w14:textId="7C4102BC" w:rsidR="00A25B7F" w:rsidRDefault="00A25B7F" w:rsidP="00A25B7F">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apoyo a lo anterior, se invoca </w:t>
      </w:r>
      <w:r w:rsidRPr="00EC4A1C">
        <w:rPr>
          <w:rFonts w:ascii="Arial" w:eastAsia="Calibri" w:hAnsi="Arial" w:cs="Arial"/>
          <w:bCs/>
          <w:sz w:val="26"/>
          <w:szCs w:val="26"/>
        </w:rPr>
        <w:t>la jurisprudencia IV.3o.J/12</w:t>
      </w:r>
      <w:r>
        <w:rPr>
          <w:rFonts w:ascii="Arial" w:eastAsia="Calibri" w:hAnsi="Arial" w:cs="Arial"/>
          <w:bCs/>
          <w:sz w:val="26"/>
          <w:szCs w:val="26"/>
        </w:rPr>
        <w:t xml:space="preserve">, con número de registro </w:t>
      </w:r>
      <w:r w:rsidRPr="009559E3">
        <w:rPr>
          <w:rFonts w:ascii="Arial" w:eastAsia="Calibri" w:hAnsi="Arial" w:cs="Arial"/>
          <w:bCs/>
          <w:sz w:val="26"/>
          <w:szCs w:val="26"/>
        </w:rPr>
        <w:t>218411</w:t>
      </w:r>
      <w:r>
        <w:rPr>
          <w:rFonts w:ascii="Arial" w:eastAsia="Calibri" w:hAnsi="Arial" w:cs="Arial"/>
          <w:bCs/>
          <w:sz w:val="26"/>
          <w:szCs w:val="26"/>
        </w:rPr>
        <w:t xml:space="preserve">, emitida por el </w:t>
      </w:r>
      <w:r w:rsidRPr="00EC4A1C">
        <w:rPr>
          <w:rFonts w:ascii="Arial" w:eastAsia="Calibri" w:hAnsi="Arial" w:cs="Arial"/>
          <w:bCs/>
          <w:sz w:val="26"/>
          <w:szCs w:val="26"/>
        </w:rPr>
        <w:t xml:space="preserve">Tercer Tribunal Colegiado del Cuarto Circuito en la Octava Época, </w:t>
      </w:r>
      <w:r>
        <w:rPr>
          <w:rFonts w:ascii="Arial" w:eastAsia="Calibri" w:hAnsi="Arial" w:cs="Arial"/>
          <w:bCs/>
          <w:sz w:val="26"/>
          <w:szCs w:val="26"/>
        </w:rPr>
        <w:t xml:space="preserve">visible </w:t>
      </w:r>
      <w:r w:rsidRPr="00EC4A1C">
        <w:rPr>
          <w:rFonts w:ascii="Arial" w:eastAsia="Calibri" w:hAnsi="Arial" w:cs="Arial"/>
          <w:bCs/>
          <w:sz w:val="26"/>
          <w:szCs w:val="26"/>
        </w:rPr>
        <w:t xml:space="preserve">en la Gaceta del Semanario Judicial de la Federación, número 57, de septiembre de 1992, </w:t>
      </w:r>
      <w:r>
        <w:rPr>
          <w:rFonts w:ascii="Arial" w:eastAsia="Calibri" w:hAnsi="Arial" w:cs="Arial"/>
          <w:bCs/>
          <w:sz w:val="26"/>
          <w:szCs w:val="26"/>
        </w:rPr>
        <w:t>de</w:t>
      </w:r>
      <w:r w:rsidRPr="00EC4A1C">
        <w:rPr>
          <w:rFonts w:ascii="Arial" w:eastAsia="Calibri" w:hAnsi="Arial" w:cs="Arial"/>
          <w:bCs/>
          <w:sz w:val="26"/>
          <w:szCs w:val="26"/>
        </w:rPr>
        <w:t xml:space="preserve"> rubro y texto siguiente:</w:t>
      </w:r>
      <w:r w:rsidR="00D6568E" w:rsidRPr="00D6568E">
        <w:rPr>
          <w:rFonts w:ascii="Arial" w:hAnsi="Arial" w:cs="Arial"/>
          <w:sz w:val="26"/>
          <w:szCs w:val="26"/>
        </w:rPr>
        <w:t xml:space="preserve"> </w:t>
      </w:r>
      <w:r w:rsidR="00D6568E">
        <w:rPr>
          <w:rFonts w:ascii="Arial" w:hAnsi="Arial" w:cs="Arial"/>
          <w:sz w:val="26"/>
          <w:szCs w:val="26"/>
        </w:rPr>
        <w:t>- - - - - - - - - - - - - - - - - - - - - - - - - - - - - - - - - - - - - - - -</w:t>
      </w:r>
    </w:p>
    <w:p w14:paraId="1D0C96E2" w14:textId="77777777" w:rsidR="00A25B7F" w:rsidRDefault="00A25B7F" w:rsidP="00A25B7F">
      <w:pPr>
        <w:spacing w:after="0" w:line="360" w:lineRule="auto"/>
        <w:ind w:firstLine="708"/>
        <w:jc w:val="both"/>
        <w:rPr>
          <w:rFonts w:ascii="Arial" w:eastAsia="Calibri" w:hAnsi="Arial" w:cs="Arial"/>
          <w:bCs/>
          <w:sz w:val="26"/>
          <w:szCs w:val="26"/>
        </w:rPr>
      </w:pPr>
      <w:r w:rsidRPr="00EC4A1C">
        <w:rPr>
          <w:rFonts w:ascii="Arial" w:eastAsia="Calibri" w:hAnsi="Arial" w:cs="Arial"/>
          <w:bCs/>
          <w:sz w:val="26"/>
          <w:szCs w:val="26"/>
        </w:rPr>
        <w:t xml:space="preserve"> </w:t>
      </w:r>
    </w:p>
    <w:p w14:paraId="070511E7" w14:textId="77777777" w:rsidR="00A25B7F" w:rsidRPr="0000594F" w:rsidRDefault="00A25B7F" w:rsidP="00A25B7F">
      <w:pPr>
        <w:pStyle w:val="Sinespaciado"/>
        <w:spacing w:after="120" w:line="360" w:lineRule="auto"/>
        <w:ind w:left="709" w:right="902"/>
        <w:jc w:val="both"/>
        <w:rPr>
          <w:rFonts w:ascii="Arial" w:eastAsia="Calibri" w:hAnsi="Arial" w:cs="Arial"/>
          <w:bCs/>
          <w:i/>
          <w:sz w:val="24"/>
          <w:szCs w:val="24"/>
        </w:rPr>
      </w:pPr>
      <w:r w:rsidRPr="009559E3">
        <w:rPr>
          <w:rFonts w:ascii="Arial" w:eastAsia="Calibri" w:hAnsi="Arial" w:cs="Arial"/>
          <w:b/>
          <w:bCs/>
          <w:i/>
          <w:sz w:val="24"/>
          <w:szCs w:val="24"/>
        </w:rPr>
        <w:t xml:space="preserve">AGRAVIOS. DEBEN DE IMPUGNAR LA </w:t>
      </w:r>
      <w:r>
        <w:rPr>
          <w:rFonts w:ascii="Arial" w:eastAsia="Calibri" w:hAnsi="Arial" w:cs="Arial"/>
          <w:b/>
          <w:bCs/>
          <w:i/>
          <w:sz w:val="24"/>
          <w:szCs w:val="24"/>
        </w:rPr>
        <w:t xml:space="preserve">ILEGALIDAD DEL FALLO RECURRIDO. </w:t>
      </w:r>
      <w:r w:rsidRPr="009559E3">
        <w:rPr>
          <w:rFonts w:ascii="Arial" w:eastAsia="Calibri" w:hAnsi="Arial" w:cs="Arial"/>
          <w:bCs/>
          <w:i/>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688C8E6D" w14:textId="77777777" w:rsidR="00A25B7F" w:rsidRDefault="00A25B7F" w:rsidP="00A25B7F">
      <w:pPr>
        <w:spacing w:before="240" w:line="360" w:lineRule="auto"/>
        <w:ind w:firstLine="708"/>
        <w:jc w:val="both"/>
        <w:rPr>
          <w:rFonts w:ascii="Arial" w:eastAsia="Calibri" w:hAnsi="Arial" w:cs="Arial"/>
          <w:bCs/>
          <w:sz w:val="26"/>
          <w:szCs w:val="26"/>
        </w:rPr>
      </w:pPr>
    </w:p>
    <w:p w14:paraId="7340DEAF" w14:textId="58275D26"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en el agravio </w:t>
      </w:r>
      <w:r w:rsidRPr="00AA5406">
        <w:rPr>
          <w:rFonts w:ascii="Arial" w:eastAsia="Calibri" w:hAnsi="Arial" w:cs="Arial"/>
          <w:b/>
          <w:bCs/>
          <w:sz w:val="26"/>
          <w:szCs w:val="26"/>
        </w:rPr>
        <w:t>tercero</w:t>
      </w:r>
      <w:r>
        <w:rPr>
          <w:rFonts w:ascii="Arial" w:eastAsia="Calibri" w:hAnsi="Arial" w:cs="Arial"/>
          <w:bCs/>
          <w:sz w:val="26"/>
          <w:szCs w:val="26"/>
        </w:rPr>
        <w:t xml:space="preserve"> la autoridad recurrente manifiesta que le causa agravio la determinación del Magistrado de Primera Instancia relativa al considerando cuarto, al tomar en cuenta únicamente el estudio de los  conceptos de impugnación y pruebas que ofreció el actor, y no se refirió a las pruebas ofrecidas por la autoridad </w:t>
      </w:r>
      <w:r>
        <w:rPr>
          <w:rFonts w:ascii="Arial" w:eastAsia="Calibri" w:hAnsi="Arial" w:cs="Arial"/>
          <w:bCs/>
          <w:sz w:val="26"/>
          <w:szCs w:val="26"/>
        </w:rPr>
        <w:lastRenderedPageBreak/>
        <w:t xml:space="preserve">demandada y argumentos vertidos en la contestación de la demanda, pues en ningún momento hizo alusión a ello, ni señaló si los argumentos señalados por la autoridad demandada no generaron convicción en el juzgador que lo haya llevado a concluir declarar la nulidad lisa y llana del crédito fiscal folio </w:t>
      </w:r>
      <w:r w:rsidR="003906FF">
        <w:rPr>
          <w:rFonts w:ascii="Arial" w:eastAsia="Calibri" w:hAnsi="Arial" w:cs="Arial"/>
          <w:bCs/>
          <w:sz w:val="26"/>
          <w:szCs w:val="26"/>
        </w:rPr>
        <w:t>***********</w:t>
      </w:r>
      <w:r>
        <w:rPr>
          <w:rFonts w:ascii="Arial" w:eastAsia="Calibri" w:hAnsi="Arial" w:cs="Arial"/>
          <w:bCs/>
          <w:sz w:val="26"/>
          <w:szCs w:val="26"/>
        </w:rPr>
        <w:t>, de fecha ocho de noviembre de dos mil dieciocho, por tanto, al abocarse a determinar la ilegalidad de la resolución cuando aún esta no estaba a debate, y señalar que la autoridad fue incompetente para la emisión del acto impugnado, se viola en su perjuicio el principio de equidad procesal, pues se entiende que las partes tienen las mismas cargas procesales y medios de defensa para ambos, y que por lo tanto, la determinación de la Sala transgrede en su perjuicio las garantías de seguridad jurídica consagradas en los artículos 14, 16 y 17 de nuestra Carta Magna, sin dejar de mencionar que también se viola en su perjuicio el principio de contradicción, pues es claro que donde existen intereses contradictorios para la existencia de un proceso en el cual es necesario que se dé vista a las partes y se tomen en cuenta las pruebas y argumentos de las actuaciones de la contraria, para que puedan alegar en juicio, a efecto de garantizar la igualdad procesal, y que por tanto es procedente decretar válido el agravio planteado.</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 - - - - - - </w:t>
      </w:r>
    </w:p>
    <w:p w14:paraId="1AABDFC7" w14:textId="4C6B1BF6"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Señala la recurrente, que en la especie, el Magistrado de la primera instancia, declaró la nulidad de la resolución impugnada, en virtud de que señala que fue dictada supuestamente por una autoridad incompetente, para emitir el crédito fiscal folio </w:t>
      </w:r>
      <w:r w:rsidR="00864D05">
        <w:rPr>
          <w:rFonts w:ascii="Arial" w:eastAsia="Calibri" w:hAnsi="Arial" w:cs="Arial"/>
          <w:bCs/>
          <w:sz w:val="26"/>
          <w:szCs w:val="26"/>
        </w:rPr>
        <w:t>***********</w:t>
      </w:r>
      <w:r>
        <w:rPr>
          <w:rFonts w:ascii="Arial" w:eastAsia="Calibri" w:hAnsi="Arial" w:cs="Arial"/>
          <w:bCs/>
          <w:sz w:val="26"/>
          <w:szCs w:val="26"/>
        </w:rPr>
        <w:t xml:space="preserve">, de fecha ocho de noviembre de dos mil dieciocho, y que contrario a lo resuelto por el magistrado de primera instancia, en la resolución impugnada, visible en el cuarto párrafo del acto impugnado, de manera expresa se citaron los preceptos 1, 2, 3, 6 fracción II, 10 fracción IV, 53 y 56 de la Ley de Ingresos del Municipio de Oaxaca de Juárez, Oaxaca, así como también consta la transcripción de los artículos 11, 13, 17, 20, 58, 60, 63, 71 y 78 del Código Fiscal Municipal del Estado de Oaxaca, vigente al momento de la emisión del acto administrativo, de lo cual es errónea la apreciación y el criterio del juzgador, pues contrario a ello, sí se encuentran plasmados los fundamentos y motivos, que le otorgan competencia a la autoridad que representa, porque sí se citaron en la resolución impugnada, los preceptos jurídicos aplicables; esto es, los correspondientes a la Constitución Política de los Estados Unidos </w:t>
      </w:r>
      <w:r>
        <w:rPr>
          <w:rFonts w:ascii="Arial" w:eastAsia="Calibri" w:hAnsi="Arial" w:cs="Arial"/>
          <w:bCs/>
          <w:sz w:val="26"/>
          <w:szCs w:val="26"/>
        </w:rPr>
        <w:lastRenderedPageBreak/>
        <w:t xml:space="preserve">Mexicanos, la Constitución Local, la Ley Orgánica Municipal para el Estado de Oaxaca, y el Código Fiscal Municipal del Estado de Oaxaca, mediante los cuales se otorgan facultades al Tesorero y a los Titulares de las áreas administrativas que le estén jerárquicamente subordinadas, en material fiscal; manifestación a que también hace referencia la </w:t>
      </w:r>
      <w:r w:rsidRPr="00A74A59">
        <w:rPr>
          <w:rFonts w:ascii="Arial" w:eastAsia="Calibri" w:hAnsi="Arial" w:cs="Arial"/>
          <w:bCs/>
          <w:i/>
          <w:iCs/>
          <w:sz w:val="26"/>
          <w:szCs w:val="26"/>
        </w:rPr>
        <w:t>A quo</w:t>
      </w:r>
      <w:r>
        <w:rPr>
          <w:rFonts w:ascii="Arial" w:eastAsia="Calibri" w:hAnsi="Arial" w:cs="Arial"/>
          <w:bCs/>
          <w:sz w:val="26"/>
          <w:szCs w:val="26"/>
        </w:rPr>
        <w:t>, por lo que resulta evidente que, la Autoridad que representa, contaba con las facultades para emitir el acto impugnado.</w:t>
      </w:r>
      <w:r w:rsidR="00D6568E">
        <w:rPr>
          <w:rFonts w:ascii="Arial" w:eastAsia="Calibri" w:hAnsi="Arial" w:cs="Arial"/>
          <w:bCs/>
          <w:sz w:val="26"/>
          <w:szCs w:val="26"/>
        </w:rPr>
        <w:t xml:space="preserve"> - - - - - - - - - - - - - - - -</w:t>
      </w:r>
    </w:p>
    <w:p w14:paraId="4EB4A70A" w14:textId="739E03D4"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Afirma la inconforme que se señalaron los hechos que motivaron la emisión del crédito fiscal, así como los fundamentos jurídicos que sirvieron de sustento a la Autoridad para emitirla (fundamentación), previstos en la Constitución Política de los Estados Unidos Mexicanos, la Constitución Local, la Ley Orgánica Municipal para el Estado de Oaxaca y el Código Fiscal Municipal del Estado de Oaxaca, respectivamente; porque dice que, si bien es cierto que el artículo 16 Constitucional, establece la obligación para las autoridades, de fundar y motivar sus actos, también lo es que dicha obligación se satisface desde el punto de vista formal, cuando se expresan las normas legales aplicables y los hechos que hacen que el caso encaje en las hipótesis normativas; bastando el razonamiento sustancial al respecto, sin que pueda exigirse formalmente mayor amplitud o abundancia, que la expresión de lo estrictamente necesario, para que sustancialmente se comprenda el argumento expresado. </w:t>
      </w:r>
      <w:r w:rsidR="00D6568E">
        <w:rPr>
          <w:rFonts w:ascii="Arial" w:eastAsia="Calibri" w:hAnsi="Arial" w:cs="Arial"/>
          <w:bCs/>
          <w:sz w:val="26"/>
          <w:szCs w:val="26"/>
        </w:rPr>
        <w:t>- - - - - - - - - - - - - - - - - - - - - - - - -</w:t>
      </w:r>
    </w:p>
    <w:p w14:paraId="03790AFF" w14:textId="75DC3BFE"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Sostiene la inconforme que en ese orden de ideas, ya que el crédito fiscal con número de folio </w:t>
      </w:r>
      <w:r w:rsidR="00864D05">
        <w:rPr>
          <w:rFonts w:ascii="Arial" w:eastAsia="Calibri" w:hAnsi="Arial" w:cs="Arial"/>
          <w:bCs/>
          <w:sz w:val="26"/>
          <w:szCs w:val="26"/>
        </w:rPr>
        <w:t>***********</w:t>
      </w:r>
      <w:r>
        <w:rPr>
          <w:rFonts w:ascii="Arial" w:eastAsia="Calibri" w:hAnsi="Arial" w:cs="Arial"/>
          <w:bCs/>
          <w:sz w:val="26"/>
          <w:szCs w:val="26"/>
        </w:rPr>
        <w:t>, de fecha ocho de noviembre de dos mil dieciocho, se dictó como consecuencia de una franca violación a normas de carácter público y de interés social, circunstancia que no se tomó en consideración al momento de pronunciarse, pues la función de las autoridades es velar por el cumplimiento de las leyes, de lo contrario se llevaría a la sociedad a vivir en un estado de anarquía y caos total, y en consecuencia sobrevendría el colapso de las instituciones, pues estas tienen la ineludible encomienda de promover orden y paz social con respeto irrestricto a los derechos humanos.</w:t>
      </w:r>
      <w:r w:rsidR="00D6568E">
        <w:rPr>
          <w:rFonts w:ascii="Arial" w:eastAsia="Calibri" w:hAnsi="Arial" w:cs="Arial"/>
          <w:bCs/>
          <w:sz w:val="26"/>
          <w:szCs w:val="26"/>
        </w:rPr>
        <w:t xml:space="preserve"> - - - - </w:t>
      </w:r>
    </w:p>
    <w:p w14:paraId="55A77C60" w14:textId="32F748B9"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el agravio </w:t>
      </w:r>
      <w:r w:rsidRPr="00CD7645">
        <w:rPr>
          <w:rFonts w:ascii="Arial" w:eastAsia="Calibri" w:hAnsi="Arial" w:cs="Arial"/>
          <w:b/>
          <w:sz w:val="26"/>
          <w:szCs w:val="26"/>
        </w:rPr>
        <w:t>cuarto</w:t>
      </w:r>
      <w:r>
        <w:rPr>
          <w:rFonts w:ascii="Arial" w:eastAsia="Calibri" w:hAnsi="Arial" w:cs="Arial"/>
          <w:bCs/>
          <w:sz w:val="26"/>
          <w:szCs w:val="26"/>
        </w:rPr>
        <w:t xml:space="preserve"> manifiesta la recurrente que, en virtud de que la resolución impugnada se dictó como consecuencia de la franca violación a ordenamientos de carácter público e interés social como lo </w:t>
      </w:r>
      <w:r>
        <w:rPr>
          <w:rFonts w:ascii="Arial" w:eastAsia="Calibri" w:hAnsi="Arial" w:cs="Arial"/>
          <w:bCs/>
          <w:sz w:val="26"/>
          <w:szCs w:val="26"/>
        </w:rPr>
        <w:lastRenderedPageBreak/>
        <w:t>es el Código Fiscal Municipal, la Ley de Ingresos del Municipio de Oaxaca de Juárez vigente, la Ley de Hacienda Municipal, en consecuencia, es evidente que ello deja en estado de indefensión a la autoridad señalada con antelación, dado que no tuvo la oportunidad de pronunciarse respecto del crédito fiscal que se impugna en el presente juicio, e insiste en que por ello, en el presente caso se violaron las formalidades esenciales del procedimiento, al no habérsele dado la oportunidad de ser oída y vencida en juicio.</w:t>
      </w:r>
      <w:r w:rsidR="00D6568E">
        <w:rPr>
          <w:rFonts w:ascii="Arial" w:eastAsia="Calibri" w:hAnsi="Arial" w:cs="Arial"/>
          <w:bCs/>
          <w:sz w:val="26"/>
          <w:szCs w:val="26"/>
        </w:rPr>
        <w:t xml:space="preserve"> - - - - - - - - - - - - - - - - - - - - </w:t>
      </w:r>
    </w:p>
    <w:p w14:paraId="155B615E" w14:textId="1CDE43A8"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Sala Superior estima que devienen </w:t>
      </w:r>
      <w:r w:rsidRPr="008822A6">
        <w:rPr>
          <w:rFonts w:ascii="Arial" w:eastAsia="Calibri" w:hAnsi="Arial" w:cs="Arial"/>
          <w:b/>
          <w:sz w:val="26"/>
          <w:szCs w:val="26"/>
        </w:rPr>
        <w:t>infundado</w:t>
      </w:r>
      <w:r>
        <w:rPr>
          <w:rFonts w:ascii="Arial" w:eastAsia="Calibri" w:hAnsi="Arial" w:cs="Arial"/>
          <w:b/>
          <w:sz w:val="26"/>
          <w:szCs w:val="26"/>
        </w:rPr>
        <w:t>s</w:t>
      </w:r>
      <w:r>
        <w:rPr>
          <w:rFonts w:ascii="Arial" w:eastAsia="Calibri" w:hAnsi="Arial" w:cs="Arial"/>
          <w:bCs/>
          <w:sz w:val="26"/>
          <w:szCs w:val="26"/>
        </w:rPr>
        <w:t xml:space="preserve"> los agravios </w:t>
      </w:r>
      <w:r w:rsidRPr="00F4509E">
        <w:rPr>
          <w:rFonts w:ascii="Arial" w:eastAsia="Calibri" w:hAnsi="Arial" w:cs="Arial"/>
          <w:b/>
          <w:sz w:val="26"/>
          <w:szCs w:val="26"/>
        </w:rPr>
        <w:t xml:space="preserve">tercero y cuarto, </w:t>
      </w:r>
      <w:r>
        <w:rPr>
          <w:rFonts w:ascii="Arial" w:eastAsia="Calibri" w:hAnsi="Arial" w:cs="Arial"/>
          <w:bCs/>
          <w:sz w:val="26"/>
          <w:szCs w:val="26"/>
        </w:rPr>
        <w:t>atendiendo a las siguientes consideraciones:</w:t>
      </w:r>
      <w:r w:rsidR="00D6568E">
        <w:rPr>
          <w:rFonts w:ascii="Arial" w:eastAsia="Calibri" w:hAnsi="Arial" w:cs="Arial"/>
          <w:bCs/>
          <w:sz w:val="26"/>
          <w:szCs w:val="26"/>
        </w:rPr>
        <w:t xml:space="preserve"> - - - - -</w:t>
      </w:r>
    </w:p>
    <w:p w14:paraId="6DB31B9A" w14:textId="79F01381" w:rsidR="00A25B7F" w:rsidRDefault="00A25B7F" w:rsidP="00A25B7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El artículo 208 último párrafo de la Ley de Procedimiento y Justicia Administrativa del Estado de Oaxaca dispone que:</w:t>
      </w:r>
      <w:r w:rsidR="00D6568E">
        <w:rPr>
          <w:rFonts w:ascii="Arial" w:eastAsia="Calibri" w:hAnsi="Arial" w:cs="Arial"/>
          <w:bCs/>
          <w:sz w:val="26"/>
          <w:szCs w:val="26"/>
        </w:rPr>
        <w:t xml:space="preserve"> - - - - - - - - - - - - - -</w:t>
      </w:r>
    </w:p>
    <w:p w14:paraId="0B36D597" w14:textId="77777777" w:rsidR="00A25B7F" w:rsidRPr="00206B8A" w:rsidRDefault="00A25B7F" w:rsidP="00A25B7F">
      <w:pPr>
        <w:spacing w:before="240" w:line="360" w:lineRule="auto"/>
        <w:ind w:left="567" w:right="616"/>
        <w:jc w:val="both"/>
        <w:rPr>
          <w:rFonts w:ascii="Arial" w:eastAsia="Calibri" w:hAnsi="Arial" w:cs="Arial"/>
          <w:bCs/>
          <w:i/>
          <w:iCs/>
        </w:rPr>
      </w:pPr>
      <w:r w:rsidRPr="00206B8A">
        <w:rPr>
          <w:rFonts w:ascii="Arial" w:eastAsia="Calibri" w:hAnsi="Arial" w:cs="Arial"/>
          <w:bCs/>
          <w:i/>
          <w:iCs/>
        </w:rPr>
        <w:t>“</w:t>
      </w:r>
      <w:r w:rsidRPr="00206B8A">
        <w:rPr>
          <w:rFonts w:ascii="Arial" w:eastAsia="Calibri" w:hAnsi="Arial" w:cs="Arial"/>
          <w:b/>
          <w:i/>
          <w:iCs/>
        </w:rPr>
        <w:t>ARTÍCULO 208.-</w:t>
      </w:r>
      <w:r w:rsidRPr="00206B8A">
        <w:rPr>
          <w:rFonts w:ascii="Arial" w:eastAsia="Calibri" w:hAnsi="Arial" w:cs="Arial"/>
          <w:bCs/>
          <w:i/>
          <w:iCs/>
        </w:rPr>
        <w:t xml:space="preserve"> (…)</w:t>
      </w:r>
      <w:r>
        <w:rPr>
          <w:rFonts w:ascii="Arial" w:eastAsia="Calibri" w:hAnsi="Arial" w:cs="Arial"/>
          <w:bCs/>
          <w:i/>
          <w:iCs/>
        </w:rPr>
        <w:t xml:space="preserve"> </w:t>
      </w:r>
      <w:r w:rsidRPr="00206B8A">
        <w:rPr>
          <w:rFonts w:ascii="Arial" w:hAnsi="Arial" w:cs="Arial"/>
          <w:i/>
          <w:iCs/>
        </w:rPr>
        <w:t>El Tribunal podrá hacer valer de oficio, por ser de orden público, la incompetencia de la autoridad para dictar la resolución impugnada y la ausencia total o parcial de fundamentación o motivación en dicha resolución.”</w:t>
      </w:r>
    </w:p>
    <w:p w14:paraId="51ACB209" w14:textId="322DC57F" w:rsidR="00A25B7F" w:rsidRDefault="00A25B7F" w:rsidP="00A25B7F">
      <w:pPr>
        <w:spacing w:before="240" w:line="360" w:lineRule="auto"/>
        <w:ind w:firstLine="567"/>
        <w:jc w:val="both"/>
        <w:rPr>
          <w:rFonts w:ascii="Arial" w:hAnsi="Arial" w:cs="Arial"/>
          <w:color w:val="212529"/>
          <w:sz w:val="26"/>
          <w:szCs w:val="26"/>
        </w:rPr>
      </w:pPr>
      <w:r>
        <w:rPr>
          <w:rFonts w:ascii="Arial" w:eastAsia="Calibri" w:hAnsi="Arial" w:cs="Arial"/>
          <w:bCs/>
          <w:sz w:val="26"/>
          <w:szCs w:val="26"/>
        </w:rPr>
        <w:t>De la interpretación d</w:t>
      </w:r>
      <w:r w:rsidRPr="003615D9">
        <w:rPr>
          <w:rFonts w:ascii="Arial" w:eastAsia="Calibri" w:hAnsi="Arial" w:cs="Arial"/>
          <w:bCs/>
          <w:sz w:val="26"/>
          <w:szCs w:val="26"/>
        </w:rPr>
        <w:t xml:space="preserve">el </w:t>
      </w:r>
      <w:r>
        <w:rPr>
          <w:rFonts w:ascii="Arial" w:eastAsia="Calibri" w:hAnsi="Arial" w:cs="Arial"/>
          <w:bCs/>
          <w:sz w:val="26"/>
          <w:szCs w:val="26"/>
        </w:rPr>
        <w:t xml:space="preserve">precepto legal en cita, se advierte que está permitido que este Tribunal, examine oficiosamente la competencia </w:t>
      </w:r>
      <w:r w:rsidRPr="009B505B">
        <w:rPr>
          <w:rFonts w:ascii="Helvetica" w:hAnsi="Helvetica" w:cs="Helvetica"/>
          <w:color w:val="212529"/>
          <w:sz w:val="26"/>
          <w:szCs w:val="26"/>
          <w:shd w:val="clear" w:color="auto" w:fill="FFFFFF"/>
        </w:rPr>
        <w:t>material, por grado o territorio de</w:t>
      </w:r>
      <w:r>
        <w:rPr>
          <w:rFonts w:ascii="Helvetica" w:hAnsi="Helvetica" w:cs="Helvetica"/>
          <w:color w:val="212529"/>
          <w:sz w:val="26"/>
          <w:szCs w:val="26"/>
          <w:shd w:val="clear" w:color="auto" w:fill="FFFFFF"/>
        </w:rPr>
        <w:t xml:space="preserve"> </w:t>
      </w:r>
      <w:r>
        <w:rPr>
          <w:rFonts w:ascii="Arial" w:eastAsia="Calibri" w:hAnsi="Arial" w:cs="Arial"/>
          <w:bCs/>
          <w:sz w:val="26"/>
          <w:szCs w:val="26"/>
        </w:rPr>
        <w:t xml:space="preserve">la autoridad demandada, ya sea administrativa o fiscal, que al tratarse de una cuestión de orden público, constituye un presupuesto procesal indispensable, </w:t>
      </w:r>
      <w:r w:rsidRPr="0090480C">
        <w:rPr>
          <w:rFonts w:ascii="Arial" w:hAnsi="Arial" w:cs="Arial"/>
          <w:color w:val="212529"/>
          <w:sz w:val="26"/>
          <w:szCs w:val="26"/>
        </w:rPr>
        <w:t xml:space="preserve">que concierne a la correcta integración de un procedimiento, y de mayor trascendencia </w:t>
      </w:r>
      <w:r>
        <w:rPr>
          <w:rFonts w:ascii="Arial" w:hAnsi="Arial" w:cs="Arial"/>
          <w:color w:val="212529"/>
          <w:sz w:val="26"/>
          <w:szCs w:val="26"/>
        </w:rPr>
        <w:t>tratándose de un</w:t>
      </w:r>
      <w:r w:rsidRPr="0090480C">
        <w:rPr>
          <w:rFonts w:ascii="Arial" w:hAnsi="Arial" w:cs="Arial"/>
          <w:color w:val="212529"/>
          <w:sz w:val="26"/>
          <w:szCs w:val="26"/>
        </w:rPr>
        <w:t xml:space="preserve"> procedimiento que concluye con una resolución definitiva que establece cargas fiscales a un particular</w:t>
      </w:r>
      <w:r>
        <w:rPr>
          <w:rFonts w:ascii="Arial" w:hAnsi="Arial" w:cs="Arial"/>
          <w:color w:val="212529"/>
          <w:sz w:val="26"/>
          <w:szCs w:val="26"/>
        </w:rPr>
        <w:t xml:space="preserve">, como lo es en el presente asunto, </w:t>
      </w:r>
      <w:r w:rsidRPr="00BB727F">
        <w:rPr>
          <w:rFonts w:ascii="Arial" w:hAnsi="Arial" w:cs="Arial"/>
          <w:color w:val="212529"/>
          <w:sz w:val="26"/>
          <w:szCs w:val="26"/>
        </w:rPr>
        <w:t xml:space="preserve">el crédito fiscal con número de folio </w:t>
      </w:r>
      <w:bookmarkStart w:id="2" w:name="_Hlk61122526"/>
      <w:r w:rsidR="0016502E">
        <w:rPr>
          <w:rFonts w:ascii="Arial" w:eastAsia="Calibri" w:hAnsi="Arial" w:cs="Arial"/>
          <w:bCs/>
          <w:sz w:val="26"/>
          <w:szCs w:val="26"/>
        </w:rPr>
        <w:t>***********</w:t>
      </w:r>
      <w:r w:rsidRPr="00BB727F">
        <w:rPr>
          <w:rFonts w:ascii="Arial" w:hAnsi="Arial" w:cs="Arial"/>
          <w:color w:val="212529"/>
          <w:sz w:val="26"/>
          <w:szCs w:val="26"/>
        </w:rPr>
        <w:t>, de fecha ocho de noviembre de dos mil dieciocho,</w:t>
      </w:r>
      <w:r>
        <w:rPr>
          <w:rFonts w:ascii="Arial" w:hAnsi="Arial" w:cs="Arial"/>
          <w:color w:val="212529"/>
          <w:sz w:val="26"/>
          <w:szCs w:val="26"/>
        </w:rPr>
        <w:t xml:space="preserve"> </w:t>
      </w:r>
      <w:bookmarkEnd w:id="2"/>
      <w:r>
        <w:rPr>
          <w:rFonts w:ascii="Arial" w:hAnsi="Arial" w:cs="Arial"/>
          <w:color w:val="212529"/>
          <w:sz w:val="26"/>
          <w:szCs w:val="26"/>
        </w:rPr>
        <w:t>emitido por</w:t>
      </w:r>
      <w:r w:rsidRPr="00BB727F">
        <w:rPr>
          <w:rFonts w:ascii="Arial" w:hAnsi="Arial" w:cs="Arial"/>
          <w:color w:val="212529"/>
          <w:sz w:val="26"/>
          <w:szCs w:val="26"/>
        </w:rPr>
        <w:t xml:space="preserve"> la Jefa de la Unidad de Recaudación Municipal del Municipio de Oaxaca de Juárez</w:t>
      </w:r>
      <w:r>
        <w:rPr>
          <w:rFonts w:ascii="Arial" w:hAnsi="Arial" w:cs="Arial"/>
          <w:color w:val="212529"/>
          <w:sz w:val="26"/>
          <w:szCs w:val="26"/>
        </w:rPr>
        <w:t xml:space="preserve">. </w:t>
      </w:r>
    </w:p>
    <w:p w14:paraId="6936D53D" w14:textId="37297A87" w:rsidR="00A25B7F" w:rsidRPr="00B95182" w:rsidRDefault="00A25B7F" w:rsidP="00A25B7F">
      <w:pPr>
        <w:spacing w:before="240" w:line="360" w:lineRule="auto"/>
        <w:ind w:firstLine="708"/>
        <w:jc w:val="both"/>
        <w:rPr>
          <w:rFonts w:ascii="Helvetica" w:hAnsi="Helvetica" w:cs="Helvetica"/>
          <w:color w:val="212529"/>
          <w:sz w:val="26"/>
          <w:szCs w:val="26"/>
        </w:rPr>
      </w:pPr>
      <w:r w:rsidRPr="00B95182">
        <w:rPr>
          <w:rFonts w:ascii="Helvetica" w:hAnsi="Helvetica" w:cs="Helvetica"/>
          <w:color w:val="212529"/>
          <w:sz w:val="26"/>
          <w:szCs w:val="26"/>
        </w:rPr>
        <w:t xml:space="preserve">Al respecto, es aplicable </w:t>
      </w:r>
      <w:r>
        <w:rPr>
          <w:rFonts w:ascii="Helvetica" w:hAnsi="Helvetica" w:cs="Helvetica"/>
          <w:color w:val="212529"/>
          <w:sz w:val="26"/>
          <w:szCs w:val="26"/>
        </w:rPr>
        <w:t xml:space="preserve">la </w:t>
      </w:r>
      <w:r w:rsidRPr="00B95182">
        <w:rPr>
          <w:rFonts w:ascii="Helvetica" w:hAnsi="Helvetica" w:cs="Helvetica"/>
          <w:color w:val="212529"/>
          <w:sz w:val="26"/>
          <w:szCs w:val="26"/>
        </w:rPr>
        <w:t>Jurisprudencia</w:t>
      </w:r>
      <w:r>
        <w:rPr>
          <w:rFonts w:ascii="Helvetica" w:hAnsi="Helvetica" w:cs="Helvetica"/>
          <w:color w:val="212529"/>
          <w:sz w:val="26"/>
          <w:szCs w:val="26"/>
        </w:rPr>
        <w:t xml:space="preserve"> </w:t>
      </w:r>
      <w:r w:rsidRPr="00B95182">
        <w:rPr>
          <w:rFonts w:ascii="Helvetica" w:hAnsi="Helvetica" w:cs="Helvetica"/>
          <w:color w:val="212529"/>
          <w:sz w:val="26"/>
          <w:szCs w:val="26"/>
        </w:rPr>
        <w:t>VIII.3o. J/22</w:t>
      </w:r>
      <w:r>
        <w:rPr>
          <w:rFonts w:ascii="Helvetica" w:hAnsi="Helvetica" w:cs="Helvetica"/>
          <w:color w:val="212529"/>
          <w:sz w:val="26"/>
          <w:szCs w:val="26"/>
        </w:rPr>
        <w:t xml:space="preserve">, con número de registro </w:t>
      </w:r>
      <w:r w:rsidRPr="00B95182">
        <w:rPr>
          <w:rFonts w:ascii="Helvetica" w:hAnsi="Helvetica" w:cs="Helvetica"/>
          <w:color w:val="212529"/>
          <w:sz w:val="26"/>
          <w:szCs w:val="26"/>
        </w:rPr>
        <w:t>172812</w:t>
      </w:r>
      <w:r>
        <w:rPr>
          <w:rFonts w:ascii="Helvetica" w:hAnsi="Helvetica" w:cs="Helvetica"/>
          <w:color w:val="212529"/>
          <w:sz w:val="26"/>
          <w:szCs w:val="26"/>
        </w:rPr>
        <w:t xml:space="preserve">, emitida por los </w:t>
      </w:r>
      <w:r w:rsidRPr="00B95182">
        <w:rPr>
          <w:rFonts w:ascii="Helvetica" w:hAnsi="Helvetica" w:cs="Helvetica"/>
          <w:color w:val="212529"/>
          <w:sz w:val="26"/>
          <w:szCs w:val="26"/>
        </w:rPr>
        <w:t>Tribunales Colegiados de Circuito</w:t>
      </w:r>
      <w:r>
        <w:rPr>
          <w:rFonts w:ascii="Helvetica" w:hAnsi="Helvetica" w:cs="Helvetica"/>
          <w:color w:val="212529"/>
          <w:sz w:val="26"/>
          <w:szCs w:val="26"/>
        </w:rPr>
        <w:t xml:space="preserve">, perteneciente a la </w:t>
      </w:r>
      <w:r w:rsidRPr="00B95182">
        <w:rPr>
          <w:rFonts w:ascii="Helvetica" w:hAnsi="Helvetica" w:cs="Helvetica"/>
          <w:color w:val="212529"/>
          <w:sz w:val="26"/>
          <w:szCs w:val="26"/>
        </w:rPr>
        <w:t>Novena Época</w:t>
      </w:r>
      <w:r>
        <w:rPr>
          <w:rFonts w:ascii="Helvetica" w:hAnsi="Helvetica" w:cs="Helvetica"/>
          <w:color w:val="212529"/>
          <w:sz w:val="26"/>
          <w:szCs w:val="26"/>
        </w:rPr>
        <w:t xml:space="preserve">, </w:t>
      </w:r>
      <w:r w:rsidRPr="00B95182">
        <w:rPr>
          <w:rFonts w:ascii="Helvetica" w:hAnsi="Helvetica" w:cs="Helvetica"/>
          <w:color w:val="212529"/>
          <w:sz w:val="26"/>
          <w:szCs w:val="26"/>
        </w:rPr>
        <w:t>Materias(s): Administrativa</w:t>
      </w:r>
      <w:r>
        <w:rPr>
          <w:rFonts w:ascii="Helvetica" w:hAnsi="Helvetica" w:cs="Helvetica"/>
          <w:color w:val="212529"/>
          <w:sz w:val="26"/>
          <w:szCs w:val="26"/>
        </w:rPr>
        <w:t xml:space="preserve">, visible en el </w:t>
      </w:r>
      <w:r w:rsidRPr="00B95182">
        <w:rPr>
          <w:rFonts w:ascii="Helvetica" w:hAnsi="Helvetica" w:cs="Helvetica"/>
          <w:color w:val="212529"/>
          <w:sz w:val="26"/>
          <w:szCs w:val="26"/>
        </w:rPr>
        <w:t>Semanario Judicial de la Federación y su Gaceta</w:t>
      </w:r>
      <w:r>
        <w:rPr>
          <w:rFonts w:ascii="Helvetica" w:hAnsi="Helvetica" w:cs="Helvetica"/>
          <w:color w:val="212529"/>
          <w:sz w:val="26"/>
          <w:szCs w:val="26"/>
        </w:rPr>
        <w:t xml:space="preserve">, </w:t>
      </w:r>
      <w:r w:rsidRPr="00B95182">
        <w:rPr>
          <w:rFonts w:ascii="Helvetica" w:hAnsi="Helvetica" w:cs="Helvetica"/>
          <w:color w:val="212529"/>
          <w:sz w:val="26"/>
          <w:szCs w:val="26"/>
        </w:rPr>
        <w:t xml:space="preserve">Tomo XXV, </w:t>
      </w:r>
      <w:r>
        <w:rPr>
          <w:rFonts w:ascii="Helvetica" w:hAnsi="Helvetica" w:cs="Helvetica"/>
          <w:color w:val="212529"/>
          <w:sz w:val="26"/>
          <w:szCs w:val="26"/>
        </w:rPr>
        <w:t>a</w:t>
      </w:r>
      <w:r w:rsidRPr="00B95182">
        <w:rPr>
          <w:rFonts w:ascii="Helvetica" w:hAnsi="Helvetica" w:cs="Helvetica"/>
          <w:color w:val="212529"/>
          <w:sz w:val="26"/>
          <w:szCs w:val="26"/>
        </w:rPr>
        <w:t>bril de 2007</w:t>
      </w:r>
      <w:r>
        <w:rPr>
          <w:rFonts w:ascii="Helvetica" w:hAnsi="Helvetica" w:cs="Helvetica"/>
          <w:color w:val="212529"/>
          <w:sz w:val="26"/>
          <w:szCs w:val="26"/>
        </w:rPr>
        <w:t xml:space="preserve">, </w:t>
      </w:r>
      <w:r w:rsidRPr="00B95182">
        <w:rPr>
          <w:rFonts w:ascii="Helvetica" w:hAnsi="Helvetica" w:cs="Helvetica"/>
          <w:color w:val="212529"/>
          <w:sz w:val="26"/>
          <w:szCs w:val="26"/>
        </w:rPr>
        <w:t>Página:  1377</w:t>
      </w:r>
      <w:r>
        <w:rPr>
          <w:rFonts w:ascii="Helvetica" w:hAnsi="Helvetica" w:cs="Helvetica"/>
          <w:color w:val="212529"/>
          <w:sz w:val="26"/>
          <w:szCs w:val="26"/>
        </w:rPr>
        <w:t xml:space="preserve">, de rubro y texto siguientes: </w:t>
      </w:r>
      <w:r w:rsidR="00D6568E">
        <w:rPr>
          <w:rFonts w:ascii="Helvetica" w:hAnsi="Helvetica" w:cs="Helvetica"/>
          <w:color w:val="212529"/>
          <w:sz w:val="26"/>
          <w:szCs w:val="26"/>
        </w:rPr>
        <w:t xml:space="preserve"> - - - - - - </w:t>
      </w:r>
    </w:p>
    <w:p w14:paraId="779F7A6B" w14:textId="77777777" w:rsidR="00A25B7F" w:rsidRPr="00E30D20" w:rsidRDefault="00A25B7F" w:rsidP="00A25B7F">
      <w:pPr>
        <w:spacing w:before="240" w:line="360" w:lineRule="auto"/>
        <w:ind w:left="567" w:right="616"/>
        <w:jc w:val="both"/>
        <w:rPr>
          <w:rFonts w:ascii="Arial" w:hAnsi="Arial" w:cs="Arial"/>
          <w:b/>
          <w:bCs/>
          <w:i/>
          <w:iCs/>
          <w:color w:val="212529"/>
        </w:rPr>
      </w:pPr>
      <w:r w:rsidRPr="00E30D20">
        <w:rPr>
          <w:rFonts w:ascii="Arial" w:hAnsi="Arial" w:cs="Arial"/>
          <w:b/>
          <w:bCs/>
          <w:i/>
          <w:iCs/>
          <w:color w:val="212529"/>
        </w:rPr>
        <w:t xml:space="preserve">COMPETENCIA DE </w:t>
      </w:r>
      <w:bookmarkStart w:id="3" w:name="_Hlk61122794"/>
      <w:r w:rsidRPr="00E30D20">
        <w:rPr>
          <w:rFonts w:ascii="Arial" w:hAnsi="Arial" w:cs="Arial"/>
          <w:b/>
          <w:bCs/>
          <w:i/>
          <w:iCs/>
          <w:color w:val="212529"/>
        </w:rPr>
        <w:t xml:space="preserve">LAS AUTORIDADES ADMINISTRATIVAS. AL SER UN PRESUPUESTO PROCESAL CUYO ESTUDIO ES DE ORDEN PÚBLICO LAS SALAS DEL TRIBUNAL FEDERAL DE JUSTICIA FISCAL Y ADMINISTRATIVA DEBEN ANALIZARLA DE OFICIO, SIN </w:t>
      </w:r>
      <w:r w:rsidRPr="00E30D20">
        <w:rPr>
          <w:rFonts w:ascii="Arial" w:hAnsi="Arial" w:cs="Arial"/>
          <w:b/>
          <w:bCs/>
          <w:i/>
          <w:iCs/>
          <w:color w:val="212529"/>
        </w:rPr>
        <w:lastRenderedPageBreak/>
        <w:t>DISTINGUIR SI SE TRATA DE LA INDEBIDA, INSUFICIENTE O DE LA FALTA DE FUNDAMENTACIÓN DE AQUÉLLA.</w:t>
      </w:r>
      <w:bookmarkEnd w:id="3"/>
    </w:p>
    <w:p w14:paraId="3C286557" w14:textId="77777777" w:rsidR="00A25B7F" w:rsidRPr="005522DE" w:rsidRDefault="00A25B7F" w:rsidP="00A25B7F">
      <w:pPr>
        <w:spacing w:before="240" w:line="360" w:lineRule="auto"/>
        <w:ind w:left="567" w:right="616"/>
        <w:jc w:val="both"/>
        <w:rPr>
          <w:rFonts w:ascii="Arial" w:hAnsi="Arial" w:cs="Arial"/>
          <w:i/>
          <w:iCs/>
          <w:color w:val="212529"/>
        </w:rPr>
      </w:pPr>
      <w:r w:rsidRPr="005522DE">
        <w:rPr>
          <w:rFonts w:ascii="Arial" w:hAnsi="Arial" w:cs="Arial"/>
          <w:i/>
          <w:iCs/>
          <w:color w:val="212529"/>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5522DE">
        <w:rPr>
          <w:rFonts w:ascii="Arial" w:hAnsi="Arial" w:cs="Arial"/>
          <w:i/>
          <w:iCs/>
          <w:color w:val="212529"/>
        </w:rPr>
        <w:t>subincisos</w:t>
      </w:r>
      <w:proofErr w:type="spellEnd"/>
      <w:r w:rsidRPr="005522DE">
        <w:rPr>
          <w:rFonts w:ascii="Arial" w:hAnsi="Arial" w:cs="Arial"/>
          <w:i/>
          <w:iCs/>
          <w:color w:val="212529"/>
        </w:rPr>
        <w:t xml:space="preserve">, pues en tal caso, debe llegar incluso al extremo de hacer la transcripción correspondiente </w:t>
      </w:r>
      <w:r w:rsidRPr="005522DE">
        <w:rPr>
          <w:rFonts w:ascii="Arial" w:hAnsi="Arial" w:cs="Arial"/>
          <w:i/>
          <w:iCs/>
          <w:color w:val="212529"/>
        </w:rPr>
        <w:lastRenderedPageBreak/>
        <w:t>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74C487DB" w14:textId="77777777" w:rsidR="00A25B7F" w:rsidRPr="005522DE" w:rsidRDefault="00A25B7F" w:rsidP="00A25B7F">
      <w:pPr>
        <w:spacing w:before="240" w:line="360" w:lineRule="auto"/>
        <w:ind w:left="567" w:right="616"/>
        <w:jc w:val="both"/>
        <w:rPr>
          <w:rFonts w:ascii="Arial" w:hAnsi="Arial" w:cs="Arial"/>
          <w:i/>
          <w:iCs/>
          <w:color w:val="212529"/>
        </w:rPr>
      </w:pPr>
      <w:r w:rsidRPr="005522DE">
        <w:rPr>
          <w:rFonts w:ascii="Arial" w:hAnsi="Arial" w:cs="Arial"/>
          <w:i/>
          <w:iCs/>
          <w:color w:val="212529"/>
        </w:rPr>
        <w:t>TERCER TRIBUNAL COLEGIADO DEL OCTAVO CIRCUITO.</w:t>
      </w:r>
    </w:p>
    <w:p w14:paraId="329CC0D0" w14:textId="387FD4A4" w:rsidR="00A25B7F" w:rsidRDefault="00A25B7F" w:rsidP="00A25B7F">
      <w:pPr>
        <w:spacing w:before="240" w:line="360" w:lineRule="auto"/>
        <w:ind w:right="49" w:firstLine="567"/>
        <w:jc w:val="both"/>
        <w:rPr>
          <w:rFonts w:ascii="Arial" w:hAnsi="Arial" w:cs="Arial"/>
          <w:color w:val="212529"/>
          <w:sz w:val="26"/>
          <w:szCs w:val="26"/>
        </w:rPr>
      </w:pPr>
      <w:r>
        <w:rPr>
          <w:rFonts w:ascii="Arial" w:hAnsi="Arial" w:cs="Arial"/>
          <w:color w:val="212529"/>
          <w:sz w:val="26"/>
          <w:szCs w:val="26"/>
        </w:rPr>
        <w:t xml:space="preserve">Bajo esa consideración, </w:t>
      </w:r>
      <w:r w:rsidRPr="00F0319D">
        <w:rPr>
          <w:rFonts w:ascii="Arial" w:hAnsi="Arial" w:cs="Arial"/>
          <w:bCs/>
          <w:iCs/>
          <w:sz w:val="26"/>
          <w:szCs w:val="26"/>
        </w:rPr>
        <w:t xml:space="preserve">de las constancias procesales que integran el juicio de primera instancia, </w:t>
      </w:r>
      <w:r w:rsidRPr="00F0319D">
        <w:rPr>
          <w:rFonts w:ascii="Arial" w:hAnsi="Arial" w:cs="Arial"/>
          <w:bCs/>
          <w:sz w:val="26"/>
          <w:szCs w:val="26"/>
        </w:rPr>
        <w:t>a las que se les ha otorgado pleno valor probatorio conforme lo dispuesto por el artículo 203 fracción I</w:t>
      </w:r>
      <w:r w:rsidRPr="00F0319D">
        <w:rPr>
          <w:rStyle w:val="Refdenotaalpie"/>
          <w:rFonts w:ascii="Arial" w:hAnsi="Arial" w:cs="Arial"/>
          <w:bCs/>
          <w:sz w:val="26"/>
          <w:szCs w:val="26"/>
        </w:rPr>
        <w:footnoteReference w:id="1"/>
      </w:r>
      <w:r w:rsidRPr="00F0319D">
        <w:rPr>
          <w:rFonts w:ascii="Arial" w:hAnsi="Arial" w:cs="Arial"/>
          <w:bCs/>
          <w:sz w:val="26"/>
          <w:szCs w:val="26"/>
        </w:rPr>
        <w:t xml:space="preserve"> de la Ley de Procedimiento y Justicia Administrativa para el Estado de Oaxaca, por tratarse de actuaciones judiciales,</w:t>
      </w:r>
      <w:r>
        <w:rPr>
          <w:rFonts w:ascii="Arial" w:hAnsi="Arial" w:cs="Arial"/>
          <w:bCs/>
          <w:sz w:val="26"/>
          <w:szCs w:val="26"/>
        </w:rPr>
        <w:t xml:space="preserve"> </w:t>
      </w:r>
      <w:r>
        <w:rPr>
          <w:rFonts w:ascii="Arial" w:hAnsi="Arial" w:cs="Arial"/>
          <w:color w:val="212529"/>
          <w:sz w:val="26"/>
          <w:szCs w:val="26"/>
        </w:rPr>
        <w:t>se observa que, en el considerando cuarto de la sentencia impugnada, la Sala de primera instancia resolvió lo siguiente:</w:t>
      </w:r>
      <w:r w:rsidR="00D6568E">
        <w:rPr>
          <w:rFonts w:ascii="Arial" w:hAnsi="Arial" w:cs="Arial"/>
          <w:color w:val="212529"/>
          <w:sz w:val="26"/>
          <w:szCs w:val="26"/>
        </w:rPr>
        <w:t xml:space="preserve"> - - - - - - - - - - - - - - - - - - - - - - - - - - - - - -</w:t>
      </w:r>
    </w:p>
    <w:p w14:paraId="429DC6E6"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w:t>
      </w:r>
      <w:r w:rsidRPr="00143CFB">
        <w:rPr>
          <w:rFonts w:ascii="Arial" w:hAnsi="Arial" w:cs="Arial"/>
          <w:b/>
          <w:bCs/>
          <w:i/>
          <w:iCs/>
          <w:color w:val="212529"/>
        </w:rPr>
        <w:t>CUARTO. -</w:t>
      </w:r>
      <w:r w:rsidRPr="00143CFB">
        <w:rPr>
          <w:rFonts w:ascii="Arial" w:hAnsi="Arial" w:cs="Arial"/>
          <w:i/>
          <w:iCs/>
          <w:color w:val="212529"/>
        </w:rPr>
        <w:t xml:space="preserve"> Estudio de los conceptos de impugnación y pruebas ofrecidas por la parte actora. Los conceptos de impugnación hechos valer por el actor se encuentran expuestos en su escrito inicial de demanda, </w:t>
      </w:r>
      <w:r w:rsidRPr="00143CFB">
        <w:rPr>
          <w:rFonts w:ascii="Arial" w:hAnsi="Arial" w:cs="Arial"/>
          <w:i/>
          <w:iCs/>
          <w:color w:val="212529"/>
        </w:rPr>
        <w:lastRenderedPageBreak/>
        <w:t>por lo que no existe necesidad de transcribirlos, al no transgredírsele derecho alguno, como tampoco se vulnera disposición expresa que imponga tal obligación; no obstante ello, serán valorados en el cuerpo de esta sentencia.</w:t>
      </w:r>
    </w:p>
    <w:p w14:paraId="39E44F81"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Al respecto, resulta aplicable la jurisprudencia por contradicción de tesis 2ª./ J. 58/2010, publicada en la Novena Época, por la Segunda Sala de la Suprema Corte de Justicia de la Nación, consultable en el Semanario Judicial de la Federación y su Gaceta, Tomo XXXI, mayo de 2010, página 830, de rubro: CONCEPTOS DE VIOLACIÓN O AGRAVIOS. PARA CUMPLIR CON LOS PRINCIPIOS DE CONGRUENCIA Y EXHAUSTIVIDAD EN LAS SENTENCIAS DE AMPARO, ES INNECESARIA SU TRANSCRIPCIÓN.</w:t>
      </w:r>
    </w:p>
    <w:p w14:paraId="06CADB90" w14:textId="5885C0EB" w:rsidR="00A25B7F" w:rsidRPr="00143CFB" w:rsidRDefault="00A25B7F" w:rsidP="00A25B7F">
      <w:pPr>
        <w:spacing w:before="240" w:line="360" w:lineRule="auto"/>
        <w:ind w:left="567" w:right="616" w:firstLine="142"/>
        <w:jc w:val="both"/>
        <w:rPr>
          <w:rFonts w:ascii="Arial" w:hAnsi="Arial" w:cs="Arial"/>
          <w:b/>
          <w:bCs/>
          <w:i/>
          <w:iCs/>
          <w:color w:val="212529"/>
        </w:rPr>
      </w:pPr>
      <w:r w:rsidRPr="00143CFB">
        <w:rPr>
          <w:rFonts w:ascii="Arial" w:hAnsi="Arial" w:cs="Arial"/>
          <w:i/>
          <w:iCs/>
          <w:color w:val="212529"/>
        </w:rPr>
        <w:t xml:space="preserve">Como bien se desprende de la demanda de la actora, pretende nulificar (sic) crédito fiscal folio </w:t>
      </w:r>
      <w:r w:rsidR="0016502E">
        <w:rPr>
          <w:rFonts w:ascii="Arial" w:eastAsia="Calibri" w:hAnsi="Arial" w:cs="Arial"/>
          <w:bCs/>
          <w:sz w:val="26"/>
          <w:szCs w:val="26"/>
        </w:rPr>
        <w:t>***********</w:t>
      </w:r>
      <w:r w:rsidRPr="00143CFB">
        <w:rPr>
          <w:rFonts w:ascii="Arial" w:hAnsi="Arial" w:cs="Arial"/>
          <w:i/>
          <w:iCs/>
          <w:color w:val="212529"/>
        </w:rPr>
        <w:t xml:space="preserve">, de ocho de noviembre de dos mil dieciocho, emitido por la </w:t>
      </w:r>
      <w:r w:rsidRPr="00143CFB">
        <w:rPr>
          <w:rFonts w:ascii="Arial" w:hAnsi="Arial" w:cs="Arial"/>
          <w:b/>
          <w:bCs/>
          <w:i/>
          <w:iCs/>
          <w:color w:val="212529"/>
        </w:rPr>
        <w:t xml:space="preserve">JEFA DE LA UNIDAD DE RECAUDACIÓN MUNICIPAL DE OAXACA DE JUÁREZ. </w:t>
      </w:r>
    </w:p>
    <w:p w14:paraId="2F55D2AB" w14:textId="77777777" w:rsidR="00A25B7F" w:rsidRPr="00143CFB" w:rsidRDefault="00A25B7F" w:rsidP="00A25B7F">
      <w:pPr>
        <w:spacing w:before="240" w:line="360" w:lineRule="auto"/>
        <w:ind w:left="567" w:right="616"/>
        <w:jc w:val="both"/>
        <w:rPr>
          <w:rFonts w:ascii="Arial" w:hAnsi="Arial" w:cs="Arial"/>
          <w:b/>
          <w:bCs/>
          <w:i/>
          <w:iCs/>
          <w:color w:val="212529"/>
        </w:rPr>
      </w:pPr>
      <w:r w:rsidRPr="00143CFB">
        <w:rPr>
          <w:rFonts w:ascii="Arial" w:hAnsi="Arial" w:cs="Arial"/>
          <w:i/>
          <w:iCs/>
          <w:color w:val="212529"/>
        </w:rPr>
        <w:t xml:space="preserve"> </w:t>
      </w:r>
      <w:r>
        <w:rPr>
          <w:rFonts w:ascii="Arial" w:hAnsi="Arial" w:cs="Arial"/>
          <w:i/>
          <w:iCs/>
          <w:color w:val="212529"/>
        </w:rPr>
        <w:tab/>
      </w:r>
      <w:r w:rsidRPr="00143CFB">
        <w:rPr>
          <w:rFonts w:ascii="Arial" w:hAnsi="Arial" w:cs="Arial"/>
          <w:i/>
          <w:iCs/>
          <w:color w:val="212529"/>
        </w:rPr>
        <w:t xml:space="preserve">Este Juzgador, por cuestión de método y técnica jurídica, procede a pronunciarse respecto a la legalidad de la resolución sujeta a debate, por lo que antes de avocarnos a analizar el fondo del asunto, se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 </w:t>
      </w:r>
      <w:r w:rsidRPr="00143CFB">
        <w:rPr>
          <w:rFonts w:ascii="Arial" w:hAnsi="Arial" w:cs="Arial"/>
          <w:b/>
          <w:bCs/>
          <w:i/>
          <w:iCs/>
          <w:color w:val="212529"/>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0A7FBC2C"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De lo anterior, se desprende que la autoridad demandada no fundamentó la competencia de esta para la emisión del acto combatido, pues de su lectura se desprende que efectivamente, no existe numeral, fracción, inciso o sub inciso que de algún ordenamiento jurídico que explícitamente faculte a la enjuiciada para emitir el acto combatido.</w:t>
      </w:r>
    </w:p>
    <w:p w14:paraId="6162937D"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 xml:space="preserve">Ahora bien, del estudio realizado a los agravios hechos valer por el actor, los mismos resultan fundados, pues efectivamente la enjuiciada en ningún momento invocó artículos o normatividad alguna de la cual emanen sus facultades para emitir el acto administrativo aquí combatido. Esta situación pasa por alto lo establecido por el artículo 16 de la Carta Magna, así como del artículo 17, fracción V, de la Ley de Procedimiento </w:t>
      </w:r>
      <w:r w:rsidRPr="00143CFB">
        <w:rPr>
          <w:rFonts w:ascii="Arial" w:hAnsi="Arial" w:cs="Arial"/>
          <w:i/>
          <w:iCs/>
          <w:color w:val="212529"/>
        </w:rPr>
        <w:lastRenderedPageBreak/>
        <w:t xml:space="preserve">y Justicia Administrativa, mismos que mandatan que todo acto de autoridad debe encontrarse debidamente fundados y motivados, para que así produzcan sus efectos y sean plenamente válidos, lo que en el caso en concreto, específicamente en cuanto a la competencia de la autoridad, no existe. </w:t>
      </w:r>
    </w:p>
    <w:p w14:paraId="1DC10265"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Lo anterior resulta transgredir la esfera jurídica de la actora, toda vez que las autoridades deben invocar las leyes de las cuales emanen sus facultades para emitir determinado acto administrativo, ello para proveer de certeza jurídica a los administrados, de que es en efecto, esa autoridad la encargada y facultada para tomar cualquier determinación, sobre todo, si se trata de un acto que pudiere en su caso, ser en detrimento del patrimonio de los gobernados o en su caso fijase una sanción a los mismos, derivados de un procedimiento administrativo, por lo que debe revestirse dicho acto, aún de mayor precisión en lo que respecta a la competencia de las autoridades.</w:t>
      </w:r>
    </w:p>
    <w:p w14:paraId="1085AA52" w14:textId="77777777" w:rsidR="00A25B7F" w:rsidRPr="00143CFB" w:rsidRDefault="00A25B7F" w:rsidP="00A25B7F">
      <w:pPr>
        <w:spacing w:before="240" w:line="360" w:lineRule="auto"/>
        <w:ind w:left="567" w:right="616" w:firstLine="142"/>
        <w:jc w:val="both"/>
        <w:rPr>
          <w:rFonts w:ascii="Arial" w:hAnsi="Arial" w:cs="Arial"/>
          <w:b/>
          <w:bCs/>
          <w:i/>
          <w:iCs/>
          <w:color w:val="212529"/>
        </w:rPr>
      </w:pPr>
      <w:r w:rsidRPr="00143CFB">
        <w:rPr>
          <w:rFonts w:ascii="Arial" w:hAnsi="Arial" w:cs="Arial"/>
          <w:i/>
          <w:iCs/>
          <w:color w:val="212529"/>
        </w:rPr>
        <w:t xml:space="preserve">Sirve de apoyo la siguiente Jurisprudencia, emitida por los Tribunales Colegiados de Circuito, de la Novena Época, publicada en el Semanario Judicial de la Federación y su Gaceta, Tomo XXV, abril de 2007, página 1377, con registro 172812, cuyo rubro reza: </w:t>
      </w:r>
      <w:r w:rsidRPr="00143CFB">
        <w:rPr>
          <w:rFonts w:ascii="Arial" w:hAnsi="Arial" w:cs="Arial"/>
          <w:b/>
          <w:bCs/>
          <w:i/>
          <w:iCs/>
          <w:color w:val="212529"/>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72E3C628" w14:textId="77777777" w:rsidR="00A25B7F" w:rsidRPr="00143CFB" w:rsidRDefault="00A25B7F" w:rsidP="00A25B7F">
      <w:pPr>
        <w:spacing w:before="240" w:line="360" w:lineRule="auto"/>
        <w:ind w:left="567" w:right="616" w:firstLine="142"/>
        <w:jc w:val="both"/>
        <w:rPr>
          <w:rFonts w:ascii="Arial" w:hAnsi="Arial" w:cs="Arial"/>
          <w:i/>
          <w:iCs/>
          <w:color w:val="212529"/>
        </w:rPr>
      </w:pPr>
      <w:r w:rsidRPr="00143CFB">
        <w:rPr>
          <w:rFonts w:ascii="Arial" w:hAnsi="Arial" w:cs="Arial"/>
          <w:i/>
          <w:iCs/>
          <w:color w:val="212529"/>
        </w:rPr>
        <w:t xml:space="preserve">Es así que, al ser el análisis de la competencia de la autoridad para emitir los actos combatidos, un examen de oficio que las autoridades jurisdiccionales en materia administrativa deben realizar, y toda vez que, en el caso en concreto, la demanda es omisa al sustentar su competencia, resulta procedente </w:t>
      </w:r>
      <w:r w:rsidRPr="00143CFB">
        <w:rPr>
          <w:rFonts w:ascii="Arial" w:hAnsi="Arial" w:cs="Arial"/>
          <w:b/>
          <w:bCs/>
          <w:i/>
          <w:iCs/>
          <w:color w:val="212529"/>
        </w:rPr>
        <w:t>declarar la nulidad lisa y llana</w:t>
      </w:r>
      <w:r w:rsidRPr="00143CFB">
        <w:rPr>
          <w:rFonts w:ascii="Arial" w:hAnsi="Arial" w:cs="Arial"/>
          <w:i/>
          <w:iCs/>
          <w:color w:val="212529"/>
        </w:rPr>
        <w:t xml:space="preserve"> del acto impugnado.</w:t>
      </w:r>
      <w:r>
        <w:rPr>
          <w:rFonts w:ascii="Arial" w:hAnsi="Arial" w:cs="Arial"/>
          <w:i/>
          <w:iCs/>
          <w:color w:val="212529"/>
        </w:rPr>
        <w:t>”</w:t>
      </w:r>
    </w:p>
    <w:p w14:paraId="2735D97B" w14:textId="210251B1" w:rsidR="00A25B7F" w:rsidRDefault="00A25B7F" w:rsidP="00A25B7F">
      <w:pPr>
        <w:spacing w:before="240" w:line="360" w:lineRule="auto"/>
        <w:ind w:right="49" w:firstLine="567"/>
        <w:jc w:val="both"/>
        <w:rPr>
          <w:rFonts w:ascii="Arial" w:hAnsi="Arial" w:cs="Arial"/>
          <w:color w:val="212529"/>
          <w:sz w:val="26"/>
          <w:szCs w:val="26"/>
        </w:rPr>
      </w:pPr>
      <w:r>
        <w:rPr>
          <w:rFonts w:ascii="Arial" w:hAnsi="Arial" w:cs="Arial"/>
          <w:color w:val="212529"/>
          <w:sz w:val="26"/>
          <w:szCs w:val="26"/>
        </w:rPr>
        <w:t xml:space="preserve">Como se desprende de la transcripción insertada, la Quinta Sala de primera instancia, en apego a lo dispuesto por el artículo 208 último párrafo de la Ley de Procedimiento y Justicia Administrativa para el Estado de Oaxaca, estudió oficiosamente la competencia de la </w:t>
      </w:r>
      <w:r w:rsidRPr="00112272">
        <w:rPr>
          <w:rFonts w:ascii="Arial" w:hAnsi="Arial" w:cs="Arial"/>
          <w:color w:val="212529"/>
          <w:sz w:val="26"/>
          <w:szCs w:val="26"/>
        </w:rPr>
        <w:t>Jefa de la Unidad de Recaudación Municipal del Municipio de Oaxaca de Juárez</w:t>
      </w:r>
      <w:r>
        <w:rPr>
          <w:rFonts w:ascii="Arial" w:hAnsi="Arial" w:cs="Arial"/>
          <w:color w:val="212529"/>
          <w:sz w:val="26"/>
          <w:szCs w:val="26"/>
        </w:rPr>
        <w:t xml:space="preserve">, para emitir el acto impugnado consistente en </w:t>
      </w:r>
      <w:r w:rsidRPr="00112272">
        <w:rPr>
          <w:rFonts w:ascii="Arial" w:hAnsi="Arial" w:cs="Arial"/>
          <w:color w:val="212529"/>
          <w:sz w:val="26"/>
          <w:szCs w:val="26"/>
        </w:rPr>
        <w:t xml:space="preserve">el crédito fiscal con número de folio </w:t>
      </w:r>
      <w:r w:rsidR="0016502E">
        <w:rPr>
          <w:rFonts w:ascii="Arial" w:eastAsia="Calibri" w:hAnsi="Arial" w:cs="Arial"/>
          <w:bCs/>
          <w:sz w:val="26"/>
          <w:szCs w:val="26"/>
        </w:rPr>
        <w:t>***********</w:t>
      </w:r>
      <w:r w:rsidRPr="00112272">
        <w:rPr>
          <w:rFonts w:ascii="Arial" w:hAnsi="Arial" w:cs="Arial"/>
          <w:color w:val="212529"/>
          <w:sz w:val="26"/>
          <w:szCs w:val="26"/>
        </w:rPr>
        <w:t>, de fecha ocho de noviembre de dos mil dieciocho,</w:t>
      </w:r>
      <w:r>
        <w:rPr>
          <w:rFonts w:ascii="Arial" w:hAnsi="Arial" w:cs="Arial"/>
          <w:color w:val="212529"/>
          <w:sz w:val="26"/>
          <w:szCs w:val="26"/>
        </w:rPr>
        <w:t xml:space="preserve"> y después de haber realizado la lectura al contenido del acto impugnado, advirtió que la autoridad demandada no fundamentó su </w:t>
      </w:r>
      <w:r>
        <w:rPr>
          <w:rFonts w:ascii="Arial" w:hAnsi="Arial" w:cs="Arial"/>
          <w:color w:val="212529"/>
          <w:sz w:val="26"/>
          <w:szCs w:val="26"/>
        </w:rPr>
        <w:lastRenderedPageBreak/>
        <w:t xml:space="preserve">competencia para la emisión del </w:t>
      </w:r>
      <w:r w:rsidRPr="00112272">
        <w:rPr>
          <w:rFonts w:ascii="Arial" w:hAnsi="Arial" w:cs="Arial"/>
          <w:color w:val="212529"/>
          <w:sz w:val="26"/>
          <w:szCs w:val="26"/>
        </w:rPr>
        <w:t>crédito fiscal</w:t>
      </w:r>
      <w:r>
        <w:rPr>
          <w:rFonts w:ascii="Arial" w:hAnsi="Arial" w:cs="Arial"/>
          <w:color w:val="212529"/>
          <w:sz w:val="26"/>
          <w:szCs w:val="26"/>
        </w:rPr>
        <w:t xml:space="preserve"> antes referido, y en consecuencia, determinó que era procedente declarar la nulidad lisa y llana del acto impugnado. </w:t>
      </w:r>
      <w:r w:rsidR="00D6568E">
        <w:rPr>
          <w:rFonts w:ascii="Arial" w:hAnsi="Arial" w:cs="Arial"/>
          <w:sz w:val="26"/>
          <w:szCs w:val="26"/>
        </w:rPr>
        <w:t>- - - - - - - - - - - - - - - - - - - - - - - - - - - - - - - - -</w:t>
      </w:r>
    </w:p>
    <w:p w14:paraId="57E4FB5B" w14:textId="285CA284" w:rsidR="00A25B7F" w:rsidRDefault="00A25B7F" w:rsidP="00A25B7F">
      <w:pPr>
        <w:spacing w:before="240" w:line="360" w:lineRule="auto"/>
        <w:ind w:right="49" w:firstLine="567"/>
        <w:jc w:val="both"/>
        <w:rPr>
          <w:rFonts w:ascii="Arial" w:hAnsi="Arial" w:cs="Arial"/>
          <w:color w:val="212529"/>
          <w:sz w:val="26"/>
          <w:szCs w:val="26"/>
        </w:rPr>
      </w:pPr>
      <w:r>
        <w:rPr>
          <w:rFonts w:ascii="Arial" w:hAnsi="Arial" w:cs="Arial"/>
          <w:color w:val="212529"/>
          <w:sz w:val="26"/>
          <w:szCs w:val="26"/>
        </w:rPr>
        <w:t xml:space="preserve">Ahora, si bien es cierto que como lo afirma la autoridad recurrente, la </w:t>
      </w:r>
      <w:r w:rsidRPr="00E7783E">
        <w:rPr>
          <w:rFonts w:ascii="Arial" w:hAnsi="Arial" w:cs="Arial"/>
          <w:i/>
          <w:iCs/>
          <w:color w:val="212529"/>
          <w:sz w:val="26"/>
          <w:szCs w:val="26"/>
        </w:rPr>
        <w:t>A quo</w:t>
      </w:r>
      <w:r>
        <w:rPr>
          <w:rFonts w:ascii="Arial" w:hAnsi="Arial" w:cs="Arial"/>
          <w:color w:val="212529"/>
          <w:sz w:val="26"/>
          <w:szCs w:val="26"/>
        </w:rPr>
        <w:t xml:space="preserve"> no señaló expresamente cuáles fueron los artículos que integran la fundamentación invocada en el párrafo cuarto del documento en el que consta el acto impugnado, que había analizado para concluir que la autoridad demandada en el presente asunto no era competente para la emisión del acto impugnado, esta Sala Superior reconoce que es acertada la determinación de la </w:t>
      </w:r>
      <w:r w:rsidRPr="007A0E38">
        <w:rPr>
          <w:rFonts w:ascii="Arial" w:hAnsi="Arial" w:cs="Arial"/>
          <w:i/>
          <w:iCs/>
          <w:color w:val="212529"/>
          <w:sz w:val="26"/>
          <w:szCs w:val="26"/>
        </w:rPr>
        <w:t>A quo</w:t>
      </w:r>
      <w:r>
        <w:rPr>
          <w:rFonts w:ascii="Arial" w:hAnsi="Arial" w:cs="Arial"/>
          <w:color w:val="212529"/>
          <w:sz w:val="26"/>
          <w:szCs w:val="26"/>
        </w:rPr>
        <w:t>, en virtud de que ningún precepto legal citado en el contenido del acto impugnado, prevé la competencia de la demandada para emitirlo.</w:t>
      </w:r>
      <w:r w:rsidR="00D6568E" w:rsidRPr="00D6568E">
        <w:rPr>
          <w:rFonts w:ascii="Arial" w:hAnsi="Arial" w:cs="Arial"/>
          <w:sz w:val="26"/>
          <w:szCs w:val="26"/>
        </w:rPr>
        <w:t xml:space="preserve"> </w:t>
      </w:r>
      <w:r w:rsidR="00D6568E">
        <w:rPr>
          <w:rFonts w:ascii="Arial" w:hAnsi="Arial" w:cs="Arial"/>
          <w:sz w:val="26"/>
          <w:szCs w:val="26"/>
        </w:rPr>
        <w:t xml:space="preserve">- - - - - - - - - - - - - - - - - - - </w:t>
      </w:r>
    </w:p>
    <w:p w14:paraId="068BAA54" w14:textId="583CCF98" w:rsidR="00A25B7F" w:rsidRDefault="00A25B7F" w:rsidP="00A25B7F">
      <w:pPr>
        <w:spacing w:before="240" w:line="360" w:lineRule="auto"/>
        <w:ind w:right="49" w:firstLine="567"/>
        <w:jc w:val="both"/>
        <w:rPr>
          <w:rFonts w:ascii="Arial" w:eastAsia="Calibri" w:hAnsi="Arial" w:cs="Arial"/>
          <w:bCs/>
          <w:sz w:val="26"/>
          <w:szCs w:val="26"/>
        </w:rPr>
      </w:pPr>
      <w:r>
        <w:rPr>
          <w:rFonts w:ascii="Arial" w:hAnsi="Arial" w:cs="Arial"/>
          <w:color w:val="212529"/>
          <w:sz w:val="26"/>
          <w:szCs w:val="26"/>
        </w:rPr>
        <w:t xml:space="preserve">En ese orden de ideas, es pertinente reproducir el contenido de los numerales </w:t>
      </w:r>
      <w:r>
        <w:rPr>
          <w:rFonts w:ascii="Arial" w:eastAsia="Calibri" w:hAnsi="Arial" w:cs="Arial"/>
          <w:bCs/>
          <w:sz w:val="26"/>
          <w:szCs w:val="26"/>
        </w:rPr>
        <w:t xml:space="preserve">1, 2, 3, 6 fracción II, 10 fracción IV, 53 y 56 de la </w:t>
      </w:r>
      <w:bookmarkStart w:id="4" w:name="_Hlk61128217"/>
      <w:r>
        <w:rPr>
          <w:rFonts w:ascii="Arial" w:eastAsia="Calibri" w:hAnsi="Arial" w:cs="Arial"/>
          <w:bCs/>
          <w:sz w:val="26"/>
          <w:szCs w:val="26"/>
        </w:rPr>
        <w:t>Ley de Ingresos del Municipio de Oaxaca de Juárez</w:t>
      </w:r>
      <w:bookmarkEnd w:id="4"/>
      <w:r>
        <w:rPr>
          <w:rFonts w:ascii="Arial" w:eastAsia="Calibri" w:hAnsi="Arial" w:cs="Arial"/>
          <w:bCs/>
          <w:sz w:val="26"/>
          <w:szCs w:val="26"/>
        </w:rPr>
        <w:t>, Oaxaca, vigente para el ejercicio fiscal 2018, y los artículos 11, 13, 17, 20, 58, 60, 63, 71 y 78 del Código Fiscal Municipal del Estado de Oaxaca, que se advierten en el texto del acto impugnado</w:t>
      </w:r>
      <w:r>
        <w:rPr>
          <w:rStyle w:val="Refdenotaalpie"/>
          <w:rFonts w:ascii="Arial" w:eastAsia="Calibri" w:hAnsi="Arial" w:cs="Arial"/>
          <w:bCs/>
          <w:sz w:val="26"/>
          <w:szCs w:val="26"/>
        </w:rPr>
        <w:footnoteReference w:id="2"/>
      </w:r>
      <w:r>
        <w:rPr>
          <w:rFonts w:ascii="Arial" w:eastAsia="Calibri" w:hAnsi="Arial" w:cs="Arial"/>
          <w:bCs/>
          <w:sz w:val="26"/>
          <w:szCs w:val="26"/>
        </w:rPr>
        <w:t>, mismos a los que alude la autoridad recurrente en su agravio tercero del oficio de recurso de revisión, cuyo contenido es el siguiente:</w:t>
      </w:r>
      <w:r w:rsidR="00D6568E" w:rsidRPr="00D6568E">
        <w:rPr>
          <w:rFonts w:ascii="Arial" w:hAnsi="Arial" w:cs="Arial"/>
          <w:sz w:val="26"/>
          <w:szCs w:val="26"/>
        </w:rPr>
        <w:t xml:space="preserve"> </w:t>
      </w:r>
      <w:r w:rsidR="00D6568E">
        <w:rPr>
          <w:rFonts w:ascii="Arial" w:hAnsi="Arial" w:cs="Arial"/>
          <w:sz w:val="26"/>
          <w:szCs w:val="26"/>
        </w:rPr>
        <w:t>- - - - - - - - - - - - - - - - - - - - - - - - - - - - - - - - -</w:t>
      </w:r>
    </w:p>
    <w:p w14:paraId="37120AF1" w14:textId="77777777" w:rsidR="00A25B7F" w:rsidRPr="00263A3C" w:rsidRDefault="00A25B7F" w:rsidP="00A25B7F">
      <w:pPr>
        <w:spacing w:before="240" w:line="360" w:lineRule="auto"/>
        <w:ind w:left="567" w:right="616"/>
        <w:jc w:val="center"/>
        <w:rPr>
          <w:rFonts w:ascii="Arial" w:eastAsia="Calibri" w:hAnsi="Arial" w:cs="Arial"/>
          <w:b/>
          <w:i/>
          <w:iCs/>
        </w:rPr>
      </w:pPr>
      <w:r>
        <w:rPr>
          <w:rFonts w:ascii="Arial" w:eastAsia="Calibri" w:hAnsi="Arial" w:cs="Arial"/>
          <w:b/>
          <w:i/>
          <w:iCs/>
        </w:rPr>
        <w:t>“</w:t>
      </w:r>
      <w:bookmarkStart w:id="5" w:name="_Hlk61204055"/>
      <w:r w:rsidRPr="00263A3C">
        <w:rPr>
          <w:rFonts w:ascii="Arial" w:eastAsia="Calibri" w:hAnsi="Arial" w:cs="Arial"/>
          <w:b/>
          <w:i/>
          <w:iCs/>
        </w:rPr>
        <w:t>LEY DE INGRESOS DEL MUNICIPIO DE OAXACA DE JUÁREZ</w:t>
      </w:r>
      <w:r>
        <w:rPr>
          <w:rFonts w:ascii="Arial" w:eastAsia="Calibri" w:hAnsi="Arial" w:cs="Arial"/>
          <w:b/>
          <w:i/>
          <w:iCs/>
        </w:rPr>
        <w:t xml:space="preserve">, OAXACA, PARA EL EJERCICIO FISCAL </w:t>
      </w:r>
      <w:r w:rsidRPr="00263A3C">
        <w:rPr>
          <w:rFonts w:ascii="Arial" w:eastAsia="Calibri" w:hAnsi="Arial" w:cs="Arial"/>
          <w:b/>
          <w:i/>
          <w:iCs/>
        </w:rPr>
        <w:t>2018</w:t>
      </w:r>
      <w:r>
        <w:rPr>
          <w:rFonts w:ascii="Arial" w:eastAsia="Calibri" w:hAnsi="Arial" w:cs="Arial"/>
          <w:b/>
          <w:i/>
          <w:iCs/>
        </w:rPr>
        <w:t>.</w:t>
      </w:r>
    </w:p>
    <w:bookmarkEnd w:id="5"/>
    <w:p w14:paraId="4A3AA2C1"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 xml:space="preserve">Artículo 1.- </w:t>
      </w:r>
      <w:r w:rsidRPr="00263A3C">
        <w:rPr>
          <w:rFonts w:ascii="Arial" w:eastAsia="Calibri" w:hAnsi="Arial" w:cs="Arial"/>
          <w:bCs/>
          <w:i/>
          <w:iCs/>
        </w:rPr>
        <w:t>En el Ejercicio Fiscal comprendido del 1 de enero al 31 de diciembre del año 2018, el Municipio de Oaxaca de Juárez, Oaxaca, percibirá ingresos de gestión estimados por concepto de impuestos, derechos, contribuciones de mejoras, productos y aprovechamientos, de conformidad con las tasas, cuotas o tarifas señaladas en la Ley de Hacienda Municipal del Estado de Oaxaca y los que se aprueben en la Ley de Ingresos del Municipio de Oaxaca de Juárez, Oaxaca.</w:t>
      </w:r>
    </w:p>
    <w:p w14:paraId="4682B2D6" w14:textId="77777777" w:rsidR="00A25B7F" w:rsidRPr="00263A3C" w:rsidRDefault="00A25B7F" w:rsidP="00A25B7F">
      <w:pPr>
        <w:spacing w:before="240" w:line="360" w:lineRule="auto"/>
        <w:ind w:left="567" w:right="616"/>
        <w:jc w:val="both"/>
        <w:rPr>
          <w:rFonts w:ascii="Arial" w:eastAsia="Calibri" w:hAnsi="Arial" w:cs="Arial"/>
          <w:bCs/>
          <w:i/>
          <w:iCs/>
        </w:rPr>
      </w:pPr>
      <w:r w:rsidRPr="00263A3C">
        <w:rPr>
          <w:rFonts w:ascii="Arial" w:eastAsia="Calibri" w:hAnsi="Arial" w:cs="Arial"/>
          <w:bCs/>
          <w:i/>
          <w:iCs/>
        </w:rPr>
        <w:t>Además de las participaciones federales y los Fondos de Aportaciones Federales de Infraestructura Social Municipal y de Fortalecimiento Municipal, que resulten de la aplicación de las fórmulas, variables y porcentajes de conformidad con lo establecido en las Leyes de Coordinación Fiscal y Coordinación Fiscal para el Estado de Oaxaca.</w:t>
      </w:r>
    </w:p>
    <w:p w14:paraId="1F1384BA" w14:textId="77777777" w:rsidR="00A25B7F" w:rsidRPr="00263A3C" w:rsidRDefault="00A25B7F" w:rsidP="00A25B7F">
      <w:pPr>
        <w:spacing w:before="240" w:line="360" w:lineRule="auto"/>
        <w:ind w:left="567" w:right="616"/>
        <w:jc w:val="both"/>
        <w:rPr>
          <w:rFonts w:ascii="Arial" w:eastAsia="Calibri" w:hAnsi="Arial" w:cs="Arial"/>
          <w:bCs/>
          <w:i/>
          <w:iCs/>
        </w:rPr>
      </w:pPr>
      <w:r w:rsidRPr="00263A3C">
        <w:rPr>
          <w:rFonts w:ascii="Arial" w:eastAsia="Calibri" w:hAnsi="Arial" w:cs="Arial"/>
          <w:bCs/>
          <w:i/>
          <w:iCs/>
        </w:rPr>
        <w:lastRenderedPageBreak/>
        <w:t xml:space="preserve">Así como los montos que se reciban por la suscripción de Convenios, Transferencias, Asignaciones, Subsidios y otras ayudas que se determinen en el Decreto de Presupuesto de la Federación y el Estado. </w:t>
      </w:r>
    </w:p>
    <w:p w14:paraId="4AD783E6"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 xml:space="preserve">Artículo 2.- </w:t>
      </w:r>
      <w:r w:rsidRPr="00263A3C">
        <w:rPr>
          <w:rFonts w:ascii="Arial" w:eastAsia="Calibri" w:hAnsi="Arial" w:cs="Arial"/>
          <w:bCs/>
          <w:i/>
          <w:iCs/>
        </w:rPr>
        <w:t>Las disposiciones de la</w:t>
      </w:r>
      <w:r w:rsidRPr="00263A3C">
        <w:rPr>
          <w:rFonts w:ascii="Arial" w:eastAsia="Calibri" w:hAnsi="Arial" w:cs="Arial"/>
          <w:b/>
          <w:i/>
          <w:iCs/>
        </w:rPr>
        <w:t xml:space="preserve"> </w:t>
      </w:r>
      <w:r w:rsidRPr="00263A3C">
        <w:rPr>
          <w:rFonts w:ascii="Arial" w:eastAsia="Calibri" w:hAnsi="Arial" w:cs="Arial"/>
          <w:bCs/>
          <w:i/>
          <w:iCs/>
        </w:rPr>
        <w:t>Ley de Ingresos del Municipio de Oaxaca de Juárez, Oaxaca, son de orden público e interés general y tienen por objeto regular la obtención, administración y aplicación de los Ingresos de la Hacienda Pública del Municipio de Oaxaca de Juárez, así como los procedimientos administrativos en el ejercicio de facultades de comprobación y/o fiscalización, así como de los derivados de la imposición de sanciones por violaciones a disposiciones administrativas y fiscales.</w:t>
      </w:r>
    </w:p>
    <w:p w14:paraId="48EBEE76" w14:textId="77777777" w:rsidR="00A25B7F" w:rsidRPr="00263A3C" w:rsidRDefault="00A25B7F" w:rsidP="00A25B7F">
      <w:pPr>
        <w:spacing w:before="240" w:line="360" w:lineRule="auto"/>
        <w:ind w:left="567" w:right="616"/>
        <w:jc w:val="both"/>
        <w:rPr>
          <w:rFonts w:ascii="Arial" w:eastAsia="Calibri" w:hAnsi="Arial" w:cs="Arial"/>
          <w:bCs/>
          <w:i/>
          <w:iCs/>
        </w:rPr>
      </w:pPr>
      <w:r w:rsidRPr="00263A3C">
        <w:rPr>
          <w:rFonts w:ascii="Arial" w:eastAsia="Calibri" w:hAnsi="Arial" w:cs="Arial"/>
          <w:bCs/>
          <w:i/>
          <w:iCs/>
        </w:rPr>
        <w:t>Los servidores públicos municipales obligados a cumplir las disposiciones de la Ley de Ingresos del Municipio de Oaxaca de Juárez, Oaxaca, deberán observar que la administración de los recursos públicos federales, estatales o municipales, se realice con base a criterios de legalidad, honestidad, imparcialidad, eficiencia, economía, racionalidad, austeridad, transparencia, control, rendición de cuentas, equidad y proporcionalidad.</w:t>
      </w:r>
    </w:p>
    <w:p w14:paraId="1E2811E4"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 xml:space="preserve">Artículo 3.- </w:t>
      </w:r>
      <w:r w:rsidRPr="00263A3C">
        <w:rPr>
          <w:rFonts w:ascii="Arial" w:eastAsia="Calibri" w:hAnsi="Arial" w:cs="Arial"/>
          <w:bCs/>
          <w:i/>
          <w:iCs/>
        </w:rPr>
        <w:t>Son de aplicación supletoria a la Ley de Ingresos del Municipio de Oaxaca de Juárez, Oaxaca, las disposiciones contenidas en la Ley de Hacienda Municipal del Estado de Oaxaca, el Código Fiscal Municipal para el Estado de Oaxaca, el Código Fiscal para el Estado de Oaxaca el Reglamento Interno del Municipio de Oaxaca de Juárez, y el Bando de Policía y Gobierno del Municipio de Oaxaca de Juárez, vigentes.</w:t>
      </w:r>
    </w:p>
    <w:p w14:paraId="02431653"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Artículo 6.-</w:t>
      </w:r>
      <w:r w:rsidRPr="00263A3C">
        <w:rPr>
          <w:rFonts w:ascii="Arial" w:eastAsia="Calibri" w:hAnsi="Arial" w:cs="Arial"/>
          <w:bCs/>
          <w:i/>
          <w:iCs/>
        </w:rPr>
        <w:t xml:space="preserve"> Para los efectos de la Ley de Ingresos del Municipio de Oaxaca de Juárez, Oaxaca, se entenderá por:</w:t>
      </w:r>
    </w:p>
    <w:p w14:paraId="62BC0DFF" w14:textId="77777777" w:rsidR="00A25B7F" w:rsidRPr="00263A3C" w:rsidRDefault="00A25B7F" w:rsidP="00A25B7F">
      <w:pPr>
        <w:spacing w:before="240" w:line="360" w:lineRule="auto"/>
        <w:ind w:left="567" w:right="616"/>
        <w:jc w:val="both"/>
        <w:rPr>
          <w:rFonts w:ascii="Arial" w:eastAsia="Calibri" w:hAnsi="Arial" w:cs="Arial"/>
          <w:bCs/>
          <w:i/>
          <w:iCs/>
        </w:rPr>
      </w:pPr>
      <w:r w:rsidRPr="00263A3C">
        <w:rPr>
          <w:rFonts w:ascii="Arial" w:eastAsia="Calibri" w:hAnsi="Arial" w:cs="Arial"/>
          <w:bCs/>
          <w:i/>
          <w:iCs/>
        </w:rPr>
        <w:t>II.- Autoridad Fiscal Municipal: Los enlistados en el artículo 11 de la Ley de Ingresos del Municipio de Oaxaca de Juárez, Oaxaca,</w:t>
      </w:r>
    </w:p>
    <w:p w14:paraId="6371D10B"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Artículo 10.-</w:t>
      </w:r>
      <w:r w:rsidRPr="00263A3C">
        <w:rPr>
          <w:rFonts w:ascii="Arial" w:eastAsia="Calibri" w:hAnsi="Arial" w:cs="Arial"/>
          <w:bCs/>
          <w:i/>
          <w:iCs/>
        </w:rPr>
        <w:t xml:space="preserve"> Corresponde a las Autoridades Fiscales Municipales, ejecutar y hacer cumplir las disposiciones contenidas en esta Ley de Ingresos. Dicha ejecución se llevará a cabo, mediante el ejercicio de sus facultades de recaudación, comprobación, determinación y administración de los ingresos previstos en la Ley de Ingresos, la Ley de Hacienda Municipal y el Código Fiscal Municipal.</w:t>
      </w:r>
    </w:p>
    <w:p w14:paraId="206D88EF"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 xml:space="preserve">Artículo 11.- </w:t>
      </w:r>
      <w:r w:rsidRPr="00263A3C">
        <w:rPr>
          <w:rFonts w:ascii="Arial" w:eastAsia="Calibri" w:hAnsi="Arial" w:cs="Arial"/>
          <w:bCs/>
          <w:i/>
          <w:iCs/>
        </w:rPr>
        <w:t>Son autoridades fiscales municipales para efectos de esta Ley de Ingresos, las siguientes:</w:t>
      </w:r>
    </w:p>
    <w:p w14:paraId="252B0EEB" w14:textId="77777777" w:rsidR="00A25B7F" w:rsidRPr="00263A3C" w:rsidRDefault="00A25B7F" w:rsidP="00A25B7F">
      <w:pPr>
        <w:spacing w:before="240" w:line="360" w:lineRule="auto"/>
        <w:ind w:left="567" w:right="616"/>
        <w:jc w:val="both"/>
        <w:rPr>
          <w:rFonts w:ascii="Arial" w:eastAsia="Calibri" w:hAnsi="Arial" w:cs="Arial"/>
          <w:bCs/>
          <w:i/>
          <w:iCs/>
        </w:rPr>
      </w:pPr>
      <w:r w:rsidRPr="00263A3C">
        <w:rPr>
          <w:rFonts w:ascii="Arial" w:eastAsia="Calibri" w:hAnsi="Arial" w:cs="Arial"/>
          <w:bCs/>
          <w:i/>
          <w:iCs/>
        </w:rPr>
        <w:t xml:space="preserve">IV.- Los Titulares de las Áreas Administrativas Recaudadoras que estén jerárquicamente subordinadas a la Tesorería, </w:t>
      </w:r>
    </w:p>
    <w:p w14:paraId="7FE81BE4"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lastRenderedPageBreak/>
        <w:t xml:space="preserve">Artículo 53.- </w:t>
      </w:r>
      <w:r w:rsidRPr="00263A3C">
        <w:rPr>
          <w:rFonts w:ascii="Arial" w:eastAsia="Calibri" w:hAnsi="Arial" w:cs="Arial"/>
          <w:bCs/>
          <w:i/>
          <w:iCs/>
        </w:rPr>
        <w:t>El estudio, trámite y resolución</w:t>
      </w:r>
      <w:r w:rsidRPr="00263A3C">
        <w:rPr>
          <w:rFonts w:ascii="Arial" w:eastAsia="Calibri" w:hAnsi="Arial" w:cs="Arial"/>
          <w:b/>
          <w:i/>
          <w:iCs/>
        </w:rPr>
        <w:t xml:space="preserve"> </w:t>
      </w:r>
      <w:r w:rsidRPr="00263A3C">
        <w:rPr>
          <w:rFonts w:ascii="Arial" w:eastAsia="Calibri" w:hAnsi="Arial" w:cs="Arial"/>
          <w:bCs/>
          <w:i/>
          <w:iCs/>
        </w:rPr>
        <w:t>de los asuntos que son competencia de las Autoridades Fiscales, corresponden originalmente a las mismas, quienes para su mejor atención y despacho podrán delegar facultades en los servidores públicos subalternos, sin perder por ello la posibilidad de su ejercicio directo, excepto aquéllas que por disposición de ley deba ejercer en forma directa o que no sean delegables.</w:t>
      </w:r>
    </w:p>
    <w:p w14:paraId="068307D2" w14:textId="77777777" w:rsidR="00A25B7F" w:rsidRPr="00263A3C" w:rsidRDefault="00A25B7F" w:rsidP="00A25B7F">
      <w:pPr>
        <w:spacing w:before="240" w:line="360" w:lineRule="auto"/>
        <w:ind w:left="567" w:right="616" w:firstLine="142"/>
        <w:jc w:val="both"/>
        <w:rPr>
          <w:rFonts w:ascii="Arial" w:eastAsia="Calibri" w:hAnsi="Arial" w:cs="Arial"/>
          <w:bCs/>
          <w:i/>
          <w:iCs/>
        </w:rPr>
      </w:pPr>
      <w:r w:rsidRPr="00263A3C">
        <w:rPr>
          <w:rFonts w:ascii="Arial" w:eastAsia="Calibri" w:hAnsi="Arial" w:cs="Arial"/>
          <w:b/>
          <w:i/>
          <w:iCs/>
        </w:rPr>
        <w:t xml:space="preserve">Artículo 56.- </w:t>
      </w:r>
      <w:r w:rsidRPr="00263A3C">
        <w:rPr>
          <w:rFonts w:ascii="Arial" w:eastAsia="Calibri" w:hAnsi="Arial" w:cs="Arial"/>
          <w:bCs/>
          <w:i/>
          <w:iCs/>
        </w:rPr>
        <w:t>La Tesorería y la Dirección de Ingresos, podrán ejercer dentro de la circunscripción territorial del Municipio las facultades de determinación de créditos fiscales y la fiscalización de las establecidas en la Ley de Ingresos y el Código Fiscal Municipal. Asimismo, están facultadas para determinar la comisión de infracciones e imponer en su caso las sanciones correspondientes en los términos de ley.</w:t>
      </w:r>
    </w:p>
    <w:p w14:paraId="6BCFBEDB" w14:textId="77777777" w:rsidR="00A25B7F" w:rsidRPr="00D35C62" w:rsidRDefault="00A25B7F" w:rsidP="00A25B7F">
      <w:pPr>
        <w:spacing w:after="160" w:line="259" w:lineRule="auto"/>
        <w:ind w:left="567" w:right="616"/>
        <w:jc w:val="center"/>
        <w:rPr>
          <w:rFonts w:ascii="Arial" w:eastAsia="Calibri" w:hAnsi="Arial" w:cs="Arial"/>
          <w:b/>
          <w:bCs/>
          <w:i/>
          <w:iCs/>
        </w:rPr>
      </w:pPr>
      <w:r w:rsidRPr="00D35C62">
        <w:rPr>
          <w:rFonts w:ascii="Arial" w:eastAsia="Calibri" w:hAnsi="Arial" w:cs="Arial"/>
          <w:b/>
          <w:bCs/>
          <w:i/>
          <w:iCs/>
        </w:rPr>
        <w:t>CÓDIGO FISCAL MUNICIPAL PARA EL ESTADO DE OAXACA</w:t>
      </w:r>
    </w:p>
    <w:p w14:paraId="1BD9C0E9"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11. </w:t>
      </w:r>
      <w:r w:rsidRPr="00D35C62">
        <w:rPr>
          <w:rFonts w:ascii="Arial" w:eastAsia="Calibri" w:hAnsi="Arial" w:cs="Arial"/>
          <w:i/>
          <w:iCs/>
        </w:rPr>
        <w:t>Tratándose de los créditos fiscales establecidos en cantidad líquida por las autoridades fiscales como consecuencia del ejercicio de sus facultades de comprobación, determinación o sancionadoras, deberán pagarse junto con sus accesorios, dentro de los 15 días hábiles siguientes a aquél en que surta efectos su notificación, o garantizarse cuando se solicite plazo para el pago en parcialidades, o en cualquier otro caso que expresamente se prevea en las disposiciones fiscales.</w:t>
      </w:r>
    </w:p>
    <w:p w14:paraId="0BCA6D1C"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6FC88311"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Cuando la obligación de pago del crédito fiscal derive de una responsabilidad solidaria por</w:t>
      </w:r>
      <w:r w:rsidRPr="00E4634E">
        <w:rPr>
          <w:rFonts w:ascii="Arial" w:eastAsia="Calibri" w:hAnsi="Arial" w:cs="Arial"/>
          <w:i/>
          <w:iCs/>
        </w:rPr>
        <w:t xml:space="preserve"> </w:t>
      </w:r>
      <w:r w:rsidRPr="00D35C62">
        <w:rPr>
          <w:rFonts w:ascii="Arial" w:eastAsia="Calibri" w:hAnsi="Arial" w:cs="Arial"/>
          <w:i/>
          <w:iCs/>
        </w:rPr>
        <w:t>disposición de ley, las autoridades fiscales previamente a la notificación de la resolución que lo determina y liquida, deberán correr traslado al responsable solidario de los procedimientos realizados en el ejercicio de sus facultades de comprobación.</w:t>
      </w:r>
    </w:p>
    <w:p w14:paraId="7A591058"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45D4F2D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El pago de contribuciones se acreditará mediante el recibo oficial, el comprobante, o la documentació</w:t>
      </w:r>
      <w:r>
        <w:rPr>
          <w:rFonts w:ascii="Arial" w:eastAsia="Calibri" w:hAnsi="Arial" w:cs="Arial"/>
          <w:i/>
          <w:iCs/>
        </w:rPr>
        <w:t xml:space="preserve">n </w:t>
      </w:r>
      <w:r w:rsidRPr="00D35C62">
        <w:rPr>
          <w:rFonts w:ascii="Arial" w:eastAsia="Calibri" w:hAnsi="Arial" w:cs="Arial"/>
          <w:i/>
          <w:iCs/>
        </w:rPr>
        <w:t>que establezcan las disposiciones respectivas.</w:t>
      </w:r>
    </w:p>
    <w:p w14:paraId="1574C0C1"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B136AC1"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8803A9">
        <w:rPr>
          <w:rFonts w:ascii="Arial" w:eastAsia="Calibri" w:hAnsi="Arial" w:cs="Arial"/>
          <w:b/>
          <w:bCs/>
          <w:i/>
          <w:iCs/>
        </w:rPr>
        <w:t>Artículo 13.</w:t>
      </w:r>
      <w:r w:rsidRPr="00D35C62">
        <w:rPr>
          <w:rFonts w:ascii="Arial" w:eastAsia="Calibri" w:hAnsi="Arial" w:cs="Arial"/>
          <w:i/>
          <w:iCs/>
        </w:rPr>
        <w:t xml:space="preserve"> Cuando no se paguen las contribuciones o los aprovechamientos en la fecha o</w:t>
      </w:r>
      <w:r w:rsidRPr="00E4634E">
        <w:rPr>
          <w:rFonts w:ascii="Arial" w:eastAsia="Calibri" w:hAnsi="Arial" w:cs="Arial"/>
          <w:i/>
          <w:iCs/>
        </w:rPr>
        <w:t xml:space="preserve"> </w:t>
      </w:r>
      <w:r w:rsidRPr="00D35C62">
        <w:rPr>
          <w:rFonts w:ascii="Arial" w:eastAsia="Calibri" w:hAnsi="Arial" w:cs="Arial"/>
          <w:i/>
          <w:iCs/>
        </w:rPr>
        <w:t>dentro del plazo fijado por las disposiciones fiscales municipales, el monto de las mismas se</w:t>
      </w:r>
      <w:r w:rsidRPr="00E4634E">
        <w:rPr>
          <w:rFonts w:ascii="Arial" w:eastAsia="Calibri" w:hAnsi="Arial" w:cs="Arial"/>
          <w:i/>
          <w:iCs/>
        </w:rPr>
        <w:t xml:space="preserve"> </w:t>
      </w:r>
      <w:r w:rsidRPr="00D35C62">
        <w:rPr>
          <w:rFonts w:ascii="Arial" w:eastAsia="Calibri" w:hAnsi="Arial" w:cs="Arial"/>
          <w:i/>
          <w:iCs/>
        </w:rPr>
        <w:t>actualizará desde el mes en que debió hacerse el pago hasta que el mismo se efectúe; además</w:t>
      </w:r>
      <w:r w:rsidRPr="00E4634E">
        <w:rPr>
          <w:rFonts w:ascii="Arial" w:eastAsia="Calibri" w:hAnsi="Arial" w:cs="Arial"/>
          <w:i/>
          <w:iCs/>
        </w:rPr>
        <w:t xml:space="preserve"> </w:t>
      </w:r>
      <w:r w:rsidRPr="00D35C62">
        <w:rPr>
          <w:rFonts w:ascii="Arial" w:eastAsia="Calibri" w:hAnsi="Arial" w:cs="Arial"/>
          <w:i/>
          <w:iCs/>
        </w:rPr>
        <w:t>deberá pagarse recargos por concepto de indemnización al fisco municipal por la falta de pago</w:t>
      </w:r>
      <w:r w:rsidRPr="00E4634E">
        <w:rPr>
          <w:rFonts w:ascii="Arial" w:eastAsia="Calibri" w:hAnsi="Arial" w:cs="Arial"/>
          <w:i/>
          <w:iCs/>
        </w:rPr>
        <w:t xml:space="preserve"> </w:t>
      </w:r>
      <w:r w:rsidRPr="00D35C62">
        <w:rPr>
          <w:rFonts w:ascii="Arial" w:eastAsia="Calibri" w:hAnsi="Arial" w:cs="Arial"/>
          <w:i/>
          <w:iCs/>
        </w:rPr>
        <w:t>oportuno.</w:t>
      </w:r>
    </w:p>
    <w:p w14:paraId="72F34241"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7941B723"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La tasa de los recargos será la que fije la Ley General de Ingresos Municipales del Estado de</w:t>
      </w:r>
      <w:r w:rsidRPr="00E4634E">
        <w:rPr>
          <w:rFonts w:ascii="Arial" w:eastAsia="Calibri" w:hAnsi="Arial" w:cs="Arial"/>
          <w:i/>
          <w:iCs/>
        </w:rPr>
        <w:t xml:space="preserve"> </w:t>
      </w:r>
      <w:r w:rsidRPr="00D35C62">
        <w:rPr>
          <w:rFonts w:ascii="Arial" w:eastAsia="Calibri" w:hAnsi="Arial" w:cs="Arial"/>
          <w:i/>
          <w:iCs/>
        </w:rPr>
        <w:t>Oaxaca para el Ejercicio Fiscal de que se trate.</w:t>
      </w:r>
    </w:p>
    <w:p w14:paraId="691BBFE9"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689E33C5"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Los recargos se causarán por cada mes o fracción que transcurra, a partir de la fecha de la</w:t>
      </w:r>
      <w:r w:rsidRPr="00E4634E">
        <w:rPr>
          <w:rFonts w:ascii="Arial" w:eastAsia="Calibri" w:hAnsi="Arial" w:cs="Arial"/>
          <w:i/>
          <w:iCs/>
        </w:rPr>
        <w:t xml:space="preserve"> </w:t>
      </w:r>
      <w:r w:rsidRPr="00D35C62">
        <w:rPr>
          <w:rFonts w:ascii="Arial" w:eastAsia="Calibri" w:hAnsi="Arial" w:cs="Arial"/>
          <w:i/>
          <w:iCs/>
        </w:rPr>
        <w:t>exigibilidad hasta que se efectúe el pago.</w:t>
      </w:r>
    </w:p>
    <w:p w14:paraId="1834FC83"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43C7EF4D"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Los recargos por falta de pago oportuno de contribuciones o aprovechamientos se causarán hasta</w:t>
      </w:r>
      <w:r w:rsidRPr="00E4634E">
        <w:rPr>
          <w:rFonts w:ascii="Arial" w:eastAsia="Calibri" w:hAnsi="Arial" w:cs="Arial"/>
          <w:i/>
          <w:iCs/>
        </w:rPr>
        <w:t xml:space="preserve"> </w:t>
      </w:r>
      <w:r w:rsidRPr="00D35C62">
        <w:rPr>
          <w:rFonts w:ascii="Arial" w:eastAsia="Calibri" w:hAnsi="Arial" w:cs="Arial"/>
          <w:i/>
          <w:iCs/>
        </w:rPr>
        <w:t xml:space="preserve">por cinco años, salvo en los casos en que se interrumpa la caducidad, supuesto en el </w:t>
      </w:r>
      <w:r w:rsidRPr="00E4634E">
        <w:rPr>
          <w:rFonts w:ascii="Arial" w:eastAsia="Calibri" w:hAnsi="Arial" w:cs="Arial"/>
          <w:i/>
          <w:iCs/>
        </w:rPr>
        <w:t>c</w:t>
      </w:r>
      <w:r w:rsidRPr="00D35C62">
        <w:rPr>
          <w:rFonts w:ascii="Arial" w:eastAsia="Calibri" w:hAnsi="Arial" w:cs="Arial"/>
          <w:i/>
          <w:iCs/>
        </w:rPr>
        <w:t>ual, los</w:t>
      </w:r>
      <w:r w:rsidRPr="00E4634E">
        <w:rPr>
          <w:rFonts w:ascii="Arial" w:eastAsia="Calibri" w:hAnsi="Arial" w:cs="Arial"/>
          <w:i/>
          <w:iCs/>
        </w:rPr>
        <w:t xml:space="preserve"> </w:t>
      </w:r>
      <w:r w:rsidRPr="00D35C62">
        <w:rPr>
          <w:rFonts w:ascii="Arial" w:eastAsia="Calibri" w:hAnsi="Arial" w:cs="Arial"/>
          <w:i/>
          <w:iCs/>
        </w:rPr>
        <w:t>recargos se causarán hasta en tanto no se extingan las facultades de las autoridades fiscales</w:t>
      </w:r>
      <w:r w:rsidRPr="00E4634E">
        <w:rPr>
          <w:rFonts w:ascii="Arial" w:eastAsia="Calibri" w:hAnsi="Arial" w:cs="Arial"/>
          <w:i/>
          <w:iCs/>
        </w:rPr>
        <w:t xml:space="preserve"> </w:t>
      </w:r>
      <w:r w:rsidRPr="00D35C62">
        <w:rPr>
          <w:rFonts w:ascii="Arial" w:eastAsia="Calibri" w:hAnsi="Arial" w:cs="Arial"/>
          <w:i/>
          <w:iCs/>
        </w:rPr>
        <w:t>para determinar las contribuciones o aprovechamientos omitidos y sus accesorios, y se calcularán</w:t>
      </w:r>
      <w:r w:rsidRPr="00E4634E">
        <w:rPr>
          <w:rFonts w:ascii="Arial" w:eastAsia="Calibri" w:hAnsi="Arial" w:cs="Arial"/>
          <w:i/>
          <w:iCs/>
        </w:rPr>
        <w:t xml:space="preserve"> </w:t>
      </w:r>
      <w:r w:rsidRPr="00D35C62">
        <w:rPr>
          <w:rFonts w:ascii="Arial" w:eastAsia="Calibri" w:hAnsi="Arial" w:cs="Arial"/>
          <w:i/>
          <w:iCs/>
        </w:rPr>
        <w:t>sobre el total del crédito fiscal, excluyendo salvo disposición expresa en contrario, los propios</w:t>
      </w:r>
      <w:r w:rsidRPr="00E4634E">
        <w:rPr>
          <w:rFonts w:ascii="Arial" w:eastAsia="Calibri" w:hAnsi="Arial" w:cs="Arial"/>
          <w:i/>
          <w:iCs/>
        </w:rPr>
        <w:t xml:space="preserve"> </w:t>
      </w:r>
      <w:r w:rsidRPr="00D35C62">
        <w:rPr>
          <w:rFonts w:ascii="Arial" w:eastAsia="Calibri" w:hAnsi="Arial" w:cs="Arial"/>
          <w:i/>
          <w:iCs/>
        </w:rPr>
        <w:t>recargos, y los gastos de ejecución.</w:t>
      </w:r>
    </w:p>
    <w:p w14:paraId="68344246"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7DF6773"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Cuando el pago de las contribuciones o aprovechamientos que sea efectuado por el deudor</w:t>
      </w:r>
      <w:r w:rsidRPr="00E4634E">
        <w:rPr>
          <w:rFonts w:ascii="Arial" w:eastAsia="Calibri" w:hAnsi="Arial" w:cs="Arial"/>
          <w:i/>
          <w:iCs/>
        </w:rPr>
        <w:t xml:space="preserve"> </w:t>
      </w:r>
      <w:r w:rsidRPr="00D35C62">
        <w:rPr>
          <w:rFonts w:ascii="Arial" w:eastAsia="Calibri" w:hAnsi="Arial" w:cs="Arial"/>
          <w:i/>
          <w:iCs/>
        </w:rPr>
        <w:t xml:space="preserve">hubiera sido menor al que corresponda, los recargos sólo se causarán sobre la diferencia. </w:t>
      </w:r>
    </w:p>
    <w:p w14:paraId="10906F76"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1010BCB0"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Los</w:t>
      </w:r>
      <w:r w:rsidRPr="00E4634E">
        <w:rPr>
          <w:rFonts w:ascii="Arial" w:eastAsia="Calibri" w:hAnsi="Arial" w:cs="Arial"/>
          <w:i/>
          <w:iCs/>
        </w:rPr>
        <w:t xml:space="preserve"> </w:t>
      </w:r>
      <w:r w:rsidRPr="00D35C62">
        <w:rPr>
          <w:rFonts w:ascii="Arial" w:eastAsia="Calibri" w:hAnsi="Arial" w:cs="Arial"/>
          <w:i/>
          <w:iCs/>
        </w:rPr>
        <w:t xml:space="preserve">pagos efectuados en términos de este </w:t>
      </w:r>
      <w:r w:rsidRPr="00E4634E">
        <w:rPr>
          <w:rFonts w:ascii="Arial" w:eastAsia="Calibri" w:hAnsi="Arial" w:cs="Arial"/>
          <w:i/>
          <w:iCs/>
        </w:rPr>
        <w:t>párrafo</w:t>
      </w:r>
      <w:r w:rsidRPr="00D35C62">
        <w:rPr>
          <w:rFonts w:ascii="Arial" w:eastAsia="Calibri" w:hAnsi="Arial" w:cs="Arial"/>
          <w:i/>
          <w:iCs/>
        </w:rPr>
        <w:t xml:space="preserve"> no liberan a los contribuyentes de las </w:t>
      </w:r>
      <w:r w:rsidRPr="00E4634E">
        <w:rPr>
          <w:rFonts w:ascii="Arial" w:eastAsia="Calibri" w:hAnsi="Arial" w:cs="Arial"/>
          <w:i/>
          <w:iCs/>
        </w:rPr>
        <w:t>o</w:t>
      </w:r>
      <w:r w:rsidRPr="00D35C62">
        <w:rPr>
          <w:rFonts w:ascii="Arial" w:eastAsia="Calibri" w:hAnsi="Arial" w:cs="Arial"/>
          <w:i/>
          <w:iCs/>
        </w:rPr>
        <w:t>bligaciones</w:t>
      </w:r>
      <w:r w:rsidRPr="00E4634E">
        <w:rPr>
          <w:rFonts w:ascii="Arial" w:eastAsia="Calibri" w:hAnsi="Arial" w:cs="Arial"/>
          <w:i/>
          <w:iCs/>
        </w:rPr>
        <w:t xml:space="preserve"> </w:t>
      </w:r>
      <w:r w:rsidRPr="00D35C62">
        <w:rPr>
          <w:rFonts w:ascii="Arial" w:eastAsia="Calibri" w:hAnsi="Arial" w:cs="Arial"/>
          <w:i/>
          <w:iCs/>
        </w:rPr>
        <w:t>que hubieren quedado pendientes después de realizado éste.</w:t>
      </w:r>
    </w:p>
    <w:p w14:paraId="6D2375F7"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4717042"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En los casos de garantía de obligaciones fiscales a cargo de terceros, cuando la responsabilidad</w:t>
      </w:r>
      <w:r w:rsidRPr="00E4634E">
        <w:rPr>
          <w:rFonts w:ascii="Arial" w:eastAsia="Calibri" w:hAnsi="Arial" w:cs="Arial"/>
          <w:i/>
          <w:iCs/>
        </w:rPr>
        <w:t xml:space="preserve"> </w:t>
      </w:r>
      <w:r w:rsidRPr="00D35C62">
        <w:rPr>
          <w:rFonts w:ascii="Arial" w:eastAsia="Calibri" w:hAnsi="Arial" w:cs="Arial"/>
          <w:i/>
          <w:iCs/>
        </w:rPr>
        <w:t>resultante de la garantía no se pague dentro del plazo legal, los recargos a cargo del tercero,</w:t>
      </w:r>
      <w:r w:rsidRPr="00E4634E">
        <w:rPr>
          <w:rFonts w:ascii="Arial" w:eastAsia="Calibri" w:hAnsi="Arial" w:cs="Arial"/>
          <w:i/>
          <w:iCs/>
        </w:rPr>
        <w:t xml:space="preserve"> </w:t>
      </w:r>
      <w:r w:rsidRPr="00D35C62">
        <w:rPr>
          <w:rFonts w:ascii="Arial" w:eastAsia="Calibri" w:hAnsi="Arial" w:cs="Arial"/>
          <w:i/>
          <w:iCs/>
        </w:rPr>
        <w:t>responsable solidario, se causarán sobre el monto de lo requerido y hasta el límite de lo</w:t>
      </w:r>
      <w:r w:rsidRPr="00E4634E">
        <w:rPr>
          <w:rFonts w:ascii="Arial" w:eastAsia="Calibri" w:hAnsi="Arial" w:cs="Arial"/>
          <w:i/>
          <w:iCs/>
        </w:rPr>
        <w:t xml:space="preserve"> </w:t>
      </w:r>
      <w:r w:rsidRPr="00D35C62">
        <w:rPr>
          <w:rFonts w:ascii="Arial" w:eastAsia="Calibri" w:hAnsi="Arial" w:cs="Arial"/>
          <w:i/>
          <w:iCs/>
        </w:rPr>
        <w:t>garantizado.</w:t>
      </w:r>
    </w:p>
    <w:p w14:paraId="0EEC3A4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17841594"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Las multas y sanciones pecuniarias impuestas por cualquier autoridad sólo se actualizarán en los</w:t>
      </w:r>
      <w:r w:rsidRPr="00E4634E">
        <w:rPr>
          <w:rFonts w:ascii="Arial" w:eastAsia="Calibri" w:hAnsi="Arial" w:cs="Arial"/>
          <w:i/>
          <w:iCs/>
        </w:rPr>
        <w:t xml:space="preserve"> </w:t>
      </w:r>
      <w:r w:rsidRPr="00D35C62">
        <w:rPr>
          <w:rFonts w:ascii="Arial" w:eastAsia="Calibri" w:hAnsi="Arial" w:cs="Arial"/>
          <w:i/>
          <w:iCs/>
        </w:rPr>
        <w:t xml:space="preserve">términos previstos en este artículo, y no causarán recargos, </w:t>
      </w:r>
      <w:r w:rsidRPr="00E4634E">
        <w:rPr>
          <w:rFonts w:ascii="Arial" w:eastAsia="Calibri" w:hAnsi="Arial" w:cs="Arial"/>
          <w:i/>
          <w:iCs/>
        </w:rPr>
        <w:t>aun</w:t>
      </w:r>
      <w:r w:rsidRPr="00D35C62">
        <w:rPr>
          <w:rFonts w:ascii="Arial" w:eastAsia="Calibri" w:hAnsi="Arial" w:cs="Arial"/>
          <w:i/>
          <w:iCs/>
        </w:rPr>
        <w:t xml:space="preserve"> cuando deban hacerse efectivas</w:t>
      </w:r>
      <w:r w:rsidRPr="00E4634E">
        <w:rPr>
          <w:rFonts w:ascii="Arial" w:eastAsia="Calibri" w:hAnsi="Arial" w:cs="Arial"/>
          <w:i/>
          <w:iCs/>
        </w:rPr>
        <w:t xml:space="preserve"> </w:t>
      </w:r>
      <w:r w:rsidRPr="00D35C62">
        <w:rPr>
          <w:rFonts w:ascii="Arial" w:eastAsia="Calibri" w:hAnsi="Arial" w:cs="Arial"/>
          <w:i/>
          <w:iCs/>
        </w:rPr>
        <w:t>a través del procedimiento administrativo de ejecución.</w:t>
      </w:r>
    </w:p>
    <w:p w14:paraId="413C7E3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48C21D2E"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17. </w:t>
      </w:r>
      <w:r w:rsidRPr="00D35C62">
        <w:rPr>
          <w:rFonts w:ascii="Arial" w:eastAsia="Calibri" w:hAnsi="Arial" w:cs="Arial"/>
          <w:i/>
          <w:iCs/>
        </w:rPr>
        <w:t>Son créditos fiscales las cantidades que tenga derecho a percibir el</w:t>
      </w:r>
      <w:r w:rsidRPr="00E4634E">
        <w:rPr>
          <w:rFonts w:ascii="Arial" w:eastAsia="Calibri" w:hAnsi="Arial" w:cs="Arial"/>
          <w:i/>
          <w:iCs/>
        </w:rPr>
        <w:t xml:space="preserve"> </w:t>
      </w:r>
      <w:r w:rsidRPr="00D35C62">
        <w:rPr>
          <w:rFonts w:ascii="Arial" w:eastAsia="Calibri" w:hAnsi="Arial" w:cs="Arial"/>
          <w:i/>
          <w:iCs/>
        </w:rPr>
        <w:t>Municipio, sus</w:t>
      </w:r>
      <w:r w:rsidRPr="00E4634E">
        <w:rPr>
          <w:rFonts w:ascii="Arial" w:eastAsia="Calibri" w:hAnsi="Arial" w:cs="Arial"/>
          <w:i/>
          <w:iCs/>
        </w:rPr>
        <w:t xml:space="preserve"> </w:t>
      </w:r>
      <w:r w:rsidRPr="00D35C62">
        <w:rPr>
          <w:rFonts w:ascii="Arial" w:eastAsia="Calibri" w:hAnsi="Arial" w:cs="Arial"/>
          <w:i/>
          <w:iCs/>
        </w:rPr>
        <w:t>organismos paramunicipales o descentralizados, que provengan de contribuciones, sus</w:t>
      </w:r>
      <w:r w:rsidRPr="00E4634E">
        <w:rPr>
          <w:rFonts w:ascii="Arial" w:eastAsia="Calibri" w:hAnsi="Arial" w:cs="Arial"/>
          <w:i/>
          <w:iCs/>
        </w:rPr>
        <w:t xml:space="preserve"> </w:t>
      </w:r>
      <w:r w:rsidRPr="00D35C62">
        <w:rPr>
          <w:rFonts w:ascii="Arial" w:eastAsia="Calibri" w:hAnsi="Arial" w:cs="Arial"/>
          <w:i/>
          <w:iCs/>
        </w:rPr>
        <w:t>accesorios o de aprovechamientos, incluyendo los que deriven de responsabilidades que el</w:t>
      </w:r>
      <w:r w:rsidRPr="00E4634E">
        <w:rPr>
          <w:rFonts w:ascii="Arial" w:eastAsia="Calibri" w:hAnsi="Arial" w:cs="Arial"/>
          <w:i/>
          <w:iCs/>
        </w:rPr>
        <w:t xml:space="preserve"> </w:t>
      </w:r>
      <w:r w:rsidRPr="00D35C62">
        <w:rPr>
          <w:rFonts w:ascii="Arial" w:eastAsia="Calibri" w:hAnsi="Arial" w:cs="Arial"/>
          <w:i/>
          <w:iCs/>
        </w:rPr>
        <w:t>Municipio tenga derecho a exigir de sus servidores públicos o de los particulares, así como</w:t>
      </w:r>
      <w:r w:rsidRPr="00E4634E">
        <w:rPr>
          <w:rFonts w:ascii="Arial" w:eastAsia="Calibri" w:hAnsi="Arial" w:cs="Arial"/>
          <w:i/>
          <w:iCs/>
        </w:rPr>
        <w:t xml:space="preserve"> </w:t>
      </w:r>
      <w:r w:rsidRPr="00D35C62">
        <w:rPr>
          <w:rFonts w:ascii="Arial" w:eastAsia="Calibri" w:hAnsi="Arial" w:cs="Arial"/>
          <w:i/>
          <w:iCs/>
        </w:rPr>
        <w:t>aquellas a los que las leyes les den ese carácter y el Municipio tenga derecho a percibir por</w:t>
      </w:r>
      <w:r w:rsidRPr="00E4634E">
        <w:rPr>
          <w:rFonts w:ascii="Arial" w:eastAsia="Calibri" w:hAnsi="Arial" w:cs="Arial"/>
          <w:i/>
          <w:iCs/>
        </w:rPr>
        <w:t xml:space="preserve"> </w:t>
      </w:r>
      <w:r w:rsidRPr="00D35C62">
        <w:rPr>
          <w:rFonts w:ascii="Arial" w:eastAsia="Calibri" w:hAnsi="Arial" w:cs="Arial"/>
          <w:i/>
          <w:iCs/>
        </w:rPr>
        <w:t>cuenta ajena.</w:t>
      </w:r>
    </w:p>
    <w:p w14:paraId="59E63F75"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711D4BDC"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 xml:space="preserve">La falta de pago de un crédito fiscal en la fecha o plazo establecido en las </w:t>
      </w:r>
      <w:r w:rsidRPr="00E4634E">
        <w:rPr>
          <w:rFonts w:ascii="Arial" w:eastAsia="Calibri" w:hAnsi="Arial" w:cs="Arial"/>
          <w:i/>
          <w:iCs/>
        </w:rPr>
        <w:t>d</w:t>
      </w:r>
      <w:r w:rsidRPr="00D35C62">
        <w:rPr>
          <w:rFonts w:ascii="Arial" w:eastAsia="Calibri" w:hAnsi="Arial" w:cs="Arial"/>
          <w:i/>
          <w:iCs/>
        </w:rPr>
        <w:t>isposiciones</w:t>
      </w:r>
      <w:r w:rsidRPr="00E4634E">
        <w:rPr>
          <w:rFonts w:ascii="Arial" w:eastAsia="Calibri" w:hAnsi="Arial" w:cs="Arial"/>
          <w:i/>
          <w:iCs/>
        </w:rPr>
        <w:t xml:space="preserve"> </w:t>
      </w:r>
      <w:r w:rsidRPr="00D35C62">
        <w:rPr>
          <w:rFonts w:ascii="Arial" w:eastAsia="Calibri" w:hAnsi="Arial" w:cs="Arial"/>
          <w:i/>
          <w:iCs/>
        </w:rPr>
        <w:t>respectivas, determina que el crédito sea exigible.</w:t>
      </w:r>
    </w:p>
    <w:p w14:paraId="0BF4276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097F388"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FE64DF">
        <w:rPr>
          <w:rFonts w:ascii="Arial" w:eastAsia="Calibri" w:hAnsi="Arial" w:cs="Arial"/>
          <w:b/>
          <w:bCs/>
          <w:i/>
          <w:iCs/>
        </w:rPr>
        <w:t>Artículo 20.</w:t>
      </w:r>
      <w:r w:rsidRPr="00D35C62">
        <w:rPr>
          <w:rFonts w:ascii="Arial" w:eastAsia="Calibri" w:hAnsi="Arial" w:cs="Arial"/>
          <w:i/>
          <w:iCs/>
        </w:rPr>
        <w:t xml:space="preserve"> Para efectos de las disposiciones fiscales, son contribuciones los impuestos, las</w:t>
      </w:r>
      <w:r w:rsidRPr="00E4634E">
        <w:rPr>
          <w:rFonts w:ascii="Arial" w:eastAsia="Calibri" w:hAnsi="Arial" w:cs="Arial"/>
          <w:i/>
          <w:iCs/>
        </w:rPr>
        <w:t xml:space="preserve"> </w:t>
      </w:r>
      <w:r w:rsidRPr="00D35C62">
        <w:rPr>
          <w:rFonts w:ascii="Arial" w:eastAsia="Calibri" w:hAnsi="Arial" w:cs="Arial"/>
          <w:i/>
          <w:iCs/>
        </w:rPr>
        <w:t>contribuciones de mejoras y los derechos, las que se definen como:</w:t>
      </w:r>
    </w:p>
    <w:p w14:paraId="506677D4"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60FEE8A"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lastRenderedPageBreak/>
        <w:t>I. Impuestos: Son las contribuciones establecidas en la ley a cargo de las personas físicas,</w:t>
      </w:r>
      <w:r w:rsidRPr="00E4634E">
        <w:rPr>
          <w:rFonts w:ascii="Arial" w:eastAsia="Calibri" w:hAnsi="Arial" w:cs="Arial"/>
          <w:i/>
          <w:iCs/>
        </w:rPr>
        <w:t xml:space="preserve"> </w:t>
      </w:r>
      <w:r w:rsidRPr="00D35C62">
        <w:rPr>
          <w:rFonts w:ascii="Arial" w:eastAsia="Calibri" w:hAnsi="Arial" w:cs="Arial"/>
          <w:i/>
          <w:iCs/>
        </w:rPr>
        <w:t>morales o unidades económicas, que se encuentren en la situación jurídica o de hecho</w:t>
      </w:r>
      <w:r w:rsidRPr="00E4634E">
        <w:rPr>
          <w:rFonts w:ascii="Arial" w:eastAsia="Calibri" w:hAnsi="Arial" w:cs="Arial"/>
          <w:i/>
          <w:iCs/>
        </w:rPr>
        <w:t xml:space="preserve"> </w:t>
      </w:r>
      <w:r w:rsidRPr="00D35C62">
        <w:rPr>
          <w:rFonts w:ascii="Arial" w:eastAsia="Calibri" w:hAnsi="Arial" w:cs="Arial"/>
          <w:i/>
          <w:iCs/>
        </w:rPr>
        <w:t>prevista por la misma distintas de las señaladas en las siguientes fracciones;</w:t>
      </w:r>
    </w:p>
    <w:p w14:paraId="2C3ED48A"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16C72A6"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II. Contribuciones de mejoras: Son las contribuciones establecidas en ley con carácter</w:t>
      </w:r>
      <w:r w:rsidRPr="00E4634E">
        <w:rPr>
          <w:rFonts w:ascii="Arial" w:eastAsia="Calibri" w:hAnsi="Arial" w:cs="Arial"/>
          <w:i/>
          <w:iCs/>
        </w:rPr>
        <w:t xml:space="preserve"> </w:t>
      </w:r>
      <w:r w:rsidRPr="00D35C62">
        <w:rPr>
          <w:rFonts w:ascii="Arial" w:eastAsia="Calibri" w:hAnsi="Arial" w:cs="Arial"/>
          <w:i/>
          <w:iCs/>
        </w:rPr>
        <w:t>obligatorio a cargo de las personas físicas, morales o unidades económicas, que reciban</w:t>
      </w:r>
      <w:r w:rsidRPr="00E4634E">
        <w:rPr>
          <w:rFonts w:ascii="Arial" w:eastAsia="Calibri" w:hAnsi="Arial" w:cs="Arial"/>
          <w:i/>
          <w:iCs/>
        </w:rPr>
        <w:t xml:space="preserve"> </w:t>
      </w:r>
      <w:r w:rsidRPr="00D35C62">
        <w:rPr>
          <w:rFonts w:ascii="Arial" w:eastAsia="Calibri" w:hAnsi="Arial" w:cs="Arial"/>
          <w:i/>
          <w:iCs/>
        </w:rPr>
        <w:t>un beneficio directo derivado de la ejecución de obras públicas; y</w:t>
      </w:r>
    </w:p>
    <w:p w14:paraId="38770CD8"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4A347956"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III. Derechos: Son las contribuciones establecidas en ley a cargo de las personas físicas,</w:t>
      </w:r>
      <w:r w:rsidRPr="00E4634E">
        <w:rPr>
          <w:rFonts w:ascii="Arial" w:eastAsia="Calibri" w:hAnsi="Arial" w:cs="Arial"/>
          <w:i/>
          <w:iCs/>
        </w:rPr>
        <w:t xml:space="preserve"> </w:t>
      </w:r>
      <w:r w:rsidRPr="00D35C62">
        <w:rPr>
          <w:rFonts w:ascii="Arial" w:eastAsia="Calibri" w:hAnsi="Arial" w:cs="Arial"/>
          <w:i/>
          <w:iCs/>
        </w:rPr>
        <w:t>morales o unidades económicas, que reciban servicios que presta el Municipio en sus</w:t>
      </w:r>
      <w:r w:rsidRPr="00E4634E">
        <w:rPr>
          <w:rFonts w:ascii="Arial" w:eastAsia="Calibri" w:hAnsi="Arial" w:cs="Arial"/>
          <w:i/>
          <w:iCs/>
        </w:rPr>
        <w:t xml:space="preserve"> </w:t>
      </w:r>
      <w:r w:rsidRPr="00D35C62">
        <w:rPr>
          <w:rFonts w:ascii="Arial" w:eastAsia="Calibri" w:hAnsi="Arial" w:cs="Arial"/>
          <w:i/>
          <w:iCs/>
        </w:rPr>
        <w:t>funciones de derecho público, así como por el uso o aprovechamiento de los bienes del</w:t>
      </w:r>
      <w:r w:rsidRPr="00E4634E">
        <w:rPr>
          <w:rFonts w:ascii="Arial" w:eastAsia="Calibri" w:hAnsi="Arial" w:cs="Arial"/>
          <w:i/>
          <w:iCs/>
        </w:rPr>
        <w:t xml:space="preserve"> </w:t>
      </w:r>
      <w:r w:rsidRPr="00D35C62">
        <w:rPr>
          <w:rFonts w:ascii="Arial" w:eastAsia="Calibri" w:hAnsi="Arial" w:cs="Arial"/>
          <w:i/>
          <w:iCs/>
        </w:rPr>
        <w:t>dominio público del Municipio. También son derechos las contribuciones generadas al</w:t>
      </w:r>
      <w:r w:rsidRPr="00E4634E">
        <w:rPr>
          <w:rFonts w:ascii="Arial" w:eastAsia="Calibri" w:hAnsi="Arial" w:cs="Arial"/>
          <w:i/>
          <w:iCs/>
        </w:rPr>
        <w:t xml:space="preserve"> </w:t>
      </w:r>
      <w:r w:rsidRPr="00D35C62">
        <w:rPr>
          <w:rFonts w:ascii="Arial" w:eastAsia="Calibri" w:hAnsi="Arial" w:cs="Arial"/>
          <w:i/>
          <w:iCs/>
        </w:rPr>
        <w:t>recibir servicios públicos a cargo del Municipio cuando sean prestados por organismos</w:t>
      </w:r>
      <w:r w:rsidRPr="00E4634E">
        <w:rPr>
          <w:rFonts w:ascii="Arial" w:eastAsia="Calibri" w:hAnsi="Arial" w:cs="Arial"/>
          <w:i/>
          <w:iCs/>
        </w:rPr>
        <w:t xml:space="preserve"> </w:t>
      </w:r>
      <w:r w:rsidRPr="00D35C62">
        <w:rPr>
          <w:rFonts w:ascii="Arial" w:eastAsia="Calibri" w:hAnsi="Arial" w:cs="Arial"/>
          <w:i/>
          <w:iCs/>
        </w:rPr>
        <w:t>paramunicipales o descentralizados.</w:t>
      </w:r>
    </w:p>
    <w:p w14:paraId="5A1FA664"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0B3F357B"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 xml:space="preserve">Los recargos, las sanciones, los gastos de ejecución y la indemnización a que se refiere el </w:t>
      </w:r>
      <w:r w:rsidRPr="00E4634E">
        <w:rPr>
          <w:rFonts w:ascii="Arial" w:eastAsia="Calibri" w:hAnsi="Arial" w:cs="Arial"/>
          <w:i/>
          <w:iCs/>
        </w:rPr>
        <w:t>a</w:t>
      </w:r>
      <w:r w:rsidRPr="00D35C62">
        <w:rPr>
          <w:rFonts w:ascii="Arial" w:eastAsia="Calibri" w:hAnsi="Arial" w:cs="Arial"/>
          <w:i/>
          <w:iCs/>
        </w:rPr>
        <w:t>rtículo</w:t>
      </w:r>
      <w:r w:rsidRPr="00E4634E">
        <w:rPr>
          <w:rFonts w:ascii="Arial" w:eastAsia="Calibri" w:hAnsi="Arial" w:cs="Arial"/>
          <w:i/>
          <w:iCs/>
        </w:rPr>
        <w:t xml:space="preserve"> </w:t>
      </w:r>
      <w:r w:rsidRPr="00D35C62">
        <w:rPr>
          <w:rFonts w:ascii="Arial" w:eastAsia="Calibri" w:hAnsi="Arial" w:cs="Arial"/>
          <w:i/>
          <w:iCs/>
        </w:rPr>
        <w:t>14 de este Código son accesorios de las contribuciones y participan de la naturaleza</w:t>
      </w:r>
      <w:r w:rsidRPr="00E4634E">
        <w:rPr>
          <w:rFonts w:ascii="Arial" w:eastAsia="Calibri" w:hAnsi="Arial" w:cs="Arial"/>
          <w:i/>
          <w:iCs/>
        </w:rPr>
        <w:t xml:space="preserve"> </w:t>
      </w:r>
      <w:r w:rsidRPr="00D35C62">
        <w:rPr>
          <w:rFonts w:ascii="Arial" w:eastAsia="Calibri" w:hAnsi="Arial" w:cs="Arial"/>
          <w:i/>
          <w:iCs/>
        </w:rPr>
        <w:t>de éstas.</w:t>
      </w:r>
    </w:p>
    <w:p w14:paraId="12F3596C"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1CBA3E62"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FE64DF">
        <w:rPr>
          <w:rFonts w:ascii="Arial" w:eastAsia="Calibri" w:hAnsi="Arial" w:cs="Arial"/>
          <w:b/>
          <w:bCs/>
          <w:i/>
          <w:iCs/>
        </w:rPr>
        <w:t>Artículo 58.</w:t>
      </w:r>
      <w:r w:rsidRPr="00D35C62">
        <w:rPr>
          <w:rFonts w:ascii="Arial" w:eastAsia="Calibri" w:hAnsi="Arial" w:cs="Arial"/>
          <w:i/>
          <w:iCs/>
        </w:rPr>
        <w:t xml:space="preserve"> En los casos que las personas obligadas a realizar el pago de contribuciones,</w:t>
      </w:r>
      <w:r w:rsidRPr="00E4634E">
        <w:rPr>
          <w:rFonts w:ascii="Arial" w:eastAsia="Calibri" w:hAnsi="Arial" w:cs="Arial"/>
          <w:i/>
          <w:iCs/>
        </w:rPr>
        <w:t xml:space="preserve"> </w:t>
      </w:r>
      <w:r w:rsidRPr="00D35C62">
        <w:rPr>
          <w:rFonts w:ascii="Arial" w:eastAsia="Calibri" w:hAnsi="Arial" w:cs="Arial"/>
          <w:i/>
          <w:iCs/>
        </w:rPr>
        <w:t>presentar avisos y demás documentos no lo hagan dentro de los plazos señalados en las</w:t>
      </w:r>
      <w:r w:rsidRPr="00E4634E">
        <w:rPr>
          <w:rFonts w:ascii="Arial" w:eastAsia="Calibri" w:hAnsi="Arial" w:cs="Arial"/>
          <w:i/>
          <w:iCs/>
        </w:rPr>
        <w:t xml:space="preserve"> </w:t>
      </w:r>
      <w:r w:rsidRPr="00D35C62">
        <w:rPr>
          <w:rFonts w:ascii="Arial" w:eastAsia="Calibri" w:hAnsi="Arial" w:cs="Arial"/>
          <w:i/>
          <w:iCs/>
        </w:rPr>
        <w:t>disposiciones fiscales, las autoridades fiscales exigirán la presentación del pago omitido o</w:t>
      </w:r>
      <w:r w:rsidRPr="00E4634E">
        <w:rPr>
          <w:rFonts w:ascii="Arial" w:eastAsia="Calibri" w:hAnsi="Arial" w:cs="Arial"/>
          <w:i/>
          <w:iCs/>
        </w:rPr>
        <w:t xml:space="preserve"> </w:t>
      </w:r>
      <w:r w:rsidRPr="00D35C62">
        <w:rPr>
          <w:rFonts w:ascii="Arial" w:eastAsia="Calibri" w:hAnsi="Arial" w:cs="Arial"/>
          <w:i/>
          <w:iCs/>
        </w:rPr>
        <w:t>documento respectivo ante las oficinas correspondientes, procediendo de forma simultánea o</w:t>
      </w:r>
      <w:r w:rsidRPr="00E4634E">
        <w:rPr>
          <w:rFonts w:ascii="Arial" w:eastAsia="Calibri" w:hAnsi="Arial" w:cs="Arial"/>
          <w:i/>
          <w:iCs/>
        </w:rPr>
        <w:t xml:space="preserve"> </w:t>
      </w:r>
      <w:r w:rsidRPr="00D35C62">
        <w:rPr>
          <w:rFonts w:ascii="Arial" w:eastAsia="Calibri" w:hAnsi="Arial" w:cs="Arial"/>
          <w:i/>
          <w:iCs/>
        </w:rPr>
        <w:t>sucesiva a realizar cualquiera de los actos siguientes:</w:t>
      </w:r>
    </w:p>
    <w:p w14:paraId="2FF7E748"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5470790A"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 Imponer la multa que corresponda en los términos de este Código y requerir hasta en tres</w:t>
      </w:r>
      <w:r w:rsidRPr="00E4634E">
        <w:rPr>
          <w:rFonts w:ascii="Arial" w:eastAsia="Calibri" w:hAnsi="Arial" w:cs="Arial"/>
          <w:i/>
          <w:iCs/>
        </w:rPr>
        <w:t xml:space="preserve"> </w:t>
      </w:r>
      <w:r w:rsidRPr="00D35C62">
        <w:rPr>
          <w:rFonts w:ascii="Arial" w:eastAsia="Calibri" w:hAnsi="Arial" w:cs="Arial"/>
          <w:i/>
          <w:iCs/>
        </w:rPr>
        <w:t>ocasiones el pago de la contribución omitida, la presentación del documento omitido,</w:t>
      </w:r>
      <w:r w:rsidRPr="00E4634E">
        <w:rPr>
          <w:rFonts w:ascii="Arial" w:eastAsia="Calibri" w:hAnsi="Arial" w:cs="Arial"/>
          <w:i/>
          <w:iCs/>
        </w:rPr>
        <w:t xml:space="preserve"> </w:t>
      </w:r>
      <w:r w:rsidRPr="00D35C62">
        <w:rPr>
          <w:rFonts w:ascii="Arial" w:eastAsia="Calibri" w:hAnsi="Arial" w:cs="Arial"/>
          <w:i/>
          <w:iCs/>
        </w:rPr>
        <w:t>otorgando al contribuyente un plazo de quince días para el cumplimiento de cada</w:t>
      </w:r>
      <w:r w:rsidRPr="00E4634E">
        <w:rPr>
          <w:rFonts w:ascii="Arial" w:eastAsia="Calibri" w:hAnsi="Arial" w:cs="Arial"/>
          <w:i/>
          <w:iCs/>
        </w:rPr>
        <w:t xml:space="preserve"> </w:t>
      </w:r>
      <w:r w:rsidRPr="00D35C62">
        <w:rPr>
          <w:rFonts w:ascii="Arial" w:eastAsia="Calibri" w:hAnsi="Arial" w:cs="Arial"/>
          <w:i/>
          <w:iCs/>
        </w:rPr>
        <w:t>requerimiento. Si no se atienden los requerimientos se impondrán las multas que</w:t>
      </w:r>
      <w:r w:rsidRPr="00E4634E">
        <w:rPr>
          <w:rFonts w:ascii="Arial" w:eastAsia="Calibri" w:hAnsi="Arial" w:cs="Arial"/>
          <w:i/>
          <w:iCs/>
        </w:rPr>
        <w:t xml:space="preserve"> </w:t>
      </w:r>
      <w:r w:rsidRPr="00D35C62">
        <w:rPr>
          <w:rFonts w:ascii="Arial" w:eastAsia="Calibri" w:hAnsi="Arial" w:cs="Arial"/>
          <w:i/>
          <w:iCs/>
        </w:rPr>
        <w:t>correspondan por no atender los requerimientos realizados, será una multa por cada</w:t>
      </w:r>
      <w:r w:rsidRPr="00E4634E">
        <w:rPr>
          <w:rFonts w:ascii="Arial" w:eastAsia="Calibri" w:hAnsi="Arial" w:cs="Arial"/>
          <w:i/>
          <w:iCs/>
        </w:rPr>
        <w:t xml:space="preserve"> </w:t>
      </w:r>
      <w:r w:rsidRPr="00D35C62">
        <w:rPr>
          <w:rFonts w:ascii="Arial" w:eastAsia="Calibri" w:hAnsi="Arial" w:cs="Arial"/>
          <w:i/>
          <w:iCs/>
        </w:rPr>
        <w:t>obligación omitida; y</w:t>
      </w:r>
    </w:p>
    <w:p w14:paraId="79E06433"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070E420"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II. Una vez realizadas las acciones previstas en el párrafo anterior, tratándose de la omisión</w:t>
      </w:r>
      <w:r w:rsidRPr="00E4634E">
        <w:rPr>
          <w:rFonts w:ascii="Arial" w:eastAsia="Calibri" w:hAnsi="Arial" w:cs="Arial"/>
          <w:i/>
          <w:iCs/>
        </w:rPr>
        <w:t xml:space="preserve"> </w:t>
      </w:r>
      <w:r w:rsidRPr="00D35C62">
        <w:rPr>
          <w:rFonts w:ascii="Arial" w:eastAsia="Calibri" w:hAnsi="Arial" w:cs="Arial"/>
          <w:i/>
          <w:iCs/>
        </w:rPr>
        <w:t>en el pago de contribuciones, la Tesorería podrá hacer efectiva al contribuyente o al</w:t>
      </w:r>
      <w:r w:rsidRPr="00E4634E">
        <w:rPr>
          <w:rFonts w:ascii="Arial" w:eastAsia="Calibri" w:hAnsi="Arial" w:cs="Arial"/>
          <w:i/>
          <w:iCs/>
        </w:rPr>
        <w:t xml:space="preserve"> </w:t>
      </w:r>
      <w:r w:rsidRPr="00D35C62">
        <w:rPr>
          <w:rFonts w:ascii="Arial" w:eastAsia="Calibri" w:hAnsi="Arial" w:cs="Arial"/>
          <w:i/>
          <w:iCs/>
        </w:rPr>
        <w:t>responsable solidario que haya incurrido en la omisión, una cantidad igual al monto mayor</w:t>
      </w:r>
      <w:r w:rsidRPr="00E4634E">
        <w:rPr>
          <w:rFonts w:ascii="Arial" w:eastAsia="Calibri" w:hAnsi="Arial" w:cs="Arial"/>
          <w:i/>
          <w:iCs/>
        </w:rPr>
        <w:t xml:space="preserve"> </w:t>
      </w:r>
      <w:r w:rsidRPr="00D35C62">
        <w:rPr>
          <w:rFonts w:ascii="Arial" w:eastAsia="Calibri" w:hAnsi="Arial" w:cs="Arial"/>
          <w:i/>
          <w:iCs/>
        </w:rPr>
        <w:t>que hubiera determinado a su cargo en el último pago de la contribución de que se trate.</w:t>
      </w:r>
    </w:p>
    <w:p w14:paraId="75EC732B"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0B0B26C5"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lastRenderedPageBreak/>
        <w:t>Esta cantidad a pagar no libera a los obligados de cumplir con las demás obligaciones a</w:t>
      </w:r>
      <w:r w:rsidRPr="00E4634E">
        <w:rPr>
          <w:rFonts w:ascii="Arial" w:eastAsia="Calibri" w:hAnsi="Arial" w:cs="Arial"/>
          <w:i/>
          <w:iCs/>
        </w:rPr>
        <w:t xml:space="preserve"> </w:t>
      </w:r>
      <w:r w:rsidRPr="00D35C62">
        <w:rPr>
          <w:rFonts w:ascii="Arial" w:eastAsia="Calibri" w:hAnsi="Arial" w:cs="Arial"/>
          <w:i/>
          <w:iCs/>
        </w:rPr>
        <w:t>su cargo.</w:t>
      </w:r>
    </w:p>
    <w:p w14:paraId="45DB07A4"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7EC101A1"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La determinación del crédito fiscal que realice la Tesorería con motivo de la omisión del pago de</w:t>
      </w:r>
      <w:r w:rsidRPr="00E4634E">
        <w:rPr>
          <w:rFonts w:ascii="Arial" w:eastAsia="Calibri" w:hAnsi="Arial" w:cs="Arial"/>
          <w:i/>
          <w:iCs/>
        </w:rPr>
        <w:t xml:space="preserve"> </w:t>
      </w:r>
      <w:r w:rsidRPr="00D35C62">
        <w:rPr>
          <w:rFonts w:ascii="Arial" w:eastAsia="Calibri" w:hAnsi="Arial" w:cs="Arial"/>
          <w:i/>
          <w:iCs/>
        </w:rPr>
        <w:t>contribuciones en los términos del presente artículo, tendrá carácter definitivo y podrá hacerse</w:t>
      </w:r>
      <w:r w:rsidRPr="00E4634E">
        <w:rPr>
          <w:rFonts w:ascii="Arial" w:eastAsia="Calibri" w:hAnsi="Arial" w:cs="Arial"/>
          <w:i/>
          <w:iCs/>
        </w:rPr>
        <w:t xml:space="preserve"> </w:t>
      </w:r>
      <w:r w:rsidRPr="00D35C62">
        <w:rPr>
          <w:rFonts w:ascii="Arial" w:eastAsia="Calibri" w:hAnsi="Arial" w:cs="Arial"/>
          <w:i/>
          <w:iCs/>
        </w:rPr>
        <w:t>efectiva a través del procedimiento administrativo de ejecución a partir del tercer día siguiente a</w:t>
      </w:r>
      <w:r w:rsidRPr="00E4634E">
        <w:rPr>
          <w:rFonts w:ascii="Arial" w:eastAsia="Calibri" w:hAnsi="Arial" w:cs="Arial"/>
          <w:i/>
          <w:iCs/>
        </w:rPr>
        <w:t xml:space="preserve"> </w:t>
      </w:r>
      <w:r w:rsidRPr="00D35C62">
        <w:rPr>
          <w:rFonts w:ascii="Arial" w:eastAsia="Calibri" w:hAnsi="Arial" w:cs="Arial"/>
          <w:i/>
          <w:iCs/>
        </w:rPr>
        <w:t>aquél en el que sea notificado el adeudo respectivo; en este caso el recurso de revocación sólo</w:t>
      </w:r>
      <w:r w:rsidRPr="00E4634E">
        <w:rPr>
          <w:rFonts w:ascii="Arial" w:eastAsia="Calibri" w:hAnsi="Arial" w:cs="Arial"/>
          <w:i/>
          <w:iCs/>
        </w:rPr>
        <w:t xml:space="preserve"> </w:t>
      </w:r>
      <w:r w:rsidRPr="00D35C62">
        <w:rPr>
          <w:rFonts w:ascii="Arial" w:eastAsia="Calibri" w:hAnsi="Arial" w:cs="Arial"/>
          <w:i/>
          <w:iCs/>
        </w:rPr>
        <w:t>procederá contra el referido procedimiento administrativo de ejecución.</w:t>
      </w:r>
    </w:p>
    <w:p w14:paraId="4D6882A3"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3D687883"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En caso del incumplimiento a tres o más requerimientos respecto de la misma</w:t>
      </w:r>
      <w:r w:rsidRPr="00E4634E">
        <w:rPr>
          <w:rFonts w:ascii="Arial" w:eastAsia="Calibri" w:hAnsi="Arial" w:cs="Arial"/>
          <w:i/>
          <w:iCs/>
        </w:rPr>
        <w:t xml:space="preserve"> </w:t>
      </w:r>
      <w:r w:rsidRPr="00D35C62">
        <w:rPr>
          <w:rFonts w:ascii="Arial" w:eastAsia="Calibri" w:hAnsi="Arial" w:cs="Arial"/>
          <w:i/>
          <w:iCs/>
        </w:rPr>
        <w:t>obligación, se</w:t>
      </w:r>
      <w:r w:rsidRPr="00E4634E">
        <w:rPr>
          <w:rFonts w:ascii="Arial" w:eastAsia="Calibri" w:hAnsi="Arial" w:cs="Arial"/>
          <w:i/>
          <w:iCs/>
        </w:rPr>
        <w:t xml:space="preserve"> </w:t>
      </w:r>
      <w:r w:rsidRPr="00D35C62">
        <w:rPr>
          <w:rFonts w:ascii="Arial" w:eastAsia="Calibri" w:hAnsi="Arial" w:cs="Arial"/>
          <w:i/>
          <w:iCs/>
        </w:rPr>
        <w:t>harán del conocimiento de la autoridad competente, para que se proceda por desobediencia a</w:t>
      </w:r>
      <w:r w:rsidRPr="00E4634E">
        <w:rPr>
          <w:rFonts w:ascii="Arial" w:eastAsia="Calibri" w:hAnsi="Arial" w:cs="Arial"/>
          <w:i/>
          <w:iCs/>
        </w:rPr>
        <w:t xml:space="preserve"> </w:t>
      </w:r>
      <w:r w:rsidRPr="00D35C62">
        <w:rPr>
          <w:rFonts w:ascii="Arial" w:eastAsia="Calibri" w:hAnsi="Arial" w:cs="Arial"/>
          <w:i/>
          <w:iCs/>
        </w:rPr>
        <w:t>mandato legítimo de autoridad competente.</w:t>
      </w:r>
    </w:p>
    <w:p w14:paraId="6BE41680"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28400F5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60. </w:t>
      </w:r>
      <w:r w:rsidRPr="00D35C62">
        <w:rPr>
          <w:rFonts w:ascii="Arial" w:eastAsia="Calibri" w:hAnsi="Arial" w:cs="Arial"/>
          <w:i/>
          <w:iCs/>
        </w:rPr>
        <w:t>Para efectos de la adecuada administración y control de las obligaciones de los contribuyentes, responsables solidarios o terceros con ellos relacionados, sin que se considere que se ejercen facultades de comprobación, en términos de este artículo, la Tesorería podrá solicitar los datos, informes y documentos que se requieran para los siguientes fines:</w:t>
      </w:r>
    </w:p>
    <w:p w14:paraId="3C98F9D5"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53B544EF"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 Requerir información y llevar a cabo verificaciones para constatar los datos proporcionados al registro municipal de contribuyentes, relacionados con la identidad,</w:t>
      </w:r>
      <w:r w:rsidRPr="00E4634E">
        <w:rPr>
          <w:rFonts w:ascii="Arial" w:eastAsia="Calibri" w:hAnsi="Arial" w:cs="Arial"/>
          <w:i/>
          <w:iCs/>
        </w:rPr>
        <w:t xml:space="preserve"> </w:t>
      </w:r>
      <w:r w:rsidRPr="00D35C62">
        <w:rPr>
          <w:rFonts w:ascii="Arial" w:eastAsia="Calibri" w:hAnsi="Arial" w:cs="Arial"/>
          <w:i/>
          <w:iCs/>
        </w:rPr>
        <w:t>domicilio y demás datos que se hayan manifestado para los efectos de dicho registro; y</w:t>
      </w:r>
    </w:p>
    <w:p w14:paraId="6C22558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7C37C134"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II. Solicitar de los contribuyentes, responsables solidarios o terceros con ellos relacionados,</w:t>
      </w:r>
      <w:r w:rsidRPr="00E4634E">
        <w:rPr>
          <w:rFonts w:ascii="Arial" w:eastAsia="Calibri" w:hAnsi="Arial" w:cs="Arial"/>
          <w:i/>
          <w:iCs/>
        </w:rPr>
        <w:t xml:space="preserve"> </w:t>
      </w:r>
      <w:r w:rsidRPr="00D35C62">
        <w:rPr>
          <w:rFonts w:ascii="Arial" w:eastAsia="Calibri" w:hAnsi="Arial" w:cs="Arial"/>
          <w:i/>
          <w:iCs/>
        </w:rPr>
        <w:t>datos, informes o documentos, para planear y programar facultades de comprobación.</w:t>
      </w:r>
    </w:p>
    <w:p w14:paraId="01FBEBB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88DAC4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63. </w:t>
      </w:r>
      <w:r w:rsidRPr="00D35C62">
        <w:rPr>
          <w:rFonts w:ascii="Arial" w:eastAsia="Calibri" w:hAnsi="Arial" w:cs="Arial"/>
          <w:i/>
          <w:iCs/>
        </w:rPr>
        <w:t>La Tesorería a fin de comprobar que los contribuyentes, los</w:t>
      </w:r>
      <w:r w:rsidRPr="00E4634E">
        <w:rPr>
          <w:rFonts w:ascii="Arial" w:eastAsia="Calibri" w:hAnsi="Arial" w:cs="Arial"/>
          <w:i/>
          <w:iCs/>
        </w:rPr>
        <w:t xml:space="preserve"> </w:t>
      </w:r>
      <w:r w:rsidRPr="00D35C62">
        <w:rPr>
          <w:rFonts w:ascii="Arial" w:eastAsia="Calibri" w:hAnsi="Arial" w:cs="Arial"/>
          <w:i/>
          <w:iCs/>
        </w:rPr>
        <w:t>responsables solidarios</w:t>
      </w:r>
      <w:r w:rsidRPr="00E4634E">
        <w:rPr>
          <w:rFonts w:ascii="Arial" w:eastAsia="Calibri" w:hAnsi="Arial" w:cs="Arial"/>
          <w:i/>
          <w:iCs/>
        </w:rPr>
        <w:t xml:space="preserve"> </w:t>
      </w:r>
      <w:r w:rsidRPr="00D35C62">
        <w:rPr>
          <w:rFonts w:ascii="Arial" w:eastAsia="Calibri" w:hAnsi="Arial" w:cs="Arial"/>
          <w:i/>
          <w:iCs/>
        </w:rPr>
        <w:t>o los terceros con ellos relacionados han cumplido con las disposiciones fiscales y, en su caso,</w:t>
      </w:r>
      <w:r w:rsidRPr="00E4634E">
        <w:rPr>
          <w:rFonts w:ascii="Arial" w:eastAsia="Calibri" w:hAnsi="Arial" w:cs="Arial"/>
          <w:i/>
          <w:iCs/>
        </w:rPr>
        <w:t xml:space="preserve"> </w:t>
      </w:r>
      <w:r w:rsidRPr="00D35C62">
        <w:rPr>
          <w:rFonts w:ascii="Arial" w:eastAsia="Calibri" w:hAnsi="Arial" w:cs="Arial"/>
          <w:i/>
          <w:iCs/>
        </w:rPr>
        <w:t>determinar las contribuciones omitidas o los créditos fiscales, así como para comprobar la</w:t>
      </w:r>
      <w:r w:rsidRPr="00E4634E">
        <w:rPr>
          <w:rFonts w:ascii="Arial" w:eastAsia="Calibri" w:hAnsi="Arial" w:cs="Arial"/>
          <w:i/>
          <w:iCs/>
        </w:rPr>
        <w:t xml:space="preserve"> </w:t>
      </w:r>
      <w:r w:rsidRPr="00D35C62">
        <w:rPr>
          <w:rFonts w:ascii="Arial" w:eastAsia="Calibri" w:hAnsi="Arial" w:cs="Arial"/>
          <w:i/>
          <w:iCs/>
        </w:rPr>
        <w:t>comisión de infracciones, delitos</w:t>
      </w:r>
      <w:r w:rsidRPr="00E4634E">
        <w:rPr>
          <w:rFonts w:ascii="Arial" w:eastAsia="Calibri" w:hAnsi="Arial" w:cs="Arial"/>
          <w:i/>
          <w:iCs/>
        </w:rPr>
        <w:t xml:space="preserve"> </w:t>
      </w:r>
      <w:r w:rsidRPr="00D35C62">
        <w:rPr>
          <w:rFonts w:ascii="Arial" w:eastAsia="Calibri" w:hAnsi="Arial" w:cs="Arial"/>
          <w:i/>
          <w:iCs/>
        </w:rPr>
        <w:t>fiscales y para proporcionar información a otras autoridades</w:t>
      </w:r>
      <w:r w:rsidRPr="00E4634E">
        <w:rPr>
          <w:rFonts w:ascii="Arial" w:eastAsia="Calibri" w:hAnsi="Arial" w:cs="Arial"/>
          <w:i/>
          <w:iCs/>
        </w:rPr>
        <w:t xml:space="preserve"> </w:t>
      </w:r>
      <w:r w:rsidRPr="00D35C62">
        <w:rPr>
          <w:rFonts w:ascii="Arial" w:eastAsia="Calibri" w:hAnsi="Arial" w:cs="Arial"/>
          <w:i/>
          <w:iCs/>
        </w:rPr>
        <w:t>fiscales, estarán facultadas para:</w:t>
      </w:r>
    </w:p>
    <w:p w14:paraId="2E163A58"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25C90EB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 Rectificar los errores aritméticos, omisiones u otros que aparezcan en las</w:t>
      </w:r>
      <w:r w:rsidRPr="00E4634E">
        <w:rPr>
          <w:rFonts w:ascii="Arial" w:eastAsia="Calibri" w:hAnsi="Arial" w:cs="Arial"/>
          <w:i/>
          <w:iCs/>
        </w:rPr>
        <w:t xml:space="preserve"> </w:t>
      </w:r>
      <w:r w:rsidRPr="00D35C62">
        <w:rPr>
          <w:rFonts w:ascii="Arial" w:eastAsia="Calibri" w:hAnsi="Arial" w:cs="Arial"/>
          <w:i/>
          <w:iCs/>
        </w:rPr>
        <w:t>solicitudes o</w:t>
      </w:r>
      <w:r w:rsidRPr="00E4634E">
        <w:rPr>
          <w:rFonts w:ascii="Arial" w:eastAsia="Calibri" w:hAnsi="Arial" w:cs="Arial"/>
          <w:i/>
          <w:iCs/>
        </w:rPr>
        <w:t xml:space="preserve"> </w:t>
      </w:r>
      <w:r w:rsidRPr="00D35C62">
        <w:rPr>
          <w:rFonts w:ascii="Arial" w:eastAsia="Calibri" w:hAnsi="Arial" w:cs="Arial"/>
          <w:i/>
          <w:iCs/>
        </w:rPr>
        <w:t>avisos, para lo cual podrá requerir al contribuyente la presentación de la documentación</w:t>
      </w:r>
      <w:r w:rsidRPr="00E4634E">
        <w:rPr>
          <w:rFonts w:ascii="Arial" w:eastAsia="Calibri" w:hAnsi="Arial" w:cs="Arial"/>
          <w:i/>
          <w:iCs/>
        </w:rPr>
        <w:t xml:space="preserve"> </w:t>
      </w:r>
      <w:r w:rsidRPr="00D35C62">
        <w:rPr>
          <w:rFonts w:ascii="Arial" w:eastAsia="Calibri" w:hAnsi="Arial" w:cs="Arial"/>
          <w:i/>
          <w:iCs/>
        </w:rPr>
        <w:t>que proceda, para la rectificación del error u omisión de que se trate;</w:t>
      </w:r>
    </w:p>
    <w:p w14:paraId="2D459C81"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6291D289"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lastRenderedPageBreak/>
        <w:t>II. Practicar inspecciones a los contribuyentes, los responsables solidarios o terceros</w:t>
      </w:r>
      <w:r w:rsidRPr="00E4634E">
        <w:rPr>
          <w:rFonts w:ascii="Arial" w:eastAsia="Calibri" w:hAnsi="Arial" w:cs="Arial"/>
          <w:i/>
          <w:iCs/>
        </w:rPr>
        <w:t xml:space="preserve"> </w:t>
      </w:r>
      <w:r w:rsidRPr="00D35C62">
        <w:rPr>
          <w:rFonts w:ascii="Arial" w:eastAsia="Calibri" w:hAnsi="Arial" w:cs="Arial"/>
          <w:i/>
          <w:iCs/>
        </w:rPr>
        <w:t>relacionados con ellos, para verificar el cumplimiento de sus obligaciones fiscales;</w:t>
      </w:r>
    </w:p>
    <w:p w14:paraId="0F46AB2A"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2521121F"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III. Recabar de los servidores públicos y de los fedatarios, los informes y datos que</w:t>
      </w:r>
      <w:r w:rsidRPr="00E4634E">
        <w:rPr>
          <w:rFonts w:ascii="Arial" w:eastAsia="Calibri" w:hAnsi="Arial" w:cs="Arial"/>
          <w:i/>
          <w:iCs/>
        </w:rPr>
        <w:t xml:space="preserve"> </w:t>
      </w:r>
      <w:r w:rsidRPr="00D35C62">
        <w:rPr>
          <w:rFonts w:ascii="Arial" w:eastAsia="Calibri" w:hAnsi="Arial" w:cs="Arial"/>
          <w:i/>
          <w:iCs/>
        </w:rPr>
        <w:t>posean con</w:t>
      </w:r>
      <w:r w:rsidRPr="00E4634E">
        <w:rPr>
          <w:rFonts w:ascii="Arial" w:eastAsia="Calibri" w:hAnsi="Arial" w:cs="Arial"/>
          <w:i/>
          <w:iCs/>
        </w:rPr>
        <w:t xml:space="preserve"> </w:t>
      </w:r>
      <w:r w:rsidRPr="00D35C62">
        <w:rPr>
          <w:rFonts w:ascii="Arial" w:eastAsia="Calibri" w:hAnsi="Arial" w:cs="Arial"/>
          <w:i/>
          <w:iCs/>
        </w:rPr>
        <w:t>motivo de sus funciones;</w:t>
      </w:r>
    </w:p>
    <w:p w14:paraId="00C0FB05"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66A946F"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IV. Realizar en términos de los Convenios de Colaboración Administrativa en</w:t>
      </w:r>
      <w:r w:rsidRPr="00E4634E">
        <w:rPr>
          <w:rFonts w:ascii="Arial" w:eastAsia="Calibri" w:hAnsi="Arial" w:cs="Arial"/>
          <w:i/>
          <w:iCs/>
        </w:rPr>
        <w:t xml:space="preserve"> </w:t>
      </w:r>
      <w:r w:rsidRPr="00D35C62">
        <w:rPr>
          <w:rFonts w:ascii="Arial" w:eastAsia="Calibri" w:hAnsi="Arial" w:cs="Arial"/>
          <w:i/>
          <w:iCs/>
        </w:rPr>
        <w:t>Materia Fiscal, el</w:t>
      </w:r>
      <w:r w:rsidRPr="00E4634E">
        <w:rPr>
          <w:rFonts w:ascii="Arial" w:eastAsia="Calibri" w:hAnsi="Arial" w:cs="Arial"/>
          <w:i/>
          <w:iCs/>
        </w:rPr>
        <w:t xml:space="preserve"> </w:t>
      </w:r>
      <w:r w:rsidRPr="00D35C62">
        <w:rPr>
          <w:rFonts w:ascii="Arial" w:eastAsia="Calibri" w:hAnsi="Arial" w:cs="Arial"/>
          <w:i/>
          <w:iCs/>
        </w:rPr>
        <w:t>ejercicio de las facultades de comprobación que en este Código se prevén, así como las que</w:t>
      </w:r>
      <w:r w:rsidRPr="00E4634E">
        <w:rPr>
          <w:rFonts w:ascii="Arial" w:eastAsia="Calibri" w:hAnsi="Arial" w:cs="Arial"/>
          <w:i/>
          <w:iCs/>
        </w:rPr>
        <w:t xml:space="preserve"> </w:t>
      </w:r>
      <w:r w:rsidRPr="00D35C62">
        <w:rPr>
          <w:rFonts w:ascii="Arial" w:eastAsia="Calibri" w:hAnsi="Arial" w:cs="Arial"/>
          <w:i/>
          <w:iCs/>
        </w:rPr>
        <w:t>correspondan respecto de actividades en materia federal, estatal o municipal; y</w:t>
      </w:r>
    </w:p>
    <w:p w14:paraId="41CD20D8"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7571DE7B"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V. Allegarse las pruebas necesarias para formular la denuncia o querella al</w:t>
      </w:r>
      <w:r w:rsidRPr="00E4634E">
        <w:rPr>
          <w:rFonts w:ascii="Arial" w:eastAsia="Calibri" w:hAnsi="Arial" w:cs="Arial"/>
          <w:i/>
          <w:iCs/>
        </w:rPr>
        <w:t xml:space="preserve"> m</w:t>
      </w:r>
      <w:r w:rsidRPr="00D35C62">
        <w:rPr>
          <w:rFonts w:ascii="Arial" w:eastAsia="Calibri" w:hAnsi="Arial" w:cs="Arial"/>
          <w:i/>
          <w:iCs/>
        </w:rPr>
        <w:t>inisterio público para que ejercite acción penal por la posible comisión de delitos</w:t>
      </w:r>
      <w:r w:rsidRPr="00E4634E">
        <w:rPr>
          <w:rFonts w:ascii="Arial" w:eastAsia="Calibri" w:hAnsi="Arial" w:cs="Arial"/>
          <w:i/>
          <w:iCs/>
        </w:rPr>
        <w:t xml:space="preserve"> </w:t>
      </w:r>
      <w:r w:rsidRPr="00D35C62">
        <w:rPr>
          <w:rFonts w:ascii="Arial" w:eastAsia="Calibri" w:hAnsi="Arial" w:cs="Arial"/>
          <w:i/>
          <w:iCs/>
        </w:rPr>
        <w:t>fiscales. Las actuaciones que practiquen las autoridades fiscales tendrán el mismo</w:t>
      </w:r>
      <w:r w:rsidRPr="00E4634E">
        <w:rPr>
          <w:rFonts w:ascii="Arial" w:eastAsia="Calibri" w:hAnsi="Arial" w:cs="Arial"/>
          <w:i/>
          <w:iCs/>
        </w:rPr>
        <w:t xml:space="preserve"> </w:t>
      </w:r>
      <w:r w:rsidRPr="00D35C62">
        <w:rPr>
          <w:rFonts w:ascii="Arial" w:eastAsia="Calibri" w:hAnsi="Arial" w:cs="Arial"/>
          <w:i/>
          <w:iCs/>
        </w:rPr>
        <w:t xml:space="preserve">valor probatorio que la Ley relativa concede a las actas levantadas ante el Ministerio </w:t>
      </w:r>
      <w:r w:rsidRPr="00E4634E">
        <w:rPr>
          <w:rFonts w:ascii="Arial" w:eastAsia="Calibri" w:hAnsi="Arial" w:cs="Arial"/>
          <w:i/>
          <w:iCs/>
        </w:rPr>
        <w:t>P</w:t>
      </w:r>
      <w:r w:rsidRPr="00D35C62">
        <w:rPr>
          <w:rFonts w:ascii="Arial" w:eastAsia="Calibri" w:hAnsi="Arial" w:cs="Arial"/>
          <w:i/>
          <w:iCs/>
        </w:rPr>
        <w:t>úblico; la Tesorería a través de los abogados que designe para tales efectos, será</w:t>
      </w:r>
      <w:r w:rsidRPr="00E4634E">
        <w:rPr>
          <w:rFonts w:ascii="Arial" w:eastAsia="Calibri" w:hAnsi="Arial" w:cs="Arial"/>
          <w:i/>
          <w:iCs/>
        </w:rPr>
        <w:t xml:space="preserve"> </w:t>
      </w:r>
      <w:r w:rsidRPr="00D35C62">
        <w:rPr>
          <w:rFonts w:ascii="Arial" w:eastAsia="Calibri" w:hAnsi="Arial" w:cs="Arial"/>
          <w:i/>
          <w:iCs/>
        </w:rPr>
        <w:t>coadyuvante de éste, en los términos del</w:t>
      </w:r>
      <w:r w:rsidRPr="00E4634E">
        <w:rPr>
          <w:rFonts w:ascii="Arial" w:eastAsia="Calibri" w:hAnsi="Arial" w:cs="Arial"/>
          <w:i/>
          <w:iCs/>
        </w:rPr>
        <w:t xml:space="preserve"> </w:t>
      </w:r>
      <w:r w:rsidRPr="00D35C62">
        <w:rPr>
          <w:rFonts w:ascii="Arial" w:eastAsia="Calibri" w:hAnsi="Arial" w:cs="Arial"/>
          <w:i/>
          <w:iCs/>
        </w:rPr>
        <w:t>Código Procesal Penal para el Estado de Oaxaca, así como en los lugares donde se aplique</w:t>
      </w:r>
      <w:r w:rsidRPr="00E4634E">
        <w:rPr>
          <w:rFonts w:ascii="Arial" w:eastAsia="Calibri" w:hAnsi="Arial" w:cs="Arial"/>
          <w:i/>
          <w:iCs/>
        </w:rPr>
        <w:t xml:space="preserve"> </w:t>
      </w:r>
      <w:r w:rsidRPr="00D35C62">
        <w:rPr>
          <w:rFonts w:ascii="Arial" w:eastAsia="Calibri" w:hAnsi="Arial" w:cs="Arial"/>
          <w:i/>
          <w:iCs/>
        </w:rPr>
        <w:t>el Código de Procedimientos Penales para el Estado Libre y Soberano de Oaxaca.</w:t>
      </w:r>
    </w:p>
    <w:p w14:paraId="2C7117BC"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9A8554D"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El ejercicio de las facultades a que se refiere este artículo lo podrá realizar la</w:t>
      </w:r>
      <w:r w:rsidRPr="00E4634E">
        <w:rPr>
          <w:rFonts w:ascii="Arial" w:eastAsia="Calibri" w:hAnsi="Arial" w:cs="Arial"/>
          <w:i/>
          <w:iCs/>
        </w:rPr>
        <w:t xml:space="preserve"> </w:t>
      </w:r>
      <w:r w:rsidRPr="00D35C62">
        <w:rPr>
          <w:rFonts w:ascii="Arial" w:eastAsia="Calibri" w:hAnsi="Arial" w:cs="Arial"/>
          <w:i/>
          <w:iCs/>
        </w:rPr>
        <w:t>Tesorería de forma</w:t>
      </w:r>
      <w:r w:rsidRPr="00E4634E">
        <w:rPr>
          <w:rFonts w:ascii="Arial" w:eastAsia="Calibri" w:hAnsi="Arial" w:cs="Arial"/>
          <w:i/>
          <w:iCs/>
        </w:rPr>
        <w:t xml:space="preserve"> </w:t>
      </w:r>
      <w:r w:rsidRPr="00D35C62">
        <w:rPr>
          <w:rFonts w:ascii="Arial" w:eastAsia="Calibri" w:hAnsi="Arial" w:cs="Arial"/>
          <w:i/>
          <w:iCs/>
        </w:rPr>
        <w:t>simultánea, indistinta o sucesiva, y en cada caso, se</w:t>
      </w:r>
      <w:r w:rsidRPr="00E4634E">
        <w:rPr>
          <w:rFonts w:ascii="Arial" w:eastAsia="Calibri" w:hAnsi="Arial" w:cs="Arial"/>
          <w:i/>
          <w:iCs/>
        </w:rPr>
        <w:t xml:space="preserve"> </w:t>
      </w:r>
      <w:r w:rsidRPr="00D35C62">
        <w:rPr>
          <w:rFonts w:ascii="Arial" w:eastAsia="Calibri" w:hAnsi="Arial" w:cs="Arial"/>
          <w:i/>
          <w:iCs/>
        </w:rPr>
        <w:t>considerarán iniciadas con el primer acto que</w:t>
      </w:r>
      <w:r w:rsidRPr="00E4634E">
        <w:rPr>
          <w:rFonts w:ascii="Arial" w:eastAsia="Calibri" w:hAnsi="Arial" w:cs="Arial"/>
          <w:i/>
          <w:iCs/>
        </w:rPr>
        <w:t xml:space="preserve"> </w:t>
      </w:r>
      <w:r w:rsidRPr="00D35C62">
        <w:rPr>
          <w:rFonts w:ascii="Arial" w:eastAsia="Calibri" w:hAnsi="Arial" w:cs="Arial"/>
          <w:i/>
          <w:iCs/>
        </w:rPr>
        <w:t>se notifique al contribuyente.</w:t>
      </w:r>
    </w:p>
    <w:p w14:paraId="19DD21D3"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53674DA1"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71. </w:t>
      </w:r>
      <w:r w:rsidRPr="00D35C62">
        <w:rPr>
          <w:rFonts w:ascii="Arial" w:eastAsia="Calibri" w:hAnsi="Arial" w:cs="Arial"/>
          <w:i/>
          <w:iCs/>
        </w:rPr>
        <w:t>Para la determinación administrativa de contribuciones, y en su caso</w:t>
      </w:r>
      <w:r w:rsidRPr="00E4634E">
        <w:rPr>
          <w:rFonts w:ascii="Arial" w:eastAsia="Calibri" w:hAnsi="Arial" w:cs="Arial"/>
          <w:i/>
          <w:iCs/>
        </w:rPr>
        <w:t xml:space="preserve"> </w:t>
      </w:r>
      <w:r w:rsidRPr="00D35C62">
        <w:rPr>
          <w:rFonts w:ascii="Arial" w:eastAsia="Calibri" w:hAnsi="Arial" w:cs="Arial"/>
          <w:i/>
          <w:iCs/>
        </w:rPr>
        <w:t>para su fijación</w:t>
      </w:r>
      <w:r w:rsidRPr="00E4634E">
        <w:rPr>
          <w:rFonts w:ascii="Arial" w:eastAsia="Calibri" w:hAnsi="Arial" w:cs="Arial"/>
          <w:i/>
          <w:iCs/>
        </w:rPr>
        <w:t xml:space="preserve"> </w:t>
      </w:r>
      <w:r w:rsidRPr="00D35C62">
        <w:rPr>
          <w:rFonts w:ascii="Arial" w:eastAsia="Calibri" w:hAnsi="Arial" w:cs="Arial"/>
          <w:i/>
          <w:iCs/>
        </w:rPr>
        <w:t>en cantidad líquida, la Tesorería presumirán como cierta la</w:t>
      </w:r>
      <w:r w:rsidRPr="00E4634E">
        <w:rPr>
          <w:rFonts w:ascii="Arial" w:eastAsia="Calibri" w:hAnsi="Arial" w:cs="Arial"/>
          <w:i/>
          <w:iCs/>
        </w:rPr>
        <w:t xml:space="preserve"> </w:t>
      </w:r>
      <w:r w:rsidRPr="00D35C62">
        <w:rPr>
          <w:rFonts w:ascii="Arial" w:eastAsia="Calibri" w:hAnsi="Arial" w:cs="Arial"/>
          <w:i/>
          <w:iCs/>
        </w:rPr>
        <w:t>información contenida en las bases</w:t>
      </w:r>
      <w:r w:rsidRPr="00E4634E">
        <w:rPr>
          <w:rFonts w:ascii="Arial" w:eastAsia="Calibri" w:hAnsi="Arial" w:cs="Arial"/>
          <w:i/>
          <w:iCs/>
        </w:rPr>
        <w:t xml:space="preserve"> </w:t>
      </w:r>
      <w:r w:rsidRPr="00D35C62">
        <w:rPr>
          <w:rFonts w:ascii="Arial" w:eastAsia="Calibri" w:hAnsi="Arial" w:cs="Arial"/>
          <w:i/>
          <w:iCs/>
        </w:rPr>
        <w:t>de datos que lleven, o tengan en su poder o a las que tengan acceso.</w:t>
      </w:r>
    </w:p>
    <w:p w14:paraId="3D19F93F"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287BC4F9"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b/>
          <w:bCs/>
          <w:i/>
          <w:iCs/>
        </w:rPr>
        <w:t xml:space="preserve">Artículo 78. </w:t>
      </w:r>
      <w:r w:rsidRPr="00D35C62">
        <w:rPr>
          <w:rFonts w:ascii="Arial" w:eastAsia="Calibri" w:hAnsi="Arial" w:cs="Arial"/>
          <w:i/>
          <w:iCs/>
        </w:rPr>
        <w:t>La práctica de diligencias por la Tesorería deberá efectuarse en días y</w:t>
      </w:r>
      <w:r w:rsidRPr="00E4634E">
        <w:rPr>
          <w:rFonts w:ascii="Arial" w:eastAsia="Calibri" w:hAnsi="Arial" w:cs="Arial"/>
          <w:i/>
          <w:iCs/>
        </w:rPr>
        <w:t xml:space="preserve"> </w:t>
      </w:r>
      <w:r w:rsidRPr="00D35C62">
        <w:rPr>
          <w:rFonts w:ascii="Arial" w:eastAsia="Calibri" w:hAnsi="Arial" w:cs="Arial"/>
          <w:i/>
          <w:iCs/>
        </w:rPr>
        <w:t>horas hábiles.</w:t>
      </w:r>
    </w:p>
    <w:p w14:paraId="2F404B31"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50915C4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Se consideran horas hábiles del día, las comprendidas de la 07:00 horas, a las 20:00 horas.</w:t>
      </w:r>
    </w:p>
    <w:p w14:paraId="738D386C"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0BBA8F62"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Cuando en las actas que se formulen exista constancia de ello, las diligencias de notificación</w:t>
      </w:r>
      <w:r w:rsidRPr="00E4634E">
        <w:rPr>
          <w:rFonts w:ascii="Arial" w:eastAsia="Calibri" w:hAnsi="Arial" w:cs="Arial"/>
          <w:i/>
          <w:iCs/>
        </w:rPr>
        <w:t xml:space="preserve"> </w:t>
      </w:r>
      <w:r w:rsidRPr="00D35C62">
        <w:rPr>
          <w:rFonts w:ascii="Arial" w:eastAsia="Calibri" w:hAnsi="Arial" w:cs="Arial"/>
          <w:i/>
          <w:iCs/>
        </w:rPr>
        <w:t>iniciadas en día y hora hábil podrán concluirse el día de su realización en hora inhábil sin afectar</w:t>
      </w:r>
      <w:r w:rsidRPr="00E4634E">
        <w:rPr>
          <w:rFonts w:ascii="Arial" w:eastAsia="Calibri" w:hAnsi="Arial" w:cs="Arial"/>
          <w:i/>
          <w:iCs/>
        </w:rPr>
        <w:t xml:space="preserve"> </w:t>
      </w:r>
      <w:r w:rsidRPr="00D35C62">
        <w:rPr>
          <w:rFonts w:ascii="Arial" w:eastAsia="Calibri" w:hAnsi="Arial" w:cs="Arial"/>
          <w:i/>
          <w:iCs/>
        </w:rPr>
        <w:t>su validez. Con los mismos requisitos, también se podrán continuar en días u horas inhábiles las</w:t>
      </w:r>
      <w:r w:rsidRPr="00E4634E">
        <w:rPr>
          <w:rFonts w:ascii="Arial" w:eastAsia="Calibri" w:hAnsi="Arial" w:cs="Arial"/>
          <w:i/>
          <w:iCs/>
        </w:rPr>
        <w:t xml:space="preserve"> </w:t>
      </w:r>
      <w:r w:rsidRPr="00D35C62">
        <w:rPr>
          <w:rFonts w:ascii="Arial" w:eastAsia="Calibri" w:hAnsi="Arial" w:cs="Arial"/>
          <w:i/>
          <w:iCs/>
        </w:rPr>
        <w:t xml:space="preserve">diligencias iniciadas en días y horas hábiles, cuando su continuación </w:t>
      </w:r>
      <w:r w:rsidRPr="00D35C62">
        <w:rPr>
          <w:rFonts w:ascii="Arial" w:eastAsia="Calibri" w:hAnsi="Arial" w:cs="Arial"/>
          <w:i/>
          <w:iCs/>
        </w:rPr>
        <w:lastRenderedPageBreak/>
        <w:t>tenga por objeto el</w:t>
      </w:r>
      <w:r w:rsidRPr="00E4634E">
        <w:rPr>
          <w:rFonts w:ascii="Arial" w:eastAsia="Calibri" w:hAnsi="Arial" w:cs="Arial"/>
          <w:i/>
          <w:iCs/>
        </w:rPr>
        <w:t xml:space="preserve"> </w:t>
      </w:r>
      <w:r w:rsidRPr="00D35C62">
        <w:rPr>
          <w:rFonts w:ascii="Arial" w:eastAsia="Calibri" w:hAnsi="Arial" w:cs="Arial"/>
          <w:i/>
          <w:iCs/>
        </w:rPr>
        <w:t>aseguramiento de bienes del particular, o se trate del procedimiento administrativo de ejecución.</w:t>
      </w:r>
    </w:p>
    <w:p w14:paraId="0F1B57BB"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p>
    <w:p w14:paraId="27014C18"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La Tesorería para la práctica de requerimientos de documentación, visitas de</w:t>
      </w:r>
      <w:r w:rsidRPr="00E4634E">
        <w:rPr>
          <w:rFonts w:ascii="Arial" w:eastAsia="Calibri" w:hAnsi="Arial" w:cs="Arial"/>
          <w:i/>
          <w:iCs/>
        </w:rPr>
        <w:t xml:space="preserve"> </w:t>
      </w:r>
      <w:r w:rsidRPr="00D35C62">
        <w:rPr>
          <w:rFonts w:ascii="Arial" w:eastAsia="Calibri" w:hAnsi="Arial" w:cs="Arial"/>
          <w:i/>
          <w:iCs/>
        </w:rPr>
        <w:t>inspección, del</w:t>
      </w:r>
      <w:r w:rsidRPr="00E4634E">
        <w:rPr>
          <w:rFonts w:ascii="Arial" w:eastAsia="Calibri" w:hAnsi="Arial" w:cs="Arial"/>
          <w:i/>
          <w:iCs/>
        </w:rPr>
        <w:t xml:space="preserve"> </w:t>
      </w:r>
      <w:r w:rsidRPr="00D35C62">
        <w:rPr>
          <w:rFonts w:ascii="Arial" w:eastAsia="Calibri" w:hAnsi="Arial" w:cs="Arial"/>
          <w:i/>
          <w:iCs/>
        </w:rPr>
        <w:t>procedimiento administrativo de ejecución, de notificaciones y de embargos precautorios, cuando</w:t>
      </w:r>
      <w:r w:rsidRPr="00E4634E">
        <w:rPr>
          <w:rFonts w:ascii="Arial" w:eastAsia="Calibri" w:hAnsi="Arial" w:cs="Arial"/>
          <w:i/>
          <w:iCs/>
        </w:rPr>
        <w:t xml:space="preserve"> </w:t>
      </w:r>
      <w:r w:rsidRPr="00D35C62">
        <w:rPr>
          <w:rFonts w:ascii="Arial" w:eastAsia="Calibri" w:hAnsi="Arial" w:cs="Arial"/>
          <w:i/>
          <w:iCs/>
        </w:rPr>
        <w:t>la persona con quien se va a practicar la diligencia realice las actividades por las que deba pagar</w:t>
      </w:r>
      <w:r w:rsidRPr="00E4634E">
        <w:rPr>
          <w:rFonts w:ascii="Arial" w:eastAsia="Calibri" w:hAnsi="Arial" w:cs="Arial"/>
          <w:i/>
          <w:iCs/>
        </w:rPr>
        <w:t xml:space="preserve"> </w:t>
      </w:r>
      <w:r w:rsidRPr="00D35C62">
        <w:rPr>
          <w:rFonts w:ascii="Arial" w:eastAsia="Calibri" w:hAnsi="Arial" w:cs="Arial"/>
          <w:i/>
          <w:iCs/>
        </w:rPr>
        <w:t>contribuciones en días u horas</w:t>
      </w:r>
      <w:r w:rsidRPr="00E4634E">
        <w:rPr>
          <w:rFonts w:ascii="Arial" w:eastAsia="Calibri" w:hAnsi="Arial" w:cs="Arial"/>
          <w:i/>
          <w:iCs/>
        </w:rPr>
        <w:t xml:space="preserve"> </w:t>
      </w:r>
      <w:r w:rsidRPr="00D35C62">
        <w:rPr>
          <w:rFonts w:ascii="Arial" w:eastAsia="Calibri" w:hAnsi="Arial" w:cs="Arial"/>
          <w:i/>
          <w:iCs/>
        </w:rPr>
        <w:t>inhábiles, podrán habilitar los días y horas inhábiles mediante la</w:t>
      </w:r>
      <w:r w:rsidRPr="00E4634E">
        <w:rPr>
          <w:rFonts w:ascii="Arial" w:eastAsia="Calibri" w:hAnsi="Arial" w:cs="Arial"/>
          <w:i/>
          <w:iCs/>
        </w:rPr>
        <w:t xml:space="preserve"> </w:t>
      </w:r>
      <w:r w:rsidRPr="00D35C62">
        <w:rPr>
          <w:rFonts w:ascii="Arial" w:eastAsia="Calibri" w:hAnsi="Arial" w:cs="Arial"/>
          <w:i/>
          <w:iCs/>
        </w:rPr>
        <w:t>emisión de orden fundada y motivada que deberá notificarse a la persona con quien se entienda</w:t>
      </w:r>
      <w:r w:rsidRPr="00E4634E">
        <w:rPr>
          <w:rFonts w:ascii="Arial" w:eastAsia="Calibri" w:hAnsi="Arial" w:cs="Arial"/>
          <w:i/>
          <w:iCs/>
        </w:rPr>
        <w:t xml:space="preserve"> </w:t>
      </w:r>
      <w:r w:rsidRPr="00D35C62">
        <w:rPr>
          <w:rFonts w:ascii="Arial" w:eastAsia="Calibri" w:hAnsi="Arial" w:cs="Arial"/>
          <w:i/>
          <w:iCs/>
        </w:rPr>
        <w:t>la diligencia.</w:t>
      </w:r>
    </w:p>
    <w:p w14:paraId="77D1002B"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28006E74" w14:textId="77777777" w:rsidR="00A25B7F" w:rsidRPr="00E4634E"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Cuando la diligencia de notificación no se realice de forma personal por cualquiera</w:t>
      </w:r>
      <w:r w:rsidRPr="00E4634E">
        <w:rPr>
          <w:rFonts w:ascii="Arial" w:eastAsia="Calibri" w:hAnsi="Arial" w:cs="Arial"/>
          <w:i/>
          <w:iCs/>
        </w:rPr>
        <w:t xml:space="preserve"> </w:t>
      </w:r>
      <w:r w:rsidRPr="00D35C62">
        <w:rPr>
          <w:rFonts w:ascii="Arial" w:eastAsia="Calibri" w:hAnsi="Arial" w:cs="Arial"/>
          <w:i/>
          <w:iCs/>
        </w:rPr>
        <w:t>de las causales</w:t>
      </w:r>
      <w:r w:rsidRPr="00E4634E">
        <w:rPr>
          <w:rFonts w:ascii="Arial" w:eastAsia="Calibri" w:hAnsi="Arial" w:cs="Arial"/>
          <w:i/>
          <w:iCs/>
        </w:rPr>
        <w:t xml:space="preserve"> </w:t>
      </w:r>
      <w:r w:rsidRPr="00D35C62">
        <w:rPr>
          <w:rFonts w:ascii="Arial" w:eastAsia="Calibri" w:hAnsi="Arial" w:cs="Arial"/>
          <w:i/>
          <w:iCs/>
        </w:rPr>
        <w:t>a que se refiere este Código, se consideran hábiles las 24 horas del día y los 365 días del año.</w:t>
      </w:r>
    </w:p>
    <w:p w14:paraId="339A234B"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p>
    <w:p w14:paraId="3B48D534" w14:textId="77777777" w:rsidR="00A25B7F" w:rsidRPr="00D35C62" w:rsidRDefault="00A25B7F" w:rsidP="00A25B7F">
      <w:pPr>
        <w:autoSpaceDE w:val="0"/>
        <w:autoSpaceDN w:val="0"/>
        <w:adjustRightInd w:val="0"/>
        <w:spacing w:after="0" w:line="360" w:lineRule="auto"/>
        <w:ind w:left="567" w:right="616"/>
        <w:jc w:val="both"/>
        <w:rPr>
          <w:rFonts w:ascii="Arial" w:eastAsia="Calibri" w:hAnsi="Arial" w:cs="Arial"/>
          <w:i/>
          <w:iCs/>
        </w:rPr>
      </w:pPr>
      <w:r w:rsidRPr="00D35C62">
        <w:rPr>
          <w:rFonts w:ascii="Arial" w:eastAsia="Calibri" w:hAnsi="Arial" w:cs="Arial"/>
          <w:i/>
          <w:iCs/>
        </w:rPr>
        <w:t>La habilitación de los días inhábiles en términos de este artículo por la Tesorería, no alterará el</w:t>
      </w:r>
      <w:r w:rsidRPr="00E4634E">
        <w:rPr>
          <w:rFonts w:ascii="Arial" w:eastAsia="Calibri" w:hAnsi="Arial" w:cs="Arial"/>
          <w:i/>
          <w:iCs/>
        </w:rPr>
        <w:t xml:space="preserve"> </w:t>
      </w:r>
      <w:r w:rsidRPr="00D35C62">
        <w:rPr>
          <w:rFonts w:ascii="Arial" w:eastAsia="Calibri" w:hAnsi="Arial" w:cs="Arial"/>
          <w:i/>
          <w:iCs/>
        </w:rPr>
        <w:t>cómputo de plazos.</w:t>
      </w:r>
      <w:r>
        <w:rPr>
          <w:rFonts w:ascii="Arial" w:eastAsia="Calibri" w:hAnsi="Arial" w:cs="Arial"/>
          <w:i/>
          <w:iCs/>
        </w:rPr>
        <w:t>”</w:t>
      </w:r>
    </w:p>
    <w:p w14:paraId="74280760" w14:textId="3A2DD94B" w:rsidR="00A25B7F" w:rsidRDefault="00A25B7F" w:rsidP="00A25B7F">
      <w:pPr>
        <w:spacing w:before="240" w:line="360" w:lineRule="auto"/>
        <w:ind w:right="49" w:firstLine="567"/>
        <w:jc w:val="both"/>
        <w:rPr>
          <w:rFonts w:ascii="Arial" w:hAnsi="Arial" w:cs="Arial"/>
          <w:color w:val="212529"/>
          <w:sz w:val="26"/>
          <w:szCs w:val="26"/>
        </w:rPr>
      </w:pPr>
      <w:r>
        <w:rPr>
          <w:rFonts w:ascii="Arial" w:hAnsi="Arial" w:cs="Arial"/>
          <w:color w:val="212529"/>
          <w:sz w:val="26"/>
          <w:szCs w:val="26"/>
        </w:rPr>
        <w:t xml:space="preserve">Como se ve, ninguno de los preceptos legales insertados, que fueron invocados como fundamento para la emisión del </w:t>
      </w:r>
      <w:r w:rsidRPr="00112272">
        <w:rPr>
          <w:rFonts w:ascii="Arial" w:hAnsi="Arial" w:cs="Arial"/>
          <w:color w:val="212529"/>
          <w:sz w:val="26"/>
          <w:szCs w:val="26"/>
        </w:rPr>
        <w:t xml:space="preserve">crédito fiscal con número de folio </w:t>
      </w:r>
      <w:r w:rsidR="00083118">
        <w:rPr>
          <w:rFonts w:ascii="Arial" w:eastAsia="Calibri" w:hAnsi="Arial" w:cs="Arial"/>
          <w:bCs/>
          <w:sz w:val="26"/>
          <w:szCs w:val="26"/>
        </w:rPr>
        <w:t>***********</w:t>
      </w:r>
      <w:r w:rsidRPr="00112272">
        <w:rPr>
          <w:rFonts w:ascii="Arial" w:hAnsi="Arial" w:cs="Arial"/>
          <w:color w:val="212529"/>
          <w:sz w:val="26"/>
          <w:szCs w:val="26"/>
        </w:rPr>
        <w:t>, de fecha ocho de noviembre de dos mil dieciocho,</w:t>
      </w:r>
      <w:r>
        <w:rPr>
          <w:rFonts w:ascii="Arial" w:hAnsi="Arial" w:cs="Arial"/>
          <w:color w:val="212529"/>
          <w:sz w:val="26"/>
          <w:szCs w:val="26"/>
        </w:rPr>
        <w:t xml:space="preserve"> faculta a la Jefa</w:t>
      </w:r>
      <w:r w:rsidRPr="00BF14DA">
        <w:rPr>
          <w:rFonts w:ascii="Arial" w:hAnsi="Arial" w:cs="Arial"/>
          <w:color w:val="212529"/>
          <w:sz w:val="26"/>
          <w:szCs w:val="26"/>
        </w:rPr>
        <w:t xml:space="preserve"> de la Unidad de Recaudación Municipal del Municipio de Oaxaca de Juárez,</w:t>
      </w:r>
      <w:r>
        <w:rPr>
          <w:rFonts w:ascii="Arial" w:hAnsi="Arial" w:cs="Arial"/>
          <w:color w:val="212529"/>
          <w:sz w:val="26"/>
          <w:szCs w:val="26"/>
        </w:rPr>
        <w:t xml:space="preserve"> para requerir el pago de la multa que impugna el demandante, por lo cual fue acertado que la </w:t>
      </w:r>
      <w:r w:rsidRPr="00F65348">
        <w:rPr>
          <w:rFonts w:ascii="Arial" w:hAnsi="Arial" w:cs="Arial"/>
          <w:i/>
          <w:iCs/>
          <w:color w:val="212529"/>
          <w:sz w:val="26"/>
          <w:szCs w:val="26"/>
        </w:rPr>
        <w:t>A quo</w:t>
      </w:r>
      <w:r>
        <w:rPr>
          <w:rFonts w:ascii="Arial" w:hAnsi="Arial" w:cs="Arial"/>
          <w:color w:val="212529"/>
          <w:sz w:val="26"/>
          <w:szCs w:val="26"/>
        </w:rPr>
        <w:t xml:space="preserve"> declarara la nulidad lisa y llana de ese acto, al haber sido emitido por una autoridad incompetente.</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w:t>
      </w:r>
      <w:r w:rsidR="00083118">
        <w:rPr>
          <w:rFonts w:ascii="Arial" w:hAnsi="Arial" w:cs="Arial"/>
          <w:sz w:val="26"/>
          <w:szCs w:val="26"/>
        </w:rPr>
        <w:t xml:space="preserve">- - - - - - - - - - </w:t>
      </w:r>
      <w:bookmarkStart w:id="6" w:name="_GoBack"/>
      <w:bookmarkEnd w:id="6"/>
    </w:p>
    <w:p w14:paraId="3EAFE5C3" w14:textId="17961F9F" w:rsidR="00A25B7F" w:rsidRPr="00312814" w:rsidRDefault="00A25B7F" w:rsidP="00A25B7F">
      <w:pPr>
        <w:spacing w:before="240" w:line="360" w:lineRule="auto"/>
        <w:ind w:right="49" w:firstLine="567"/>
        <w:jc w:val="both"/>
        <w:rPr>
          <w:rFonts w:ascii="Arial" w:hAnsi="Arial" w:cs="Arial"/>
          <w:color w:val="212529"/>
          <w:sz w:val="26"/>
          <w:szCs w:val="26"/>
        </w:rPr>
      </w:pPr>
      <w:r>
        <w:rPr>
          <w:rFonts w:ascii="Arial" w:hAnsi="Arial" w:cs="Arial"/>
          <w:color w:val="212529"/>
          <w:sz w:val="26"/>
          <w:szCs w:val="26"/>
        </w:rPr>
        <w:t xml:space="preserve">Aunado a lo anterior, cabe mencionar que es también </w:t>
      </w:r>
      <w:r w:rsidRPr="006F4AF5">
        <w:rPr>
          <w:rFonts w:ascii="Arial" w:hAnsi="Arial" w:cs="Arial"/>
          <w:b/>
          <w:bCs/>
          <w:color w:val="212529"/>
          <w:sz w:val="26"/>
          <w:szCs w:val="26"/>
        </w:rPr>
        <w:t xml:space="preserve">infundado </w:t>
      </w:r>
      <w:r>
        <w:rPr>
          <w:rFonts w:ascii="Arial" w:hAnsi="Arial" w:cs="Arial"/>
          <w:color w:val="212529"/>
          <w:sz w:val="26"/>
          <w:szCs w:val="26"/>
        </w:rPr>
        <w:t xml:space="preserve"> que la recurrente afirme que se violaron los principios de equidad procesal y de contradicción en su contra cuando la </w:t>
      </w:r>
      <w:r w:rsidRPr="00D83F29">
        <w:rPr>
          <w:rFonts w:ascii="Arial" w:hAnsi="Arial" w:cs="Arial"/>
          <w:i/>
          <w:iCs/>
          <w:color w:val="212529"/>
          <w:sz w:val="26"/>
          <w:szCs w:val="26"/>
        </w:rPr>
        <w:t>A quo</w:t>
      </w:r>
      <w:r>
        <w:rPr>
          <w:rFonts w:ascii="Arial" w:hAnsi="Arial" w:cs="Arial"/>
          <w:color w:val="212529"/>
          <w:sz w:val="26"/>
          <w:szCs w:val="26"/>
        </w:rPr>
        <w:t xml:space="preserve"> analizó la competencia de la autoridad demandada, ya que no pasa desapercibido para esta Sala Superior, que del análisis efectuado al oficio de contestación</w:t>
      </w:r>
      <w:r>
        <w:rPr>
          <w:rStyle w:val="Refdenotaalpie"/>
          <w:rFonts w:ascii="Arial" w:hAnsi="Arial" w:cs="Arial"/>
          <w:color w:val="212529"/>
          <w:sz w:val="26"/>
          <w:szCs w:val="26"/>
        </w:rPr>
        <w:footnoteReference w:id="3"/>
      </w:r>
      <w:r>
        <w:rPr>
          <w:rFonts w:ascii="Arial" w:hAnsi="Arial" w:cs="Arial"/>
          <w:color w:val="212529"/>
          <w:sz w:val="26"/>
          <w:szCs w:val="26"/>
        </w:rPr>
        <w:t>, se advierte que la autoridad demandada no expresó ningún argumento en el que refutara el concepto de impugnación</w:t>
      </w:r>
      <w:r>
        <w:rPr>
          <w:rStyle w:val="Refdenotaalpie"/>
          <w:rFonts w:ascii="Arial" w:hAnsi="Arial" w:cs="Arial"/>
          <w:color w:val="212529"/>
          <w:sz w:val="26"/>
          <w:szCs w:val="26"/>
        </w:rPr>
        <w:footnoteReference w:id="4"/>
      </w:r>
      <w:r>
        <w:rPr>
          <w:rFonts w:ascii="Arial" w:hAnsi="Arial" w:cs="Arial"/>
          <w:color w:val="212529"/>
          <w:sz w:val="26"/>
          <w:szCs w:val="26"/>
        </w:rPr>
        <w:t xml:space="preserve"> en el que el actor demandó la ilegalidad del acto impugnado por falta de competencia de la autoridad emisora, pues era al momento de producir la contestación de demanda, </w:t>
      </w:r>
      <w:r w:rsidRPr="00C05DD7">
        <w:rPr>
          <w:rFonts w:ascii="Arial" w:hAnsi="Arial" w:cs="Arial"/>
          <w:bCs/>
          <w:sz w:val="26"/>
          <w:szCs w:val="26"/>
        </w:rPr>
        <w:t>la oportunidad procesal que la autoridad recurrente tuvo para combatir ese argumento,</w:t>
      </w:r>
      <w:r>
        <w:rPr>
          <w:rFonts w:ascii="Arial" w:hAnsi="Arial" w:cs="Arial"/>
          <w:bCs/>
          <w:sz w:val="26"/>
          <w:szCs w:val="26"/>
        </w:rPr>
        <w:t xml:space="preserve"> lo que no hizo, y por lo </w:t>
      </w:r>
      <w:r>
        <w:rPr>
          <w:rFonts w:ascii="Arial" w:hAnsi="Arial" w:cs="Arial"/>
          <w:bCs/>
          <w:sz w:val="26"/>
          <w:szCs w:val="26"/>
        </w:rPr>
        <w:lastRenderedPageBreak/>
        <w:t xml:space="preserve">tanto, al no haber expresado alegaciones en contra de esa manifestación del actor, no se configura violación alguna a </w:t>
      </w:r>
      <w:r>
        <w:rPr>
          <w:rFonts w:ascii="Arial" w:hAnsi="Arial" w:cs="Arial"/>
          <w:color w:val="212529"/>
          <w:sz w:val="26"/>
          <w:szCs w:val="26"/>
        </w:rPr>
        <w:t>los principios de equidad procesal y de contradicción. Por ello prevalece el sentido de la sentencia en revisión.</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 - - </w:t>
      </w:r>
    </w:p>
    <w:p w14:paraId="251F54B7" w14:textId="27144832" w:rsidR="00A25B7F" w:rsidRPr="00403CFB" w:rsidRDefault="00A25B7F" w:rsidP="00A25B7F">
      <w:pPr>
        <w:spacing w:before="240" w:after="0" w:line="360" w:lineRule="auto"/>
        <w:ind w:firstLine="708"/>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5752D4">
        <w:rPr>
          <w:rFonts w:ascii="Arial" w:hAnsi="Arial" w:cs="Arial"/>
          <w:b/>
          <w:sz w:val="26"/>
          <w:szCs w:val="26"/>
        </w:rPr>
        <w:t>inoperante</w:t>
      </w:r>
      <w:r>
        <w:rPr>
          <w:rFonts w:ascii="Arial" w:hAnsi="Arial" w:cs="Arial"/>
          <w:b/>
          <w:sz w:val="26"/>
          <w:szCs w:val="26"/>
        </w:rPr>
        <w:t xml:space="preserve"> e</w:t>
      </w:r>
      <w:r w:rsidRPr="00C05DD7">
        <w:rPr>
          <w:rFonts w:ascii="Arial" w:hAnsi="Arial" w:cs="Arial"/>
          <w:b/>
          <w:bCs/>
          <w:sz w:val="26"/>
          <w:szCs w:val="26"/>
        </w:rPr>
        <w:t xml:space="preserve"> </w:t>
      </w:r>
      <w:r w:rsidRPr="006D7210">
        <w:rPr>
          <w:rFonts w:ascii="Arial" w:hAnsi="Arial" w:cs="Arial"/>
          <w:b/>
          <w:bCs/>
          <w:sz w:val="26"/>
          <w:szCs w:val="26"/>
        </w:rPr>
        <w:t>infundado</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formulados por la autoridad inconforme,</w:t>
      </w:r>
      <w:r w:rsidRPr="00403CFB">
        <w:rPr>
          <w:rFonts w:ascii="Arial" w:hAnsi="Arial" w:cs="Arial"/>
          <w:sz w:val="26"/>
          <w:szCs w:val="26"/>
        </w:rPr>
        <w:t xml:space="preserve"> </w:t>
      </w:r>
      <w:r>
        <w:rPr>
          <w:rFonts w:ascii="Arial" w:hAnsi="Arial" w:cs="Arial"/>
          <w:sz w:val="26"/>
          <w:szCs w:val="26"/>
        </w:rPr>
        <w:t xml:space="preserve">es </w:t>
      </w:r>
      <w:r w:rsidRPr="00403CFB">
        <w:rPr>
          <w:rFonts w:ascii="Arial" w:hAnsi="Arial" w:cs="Arial"/>
          <w:sz w:val="26"/>
          <w:szCs w:val="26"/>
        </w:rPr>
        <w:t>procede</w:t>
      </w:r>
      <w:r>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sidRPr="00403CFB">
        <w:rPr>
          <w:rFonts w:ascii="Arial" w:hAnsi="Arial" w:cs="Arial"/>
          <w:sz w:val="26"/>
          <w:szCs w:val="26"/>
        </w:rPr>
        <w:t xml:space="preserve"> la sentencia </w:t>
      </w:r>
      <w:r>
        <w:rPr>
          <w:rFonts w:ascii="Arial" w:hAnsi="Arial" w:cs="Arial"/>
          <w:sz w:val="26"/>
          <w:szCs w:val="26"/>
        </w:rPr>
        <w:t>en revisión</w:t>
      </w:r>
      <w:r w:rsidRPr="00403CFB">
        <w:rPr>
          <w:rFonts w:ascii="Arial" w:hAnsi="Arial" w:cs="Arial"/>
          <w:sz w:val="26"/>
          <w:szCs w:val="26"/>
        </w:rPr>
        <w:t xml:space="preserve">;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D6568E" w:rsidRPr="00D6568E">
        <w:rPr>
          <w:rFonts w:ascii="Arial" w:hAnsi="Arial" w:cs="Arial"/>
          <w:sz w:val="26"/>
          <w:szCs w:val="26"/>
        </w:rPr>
        <w:t xml:space="preserve"> </w:t>
      </w:r>
      <w:r w:rsidR="00D6568E">
        <w:rPr>
          <w:rFonts w:ascii="Arial" w:hAnsi="Arial" w:cs="Arial"/>
          <w:sz w:val="26"/>
          <w:szCs w:val="26"/>
        </w:rPr>
        <w:t xml:space="preserve">- - - - - - - - - - - - - - - - - - - </w:t>
      </w:r>
    </w:p>
    <w:p w14:paraId="3E01BBA2" w14:textId="77777777" w:rsidR="00A25B7F" w:rsidRDefault="00A25B7F" w:rsidP="00A25B7F">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638816CF" w14:textId="23B08605" w:rsidR="00A25B7F" w:rsidRDefault="00A25B7F" w:rsidP="00A25B7F">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CONFIRMA</w:t>
      </w:r>
      <w:r>
        <w:rPr>
          <w:rFonts w:ascii="Arial" w:hAnsi="Arial" w:cs="Arial"/>
          <w:color w:val="000000"/>
          <w:sz w:val="26"/>
          <w:szCs w:val="26"/>
          <w:lang w:val="es-MX"/>
        </w:rPr>
        <w:t xml:space="preserve"> la sentencia de fecha veintinueve de noviembre de dos mil diecinueve, por las razones expuestas en el considerando que antecede.</w:t>
      </w:r>
      <w:r w:rsidR="00D6568E" w:rsidRPr="00D6568E">
        <w:rPr>
          <w:rFonts w:ascii="Arial" w:hAnsi="Arial" w:cs="Arial"/>
          <w:sz w:val="26"/>
          <w:szCs w:val="26"/>
        </w:rPr>
        <w:t xml:space="preserve"> </w:t>
      </w:r>
      <w:r w:rsidR="00D6568E">
        <w:rPr>
          <w:rFonts w:ascii="Arial" w:hAnsi="Arial" w:cs="Arial"/>
          <w:sz w:val="26"/>
          <w:szCs w:val="26"/>
        </w:rPr>
        <w:t xml:space="preserve">- - - - - - - - - - - - - - - - - - - - - - - - - - - - - - - </w:t>
      </w:r>
    </w:p>
    <w:p w14:paraId="76DFDEAF" w14:textId="5DC4E341" w:rsidR="00A25B7F" w:rsidRDefault="00A25B7F" w:rsidP="00A25B7F">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r w:rsidR="00D6568E" w:rsidRPr="00D6568E">
        <w:rPr>
          <w:rFonts w:ascii="Arial" w:hAnsi="Arial" w:cs="Arial"/>
          <w:sz w:val="26"/>
          <w:szCs w:val="26"/>
        </w:rPr>
        <w:t xml:space="preserve"> </w:t>
      </w:r>
      <w:r w:rsidR="00D6568E">
        <w:rPr>
          <w:rFonts w:ascii="Arial" w:hAnsi="Arial" w:cs="Arial"/>
          <w:sz w:val="26"/>
          <w:szCs w:val="26"/>
        </w:rPr>
        <w:t xml:space="preserve">- - - - - - - - - - - - - - - - - - - </w:t>
      </w:r>
    </w:p>
    <w:p w14:paraId="3C14BEBF" w14:textId="77777777" w:rsidR="00222167" w:rsidRDefault="00222167" w:rsidP="00222167">
      <w:pPr>
        <w:pStyle w:val="Sinespaciado"/>
      </w:pPr>
    </w:p>
    <w:p w14:paraId="3EA0E1C8" w14:textId="77777777" w:rsidR="00222167" w:rsidRDefault="00222167" w:rsidP="00222167">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5D0711E5" w14:textId="3E0C186D" w:rsidR="00222167" w:rsidRDefault="00222167" w:rsidP="00222167">
      <w:pPr>
        <w:spacing w:before="240" w:line="360" w:lineRule="auto"/>
        <w:jc w:val="both"/>
        <w:rPr>
          <w:rFonts w:ascii="Arial" w:hAnsi="Arial" w:cs="Arial"/>
          <w:sz w:val="26"/>
          <w:szCs w:val="26"/>
        </w:rPr>
      </w:pPr>
    </w:p>
    <w:p w14:paraId="7111D826" w14:textId="77777777" w:rsidR="00A55538" w:rsidRDefault="00A55538" w:rsidP="00222167">
      <w:pPr>
        <w:spacing w:before="240" w:line="360" w:lineRule="auto"/>
        <w:jc w:val="both"/>
        <w:rPr>
          <w:rFonts w:ascii="Arial" w:hAnsi="Arial" w:cs="Arial"/>
          <w:sz w:val="26"/>
          <w:szCs w:val="26"/>
        </w:rPr>
      </w:pPr>
    </w:p>
    <w:p w14:paraId="6E93FADE" w14:textId="77777777" w:rsidR="00A55538" w:rsidRDefault="00A55538" w:rsidP="00222167">
      <w:pPr>
        <w:spacing w:before="240" w:line="360" w:lineRule="auto"/>
        <w:jc w:val="both"/>
        <w:rPr>
          <w:rFonts w:ascii="Arial" w:hAnsi="Arial" w:cs="Arial"/>
          <w:sz w:val="26"/>
          <w:szCs w:val="26"/>
        </w:rPr>
      </w:pPr>
    </w:p>
    <w:p w14:paraId="734664B1" w14:textId="77777777" w:rsidR="00222167" w:rsidRDefault="00222167" w:rsidP="00222167">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6E91C6B8" w14:textId="77777777" w:rsidR="00222167" w:rsidRDefault="00222167" w:rsidP="00222167">
      <w:pPr>
        <w:tabs>
          <w:tab w:val="left" w:pos="1680"/>
          <w:tab w:val="center" w:pos="4277"/>
        </w:tabs>
        <w:spacing w:after="0"/>
        <w:jc w:val="center"/>
        <w:rPr>
          <w:rFonts w:ascii="Arial" w:hAnsi="Arial" w:cs="Arial"/>
          <w:sz w:val="26"/>
          <w:szCs w:val="26"/>
        </w:rPr>
      </w:pPr>
      <w:r>
        <w:rPr>
          <w:rFonts w:ascii="Arial" w:hAnsi="Arial" w:cs="Arial"/>
          <w:sz w:val="26"/>
          <w:szCs w:val="26"/>
        </w:rPr>
        <w:t xml:space="preserve">PRESIDENTE </w:t>
      </w:r>
    </w:p>
    <w:p w14:paraId="69817AC0" w14:textId="77777777" w:rsidR="00222167" w:rsidRDefault="00222167" w:rsidP="00222167">
      <w:pPr>
        <w:tabs>
          <w:tab w:val="center" w:pos="4135"/>
          <w:tab w:val="left" w:pos="7515"/>
        </w:tabs>
        <w:jc w:val="center"/>
        <w:rPr>
          <w:rFonts w:ascii="Arial" w:hAnsi="Arial" w:cs="Arial"/>
          <w:b/>
          <w:bCs/>
          <w:sz w:val="14"/>
          <w:szCs w:val="14"/>
        </w:rPr>
      </w:pPr>
    </w:p>
    <w:p w14:paraId="274F05F9" w14:textId="77777777" w:rsidR="00222167" w:rsidRDefault="00222167" w:rsidP="00222167">
      <w:pPr>
        <w:rPr>
          <w:rFonts w:ascii="Arial" w:hAnsi="Arial" w:cs="Arial"/>
          <w:sz w:val="26"/>
          <w:szCs w:val="26"/>
        </w:rPr>
      </w:pPr>
    </w:p>
    <w:p w14:paraId="1DA4DC5A" w14:textId="77777777" w:rsidR="00222167" w:rsidRDefault="00222167" w:rsidP="00222167">
      <w:pPr>
        <w:rPr>
          <w:rFonts w:ascii="Arial" w:hAnsi="Arial" w:cs="Arial"/>
          <w:b/>
          <w:bCs/>
          <w:sz w:val="14"/>
          <w:szCs w:val="14"/>
        </w:rPr>
      </w:pPr>
    </w:p>
    <w:p w14:paraId="2C402058" w14:textId="77777777" w:rsidR="00222167" w:rsidRDefault="00222167" w:rsidP="00222167">
      <w:pPr>
        <w:rPr>
          <w:rFonts w:ascii="Arial" w:hAnsi="Arial" w:cs="Arial"/>
          <w:sz w:val="26"/>
          <w:szCs w:val="26"/>
        </w:rPr>
      </w:pPr>
    </w:p>
    <w:p w14:paraId="3325986D" w14:textId="77777777" w:rsidR="00222167" w:rsidRDefault="00222167" w:rsidP="00222167">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445559E0" w14:textId="77777777" w:rsidR="00222167" w:rsidRDefault="00222167" w:rsidP="00222167">
      <w:pPr>
        <w:tabs>
          <w:tab w:val="center" w:pos="4135"/>
          <w:tab w:val="left" w:pos="7515"/>
        </w:tabs>
        <w:rPr>
          <w:rFonts w:ascii="Arial" w:hAnsi="Arial" w:cs="Arial"/>
          <w:sz w:val="20"/>
          <w:szCs w:val="20"/>
        </w:rPr>
      </w:pPr>
    </w:p>
    <w:p w14:paraId="1965BCC5" w14:textId="77777777" w:rsidR="00222167" w:rsidRDefault="00222167" w:rsidP="00222167">
      <w:pPr>
        <w:tabs>
          <w:tab w:val="center" w:pos="4135"/>
          <w:tab w:val="left" w:pos="7515"/>
        </w:tabs>
        <w:jc w:val="center"/>
        <w:rPr>
          <w:rFonts w:ascii="Arial" w:hAnsi="Arial" w:cs="Arial"/>
          <w:b/>
          <w:bCs/>
          <w:sz w:val="14"/>
          <w:szCs w:val="14"/>
        </w:rPr>
      </w:pPr>
    </w:p>
    <w:p w14:paraId="6F079599" w14:textId="732D6567" w:rsidR="00222167" w:rsidRPr="00A55538" w:rsidRDefault="00A55538" w:rsidP="00A55538">
      <w:pPr>
        <w:tabs>
          <w:tab w:val="center" w:pos="4135"/>
          <w:tab w:val="left" w:pos="7515"/>
        </w:tabs>
        <w:jc w:val="center"/>
        <w:rPr>
          <w:rFonts w:ascii="Arial" w:hAnsi="Arial" w:cs="Arial"/>
          <w:b/>
          <w:bCs/>
          <w:sz w:val="16"/>
          <w:szCs w:val="16"/>
        </w:rPr>
      </w:pPr>
      <w:r w:rsidRPr="00A55538">
        <w:rPr>
          <w:rFonts w:ascii="Arial" w:hAnsi="Arial" w:cs="Arial"/>
          <w:b/>
          <w:bCs/>
          <w:sz w:val="16"/>
          <w:szCs w:val="16"/>
        </w:rPr>
        <w:lastRenderedPageBreak/>
        <w:t>LAS PRESENTES FIRMAS CORRESPONDEN A LA RESOLUCIÓN DEL RECURSO DE REVISIÓN 46/2020</w:t>
      </w:r>
    </w:p>
    <w:p w14:paraId="11030C17" w14:textId="77777777" w:rsidR="00222167" w:rsidRDefault="00222167" w:rsidP="00222167">
      <w:pPr>
        <w:tabs>
          <w:tab w:val="center" w:pos="4135"/>
          <w:tab w:val="left" w:pos="7515"/>
        </w:tabs>
        <w:rPr>
          <w:rFonts w:ascii="Arial" w:hAnsi="Arial" w:cs="Arial"/>
          <w:sz w:val="26"/>
          <w:szCs w:val="26"/>
        </w:rPr>
      </w:pPr>
    </w:p>
    <w:p w14:paraId="3CF38B6C" w14:textId="2F98160F" w:rsidR="00222167" w:rsidRDefault="00222167" w:rsidP="00222167">
      <w:pPr>
        <w:tabs>
          <w:tab w:val="center" w:pos="4135"/>
          <w:tab w:val="left" w:pos="7515"/>
        </w:tabs>
        <w:rPr>
          <w:rFonts w:ascii="Arial" w:hAnsi="Arial" w:cs="Arial"/>
          <w:sz w:val="26"/>
          <w:szCs w:val="26"/>
        </w:rPr>
      </w:pPr>
    </w:p>
    <w:p w14:paraId="7892F7D1" w14:textId="3939F9DF" w:rsidR="00A55538" w:rsidRDefault="00A55538" w:rsidP="00222167">
      <w:pPr>
        <w:tabs>
          <w:tab w:val="center" w:pos="4135"/>
          <w:tab w:val="left" w:pos="7515"/>
        </w:tabs>
        <w:rPr>
          <w:rFonts w:ascii="Arial" w:hAnsi="Arial" w:cs="Arial"/>
          <w:sz w:val="26"/>
          <w:szCs w:val="26"/>
        </w:rPr>
      </w:pPr>
    </w:p>
    <w:p w14:paraId="0033BE0D" w14:textId="77777777" w:rsidR="00A55538" w:rsidRDefault="00A55538" w:rsidP="00222167">
      <w:pPr>
        <w:tabs>
          <w:tab w:val="center" w:pos="4135"/>
          <w:tab w:val="left" w:pos="7515"/>
        </w:tabs>
        <w:rPr>
          <w:rFonts w:ascii="Arial" w:hAnsi="Arial" w:cs="Arial"/>
          <w:sz w:val="26"/>
          <w:szCs w:val="26"/>
        </w:rPr>
      </w:pPr>
    </w:p>
    <w:p w14:paraId="6638897F" w14:textId="77777777" w:rsidR="00222167" w:rsidRDefault="00222167" w:rsidP="00222167">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21FFB01F" w14:textId="77777777" w:rsidR="00222167" w:rsidRDefault="00222167" w:rsidP="00222167">
      <w:pPr>
        <w:tabs>
          <w:tab w:val="center" w:pos="4135"/>
          <w:tab w:val="left" w:pos="7515"/>
        </w:tabs>
        <w:jc w:val="center"/>
        <w:rPr>
          <w:rFonts w:ascii="Arial" w:hAnsi="Arial" w:cs="Arial"/>
          <w:sz w:val="26"/>
          <w:szCs w:val="26"/>
        </w:rPr>
      </w:pPr>
    </w:p>
    <w:p w14:paraId="691446B6" w14:textId="77777777" w:rsidR="00222167" w:rsidRDefault="00222167" w:rsidP="00222167">
      <w:pPr>
        <w:tabs>
          <w:tab w:val="center" w:pos="4135"/>
          <w:tab w:val="left" w:pos="7515"/>
        </w:tabs>
        <w:jc w:val="center"/>
        <w:rPr>
          <w:rFonts w:ascii="Arial" w:hAnsi="Arial" w:cs="Arial"/>
          <w:sz w:val="26"/>
          <w:szCs w:val="26"/>
        </w:rPr>
      </w:pPr>
    </w:p>
    <w:p w14:paraId="49E9AFD3" w14:textId="77777777" w:rsidR="00222167" w:rsidRDefault="00222167" w:rsidP="00222167">
      <w:pPr>
        <w:tabs>
          <w:tab w:val="center" w:pos="4135"/>
          <w:tab w:val="left" w:pos="7515"/>
        </w:tabs>
        <w:rPr>
          <w:rFonts w:ascii="Arial" w:hAnsi="Arial" w:cs="Arial"/>
          <w:sz w:val="26"/>
          <w:szCs w:val="26"/>
        </w:rPr>
      </w:pPr>
    </w:p>
    <w:p w14:paraId="250B0739" w14:textId="77777777" w:rsidR="00222167" w:rsidRDefault="00222167" w:rsidP="00222167">
      <w:pPr>
        <w:tabs>
          <w:tab w:val="center" w:pos="4135"/>
          <w:tab w:val="left" w:pos="7515"/>
        </w:tabs>
        <w:jc w:val="center"/>
        <w:rPr>
          <w:rFonts w:ascii="Arial" w:hAnsi="Arial" w:cs="Arial"/>
          <w:sz w:val="26"/>
          <w:szCs w:val="26"/>
        </w:rPr>
      </w:pPr>
    </w:p>
    <w:p w14:paraId="3320D9D1" w14:textId="77777777" w:rsidR="00222167" w:rsidRDefault="00222167" w:rsidP="0022216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GARCÍA CORONADO</w:t>
      </w:r>
    </w:p>
    <w:p w14:paraId="0E51050A" w14:textId="77777777" w:rsidR="00222167" w:rsidRDefault="00222167" w:rsidP="00222167">
      <w:pPr>
        <w:spacing w:after="0" w:line="240" w:lineRule="auto"/>
        <w:jc w:val="center"/>
        <w:rPr>
          <w:rFonts w:ascii="Arial" w:hAnsi="Arial" w:cs="Arial"/>
          <w:sz w:val="14"/>
          <w:szCs w:val="26"/>
        </w:rPr>
      </w:pPr>
      <w:r>
        <w:rPr>
          <w:rFonts w:ascii="Arial" w:hAnsi="Arial" w:cs="Arial"/>
          <w:sz w:val="26"/>
          <w:szCs w:val="26"/>
        </w:rPr>
        <w:t>SECRETARIO GENERAL DE ACUERDOS</w:t>
      </w:r>
    </w:p>
    <w:p w14:paraId="50453FE0" w14:textId="334379B5" w:rsidR="00BA258A" w:rsidRPr="00A25B7F" w:rsidRDefault="00BA258A" w:rsidP="00222167">
      <w:pPr>
        <w:spacing w:before="240" w:line="360" w:lineRule="auto"/>
        <w:ind w:firstLine="708"/>
        <w:jc w:val="both"/>
      </w:pPr>
    </w:p>
    <w:sectPr w:rsidR="00BA258A" w:rsidRPr="00A25B7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DD886" w14:textId="77777777" w:rsidR="005F1035" w:rsidRDefault="005F1035">
      <w:pPr>
        <w:spacing w:after="0" w:line="240" w:lineRule="auto"/>
      </w:pPr>
      <w:r>
        <w:separator/>
      </w:r>
    </w:p>
  </w:endnote>
  <w:endnote w:type="continuationSeparator" w:id="0">
    <w:p w14:paraId="09667E45" w14:textId="77777777" w:rsidR="005F1035" w:rsidRDefault="005F1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EC43739" w:rsidR="00A80DC8" w:rsidRDefault="003D1038">
    <w:pPr>
      <w:pStyle w:val="Piedepgina"/>
      <w:jc w:val="center"/>
    </w:pPr>
    <w:r>
      <w:rPr>
        <w:noProof/>
      </w:rPr>
      <mc:AlternateContent>
        <mc:Choice Requires="wps">
          <w:drawing>
            <wp:anchor distT="45720" distB="45720" distL="114300" distR="114300" simplePos="0" relativeHeight="251667456" behindDoc="0" locked="0" layoutInCell="1" allowOverlap="1" wp14:anchorId="261A9B13" wp14:editId="231357CB">
              <wp:simplePos x="0" y="0"/>
              <wp:positionH relativeFrom="column">
                <wp:posOffset>-1354759</wp:posOffset>
              </wp:positionH>
              <wp:positionV relativeFrom="paragraph">
                <wp:posOffset>-5013574</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E3E8B96" w14:textId="77777777" w:rsidR="003D1038" w:rsidRPr="00BB7E37" w:rsidRDefault="003D1038" w:rsidP="003D103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A9B13" id="_x0000_t202" coordsize="21600,21600" o:spt="202" path="m,l,21600r21600,l21600,xe">
              <v:stroke joinstyle="miter"/>
              <v:path gradientshapeok="t" o:connecttype="rect"/>
            </v:shapetype>
            <v:shape id="Cuadro de texto 2" o:spid="_x0000_s1026" type="#_x0000_t202" style="position:absolute;left:0;text-align:left;margin-left:-106.65pt;margin-top:-394.7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">
              <v:textbox>
                <w:txbxContent>
                  <w:p w14:paraId="1E3E8B96" w14:textId="77777777" w:rsidR="003D1038" w:rsidRPr="00BB7E37" w:rsidRDefault="003D1038" w:rsidP="003D103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739EA" w14:textId="77777777" w:rsidR="005F1035" w:rsidRDefault="005F1035">
      <w:pPr>
        <w:spacing w:after="0" w:line="240" w:lineRule="auto"/>
      </w:pPr>
      <w:r>
        <w:separator/>
      </w:r>
    </w:p>
  </w:footnote>
  <w:footnote w:type="continuationSeparator" w:id="0">
    <w:p w14:paraId="757D77F3" w14:textId="77777777" w:rsidR="005F1035" w:rsidRDefault="005F1035">
      <w:pPr>
        <w:spacing w:after="0" w:line="240" w:lineRule="auto"/>
      </w:pPr>
      <w:r>
        <w:continuationSeparator/>
      </w:r>
    </w:p>
  </w:footnote>
  <w:footnote w:id="1">
    <w:p w14:paraId="7E7C2AD1" w14:textId="77777777" w:rsidR="00A25B7F" w:rsidRPr="00B35C04" w:rsidRDefault="00A25B7F" w:rsidP="00A25B7F">
      <w:pPr>
        <w:pStyle w:val="Textonotapie"/>
        <w:jc w:val="both"/>
        <w:rPr>
          <w:rFonts w:ascii="Arial" w:hAnsi="Arial" w:cs="Arial"/>
          <w:i/>
        </w:rPr>
      </w:pPr>
      <w:r>
        <w:rPr>
          <w:rStyle w:val="Refdenotaalpie"/>
        </w:rPr>
        <w:footnoteRef/>
      </w:r>
      <w:r>
        <w:t xml:space="preserve"> </w:t>
      </w:r>
      <w:r w:rsidRPr="00B35C04">
        <w:rPr>
          <w:rFonts w:ascii="Arial" w:hAnsi="Arial" w:cs="Arial"/>
          <w:i/>
        </w:rPr>
        <w:t>“</w:t>
      </w:r>
      <w:r w:rsidRPr="00B35C04">
        <w:rPr>
          <w:rFonts w:ascii="Arial" w:hAnsi="Arial" w:cs="Arial"/>
          <w:b/>
          <w:i/>
        </w:rPr>
        <w:t xml:space="preserve">ARTÍCULO </w:t>
      </w:r>
      <w:r>
        <w:rPr>
          <w:rFonts w:ascii="Arial" w:hAnsi="Arial" w:cs="Arial"/>
          <w:b/>
          <w:i/>
        </w:rPr>
        <w:t>20</w:t>
      </w:r>
      <w:r w:rsidRPr="00B35C04">
        <w:rPr>
          <w:rFonts w:ascii="Arial" w:hAnsi="Arial" w:cs="Arial"/>
          <w:b/>
          <w:i/>
        </w:rPr>
        <w:t>3</w:t>
      </w:r>
      <w:r w:rsidRPr="00B35C04">
        <w:rPr>
          <w:rFonts w:ascii="Arial" w:hAnsi="Arial" w:cs="Arial"/>
          <w:i/>
        </w:rPr>
        <w:t>.- La valoración de las pruebas se hará de acuerdo con las siguientes reglas:</w:t>
      </w:r>
    </w:p>
    <w:p w14:paraId="7C83848A" w14:textId="77777777" w:rsidR="00A25B7F" w:rsidRPr="00B35C04" w:rsidRDefault="00A25B7F" w:rsidP="00A25B7F">
      <w:pPr>
        <w:pStyle w:val="Textonotapie"/>
        <w:jc w:val="both"/>
        <w:rPr>
          <w:rFonts w:ascii="Arial" w:hAnsi="Arial" w:cs="Arial"/>
          <w:i/>
        </w:rPr>
      </w:pPr>
      <w:r w:rsidRPr="00B35C04">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5C80A2A2" w14:textId="77777777" w:rsidR="00A25B7F" w:rsidRPr="00A054A2" w:rsidRDefault="00A25B7F" w:rsidP="00A25B7F">
      <w:pPr>
        <w:pStyle w:val="Textonotapie"/>
        <w:jc w:val="both"/>
      </w:pPr>
      <w:r>
        <w:rPr>
          <w:rStyle w:val="Refdenotaalpie"/>
        </w:rPr>
        <w:footnoteRef/>
      </w:r>
      <w:r>
        <w:t xml:space="preserve"> </w:t>
      </w:r>
      <w:r w:rsidRPr="004A5C80">
        <w:rPr>
          <w:rFonts w:ascii="Arial" w:hAnsi="Arial" w:cs="Arial"/>
        </w:rPr>
        <w:t>Visible a foja 10 (diez) del expediente 0001/2019 del índice de la Quinta Sala de Primera Instancia.</w:t>
      </w:r>
    </w:p>
  </w:footnote>
  <w:footnote w:id="3">
    <w:p w14:paraId="4DEC0E79" w14:textId="77777777" w:rsidR="00A25B7F" w:rsidRPr="00BF0A39" w:rsidRDefault="00A25B7F" w:rsidP="00A25B7F">
      <w:pPr>
        <w:pStyle w:val="Textonotapie"/>
        <w:rPr>
          <w:rFonts w:ascii="Arial" w:hAnsi="Arial" w:cs="Arial"/>
        </w:rPr>
      </w:pPr>
      <w:r w:rsidRPr="00BF0A39">
        <w:rPr>
          <w:rStyle w:val="Refdenotaalpie"/>
          <w:rFonts w:ascii="Arial" w:hAnsi="Arial" w:cs="Arial"/>
        </w:rPr>
        <w:footnoteRef/>
      </w:r>
      <w:r w:rsidRPr="00BF0A39">
        <w:rPr>
          <w:rFonts w:ascii="Arial" w:hAnsi="Arial" w:cs="Arial"/>
        </w:rPr>
        <w:t xml:space="preserve"> Consultable a fojas 0016 (dieciséis) a 0018 (dieciocho)</w:t>
      </w:r>
      <w:r>
        <w:rPr>
          <w:rFonts w:ascii="Arial" w:hAnsi="Arial" w:cs="Arial"/>
        </w:rPr>
        <w:t xml:space="preserve"> del expediente 0001/2019 del índice de la Quinta Sala de Primera Instancia.</w:t>
      </w:r>
    </w:p>
  </w:footnote>
  <w:footnote w:id="4">
    <w:p w14:paraId="73F407D4" w14:textId="77777777" w:rsidR="00A25B7F" w:rsidRPr="001742C6" w:rsidRDefault="00A25B7F" w:rsidP="00A25B7F">
      <w:pPr>
        <w:pStyle w:val="Textonotapie"/>
        <w:jc w:val="both"/>
      </w:pPr>
      <w:r>
        <w:rPr>
          <w:rStyle w:val="Refdenotaalpie"/>
        </w:rPr>
        <w:footnoteRef/>
      </w:r>
      <w:r>
        <w:t xml:space="preserve"> </w:t>
      </w:r>
      <w:r w:rsidRPr="001742C6">
        <w:rPr>
          <w:rFonts w:ascii="Arial" w:hAnsi="Arial" w:cs="Arial"/>
        </w:rPr>
        <w:t>Escrito de demanda consultable a fojas 03 (tres) a 08 (ocho) del mismo expediente 0001/2019.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695A921" w:rsidR="000F5C41" w:rsidRDefault="005F103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083118" w:rsidRPr="00083118">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C16B85D" w:rsidR="000F5C41" w:rsidRDefault="005F103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083118" w:rsidRPr="00083118">
          <w:rPr>
            <w:noProof/>
            <w:lang w:val="es-ES"/>
          </w:rPr>
          <w:t>19</w:t>
        </w:r>
        <w:r w:rsidR="000F5C41">
          <w:fldChar w:fldCharType="end"/>
        </w:r>
      </w:sdtContent>
    </w:sdt>
  </w:p>
  <w:p w14:paraId="51E22156" w14:textId="73813467"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FD04E0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6AA355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F103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A14"/>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37FCC"/>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118"/>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3AF"/>
    <w:rsid w:val="00142417"/>
    <w:rsid w:val="00143682"/>
    <w:rsid w:val="001441D3"/>
    <w:rsid w:val="001450E2"/>
    <w:rsid w:val="001460CF"/>
    <w:rsid w:val="001463E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02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167"/>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6FF"/>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038"/>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E5E"/>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035"/>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CE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D680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D05"/>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5B7F"/>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538"/>
    <w:rsid w:val="00A55822"/>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68E"/>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714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A476A-F0DC-4764-A948-A14E1BF43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22</Pages>
  <Words>7804</Words>
  <Characters>42922</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16</cp:revision>
  <cp:lastPrinted>2021-03-12T18:06:00Z</cp:lastPrinted>
  <dcterms:created xsi:type="dcterms:W3CDTF">2021-02-26T19:15:00Z</dcterms:created>
  <dcterms:modified xsi:type="dcterms:W3CDTF">2021-05-11T23:39:00Z</dcterms:modified>
</cp:coreProperties>
</file>