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2A2" w:rsidRPr="007B0581" w:rsidRDefault="00A412A2" w:rsidP="00A412A2">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A412A2" w:rsidRPr="007B0581" w:rsidRDefault="00A412A2" w:rsidP="00A412A2">
      <w:pPr>
        <w:pStyle w:val="corte4fondo"/>
        <w:spacing w:line="276" w:lineRule="auto"/>
        <w:ind w:left="3544" w:right="-521" w:firstLine="0"/>
        <w:rPr>
          <w:rFonts w:cs="Arial"/>
          <w:b/>
          <w:sz w:val="24"/>
          <w:szCs w:val="24"/>
        </w:rPr>
      </w:pPr>
    </w:p>
    <w:p w:rsidR="00A412A2" w:rsidRPr="007B0581" w:rsidRDefault="00A412A2" w:rsidP="00A412A2">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046</w:t>
      </w:r>
      <w:r w:rsidRPr="007B0581">
        <w:rPr>
          <w:rFonts w:cs="Arial"/>
          <w:b/>
          <w:bCs/>
          <w:sz w:val="24"/>
          <w:szCs w:val="24"/>
        </w:rPr>
        <w:t>/20</w:t>
      </w:r>
      <w:r>
        <w:rPr>
          <w:rFonts w:cs="Arial"/>
          <w:b/>
          <w:bCs/>
          <w:sz w:val="24"/>
          <w:szCs w:val="24"/>
        </w:rPr>
        <w:t>22</w:t>
      </w:r>
      <w:r w:rsidRPr="007B0581">
        <w:rPr>
          <w:rFonts w:cs="Arial"/>
          <w:sz w:val="24"/>
          <w:szCs w:val="24"/>
        </w:rPr>
        <w:t xml:space="preserve">. </w:t>
      </w:r>
    </w:p>
    <w:p w:rsidR="00A412A2" w:rsidRPr="007B0581" w:rsidRDefault="00A412A2" w:rsidP="00A412A2">
      <w:pPr>
        <w:pStyle w:val="corte4fondo"/>
        <w:spacing w:line="276" w:lineRule="auto"/>
        <w:ind w:left="3544" w:right="-521" w:firstLine="0"/>
        <w:rPr>
          <w:rFonts w:cs="Arial"/>
          <w:sz w:val="24"/>
          <w:szCs w:val="24"/>
        </w:rPr>
      </w:pPr>
    </w:p>
    <w:p w:rsidR="00A412A2" w:rsidRPr="007B0581" w:rsidRDefault="00A412A2" w:rsidP="00A412A2">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A412A2" w:rsidRPr="007B0581" w:rsidRDefault="00A412A2" w:rsidP="00A412A2">
      <w:pPr>
        <w:pStyle w:val="corte4fondo"/>
        <w:spacing w:line="276" w:lineRule="auto"/>
        <w:ind w:left="3544" w:right="-521" w:firstLine="0"/>
        <w:rPr>
          <w:rFonts w:cs="Arial"/>
          <w:b/>
          <w:i/>
          <w:sz w:val="24"/>
          <w:szCs w:val="24"/>
        </w:rPr>
      </w:pPr>
      <w:r w:rsidRPr="007B0581">
        <w:rPr>
          <w:rFonts w:cs="Arial"/>
          <w:b/>
          <w:i/>
          <w:sz w:val="24"/>
          <w:szCs w:val="24"/>
        </w:rPr>
        <w:t xml:space="preserve"> </w:t>
      </w:r>
    </w:p>
    <w:p w:rsidR="00A412A2" w:rsidRPr="007B0581" w:rsidRDefault="00A412A2" w:rsidP="00A412A2">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MUNICIPAL, ADSCRITO A LA DIRECCIÓN DE MOVILIDAD DEL MUNICIPIO DE OAXACA DE JUÁREZ, **********</w:t>
      </w:r>
      <w:r>
        <w:rPr>
          <w:rFonts w:cs="Arial"/>
          <w:b/>
          <w:sz w:val="24"/>
          <w:szCs w:val="24"/>
        </w:rPr>
        <w:t xml:space="preserve"> </w:t>
      </w:r>
      <w:r>
        <w:rPr>
          <w:rFonts w:cs="Arial"/>
          <w:b/>
          <w:sz w:val="24"/>
          <w:szCs w:val="24"/>
        </w:rPr>
        <w:t>PV-41</w:t>
      </w:r>
      <w:r w:rsidRPr="007B0581">
        <w:rPr>
          <w:rFonts w:cs="Arial"/>
          <w:bCs/>
          <w:sz w:val="24"/>
          <w:szCs w:val="24"/>
        </w:rPr>
        <w:t>.</w:t>
      </w:r>
    </w:p>
    <w:p w:rsidR="00A412A2" w:rsidRPr="007B0581" w:rsidRDefault="00A412A2" w:rsidP="00A412A2">
      <w:pPr>
        <w:pStyle w:val="corte4fondo"/>
        <w:spacing w:line="276" w:lineRule="auto"/>
        <w:ind w:left="3544" w:right="51" w:firstLine="0"/>
        <w:rPr>
          <w:rFonts w:cs="Arial"/>
          <w:bCs/>
          <w:sz w:val="24"/>
          <w:szCs w:val="24"/>
        </w:rPr>
      </w:pPr>
    </w:p>
    <w:p w:rsidR="00A412A2" w:rsidRPr="007B0581" w:rsidRDefault="00A412A2" w:rsidP="00A412A2">
      <w:pPr>
        <w:pStyle w:val="corte4fondo"/>
        <w:spacing w:line="276" w:lineRule="auto"/>
        <w:ind w:left="3544" w:right="51" w:firstLine="0"/>
        <w:rPr>
          <w:rFonts w:cs="Arial"/>
          <w:bCs/>
          <w:sz w:val="24"/>
          <w:szCs w:val="24"/>
        </w:rPr>
      </w:pPr>
    </w:p>
    <w:p w:rsidR="00A412A2" w:rsidRDefault="00A412A2" w:rsidP="00A412A2">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VEINTINUEVE DE AGOSTO</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A412A2" w:rsidRDefault="00A412A2" w:rsidP="00A412A2">
      <w:pPr>
        <w:spacing w:line="360" w:lineRule="auto"/>
        <w:jc w:val="both"/>
        <w:rPr>
          <w:rFonts w:ascii="Arial" w:hAnsi="Arial" w:cs="Arial"/>
          <w:b/>
          <w:sz w:val="24"/>
          <w:szCs w:val="24"/>
        </w:rPr>
      </w:pPr>
      <w:r w:rsidRPr="007B0581">
        <w:rPr>
          <w:rFonts w:ascii="Arial" w:hAnsi="Arial" w:cs="Arial"/>
          <w:b/>
          <w:sz w:val="24"/>
          <w:szCs w:val="24"/>
        </w:rPr>
        <w:t xml:space="preserve"> </w:t>
      </w:r>
    </w:p>
    <w:p w:rsidR="00A412A2" w:rsidRPr="007B0581" w:rsidRDefault="00A412A2" w:rsidP="00A412A2">
      <w:pPr>
        <w:contextualSpacing/>
        <w:jc w:val="both"/>
        <w:rPr>
          <w:rFonts w:ascii="Arial" w:hAnsi="Arial" w:cs="Arial"/>
          <w:b/>
          <w:sz w:val="24"/>
          <w:szCs w:val="24"/>
        </w:rPr>
      </w:pPr>
    </w:p>
    <w:p w:rsidR="00A412A2" w:rsidRDefault="00A412A2" w:rsidP="00A412A2">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0046</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veintiuno de mayo de dos mil veintidós</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sidRPr="00187FC0">
        <w:rPr>
          <w:rFonts w:ascii="Arial" w:hAnsi="Arial" w:cs="Arial"/>
          <w:b/>
          <w:bCs/>
          <w:sz w:val="24"/>
          <w:szCs w:val="24"/>
        </w:rPr>
        <w:t xml:space="preserve"> </w:t>
      </w:r>
      <w:r>
        <w:rPr>
          <w:rFonts w:ascii="Arial" w:hAnsi="Arial" w:cs="Arial"/>
          <w:sz w:val="24"/>
          <w:szCs w:val="24"/>
        </w:rPr>
        <w:t xml:space="preserve">con número estadístico PV-41, adscrito a la Dirección de Movilidad del Municipio de Oaxaca de Juárez, </w:t>
      </w:r>
      <w:r>
        <w:rPr>
          <w:rFonts w:cs="Arial"/>
          <w:b/>
          <w:sz w:val="24"/>
          <w:szCs w:val="24"/>
        </w:rPr>
        <w:t>**********</w:t>
      </w:r>
      <w:r w:rsidRPr="007B0581">
        <w:rPr>
          <w:rFonts w:ascii="Arial" w:hAnsi="Arial" w:cs="Arial"/>
          <w:sz w:val="24"/>
          <w:szCs w:val="24"/>
        </w:rPr>
        <w:t>, y;</w:t>
      </w:r>
      <w:r w:rsidRPr="007B0581">
        <w:rPr>
          <w:rFonts w:ascii="Arial" w:hAnsi="Arial" w:cs="Arial"/>
          <w:b/>
          <w:bCs/>
          <w:sz w:val="24"/>
          <w:szCs w:val="24"/>
        </w:rPr>
        <w:t xml:space="preserve"> </w:t>
      </w:r>
    </w:p>
    <w:p w:rsidR="00A412A2" w:rsidRPr="007B0581" w:rsidRDefault="00A412A2" w:rsidP="00A412A2">
      <w:pPr>
        <w:spacing w:line="360" w:lineRule="auto"/>
        <w:jc w:val="both"/>
        <w:rPr>
          <w:rFonts w:ascii="Arial" w:hAnsi="Arial" w:cs="Arial"/>
          <w:b/>
          <w:bCs/>
          <w:sz w:val="24"/>
          <w:szCs w:val="24"/>
        </w:rPr>
      </w:pPr>
    </w:p>
    <w:bookmarkEnd w:id="1"/>
    <w:p w:rsidR="00A412A2" w:rsidRPr="007B0581" w:rsidRDefault="00A412A2" w:rsidP="00A412A2">
      <w:pPr>
        <w:contextualSpacing/>
        <w:jc w:val="both"/>
        <w:rPr>
          <w:rFonts w:ascii="Arial" w:hAnsi="Arial" w:cs="Arial"/>
          <w:sz w:val="24"/>
          <w:szCs w:val="24"/>
        </w:rPr>
      </w:pPr>
    </w:p>
    <w:p w:rsidR="00A412A2" w:rsidRDefault="00A412A2" w:rsidP="00A412A2">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Pr>
          <w:rFonts w:ascii="Arial" w:hAnsi="Arial" w:cs="Arial"/>
          <w:b/>
          <w:spacing w:val="-3"/>
          <w:sz w:val="24"/>
          <w:szCs w:val="24"/>
          <w:lang w:val="es-ES_tradnl"/>
        </w:rPr>
        <w:t xml:space="preserve"> S U L T A N D O</w:t>
      </w:r>
    </w:p>
    <w:p w:rsidR="00A412A2" w:rsidRPr="007B0581" w:rsidRDefault="00A412A2" w:rsidP="00A412A2">
      <w:pPr>
        <w:spacing w:line="360" w:lineRule="auto"/>
        <w:ind w:firstLine="708"/>
        <w:jc w:val="center"/>
        <w:rPr>
          <w:rFonts w:ascii="Arial" w:hAnsi="Arial" w:cs="Arial"/>
          <w:b/>
          <w:spacing w:val="-3"/>
          <w:sz w:val="24"/>
          <w:szCs w:val="24"/>
          <w:lang w:val="es-ES_tradnl"/>
        </w:rPr>
      </w:pPr>
    </w:p>
    <w:p w:rsidR="00A412A2" w:rsidRPr="007B0581" w:rsidRDefault="00A412A2" w:rsidP="00A412A2">
      <w:pPr>
        <w:contextualSpacing/>
        <w:jc w:val="both"/>
        <w:rPr>
          <w:rFonts w:ascii="Arial" w:hAnsi="Arial" w:cs="Arial"/>
          <w:b/>
          <w:spacing w:val="-3"/>
          <w:sz w:val="24"/>
          <w:szCs w:val="24"/>
          <w:lang w:val="es-ES_tradnl"/>
        </w:rPr>
      </w:pPr>
    </w:p>
    <w:p w:rsidR="00A412A2" w:rsidRPr="007B0581" w:rsidRDefault="00A412A2" w:rsidP="00A412A2">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nueve de junio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veintiuno de mayo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sidRPr="00187FC0">
        <w:rPr>
          <w:rFonts w:ascii="Arial" w:hAnsi="Arial" w:cs="Arial"/>
          <w:b/>
          <w:bCs/>
          <w:sz w:val="24"/>
          <w:szCs w:val="24"/>
        </w:rPr>
        <w:t xml:space="preserve"> </w:t>
      </w:r>
      <w:r>
        <w:rPr>
          <w:rFonts w:ascii="Arial" w:hAnsi="Arial" w:cs="Arial"/>
          <w:sz w:val="24"/>
          <w:szCs w:val="24"/>
        </w:rPr>
        <w:t xml:space="preserve">con número estadístico PV-41, adscrito a la Dirección de Movilidad del Municipio de Oaxaca de Juárez, </w:t>
      </w:r>
      <w:r>
        <w:rPr>
          <w:rFonts w:cs="Arial"/>
          <w:b/>
          <w:sz w:val="24"/>
          <w:szCs w:val="24"/>
        </w:rPr>
        <w:t>**********</w:t>
      </w:r>
      <w:r w:rsidRPr="007B0581">
        <w:rPr>
          <w:rFonts w:ascii="Arial" w:hAnsi="Arial" w:cs="Arial"/>
          <w:sz w:val="24"/>
          <w:szCs w:val="24"/>
        </w:rPr>
        <w:t xml:space="preserve">. </w:t>
      </w:r>
    </w:p>
    <w:bookmarkEnd w:id="2"/>
    <w:p w:rsidR="00A412A2" w:rsidRPr="007B0581" w:rsidRDefault="00A412A2" w:rsidP="00A412A2">
      <w:pPr>
        <w:contextualSpacing/>
        <w:jc w:val="both"/>
        <w:rPr>
          <w:rFonts w:ascii="Arial" w:hAnsi="Arial" w:cs="Arial"/>
          <w:sz w:val="24"/>
          <w:szCs w:val="24"/>
        </w:rPr>
      </w:pPr>
    </w:p>
    <w:p w:rsidR="00A412A2" w:rsidRPr="007B0581" w:rsidRDefault="00A412A2" w:rsidP="00A412A2">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 xml:space="preserve">diez de junio de dos mil veintidós, </w:t>
      </w:r>
      <w:r w:rsidRPr="007B0581">
        <w:rPr>
          <w:rFonts w:ascii="Arial" w:hAnsi="Arial" w:cs="Arial"/>
          <w:sz w:val="24"/>
          <w:szCs w:val="24"/>
        </w:rPr>
        <w:t xml:space="preserve">se admitió a trámite la demanda, ordenándose notificar, emplazar y correr traslado a la autoridad demandada, para que produjera su contestación en los términos de ley. </w:t>
      </w:r>
    </w:p>
    <w:p w:rsidR="00A412A2" w:rsidRPr="007B0581" w:rsidRDefault="00A412A2" w:rsidP="00A412A2">
      <w:pPr>
        <w:pStyle w:val="corte4fondo"/>
        <w:spacing w:line="240" w:lineRule="auto"/>
        <w:ind w:right="51" w:firstLine="567"/>
        <w:contextualSpacing/>
        <w:rPr>
          <w:rFonts w:cs="Arial"/>
          <w:bCs/>
          <w:sz w:val="24"/>
          <w:szCs w:val="24"/>
        </w:rPr>
      </w:pPr>
      <w:r w:rsidRPr="007B0581">
        <w:rPr>
          <w:rFonts w:cs="Arial"/>
          <w:bCs/>
          <w:sz w:val="24"/>
          <w:szCs w:val="24"/>
        </w:rPr>
        <w:tab/>
      </w:r>
    </w:p>
    <w:p w:rsidR="00A412A2" w:rsidRDefault="00A412A2" w:rsidP="00A412A2">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seis de julio de dos mil veintidós</w:t>
      </w:r>
      <w:r w:rsidRPr="007B0581">
        <w:rPr>
          <w:rFonts w:cs="Arial"/>
          <w:bCs/>
          <w:sz w:val="24"/>
          <w:szCs w:val="24"/>
        </w:rPr>
        <w:t>, se tuvo</w:t>
      </w:r>
      <w:r>
        <w:rPr>
          <w:rFonts w:cs="Arial"/>
          <w:bCs/>
          <w:sz w:val="24"/>
          <w:szCs w:val="24"/>
        </w:rPr>
        <w:t xml:space="preserve"> a la autoridad demandada</w:t>
      </w:r>
      <w:r w:rsidRPr="007B0581">
        <w:rPr>
          <w:rFonts w:cs="Arial"/>
          <w:sz w:val="24"/>
          <w:szCs w:val="24"/>
        </w:rPr>
        <w:t xml:space="preserve"> </w:t>
      </w:r>
      <w:r>
        <w:rPr>
          <w:rFonts w:cs="Arial"/>
          <w:b/>
          <w:bCs/>
          <w:sz w:val="24"/>
          <w:szCs w:val="24"/>
        </w:rPr>
        <w:t>P</w:t>
      </w:r>
      <w:r w:rsidRPr="00187FC0">
        <w:rPr>
          <w:rFonts w:cs="Arial"/>
          <w:b/>
          <w:bCs/>
          <w:sz w:val="24"/>
          <w:szCs w:val="24"/>
        </w:rPr>
        <w:t>olicía Vial</w:t>
      </w:r>
      <w:r>
        <w:rPr>
          <w:rFonts w:cs="Arial"/>
          <w:b/>
          <w:bCs/>
          <w:sz w:val="24"/>
          <w:szCs w:val="24"/>
        </w:rPr>
        <w:t xml:space="preserve"> Municipal</w:t>
      </w:r>
      <w:r w:rsidRPr="00187FC0">
        <w:rPr>
          <w:rFonts w:cs="Arial"/>
          <w:b/>
          <w:bCs/>
          <w:sz w:val="24"/>
          <w:szCs w:val="24"/>
        </w:rPr>
        <w:t xml:space="preserve"> </w:t>
      </w:r>
      <w:r w:rsidRPr="002778A5">
        <w:rPr>
          <w:rFonts w:cs="Arial"/>
          <w:sz w:val="24"/>
          <w:szCs w:val="24"/>
        </w:rPr>
        <w:t>con número estadístico</w:t>
      </w:r>
      <w:r>
        <w:rPr>
          <w:rFonts w:cs="Arial"/>
          <w:b/>
          <w:bCs/>
          <w:sz w:val="24"/>
          <w:szCs w:val="24"/>
        </w:rPr>
        <w:t xml:space="preserve"> </w:t>
      </w:r>
      <w:r w:rsidRPr="00266F89">
        <w:rPr>
          <w:rFonts w:cs="Arial"/>
          <w:sz w:val="24"/>
          <w:szCs w:val="24"/>
        </w:rPr>
        <w:t>PV-</w:t>
      </w:r>
      <w:r>
        <w:rPr>
          <w:rFonts w:cs="Arial"/>
          <w:sz w:val="24"/>
          <w:szCs w:val="24"/>
        </w:rPr>
        <w:t>41</w:t>
      </w:r>
      <w:r>
        <w:rPr>
          <w:rFonts w:cs="Arial"/>
          <w:b/>
          <w:bCs/>
          <w:sz w:val="24"/>
          <w:szCs w:val="24"/>
        </w:rPr>
        <w:t xml:space="preserve">, </w:t>
      </w:r>
      <w:r>
        <w:rPr>
          <w:rFonts w:cs="Arial"/>
          <w:b/>
          <w:sz w:val="24"/>
          <w:szCs w:val="24"/>
        </w:rPr>
        <w:t>**********</w:t>
      </w:r>
      <w:r w:rsidRPr="007B0581">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y </w:t>
      </w:r>
      <w:r w:rsidRPr="007B0581">
        <w:rPr>
          <w:rFonts w:cs="Arial"/>
          <w:sz w:val="24"/>
          <w:szCs w:val="24"/>
        </w:rPr>
        <w:lastRenderedPageBreak/>
        <w:t>por admitidas las pruebas ofrecidas,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xml:space="preserve">. Asimismo, se señalaron las ONCE HORAS del día DIECISÉIS DE AGOSTO DE DOS MIL VEINTIDÓS, para la celebración de la audiencia final. </w:t>
      </w:r>
    </w:p>
    <w:p w:rsidR="00A412A2" w:rsidRDefault="00A412A2" w:rsidP="00A412A2">
      <w:pPr>
        <w:pStyle w:val="corte4fondo"/>
        <w:ind w:right="51" w:firstLine="567"/>
        <w:rPr>
          <w:rFonts w:cs="Arial"/>
          <w:sz w:val="24"/>
          <w:szCs w:val="24"/>
        </w:rPr>
      </w:pPr>
    </w:p>
    <w:p w:rsidR="00A412A2" w:rsidRPr="007B0581" w:rsidRDefault="00A412A2" w:rsidP="00A412A2">
      <w:pPr>
        <w:pStyle w:val="corte4fondo"/>
        <w:ind w:right="51" w:firstLine="567"/>
        <w:rPr>
          <w:rFonts w:cs="Arial"/>
          <w:b/>
          <w:bCs/>
          <w:sz w:val="24"/>
          <w:szCs w:val="24"/>
        </w:rPr>
      </w:pPr>
      <w:r w:rsidRPr="007B0581">
        <w:rPr>
          <w:rFonts w:cs="Arial"/>
          <w:b/>
          <w:bCs/>
          <w:sz w:val="24"/>
          <w:szCs w:val="24"/>
        </w:rPr>
        <w:t xml:space="preserve">CUARTO. </w:t>
      </w:r>
      <w:r>
        <w:rPr>
          <w:rFonts w:cs="Arial"/>
          <w:b/>
          <w:bCs/>
          <w:sz w:val="24"/>
          <w:szCs w:val="24"/>
        </w:rPr>
        <w:t xml:space="preserve">- </w:t>
      </w:r>
      <w:r>
        <w:rPr>
          <w:rFonts w:cs="Arial"/>
          <w:sz w:val="24"/>
          <w:szCs w:val="24"/>
        </w:rPr>
        <w:t>E</w:t>
      </w:r>
      <w:r w:rsidRPr="007B0581">
        <w:rPr>
          <w:rFonts w:cs="Arial"/>
          <w:sz w:val="24"/>
          <w:szCs w:val="24"/>
          <w:lang w:val="es-ES"/>
        </w:rPr>
        <w:t xml:space="preserve">l </w:t>
      </w:r>
      <w:r>
        <w:rPr>
          <w:rFonts w:cs="Arial"/>
          <w:sz w:val="24"/>
          <w:szCs w:val="24"/>
          <w:lang w:val="es-ES"/>
        </w:rPr>
        <w:t>dieciséis de agosto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 alegatos por escrito, </w:t>
      </w:r>
      <w:r w:rsidRPr="004012A8">
        <w:rPr>
          <w:rFonts w:cs="Arial"/>
          <w:sz w:val="24"/>
          <w:szCs w:val="24"/>
        </w:rPr>
        <w:t>por conducto de su autorizada</w:t>
      </w:r>
      <w:r>
        <w:rPr>
          <w:rFonts w:cs="Arial"/>
          <w:sz w:val="24"/>
          <w:szCs w:val="24"/>
        </w:rPr>
        <w:t xml:space="preserve"> legal</w:t>
      </w:r>
      <w:r w:rsidRPr="00402863">
        <w:rPr>
          <w:rFonts w:cs="Arial"/>
          <w:sz w:val="24"/>
          <w:szCs w:val="24"/>
        </w:rPr>
        <w:t>,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A412A2" w:rsidRDefault="00A412A2" w:rsidP="00A412A2">
      <w:pPr>
        <w:pStyle w:val="corte4fondo"/>
        <w:ind w:right="51" w:firstLine="567"/>
        <w:rPr>
          <w:rFonts w:cs="Arial"/>
          <w:b/>
          <w:spacing w:val="-3"/>
          <w:sz w:val="24"/>
          <w:szCs w:val="24"/>
        </w:rPr>
      </w:pPr>
    </w:p>
    <w:p w:rsidR="00A412A2" w:rsidRPr="007B0581" w:rsidRDefault="00A412A2" w:rsidP="00A412A2">
      <w:pPr>
        <w:pStyle w:val="corte4fondo"/>
        <w:ind w:right="51" w:firstLine="567"/>
        <w:rPr>
          <w:rFonts w:cs="Arial"/>
          <w:b/>
          <w:spacing w:val="-3"/>
          <w:sz w:val="24"/>
          <w:szCs w:val="24"/>
        </w:rPr>
      </w:pPr>
    </w:p>
    <w:p w:rsidR="00A412A2" w:rsidRDefault="00A412A2" w:rsidP="00A412A2">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A412A2" w:rsidRDefault="00A412A2" w:rsidP="00A412A2">
      <w:pPr>
        <w:pStyle w:val="corte4fondo"/>
        <w:ind w:right="51" w:firstLine="567"/>
        <w:jc w:val="center"/>
        <w:rPr>
          <w:rFonts w:cs="Arial"/>
          <w:b/>
          <w:spacing w:val="-3"/>
          <w:sz w:val="24"/>
          <w:szCs w:val="24"/>
        </w:rPr>
      </w:pPr>
    </w:p>
    <w:p w:rsidR="00A412A2" w:rsidRPr="007B0581" w:rsidRDefault="00A412A2" w:rsidP="00A412A2">
      <w:pPr>
        <w:pStyle w:val="corte4fondo"/>
        <w:spacing w:line="240" w:lineRule="auto"/>
        <w:ind w:right="51" w:firstLine="567"/>
        <w:contextualSpacing/>
        <w:rPr>
          <w:rFonts w:cs="Arial"/>
          <w:bCs/>
          <w:sz w:val="24"/>
          <w:szCs w:val="24"/>
        </w:rPr>
      </w:pPr>
    </w:p>
    <w:p w:rsidR="00A412A2" w:rsidRPr="007B0581" w:rsidRDefault="00A412A2" w:rsidP="00A412A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 xml:space="preserve"> la autoridad Municipal</w:t>
      </w:r>
      <w:r w:rsidRPr="007B0581">
        <w:rPr>
          <w:rFonts w:ascii="Arial" w:hAnsi="Arial" w:cs="Arial"/>
          <w:sz w:val="24"/>
          <w:szCs w:val="24"/>
        </w:rPr>
        <w:t xml:space="preserve">, con fundamento en el artículo 114 QUATER, párrafo primero, inciso B, </w:t>
      </w:r>
      <w:r w:rsidRPr="004012A8">
        <w:rPr>
          <w:rFonts w:ascii="Arial" w:hAnsi="Arial" w:cs="Arial"/>
          <w:sz w:val="24"/>
          <w:szCs w:val="24"/>
        </w:rPr>
        <w:t>fracción VII</w:t>
      </w:r>
      <w:r w:rsidRPr="009730A5">
        <w:rPr>
          <w:rFonts w:ascii="Arial" w:hAnsi="Arial" w:cs="Arial"/>
          <w:sz w:val="24"/>
          <w:szCs w:val="24"/>
        </w:rPr>
        <w:t xml:space="preserve"> d</w:t>
      </w:r>
      <w:r w:rsidRPr="007B0581">
        <w:rPr>
          <w:rFonts w:ascii="Arial" w:hAnsi="Arial" w:cs="Arial"/>
          <w:sz w:val="24"/>
          <w:szCs w:val="24"/>
        </w:rPr>
        <w:t>e la Constitución Política del Estado Libre y Soberano de Oaxaca; 120, fracción I</w:t>
      </w:r>
      <w:r>
        <w:rPr>
          <w:rFonts w:ascii="Arial" w:hAnsi="Arial" w:cs="Arial"/>
          <w:sz w:val="24"/>
          <w:szCs w:val="24"/>
        </w:rPr>
        <w:t>V</w:t>
      </w:r>
      <w:r w:rsidRPr="007B0581">
        <w:rPr>
          <w:rFonts w:ascii="Arial" w:hAnsi="Arial" w:cs="Arial"/>
          <w:sz w:val="24"/>
          <w:szCs w:val="24"/>
        </w:rPr>
        <w:t xml:space="preserve">, 132 </w:t>
      </w:r>
      <w:r w:rsidRPr="006B78DE">
        <w:rPr>
          <w:rFonts w:ascii="Arial" w:hAnsi="Arial" w:cs="Arial"/>
          <w:sz w:val="24"/>
          <w:szCs w:val="24"/>
        </w:rPr>
        <w:t>fracciones I y II</w:t>
      </w:r>
      <w:r w:rsidRPr="007B0581">
        <w:rPr>
          <w:rFonts w:ascii="Arial" w:hAnsi="Arial" w:cs="Arial"/>
          <w:sz w:val="24"/>
          <w:szCs w:val="24"/>
        </w:rPr>
        <w:t xml:space="preserve">, 133 fracción I, 146 y 147 de la Ley de Procedimiento y Justicia Administrativa para el Estado de Oaxaca. </w:t>
      </w:r>
    </w:p>
    <w:p w:rsidR="00A412A2" w:rsidRPr="007B0581" w:rsidRDefault="00A412A2" w:rsidP="00A412A2">
      <w:pPr>
        <w:spacing w:line="360" w:lineRule="auto"/>
        <w:jc w:val="both"/>
        <w:rPr>
          <w:rFonts w:ascii="Arial" w:hAnsi="Arial" w:cs="Arial"/>
          <w:sz w:val="24"/>
          <w:szCs w:val="24"/>
        </w:rPr>
      </w:pPr>
      <w:r w:rsidRPr="007B0581">
        <w:rPr>
          <w:rFonts w:ascii="Arial" w:hAnsi="Arial" w:cs="Arial"/>
          <w:sz w:val="24"/>
          <w:szCs w:val="24"/>
        </w:rPr>
        <w:t xml:space="preserve"> </w:t>
      </w:r>
    </w:p>
    <w:p w:rsidR="00A412A2" w:rsidRDefault="00A412A2" w:rsidP="00A412A2">
      <w:pPr>
        <w:spacing w:line="360" w:lineRule="auto"/>
        <w:ind w:right="51" w:firstLine="709"/>
        <w:jc w:val="both"/>
        <w:rPr>
          <w:rFonts w:ascii="Arial" w:hAnsi="Arial" w:cs="Arial"/>
          <w:snapToGrid w:val="0"/>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w:t>
      </w:r>
      <w:r w:rsidRPr="007B0581">
        <w:rPr>
          <w:rFonts w:ascii="Arial" w:hAnsi="Arial" w:cs="Arial"/>
          <w:sz w:val="24"/>
          <w:szCs w:val="24"/>
        </w:rPr>
        <w:t>l actor promueve por su propio derecho y</w:t>
      </w:r>
      <w:r>
        <w:rPr>
          <w:rFonts w:ascii="Arial" w:hAnsi="Arial" w:cs="Arial"/>
          <w:sz w:val="24"/>
          <w:szCs w:val="24"/>
        </w:rPr>
        <w:t xml:space="preserve"> la</w:t>
      </w:r>
      <w:r w:rsidRPr="007B0581">
        <w:rPr>
          <w:rFonts w:ascii="Arial" w:hAnsi="Arial" w:cs="Arial"/>
          <w:sz w:val="24"/>
          <w:szCs w:val="24"/>
        </w:rPr>
        <w:t xml:space="preserve"> </w:t>
      </w:r>
      <w:r>
        <w:rPr>
          <w:rFonts w:ascii="Arial" w:hAnsi="Arial" w:cs="Arial"/>
          <w:sz w:val="24"/>
          <w:szCs w:val="24"/>
        </w:rPr>
        <w:t>de la autoridad demandada con copia de su nombramiento y, en términos de</w:t>
      </w:r>
      <w:r w:rsidRPr="007B0581">
        <w:rPr>
          <w:rFonts w:ascii="Arial" w:hAnsi="Arial" w:cs="Arial"/>
          <w:sz w:val="24"/>
          <w:szCs w:val="24"/>
        </w:rPr>
        <w:t xml:space="preserve"> </w:t>
      </w:r>
      <w:r>
        <w:rPr>
          <w:rFonts w:ascii="Arial" w:hAnsi="Arial" w:cs="Arial"/>
          <w:sz w:val="24"/>
          <w:szCs w:val="24"/>
        </w:rPr>
        <w:t>los</w:t>
      </w:r>
      <w:r w:rsidRPr="007B0581">
        <w:rPr>
          <w:rFonts w:ascii="Arial" w:hAnsi="Arial" w:cs="Arial"/>
          <w:sz w:val="24"/>
          <w:szCs w:val="24"/>
        </w:rPr>
        <w:t xml:space="preserve"> artículo</w:t>
      </w:r>
      <w:r>
        <w:rPr>
          <w:rFonts w:ascii="Arial" w:hAnsi="Arial" w:cs="Arial"/>
          <w:sz w:val="24"/>
          <w:szCs w:val="24"/>
        </w:rPr>
        <w:t>s 148 y,</w:t>
      </w:r>
      <w:r w:rsidRPr="007B0581">
        <w:rPr>
          <w:rFonts w:ascii="Arial" w:hAnsi="Arial" w:cs="Arial"/>
          <w:sz w:val="24"/>
          <w:szCs w:val="24"/>
        </w:rPr>
        <w:t xml:space="preserve"> </w:t>
      </w:r>
      <w:r>
        <w:rPr>
          <w:rFonts w:ascii="Arial" w:hAnsi="Arial" w:cs="Arial"/>
          <w:sz w:val="24"/>
          <w:szCs w:val="24"/>
        </w:rPr>
        <w:t xml:space="preserve">151 </w:t>
      </w:r>
      <w:r w:rsidRPr="007B0581">
        <w:rPr>
          <w:rFonts w:ascii="Arial" w:hAnsi="Arial" w:cs="Arial"/>
          <w:snapToGrid w:val="0"/>
          <w:sz w:val="24"/>
          <w:szCs w:val="24"/>
        </w:rPr>
        <w:t>de la Ley de Procedimiento y Justicia Administrativa para el Estado de Oaxaca</w:t>
      </w:r>
      <w:r>
        <w:rPr>
          <w:rFonts w:ascii="Arial" w:hAnsi="Arial" w:cs="Arial"/>
          <w:snapToGrid w:val="0"/>
          <w:sz w:val="24"/>
          <w:szCs w:val="24"/>
        </w:rPr>
        <w:t>.</w:t>
      </w:r>
      <w:r w:rsidRPr="007B0581">
        <w:rPr>
          <w:rFonts w:ascii="Arial" w:hAnsi="Arial" w:cs="Arial"/>
          <w:snapToGrid w:val="0"/>
          <w:sz w:val="24"/>
          <w:szCs w:val="24"/>
        </w:rPr>
        <w:t xml:space="preserve">  </w:t>
      </w:r>
    </w:p>
    <w:p w:rsidR="00A412A2" w:rsidRPr="007B0581" w:rsidRDefault="00A412A2" w:rsidP="00A412A2">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A412A2" w:rsidRDefault="00A412A2" w:rsidP="00A412A2">
      <w:pPr>
        <w:pStyle w:val="corte4fondo"/>
        <w:ind w:right="51" w:firstLine="567"/>
        <w:rPr>
          <w:rFonts w:cs="Arial"/>
          <w:sz w:val="24"/>
          <w:szCs w:val="24"/>
        </w:rPr>
      </w:pPr>
      <w:r w:rsidRPr="007B0581">
        <w:rPr>
          <w:rFonts w:cs="Arial"/>
          <w:sz w:val="24"/>
          <w:szCs w:val="24"/>
        </w:rPr>
        <w:tab/>
      </w:r>
      <w:r w:rsidRPr="006B78DE">
        <w:rPr>
          <w:rFonts w:cs="Arial"/>
          <w:b/>
          <w:sz w:val="24"/>
          <w:szCs w:val="24"/>
        </w:rPr>
        <w:t>TERCER</w:t>
      </w:r>
      <w:r w:rsidRPr="007B0581">
        <w:rPr>
          <w:rFonts w:cs="Arial"/>
          <w:b/>
          <w:sz w:val="24"/>
          <w:szCs w:val="24"/>
        </w:rPr>
        <w:t>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lo cual conlleve a decretar el sobreseimiento del mismo, de conformidad con lo establecido en los artículos 161 y 162 de la Ley de Procedimiento y Justicia Administrativa para el Estado de Oaxaca;</w:t>
      </w:r>
      <w:r>
        <w:rPr>
          <w:rFonts w:cs="Arial"/>
          <w:sz w:val="24"/>
          <w:szCs w:val="24"/>
        </w:rPr>
        <w:t xml:space="preserve"> en ese sentido la autoridad demandada refiere que se actualiza la causal de improcedencia establecida en el artículo 161, fracciones V, VI, y X de la ley en cita que a la letra dice:</w:t>
      </w:r>
    </w:p>
    <w:p w:rsidR="00A412A2" w:rsidRDefault="00A412A2" w:rsidP="00A412A2">
      <w:pPr>
        <w:pStyle w:val="corte4fondo"/>
        <w:ind w:right="51" w:firstLine="567"/>
        <w:rPr>
          <w:rFonts w:cs="Arial"/>
          <w:sz w:val="24"/>
          <w:szCs w:val="24"/>
        </w:rPr>
      </w:pPr>
    </w:p>
    <w:p w:rsidR="00A412A2" w:rsidRPr="00B4265D" w:rsidRDefault="00A412A2" w:rsidP="00A412A2">
      <w:pPr>
        <w:pStyle w:val="corte4fondo"/>
        <w:ind w:right="51" w:firstLine="567"/>
        <w:rPr>
          <w:rFonts w:cs="Arial"/>
          <w:i/>
          <w:iCs/>
          <w:sz w:val="24"/>
          <w:szCs w:val="24"/>
        </w:rPr>
      </w:pPr>
      <w:r w:rsidRPr="00B4265D">
        <w:rPr>
          <w:rFonts w:cs="Arial"/>
          <w:i/>
          <w:iCs/>
          <w:sz w:val="24"/>
          <w:szCs w:val="24"/>
        </w:rPr>
        <w:lastRenderedPageBreak/>
        <w:t>“ARTÍCULO 161.- Es improcedente el juicio ante el Tribunal contra actos:</w:t>
      </w:r>
    </w:p>
    <w:p w:rsidR="00A412A2" w:rsidRPr="00B4265D" w:rsidRDefault="00A412A2" w:rsidP="00A412A2">
      <w:pPr>
        <w:pStyle w:val="corte4fondo"/>
        <w:ind w:right="51" w:firstLine="567"/>
        <w:rPr>
          <w:rFonts w:cs="Arial"/>
          <w:i/>
          <w:iCs/>
          <w:sz w:val="24"/>
          <w:szCs w:val="24"/>
        </w:rPr>
      </w:pPr>
      <w:r w:rsidRPr="00B4265D">
        <w:rPr>
          <w:rFonts w:cs="Arial"/>
          <w:i/>
          <w:iCs/>
          <w:sz w:val="24"/>
          <w:szCs w:val="24"/>
        </w:rPr>
        <w:t>V. Contra actos consumados de un modo irreparable;</w:t>
      </w:r>
    </w:p>
    <w:p w:rsidR="00A412A2" w:rsidRPr="00B4265D" w:rsidRDefault="00A412A2" w:rsidP="00A412A2">
      <w:pPr>
        <w:pStyle w:val="corte4fondo"/>
        <w:ind w:right="51" w:firstLine="567"/>
        <w:rPr>
          <w:rFonts w:cs="Arial"/>
          <w:i/>
          <w:iCs/>
          <w:sz w:val="24"/>
          <w:szCs w:val="24"/>
        </w:rPr>
      </w:pPr>
      <w:r w:rsidRPr="00B4265D">
        <w:rPr>
          <w:rFonts w:cs="Arial"/>
          <w:i/>
          <w:iCs/>
          <w:sz w:val="24"/>
          <w:szCs w:val="24"/>
        </w:rPr>
        <w:t>VI. Contra actos consentidos expresamente o por manifestaciones de voluntad que entrañen ese consentimiento, entendiéndose por éstos últimos, en contra de los cuales no se promueva el juicio dentro del término que para tal efecto señale esta Ley;</w:t>
      </w:r>
    </w:p>
    <w:p w:rsidR="00A412A2" w:rsidRPr="00B4265D" w:rsidRDefault="00A412A2" w:rsidP="00A412A2">
      <w:pPr>
        <w:pStyle w:val="corte4fondo"/>
        <w:ind w:right="51" w:firstLine="567"/>
        <w:rPr>
          <w:rFonts w:cs="Arial"/>
          <w:i/>
          <w:iCs/>
          <w:sz w:val="24"/>
          <w:szCs w:val="24"/>
        </w:rPr>
      </w:pPr>
      <w:r w:rsidRPr="00B4265D">
        <w:rPr>
          <w:rFonts w:cs="Arial"/>
          <w:i/>
          <w:iCs/>
          <w:sz w:val="24"/>
          <w:szCs w:val="24"/>
        </w:rPr>
        <w:t>X. En los demás casos en que la improcedencia resulte de alguna disposición de esta Ley o de cualquiera otra de naturaleza fiscal o administrativa.”</w:t>
      </w:r>
    </w:p>
    <w:p w:rsidR="00A412A2" w:rsidRDefault="00A412A2" w:rsidP="00A412A2">
      <w:pPr>
        <w:pStyle w:val="corte4fondo"/>
        <w:ind w:right="51" w:firstLine="567"/>
        <w:rPr>
          <w:rFonts w:cs="Arial"/>
          <w:sz w:val="24"/>
          <w:szCs w:val="24"/>
        </w:rPr>
      </w:pPr>
    </w:p>
    <w:p w:rsidR="00A412A2" w:rsidRDefault="00A412A2" w:rsidP="00A412A2">
      <w:pPr>
        <w:pStyle w:val="corte4fondo"/>
        <w:ind w:right="51" w:firstLine="567"/>
        <w:rPr>
          <w:rFonts w:cs="Arial"/>
          <w:sz w:val="24"/>
          <w:szCs w:val="24"/>
        </w:rPr>
      </w:pPr>
      <w:r>
        <w:rPr>
          <w:rFonts w:cs="Arial"/>
          <w:sz w:val="24"/>
          <w:szCs w:val="24"/>
        </w:rPr>
        <w:t xml:space="preserve">Del numeral antes transcrito se tiene que la fracción V del citado ordenamiento legal hace alusión a actos consumados de un modo irreparable, entendiéndose éste como el acto que fue ejecutado y no existe ninguna manera de restituir al administrado en el goce del derecho vulnerado y en el presente asunto de llegarse a declarar la nulidad del acto impugnado, si se podría restituir al actor el goce de su derecho vulnerando, esto es, se dejaría de hacer el cobro que originó la infracción impugnada. </w:t>
      </w:r>
    </w:p>
    <w:p w:rsidR="00A412A2" w:rsidRDefault="00A412A2" w:rsidP="00A412A2">
      <w:pPr>
        <w:pStyle w:val="corte4fondo"/>
        <w:ind w:right="51" w:firstLine="567"/>
        <w:rPr>
          <w:rFonts w:cs="Arial"/>
          <w:sz w:val="24"/>
          <w:szCs w:val="24"/>
        </w:rPr>
      </w:pPr>
    </w:p>
    <w:p w:rsidR="00A412A2" w:rsidRDefault="00A412A2" w:rsidP="00A412A2">
      <w:pPr>
        <w:pStyle w:val="corte4fondo"/>
        <w:ind w:right="51" w:firstLine="567"/>
        <w:rPr>
          <w:rFonts w:cs="Arial"/>
          <w:sz w:val="24"/>
          <w:szCs w:val="24"/>
        </w:rPr>
      </w:pPr>
      <w:r>
        <w:rPr>
          <w:rFonts w:cs="Arial"/>
          <w:sz w:val="24"/>
          <w:szCs w:val="24"/>
        </w:rPr>
        <w:t xml:space="preserve">Ahora bien, la fracción VI, señala el consentimiento expreso o por manifestación de voluntad, entendiéndose por ésta, cuando no se promueva el juicio de nulidad dentro del plazo de treinta días que para tal efecto señala la ley de la Materia, y en el presente asunto, si se promovió el juicio de nulidad respectivo en tiempo, dado que el plazo de treinta días hábiles que tenía el actor para interponer el Juicio Contencioso Administrativo, comenzó a </w:t>
      </w:r>
      <w:r w:rsidRPr="00C07249">
        <w:rPr>
          <w:rFonts w:cs="Arial"/>
          <w:sz w:val="24"/>
          <w:szCs w:val="24"/>
        </w:rPr>
        <w:t>transcurrir a</w:t>
      </w:r>
      <w:r>
        <w:rPr>
          <w:rFonts w:cs="Arial"/>
          <w:sz w:val="24"/>
          <w:szCs w:val="24"/>
        </w:rPr>
        <w:t xml:space="preserve"> partir del veinticuatro de mayo y feneció el cuatro de julio de dos mil veintidós,</w:t>
      </w:r>
      <w:r>
        <w:rPr>
          <w:rFonts w:cs="Arial"/>
          <w:sz w:val="24"/>
          <w:szCs w:val="24"/>
        </w:rPr>
        <w:t xml:space="preserve"> </w:t>
      </w:r>
      <w:r>
        <w:rPr>
          <w:rFonts w:cs="Arial"/>
          <w:sz w:val="24"/>
          <w:szCs w:val="24"/>
        </w:rPr>
        <w:t>descontándose los días sábados y domingos por ser inhábiles, de conformidad con lo establecido en los artículos 165, 166 y 168 de la Ley de Procedimiento y Justicia Administrativa para el Estado de Oaxaca, mismo que hizo va</w:t>
      </w:r>
      <w:r w:rsidRPr="005A1B8E">
        <w:rPr>
          <w:rFonts w:cs="Arial"/>
          <w:sz w:val="24"/>
          <w:szCs w:val="24"/>
        </w:rPr>
        <w:t>le</w:t>
      </w:r>
      <w:r>
        <w:rPr>
          <w:rFonts w:cs="Arial"/>
          <w:sz w:val="24"/>
          <w:szCs w:val="24"/>
        </w:rPr>
        <w:t xml:space="preserve">r mediante escrito recibido en la Oficialía de Partes Común de este órgano jurisdiccional el nueve de junio de la presente anualidad, por lo que resulta incorrecta la apreciación de la autoridad demandada. </w:t>
      </w:r>
      <w:r w:rsidRPr="007B0581">
        <w:rPr>
          <w:rFonts w:cs="Arial"/>
          <w:sz w:val="24"/>
          <w:szCs w:val="24"/>
        </w:rPr>
        <w:t xml:space="preserve">En consecuencia, </w:t>
      </w:r>
      <w:r w:rsidRPr="007B0581">
        <w:rPr>
          <w:rFonts w:cs="Arial"/>
          <w:b/>
          <w:bCs/>
          <w:sz w:val="24"/>
          <w:szCs w:val="24"/>
        </w:rPr>
        <w:t xml:space="preserve">NO SE SOBRESEE </w:t>
      </w:r>
      <w:r w:rsidRPr="007B0581">
        <w:rPr>
          <w:rFonts w:cs="Arial"/>
          <w:sz w:val="24"/>
          <w:szCs w:val="24"/>
        </w:rPr>
        <w:t>el presente juicio.</w:t>
      </w:r>
    </w:p>
    <w:p w:rsidR="00A412A2" w:rsidRPr="007B0581" w:rsidRDefault="00A412A2" w:rsidP="00A412A2">
      <w:pPr>
        <w:pStyle w:val="corte4fondo"/>
        <w:ind w:right="51" w:firstLine="567"/>
        <w:rPr>
          <w:rFonts w:cs="Arial"/>
          <w:sz w:val="24"/>
          <w:szCs w:val="24"/>
        </w:rPr>
      </w:pPr>
    </w:p>
    <w:p w:rsidR="00A412A2" w:rsidRDefault="00A412A2" w:rsidP="00A412A2">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w:t>
      </w:r>
      <w:r w:rsidRPr="007B0581">
        <w:rPr>
          <w:rFonts w:ascii="Arial" w:hAnsi="Arial" w:cs="Arial"/>
          <w:bCs/>
          <w:sz w:val="24"/>
          <w:szCs w:val="24"/>
        </w:rPr>
        <w:t>l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A412A2" w:rsidRPr="007B0581" w:rsidRDefault="00A412A2" w:rsidP="00A412A2">
      <w:pPr>
        <w:spacing w:line="360" w:lineRule="auto"/>
        <w:jc w:val="both"/>
        <w:rPr>
          <w:rFonts w:ascii="Arial" w:hAnsi="Arial" w:cs="Arial"/>
          <w:sz w:val="24"/>
          <w:szCs w:val="24"/>
        </w:rPr>
      </w:pPr>
    </w:p>
    <w:p w:rsidR="00A412A2" w:rsidRDefault="00A412A2" w:rsidP="00A412A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w:t>
      </w:r>
      <w:r w:rsidRPr="007B0581">
        <w:rPr>
          <w:rFonts w:ascii="Arial" w:hAnsi="Arial" w:cs="Arial"/>
          <w:sz w:val="24"/>
          <w:szCs w:val="24"/>
          <w:lang w:eastAsia="es-MX"/>
        </w:rPr>
        <w:lastRenderedPageBreak/>
        <w:t xml:space="preserve">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A412A2" w:rsidRPr="007B0581" w:rsidRDefault="00A412A2" w:rsidP="00A412A2">
      <w:pPr>
        <w:pStyle w:val="Textonotapie"/>
        <w:widowControl w:val="0"/>
        <w:spacing w:line="360" w:lineRule="auto"/>
        <w:ind w:firstLine="708"/>
        <w:jc w:val="both"/>
        <w:rPr>
          <w:rFonts w:ascii="Arial" w:hAnsi="Arial" w:cs="Arial"/>
          <w:sz w:val="24"/>
          <w:szCs w:val="24"/>
          <w:lang w:eastAsia="es-MX"/>
        </w:rPr>
      </w:pPr>
    </w:p>
    <w:p w:rsidR="00A412A2" w:rsidRPr="007B0581" w:rsidRDefault="00A412A2" w:rsidP="00A412A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A412A2" w:rsidRPr="007B0581" w:rsidRDefault="00A412A2" w:rsidP="00A412A2">
      <w:pPr>
        <w:pStyle w:val="Textonotapie"/>
        <w:widowControl w:val="0"/>
        <w:spacing w:line="360" w:lineRule="auto"/>
        <w:ind w:left="1701" w:right="1469"/>
        <w:jc w:val="both"/>
        <w:rPr>
          <w:rFonts w:ascii="Arial" w:hAnsi="Arial" w:cs="Arial"/>
          <w:b/>
          <w:sz w:val="24"/>
          <w:szCs w:val="24"/>
          <w:lang w:eastAsia="es-MX"/>
        </w:rPr>
      </w:pPr>
    </w:p>
    <w:p w:rsidR="00A412A2" w:rsidRDefault="00A412A2" w:rsidP="00A412A2">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 actor</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veintiuno de mayo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sidRPr="00187FC0">
        <w:rPr>
          <w:rFonts w:ascii="Arial" w:hAnsi="Arial" w:cs="Arial"/>
          <w:b/>
          <w:bCs/>
          <w:sz w:val="24"/>
          <w:szCs w:val="24"/>
        </w:rPr>
        <w:t xml:space="preserve"> </w:t>
      </w:r>
      <w:r>
        <w:rPr>
          <w:rFonts w:ascii="Arial" w:hAnsi="Arial" w:cs="Arial"/>
          <w:sz w:val="24"/>
          <w:szCs w:val="24"/>
        </w:rPr>
        <w:t xml:space="preserve">con número estadístico PV-41, adscrito a la Dirección de Movilidad del Municipio de Oaxaca de Juárez,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w:t>
      </w:r>
      <w:r w:rsidRPr="00DD0143">
        <w:rPr>
          <w:rFonts w:ascii="Arial" w:hAnsi="Arial" w:cs="Arial"/>
          <w:sz w:val="24"/>
          <w:szCs w:val="24"/>
        </w:rPr>
        <w:t>que</w:t>
      </w:r>
      <w:r>
        <w:rPr>
          <w:rFonts w:ascii="Arial" w:hAnsi="Arial" w:cs="Arial"/>
          <w:sz w:val="24"/>
          <w:szCs w:val="24"/>
        </w:rPr>
        <w:t xml:space="preserve"> no satisface los requisitos de debida</w:t>
      </w:r>
      <w:r w:rsidRPr="007B0581">
        <w:rPr>
          <w:rFonts w:ascii="Arial" w:hAnsi="Arial" w:cs="Arial"/>
          <w:sz w:val="24"/>
          <w:szCs w:val="24"/>
        </w:rPr>
        <w:t xml:space="preserve"> fundamentación y motivación</w:t>
      </w:r>
      <w:r>
        <w:rPr>
          <w:rFonts w:ascii="Arial" w:hAnsi="Arial" w:cs="Arial"/>
          <w:sz w:val="24"/>
          <w:szCs w:val="24"/>
        </w:rPr>
        <w:t xml:space="preserve"> conforme lo dispuesto por el artículo 16 de la Constitución Política de los Estados Unidos Mexicanos y la fracción II y V del numeral 17 de la Ley de Procedimiento y Justicia Administrativa para el Estado de Oaxaca, pues para que una multa por infracción al Reglamento de Vialidad para el Municipio de Oaxaca de Juárez, se encuentre debidamente fundada y motivada, se requiere que se haga la descripción clara y completa de la conducta que satisface la hipótesis legal invocada con la debida precisión tanto del artículo, como de la fracción e inciso en cada caso en particular; hecho que definitivamente no ocurrió en la especie.</w:t>
      </w:r>
    </w:p>
    <w:p w:rsidR="00A412A2" w:rsidRDefault="00A412A2" w:rsidP="00A412A2">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A412A2" w:rsidRDefault="00A412A2" w:rsidP="00A412A2">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 </w:t>
      </w:r>
      <w:r>
        <w:rPr>
          <w:rFonts w:ascii="Arial" w:hAnsi="Arial" w:cs="Arial"/>
          <w:sz w:val="24"/>
          <w:szCs w:val="24"/>
        </w:rPr>
        <w:t>con número estadístico PV-41,</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indica </w:t>
      </w:r>
      <w:r w:rsidRPr="00863C92">
        <w:rPr>
          <w:rFonts w:ascii="Arial" w:hAnsi="Arial" w:cs="Arial"/>
          <w:sz w:val="24"/>
          <w:szCs w:val="24"/>
        </w:rPr>
        <w:t>que el acta de</w:t>
      </w:r>
      <w:r>
        <w:rPr>
          <w:rFonts w:ascii="Arial" w:hAnsi="Arial" w:cs="Arial"/>
          <w:sz w:val="24"/>
          <w:szCs w:val="24"/>
        </w:rPr>
        <w:t xml:space="preserve"> infracción se encuentra debidamente fundada, siendo que el acta de infracción contiene un espacio correspondiente a la fundamentación, para que el policía vial plasme los artículos para fundamentar el acto emitido; por cuanto hace a la motivación si circunstanció el acto administrativo pues en el mismo citó tiempo, lugar y modo o circunstancia, que se cumplió al citar la causa inmediata que tuvo en consideración para emitir el acto impugnado de acuerdo al artículo 59 fracción I incisos c) y d) del Reglamento de Vialidad del Municipio de Oaxaca de Juárez. </w:t>
      </w:r>
    </w:p>
    <w:p w:rsidR="00A412A2" w:rsidRDefault="00A412A2" w:rsidP="00A412A2">
      <w:pPr>
        <w:spacing w:line="360" w:lineRule="auto"/>
        <w:ind w:firstLine="708"/>
        <w:jc w:val="both"/>
        <w:rPr>
          <w:rFonts w:ascii="Arial" w:hAnsi="Arial" w:cs="Arial"/>
          <w:sz w:val="24"/>
          <w:szCs w:val="24"/>
        </w:rPr>
      </w:pPr>
    </w:p>
    <w:p w:rsidR="00A412A2" w:rsidRDefault="00A412A2" w:rsidP="00A412A2">
      <w:pPr>
        <w:spacing w:line="360" w:lineRule="auto"/>
        <w:ind w:firstLine="709"/>
        <w:contextualSpacing/>
        <w:jc w:val="both"/>
        <w:rPr>
          <w:rFonts w:ascii="Arial" w:hAnsi="Arial" w:cs="Arial"/>
          <w:bCs/>
          <w:sz w:val="24"/>
          <w:szCs w:val="24"/>
        </w:rPr>
      </w:pPr>
      <w:r w:rsidRPr="00772A00">
        <w:rPr>
          <w:rFonts w:ascii="Arial" w:hAnsi="Arial" w:cs="Arial"/>
          <w:sz w:val="24"/>
          <w:szCs w:val="24"/>
        </w:rPr>
        <w:t>Ah</w:t>
      </w:r>
      <w:r w:rsidRPr="007B0581">
        <w:rPr>
          <w:rFonts w:ascii="Arial" w:hAnsi="Arial" w:cs="Arial"/>
          <w:sz w:val="24"/>
          <w:szCs w:val="24"/>
        </w:rPr>
        <w:t>ora bien, esta juzgadora después de haber realizado</w:t>
      </w:r>
      <w:r>
        <w:rPr>
          <w:rFonts w:ascii="Arial" w:hAnsi="Arial" w:cs="Arial"/>
          <w:sz w:val="24"/>
          <w:szCs w:val="24"/>
        </w:rPr>
        <w:t xml:space="preserve"> el</w:t>
      </w:r>
      <w:r w:rsidRPr="007B0581">
        <w:rPr>
          <w:rFonts w:ascii="Arial" w:hAnsi="Arial" w:cs="Arial"/>
          <w:sz w:val="24"/>
          <w:szCs w:val="24"/>
        </w:rPr>
        <w:t xml:space="preserve"> estudio al contenido del </w:t>
      </w:r>
      <w:r>
        <w:rPr>
          <w:rFonts w:ascii="Arial" w:hAnsi="Arial" w:cs="Arial"/>
          <w:sz w:val="24"/>
          <w:szCs w:val="24"/>
        </w:rPr>
        <w:t>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Pr>
          <w:rFonts w:cs="Arial"/>
          <w:b/>
          <w:sz w:val="24"/>
          <w:szCs w:val="24"/>
        </w:rPr>
        <w:t xml:space="preserve"> </w:t>
      </w:r>
      <w:r>
        <w:rPr>
          <w:rFonts w:ascii="Arial" w:hAnsi="Arial" w:cs="Arial"/>
          <w:b/>
          <w:bCs/>
          <w:sz w:val="24"/>
          <w:szCs w:val="24"/>
        </w:rPr>
        <w:t xml:space="preserve"> </w:t>
      </w:r>
      <w:r w:rsidRPr="007B0581">
        <w:rPr>
          <w:rFonts w:ascii="Arial" w:hAnsi="Arial" w:cs="Arial"/>
          <w:sz w:val="24"/>
          <w:szCs w:val="24"/>
        </w:rPr>
        <w:t xml:space="preserve">de </w:t>
      </w:r>
      <w:r>
        <w:rPr>
          <w:rFonts w:ascii="Arial" w:hAnsi="Arial" w:cs="Arial"/>
          <w:sz w:val="24"/>
          <w:szCs w:val="24"/>
        </w:rPr>
        <w:t>veintiuno de mayo de dos mil veintidós</w:t>
      </w:r>
      <w:r w:rsidRPr="007B0581">
        <w:rPr>
          <w:rFonts w:ascii="Arial" w:hAnsi="Arial" w:cs="Arial"/>
          <w:sz w:val="24"/>
          <w:szCs w:val="24"/>
        </w:rPr>
        <w:t xml:space="preserve">, signado por </w:t>
      </w:r>
      <w:r>
        <w:rPr>
          <w:rFonts w:ascii="Arial" w:hAnsi="Arial" w:cs="Arial"/>
          <w:sz w:val="24"/>
          <w:szCs w:val="24"/>
        </w:rPr>
        <w:t xml:space="preserve">el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sidRPr="00187FC0">
        <w:rPr>
          <w:rFonts w:ascii="Arial" w:hAnsi="Arial" w:cs="Arial"/>
          <w:b/>
          <w:bCs/>
          <w:sz w:val="24"/>
          <w:szCs w:val="24"/>
        </w:rPr>
        <w:t xml:space="preserve"> </w:t>
      </w:r>
      <w:r>
        <w:rPr>
          <w:rFonts w:ascii="Arial" w:hAnsi="Arial" w:cs="Arial"/>
          <w:sz w:val="24"/>
          <w:szCs w:val="24"/>
        </w:rPr>
        <w:t xml:space="preserve">con número estadístico PV-41, adscrito a la Dirección de Movilidad del Municipio de Oaxaca de Juárez, </w:t>
      </w:r>
      <w:r>
        <w:rPr>
          <w:rFonts w:cs="Arial"/>
          <w:b/>
          <w:sz w:val="24"/>
          <w:szCs w:val="24"/>
        </w:rPr>
        <w:t>**********</w:t>
      </w:r>
      <w:bookmarkStart w:id="3" w:name="_GoBack"/>
      <w:bookmarkEnd w:id="3"/>
      <w:r>
        <w:rPr>
          <w:rFonts w:ascii="Arial" w:hAnsi="Arial" w:cs="Arial"/>
          <w:sz w:val="24"/>
          <w:szCs w:val="24"/>
        </w:rPr>
        <w:t>,</w:t>
      </w:r>
      <w:r>
        <w:rPr>
          <w:rFonts w:ascii="Arial" w:hAnsi="Arial" w:cs="Arial"/>
          <w:b/>
          <w:bCs/>
          <w:sz w:val="24"/>
          <w:szCs w:val="24"/>
        </w:rPr>
        <w:t xml:space="preserve"> </w:t>
      </w:r>
      <w:r w:rsidRPr="007B0581">
        <w:rPr>
          <w:rFonts w:ascii="Arial" w:hAnsi="Arial" w:cs="Arial"/>
          <w:sz w:val="24"/>
          <w:szCs w:val="24"/>
        </w:rPr>
        <w:t xml:space="preserve">advierte que </w:t>
      </w:r>
      <w:r>
        <w:rPr>
          <w:rFonts w:ascii="Arial" w:hAnsi="Arial" w:cs="Arial"/>
          <w:sz w:val="24"/>
          <w:szCs w:val="24"/>
        </w:rPr>
        <w:t>es</w:t>
      </w:r>
      <w:r w:rsidRPr="007B0581">
        <w:rPr>
          <w:rFonts w:ascii="Arial" w:hAnsi="Arial" w:cs="Arial"/>
          <w:sz w:val="24"/>
          <w:szCs w:val="24"/>
        </w:rPr>
        <w:t xml:space="preserve"> </w:t>
      </w:r>
      <w:r w:rsidRPr="003F738C">
        <w:rPr>
          <w:rFonts w:ascii="Arial" w:hAnsi="Arial" w:cs="Arial"/>
          <w:b/>
          <w:bCs/>
          <w:sz w:val="24"/>
          <w:szCs w:val="24"/>
        </w:rPr>
        <w:t>fundado</w:t>
      </w:r>
      <w:r w:rsidRPr="007B0581">
        <w:rPr>
          <w:rFonts w:ascii="Arial" w:hAnsi="Arial" w:cs="Arial"/>
          <w:sz w:val="24"/>
          <w:szCs w:val="24"/>
        </w:rPr>
        <w:t xml:space="preserve"> </w:t>
      </w:r>
      <w:r>
        <w:rPr>
          <w:rFonts w:ascii="Arial" w:hAnsi="Arial" w:cs="Arial"/>
          <w:sz w:val="24"/>
          <w:szCs w:val="24"/>
        </w:rPr>
        <w:t>el</w:t>
      </w:r>
      <w:r w:rsidRPr="007B0581">
        <w:rPr>
          <w:rFonts w:ascii="Arial" w:hAnsi="Arial" w:cs="Arial"/>
          <w:sz w:val="24"/>
          <w:szCs w:val="24"/>
        </w:rPr>
        <w:t xml:space="preserve"> concepto de impugnación </w:t>
      </w:r>
      <w:r>
        <w:rPr>
          <w:rFonts w:ascii="Arial" w:hAnsi="Arial" w:cs="Arial"/>
          <w:sz w:val="24"/>
          <w:szCs w:val="24"/>
        </w:rPr>
        <w:t xml:space="preserve">marcado </w:t>
      </w:r>
      <w:r>
        <w:rPr>
          <w:rFonts w:ascii="Arial" w:hAnsi="Arial" w:cs="Arial"/>
          <w:sz w:val="24"/>
          <w:szCs w:val="24"/>
        </w:rPr>
        <w:lastRenderedPageBreak/>
        <w:t>como primero, hecho valer</w:t>
      </w:r>
      <w:r w:rsidRPr="007B0581">
        <w:rPr>
          <w:rFonts w:ascii="Arial" w:hAnsi="Arial" w:cs="Arial"/>
          <w:sz w:val="24"/>
          <w:szCs w:val="24"/>
        </w:rPr>
        <w:t xml:space="preserve"> por </w:t>
      </w:r>
      <w:r>
        <w:rPr>
          <w:rFonts w:ascii="Arial" w:hAnsi="Arial" w:cs="Arial"/>
          <w:sz w:val="24"/>
          <w:szCs w:val="24"/>
        </w:rPr>
        <w:t>el</w:t>
      </w:r>
      <w:r w:rsidRPr="007B0581">
        <w:rPr>
          <w:rFonts w:ascii="Arial" w:hAnsi="Arial" w:cs="Arial"/>
          <w:sz w:val="24"/>
          <w:szCs w:val="24"/>
        </w:rPr>
        <w:t xml:space="preserve"> actor en el sentido que el acto impugnado </w:t>
      </w:r>
      <w:r w:rsidRPr="00402863">
        <w:rPr>
          <w:rFonts w:ascii="Arial" w:hAnsi="Arial" w:cs="Arial"/>
          <w:bCs/>
          <w:sz w:val="24"/>
          <w:szCs w:val="24"/>
        </w:rPr>
        <w:t>carece de la debida</w:t>
      </w:r>
      <w:r>
        <w:rPr>
          <w:rFonts w:ascii="Arial" w:hAnsi="Arial" w:cs="Arial"/>
          <w:bCs/>
          <w:sz w:val="24"/>
          <w:szCs w:val="24"/>
        </w:rPr>
        <w:t xml:space="preserve"> fundamentación y</w:t>
      </w:r>
      <w:r w:rsidRPr="00402863">
        <w:rPr>
          <w:rFonts w:ascii="Arial" w:hAnsi="Arial" w:cs="Arial"/>
          <w:bCs/>
          <w:sz w:val="24"/>
          <w:szCs w:val="24"/>
        </w:rPr>
        <w:t xml:space="preserve"> motivación,</w:t>
      </w:r>
      <w:r>
        <w:rPr>
          <w:rFonts w:ascii="Arial" w:hAnsi="Arial" w:cs="Arial"/>
          <w:bCs/>
          <w:sz w:val="24"/>
          <w:szCs w:val="24"/>
        </w:rPr>
        <w:t xml:space="preserve"> pues si bien es cierto la autoridad demandada marcó de las faltas administrativas contempladas en el Reglamento de Vialidad para el Municipio de Oaxaca de Juárez, preestablecidas en su formato de acta de infracción, el artículo 59, fracción I, incisos c) y d) del Reglamento de Vialidad para el Municipio de Oaxaca de Juárez, los cuales establecen lo siguiente: </w:t>
      </w:r>
    </w:p>
    <w:p w:rsidR="00A412A2" w:rsidRDefault="00A412A2" w:rsidP="00A412A2">
      <w:pPr>
        <w:spacing w:line="360" w:lineRule="auto"/>
        <w:ind w:firstLine="709"/>
        <w:contextualSpacing/>
        <w:jc w:val="both"/>
        <w:rPr>
          <w:rFonts w:ascii="Arial" w:hAnsi="Arial" w:cs="Arial"/>
          <w:bCs/>
          <w:sz w:val="24"/>
          <w:szCs w:val="24"/>
        </w:rPr>
      </w:pPr>
    </w:p>
    <w:p w:rsidR="00A412A2" w:rsidRPr="004F10EB" w:rsidRDefault="00A412A2" w:rsidP="00A412A2">
      <w:pPr>
        <w:autoSpaceDE w:val="0"/>
        <w:autoSpaceDN w:val="0"/>
        <w:adjustRightInd w:val="0"/>
        <w:spacing w:line="360" w:lineRule="auto"/>
        <w:ind w:firstLine="708"/>
        <w:rPr>
          <w:rFonts w:ascii="Arial" w:eastAsiaTheme="minorHAnsi" w:hAnsi="Arial" w:cs="Arial"/>
          <w:i/>
          <w:iCs/>
          <w:sz w:val="24"/>
          <w:szCs w:val="24"/>
          <w:lang w:val="es-MX" w:eastAsia="en-US"/>
        </w:rPr>
      </w:pPr>
      <w:r w:rsidRPr="00DC78DA">
        <w:rPr>
          <w:rFonts w:ascii="Arial" w:eastAsiaTheme="minorHAnsi" w:hAnsi="Arial" w:cs="Arial"/>
          <w:i/>
          <w:iCs/>
          <w:sz w:val="22"/>
          <w:szCs w:val="22"/>
          <w:lang w:val="es-MX" w:eastAsia="en-US"/>
        </w:rPr>
        <w:t>“</w:t>
      </w:r>
      <w:r w:rsidRPr="004F10EB">
        <w:rPr>
          <w:rFonts w:ascii="Arial" w:eastAsiaTheme="minorHAnsi" w:hAnsi="Arial" w:cs="Arial"/>
          <w:i/>
          <w:iCs/>
          <w:sz w:val="24"/>
          <w:szCs w:val="24"/>
          <w:lang w:val="es-MX" w:eastAsia="en-US"/>
        </w:rPr>
        <w:t>ARTÍCULO 59.-</w:t>
      </w:r>
      <w:r w:rsidRPr="004F10EB">
        <w:rPr>
          <w:rFonts w:ascii="Arial" w:eastAsiaTheme="minorHAnsi" w:hAnsi="Arial" w:cs="Arial"/>
          <w:b/>
          <w:bCs/>
          <w:i/>
          <w:iCs/>
          <w:sz w:val="24"/>
          <w:szCs w:val="24"/>
          <w:lang w:val="es-MX" w:eastAsia="en-US"/>
        </w:rPr>
        <w:t xml:space="preserve"> </w:t>
      </w:r>
      <w:r w:rsidRPr="004F10EB">
        <w:rPr>
          <w:rFonts w:ascii="Arial" w:eastAsiaTheme="minorHAnsi" w:hAnsi="Arial" w:cs="Arial"/>
          <w:i/>
          <w:iCs/>
          <w:sz w:val="24"/>
          <w:szCs w:val="24"/>
          <w:lang w:val="es-MX" w:eastAsia="en-US"/>
        </w:rPr>
        <w:t>Son obligaciones de los conductores de vehículos automotores para que puedan circular libremente en la jurisdicción del Municipio de Oaxaca de Juárez:</w:t>
      </w:r>
    </w:p>
    <w:p w:rsidR="00A412A2" w:rsidRDefault="00A412A2" w:rsidP="00A412A2">
      <w:pPr>
        <w:spacing w:line="360" w:lineRule="auto"/>
        <w:ind w:firstLine="709"/>
        <w:contextualSpacing/>
        <w:jc w:val="both"/>
        <w:rPr>
          <w:rFonts w:ascii="Arial" w:hAnsi="Arial" w:cs="Arial"/>
          <w:bCs/>
          <w:sz w:val="24"/>
          <w:szCs w:val="24"/>
        </w:rPr>
      </w:pPr>
    </w:p>
    <w:p w:rsidR="00A412A2" w:rsidRPr="00504289" w:rsidRDefault="00A412A2" w:rsidP="00A412A2">
      <w:pPr>
        <w:spacing w:line="360" w:lineRule="auto"/>
        <w:ind w:firstLine="709"/>
        <w:contextualSpacing/>
        <w:jc w:val="both"/>
        <w:rPr>
          <w:rFonts w:ascii="Arial" w:hAnsi="Arial" w:cs="Arial"/>
          <w:bCs/>
          <w:i/>
          <w:iCs/>
          <w:sz w:val="24"/>
          <w:szCs w:val="24"/>
        </w:rPr>
      </w:pPr>
      <w:r w:rsidRPr="00504289">
        <w:rPr>
          <w:rFonts w:ascii="Arial" w:hAnsi="Arial" w:cs="Arial"/>
          <w:bCs/>
          <w:i/>
          <w:iCs/>
          <w:sz w:val="24"/>
          <w:szCs w:val="24"/>
        </w:rPr>
        <w:t>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rsidR="00A412A2" w:rsidRPr="00504289" w:rsidRDefault="00A412A2" w:rsidP="00A412A2">
      <w:pPr>
        <w:spacing w:line="360" w:lineRule="auto"/>
        <w:ind w:firstLine="709"/>
        <w:contextualSpacing/>
        <w:jc w:val="both"/>
        <w:rPr>
          <w:rFonts w:ascii="Arial" w:hAnsi="Arial" w:cs="Arial"/>
          <w:bCs/>
          <w:i/>
          <w:iCs/>
          <w:sz w:val="24"/>
          <w:szCs w:val="24"/>
        </w:rPr>
      </w:pPr>
    </w:p>
    <w:p w:rsidR="00A412A2" w:rsidRPr="00504289" w:rsidRDefault="00A412A2" w:rsidP="00A412A2">
      <w:pPr>
        <w:spacing w:line="360" w:lineRule="auto"/>
        <w:ind w:firstLine="709"/>
        <w:contextualSpacing/>
        <w:jc w:val="both"/>
        <w:rPr>
          <w:rFonts w:ascii="Arial" w:hAnsi="Arial" w:cs="Arial"/>
          <w:bCs/>
          <w:i/>
          <w:iCs/>
          <w:sz w:val="24"/>
          <w:szCs w:val="24"/>
        </w:rPr>
      </w:pPr>
      <w:r w:rsidRPr="00504289">
        <w:rPr>
          <w:rFonts w:ascii="Arial" w:hAnsi="Arial" w:cs="Arial"/>
          <w:bCs/>
          <w:i/>
          <w:iCs/>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r>
        <w:rPr>
          <w:rFonts w:ascii="Arial" w:hAnsi="Arial" w:cs="Arial"/>
          <w:bCs/>
          <w:i/>
          <w:iCs/>
          <w:sz w:val="24"/>
          <w:szCs w:val="24"/>
        </w:rPr>
        <w:t>”</w:t>
      </w:r>
      <w:r w:rsidRPr="00504289">
        <w:rPr>
          <w:rFonts w:ascii="Arial" w:hAnsi="Arial" w:cs="Arial"/>
          <w:bCs/>
          <w:i/>
          <w:iCs/>
          <w:sz w:val="24"/>
          <w:szCs w:val="24"/>
        </w:rPr>
        <w:t xml:space="preserve">   </w:t>
      </w:r>
    </w:p>
    <w:p w:rsidR="00A412A2" w:rsidRDefault="00A412A2" w:rsidP="00A412A2">
      <w:pPr>
        <w:spacing w:line="360" w:lineRule="auto"/>
        <w:ind w:firstLine="709"/>
        <w:contextualSpacing/>
        <w:jc w:val="both"/>
        <w:rPr>
          <w:rFonts w:ascii="Arial" w:hAnsi="Arial" w:cs="Arial"/>
          <w:bCs/>
          <w:sz w:val="24"/>
          <w:szCs w:val="24"/>
        </w:rPr>
      </w:pPr>
    </w:p>
    <w:p w:rsidR="00A412A2" w:rsidRDefault="00A412A2" w:rsidP="00A412A2">
      <w:pPr>
        <w:spacing w:line="360" w:lineRule="auto"/>
        <w:ind w:firstLine="709"/>
        <w:contextualSpacing/>
        <w:jc w:val="both"/>
        <w:rPr>
          <w:rFonts w:ascii="Arial" w:hAnsi="Arial" w:cs="Arial"/>
          <w:bCs/>
          <w:sz w:val="24"/>
          <w:szCs w:val="24"/>
        </w:rPr>
      </w:pPr>
      <w:r>
        <w:rPr>
          <w:rFonts w:ascii="Arial" w:hAnsi="Arial" w:cs="Arial"/>
          <w:bCs/>
          <w:sz w:val="24"/>
          <w:szCs w:val="24"/>
        </w:rPr>
        <w:t xml:space="preserve">también lo es que, dichos incisos se contraponen en virtud que regulan supuestos diferentes, pues el inciso C) regula el supuesto en luz amarilla del semáforo y el inciso D) regula el supuesto de la luz roja del semáforo, dejando en incertidumbre jurídica al actor al no saber cuál de los dos supuesto fue el que supuestamente </w:t>
      </w:r>
      <w:r w:rsidRPr="00511C60">
        <w:rPr>
          <w:rFonts w:ascii="Arial" w:hAnsi="Arial" w:cs="Arial"/>
          <w:bCs/>
          <w:sz w:val="24"/>
          <w:szCs w:val="24"/>
        </w:rPr>
        <w:t>infringió</w:t>
      </w:r>
      <w:r>
        <w:rPr>
          <w:rFonts w:ascii="Arial" w:hAnsi="Arial" w:cs="Arial"/>
          <w:bCs/>
          <w:sz w:val="24"/>
          <w:szCs w:val="24"/>
        </w:rPr>
        <w:t xml:space="preserve">, </w:t>
      </w:r>
      <w:r w:rsidRPr="008B70D6">
        <w:rPr>
          <w:rFonts w:ascii="Arial" w:hAnsi="Arial" w:cs="Arial"/>
          <w:bCs/>
          <w:sz w:val="24"/>
          <w:szCs w:val="24"/>
        </w:rPr>
        <w:t xml:space="preserve">dado que </w:t>
      </w:r>
      <w:r>
        <w:rPr>
          <w:rFonts w:ascii="Arial" w:hAnsi="Arial" w:cs="Arial"/>
          <w:bCs/>
          <w:sz w:val="24"/>
          <w:szCs w:val="24"/>
        </w:rPr>
        <w:t>el administrado</w:t>
      </w:r>
      <w:r w:rsidRPr="008B70D6">
        <w:rPr>
          <w:rFonts w:ascii="Arial" w:hAnsi="Arial" w:cs="Arial"/>
          <w:bCs/>
          <w:sz w:val="24"/>
          <w:szCs w:val="24"/>
        </w:rPr>
        <w:t xml:space="preserve"> no tiene la posibilidad de conocer las razones y los motivos por los cuales supuestamente infringió </w:t>
      </w:r>
      <w:r>
        <w:rPr>
          <w:rFonts w:ascii="Arial" w:hAnsi="Arial" w:cs="Arial"/>
          <w:bCs/>
          <w:sz w:val="24"/>
          <w:szCs w:val="24"/>
        </w:rPr>
        <w:t xml:space="preserve">lo dispuesto por </w:t>
      </w:r>
      <w:r w:rsidRPr="008B70D6">
        <w:rPr>
          <w:rFonts w:ascii="Arial" w:hAnsi="Arial" w:cs="Arial"/>
          <w:bCs/>
          <w:sz w:val="24"/>
          <w:szCs w:val="24"/>
        </w:rPr>
        <w:t>el Reglamento de Vialidad para el Municipio de Oaxaca de Juárez</w:t>
      </w:r>
      <w:r>
        <w:rPr>
          <w:rFonts w:ascii="Arial" w:hAnsi="Arial" w:cs="Arial"/>
          <w:bCs/>
          <w:sz w:val="24"/>
          <w:szCs w:val="24"/>
        </w:rPr>
        <w:t xml:space="preserve">; asimismo plasma de puño y letra el artículo 59, fracción I, inciso c), pero omite plasmar de que ordenamiento legal, así como el numeral 21 constitucional pero no  precisa si se trata de la Constitución Política de los Estados Unidos Mexicanos o de la Constitución Política del Estado Libre y Soberano de Oaxaca, siendo imperioso para la autoridad plasmar además de los artículos, fracciones e incisos, la ley aplicable al caso concreto; por cuanto hace a la motivación la </w:t>
      </w:r>
      <w:r w:rsidRPr="0077380F">
        <w:rPr>
          <w:rFonts w:ascii="Arial" w:hAnsi="Arial" w:cs="Arial"/>
          <w:bCs/>
          <w:sz w:val="24"/>
          <w:szCs w:val="24"/>
        </w:rPr>
        <w:t>autorid</w:t>
      </w:r>
      <w:r w:rsidRPr="00402863">
        <w:rPr>
          <w:rFonts w:ascii="Arial" w:hAnsi="Arial" w:cs="Arial"/>
          <w:bCs/>
          <w:sz w:val="24"/>
          <w:szCs w:val="24"/>
        </w:rPr>
        <w:t>ad demandada</w:t>
      </w:r>
      <w:r>
        <w:rPr>
          <w:rFonts w:ascii="Arial" w:hAnsi="Arial" w:cs="Arial"/>
          <w:bCs/>
          <w:sz w:val="24"/>
          <w:szCs w:val="24"/>
        </w:rPr>
        <w:t xml:space="preserve"> no motiva adecuadamente su determinación, ya que deja de narrar las circunstancias de modo, pues el  plasmar únicamente </w:t>
      </w:r>
      <w:r w:rsidRPr="000B384D">
        <w:rPr>
          <w:rFonts w:ascii="Arial" w:hAnsi="Arial" w:cs="Arial"/>
          <w:bCs/>
          <w:i/>
          <w:iCs/>
          <w:sz w:val="24"/>
          <w:szCs w:val="24"/>
        </w:rPr>
        <w:t>“</w:t>
      </w:r>
      <w:r w:rsidRPr="009A5D16">
        <w:rPr>
          <w:rFonts w:ascii="Arial" w:hAnsi="Arial" w:cs="Arial"/>
          <w:bCs/>
          <w:i/>
          <w:iCs/>
          <w:sz w:val="24"/>
          <w:szCs w:val="24"/>
        </w:rPr>
        <w:t xml:space="preserve">poner en riesgo a los </w:t>
      </w:r>
      <w:proofErr w:type="spellStart"/>
      <w:r w:rsidRPr="009A5D16">
        <w:rPr>
          <w:rFonts w:ascii="Arial" w:hAnsi="Arial" w:cs="Arial"/>
          <w:bCs/>
          <w:i/>
          <w:iCs/>
          <w:sz w:val="24"/>
          <w:szCs w:val="24"/>
        </w:rPr>
        <w:t>demas</w:t>
      </w:r>
      <w:proofErr w:type="spellEnd"/>
      <w:r w:rsidRPr="009A5D16">
        <w:rPr>
          <w:rFonts w:ascii="Arial" w:hAnsi="Arial" w:cs="Arial"/>
          <w:bCs/>
          <w:i/>
          <w:iCs/>
          <w:sz w:val="24"/>
          <w:szCs w:val="24"/>
        </w:rPr>
        <w:t xml:space="preserve"> (sic) conductores</w:t>
      </w:r>
      <w:r w:rsidRPr="000B384D">
        <w:rPr>
          <w:rFonts w:ascii="Arial" w:hAnsi="Arial" w:cs="Arial"/>
          <w:bCs/>
          <w:i/>
          <w:iCs/>
          <w:sz w:val="24"/>
          <w:szCs w:val="24"/>
        </w:rPr>
        <w:t>”</w:t>
      </w:r>
      <w:r>
        <w:rPr>
          <w:rFonts w:ascii="Arial" w:hAnsi="Arial" w:cs="Arial"/>
          <w:bCs/>
          <w:sz w:val="24"/>
          <w:szCs w:val="24"/>
        </w:rPr>
        <w:t xml:space="preserve">, no describe cómo sucedieron los hechos, esto es, no precisa las razones o motivos por los cuales llegó a la conclusión que el actor puso en riesgo a los demás </w:t>
      </w:r>
      <w:r>
        <w:rPr>
          <w:rFonts w:ascii="Arial" w:hAnsi="Arial" w:cs="Arial"/>
          <w:bCs/>
          <w:sz w:val="24"/>
          <w:szCs w:val="24"/>
        </w:rPr>
        <w:lastRenderedPageBreak/>
        <w:t>conductores, lo cual permitiera al administrado la posibilidad de conocer las razones o motivos por los cuales supuestamente infringió la norma contenida en el Reglamento de Vialidad para el Municipio de Oaxaca de Juárez, y en su oportunidad efectuar su de</w:t>
      </w:r>
      <w:r w:rsidRPr="0077380F">
        <w:rPr>
          <w:rFonts w:ascii="Arial" w:hAnsi="Arial" w:cs="Arial"/>
          <w:bCs/>
          <w:sz w:val="24"/>
          <w:szCs w:val="24"/>
        </w:rPr>
        <w:t>fensa</w:t>
      </w:r>
      <w:r>
        <w:rPr>
          <w:rFonts w:ascii="Arial" w:hAnsi="Arial" w:cs="Arial"/>
          <w:bCs/>
          <w:sz w:val="24"/>
          <w:szCs w:val="24"/>
        </w:rPr>
        <w:t>, por lo que se deja en estado de indefensión al actor, en términos de los artículo 16 de la Constitución Política de los Estados Unidos Mexicanos, y 17, fracción V, de la Ley de Procedimiento y Justicia Administrativa para el Esta</w:t>
      </w:r>
      <w:r w:rsidRPr="002E31D6">
        <w:rPr>
          <w:rFonts w:ascii="Arial" w:hAnsi="Arial" w:cs="Arial"/>
          <w:bCs/>
          <w:sz w:val="24"/>
          <w:szCs w:val="24"/>
        </w:rPr>
        <w:t>do</w:t>
      </w:r>
      <w:r>
        <w:rPr>
          <w:rFonts w:ascii="Arial" w:hAnsi="Arial" w:cs="Arial"/>
          <w:bCs/>
          <w:sz w:val="24"/>
          <w:szCs w:val="24"/>
        </w:rPr>
        <w:t>.</w:t>
      </w:r>
    </w:p>
    <w:p w:rsidR="00A412A2" w:rsidRDefault="00A412A2" w:rsidP="00A412A2">
      <w:pPr>
        <w:spacing w:line="360" w:lineRule="auto"/>
        <w:ind w:firstLine="708"/>
        <w:jc w:val="both"/>
        <w:rPr>
          <w:rFonts w:ascii="Arial" w:hAnsi="Arial" w:cs="Arial"/>
          <w:bCs/>
          <w:sz w:val="24"/>
          <w:szCs w:val="24"/>
        </w:rPr>
      </w:pPr>
    </w:p>
    <w:p w:rsidR="00A412A2" w:rsidRDefault="00A412A2" w:rsidP="00A412A2">
      <w:pPr>
        <w:spacing w:line="360" w:lineRule="auto"/>
        <w:ind w:firstLine="709"/>
        <w:contextualSpacing/>
        <w:jc w:val="both"/>
        <w:rPr>
          <w:rFonts w:ascii="Arial" w:hAnsi="Arial" w:cs="Arial"/>
          <w:bCs/>
          <w:sz w:val="24"/>
          <w:szCs w:val="24"/>
        </w:rPr>
      </w:pPr>
      <w:r w:rsidRPr="00BB7DA2">
        <w:rPr>
          <w:rFonts w:ascii="Arial" w:hAnsi="Arial" w:cs="Arial"/>
          <w:sz w:val="24"/>
          <w:szCs w:val="24"/>
        </w:rPr>
        <w:t>Por lo que concierne a la</w:t>
      </w:r>
      <w:r>
        <w:rPr>
          <w:rFonts w:ascii="Arial" w:hAnsi="Arial" w:cs="Arial"/>
          <w:sz w:val="24"/>
          <w:szCs w:val="24"/>
        </w:rPr>
        <w:t>s</w:t>
      </w:r>
      <w:r w:rsidRPr="00BB7DA2">
        <w:rPr>
          <w:rFonts w:ascii="Arial" w:hAnsi="Arial" w:cs="Arial"/>
          <w:sz w:val="24"/>
          <w:szCs w:val="24"/>
        </w:rPr>
        <w:t xml:space="preserve"> prueba</w:t>
      </w:r>
      <w:r>
        <w:rPr>
          <w:rFonts w:ascii="Arial" w:hAnsi="Arial" w:cs="Arial"/>
          <w:sz w:val="24"/>
          <w:szCs w:val="24"/>
        </w:rPr>
        <w:t>s</w:t>
      </w:r>
      <w:r w:rsidRPr="00BB7DA2">
        <w:rPr>
          <w:rFonts w:ascii="Arial" w:hAnsi="Arial" w:cs="Arial"/>
          <w:sz w:val="24"/>
          <w:szCs w:val="24"/>
        </w:rPr>
        <w:t xml:space="preserve"> objetada</w:t>
      </w:r>
      <w:r>
        <w:rPr>
          <w:rFonts w:ascii="Arial" w:hAnsi="Arial" w:cs="Arial"/>
          <w:sz w:val="24"/>
          <w:szCs w:val="24"/>
        </w:rPr>
        <w:t>s</w:t>
      </w:r>
      <w:r w:rsidRPr="00BB7DA2">
        <w:rPr>
          <w:rFonts w:ascii="Arial" w:hAnsi="Arial" w:cs="Arial"/>
          <w:sz w:val="24"/>
          <w:szCs w:val="24"/>
        </w:rPr>
        <w:t xml:space="preserve"> por la autoridad demandada</w:t>
      </w:r>
      <w:r>
        <w:rPr>
          <w:rFonts w:ascii="Arial" w:hAnsi="Arial" w:cs="Arial"/>
          <w:sz w:val="24"/>
          <w:szCs w:val="24"/>
        </w:rPr>
        <w:t xml:space="preserve"> </w:t>
      </w:r>
      <w:r w:rsidRPr="00BA2BFD">
        <w:rPr>
          <w:rFonts w:ascii="Arial" w:hAnsi="Arial" w:cs="Arial"/>
          <w:sz w:val="24"/>
          <w:szCs w:val="24"/>
        </w:rPr>
        <w:t>Policía Vial</w:t>
      </w:r>
      <w:r>
        <w:rPr>
          <w:rFonts w:ascii="Arial" w:hAnsi="Arial" w:cs="Arial"/>
          <w:b/>
          <w:bCs/>
          <w:sz w:val="24"/>
          <w:szCs w:val="24"/>
        </w:rPr>
        <w:t xml:space="preserve"> </w:t>
      </w:r>
      <w:r w:rsidRPr="00EF6CD1">
        <w:rPr>
          <w:rFonts w:ascii="Arial" w:hAnsi="Arial" w:cs="Arial"/>
          <w:sz w:val="24"/>
          <w:szCs w:val="24"/>
        </w:rPr>
        <w:t>con número estadístico</w:t>
      </w:r>
      <w:r w:rsidRPr="00187FC0">
        <w:rPr>
          <w:rFonts w:ascii="Arial" w:hAnsi="Arial" w:cs="Arial"/>
          <w:b/>
          <w:bCs/>
          <w:sz w:val="24"/>
          <w:szCs w:val="24"/>
        </w:rPr>
        <w:t xml:space="preserve"> </w:t>
      </w:r>
      <w:r>
        <w:rPr>
          <w:rFonts w:ascii="Arial" w:hAnsi="Arial" w:cs="Arial"/>
          <w:sz w:val="24"/>
          <w:szCs w:val="24"/>
        </w:rPr>
        <w:t xml:space="preserve">PV-41, adscrito a la Dirección de Movilidad del Municipio de Oaxaca de Juárez, </w:t>
      </w:r>
      <w:r>
        <w:rPr>
          <w:rFonts w:cs="Arial"/>
          <w:b/>
          <w:sz w:val="24"/>
          <w:szCs w:val="24"/>
        </w:rPr>
        <w:t>**********</w:t>
      </w:r>
      <w:r w:rsidRPr="00BB7DA2">
        <w:rPr>
          <w:rFonts w:ascii="Arial" w:hAnsi="Arial" w:cs="Arial"/>
          <w:sz w:val="24"/>
          <w:szCs w:val="24"/>
        </w:rPr>
        <w:t xml:space="preserve">, </w:t>
      </w:r>
      <w:r>
        <w:rPr>
          <w:rFonts w:ascii="Arial" w:hAnsi="Arial" w:cs="Arial"/>
          <w:sz w:val="24"/>
          <w:szCs w:val="24"/>
        </w:rPr>
        <w:t xml:space="preserve">descritas en auto </w:t>
      </w:r>
      <w:proofErr w:type="spellStart"/>
      <w:r>
        <w:rPr>
          <w:rFonts w:ascii="Arial" w:hAnsi="Arial" w:cs="Arial"/>
          <w:sz w:val="24"/>
          <w:szCs w:val="24"/>
        </w:rPr>
        <w:t>admisorio</w:t>
      </w:r>
      <w:proofErr w:type="spellEnd"/>
      <w:r>
        <w:rPr>
          <w:rFonts w:ascii="Arial" w:hAnsi="Arial" w:cs="Arial"/>
          <w:sz w:val="24"/>
          <w:szCs w:val="24"/>
        </w:rPr>
        <w:t xml:space="preserve"> de diez de junio de dos mil veintidós</w:t>
      </w:r>
      <w:r w:rsidRPr="00BB7DA2">
        <w:rPr>
          <w:rFonts w:ascii="Arial" w:hAnsi="Arial" w:cs="Arial"/>
          <w:sz w:val="24"/>
          <w:szCs w:val="24"/>
        </w:rPr>
        <w:t>, no ha lugar a su petición, en virtud que la</w:t>
      </w:r>
      <w:r>
        <w:rPr>
          <w:rFonts w:ascii="Arial" w:hAnsi="Arial" w:cs="Arial"/>
          <w:sz w:val="24"/>
          <w:szCs w:val="24"/>
        </w:rPr>
        <w:t xml:space="preserve"> autoridad</w:t>
      </w:r>
      <w:r w:rsidRPr="00BB7DA2">
        <w:rPr>
          <w:rFonts w:ascii="Arial" w:hAnsi="Arial" w:cs="Arial"/>
          <w:sz w:val="24"/>
          <w:szCs w:val="24"/>
        </w:rPr>
        <w:t xml:space="preserve"> demandada solo hace referencia a objetar la</w:t>
      </w:r>
      <w:r>
        <w:rPr>
          <w:rFonts w:ascii="Arial" w:hAnsi="Arial" w:cs="Arial"/>
          <w:sz w:val="24"/>
          <w:szCs w:val="24"/>
        </w:rPr>
        <w:t>s</w:t>
      </w:r>
      <w:r w:rsidRPr="00BB7DA2">
        <w:rPr>
          <w:rFonts w:ascii="Arial" w:hAnsi="Arial" w:cs="Arial"/>
          <w:sz w:val="24"/>
          <w:szCs w:val="24"/>
        </w:rPr>
        <w:t xml:space="preserve"> documental exhibida</w:t>
      </w:r>
      <w:r>
        <w:rPr>
          <w:rFonts w:ascii="Arial" w:hAnsi="Arial" w:cs="Arial"/>
          <w:sz w:val="24"/>
          <w:szCs w:val="24"/>
        </w:rPr>
        <w:t>s</w:t>
      </w:r>
      <w:r w:rsidRPr="00BB7DA2">
        <w:rPr>
          <w:rFonts w:ascii="Arial" w:hAnsi="Arial" w:cs="Arial"/>
          <w:sz w:val="24"/>
          <w:szCs w:val="24"/>
        </w:rPr>
        <w:t xml:space="preserve"> por </w:t>
      </w:r>
      <w:r>
        <w:rPr>
          <w:rFonts w:ascii="Arial" w:hAnsi="Arial" w:cs="Arial"/>
          <w:sz w:val="24"/>
          <w:szCs w:val="24"/>
        </w:rPr>
        <w:t xml:space="preserve">el </w:t>
      </w:r>
      <w:r w:rsidRPr="00BB7DA2">
        <w:rPr>
          <w:rFonts w:ascii="Arial" w:hAnsi="Arial" w:cs="Arial"/>
          <w:sz w:val="24"/>
          <w:szCs w:val="24"/>
        </w:rPr>
        <w:t>actor y, en el presente asunto no se advierte prueba alguna fehaciente para desvirtuar el contenido de dich</w:t>
      </w:r>
      <w:r>
        <w:rPr>
          <w:rFonts w:ascii="Arial" w:hAnsi="Arial" w:cs="Arial"/>
          <w:sz w:val="24"/>
          <w:szCs w:val="24"/>
        </w:rPr>
        <w:t>as</w:t>
      </w:r>
      <w:r w:rsidRPr="00BB7DA2">
        <w:rPr>
          <w:rFonts w:ascii="Arial" w:hAnsi="Arial" w:cs="Arial"/>
          <w:sz w:val="24"/>
          <w:szCs w:val="24"/>
        </w:rPr>
        <w:t xml:space="preserve"> document</w:t>
      </w:r>
      <w:r>
        <w:rPr>
          <w:rFonts w:ascii="Arial" w:hAnsi="Arial" w:cs="Arial"/>
          <w:sz w:val="24"/>
          <w:szCs w:val="24"/>
        </w:rPr>
        <w:t>ales</w:t>
      </w:r>
      <w:r w:rsidRPr="00BB7DA2">
        <w:rPr>
          <w:rFonts w:ascii="Arial" w:hAnsi="Arial" w:cs="Arial"/>
          <w:sz w:val="24"/>
          <w:szCs w:val="24"/>
        </w:rPr>
        <w:t>.</w:t>
      </w:r>
    </w:p>
    <w:p w:rsidR="00A412A2" w:rsidRPr="001C1650" w:rsidRDefault="00A412A2" w:rsidP="00A412A2">
      <w:pPr>
        <w:spacing w:line="360" w:lineRule="auto"/>
        <w:ind w:firstLine="709"/>
        <w:contextualSpacing/>
        <w:jc w:val="both"/>
        <w:rPr>
          <w:rFonts w:ascii="Arial" w:hAnsi="Arial" w:cs="Arial"/>
          <w:bCs/>
          <w:sz w:val="24"/>
          <w:szCs w:val="24"/>
        </w:rPr>
      </w:pPr>
      <w:r>
        <w:rPr>
          <w:rFonts w:ascii="Arial" w:hAnsi="Arial" w:cs="Arial"/>
          <w:bCs/>
          <w:sz w:val="24"/>
          <w:szCs w:val="24"/>
        </w:rPr>
        <w:t xml:space="preserve"> </w:t>
      </w:r>
    </w:p>
    <w:p w:rsidR="00A412A2" w:rsidRDefault="00A412A2" w:rsidP="00A412A2">
      <w:pPr>
        <w:spacing w:line="360" w:lineRule="auto"/>
        <w:ind w:firstLine="709"/>
        <w:contextualSpacing/>
        <w:jc w:val="both"/>
        <w:rPr>
          <w:rFonts w:ascii="Arial" w:hAnsi="Arial" w:cs="Arial"/>
          <w:bCs/>
          <w:sz w:val="24"/>
          <w:szCs w:val="24"/>
        </w:rPr>
      </w:pPr>
      <w:r>
        <w:rPr>
          <w:rFonts w:ascii="Arial" w:hAnsi="Arial" w:cs="Arial"/>
          <w:bCs/>
          <w:i/>
          <w:iCs/>
          <w:sz w:val="24"/>
          <w:szCs w:val="24"/>
        </w:rPr>
        <w:t xml:space="preserve"> </w:t>
      </w:r>
      <w:bookmarkStart w:id="4" w:name="_Hlk84507859"/>
      <w:r w:rsidRPr="00DC78DA">
        <w:rPr>
          <w:rFonts w:ascii="Arial" w:hAnsi="Arial" w:cs="Arial"/>
          <w:bCs/>
          <w:sz w:val="24"/>
          <w:szCs w:val="24"/>
        </w:rPr>
        <w:t>De lo</w:t>
      </w:r>
      <w:r w:rsidRPr="00BB5812">
        <w:rPr>
          <w:rFonts w:ascii="Arial" w:hAnsi="Arial" w:cs="Arial"/>
          <w:bCs/>
          <w:sz w:val="24"/>
          <w:szCs w:val="24"/>
        </w:rPr>
        <w:t xml:space="preserve"> que se concluye que </w:t>
      </w:r>
      <w:r>
        <w:rPr>
          <w:rFonts w:ascii="Arial" w:hAnsi="Arial" w:cs="Arial"/>
          <w:bCs/>
          <w:sz w:val="24"/>
          <w:szCs w:val="24"/>
        </w:rPr>
        <w:t xml:space="preserve">al no existir una adecuada fundamentación y motivación en el acto que se combate, en términos del artículo 17, fracción V, de la </w:t>
      </w:r>
      <w:r w:rsidRPr="00A84B6D">
        <w:rPr>
          <w:rFonts w:ascii="Arial" w:hAnsi="Arial" w:cs="Arial"/>
          <w:sz w:val="24"/>
          <w:szCs w:val="24"/>
        </w:rPr>
        <w:t>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l </w:t>
      </w:r>
      <w:r w:rsidRPr="00BB5812">
        <w:rPr>
          <w:rFonts w:ascii="Arial" w:hAnsi="Arial" w:cs="Arial"/>
          <w:bCs/>
          <w:sz w:val="24"/>
          <w:szCs w:val="24"/>
        </w:rPr>
        <w:t xml:space="preserve">actor, al no tener la certeza jurídica del motivo por el cual </w:t>
      </w:r>
      <w:r>
        <w:rPr>
          <w:rFonts w:ascii="Arial" w:hAnsi="Arial" w:cs="Arial"/>
          <w:bCs/>
          <w:sz w:val="24"/>
          <w:szCs w:val="24"/>
        </w:rPr>
        <w:t xml:space="preserve">se le infraccionó, </w:t>
      </w:r>
      <w:r w:rsidRPr="00A84B6D">
        <w:rPr>
          <w:rFonts w:ascii="Arial" w:hAnsi="Arial" w:cs="Arial"/>
          <w:sz w:val="24"/>
          <w:szCs w:val="24"/>
        </w:rPr>
        <w:t>y</w:t>
      </w:r>
      <w:r>
        <w:rPr>
          <w:rFonts w:ascii="Arial" w:hAnsi="Arial" w:cs="Arial"/>
          <w:sz w:val="24"/>
          <w:szCs w:val="24"/>
        </w:rPr>
        <w:t>a</w:t>
      </w:r>
      <w:r w:rsidRPr="00A84B6D">
        <w:rPr>
          <w:rFonts w:ascii="Arial" w:hAnsi="Arial" w:cs="Arial"/>
          <w:sz w:val="24"/>
          <w:szCs w:val="24"/>
        </w:rPr>
        <w:t xml:space="preserve"> </w:t>
      </w:r>
      <w:r>
        <w:rPr>
          <w:rFonts w:ascii="Arial" w:hAnsi="Arial" w:cs="Arial"/>
          <w:sz w:val="24"/>
          <w:szCs w:val="24"/>
        </w:rPr>
        <w:t>que la autoridad demandada no fundo ni motivo adecuadamente</w:t>
      </w:r>
      <w:r w:rsidRPr="00A84B6D">
        <w:rPr>
          <w:rFonts w:ascii="Arial" w:hAnsi="Arial" w:cs="Arial"/>
          <w:sz w:val="24"/>
          <w:szCs w:val="24"/>
        </w:rPr>
        <w:t xml:space="preserve"> su actuar, provocando con ello la ilegalidad del acto combatido; con fundamento en lo dispuesto por el artículo 208</w:t>
      </w:r>
      <w:r>
        <w:rPr>
          <w:rFonts w:ascii="Arial" w:hAnsi="Arial" w:cs="Arial"/>
          <w:sz w:val="24"/>
          <w:szCs w:val="24"/>
        </w:rPr>
        <w:t>,</w:t>
      </w:r>
      <w:r w:rsidRPr="00A84B6D">
        <w:rPr>
          <w:rFonts w:ascii="Arial" w:hAnsi="Arial" w:cs="Arial"/>
          <w:sz w:val="24"/>
          <w:szCs w:val="24"/>
        </w:rPr>
        <w:t xml:space="preserve"> fracci</w:t>
      </w:r>
      <w:r>
        <w:rPr>
          <w:rFonts w:ascii="Arial" w:hAnsi="Arial" w:cs="Arial"/>
          <w:sz w:val="24"/>
          <w:szCs w:val="24"/>
        </w:rPr>
        <w:t>ones II y</w:t>
      </w:r>
      <w:r w:rsidRPr="00A84B6D">
        <w:rPr>
          <w:rFonts w:ascii="Arial" w:hAnsi="Arial" w:cs="Arial"/>
          <w:sz w:val="24"/>
          <w:szCs w:val="24"/>
        </w:rPr>
        <w:t xml:space="preserve"> VI, de la Ley de </w:t>
      </w:r>
      <w:r>
        <w:rPr>
          <w:rFonts w:ascii="Arial" w:hAnsi="Arial" w:cs="Arial"/>
          <w:sz w:val="24"/>
          <w:szCs w:val="24"/>
        </w:rPr>
        <w:t>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veintiuno de mayo de dos mil veintidós,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Pr>
          <w:rFonts w:ascii="Arial" w:hAnsi="Arial" w:cs="Arial"/>
          <w:sz w:val="24"/>
          <w:szCs w:val="24"/>
        </w:rPr>
        <w:t xml:space="preserve"> con número estadístico PV-41, </w:t>
      </w:r>
      <w:r>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Dirección de  Movilidad del Municipio de Oaxaca de Juárez</w:t>
      </w:r>
      <w:r w:rsidRPr="00A84B6D">
        <w:rPr>
          <w:rFonts w:ascii="Arial" w:hAnsi="Arial" w:cs="Arial"/>
          <w:sz w:val="24"/>
          <w:szCs w:val="24"/>
        </w:rPr>
        <w:t xml:space="preserve">, </w:t>
      </w:r>
      <w:r w:rsidRPr="00A84B6D">
        <w:rPr>
          <w:rFonts w:ascii="Arial" w:hAnsi="Arial" w:cs="Arial"/>
          <w:bCs/>
          <w:sz w:val="24"/>
          <w:szCs w:val="24"/>
        </w:rPr>
        <w:t xml:space="preserve">ordenándose dar de baja el acto impugnado </w:t>
      </w:r>
      <w:r>
        <w:rPr>
          <w:rFonts w:ascii="Arial" w:hAnsi="Arial" w:cs="Arial"/>
          <w:bCs/>
          <w:sz w:val="24"/>
          <w:szCs w:val="24"/>
        </w:rPr>
        <w:t>de</w:t>
      </w:r>
      <w:r w:rsidRPr="00A84B6D">
        <w:rPr>
          <w:rFonts w:ascii="Arial" w:hAnsi="Arial" w:cs="Arial"/>
          <w:bCs/>
          <w:sz w:val="24"/>
          <w:szCs w:val="24"/>
        </w:rPr>
        <w:t xml:space="preserve"> los registros correspondientes de la autoridad demandada.</w:t>
      </w:r>
    </w:p>
    <w:p w:rsidR="00A412A2" w:rsidRDefault="00A412A2" w:rsidP="00A412A2">
      <w:pPr>
        <w:spacing w:line="360" w:lineRule="auto"/>
        <w:ind w:firstLine="709"/>
        <w:contextualSpacing/>
        <w:jc w:val="both"/>
        <w:rPr>
          <w:rFonts w:ascii="Arial" w:hAnsi="Arial" w:cs="Arial"/>
          <w:sz w:val="24"/>
          <w:szCs w:val="24"/>
        </w:rPr>
      </w:pPr>
    </w:p>
    <w:p w:rsidR="00A412A2" w:rsidRPr="00FB7679" w:rsidRDefault="00A412A2" w:rsidP="00A412A2">
      <w:pPr>
        <w:spacing w:line="360" w:lineRule="auto"/>
        <w:ind w:firstLine="708"/>
        <w:jc w:val="both"/>
        <w:rPr>
          <w:rFonts w:ascii="Arial" w:hAnsi="Arial" w:cs="Arial"/>
          <w:i/>
          <w:iCs/>
          <w:color w:val="FF0000"/>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el</w:t>
      </w:r>
      <w:r w:rsidRPr="009761C8">
        <w:rPr>
          <w:rFonts w:ascii="Arial" w:hAnsi="Arial" w:cs="Arial"/>
          <w:bCs/>
          <w:color w:val="000000"/>
          <w:sz w:val="24"/>
          <w:szCs w:val="24"/>
        </w:rPr>
        <w:t xml:space="preserve">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xml:space="preserve">, sustentada por el Cuarto Tribunal Colegiado en materia Administrativa del Primer Circuito, publicada en el Semanario Judicial de la Federación y su Gaceta, Tomo XXIII, Mayo de 2006, visible en la página 1646, bajo </w:t>
      </w:r>
      <w:r w:rsidRPr="009761C8">
        <w:rPr>
          <w:rFonts w:ascii="Arial" w:hAnsi="Arial" w:cs="Arial"/>
          <w:bCs/>
          <w:sz w:val="24"/>
          <w:szCs w:val="24"/>
        </w:rPr>
        <w:lastRenderedPageBreak/>
        <w:t>el siguiente rubro</w:t>
      </w:r>
      <w:r w:rsidRPr="009761C8">
        <w:rPr>
          <w:rFonts w:ascii="Arial" w:hAnsi="Arial" w:cs="Arial"/>
          <w:bCs/>
          <w:i/>
          <w:sz w:val="24"/>
          <w:szCs w:val="24"/>
        </w:rPr>
        <w:t>:</w:t>
      </w:r>
      <w:r w:rsidRPr="009761C8">
        <w:rPr>
          <w:rFonts w:ascii="Arial" w:hAnsi="Arial" w:cs="Arial"/>
          <w:b/>
          <w:bCs/>
          <w:sz w:val="24"/>
          <w:szCs w:val="24"/>
        </w:rPr>
        <w:t xml:space="preserve"> </w:t>
      </w:r>
      <w:r w:rsidRPr="00FB7679">
        <w:rPr>
          <w:rFonts w:ascii="Arial" w:hAnsi="Arial" w:cs="Arial"/>
          <w:b/>
          <w:bCs/>
          <w:i/>
          <w:iCs/>
          <w:sz w:val="24"/>
          <w:szCs w:val="24"/>
        </w:rPr>
        <w:t>“</w:t>
      </w:r>
      <w:r w:rsidRPr="00FB7679">
        <w:rPr>
          <w:rFonts w:ascii="Arial" w:hAnsi="Arial" w:cs="Arial"/>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A412A2" w:rsidRPr="007B0581" w:rsidRDefault="00A412A2" w:rsidP="00A412A2">
      <w:pPr>
        <w:spacing w:line="360" w:lineRule="auto"/>
        <w:ind w:firstLine="709"/>
        <w:contextualSpacing/>
        <w:jc w:val="both"/>
        <w:rPr>
          <w:rFonts w:ascii="Arial" w:hAnsi="Arial" w:cs="Arial"/>
          <w:color w:val="FF0000"/>
          <w:sz w:val="24"/>
          <w:szCs w:val="24"/>
        </w:rPr>
      </w:pPr>
    </w:p>
    <w:bookmarkEnd w:id="4"/>
    <w:p w:rsidR="00A412A2" w:rsidRPr="007B0581" w:rsidRDefault="00A412A2" w:rsidP="00A412A2">
      <w:pPr>
        <w:spacing w:line="360" w:lineRule="auto"/>
        <w:ind w:right="-93" w:firstLine="708"/>
        <w:jc w:val="both"/>
        <w:rPr>
          <w:rFonts w:ascii="Arial" w:hAnsi="Arial" w:cs="Arial"/>
          <w:sz w:val="24"/>
          <w:szCs w:val="24"/>
        </w:rPr>
      </w:pPr>
      <w:r w:rsidRPr="007B0581">
        <w:rPr>
          <w:rFonts w:ascii="Arial" w:hAnsi="Arial" w:cs="Arial"/>
          <w:color w:val="FF0000"/>
          <w:sz w:val="24"/>
          <w:szCs w:val="24"/>
        </w:rPr>
        <w:t>.</w:t>
      </w: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A412A2" w:rsidRPr="007B0581" w:rsidRDefault="00A412A2" w:rsidP="00A412A2">
      <w:pPr>
        <w:spacing w:line="360" w:lineRule="auto"/>
        <w:ind w:right="-93" w:firstLine="708"/>
        <w:jc w:val="both"/>
        <w:rPr>
          <w:rFonts w:ascii="Arial" w:eastAsia="Calibri" w:hAnsi="Arial" w:cs="Arial"/>
          <w:color w:val="000000"/>
          <w:sz w:val="24"/>
          <w:szCs w:val="24"/>
          <w:lang w:val="es-MX" w:eastAsia="en-US"/>
        </w:rPr>
      </w:pPr>
    </w:p>
    <w:p w:rsidR="00A412A2" w:rsidRDefault="00A412A2" w:rsidP="00A412A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A412A2" w:rsidRPr="007B0581" w:rsidRDefault="00A412A2" w:rsidP="00A412A2">
      <w:pPr>
        <w:spacing w:line="360" w:lineRule="auto"/>
        <w:ind w:firstLine="708"/>
        <w:jc w:val="both"/>
        <w:rPr>
          <w:rFonts w:ascii="Arial" w:eastAsia="Calibri" w:hAnsi="Arial" w:cs="Arial"/>
          <w:color w:val="000000"/>
          <w:sz w:val="24"/>
          <w:szCs w:val="24"/>
          <w:lang w:val="es-MX" w:eastAsia="en-US"/>
        </w:rPr>
      </w:pPr>
    </w:p>
    <w:p w:rsidR="00A412A2" w:rsidRDefault="00A412A2" w:rsidP="00A412A2">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A412A2" w:rsidRPr="007B0581" w:rsidRDefault="00A412A2" w:rsidP="00A412A2">
      <w:pPr>
        <w:tabs>
          <w:tab w:val="left" w:pos="3786"/>
        </w:tabs>
        <w:spacing w:line="360" w:lineRule="auto"/>
        <w:ind w:firstLine="708"/>
        <w:jc w:val="both"/>
        <w:rPr>
          <w:rFonts w:ascii="Arial" w:hAnsi="Arial" w:cs="Arial"/>
          <w:b/>
          <w:sz w:val="24"/>
          <w:szCs w:val="24"/>
        </w:rPr>
      </w:pPr>
    </w:p>
    <w:p w:rsidR="00A412A2" w:rsidRPr="007B0581" w:rsidRDefault="00A412A2" w:rsidP="00A412A2">
      <w:pPr>
        <w:tabs>
          <w:tab w:val="left" w:pos="3932"/>
        </w:tabs>
        <w:jc w:val="both"/>
        <w:rPr>
          <w:rFonts w:ascii="Arial" w:hAnsi="Arial" w:cs="Arial"/>
          <w:b/>
          <w:sz w:val="24"/>
          <w:szCs w:val="24"/>
        </w:rPr>
      </w:pPr>
      <w:r w:rsidRPr="007B0581">
        <w:rPr>
          <w:rFonts w:ascii="Arial" w:hAnsi="Arial" w:cs="Arial"/>
          <w:b/>
          <w:sz w:val="24"/>
          <w:szCs w:val="24"/>
        </w:rPr>
        <w:tab/>
      </w:r>
    </w:p>
    <w:p w:rsidR="00A412A2" w:rsidRPr="007B0581" w:rsidRDefault="00A412A2" w:rsidP="00A412A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A412A2" w:rsidRPr="007B0581" w:rsidRDefault="00A412A2" w:rsidP="00A412A2">
      <w:pPr>
        <w:pStyle w:val="Textoindependiente"/>
        <w:ind w:firstLine="709"/>
        <w:contextualSpacing/>
        <w:jc w:val="both"/>
        <w:rPr>
          <w:rFonts w:ascii="Arial" w:hAnsi="Arial" w:cs="Arial"/>
          <w:b/>
          <w:sz w:val="24"/>
          <w:szCs w:val="24"/>
        </w:rPr>
      </w:pPr>
    </w:p>
    <w:p w:rsidR="00A412A2" w:rsidRPr="007B0581" w:rsidRDefault="00A412A2" w:rsidP="00A412A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A412A2" w:rsidRDefault="00A412A2" w:rsidP="00A412A2">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A412A2" w:rsidRPr="007B0581" w:rsidRDefault="00A412A2" w:rsidP="00A412A2">
      <w:pPr>
        <w:spacing w:line="360" w:lineRule="auto"/>
        <w:ind w:right="51" w:firstLine="567"/>
        <w:contextualSpacing/>
        <w:jc w:val="both"/>
        <w:rPr>
          <w:rFonts w:ascii="Arial" w:hAnsi="Arial" w:cs="Arial"/>
          <w:sz w:val="24"/>
          <w:szCs w:val="24"/>
          <w:lang w:val="es-MX"/>
        </w:rPr>
      </w:pPr>
    </w:p>
    <w:p w:rsidR="00A412A2" w:rsidRPr="007B0581" w:rsidRDefault="00A412A2" w:rsidP="00A412A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A84B6D">
        <w:rPr>
          <w:rFonts w:ascii="Arial" w:hAnsi="Arial" w:cs="Arial"/>
          <w:sz w:val="24"/>
          <w:szCs w:val="24"/>
        </w:rPr>
        <w:t xml:space="preserve"> </w:t>
      </w:r>
      <w:r>
        <w:rPr>
          <w:rFonts w:ascii="Arial" w:hAnsi="Arial" w:cs="Arial"/>
          <w:sz w:val="24"/>
          <w:szCs w:val="24"/>
        </w:rPr>
        <w:t xml:space="preserve">de veintiuno de mayo de dos mil veintidós, </w:t>
      </w:r>
      <w:r w:rsidRPr="00A84B6D">
        <w:rPr>
          <w:rFonts w:ascii="Arial" w:hAnsi="Arial" w:cs="Arial"/>
          <w:sz w:val="24"/>
          <w:szCs w:val="24"/>
        </w:rPr>
        <w:t>emitida por</w:t>
      </w:r>
      <w:r>
        <w:rPr>
          <w:rFonts w:ascii="Arial" w:hAnsi="Arial" w:cs="Arial"/>
          <w:sz w:val="24"/>
          <w:szCs w:val="24"/>
        </w:rPr>
        <w:t xml:space="preserve"> el</w:t>
      </w:r>
      <w:r w:rsidRPr="00A84B6D">
        <w:rPr>
          <w:rFonts w:ascii="Arial" w:hAnsi="Arial" w:cs="Arial"/>
          <w:b/>
          <w:sz w:val="24"/>
          <w:szCs w:val="24"/>
        </w:rPr>
        <w:t xml:space="preserve"> </w:t>
      </w:r>
      <w:r>
        <w:rPr>
          <w:rFonts w:ascii="Arial" w:hAnsi="Arial" w:cs="Arial"/>
          <w:b/>
          <w:bCs/>
          <w:sz w:val="24"/>
          <w:szCs w:val="24"/>
        </w:rPr>
        <w:t>P</w:t>
      </w:r>
      <w:r w:rsidRPr="00187FC0">
        <w:rPr>
          <w:rFonts w:ascii="Arial" w:hAnsi="Arial" w:cs="Arial"/>
          <w:b/>
          <w:bCs/>
          <w:sz w:val="24"/>
          <w:szCs w:val="24"/>
        </w:rPr>
        <w:t>olicía</w:t>
      </w:r>
      <w:r>
        <w:rPr>
          <w:rFonts w:ascii="Arial" w:hAnsi="Arial" w:cs="Arial"/>
          <w:b/>
          <w:bCs/>
          <w:sz w:val="24"/>
          <w:szCs w:val="24"/>
        </w:rPr>
        <w:t xml:space="preserve"> </w:t>
      </w:r>
      <w:r w:rsidRPr="00187FC0">
        <w:rPr>
          <w:rFonts w:ascii="Arial" w:hAnsi="Arial" w:cs="Arial"/>
          <w:b/>
          <w:bCs/>
          <w:sz w:val="24"/>
          <w:szCs w:val="24"/>
        </w:rPr>
        <w:t>Vial</w:t>
      </w:r>
      <w:r>
        <w:rPr>
          <w:rFonts w:ascii="Arial" w:hAnsi="Arial" w:cs="Arial"/>
          <w:b/>
          <w:bCs/>
          <w:sz w:val="24"/>
          <w:szCs w:val="24"/>
        </w:rPr>
        <w:t xml:space="preserve"> Municipal</w:t>
      </w:r>
      <w:r>
        <w:rPr>
          <w:rFonts w:ascii="Arial" w:hAnsi="Arial" w:cs="Arial"/>
          <w:sz w:val="24"/>
          <w:szCs w:val="24"/>
        </w:rPr>
        <w:t xml:space="preserve"> con número estadístico PV-41, </w:t>
      </w:r>
      <w:r>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Pr>
          <w:rFonts w:ascii="Arial" w:hAnsi="Arial" w:cs="Arial"/>
          <w:sz w:val="24"/>
          <w:szCs w:val="24"/>
        </w:rPr>
        <w:t>o</w:t>
      </w:r>
      <w:r w:rsidRPr="00A84B6D">
        <w:rPr>
          <w:rFonts w:ascii="Arial" w:hAnsi="Arial" w:cs="Arial"/>
          <w:sz w:val="24"/>
          <w:szCs w:val="24"/>
        </w:rPr>
        <w:t xml:space="preserve"> a la </w:t>
      </w:r>
      <w:r>
        <w:rPr>
          <w:rFonts w:ascii="Arial" w:hAnsi="Arial" w:cs="Arial"/>
          <w:sz w:val="24"/>
          <w:szCs w:val="24"/>
        </w:rPr>
        <w:t>Dirección de Movilidad del Municipio de Oaxaca de Juárez</w:t>
      </w:r>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p>
    <w:p w:rsidR="00A412A2" w:rsidRPr="007B0581" w:rsidRDefault="00A412A2" w:rsidP="00A412A2">
      <w:pPr>
        <w:ind w:right="51" w:firstLine="567"/>
        <w:contextualSpacing/>
        <w:jc w:val="both"/>
        <w:rPr>
          <w:rFonts w:ascii="Arial" w:hAnsi="Arial" w:cs="Arial"/>
          <w:sz w:val="24"/>
          <w:szCs w:val="24"/>
        </w:rPr>
      </w:pPr>
    </w:p>
    <w:p w:rsidR="00A412A2" w:rsidRDefault="00A412A2" w:rsidP="00A412A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lastRenderedPageBreak/>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A412A2" w:rsidRPr="007B0581" w:rsidRDefault="00A412A2" w:rsidP="00A412A2">
      <w:pPr>
        <w:spacing w:line="360" w:lineRule="auto"/>
        <w:ind w:right="51" w:firstLine="567"/>
        <w:jc w:val="both"/>
        <w:rPr>
          <w:rFonts w:ascii="Arial" w:eastAsia="Calibri" w:hAnsi="Arial" w:cs="Arial"/>
          <w:b/>
          <w:color w:val="000000"/>
          <w:sz w:val="24"/>
          <w:szCs w:val="24"/>
          <w:lang w:val="es-MX" w:eastAsia="en-US"/>
        </w:rPr>
      </w:pPr>
    </w:p>
    <w:p w:rsidR="00A412A2" w:rsidRDefault="00A412A2" w:rsidP="00A412A2">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A412A2" w:rsidRDefault="00A412A2" w:rsidP="00A412A2">
      <w:pPr>
        <w:widowControl w:val="0"/>
        <w:spacing w:line="360" w:lineRule="auto"/>
        <w:jc w:val="both"/>
        <w:rPr>
          <w:rFonts w:ascii="Arial" w:hAnsi="Arial" w:cs="Arial"/>
          <w:sz w:val="24"/>
          <w:szCs w:val="24"/>
          <w:lang w:eastAsia="es-ES"/>
        </w:rPr>
      </w:pPr>
    </w:p>
    <w:p w:rsidR="00A412A2" w:rsidRDefault="00A412A2" w:rsidP="00A412A2">
      <w:pPr>
        <w:widowControl w:val="0"/>
        <w:spacing w:line="360" w:lineRule="auto"/>
        <w:jc w:val="both"/>
        <w:rPr>
          <w:rFonts w:ascii="Arial" w:hAnsi="Arial" w:cs="Arial"/>
          <w:sz w:val="24"/>
          <w:szCs w:val="24"/>
          <w:lang w:eastAsia="es-ES"/>
        </w:rPr>
      </w:pPr>
    </w:p>
    <w:p w:rsidR="00A412A2" w:rsidRDefault="00A412A2" w:rsidP="00A412A2">
      <w:pPr>
        <w:widowControl w:val="0"/>
        <w:spacing w:line="360" w:lineRule="auto"/>
        <w:jc w:val="both"/>
        <w:rPr>
          <w:rFonts w:ascii="Arial" w:hAnsi="Arial" w:cs="Arial"/>
          <w:sz w:val="24"/>
          <w:szCs w:val="24"/>
          <w:lang w:eastAsia="es-ES"/>
        </w:rPr>
      </w:pPr>
    </w:p>
    <w:p w:rsidR="00A412A2" w:rsidRDefault="00A412A2" w:rsidP="00A412A2">
      <w:pPr>
        <w:widowControl w:val="0"/>
        <w:spacing w:line="360" w:lineRule="auto"/>
        <w:jc w:val="both"/>
        <w:rPr>
          <w:rFonts w:ascii="Arial" w:hAnsi="Arial" w:cs="Arial"/>
          <w:sz w:val="24"/>
          <w:szCs w:val="24"/>
          <w:lang w:eastAsia="es-ES"/>
        </w:rPr>
      </w:pP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12A2" w:rsidRDefault="00A412A2" w:rsidP="00A412A2">
      <w:r>
        <w:separator/>
      </w:r>
    </w:p>
  </w:endnote>
  <w:endnote w:type="continuationSeparator" w:id="0">
    <w:p w:rsidR="00A412A2" w:rsidRDefault="00A412A2" w:rsidP="00A41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A412A2">
        <w:pPr>
          <w:pStyle w:val="Piedepgina"/>
          <w:jc w:val="center"/>
        </w:pPr>
        <w:r>
          <w:fldChar w:fldCharType="begin"/>
        </w:r>
        <w:r>
          <w:instrText>PAGE   \* MERGEFORMAT</w:instrText>
        </w:r>
        <w:r>
          <w:fldChar w:fldCharType="separate"/>
        </w:r>
        <w:r>
          <w:rPr>
            <w:noProof/>
          </w:rPr>
          <w:t>8</w:t>
        </w:r>
        <w:r>
          <w:fldChar w:fldCharType="end"/>
        </w:r>
      </w:p>
    </w:sdtContent>
  </w:sdt>
  <w:p w:rsidR="009525A3" w:rsidRDefault="00A412A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12A2" w:rsidRDefault="00A412A2" w:rsidP="00A412A2">
      <w:r>
        <w:separator/>
      </w:r>
    </w:p>
  </w:footnote>
  <w:footnote w:type="continuationSeparator" w:id="0">
    <w:p w:rsidR="00A412A2" w:rsidRDefault="00A412A2" w:rsidP="00A412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A412A2"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6AC85281" wp14:editId="2211FEB3">
              <wp:simplePos x="0" y="0"/>
              <wp:positionH relativeFrom="leftMargin">
                <wp:align>right</wp:align>
              </wp:positionH>
              <wp:positionV relativeFrom="paragraph">
                <wp:posOffset>4476261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412A2" w:rsidRDefault="00A412A2" w:rsidP="00A412A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C85281" id="_x0000_t202" coordsize="21600,21600" o:spt="202" path="m,l,21600r21600,l21600,xe">
              <v:stroke joinstyle="miter"/>
              <v:path gradientshapeok="t" o:connecttype="rect"/>
            </v:shapetype>
            <v:shape id="Cuadro de texto 4" o:spid="_x0000_s1026" type="#_x0000_t202" style="position:absolute;left:0;text-align:left;margin-left:31.2pt;margin-top:352.45pt;width:82.4pt;height:118.5pt;z-index:-25165312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">
              <v:textbox>
                <w:txbxContent>
                  <w:p w:rsidR="00A412A2" w:rsidRDefault="00A412A2" w:rsidP="00A412A2">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1D4808FC" wp14:editId="6F8D6E9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0</w:t>
    </w:r>
    <w:r>
      <w:rPr>
        <w:rFonts w:ascii="Arial" w:hAnsi="Arial" w:cs="Arial"/>
      </w:rPr>
      <w:t>46</w:t>
    </w:r>
    <w:r w:rsidRPr="00A73AD7">
      <w:rPr>
        <w:rFonts w:ascii="Arial" w:hAnsi="Arial" w:cs="Arial"/>
      </w:rPr>
      <w:t>/20</w:t>
    </w:r>
    <w:r>
      <w:rPr>
        <w:rFonts w:ascii="Arial" w:hAnsi="Arial" w:cs="Arial"/>
      </w:rPr>
      <w:t>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A412A2">
    <w:pPr>
      <w:pStyle w:val="Encabezado"/>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26A3BDDF" wp14:editId="72B7ED79">
              <wp:simplePos x="0" y="0"/>
              <wp:positionH relativeFrom="leftMargin">
                <wp:align>right</wp:align>
              </wp:positionH>
              <wp:positionV relativeFrom="paragraph">
                <wp:posOffset>5672161</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A412A2" w:rsidRDefault="00A412A2" w:rsidP="00A412A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A3BDDF" id="_x0000_t202" coordsize="21600,21600" o:spt="202" path="m,l,21600r21600,l21600,xe">
              <v:stroke joinstyle="miter"/>
              <v:path gradientshapeok="t" o:connecttype="rect"/>
            </v:shapetype>
            <v:shape id="Cuadro de texto 5" o:spid="_x0000_s1027" type="#_x0000_t202" style="position:absolute;margin-left:31.2pt;margin-top:446.65pt;width:82.4pt;height:118.5pt;z-index:-251651072;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">
              <v:textbox>
                <w:txbxContent>
                  <w:p w:rsidR="00A412A2" w:rsidRDefault="00A412A2" w:rsidP="00A412A2">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2A58A54E" wp14:editId="25CA5E68">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5F9470AE" wp14:editId="5CB3A631">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2A2"/>
    <w:rsid w:val="00294EC6"/>
    <w:rsid w:val="004B1DB0"/>
    <w:rsid w:val="005223BF"/>
    <w:rsid w:val="00685BC3"/>
    <w:rsid w:val="00A412A2"/>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5CADB28-BFA1-4902-90F4-6FE4BCEF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2A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A412A2"/>
    <w:pPr>
      <w:spacing w:after="120"/>
    </w:pPr>
    <w:rPr>
      <w:lang w:val="x-none"/>
    </w:rPr>
  </w:style>
  <w:style w:type="character" w:customStyle="1" w:styleId="TextoindependienteCar">
    <w:name w:val="Texto independiente Car"/>
    <w:basedOn w:val="Fuentedeprrafopredeter"/>
    <w:link w:val="Textoindependiente"/>
    <w:uiPriority w:val="99"/>
    <w:rsid w:val="00A412A2"/>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A412A2"/>
    <w:pPr>
      <w:autoSpaceDE w:val="0"/>
      <w:autoSpaceDN w:val="0"/>
    </w:pPr>
    <w:rPr>
      <w:lang w:eastAsia="es-ES"/>
    </w:rPr>
  </w:style>
  <w:style w:type="character" w:customStyle="1" w:styleId="TextonotapieCar">
    <w:name w:val="Texto nota pie Car"/>
    <w:basedOn w:val="Fuentedeprrafopredeter"/>
    <w:link w:val="Textonotapie"/>
    <w:uiPriority w:val="99"/>
    <w:rsid w:val="00A412A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412A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412A2"/>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A412A2"/>
    <w:pPr>
      <w:tabs>
        <w:tab w:val="center" w:pos="4419"/>
        <w:tab w:val="right" w:pos="8838"/>
      </w:tabs>
    </w:pPr>
  </w:style>
  <w:style w:type="character" w:customStyle="1" w:styleId="EncabezadoCar">
    <w:name w:val="Encabezado Car"/>
    <w:basedOn w:val="Fuentedeprrafopredeter"/>
    <w:link w:val="Encabezado"/>
    <w:uiPriority w:val="99"/>
    <w:rsid w:val="00A412A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A412A2"/>
    <w:pPr>
      <w:tabs>
        <w:tab w:val="center" w:pos="4419"/>
        <w:tab w:val="right" w:pos="8838"/>
      </w:tabs>
    </w:pPr>
  </w:style>
  <w:style w:type="character" w:customStyle="1" w:styleId="PiedepginaCar">
    <w:name w:val="Pie de página Car"/>
    <w:basedOn w:val="Fuentedeprrafopredeter"/>
    <w:link w:val="Piedepgina"/>
    <w:uiPriority w:val="99"/>
    <w:rsid w:val="00A412A2"/>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053"/>
    <w:rsid w:val="006130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4D6ACC8C6DD4B84B9157260A0B265E1">
    <w:name w:val="94D6ACC8C6DD4B84B9157260A0B265E1"/>
    <w:rsid w:val="006130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2610</Words>
  <Characters>14359</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2023-04-13T17:10:00Z</dcterms:created>
  <dcterms:modified xsi:type="dcterms:W3CDTF">2023-04-13T17:18:00Z</dcterms:modified>
</cp:coreProperties>
</file>