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940BB4" w14:textId="6DD443D3" w:rsidR="00586292" w:rsidRDefault="00586292" w:rsidP="00586292">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14:paraId="3191B7DB" w14:textId="43D15DD3" w:rsidR="00586292" w:rsidRDefault="00586292" w:rsidP="00586292">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463/2019</w:t>
      </w:r>
    </w:p>
    <w:p w14:paraId="3E4720A1" w14:textId="1E486AD5" w:rsidR="00586292" w:rsidRDefault="00586292" w:rsidP="00586292">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132/2019 SEGUNDA SALA UNITARIA DE PRIMERA INSTANCIA</w:t>
      </w:r>
    </w:p>
    <w:p w14:paraId="49BB92AF" w14:textId="25D09466" w:rsidR="00586292" w:rsidRDefault="00586292" w:rsidP="00586292">
      <w:pPr>
        <w:spacing w:line="240" w:lineRule="auto"/>
        <w:ind w:left="2124"/>
        <w:jc w:val="both"/>
        <w:rPr>
          <w:rFonts w:ascii="Arial" w:hAnsi="Arial" w:cs="Arial"/>
          <w:b/>
          <w:sz w:val="26"/>
          <w:szCs w:val="26"/>
        </w:rPr>
      </w:pPr>
      <w:r>
        <w:rPr>
          <w:rFonts w:ascii="Arial" w:hAnsi="Arial" w:cs="Arial"/>
          <w:b/>
          <w:sz w:val="26"/>
          <w:szCs w:val="26"/>
        </w:rPr>
        <w:t>PONENTE: MAGISTRADO ABRAHAM SANTIAGO SORIANO.</w:t>
      </w:r>
    </w:p>
    <w:p w14:paraId="3BF72761" w14:textId="54A9348E" w:rsidR="00AB59E4" w:rsidRDefault="00AB59E4" w:rsidP="00AB59E4">
      <w:pPr>
        <w:spacing w:after="0" w:line="360" w:lineRule="auto"/>
        <w:jc w:val="both"/>
        <w:rPr>
          <w:rFonts w:ascii="Arial" w:hAnsi="Arial" w:cs="Arial"/>
          <w:b/>
          <w:sz w:val="26"/>
          <w:szCs w:val="26"/>
        </w:rPr>
      </w:pPr>
    </w:p>
    <w:p w14:paraId="13AE8BFB" w14:textId="1CA9075D" w:rsidR="00586292" w:rsidRDefault="00586292" w:rsidP="00AB59E4">
      <w:pPr>
        <w:spacing w:after="0" w:line="360" w:lineRule="auto"/>
        <w:jc w:val="both"/>
        <w:rPr>
          <w:rFonts w:ascii="Arial" w:hAnsi="Arial" w:cs="Arial"/>
          <w:b/>
          <w:sz w:val="26"/>
          <w:szCs w:val="26"/>
        </w:rPr>
      </w:pPr>
      <w:r>
        <w:rPr>
          <w:rFonts w:ascii="Arial" w:hAnsi="Arial" w:cs="Arial"/>
          <w:b/>
          <w:sz w:val="26"/>
          <w:szCs w:val="26"/>
        </w:rPr>
        <w:t xml:space="preserve">OAXACA DE JUÁREZ, OAXACA A </w:t>
      </w:r>
      <w:r w:rsidR="007E6480">
        <w:rPr>
          <w:rFonts w:ascii="Arial" w:hAnsi="Arial" w:cs="Arial"/>
          <w:b/>
          <w:sz w:val="26"/>
          <w:szCs w:val="26"/>
        </w:rPr>
        <w:t xml:space="preserve">VEINTISEÍS </w:t>
      </w:r>
      <w:r>
        <w:rPr>
          <w:rFonts w:ascii="Arial" w:hAnsi="Arial" w:cs="Arial"/>
          <w:b/>
          <w:sz w:val="26"/>
          <w:szCs w:val="26"/>
        </w:rPr>
        <w:t xml:space="preserve">DE </w:t>
      </w:r>
      <w:r w:rsidR="007E6480">
        <w:rPr>
          <w:rFonts w:ascii="Arial" w:hAnsi="Arial" w:cs="Arial"/>
          <w:b/>
          <w:sz w:val="26"/>
          <w:szCs w:val="26"/>
        </w:rPr>
        <w:t xml:space="preserve">NOVIEMBRE </w:t>
      </w:r>
      <w:r>
        <w:rPr>
          <w:rFonts w:ascii="Arial" w:hAnsi="Arial" w:cs="Arial"/>
          <w:b/>
          <w:sz w:val="26"/>
          <w:szCs w:val="26"/>
        </w:rPr>
        <w:t xml:space="preserve">DE DOS MIL </w:t>
      </w:r>
      <w:proofErr w:type="gramStart"/>
      <w:r>
        <w:rPr>
          <w:rFonts w:ascii="Arial" w:hAnsi="Arial" w:cs="Arial"/>
          <w:b/>
          <w:sz w:val="26"/>
          <w:szCs w:val="26"/>
        </w:rPr>
        <w:t>VEINTE.-</w:t>
      </w:r>
      <w:proofErr w:type="gramEnd"/>
      <w:r>
        <w:rPr>
          <w:rFonts w:ascii="Arial" w:hAnsi="Arial" w:cs="Arial"/>
          <w:b/>
          <w:sz w:val="26"/>
          <w:szCs w:val="26"/>
        </w:rPr>
        <w:t xml:space="preserve"> - - - - - - - - - - - - - - - - - - - - - - - - - - - - - - - - - - - - - </w:t>
      </w:r>
    </w:p>
    <w:p w14:paraId="2A3CEA8F" w14:textId="5730322A" w:rsidR="00586292" w:rsidRDefault="00586292" w:rsidP="00AB59E4">
      <w:pPr>
        <w:spacing w:before="240"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463/2019</w:t>
      </w:r>
      <w:r>
        <w:rPr>
          <w:rFonts w:ascii="Arial" w:hAnsi="Arial" w:cs="Arial"/>
          <w:sz w:val="26"/>
          <w:szCs w:val="26"/>
        </w:rPr>
        <w:t xml:space="preserve">, que remite la Secretaría General de Acuerdos, con motivo del recurso de revisión interpuesto por </w:t>
      </w:r>
      <w:r w:rsidR="00E22997">
        <w:rPr>
          <w:rFonts w:ascii="Arial" w:hAnsi="Arial" w:cs="Arial"/>
          <w:b/>
          <w:sz w:val="26"/>
          <w:szCs w:val="26"/>
        </w:rPr>
        <w:t>***********</w:t>
      </w:r>
      <w:r>
        <w:rPr>
          <w:rFonts w:ascii="Arial" w:hAnsi="Arial" w:cs="Arial"/>
          <w:sz w:val="26"/>
          <w:szCs w:val="26"/>
        </w:rPr>
        <w:t xml:space="preserve">, en contra del acuerdo de </w:t>
      </w:r>
      <w:r w:rsidR="00073A6E">
        <w:rPr>
          <w:rFonts w:ascii="Arial" w:hAnsi="Arial" w:cs="Arial"/>
          <w:sz w:val="26"/>
          <w:szCs w:val="26"/>
        </w:rPr>
        <w:t>veinte de noviembre de dos mil diecinueve</w:t>
      </w:r>
      <w:r>
        <w:rPr>
          <w:rFonts w:ascii="Arial" w:hAnsi="Arial" w:cs="Arial"/>
          <w:sz w:val="26"/>
          <w:szCs w:val="26"/>
        </w:rPr>
        <w:t xml:space="preserve">, dictado en el expediente </w:t>
      </w:r>
      <w:r w:rsidR="00073A6E">
        <w:rPr>
          <w:rFonts w:ascii="Arial" w:hAnsi="Arial" w:cs="Arial"/>
          <w:b/>
          <w:sz w:val="26"/>
          <w:szCs w:val="26"/>
        </w:rPr>
        <w:t>132</w:t>
      </w:r>
      <w:r>
        <w:rPr>
          <w:rFonts w:ascii="Arial" w:hAnsi="Arial" w:cs="Arial"/>
          <w:b/>
          <w:sz w:val="26"/>
          <w:szCs w:val="26"/>
        </w:rPr>
        <w:t>/2019</w:t>
      </w:r>
      <w:r>
        <w:rPr>
          <w:rFonts w:ascii="Arial" w:hAnsi="Arial" w:cs="Arial"/>
          <w:sz w:val="26"/>
          <w:szCs w:val="26"/>
        </w:rPr>
        <w:t xml:space="preserve"> de la </w:t>
      </w:r>
      <w:r w:rsidR="00073A6E">
        <w:rPr>
          <w:rFonts w:ascii="Arial" w:hAnsi="Arial" w:cs="Arial"/>
          <w:sz w:val="26"/>
          <w:szCs w:val="26"/>
        </w:rPr>
        <w:t xml:space="preserve">Segunda </w:t>
      </w:r>
      <w:r>
        <w:rPr>
          <w:rFonts w:ascii="Arial" w:hAnsi="Arial" w:cs="Arial"/>
          <w:sz w:val="26"/>
          <w:szCs w:val="26"/>
        </w:rPr>
        <w:t xml:space="preserve">Sala Unitaria de Primera Instancia, relativo al juicio de nulidad promovido por </w:t>
      </w:r>
      <w:r w:rsidR="00E22997">
        <w:rPr>
          <w:rFonts w:ascii="Arial" w:hAnsi="Arial" w:cs="Arial"/>
          <w:b/>
          <w:sz w:val="26"/>
          <w:szCs w:val="26"/>
        </w:rPr>
        <w:t>***********</w:t>
      </w:r>
      <w:r>
        <w:rPr>
          <w:rFonts w:ascii="Arial" w:hAnsi="Arial" w:cs="Arial"/>
          <w:b/>
          <w:sz w:val="26"/>
          <w:szCs w:val="26"/>
        </w:rPr>
        <w:t xml:space="preserve">, </w:t>
      </w:r>
      <w:r>
        <w:rPr>
          <w:rFonts w:ascii="Arial" w:hAnsi="Arial" w:cs="Arial"/>
          <w:bCs/>
          <w:sz w:val="26"/>
          <w:szCs w:val="26"/>
        </w:rPr>
        <w:t>en contra de</w:t>
      </w:r>
      <w:r w:rsidR="00073A6E">
        <w:rPr>
          <w:rFonts w:ascii="Arial" w:hAnsi="Arial" w:cs="Arial"/>
          <w:bCs/>
          <w:sz w:val="26"/>
          <w:szCs w:val="26"/>
        </w:rPr>
        <w:t xml:space="preserve"> </w:t>
      </w:r>
      <w:r>
        <w:rPr>
          <w:rFonts w:ascii="Arial" w:hAnsi="Arial" w:cs="Arial"/>
          <w:bCs/>
          <w:sz w:val="26"/>
          <w:szCs w:val="26"/>
        </w:rPr>
        <w:t>l</w:t>
      </w:r>
      <w:r w:rsidR="00073A6E">
        <w:rPr>
          <w:rFonts w:ascii="Arial" w:hAnsi="Arial" w:cs="Arial"/>
          <w:bCs/>
          <w:sz w:val="26"/>
          <w:szCs w:val="26"/>
        </w:rPr>
        <w:t>a</w:t>
      </w:r>
      <w:r>
        <w:rPr>
          <w:rFonts w:ascii="Arial" w:hAnsi="Arial" w:cs="Arial"/>
          <w:bCs/>
          <w:sz w:val="26"/>
          <w:szCs w:val="26"/>
        </w:rPr>
        <w:t xml:space="preserve"> </w:t>
      </w:r>
      <w:r w:rsidR="00073A6E">
        <w:rPr>
          <w:rFonts w:ascii="Arial" w:hAnsi="Arial" w:cs="Arial"/>
          <w:b/>
          <w:bCs/>
          <w:sz w:val="26"/>
          <w:szCs w:val="26"/>
        </w:rPr>
        <w:t>COORDINADORA DE COBRO COACTIVO DE LA SECRETARÍA DE FINANZAS DEL PODER EJECUTIVO DEL ESTADO DE OAXACA</w:t>
      </w:r>
      <w:r>
        <w:rPr>
          <w:rFonts w:ascii="Arial" w:hAnsi="Arial" w:cs="Arial"/>
          <w:b/>
          <w:sz w:val="26"/>
          <w:szCs w:val="26"/>
        </w:rPr>
        <w:t xml:space="preserve">; </w:t>
      </w:r>
      <w:r>
        <w:rPr>
          <w:rFonts w:ascii="Arial" w:hAnsi="Arial" w:cs="Arial"/>
          <w:sz w:val="26"/>
          <w:szCs w:val="26"/>
        </w:rPr>
        <w:t xml:space="preserve">por lo que con fundamento en los artículos 236 y 238 de la Ley de Procedimiento y Justicia Administrativa para el Estado de Oaxaca, se admite. En consecuencia, se procede a dictar resolución en los siguientes </w:t>
      </w:r>
      <w:proofErr w:type="gramStart"/>
      <w:r>
        <w:rPr>
          <w:rFonts w:ascii="Arial" w:hAnsi="Arial" w:cs="Arial"/>
          <w:sz w:val="26"/>
          <w:szCs w:val="26"/>
        </w:rPr>
        <w:t>términos:-</w:t>
      </w:r>
      <w:proofErr w:type="gramEnd"/>
      <w:r>
        <w:rPr>
          <w:rFonts w:ascii="Arial" w:hAnsi="Arial" w:cs="Arial"/>
          <w:sz w:val="26"/>
          <w:szCs w:val="26"/>
        </w:rPr>
        <w:t xml:space="preserve"> - - - - - - - - - - - - - - - - - - - - - - - - </w:t>
      </w:r>
      <w:r w:rsidR="00073A6E">
        <w:rPr>
          <w:rFonts w:ascii="Arial" w:hAnsi="Arial" w:cs="Arial"/>
          <w:sz w:val="26"/>
          <w:szCs w:val="26"/>
        </w:rPr>
        <w:t xml:space="preserve">- - - - - - - - - - - - </w:t>
      </w:r>
    </w:p>
    <w:p w14:paraId="7DFF49A3" w14:textId="77777777" w:rsidR="00586292" w:rsidRDefault="00586292" w:rsidP="00586292">
      <w:pPr>
        <w:spacing w:line="360" w:lineRule="auto"/>
        <w:jc w:val="center"/>
        <w:rPr>
          <w:rFonts w:ascii="Arial" w:hAnsi="Arial" w:cs="Arial"/>
          <w:b/>
          <w:bCs/>
          <w:sz w:val="26"/>
          <w:szCs w:val="26"/>
        </w:rPr>
      </w:pPr>
      <w:r>
        <w:rPr>
          <w:rFonts w:ascii="Arial" w:hAnsi="Arial" w:cs="Arial"/>
          <w:b/>
          <w:bCs/>
          <w:sz w:val="26"/>
          <w:szCs w:val="26"/>
        </w:rPr>
        <w:t>R E S U L T A N D O</w:t>
      </w:r>
    </w:p>
    <w:p w14:paraId="45B8DC50" w14:textId="507AB874" w:rsidR="00586292" w:rsidRDefault="00586292" w:rsidP="00586292">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el auto de </w:t>
      </w:r>
      <w:r w:rsidR="00073A6E">
        <w:rPr>
          <w:rFonts w:ascii="Arial" w:hAnsi="Arial" w:cs="Arial"/>
          <w:sz w:val="26"/>
          <w:szCs w:val="26"/>
        </w:rPr>
        <w:t>veinte de noviembre de dos mil diecinueve</w:t>
      </w:r>
      <w:r>
        <w:rPr>
          <w:rFonts w:ascii="Arial" w:hAnsi="Arial" w:cs="Arial"/>
          <w:sz w:val="26"/>
          <w:szCs w:val="26"/>
        </w:rPr>
        <w:t xml:space="preserve">, dictado por la </w:t>
      </w:r>
      <w:r w:rsidR="00073A6E">
        <w:rPr>
          <w:rFonts w:ascii="Arial" w:hAnsi="Arial" w:cs="Arial"/>
          <w:sz w:val="26"/>
          <w:szCs w:val="26"/>
        </w:rPr>
        <w:t xml:space="preserve">Segunda </w:t>
      </w:r>
      <w:r>
        <w:rPr>
          <w:rFonts w:ascii="Arial" w:hAnsi="Arial" w:cs="Arial"/>
          <w:sz w:val="26"/>
          <w:szCs w:val="26"/>
        </w:rPr>
        <w:t xml:space="preserve">Sala Unitaria de Primera Instancia </w:t>
      </w:r>
      <w:r w:rsidR="00E22997">
        <w:rPr>
          <w:rFonts w:ascii="Arial" w:hAnsi="Arial" w:cs="Arial"/>
          <w:b/>
          <w:sz w:val="26"/>
          <w:szCs w:val="26"/>
        </w:rPr>
        <w:t>***********</w:t>
      </w:r>
      <w:r>
        <w:rPr>
          <w:rFonts w:ascii="Arial" w:hAnsi="Arial" w:cs="Arial"/>
          <w:sz w:val="26"/>
          <w:szCs w:val="26"/>
        </w:rPr>
        <w:t>, interpus</w:t>
      </w:r>
      <w:r w:rsidR="00073A6E">
        <w:rPr>
          <w:rFonts w:ascii="Arial" w:hAnsi="Arial" w:cs="Arial"/>
          <w:sz w:val="26"/>
          <w:szCs w:val="26"/>
        </w:rPr>
        <w:t>ier</w:t>
      </w:r>
      <w:r>
        <w:rPr>
          <w:rFonts w:ascii="Arial" w:hAnsi="Arial" w:cs="Arial"/>
          <w:sz w:val="26"/>
          <w:szCs w:val="26"/>
        </w:rPr>
        <w:t>o</w:t>
      </w:r>
      <w:r w:rsidR="00073A6E">
        <w:rPr>
          <w:rFonts w:ascii="Arial" w:hAnsi="Arial" w:cs="Arial"/>
          <w:sz w:val="26"/>
          <w:szCs w:val="26"/>
        </w:rPr>
        <w:t>n</w:t>
      </w:r>
      <w:r>
        <w:rPr>
          <w:rFonts w:ascii="Arial" w:hAnsi="Arial" w:cs="Arial"/>
          <w:sz w:val="26"/>
          <w:szCs w:val="26"/>
        </w:rPr>
        <w:t xml:space="preserve"> en su contra recurso de revisión.</w:t>
      </w:r>
      <w:r w:rsidRPr="00DB3D8E">
        <w:rPr>
          <w:rFonts w:ascii="Arial" w:hAnsi="Arial" w:cs="Arial"/>
          <w:sz w:val="26"/>
          <w:szCs w:val="26"/>
        </w:rPr>
        <w:t xml:space="preserve"> </w:t>
      </w:r>
      <w:r>
        <w:rPr>
          <w:rFonts w:ascii="Arial" w:hAnsi="Arial" w:cs="Arial"/>
          <w:sz w:val="26"/>
          <w:szCs w:val="26"/>
        </w:rPr>
        <w:t>- - - -</w:t>
      </w:r>
      <w:r w:rsidR="00073A6E">
        <w:rPr>
          <w:rFonts w:ascii="Arial" w:hAnsi="Arial" w:cs="Arial"/>
          <w:sz w:val="26"/>
          <w:szCs w:val="26"/>
        </w:rPr>
        <w:t xml:space="preserve"> - - - - - - - - - - - - - - - - - - - - - - - </w:t>
      </w:r>
      <w:r w:rsidR="006F2120">
        <w:rPr>
          <w:rFonts w:ascii="Arial" w:hAnsi="Arial" w:cs="Arial"/>
          <w:sz w:val="26"/>
          <w:szCs w:val="26"/>
        </w:rPr>
        <w:t xml:space="preserve">- </w:t>
      </w:r>
    </w:p>
    <w:p w14:paraId="5FE8CAB1" w14:textId="60EE7D8D" w:rsidR="00586292" w:rsidRDefault="00586292" w:rsidP="00586292">
      <w:pPr>
        <w:spacing w:after="0" w:line="360" w:lineRule="auto"/>
        <w:ind w:firstLine="708"/>
        <w:jc w:val="both"/>
        <w:rPr>
          <w:rFonts w:ascii="Arial" w:hAnsi="Arial" w:cs="Arial"/>
          <w:bCs/>
          <w:sz w:val="26"/>
          <w:szCs w:val="26"/>
        </w:rPr>
      </w:pPr>
      <w:r>
        <w:rPr>
          <w:rFonts w:ascii="Arial" w:hAnsi="Arial" w:cs="Arial"/>
          <w:b/>
          <w:bCs/>
          <w:sz w:val="26"/>
          <w:szCs w:val="26"/>
        </w:rPr>
        <w:t xml:space="preserve">SEGUNDO. </w:t>
      </w:r>
      <w:r>
        <w:rPr>
          <w:rFonts w:ascii="Arial" w:hAnsi="Arial" w:cs="Arial"/>
          <w:bCs/>
          <w:sz w:val="26"/>
          <w:szCs w:val="26"/>
        </w:rPr>
        <w:t>El acuerdo recurrido es el siguiente:</w:t>
      </w:r>
      <w:r w:rsidR="006F2120">
        <w:rPr>
          <w:rFonts w:ascii="Arial" w:hAnsi="Arial" w:cs="Arial"/>
          <w:bCs/>
          <w:sz w:val="26"/>
          <w:szCs w:val="26"/>
        </w:rPr>
        <w:t xml:space="preserve"> - - - - - - - - - - - - </w:t>
      </w:r>
    </w:p>
    <w:p w14:paraId="00B4DC25" w14:textId="7B5F6278" w:rsidR="00073A6E" w:rsidRDefault="00586292" w:rsidP="00586292">
      <w:pPr>
        <w:widowControl w:val="0"/>
        <w:tabs>
          <w:tab w:val="left" w:pos="7938"/>
        </w:tabs>
        <w:spacing w:before="240" w:after="0" w:line="360" w:lineRule="auto"/>
        <w:ind w:left="1134" w:right="616"/>
        <w:jc w:val="both"/>
        <w:rPr>
          <w:rFonts w:ascii="Arial" w:hAnsi="Arial" w:cs="Arial"/>
          <w:b/>
          <w:i/>
          <w:sz w:val="24"/>
          <w:szCs w:val="24"/>
        </w:rPr>
      </w:pPr>
      <w:r>
        <w:rPr>
          <w:rFonts w:ascii="Arial" w:eastAsia="Times New Roman" w:hAnsi="Arial" w:cs="Arial"/>
          <w:bCs/>
          <w:i/>
          <w:iCs/>
          <w:sz w:val="24"/>
          <w:szCs w:val="24"/>
          <w:lang w:eastAsia="es-ES"/>
        </w:rPr>
        <w:t>“</w:t>
      </w:r>
      <w:r w:rsidR="00073A6E">
        <w:rPr>
          <w:rFonts w:ascii="Arial" w:eastAsia="Times New Roman" w:hAnsi="Arial" w:cs="Arial"/>
          <w:bCs/>
          <w:i/>
          <w:iCs/>
          <w:sz w:val="24"/>
          <w:szCs w:val="24"/>
          <w:lang w:eastAsia="es-ES"/>
        </w:rPr>
        <w:t xml:space="preserve">Por </w:t>
      </w:r>
      <w:r>
        <w:rPr>
          <w:rFonts w:ascii="Arial" w:eastAsia="Times New Roman" w:hAnsi="Arial" w:cs="Arial"/>
          <w:bCs/>
          <w:i/>
          <w:iCs/>
          <w:sz w:val="24"/>
          <w:szCs w:val="24"/>
          <w:lang w:eastAsia="es-ES"/>
        </w:rPr>
        <w:t>recibid</w:t>
      </w:r>
      <w:r w:rsidR="00073A6E">
        <w:rPr>
          <w:rFonts w:ascii="Arial" w:eastAsia="Times New Roman" w:hAnsi="Arial" w:cs="Arial"/>
          <w:bCs/>
          <w:i/>
          <w:iCs/>
          <w:sz w:val="24"/>
          <w:szCs w:val="24"/>
          <w:lang w:eastAsia="es-ES"/>
        </w:rPr>
        <w:t xml:space="preserve">a la demanda y anexos de </w:t>
      </w:r>
      <w:r w:rsidR="00E22997">
        <w:rPr>
          <w:rFonts w:ascii="Arial" w:hAnsi="Arial" w:cs="Arial"/>
          <w:b/>
          <w:sz w:val="26"/>
          <w:szCs w:val="26"/>
        </w:rPr>
        <w:t>***********</w:t>
      </w:r>
      <w:r w:rsidR="00073A6E">
        <w:rPr>
          <w:rFonts w:ascii="Arial" w:hAnsi="Arial" w:cs="Arial"/>
          <w:i/>
          <w:sz w:val="24"/>
          <w:szCs w:val="24"/>
        </w:rPr>
        <w:t xml:space="preserve">, el día diecinueve de noviembre del actual, contra actos de la Coordinadora de Cobro Coactivo de la Secretaría de Finanzas del Poder Ejecutivo del Estado; fórmese expediente y regístrese su ingreso en el Libro de Gobierno correspondiente con el número </w:t>
      </w:r>
      <w:r w:rsidR="00073A6E">
        <w:rPr>
          <w:rFonts w:ascii="Arial" w:hAnsi="Arial" w:cs="Arial"/>
          <w:b/>
          <w:i/>
          <w:sz w:val="24"/>
          <w:szCs w:val="24"/>
        </w:rPr>
        <w:t>132/2019.</w:t>
      </w:r>
    </w:p>
    <w:p w14:paraId="356E23E0" w14:textId="369CFD39" w:rsidR="00A91EB9" w:rsidRPr="00A91EB9" w:rsidRDefault="00073A6E" w:rsidP="009A5E37">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sidRPr="00073A6E">
        <w:rPr>
          <w:rFonts w:ascii="Arial" w:eastAsia="Times New Roman" w:hAnsi="Arial" w:cs="Arial"/>
          <w:bCs/>
          <w:i/>
          <w:iCs/>
          <w:sz w:val="24"/>
          <w:szCs w:val="24"/>
          <w:lang w:eastAsia="es-ES"/>
        </w:rPr>
        <w:t>Esta Sala toma en cuenta que los actores señalan como actos im</w:t>
      </w:r>
      <w:r>
        <w:rPr>
          <w:rFonts w:ascii="Arial" w:eastAsia="Times New Roman" w:hAnsi="Arial" w:cs="Arial"/>
          <w:bCs/>
          <w:i/>
          <w:iCs/>
          <w:sz w:val="24"/>
          <w:szCs w:val="24"/>
          <w:lang w:eastAsia="es-ES"/>
        </w:rPr>
        <w:t>p</w:t>
      </w:r>
      <w:r w:rsidRPr="00073A6E">
        <w:rPr>
          <w:rFonts w:ascii="Arial" w:eastAsia="Times New Roman" w:hAnsi="Arial" w:cs="Arial"/>
          <w:bCs/>
          <w:i/>
          <w:iCs/>
          <w:sz w:val="24"/>
          <w:szCs w:val="24"/>
          <w:lang w:eastAsia="es-ES"/>
        </w:rPr>
        <w:t>ugnados</w:t>
      </w:r>
      <w:r>
        <w:rPr>
          <w:rFonts w:ascii="Arial" w:eastAsia="Times New Roman" w:hAnsi="Arial" w:cs="Arial"/>
          <w:bCs/>
          <w:i/>
          <w:iCs/>
          <w:sz w:val="24"/>
          <w:szCs w:val="24"/>
          <w:lang w:eastAsia="es-ES"/>
        </w:rPr>
        <w:t>: ´</w:t>
      </w:r>
      <w:r>
        <w:rPr>
          <w:rFonts w:ascii="Arial" w:eastAsia="Times New Roman" w:hAnsi="Arial" w:cs="Arial"/>
          <w:b/>
          <w:bCs/>
          <w:i/>
          <w:iCs/>
          <w:sz w:val="24"/>
          <w:szCs w:val="24"/>
          <w:lang w:eastAsia="es-ES"/>
        </w:rPr>
        <w:t xml:space="preserve">1.- </w:t>
      </w:r>
      <w:r>
        <w:rPr>
          <w:rFonts w:ascii="Arial" w:eastAsia="Times New Roman" w:hAnsi="Arial" w:cs="Arial"/>
          <w:bCs/>
          <w:i/>
          <w:iCs/>
          <w:sz w:val="24"/>
          <w:szCs w:val="24"/>
          <w:lang w:eastAsia="es-ES"/>
        </w:rPr>
        <w:t xml:space="preserve">Mandamiento de Ejecución </w:t>
      </w:r>
      <w:r w:rsidR="00E22997">
        <w:rPr>
          <w:rFonts w:ascii="Arial" w:hAnsi="Arial" w:cs="Arial"/>
          <w:b/>
          <w:sz w:val="26"/>
          <w:szCs w:val="26"/>
        </w:rPr>
        <w:t>***********</w:t>
      </w:r>
      <w:r>
        <w:rPr>
          <w:rFonts w:ascii="Arial" w:eastAsia="Times New Roman" w:hAnsi="Arial" w:cs="Arial"/>
          <w:bCs/>
          <w:i/>
          <w:iCs/>
          <w:sz w:val="24"/>
          <w:szCs w:val="24"/>
          <w:lang w:eastAsia="es-ES"/>
        </w:rPr>
        <w:t xml:space="preserve">, de fecha 17 de septiembre del 2019, crédito número </w:t>
      </w:r>
      <w:r w:rsidR="00E22997">
        <w:rPr>
          <w:rFonts w:ascii="Arial" w:hAnsi="Arial" w:cs="Arial"/>
          <w:b/>
          <w:sz w:val="26"/>
          <w:szCs w:val="26"/>
        </w:rPr>
        <w:t>***********</w:t>
      </w:r>
      <w:r>
        <w:rPr>
          <w:rFonts w:ascii="Arial" w:eastAsia="Times New Roman" w:hAnsi="Arial" w:cs="Arial"/>
          <w:bCs/>
          <w:i/>
          <w:iCs/>
          <w:sz w:val="24"/>
          <w:szCs w:val="24"/>
          <w:lang w:eastAsia="es-ES"/>
        </w:rPr>
        <w:t xml:space="preserve">, Resolución determinante </w:t>
      </w:r>
      <w:r w:rsidR="00E22997">
        <w:rPr>
          <w:rFonts w:ascii="Arial" w:hAnsi="Arial" w:cs="Arial"/>
          <w:b/>
          <w:sz w:val="26"/>
          <w:szCs w:val="26"/>
        </w:rPr>
        <w:t>***********</w:t>
      </w:r>
      <w:r>
        <w:rPr>
          <w:rFonts w:ascii="Arial" w:eastAsia="Times New Roman" w:hAnsi="Arial" w:cs="Arial"/>
          <w:bCs/>
          <w:i/>
          <w:iCs/>
          <w:sz w:val="24"/>
          <w:szCs w:val="24"/>
          <w:lang w:eastAsia="es-ES"/>
        </w:rPr>
        <w:t>de fecha 17 de junio de 2015, emitida por la Auditoría Superior del Estado, hoy Órgano Superior de Fiscalización del Estado de Oaxaca, por concepto de una multa impuesta por omisión de la Cuenta Pública del ejercicio fiscal 2014, omisión del tercer informe de avance de gestión financiera del trimestre julio-septiembre del ejercicio 2014, omisión d</w:t>
      </w:r>
      <w:r w:rsidR="001E1511">
        <w:rPr>
          <w:rFonts w:ascii="Arial" w:eastAsia="Times New Roman" w:hAnsi="Arial" w:cs="Arial"/>
          <w:bCs/>
          <w:i/>
          <w:iCs/>
          <w:sz w:val="24"/>
          <w:szCs w:val="24"/>
          <w:lang w:eastAsia="es-ES"/>
        </w:rPr>
        <w:t>el cuarto informe de avance de g</w:t>
      </w:r>
      <w:r>
        <w:rPr>
          <w:rFonts w:ascii="Arial" w:eastAsia="Times New Roman" w:hAnsi="Arial" w:cs="Arial"/>
          <w:bCs/>
          <w:i/>
          <w:iCs/>
          <w:sz w:val="24"/>
          <w:szCs w:val="24"/>
          <w:lang w:eastAsia="es-ES"/>
        </w:rPr>
        <w:t>estión financiera</w:t>
      </w:r>
      <w:r w:rsidR="001E1511">
        <w:rPr>
          <w:rFonts w:ascii="Arial" w:eastAsia="Times New Roman" w:hAnsi="Arial" w:cs="Arial"/>
          <w:bCs/>
          <w:i/>
          <w:iCs/>
          <w:sz w:val="24"/>
          <w:szCs w:val="24"/>
          <w:lang w:eastAsia="es-ES"/>
        </w:rPr>
        <w:t xml:space="preserve"> del trimestre octubre-diciembre del ejercicio fiscal 2014 y omisión del primer informe de avance de gestión financiera del trimestre enero-marzo del ejercicio fiscal2015 (sic) por un importe de </w:t>
      </w:r>
      <w:r w:rsidR="00E22997">
        <w:rPr>
          <w:rFonts w:ascii="Arial" w:hAnsi="Arial" w:cs="Arial"/>
          <w:b/>
          <w:sz w:val="26"/>
          <w:szCs w:val="26"/>
        </w:rPr>
        <w:t>***********</w:t>
      </w:r>
      <w:r w:rsidR="001E1511">
        <w:rPr>
          <w:rFonts w:ascii="Arial" w:eastAsia="Times New Roman" w:hAnsi="Arial" w:cs="Arial"/>
          <w:bCs/>
          <w:i/>
          <w:iCs/>
          <w:sz w:val="24"/>
          <w:szCs w:val="24"/>
          <w:lang w:eastAsia="es-ES"/>
        </w:rPr>
        <w:t xml:space="preserve">; Mandamiento de Ejecución </w:t>
      </w:r>
      <w:r w:rsidR="00E22997">
        <w:rPr>
          <w:rFonts w:ascii="Arial" w:hAnsi="Arial" w:cs="Arial"/>
          <w:b/>
          <w:sz w:val="26"/>
          <w:szCs w:val="26"/>
        </w:rPr>
        <w:t>***********</w:t>
      </w:r>
      <w:r w:rsidR="00E22997">
        <w:rPr>
          <w:rFonts w:ascii="Arial" w:hAnsi="Arial" w:cs="Arial"/>
          <w:b/>
          <w:sz w:val="26"/>
          <w:szCs w:val="26"/>
        </w:rPr>
        <w:t xml:space="preserve"> </w:t>
      </w:r>
      <w:r w:rsidR="001E1511">
        <w:rPr>
          <w:rFonts w:ascii="Arial" w:eastAsia="Times New Roman" w:hAnsi="Arial" w:cs="Arial"/>
          <w:bCs/>
          <w:i/>
          <w:iCs/>
          <w:sz w:val="24"/>
          <w:szCs w:val="24"/>
          <w:lang w:eastAsia="es-ES"/>
        </w:rPr>
        <w:t xml:space="preserve">de fecha 10 de septiembre del 2019, crédito 46238, Resolución determinante </w:t>
      </w:r>
      <w:r w:rsidR="00E22997">
        <w:rPr>
          <w:rFonts w:ascii="Arial" w:hAnsi="Arial" w:cs="Arial"/>
          <w:b/>
          <w:sz w:val="26"/>
          <w:szCs w:val="26"/>
        </w:rPr>
        <w:t>***********</w:t>
      </w:r>
      <w:r w:rsidR="00E22997">
        <w:rPr>
          <w:rFonts w:ascii="Arial" w:hAnsi="Arial" w:cs="Arial"/>
          <w:b/>
          <w:sz w:val="26"/>
          <w:szCs w:val="26"/>
        </w:rPr>
        <w:t xml:space="preserve"> </w:t>
      </w:r>
      <w:r w:rsidR="001E1511">
        <w:rPr>
          <w:rFonts w:ascii="Arial" w:eastAsia="Times New Roman" w:hAnsi="Arial" w:cs="Arial"/>
          <w:bCs/>
          <w:i/>
          <w:iCs/>
          <w:sz w:val="24"/>
          <w:szCs w:val="24"/>
          <w:lang w:eastAsia="es-ES"/>
        </w:rPr>
        <w:t xml:space="preserve">de fecha 27 de junio de 2016, emitida por la Auditoría Superior del Estado, hoy Órgano Superior de Fiscalización del Estado de Oaxaca por concepto de una multa impuesta por omisión de la Cuenta Pública del ejercicio fiscal 2015 y primer informa de avance de gestión financiera correspondiente a los meses de enero-marzo del ejercicio fiscal 2016 por un importe de </w:t>
      </w:r>
      <w:r w:rsidR="00E22997">
        <w:rPr>
          <w:rFonts w:ascii="Arial" w:hAnsi="Arial" w:cs="Arial"/>
          <w:b/>
          <w:sz w:val="26"/>
          <w:szCs w:val="26"/>
        </w:rPr>
        <w:t>***********</w:t>
      </w:r>
      <w:r w:rsidR="001E1511">
        <w:rPr>
          <w:rFonts w:ascii="Arial" w:eastAsia="Times New Roman" w:hAnsi="Arial" w:cs="Arial"/>
          <w:bCs/>
          <w:i/>
          <w:iCs/>
          <w:sz w:val="24"/>
          <w:szCs w:val="24"/>
          <w:lang w:eastAsia="es-ES"/>
        </w:rPr>
        <w:t xml:space="preserve">y Mandamiento de Ejecución </w:t>
      </w:r>
      <w:r w:rsidR="00E22997">
        <w:rPr>
          <w:rFonts w:ascii="Arial" w:hAnsi="Arial" w:cs="Arial"/>
          <w:b/>
          <w:sz w:val="26"/>
          <w:szCs w:val="26"/>
        </w:rPr>
        <w:t>***********</w:t>
      </w:r>
      <w:r w:rsidR="00E22997">
        <w:rPr>
          <w:rFonts w:ascii="Arial" w:hAnsi="Arial" w:cs="Arial"/>
          <w:b/>
          <w:sz w:val="26"/>
          <w:szCs w:val="26"/>
        </w:rPr>
        <w:t xml:space="preserve"> </w:t>
      </w:r>
      <w:r w:rsidR="001E1511">
        <w:rPr>
          <w:rFonts w:ascii="Arial" w:eastAsia="Times New Roman" w:hAnsi="Arial" w:cs="Arial"/>
          <w:bCs/>
          <w:i/>
          <w:iCs/>
          <w:sz w:val="24"/>
          <w:szCs w:val="24"/>
          <w:lang w:eastAsia="es-ES"/>
        </w:rPr>
        <w:t xml:space="preserve">de fecha 17 de septiembre de 2016, crédito 46218 resolución determinante </w:t>
      </w:r>
      <w:r w:rsidR="00E22997">
        <w:rPr>
          <w:rFonts w:ascii="Arial" w:hAnsi="Arial" w:cs="Arial"/>
          <w:b/>
          <w:sz w:val="26"/>
          <w:szCs w:val="26"/>
        </w:rPr>
        <w:t>***********</w:t>
      </w:r>
      <w:r w:rsidR="00E22997">
        <w:rPr>
          <w:rFonts w:ascii="Arial" w:hAnsi="Arial" w:cs="Arial"/>
          <w:b/>
          <w:sz w:val="26"/>
          <w:szCs w:val="26"/>
        </w:rPr>
        <w:t xml:space="preserve"> </w:t>
      </w:r>
      <w:r w:rsidR="001E1511">
        <w:rPr>
          <w:rFonts w:ascii="Arial" w:eastAsia="Times New Roman" w:hAnsi="Arial" w:cs="Arial"/>
          <w:bCs/>
          <w:i/>
          <w:iCs/>
          <w:sz w:val="24"/>
          <w:szCs w:val="24"/>
          <w:lang w:eastAsia="es-ES"/>
        </w:rPr>
        <w:t xml:space="preserve">de fecha 9 de septiembre de 2016, emitida por la Auditoria Superior del Estado, hoy Órgano Superior de Fiscalización del Estado de Oaxaca, por omisión del segundo informe de avance de gestión financiera correspondiente a los meses abril-junio del ejercicio fiscal 2016 por un importe de </w:t>
      </w:r>
      <w:r w:rsidR="00E22997">
        <w:rPr>
          <w:rFonts w:ascii="Arial" w:hAnsi="Arial" w:cs="Arial"/>
          <w:b/>
          <w:sz w:val="26"/>
          <w:szCs w:val="26"/>
        </w:rPr>
        <w:t>***********</w:t>
      </w:r>
      <w:r w:rsidR="00E22997">
        <w:rPr>
          <w:rFonts w:ascii="Arial" w:hAnsi="Arial" w:cs="Arial"/>
          <w:b/>
          <w:sz w:val="26"/>
          <w:szCs w:val="26"/>
        </w:rPr>
        <w:t xml:space="preserve"> </w:t>
      </w:r>
      <w:r w:rsidR="001E1511">
        <w:rPr>
          <w:rFonts w:ascii="Arial" w:eastAsia="Times New Roman" w:hAnsi="Arial" w:cs="Arial"/>
          <w:bCs/>
          <w:i/>
          <w:iCs/>
          <w:sz w:val="24"/>
          <w:szCs w:val="24"/>
          <w:lang w:eastAsia="es-ES"/>
        </w:rPr>
        <w:t xml:space="preserve">y las actas de requerimiento de pago de los créditos señalados de fecha primero de octubre del 2019, todos correspondientes al primero de los promoventes; </w:t>
      </w:r>
      <w:r w:rsidR="001E1511">
        <w:rPr>
          <w:rFonts w:ascii="Arial" w:eastAsia="Times New Roman" w:hAnsi="Arial" w:cs="Arial"/>
          <w:b/>
          <w:bCs/>
          <w:i/>
          <w:iCs/>
          <w:sz w:val="24"/>
          <w:szCs w:val="24"/>
          <w:lang w:eastAsia="es-ES"/>
        </w:rPr>
        <w:t xml:space="preserve">2.- </w:t>
      </w:r>
      <w:r w:rsidR="001E1511">
        <w:rPr>
          <w:rFonts w:ascii="Arial" w:eastAsia="Times New Roman" w:hAnsi="Arial" w:cs="Arial"/>
          <w:bCs/>
          <w:i/>
          <w:iCs/>
          <w:sz w:val="24"/>
          <w:szCs w:val="24"/>
          <w:lang w:eastAsia="es-ES"/>
        </w:rPr>
        <w:t xml:space="preserve">Mandamiento de Ejecución </w:t>
      </w:r>
      <w:r w:rsidR="00E22997">
        <w:rPr>
          <w:rFonts w:ascii="Arial" w:hAnsi="Arial" w:cs="Arial"/>
          <w:b/>
          <w:sz w:val="26"/>
          <w:szCs w:val="26"/>
        </w:rPr>
        <w:t>***********</w:t>
      </w:r>
      <w:r w:rsidR="00E22997">
        <w:rPr>
          <w:rFonts w:ascii="Arial" w:hAnsi="Arial" w:cs="Arial"/>
          <w:b/>
          <w:sz w:val="26"/>
          <w:szCs w:val="26"/>
        </w:rPr>
        <w:t xml:space="preserve"> </w:t>
      </w:r>
      <w:r w:rsidR="001E1511">
        <w:rPr>
          <w:rFonts w:ascii="Arial" w:eastAsia="Times New Roman" w:hAnsi="Arial" w:cs="Arial"/>
          <w:bCs/>
          <w:i/>
          <w:iCs/>
          <w:sz w:val="24"/>
          <w:szCs w:val="24"/>
          <w:lang w:eastAsia="es-ES"/>
        </w:rPr>
        <w:t xml:space="preserve">de fecha 11 de septiembre del 2019 crédito </w:t>
      </w:r>
      <w:r w:rsidR="001E1511">
        <w:rPr>
          <w:rFonts w:ascii="Arial" w:eastAsia="Times New Roman" w:hAnsi="Arial" w:cs="Arial"/>
          <w:bCs/>
          <w:i/>
          <w:iCs/>
          <w:sz w:val="24"/>
          <w:szCs w:val="24"/>
          <w:lang w:eastAsia="es-ES"/>
        </w:rPr>
        <w:lastRenderedPageBreak/>
        <w:t xml:space="preserve">número </w:t>
      </w:r>
      <w:r w:rsidR="00E22997">
        <w:rPr>
          <w:rFonts w:ascii="Arial" w:hAnsi="Arial" w:cs="Arial"/>
          <w:b/>
          <w:sz w:val="26"/>
          <w:szCs w:val="26"/>
        </w:rPr>
        <w:t>***********</w:t>
      </w:r>
      <w:r w:rsidR="001E1511">
        <w:rPr>
          <w:rFonts w:ascii="Arial" w:eastAsia="Times New Roman" w:hAnsi="Arial" w:cs="Arial"/>
          <w:bCs/>
          <w:i/>
          <w:iCs/>
          <w:sz w:val="24"/>
          <w:szCs w:val="24"/>
          <w:lang w:eastAsia="es-ES"/>
        </w:rPr>
        <w:t xml:space="preserve">, Resolución determinante </w:t>
      </w:r>
      <w:r w:rsidR="00E22997">
        <w:rPr>
          <w:rFonts w:ascii="Arial" w:hAnsi="Arial" w:cs="Arial"/>
          <w:b/>
          <w:sz w:val="26"/>
          <w:szCs w:val="26"/>
        </w:rPr>
        <w:t>***********</w:t>
      </w:r>
      <w:r w:rsidR="00E22997">
        <w:rPr>
          <w:rFonts w:ascii="Arial" w:hAnsi="Arial" w:cs="Arial"/>
          <w:b/>
          <w:sz w:val="26"/>
          <w:szCs w:val="26"/>
        </w:rPr>
        <w:t xml:space="preserve"> </w:t>
      </w:r>
      <w:r w:rsidR="001E1511">
        <w:rPr>
          <w:rFonts w:ascii="Arial" w:eastAsia="Times New Roman" w:hAnsi="Arial" w:cs="Arial"/>
          <w:bCs/>
          <w:i/>
          <w:iCs/>
          <w:sz w:val="24"/>
          <w:szCs w:val="24"/>
          <w:lang w:eastAsia="es-ES"/>
        </w:rPr>
        <w:t>de fecha 17 de junio de 2015, emitida por la Auditoría Superior del Estado, hoy Órgano Superior de Fiscalización del Estado de Oaxaca, por concepto de una multa impuesta por omisión de la Cuenta Pública del ejercicio fiscal 2014, omisión del tercer informe de avance de gestión financiera del trimestre julio-septiembre del ejercicio 2014, omisión del cuarto informe de avance de gestión financiera del trimestre octubre-diciembre del ejercicio fiscal 2014 y omisión del primer informe de avance de gestión financiera del trimestre enero-marzo del ejercicio fiscal</w:t>
      </w:r>
      <w:r w:rsidR="00A91EB9">
        <w:rPr>
          <w:rFonts w:ascii="Arial" w:eastAsia="Times New Roman" w:hAnsi="Arial" w:cs="Arial"/>
          <w:bCs/>
          <w:i/>
          <w:iCs/>
          <w:sz w:val="24"/>
          <w:szCs w:val="24"/>
          <w:lang w:eastAsia="es-ES"/>
        </w:rPr>
        <w:t xml:space="preserve"> 2015 </w:t>
      </w:r>
      <w:r w:rsidR="001E1511">
        <w:rPr>
          <w:rFonts w:ascii="Arial" w:eastAsia="Times New Roman" w:hAnsi="Arial" w:cs="Arial"/>
          <w:bCs/>
          <w:i/>
          <w:iCs/>
          <w:sz w:val="24"/>
          <w:szCs w:val="24"/>
          <w:lang w:eastAsia="es-ES"/>
        </w:rPr>
        <w:t xml:space="preserve">por un importe de </w:t>
      </w:r>
      <w:r w:rsidR="00E22997">
        <w:rPr>
          <w:rFonts w:ascii="Arial" w:hAnsi="Arial" w:cs="Arial"/>
          <w:b/>
          <w:sz w:val="26"/>
          <w:szCs w:val="26"/>
        </w:rPr>
        <w:t>***********</w:t>
      </w:r>
      <w:r w:rsidR="00A91EB9">
        <w:rPr>
          <w:rFonts w:ascii="Arial" w:eastAsia="Times New Roman" w:hAnsi="Arial" w:cs="Arial"/>
          <w:bCs/>
          <w:i/>
          <w:iCs/>
          <w:sz w:val="24"/>
          <w:szCs w:val="24"/>
          <w:lang w:eastAsia="es-ES"/>
        </w:rPr>
        <w:t xml:space="preserve"> y Mandamiento de Ejecución </w:t>
      </w:r>
      <w:r w:rsidR="00E22997">
        <w:rPr>
          <w:rFonts w:ascii="Arial" w:hAnsi="Arial" w:cs="Arial"/>
          <w:b/>
          <w:sz w:val="26"/>
          <w:szCs w:val="26"/>
        </w:rPr>
        <w:t>***********</w:t>
      </w:r>
      <w:r w:rsidR="00E22997">
        <w:rPr>
          <w:rFonts w:ascii="Arial" w:hAnsi="Arial" w:cs="Arial"/>
          <w:b/>
          <w:sz w:val="26"/>
          <w:szCs w:val="26"/>
        </w:rPr>
        <w:t xml:space="preserve"> </w:t>
      </w:r>
      <w:r w:rsidR="00A91EB9">
        <w:rPr>
          <w:rFonts w:ascii="Arial" w:eastAsia="Times New Roman" w:hAnsi="Arial" w:cs="Arial"/>
          <w:bCs/>
          <w:i/>
          <w:iCs/>
          <w:sz w:val="24"/>
          <w:szCs w:val="24"/>
          <w:lang w:eastAsia="es-ES"/>
        </w:rPr>
        <w:t xml:space="preserve">crédito </w:t>
      </w:r>
      <w:r w:rsidR="00E22997">
        <w:rPr>
          <w:rFonts w:ascii="Arial" w:hAnsi="Arial" w:cs="Arial"/>
          <w:b/>
          <w:sz w:val="26"/>
          <w:szCs w:val="26"/>
        </w:rPr>
        <w:t>***********</w:t>
      </w:r>
      <w:r w:rsidR="00A91EB9">
        <w:rPr>
          <w:rFonts w:ascii="Arial" w:eastAsia="Times New Roman" w:hAnsi="Arial" w:cs="Arial"/>
          <w:bCs/>
          <w:i/>
          <w:iCs/>
          <w:sz w:val="24"/>
          <w:szCs w:val="24"/>
          <w:lang w:eastAsia="es-ES"/>
        </w:rPr>
        <w:t xml:space="preserve">, Resolución determinante </w:t>
      </w:r>
      <w:r w:rsidR="00E22997">
        <w:rPr>
          <w:rFonts w:ascii="Arial" w:hAnsi="Arial" w:cs="Arial"/>
          <w:b/>
          <w:sz w:val="26"/>
          <w:szCs w:val="26"/>
        </w:rPr>
        <w:t>***********</w:t>
      </w:r>
      <w:r w:rsidR="00E22997">
        <w:rPr>
          <w:rFonts w:ascii="Arial" w:hAnsi="Arial" w:cs="Arial"/>
          <w:b/>
          <w:sz w:val="26"/>
          <w:szCs w:val="26"/>
        </w:rPr>
        <w:t xml:space="preserve"> </w:t>
      </w:r>
      <w:r w:rsidR="00A91EB9">
        <w:rPr>
          <w:rFonts w:ascii="Arial" w:eastAsia="Times New Roman" w:hAnsi="Arial" w:cs="Arial"/>
          <w:bCs/>
          <w:i/>
          <w:iCs/>
          <w:sz w:val="24"/>
          <w:szCs w:val="24"/>
          <w:lang w:eastAsia="es-ES"/>
        </w:rPr>
        <w:t xml:space="preserve">de fecha 9 de septiembre de 2016, emitida por la Auditoria Superior, hoy Órgano Superior de Fiscalización del Estado de Oaxaca, por concepto de una multa impuesta por la omisión del segundo informe de avance de gestión financiera correspondiente a los meses abril-junio del ejercicio fiscal 2016 por un importe de </w:t>
      </w:r>
      <w:r w:rsidR="00E22997">
        <w:rPr>
          <w:rFonts w:ascii="Arial" w:hAnsi="Arial" w:cs="Arial"/>
          <w:b/>
          <w:sz w:val="26"/>
          <w:szCs w:val="26"/>
        </w:rPr>
        <w:t>***********</w:t>
      </w:r>
      <w:r w:rsidR="00E22997">
        <w:rPr>
          <w:rFonts w:ascii="Arial" w:hAnsi="Arial" w:cs="Arial"/>
          <w:b/>
          <w:sz w:val="26"/>
          <w:szCs w:val="26"/>
        </w:rPr>
        <w:t xml:space="preserve"> </w:t>
      </w:r>
      <w:r w:rsidR="00A91EB9">
        <w:rPr>
          <w:rFonts w:ascii="Arial" w:eastAsia="Times New Roman" w:hAnsi="Arial" w:cs="Arial"/>
          <w:bCs/>
          <w:i/>
          <w:iCs/>
          <w:sz w:val="24"/>
          <w:szCs w:val="24"/>
          <w:lang w:eastAsia="es-ES"/>
        </w:rPr>
        <w:t xml:space="preserve">y las actas de requerimiento de pago de los créditos señalados de fecha primero de octubre del 2019, todos correspondientes al segundo de los promovente (sic); </w:t>
      </w:r>
      <w:r w:rsidR="00A91EB9">
        <w:rPr>
          <w:rFonts w:ascii="Arial" w:eastAsia="Times New Roman" w:hAnsi="Arial" w:cs="Arial"/>
          <w:b/>
          <w:bCs/>
          <w:i/>
          <w:iCs/>
          <w:sz w:val="24"/>
          <w:szCs w:val="24"/>
          <w:lang w:eastAsia="es-ES"/>
        </w:rPr>
        <w:t xml:space="preserve">3.- </w:t>
      </w:r>
      <w:r w:rsidR="00A91EB9">
        <w:rPr>
          <w:rFonts w:ascii="Arial" w:eastAsia="Times New Roman" w:hAnsi="Arial" w:cs="Arial"/>
          <w:bCs/>
          <w:i/>
          <w:iCs/>
          <w:sz w:val="24"/>
          <w:szCs w:val="24"/>
          <w:lang w:eastAsia="es-ES"/>
        </w:rPr>
        <w:t xml:space="preserve">Mandamiento de Ejecución </w:t>
      </w:r>
      <w:r w:rsidR="00E22997">
        <w:rPr>
          <w:rFonts w:ascii="Arial" w:hAnsi="Arial" w:cs="Arial"/>
          <w:b/>
          <w:sz w:val="26"/>
          <w:szCs w:val="26"/>
        </w:rPr>
        <w:t>***********</w:t>
      </w:r>
      <w:r w:rsidR="00E22997">
        <w:rPr>
          <w:rFonts w:ascii="Arial" w:hAnsi="Arial" w:cs="Arial"/>
          <w:b/>
          <w:sz w:val="26"/>
          <w:szCs w:val="26"/>
        </w:rPr>
        <w:t xml:space="preserve"> </w:t>
      </w:r>
      <w:r w:rsidR="00A91EB9">
        <w:rPr>
          <w:rFonts w:ascii="Arial" w:eastAsia="Times New Roman" w:hAnsi="Arial" w:cs="Arial"/>
          <w:bCs/>
          <w:i/>
          <w:iCs/>
          <w:sz w:val="24"/>
          <w:szCs w:val="24"/>
          <w:lang w:eastAsia="es-ES"/>
        </w:rPr>
        <w:t xml:space="preserve">de fecha 17 de septiembre del 2019, crédito </w:t>
      </w:r>
      <w:r w:rsidR="00E22997">
        <w:rPr>
          <w:rFonts w:ascii="Arial" w:hAnsi="Arial" w:cs="Arial"/>
          <w:b/>
          <w:sz w:val="26"/>
          <w:szCs w:val="26"/>
        </w:rPr>
        <w:t>***********</w:t>
      </w:r>
      <w:r w:rsidR="00E22997">
        <w:rPr>
          <w:rFonts w:ascii="Arial" w:hAnsi="Arial" w:cs="Arial"/>
          <w:b/>
          <w:sz w:val="26"/>
          <w:szCs w:val="26"/>
        </w:rPr>
        <w:t xml:space="preserve"> </w:t>
      </w:r>
      <w:r w:rsidR="00A91EB9">
        <w:rPr>
          <w:rFonts w:ascii="Arial" w:eastAsia="Times New Roman" w:hAnsi="Arial" w:cs="Arial"/>
          <w:bCs/>
          <w:i/>
          <w:iCs/>
          <w:sz w:val="24"/>
          <w:szCs w:val="24"/>
          <w:lang w:eastAsia="es-ES"/>
        </w:rPr>
        <w:t xml:space="preserve">y Resolución determinante </w:t>
      </w:r>
      <w:r w:rsidR="00E22997">
        <w:rPr>
          <w:rFonts w:ascii="Arial" w:hAnsi="Arial" w:cs="Arial"/>
          <w:b/>
          <w:sz w:val="26"/>
          <w:szCs w:val="26"/>
        </w:rPr>
        <w:t>***********</w:t>
      </w:r>
      <w:r w:rsidR="00E22997">
        <w:rPr>
          <w:rFonts w:ascii="Arial" w:hAnsi="Arial" w:cs="Arial"/>
          <w:b/>
          <w:sz w:val="26"/>
          <w:szCs w:val="26"/>
        </w:rPr>
        <w:t xml:space="preserve"> </w:t>
      </w:r>
      <w:r w:rsidR="00A91EB9">
        <w:rPr>
          <w:rFonts w:ascii="Arial" w:eastAsia="Times New Roman" w:hAnsi="Arial" w:cs="Arial"/>
          <w:bCs/>
          <w:i/>
          <w:iCs/>
          <w:sz w:val="24"/>
          <w:szCs w:val="24"/>
          <w:lang w:eastAsia="es-ES"/>
        </w:rPr>
        <w:t xml:space="preserve">de fecha 17 de junio de 2015 emitida por la Auditoría Superior del Estado, hoy Órgano Superior de Fiscalización del Estado de Oaxaca, por concepto de una multa impuesta por omisión de la Cuenta Pública del ejercicio fiscal 2014, omisión del tercer informe de avance de gestión financiera del trimestre julio-septiembre del ejercicio 2014, omisión del cuarto informe de avance de gestión financiera del trimestre octubre-diciembre del ejercicio fiscal 2014 y omisión del primer informe de avance de gestión financiera del trimestre enero-marzo del ejercicio fiscal 2015 por un importe de </w:t>
      </w:r>
      <w:r w:rsidR="00E22997">
        <w:rPr>
          <w:rFonts w:ascii="Arial" w:hAnsi="Arial" w:cs="Arial"/>
          <w:b/>
          <w:sz w:val="26"/>
          <w:szCs w:val="26"/>
        </w:rPr>
        <w:t>***********</w:t>
      </w:r>
      <w:r w:rsidR="00E22997">
        <w:rPr>
          <w:rFonts w:ascii="Arial" w:hAnsi="Arial" w:cs="Arial"/>
          <w:b/>
          <w:sz w:val="26"/>
          <w:szCs w:val="26"/>
        </w:rPr>
        <w:t xml:space="preserve"> </w:t>
      </w:r>
      <w:r w:rsidR="00A91EB9">
        <w:rPr>
          <w:rFonts w:ascii="Arial" w:eastAsia="Times New Roman" w:hAnsi="Arial" w:cs="Arial"/>
          <w:bCs/>
          <w:i/>
          <w:iCs/>
          <w:sz w:val="24"/>
          <w:szCs w:val="24"/>
          <w:lang w:eastAsia="es-ES"/>
        </w:rPr>
        <w:t xml:space="preserve">y Mandamiento de Ejecución </w:t>
      </w:r>
      <w:r w:rsidR="00E22997">
        <w:rPr>
          <w:rFonts w:ascii="Arial" w:hAnsi="Arial" w:cs="Arial"/>
          <w:b/>
          <w:sz w:val="26"/>
          <w:szCs w:val="26"/>
        </w:rPr>
        <w:t>***********</w:t>
      </w:r>
      <w:r w:rsidR="00E22997">
        <w:rPr>
          <w:rFonts w:ascii="Arial" w:hAnsi="Arial" w:cs="Arial"/>
          <w:b/>
          <w:sz w:val="26"/>
          <w:szCs w:val="26"/>
        </w:rPr>
        <w:t xml:space="preserve"> </w:t>
      </w:r>
      <w:r w:rsidR="00A91EB9">
        <w:rPr>
          <w:rFonts w:ascii="Arial" w:eastAsia="Times New Roman" w:hAnsi="Arial" w:cs="Arial"/>
          <w:bCs/>
          <w:i/>
          <w:iCs/>
          <w:sz w:val="24"/>
          <w:szCs w:val="24"/>
          <w:lang w:eastAsia="es-ES"/>
        </w:rPr>
        <w:t xml:space="preserve">de fecha 17 de septiembre del 2019, crédito número </w:t>
      </w:r>
      <w:r w:rsidR="00E22997">
        <w:rPr>
          <w:rFonts w:ascii="Arial" w:hAnsi="Arial" w:cs="Arial"/>
          <w:b/>
          <w:sz w:val="26"/>
          <w:szCs w:val="26"/>
        </w:rPr>
        <w:t>***********</w:t>
      </w:r>
      <w:r w:rsidR="00A91EB9">
        <w:rPr>
          <w:rFonts w:ascii="Arial" w:eastAsia="Times New Roman" w:hAnsi="Arial" w:cs="Arial"/>
          <w:bCs/>
          <w:i/>
          <w:iCs/>
          <w:sz w:val="24"/>
          <w:szCs w:val="24"/>
          <w:lang w:eastAsia="es-ES"/>
        </w:rPr>
        <w:t xml:space="preserve">, resolución determinante </w:t>
      </w:r>
      <w:r w:rsidR="00E22997">
        <w:rPr>
          <w:rFonts w:ascii="Arial" w:hAnsi="Arial" w:cs="Arial"/>
          <w:b/>
          <w:sz w:val="26"/>
          <w:szCs w:val="26"/>
        </w:rPr>
        <w:t>***********</w:t>
      </w:r>
      <w:r w:rsidR="00E22997">
        <w:rPr>
          <w:rFonts w:ascii="Arial" w:hAnsi="Arial" w:cs="Arial"/>
          <w:b/>
          <w:sz w:val="26"/>
          <w:szCs w:val="26"/>
        </w:rPr>
        <w:t xml:space="preserve"> </w:t>
      </w:r>
      <w:r w:rsidR="00A91EB9">
        <w:rPr>
          <w:rFonts w:ascii="Arial" w:eastAsia="Times New Roman" w:hAnsi="Arial" w:cs="Arial"/>
          <w:bCs/>
          <w:i/>
          <w:iCs/>
          <w:sz w:val="24"/>
          <w:szCs w:val="24"/>
          <w:lang w:eastAsia="es-ES"/>
        </w:rPr>
        <w:t>de fecha 27 de junio de 2016 emitida por la Auditoría Superior del Estado de Oaxaca, hoy Órgano Superior de Fiscalización del Estado de Oaxaca por concepto de una multa impuesta por la omisión de la Cuenta Pública</w:t>
      </w:r>
      <w:r w:rsidR="009A5E37">
        <w:rPr>
          <w:rFonts w:ascii="Arial" w:eastAsia="Times New Roman" w:hAnsi="Arial" w:cs="Arial"/>
          <w:bCs/>
          <w:i/>
          <w:iCs/>
          <w:sz w:val="24"/>
          <w:szCs w:val="24"/>
          <w:lang w:eastAsia="es-ES"/>
        </w:rPr>
        <w:t xml:space="preserve"> del ejercicio fiscal 2015 y primer informe de avance de gestión </w:t>
      </w:r>
      <w:r w:rsidR="009A5E37">
        <w:rPr>
          <w:rFonts w:ascii="Arial" w:eastAsia="Times New Roman" w:hAnsi="Arial" w:cs="Arial"/>
          <w:bCs/>
          <w:i/>
          <w:iCs/>
          <w:sz w:val="24"/>
          <w:szCs w:val="24"/>
          <w:lang w:eastAsia="es-ES"/>
        </w:rPr>
        <w:lastRenderedPageBreak/>
        <w:t xml:space="preserve">financiera correspondiente a los meses de enero-marzo del ejercicio fiscal 2016 por un importe de </w:t>
      </w:r>
      <w:r w:rsidR="00E22997">
        <w:rPr>
          <w:rFonts w:ascii="Arial" w:hAnsi="Arial" w:cs="Arial"/>
          <w:b/>
          <w:sz w:val="26"/>
          <w:szCs w:val="26"/>
        </w:rPr>
        <w:t>***********</w:t>
      </w:r>
      <w:r w:rsidR="00E22997">
        <w:rPr>
          <w:rFonts w:ascii="Arial" w:hAnsi="Arial" w:cs="Arial"/>
          <w:b/>
          <w:sz w:val="26"/>
          <w:szCs w:val="26"/>
        </w:rPr>
        <w:t xml:space="preserve"> </w:t>
      </w:r>
      <w:r w:rsidR="00A91EB9">
        <w:rPr>
          <w:rFonts w:ascii="Arial" w:eastAsia="Times New Roman" w:hAnsi="Arial" w:cs="Arial"/>
          <w:bCs/>
          <w:i/>
          <w:iCs/>
          <w:sz w:val="24"/>
          <w:szCs w:val="24"/>
          <w:lang w:eastAsia="es-ES"/>
        </w:rPr>
        <w:t>y las actas de requerimiento de pago de los créditos señalados</w:t>
      </w:r>
      <w:r w:rsidR="009A5E37">
        <w:rPr>
          <w:rFonts w:ascii="Arial" w:eastAsia="Times New Roman" w:hAnsi="Arial" w:cs="Arial"/>
          <w:bCs/>
          <w:i/>
          <w:iCs/>
          <w:sz w:val="24"/>
          <w:szCs w:val="24"/>
          <w:lang w:eastAsia="es-ES"/>
        </w:rPr>
        <w:t xml:space="preserve">, correspondientes todos al tercer de los promoventes; </w:t>
      </w:r>
      <w:r w:rsidR="009A5E37">
        <w:rPr>
          <w:rFonts w:ascii="Arial" w:eastAsia="Times New Roman" w:hAnsi="Arial" w:cs="Arial"/>
          <w:b/>
          <w:bCs/>
          <w:i/>
          <w:iCs/>
          <w:sz w:val="24"/>
          <w:szCs w:val="24"/>
          <w:lang w:eastAsia="es-ES"/>
        </w:rPr>
        <w:t xml:space="preserve">4. </w:t>
      </w:r>
      <w:r w:rsidR="009A5E37">
        <w:rPr>
          <w:rFonts w:ascii="Arial" w:eastAsia="Times New Roman" w:hAnsi="Arial" w:cs="Arial"/>
          <w:bCs/>
          <w:i/>
          <w:iCs/>
          <w:sz w:val="24"/>
          <w:szCs w:val="24"/>
          <w:lang w:eastAsia="es-ES"/>
        </w:rPr>
        <w:t xml:space="preserve">Mandamiento de Ejecución </w:t>
      </w:r>
      <w:r w:rsidR="00E22997">
        <w:rPr>
          <w:rFonts w:ascii="Arial" w:hAnsi="Arial" w:cs="Arial"/>
          <w:b/>
          <w:sz w:val="26"/>
          <w:szCs w:val="26"/>
        </w:rPr>
        <w:t>***********</w:t>
      </w:r>
      <w:r w:rsidR="009A5E37">
        <w:rPr>
          <w:rFonts w:ascii="Arial" w:eastAsia="Times New Roman" w:hAnsi="Arial" w:cs="Arial"/>
          <w:bCs/>
          <w:i/>
          <w:iCs/>
          <w:sz w:val="24"/>
          <w:szCs w:val="24"/>
          <w:lang w:eastAsia="es-ES"/>
        </w:rPr>
        <w:t xml:space="preserve"> de fecha 17 de septiembre del 2019, crédito </w:t>
      </w:r>
      <w:r w:rsidR="00E22997">
        <w:rPr>
          <w:rFonts w:ascii="Arial" w:hAnsi="Arial" w:cs="Arial"/>
          <w:b/>
          <w:sz w:val="26"/>
          <w:szCs w:val="26"/>
        </w:rPr>
        <w:t>***********</w:t>
      </w:r>
      <w:r w:rsidR="009A5E37">
        <w:rPr>
          <w:rFonts w:ascii="Arial" w:eastAsia="Times New Roman" w:hAnsi="Arial" w:cs="Arial"/>
          <w:bCs/>
          <w:i/>
          <w:iCs/>
          <w:sz w:val="24"/>
          <w:szCs w:val="24"/>
          <w:lang w:eastAsia="es-ES"/>
        </w:rPr>
        <w:t xml:space="preserve">, Resolución determinante </w:t>
      </w:r>
      <w:r w:rsidR="00E22997">
        <w:rPr>
          <w:rFonts w:ascii="Arial" w:hAnsi="Arial" w:cs="Arial"/>
          <w:b/>
          <w:sz w:val="26"/>
          <w:szCs w:val="26"/>
        </w:rPr>
        <w:t>***********</w:t>
      </w:r>
      <w:r w:rsidR="00E22997">
        <w:rPr>
          <w:rFonts w:ascii="Arial" w:hAnsi="Arial" w:cs="Arial"/>
          <w:b/>
          <w:sz w:val="26"/>
          <w:szCs w:val="26"/>
        </w:rPr>
        <w:t xml:space="preserve"> </w:t>
      </w:r>
      <w:r w:rsidR="009A5E37">
        <w:rPr>
          <w:rFonts w:ascii="Arial" w:eastAsia="Times New Roman" w:hAnsi="Arial" w:cs="Arial"/>
          <w:bCs/>
          <w:i/>
          <w:iCs/>
          <w:sz w:val="24"/>
          <w:szCs w:val="24"/>
          <w:lang w:eastAsia="es-ES"/>
        </w:rPr>
        <w:t xml:space="preserve">de fecha 03 de mayo del 2016 emitida por la Auditoría Superior del Estado, hoy Órgano Superior de Fiscalización del Estado de Oaxaca por concepto de una multa impuesta por omisión del segundo informe de avance de gestión financiera del trimestre abril-junio del ejercicio fiscal 2015, del tercer informe de avance de gestión financiera del trimestre julio-septiembre del ejercicio fiscal 2015 y del cuarto informe de avance de gestión financiera del trimestre octubre-diciembre del ejercicio fiscal 2015 por un importe de </w:t>
      </w:r>
      <w:r w:rsidR="00E22997">
        <w:rPr>
          <w:rFonts w:ascii="Arial" w:hAnsi="Arial" w:cs="Arial"/>
          <w:b/>
          <w:sz w:val="26"/>
          <w:szCs w:val="26"/>
        </w:rPr>
        <w:t>***********</w:t>
      </w:r>
      <w:r w:rsidR="00E22997">
        <w:rPr>
          <w:rFonts w:ascii="Arial" w:hAnsi="Arial" w:cs="Arial"/>
          <w:b/>
          <w:sz w:val="26"/>
          <w:szCs w:val="26"/>
        </w:rPr>
        <w:t xml:space="preserve"> </w:t>
      </w:r>
      <w:r w:rsidR="009A5E37">
        <w:rPr>
          <w:rFonts w:ascii="Arial" w:eastAsia="Times New Roman" w:hAnsi="Arial" w:cs="Arial"/>
          <w:bCs/>
          <w:i/>
          <w:iCs/>
          <w:sz w:val="24"/>
          <w:szCs w:val="24"/>
          <w:lang w:eastAsia="es-ES"/>
        </w:rPr>
        <w:t>y el acta de requerimiento de pago de fecha del primero de octubre del 2019, correspondiente al cuarto de los promoventes.´</w:t>
      </w:r>
    </w:p>
    <w:p w14:paraId="5D631733" w14:textId="77777777" w:rsidR="001E1511" w:rsidRDefault="009A5E37" w:rsidP="00586292">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De las documentales y de la manifestación de hechos de los actores, se logra establecer que todos los actos impugnados forman parte de expedientes iniciados con motivo de resarcimientos de los daños ocasionados a la Hacienda Municipal de San Miguel Mixtepec, Distrito de Zimatlán, Oaxaca; es decir, se trata de sanciones impuestas con motivo de rendición de cuentas, pues se condenó a los ac</w:t>
      </w:r>
      <w:r w:rsidR="00AB59E4">
        <w:rPr>
          <w:rFonts w:ascii="Arial" w:eastAsia="Times New Roman" w:hAnsi="Arial" w:cs="Arial"/>
          <w:bCs/>
          <w:i/>
          <w:iCs/>
          <w:sz w:val="24"/>
          <w:szCs w:val="24"/>
          <w:lang w:eastAsia="es-ES"/>
        </w:rPr>
        <w:t>t</w:t>
      </w:r>
      <w:r>
        <w:rPr>
          <w:rFonts w:ascii="Arial" w:eastAsia="Times New Roman" w:hAnsi="Arial" w:cs="Arial"/>
          <w:bCs/>
          <w:i/>
          <w:iCs/>
          <w:sz w:val="24"/>
          <w:szCs w:val="24"/>
          <w:lang w:eastAsia="es-ES"/>
        </w:rPr>
        <w:t xml:space="preserve">ores al resarcimiento de daños y perjuicios, por lo que de conformidad con lo dispuesto en el artículos 152, fracción V, de la Ley Orgánica del Poder Judicial del Estado Libre y Soberano de Oaxaca. </w:t>
      </w:r>
      <w:r w:rsidR="001A6D12">
        <w:rPr>
          <w:rFonts w:ascii="Arial" w:eastAsia="Times New Roman" w:hAnsi="Arial" w:cs="Arial"/>
          <w:bCs/>
          <w:i/>
          <w:iCs/>
          <w:sz w:val="24"/>
          <w:szCs w:val="24"/>
          <w:lang w:eastAsia="es-ES"/>
        </w:rPr>
        <w:t xml:space="preserve">Aplicada de manera supletoria la Ley de la Materia, será </w:t>
      </w:r>
      <w:r w:rsidR="001A6D12">
        <w:rPr>
          <w:rFonts w:ascii="Arial" w:eastAsia="Times New Roman" w:hAnsi="Arial" w:cs="Arial"/>
          <w:b/>
          <w:bCs/>
          <w:i/>
          <w:iCs/>
          <w:sz w:val="24"/>
          <w:szCs w:val="24"/>
          <w:lang w:eastAsia="es-ES"/>
        </w:rPr>
        <w:t xml:space="preserve">la Sala Superior de </w:t>
      </w:r>
      <w:proofErr w:type="gramStart"/>
      <w:r w:rsidR="001A6D12">
        <w:rPr>
          <w:rFonts w:ascii="Arial" w:eastAsia="Times New Roman" w:hAnsi="Arial" w:cs="Arial"/>
          <w:b/>
          <w:bCs/>
          <w:i/>
          <w:iCs/>
          <w:sz w:val="24"/>
          <w:szCs w:val="24"/>
          <w:lang w:eastAsia="es-ES"/>
        </w:rPr>
        <w:t>éste</w:t>
      </w:r>
      <w:proofErr w:type="gramEnd"/>
      <w:r w:rsidR="001A6D12">
        <w:rPr>
          <w:rFonts w:ascii="Arial" w:eastAsia="Times New Roman" w:hAnsi="Arial" w:cs="Arial"/>
          <w:b/>
          <w:bCs/>
          <w:i/>
          <w:iCs/>
          <w:sz w:val="24"/>
          <w:szCs w:val="24"/>
          <w:lang w:eastAsia="es-ES"/>
        </w:rPr>
        <w:t xml:space="preserve"> Tribunal de Justicia Administrativa, la instancia competente </w:t>
      </w:r>
      <w:r w:rsidR="001A6D12">
        <w:rPr>
          <w:rFonts w:ascii="Arial" w:eastAsia="Times New Roman" w:hAnsi="Arial" w:cs="Arial"/>
          <w:bCs/>
          <w:i/>
          <w:iCs/>
          <w:sz w:val="24"/>
          <w:szCs w:val="24"/>
          <w:lang w:eastAsia="es-ES"/>
        </w:rPr>
        <w:t>a través el juicio de inconformidad, tal como lo dispone el artículo 146, fracción I del mismo ordenamiento legal, para conocer y resolver el presente asunto, por ser una controversia que suscitó en materia de cuentas supervisada por la Auditoría Superior del Estado.</w:t>
      </w:r>
    </w:p>
    <w:p w14:paraId="3D7DE821" w14:textId="77777777" w:rsidR="001A6D12" w:rsidRDefault="001A6D12" w:rsidP="00586292">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Además, debe decirse que el presente asunto debe conocerse en una unidad indivisible, por guardar coherencia interna, que no es factible separar para su estudio, por en (sic) el caso particular, el crédito fiscal, embargo y ampliación de embargo impugnados se encuentran estrechamente vinculados a las resoluciones dictadas por la Auditoría Superior del Estado, y por lo que conocerse y resolverse por separado, se podría llegar al grado que coexistan dos resoluciones que podrían ser incongruentes</w:t>
      </w:r>
      <w:r w:rsidR="000947CA">
        <w:rPr>
          <w:rFonts w:ascii="Arial" w:eastAsia="Times New Roman" w:hAnsi="Arial" w:cs="Arial"/>
          <w:bCs/>
          <w:i/>
          <w:iCs/>
          <w:sz w:val="24"/>
          <w:szCs w:val="24"/>
          <w:lang w:eastAsia="es-ES"/>
        </w:rPr>
        <w:t xml:space="preserve"> entre sí, contraviniendo el </w:t>
      </w:r>
      <w:r w:rsidR="000947CA">
        <w:rPr>
          <w:rFonts w:ascii="Arial" w:eastAsia="Times New Roman" w:hAnsi="Arial" w:cs="Arial"/>
          <w:b/>
          <w:bCs/>
          <w:i/>
          <w:iCs/>
          <w:sz w:val="24"/>
          <w:szCs w:val="24"/>
          <w:lang w:eastAsia="es-ES"/>
        </w:rPr>
        <w:t xml:space="preserve">principio de continencia de la causa, </w:t>
      </w:r>
      <w:r w:rsidR="000947CA">
        <w:rPr>
          <w:rFonts w:ascii="Arial" w:eastAsia="Times New Roman" w:hAnsi="Arial" w:cs="Arial"/>
          <w:bCs/>
          <w:i/>
          <w:iCs/>
          <w:sz w:val="24"/>
          <w:szCs w:val="24"/>
          <w:lang w:eastAsia="es-ES"/>
        </w:rPr>
        <w:t>que debe regir toda resolución, tal y como lo establece el artículo 31 del Código de Procedimientos Civiles para el estado de Oaxaca, el cuál (sic) es aplicado supletoriamente, criterio que también es susten</w:t>
      </w:r>
      <w:r w:rsidR="00FC5315">
        <w:rPr>
          <w:rFonts w:ascii="Arial" w:eastAsia="Times New Roman" w:hAnsi="Arial" w:cs="Arial"/>
          <w:bCs/>
          <w:i/>
          <w:iCs/>
          <w:sz w:val="24"/>
          <w:szCs w:val="24"/>
          <w:lang w:eastAsia="es-ES"/>
        </w:rPr>
        <w:t>ta</w:t>
      </w:r>
      <w:r w:rsidR="000947CA">
        <w:rPr>
          <w:rFonts w:ascii="Arial" w:eastAsia="Times New Roman" w:hAnsi="Arial" w:cs="Arial"/>
          <w:bCs/>
          <w:i/>
          <w:iCs/>
          <w:sz w:val="24"/>
          <w:szCs w:val="24"/>
          <w:lang w:eastAsia="es-ES"/>
        </w:rPr>
        <w:t xml:space="preserve">do por la Suprema Corte de Justicia de la Nación, en las jurisprudencias con datos de </w:t>
      </w:r>
      <w:r w:rsidR="00FC5315">
        <w:rPr>
          <w:rFonts w:ascii="Arial" w:eastAsia="Times New Roman" w:hAnsi="Arial" w:cs="Arial"/>
          <w:bCs/>
          <w:i/>
          <w:iCs/>
          <w:sz w:val="24"/>
          <w:szCs w:val="24"/>
          <w:lang w:eastAsia="es-ES"/>
        </w:rPr>
        <w:t>identificación</w:t>
      </w:r>
      <w:r w:rsidR="00B078F9">
        <w:rPr>
          <w:rFonts w:ascii="Arial" w:eastAsia="Times New Roman" w:hAnsi="Arial" w:cs="Arial"/>
          <w:bCs/>
          <w:i/>
          <w:iCs/>
          <w:sz w:val="24"/>
          <w:szCs w:val="24"/>
          <w:lang w:eastAsia="es-ES"/>
        </w:rPr>
        <w:t>:</w:t>
      </w:r>
    </w:p>
    <w:p w14:paraId="223F0358" w14:textId="77777777" w:rsidR="00B078F9" w:rsidRDefault="00B078F9" w:rsidP="00586292">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Apéndice de 2011, VIII, Electoral, Primera </w:t>
      </w:r>
      <w:proofErr w:type="gramStart"/>
      <w:r>
        <w:rPr>
          <w:rFonts w:ascii="Arial" w:eastAsia="Times New Roman" w:hAnsi="Arial" w:cs="Arial"/>
          <w:bCs/>
          <w:i/>
          <w:iCs/>
          <w:sz w:val="24"/>
          <w:szCs w:val="24"/>
          <w:lang w:eastAsia="es-ES"/>
        </w:rPr>
        <w:t>Parte,-</w:t>
      </w:r>
      <w:proofErr w:type="gramEnd"/>
      <w:r>
        <w:rPr>
          <w:rFonts w:ascii="Arial" w:eastAsia="Times New Roman" w:hAnsi="Arial" w:cs="Arial"/>
          <w:bCs/>
          <w:i/>
          <w:iCs/>
          <w:sz w:val="24"/>
          <w:szCs w:val="24"/>
          <w:lang w:eastAsia="es-ES"/>
        </w:rPr>
        <w:t>Vigentes, Tercera Época, pág.97, registro 1000718, jurisprudencia Electoral, Sala Superior, y de rubro:</w:t>
      </w:r>
    </w:p>
    <w:p w14:paraId="66701A23" w14:textId="77777777" w:rsidR="00B078F9" w:rsidRDefault="00B078F9" w:rsidP="00586292">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´CONTINENCIA DE LA CAUSA. ES INACEPTABLE DIVIDIRLA PARA SU </w:t>
      </w:r>
      <w:proofErr w:type="gramStart"/>
      <w:r>
        <w:rPr>
          <w:rFonts w:ascii="Arial" w:eastAsia="Times New Roman" w:hAnsi="Arial" w:cs="Arial"/>
          <w:bCs/>
          <w:i/>
          <w:iCs/>
          <w:sz w:val="24"/>
          <w:szCs w:val="24"/>
          <w:lang w:eastAsia="es-ES"/>
        </w:rPr>
        <w:t>IMPUGNACIÓN.´</w:t>
      </w:r>
      <w:proofErr w:type="gramEnd"/>
    </w:p>
    <w:p w14:paraId="75A7A261" w14:textId="77777777" w:rsidR="00B078F9" w:rsidRDefault="00B078F9" w:rsidP="00586292">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Semanario Judicial de la federación y su Gaceta, Tomo XXV, </w:t>
      </w:r>
      <w:proofErr w:type="gramStart"/>
      <w:r>
        <w:rPr>
          <w:rFonts w:ascii="Arial" w:eastAsia="Times New Roman" w:hAnsi="Arial" w:cs="Arial"/>
          <w:bCs/>
          <w:i/>
          <w:iCs/>
          <w:sz w:val="24"/>
          <w:szCs w:val="24"/>
          <w:lang w:eastAsia="es-ES"/>
        </w:rPr>
        <w:t>Mayo</w:t>
      </w:r>
      <w:proofErr w:type="gramEnd"/>
      <w:r>
        <w:rPr>
          <w:rFonts w:ascii="Arial" w:eastAsia="Times New Roman" w:hAnsi="Arial" w:cs="Arial"/>
          <w:bCs/>
          <w:i/>
          <w:iCs/>
          <w:sz w:val="24"/>
          <w:szCs w:val="24"/>
          <w:lang w:eastAsia="es-ES"/>
        </w:rPr>
        <w:t xml:space="preserve"> de 2007, Novena Época, pág. 1925, registro 172318, Jurisprudencia Común, Tribunales Colegiados de Circuito, y de rubro: ´SENTENCIA RECLAMADA EN EL JUICIO DE AMPARO INDIRECTO QUE CONTIENE CONDENA EN COSTAS. EL PRINCIPIO DE CONTINENCIA DE LA CAUSA OBLIGA AL JUZGADOR A ESTUDIAR LA RESOLUCIÓN EN SU INTEGRIDAD, AUNQUE DESCANSE EN ACTOS POR SÍ SOLOS NO SEAN DE EJECUCIÓN IRREPARABLE´.</w:t>
      </w:r>
    </w:p>
    <w:p w14:paraId="3B0D5222" w14:textId="77777777" w:rsidR="00C23FA0" w:rsidRDefault="00B078F9" w:rsidP="00B078F9">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Semanario de la Federación y su Gaceta, Libro I, </w:t>
      </w:r>
      <w:proofErr w:type="gramStart"/>
      <w:r>
        <w:rPr>
          <w:rFonts w:ascii="Arial" w:eastAsia="Times New Roman" w:hAnsi="Arial" w:cs="Arial"/>
          <w:bCs/>
          <w:i/>
          <w:iCs/>
          <w:sz w:val="24"/>
          <w:szCs w:val="24"/>
          <w:lang w:eastAsia="es-ES"/>
        </w:rPr>
        <w:t>Octubre</w:t>
      </w:r>
      <w:proofErr w:type="gramEnd"/>
      <w:r>
        <w:rPr>
          <w:rFonts w:ascii="Arial" w:eastAsia="Times New Roman" w:hAnsi="Arial" w:cs="Arial"/>
          <w:bCs/>
          <w:i/>
          <w:iCs/>
          <w:sz w:val="24"/>
          <w:szCs w:val="24"/>
          <w:lang w:eastAsia="es-ES"/>
        </w:rPr>
        <w:t xml:space="preserve"> de 2011, Tomo 3, Décima Época, pág. 1412, registro 160967, Jurisprudencia Común</w:t>
      </w:r>
      <w:r w:rsidR="00C23FA0">
        <w:rPr>
          <w:rFonts w:ascii="Arial" w:eastAsia="Times New Roman" w:hAnsi="Arial" w:cs="Arial"/>
          <w:bCs/>
          <w:i/>
          <w:iCs/>
          <w:sz w:val="24"/>
          <w:szCs w:val="24"/>
          <w:lang w:eastAsia="es-ES"/>
        </w:rPr>
        <w:t xml:space="preserve">, </w:t>
      </w:r>
      <w:r>
        <w:rPr>
          <w:rFonts w:ascii="Arial" w:eastAsia="Times New Roman" w:hAnsi="Arial" w:cs="Arial"/>
          <w:bCs/>
          <w:i/>
          <w:iCs/>
          <w:sz w:val="24"/>
          <w:szCs w:val="24"/>
          <w:lang w:eastAsia="es-ES"/>
        </w:rPr>
        <w:t>Tribunales Colegiados de Circuito, y de rubro: ´</w:t>
      </w:r>
      <w:r w:rsidR="00C23FA0">
        <w:rPr>
          <w:rFonts w:ascii="Arial" w:eastAsia="Times New Roman" w:hAnsi="Arial" w:cs="Arial"/>
          <w:bCs/>
          <w:i/>
          <w:iCs/>
          <w:sz w:val="24"/>
          <w:szCs w:val="24"/>
          <w:lang w:eastAsia="es-ES"/>
        </w:rPr>
        <w:t xml:space="preserve">ACTO RECLAMADO EN EL JUICIO DE AMPARO INDIRECTO. EL PRINCIPIO DE CONTINENCIA DE LA CAUSA OBLIGA AL JUZGADOR A ESTUDIAR TODOS SUS COMPONENTES, AUNQUE ALGUNOS NO SEAN DE EJECUCIÓN IRREPARABLE </w:t>
      </w:r>
      <w:r>
        <w:rPr>
          <w:rFonts w:ascii="Arial" w:eastAsia="Times New Roman" w:hAnsi="Arial" w:cs="Arial"/>
          <w:bCs/>
          <w:i/>
          <w:iCs/>
          <w:sz w:val="24"/>
          <w:szCs w:val="24"/>
          <w:lang w:eastAsia="es-ES"/>
        </w:rPr>
        <w:t>´</w:t>
      </w:r>
    </w:p>
    <w:p w14:paraId="0914B59A" w14:textId="77777777" w:rsidR="00C23FA0" w:rsidRDefault="00C23FA0" w:rsidP="00C23FA0">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Gaceta del Semanario Judicial de la federación, Libro 15, </w:t>
      </w:r>
      <w:proofErr w:type="gramStart"/>
      <w:r>
        <w:rPr>
          <w:rFonts w:ascii="Arial" w:eastAsia="Times New Roman" w:hAnsi="Arial" w:cs="Arial"/>
          <w:bCs/>
          <w:i/>
          <w:iCs/>
          <w:sz w:val="24"/>
          <w:szCs w:val="24"/>
          <w:lang w:eastAsia="es-ES"/>
        </w:rPr>
        <w:t>Febrero</w:t>
      </w:r>
      <w:proofErr w:type="gramEnd"/>
      <w:r>
        <w:rPr>
          <w:rFonts w:ascii="Arial" w:eastAsia="Times New Roman" w:hAnsi="Arial" w:cs="Arial"/>
          <w:bCs/>
          <w:i/>
          <w:iCs/>
          <w:sz w:val="24"/>
          <w:szCs w:val="24"/>
          <w:lang w:eastAsia="es-ES"/>
        </w:rPr>
        <w:t xml:space="preserve"> de 2015, Tomo II, Décima Época, pág. 2019, registro 2008443, Jurisprudencia Común, Plenos de Circuito, y de rubro: ´SENTENCIA QUE DECIDE DOS O MAS ACCIONES O CUESTIONES JURÍDICAS EN EL MISMO DOCUMENTO. FORMA DE IMPUGNARLA, TANTO EN EL SUPUESTO DE QUE AQUÉLLAS ESTÉN ESTRECHAMENTE VINCULADAS O QUE UNA ACCIÓN DEPENDA DE OTRA, COMO CUANDO DICHAS ACCIONES SEAN AUTÓNOMAS O INDEPENDIENTES ENTRE SÍ´.</w:t>
      </w:r>
    </w:p>
    <w:p w14:paraId="7A8780DA" w14:textId="77777777" w:rsidR="00C23FA0" w:rsidRDefault="00C23FA0" w:rsidP="00C23FA0">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En este orden de ideas, y para evitar mayores dilaciones, y con ello transgredir los derechos de los administrados, </w:t>
      </w:r>
      <w:r>
        <w:rPr>
          <w:rFonts w:ascii="Arial" w:eastAsia="Times New Roman" w:hAnsi="Arial" w:cs="Arial"/>
          <w:b/>
          <w:bCs/>
          <w:i/>
          <w:iCs/>
          <w:sz w:val="24"/>
          <w:szCs w:val="24"/>
          <w:lang w:eastAsia="es-ES"/>
        </w:rPr>
        <w:t xml:space="preserve">está Sala Unitaria, se declara incompetente para conocer referente a la rendición de cuentas, </w:t>
      </w:r>
      <w:r>
        <w:rPr>
          <w:rFonts w:ascii="Arial" w:eastAsia="Times New Roman" w:hAnsi="Arial" w:cs="Arial"/>
          <w:bCs/>
          <w:i/>
          <w:iCs/>
          <w:sz w:val="24"/>
          <w:szCs w:val="24"/>
          <w:lang w:eastAsia="es-ES"/>
        </w:rPr>
        <w:t xml:space="preserve">porque de hacerlo, invadiría la esfera de competencia de la Sala Superior de este Tribunal, violentando los Principios de Legalidad y Seguridad Jurídica, contenidos en los artículos 14 y 16 de la Constitución Política de los Estado (sic) Unidos Mexicanos, en cuanto a que las autoridades solo pueden hacer lo que la ley les permite; criterio del </w:t>
      </w:r>
      <w:proofErr w:type="spellStart"/>
      <w:r>
        <w:rPr>
          <w:rFonts w:ascii="Arial" w:eastAsia="Times New Roman" w:hAnsi="Arial" w:cs="Arial"/>
          <w:bCs/>
          <w:i/>
          <w:iCs/>
          <w:sz w:val="24"/>
          <w:szCs w:val="24"/>
          <w:lang w:eastAsia="es-ES"/>
        </w:rPr>
        <w:t>mas</w:t>
      </w:r>
      <w:proofErr w:type="spellEnd"/>
      <w:r>
        <w:rPr>
          <w:rFonts w:ascii="Arial" w:eastAsia="Times New Roman" w:hAnsi="Arial" w:cs="Arial"/>
          <w:bCs/>
          <w:i/>
          <w:iCs/>
          <w:sz w:val="24"/>
          <w:szCs w:val="24"/>
          <w:lang w:eastAsia="es-ES"/>
        </w:rPr>
        <w:t xml:space="preserve"> (sic) alto Tribunal de este País, plasmado en la jurisprudencia visible en el Apéndice de 011, Tomo I. Constitucional 3. Derechos Fundamentales Primera Parte, -SCJN Décima Tercera Sección</w:t>
      </w:r>
      <w:r w:rsidR="00F027FF">
        <w:rPr>
          <w:rFonts w:ascii="Arial" w:eastAsia="Times New Roman" w:hAnsi="Arial" w:cs="Arial"/>
          <w:bCs/>
          <w:i/>
          <w:iCs/>
          <w:sz w:val="24"/>
          <w:szCs w:val="24"/>
          <w:lang w:eastAsia="es-ES"/>
        </w:rPr>
        <w:t xml:space="preserve">-Fundamentación y Motivación, Quinta Época, pág. 1228, registro 1011549, Jurisprudencia Común, Pleno, y de rubro: ´AUTORIDADES´. Y en la contenida en la Gaceta del Semanario Judicial de la Federación, Núm. 77 </w:t>
      </w:r>
      <w:proofErr w:type="gramStart"/>
      <w:r w:rsidR="00F027FF">
        <w:rPr>
          <w:rFonts w:ascii="Arial" w:eastAsia="Times New Roman" w:hAnsi="Arial" w:cs="Arial"/>
          <w:bCs/>
          <w:i/>
          <w:iCs/>
          <w:sz w:val="24"/>
          <w:szCs w:val="24"/>
          <w:lang w:eastAsia="es-ES"/>
        </w:rPr>
        <w:t>Mayo</w:t>
      </w:r>
      <w:proofErr w:type="gramEnd"/>
      <w:r w:rsidR="00F027FF">
        <w:rPr>
          <w:rFonts w:ascii="Arial" w:eastAsia="Times New Roman" w:hAnsi="Arial" w:cs="Arial"/>
          <w:bCs/>
          <w:i/>
          <w:iCs/>
          <w:sz w:val="24"/>
          <w:szCs w:val="24"/>
          <w:lang w:eastAsia="es-ES"/>
        </w:rPr>
        <w:t xml:space="preserve"> de 1994, Octava Época, pág. 12, registro 205463, Jurisprudencia Común, pleno, de rubro: ´COMPETENCIA. SU FUNDAMENTACIÓN ES REQUISITO ESENCIAL DEL ACTO DE </w:t>
      </w:r>
      <w:proofErr w:type="gramStart"/>
      <w:r w:rsidR="00F027FF">
        <w:rPr>
          <w:rFonts w:ascii="Arial" w:eastAsia="Times New Roman" w:hAnsi="Arial" w:cs="Arial"/>
          <w:bCs/>
          <w:i/>
          <w:iCs/>
          <w:sz w:val="24"/>
          <w:szCs w:val="24"/>
          <w:lang w:eastAsia="es-ES"/>
        </w:rPr>
        <w:t>AUTORIDAD.´</w:t>
      </w:r>
      <w:proofErr w:type="gramEnd"/>
    </w:p>
    <w:p w14:paraId="3B6715F8" w14:textId="77777777" w:rsidR="00F027FF" w:rsidRDefault="00F027FF" w:rsidP="00C23FA0">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Así las cosas, al actualizarse la causal de improcedencia del juicio de nulidad, prevista en la fracción X, del artículo 161 de la Ley de Procedimiento y Justicia Administrativa para el estado de Oaxaca, respecto de los actos impugnados, y como consecuencia, lo procedente es declarar el </w:t>
      </w:r>
      <w:r>
        <w:rPr>
          <w:rFonts w:ascii="Arial" w:eastAsia="Times New Roman" w:hAnsi="Arial" w:cs="Arial"/>
          <w:b/>
          <w:bCs/>
          <w:i/>
          <w:iCs/>
          <w:sz w:val="24"/>
          <w:szCs w:val="24"/>
          <w:lang w:eastAsia="es-ES"/>
        </w:rPr>
        <w:t xml:space="preserve">SOBRESEIMIENTO DEL PRESENTE JUICIO, </w:t>
      </w:r>
      <w:r>
        <w:rPr>
          <w:rFonts w:ascii="Arial" w:eastAsia="Times New Roman" w:hAnsi="Arial" w:cs="Arial"/>
          <w:bCs/>
          <w:i/>
          <w:iCs/>
          <w:sz w:val="24"/>
          <w:szCs w:val="24"/>
          <w:lang w:eastAsia="es-ES"/>
        </w:rPr>
        <w:t>de conformidad con lo dispuesto en el artículo 162, fracciones II y VI de la Ley de Procedimiento y Justicia Administrativa para el estado (sic) de Oaxaca.</w:t>
      </w:r>
    </w:p>
    <w:p w14:paraId="7CC29EC9" w14:textId="4EDDB8A0" w:rsidR="00586292" w:rsidRDefault="00F027FF" w:rsidP="00322B0A">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Pr>
          <w:rFonts w:ascii="Arial" w:eastAsia="Times New Roman" w:hAnsi="Arial" w:cs="Arial"/>
          <w:bCs/>
          <w:i/>
          <w:iCs/>
          <w:sz w:val="24"/>
          <w:szCs w:val="24"/>
          <w:lang w:eastAsia="es-ES"/>
        </w:rPr>
        <w:t>Finalmente, privilegiando el derecho de acceso efectivo a la justicia que tiene todo gobernado, el cual es un derecho público subjetivo que toda persona tiene dentro de los plazos y términos que fijen las leyes, para acceder de manera expedita a tribunales independientes e imparciales, a plantear una pretensión o a defenderse de ella, con el fin de que, a través de un proceso en el que se respeten ciertas formalidades, se decida sobre la pretensión o la defensa y, en su caso, se ejecute esa decisión, se ordena previa copia que se deje de los autos, remitir el escrito de la demanda original, a la Sala Superior de este Tribunal</w:t>
      </w:r>
      <w:r w:rsidR="00322B0A">
        <w:rPr>
          <w:rFonts w:ascii="Arial" w:eastAsia="Times New Roman" w:hAnsi="Arial" w:cs="Arial"/>
          <w:bCs/>
          <w:i/>
          <w:iCs/>
          <w:sz w:val="24"/>
          <w:szCs w:val="24"/>
          <w:lang w:eastAsia="es-ES"/>
        </w:rPr>
        <w:t>, así como copia certificada de la presente determinación, para los efectos a que haya lugar.</w:t>
      </w:r>
      <w:r w:rsidR="00586292">
        <w:rPr>
          <w:rFonts w:ascii="Arial" w:eastAsia="Times New Roman" w:hAnsi="Arial" w:cs="Arial"/>
          <w:bCs/>
          <w:i/>
          <w:iCs/>
          <w:sz w:val="24"/>
          <w:szCs w:val="24"/>
          <w:lang w:eastAsia="es-ES"/>
        </w:rPr>
        <w:t xml:space="preserve">- - - - - - -  - - - - - - - - - - - - -- - </w:t>
      </w:r>
      <w:r w:rsidR="00322B0A">
        <w:rPr>
          <w:rFonts w:ascii="Arial" w:eastAsia="Times New Roman" w:hAnsi="Arial" w:cs="Arial"/>
          <w:bCs/>
          <w:i/>
          <w:iCs/>
          <w:sz w:val="24"/>
          <w:szCs w:val="24"/>
          <w:lang w:eastAsia="es-ES"/>
        </w:rPr>
        <w:t>- - - - - - - - - -</w:t>
      </w:r>
      <w:r w:rsidR="006F2120">
        <w:rPr>
          <w:rFonts w:ascii="Arial" w:eastAsia="Times New Roman" w:hAnsi="Arial" w:cs="Arial"/>
          <w:bCs/>
          <w:i/>
          <w:iCs/>
          <w:sz w:val="24"/>
          <w:szCs w:val="24"/>
          <w:lang w:eastAsia="es-ES"/>
        </w:rPr>
        <w:t xml:space="preserve"> - - - - - - - - </w:t>
      </w:r>
      <w:r w:rsidR="00322B0A" w:rsidRPr="00322B0A">
        <w:rPr>
          <w:rFonts w:ascii="Arial" w:eastAsia="Times New Roman" w:hAnsi="Arial" w:cs="Arial"/>
          <w:bCs/>
          <w:i/>
          <w:iCs/>
          <w:sz w:val="26"/>
          <w:szCs w:val="26"/>
          <w:lang w:eastAsia="es-ES"/>
        </w:rPr>
        <w:t>”</w:t>
      </w:r>
    </w:p>
    <w:p w14:paraId="5152811A" w14:textId="77777777" w:rsidR="00586292" w:rsidRDefault="00586292" w:rsidP="00586292">
      <w:pPr>
        <w:spacing w:before="240" w:line="360" w:lineRule="auto"/>
        <w:ind w:left="851" w:right="616"/>
        <w:jc w:val="center"/>
        <w:rPr>
          <w:rFonts w:ascii="Arial" w:eastAsia="Calibri" w:hAnsi="Arial" w:cs="Arial"/>
          <w:b/>
          <w:bCs/>
          <w:sz w:val="26"/>
          <w:szCs w:val="26"/>
          <w:lang w:eastAsia="en-US"/>
        </w:rPr>
      </w:pPr>
      <w:r>
        <w:rPr>
          <w:rFonts w:ascii="Arial" w:eastAsia="Calibri" w:hAnsi="Arial" w:cs="Arial"/>
          <w:b/>
          <w:bCs/>
          <w:sz w:val="26"/>
          <w:szCs w:val="26"/>
        </w:rPr>
        <w:t>C O N S I D E R A N D O:</w:t>
      </w:r>
    </w:p>
    <w:p w14:paraId="652F947D" w14:textId="77777777" w:rsidR="00586292" w:rsidRDefault="00586292" w:rsidP="00586292">
      <w:pPr>
        <w:spacing w:before="240" w:line="360" w:lineRule="auto"/>
        <w:ind w:firstLine="708"/>
        <w:jc w:val="both"/>
        <w:rPr>
          <w:rFonts w:ascii="Arial" w:eastAsiaTheme="minorHAnsi"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w:t>
      </w:r>
      <w:r w:rsidR="00774F96">
        <w:rPr>
          <w:rFonts w:ascii="Arial" w:hAnsi="Arial" w:cs="Arial"/>
          <w:bCs/>
          <w:iCs/>
          <w:sz w:val="26"/>
          <w:szCs w:val="26"/>
        </w:rPr>
        <w:t>QUÁTER</w:t>
      </w:r>
      <w:r>
        <w:rPr>
          <w:rFonts w:ascii="Arial" w:hAnsi="Arial" w:cs="Arial"/>
          <w:bCs/>
          <w:iCs/>
          <w:sz w:val="26"/>
          <w:szCs w:val="26"/>
        </w:rPr>
        <w:t xml:space="preserve">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artículos</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dado que se trata de un Recurso de Revisión interpuesto en contra del acuerdo de </w:t>
      </w:r>
      <w:r w:rsidR="00322B0A">
        <w:rPr>
          <w:rFonts w:ascii="Arial" w:hAnsi="Arial" w:cs="Arial"/>
          <w:bCs/>
          <w:iCs/>
          <w:sz w:val="26"/>
          <w:szCs w:val="26"/>
        </w:rPr>
        <w:t xml:space="preserve">veinte de noviembre de </w:t>
      </w:r>
      <w:r>
        <w:rPr>
          <w:rFonts w:ascii="Arial" w:hAnsi="Arial" w:cs="Arial"/>
          <w:bCs/>
          <w:iCs/>
          <w:sz w:val="26"/>
          <w:szCs w:val="26"/>
        </w:rPr>
        <w:t xml:space="preserve">dos mil </w:t>
      </w:r>
      <w:r w:rsidR="00322B0A">
        <w:rPr>
          <w:rFonts w:ascii="Arial" w:hAnsi="Arial" w:cs="Arial"/>
          <w:bCs/>
          <w:iCs/>
          <w:sz w:val="26"/>
          <w:szCs w:val="26"/>
        </w:rPr>
        <w:t>diecinueve</w:t>
      </w:r>
      <w:r>
        <w:rPr>
          <w:rFonts w:ascii="Arial" w:hAnsi="Arial" w:cs="Arial"/>
          <w:bCs/>
          <w:iCs/>
          <w:sz w:val="26"/>
          <w:szCs w:val="26"/>
        </w:rPr>
        <w:t xml:space="preserve">, dictado por la </w:t>
      </w:r>
      <w:r w:rsidR="00322B0A">
        <w:rPr>
          <w:rFonts w:ascii="Arial" w:hAnsi="Arial" w:cs="Arial"/>
          <w:bCs/>
          <w:iCs/>
          <w:sz w:val="26"/>
          <w:szCs w:val="26"/>
        </w:rPr>
        <w:t xml:space="preserve">Segunda </w:t>
      </w:r>
      <w:r>
        <w:rPr>
          <w:rFonts w:ascii="Arial" w:hAnsi="Arial" w:cs="Arial"/>
          <w:bCs/>
          <w:iCs/>
          <w:sz w:val="26"/>
          <w:szCs w:val="26"/>
        </w:rPr>
        <w:t xml:space="preserve">Sala Unitaria de Primera Instancia de este Tribunal, en el expediente </w:t>
      </w:r>
      <w:r w:rsidR="00322B0A">
        <w:rPr>
          <w:rFonts w:ascii="Arial" w:hAnsi="Arial" w:cs="Arial"/>
          <w:b/>
          <w:bCs/>
          <w:iCs/>
          <w:sz w:val="26"/>
          <w:szCs w:val="26"/>
        </w:rPr>
        <w:t>132</w:t>
      </w:r>
      <w:r>
        <w:rPr>
          <w:rFonts w:ascii="Arial" w:hAnsi="Arial" w:cs="Arial"/>
          <w:b/>
          <w:bCs/>
          <w:iCs/>
          <w:sz w:val="26"/>
          <w:szCs w:val="26"/>
        </w:rPr>
        <w:t>/2019</w:t>
      </w:r>
      <w:r>
        <w:rPr>
          <w:rFonts w:ascii="Arial" w:hAnsi="Arial" w:cs="Arial"/>
          <w:sz w:val="26"/>
          <w:szCs w:val="26"/>
        </w:rPr>
        <w:t>.</w:t>
      </w:r>
      <w:r w:rsidRPr="00DB3D8E">
        <w:rPr>
          <w:rFonts w:ascii="Arial" w:hAnsi="Arial" w:cs="Arial"/>
          <w:sz w:val="26"/>
          <w:szCs w:val="26"/>
        </w:rPr>
        <w:t xml:space="preserve"> </w:t>
      </w:r>
      <w:r>
        <w:rPr>
          <w:rFonts w:ascii="Arial" w:hAnsi="Arial" w:cs="Arial"/>
          <w:sz w:val="26"/>
          <w:szCs w:val="26"/>
        </w:rPr>
        <w:t xml:space="preserve">- - - - </w:t>
      </w:r>
    </w:p>
    <w:p w14:paraId="6D607BA4" w14:textId="190F528E" w:rsidR="00586292" w:rsidRDefault="00586292" w:rsidP="00586292">
      <w:pPr>
        <w:spacing w:before="240" w:after="0" w:line="360" w:lineRule="auto"/>
        <w:ind w:firstLine="709"/>
        <w:jc w:val="both"/>
        <w:rPr>
          <w:rFonts w:ascii="Arial" w:hAnsi="Arial" w:cs="Arial"/>
          <w:sz w:val="26"/>
          <w:szCs w:val="26"/>
        </w:rPr>
      </w:pPr>
      <w:r>
        <w:rPr>
          <w:rFonts w:ascii="Arial" w:hAnsi="Arial" w:cs="Arial"/>
          <w:b/>
          <w:sz w:val="26"/>
          <w:szCs w:val="26"/>
        </w:rPr>
        <w:t>SEGUNDO</w:t>
      </w:r>
      <w:r>
        <w:rPr>
          <w:rFonts w:ascii="Arial" w:hAnsi="Arial" w:cs="Arial"/>
          <w:sz w:val="26"/>
          <w:szCs w:val="26"/>
        </w:rPr>
        <w:t>. Los agravios hechos valer se encuentran expuestos en el escrito respectivo de</w:t>
      </w:r>
      <w:r w:rsidR="00322B0A">
        <w:rPr>
          <w:rFonts w:ascii="Arial" w:hAnsi="Arial" w:cs="Arial"/>
          <w:sz w:val="26"/>
          <w:szCs w:val="26"/>
        </w:rPr>
        <w:t xml:space="preserve"> </w:t>
      </w:r>
      <w:r>
        <w:rPr>
          <w:rFonts w:ascii="Arial" w:hAnsi="Arial" w:cs="Arial"/>
          <w:sz w:val="26"/>
          <w:szCs w:val="26"/>
        </w:rPr>
        <w:t>l</w:t>
      </w:r>
      <w:r w:rsidR="00322B0A">
        <w:rPr>
          <w:rFonts w:ascii="Arial" w:hAnsi="Arial" w:cs="Arial"/>
          <w:sz w:val="26"/>
          <w:szCs w:val="26"/>
        </w:rPr>
        <w:t>os</w:t>
      </w:r>
      <w:r>
        <w:rPr>
          <w:rFonts w:ascii="Arial" w:hAnsi="Arial" w:cs="Arial"/>
          <w:sz w:val="26"/>
          <w:szCs w:val="26"/>
        </w:rPr>
        <w:t xml:space="preserve"> recurrente</w:t>
      </w:r>
      <w:r w:rsidR="00322B0A">
        <w:rPr>
          <w:rFonts w:ascii="Arial" w:hAnsi="Arial" w:cs="Arial"/>
          <w:sz w:val="26"/>
          <w:szCs w:val="26"/>
        </w:rPr>
        <w:t>s</w:t>
      </w:r>
      <w:r>
        <w:rPr>
          <w:rFonts w:ascii="Arial" w:hAnsi="Arial" w:cs="Arial"/>
          <w:sz w:val="26"/>
          <w:szCs w:val="26"/>
        </w:rPr>
        <w:t>, por lo que no existe necesidad de transcribirlos, al no transgredírsele derecho alguno, como tampoco se vulnera disposición expresa que imponga tal obligación.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6F2120">
        <w:rPr>
          <w:rFonts w:ascii="Arial" w:hAnsi="Arial" w:cs="Arial"/>
          <w:sz w:val="26"/>
          <w:szCs w:val="26"/>
        </w:rPr>
        <w:t xml:space="preserve"> - - - - - - - - - - - - - - - - - - - - - - - - - - - - - - - - - - - - - - - - - - - - </w:t>
      </w:r>
      <w:r w:rsidR="003E6078">
        <w:rPr>
          <w:rFonts w:ascii="Arial" w:hAnsi="Arial" w:cs="Arial"/>
          <w:sz w:val="26"/>
          <w:szCs w:val="26"/>
        </w:rPr>
        <w:t xml:space="preserve"> </w:t>
      </w:r>
    </w:p>
    <w:p w14:paraId="29742290" w14:textId="77777777" w:rsidR="00586292" w:rsidRDefault="00586292" w:rsidP="00586292">
      <w:pPr>
        <w:spacing w:before="240" w:after="0" w:line="360" w:lineRule="auto"/>
        <w:ind w:left="1134" w:right="474"/>
        <w:jc w:val="both"/>
        <w:rPr>
          <w:rFonts w:ascii="Arial" w:hAnsi="Arial" w:cs="Arial"/>
          <w:sz w:val="26"/>
          <w:szCs w:val="26"/>
        </w:rPr>
      </w:pPr>
      <w:r>
        <w:rPr>
          <w:rFonts w:ascii="Arial" w:hAnsi="Arial" w:cs="Arial"/>
          <w:sz w:val="26"/>
          <w:szCs w:val="26"/>
        </w:rPr>
        <w:t>“</w:t>
      </w:r>
      <w:r>
        <w:rPr>
          <w:rFonts w:ascii="Arial" w:hAnsi="Arial" w:cs="Arial"/>
          <w:b/>
          <w:i/>
        </w:rPr>
        <w:t>CONCEPTOS DE VIOLACIÓN. NO ES OBLIGATORIO TRANSCRIBIRLOS EN LA SENTENCIA</w:t>
      </w:r>
      <w:r>
        <w:rPr>
          <w:rFonts w:ascii="Arial" w:hAnsi="Arial" w:cs="Arial"/>
          <w:sz w:val="26"/>
          <w:szCs w:val="26"/>
        </w:rPr>
        <w:t xml:space="preserve">. </w:t>
      </w:r>
      <w:r>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hAnsi="Arial" w:cs="Arial"/>
          <w:sz w:val="26"/>
          <w:szCs w:val="26"/>
        </w:rPr>
        <w:t>.”</w:t>
      </w:r>
    </w:p>
    <w:p w14:paraId="675EBC03" w14:textId="349CBF86" w:rsidR="00322B0A" w:rsidRDefault="00586292" w:rsidP="00322B0A">
      <w:pPr>
        <w:spacing w:before="240" w:line="360" w:lineRule="auto"/>
        <w:ind w:firstLine="708"/>
        <w:jc w:val="both"/>
        <w:rPr>
          <w:rFonts w:ascii="Arial" w:eastAsia="Calibri" w:hAnsi="Arial" w:cs="Arial"/>
          <w:bCs/>
          <w:sz w:val="26"/>
          <w:szCs w:val="26"/>
        </w:rPr>
      </w:pPr>
      <w:r>
        <w:rPr>
          <w:rFonts w:ascii="Arial" w:eastAsia="Calibri" w:hAnsi="Arial" w:cs="Arial"/>
          <w:b/>
          <w:sz w:val="26"/>
          <w:szCs w:val="26"/>
        </w:rPr>
        <w:t xml:space="preserve">TERCERO. </w:t>
      </w:r>
      <w:r w:rsidR="00D26962" w:rsidRPr="00D26962">
        <w:rPr>
          <w:rFonts w:ascii="Arial" w:eastAsia="Calibri" w:hAnsi="Arial" w:cs="Arial"/>
          <w:bCs/>
          <w:sz w:val="26"/>
          <w:szCs w:val="26"/>
        </w:rPr>
        <w:t>A</w:t>
      </w:r>
      <w:r w:rsidR="00322B0A">
        <w:rPr>
          <w:rFonts w:ascii="Arial" w:eastAsia="Calibri" w:hAnsi="Arial" w:cs="Arial"/>
          <w:bCs/>
          <w:sz w:val="26"/>
          <w:szCs w:val="26"/>
        </w:rPr>
        <w:t>lega</w:t>
      </w:r>
      <w:r w:rsidR="00D26962">
        <w:rPr>
          <w:rFonts w:ascii="Arial" w:eastAsia="Calibri" w:hAnsi="Arial" w:cs="Arial"/>
          <w:bCs/>
          <w:sz w:val="26"/>
          <w:szCs w:val="26"/>
        </w:rPr>
        <w:t xml:space="preserve">n </w:t>
      </w:r>
      <w:r w:rsidR="00322B0A">
        <w:rPr>
          <w:rFonts w:ascii="Arial" w:eastAsia="Calibri" w:hAnsi="Arial" w:cs="Arial"/>
          <w:bCs/>
          <w:sz w:val="26"/>
          <w:szCs w:val="26"/>
        </w:rPr>
        <w:t>l</w:t>
      </w:r>
      <w:r w:rsidR="00D26962">
        <w:rPr>
          <w:rFonts w:ascii="Arial" w:eastAsia="Calibri" w:hAnsi="Arial" w:cs="Arial"/>
          <w:bCs/>
          <w:sz w:val="26"/>
          <w:szCs w:val="26"/>
        </w:rPr>
        <w:t>os</w:t>
      </w:r>
      <w:r w:rsidR="00322B0A">
        <w:rPr>
          <w:rFonts w:ascii="Arial" w:eastAsia="Calibri" w:hAnsi="Arial" w:cs="Arial"/>
          <w:bCs/>
          <w:sz w:val="26"/>
          <w:szCs w:val="26"/>
        </w:rPr>
        <w:t xml:space="preserve"> recurrente</w:t>
      </w:r>
      <w:r w:rsidR="00D26962">
        <w:rPr>
          <w:rFonts w:ascii="Arial" w:eastAsia="Calibri" w:hAnsi="Arial" w:cs="Arial"/>
          <w:bCs/>
          <w:sz w:val="26"/>
          <w:szCs w:val="26"/>
        </w:rPr>
        <w:t>s</w:t>
      </w:r>
      <w:r w:rsidR="00FD682B">
        <w:rPr>
          <w:rFonts w:ascii="Arial" w:eastAsia="Calibri" w:hAnsi="Arial" w:cs="Arial"/>
          <w:bCs/>
          <w:sz w:val="26"/>
          <w:szCs w:val="26"/>
        </w:rPr>
        <w:t>,</w:t>
      </w:r>
      <w:r w:rsidR="00322B0A">
        <w:rPr>
          <w:rFonts w:ascii="Arial" w:eastAsia="Calibri" w:hAnsi="Arial" w:cs="Arial"/>
          <w:bCs/>
          <w:sz w:val="26"/>
          <w:szCs w:val="26"/>
        </w:rPr>
        <w:t xml:space="preserve"> que la Segunda Sala Unitaria de Primera Instancia estima improcedente el juicio de nulidad que promovieron, basándose en que todos los actos impug</w:t>
      </w:r>
      <w:r w:rsidR="00FD682B">
        <w:rPr>
          <w:rFonts w:ascii="Arial" w:eastAsia="Calibri" w:hAnsi="Arial" w:cs="Arial"/>
          <w:bCs/>
          <w:sz w:val="26"/>
          <w:szCs w:val="26"/>
        </w:rPr>
        <w:t>nados forman parte de un expediente iniciado</w:t>
      </w:r>
      <w:r w:rsidR="00E30FEF">
        <w:rPr>
          <w:rFonts w:ascii="Arial" w:eastAsia="Calibri" w:hAnsi="Arial" w:cs="Arial"/>
          <w:bCs/>
          <w:sz w:val="26"/>
          <w:szCs w:val="26"/>
        </w:rPr>
        <w:t xml:space="preserve"> con motivo de las omisiones de la cuenta pública e informe de avance de gestión financiera, esto es, que se trata de sanciones impuestas con motivo de la rendición de cuentas</w:t>
      </w:r>
      <w:r w:rsidR="003E3B16">
        <w:rPr>
          <w:rFonts w:ascii="Arial" w:eastAsia="Calibri" w:hAnsi="Arial" w:cs="Arial"/>
          <w:bCs/>
          <w:sz w:val="26"/>
          <w:szCs w:val="26"/>
        </w:rPr>
        <w:t>, en las que se condenó al resarcimiento de daños</w:t>
      </w:r>
      <w:r w:rsidR="00AB59E4">
        <w:rPr>
          <w:rFonts w:ascii="Arial" w:eastAsia="Calibri" w:hAnsi="Arial" w:cs="Arial"/>
          <w:bCs/>
          <w:sz w:val="26"/>
          <w:szCs w:val="26"/>
        </w:rPr>
        <w:t xml:space="preserve"> y perjuicios, y que por ello, </w:t>
      </w:r>
      <w:r w:rsidR="003E3B16">
        <w:rPr>
          <w:rFonts w:ascii="Arial" w:eastAsia="Calibri" w:hAnsi="Arial" w:cs="Arial"/>
          <w:bCs/>
          <w:sz w:val="26"/>
          <w:szCs w:val="26"/>
        </w:rPr>
        <w:t>es competente la Sala Superior, y que el asunto debe conocerse como una unidad indivisible, porque los créditos fiscales, embargos y ampliación de embargos, son vinculantes a la resolución dictada por la Auditoría Superior del Estado, que de resolverse por separado, se podría origina</w:t>
      </w:r>
      <w:r w:rsidR="00FE7920">
        <w:rPr>
          <w:rFonts w:ascii="Arial" w:eastAsia="Calibri" w:hAnsi="Arial" w:cs="Arial"/>
          <w:bCs/>
          <w:sz w:val="26"/>
          <w:szCs w:val="26"/>
        </w:rPr>
        <w:t>r</w:t>
      </w:r>
      <w:r w:rsidR="003E3B16">
        <w:rPr>
          <w:rFonts w:ascii="Arial" w:eastAsia="Calibri" w:hAnsi="Arial" w:cs="Arial"/>
          <w:bCs/>
          <w:sz w:val="26"/>
          <w:szCs w:val="26"/>
        </w:rPr>
        <w:t xml:space="preserve"> resoluciones diferentes, lo que contravendría el principio de continencia de la causa.</w:t>
      </w:r>
      <w:r w:rsidR="00884C0C">
        <w:rPr>
          <w:rFonts w:ascii="Arial" w:eastAsia="Calibri" w:hAnsi="Arial" w:cs="Arial"/>
          <w:bCs/>
          <w:sz w:val="26"/>
          <w:szCs w:val="26"/>
        </w:rPr>
        <w:t>- - - - - - - - - - - - - - - - - - - - - - - - - - - - - - - -</w:t>
      </w:r>
      <w:r w:rsidR="006F2120">
        <w:rPr>
          <w:rFonts w:ascii="Arial" w:eastAsia="Calibri" w:hAnsi="Arial" w:cs="Arial"/>
          <w:bCs/>
          <w:sz w:val="26"/>
          <w:szCs w:val="26"/>
        </w:rPr>
        <w:t xml:space="preserve"> - - -</w:t>
      </w:r>
    </w:p>
    <w:p w14:paraId="385FA6CB" w14:textId="0B1A31B9" w:rsidR="003E3B16" w:rsidRDefault="003E3B16" w:rsidP="00322B0A">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Con lo anterior dicen los </w:t>
      </w:r>
      <w:r w:rsidR="00884C0C">
        <w:rPr>
          <w:rFonts w:ascii="Arial" w:eastAsia="Calibri" w:hAnsi="Arial" w:cs="Arial"/>
          <w:bCs/>
          <w:sz w:val="26"/>
          <w:szCs w:val="26"/>
        </w:rPr>
        <w:t>inconformes</w:t>
      </w:r>
      <w:r>
        <w:rPr>
          <w:rFonts w:ascii="Arial" w:eastAsia="Calibri" w:hAnsi="Arial" w:cs="Arial"/>
          <w:bCs/>
          <w:sz w:val="26"/>
          <w:szCs w:val="26"/>
        </w:rPr>
        <w:t>, la Primera Instancia realiza un análisis equivocado de los actos impugnados y aplica indebidamente los artículos que cita, porque promovieron juicio de nulidad de diversos actos administrativos</w:t>
      </w:r>
      <w:r w:rsidR="00FE7920">
        <w:rPr>
          <w:rFonts w:ascii="Arial" w:eastAsia="Calibri" w:hAnsi="Arial" w:cs="Arial"/>
          <w:bCs/>
          <w:sz w:val="26"/>
          <w:szCs w:val="26"/>
        </w:rPr>
        <w:t>,</w:t>
      </w:r>
      <w:r>
        <w:rPr>
          <w:rFonts w:ascii="Arial" w:eastAsia="Calibri" w:hAnsi="Arial" w:cs="Arial"/>
          <w:bCs/>
          <w:sz w:val="26"/>
          <w:szCs w:val="26"/>
        </w:rPr>
        <w:t xml:space="preserve"> </w:t>
      </w:r>
      <w:r w:rsidR="00FE7920">
        <w:rPr>
          <w:rFonts w:ascii="Arial" w:eastAsia="Calibri" w:hAnsi="Arial" w:cs="Arial"/>
          <w:bCs/>
          <w:sz w:val="26"/>
          <w:szCs w:val="26"/>
        </w:rPr>
        <w:t>como</w:t>
      </w:r>
      <w:r>
        <w:rPr>
          <w:rFonts w:ascii="Arial" w:eastAsia="Calibri" w:hAnsi="Arial" w:cs="Arial"/>
          <w:bCs/>
          <w:sz w:val="26"/>
          <w:szCs w:val="26"/>
        </w:rPr>
        <w:t xml:space="preserve"> son los mandamientos de ejecución, los créditos fiscales, requerimientos de pago y resoluciones determinantes dictada</w:t>
      </w:r>
      <w:r w:rsidR="00AB59E4">
        <w:rPr>
          <w:rFonts w:ascii="Arial" w:eastAsia="Calibri" w:hAnsi="Arial" w:cs="Arial"/>
          <w:bCs/>
          <w:sz w:val="26"/>
          <w:szCs w:val="26"/>
        </w:rPr>
        <w:t>s</w:t>
      </w:r>
      <w:r>
        <w:rPr>
          <w:rFonts w:ascii="Arial" w:eastAsia="Calibri" w:hAnsi="Arial" w:cs="Arial"/>
          <w:bCs/>
          <w:sz w:val="26"/>
          <w:szCs w:val="26"/>
        </w:rPr>
        <w:t xml:space="preserve"> por la Auditoría Superior del Estado, por concepto de multa y no por resarcimiento de daños a la Hacienda Púbica municipal de San Miguel Mixtepec; que ello es así, porque quien los requirió de cobro y corrió traslado con los mismos, fue la Coordinadora de Cobro Coactivo de la Secretaría de Finanzas del Gobierno del Estado, pretendiendo hacer efectivo los mandamientos de ejecución, los crédit</w:t>
      </w:r>
      <w:r w:rsidR="00AB59E4">
        <w:rPr>
          <w:rFonts w:ascii="Arial" w:eastAsia="Calibri" w:hAnsi="Arial" w:cs="Arial"/>
          <w:bCs/>
          <w:sz w:val="26"/>
          <w:szCs w:val="26"/>
        </w:rPr>
        <w:t>os fiscales formados con motivo</w:t>
      </w:r>
      <w:r>
        <w:rPr>
          <w:rFonts w:ascii="Arial" w:eastAsia="Calibri" w:hAnsi="Arial" w:cs="Arial"/>
          <w:bCs/>
          <w:sz w:val="26"/>
          <w:szCs w:val="26"/>
        </w:rPr>
        <w:t xml:space="preserve"> de la resolución determinante emitida por la Auditoría Superior del Estado.</w:t>
      </w:r>
      <w:r w:rsidR="00884C0C">
        <w:rPr>
          <w:rFonts w:ascii="Arial" w:eastAsia="Calibri" w:hAnsi="Arial" w:cs="Arial"/>
          <w:bCs/>
          <w:sz w:val="26"/>
          <w:szCs w:val="26"/>
        </w:rPr>
        <w:t xml:space="preserve">- - - - - - - - - </w:t>
      </w:r>
      <w:r w:rsidR="006F2120">
        <w:rPr>
          <w:rFonts w:ascii="Arial" w:eastAsia="Calibri" w:hAnsi="Arial" w:cs="Arial"/>
          <w:bCs/>
          <w:sz w:val="26"/>
          <w:szCs w:val="26"/>
        </w:rPr>
        <w:t xml:space="preserve">- - - - - - - - - - - - - - - - - - - - - - </w:t>
      </w:r>
    </w:p>
    <w:p w14:paraId="488E7C35" w14:textId="6452CFC8" w:rsidR="003E3B16" w:rsidRDefault="003E3B16" w:rsidP="00322B0A">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Continúa</w:t>
      </w:r>
      <w:r w:rsidR="00FE7920">
        <w:rPr>
          <w:rFonts w:ascii="Arial" w:eastAsia="Calibri" w:hAnsi="Arial" w:cs="Arial"/>
          <w:bCs/>
          <w:sz w:val="26"/>
          <w:szCs w:val="26"/>
        </w:rPr>
        <w:t>n</w:t>
      </w:r>
      <w:r>
        <w:rPr>
          <w:rFonts w:ascii="Arial" w:eastAsia="Calibri" w:hAnsi="Arial" w:cs="Arial"/>
          <w:bCs/>
          <w:sz w:val="26"/>
          <w:szCs w:val="26"/>
        </w:rPr>
        <w:t xml:space="preserve"> señalado, que no es procedente</w:t>
      </w:r>
      <w:r w:rsidR="00000E97">
        <w:rPr>
          <w:rFonts w:ascii="Arial" w:eastAsia="Calibri" w:hAnsi="Arial" w:cs="Arial"/>
          <w:bCs/>
          <w:sz w:val="26"/>
          <w:szCs w:val="26"/>
        </w:rPr>
        <w:t xml:space="preserve"> estimar que se trata de actos vinculados con la rendición de cuentas, porque la resolución de la Auditoría Superior del Estado, fue dictada años atrás y lo que pretende la Coordinadora de Cobro Coactivo, es hacer efectiva esa resolución, a través de los mandamiento de ejecución y los créditos fiscales que son actos administrativos, y respecto de los cuales se solicita su nulidad, para que los resuel</w:t>
      </w:r>
      <w:r w:rsidR="00AB59E4">
        <w:rPr>
          <w:rFonts w:ascii="Arial" w:eastAsia="Calibri" w:hAnsi="Arial" w:cs="Arial"/>
          <w:bCs/>
          <w:sz w:val="26"/>
          <w:szCs w:val="26"/>
        </w:rPr>
        <w:t>v</w:t>
      </w:r>
      <w:r w:rsidR="00000E97">
        <w:rPr>
          <w:rFonts w:ascii="Arial" w:eastAsia="Calibri" w:hAnsi="Arial" w:cs="Arial"/>
          <w:bCs/>
          <w:sz w:val="26"/>
          <w:szCs w:val="26"/>
        </w:rPr>
        <w:t>a la Primera Instancia de este Tribunal, porque de no hacerlo así, implicaría someterse a reglas y plazos del juicio de inconformidad que rige contra resoluciones definitivas de la Auditoría Superior del Estado, dejándolos en completo estado de indefensión, porque no están combatiendo una resolución definitiva de la Auditoría, sino los actos administrativos que son los mandamientos de ejecución y créditos fiscales asociados con la resolución determinante.</w:t>
      </w:r>
      <w:r w:rsidR="00884C0C">
        <w:rPr>
          <w:rFonts w:ascii="Arial" w:eastAsia="Calibri" w:hAnsi="Arial" w:cs="Arial"/>
          <w:bCs/>
          <w:sz w:val="26"/>
          <w:szCs w:val="26"/>
        </w:rPr>
        <w:t xml:space="preserve">- - - - - - - - - - </w:t>
      </w:r>
    </w:p>
    <w:p w14:paraId="1D3FDB84" w14:textId="16637ADC" w:rsidR="00884C0C" w:rsidRDefault="00D26962" w:rsidP="007B4E6C">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Todas sus alegaciones son </w:t>
      </w:r>
      <w:r w:rsidRPr="00D825C5">
        <w:rPr>
          <w:rFonts w:ascii="Arial" w:eastAsia="Calibri" w:hAnsi="Arial" w:cs="Arial"/>
          <w:b/>
          <w:bCs/>
          <w:sz w:val="26"/>
          <w:szCs w:val="26"/>
        </w:rPr>
        <w:t>infundadas</w:t>
      </w:r>
      <w:r w:rsidR="00D825C5" w:rsidRPr="00D825C5">
        <w:rPr>
          <w:rFonts w:ascii="Arial" w:eastAsia="Calibri" w:hAnsi="Arial" w:cs="Arial"/>
          <w:bCs/>
          <w:sz w:val="26"/>
          <w:szCs w:val="26"/>
        </w:rPr>
        <w:t>, esto es así</w:t>
      </w:r>
      <w:r w:rsidR="00D825C5">
        <w:rPr>
          <w:rFonts w:ascii="Arial" w:eastAsia="Calibri" w:hAnsi="Arial" w:cs="Arial"/>
          <w:bCs/>
          <w:sz w:val="26"/>
          <w:szCs w:val="26"/>
        </w:rPr>
        <w:t>, pues si bien como lo señalan los</w:t>
      </w:r>
      <w:r w:rsidR="006234F3">
        <w:rPr>
          <w:rFonts w:ascii="Arial" w:eastAsia="Calibri" w:hAnsi="Arial" w:cs="Arial"/>
          <w:bCs/>
          <w:sz w:val="26"/>
          <w:szCs w:val="26"/>
        </w:rPr>
        <w:t xml:space="preserve"> </w:t>
      </w:r>
      <w:r w:rsidR="00884C0C">
        <w:rPr>
          <w:rFonts w:ascii="Arial" w:eastAsia="Calibri" w:hAnsi="Arial" w:cs="Arial"/>
          <w:bCs/>
          <w:sz w:val="26"/>
          <w:szCs w:val="26"/>
        </w:rPr>
        <w:t>recurrentes</w:t>
      </w:r>
      <w:r w:rsidR="00D825C5">
        <w:rPr>
          <w:rFonts w:ascii="Arial" w:eastAsia="Calibri" w:hAnsi="Arial" w:cs="Arial"/>
          <w:bCs/>
          <w:sz w:val="26"/>
          <w:szCs w:val="26"/>
        </w:rPr>
        <w:t xml:space="preserve">, </w:t>
      </w:r>
      <w:r w:rsidR="00251E46">
        <w:rPr>
          <w:rFonts w:ascii="Arial" w:eastAsia="Calibri" w:hAnsi="Arial" w:cs="Arial"/>
          <w:bCs/>
          <w:sz w:val="26"/>
          <w:szCs w:val="26"/>
        </w:rPr>
        <w:t xml:space="preserve">y como se advierte </w:t>
      </w:r>
      <w:r w:rsidR="00685A38">
        <w:rPr>
          <w:rFonts w:ascii="Arial" w:eastAsia="Calibri" w:hAnsi="Arial" w:cs="Arial"/>
          <w:bCs/>
          <w:sz w:val="26"/>
          <w:szCs w:val="26"/>
        </w:rPr>
        <w:t>de constancias de autos, las que por tratarse de actuaciones judiciales, tienen pleno valor probatorio de conformidad con lo dispuesto por el artículo 203 fracción I</w:t>
      </w:r>
      <w:r w:rsidR="00685A38">
        <w:rPr>
          <w:rStyle w:val="Refdenotaalpie"/>
          <w:rFonts w:ascii="Arial" w:eastAsia="Calibri" w:hAnsi="Arial" w:cs="Arial"/>
          <w:bCs/>
          <w:sz w:val="26"/>
          <w:szCs w:val="26"/>
        </w:rPr>
        <w:footnoteReference w:id="1"/>
      </w:r>
      <w:r w:rsidR="00685A38">
        <w:rPr>
          <w:rFonts w:ascii="Arial" w:eastAsia="Calibri" w:hAnsi="Arial" w:cs="Arial"/>
          <w:bCs/>
          <w:sz w:val="26"/>
          <w:szCs w:val="26"/>
        </w:rPr>
        <w:t xml:space="preserve"> de la Ley Procedimiento y Justicia Administrativa para el Estado de Oaxaca; </w:t>
      </w:r>
      <w:r w:rsidR="00D825C5">
        <w:rPr>
          <w:rFonts w:ascii="Arial" w:eastAsia="Calibri" w:hAnsi="Arial" w:cs="Arial"/>
          <w:bCs/>
          <w:sz w:val="26"/>
          <w:szCs w:val="26"/>
        </w:rPr>
        <w:t xml:space="preserve">en el juicio natural demandaron </w:t>
      </w:r>
      <w:r w:rsidR="00251E46">
        <w:rPr>
          <w:rFonts w:ascii="Arial" w:eastAsia="Calibri" w:hAnsi="Arial" w:cs="Arial"/>
          <w:bCs/>
          <w:sz w:val="26"/>
          <w:szCs w:val="26"/>
        </w:rPr>
        <w:t xml:space="preserve">la nulidad de </w:t>
      </w:r>
      <w:r w:rsidR="00D825C5">
        <w:rPr>
          <w:rFonts w:ascii="Arial" w:eastAsia="Calibri" w:hAnsi="Arial" w:cs="Arial"/>
          <w:bCs/>
          <w:sz w:val="26"/>
          <w:szCs w:val="26"/>
        </w:rPr>
        <w:t xml:space="preserve">los mandamientos de ejecución números </w:t>
      </w:r>
      <w:r w:rsidR="00E22997">
        <w:rPr>
          <w:rFonts w:ascii="Arial" w:hAnsi="Arial" w:cs="Arial"/>
          <w:b/>
          <w:sz w:val="26"/>
          <w:szCs w:val="26"/>
        </w:rPr>
        <w:t>***********</w:t>
      </w:r>
      <w:r w:rsidR="00251E46">
        <w:rPr>
          <w:rFonts w:ascii="Arial" w:eastAsia="Calibri" w:hAnsi="Arial" w:cs="Arial"/>
          <w:bCs/>
          <w:sz w:val="26"/>
          <w:szCs w:val="26"/>
        </w:rPr>
        <w:t xml:space="preserve">, derivados de las resoluciones determinantes </w:t>
      </w:r>
      <w:r w:rsidR="00E22997">
        <w:rPr>
          <w:rFonts w:ascii="Arial" w:hAnsi="Arial" w:cs="Arial"/>
          <w:b/>
          <w:sz w:val="26"/>
          <w:szCs w:val="26"/>
        </w:rPr>
        <w:t>***********</w:t>
      </w:r>
      <w:r w:rsidR="00B928FA">
        <w:rPr>
          <w:rFonts w:ascii="Arial" w:eastAsia="Calibri" w:hAnsi="Arial" w:cs="Arial"/>
          <w:bCs/>
          <w:sz w:val="26"/>
          <w:szCs w:val="26"/>
        </w:rPr>
        <w:t>, emitidas por la Auditoría Superior del Estado</w:t>
      </w:r>
      <w:r w:rsidR="00685A38">
        <w:rPr>
          <w:rFonts w:ascii="Arial" w:eastAsia="Calibri" w:hAnsi="Arial" w:cs="Arial"/>
          <w:bCs/>
          <w:sz w:val="26"/>
          <w:szCs w:val="26"/>
        </w:rPr>
        <w:t>; tales actos no son susceptibles de ser impugnables</w:t>
      </w:r>
      <w:r w:rsidR="006234F3">
        <w:rPr>
          <w:rFonts w:ascii="Arial" w:eastAsia="Calibri" w:hAnsi="Arial" w:cs="Arial"/>
          <w:bCs/>
          <w:sz w:val="26"/>
          <w:szCs w:val="26"/>
        </w:rPr>
        <w:t xml:space="preserve"> mediante el juicio de nulidad</w:t>
      </w:r>
      <w:r w:rsidR="00884C0C">
        <w:rPr>
          <w:rFonts w:ascii="Arial" w:eastAsia="Calibri" w:hAnsi="Arial" w:cs="Arial"/>
          <w:bCs/>
          <w:sz w:val="26"/>
          <w:szCs w:val="26"/>
        </w:rPr>
        <w:t xml:space="preserve"> previsto por la Ley de la materia</w:t>
      </w:r>
      <w:r w:rsidR="00685A38">
        <w:rPr>
          <w:rFonts w:ascii="Arial" w:eastAsia="Calibri" w:hAnsi="Arial" w:cs="Arial"/>
          <w:bCs/>
          <w:sz w:val="26"/>
          <w:szCs w:val="26"/>
        </w:rPr>
        <w:t xml:space="preserve">, por las siguientes consideraciones.- - </w:t>
      </w:r>
      <w:r w:rsidR="006234F3">
        <w:rPr>
          <w:rFonts w:ascii="Arial" w:eastAsia="Calibri" w:hAnsi="Arial" w:cs="Arial"/>
          <w:bCs/>
          <w:sz w:val="26"/>
          <w:szCs w:val="26"/>
        </w:rPr>
        <w:t xml:space="preserve">- - - </w:t>
      </w:r>
      <w:r w:rsidR="006C3A12">
        <w:rPr>
          <w:rFonts w:ascii="Arial" w:eastAsia="Calibri" w:hAnsi="Arial" w:cs="Arial"/>
          <w:bCs/>
          <w:sz w:val="26"/>
          <w:szCs w:val="26"/>
        </w:rPr>
        <w:t xml:space="preserve">- - - - - - - - - - - - - - - </w:t>
      </w:r>
      <w:r w:rsidR="006F2120">
        <w:rPr>
          <w:rFonts w:ascii="Arial" w:eastAsia="Calibri" w:hAnsi="Arial" w:cs="Arial"/>
          <w:bCs/>
          <w:sz w:val="26"/>
          <w:szCs w:val="26"/>
        </w:rPr>
        <w:t xml:space="preserve">- - - - - - - - - - - - - - - - - - - - </w:t>
      </w:r>
    </w:p>
    <w:p w14:paraId="35D51DC3" w14:textId="77777777" w:rsidR="00685A38" w:rsidRDefault="00685A38" w:rsidP="007B4E6C">
      <w:pPr>
        <w:spacing w:before="240" w:line="360" w:lineRule="auto"/>
        <w:ind w:firstLine="708"/>
        <w:jc w:val="both"/>
        <w:rPr>
          <w:rFonts w:ascii="Arial" w:eastAsia="Calibri" w:hAnsi="Arial" w:cs="Arial"/>
          <w:bCs/>
          <w:sz w:val="26"/>
          <w:szCs w:val="26"/>
        </w:rPr>
      </w:pPr>
      <w:proofErr w:type="gramStart"/>
      <w:r w:rsidRPr="00685A38">
        <w:rPr>
          <w:rFonts w:ascii="Arial" w:eastAsia="Calibri" w:hAnsi="Arial" w:cs="Arial"/>
          <w:b/>
          <w:bCs/>
          <w:sz w:val="26"/>
          <w:szCs w:val="26"/>
        </w:rPr>
        <w:t>Primero</w:t>
      </w:r>
      <w:r>
        <w:rPr>
          <w:rFonts w:ascii="Arial" w:eastAsia="Calibri" w:hAnsi="Arial" w:cs="Arial"/>
          <w:bCs/>
          <w:sz w:val="26"/>
          <w:szCs w:val="26"/>
        </w:rPr>
        <w:t>.-</w:t>
      </w:r>
      <w:proofErr w:type="gramEnd"/>
      <w:r>
        <w:rPr>
          <w:rFonts w:ascii="Arial" w:eastAsia="Calibri" w:hAnsi="Arial" w:cs="Arial"/>
          <w:bCs/>
          <w:sz w:val="26"/>
          <w:szCs w:val="26"/>
        </w:rPr>
        <w:t xml:space="preserve"> El artículo 133 fracción II</w:t>
      </w:r>
      <w:r>
        <w:rPr>
          <w:rStyle w:val="Refdenotaalpie"/>
          <w:rFonts w:ascii="Arial" w:eastAsia="Calibri" w:hAnsi="Arial" w:cs="Arial"/>
          <w:bCs/>
          <w:sz w:val="26"/>
          <w:szCs w:val="26"/>
        </w:rPr>
        <w:footnoteReference w:id="2"/>
      </w:r>
      <w:r>
        <w:rPr>
          <w:rFonts w:ascii="Arial" w:eastAsia="Calibri" w:hAnsi="Arial" w:cs="Arial"/>
          <w:bCs/>
          <w:sz w:val="26"/>
          <w:szCs w:val="26"/>
        </w:rPr>
        <w:t xml:space="preserve"> de la Ley de Procedimiento de Justicia Administrativa para el Estado de Oaxaca, </w:t>
      </w:r>
      <w:r w:rsidR="001A12D3">
        <w:rPr>
          <w:rFonts w:ascii="Arial" w:eastAsia="Calibri" w:hAnsi="Arial" w:cs="Arial"/>
          <w:bCs/>
          <w:sz w:val="26"/>
          <w:szCs w:val="26"/>
        </w:rPr>
        <w:t xml:space="preserve">en lo que interesa y corresponde al tema, </w:t>
      </w:r>
      <w:r>
        <w:rPr>
          <w:rFonts w:ascii="Arial" w:eastAsia="Calibri" w:hAnsi="Arial" w:cs="Arial"/>
          <w:bCs/>
          <w:sz w:val="26"/>
          <w:szCs w:val="26"/>
        </w:rPr>
        <w:t>establece que las Salas Unitarias de</w:t>
      </w:r>
      <w:r w:rsidR="00884C0C">
        <w:rPr>
          <w:rFonts w:ascii="Arial" w:eastAsia="Calibri" w:hAnsi="Arial" w:cs="Arial"/>
          <w:bCs/>
          <w:sz w:val="26"/>
          <w:szCs w:val="26"/>
        </w:rPr>
        <w:t xml:space="preserve"> este</w:t>
      </w:r>
      <w:r>
        <w:rPr>
          <w:rFonts w:ascii="Arial" w:eastAsia="Calibri" w:hAnsi="Arial" w:cs="Arial"/>
          <w:bCs/>
          <w:sz w:val="26"/>
          <w:szCs w:val="26"/>
        </w:rPr>
        <w:t xml:space="preserve"> Tribunal, son competentes para conocer y resolver de los juicios que se promuevan en contra de las resoluciones dictada</w:t>
      </w:r>
      <w:r w:rsidR="001A12D3">
        <w:rPr>
          <w:rFonts w:ascii="Arial" w:eastAsia="Calibri" w:hAnsi="Arial" w:cs="Arial"/>
          <w:bCs/>
          <w:sz w:val="26"/>
          <w:szCs w:val="26"/>
        </w:rPr>
        <w:t>s</w:t>
      </w:r>
      <w:r>
        <w:rPr>
          <w:rFonts w:ascii="Arial" w:eastAsia="Calibri" w:hAnsi="Arial" w:cs="Arial"/>
          <w:bCs/>
          <w:sz w:val="26"/>
          <w:szCs w:val="26"/>
        </w:rPr>
        <w:t xml:space="preserve"> por autoridades fiscales, en que se determine la existencia de una obligación fiscal</w:t>
      </w:r>
      <w:r w:rsidR="001A12D3">
        <w:rPr>
          <w:rFonts w:ascii="Arial" w:eastAsia="Calibri" w:hAnsi="Arial" w:cs="Arial"/>
          <w:bCs/>
          <w:sz w:val="26"/>
          <w:szCs w:val="26"/>
        </w:rPr>
        <w:t>.</w:t>
      </w:r>
      <w:r w:rsidR="006234F3">
        <w:rPr>
          <w:rFonts w:ascii="Arial" w:eastAsia="Calibri" w:hAnsi="Arial" w:cs="Arial"/>
          <w:bCs/>
          <w:sz w:val="26"/>
          <w:szCs w:val="26"/>
        </w:rPr>
        <w:t xml:space="preserve">- - - </w:t>
      </w:r>
    </w:p>
    <w:p w14:paraId="4BE38E44" w14:textId="534C9357" w:rsidR="001A12D3" w:rsidRDefault="001A12D3" w:rsidP="00884C0C">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el caso en análisis, los mandamientos de ejecución </w:t>
      </w:r>
      <w:r w:rsidR="00FE7920">
        <w:rPr>
          <w:rFonts w:ascii="Arial" w:eastAsia="Calibri" w:hAnsi="Arial" w:cs="Arial"/>
          <w:bCs/>
          <w:sz w:val="26"/>
          <w:szCs w:val="26"/>
        </w:rPr>
        <w:t>de los</w:t>
      </w:r>
      <w:r>
        <w:rPr>
          <w:rFonts w:ascii="Arial" w:eastAsia="Calibri" w:hAnsi="Arial" w:cs="Arial"/>
          <w:bCs/>
          <w:sz w:val="26"/>
          <w:szCs w:val="26"/>
        </w:rPr>
        <w:t xml:space="preserve"> créditos fiscales demandados, y emitidos por la Coordinadora de Cobro Coactivo de la Secretaría de Finanzas del Estado de Oaxaca, no resultan ser una resolución en que se haya determinado la existencia de una obligación fiscal, porque dichos mandamientos de ejecución como su propio nombre lo dice, son los actos que emitió la autoridad </w:t>
      </w:r>
      <w:r w:rsidR="00B928FA">
        <w:rPr>
          <w:rFonts w:ascii="Arial" w:eastAsia="Calibri" w:hAnsi="Arial" w:cs="Arial"/>
          <w:bCs/>
          <w:sz w:val="26"/>
          <w:szCs w:val="26"/>
        </w:rPr>
        <w:t xml:space="preserve">fiscal, </w:t>
      </w:r>
      <w:r w:rsidR="00884C0C">
        <w:rPr>
          <w:rFonts w:ascii="Arial" w:eastAsia="Calibri" w:hAnsi="Arial" w:cs="Arial"/>
          <w:bCs/>
          <w:sz w:val="26"/>
          <w:szCs w:val="26"/>
        </w:rPr>
        <w:t>para dar inicio al procedimiento administrativo de ejecución, con la finalidad de solicitar al contribuyente el pago del crédito fiscal</w:t>
      </w:r>
      <w:r w:rsidR="00837D11">
        <w:rPr>
          <w:rFonts w:ascii="Arial" w:eastAsia="Calibri" w:hAnsi="Arial" w:cs="Arial"/>
          <w:bCs/>
          <w:sz w:val="26"/>
          <w:szCs w:val="26"/>
        </w:rPr>
        <w:t xml:space="preserve"> </w:t>
      </w:r>
      <w:r w:rsidR="00837D11" w:rsidRPr="00FE7920">
        <w:rPr>
          <w:rFonts w:ascii="Arial" w:eastAsia="Calibri" w:hAnsi="Arial" w:cs="Arial"/>
          <w:bCs/>
          <w:sz w:val="26"/>
          <w:szCs w:val="26"/>
          <w:u w:val="single"/>
        </w:rPr>
        <w:t>determinado</w:t>
      </w:r>
      <w:r w:rsidR="00837D11">
        <w:rPr>
          <w:rFonts w:ascii="Arial" w:eastAsia="Calibri" w:hAnsi="Arial" w:cs="Arial"/>
          <w:bCs/>
          <w:sz w:val="26"/>
          <w:szCs w:val="26"/>
        </w:rPr>
        <w:t xml:space="preserve"> mediante resolución emitida por la Auditoría Superior del Estado</w:t>
      </w:r>
      <w:r>
        <w:rPr>
          <w:rFonts w:ascii="Arial" w:eastAsia="Calibri" w:hAnsi="Arial" w:cs="Arial"/>
          <w:bCs/>
          <w:sz w:val="26"/>
          <w:szCs w:val="26"/>
        </w:rPr>
        <w:t>, en la que se estableció una multa a los recurrentes, por la omisión de la cuenta pública de diversos ejercicios fiscales, así como por la omisión de informes de avance de gestión financiera</w:t>
      </w:r>
      <w:r w:rsidR="00837D11">
        <w:rPr>
          <w:rFonts w:ascii="Arial" w:eastAsia="Calibri" w:hAnsi="Arial" w:cs="Arial"/>
          <w:bCs/>
          <w:sz w:val="26"/>
          <w:szCs w:val="26"/>
        </w:rPr>
        <w:t xml:space="preserve"> (resolución determinante).- - </w:t>
      </w:r>
      <w:r w:rsidR="00B928FA">
        <w:rPr>
          <w:rFonts w:ascii="Arial" w:eastAsia="Calibri" w:hAnsi="Arial" w:cs="Arial"/>
          <w:bCs/>
          <w:sz w:val="26"/>
          <w:szCs w:val="26"/>
        </w:rPr>
        <w:t xml:space="preserve">- </w:t>
      </w:r>
    </w:p>
    <w:p w14:paraId="73D5AB07" w14:textId="77777777" w:rsidR="00837D11" w:rsidRDefault="004E2A74" w:rsidP="007B4E6C">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Lo anterior en base a lo así preceptuado por el artículo 97 </w:t>
      </w:r>
      <w:r w:rsidR="00330165">
        <w:rPr>
          <w:rStyle w:val="Refdenotaalpie"/>
          <w:rFonts w:ascii="Arial" w:eastAsia="Calibri" w:hAnsi="Arial" w:cs="Arial"/>
          <w:bCs/>
          <w:sz w:val="26"/>
          <w:szCs w:val="26"/>
        </w:rPr>
        <w:footnoteReference w:id="3"/>
      </w:r>
      <w:r w:rsidR="003E6078" w:rsidRPr="003E6078">
        <w:rPr>
          <w:rFonts w:ascii="Arial" w:eastAsia="Calibri" w:hAnsi="Arial" w:cs="Arial"/>
          <w:bCs/>
          <w:sz w:val="26"/>
          <w:szCs w:val="26"/>
        </w:rPr>
        <w:t xml:space="preserve"> </w:t>
      </w:r>
      <w:r w:rsidR="003E6078">
        <w:rPr>
          <w:rFonts w:ascii="Arial" w:eastAsia="Calibri" w:hAnsi="Arial" w:cs="Arial"/>
          <w:bCs/>
          <w:sz w:val="26"/>
          <w:szCs w:val="26"/>
        </w:rPr>
        <w:t>de la Ley de Fiscalización Superior para el Estado de Oaxaca</w:t>
      </w:r>
      <w:r w:rsidR="00837D11">
        <w:rPr>
          <w:rFonts w:ascii="Arial" w:eastAsia="Calibri" w:hAnsi="Arial" w:cs="Arial"/>
          <w:bCs/>
          <w:sz w:val="26"/>
          <w:szCs w:val="26"/>
        </w:rPr>
        <w:t xml:space="preserve">, </w:t>
      </w:r>
      <w:r>
        <w:rPr>
          <w:rFonts w:ascii="Arial" w:eastAsia="Calibri" w:hAnsi="Arial" w:cs="Arial"/>
          <w:bCs/>
          <w:sz w:val="26"/>
          <w:szCs w:val="26"/>
        </w:rPr>
        <w:t>que puntualmente establece que las multas que imponga la Auditor</w:t>
      </w:r>
      <w:r w:rsidR="00AD1065">
        <w:rPr>
          <w:rFonts w:ascii="Arial" w:eastAsia="Calibri" w:hAnsi="Arial" w:cs="Arial"/>
          <w:bCs/>
          <w:sz w:val="26"/>
          <w:szCs w:val="26"/>
        </w:rPr>
        <w:t>í</w:t>
      </w:r>
      <w:r>
        <w:rPr>
          <w:rFonts w:ascii="Arial" w:eastAsia="Calibri" w:hAnsi="Arial" w:cs="Arial"/>
          <w:bCs/>
          <w:sz w:val="26"/>
          <w:szCs w:val="26"/>
        </w:rPr>
        <w:t>a, tendrán el carácter de créditos fiscales, las que se harán efectivas a través de la Secretaría de Finanzas, conforme al procedimiento administrativo de ejecución</w:t>
      </w:r>
      <w:r w:rsidR="00AD1065">
        <w:rPr>
          <w:rFonts w:ascii="Arial" w:eastAsia="Calibri" w:hAnsi="Arial" w:cs="Arial"/>
          <w:bCs/>
          <w:sz w:val="26"/>
          <w:szCs w:val="26"/>
        </w:rPr>
        <w:t>, previsto en el Código Fiscal para el Estado de Oaxaca</w:t>
      </w:r>
      <w:r w:rsidR="00330165">
        <w:rPr>
          <w:rFonts w:ascii="Arial" w:eastAsia="Calibri" w:hAnsi="Arial" w:cs="Arial"/>
          <w:bCs/>
          <w:sz w:val="26"/>
          <w:szCs w:val="26"/>
        </w:rPr>
        <w:t>.</w:t>
      </w:r>
      <w:r w:rsidR="00B928FA">
        <w:rPr>
          <w:rFonts w:ascii="Arial" w:eastAsia="Calibri" w:hAnsi="Arial" w:cs="Arial"/>
          <w:bCs/>
          <w:sz w:val="26"/>
          <w:szCs w:val="26"/>
        </w:rPr>
        <w:t>- - - - - - - - - - - - - - -</w:t>
      </w:r>
      <w:r w:rsidR="006C3A12">
        <w:rPr>
          <w:rFonts w:ascii="Arial" w:eastAsia="Calibri" w:hAnsi="Arial" w:cs="Arial"/>
          <w:bCs/>
          <w:sz w:val="26"/>
          <w:szCs w:val="26"/>
        </w:rPr>
        <w:t xml:space="preserve"> - - - - </w:t>
      </w:r>
      <w:r w:rsidR="00AD1065">
        <w:rPr>
          <w:rFonts w:ascii="Arial" w:eastAsia="Calibri" w:hAnsi="Arial" w:cs="Arial"/>
          <w:bCs/>
          <w:sz w:val="26"/>
          <w:szCs w:val="26"/>
        </w:rPr>
        <w:t xml:space="preserve">- - - - - - - - - - - - - - - - - - - - - - - - - </w:t>
      </w:r>
    </w:p>
    <w:p w14:paraId="670F340F" w14:textId="0E75ABCD" w:rsidR="004841F6" w:rsidRDefault="00330165" w:rsidP="007B4E6C">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Es entonces que, al ser los mandamiento</w:t>
      </w:r>
      <w:r w:rsidR="00B928FA">
        <w:rPr>
          <w:rFonts w:ascii="Arial" w:eastAsia="Calibri" w:hAnsi="Arial" w:cs="Arial"/>
          <w:bCs/>
          <w:sz w:val="26"/>
          <w:szCs w:val="26"/>
        </w:rPr>
        <w:t>s</w:t>
      </w:r>
      <w:r>
        <w:rPr>
          <w:rFonts w:ascii="Arial" w:eastAsia="Calibri" w:hAnsi="Arial" w:cs="Arial"/>
          <w:bCs/>
          <w:sz w:val="26"/>
          <w:szCs w:val="26"/>
        </w:rPr>
        <w:t xml:space="preserve"> de ejecución</w:t>
      </w:r>
      <w:r w:rsidR="00B928FA">
        <w:rPr>
          <w:rFonts w:ascii="Arial" w:eastAsia="Calibri" w:hAnsi="Arial" w:cs="Arial"/>
          <w:bCs/>
          <w:sz w:val="26"/>
          <w:szCs w:val="26"/>
        </w:rPr>
        <w:t xml:space="preserve"> demandados</w:t>
      </w:r>
      <w:r>
        <w:rPr>
          <w:rFonts w:ascii="Arial" w:eastAsia="Calibri" w:hAnsi="Arial" w:cs="Arial"/>
          <w:bCs/>
          <w:sz w:val="26"/>
          <w:szCs w:val="26"/>
        </w:rPr>
        <w:t>, únicamente l</w:t>
      </w:r>
      <w:r w:rsidR="004841F6">
        <w:rPr>
          <w:rFonts w:ascii="Arial" w:eastAsia="Calibri" w:hAnsi="Arial" w:cs="Arial"/>
          <w:bCs/>
          <w:sz w:val="26"/>
          <w:szCs w:val="26"/>
        </w:rPr>
        <w:t>os</w:t>
      </w:r>
      <w:r>
        <w:rPr>
          <w:rFonts w:ascii="Arial" w:eastAsia="Calibri" w:hAnsi="Arial" w:cs="Arial"/>
          <w:bCs/>
          <w:sz w:val="26"/>
          <w:szCs w:val="26"/>
        </w:rPr>
        <w:t xml:space="preserve"> acto</w:t>
      </w:r>
      <w:r w:rsidR="004841F6">
        <w:rPr>
          <w:rFonts w:ascii="Arial" w:eastAsia="Calibri" w:hAnsi="Arial" w:cs="Arial"/>
          <w:bCs/>
          <w:sz w:val="26"/>
          <w:szCs w:val="26"/>
        </w:rPr>
        <w:t>s</w:t>
      </w:r>
      <w:r>
        <w:rPr>
          <w:rFonts w:ascii="Arial" w:eastAsia="Calibri" w:hAnsi="Arial" w:cs="Arial"/>
          <w:bCs/>
          <w:sz w:val="26"/>
          <w:szCs w:val="26"/>
        </w:rPr>
        <w:t xml:space="preserve"> emitido por la autoridad</w:t>
      </w:r>
      <w:r w:rsidR="006C3A12">
        <w:rPr>
          <w:rFonts w:ascii="Arial" w:eastAsia="Calibri" w:hAnsi="Arial" w:cs="Arial"/>
          <w:bCs/>
          <w:sz w:val="26"/>
          <w:szCs w:val="26"/>
        </w:rPr>
        <w:t xml:space="preserve"> fiscal Coordinadora de Cobro Coactivo de la Secretaría de Finanzas</w:t>
      </w:r>
      <w:r>
        <w:rPr>
          <w:rFonts w:ascii="Arial" w:eastAsia="Calibri" w:hAnsi="Arial" w:cs="Arial"/>
          <w:bCs/>
          <w:sz w:val="26"/>
          <w:szCs w:val="26"/>
        </w:rPr>
        <w:t>, para hacer exigible el pago de la multa impuesta a los actores del juicio natural (crédito fiscal)</w:t>
      </w:r>
      <w:r w:rsidR="00B928FA">
        <w:rPr>
          <w:rFonts w:ascii="Arial" w:eastAsia="Calibri" w:hAnsi="Arial" w:cs="Arial"/>
          <w:bCs/>
          <w:sz w:val="26"/>
          <w:szCs w:val="26"/>
        </w:rPr>
        <w:t>,</w:t>
      </w:r>
      <w:r>
        <w:rPr>
          <w:rFonts w:ascii="Arial" w:eastAsia="Calibri" w:hAnsi="Arial" w:cs="Arial"/>
          <w:bCs/>
          <w:sz w:val="26"/>
          <w:szCs w:val="26"/>
        </w:rPr>
        <w:t xml:space="preserve"> </w:t>
      </w:r>
      <w:r w:rsidR="004841F6">
        <w:rPr>
          <w:rFonts w:ascii="Arial" w:eastAsia="Calibri" w:hAnsi="Arial" w:cs="Arial"/>
          <w:bCs/>
          <w:sz w:val="26"/>
          <w:szCs w:val="26"/>
        </w:rPr>
        <w:t>y no una resolución en la que se haya de</w:t>
      </w:r>
      <w:r w:rsidR="00FE7920">
        <w:rPr>
          <w:rFonts w:ascii="Arial" w:eastAsia="Calibri" w:hAnsi="Arial" w:cs="Arial"/>
          <w:bCs/>
          <w:sz w:val="26"/>
          <w:szCs w:val="26"/>
        </w:rPr>
        <w:t xml:space="preserve">cretado </w:t>
      </w:r>
      <w:r w:rsidR="004841F6">
        <w:rPr>
          <w:rFonts w:ascii="Arial" w:eastAsia="Calibri" w:hAnsi="Arial" w:cs="Arial"/>
          <w:bCs/>
          <w:sz w:val="26"/>
          <w:szCs w:val="26"/>
        </w:rPr>
        <w:t xml:space="preserve">la existencia de una obligación fiscal, pues esta como ya se </w:t>
      </w:r>
      <w:r w:rsidR="007E6480">
        <w:rPr>
          <w:rFonts w:ascii="Arial" w:eastAsia="Calibri" w:hAnsi="Arial" w:cs="Arial"/>
          <w:bCs/>
          <w:sz w:val="26"/>
          <w:szCs w:val="26"/>
        </w:rPr>
        <w:t>reiteró</w:t>
      </w:r>
      <w:r w:rsidR="004841F6">
        <w:rPr>
          <w:rFonts w:ascii="Arial" w:eastAsia="Calibri" w:hAnsi="Arial" w:cs="Arial"/>
          <w:bCs/>
          <w:sz w:val="26"/>
          <w:szCs w:val="26"/>
        </w:rPr>
        <w:t xml:space="preserve"> con anterioridad, se determinó en la resolución emitida por la Auditoría Superior del Estado; que no pueden </w:t>
      </w:r>
      <w:r>
        <w:rPr>
          <w:rFonts w:ascii="Arial" w:eastAsia="Calibri" w:hAnsi="Arial" w:cs="Arial"/>
          <w:bCs/>
          <w:sz w:val="26"/>
          <w:szCs w:val="26"/>
        </w:rPr>
        <w:t>encuadrarse en el supuesto previsto por la fracción II del artículo 133 de la Ley de Procedimiento y Justicia Administrativa para el Estado de Oaxaca</w:t>
      </w:r>
      <w:r w:rsidR="006C3A12">
        <w:rPr>
          <w:rFonts w:ascii="Arial" w:eastAsia="Calibri" w:hAnsi="Arial" w:cs="Arial"/>
          <w:bCs/>
          <w:sz w:val="26"/>
          <w:szCs w:val="26"/>
        </w:rPr>
        <w:t>, para el conocimiento y resolución de la Sala Unitaria de Primera Instancia</w:t>
      </w:r>
      <w:r>
        <w:rPr>
          <w:rFonts w:ascii="Arial" w:eastAsia="Calibri" w:hAnsi="Arial" w:cs="Arial"/>
          <w:bCs/>
          <w:sz w:val="26"/>
          <w:szCs w:val="26"/>
        </w:rPr>
        <w:t xml:space="preserve">.- - </w:t>
      </w:r>
      <w:r w:rsidR="00FE7920">
        <w:rPr>
          <w:rFonts w:ascii="Arial" w:eastAsia="Calibri" w:hAnsi="Arial" w:cs="Arial"/>
          <w:bCs/>
          <w:sz w:val="26"/>
          <w:szCs w:val="26"/>
        </w:rPr>
        <w:t xml:space="preserve">- - - - - - - - - - - </w:t>
      </w:r>
      <w:r w:rsidR="007B4718">
        <w:rPr>
          <w:rFonts w:ascii="Arial" w:eastAsia="Calibri" w:hAnsi="Arial" w:cs="Arial"/>
          <w:bCs/>
          <w:sz w:val="26"/>
          <w:szCs w:val="26"/>
        </w:rPr>
        <w:t xml:space="preserve">- </w:t>
      </w:r>
      <w:r w:rsidR="00B81184">
        <w:rPr>
          <w:rFonts w:ascii="Arial" w:eastAsia="Calibri" w:hAnsi="Arial" w:cs="Arial"/>
          <w:bCs/>
          <w:sz w:val="26"/>
          <w:szCs w:val="26"/>
        </w:rPr>
        <w:t>-</w:t>
      </w:r>
    </w:p>
    <w:p w14:paraId="4D4D21DA" w14:textId="7CC78CE8" w:rsidR="00C12DDA" w:rsidRDefault="00330165" w:rsidP="007B4E6C">
      <w:pPr>
        <w:spacing w:before="240" w:line="360" w:lineRule="auto"/>
        <w:ind w:firstLine="708"/>
        <w:jc w:val="both"/>
        <w:rPr>
          <w:rFonts w:ascii="Arial" w:eastAsia="Calibri" w:hAnsi="Arial" w:cs="Arial"/>
          <w:bCs/>
          <w:sz w:val="26"/>
          <w:szCs w:val="26"/>
        </w:rPr>
      </w:pPr>
      <w:r>
        <w:rPr>
          <w:rFonts w:ascii="Arial" w:eastAsia="Calibri" w:hAnsi="Arial" w:cs="Arial"/>
          <w:b/>
          <w:bCs/>
          <w:sz w:val="26"/>
          <w:szCs w:val="26"/>
        </w:rPr>
        <w:t xml:space="preserve">Segundo. </w:t>
      </w:r>
      <w:r w:rsidR="00FE3523">
        <w:rPr>
          <w:rFonts w:ascii="Arial" w:eastAsia="Calibri" w:hAnsi="Arial" w:cs="Arial"/>
          <w:bCs/>
          <w:sz w:val="26"/>
          <w:szCs w:val="26"/>
        </w:rPr>
        <w:t>El artículo 133 fracción VII</w:t>
      </w:r>
      <w:r w:rsidR="00B928FA">
        <w:rPr>
          <w:rFonts w:ascii="Arial" w:eastAsia="Calibri" w:hAnsi="Arial" w:cs="Arial"/>
          <w:bCs/>
          <w:sz w:val="26"/>
          <w:szCs w:val="26"/>
        </w:rPr>
        <w:t>I</w:t>
      </w:r>
      <w:r w:rsidR="00FE3523">
        <w:rPr>
          <w:rStyle w:val="Refdenotaalpie"/>
          <w:rFonts w:ascii="Arial" w:eastAsia="Calibri" w:hAnsi="Arial" w:cs="Arial"/>
          <w:bCs/>
          <w:sz w:val="26"/>
          <w:szCs w:val="26"/>
        </w:rPr>
        <w:footnoteReference w:id="4"/>
      </w:r>
      <w:r w:rsidR="00FE3523">
        <w:rPr>
          <w:rFonts w:ascii="Arial" w:eastAsia="Calibri" w:hAnsi="Arial" w:cs="Arial"/>
          <w:bCs/>
          <w:sz w:val="26"/>
          <w:szCs w:val="26"/>
        </w:rPr>
        <w:t xml:space="preserve"> de la Ley de Procedimiento y Justicia Administrativa para el Estado de Oaxaca, dispone que las Salas Unitarias del Tribunal, son competentes para conocer y resolver de los juicios que se promuevan en contra del procedimiento administrativo de ejecución, con la </w:t>
      </w:r>
      <w:r w:rsidR="00FE3523" w:rsidRPr="004841F6">
        <w:rPr>
          <w:rFonts w:ascii="Arial" w:eastAsia="Calibri" w:hAnsi="Arial" w:cs="Arial"/>
          <w:b/>
          <w:bCs/>
          <w:sz w:val="26"/>
          <w:szCs w:val="26"/>
        </w:rPr>
        <w:t>condición</w:t>
      </w:r>
      <w:r w:rsidR="00FE3523">
        <w:rPr>
          <w:rFonts w:ascii="Arial" w:eastAsia="Calibri" w:hAnsi="Arial" w:cs="Arial"/>
          <w:bCs/>
          <w:sz w:val="26"/>
          <w:szCs w:val="26"/>
        </w:rPr>
        <w:t xml:space="preserve"> de que</w:t>
      </w:r>
      <w:r w:rsidR="00C12DDA">
        <w:rPr>
          <w:rFonts w:ascii="Arial" w:eastAsia="Calibri" w:hAnsi="Arial" w:cs="Arial"/>
          <w:bCs/>
          <w:sz w:val="26"/>
          <w:szCs w:val="26"/>
        </w:rPr>
        <w:t>:</w:t>
      </w:r>
      <w:r w:rsidR="00B81184">
        <w:rPr>
          <w:rFonts w:ascii="Arial" w:eastAsia="Calibri" w:hAnsi="Arial" w:cs="Arial"/>
          <w:bCs/>
          <w:sz w:val="26"/>
          <w:szCs w:val="26"/>
        </w:rPr>
        <w:t xml:space="preserve"> - - - - - - - - - - - - - </w:t>
      </w:r>
    </w:p>
    <w:p w14:paraId="23189272" w14:textId="77777777" w:rsidR="00C12DDA" w:rsidRDefault="00C12DDA" w:rsidP="007B4E6C">
      <w:pPr>
        <w:spacing w:before="240" w:line="360" w:lineRule="auto"/>
        <w:ind w:firstLine="708"/>
        <w:jc w:val="both"/>
        <w:rPr>
          <w:rFonts w:ascii="Arial" w:eastAsia="Calibri" w:hAnsi="Arial" w:cs="Arial"/>
          <w:bCs/>
          <w:sz w:val="26"/>
          <w:szCs w:val="26"/>
        </w:rPr>
      </w:pPr>
      <w:r w:rsidRPr="00C12DDA">
        <w:rPr>
          <w:rFonts w:ascii="Arial" w:eastAsia="Calibri" w:hAnsi="Arial" w:cs="Arial"/>
          <w:b/>
          <w:bCs/>
          <w:sz w:val="26"/>
          <w:szCs w:val="26"/>
        </w:rPr>
        <w:t>1</w:t>
      </w:r>
      <w:r>
        <w:rPr>
          <w:rFonts w:ascii="Arial" w:eastAsia="Calibri" w:hAnsi="Arial" w:cs="Arial"/>
          <w:bCs/>
          <w:sz w:val="26"/>
          <w:szCs w:val="26"/>
        </w:rPr>
        <w:t>. Opte</w:t>
      </w:r>
      <w:r w:rsidR="00B928FA">
        <w:rPr>
          <w:rFonts w:ascii="Arial" w:eastAsia="Calibri" w:hAnsi="Arial" w:cs="Arial"/>
          <w:bCs/>
          <w:sz w:val="26"/>
          <w:szCs w:val="26"/>
        </w:rPr>
        <w:t>n</w:t>
      </w:r>
      <w:r>
        <w:rPr>
          <w:rFonts w:ascii="Arial" w:eastAsia="Calibri" w:hAnsi="Arial" w:cs="Arial"/>
          <w:bCs/>
          <w:sz w:val="26"/>
          <w:szCs w:val="26"/>
        </w:rPr>
        <w:t xml:space="preserve"> por no interponer el recurso ordinario</w:t>
      </w:r>
      <w:r w:rsidR="006C3A12">
        <w:rPr>
          <w:rFonts w:ascii="Arial" w:eastAsia="Calibri" w:hAnsi="Arial" w:cs="Arial"/>
          <w:bCs/>
          <w:sz w:val="26"/>
          <w:szCs w:val="26"/>
        </w:rPr>
        <w:t xml:space="preserve"> en sede administrativa</w:t>
      </w:r>
      <w:r w:rsidR="00B0367C">
        <w:rPr>
          <w:rFonts w:ascii="Arial" w:eastAsia="Calibri" w:hAnsi="Arial" w:cs="Arial"/>
          <w:bCs/>
          <w:sz w:val="26"/>
          <w:szCs w:val="26"/>
        </w:rPr>
        <w:t>;</w:t>
      </w:r>
    </w:p>
    <w:p w14:paraId="00B6E8A0" w14:textId="77777777" w:rsidR="004841F6" w:rsidRDefault="00C12DDA" w:rsidP="00C12DDA">
      <w:pPr>
        <w:spacing w:before="240" w:line="360" w:lineRule="auto"/>
        <w:ind w:firstLine="708"/>
        <w:jc w:val="both"/>
        <w:rPr>
          <w:rFonts w:ascii="Arial" w:eastAsia="Calibri" w:hAnsi="Arial" w:cs="Arial"/>
          <w:bCs/>
          <w:sz w:val="26"/>
          <w:szCs w:val="26"/>
        </w:rPr>
      </w:pPr>
      <w:r w:rsidRPr="00C12DDA">
        <w:rPr>
          <w:rFonts w:ascii="Arial" w:eastAsia="Calibri" w:hAnsi="Arial" w:cs="Arial"/>
          <w:b/>
          <w:bCs/>
          <w:sz w:val="26"/>
          <w:szCs w:val="26"/>
        </w:rPr>
        <w:t>2</w:t>
      </w:r>
      <w:r>
        <w:rPr>
          <w:rFonts w:ascii="Arial" w:eastAsia="Calibri" w:hAnsi="Arial" w:cs="Arial"/>
          <w:bCs/>
          <w:sz w:val="26"/>
          <w:szCs w:val="26"/>
        </w:rPr>
        <w:t xml:space="preserve">. Afirme que el crédito </w:t>
      </w:r>
      <w:r w:rsidR="006C3A12">
        <w:rPr>
          <w:rFonts w:ascii="Arial" w:eastAsia="Calibri" w:hAnsi="Arial" w:cs="Arial"/>
          <w:bCs/>
          <w:sz w:val="26"/>
          <w:szCs w:val="26"/>
        </w:rPr>
        <w:t>e</w:t>
      </w:r>
      <w:r>
        <w:rPr>
          <w:rFonts w:ascii="Arial" w:eastAsia="Calibri" w:hAnsi="Arial" w:cs="Arial"/>
          <w:bCs/>
          <w:sz w:val="26"/>
          <w:szCs w:val="26"/>
        </w:rPr>
        <w:t>xig</w:t>
      </w:r>
      <w:r w:rsidR="006C3A12">
        <w:rPr>
          <w:rFonts w:ascii="Arial" w:eastAsia="Calibri" w:hAnsi="Arial" w:cs="Arial"/>
          <w:bCs/>
          <w:sz w:val="26"/>
          <w:szCs w:val="26"/>
        </w:rPr>
        <w:t xml:space="preserve">ido </w:t>
      </w:r>
      <w:r>
        <w:rPr>
          <w:rFonts w:ascii="Arial" w:eastAsia="Calibri" w:hAnsi="Arial" w:cs="Arial"/>
          <w:bCs/>
          <w:sz w:val="26"/>
          <w:szCs w:val="26"/>
        </w:rPr>
        <w:t>se ha extinguido legalmente</w:t>
      </w:r>
      <w:r w:rsidR="00B0367C">
        <w:rPr>
          <w:rFonts w:ascii="Arial" w:eastAsia="Calibri" w:hAnsi="Arial" w:cs="Arial"/>
          <w:bCs/>
          <w:sz w:val="26"/>
          <w:szCs w:val="26"/>
        </w:rPr>
        <w:t>,</w:t>
      </w:r>
    </w:p>
    <w:p w14:paraId="0406E100" w14:textId="77777777" w:rsidR="004841F6" w:rsidRDefault="004841F6" w:rsidP="00C12DDA">
      <w:pPr>
        <w:spacing w:before="240" w:line="360" w:lineRule="auto"/>
        <w:ind w:firstLine="708"/>
        <w:jc w:val="both"/>
        <w:rPr>
          <w:rFonts w:ascii="Arial" w:hAnsi="Arial" w:cs="Arial"/>
          <w:sz w:val="26"/>
          <w:szCs w:val="26"/>
        </w:rPr>
      </w:pPr>
      <w:r>
        <w:rPr>
          <w:rFonts w:ascii="Arial" w:eastAsia="Calibri" w:hAnsi="Arial" w:cs="Arial"/>
          <w:b/>
          <w:bCs/>
          <w:sz w:val="26"/>
          <w:szCs w:val="26"/>
        </w:rPr>
        <w:t>3.</w:t>
      </w:r>
      <w:r>
        <w:rPr>
          <w:rFonts w:ascii="Arial" w:eastAsia="Calibri" w:hAnsi="Arial" w:cs="Arial"/>
          <w:bCs/>
          <w:sz w:val="26"/>
          <w:szCs w:val="26"/>
        </w:rPr>
        <w:t xml:space="preserve"> Q</w:t>
      </w:r>
      <w:r w:rsidR="00C12DDA" w:rsidRPr="00C12DDA">
        <w:rPr>
          <w:rFonts w:ascii="Arial" w:hAnsi="Arial" w:cs="Arial"/>
          <w:sz w:val="26"/>
          <w:szCs w:val="26"/>
        </w:rPr>
        <w:t>ue el monto del crédito es inferior al exigible</w:t>
      </w:r>
      <w:r w:rsidR="00B0367C">
        <w:rPr>
          <w:rFonts w:ascii="Arial" w:hAnsi="Arial" w:cs="Arial"/>
          <w:sz w:val="26"/>
          <w:szCs w:val="26"/>
        </w:rPr>
        <w:t>,</w:t>
      </w:r>
    </w:p>
    <w:p w14:paraId="16F26A30" w14:textId="77777777" w:rsidR="00B0367C" w:rsidRDefault="004841F6" w:rsidP="00C12DDA">
      <w:pPr>
        <w:spacing w:before="240" w:line="360" w:lineRule="auto"/>
        <w:ind w:firstLine="708"/>
        <w:jc w:val="both"/>
        <w:rPr>
          <w:rFonts w:ascii="Arial" w:hAnsi="Arial" w:cs="Arial"/>
          <w:sz w:val="26"/>
          <w:szCs w:val="26"/>
        </w:rPr>
      </w:pPr>
      <w:r>
        <w:rPr>
          <w:rFonts w:ascii="Arial" w:hAnsi="Arial" w:cs="Arial"/>
          <w:b/>
          <w:sz w:val="26"/>
          <w:szCs w:val="26"/>
        </w:rPr>
        <w:t xml:space="preserve">4. </w:t>
      </w:r>
      <w:r w:rsidR="00C12DDA">
        <w:rPr>
          <w:rFonts w:ascii="Arial" w:hAnsi="Arial" w:cs="Arial"/>
          <w:sz w:val="26"/>
          <w:szCs w:val="26"/>
        </w:rPr>
        <w:t>q</w:t>
      </w:r>
      <w:r w:rsidR="00C12DDA" w:rsidRPr="00C12DDA">
        <w:rPr>
          <w:rFonts w:ascii="Arial" w:hAnsi="Arial" w:cs="Arial"/>
          <w:sz w:val="26"/>
          <w:szCs w:val="26"/>
        </w:rPr>
        <w:t>ue es po</w:t>
      </w:r>
      <w:r w:rsidR="006C3A12">
        <w:rPr>
          <w:rFonts w:ascii="Arial" w:hAnsi="Arial" w:cs="Arial"/>
          <w:sz w:val="26"/>
          <w:szCs w:val="26"/>
        </w:rPr>
        <w:t>seedor, a título de propietario</w:t>
      </w:r>
      <w:r w:rsidR="00B0367C">
        <w:rPr>
          <w:rFonts w:ascii="Arial" w:hAnsi="Arial" w:cs="Arial"/>
          <w:sz w:val="26"/>
          <w:szCs w:val="26"/>
        </w:rPr>
        <w:t xml:space="preserve"> del bien embargado; </w:t>
      </w:r>
    </w:p>
    <w:p w14:paraId="6CE0605A" w14:textId="77777777" w:rsidR="00C12DDA" w:rsidRDefault="00B0367C" w:rsidP="00C12DDA">
      <w:pPr>
        <w:spacing w:before="240" w:line="360" w:lineRule="auto"/>
        <w:ind w:firstLine="708"/>
        <w:jc w:val="both"/>
        <w:rPr>
          <w:rFonts w:ascii="Arial" w:hAnsi="Arial" w:cs="Arial"/>
          <w:sz w:val="26"/>
          <w:szCs w:val="26"/>
        </w:rPr>
      </w:pPr>
      <w:r>
        <w:rPr>
          <w:rFonts w:ascii="Arial" w:hAnsi="Arial" w:cs="Arial"/>
          <w:b/>
          <w:sz w:val="26"/>
          <w:szCs w:val="26"/>
        </w:rPr>
        <w:t xml:space="preserve">5. </w:t>
      </w:r>
      <w:r>
        <w:rPr>
          <w:rFonts w:ascii="Arial" w:hAnsi="Arial" w:cs="Arial"/>
          <w:sz w:val="26"/>
          <w:szCs w:val="26"/>
        </w:rPr>
        <w:t>Q</w:t>
      </w:r>
      <w:r w:rsidR="00C12DDA" w:rsidRPr="00C12DDA">
        <w:rPr>
          <w:rFonts w:ascii="Arial" w:hAnsi="Arial" w:cs="Arial"/>
          <w:sz w:val="26"/>
          <w:szCs w:val="26"/>
        </w:rPr>
        <w:t>ue el pro</w:t>
      </w:r>
      <w:r w:rsidR="006C3A12">
        <w:rPr>
          <w:rFonts w:ascii="Arial" w:hAnsi="Arial" w:cs="Arial"/>
          <w:sz w:val="26"/>
          <w:szCs w:val="26"/>
        </w:rPr>
        <w:t>cedimiento coactivo no se ajustó</w:t>
      </w:r>
      <w:r w:rsidR="00C12DDA" w:rsidRPr="00C12DDA">
        <w:rPr>
          <w:rFonts w:ascii="Arial" w:hAnsi="Arial" w:cs="Arial"/>
          <w:sz w:val="26"/>
          <w:szCs w:val="26"/>
        </w:rPr>
        <w:t xml:space="preserve"> a la ley</w:t>
      </w:r>
      <w:r>
        <w:rPr>
          <w:rFonts w:ascii="Arial" w:hAnsi="Arial" w:cs="Arial"/>
          <w:sz w:val="26"/>
          <w:szCs w:val="26"/>
        </w:rPr>
        <w:t>; y</w:t>
      </w:r>
    </w:p>
    <w:p w14:paraId="76DD3E01" w14:textId="17C9FC64" w:rsidR="00C12DDA" w:rsidRPr="00C12DDA" w:rsidRDefault="00B0367C" w:rsidP="00C12DDA">
      <w:pPr>
        <w:spacing w:before="240" w:line="360" w:lineRule="auto"/>
        <w:ind w:firstLine="708"/>
        <w:jc w:val="both"/>
        <w:rPr>
          <w:rFonts w:ascii="Arial" w:hAnsi="Arial" w:cs="Arial"/>
          <w:sz w:val="26"/>
          <w:szCs w:val="26"/>
        </w:rPr>
      </w:pPr>
      <w:r>
        <w:rPr>
          <w:rFonts w:ascii="Arial" w:hAnsi="Arial" w:cs="Arial"/>
          <w:b/>
          <w:sz w:val="26"/>
          <w:szCs w:val="26"/>
        </w:rPr>
        <w:t>6</w:t>
      </w:r>
      <w:r w:rsidR="00C12DDA">
        <w:rPr>
          <w:rFonts w:ascii="Arial" w:hAnsi="Arial" w:cs="Arial"/>
          <w:sz w:val="26"/>
          <w:szCs w:val="26"/>
        </w:rPr>
        <w:t>. Que en caso de señalar que el pro</w:t>
      </w:r>
      <w:r w:rsidR="006C3A12">
        <w:rPr>
          <w:rFonts w:ascii="Arial" w:hAnsi="Arial" w:cs="Arial"/>
          <w:sz w:val="26"/>
          <w:szCs w:val="26"/>
        </w:rPr>
        <w:t>cedimiento coactivo no se ajustó</w:t>
      </w:r>
      <w:r w:rsidR="00C12DDA">
        <w:rPr>
          <w:rFonts w:ascii="Arial" w:hAnsi="Arial" w:cs="Arial"/>
          <w:sz w:val="26"/>
          <w:szCs w:val="26"/>
        </w:rPr>
        <w:t xml:space="preserve"> a la ley, </w:t>
      </w:r>
      <w:r w:rsidR="00C12DDA" w:rsidRPr="00C12DDA">
        <w:rPr>
          <w:rFonts w:ascii="Arial" w:hAnsi="Arial" w:cs="Arial"/>
          <w:sz w:val="26"/>
          <w:szCs w:val="26"/>
        </w:rPr>
        <w:t xml:space="preserve">la oposición no se podrá hacer valer, sino contra la resolución que apruebe el remate; salvo </w:t>
      </w:r>
      <w:r w:rsidR="00875AD2">
        <w:rPr>
          <w:rFonts w:ascii="Arial" w:hAnsi="Arial" w:cs="Arial"/>
          <w:sz w:val="26"/>
          <w:szCs w:val="26"/>
        </w:rPr>
        <w:t>s</w:t>
      </w:r>
      <w:r w:rsidR="00C12DDA" w:rsidRPr="00C12DDA">
        <w:rPr>
          <w:rFonts w:ascii="Arial" w:hAnsi="Arial" w:cs="Arial"/>
          <w:sz w:val="26"/>
          <w:szCs w:val="26"/>
        </w:rPr>
        <w:t xml:space="preserve">e trate de resoluciones cuya ejecución material sea </w:t>
      </w:r>
      <w:r w:rsidR="00875AD2">
        <w:rPr>
          <w:rFonts w:ascii="Arial" w:hAnsi="Arial" w:cs="Arial"/>
          <w:sz w:val="26"/>
          <w:szCs w:val="26"/>
        </w:rPr>
        <w:t xml:space="preserve">de </w:t>
      </w:r>
      <w:r w:rsidR="00C12DDA" w:rsidRPr="00C12DDA">
        <w:rPr>
          <w:rFonts w:ascii="Arial" w:hAnsi="Arial" w:cs="Arial"/>
          <w:sz w:val="26"/>
          <w:szCs w:val="26"/>
        </w:rPr>
        <w:t>imposible reparación.</w:t>
      </w:r>
      <w:r w:rsidR="00B81184">
        <w:rPr>
          <w:rFonts w:ascii="Arial" w:hAnsi="Arial" w:cs="Arial"/>
          <w:sz w:val="26"/>
          <w:szCs w:val="26"/>
        </w:rPr>
        <w:t xml:space="preserve"> - - - - - - - - - - - - - - - - - </w:t>
      </w:r>
    </w:p>
    <w:p w14:paraId="20A0B290" w14:textId="6950C5A8" w:rsidR="00CA4B09" w:rsidRDefault="00875AD2" w:rsidP="00CA4B09">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Supuesto</w:t>
      </w:r>
      <w:r w:rsidR="006B3A8F">
        <w:rPr>
          <w:rFonts w:ascii="Arial" w:eastAsia="Calibri" w:hAnsi="Arial" w:cs="Arial"/>
          <w:bCs/>
          <w:sz w:val="26"/>
          <w:szCs w:val="26"/>
        </w:rPr>
        <w:t>s</w:t>
      </w:r>
      <w:r>
        <w:rPr>
          <w:rFonts w:ascii="Arial" w:eastAsia="Calibri" w:hAnsi="Arial" w:cs="Arial"/>
          <w:bCs/>
          <w:sz w:val="26"/>
          <w:szCs w:val="26"/>
        </w:rPr>
        <w:t xml:space="preserve"> que no se actualizan al caso, pues del escrito inicial de demanda interpuesto por los actores, no se advierte que hayan hecho referencia a ninguna de las condiciones indicadas anteriormente; y, en todo caso, para poder interponer el juicio de nulidad, </w:t>
      </w:r>
      <w:r w:rsidR="006B3A8F">
        <w:rPr>
          <w:rFonts w:ascii="Arial" w:eastAsia="Calibri" w:hAnsi="Arial" w:cs="Arial"/>
          <w:bCs/>
          <w:sz w:val="26"/>
          <w:szCs w:val="26"/>
        </w:rPr>
        <w:t xml:space="preserve">al haberse </w:t>
      </w:r>
      <w:r w:rsidR="006C3A12">
        <w:rPr>
          <w:rFonts w:ascii="Arial" w:eastAsia="Calibri" w:hAnsi="Arial" w:cs="Arial"/>
          <w:bCs/>
          <w:sz w:val="26"/>
          <w:szCs w:val="26"/>
        </w:rPr>
        <w:t>señalado</w:t>
      </w:r>
      <w:r w:rsidR="006B3A8F">
        <w:rPr>
          <w:rFonts w:ascii="Arial" w:eastAsia="Calibri" w:hAnsi="Arial" w:cs="Arial"/>
          <w:bCs/>
          <w:sz w:val="26"/>
          <w:szCs w:val="26"/>
        </w:rPr>
        <w:t xml:space="preserve"> que el pro</w:t>
      </w:r>
      <w:r w:rsidR="006C3A12">
        <w:rPr>
          <w:rFonts w:ascii="Arial" w:eastAsia="Calibri" w:hAnsi="Arial" w:cs="Arial"/>
          <w:bCs/>
          <w:sz w:val="26"/>
          <w:szCs w:val="26"/>
        </w:rPr>
        <w:t>cedimiento coactivo no se ajustó a la L</w:t>
      </w:r>
      <w:r w:rsidR="006B3A8F">
        <w:rPr>
          <w:rFonts w:ascii="Arial" w:eastAsia="Calibri" w:hAnsi="Arial" w:cs="Arial"/>
          <w:bCs/>
          <w:sz w:val="26"/>
          <w:szCs w:val="26"/>
        </w:rPr>
        <w:t xml:space="preserve">ey, </w:t>
      </w:r>
      <w:r>
        <w:rPr>
          <w:rFonts w:ascii="Arial" w:eastAsia="Calibri" w:hAnsi="Arial" w:cs="Arial"/>
          <w:bCs/>
          <w:sz w:val="26"/>
          <w:szCs w:val="26"/>
        </w:rPr>
        <w:t>debe existir la resolución que aprobó el remate, lo cual tampoco acontece</w:t>
      </w:r>
      <w:r w:rsidR="006C3A12">
        <w:rPr>
          <w:rFonts w:ascii="Arial" w:eastAsia="Calibri" w:hAnsi="Arial" w:cs="Arial"/>
          <w:bCs/>
          <w:sz w:val="26"/>
          <w:szCs w:val="26"/>
        </w:rPr>
        <w:t xml:space="preserve"> en el caso</w:t>
      </w:r>
      <w:r>
        <w:rPr>
          <w:rFonts w:ascii="Arial" w:eastAsia="Calibri" w:hAnsi="Arial" w:cs="Arial"/>
          <w:bCs/>
          <w:sz w:val="26"/>
          <w:szCs w:val="26"/>
        </w:rPr>
        <w:t>.</w:t>
      </w:r>
      <w:r w:rsidR="00B928FA">
        <w:rPr>
          <w:rFonts w:ascii="Arial" w:eastAsia="Calibri" w:hAnsi="Arial" w:cs="Arial"/>
          <w:bCs/>
          <w:sz w:val="26"/>
          <w:szCs w:val="26"/>
        </w:rPr>
        <w:t xml:space="preserve">- - - - - - - - - - - - - - - - - - - - - - - - - - - - - - </w:t>
      </w:r>
      <w:r w:rsidR="00B81184">
        <w:rPr>
          <w:rFonts w:ascii="Arial" w:eastAsia="Calibri" w:hAnsi="Arial" w:cs="Arial"/>
          <w:bCs/>
          <w:sz w:val="26"/>
          <w:szCs w:val="26"/>
        </w:rPr>
        <w:t xml:space="preserve">- - - - - - - - - - - - - - - - </w:t>
      </w:r>
    </w:p>
    <w:p w14:paraId="4FEEFE13" w14:textId="4CB52A10" w:rsidR="00CA4B09" w:rsidRDefault="00875AD2" w:rsidP="00CA4B09">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Siendo así, que la demanda interpuesta </w:t>
      </w:r>
      <w:r w:rsidR="006B3A8F">
        <w:rPr>
          <w:rFonts w:ascii="Arial" w:eastAsia="Calibri" w:hAnsi="Arial" w:cs="Arial"/>
          <w:bCs/>
          <w:sz w:val="26"/>
          <w:szCs w:val="26"/>
        </w:rPr>
        <w:t xml:space="preserve">por </w:t>
      </w:r>
      <w:r w:rsidR="00E22997">
        <w:rPr>
          <w:rFonts w:ascii="Arial" w:hAnsi="Arial" w:cs="Arial"/>
          <w:b/>
          <w:sz w:val="26"/>
          <w:szCs w:val="26"/>
        </w:rPr>
        <w:t>***********</w:t>
      </w:r>
      <w:r w:rsidR="00B928FA">
        <w:rPr>
          <w:rFonts w:ascii="Arial" w:hAnsi="Arial" w:cs="Arial"/>
          <w:sz w:val="26"/>
          <w:szCs w:val="26"/>
        </w:rPr>
        <w:t xml:space="preserve">, </w:t>
      </w:r>
      <w:r>
        <w:rPr>
          <w:rFonts w:ascii="Arial" w:eastAsia="Calibri" w:hAnsi="Arial" w:cs="Arial"/>
          <w:bCs/>
          <w:sz w:val="26"/>
          <w:szCs w:val="26"/>
        </w:rPr>
        <w:t xml:space="preserve">resulta </w:t>
      </w:r>
      <w:r w:rsidRPr="00B928FA">
        <w:rPr>
          <w:rFonts w:ascii="Arial" w:eastAsia="Calibri" w:hAnsi="Arial" w:cs="Arial"/>
          <w:b/>
          <w:bCs/>
          <w:sz w:val="26"/>
          <w:szCs w:val="26"/>
        </w:rPr>
        <w:t>improcedente</w:t>
      </w:r>
      <w:r>
        <w:rPr>
          <w:rFonts w:ascii="Arial" w:eastAsia="Calibri" w:hAnsi="Arial" w:cs="Arial"/>
          <w:bCs/>
          <w:sz w:val="26"/>
          <w:szCs w:val="26"/>
        </w:rPr>
        <w:t xml:space="preserve">, conforme lo previsto por </w:t>
      </w:r>
      <w:r w:rsidR="00B928FA">
        <w:rPr>
          <w:rFonts w:ascii="Arial" w:eastAsia="Calibri" w:hAnsi="Arial" w:cs="Arial"/>
          <w:bCs/>
          <w:sz w:val="26"/>
          <w:szCs w:val="26"/>
        </w:rPr>
        <w:t>e</w:t>
      </w:r>
      <w:r>
        <w:rPr>
          <w:rFonts w:ascii="Arial" w:eastAsia="Calibri" w:hAnsi="Arial" w:cs="Arial"/>
          <w:bCs/>
          <w:sz w:val="26"/>
          <w:szCs w:val="26"/>
        </w:rPr>
        <w:t>l artículo 133 fracciones II y VIII; así como el diverso</w:t>
      </w:r>
      <w:r w:rsidR="00B0367C">
        <w:rPr>
          <w:rFonts w:ascii="Arial" w:eastAsia="Calibri" w:hAnsi="Arial" w:cs="Arial"/>
          <w:bCs/>
          <w:sz w:val="26"/>
          <w:szCs w:val="26"/>
        </w:rPr>
        <w:t xml:space="preserve"> </w:t>
      </w:r>
      <w:r w:rsidR="006C3A12">
        <w:rPr>
          <w:rFonts w:ascii="Arial" w:eastAsia="Calibri" w:hAnsi="Arial" w:cs="Arial"/>
          <w:bCs/>
          <w:sz w:val="26"/>
          <w:szCs w:val="26"/>
        </w:rPr>
        <w:t xml:space="preserve">artículo </w:t>
      </w:r>
      <w:r w:rsidR="00B0367C">
        <w:rPr>
          <w:rFonts w:ascii="Arial" w:eastAsia="Calibri" w:hAnsi="Arial" w:cs="Arial"/>
          <w:bCs/>
          <w:sz w:val="26"/>
          <w:szCs w:val="26"/>
        </w:rPr>
        <w:t>1</w:t>
      </w:r>
      <w:r w:rsidR="00B928FA">
        <w:rPr>
          <w:rFonts w:ascii="Arial" w:eastAsia="Calibri" w:hAnsi="Arial" w:cs="Arial"/>
          <w:bCs/>
          <w:sz w:val="26"/>
          <w:szCs w:val="26"/>
        </w:rPr>
        <w:t>61 fracción X</w:t>
      </w:r>
      <w:r w:rsidR="00B928FA">
        <w:rPr>
          <w:rStyle w:val="Refdenotaalpie"/>
          <w:rFonts w:ascii="Arial" w:eastAsia="Calibri" w:hAnsi="Arial" w:cs="Arial"/>
          <w:bCs/>
          <w:sz w:val="26"/>
          <w:szCs w:val="26"/>
        </w:rPr>
        <w:footnoteReference w:id="5"/>
      </w:r>
      <w:r w:rsidR="00B928FA">
        <w:rPr>
          <w:rFonts w:ascii="Arial" w:eastAsia="Calibri" w:hAnsi="Arial" w:cs="Arial"/>
          <w:bCs/>
          <w:sz w:val="26"/>
          <w:szCs w:val="26"/>
        </w:rPr>
        <w:t xml:space="preserve">; ambos de la Ley de Procedimiento y Justicia Administrativa para el Estado de </w:t>
      </w:r>
      <w:proofErr w:type="gramStart"/>
      <w:r w:rsidR="00B928FA">
        <w:rPr>
          <w:rFonts w:ascii="Arial" w:eastAsia="Calibri" w:hAnsi="Arial" w:cs="Arial"/>
          <w:bCs/>
          <w:sz w:val="26"/>
          <w:szCs w:val="26"/>
        </w:rPr>
        <w:t>Oaxaca.-</w:t>
      </w:r>
      <w:proofErr w:type="gramEnd"/>
      <w:r w:rsidR="00B928FA">
        <w:rPr>
          <w:rFonts w:ascii="Arial" w:eastAsia="Calibri" w:hAnsi="Arial" w:cs="Arial"/>
          <w:bCs/>
          <w:sz w:val="26"/>
          <w:szCs w:val="26"/>
        </w:rPr>
        <w:t xml:space="preserve"> - - </w:t>
      </w:r>
    </w:p>
    <w:p w14:paraId="1E960ED9" w14:textId="04BC9020" w:rsidR="00B459FE" w:rsidRDefault="00B928FA" w:rsidP="00CA4B09">
      <w:pPr>
        <w:spacing w:before="240" w:line="360" w:lineRule="auto"/>
        <w:ind w:firstLine="708"/>
        <w:jc w:val="both"/>
        <w:rPr>
          <w:rFonts w:ascii="Arial" w:eastAsia="Calibri" w:hAnsi="Arial" w:cs="Arial"/>
          <w:bCs/>
          <w:sz w:val="26"/>
          <w:szCs w:val="26"/>
        </w:rPr>
      </w:pPr>
      <w:r w:rsidRPr="00B928FA">
        <w:rPr>
          <w:rFonts w:ascii="Arial" w:eastAsia="Calibri" w:hAnsi="Arial" w:cs="Arial"/>
          <w:b/>
          <w:bCs/>
          <w:sz w:val="26"/>
          <w:szCs w:val="26"/>
        </w:rPr>
        <w:t>En cuanto</w:t>
      </w:r>
      <w:r>
        <w:rPr>
          <w:rFonts w:ascii="Arial" w:eastAsia="Calibri" w:hAnsi="Arial" w:cs="Arial"/>
          <w:b/>
          <w:bCs/>
          <w:sz w:val="26"/>
          <w:szCs w:val="26"/>
        </w:rPr>
        <w:t xml:space="preserve"> </w:t>
      </w:r>
      <w:r w:rsidRPr="00B928FA">
        <w:rPr>
          <w:rFonts w:ascii="Arial" w:eastAsia="Calibri" w:hAnsi="Arial" w:cs="Arial"/>
          <w:bCs/>
          <w:sz w:val="26"/>
          <w:szCs w:val="26"/>
        </w:rPr>
        <w:t>a la</w:t>
      </w:r>
      <w:r>
        <w:rPr>
          <w:rFonts w:ascii="Arial" w:eastAsia="Calibri" w:hAnsi="Arial" w:cs="Arial"/>
          <w:b/>
          <w:bCs/>
          <w:sz w:val="26"/>
          <w:szCs w:val="26"/>
        </w:rPr>
        <w:t xml:space="preserve"> </w:t>
      </w:r>
      <w:r w:rsidRPr="00B928FA">
        <w:rPr>
          <w:rFonts w:ascii="Arial" w:eastAsia="Calibri" w:hAnsi="Arial" w:cs="Arial"/>
          <w:bCs/>
          <w:sz w:val="26"/>
          <w:szCs w:val="26"/>
        </w:rPr>
        <w:t>nulidad</w:t>
      </w:r>
      <w:r>
        <w:rPr>
          <w:rFonts w:ascii="Arial" w:eastAsia="Calibri" w:hAnsi="Arial" w:cs="Arial"/>
          <w:bCs/>
          <w:sz w:val="26"/>
          <w:szCs w:val="26"/>
        </w:rPr>
        <w:t xml:space="preserve"> de las resoluciones determinantes </w:t>
      </w:r>
      <w:r w:rsidR="00E22997">
        <w:rPr>
          <w:rFonts w:ascii="Arial" w:hAnsi="Arial" w:cs="Arial"/>
          <w:b/>
          <w:sz w:val="26"/>
          <w:szCs w:val="26"/>
        </w:rPr>
        <w:t>***********</w:t>
      </w:r>
      <w:r w:rsidR="0032044E">
        <w:rPr>
          <w:rFonts w:ascii="Arial" w:eastAsia="Calibri" w:hAnsi="Arial" w:cs="Arial"/>
          <w:bCs/>
          <w:sz w:val="26"/>
          <w:szCs w:val="26"/>
        </w:rPr>
        <w:t>;</w:t>
      </w:r>
      <w:r>
        <w:rPr>
          <w:rFonts w:ascii="Arial" w:eastAsia="Calibri" w:hAnsi="Arial" w:cs="Arial"/>
          <w:bCs/>
          <w:sz w:val="26"/>
          <w:szCs w:val="26"/>
        </w:rPr>
        <w:t xml:space="preserve"> de fechas </w:t>
      </w:r>
      <w:r w:rsidR="0032044E">
        <w:rPr>
          <w:rFonts w:ascii="Arial" w:eastAsia="Calibri" w:hAnsi="Arial" w:cs="Arial"/>
          <w:bCs/>
          <w:sz w:val="26"/>
          <w:szCs w:val="26"/>
        </w:rPr>
        <w:t xml:space="preserve">diecisiete y veintisiete de junio, ambas de dos mil quince; tres de mayo y diecinueve de septiembre, ambas de dos mil dieciséis; </w:t>
      </w:r>
      <w:r>
        <w:rPr>
          <w:rFonts w:ascii="Arial" w:eastAsia="Calibri" w:hAnsi="Arial" w:cs="Arial"/>
          <w:bCs/>
          <w:sz w:val="26"/>
          <w:szCs w:val="26"/>
        </w:rPr>
        <w:t>emitidas por la Auditoría Superior del Estado;</w:t>
      </w:r>
      <w:r w:rsidR="0032044E">
        <w:rPr>
          <w:rFonts w:ascii="Arial" w:eastAsia="Calibri" w:hAnsi="Arial" w:cs="Arial"/>
          <w:bCs/>
          <w:sz w:val="26"/>
          <w:szCs w:val="26"/>
        </w:rPr>
        <w:t xml:space="preserve"> del mismo modo son </w:t>
      </w:r>
      <w:r w:rsidR="0032044E" w:rsidRPr="00B459FE">
        <w:rPr>
          <w:rFonts w:ascii="Arial" w:eastAsia="Calibri" w:hAnsi="Arial" w:cs="Arial"/>
          <w:b/>
          <w:bCs/>
          <w:sz w:val="26"/>
          <w:szCs w:val="26"/>
        </w:rPr>
        <w:t>improcedentes</w:t>
      </w:r>
      <w:r w:rsidR="006C3A12">
        <w:rPr>
          <w:rFonts w:ascii="Arial" w:eastAsia="Calibri" w:hAnsi="Arial" w:cs="Arial"/>
          <w:b/>
          <w:bCs/>
          <w:sz w:val="26"/>
          <w:szCs w:val="26"/>
        </w:rPr>
        <w:t xml:space="preserve"> </w:t>
      </w:r>
      <w:r w:rsidR="006C3A12" w:rsidRPr="006C3A12">
        <w:rPr>
          <w:rFonts w:ascii="Arial" w:eastAsia="Calibri" w:hAnsi="Arial" w:cs="Arial"/>
          <w:bCs/>
          <w:sz w:val="26"/>
          <w:szCs w:val="26"/>
        </w:rPr>
        <w:t>para</w:t>
      </w:r>
      <w:r w:rsidR="006C3A12">
        <w:rPr>
          <w:rFonts w:ascii="Arial" w:eastAsia="Calibri" w:hAnsi="Arial" w:cs="Arial"/>
          <w:bCs/>
          <w:sz w:val="26"/>
          <w:szCs w:val="26"/>
        </w:rPr>
        <w:t xml:space="preserve"> conocerse y resolverse por la </w:t>
      </w:r>
      <w:r w:rsidR="00B0367C">
        <w:rPr>
          <w:rFonts w:ascii="Arial" w:eastAsia="Calibri" w:hAnsi="Arial" w:cs="Arial"/>
          <w:bCs/>
          <w:sz w:val="26"/>
          <w:szCs w:val="26"/>
        </w:rPr>
        <w:t xml:space="preserve">Segunda Sala de </w:t>
      </w:r>
      <w:r w:rsidR="006C3A12">
        <w:rPr>
          <w:rFonts w:ascii="Arial" w:eastAsia="Calibri" w:hAnsi="Arial" w:cs="Arial"/>
          <w:bCs/>
          <w:sz w:val="26"/>
          <w:szCs w:val="26"/>
        </w:rPr>
        <w:t>Primera Instancia de este Tribunal</w:t>
      </w:r>
      <w:r w:rsidR="0032044E">
        <w:rPr>
          <w:rFonts w:ascii="Arial" w:eastAsia="Calibri" w:hAnsi="Arial" w:cs="Arial"/>
          <w:bCs/>
          <w:sz w:val="26"/>
          <w:szCs w:val="26"/>
        </w:rPr>
        <w:t>; toda vez que</w:t>
      </w:r>
      <w:r w:rsidR="006C3A12">
        <w:rPr>
          <w:rFonts w:ascii="Arial" w:eastAsia="Calibri" w:hAnsi="Arial" w:cs="Arial"/>
          <w:bCs/>
          <w:sz w:val="26"/>
          <w:szCs w:val="26"/>
        </w:rPr>
        <w:t>,</w:t>
      </w:r>
      <w:r w:rsidR="0032044E">
        <w:rPr>
          <w:rFonts w:ascii="Arial" w:eastAsia="Calibri" w:hAnsi="Arial" w:cs="Arial"/>
          <w:bCs/>
          <w:sz w:val="26"/>
          <w:szCs w:val="26"/>
        </w:rPr>
        <w:t xml:space="preserve"> conforme lo dispuesto por los artículos </w:t>
      </w:r>
      <w:r w:rsidR="00774F96">
        <w:rPr>
          <w:rFonts w:ascii="Arial" w:eastAsia="Calibri" w:hAnsi="Arial" w:cs="Arial"/>
          <w:bCs/>
          <w:sz w:val="26"/>
          <w:szCs w:val="26"/>
        </w:rPr>
        <w:t>114 QUÁ</w:t>
      </w:r>
      <w:r w:rsidR="00E2397D">
        <w:rPr>
          <w:rFonts w:ascii="Arial" w:eastAsia="Calibri" w:hAnsi="Arial" w:cs="Arial"/>
          <w:bCs/>
          <w:sz w:val="26"/>
          <w:szCs w:val="26"/>
        </w:rPr>
        <w:t xml:space="preserve">TER primer párrafo de la Constitución Política del Estado Libre y Soberano de Oaxaca; 24 fracción I de la Ley Orgánica del Tribunal de Justicia Administrativa para el Estado de Oaxaca; </w:t>
      </w:r>
      <w:r w:rsidR="0032044E">
        <w:rPr>
          <w:rFonts w:ascii="Arial" w:eastAsia="Calibri" w:hAnsi="Arial" w:cs="Arial"/>
          <w:bCs/>
          <w:sz w:val="26"/>
          <w:szCs w:val="26"/>
        </w:rPr>
        <w:t>1</w:t>
      </w:r>
      <w:r w:rsidR="000E1D54">
        <w:rPr>
          <w:rFonts w:ascii="Arial" w:eastAsia="Calibri" w:hAnsi="Arial" w:cs="Arial"/>
          <w:bCs/>
          <w:sz w:val="26"/>
          <w:szCs w:val="26"/>
        </w:rPr>
        <w:t xml:space="preserve"> y</w:t>
      </w:r>
      <w:r w:rsidR="0032044E">
        <w:rPr>
          <w:rFonts w:ascii="Arial" w:eastAsia="Calibri" w:hAnsi="Arial" w:cs="Arial"/>
          <w:bCs/>
          <w:sz w:val="26"/>
          <w:szCs w:val="26"/>
        </w:rPr>
        <w:t xml:space="preserve"> 2</w:t>
      </w:r>
      <w:r w:rsidR="000E1D54">
        <w:rPr>
          <w:rFonts w:ascii="Arial" w:eastAsia="Calibri" w:hAnsi="Arial" w:cs="Arial"/>
          <w:bCs/>
          <w:sz w:val="26"/>
          <w:szCs w:val="26"/>
        </w:rPr>
        <w:t xml:space="preserve"> </w:t>
      </w:r>
      <w:r w:rsidR="0032044E">
        <w:rPr>
          <w:rFonts w:ascii="Arial" w:eastAsia="Calibri" w:hAnsi="Arial" w:cs="Arial"/>
          <w:bCs/>
          <w:sz w:val="26"/>
          <w:szCs w:val="26"/>
        </w:rPr>
        <w:t xml:space="preserve">de la Ley de Justicia de Fiscalización y Rendición de Cuentas para el Estado de Oaxaca, el examen de la legalidad de </w:t>
      </w:r>
      <w:r w:rsidR="00FE7920">
        <w:rPr>
          <w:rFonts w:ascii="Arial" w:eastAsia="Calibri" w:hAnsi="Arial" w:cs="Arial"/>
          <w:bCs/>
          <w:sz w:val="26"/>
          <w:szCs w:val="26"/>
        </w:rPr>
        <w:t>las</w:t>
      </w:r>
      <w:r w:rsidR="0032044E">
        <w:rPr>
          <w:rFonts w:ascii="Arial" w:eastAsia="Calibri" w:hAnsi="Arial" w:cs="Arial"/>
          <w:bCs/>
          <w:sz w:val="26"/>
          <w:szCs w:val="26"/>
        </w:rPr>
        <w:t xml:space="preserve"> resoluciones </w:t>
      </w:r>
      <w:r w:rsidR="0060329E">
        <w:rPr>
          <w:rFonts w:ascii="Arial" w:eastAsia="Calibri" w:hAnsi="Arial" w:cs="Arial"/>
          <w:bCs/>
          <w:sz w:val="26"/>
          <w:szCs w:val="26"/>
        </w:rPr>
        <w:t xml:space="preserve">emitidas por la Auditoría Superior del Estado, hoy Órgano Superior de Fiscalización del Estado de Oaxaca, </w:t>
      </w:r>
      <w:r w:rsidR="0032044E">
        <w:rPr>
          <w:rFonts w:ascii="Arial" w:eastAsia="Calibri" w:hAnsi="Arial" w:cs="Arial"/>
          <w:bCs/>
          <w:sz w:val="26"/>
          <w:szCs w:val="26"/>
        </w:rPr>
        <w:t xml:space="preserve">corresponde conocer </w:t>
      </w:r>
      <w:r w:rsidR="0060329E">
        <w:rPr>
          <w:rFonts w:ascii="Arial" w:eastAsia="Calibri" w:hAnsi="Arial" w:cs="Arial"/>
          <w:bCs/>
          <w:sz w:val="26"/>
          <w:szCs w:val="26"/>
        </w:rPr>
        <w:t xml:space="preserve">y resolver </w:t>
      </w:r>
      <w:r w:rsidR="0032044E">
        <w:rPr>
          <w:rFonts w:ascii="Arial" w:eastAsia="Calibri" w:hAnsi="Arial" w:cs="Arial"/>
          <w:bCs/>
          <w:sz w:val="26"/>
          <w:szCs w:val="26"/>
        </w:rPr>
        <w:t>a la Sala Superior de este Tribunal, mediante el Juicio de inconformidad</w:t>
      </w:r>
      <w:r w:rsidR="00B459FE">
        <w:rPr>
          <w:rFonts w:ascii="Arial" w:eastAsia="Calibri" w:hAnsi="Arial" w:cs="Arial"/>
          <w:bCs/>
          <w:sz w:val="26"/>
          <w:szCs w:val="26"/>
        </w:rPr>
        <w:t>:</w:t>
      </w:r>
      <w:r w:rsidR="00B81184">
        <w:rPr>
          <w:rFonts w:ascii="Arial" w:eastAsia="Calibri" w:hAnsi="Arial" w:cs="Arial"/>
          <w:bCs/>
          <w:sz w:val="26"/>
          <w:szCs w:val="26"/>
        </w:rPr>
        <w:t xml:space="preserve"> - - - - - - - - - - - - - - - - - - - - - - - - -</w:t>
      </w:r>
    </w:p>
    <w:p w14:paraId="7DC45C8A" w14:textId="77777777" w:rsidR="00E2397D" w:rsidRPr="0060329E" w:rsidRDefault="00E2397D" w:rsidP="00B81184">
      <w:pPr>
        <w:spacing w:after="0" w:line="360" w:lineRule="auto"/>
        <w:ind w:firstLine="708"/>
        <w:jc w:val="both"/>
        <w:rPr>
          <w:rFonts w:ascii="Arial" w:eastAsia="Calibri" w:hAnsi="Arial" w:cs="Arial"/>
          <w:b/>
          <w:bCs/>
          <w:sz w:val="26"/>
          <w:szCs w:val="26"/>
        </w:rPr>
      </w:pPr>
      <w:r w:rsidRPr="0060329E">
        <w:rPr>
          <w:rFonts w:ascii="Arial" w:eastAsia="Calibri" w:hAnsi="Arial" w:cs="Arial"/>
          <w:b/>
          <w:bCs/>
          <w:sz w:val="26"/>
          <w:szCs w:val="26"/>
        </w:rPr>
        <w:t>Constitución Política del Estado Libre y Soberano de Oaxaca:</w:t>
      </w:r>
    </w:p>
    <w:p w14:paraId="711F25CC" w14:textId="77777777" w:rsidR="00E2397D" w:rsidRPr="00E2397D" w:rsidRDefault="00E2397D" w:rsidP="00B81184">
      <w:pPr>
        <w:pStyle w:val="Sinespaciado"/>
        <w:spacing w:line="360" w:lineRule="auto"/>
        <w:ind w:left="1134" w:right="616"/>
        <w:jc w:val="both"/>
        <w:rPr>
          <w:rFonts w:ascii="Arial" w:hAnsi="Arial" w:cs="Arial"/>
          <w:i/>
          <w:sz w:val="24"/>
          <w:szCs w:val="24"/>
        </w:rPr>
      </w:pPr>
      <w:r w:rsidRPr="00E2397D">
        <w:rPr>
          <w:rFonts w:ascii="Arial" w:hAnsi="Arial" w:cs="Arial"/>
          <w:sz w:val="26"/>
          <w:szCs w:val="26"/>
        </w:rPr>
        <w:t>“</w:t>
      </w:r>
      <w:r w:rsidRPr="00E2397D">
        <w:rPr>
          <w:rFonts w:ascii="Arial" w:hAnsi="Arial" w:cs="Arial"/>
          <w:b/>
          <w:i/>
          <w:sz w:val="24"/>
          <w:szCs w:val="24"/>
        </w:rPr>
        <w:t xml:space="preserve">Artículo 114 </w:t>
      </w:r>
      <w:proofErr w:type="gramStart"/>
      <w:r w:rsidRPr="00E2397D">
        <w:rPr>
          <w:rFonts w:ascii="Arial" w:hAnsi="Arial" w:cs="Arial"/>
          <w:b/>
          <w:i/>
          <w:sz w:val="24"/>
          <w:szCs w:val="24"/>
        </w:rPr>
        <w:t>QUÁTER</w:t>
      </w:r>
      <w:r w:rsidRPr="00E2397D">
        <w:rPr>
          <w:rFonts w:ascii="Arial" w:hAnsi="Arial" w:cs="Arial"/>
          <w:i/>
          <w:sz w:val="24"/>
          <w:szCs w:val="24"/>
        </w:rPr>
        <w:t>.-</w:t>
      </w:r>
      <w:proofErr w:type="gramEnd"/>
      <w:r w:rsidRPr="00E2397D">
        <w:rPr>
          <w:rFonts w:ascii="Arial" w:hAnsi="Arial" w:cs="Arial"/>
          <w:i/>
          <w:sz w:val="24"/>
          <w:szCs w:val="24"/>
        </w:rPr>
        <w:t xml:space="preserve"> El Tribunal de Justicia Administrativa del Estado de Oaxaca, es la máxima autoridad jurisdiccional en materia de fiscalización, rendición de cuentas, responsabilidad de los servidores públicos, combate a la corrupción e impartición de Justicia Administrativa, estará dotado de plena autonomía para dictar sus fallos, establecer su organización, funcionamiento, procedimientos y su presupuesto.</w:t>
      </w:r>
    </w:p>
    <w:p w14:paraId="52F9F320" w14:textId="77777777" w:rsidR="00E2397D" w:rsidRPr="00E2397D" w:rsidRDefault="00E2397D" w:rsidP="00B81184">
      <w:pPr>
        <w:pStyle w:val="Sinespaciado"/>
        <w:spacing w:line="360" w:lineRule="auto"/>
        <w:ind w:left="1134"/>
        <w:jc w:val="both"/>
        <w:rPr>
          <w:rFonts w:ascii="Arial" w:eastAsia="Calibri" w:hAnsi="Arial" w:cs="Arial"/>
          <w:bCs/>
          <w:sz w:val="24"/>
          <w:szCs w:val="24"/>
        </w:rPr>
      </w:pPr>
      <w:r w:rsidRPr="00E2397D">
        <w:rPr>
          <w:rFonts w:ascii="Arial" w:hAnsi="Arial" w:cs="Arial"/>
          <w:i/>
          <w:sz w:val="24"/>
          <w:szCs w:val="24"/>
        </w:rPr>
        <w:t>…</w:t>
      </w:r>
      <w:r w:rsidRPr="00E2397D">
        <w:rPr>
          <w:rFonts w:ascii="Arial" w:hAnsi="Arial" w:cs="Arial"/>
          <w:sz w:val="26"/>
          <w:szCs w:val="26"/>
        </w:rPr>
        <w:t>”</w:t>
      </w:r>
    </w:p>
    <w:p w14:paraId="59F101BE" w14:textId="77777777" w:rsidR="00CA4B09" w:rsidRPr="0060329E" w:rsidRDefault="00E2397D" w:rsidP="00B81184">
      <w:pPr>
        <w:spacing w:after="0" w:line="360" w:lineRule="auto"/>
        <w:ind w:firstLine="708"/>
        <w:jc w:val="both"/>
        <w:rPr>
          <w:rFonts w:ascii="Arial" w:eastAsia="Calibri" w:hAnsi="Arial" w:cs="Arial"/>
          <w:b/>
          <w:bCs/>
          <w:sz w:val="26"/>
          <w:szCs w:val="26"/>
        </w:rPr>
      </w:pPr>
      <w:r w:rsidRPr="0060329E">
        <w:rPr>
          <w:rFonts w:ascii="Arial" w:eastAsia="Calibri" w:hAnsi="Arial" w:cs="Arial"/>
          <w:b/>
          <w:bCs/>
          <w:sz w:val="26"/>
          <w:szCs w:val="26"/>
        </w:rPr>
        <w:t>Ley Orgánica del Tribunal de Justicia Administrativa para el Estado de Oaxaca:</w:t>
      </w:r>
    </w:p>
    <w:p w14:paraId="0DDCBE2D" w14:textId="77777777" w:rsidR="00E2397D" w:rsidRDefault="00E2397D" w:rsidP="00B81184">
      <w:pPr>
        <w:spacing w:after="0" w:line="360" w:lineRule="auto"/>
        <w:ind w:left="1134" w:right="616"/>
        <w:jc w:val="both"/>
        <w:rPr>
          <w:rFonts w:ascii="Arial" w:eastAsia="Calibri" w:hAnsi="Arial" w:cs="Arial"/>
          <w:bCs/>
          <w:sz w:val="26"/>
          <w:szCs w:val="26"/>
        </w:rPr>
      </w:pPr>
      <w:r>
        <w:rPr>
          <w:rFonts w:ascii="Arial" w:eastAsia="Calibri" w:hAnsi="Arial" w:cs="Arial"/>
          <w:bCs/>
          <w:sz w:val="26"/>
          <w:szCs w:val="26"/>
        </w:rPr>
        <w:t>“Artículo 24. Son atribuciones de la Sala Superior:</w:t>
      </w:r>
    </w:p>
    <w:p w14:paraId="68788A41" w14:textId="77777777" w:rsidR="0060329E" w:rsidRDefault="00E2397D" w:rsidP="00B81184">
      <w:pPr>
        <w:spacing w:after="0" w:line="360" w:lineRule="auto"/>
        <w:ind w:left="1134" w:right="616"/>
        <w:jc w:val="both"/>
        <w:rPr>
          <w:rFonts w:ascii="Arial" w:eastAsia="Calibri" w:hAnsi="Arial" w:cs="Arial"/>
          <w:bCs/>
          <w:sz w:val="26"/>
          <w:szCs w:val="26"/>
        </w:rPr>
      </w:pPr>
      <w:r>
        <w:rPr>
          <w:rFonts w:ascii="Arial" w:eastAsia="Calibri" w:hAnsi="Arial" w:cs="Arial"/>
          <w:bCs/>
          <w:sz w:val="26"/>
          <w:szCs w:val="26"/>
        </w:rPr>
        <w:t>I. Resolver el recurso de revisión y Juicio de Inconformidad previstos en la Ley</w:t>
      </w:r>
      <w:r w:rsidR="0060329E">
        <w:rPr>
          <w:rFonts w:ascii="Arial" w:eastAsia="Calibri" w:hAnsi="Arial" w:cs="Arial"/>
          <w:bCs/>
          <w:sz w:val="26"/>
          <w:szCs w:val="26"/>
        </w:rPr>
        <w:t>;</w:t>
      </w:r>
    </w:p>
    <w:p w14:paraId="735CCB82" w14:textId="77777777" w:rsidR="00CA4B09" w:rsidRDefault="0060329E" w:rsidP="00B81184">
      <w:pPr>
        <w:spacing w:after="0" w:line="360" w:lineRule="auto"/>
        <w:ind w:left="1134" w:right="616"/>
        <w:jc w:val="both"/>
        <w:rPr>
          <w:rFonts w:ascii="Arial" w:eastAsia="Calibri" w:hAnsi="Arial" w:cs="Arial"/>
          <w:bCs/>
          <w:sz w:val="26"/>
          <w:szCs w:val="26"/>
        </w:rPr>
      </w:pPr>
      <w:r>
        <w:rPr>
          <w:rFonts w:ascii="Arial" w:eastAsia="Calibri" w:hAnsi="Arial" w:cs="Arial"/>
          <w:bCs/>
          <w:sz w:val="26"/>
          <w:szCs w:val="26"/>
        </w:rPr>
        <w:t>…”</w:t>
      </w:r>
    </w:p>
    <w:p w14:paraId="49F829A5" w14:textId="77777777" w:rsidR="0060329E" w:rsidRPr="0060329E" w:rsidRDefault="0060329E" w:rsidP="00B81184">
      <w:pPr>
        <w:tabs>
          <w:tab w:val="left" w:pos="8080"/>
        </w:tabs>
        <w:spacing w:after="0" w:line="360" w:lineRule="auto"/>
        <w:ind w:right="49" w:firstLine="708"/>
        <w:jc w:val="both"/>
        <w:rPr>
          <w:rFonts w:ascii="Arial" w:eastAsia="Calibri" w:hAnsi="Arial" w:cs="Arial"/>
          <w:b/>
          <w:bCs/>
          <w:sz w:val="26"/>
          <w:szCs w:val="26"/>
        </w:rPr>
      </w:pPr>
      <w:r w:rsidRPr="0060329E">
        <w:rPr>
          <w:rFonts w:ascii="Arial" w:eastAsia="Calibri" w:hAnsi="Arial" w:cs="Arial"/>
          <w:b/>
          <w:bCs/>
          <w:sz w:val="26"/>
          <w:szCs w:val="26"/>
        </w:rPr>
        <w:t>Ley de Justicia de Fiscalización y Rendición de Cuentas para el Estado de Oaxaca:</w:t>
      </w:r>
    </w:p>
    <w:p w14:paraId="50627CAD" w14:textId="77777777" w:rsidR="0060329E" w:rsidRPr="00B459FE" w:rsidRDefault="0060329E" w:rsidP="00B81184">
      <w:pPr>
        <w:spacing w:after="0" w:line="360" w:lineRule="auto"/>
        <w:ind w:left="1134" w:right="616"/>
        <w:jc w:val="both"/>
        <w:rPr>
          <w:rFonts w:ascii="Arial" w:eastAsia="Calibri" w:hAnsi="Arial" w:cs="Arial"/>
          <w:bCs/>
          <w:i/>
          <w:sz w:val="24"/>
          <w:szCs w:val="24"/>
        </w:rPr>
      </w:pPr>
      <w:r>
        <w:rPr>
          <w:rFonts w:ascii="Arial" w:eastAsia="Calibri" w:hAnsi="Arial" w:cs="Arial"/>
          <w:bCs/>
          <w:sz w:val="26"/>
          <w:szCs w:val="26"/>
        </w:rPr>
        <w:t>“</w:t>
      </w:r>
      <w:r w:rsidRPr="00B459FE">
        <w:rPr>
          <w:rFonts w:ascii="Arial" w:eastAsia="Calibri" w:hAnsi="Arial" w:cs="Arial"/>
          <w:b/>
          <w:bCs/>
          <w:i/>
          <w:sz w:val="24"/>
          <w:szCs w:val="24"/>
        </w:rPr>
        <w:t xml:space="preserve">Artículo 1.- </w:t>
      </w:r>
      <w:r w:rsidRPr="00B459FE">
        <w:rPr>
          <w:rFonts w:ascii="Arial" w:eastAsia="Calibri" w:hAnsi="Arial" w:cs="Arial"/>
          <w:bCs/>
          <w:i/>
          <w:sz w:val="24"/>
          <w:szCs w:val="24"/>
        </w:rPr>
        <w:t>La presente Ley es de orden público, de observancia general en todo el territorio del Estado de Oaxaca y Reglamentaría del primer párrafo, fracción VII, y segundo párrafo, fracciones I, IV y VII, del Artículo 111 de la Constitución Política del Estado Libre y Soberano del Estado de Oaxaca, tiene por objeto garantizar que los actos y resoluciones de la Auditoría  Superior del Estado, previstos en el artículo 2 de la presente Ley se sujeten a los principios de legalidad, definitividad y demás principios constitucionales, a través del Juicio de Inconformidad, cuyo trámite y resolución corresponde conocer al Tribunal de lo Contencioso Administrativo y de Cuentas del Poder Judicial del Estado.</w:t>
      </w:r>
    </w:p>
    <w:p w14:paraId="6D55DB9A" w14:textId="77777777" w:rsidR="0060329E" w:rsidRDefault="0060329E" w:rsidP="00B81184">
      <w:pPr>
        <w:spacing w:after="0" w:line="360" w:lineRule="auto"/>
        <w:ind w:left="1134" w:right="616"/>
        <w:jc w:val="both"/>
        <w:rPr>
          <w:rFonts w:ascii="Arial" w:eastAsia="Calibri" w:hAnsi="Arial" w:cs="Arial"/>
          <w:bCs/>
          <w:sz w:val="26"/>
          <w:szCs w:val="26"/>
        </w:rPr>
      </w:pPr>
      <w:r w:rsidRPr="00B459FE">
        <w:rPr>
          <w:rFonts w:ascii="Arial" w:eastAsia="Calibri" w:hAnsi="Arial" w:cs="Arial"/>
          <w:b/>
          <w:bCs/>
          <w:i/>
          <w:sz w:val="24"/>
          <w:szCs w:val="24"/>
        </w:rPr>
        <w:t xml:space="preserve">Artículo 2.- </w:t>
      </w:r>
      <w:r w:rsidRPr="00B459FE">
        <w:rPr>
          <w:rFonts w:ascii="Arial" w:eastAsia="Calibri" w:hAnsi="Arial" w:cs="Arial"/>
          <w:bCs/>
          <w:i/>
          <w:sz w:val="24"/>
          <w:szCs w:val="24"/>
        </w:rPr>
        <w:t>Corresponde al Tribunal de lo Contencioso Administrativo y de Cuentas del Poder Judicial del Estado, conocer y resolver las controversias a las que se refieren las fracciones I y II del artículo 146 de la Ley Orgánica.</w:t>
      </w:r>
      <w:r>
        <w:rPr>
          <w:rFonts w:ascii="Arial" w:eastAsia="Calibri" w:hAnsi="Arial" w:cs="Arial"/>
          <w:bCs/>
          <w:sz w:val="26"/>
          <w:szCs w:val="26"/>
        </w:rPr>
        <w:t>”</w:t>
      </w:r>
    </w:p>
    <w:p w14:paraId="11D68C39" w14:textId="5EA0B5C3" w:rsidR="007B4718" w:rsidRDefault="00322B0A" w:rsidP="005973BA">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Consecuentemente, </w:t>
      </w:r>
      <w:r w:rsidRPr="0060329E">
        <w:rPr>
          <w:rFonts w:ascii="Arial" w:eastAsia="Calibri" w:hAnsi="Arial" w:cs="Arial"/>
          <w:bCs/>
          <w:sz w:val="26"/>
          <w:szCs w:val="26"/>
        </w:rPr>
        <w:t>al resultar</w:t>
      </w:r>
      <w:r w:rsidRPr="005117C3">
        <w:rPr>
          <w:rFonts w:ascii="Arial" w:eastAsia="Calibri" w:hAnsi="Arial" w:cs="Arial"/>
          <w:b/>
          <w:bCs/>
          <w:sz w:val="26"/>
          <w:szCs w:val="26"/>
        </w:rPr>
        <w:t xml:space="preserve"> </w:t>
      </w:r>
      <w:r w:rsidR="0060329E">
        <w:rPr>
          <w:rFonts w:ascii="Arial" w:eastAsia="Calibri" w:hAnsi="Arial" w:cs="Arial"/>
          <w:b/>
          <w:bCs/>
          <w:sz w:val="26"/>
          <w:szCs w:val="26"/>
        </w:rPr>
        <w:t>in</w:t>
      </w:r>
      <w:r w:rsidRPr="005117C3">
        <w:rPr>
          <w:rFonts w:ascii="Arial" w:eastAsia="Calibri" w:hAnsi="Arial" w:cs="Arial"/>
          <w:b/>
          <w:bCs/>
          <w:sz w:val="26"/>
          <w:szCs w:val="26"/>
        </w:rPr>
        <w:t xml:space="preserve">fundados </w:t>
      </w:r>
      <w:r w:rsidRPr="0060329E">
        <w:rPr>
          <w:rFonts w:ascii="Arial" w:eastAsia="Calibri" w:hAnsi="Arial" w:cs="Arial"/>
          <w:bCs/>
          <w:sz w:val="26"/>
          <w:szCs w:val="26"/>
        </w:rPr>
        <w:t>los agravios expuesto</w:t>
      </w:r>
      <w:r w:rsidR="00867B6C">
        <w:rPr>
          <w:rFonts w:ascii="Arial" w:eastAsia="Calibri" w:hAnsi="Arial" w:cs="Arial"/>
          <w:bCs/>
          <w:sz w:val="26"/>
          <w:szCs w:val="26"/>
        </w:rPr>
        <w:t>s</w:t>
      </w:r>
      <w:r w:rsidRPr="0060329E">
        <w:rPr>
          <w:rFonts w:ascii="Arial" w:eastAsia="Calibri" w:hAnsi="Arial" w:cs="Arial"/>
          <w:bCs/>
          <w:sz w:val="26"/>
          <w:szCs w:val="26"/>
        </w:rPr>
        <w:t xml:space="preserve"> por l</w:t>
      </w:r>
      <w:r w:rsidR="0060329E">
        <w:rPr>
          <w:rFonts w:ascii="Arial" w:eastAsia="Calibri" w:hAnsi="Arial" w:cs="Arial"/>
          <w:bCs/>
          <w:sz w:val="26"/>
          <w:szCs w:val="26"/>
        </w:rPr>
        <w:t>os recurrentes</w:t>
      </w:r>
      <w:r>
        <w:rPr>
          <w:rFonts w:ascii="Arial" w:eastAsia="Calibri" w:hAnsi="Arial" w:cs="Arial"/>
          <w:bCs/>
          <w:sz w:val="26"/>
          <w:szCs w:val="26"/>
        </w:rPr>
        <w:t xml:space="preserve">, </w:t>
      </w:r>
      <w:r w:rsidR="007B4718">
        <w:rPr>
          <w:rFonts w:ascii="Arial" w:eastAsia="Calibri" w:hAnsi="Arial" w:cs="Arial"/>
          <w:bCs/>
          <w:sz w:val="26"/>
          <w:szCs w:val="26"/>
        </w:rPr>
        <w:t xml:space="preserve">dada las razones expuestas en la presente resolución, </w:t>
      </w:r>
      <w:r>
        <w:rPr>
          <w:rFonts w:ascii="Arial" w:eastAsia="Calibri" w:hAnsi="Arial" w:cs="Arial"/>
          <w:bCs/>
          <w:sz w:val="26"/>
          <w:szCs w:val="26"/>
        </w:rPr>
        <w:t xml:space="preserve">lo procedente es </w:t>
      </w:r>
      <w:r w:rsidR="003D4D83">
        <w:rPr>
          <w:rFonts w:ascii="Arial" w:eastAsia="Calibri" w:hAnsi="Arial" w:cs="Arial"/>
          <w:b/>
          <w:bCs/>
          <w:sz w:val="26"/>
          <w:szCs w:val="26"/>
        </w:rPr>
        <w:t xml:space="preserve">MODIFICAR </w:t>
      </w:r>
      <w:r w:rsidR="0060329E">
        <w:rPr>
          <w:rFonts w:ascii="Arial" w:eastAsia="Calibri" w:hAnsi="Arial" w:cs="Arial"/>
          <w:bCs/>
          <w:sz w:val="26"/>
          <w:szCs w:val="26"/>
        </w:rPr>
        <w:t xml:space="preserve">el acuerdo recurrido, </w:t>
      </w:r>
      <w:r w:rsidR="007B4718">
        <w:rPr>
          <w:rFonts w:ascii="Arial" w:eastAsia="Calibri" w:hAnsi="Arial" w:cs="Arial"/>
          <w:bCs/>
          <w:sz w:val="26"/>
          <w:szCs w:val="26"/>
        </w:rPr>
        <w:t xml:space="preserve">para en su lugar </w:t>
      </w:r>
      <w:r w:rsidR="003D4D83">
        <w:rPr>
          <w:rFonts w:ascii="Arial" w:eastAsia="Calibri" w:hAnsi="Arial" w:cs="Arial"/>
          <w:b/>
          <w:bCs/>
          <w:sz w:val="26"/>
          <w:szCs w:val="26"/>
        </w:rPr>
        <w:t xml:space="preserve">DESECHAR </w:t>
      </w:r>
      <w:r w:rsidR="007B4718">
        <w:rPr>
          <w:rFonts w:ascii="Arial" w:eastAsia="Calibri" w:hAnsi="Arial" w:cs="Arial"/>
          <w:bCs/>
          <w:sz w:val="26"/>
          <w:szCs w:val="26"/>
        </w:rPr>
        <w:t xml:space="preserve">la demanda de nulidad interpuesta por </w:t>
      </w:r>
      <w:r w:rsidR="007B4718" w:rsidRPr="00B928FA">
        <w:rPr>
          <w:rFonts w:ascii="Arial" w:hAnsi="Arial" w:cs="Arial"/>
          <w:sz w:val="26"/>
          <w:szCs w:val="26"/>
        </w:rPr>
        <w:t>Ponciano Casiano Nolasco García, Salvador Mateo Hernández Cruz, Constantino Valente Nolasco Pérez y Pablo Octaviano Martínez Santiago</w:t>
      </w:r>
      <w:r w:rsidR="007B4718">
        <w:rPr>
          <w:rFonts w:ascii="Arial" w:hAnsi="Arial" w:cs="Arial"/>
          <w:sz w:val="26"/>
          <w:szCs w:val="26"/>
        </w:rPr>
        <w:t xml:space="preserve">, </w:t>
      </w:r>
      <w:r w:rsidR="005973BA">
        <w:rPr>
          <w:rFonts w:ascii="Arial" w:hAnsi="Arial" w:cs="Arial"/>
          <w:sz w:val="26"/>
          <w:szCs w:val="26"/>
        </w:rPr>
        <w:t xml:space="preserve">por notoriamente </w:t>
      </w:r>
      <w:r w:rsidR="007B4718" w:rsidRPr="00B928FA">
        <w:rPr>
          <w:rFonts w:ascii="Arial" w:eastAsia="Calibri" w:hAnsi="Arial" w:cs="Arial"/>
          <w:b/>
          <w:bCs/>
          <w:sz w:val="26"/>
          <w:szCs w:val="26"/>
        </w:rPr>
        <w:t>improcedente</w:t>
      </w:r>
      <w:r w:rsidR="005973BA">
        <w:rPr>
          <w:rFonts w:ascii="Arial" w:eastAsia="Calibri" w:hAnsi="Arial" w:cs="Arial"/>
          <w:b/>
          <w:bCs/>
          <w:sz w:val="26"/>
          <w:szCs w:val="26"/>
        </w:rPr>
        <w:t>;</w:t>
      </w:r>
      <w:r w:rsidR="007B4718">
        <w:rPr>
          <w:rFonts w:ascii="Arial" w:eastAsia="Calibri" w:hAnsi="Arial" w:cs="Arial"/>
          <w:bCs/>
          <w:sz w:val="26"/>
          <w:szCs w:val="26"/>
        </w:rPr>
        <w:t xml:space="preserve"> </w:t>
      </w:r>
      <w:r w:rsidR="005973BA">
        <w:rPr>
          <w:rFonts w:ascii="Arial" w:eastAsia="Calibri" w:hAnsi="Arial" w:cs="Arial"/>
          <w:bCs/>
          <w:sz w:val="26"/>
          <w:szCs w:val="26"/>
        </w:rPr>
        <w:t>lo anterior con fundamento en los dispuesto por los artículos</w:t>
      </w:r>
      <w:r w:rsidR="007B4718">
        <w:rPr>
          <w:rFonts w:ascii="Arial" w:eastAsia="Calibri" w:hAnsi="Arial" w:cs="Arial"/>
          <w:bCs/>
          <w:sz w:val="26"/>
          <w:szCs w:val="26"/>
        </w:rPr>
        <w:t xml:space="preserve"> </w:t>
      </w:r>
      <w:r w:rsidR="005973BA">
        <w:rPr>
          <w:rFonts w:ascii="Arial" w:eastAsia="Calibri" w:hAnsi="Arial" w:cs="Arial"/>
          <w:bCs/>
          <w:sz w:val="26"/>
          <w:szCs w:val="26"/>
        </w:rPr>
        <w:t>158</w:t>
      </w:r>
      <w:r w:rsidR="005973BA">
        <w:rPr>
          <w:rStyle w:val="Refdenotaalpie"/>
          <w:rFonts w:ascii="Arial" w:eastAsia="Calibri" w:hAnsi="Arial" w:cs="Arial"/>
          <w:bCs/>
          <w:sz w:val="26"/>
          <w:szCs w:val="26"/>
        </w:rPr>
        <w:footnoteReference w:id="6"/>
      </w:r>
      <w:r w:rsidR="005973BA">
        <w:rPr>
          <w:rFonts w:ascii="Arial" w:eastAsia="Calibri" w:hAnsi="Arial" w:cs="Arial"/>
          <w:bCs/>
          <w:sz w:val="26"/>
          <w:szCs w:val="26"/>
        </w:rPr>
        <w:t xml:space="preserve">, </w:t>
      </w:r>
      <w:r w:rsidR="007B4718">
        <w:rPr>
          <w:rFonts w:ascii="Arial" w:eastAsia="Calibri" w:hAnsi="Arial" w:cs="Arial"/>
          <w:bCs/>
          <w:sz w:val="26"/>
          <w:szCs w:val="26"/>
        </w:rPr>
        <w:t>161 fracción X</w:t>
      </w:r>
      <w:r w:rsidR="005973BA">
        <w:rPr>
          <w:rFonts w:ascii="Arial" w:eastAsia="Calibri" w:hAnsi="Arial" w:cs="Arial"/>
          <w:bCs/>
          <w:sz w:val="26"/>
          <w:szCs w:val="26"/>
        </w:rPr>
        <w:t xml:space="preserve"> y 182 fracción I</w:t>
      </w:r>
      <w:r w:rsidR="005973BA">
        <w:rPr>
          <w:rStyle w:val="Refdenotaalpie"/>
          <w:rFonts w:ascii="Arial" w:eastAsia="Calibri" w:hAnsi="Arial" w:cs="Arial"/>
          <w:bCs/>
          <w:sz w:val="26"/>
          <w:szCs w:val="26"/>
        </w:rPr>
        <w:footnoteReference w:id="7"/>
      </w:r>
      <w:r w:rsidR="007B4718">
        <w:rPr>
          <w:rFonts w:ascii="Arial" w:eastAsia="Calibri" w:hAnsi="Arial" w:cs="Arial"/>
          <w:bCs/>
          <w:sz w:val="26"/>
          <w:szCs w:val="26"/>
        </w:rPr>
        <w:t>; de la Ley de Procedimiento y Justicia Administrativa para el Estado de Oaxac</w:t>
      </w:r>
      <w:r w:rsidR="005973BA">
        <w:rPr>
          <w:rFonts w:ascii="Arial" w:eastAsia="Calibri" w:hAnsi="Arial" w:cs="Arial"/>
          <w:bCs/>
          <w:sz w:val="26"/>
          <w:szCs w:val="26"/>
        </w:rPr>
        <w:t>a.</w:t>
      </w:r>
      <w:r w:rsidR="003D4D83">
        <w:rPr>
          <w:rFonts w:ascii="Arial" w:eastAsia="Calibri" w:hAnsi="Arial" w:cs="Arial"/>
          <w:bCs/>
          <w:sz w:val="26"/>
          <w:szCs w:val="26"/>
        </w:rPr>
        <w:t xml:space="preserve">- - - - - </w:t>
      </w:r>
      <w:r w:rsidR="00637524">
        <w:rPr>
          <w:rFonts w:ascii="Arial" w:eastAsia="Calibri" w:hAnsi="Arial" w:cs="Arial"/>
          <w:bCs/>
          <w:sz w:val="26"/>
          <w:szCs w:val="26"/>
        </w:rPr>
        <w:t xml:space="preserve">- - - - - - - - - - - - - - - - </w:t>
      </w:r>
      <w:r w:rsidR="00B81184">
        <w:rPr>
          <w:rFonts w:ascii="Arial" w:eastAsia="Calibri" w:hAnsi="Arial" w:cs="Arial"/>
          <w:bCs/>
          <w:sz w:val="26"/>
          <w:szCs w:val="26"/>
        </w:rPr>
        <w:t xml:space="preserve">- - - - - - - - - - - - - - - - - - - - - - - - - </w:t>
      </w:r>
    </w:p>
    <w:p w14:paraId="6ECE221F" w14:textId="77777777" w:rsidR="00322B0A" w:rsidRDefault="00637524" w:rsidP="00322B0A">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t>Por tanto</w:t>
      </w:r>
      <w:r w:rsidR="00322B0A">
        <w:rPr>
          <w:rFonts w:ascii="Arial" w:eastAsia="Calibri" w:hAnsi="Arial" w:cs="Arial"/>
          <w:bCs/>
          <w:sz w:val="26"/>
          <w:szCs w:val="26"/>
        </w:rPr>
        <w:t xml:space="preserve">, </w:t>
      </w:r>
      <w:r w:rsidR="00322B0A">
        <w:rPr>
          <w:rFonts w:ascii="Arial" w:hAnsi="Arial" w:cs="Arial"/>
          <w:sz w:val="26"/>
          <w:szCs w:val="26"/>
        </w:rPr>
        <w:t xml:space="preserve">con fundamento en los en los artículos 237 y 238 de la Ley de Procedimiento y Justicia Administrativa para el Estado de Oaxaca, </w:t>
      </w:r>
      <w:proofErr w:type="gramStart"/>
      <w:r w:rsidR="00322B0A">
        <w:rPr>
          <w:rFonts w:ascii="Arial" w:hAnsi="Arial" w:cs="Arial"/>
          <w:sz w:val="26"/>
          <w:szCs w:val="26"/>
        </w:rPr>
        <w:t>se:</w:t>
      </w:r>
      <w:r>
        <w:rPr>
          <w:rFonts w:ascii="Arial" w:hAnsi="Arial" w:cs="Arial"/>
          <w:sz w:val="26"/>
          <w:szCs w:val="26"/>
        </w:rPr>
        <w:t>-</w:t>
      </w:r>
      <w:proofErr w:type="gramEnd"/>
      <w:r>
        <w:rPr>
          <w:rFonts w:ascii="Arial" w:hAnsi="Arial" w:cs="Arial"/>
          <w:sz w:val="26"/>
          <w:szCs w:val="26"/>
        </w:rPr>
        <w:t xml:space="preserve"> - - - - - - - - - - - - - - - - - - - - - - - - - - - - - - - - - - - - - - - - - - </w:t>
      </w:r>
    </w:p>
    <w:p w14:paraId="75000109" w14:textId="77777777" w:rsidR="00322B0A" w:rsidRDefault="00322B0A" w:rsidP="00322B0A">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14:paraId="1C34A730" w14:textId="672FEF4A" w:rsidR="00322B0A" w:rsidRDefault="00322B0A" w:rsidP="00322B0A">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sidRPr="00312EEA">
        <w:rPr>
          <w:rFonts w:ascii="Arial" w:hAnsi="Arial" w:cs="Arial"/>
          <w:b/>
          <w:color w:val="000000"/>
          <w:sz w:val="26"/>
          <w:szCs w:val="26"/>
        </w:rPr>
        <w:t>.</w:t>
      </w:r>
      <w:r>
        <w:rPr>
          <w:rFonts w:ascii="Arial" w:hAnsi="Arial" w:cs="Arial"/>
          <w:color w:val="000000"/>
          <w:sz w:val="26"/>
          <w:szCs w:val="26"/>
        </w:rPr>
        <w:t xml:space="preserve"> </w:t>
      </w:r>
      <w:r>
        <w:rPr>
          <w:rFonts w:ascii="Arial" w:hAnsi="Arial" w:cs="Arial"/>
          <w:color w:val="000000"/>
          <w:sz w:val="26"/>
          <w:szCs w:val="26"/>
          <w:lang w:val="es-MX"/>
        </w:rPr>
        <w:t xml:space="preserve">Se </w:t>
      </w:r>
      <w:r w:rsidR="00637524">
        <w:rPr>
          <w:rFonts w:ascii="Arial" w:hAnsi="Arial" w:cs="Arial"/>
          <w:b/>
          <w:color w:val="000000"/>
          <w:sz w:val="26"/>
          <w:szCs w:val="26"/>
          <w:lang w:val="es-MX"/>
        </w:rPr>
        <w:t xml:space="preserve">MODIFICA </w:t>
      </w:r>
      <w:r>
        <w:rPr>
          <w:rFonts w:ascii="Arial" w:hAnsi="Arial" w:cs="Arial"/>
          <w:color w:val="000000"/>
          <w:sz w:val="26"/>
          <w:szCs w:val="26"/>
          <w:lang w:val="es-MX"/>
        </w:rPr>
        <w:t>el acuerdo recurrido de</w:t>
      </w:r>
      <w:r w:rsidR="0060329E">
        <w:rPr>
          <w:rFonts w:ascii="Arial" w:hAnsi="Arial" w:cs="Arial"/>
          <w:color w:val="000000"/>
          <w:sz w:val="26"/>
          <w:szCs w:val="26"/>
          <w:lang w:val="es-MX"/>
        </w:rPr>
        <w:t xml:space="preserve"> veinte de noviembre de dos mil diecinueve, </w:t>
      </w:r>
      <w:r w:rsidR="007E6480">
        <w:rPr>
          <w:rFonts w:ascii="Arial" w:eastAsia="Calibri" w:hAnsi="Arial" w:cs="Arial"/>
          <w:bCs/>
          <w:sz w:val="26"/>
          <w:szCs w:val="26"/>
        </w:rPr>
        <w:t xml:space="preserve">para en su lugar </w:t>
      </w:r>
      <w:r w:rsidR="007E6480">
        <w:rPr>
          <w:rFonts w:ascii="Arial" w:eastAsia="Calibri" w:hAnsi="Arial" w:cs="Arial"/>
          <w:b/>
          <w:bCs/>
          <w:sz w:val="26"/>
          <w:szCs w:val="26"/>
        </w:rPr>
        <w:t xml:space="preserve">DESECHAR </w:t>
      </w:r>
      <w:r w:rsidR="007E6480">
        <w:rPr>
          <w:rFonts w:ascii="Arial" w:eastAsia="Calibri" w:hAnsi="Arial" w:cs="Arial"/>
          <w:bCs/>
          <w:sz w:val="26"/>
          <w:szCs w:val="26"/>
        </w:rPr>
        <w:t xml:space="preserve">la demanda de nulidad interpuesta por </w:t>
      </w:r>
      <w:r w:rsidR="00E22997">
        <w:rPr>
          <w:rFonts w:ascii="Arial" w:hAnsi="Arial" w:cs="Arial"/>
          <w:b/>
          <w:sz w:val="26"/>
          <w:szCs w:val="26"/>
        </w:rPr>
        <w:t>***********</w:t>
      </w:r>
      <w:r w:rsidR="007E6480">
        <w:rPr>
          <w:rFonts w:ascii="Arial" w:hAnsi="Arial" w:cs="Arial"/>
          <w:sz w:val="26"/>
          <w:szCs w:val="26"/>
        </w:rPr>
        <w:t xml:space="preserve">, por notoriamente </w:t>
      </w:r>
      <w:r w:rsidR="007E6480" w:rsidRPr="00B928FA">
        <w:rPr>
          <w:rFonts w:ascii="Arial" w:eastAsia="Calibri" w:hAnsi="Arial" w:cs="Arial"/>
          <w:b/>
          <w:bCs/>
          <w:sz w:val="26"/>
          <w:szCs w:val="26"/>
        </w:rPr>
        <w:t>improcedente</w:t>
      </w:r>
      <w:r w:rsidR="007E6480" w:rsidRPr="007E6480">
        <w:rPr>
          <w:rFonts w:ascii="Arial" w:eastAsia="Calibri" w:hAnsi="Arial" w:cs="Arial"/>
          <w:bCs/>
          <w:sz w:val="26"/>
          <w:szCs w:val="26"/>
        </w:rPr>
        <w:t xml:space="preserve">; </w:t>
      </w:r>
      <w:r w:rsidR="0060329E">
        <w:rPr>
          <w:rFonts w:ascii="Arial" w:hAnsi="Arial" w:cs="Arial"/>
          <w:color w:val="000000"/>
          <w:sz w:val="26"/>
          <w:szCs w:val="26"/>
          <w:lang w:val="es-MX"/>
        </w:rPr>
        <w:t xml:space="preserve">por las razones </w:t>
      </w:r>
      <w:r>
        <w:rPr>
          <w:rFonts w:ascii="Arial" w:hAnsi="Arial" w:cs="Arial"/>
          <w:color w:val="000000"/>
          <w:sz w:val="26"/>
          <w:szCs w:val="26"/>
          <w:lang w:val="es-MX"/>
        </w:rPr>
        <w:t xml:space="preserve">expuestas en el considerando que antecede. - - - - - -- - </w:t>
      </w:r>
    </w:p>
    <w:p w14:paraId="295A4713" w14:textId="1FFF237C" w:rsidR="00B81184" w:rsidRDefault="00322B0A" w:rsidP="00B81184">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60329E">
        <w:rPr>
          <w:rFonts w:ascii="Arial" w:hAnsi="Arial" w:cs="Arial"/>
          <w:sz w:val="26"/>
          <w:szCs w:val="26"/>
        </w:rPr>
        <w:t xml:space="preserve">Segunda </w:t>
      </w:r>
      <w:r>
        <w:rPr>
          <w:rFonts w:ascii="Arial" w:hAnsi="Arial" w:cs="Arial"/>
          <w:sz w:val="26"/>
          <w:szCs w:val="26"/>
        </w:rPr>
        <w:t xml:space="preserve">Sala Unitaria de Primera Instancia de este Tribunal y en su oportunidad archívese el presente cuaderno de revisión como asunto concluido. - - - - - - - - - - - - </w:t>
      </w:r>
    </w:p>
    <w:p w14:paraId="527434EC" w14:textId="77777777" w:rsidR="00B81184" w:rsidRDefault="00B81184" w:rsidP="00B81184">
      <w:pPr>
        <w:spacing w:after="0"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quienes actúan con el Licenciado Juan Edy García Coronado, Secretario General de Acuerdos de este Tribunal, que autoriza y da </w:t>
      </w:r>
      <w:proofErr w:type="gramStart"/>
      <w:r>
        <w:rPr>
          <w:rFonts w:ascii="Arial" w:hAnsi="Arial" w:cs="Arial"/>
          <w:sz w:val="26"/>
          <w:szCs w:val="26"/>
        </w:rPr>
        <w:t>fe.-</w:t>
      </w:r>
      <w:proofErr w:type="gramEnd"/>
      <w:r>
        <w:rPr>
          <w:rFonts w:ascii="Arial" w:hAnsi="Arial" w:cs="Arial"/>
          <w:sz w:val="26"/>
          <w:szCs w:val="26"/>
        </w:rPr>
        <w:t xml:space="preserve"> - - - - - - - - - - - - - - - - - - - - - - - - - - - - - - - - - - - - -</w:t>
      </w:r>
    </w:p>
    <w:p w14:paraId="4F1F15F4" w14:textId="77777777" w:rsidR="00B81184" w:rsidRDefault="00B81184" w:rsidP="00B81184">
      <w:pPr>
        <w:spacing w:before="240" w:line="360" w:lineRule="auto"/>
        <w:ind w:firstLine="708"/>
        <w:jc w:val="both"/>
        <w:rPr>
          <w:rFonts w:ascii="Arial" w:hAnsi="Arial" w:cs="Arial"/>
          <w:sz w:val="26"/>
          <w:szCs w:val="26"/>
        </w:rPr>
      </w:pPr>
    </w:p>
    <w:p w14:paraId="769A11C5" w14:textId="77777777" w:rsidR="00B81184" w:rsidRDefault="00B81184" w:rsidP="00B81184">
      <w:pPr>
        <w:spacing w:before="240" w:line="360" w:lineRule="auto"/>
        <w:ind w:firstLine="708"/>
        <w:jc w:val="both"/>
        <w:rPr>
          <w:rFonts w:ascii="Arial" w:hAnsi="Arial" w:cs="Arial"/>
          <w:sz w:val="26"/>
          <w:szCs w:val="26"/>
        </w:rPr>
      </w:pPr>
    </w:p>
    <w:p w14:paraId="0FA8B47F" w14:textId="77777777" w:rsidR="00B81184" w:rsidRDefault="00B81184" w:rsidP="00B81184">
      <w:pPr>
        <w:spacing w:before="240" w:line="360" w:lineRule="auto"/>
        <w:ind w:firstLine="708"/>
        <w:jc w:val="both"/>
        <w:rPr>
          <w:rFonts w:ascii="Arial" w:hAnsi="Arial" w:cs="Arial"/>
          <w:sz w:val="26"/>
          <w:szCs w:val="26"/>
        </w:rPr>
      </w:pPr>
    </w:p>
    <w:p w14:paraId="56211E6A" w14:textId="77777777" w:rsidR="00B81184" w:rsidRDefault="00B81184" w:rsidP="00B81184">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4F989DC7" w14:textId="77777777" w:rsidR="00B81184" w:rsidRDefault="00B81184" w:rsidP="00B81184">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2CE9A9E5" w14:textId="77777777" w:rsidR="00B81184" w:rsidRDefault="00B81184" w:rsidP="00B81184">
      <w:pPr>
        <w:tabs>
          <w:tab w:val="left" w:pos="1680"/>
          <w:tab w:val="center" w:pos="4277"/>
        </w:tabs>
        <w:spacing w:after="0" w:line="240" w:lineRule="auto"/>
        <w:jc w:val="center"/>
        <w:rPr>
          <w:rFonts w:ascii="Arial" w:hAnsi="Arial" w:cs="Arial"/>
          <w:sz w:val="26"/>
          <w:szCs w:val="26"/>
        </w:rPr>
      </w:pPr>
    </w:p>
    <w:p w14:paraId="1B277E6D" w14:textId="77777777" w:rsidR="00B81184" w:rsidRDefault="00B81184" w:rsidP="00B81184">
      <w:pPr>
        <w:tabs>
          <w:tab w:val="left" w:pos="1680"/>
          <w:tab w:val="center" w:pos="4277"/>
        </w:tabs>
        <w:spacing w:after="0" w:line="240" w:lineRule="auto"/>
        <w:jc w:val="center"/>
        <w:rPr>
          <w:rFonts w:ascii="Arial" w:hAnsi="Arial" w:cs="Arial"/>
          <w:sz w:val="26"/>
          <w:szCs w:val="26"/>
        </w:rPr>
      </w:pPr>
    </w:p>
    <w:p w14:paraId="5529D2F8" w14:textId="77777777" w:rsidR="00B81184" w:rsidRDefault="00B81184" w:rsidP="00B81184">
      <w:pPr>
        <w:tabs>
          <w:tab w:val="left" w:pos="1680"/>
          <w:tab w:val="center" w:pos="4277"/>
        </w:tabs>
        <w:spacing w:after="0" w:line="240" w:lineRule="auto"/>
        <w:jc w:val="center"/>
        <w:rPr>
          <w:rFonts w:ascii="Arial" w:hAnsi="Arial" w:cs="Arial"/>
          <w:b/>
          <w:bCs/>
          <w:sz w:val="14"/>
          <w:szCs w:val="14"/>
        </w:rPr>
      </w:pPr>
    </w:p>
    <w:p w14:paraId="408F56D9" w14:textId="77777777" w:rsidR="00B81184" w:rsidRDefault="00B81184" w:rsidP="00B81184">
      <w:pPr>
        <w:tabs>
          <w:tab w:val="left" w:pos="1680"/>
          <w:tab w:val="center" w:pos="4277"/>
        </w:tabs>
        <w:spacing w:after="0" w:line="240" w:lineRule="auto"/>
        <w:rPr>
          <w:rFonts w:ascii="Arial" w:hAnsi="Arial" w:cs="Arial"/>
          <w:sz w:val="26"/>
          <w:szCs w:val="26"/>
        </w:rPr>
      </w:pPr>
    </w:p>
    <w:p w14:paraId="5603AC1B" w14:textId="77777777" w:rsidR="00B81184" w:rsidRDefault="00B81184" w:rsidP="00B81184">
      <w:pPr>
        <w:tabs>
          <w:tab w:val="left" w:pos="1680"/>
          <w:tab w:val="center" w:pos="4277"/>
        </w:tabs>
        <w:spacing w:after="0" w:line="240" w:lineRule="auto"/>
        <w:rPr>
          <w:rFonts w:ascii="Arial" w:hAnsi="Arial" w:cs="Arial"/>
          <w:sz w:val="26"/>
          <w:szCs w:val="26"/>
        </w:rPr>
      </w:pPr>
    </w:p>
    <w:p w14:paraId="65EE6983" w14:textId="77777777" w:rsidR="00B81184" w:rsidRDefault="00B81184" w:rsidP="00B81184">
      <w:pPr>
        <w:tabs>
          <w:tab w:val="left" w:pos="1680"/>
          <w:tab w:val="center" w:pos="4277"/>
        </w:tabs>
        <w:spacing w:after="0" w:line="240" w:lineRule="auto"/>
        <w:rPr>
          <w:rFonts w:ascii="Arial" w:hAnsi="Arial" w:cs="Arial"/>
          <w:sz w:val="26"/>
          <w:szCs w:val="26"/>
        </w:rPr>
      </w:pPr>
    </w:p>
    <w:p w14:paraId="0652C167" w14:textId="77777777" w:rsidR="00B81184" w:rsidRDefault="00B81184" w:rsidP="00B81184">
      <w:pPr>
        <w:spacing w:after="0" w:line="240" w:lineRule="auto"/>
        <w:jc w:val="center"/>
        <w:rPr>
          <w:rFonts w:ascii="Arial" w:hAnsi="Arial" w:cs="Arial"/>
          <w:sz w:val="26"/>
          <w:szCs w:val="26"/>
        </w:rPr>
      </w:pPr>
    </w:p>
    <w:p w14:paraId="2FD234BB" w14:textId="77777777" w:rsidR="00B81184" w:rsidRDefault="00B81184" w:rsidP="00B81184">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RAÚL PALOMARES PALOMINO</w:t>
      </w:r>
    </w:p>
    <w:p w14:paraId="2E3DB922" w14:textId="77777777" w:rsidR="00B81184" w:rsidRDefault="00B81184" w:rsidP="00B81184">
      <w:pPr>
        <w:tabs>
          <w:tab w:val="center" w:pos="4135"/>
          <w:tab w:val="left" w:pos="7515"/>
        </w:tabs>
        <w:spacing w:after="0" w:line="240" w:lineRule="auto"/>
        <w:jc w:val="center"/>
        <w:rPr>
          <w:rFonts w:ascii="Arial" w:hAnsi="Arial" w:cs="Arial"/>
          <w:sz w:val="26"/>
          <w:szCs w:val="26"/>
        </w:rPr>
      </w:pPr>
    </w:p>
    <w:p w14:paraId="10F426F8" w14:textId="77777777" w:rsidR="00B81184" w:rsidRDefault="00B81184" w:rsidP="00B81184">
      <w:pPr>
        <w:tabs>
          <w:tab w:val="center" w:pos="4135"/>
          <w:tab w:val="left" w:pos="7515"/>
        </w:tabs>
        <w:spacing w:after="0" w:line="240" w:lineRule="auto"/>
        <w:rPr>
          <w:rFonts w:ascii="Arial" w:hAnsi="Arial" w:cs="Arial"/>
          <w:sz w:val="26"/>
          <w:szCs w:val="26"/>
        </w:rPr>
      </w:pPr>
    </w:p>
    <w:p w14:paraId="0187B4DD" w14:textId="77777777" w:rsidR="00B81184" w:rsidRDefault="00B81184" w:rsidP="00B81184">
      <w:pPr>
        <w:tabs>
          <w:tab w:val="center" w:pos="4135"/>
          <w:tab w:val="left" w:pos="7515"/>
        </w:tabs>
        <w:spacing w:after="0" w:line="240" w:lineRule="auto"/>
        <w:jc w:val="center"/>
        <w:rPr>
          <w:rFonts w:ascii="Arial" w:hAnsi="Arial" w:cs="Arial"/>
          <w:sz w:val="26"/>
          <w:szCs w:val="26"/>
        </w:rPr>
      </w:pPr>
    </w:p>
    <w:p w14:paraId="4E3241AD" w14:textId="77777777" w:rsidR="00B81184" w:rsidRDefault="00B81184" w:rsidP="00B81184">
      <w:pPr>
        <w:tabs>
          <w:tab w:val="center" w:pos="4135"/>
          <w:tab w:val="left" w:pos="7515"/>
        </w:tabs>
        <w:spacing w:after="0" w:line="240" w:lineRule="auto"/>
        <w:jc w:val="center"/>
        <w:rPr>
          <w:rFonts w:ascii="Arial" w:hAnsi="Arial" w:cs="Arial"/>
          <w:sz w:val="26"/>
          <w:szCs w:val="26"/>
        </w:rPr>
      </w:pPr>
    </w:p>
    <w:p w14:paraId="790E56F2" w14:textId="77777777" w:rsidR="00B81184" w:rsidRDefault="00B81184" w:rsidP="00B81184">
      <w:pPr>
        <w:tabs>
          <w:tab w:val="center" w:pos="4135"/>
          <w:tab w:val="left" w:pos="7515"/>
        </w:tabs>
        <w:spacing w:after="0" w:line="240" w:lineRule="auto"/>
        <w:rPr>
          <w:rFonts w:ascii="Arial" w:hAnsi="Arial" w:cs="Arial"/>
          <w:sz w:val="26"/>
          <w:szCs w:val="26"/>
        </w:rPr>
      </w:pPr>
    </w:p>
    <w:p w14:paraId="362A8A0F" w14:textId="77777777" w:rsidR="00B81184" w:rsidRDefault="00B81184" w:rsidP="00B81184">
      <w:pPr>
        <w:tabs>
          <w:tab w:val="center" w:pos="4135"/>
          <w:tab w:val="left" w:pos="7515"/>
        </w:tabs>
        <w:spacing w:after="0" w:line="240" w:lineRule="auto"/>
        <w:jc w:val="center"/>
        <w:rPr>
          <w:rFonts w:ascii="Arial" w:hAnsi="Arial" w:cs="Arial"/>
          <w:sz w:val="26"/>
          <w:szCs w:val="26"/>
        </w:rPr>
      </w:pPr>
    </w:p>
    <w:p w14:paraId="18FF3CF0" w14:textId="77777777" w:rsidR="00B81184" w:rsidRDefault="00B81184" w:rsidP="00B81184">
      <w:pPr>
        <w:tabs>
          <w:tab w:val="center" w:pos="4135"/>
          <w:tab w:val="left" w:pos="7515"/>
        </w:tabs>
        <w:spacing w:after="0" w:line="240" w:lineRule="auto"/>
        <w:jc w:val="center"/>
        <w:rPr>
          <w:rFonts w:ascii="Arial" w:hAnsi="Arial" w:cs="Arial"/>
          <w:sz w:val="26"/>
          <w:szCs w:val="26"/>
        </w:rPr>
      </w:pPr>
    </w:p>
    <w:p w14:paraId="12D194B6" w14:textId="77777777" w:rsidR="00B81184" w:rsidRDefault="00B81184" w:rsidP="00B81184">
      <w:pPr>
        <w:tabs>
          <w:tab w:val="center" w:pos="4135"/>
          <w:tab w:val="left" w:pos="7515"/>
        </w:tabs>
        <w:spacing w:after="0" w:line="240" w:lineRule="auto"/>
        <w:jc w:val="center"/>
        <w:rPr>
          <w:rFonts w:ascii="Arial" w:hAnsi="Arial" w:cs="Arial"/>
          <w:sz w:val="26"/>
          <w:szCs w:val="26"/>
        </w:rPr>
      </w:pPr>
    </w:p>
    <w:p w14:paraId="0D42D593" w14:textId="77777777" w:rsidR="00B81184" w:rsidRDefault="00B81184" w:rsidP="00B81184">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ABRAHAM SANTIAGO SORIANO</w:t>
      </w:r>
    </w:p>
    <w:p w14:paraId="58081881" w14:textId="77777777" w:rsidR="00B81184" w:rsidRDefault="00B81184" w:rsidP="00B81184">
      <w:pPr>
        <w:tabs>
          <w:tab w:val="center" w:pos="4135"/>
          <w:tab w:val="left" w:pos="7515"/>
        </w:tabs>
        <w:spacing w:after="0" w:line="240" w:lineRule="auto"/>
        <w:jc w:val="center"/>
        <w:rPr>
          <w:rFonts w:ascii="Arial" w:hAnsi="Arial" w:cs="Arial"/>
          <w:sz w:val="26"/>
          <w:szCs w:val="26"/>
        </w:rPr>
      </w:pPr>
    </w:p>
    <w:p w14:paraId="49A0FE3B" w14:textId="77777777" w:rsidR="00B81184" w:rsidRDefault="00B81184" w:rsidP="00B81184">
      <w:pPr>
        <w:tabs>
          <w:tab w:val="center" w:pos="4135"/>
          <w:tab w:val="left" w:pos="7515"/>
        </w:tabs>
        <w:spacing w:after="0" w:line="240" w:lineRule="auto"/>
        <w:rPr>
          <w:rFonts w:ascii="Arial" w:hAnsi="Arial" w:cs="Arial"/>
          <w:sz w:val="26"/>
          <w:szCs w:val="26"/>
        </w:rPr>
      </w:pPr>
    </w:p>
    <w:p w14:paraId="4045F074" w14:textId="77777777" w:rsidR="00B81184" w:rsidRDefault="00B81184" w:rsidP="00B81184">
      <w:pPr>
        <w:tabs>
          <w:tab w:val="center" w:pos="4135"/>
          <w:tab w:val="left" w:pos="7515"/>
        </w:tabs>
        <w:spacing w:after="0" w:line="240" w:lineRule="auto"/>
        <w:jc w:val="center"/>
        <w:rPr>
          <w:rFonts w:ascii="Arial" w:hAnsi="Arial" w:cs="Arial"/>
          <w:sz w:val="26"/>
          <w:szCs w:val="26"/>
        </w:rPr>
      </w:pPr>
    </w:p>
    <w:p w14:paraId="562675DF" w14:textId="77777777" w:rsidR="00B81184" w:rsidRDefault="00B81184" w:rsidP="00B81184">
      <w:pPr>
        <w:tabs>
          <w:tab w:val="center" w:pos="4135"/>
          <w:tab w:val="left" w:pos="7515"/>
        </w:tabs>
        <w:spacing w:after="0" w:line="240" w:lineRule="auto"/>
        <w:jc w:val="center"/>
        <w:rPr>
          <w:rFonts w:ascii="Arial" w:hAnsi="Arial" w:cs="Arial"/>
          <w:sz w:val="26"/>
          <w:szCs w:val="26"/>
        </w:rPr>
      </w:pPr>
    </w:p>
    <w:p w14:paraId="1C84BCC9" w14:textId="77777777" w:rsidR="00B81184" w:rsidRDefault="00B81184" w:rsidP="00B81184">
      <w:pPr>
        <w:tabs>
          <w:tab w:val="center" w:pos="4135"/>
          <w:tab w:val="left" w:pos="7515"/>
        </w:tabs>
        <w:spacing w:after="0" w:line="240" w:lineRule="auto"/>
        <w:jc w:val="center"/>
        <w:rPr>
          <w:rFonts w:ascii="Arial" w:hAnsi="Arial" w:cs="Arial"/>
          <w:sz w:val="26"/>
          <w:szCs w:val="26"/>
        </w:rPr>
      </w:pPr>
    </w:p>
    <w:p w14:paraId="2B4B3D84" w14:textId="77777777" w:rsidR="00B81184" w:rsidRDefault="00B81184" w:rsidP="00B81184">
      <w:pPr>
        <w:tabs>
          <w:tab w:val="center" w:pos="4135"/>
          <w:tab w:val="left" w:pos="7515"/>
        </w:tabs>
        <w:spacing w:after="0" w:line="240" w:lineRule="auto"/>
        <w:jc w:val="center"/>
        <w:rPr>
          <w:rFonts w:ascii="Arial" w:hAnsi="Arial" w:cs="Arial"/>
          <w:sz w:val="26"/>
          <w:szCs w:val="26"/>
        </w:rPr>
      </w:pPr>
    </w:p>
    <w:p w14:paraId="0083CA46" w14:textId="77777777" w:rsidR="00B81184" w:rsidRDefault="00B81184" w:rsidP="00B81184">
      <w:pPr>
        <w:tabs>
          <w:tab w:val="center" w:pos="4135"/>
          <w:tab w:val="left" w:pos="7515"/>
        </w:tabs>
        <w:spacing w:after="0" w:line="240" w:lineRule="auto"/>
        <w:jc w:val="center"/>
        <w:rPr>
          <w:rFonts w:ascii="Arial" w:hAnsi="Arial" w:cs="Arial"/>
          <w:sz w:val="26"/>
          <w:szCs w:val="26"/>
        </w:rPr>
      </w:pPr>
    </w:p>
    <w:p w14:paraId="5AF38052" w14:textId="77777777" w:rsidR="00B81184" w:rsidRDefault="00B81184" w:rsidP="00B81184">
      <w:pPr>
        <w:tabs>
          <w:tab w:val="center" w:pos="4135"/>
          <w:tab w:val="left" w:pos="7515"/>
        </w:tabs>
        <w:spacing w:after="0" w:line="240" w:lineRule="auto"/>
        <w:jc w:val="center"/>
        <w:rPr>
          <w:rFonts w:ascii="Arial" w:hAnsi="Arial" w:cs="Arial"/>
          <w:sz w:val="26"/>
          <w:szCs w:val="26"/>
        </w:rPr>
      </w:pPr>
    </w:p>
    <w:p w14:paraId="4A8EC007" w14:textId="77777777" w:rsidR="00B81184" w:rsidRDefault="00B81184" w:rsidP="00B81184">
      <w:pPr>
        <w:tabs>
          <w:tab w:val="left" w:pos="1925"/>
          <w:tab w:val="center" w:pos="4135"/>
        </w:tabs>
        <w:spacing w:after="0" w:line="240" w:lineRule="auto"/>
        <w:jc w:val="center"/>
        <w:rPr>
          <w:rFonts w:ascii="Arial" w:hAnsi="Arial" w:cs="Arial"/>
          <w:sz w:val="26"/>
          <w:szCs w:val="26"/>
        </w:rPr>
      </w:pPr>
      <w:r>
        <w:rPr>
          <w:rFonts w:ascii="Arial" w:hAnsi="Arial" w:cs="Arial"/>
          <w:sz w:val="26"/>
          <w:szCs w:val="26"/>
        </w:rPr>
        <w:t>LICENCIADO JUAN EDY GARCIA CORONADO</w:t>
      </w:r>
    </w:p>
    <w:p w14:paraId="6169A39C" w14:textId="77777777" w:rsidR="00B81184" w:rsidRDefault="00B81184" w:rsidP="00B81184">
      <w:pPr>
        <w:spacing w:after="0" w:line="240" w:lineRule="auto"/>
        <w:jc w:val="center"/>
        <w:rPr>
          <w:rFonts w:ascii="Arial" w:hAnsi="Arial" w:cs="Arial"/>
          <w:sz w:val="14"/>
          <w:szCs w:val="26"/>
        </w:rPr>
      </w:pPr>
      <w:r>
        <w:rPr>
          <w:rFonts w:ascii="Arial" w:hAnsi="Arial" w:cs="Arial"/>
          <w:sz w:val="26"/>
          <w:szCs w:val="26"/>
        </w:rPr>
        <w:t>SECRETARIO GENERAL DE ACUERDOS</w:t>
      </w:r>
    </w:p>
    <w:p w14:paraId="2CB6740F" w14:textId="77777777" w:rsidR="00B81184" w:rsidRDefault="00B81184" w:rsidP="00B81184">
      <w:pPr>
        <w:spacing w:before="240" w:line="360" w:lineRule="auto"/>
        <w:ind w:firstLine="708"/>
        <w:jc w:val="both"/>
        <w:rPr>
          <w:sz w:val="26"/>
          <w:szCs w:val="26"/>
        </w:rPr>
      </w:pPr>
    </w:p>
    <w:p w14:paraId="491C6BD6" w14:textId="47924BD6" w:rsidR="00595EC7" w:rsidRDefault="00595EC7" w:rsidP="00B81184">
      <w:pPr>
        <w:spacing w:before="240" w:line="360" w:lineRule="auto"/>
        <w:ind w:firstLine="708"/>
        <w:jc w:val="both"/>
        <w:rPr>
          <w:b/>
          <w:sz w:val="18"/>
          <w:szCs w:val="18"/>
        </w:rPr>
      </w:pPr>
    </w:p>
    <w:sectPr w:rsidR="00595EC7" w:rsidSect="00C32026">
      <w:headerReference w:type="even" r:id="rId8"/>
      <w:headerReference w:type="default" r:id="rId9"/>
      <w:footerReference w:type="default" r:id="rId10"/>
      <w:headerReference w:type="first" r:id="rId11"/>
      <w:pgSz w:w="12240" w:h="20160" w:code="5"/>
      <w:pgMar w:top="567" w:right="1134" w:bottom="1361"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AD6F38" w14:textId="77777777" w:rsidR="00221EF1" w:rsidRDefault="00221EF1">
      <w:pPr>
        <w:spacing w:after="0" w:line="240" w:lineRule="auto"/>
      </w:pPr>
      <w:r>
        <w:separator/>
      </w:r>
    </w:p>
  </w:endnote>
  <w:endnote w:type="continuationSeparator" w:id="0">
    <w:p w14:paraId="5F09912D" w14:textId="77777777" w:rsidR="00221EF1" w:rsidRDefault="00221E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94358A" w14:textId="4962595D" w:rsidR="004841F6" w:rsidRDefault="00E22997">
    <w:pPr>
      <w:pStyle w:val="Piedepgina"/>
      <w:jc w:val="center"/>
    </w:pPr>
    <w:r>
      <w:rPr>
        <w:noProof/>
      </w:rPr>
      <mc:AlternateContent>
        <mc:Choice Requires="wps">
          <w:drawing>
            <wp:anchor distT="45720" distB="45720" distL="114300" distR="114300" simplePos="0" relativeHeight="251667456" behindDoc="0" locked="0" layoutInCell="1" allowOverlap="1" wp14:anchorId="6D5D56F9" wp14:editId="55BC1C48">
              <wp:simplePos x="0" y="0"/>
              <wp:positionH relativeFrom="leftMargin">
                <wp:posOffset>349662</wp:posOffset>
              </wp:positionH>
              <wp:positionV relativeFrom="paragraph">
                <wp:posOffset>-5313045</wp:posOffset>
              </wp:positionV>
              <wp:extent cx="1175385" cy="676275"/>
              <wp:effectExtent l="0" t="0" r="24765" b="2857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5385" cy="676275"/>
                      </a:xfrm>
                      <a:prstGeom prst="rect">
                        <a:avLst/>
                      </a:prstGeom>
                      <a:solidFill>
                        <a:srgbClr val="FFFFFF"/>
                      </a:solidFill>
                      <a:ln w="9525">
                        <a:solidFill>
                          <a:srgbClr val="000000"/>
                        </a:solidFill>
                        <a:miter lim="800000"/>
                        <a:headEnd/>
                        <a:tailEnd/>
                      </a:ln>
                    </wps:spPr>
                    <wps:txbx>
                      <w:txbxContent>
                        <w:p w14:paraId="4C54B3B7" w14:textId="77777777" w:rsidR="00E22997" w:rsidRDefault="00E22997" w:rsidP="00E22997">
                          <w:pPr>
                            <w:jc w:val="both"/>
                          </w:pPr>
                          <w:r>
                            <w:rPr>
                              <w:sz w:val="16"/>
                              <w:szCs w:val="16"/>
                            </w:rPr>
                            <w:t xml:space="preserve">Los datos personales están protegidos por el art. 116 de la </w:t>
                          </w:r>
                          <w:proofErr w:type="spellStart"/>
                          <w:r>
                            <w:rPr>
                              <w:sz w:val="16"/>
                              <w:szCs w:val="16"/>
                            </w:rPr>
                            <w:t>LGTAIP</w:t>
                          </w:r>
                          <w:proofErr w:type="spellEnd"/>
                          <w:r>
                            <w:rPr>
                              <w:sz w:val="16"/>
                              <w:szCs w:val="16"/>
                            </w:rPr>
                            <w:t xml:space="preserve"> y el art. 56 de la </w:t>
                          </w:r>
                          <w:proofErr w:type="spellStart"/>
                          <w:r>
                            <w:rPr>
                              <w:sz w:val="16"/>
                              <w:szCs w:val="16"/>
                            </w:rPr>
                            <w:t>LTAIPEO</w:t>
                          </w:r>
                          <w:proofErr w:type="spellEnd"/>
                          <w:r>
                            <w:rPr>
                              <w:sz w:val="16"/>
                              <w:szCs w:val="16"/>
                            </w:rPr>
                            <w:t>.</w:t>
                          </w:r>
                        </w:p>
                        <w:p w14:paraId="4C7415AD" w14:textId="40B72008" w:rsidR="00E22997" w:rsidRDefault="00E2299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5D56F9" id="_x0000_t202" coordsize="21600,21600" o:spt="202" path="m,l,21600r21600,l21600,xe">
              <v:stroke joinstyle="miter"/>
              <v:path gradientshapeok="t" o:connecttype="rect"/>
            </v:shapetype>
            <v:shape id="Cuadro de texto 2" o:spid="_x0000_s1026" type="#_x0000_t202" style="position:absolute;left:0;text-align:left;margin-left:27.55pt;margin-top:-418.35pt;width:92.55pt;height:53.25pt;z-index:25166745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">
              <v:textbox>
                <w:txbxContent>
                  <w:p w14:paraId="4C54B3B7" w14:textId="77777777" w:rsidR="00E22997" w:rsidRDefault="00E22997" w:rsidP="00E22997">
                    <w:pPr>
                      <w:jc w:val="both"/>
                    </w:pPr>
                    <w:r>
                      <w:rPr>
                        <w:sz w:val="16"/>
                        <w:szCs w:val="16"/>
                      </w:rPr>
                      <w:t xml:space="preserve">Los datos personales están protegidos por el art. 116 de la </w:t>
                    </w:r>
                    <w:proofErr w:type="spellStart"/>
                    <w:r>
                      <w:rPr>
                        <w:sz w:val="16"/>
                        <w:szCs w:val="16"/>
                      </w:rPr>
                      <w:t>LGTAIP</w:t>
                    </w:r>
                    <w:proofErr w:type="spellEnd"/>
                    <w:r>
                      <w:rPr>
                        <w:sz w:val="16"/>
                        <w:szCs w:val="16"/>
                      </w:rPr>
                      <w:t xml:space="preserve"> y el art. 56 de la </w:t>
                    </w:r>
                    <w:proofErr w:type="spellStart"/>
                    <w:r>
                      <w:rPr>
                        <w:sz w:val="16"/>
                        <w:szCs w:val="16"/>
                      </w:rPr>
                      <w:t>LTAIPEO</w:t>
                    </w:r>
                    <w:proofErr w:type="spellEnd"/>
                    <w:r>
                      <w:rPr>
                        <w:sz w:val="16"/>
                        <w:szCs w:val="16"/>
                      </w:rPr>
                      <w:t>.</w:t>
                    </w:r>
                  </w:p>
                  <w:p w14:paraId="4C7415AD" w14:textId="40B72008" w:rsidR="00E22997" w:rsidRDefault="00E22997"/>
                </w:txbxContent>
              </v:textbox>
              <w10:wrap type="square" anchorx="margin"/>
            </v:shape>
          </w:pict>
        </mc:Fallback>
      </mc:AlternateContent>
    </w:r>
  </w:p>
  <w:p w14:paraId="70D6AA66" w14:textId="77777777" w:rsidR="004841F6" w:rsidRDefault="004841F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DCBCD3" w14:textId="77777777" w:rsidR="00221EF1" w:rsidRDefault="00221EF1">
      <w:pPr>
        <w:spacing w:after="0" w:line="240" w:lineRule="auto"/>
      </w:pPr>
      <w:r>
        <w:separator/>
      </w:r>
    </w:p>
  </w:footnote>
  <w:footnote w:type="continuationSeparator" w:id="0">
    <w:p w14:paraId="61B6CA79" w14:textId="77777777" w:rsidR="00221EF1" w:rsidRDefault="00221EF1">
      <w:pPr>
        <w:spacing w:after="0" w:line="240" w:lineRule="auto"/>
      </w:pPr>
      <w:r>
        <w:continuationSeparator/>
      </w:r>
    </w:p>
  </w:footnote>
  <w:footnote w:id="1">
    <w:p w14:paraId="48921BDE" w14:textId="77777777" w:rsidR="004841F6" w:rsidRDefault="004841F6" w:rsidP="00685A38">
      <w:pPr>
        <w:pStyle w:val="Textonotapie"/>
        <w:jc w:val="both"/>
      </w:pPr>
      <w:r>
        <w:rPr>
          <w:rStyle w:val="Refdenotaalpie"/>
        </w:rPr>
        <w:footnoteRef/>
      </w:r>
      <w:r>
        <w:t xml:space="preserve"> “</w:t>
      </w:r>
      <w:r>
        <w:rPr>
          <w:b/>
        </w:rPr>
        <w:t xml:space="preserve">ARTÍCULO203.- </w:t>
      </w:r>
      <w:r>
        <w:t>La valoración de las pruebas se hará de acuerdo con las siguientes reglas:</w:t>
      </w:r>
    </w:p>
    <w:p w14:paraId="2843FFD9" w14:textId="77777777" w:rsidR="004841F6" w:rsidRDefault="004841F6" w:rsidP="00685A38">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53BAE665" w14:textId="77777777" w:rsidR="004841F6" w:rsidRPr="00191ECF" w:rsidRDefault="004841F6" w:rsidP="00685A38">
      <w:pPr>
        <w:pStyle w:val="Textonotapie"/>
        <w:jc w:val="both"/>
      </w:pPr>
      <w:r>
        <w:t xml:space="preserve">   …”</w:t>
      </w:r>
    </w:p>
  </w:footnote>
  <w:footnote w:id="2">
    <w:p w14:paraId="4425A43B" w14:textId="77777777" w:rsidR="004841F6" w:rsidRDefault="004841F6" w:rsidP="00685A38">
      <w:pPr>
        <w:pStyle w:val="Textonotapie"/>
        <w:jc w:val="both"/>
      </w:pPr>
      <w:r>
        <w:rPr>
          <w:rStyle w:val="Refdenotaalpie"/>
        </w:rPr>
        <w:footnoteRef/>
      </w:r>
      <w:r>
        <w:t xml:space="preserve"> “</w:t>
      </w:r>
      <w:r>
        <w:rPr>
          <w:b/>
        </w:rPr>
        <w:t xml:space="preserve">ARTÍCULO 133.- </w:t>
      </w:r>
      <w:r>
        <w:t>Las Salas Unitarias del Tribunal son competentes para conocer y resolver los juicios que se promuevan en contra de:</w:t>
      </w:r>
    </w:p>
    <w:p w14:paraId="731A48B7" w14:textId="77777777" w:rsidR="004841F6" w:rsidRDefault="004841F6" w:rsidP="00685A38">
      <w:pPr>
        <w:pStyle w:val="Textonotapie"/>
        <w:jc w:val="both"/>
      </w:pPr>
      <w:r>
        <w:t xml:space="preserve">   …</w:t>
      </w:r>
    </w:p>
    <w:p w14:paraId="52649A27" w14:textId="77777777" w:rsidR="004841F6" w:rsidRDefault="004841F6" w:rsidP="00685A38">
      <w:pPr>
        <w:pStyle w:val="Textonotapie"/>
        <w:jc w:val="both"/>
      </w:pPr>
      <w:r>
        <w:t xml:space="preserve">   II. Las resoluciones dictadas por las autoridades fiscales, estatales, municipales y de sus órganos descentralizados, en que se determine la existencia de una obligación fiscal, se fijé </w:t>
      </w:r>
      <w:proofErr w:type="spellStart"/>
      <w:r>
        <w:t>esta</w:t>
      </w:r>
      <w:proofErr w:type="spellEnd"/>
      <w:r>
        <w:t xml:space="preserve"> en cantidad liquida o se den las bases para su liquidación, nieguen la devolución de cantidades que procedan conforme a la ley o cualquiera otra que cause agravios de carácter fiscal;</w:t>
      </w:r>
    </w:p>
    <w:p w14:paraId="787AA5CD" w14:textId="77777777" w:rsidR="004841F6" w:rsidRPr="00685A38" w:rsidRDefault="004841F6" w:rsidP="00685A38">
      <w:pPr>
        <w:pStyle w:val="Textonotapie"/>
        <w:jc w:val="both"/>
      </w:pPr>
      <w:r>
        <w:t xml:space="preserve">   …”</w:t>
      </w:r>
    </w:p>
  </w:footnote>
  <w:footnote w:id="3">
    <w:p w14:paraId="1437AF4C" w14:textId="77777777" w:rsidR="004E2A74" w:rsidRDefault="004841F6" w:rsidP="004E2A74">
      <w:pPr>
        <w:spacing w:after="0" w:line="240" w:lineRule="auto"/>
        <w:jc w:val="both"/>
        <w:rPr>
          <w:sz w:val="20"/>
          <w:szCs w:val="20"/>
        </w:rPr>
      </w:pPr>
      <w:r>
        <w:rPr>
          <w:rStyle w:val="Refdenotaalpie"/>
        </w:rPr>
        <w:footnoteRef/>
      </w:r>
      <w:r>
        <w:t xml:space="preserve"> “</w:t>
      </w:r>
      <w:r w:rsidR="004E2A74" w:rsidRPr="004E2A74">
        <w:rPr>
          <w:b/>
          <w:sz w:val="20"/>
          <w:szCs w:val="20"/>
        </w:rPr>
        <w:t>Artículo 97</w:t>
      </w:r>
      <w:r w:rsidR="004E2A74" w:rsidRPr="004E2A74">
        <w:rPr>
          <w:sz w:val="20"/>
          <w:szCs w:val="20"/>
        </w:rPr>
        <w:t>.- Las multas que imponga la Auditoría tendrán el carácter de créditos fiscales, se fijarán en cantidad líquida y se harán efectivas a través de la Secretaría de Finanzas del Gobierno del Estado, conforme al procedimiento administrativo de ejecución previsto en el Código Fiscal para el Estado de Oaxaca y demás disposiciones aplicables.</w:t>
      </w:r>
    </w:p>
    <w:p w14:paraId="374CB9F9" w14:textId="77777777" w:rsidR="004841F6" w:rsidRDefault="004E2A74" w:rsidP="004E2A74">
      <w:pPr>
        <w:spacing w:after="0" w:line="240" w:lineRule="auto"/>
        <w:jc w:val="both"/>
      </w:pPr>
      <w:r w:rsidRPr="004E2A74">
        <w:rPr>
          <w:sz w:val="20"/>
          <w:szCs w:val="20"/>
        </w:rPr>
        <w:t>El importe que se obtenga por el cobro de multas, deberá ser entregado por la Secretaría de Finanzas del Gobierno del Estado a la Auditoria, dentro de los quince días hábiles siguientes a la conclusión del trimestre en que se haya obtenido el cobro, para constituir el Fondo de Fiscalización.</w:t>
      </w:r>
      <w:r w:rsidR="004841F6">
        <w:rPr>
          <w:rFonts w:cs="Arial"/>
          <w:sz w:val="20"/>
          <w:szCs w:val="20"/>
        </w:rPr>
        <w:t>”</w:t>
      </w:r>
    </w:p>
  </w:footnote>
  <w:footnote w:id="4">
    <w:p w14:paraId="15874440" w14:textId="77777777" w:rsidR="004841F6" w:rsidRDefault="004841F6" w:rsidP="00FE3523">
      <w:pPr>
        <w:pStyle w:val="Textonotapie"/>
        <w:jc w:val="both"/>
      </w:pPr>
      <w:r>
        <w:rPr>
          <w:rStyle w:val="Refdenotaalpie"/>
        </w:rPr>
        <w:footnoteRef/>
      </w:r>
      <w:r>
        <w:t xml:space="preserve"> “</w:t>
      </w:r>
      <w:r>
        <w:rPr>
          <w:b/>
        </w:rPr>
        <w:t xml:space="preserve">ARTÍCULO 133.- </w:t>
      </w:r>
      <w:r>
        <w:t>Las Salas Unitarias del Tribunal son competentes para conocer y resolver los juicios que se promuevan en contra de:</w:t>
      </w:r>
    </w:p>
    <w:p w14:paraId="015206F9" w14:textId="77777777" w:rsidR="004841F6" w:rsidRDefault="004841F6" w:rsidP="00FE3523">
      <w:pPr>
        <w:pStyle w:val="Textonotapie"/>
        <w:jc w:val="both"/>
      </w:pPr>
      <w:r>
        <w:t xml:space="preserve">   …</w:t>
      </w:r>
    </w:p>
    <w:p w14:paraId="42E22904" w14:textId="77777777" w:rsidR="004841F6" w:rsidRDefault="004841F6" w:rsidP="00FE3523">
      <w:pPr>
        <w:pStyle w:val="Textonotapie"/>
        <w:jc w:val="both"/>
      </w:pPr>
      <w:r>
        <w:t xml:space="preserve">   VIII. El procedimiento administrativo de ejecución cuando el afectado en dicho procedimiento opte por no interponer el recurso ordinario ante las autoridades competentes y cuando afirme:</w:t>
      </w:r>
    </w:p>
    <w:p w14:paraId="794C5EE2" w14:textId="77777777" w:rsidR="004841F6" w:rsidRDefault="004841F6" w:rsidP="00FE3523">
      <w:pPr>
        <w:pStyle w:val="Textonotapie"/>
        <w:jc w:val="both"/>
      </w:pPr>
      <w:r>
        <w:t xml:space="preserve">   a) Que el crédito que le exige se ha extinguido legalmente;</w:t>
      </w:r>
    </w:p>
    <w:p w14:paraId="01E10701" w14:textId="77777777" w:rsidR="004841F6" w:rsidRDefault="004841F6" w:rsidP="00FE3523">
      <w:pPr>
        <w:pStyle w:val="Textonotapie"/>
        <w:jc w:val="both"/>
      </w:pPr>
      <w:r>
        <w:t xml:space="preserve">   b) Que el monto del crédito es inferior al exigible;</w:t>
      </w:r>
    </w:p>
    <w:p w14:paraId="30D6716E" w14:textId="77777777" w:rsidR="004841F6" w:rsidRDefault="004841F6" w:rsidP="00FE3523">
      <w:pPr>
        <w:pStyle w:val="Textonotapie"/>
        <w:jc w:val="both"/>
      </w:pPr>
      <w:r>
        <w:t xml:space="preserve">   c) Que es poseedor, a título de propietario, del bien embargado; y</w:t>
      </w:r>
    </w:p>
    <w:p w14:paraId="2DCA480E" w14:textId="77777777" w:rsidR="004841F6" w:rsidRDefault="004841F6" w:rsidP="00FE3523">
      <w:pPr>
        <w:pStyle w:val="Textonotapie"/>
        <w:jc w:val="both"/>
      </w:pPr>
      <w:r>
        <w:t xml:space="preserve">   d) Que el procedimiento coactivo no se ajuste a la ley. En este caso, la oposición no se podrá hacer valer, sino contra la resolución que apruebe el remate; salvo que se trate de resoluciones cuya ejecución material sea imposible reparación.</w:t>
      </w:r>
    </w:p>
    <w:p w14:paraId="443B0951" w14:textId="77777777" w:rsidR="004841F6" w:rsidRPr="00685A38" w:rsidRDefault="004841F6" w:rsidP="00FE3523">
      <w:pPr>
        <w:pStyle w:val="Textonotapie"/>
        <w:jc w:val="both"/>
      </w:pPr>
      <w:r>
        <w:t xml:space="preserve">   …”</w:t>
      </w:r>
    </w:p>
  </w:footnote>
  <w:footnote w:id="5">
    <w:p w14:paraId="27E1462A" w14:textId="77777777" w:rsidR="004841F6" w:rsidRDefault="004841F6" w:rsidP="00B928FA">
      <w:pPr>
        <w:pStyle w:val="Textonotapie"/>
        <w:jc w:val="both"/>
      </w:pPr>
      <w:r>
        <w:rPr>
          <w:rStyle w:val="Refdenotaalpie"/>
        </w:rPr>
        <w:footnoteRef/>
      </w:r>
      <w:r>
        <w:t xml:space="preserve"> “</w:t>
      </w:r>
      <w:r>
        <w:rPr>
          <w:b/>
        </w:rPr>
        <w:t xml:space="preserve">ARTÍCULO 161.- </w:t>
      </w:r>
      <w:r>
        <w:t>Es improcedente el juicio ante el Tribunal contra actos:</w:t>
      </w:r>
    </w:p>
    <w:p w14:paraId="084D75A7" w14:textId="77777777" w:rsidR="004841F6" w:rsidRDefault="004841F6" w:rsidP="00B928FA">
      <w:pPr>
        <w:pStyle w:val="Textonotapie"/>
        <w:jc w:val="both"/>
      </w:pPr>
      <w:r>
        <w:t xml:space="preserve">   …</w:t>
      </w:r>
    </w:p>
    <w:p w14:paraId="1EA74A95" w14:textId="77777777" w:rsidR="004841F6" w:rsidRPr="00B928FA" w:rsidRDefault="004841F6" w:rsidP="00B928FA">
      <w:pPr>
        <w:pStyle w:val="Textonotapie"/>
        <w:jc w:val="both"/>
      </w:pPr>
      <w:r>
        <w:t xml:space="preserve">X. En </w:t>
      </w:r>
      <w:proofErr w:type="gramStart"/>
      <w:r>
        <w:t>los demás caso</w:t>
      </w:r>
      <w:proofErr w:type="gramEnd"/>
      <w:r>
        <w:t xml:space="preserve"> en que la improcedencia resulta de alguna disposición de esta ley o de cualquiera otra de naturaleza fiscal o administrativa.”</w:t>
      </w:r>
    </w:p>
  </w:footnote>
  <w:footnote w:id="6">
    <w:p w14:paraId="12E4F17A" w14:textId="77777777" w:rsidR="005973BA" w:rsidRPr="005973BA" w:rsidRDefault="005973BA" w:rsidP="005973BA">
      <w:pPr>
        <w:pStyle w:val="Textonotapie"/>
        <w:jc w:val="both"/>
      </w:pPr>
      <w:r>
        <w:rPr>
          <w:rStyle w:val="Refdenotaalpie"/>
        </w:rPr>
        <w:footnoteRef/>
      </w:r>
      <w:r>
        <w:t xml:space="preserve"> “</w:t>
      </w:r>
      <w:r>
        <w:rPr>
          <w:b/>
        </w:rPr>
        <w:t xml:space="preserve">ARTÍCULO 158.- </w:t>
      </w:r>
      <w:r>
        <w:t xml:space="preserve">El Tribunal está facultado para desechar de plano las </w:t>
      </w:r>
      <w:proofErr w:type="gramStart"/>
      <w:r>
        <w:t>promociones notoriamente improcedente</w:t>
      </w:r>
      <w:proofErr w:type="gramEnd"/>
      <w:r>
        <w:t>, o que se interponga con el fin evidente de dilatar otro procedimiento.”</w:t>
      </w:r>
    </w:p>
  </w:footnote>
  <w:footnote w:id="7">
    <w:p w14:paraId="74108366" w14:textId="77777777" w:rsidR="005973BA" w:rsidRDefault="005973BA" w:rsidP="005973BA">
      <w:pPr>
        <w:pStyle w:val="Textonotapie"/>
        <w:jc w:val="both"/>
      </w:pPr>
      <w:r>
        <w:rPr>
          <w:rStyle w:val="Refdenotaalpie"/>
        </w:rPr>
        <w:footnoteRef/>
      </w:r>
      <w:r>
        <w:t xml:space="preserve"> “</w:t>
      </w:r>
      <w:r>
        <w:rPr>
          <w:b/>
        </w:rPr>
        <w:t xml:space="preserve">ARTÍCULO 182.- </w:t>
      </w:r>
      <w:r>
        <w:t>Se podrá desechar la demanda:</w:t>
      </w:r>
    </w:p>
    <w:p w14:paraId="388DD518" w14:textId="77777777" w:rsidR="005973BA" w:rsidRDefault="005973BA" w:rsidP="005973BA">
      <w:pPr>
        <w:pStyle w:val="Textonotapie"/>
        <w:jc w:val="both"/>
      </w:pPr>
      <w:r>
        <w:t xml:space="preserve">   I. Si se encontrare motivo manifiesto e indudable de procedencia; y</w:t>
      </w:r>
    </w:p>
    <w:p w14:paraId="3434C912" w14:textId="77777777" w:rsidR="005973BA" w:rsidRPr="005973BA" w:rsidRDefault="005973BA" w:rsidP="005973BA">
      <w:pPr>
        <w:pStyle w:val="Textonotapie"/>
        <w:jc w:val="both"/>
      </w:pP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6081766"/>
      <w:docPartObj>
        <w:docPartGallery w:val="Page Numbers (Top of Page)"/>
        <w:docPartUnique/>
      </w:docPartObj>
    </w:sdtPr>
    <w:sdtEndPr/>
    <w:sdtContent>
      <w:p w14:paraId="0214F1F8" w14:textId="77777777" w:rsidR="004841F6" w:rsidRDefault="008A65A8">
        <w:pPr>
          <w:pStyle w:val="Encabezado"/>
          <w:jc w:val="center"/>
        </w:pPr>
        <w:r>
          <w:rPr>
            <w:noProof/>
          </w:rPr>
          <w:pict w14:anchorId="73ED47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632C6A">
          <w:fldChar w:fldCharType="begin"/>
        </w:r>
        <w:r w:rsidR="00632C6A">
          <w:instrText>PAGE   \* MERGEFORMAT</w:instrText>
        </w:r>
        <w:r w:rsidR="00632C6A">
          <w:fldChar w:fldCharType="separate"/>
        </w:r>
        <w:r w:rsidR="00867138" w:rsidRPr="00867138">
          <w:rPr>
            <w:noProof/>
            <w:lang w:val="es-ES"/>
          </w:rPr>
          <w:t>14</w:t>
        </w:r>
        <w:r w:rsidR="00632C6A">
          <w:rPr>
            <w:noProof/>
            <w:lang w:val="es-ES"/>
          </w:rPr>
          <w:fldChar w:fldCharType="end"/>
        </w:r>
      </w:p>
    </w:sdtContent>
  </w:sdt>
  <w:p w14:paraId="78937415" w14:textId="77777777" w:rsidR="004841F6" w:rsidRDefault="004841F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1DA29F" w14:textId="3225E03C" w:rsidR="004841F6" w:rsidRDefault="008A65A8">
    <w:pPr>
      <w:pStyle w:val="Encabezado"/>
      <w:jc w:val="center"/>
    </w:pPr>
    <w:r>
      <w:rPr>
        <w:noProof/>
      </w:rPr>
      <w:pict w14:anchorId="70EFB8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632C6A">
          <w:fldChar w:fldCharType="begin"/>
        </w:r>
        <w:r w:rsidR="00632C6A">
          <w:instrText>PAGE   \* MERGEFORMAT</w:instrText>
        </w:r>
        <w:r w:rsidR="00632C6A">
          <w:fldChar w:fldCharType="separate"/>
        </w:r>
        <w:r w:rsidR="00867138" w:rsidRPr="00867138">
          <w:rPr>
            <w:noProof/>
            <w:lang w:val="es-ES"/>
          </w:rPr>
          <w:t>1</w:t>
        </w:r>
        <w:r w:rsidR="00632C6A">
          <w:rPr>
            <w:noProof/>
            <w:lang w:val="es-ES"/>
          </w:rPr>
          <w:fldChar w:fldCharType="end"/>
        </w:r>
      </w:sdtContent>
    </w:sdt>
  </w:p>
  <w:p w14:paraId="30F4A280" w14:textId="6773326C" w:rsidR="004841F6" w:rsidRDefault="00867138"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58752" behindDoc="0" locked="0" layoutInCell="1" allowOverlap="1" wp14:anchorId="37854563" wp14:editId="2E35E93E">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7B78EEB4" id="Grupo 3" o:spid="_x0000_s1026" style="position:absolute;margin-left:-107.25pt;margin-top:397.9pt;width:90pt;height:63.6pt;z-index:251658752;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666A24" w14:textId="77777777" w:rsidR="004841F6" w:rsidRDefault="008A65A8">
    <w:pPr>
      <w:pStyle w:val="Encabezado"/>
    </w:pPr>
    <w:r>
      <w:rPr>
        <w:noProof/>
      </w:rPr>
      <w:pict w14:anchorId="07AE66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15:restartNumberingAfterBreak="0">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59A0CFC"/>
    <w:multiLevelType w:val="hybridMultilevel"/>
    <w:tmpl w:val="0548F5E0"/>
    <w:lvl w:ilvl="0" w:tplc="080A0001">
      <w:start w:val="1"/>
      <w:numFmt w:val="bullet"/>
      <w:lvlText w:val=""/>
      <w:lvlJc w:val="left"/>
      <w:pPr>
        <w:ind w:left="1425" w:hanging="360"/>
      </w:pPr>
      <w:rPr>
        <w:rFonts w:ascii="Symbol" w:hAnsi="Symbol" w:hint="default"/>
      </w:rPr>
    </w:lvl>
    <w:lvl w:ilvl="1" w:tplc="080A0003">
      <w:start w:val="1"/>
      <w:numFmt w:val="bullet"/>
      <w:lvlText w:val="o"/>
      <w:lvlJc w:val="left"/>
      <w:pPr>
        <w:ind w:left="2145" w:hanging="360"/>
      </w:pPr>
      <w:rPr>
        <w:rFonts w:ascii="Courier New" w:hAnsi="Courier New" w:cs="Courier New" w:hint="default"/>
      </w:rPr>
    </w:lvl>
    <w:lvl w:ilvl="2" w:tplc="080A0005">
      <w:start w:val="1"/>
      <w:numFmt w:val="bullet"/>
      <w:lvlText w:val=""/>
      <w:lvlJc w:val="left"/>
      <w:pPr>
        <w:ind w:left="2865" w:hanging="360"/>
      </w:pPr>
      <w:rPr>
        <w:rFonts w:ascii="Wingdings" w:hAnsi="Wingdings" w:hint="default"/>
      </w:rPr>
    </w:lvl>
    <w:lvl w:ilvl="3" w:tplc="080A0001">
      <w:start w:val="1"/>
      <w:numFmt w:val="bullet"/>
      <w:lvlText w:val=""/>
      <w:lvlJc w:val="left"/>
      <w:pPr>
        <w:ind w:left="3585" w:hanging="360"/>
      </w:pPr>
      <w:rPr>
        <w:rFonts w:ascii="Symbol" w:hAnsi="Symbol" w:hint="default"/>
      </w:rPr>
    </w:lvl>
    <w:lvl w:ilvl="4" w:tplc="080A0003">
      <w:start w:val="1"/>
      <w:numFmt w:val="bullet"/>
      <w:lvlText w:val="o"/>
      <w:lvlJc w:val="left"/>
      <w:pPr>
        <w:ind w:left="4305" w:hanging="360"/>
      </w:pPr>
      <w:rPr>
        <w:rFonts w:ascii="Courier New" w:hAnsi="Courier New" w:cs="Courier New" w:hint="default"/>
      </w:rPr>
    </w:lvl>
    <w:lvl w:ilvl="5" w:tplc="080A0005">
      <w:start w:val="1"/>
      <w:numFmt w:val="bullet"/>
      <w:lvlText w:val=""/>
      <w:lvlJc w:val="left"/>
      <w:pPr>
        <w:ind w:left="5025" w:hanging="360"/>
      </w:pPr>
      <w:rPr>
        <w:rFonts w:ascii="Wingdings" w:hAnsi="Wingdings" w:hint="default"/>
      </w:rPr>
    </w:lvl>
    <w:lvl w:ilvl="6" w:tplc="080A0001">
      <w:start w:val="1"/>
      <w:numFmt w:val="bullet"/>
      <w:lvlText w:val=""/>
      <w:lvlJc w:val="left"/>
      <w:pPr>
        <w:ind w:left="5745" w:hanging="360"/>
      </w:pPr>
      <w:rPr>
        <w:rFonts w:ascii="Symbol" w:hAnsi="Symbol" w:hint="default"/>
      </w:rPr>
    </w:lvl>
    <w:lvl w:ilvl="7" w:tplc="080A0003">
      <w:start w:val="1"/>
      <w:numFmt w:val="bullet"/>
      <w:lvlText w:val="o"/>
      <w:lvlJc w:val="left"/>
      <w:pPr>
        <w:ind w:left="6465" w:hanging="360"/>
      </w:pPr>
      <w:rPr>
        <w:rFonts w:ascii="Courier New" w:hAnsi="Courier New" w:cs="Courier New" w:hint="default"/>
      </w:rPr>
    </w:lvl>
    <w:lvl w:ilvl="8" w:tplc="080A0005">
      <w:start w:val="1"/>
      <w:numFmt w:val="bullet"/>
      <w:lvlText w:val=""/>
      <w:lvlJc w:val="left"/>
      <w:pPr>
        <w:ind w:left="7185" w:hanging="360"/>
      </w:pPr>
      <w:rPr>
        <w:rFonts w:ascii="Wingdings" w:hAnsi="Wingdings" w:hint="default"/>
      </w:rPr>
    </w:lvl>
  </w:abstractNum>
  <w:abstractNum w:abstractNumId="7" w15:restartNumberingAfterBreak="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15:restartNumberingAfterBreak="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15:restartNumberingAfterBreak="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15:restartNumberingAfterBreak="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211"/>
    <w:rsid w:val="00000AF2"/>
    <w:rsid w:val="00000BFF"/>
    <w:rsid w:val="00000E97"/>
    <w:rsid w:val="00000EAB"/>
    <w:rsid w:val="0000187B"/>
    <w:rsid w:val="00001FA6"/>
    <w:rsid w:val="0000259B"/>
    <w:rsid w:val="00002B85"/>
    <w:rsid w:val="00003CC3"/>
    <w:rsid w:val="00004038"/>
    <w:rsid w:val="0000488B"/>
    <w:rsid w:val="00005B69"/>
    <w:rsid w:val="00005BCB"/>
    <w:rsid w:val="00005EA0"/>
    <w:rsid w:val="00005FB2"/>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4737F"/>
    <w:rsid w:val="000501CD"/>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07E"/>
    <w:rsid w:val="000728B9"/>
    <w:rsid w:val="000737BF"/>
    <w:rsid w:val="00073A6E"/>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7CA"/>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D54"/>
    <w:rsid w:val="000E1E0D"/>
    <w:rsid w:val="000E343A"/>
    <w:rsid w:val="000E3FF4"/>
    <w:rsid w:val="000E40FD"/>
    <w:rsid w:val="000E4AC8"/>
    <w:rsid w:val="000E4C30"/>
    <w:rsid w:val="000E5501"/>
    <w:rsid w:val="000E5766"/>
    <w:rsid w:val="000E5B3C"/>
    <w:rsid w:val="000E5B66"/>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2D3"/>
    <w:rsid w:val="001A1302"/>
    <w:rsid w:val="001A16CC"/>
    <w:rsid w:val="001A18E1"/>
    <w:rsid w:val="001A2144"/>
    <w:rsid w:val="001A2FDB"/>
    <w:rsid w:val="001A3755"/>
    <w:rsid w:val="001A4127"/>
    <w:rsid w:val="001A4E1C"/>
    <w:rsid w:val="001A554E"/>
    <w:rsid w:val="001A6D12"/>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1511"/>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2D2"/>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1EF1"/>
    <w:rsid w:val="00222A05"/>
    <w:rsid w:val="00222E1E"/>
    <w:rsid w:val="0022341D"/>
    <w:rsid w:val="0022360E"/>
    <w:rsid w:val="00223F75"/>
    <w:rsid w:val="0022428F"/>
    <w:rsid w:val="00224412"/>
    <w:rsid w:val="002246DF"/>
    <w:rsid w:val="002248E9"/>
    <w:rsid w:val="00225069"/>
    <w:rsid w:val="00227445"/>
    <w:rsid w:val="00227471"/>
    <w:rsid w:val="00230D10"/>
    <w:rsid w:val="00230DF2"/>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E46"/>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35F"/>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667"/>
    <w:rsid w:val="002D7BA0"/>
    <w:rsid w:val="002E118A"/>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4DF"/>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44E"/>
    <w:rsid w:val="0032088F"/>
    <w:rsid w:val="00321643"/>
    <w:rsid w:val="00321A91"/>
    <w:rsid w:val="00322486"/>
    <w:rsid w:val="00322B0A"/>
    <w:rsid w:val="00323295"/>
    <w:rsid w:val="00323848"/>
    <w:rsid w:val="00323FF5"/>
    <w:rsid w:val="0032464C"/>
    <w:rsid w:val="00324B78"/>
    <w:rsid w:val="003253CA"/>
    <w:rsid w:val="00326D5E"/>
    <w:rsid w:val="00327A8E"/>
    <w:rsid w:val="00327BDD"/>
    <w:rsid w:val="00330165"/>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3D0B"/>
    <w:rsid w:val="00374012"/>
    <w:rsid w:val="003743D7"/>
    <w:rsid w:val="003749C0"/>
    <w:rsid w:val="003750D6"/>
    <w:rsid w:val="003752B5"/>
    <w:rsid w:val="0037599C"/>
    <w:rsid w:val="00375FDD"/>
    <w:rsid w:val="003804A7"/>
    <w:rsid w:val="00381DC3"/>
    <w:rsid w:val="0038228C"/>
    <w:rsid w:val="00382BDE"/>
    <w:rsid w:val="003859C4"/>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A710C"/>
    <w:rsid w:val="003A72DB"/>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4D83"/>
    <w:rsid w:val="003D5398"/>
    <w:rsid w:val="003D5BAD"/>
    <w:rsid w:val="003D5F20"/>
    <w:rsid w:val="003D6E19"/>
    <w:rsid w:val="003D737D"/>
    <w:rsid w:val="003D7E33"/>
    <w:rsid w:val="003E0C30"/>
    <w:rsid w:val="003E0F2A"/>
    <w:rsid w:val="003E1CD9"/>
    <w:rsid w:val="003E2CF8"/>
    <w:rsid w:val="003E3169"/>
    <w:rsid w:val="003E35FB"/>
    <w:rsid w:val="003E3999"/>
    <w:rsid w:val="003E3B16"/>
    <w:rsid w:val="003E43BE"/>
    <w:rsid w:val="003E4A4E"/>
    <w:rsid w:val="003E4C6C"/>
    <w:rsid w:val="003E504F"/>
    <w:rsid w:val="003E5B17"/>
    <w:rsid w:val="003E5B98"/>
    <w:rsid w:val="003E607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275C"/>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2864"/>
    <w:rsid w:val="00463325"/>
    <w:rsid w:val="00463D48"/>
    <w:rsid w:val="00464148"/>
    <w:rsid w:val="00464347"/>
    <w:rsid w:val="004647B9"/>
    <w:rsid w:val="00464F06"/>
    <w:rsid w:val="004652D5"/>
    <w:rsid w:val="00465BF5"/>
    <w:rsid w:val="00465C50"/>
    <w:rsid w:val="004668E6"/>
    <w:rsid w:val="004673D5"/>
    <w:rsid w:val="0047274B"/>
    <w:rsid w:val="00472B3D"/>
    <w:rsid w:val="00472D90"/>
    <w:rsid w:val="00473EB5"/>
    <w:rsid w:val="0047647A"/>
    <w:rsid w:val="004771E5"/>
    <w:rsid w:val="00477357"/>
    <w:rsid w:val="00477E07"/>
    <w:rsid w:val="00480A69"/>
    <w:rsid w:val="004813E0"/>
    <w:rsid w:val="00483B0E"/>
    <w:rsid w:val="004841F6"/>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1C6"/>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2294"/>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D7B79"/>
    <w:rsid w:val="004E0DB7"/>
    <w:rsid w:val="004E13BA"/>
    <w:rsid w:val="004E1A6E"/>
    <w:rsid w:val="004E1B12"/>
    <w:rsid w:val="004E2A74"/>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0A0"/>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292"/>
    <w:rsid w:val="00586D72"/>
    <w:rsid w:val="00586E4F"/>
    <w:rsid w:val="00587330"/>
    <w:rsid w:val="00587984"/>
    <w:rsid w:val="00587A84"/>
    <w:rsid w:val="00590AF7"/>
    <w:rsid w:val="00592360"/>
    <w:rsid w:val="00593058"/>
    <w:rsid w:val="00593333"/>
    <w:rsid w:val="00595EC7"/>
    <w:rsid w:val="005960D3"/>
    <w:rsid w:val="005973A7"/>
    <w:rsid w:val="005973BA"/>
    <w:rsid w:val="005A0825"/>
    <w:rsid w:val="005A09A3"/>
    <w:rsid w:val="005A1FEE"/>
    <w:rsid w:val="005A273F"/>
    <w:rsid w:val="005A3583"/>
    <w:rsid w:val="005A4118"/>
    <w:rsid w:val="005A453F"/>
    <w:rsid w:val="005A493F"/>
    <w:rsid w:val="005A6A9E"/>
    <w:rsid w:val="005A752F"/>
    <w:rsid w:val="005A75B2"/>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7D1"/>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29E"/>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4F3"/>
    <w:rsid w:val="0062386E"/>
    <w:rsid w:val="00624802"/>
    <w:rsid w:val="00624F20"/>
    <w:rsid w:val="00625F4E"/>
    <w:rsid w:val="006279BE"/>
    <w:rsid w:val="006304BB"/>
    <w:rsid w:val="0063071F"/>
    <w:rsid w:val="00630C62"/>
    <w:rsid w:val="00631207"/>
    <w:rsid w:val="0063273E"/>
    <w:rsid w:val="00632C6A"/>
    <w:rsid w:val="00633242"/>
    <w:rsid w:val="00633FA0"/>
    <w:rsid w:val="00634534"/>
    <w:rsid w:val="00634EF5"/>
    <w:rsid w:val="00636401"/>
    <w:rsid w:val="00636905"/>
    <w:rsid w:val="00636A93"/>
    <w:rsid w:val="00637524"/>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5A38"/>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4B"/>
    <w:rsid w:val="006973E2"/>
    <w:rsid w:val="00697607"/>
    <w:rsid w:val="0069771F"/>
    <w:rsid w:val="00697D08"/>
    <w:rsid w:val="00697D57"/>
    <w:rsid w:val="006A07C1"/>
    <w:rsid w:val="006A136B"/>
    <w:rsid w:val="006A19D5"/>
    <w:rsid w:val="006A28FD"/>
    <w:rsid w:val="006A326C"/>
    <w:rsid w:val="006A44B9"/>
    <w:rsid w:val="006A52BF"/>
    <w:rsid w:val="006A5821"/>
    <w:rsid w:val="006A5A6C"/>
    <w:rsid w:val="006A61E5"/>
    <w:rsid w:val="006A654C"/>
    <w:rsid w:val="006A6B9A"/>
    <w:rsid w:val="006A7061"/>
    <w:rsid w:val="006B0A9C"/>
    <w:rsid w:val="006B0B08"/>
    <w:rsid w:val="006B10A8"/>
    <w:rsid w:val="006B10B6"/>
    <w:rsid w:val="006B1B86"/>
    <w:rsid w:val="006B208B"/>
    <w:rsid w:val="006B3A8F"/>
    <w:rsid w:val="006B3C7A"/>
    <w:rsid w:val="006B454E"/>
    <w:rsid w:val="006B462B"/>
    <w:rsid w:val="006B46C9"/>
    <w:rsid w:val="006B4FD6"/>
    <w:rsid w:val="006B511B"/>
    <w:rsid w:val="006B5508"/>
    <w:rsid w:val="006B7267"/>
    <w:rsid w:val="006C1371"/>
    <w:rsid w:val="006C1F9E"/>
    <w:rsid w:val="006C2F23"/>
    <w:rsid w:val="006C3A12"/>
    <w:rsid w:val="006C408C"/>
    <w:rsid w:val="006C44AE"/>
    <w:rsid w:val="006C456A"/>
    <w:rsid w:val="006C564D"/>
    <w:rsid w:val="006C671F"/>
    <w:rsid w:val="006C6F3C"/>
    <w:rsid w:val="006C6FB7"/>
    <w:rsid w:val="006D007C"/>
    <w:rsid w:val="006D06F5"/>
    <w:rsid w:val="006D120B"/>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120"/>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B7F"/>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1760"/>
    <w:rsid w:val="00752C85"/>
    <w:rsid w:val="00752CFC"/>
    <w:rsid w:val="00755BE9"/>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F96"/>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43A0"/>
    <w:rsid w:val="007A47F2"/>
    <w:rsid w:val="007A490A"/>
    <w:rsid w:val="007A530A"/>
    <w:rsid w:val="007A65AF"/>
    <w:rsid w:val="007A6AD2"/>
    <w:rsid w:val="007A719C"/>
    <w:rsid w:val="007A726F"/>
    <w:rsid w:val="007A757A"/>
    <w:rsid w:val="007B08F4"/>
    <w:rsid w:val="007B0A40"/>
    <w:rsid w:val="007B14D2"/>
    <w:rsid w:val="007B34BC"/>
    <w:rsid w:val="007B452B"/>
    <w:rsid w:val="007B4718"/>
    <w:rsid w:val="007B4E6C"/>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6480"/>
    <w:rsid w:val="007E7A9C"/>
    <w:rsid w:val="007F0BA9"/>
    <w:rsid w:val="007F14CC"/>
    <w:rsid w:val="007F17A3"/>
    <w:rsid w:val="007F1A1A"/>
    <w:rsid w:val="007F1ECE"/>
    <w:rsid w:val="007F2DD4"/>
    <w:rsid w:val="007F35C6"/>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032B"/>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5FC"/>
    <w:rsid w:val="008357D2"/>
    <w:rsid w:val="008370CF"/>
    <w:rsid w:val="00837CEF"/>
    <w:rsid w:val="00837D11"/>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138"/>
    <w:rsid w:val="008672F5"/>
    <w:rsid w:val="00867B6C"/>
    <w:rsid w:val="00870822"/>
    <w:rsid w:val="0087089C"/>
    <w:rsid w:val="008709B3"/>
    <w:rsid w:val="00870DB7"/>
    <w:rsid w:val="0087135B"/>
    <w:rsid w:val="00871CF9"/>
    <w:rsid w:val="008721B7"/>
    <w:rsid w:val="008728A9"/>
    <w:rsid w:val="00872D12"/>
    <w:rsid w:val="00873D60"/>
    <w:rsid w:val="008740F9"/>
    <w:rsid w:val="00875679"/>
    <w:rsid w:val="008757CB"/>
    <w:rsid w:val="00875AD2"/>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C0C"/>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858"/>
    <w:rsid w:val="008C65C9"/>
    <w:rsid w:val="008C7C52"/>
    <w:rsid w:val="008D1236"/>
    <w:rsid w:val="008D1EDE"/>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B7A"/>
    <w:rsid w:val="008F1EB2"/>
    <w:rsid w:val="008F284E"/>
    <w:rsid w:val="008F2BAD"/>
    <w:rsid w:val="008F2CAE"/>
    <w:rsid w:val="008F39F2"/>
    <w:rsid w:val="008F45EB"/>
    <w:rsid w:val="008F4E1B"/>
    <w:rsid w:val="008F52F4"/>
    <w:rsid w:val="008F743B"/>
    <w:rsid w:val="009011B4"/>
    <w:rsid w:val="0090168E"/>
    <w:rsid w:val="00901AE0"/>
    <w:rsid w:val="009020E0"/>
    <w:rsid w:val="00902FFF"/>
    <w:rsid w:val="00903765"/>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8A7"/>
    <w:rsid w:val="00965931"/>
    <w:rsid w:val="00965DB7"/>
    <w:rsid w:val="009663A9"/>
    <w:rsid w:val="00966C28"/>
    <w:rsid w:val="009700BB"/>
    <w:rsid w:val="00971321"/>
    <w:rsid w:val="00972B61"/>
    <w:rsid w:val="009730F2"/>
    <w:rsid w:val="00974250"/>
    <w:rsid w:val="00974F50"/>
    <w:rsid w:val="009756EC"/>
    <w:rsid w:val="009757EE"/>
    <w:rsid w:val="0097584C"/>
    <w:rsid w:val="00975926"/>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3EC8"/>
    <w:rsid w:val="00994389"/>
    <w:rsid w:val="0099690A"/>
    <w:rsid w:val="00997136"/>
    <w:rsid w:val="009971A7"/>
    <w:rsid w:val="009A33BE"/>
    <w:rsid w:val="009A3F67"/>
    <w:rsid w:val="009A5E3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698"/>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6A0"/>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6E95"/>
    <w:rsid w:val="009E7B07"/>
    <w:rsid w:val="009F050C"/>
    <w:rsid w:val="009F070E"/>
    <w:rsid w:val="009F0864"/>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4AF4"/>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1EB9"/>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3569"/>
    <w:rsid w:val="00AB511E"/>
    <w:rsid w:val="00AB59E4"/>
    <w:rsid w:val="00AB5C16"/>
    <w:rsid w:val="00AB5C8E"/>
    <w:rsid w:val="00AB628D"/>
    <w:rsid w:val="00AB67C4"/>
    <w:rsid w:val="00AC00B1"/>
    <w:rsid w:val="00AC0229"/>
    <w:rsid w:val="00AC12CF"/>
    <w:rsid w:val="00AC154D"/>
    <w:rsid w:val="00AC2548"/>
    <w:rsid w:val="00AC3C32"/>
    <w:rsid w:val="00AC3DB8"/>
    <w:rsid w:val="00AC6158"/>
    <w:rsid w:val="00AD100C"/>
    <w:rsid w:val="00AD1065"/>
    <w:rsid w:val="00AD2540"/>
    <w:rsid w:val="00AD38ED"/>
    <w:rsid w:val="00AD39D6"/>
    <w:rsid w:val="00AD3C97"/>
    <w:rsid w:val="00AD4282"/>
    <w:rsid w:val="00AD43A9"/>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67C"/>
    <w:rsid w:val="00B03ACC"/>
    <w:rsid w:val="00B04123"/>
    <w:rsid w:val="00B049EC"/>
    <w:rsid w:val="00B04DD6"/>
    <w:rsid w:val="00B05011"/>
    <w:rsid w:val="00B050D6"/>
    <w:rsid w:val="00B0768C"/>
    <w:rsid w:val="00B078F9"/>
    <w:rsid w:val="00B10264"/>
    <w:rsid w:val="00B1212B"/>
    <w:rsid w:val="00B125A0"/>
    <w:rsid w:val="00B13177"/>
    <w:rsid w:val="00B13345"/>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508"/>
    <w:rsid w:val="00B417BF"/>
    <w:rsid w:val="00B42215"/>
    <w:rsid w:val="00B431BB"/>
    <w:rsid w:val="00B438BE"/>
    <w:rsid w:val="00B453AD"/>
    <w:rsid w:val="00B45776"/>
    <w:rsid w:val="00B459FE"/>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BD7"/>
    <w:rsid w:val="00B76E0C"/>
    <w:rsid w:val="00B7789B"/>
    <w:rsid w:val="00B77DF2"/>
    <w:rsid w:val="00B8020F"/>
    <w:rsid w:val="00B8071F"/>
    <w:rsid w:val="00B81184"/>
    <w:rsid w:val="00B814A1"/>
    <w:rsid w:val="00B82205"/>
    <w:rsid w:val="00B8238D"/>
    <w:rsid w:val="00B82642"/>
    <w:rsid w:val="00B832CE"/>
    <w:rsid w:val="00B83A0B"/>
    <w:rsid w:val="00B8477B"/>
    <w:rsid w:val="00B84DE7"/>
    <w:rsid w:val="00B854B7"/>
    <w:rsid w:val="00B85A3A"/>
    <w:rsid w:val="00B8650B"/>
    <w:rsid w:val="00B868FA"/>
    <w:rsid w:val="00B86B3C"/>
    <w:rsid w:val="00B876BF"/>
    <w:rsid w:val="00B87BE7"/>
    <w:rsid w:val="00B87E94"/>
    <w:rsid w:val="00B90116"/>
    <w:rsid w:val="00B90ED9"/>
    <w:rsid w:val="00B91446"/>
    <w:rsid w:val="00B91714"/>
    <w:rsid w:val="00B923B6"/>
    <w:rsid w:val="00B928FA"/>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2DD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A0"/>
    <w:rsid w:val="00C23FDB"/>
    <w:rsid w:val="00C24B6B"/>
    <w:rsid w:val="00C254E5"/>
    <w:rsid w:val="00C25A02"/>
    <w:rsid w:val="00C268F6"/>
    <w:rsid w:val="00C27D1A"/>
    <w:rsid w:val="00C31200"/>
    <w:rsid w:val="00C31A08"/>
    <w:rsid w:val="00C31BE7"/>
    <w:rsid w:val="00C32026"/>
    <w:rsid w:val="00C32229"/>
    <w:rsid w:val="00C32DE7"/>
    <w:rsid w:val="00C32F73"/>
    <w:rsid w:val="00C32FD3"/>
    <w:rsid w:val="00C341CB"/>
    <w:rsid w:val="00C34C3E"/>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1263"/>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09"/>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B1A"/>
    <w:rsid w:val="00D05CAF"/>
    <w:rsid w:val="00D065AD"/>
    <w:rsid w:val="00D06BB8"/>
    <w:rsid w:val="00D072EF"/>
    <w:rsid w:val="00D07394"/>
    <w:rsid w:val="00D07A9C"/>
    <w:rsid w:val="00D10A14"/>
    <w:rsid w:val="00D113FF"/>
    <w:rsid w:val="00D11E7B"/>
    <w:rsid w:val="00D12C52"/>
    <w:rsid w:val="00D12D84"/>
    <w:rsid w:val="00D14E13"/>
    <w:rsid w:val="00D16547"/>
    <w:rsid w:val="00D20168"/>
    <w:rsid w:val="00D20368"/>
    <w:rsid w:val="00D209D8"/>
    <w:rsid w:val="00D20B6C"/>
    <w:rsid w:val="00D20DAB"/>
    <w:rsid w:val="00D2186C"/>
    <w:rsid w:val="00D239A5"/>
    <w:rsid w:val="00D24260"/>
    <w:rsid w:val="00D2457A"/>
    <w:rsid w:val="00D25024"/>
    <w:rsid w:val="00D25A36"/>
    <w:rsid w:val="00D26250"/>
    <w:rsid w:val="00D26962"/>
    <w:rsid w:val="00D2737B"/>
    <w:rsid w:val="00D3007F"/>
    <w:rsid w:val="00D30447"/>
    <w:rsid w:val="00D30DBA"/>
    <w:rsid w:val="00D30EC7"/>
    <w:rsid w:val="00D33362"/>
    <w:rsid w:val="00D33C0D"/>
    <w:rsid w:val="00D34C41"/>
    <w:rsid w:val="00D35BC6"/>
    <w:rsid w:val="00D3635F"/>
    <w:rsid w:val="00D36532"/>
    <w:rsid w:val="00D367F9"/>
    <w:rsid w:val="00D36FA3"/>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5C5"/>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9D9"/>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5B0"/>
    <w:rsid w:val="00E05F25"/>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2997"/>
    <w:rsid w:val="00E233C9"/>
    <w:rsid w:val="00E23438"/>
    <w:rsid w:val="00E2397D"/>
    <w:rsid w:val="00E24415"/>
    <w:rsid w:val="00E24D01"/>
    <w:rsid w:val="00E25521"/>
    <w:rsid w:val="00E25917"/>
    <w:rsid w:val="00E261E0"/>
    <w:rsid w:val="00E26580"/>
    <w:rsid w:val="00E2721C"/>
    <w:rsid w:val="00E27B4B"/>
    <w:rsid w:val="00E30FEF"/>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595"/>
    <w:rsid w:val="00E42D1E"/>
    <w:rsid w:val="00E43435"/>
    <w:rsid w:val="00E44850"/>
    <w:rsid w:val="00E455A1"/>
    <w:rsid w:val="00E45DF0"/>
    <w:rsid w:val="00E45F05"/>
    <w:rsid w:val="00E47A30"/>
    <w:rsid w:val="00E50E09"/>
    <w:rsid w:val="00E51A8E"/>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4B6"/>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7FF"/>
    <w:rsid w:val="00F02A35"/>
    <w:rsid w:val="00F02B6F"/>
    <w:rsid w:val="00F02DE0"/>
    <w:rsid w:val="00F030A2"/>
    <w:rsid w:val="00F0344E"/>
    <w:rsid w:val="00F03930"/>
    <w:rsid w:val="00F04DD4"/>
    <w:rsid w:val="00F053FC"/>
    <w:rsid w:val="00F05564"/>
    <w:rsid w:val="00F06302"/>
    <w:rsid w:val="00F079CC"/>
    <w:rsid w:val="00F10786"/>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1CE"/>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8C0"/>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9EE"/>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5315"/>
    <w:rsid w:val="00FC6C11"/>
    <w:rsid w:val="00FC7940"/>
    <w:rsid w:val="00FC7B46"/>
    <w:rsid w:val="00FC7B74"/>
    <w:rsid w:val="00FD0CFA"/>
    <w:rsid w:val="00FD1CE7"/>
    <w:rsid w:val="00FD1D4B"/>
    <w:rsid w:val="00FD1F76"/>
    <w:rsid w:val="00FD1FA5"/>
    <w:rsid w:val="00FD230C"/>
    <w:rsid w:val="00FD30CD"/>
    <w:rsid w:val="00FD40D5"/>
    <w:rsid w:val="00FD4636"/>
    <w:rsid w:val="00FD46BA"/>
    <w:rsid w:val="00FD4915"/>
    <w:rsid w:val="00FD4F18"/>
    <w:rsid w:val="00FD5D4A"/>
    <w:rsid w:val="00FD682B"/>
    <w:rsid w:val="00FD6B5B"/>
    <w:rsid w:val="00FE05FC"/>
    <w:rsid w:val="00FE0693"/>
    <w:rsid w:val="00FE086E"/>
    <w:rsid w:val="00FE0AF4"/>
    <w:rsid w:val="00FE127F"/>
    <w:rsid w:val="00FE1461"/>
    <w:rsid w:val="00FE27EE"/>
    <w:rsid w:val="00FE30E1"/>
    <w:rsid w:val="00FE3523"/>
    <w:rsid w:val="00FE520C"/>
    <w:rsid w:val="00FE65C5"/>
    <w:rsid w:val="00FE6DA0"/>
    <w:rsid w:val="00FE792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59E3901"/>
  <w15:docId w15:val="{A5C136F7-58C6-4FFC-B7F9-352665BB8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02D2"/>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4150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101830">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204610069">
      <w:bodyDiv w:val="1"/>
      <w:marLeft w:val="0"/>
      <w:marRight w:val="0"/>
      <w:marTop w:val="0"/>
      <w:marBottom w:val="0"/>
      <w:divBdr>
        <w:top w:val="none" w:sz="0" w:space="0" w:color="auto"/>
        <w:left w:val="none" w:sz="0" w:space="0" w:color="auto"/>
        <w:bottom w:val="none" w:sz="0" w:space="0" w:color="auto"/>
        <w:right w:val="none" w:sz="0" w:space="0" w:color="auto"/>
      </w:divBdr>
    </w:div>
    <w:div w:id="591088504">
      <w:bodyDiv w:val="1"/>
      <w:marLeft w:val="0"/>
      <w:marRight w:val="0"/>
      <w:marTop w:val="0"/>
      <w:marBottom w:val="0"/>
      <w:divBdr>
        <w:top w:val="none" w:sz="0" w:space="0" w:color="auto"/>
        <w:left w:val="none" w:sz="0" w:space="0" w:color="auto"/>
        <w:bottom w:val="none" w:sz="0" w:space="0" w:color="auto"/>
        <w:right w:val="none" w:sz="0" w:space="0" w:color="auto"/>
      </w:divBdr>
    </w:div>
    <w:div w:id="737362914">
      <w:bodyDiv w:val="1"/>
      <w:marLeft w:val="0"/>
      <w:marRight w:val="0"/>
      <w:marTop w:val="0"/>
      <w:marBottom w:val="0"/>
      <w:divBdr>
        <w:top w:val="none" w:sz="0" w:space="0" w:color="auto"/>
        <w:left w:val="none" w:sz="0" w:space="0" w:color="auto"/>
        <w:bottom w:val="none" w:sz="0" w:space="0" w:color="auto"/>
        <w:right w:val="none" w:sz="0" w:space="0" w:color="auto"/>
      </w:divBdr>
    </w:div>
    <w:div w:id="1001349343">
      <w:bodyDiv w:val="1"/>
      <w:marLeft w:val="0"/>
      <w:marRight w:val="0"/>
      <w:marTop w:val="0"/>
      <w:marBottom w:val="0"/>
      <w:divBdr>
        <w:top w:val="none" w:sz="0" w:space="0" w:color="auto"/>
        <w:left w:val="none" w:sz="0" w:space="0" w:color="auto"/>
        <w:bottom w:val="none" w:sz="0" w:space="0" w:color="auto"/>
        <w:right w:val="none" w:sz="0" w:space="0" w:color="auto"/>
      </w:divBdr>
    </w:div>
    <w:div w:id="1155872525">
      <w:bodyDiv w:val="1"/>
      <w:marLeft w:val="0"/>
      <w:marRight w:val="0"/>
      <w:marTop w:val="0"/>
      <w:marBottom w:val="0"/>
      <w:divBdr>
        <w:top w:val="none" w:sz="0" w:space="0" w:color="auto"/>
        <w:left w:val="none" w:sz="0" w:space="0" w:color="auto"/>
        <w:bottom w:val="none" w:sz="0" w:space="0" w:color="auto"/>
        <w:right w:val="none" w:sz="0" w:space="0" w:color="auto"/>
      </w:divBdr>
      <w:divsChild>
        <w:div w:id="1972204420">
          <w:marLeft w:val="0"/>
          <w:marRight w:val="0"/>
          <w:marTop w:val="0"/>
          <w:marBottom w:val="0"/>
          <w:divBdr>
            <w:top w:val="none" w:sz="0" w:space="0" w:color="auto"/>
            <w:left w:val="none" w:sz="0" w:space="0" w:color="auto"/>
            <w:bottom w:val="none" w:sz="0" w:space="0" w:color="auto"/>
            <w:right w:val="none" w:sz="0" w:space="0" w:color="auto"/>
          </w:divBdr>
        </w:div>
      </w:divsChild>
    </w:div>
    <w:div w:id="1248348711">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665545147">
      <w:bodyDiv w:val="1"/>
      <w:marLeft w:val="0"/>
      <w:marRight w:val="0"/>
      <w:marTop w:val="0"/>
      <w:marBottom w:val="0"/>
      <w:divBdr>
        <w:top w:val="none" w:sz="0" w:space="0" w:color="auto"/>
        <w:left w:val="none" w:sz="0" w:space="0" w:color="auto"/>
        <w:bottom w:val="none" w:sz="0" w:space="0" w:color="auto"/>
        <w:right w:val="none" w:sz="0" w:space="0" w:color="auto"/>
      </w:divBdr>
    </w:div>
    <w:div w:id="2032410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4A5801-7206-4487-9E86-177A7DD97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14</Pages>
  <Words>4259</Words>
  <Characters>23429</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27633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Rossy</cp:lastModifiedBy>
  <cp:revision>5</cp:revision>
  <cp:lastPrinted>2020-12-02T20:24:00Z</cp:lastPrinted>
  <dcterms:created xsi:type="dcterms:W3CDTF">2020-11-26T16:00:00Z</dcterms:created>
  <dcterms:modified xsi:type="dcterms:W3CDTF">2021-02-07T15:37:00Z</dcterms:modified>
</cp:coreProperties>
</file>