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08DD9E80" w:rsidR="003B6CF0" w:rsidRPr="00620617" w:rsidRDefault="000A31CB" w:rsidP="003B6CF0">
      <w:pPr>
        <w:spacing w:line="240" w:lineRule="auto"/>
        <w:ind w:left="2124"/>
        <w:jc w:val="both"/>
        <w:rPr>
          <w:rFonts w:ascii="Arial" w:hAnsi="Arial" w:cs="Arial"/>
          <w:b/>
          <w:sz w:val="26"/>
          <w:szCs w:val="26"/>
        </w:rPr>
      </w:pPr>
      <w:r>
        <w:rPr>
          <w:rFonts w:ascii="Arial" w:hAnsi="Arial" w:cs="Arial"/>
          <w:b/>
          <w:sz w:val="26"/>
          <w:szCs w:val="26"/>
        </w:rPr>
        <w:t xml:space="preserve">                                                                                                                                                                                                                                                                                                                                                                                                                                                                                                                                                                                                                                                                                                                                                                                                                                                                                                                                                                                                                                                                                                                                                                                                                                                                                                                                                                                                                                                                                                                                                                                                                                 </w:t>
      </w:r>
      <w:r w:rsidR="003B6CF0" w:rsidRPr="00CB6405">
        <w:rPr>
          <w:rFonts w:ascii="Arial" w:hAnsi="Arial" w:cs="Arial"/>
          <w:b/>
          <w:sz w:val="26"/>
          <w:szCs w:val="26"/>
        </w:rPr>
        <w:t xml:space="preserve">SALA </w:t>
      </w:r>
      <w:r w:rsidR="003B6CF0" w:rsidRPr="00620617">
        <w:rPr>
          <w:rFonts w:ascii="Arial" w:hAnsi="Arial" w:cs="Arial"/>
          <w:b/>
          <w:sz w:val="26"/>
          <w:szCs w:val="26"/>
        </w:rPr>
        <w:t>SUPERIOR DEL TRIBUNAL DE JUSTICIA ADMINISTRATIVA DEL ESTADO DE OAXACA.</w:t>
      </w:r>
    </w:p>
    <w:p w14:paraId="18BAB690" w14:textId="6FD4F6C0" w:rsidR="003B6CF0" w:rsidRPr="00620617" w:rsidRDefault="003B6CF0" w:rsidP="00BE6785">
      <w:pPr>
        <w:spacing w:line="240" w:lineRule="auto"/>
        <w:ind w:left="2124"/>
        <w:jc w:val="both"/>
        <w:rPr>
          <w:rFonts w:ascii="Arial" w:hAnsi="Arial" w:cs="Arial"/>
          <w:b/>
          <w:sz w:val="26"/>
          <w:szCs w:val="26"/>
        </w:rPr>
      </w:pPr>
      <w:r w:rsidRPr="00620617">
        <w:rPr>
          <w:rFonts w:ascii="Arial" w:hAnsi="Arial" w:cs="Arial"/>
          <w:b/>
          <w:sz w:val="26"/>
          <w:szCs w:val="26"/>
        </w:rPr>
        <w:t>RECURSO DE REVISIÓN:</w:t>
      </w:r>
      <w:r w:rsidRPr="00620617">
        <w:rPr>
          <w:rFonts w:ascii="Arial" w:hAnsi="Arial" w:cs="Arial"/>
          <w:b/>
          <w:sz w:val="26"/>
          <w:szCs w:val="26"/>
        </w:rPr>
        <w:tab/>
      </w:r>
      <w:r w:rsidR="00DF6FB0" w:rsidRPr="00620617">
        <w:rPr>
          <w:rFonts w:ascii="Arial" w:hAnsi="Arial" w:cs="Arial"/>
          <w:b/>
          <w:sz w:val="26"/>
          <w:szCs w:val="26"/>
        </w:rPr>
        <w:t>468</w:t>
      </w:r>
      <w:r w:rsidRPr="00620617">
        <w:rPr>
          <w:rFonts w:ascii="Arial" w:hAnsi="Arial" w:cs="Arial"/>
          <w:b/>
          <w:sz w:val="26"/>
          <w:szCs w:val="26"/>
        </w:rPr>
        <w:t>/20</w:t>
      </w:r>
      <w:r w:rsidR="003E37F9" w:rsidRPr="00620617">
        <w:rPr>
          <w:rFonts w:ascii="Arial" w:hAnsi="Arial" w:cs="Arial"/>
          <w:b/>
          <w:sz w:val="26"/>
          <w:szCs w:val="26"/>
        </w:rPr>
        <w:t>19</w:t>
      </w:r>
      <w:r w:rsidRPr="00620617">
        <w:rPr>
          <w:rFonts w:ascii="Arial" w:hAnsi="Arial" w:cs="Arial"/>
          <w:b/>
          <w:sz w:val="26"/>
          <w:szCs w:val="26"/>
        </w:rPr>
        <w:t>.</w:t>
      </w:r>
    </w:p>
    <w:p w14:paraId="417DF505" w14:textId="637342D2" w:rsidR="00B85D11" w:rsidRPr="00B85D11" w:rsidRDefault="003B6CF0" w:rsidP="00B85D11">
      <w:pPr>
        <w:pStyle w:val="Sinespaciado"/>
        <w:ind w:left="2127"/>
        <w:jc w:val="both"/>
        <w:rPr>
          <w:rFonts w:ascii="Arial" w:hAnsi="Arial" w:cs="Arial"/>
          <w:b/>
          <w:bCs/>
          <w:sz w:val="26"/>
          <w:szCs w:val="26"/>
        </w:rPr>
      </w:pPr>
      <w:r w:rsidRPr="00B85D11">
        <w:rPr>
          <w:rFonts w:ascii="Arial" w:hAnsi="Arial" w:cs="Arial"/>
          <w:b/>
          <w:bCs/>
          <w:sz w:val="26"/>
          <w:szCs w:val="26"/>
        </w:rPr>
        <w:t>EXPEDIENTE:</w:t>
      </w:r>
      <w:r w:rsidRPr="00B85D11">
        <w:rPr>
          <w:rFonts w:ascii="Arial" w:hAnsi="Arial" w:cs="Arial"/>
          <w:b/>
          <w:bCs/>
          <w:sz w:val="26"/>
          <w:szCs w:val="26"/>
        </w:rPr>
        <w:tab/>
      </w:r>
      <w:r w:rsidR="00FC0DFE" w:rsidRPr="00B85D11">
        <w:rPr>
          <w:rFonts w:ascii="Arial" w:hAnsi="Arial" w:cs="Arial"/>
          <w:b/>
          <w:bCs/>
          <w:sz w:val="26"/>
          <w:szCs w:val="26"/>
        </w:rPr>
        <w:t>110</w:t>
      </w:r>
      <w:r w:rsidRPr="00B85D11">
        <w:rPr>
          <w:rFonts w:ascii="Arial" w:hAnsi="Arial" w:cs="Arial"/>
          <w:b/>
          <w:bCs/>
          <w:sz w:val="26"/>
          <w:szCs w:val="26"/>
        </w:rPr>
        <w:t>/20</w:t>
      </w:r>
      <w:r w:rsidR="00DF6FB0" w:rsidRPr="00B85D11">
        <w:rPr>
          <w:rFonts w:ascii="Arial" w:hAnsi="Arial" w:cs="Arial"/>
          <w:b/>
          <w:bCs/>
          <w:sz w:val="26"/>
          <w:szCs w:val="26"/>
        </w:rPr>
        <w:t>20</w:t>
      </w:r>
      <w:r w:rsidRPr="00B85D11">
        <w:rPr>
          <w:rFonts w:ascii="Arial" w:hAnsi="Arial" w:cs="Arial"/>
          <w:b/>
          <w:bCs/>
          <w:sz w:val="26"/>
          <w:szCs w:val="26"/>
        </w:rPr>
        <w:t xml:space="preserve"> </w:t>
      </w:r>
      <w:r w:rsidR="00DF6FB0" w:rsidRPr="00B85D11">
        <w:rPr>
          <w:rFonts w:ascii="Arial" w:hAnsi="Arial" w:cs="Arial"/>
          <w:b/>
          <w:bCs/>
          <w:sz w:val="26"/>
          <w:szCs w:val="26"/>
        </w:rPr>
        <w:t>SEGUNDA</w:t>
      </w:r>
      <w:r w:rsidRPr="00B85D11">
        <w:rPr>
          <w:rFonts w:ascii="Arial" w:hAnsi="Arial" w:cs="Arial"/>
          <w:b/>
          <w:bCs/>
          <w:sz w:val="26"/>
          <w:szCs w:val="26"/>
        </w:rPr>
        <w:t xml:space="preserve"> SALA UNITARIA DE PRIMERA INSTANCIA</w:t>
      </w:r>
      <w:r w:rsidR="00B85D11">
        <w:rPr>
          <w:rFonts w:ascii="Arial" w:hAnsi="Arial" w:cs="Arial"/>
          <w:b/>
          <w:bCs/>
          <w:sz w:val="26"/>
          <w:szCs w:val="26"/>
        </w:rPr>
        <w:t>.</w:t>
      </w:r>
      <w:r w:rsidR="00DF6FB0" w:rsidRPr="00B85D11">
        <w:rPr>
          <w:rFonts w:ascii="Arial" w:hAnsi="Arial" w:cs="Arial"/>
          <w:b/>
          <w:bCs/>
          <w:sz w:val="26"/>
          <w:szCs w:val="26"/>
        </w:rPr>
        <w:t xml:space="preserve"> </w:t>
      </w:r>
    </w:p>
    <w:p w14:paraId="4DFA70CD" w14:textId="164A09FE" w:rsidR="003B6CF0" w:rsidRDefault="00DF6FB0" w:rsidP="00B85D11">
      <w:pPr>
        <w:pStyle w:val="Sinespaciado"/>
        <w:ind w:left="2127"/>
        <w:jc w:val="both"/>
        <w:rPr>
          <w:rFonts w:ascii="Arial" w:hAnsi="Arial" w:cs="Arial"/>
          <w:bCs/>
          <w:sz w:val="26"/>
          <w:szCs w:val="26"/>
        </w:rPr>
      </w:pPr>
      <w:r w:rsidRPr="00B85D11">
        <w:rPr>
          <w:rFonts w:ascii="Arial" w:hAnsi="Arial" w:cs="Arial"/>
          <w:bCs/>
          <w:sz w:val="26"/>
          <w:szCs w:val="26"/>
        </w:rPr>
        <w:t>(ANTE</w:t>
      </w:r>
      <w:r w:rsidR="00B85D11" w:rsidRPr="00B85D11">
        <w:rPr>
          <w:rFonts w:ascii="Arial" w:hAnsi="Arial" w:cs="Arial"/>
          <w:bCs/>
          <w:sz w:val="26"/>
          <w:szCs w:val="26"/>
        </w:rPr>
        <w:t xml:space="preserve">S </w:t>
      </w:r>
      <w:r w:rsidRPr="00B85D11">
        <w:rPr>
          <w:rFonts w:ascii="Arial" w:hAnsi="Arial" w:cs="Arial"/>
          <w:bCs/>
          <w:sz w:val="26"/>
          <w:szCs w:val="26"/>
        </w:rPr>
        <w:t>66/20</w:t>
      </w:r>
      <w:r w:rsidR="00116652" w:rsidRPr="00B85D11">
        <w:rPr>
          <w:rFonts w:ascii="Arial" w:hAnsi="Arial" w:cs="Arial"/>
          <w:bCs/>
          <w:sz w:val="26"/>
          <w:szCs w:val="26"/>
        </w:rPr>
        <w:t>1</w:t>
      </w:r>
      <w:r w:rsidRPr="00B85D11">
        <w:rPr>
          <w:rFonts w:ascii="Arial" w:hAnsi="Arial" w:cs="Arial"/>
          <w:bCs/>
          <w:sz w:val="26"/>
          <w:szCs w:val="26"/>
        </w:rPr>
        <w:t>9 DE LA SÉPTIMA SALA UNITARIA DE PRIMERA INSTANCIA).</w:t>
      </w:r>
    </w:p>
    <w:p w14:paraId="316E1F3B" w14:textId="77777777" w:rsidR="00B85D11" w:rsidRPr="00B85D11" w:rsidRDefault="00B85D11" w:rsidP="00B85D11">
      <w:pPr>
        <w:pStyle w:val="Sinespaciado"/>
        <w:ind w:left="2127"/>
        <w:jc w:val="both"/>
        <w:rPr>
          <w:rFonts w:ascii="Arial" w:hAnsi="Arial" w:cs="Arial"/>
          <w:sz w:val="26"/>
          <w:szCs w:val="26"/>
        </w:rPr>
      </w:pPr>
    </w:p>
    <w:p w14:paraId="1BC6550C" w14:textId="59554D1C" w:rsidR="003B6CF0" w:rsidRPr="00620617" w:rsidRDefault="003B6CF0" w:rsidP="003B6CF0">
      <w:pPr>
        <w:spacing w:line="240" w:lineRule="auto"/>
        <w:ind w:left="2124"/>
        <w:jc w:val="both"/>
        <w:rPr>
          <w:rFonts w:ascii="Arial" w:hAnsi="Arial" w:cs="Arial"/>
          <w:b/>
          <w:sz w:val="26"/>
          <w:szCs w:val="26"/>
        </w:rPr>
      </w:pPr>
      <w:r w:rsidRPr="00620617">
        <w:rPr>
          <w:rFonts w:ascii="Arial" w:hAnsi="Arial" w:cs="Arial"/>
          <w:b/>
          <w:sz w:val="26"/>
          <w:szCs w:val="26"/>
        </w:rPr>
        <w:t>PONENTE: MAGISTRAD</w:t>
      </w:r>
      <w:r w:rsidR="00DF6FB0" w:rsidRPr="00620617">
        <w:rPr>
          <w:rFonts w:ascii="Arial" w:hAnsi="Arial" w:cs="Arial"/>
          <w:b/>
          <w:sz w:val="26"/>
          <w:szCs w:val="26"/>
        </w:rPr>
        <w:t>A GLORIA DEL CARMEN CAMACHO MEZA.</w:t>
      </w:r>
    </w:p>
    <w:p w14:paraId="3DE7165A" w14:textId="2BF3482B" w:rsidR="003B6CF0" w:rsidRPr="00620617" w:rsidRDefault="00E164DB" w:rsidP="00ED18DE">
      <w:pPr>
        <w:spacing w:before="240" w:line="360" w:lineRule="auto"/>
        <w:jc w:val="both"/>
        <w:rPr>
          <w:rFonts w:ascii="Arial" w:hAnsi="Arial" w:cs="Arial"/>
          <w:b/>
          <w:sz w:val="26"/>
          <w:szCs w:val="26"/>
        </w:rPr>
      </w:pPr>
      <w:r w:rsidRPr="00620617">
        <w:rPr>
          <w:rFonts w:ascii="Arial" w:hAnsi="Arial" w:cs="Arial"/>
          <w:b/>
          <w:sz w:val="26"/>
          <w:szCs w:val="26"/>
        </w:rPr>
        <w:t xml:space="preserve">                                                                                                                                                                                                                                                                                                                                                                                                                                                                                                                                                                                                                                                                                                                           </w:t>
      </w:r>
      <w:r w:rsidR="00B7192B" w:rsidRPr="00620617">
        <w:rPr>
          <w:rFonts w:ascii="Arial" w:hAnsi="Arial" w:cs="Arial"/>
          <w:b/>
          <w:sz w:val="26"/>
          <w:szCs w:val="26"/>
        </w:rPr>
        <w:t xml:space="preserve">                                                                                                                                                                                                                                                                                                                                                                                                                                                                                                                                                                                                                                                                                                                                               </w:t>
      </w:r>
      <w:r w:rsidR="003B6CF0" w:rsidRPr="00620617">
        <w:rPr>
          <w:rFonts w:ascii="Arial" w:hAnsi="Arial" w:cs="Arial"/>
          <w:b/>
          <w:sz w:val="26"/>
          <w:szCs w:val="26"/>
        </w:rPr>
        <w:t xml:space="preserve">OAXACA DE JUÁREZ, OAXACA A </w:t>
      </w:r>
      <w:r w:rsidR="00ED18DE">
        <w:rPr>
          <w:rFonts w:ascii="Arial" w:hAnsi="Arial" w:cs="Arial"/>
          <w:b/>
          <w:sz w:val="26"/>
          <w:szCs w:val="26"/>
        </w:rPr>
        <w:t xml:space="preserve">DIEZ DE JUNIO </w:t>
      </w:r>
      <w:r w:rsidR="003B6CF0" w:rsidRPr="00620617">
        <w:rPr>
          <w:rFonts w:ascii="Arial" w:hAnsi="Arial" w:cs="Arial"/>
          <w:b/>
          <w:sz w:val="26"/>
          <w:szCs w:val="26"/>
        </w:rPr>
        <w:t xml:space="preserve">DE DOS MIL VEINTIUNO. - - - - - - - - - - - - - - - - - - - - - - - - - - - - - - - - - - - - - - - - - - - </w:t>
      </w:r>
    </w:p>
    <w:p w14:paraId="132AC8E4" w14:textId="63199D18" w:rsidR="00BC1DC2" w:rsidRDefault="003B6CF0" w:rsidP="00F65F1A">
      <w:pPr>
        <w:spacing w:line="360" w:lineRule="auto"/>
        <w:ind w:firstLine="708"/>
        <w:jc w:val="both"/>
        <w:rPr>
          <w:rFonts w:ascii="Arial" w:hAnsi="Arial" w:cs="Arial"/>
          <w:sz w:val="26"/>
          <w:szCs w:val="26"/>
        </w:rPr>
      </w:pPr>
      <w:r w:rsidRPr="00620617">
        <w:rPr>
          <w:rFonts w:ascii="Arial" w:hAnsi="Arial" w:cs="Arial"/>
          <w:sz w:val="26"/>
          <w:szCs w:val="26"/>
        </w:rPr>
        <w:t xml:space="preserve">Se tiene por recibido el cuaderno de recurso de revisión </w:t>
      </w:r>
      <w:r w:rsidR="00DF6FB0" w:rsidRPr="00620617">
        <w:rPr>
          <w:rFonts w:ascii="Arial" w:hAnsi="Arial" w:cs="Arial"/>
          <w:b/>
          <w:sz w:val="26"/>
          <w:szCs w:val="26"/>
        </w:rPr>
        <w:t>468</w:t>
      </w:r>
      <w:r w:rsidRPr="00620617">
        <w:rPr>
          <w:rFonts w:ascii="Arial" w:hAnsi="Arial" w:cs="Arial"/>
          <w:b/>
          <w:sz w:val="26"/>
          <w:szCs w:val="26"/>
        </w:rPr>
        <w:t>/20</w:t>
      </w:r>
      <w:r w:rsidR="003E37F9" w:rsidRPr="00620617">
        <w:rPr>
          <w:rFonts w:ascii="Arial" w:hAnsi="Arial" w:cs="Arial"/>
          <w:b/>
          <w:sz w:val="26"/>
          <w:szCs w:val="26"/>
        </w:rPr>
        <w:t>19</w:t>
      </w:r>
      <w:r w:rsidR="003E37F9" w:rsidRPr="00620617">
        <w:rPr>
          <w:rFonts w:ascii="Arial" w:hAnsi="Arial" w:cs="Arial"/>
          <w:sz w:val="26"/>
          <w:szCs w:val="26"/>
        </w:rPr>
        <w:t xml:space="preserve">, </w:t>
      </w:r>
      <w:r w:rsidRPr="00620617">
        <w:rPr>
          <w:rFonts w:ascii="Arial" w:hAnsi="Arial" w:cs="Arial"/>
          <w:sz w:val="26"/>
          <w:szCs w:val="26"/>
        </w:rPr>
        <w:t>turnado por la Secretaría General de Acuerdos, con motivo del recu</w:t>
      </w:r>
      <w:r w:rsidR="007007A1" w:rsidRPr="00620617">
        <w:rPr>
          <w:rFonts w:ascii="Arial" w:hAnsi="Arial" w:cs="Arial"/>
          <w:sz w:val="26"/>
          <w:szCs w:val="26"/>
        </w:rPr>
        <w:t xml:space="preserve">rso de revisión interpuesto por </w:t>
      </w:r>
      <w:r w:rsidR="000F631D" w:rsidRPr="00620617">
        <w:rPr>
          <w:rFonts w:ascii="Arial" w:hAnsi="Arial" w:cs="Arial"/>
          <w:b/>
          <w:sz w:val="26"/>
          <w:szCs w:val="26"/>
        </w:rPr>
        <w:t xml:space="preserve">JAIME ALEJANDRO VELÁZQUEZ MARTÍNEZ, </w:t>
      </w:r>
      <w:r w:rsidR="003E37F9" w:rsidRPr="00620617">
        <w:rPr>
          <w:rFonts w:ascii="Arial" w:hAnsi="Arial" w:cs="Arial"/>
          <w:b/>
          <w:sz w:val="26"/>
          <w:szCs w:val="26"/>
        </w:rPr>
        <w:t xml:space="preserve">quien se ostenta como </w:t>
      </w:r>
      <w:r w:rsidR="000F631D" w:rsidRPr="00620617">
        <w:rPr>
          <w:rFonts w:ascii="Arial" w:hAnsi="Arial" w:cs="Arial"/>
          <w:b/>
          <w:sz w:val="26"/>
          <w:szCs w:val="26"/>
        </w:rPr>
        <w:t xml:space="preserve">DIRECTOR DE ASUNTOS JURÍDICOS DE LA </w:t>
      </w:r>
      <w:r w:rsidR="00DF6FB0" w:rsidRPr="00620617">
        <w:rPr>
          <w:rFonts w:ascii="Arial" w:hAnsi="Arial" w:cs="Arial"/>
          <w:b/>
          <w:sz w:val="26"/>
          <w:szCs w:val="26"/>
        </w:rPr>
        <w:t>FISCALÍA GENERAL</w:t>
      </w:r>
      <w:r w:rsidR="000F631D" w:rsidRPr="00620617">
        <w:rPr>
          <w:rFonts w:ascii="Arial" w:hAnsi="Arial" w:cs="Arial"/>
          <w:b/>
          <w:sz w:val="26"/>
          <w:szCs w:val="26"/>
        </w:rPr>
        <w:t xml:space="preserve"> DEL ESTADO DE OAXACA</w:t>
      </w:r>
      <w:r w:rsidR="007007A1" w:rsidRPr="00620617">
        <w:rPr>
          <w:rFonts w:ascii="Arial" w:hAnsi="Arial" w:cs="Arial"/>
          <w:b/>
          <w:sz w:val="26"/>
          <w:szCs w:val="26"/>
        </w:rPr>
        <w:t>,</w:t>
      </w:r>
      <w:r w:rsidR="00225E51" w:rsidRPr="00620617">
        <w:rPr>
          <w:rFonts w:ascii="Arial" w:hAnsi="Arial" w:cs="Arial"/>
          <w:b/>
          <w:sz w:val="26"/>
          <w:szCs w:val="26"/>
        </w:rPr>
        <w:t xml:space="preserve"> </w:t>
      </w:r>
      <w:r w:rsidR="00225E51" w:rsidRPr="00620617">
        <w:rPr>
          <w:rFonts w:ascii="Arial" w:eastAsiaTheme="minorHAnsi" w:hAnsi="Arial" w:cs="Arial"/>
          <w:b/>
          <w:bCs/>
          <w:sz w:val="26"/>
          <w:szCs w:val="26"/>
          <w:lang w:val="es-ES" w:eastAsia="en-US"/>
        </w:rPr>
        <w:t>y representante jurídico del Fiscal General del Estado de Oaxaca,</w:t>
      </w:r>
      <w:r w:rsidRPr="00620617">
        <w:rPr>
          <w:rFonts w:ascii="Arial" w:hAnsi="Arial" w:cs="Arial"/>
          <w:b/>
          <w:sz w:val="26"/>
          <w:szCs w:val="26"/>
        </w:rPr>
        <w:t xml:space="preserve"> </w:t>
      </w:r>
      <w:r w:rsidRPr="00620617">
        <w:rPr>
          <w:rFonts w:ascii="Arial" w:hAnsi="Arial" w:cs="Arial"/>
          <w:sz w:val="26"/>
          <w:szCs w:val="26"/>
        </w:rPr>
        <w:t>en contra de</w:t>
      </w:r>
      <w:r w:rsidR="00F00EFF" w:rsidRPr="00620617">
        <w:rPr>
          <w:rFonts w:ascii="Arial" w:hAnsi="Arial" w:cs="Arial"/>
          <w:sz w:val="26"/>
          <w:szCs w:val="26"/>
        </w:rPr>
        <w:t xml:space="preserve">l acuerdo </w:t>
      </w:r>
      <w:r w:rsidR="00A202FC" w:rsidRPr="00620617">
        <w:rPr>
          <w:rFonts w:ascii="Arial" w:hAnsi="Arial" w:cs="Arial"/>
          <w:sz w:val="26"/>
          <w:szCs w:val="26"/>
        </w:rPr>
        <w:t xml:space="preserve">de fecha </w:t>
      </w:r>
      <w:r w:rsidR="00DF6FB0" w:rsidRPr="00620617">
        <w:rPr>
          <w:rFonts w:ascii="Arial" w:hAnsi="Arial" w:cs="Arial"/>
          <w:sz w:val="26"/>
          <w:szCs w:val="26"/>
        </w:rPr>
        <w:t>quince de noviembre de dos mil diecinueve</w:t>
      </w:r>
      <w:r w:rsidRPr="00620617">
        <w:rPr>
          <w:rFonts w:ascii="Arial" w:hAnsi="Arial" w:cs="Arial"/>
          <w:sz w:val="26"/>
          <w:szCs w:val="26"/>
        </w:rPr>
        <w:t>, dictad</w:t>
      </w:r>
      <w:r w:rsidR="00F00EFF" w:rsidRPr="00620617">
        <w:rPr>
          <w:rFonts w:ascii="Arial" w:hAnsi="Arial" w:cs="Arial"/>
          <w:sz w:val="26"/>
          <w:szCs w:val="26"/>
        </w:rPr>
        <w:t>o</w:t>
      </w:r>
      <w:r w:rsidRPr="00620617">
        <w:rPr>
          <w:rFonts w:ascii="Arial" w:hAnsi="Arial" w:cs="Arial"/>
          <w:sz w:val="26"/>
          <w:szCs w:val="26"/>
        </w:rPr>
        <w:t xml:space="preserve"> </w:t>
      </w:r>
      <w:r w:rsidR="00DF6FB0" w:rsidRPr="00620617">
        <w:rPr>
          <w:rFonts w:ascii="Arial" w:hAnsi="Arial" w:cs="Arial"/>
          <w:color w:val="000000"/>
          <w:sz w:val="26"/>
          <w:szCs w:val="26"/>
        </w:rPr>
        <w:t xml:space="preserve">en el juicio de nulidad </w:t>
      </w:r>
      <w:r w:rsidR="00116652" w:rsidRPr="00620617">
        <w:rPr>
          <w:rFonts w:ascii="Arial" w:hAnsi="Arial" w:cs="Arial"/>
          <w:color w:val="000000"/>
          <w:sz w:val="26"/>
          <w:szCs w:val="26"/>
        </w:rPr>
        <w:t>0</w:t>
      </w:r>
      <w:r w:rsidR="00DF6FB0" w:rsidRPr="00620617">
        <w:rPr>
          <w:rFonts w:ascii="Arial" w:hAnsi="Arial" w:cs="Arial"/>
          <w:color w:val="000000"/>
          <w:sz w:val="26"/>
          <w:szCs w:val="26"/>
        </w:rPr>
        <w:t>66/2019 por la entonces Séptima Sala Unitaria de Primera Instancia de este Tribunal, actualmente 110/2020 del índice de la Segunda Sala Unitaria de Primera Instancia, acorde a lo dispuesto en el Acuerdo General AG/TJAO/13/2020 del Pleno de este Tribunal, r</w:t>
      </w:r>
      <w:r w:rsidRPr="00620617">
        <w:rPr>
          <w:rFonts w:ascii="Arial" w:hAnsi="Arial" w:cs="Arial"/>
          <w:sz w:val="26"/>
          <w:szCs w:val="26"/>
        </w:rPr>
        <w:t xml:space="preserve">elativo al </w:t>
      </w:r>
      <w:r w:rsidR="00D733BC" w:rsidRPr="00620617">
        <w:rPr>
          <w:rFonts w:ascii="Arial" w:hAnsi="Arial" w:cs="Arial"/>
          <w:sz w:val="26"/>
          <w:szCs w:val="26"/>
        </w:rPr>
        <w:t>juicio de nulidad promovido por</w:t>
      </w:r>
      <w:r w:rsidRPr="00620617">
        <w:rPr>
          <w:rFonts w:ascii="Arial" w:hAnsi="Arial" w:cs="Arial"/>
          <w:sz w:val="26"/>
          <w:szCs w:val="26"/>
        </w:rPr>
        <w:t xml:space="preserve"> </w:t>
      </w:r>
      <w:r w:rsidR="000C0FE0">
        <w:rPr>
          <w:rFonts w:ascii="Arial" w:hAnsi="Arial" w:cs="Arial"/>
          <w:b/>
          <w:sz w:val="26"/>
          <w:szCs w:val="26"/>
        </w:rPr>
        <w:t>***********</w:t>
      </w:r>
      <w:r w:rsidR="00C96C1A" w:rsidRPr="00620617">
        <w:rPr>
          <w:rFonts w:ascii="Arial" w:hAnsi="Arial" w:cs="Arial"/>
          <w:b/>
          <w:sz w:val="26"/>
          <w:szCs w:val="26"/>
        </w:rPr>
        <w:t>,</w:t>
      </w:r>
      <w:r w:rsidRPr="00620617">
        <w:rPr>
          <w:rFonts w:ascii="Arial" w:hAnsi="Arial" w:cs="Arial"/>
          <w:bCs/>
          <w:sz w:val="26"/>
          <w:szCs w:val="26"/>
        </w:rPr>
        <w:t xml:space="preserve"> </w:t>
      </w:r>
      <w:r w:rsidRPr="00620617">
        <w:rPr>
          <w:rFonts w:ascii="Arial" w:hAnsi="Arial" w:cs="Arial"/>
          <w:sz w:val="26"/>
          <w:szCs w:val="26"/>
        </w:rPr>
        <w:t>en contra de</w:t>
      </w:r>
      <w:r w:rsidR="00C96C1A" w:rsidRPr="00620617">
        <w:rPr>
          <w:rFonts w:ascii="Arial" w:hAnsi="Arial" w:cs="Arial"/>
          <w:sz w:val="26"/>
          <w:szCs w:val="26"/>
        </w:rPr>
        <w:t>l</w:t>
      </w:r>
      <w:r w:rsidR="00F00EFF" w:rsidRPr="00620617">
        <w:rPr>
          <w:rFonts w:ascii="Arial" w:hAnsi="Arial" w:cs="Arial"/>
          <w:b/>
          <w:sz w:val="26"/>
          <w:szCs w:val="26"/>
        </w:rPr>
        <w:t xml:space="preserve"> </w:t>
      </w:r>
      <w:r w:rsidR="00FC26C9" w:rsidRPr="00620617">
        <w:rPr>
          <w:rFonts w:ascii="Arial" w:hAnsi="Arial" w:cs="Arial"/>
          <w:b/>
          <w:sz w:val="26"/>
          <w:szCs w:val="26"/>
        </w:rPr>
        <w:t>DIRECTOR DE RECURSOS HUMANOS DE LA SECRETARÍA DE ADMINISTRACIÓN DEL GOBIERNO DEL ESTADO</w:t>
      </w:r>
      <w:r w:rsidR="003E37F9" w:rsidRPr="00620617">
        <w:rPr>
          <w:rFonts w:ascii="Arial" w:hAnsi="Arial" w:cs="Arial"/>
          <w:b/>
          <w:sz w:val="26"/>
          <w:szCs w:val="26"/>
        </w:rPr>
        <w:t xml:space="preserve"> DE OAXACA</w:t>
      </w:r>
      <w:r w:rsidR="00B736E2" w:rsidRPr="00620617">
        <w:rPr>
          <w:rFonts w:ascii="Arial" w:hAnsi="Arial" w:cs="Arial"/>
          <w:b/>
          <w:sz w:val="26"/>
          <w:szCs w:val="26"/>
        </w:rPr>
        <w:t>;</w:t>
      </w:r>
      <w:r w:rsidRPr="00620617">
        <w:rPr>
          <w:rFonts w:ascii="Arial" w:hAnsi="Arial" w:cs="Arial"/>
          <w:sz w:val="26"/>
          <w:szCs w:val="26"/>
        </w:rPr>
        <w:t xml:space="preserve"> por lo que, con fundamento en los artículos 237 y 238 de la Ley de Procedimiento y Justicia Administrativa para el Estado de Oaxaca vigente, se admite. Por consiguiente, se procede a dictar resolución en los siguientes </w:t>
      </w:r>
      <w:r w:rsidR="00BC1DC2" w:rsidRPr="00620617">
        <w:rPr>
          <w:rFonts w:ascii="Arial" w:hAnsi="Arial" w:cs="Arial"/>
          <w:sz w:val="26"/>
          <w:szCs w:val="26"/>
        </w:rPr>
        <w:t xml:space="preserve">términos: </w:t>
      </w:r>
      <w:r w:rsidR="000C0FE0">
        <w:rPr>
          <w:rFonts w:ascii="Arial" w:hAnsi="Arial" w:cs="Arial"/>
          <w:sz w:val="26"/>
          <w:szCs w:val="26"/>
        </w:rPr>
        <w:t xml:space="preserve"> </w:t>
      </w:r>
      <w:r w:rsidR="00BC1DC2">
        <w:rPr>
          <w:rFonts w:ascii="Arial" w:hAnsi="Arial" w:cs="Arial"/>
          <w:sz w:val="26"/>
          <w:szCs w:val="26"/>
        </w:rPr>
        <w:t xml:space="preserve"> </w:t>
      </w:r>
    </w:p>
    <w:p w14:paraId="42D76FAD" w14:textId="376E50D5" w:rsidR="003B6CF0" w:rsidRPr="00620617" w:rsidRDefault="00392F32" w:rsidP="00BC1DC2">
      <w:pPr>
        <w:spacing w:line="360" w:lineRule="auto"/>
        <w:ind w:firstLine="708"/>
        <w:jc w:val="center"/>
        <w:rPr>
          <w:rFonts w:ascii="Arial" w:hAnsi="Arial" w:cs="Arial"/>
          <w:sz w:val="26"/>
          <w:szCs w:val="26"/>
        </w:rPr>
      </w:pPr>
      <w:r w:rsidRPr="00620617">
        <w:rPr>
          <w:rFonts w:ascii="Arial" w:hAnsi="Arial" w:cs="Arial"/>
          <w:b/>
          <w:bCs/>
          <w:sz w:val="26"/>
          <w:szCs w:val="26"/>
        </w:rPr>
        <w:t>R</w:t>
      </w:r>
      <w:r w:rsidR="003B6CF0" w:rsidRPr="00620617">
        <w:rPr>
          <w:rFonts w:ascii="Arial" w:hAnsi="Arial" w:cs="Arial"/>
          <w:b/>
          <w:bCs/>
          <w:sz w:val="26"/>
          <w:szCs w:val="26"/>
        </w:rPr>
        <w:t xml:space="preserve"> E S U L T A N D O</w:t>
      </w:r>
    </w:p>
    <w:p w14:paraId="2907CC89" w14:textId="5F153DA5" w:rsidR="00F65F1A" w:rsidRPr="00620617" w:rsidRDefault="003B6CF0" w:rsidP="00F65F1A">
      <w:pPr>
        <w:spacing w:line="360" w:lineRule="auto"/>
        <w:ind w:firstLine="708"/>
        <w:jc w:val="both"/>
        <w:rPr>
          <w:rFonts w:ascii="Arial" w:hAnsi="Arial" w:cs="Arial"/>
          <w:sz w:val="26"/>
          <w:szCs w:val="26"/>
        </w:rPr>
      </w:pPr>
      <w:r w:rsidRPr="00620617">
        <w:rPr>
          <w:rFonts w:ascii="Arial" w:hAnsi="Arial" w:cs="Arial"/>
          <w:b/>
          <w:bCs/>
          <w:sz w:val="26"/>
          <w:szCs w:val="26"/>
        </w:rPr>
        <w:t xml:space="preserve">PRIMERO. </w:t>
      </w:r>
      <w:r w:rsidR="00F65F1A" w:rsidRPr="00620617">
        <w:rPr>
          <w:rFonts w:ascii="Arial" w:hAnsi="Arial" w:cs="Arial"/>
          <w:sz w:val="26"/>
          <w:szCs w:val="26"/>
        </w:rPr>
        <w:t>Inconforme con el acuerdo de quince de noviembre de dos mil diecinueve, dictado en su momento por la Séptima Sala Unitaria de Primera Instancia, el</w:t>
      </w:r>
      <w:r w:rsidR="00F65F1A" w:rsidRPr="00620617">
        <w:rPr>
          <w:rFonts w:ascii="Arial" w:eastAsia="Calibri" w:hAnsi="Arial" w:cs="Arial"/>
          <w:b/>
          <w:sz w:val="26"/>
          <w:szCs w:val="26"/>
          <w:lang w:eastAsia="en-US"/>
        </w:rPr>
        <w:t xml:space="preserve"> LICENCIADO JAIME ALEJANDRO VELÁZQUEZ MARTÍNEZ, </w:t>
      </w:r>
      <w:r w:rsidR="000D432F" w:rsidRPr="00620617">
        <w:rPr>
          <w:rFonts w:ascii="Arial" w:eastAsia="Calibri" w:hAnsi="Arial" w:cs="Arial"/>
          <w:b/>
          <w:sz w:val="26"/>
          <w:szCs w:val="26"/>
          <w:lang w:eastAsia="en-US"/>
        </w:rPr>
        <w:t xml:space="preserve">ostentándose como </w:t>
      </w:r>
      <w:r w:rsidR="00F65F1A" w:rsidRPr="00620617">
        <w:rPr>
          <w:rFonts w:ascii="Arial" w:eastAsia="Calibri" w:hAnsi="Arial" w:cs="Arial"/>
          <w:b/>
          <w:sz w:val="26"/>
          <w:szCs w:val="26"/>
          <w:lang w:eastAsia="en-US"/>
        </w:rPr>
        <w:t xml:space="preserve">DIRECTOR DE ASUNTOS JURÍDICOS DE LA FISCALÍA GENERAL DEL ESTADO DE </w:t>
      </w:r>
      <w:r w:rsidR="00F65F1A" w:rsidRPr="00620617">
        <w:rPr>
          <w:rFonts w:ascii="Arial" w:eastAsia="Calibri" w:hAnsi="Arial" w:cs="Arial"/>
          <w:b/>
          <w:sz w:val="26"/>
          <w:szCs w:val="26"/>
          <w:lang w:eastAsia="en-US"/>
        </w:rPr>
        <w:lastRenderedPageBreak/>
        <w:t>OAXACA</w:t>
      </w:r>
      <w:r w:rsidR="001D2E60" w:rsidRPr="00620617">
        <w:rPr>
          <w:rFonts w:ascii="Arial" w:eastAsia="Calibri" w:hAnsi="Arial" w:cs="Arial"/>
          <w:b/>
          <w:sz w:val="26"/>
          <w:szCs w:val="26"/>
          <w:lang w:eastAsia="en-US"/>
        </w:rPr>
        <w:t xml:space="preserve">, </w:t>
      </w:r>
      <w:r w:rsidR="00225E51" w:rsidRPr="00620617">
        <w:rPr>
          <w:rFonts w:ascii="Arial" w:eastAsiaTheme="minorHAnsi" w:hAnsi="Arial" w:cs="Arial"/>
          <w:b/>
          <w:bCs/>
          <w:sz w:val="26"/>
          <w:szCs w:val="26"/>
          <w:lang w:val="es-ES" w:eastAsia="en-US"/>
        </w:rPr>
        <w:t>y representante jurídico del Fiscal General del Estado de Oaxaca</w:t>
      </w:r>
      <w:r w:rsidR="00225E51" w:rsidRPr="00620617">
        <w:rPr>
          <w:rFonts w:ascii="Arial" w:hAnsi="Arial" w:cs="Arial"/>
          <w:b/>
          <w:sz w:val="26"/>
          <w:szCs w:val="26"/>
        </w:rPr>
        <w:t xml:space="preserve">, </w:t>
      </w:r>
      <w:r w:rsidR="00F65F1A" w:rsidRPr="00620617">
        <w:rPr>
          <w:rFonts w:ascii="Arial" w:hAnsi="Arial" w:cs="Arial"/>
          <w:sz w:val="26"/>
          <w:szCs w:val="26"/>
        </w:rPr>
        <w:t xml:space="preserve">interpuso en su contra recurso de revisión. - - - - - - - - - - - - - </w:t>
      </w:r>
    </w:p>
    <w:p w14:paraId="2B3E75D1" w14:textId="77777777" w:rsidR="00F65F1A" w:rsidRPr="00620617" w:rsidRDefault="00F65F1A" w:rsidP="00F65F1A">
      <w:pPr>
        <w:spacing w:after="0" w:line="360" w:lineRule="auto"/>
        <w:ind w:firstLine="708"/>
        <w:jc w:val="both"/>
        <w:rPr>
          <w:rFonts w:ascii="Arial" w:hAnsi="Arial" w:cs="Arial"/>
        </w:rPr>
      </w:pPr>
      <w:r w:rsidRPr="00620617">
        <w:rPr>
          <w:rFonts w:ascii="Arial" w:hAnsi="Arial" w:cs="Arial"/>
          <w:b/>
          <w:bCs/>
        </w:rPr>
        <w:t xml:space="preserve">SEGUNDO. </w:t>
      </w:r>
      <w:r w:rsidRPr="00620617">
        <w:rPr>
          <w:rFonts w:ascii="Arial" w:hAnsi="Arial" w:cs="Arial"/>
          <w:bCs/>
        </w:rPr>
        <w:t>El acuerdo recurrido es del tenor literal siguiente</w:t>
      </w:r>
      <w:r w:rsidRPr="00620617">
        <w:rPr>
          <w:rFonts w:ascii="Arial" w:hAnsi="Arial" w:cs="Arial"/>
        </w:rPr>
        <w:t>:</w:t>
      </w:r>
    </w:p>
    <w:p w14:paraId="163AA8CC" w14:textId="56EC8C39" w:rsidR="00F65F1A" w:rsidRPr="00620617" w:rsidRDefault="00F65F1A" w:rsidP="00F65F1A">
      <w:pPr>
        <w:ind w:left="1276" w:right="616"/>
        <w:jc w:val="both"/>
        <w:rPr>
          <w:rFonts w:ascii="Arial" w:eastAsia="Calibri" w:hAnsi="Arial" w:cs="Arial"/>
          <w:bCs/>
          <w:i/>
          <w:color w:val="000000" w:themeColor="text1"/>
        </w:rPr>
      </w:pPr>
      <w:r w:rsidRPr="00620617">
        <w:rPr>
          <w:rFonts w:ascii="Arial" w:eastAsia="Calibri" w:hAnsi="Arial" w:cs="Arial"/>
          <w:bCs/>
          <w:color w:val="000000" w:themeColor="text1"/>
        </w:rPr>
        <w:t xml:space="preserve">   </w:t>
      </w:r>
      <w:r w:rsidRPr="00620617">
        <w:rPr>
          <w:rFonts w:ascii="Arial" w:eastAsia="Calibri" w:hAnsi="Arial" w:cs="Arial"/>
          <w:bCs/>
          <w:i/>
          <w:color w:val="000000" w:themeColor="text1"/>
        </w:rPr>
        <w:t xml:space="preserve">“(…) Por recibidos dos escritos en la Oficialía de Partes Común de este Tribunal, los días cinco y once de noviembre del año en curso; suscrito el </w:t>
      </w:r>
      <w:r w:rsidRPr="00620617">
        <w:rPr>
          <w:rFonts w:ascii="Arial" w:eastAsia="Calibri" w:hAnsi="Arial" w:cs="Arial"/>
          <w:bCs/>
          <w:i/>
          <w:color w:val="000000" w:themeColor="text1"/>
          <w:u w:val="single"/>
        </w:rPr>
        <w:t>primero</w:t>
      </w:r>
      <w:r w:rsidRPr="00620617">
        <w:rPr>
          <w:rFonts w:ascii="Arial" w:eastAsia="Calibri" w:hAnsi="Arial" w:cs="Arial"/>
          <w:bCs/>
          <w:i/>
          <w:color w:val="000000" w:themeColor="text1"/>
        </w:rPr>
        <w:t xml:space="preserve"> por el C. </w:t>
      </w:r>
      <w:r w:rsidR="000C0FE0">
        <w:rPr>
          <w:rFonts w:ascii="Arial" w:hAnsi="Arial" w:cs="Arial"/>
          <w:b/>
          <w:sz w:val="26"/>
          <w:szCs w:val="26"/>
        </w:rPr>
        <w:t>***********</w:t>
      </w:r>
      <w:r w:rsidRPr="00620617">
        <w:rPr>
          <w:rFonts w:ascii="Arial" w:eastAsia="Calibri" w:hAnsi="Arial" w:cs="Arial"/>
          <w:bCs/>
          <w:i/>
          <w:color w:val="000000" w:themeColor="text1"/>
        </w:rPr>
        <w:t xml:space="preserve">, parte actora en el presente asunto; y el </w:t>
      </w:r>
      <w:r w:rsidRPr="00620617">
        <w:rPr>
          <w:rFonts w:ascii="Arial" w:eastAsia="Calibri" w:hAnsi="Arial" w:cs="Arial"/>
          <w:bCs/>
          <w:i/>
          <w:color w:val="000000" w:themeColor="text1"/>
          <w:u w:val="single"/>
        </w:rPr>
        <w:t>segundo</w:t>
      </w:r>
      <w:r w:rsidRPr="00620617">
        <w:rPr>
          <w:rFonts w:ascii="Arial" w:eastAsia="Calibri" w:hAnsi="Arial" w:cs="Arial"/>
          <w:bCs/>
          <w:i/>
          <w:color w:val="000000" w:themeColor="text1"/>
        </w:rPr>
        <w:t xml:space="preserve"> por el C. RODOLFO SAN </w:t>
      </w:r>
      <w:r w:rsidRPr="001124CB">
        <w:rPr>
          <w:rFonts w:ascii="Arial" w:eastAsia="Calibri" w:hAnsi="Arial" w:cs="Arial"/>
          <w:bCs/>
          <w:i/>
          <w:color w:val="000000" w:themeColor="text1"/>
        </w:rPr>
        <w:t>JUAN CORDOVA</w:t>
      </w:r>
      <w:r w:rsidR="00922349" w:rsidRPr="001124CB">
        <w:rPr>
          <w:rFonts w:ascii="Arial" w:eastAsia="Calibri" w:hAnsi="Arial" w:cs="Arial"/>
          <w:bCs/>
          <w:i/>
          <w:color w:val="000000" w:themeColor="text1"/>
        </w:rPr>
        <w:t xml:space="preserve"> (sic)</w:t>
      </w:r>
      <w:r w:rsidRPr="001124CB">
        <w:rPr>
          <w:rFonts w:ascii="Arial" w:eastAsia="Calibri" w:hAnsi="Arial" w:cs="Arial"/>
          <w:bCs/>
          <w:i/>
          <w:color w:val="000000" w:themeColor="text1"/>
        </w:rPr>
        <w:t>, Jefe de la Unidad de Recursos Humanos de la Fiscalía General</w:t>
      </w:r>
      <w:r w:rsidRPr="00620617">
        <w:rPr>
          <w:rFonts w:ascii="Arial" w:eastAsia="Calibri" w:hAnsi="Arial" w:cs="Arial"/>
          <w:bCs/>
          <w:i/>
          <w:color w:val="000000" w:themeColor="text1"/>
        </w:rPr>
        <w:t xml:space="preserve"> del Estado de Oaxaca; visto el contenido del </w:t>
      </w:r>
      <w:r w:rsidRPr="00620617">
        <w:rPr>
          <w:rFonts w:ascii="Arial" w:eastAsia="Calibri" w:hAnsi="Arial" w:cs="Arial"/>
          <w:bCs/>
          <w:i/>
          <w:color w:val="000000" w:themeColor="text1"/>
          <w:u w:val="single"/>
        </w:rPr>
        <w:t>primero</w:t>
      </w:r>
      <w:r w:rsidRPr="00620617">
        <w:rPr>
          <w:rFonts w:ascii="Arial" w:eastAsia="Calibri" w:hAnsi="Arial" w:cs="Arial"/>
          <w:bCs/>
          <w:i/>
          <w:color w:val="000000" w:themeColor="text1"/>
        </w:rPr>
        <w:t>, téngase al promovente, formulando alegatos los cuales solicita se tomen en cuenta al momento de resolver el presente asunto, así mismo manifiesta que no es su voluntad que se llame a juicio a la Fiscalía General del Estado, por ser un Órgano Autónomo en la cuestión presupuestaria, siendo que aun (sic) depende de la Dirección de Recursos Humanos de la Secretaría de Administración del Gobierno del Estado de Oaxaca, siendo esta misma la encargada en todo lo relativo a la prestación que demanda.</w:t>
      </w:r>
    </w:p>
    <w:p w14:paraId="636A53BA" w14:textId="246B841F" w:rsidR="00F65F1A" w:rsidRPr="001D2E60" w:rsidRDefault="00F65F1A" w:rsidP="00F65F1A">
      <w:pPr>
        <w:ind w:left="1276" w:right="616"/>
        <w:jc w:val="both"/>
        <w:rPr>
          <w:rFonts w:ascii="Arial" w:eastAsia="Calibri" w:hAnsi="Arial" w:cs="Arial"/>
          <w:bCs/>
          <w:i/>
          <w:color w:val="000000" w:themeColor="text1"/>
        </w:rPr>
      </w:pPr>
      <w:r w:rsidRPr="00620617">
        <w:rPr>
          <w:rFonts w:ascii="Arial" w:eastAsia="Calibri" w:hAnsi="Arial" w:cs="Arial"/>
          <w:bCs/>
          <w:i/>
          <w:color w:val="000000" w:themeColor="text1"/>
        </w:rPr>
        <w:t xml:space="preserve">   Ahora bien, aun cuando el actor refiere que no se llame a Juicio a la Fiscalía General del Estado de Oaxaca, esta Juzgadora considera prudente se emplace a la citada autoridad, toda vez que de obtener una sentencia favorable, sin duda se verá afectado el presupuesto de la Fiscalía General del Estado; más aun (sic), tomando en consideración que es un </w:t>
      </w:r>
      <w:r w:rsidRPr="00620617">
        <w:rPr>
          <w:rFonts w:ascii="Arial" w:eastAsia="Calibri" w:hAnsi="Arial" w:cs="Arial"/>
          <w:b/>
          <w:bCs/>
          <w:i/>
          <w:color w:val="000000" w:themeColor="text1"/>
        </w:rPr>
        <w:t>hecho notorio</w:t>
      </w:r>
      <w:r w:rsidRPr="00620617">
        <w:rPr>
          <w:rFonts w:ascii="Arial" w:eastAsia="Calibri" w:hAnsi="Arial" w:cs="Arial"/>
          <w:bCs/>
          <w:i/>
          <w:color w:val="000000" w:themeColor="text1"/>
        </w:rPr>
        <w:t xml:space="preserve">, que dicha Fiscalía resulta vinculada al pago de los quinquenios que demanda el actor, tal y como sucedió en el expediente 209/2016 del índice de esta Sala; consecuentemente, como </w:t>
      </w:r>
      <w:r w:rsidRPr="00620617">
        <w:rPr>
          <w:rFonts w:ascii="Arial" w:eastAsia="Calibri" w:hAnsi="Arial" w:cs="Arial"/>
          <w:b/>
          <w:bCs/>
          <w:i/>
          <w:color w:val="000000" w:themeColor="text1"/>
        </w:rPr>
        <w:t>diligencias para mejor proveer</w:t>
      </w:r>
      <w:r w:rsidRPr="00620617">
        <w:rPr>
          <w:rFonts w:ascii="Arial" w:eastAsia="Calibri" w:hAnsi="Arial" w:cs="Arial"/>
          <w:bCs/>
          <w:i/>
          <w:color w:val="000000" w:themeColor="text1"/>
        </w:rPr>
        <w:t xml:space="preserve">, con el fin de no violentar el derecho de defensa de la Fiscalía General del Estado de Oaxaca, por ser la autoridad a la que resultaría afectado su presupuesto  en caso de que el actor obtenga una sentencia favorable, lo procedente es llamarlo a juicio. Criterio del más Alto Tribunal del País, al sostener que cuando exista un litisconsorcio necesario pasivo, dicho presupuesto procesal debe analizarse en cualquier etapa del juicio y desde luego, debe reponerse el procedimiento cuando se advierta que uno de los interesados no fue llamado, por lo que lo procedente es </w:t>
      </w:r>
      <w:r w:rsidRPr="00620617">
        <w:rPr>
          <w:rFonts w:ascii="Arial" w:eastAsia="Calibri" w:hAnsi="Arial" w:cs="Arial"/>
          <w:b/>
          <w:bCs/>
          <w:i/>
          <w:color w:val="000000" w:themeColor="text1"/>
        </w:rPr>
        <w:t>ordenar a la actuaria</w:t>
      </w:r>
      <w:r w:rsidRPr="00620617">
        <w:rPr>
          <w:rFonts w:ascii="Arial" w:eastAsia="Calibri" w:hAnsi="Arial" w:cs="Arial"/>
          <w:bCs/>
          <w:i/>
          <w:color w:val="000000" w:themeColor="text1"/>
        </w:rPr>
        <w:t xml:space="preserve"> adscrita a esta sala, que con la copia de la demanda y anexos, </w:t>
      </w:r>
      <w:r w:rsidRPr="00620617">
        <w:rPr>
          <w:rFonts w:ascii="Arial" w:eastAsia="Calibri" w:hAnsi="Arial" w:cs="Arial"/>
          <w:b/>
          <w:bCs/>
          <w:i/>
          <w:color w:val="000000" w:themeColor="text1"/>
        </w:rPr>
        <w:t>notifique, emplace a juicio y corra traslado a la autoridad demandada Fiscalía General del Estado de Oaxaca</w:t>
      </w:r>
      <w:r w:rsidRPr="00620617">
        <w:rPr>
          <w:rFonts w:ascii="Arial" w:eastAsia="Calibri" w:hAnsi="Arial" w:cs="Arial"/>
          <w:bCs/>
          <w:i/>
          <w:color w:val="000000" w:themeColor="text1"/>
        </w:rPr>
        <w:t>, para que la conteste durante el plazo de nueve días hábiles, contados a partir del día siguiente al en que surta efectos la notificación del presente auto, con los siguientes requerimientos y apercibimientos: 1.- Que en el caso de no contestar dentro del plazo otorgado, se tendrá por emitida su</w:t>
      </w:r>
      <w:r w:rsidRPr="001D2E60">
        <w:rPr>
          <w:rFonts w:ascii="Arial" w:eastAsia="Calibri" w:hAnsi="Arial" w:cs="Arial"/>
          <w:bCs/>
          <w:i/>
          <w:color w:val="000000" w:themeColor="text1"/>
        </w:rPr>
        <w:t xml:space="preserve"> contestación en sentido afirmativo, 2.- De no referir todos los hechos impugnados, se tendrán como ciertos los omitidos, salvo prueba en contrario; y 3.- Deberá acompañar las copias necesarias para el traslado respectivo; adjuntando a su contestación, copia de esta y de los documentos que acompañen para correr traslado a cada una de las partes, lo anterior de conformidad con los </w:t>
      </w:r>
      <w:r w:rsidR="000C0FE0" w:rsidRPr="001D2E60">
        <w:rPr>
          <w:rFonts w:ascii="Arial" w:eastAsia="Calibri" w:hAnsi="Arial" w:cs="Arial"/>
          <w:bCs/>
          <w:i/>
          <w:color w:val="000000" w:themeColor="text1"/>
        </w:rPr>
        <w:t>artículos</w:t>
      </w:r>
      <w:r w:rsidR="000C0FE0">
        <w:rPr>
          <w:rFonts w:ascii="Arial" w:eastAsia="Calibri" w:hAnsi="Arial" w:cs="Arial"/>
          <w:bCs/>
          <w:i/>
          <w:color w:val="000000" w:themeColor="text1"/>
        </w:rPr>
        <w:t xml:space="preserve"> </w:t>
      </w:r>
      <w:r w:rsidRPr="001D2E60">
        <w:rPr>
          <w:rFonts w:ascii="Arial" w:eastAsia="Calibri" w:hAnsi="Arial" w:cs="Arial"/>
          <w:bCs/>
          <w:i/>
          <w:color w:val="000000" w:themeColor="text1"/>
        </w:rPr>
        <w:t xml:space="preserve">163 fracción I, inciso a), 183, 184 y 185 de la Ley que rige a este Tribunal. Sirven de apoyo a lo anterior, las Jurisprudencias con datos de identificación: (…) “LITISCONSORCIO PASIVO NECESARIO. ES UN PRESUPUESTO PROCESAL QUE DEBE ANALIZARSE DE OFICIO POR EL JUZGADOR EN CUALQUIER ETAPA DEL </w:t>
      </w:r>
      <w:r w:rsidRPr="001D2E60">
        <w:rPr>
          <w:rFonts w:ascii="Arial" w:eastAsia="Calibri" w:hAnsi="Arial" w:cs="Arial"/>
          <w:bCs/>
          <w:i/>
          <w:color w:val="000000" w:themeColor="text1"/>
        </w:rPr>
        <w:lastRenderedPageBreak/>
        <w:t>JUICIO (LEGISLACIÓN DEL ESTADO DE JALISCO Y DISTRITO FEDERAL).” (…) “LITISCONSORCIO PASIVO NECESARIO. AL SER UN PRESUPUESTO PROCESAL, EL TRIBUNAL DE ALZADA DEBE MANDAR REPONER EL PROCEDMIENTO OFICIOSAMENTE CUANDO ADVIERTA QUE NO TODOS LOS INTERESADOS FUERON LLAMADOS AL JUICIO NATURAL. (LEGISLACIÓN DEL ESTADO DE MÉXICO VIGENTE A PARTIR DE JULIO DE 2002).” (…) “DILIGENCIAS PARA MEJOR PROVEER, NATURALEZA DE LAS.” (…) “HECHOS NOTORIOS. LOS MAGISTRADOS INTEGRANTES DE LOS TRIBUNALES COLEGIADOS DE CIRCUITO PUEDEN INVOCAR CON ESE CARÁCTER LAS EJECUTORIAS QUE EMITIERON Y LOS DIFERENTES DATOS E INFORMACIÓN CONTENIDOS EN DICHAS RESOLUCIONES Y EN LOS ASUNTOS QUE SE SIGAN ANTE LOS PROPIOS ÓRGANOS.”.</w:t>
      </w:r>
    </w:p>
    <w:p w14:paraId="011AFA90" w14:textId="662DA13F" w:rsidR="00F65F1A" w:rsidRPr="001D2E60" w:rsidRDefault="00F65F1A" w:rsidP="00F65F1A">
      <w:pPr>
        <w:ind w:left="1276" w:right="616"/>
        <w:jc w:val="both"/>
        <w:rPr>
          <w:rFonts w:ascii="Arial" w:eastAsia="Calibri" w:hAnsi="Arial" w:cs="Arial"/>
          <w:bCs/>
          <w:i/>
          <w:color w:val="000000" w:themeColor="text1"/>
        </w:rPr>
      </w:pPr>
      <w:r w:rsidRPr="001D2E60">
        <w:rPr>
          <w:rFonts w:ascii="Arial" w:eastAsia="Calibri" w:hAnsi="Arial" w:cs="Arial"/>
          <w:bCs/>
          <w:i/>
          <w:color w:val="000000" w:themeColor="text1"/>
        </w:rPr>
        <w:t xml:space="preserve">Por lo que respecta al </w:t>
      </w:r>
      <w:r w:rsidRPr="001D2E60">
        <w:rPr>
          <w:rFonts w:ascii="Arial" w:eastAsia="Calibri" w:hAnsi="Arial" w:cs="Arial"/>
          <w:bCs/>
          <w:i/>
          <w:color w:val="000000" w:themeColor="text1"/>
          <w:u w:val="single"/>
        </w:rPr>
        <w:t>segundo</w:t>
      </w:r>
      <w:r w:rsidRPr="00225E51">
        <w:rPr>
          <w:rFonts w:ascii="Arial" w:eastAsia="Calibri" w:hAnsi="Arial" w:cs="Arial"/>
          <w:bCs/>
          <w:i/>
          <w:color w:val="000000" w:themeColor="text1"/>
        </w:rPr>
        <w:t>, téngase al Jefe de la Unidad de Recursos Humanos rindiendo el informe que le fue solicitado,</w:t>
      </w:r>
      <w:r w:rsidRPr="001D2E60">
        <w:rPr>
          <w:rFonts w:ascii="Arial" w:eastAsia="Calibri" w:hAnsi="Arial" w:cs="Arial"/>
          <w:bCs/>
          <w:i/>
          <w:color w:val="000000" w:themeColor="text1"/>
        </w:rPr>
        <w:t xml:space="preserve"> mismo que se ordena agregar a los autos y será tomado en cuenta en el momento procesal oportuno.</w:t>
      </w:r>
    </w:p>
    <w:p w14:paraId="030B20B0" w14:textId="2A2F8C9C" w:rsidR="00F65F1A" w:rsidRDefault="00F65F1A" w:rsidP="00F65F1A">
      <w:pPr>
        <w:ind w:left="1276" w:right="616"/>
        <w:jc w:val="both"/>
        <w:rPr>
          <w:rFonts w:ascii="Arial" w:eastAsia="Calibri" w:hAnsi="Arial" w:cs="Arial"/>
          <w:bCs/>
          <w:i/>
          <w:color w:val="000000" w:themeColor="text1"/>
        </w:rPr>
      </w:pPr>
      <w:r w:rsidRPr="001D2E60">
        <w:rPr>
          <w:rFonts w:ascii="Arial" w:eastAsia="Calibri" w:hAnsi="Arial" w:cs="Arial"/>
          <w:bCs/>
          <w:i/>
          <w:color w:val="000000" w:themeColor="text1"/>
        </w:rPr>
        <w:t>Notifíquese personalmente a la parte actora y por oficio a la demandada, lo anterior en términos de los artículos 172 fracción I y 173 fracciones I y II de la Ley de Procedimiento y Justicia Administrativa para el Estado de Oaxaca, y Cúmplase. (…)”.</w:t>
      </w:r>
    </w:p>
    <w:p w14:paraId="7D31F637" w14:textId="77777777" w:rsidR="008733EC" w:rsidRPr="001D2E60" w:rsidRDefault="008733EC" w:rsidP="00F65F1A">
      <w:pPr>
        <w:ind w:left="1276" w:right="616"/>
        <w:jc w:val="both"/>
        <w:rPr>
          <w:rFonts w:ascii="Arial" w:hAnsi="Arial" w:cs="Arial"/>
          <w:i/>
        </w:rPr>
      </w:pPr>
    </w:p>
    <w:p w14:paraId="5CF1A028" w14:textId="1CA341F8" w:rsidR="00F65F1A" w:rsidRPr="00F65F1A" w:rsidRDefault="00F65F1A" w:rsidP="008733EC">
      <w:pPr>
        <w:tabs>
          <w:tab w:val="left" w:pos="2460"/>
          <w:tab w:val="center" w:pos="4253"/>
        </w:tabs>
        <w:spacing w:line="360" w:lineRule="auto"/>
        <w:ind w:right="49"/>
        <w:jc w:val="center"/>
        <w:rPr>
          <w:rFonts w:ascii="Arial" w:eastAsia="Calibri" w:hAnsi="Arial" w:cs="Arial"/>
          <w:b/>
          <w:bCs/>
          <w:sz w:val="26"/>
          <w:szCs w:val="26"/>
        </w:rPr>
      </w:pPr>
      <w:r w:rsidRPr="00F65F1A">
        <w:rPr>
          <w:rFonts w:ascii="Arial" w:eastAsia="Calibri" w:hAnsi="Arial" w:cs="Arial"/>
          <w:b/>
          <w:bCs/>
          <w:sz w:val="26"/>
          <w:szCs w:val="26"/>
        </w:rPr>
        <w:t>C O N S I D E R A N D O</w:t>
      </w:r>
    </w:p>
    <w:p w14:paraId="3C9A07EB" w14:textId="2B65A358" w:rsidR="00F65F1A" w:rsidRPr="002A6561" w:rsidRDefault="007C47F2" w:rsidP="00F65F1A">
      <w:pPr>
        <w:spacing w:line="360" w:lineRule="auto"/>
        <w:ind w:firstLine="426"/>
        <w:jc w:val="both"/>
        <w:rPr>
          <w:rFonts w:ascii="Arial" w:hAnsi="Arial" w:cs="Arial"/>
          <w:sz w:val="26"/>
          <w:szCs w:val="26"/>
        </w:rPr>
      </w:pPr>
      <w:r>
        <w:rPr>
          <w:rFonts w:ascii="Arial" w:hAnsi="Arial" w:cs="Arial"/>
          <w:b/>
          <w:bCs/>
          <w:iCs/>
          <w:sz w:val="26"/>
          <w:szCs w:val="26"/>
        </w:rPr>
        <w:t xml:space="preserve">    </w:t>
      </w: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w:t>
      </w:r>
      <w:r w:rsidRPr="0022790A">
        <w:rPr>
          <w:rFonts w:ascii="Arial" w:hAnsi="Arial" w:cs="Arial"/>
          <w:bCs/>
          <w:iCs/>
          <w:color w:val="000000" w:themeColor="text1"/>
          <w:sz w:val="26"/>
          <w:szCs w:val="26"/>
        </w:rPr>
        <w:t>recurso de revisión</w:t>
      </w:r>
      <w:r>
        <w:rPr>
          <w:rFonts w:ascii="Arial" w:hAnsi="Arial" w:cs="Arial"/>
          <w:bCs/>
          <w:iCs/>
          <w:sz w:val="26"/>
          <w:szCs w:val="26"/>
        </w:rPr>
        <w:t>,</w:t>
      </w:r>
      <w:r w:rsidRPr="00152D2D">
        <w:rPr>
          <w:rFonts w:ascii="Arial" w:hAnsi="Arial" w:cs="Arial"/>
          <w:bCs/>
          <w:iCs/>
          <w:color w:val="FF0000"/>
          <w:sz w:val="26"/>
          <w:szCs w:val="26"/>
        </w:rPr>
        <w:t xml:space="preserve"> </w:t>
      </w:r>
      <w:r>
        <w:rPr>
          <w:rFonts w:ascii="Arial" w:hAnsi="Arial" w:cs="Arial"/>
          <w:bCs/>
          <w:iCs/>
          <w:sz w:val="26"/>
          <w:szCs w:val="26"/>
        </w:rPr>
        <w:t>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 artículos</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w:t>
      </w:r>
      <w:r w:rsidR="00F65F1A" w:rsidRPr="009A3C83">
        <w:rPr>
          <w:rFonts w:ascii="Arial" w:hAnsi="Arial" w:cs="Arial"/>
          <w:bCs/>
          <w:iCs/>
          <w:sz w:val="26"/>
          <w:szCs w:val="26"/>
        </w:rPr>
        <w:t>dado que se trata de un recurso de Revisión interpuesto en contra de</w:t>
      </w:r>
      <w:r w:rsidR="00F65F1A">
        <w:rPr>
          <w:rFonts w:ascii="Arial" w:hAnsi="Arial" w:cs="Arial"/>
          <w:bCs/>
          <w:iCs/>
          <w:sz w:val="26"/>
          <w:szCs w:val="26"/>
        </w:rPr>
        <w:t>l acuerdo de quince de noviembre</w:t>
      </w:r>
      <w:r w:rsidR="00F65F1A" w:rsidRPr="009A3C83">
        <w:rPr>
          <w:rFonts w:ascii="Arial" w:hAnsi="Arial" w:cs="Arial"/>
          <w:bCs/>
          <w:iCs/>
          <w:sz w:val="26"/>
          <w:szCs w:val="26"/>
        </w:rPr>
        <w:t xml:space="preserve"> de dos mil </w:t>
      </w:r>
      <w:r w:rsidR="00F65F1A">
        <w:rPr>
          <w:rFonts w:ascii="Arial" w:hAnsi="Arial" w:cs="Arial"/>
          <w:bCs/>
          <w:iCs/>
          <w:sz w:val="26"/>
          <w:szCs w:val="26"/>
        </w:rPr>
        <w:t>diecinueve</w:t>
      </w:r>
      <w:r w:rsidR="00F65F1A" w:rsidRPr="009A3C83">
        <w:rPr>
          <w:rFonts w:ascii="Arial" w:hAnsi="Arial" w:cs="Arial"/>
          <w:sz w:val="26"/>
          <w:szCs w:val="26"/>
        </w:rPr>
        <w:t>, dictad</w:t>
      </w:r>
      <w:r w:rsidR="00F65F1A">
        <w:rPr>
          <w:rFonts w:ascii="Arial" w:hAnsi="Arial" w:cs="Arial"/>
          <w:sz w:val="26"/>
          <w:szCs w:val="26"/>
        </w:rPr>
        <w:t>o</w:t>
      </w:r>
      <w:r w:rsidR="00F65F1A" w:rsidRPr="009A3C83">
        <w:rPr>
          <w:rFonts w:ascii="Arial" w:hAnsi="Arial" w:cs="Arial"/>
          <w:sz w:val="26"/>
          <w:szCs w:val="26"/>
        </w:rPr>
        <w:t xml:space="preserve"> </w:t>
      </w:r>
      <w:r w:rsidR="00F65F1A" w:rsidRPr="00453BC6">
        <w:rPr>
          <w:rFonts w:ascii="Arial" w:hAnsi="Arial" w:cs="Arial"/>
          <w:sz w:val="26"/>
          <w:szCs w:val="26"/>
        </w:rPr>
        <w:t xml:space="preserve">en el </w:t>
      </w:r>
      <w:r w:rsidR="00F65F1A" w:rsidRPr="00620617">
        <w:rPr>
          <w:rFonts w:ascii="Arial" w:hAnsi="Arial" w:cs="Arial"/>
          <w:sz w:val="26"/>
          <w:szCs w:val="26"/>
        </w:rPr>
        <w:t xml:space="preserve">expediente </w:t>
      </w:r>
      <w:r w:rsidR="00851F9C" w:rsidRPr="00620617">
        <w:rPr>
          <w:rFonts w:ascii="Arial" w:hAnsi="Arial" w:cs="Arial"/>
          <w:b/>
          <w:bCs/>
          <w:sz w:val="26"/>
          <w:szCs w:val="26"/>
        </w:rPr>
        <w:t>0</w:t>
      </w:r>
      <w:r w:rsidR="00F65F1A" w:rsidRPr="00620617">
        <w:rPr>
          <w:rFonts w:ascii="Arial" w:hAnsi="Arial" w:cs="Arial"/>
          <w:b/>
          <w:bCs/>
          <w:sz w:val="26"/>
          <w:szCs w:val="26"/>
        </w:rPr>
        <w:t>66/2019</w:t>
      </w:r>
      <w:r w:rsidR="00F65F1A">
        <w:rPr>
          <w:rFonts w:ascii="Arial" w:hAnsi="Arial" w:cs="Arial"/>
          <w:sz w:val="26"/>
          <w:szCs w:val="26"/>
        </w:rPr>
        <w:t xml:space="preserve"> por la entonces Séptima Sala Unitaria de Primera Instancia, actualmente </w:t>
      </w:r>
      <w:r w:rsidR="00F65F1A">
        <w:rPr>
          <w:rFonts w:ascii="Arial" w:hAnsi="Arial" w:cs="Arial"/>
          <w:b/>
          <w:sz w:val="26"/>
          <w:szCs w:val="26"/>
        </w:rPr>
        <w:t>110</w:t>
      </w:r>
      <w:r w:rsidR="00F65F1A" w:rsidRPr="009A3C83">
        <w:rPr>
          <w:rFonts w:ascii="Arial" w:hAnsi="Arial" w:cs="Arial"/>
          <w:b/>
          <w:sz w:val="26"/>
          <w:szCs w:val="26"/>
        </w:rPr>
        <w:t>/20</w:t>
      </w:r>
      <w:r w:rsidR="00F65F1A">
        <w:rPr>
          <w:rFonts w:ascii="Arial" w:hAnsi="Arial" w:cs="Arial"/>
          <w:b/>
          <w:sz w:val="26"/>
          <w:szCs w:val="26"/>
        </w:rPr>
        <w:t>20</w:t>
      </w:r>
      <w:r w:rsidR="00F65F1A" w:rsidRPr="009A3C83">
        <w:rPr>
          <w:rFonts w:ascii="Arial" w:hAnsi="Arial" w:cs="Arial"/>
          <w:b/>
          <w:sz w:val="26"/>
          <w:szCs w:val="26"/>
        </w:rPr>
        <w:t xml:space="preserve"> </w:t>
      </w:r>
      <w:r w:rsidR="00F65F1A" w:rsidRPr="009A3C83">
        <w:rPr>
          <w:rFonts w:ascii="Arial" w:hAnsi="Arial" w:cs="Arial"/>
          <w:sz w:val="26"/>
          <w:szCs w:val="26"/>
        </w:rPr>
        <w:t xml:space="preserve">del </w:t>
      </w:r>
      <w:r w:rsidR="00F65F1A" w:rsidRPr="00453BC6">
        <w:rPr>
          <w:rFonts w:ascii="Arial" w:hAnsi="Arial" w:cs="Arial"/>
          <w:sz w:val="26"/>
          <w:szCs w:val="26"/>
        </w:rPr>
        <w:t xml:space="preserve">índice de la </w:t>
      </w:r>
      <w:r w:rsidR="00F65F1A">
        <w:rPr>
          <w:rFonts w:ascii="Arial" w:hAnsi="Arial" w:cs="Arial"/>
          <w:sz w:val="26"/>
          <w:szCs w:val="26"/>
        </w:rPr>
        <w:t>Segunda</w:t>
      </w:r>
      <w:r w:rsidR="00F65F1A" w:rsidRPr="00453BC6">
        <w:rPr>
          <w:rFonts w:ascii="Arial" w:hAnsi="Arial" w:cs="Arial"/>
          <w:sz w:val="26"/>
          <w:szCs w:val="26"/>
        </w:rPr>
        <w:t xml:space="preserve"> Sala Unitaria de Primera Instancia</w:t>
      </w:r>
      <w:r>
        <w:rPr>
          <w:rFonts w:ascii="Arial" w:hAnsi="Arial" w:cs="Arial"/>
          <w:sz w:val="26"/>
          <w:szCs w:val="26"/>
        </w:rPr>
        <w:t>.</w:t>
      </w:r>
      <w:r w:rsidR="00F65F1A" w:rsidRPr="009A3C83">
        <w:rPr>
          <w:rFonts w:ascii="Arial" w:hAnsi="Arial" w:cs="Arial"/>
          <w:sz w:val="26"/>
          <w:szCs w:val="26"/>
        </w:rPr>
        <w:t xml:space="preserve"> - </w:t>
      </w:r>
    </w:p>
    <w:p w14:paraId="7C2E8461" w14:textId="36B4DB67" w:rsidR="00F65F1A" w:rsidRPr="006321D4" w:rsidRDefault="00F65F1A" w:rsidP="00F65F1A">
      <w:pPr>
        <w:spacing w:line="360" w:lineRule="auto"/>
        <w:ind w:firstLine="708"/>
        <w:jc w:val="both"/>
        <w:rPr>
          <w:rFonts w:ascii="Arial" w:hAnsi="Arial" w:cs="Arial"/>
          <w:sz w:val="26"/>
          <w:szCs w:val="26"/>
        </w:rPr>
      </w:pPr>
      <w:r w:rsidRPr="006321D4">
        <w:rPr>
          <w:rFonts w:ascii="Arial" w:hAnsi="Arial" w:cs="Arial"/>
          <w:b/>
          <w:bCs/>
          <w:sz w:val="26"/>
          <w:szCs w:val="26"/>
        </w:rPr>
        <w:t>SEGUNDO.</w:t>
      </w:r>
      <w:r w:rsidRPr="006321D4">
        <w:rPr>
          <w:rFonts w:ascii="Arial" w:hAnsi="Arial" w:cs="Arial"/>
          <w:bCs/>
          <w:sz w:val="26"/>
          <w:szCs w:val="26"/>
        </w:rPr>
        <w:t xml:space="preserve"> Los agravios hechos valer se encuentran expuestos en el escrito respectivo de la recurrente, por lo que no existe necesidad de transcribirlos, al no transgredirse derecho alguno, como tampoco se vulnera disposición expresa que imponga tal obligación</w:t>
      </w:r>
      <w:r w:rsidRPr="006321D4">
        <w:rPr>
          <w:rFonts w:ascii="Arial" w:hAnsi="Arial" w:cs="Arial"/>
          <w:sz w:val="26"/>
          <w:szCs w:val="26"/>
        </w:rPr>
        <w:t>. En apoyo a lo anterior, se invoca el criterio Jurisprudencial</w:t>
      </w:r>
      <w:r w:rsidRPr="006321D4">
        <w:rPr>
          <w:rFonts w:ascii="Arial" w:hAnsi="Arial" w:cs="Arial"/>
          <w:bCs/>
          <w:color w:val="000000"/>
          <w:sz w:val="26"/>
          <w:szCs w:val="26"/>
        </w:rPr>
        <w:t xml:space="preserve"> 2a./J. 58/2010 emitida por </w:t>
      </w:r>
      <w:r w:rsidRPr="006321D4">
        <w:rPr>
          <w:rFonts w:ascii="Arial" w:hAnsi="Arial" w:cs="Arial"/>
          <w:bCs/>
          <w:color w:val="000000"/>
          <w:sz w:val="26"/>
          <w:szCs w:val="26"/>
        </w:rPr>
        <w:lastRenderedPageBreak/>
        <w:t>la Segunda Sala de la Suprema Corte de Justicia de la Nación, con número de registro 164618, publicada en la Gaceta del Semanario Judicial de la Federación, Tomo XXXI, Mayo de 2010, visible a página 830, Novena Época, bajo el rubro y texto siguiente:</w:t>
      </w:r>
      <w:r>
        <w:rPr>
          <w:rFonts w:ascii="Arial" w:hAnsi="Arial" w:cs="Arial"/>
          <w:bCs/>
          <w:color w:val="000000"/>
          <w:sz w:val="26"/>
          <w:szCs w:val="26"/>
        </w:rPr>
        <w:t>- - - - - - - - -- - - - - - -</w:t>
      </w:r>
    </w:p>
    <w:p w14:paraId="1F997E6B" w14:textId="77777777" w:rsidR="00F65F1A" w:rsidRPr="006321D4" w:rsidRDefault="00F65F1A" w:rsidP="00F65F1A">
      <w:pPr>
        <w:spacing w:before="240"/>
        <w:ind w:left="567" w:right="474"/>
        <w:jc w:val="both"/>
        <w:rPr>
          <w:rFonts w:ascii="Arial" w:eastAsia="Calibri" w:hAnsi="Arial" w:cs="Arial"/>
          <w:b/>
          <w:bCs/>
          <w:i/>
          <w:lang w:val="es-ES" w:eastAsia="en-US"/>
        </w:rPr>
      </w:pPr>
      <w:r w:rsidRPr="006321D4">
        <w:rPr>
          <w:rFonts w:ascii="Arial" w:eastAsia="Calibri" w:hAnsi="Arial" w:cs="Arial"/>
          <w:b/>
          <w:bCs/>
          <w:i/>
        </w:rPr>
        <w:t xml:space="preserve">“CONCEPTOS DE VIOLACIÓN O AGRAVIOS. PARA CUMPLIR CON LOS PRINCIPIOS DE CONGRUENCIA Y EXHAUSTIVIDAD EN LAS SENTENCIAS DE AMPARO ES INNECESARIA SU TRANSCRIPCIÓN. </w:t>
      </w:r>
      <w:r w:rsidRPr="006321D4">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0753949E" w14:textId="3034D0BD" w:rsidR="00740397" w:rsidRDefault="003B6CF0"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B962C6" w:rsidRPr="00B962C6">
        <w:rPr>
          <w:rFonts w:ascii="Arial" w:eastAsia="Calibri" w:hAnsi="Arial" w:cs="Arial"/>
          <w:b/>
          <w:bCs/>
          <w:sz w:val="26"/>
          <w:szCs w:val="26"/>
        </w:rPr>
        <w:t>TERCERO.-</w:t>
      </w:r>
      <w:r w:rsidR="00482534">
        <w:rPr>
          <w:rFonts w:ascii="Arial" w:eastAsia="Calibri" w:hAnsi="Arial" w:cs="Arial"/>
          <w:b/>
          <w:bCs/>
          <w:sz w:val="26"/>
          <w:szCs w:val="26"/>
        </w:rPr>
        <w:t xml:space="preserve"> </w:t>
      </w:r>
      <w:r w:rsidR="00482534" w:rsidRPr="001D2E60">
        <w:rPr>
          <w:rFonts w:ascii="Arial" w:eastAsia="Calibri" w:hAnsi="Arial" w:cs="Arial"/>
          <w:bCs/>
          <w:sz w:val="26"/>
          <w:szCs w:val="26"/>
        </w:rPr>
        <w:t>En su agravio</w:t>
      </w:r>
      <w:r w:rsidR="00482534" w:rsidRPr="00482534">
        <w:rPr>
          <w:rFonts w:ascii="Arial" w:eastAsia="Calibri" w:hAnsi="Arial" w:cs="Arial"/>
          <w:bCs/>
          <w:sz w:val="26"/>
          <w:szCs w:val="26"/>
        </w:rPr>
        <w:t xml:space="preserve"> </w:t>
      </w:r>
      <w:r w:rsidR="00482534" w:rsidRPr="00DB3D2F">
        <w:rPr>
          <w:rFonts w:ascii="Arial" w:eastAsia="Calibri" w:hAnsi="Arial" w:cs="Arial"/>
          <w:b/>
          <w:bCs/>
          <w:sz w:val="26"/>
          <w:szCs w:val="26"/>
        </w:rPr>
        <w:t>primero,</w:t>
      </w:r>
      <w:r w:rsidR="001D2E60">
        <w:rPr>
          <w:rFonts w:ascii="Arial" w:eastAsia="Calibri" w:hAnsi="Arial" w:cs="Arial"/>
          <w:bCs/>
          <w:sz w:val="26"/>
          <w:szCs w:val="26"/>
        </w:rPr>
        <w:t xml:space="preserve"> </w:t>
      </w:r>
      <w:r w:rsidR="00BF232B">
        <w:rPr>
          <w:rFonts w:ascii="Arial" w:eastAsia="Calibri" w:hAnsi="Arial" w:cs="Arial"/>
          <w:bCs/>
          <w:sz w:val="26"/>
          <w:szCs w:val="26"/>
        </w:rPr>
        <w:t xml:space="preserve">manifiesta el recurrente que la parte relativa del acuerdo de fecha quince de noviembre de dos mil diecinueve –lo transcribe-, no es correcta porque el juicio ante el Tribunal de Justicia Administrativa del Estado de Oaxaca, se regirá, se substanciará y resolverá con arreglo </w:t>
      </w:r>
      <w:r w:rsidR="000D2BB6">
        <w:rPr>
          <w:rFonts w:ascii="Arial" w:eastAsia="Calibri" w:hAnsi="Arial" w:cs="Arial"/>
          <w:bCs/>
          <w:sz w:val="26"/>
          <w:szCs w:val="26"/>
        </w:rPr>
        <w:t xml:space="preserve">a las disposiciones contenidas en el Libro Tercero de la Ley de Procedimiento y Justicia Administrativa para el Estado de Oaxaca, según lo disponen los artículos 145 y 147 del citado ordenamiento.- - - - - - - - - - - - - - - - - - - - - - - - - - - - - - - - - - - - - </w:t>
      </w:r>
    </w:p>
    <w:p w14:paraId="2D04E793" w14:textId="6CA4162E" w:rsidR="000D2BB6" w:rsidRDefault="000D2BB6"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Por tanto, refiere que la Magistrada de la Séptima Sala de Primera Instancia, no emitió el acuerdo que impugna, ajustándose a los dispuesto en el Libro Tercero de la citada Ley, porque no observó las disposiciones contenidas en los artículos 161 fracción II y 163 fracciones I, inciso a) y II inciso a) – los transcribe -, P</w:t>
      </w:r>
      <w:r w:rsidR="00922349">
        <w:rPr>
          <w:rFonts w:ascii="Arial" w:eastAsia="Calibri" w:hAnsi="Arial" w:cs="Arial"/>
          <w:bCs/>
          <w:sz w:val="26"/>
          <w:szCs w:val="26"/>
        </w:rPr>
        <w:t>ues, señala que el actor dema</w:t>
      </w:r>
      <w:r w:rsidR="00922349" w:rsidRPr="001124CB">
        <w:rPr>
          <w:rFonts w:ascii="Arial" w:eastAsia="Calibri" w:hAnsi="Arial" w:cs="Arial"/>
          <w:bCs/>
          <w:sz w:val="26"/>
          <w:szCs w:val="26"/>
        </w:rPr>
        <w:t>ndó</w:t>
      </w:r>
      <w:r>
        <w:rPr>
          <w:rFonts w:ascii="Arial" w:eastAsia="Calibri" w:hAnsi="Arial" w:cs="Arial"/>
          <w:bCs/>
          <w:sz w:val="26"/>
          <w:szCs w:val="26"/>
        </w:rPr>
        <w:t xml:space="preserve"> como acto impugnado “</w:t>
      </w:r>
      <w:r>
        <w:rPr>
          <w:rFonts w:ascii="Arial" w:eastAsia="Calibri" w:hAnsi="Arial" w:cs="Arial"/>
          <w:bCs/>
          <w:i/>
        </w:rPr>
        <w:t xml:space="preserve">…La negativa para que los quinquenios que tengo laborados, me sean pagados de forma retroactiva y en forma subsecuente como marca el artículo 34 BIS de la Ley del Servicio Civil para los empleados del gobierno del Estado…”, </w:t>
      </w:r>
      <w:r>
        <w:rPr>
          <w:rFonts w:ascii="Arial" w:eastAsia="Calibri" w:hAnsi="Arial" w:cs="Arial"/>
          <w:bCs/>
          <w:i/>
          <w:sz w:val="26"/>
          <w:szCs w:val="26"/>
        </w:rPr>
        <w:t xml:space="preserve"> </w:t>
      </w:r>
      <w:r>
        <w:rPr>
          <w:rFonts w:ascii="Arial" w:eastAsia="Calibri" w:hAnsi="Arial" w:cs="Arial"/>
          <w:bCs/>
          <w:sz w:val="26"/>
          <w:szCs w:val="26"/>
        </w:rPr>
        <w:t xml:space="preserve">negativa que se le dio a conocer el día veintiocho de junio de dos mil diecinueve, mediante oficio </w:t>
      </w:r>
      <w:r w:rsidR="000C0FE0">
        <w:rPr>
          <w:rFonts w:ascii="Arial" w:hAnsi="Arial" w:cs="Arial"/>
          <w:b/>
          <w:sz w:val="26"/>
          <w:szCs w:val="26"/>
        </w:rPr>
        <w:t>***********</w:t>
      </w:r>
      <w:r w:rsidR="000C0FE0">
        <w:rPr>
          <w:rFonts w:ascii="Arial" w:hAnsi="Arial" w:cs="Arial"/>
          <w:b/>
          <w:sz w:val="26"/>
          <w:szCs w:val="26"/>
        </w:rPr>
        <w:t xml:space="preserve"> </w:t>
      </w:r>
      <w:r>
        <w:rPr>
          <w:rFonts w:ascii="Arial" w:eastAsia="Calibri" w:hAnsi="Arial" w:cs="Arial"/>
          <w:bCs/>
          <w:sz w:val="26"/>
          <w:szCs w:val="26"/>
        </w:rPr>
        <w:t>de fecha trece de junio del citado año, emitido por el Contador Público José de Jesús Cisneros Pérez, Director de Recursos Humanos de la Secretaría de Administración del Gobierno del Estado.</w:t>
      </w:r>
      <w:r w:rsidR="00400352">
        <w:rPr>
          <w:rFonts w:ascii="Arial" w:eastAsia="Calibri" w:hAnsi="Arial" w:cs="Arial"/>
          <w:bCs/>
          <w:sz w:val="26"/>
          <w:szCs w:val="26"/>
        </w:rPr>
        <w:t xml:space="preserve">- - - - - - - - - - - - - - - - - - - - - - - </w:t>
      </w:r>
    </w:p>
    <w:p w14:paraId="3A703EEA" w14:textId="028E24DE" w:rsidR="000D2BB6" w:rsidRPr="00A801C1" w:rsidRDefault="000D2BB6"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lastRenderedPageBreak/>
        <w:tab/>
      </w:r>
      <w:r w:rsidR="00EA7590">
        <w:rPr>
          <w:rFonts w:ascii="Arial" w:eastAsia="Calibri" w:hAnsi="Arial" w:cs="Arial"/>
          <w:bCs/>
          <w:sz w:val="26"/>
          <w:szCs w:val="26"/>
        </w:rPr>
        <w:t>Sigue señalando, que del contenido del escrito de demanda, se aprecia que el actor demandó únicamente al Director de Recursos Humanos de la Secretaría de Administración del Gobierno del Estado, por ser ésta</w:t>
      </w:r>
      <w:r w:rsidR="00400352">
        <w:rPr>
          <w:rFonts w:ascii="Arial" w:eastAsia="Calibri" w:hAnsi="Arial" w:cs="Arial"/>
          <w:bCs/>
          <w:sz w:val="26"/>
          <w:szCs w:val="26"/>
        </w:rPr>
        <w:t>,</w:t>
      </w:r>
      <w:r w:rsidR="00EA7590">
        <w:rPr>
          <w:rFonts w:ascii="Arial" w:eastAsia="Calibri" w:hAnsi="Arial" w:cs="Arial"/>
          <w:bCs/>
          <w:sz w:val="26"/>
          <w:szCs w:val="26"/>
        </w:rPr>
        <w:t xml:space="preserve"> </w:t>
      </w:r>
      <w:r w:rsidR="00400352">
        <w:rPr>
          <w:rFonts w:ascii="Arial" w:eastAsia="Calibri" w:hAnsi="Arial" w:cs="Arial"/>
          <w:bCs/>
          <w:sz w:val="26"/>
          <w:szCs w:val="26"/>
        </w:rPr>
        <w:t xml:space="preserve">la autoridad que emitió el acto impugnado, sin que haya quedado demostrado el hecho o acto jurídico administrativo, de que </w:t>
      </w:r>
      <w:r w:rsidR="00A801C1">
        <w:rPr>
          <w:rFonts w:ascii="Arial" w:eastAsia="Calibri" w:hAnsi="Arial" w:cs="Arial"/>
          <w:bCs/>
          <w:sz w:val="26"/>
          <w:szCs w:val="26"/>
        </w:rPr>
        <w:t>la Fiscalía General del Estado de Oaxaca</w:t>
      </w:r>
      <w:r w:rsidR="00400352">
        <w:rPr>
          <w:rFonts w:ascii="Arial" w:eastAsia="Calibri" w:hAnsi="Arial" w:cs="Arial"/>
          <w:bCs/>
          <w:sz w:val="26"/>
          <w:szCs w:val="26"/>
        </w:rPr>
        <w:t xml:space="preserve">, sea la que </w:t>
      </w:r>
      <w:r w:rsidR="00400352" w:rsidRPr="00400352">
        <w:rPr>
          <w:rFonts w:ascii="Arial" w:eastAsia="Calibri" w:hAnsi="Arial" w:cs="Arial"/>
          <w:b/>
          <w:bCs/>
          <w:i/>
          <w:sz w:val="26"/>
          <w:szCs w:val="26"/>
          <w:u w:val="single"/>
        </w:rPr>
        <w:t>haya dictado, ordenado, ejecutado o trate de ejecutar el acto impugnado, u omitido dar respuesta a las peticiones o instancias de los particulares.</w:t>
      </w:r>
      <w:r>
        <w:rPr>
          <w:rFonts w:ascii="Arial" w:eastAsia="Calibri" w:hAnsi="Arial" w:cs="Arial"/>
          <w:bCs/>
          <w:sz w:val="26"/>
          <w:szCs w:val="26"/>
        </w:rPr>
        <w:t xml:space="preserve"> </w:t>
      </w:r>
      <w:r w:rsidR="00400352" w:rsidRPr="00A801C1">
        <w:rPr>
          <w:rFonts w:ascii="Arial" w:eastAsia="Calibri" w:hAnsi="Arial" w:cs="Arial"/>
          <w:bCs/>
          <w:sz w:val="26"/>
          <w:szCs w:val="26"/>
        </w:rPr>
        <w:t xml:space="preserve">- - - - - - - - - - - - - - - - - - </w:t>
      </w:r>
      <w:r w:rsidR="00A801C1" w:rsidRPr="00A801C1">
        <w:rPr>
          <w:rFonts w:ascii="Arial" w:eastAsia="Calibri" w:hAnsi="Arial" w:cs="Arial"/>
          <w:bCs/>
          <w:sz w:val="26"/>
          <w:szCs w:val="26"/>
        </w:rPr>
        <w:t>- - - - - - - - - - - - - - - - - - - - - - - -</w:t>
      </w:r>
    </w:p>
    <w:p w14:paraId="37BF1BE6" w14:textId="7B7E566A" w:rsidR="00400352" w:rsidRDefault="00A801C1"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En su </w:t>
      </w:r>
      <w:r>
        <w:rPr>
          <w:rFonts w:ascii="Arial" w:eastAsia="Calibri" w:hAnsi="Arial" w:cs="Arial"/>
          <w:b/>
          <w:bCs/>
          <w:sz w:val="26"/>
          <w:szCs w:val="26"/>
        </w:rPr>
        <w:t xml:space="preserve">segundo </w:t>
      </w:r>
      <w:r>
        <w:rPr>
          <w:rFonts w:ascii="Arial" w:eastAsia="Calibri" w:hAnsi="Arial" w:cs="Arial"/>
          <w:bCs/>
          <w:sz w:val="26"/>
          <w:szCs w:val="26"/>
        </w:rPr>
        <w:t xml:space="preserve">agravio, manifiesta el recurrente que es ilegal la determinación contenida en el acuerdo de 15 de noviembre de dos mil diecinueve, </w:t>
      </w:r>
      <w:r w:rsidR="00FF5281">
        <w:rPr>
          <w:rFonts w:ascii="Arial" w:eastAsia="Calibri" w:hAnsi="Arial" w:cs="Arial"/>
          <w:bCs/>
          <w:sz w:val="26"/>
          <w:szCs w:val="26"/>
        </w:rPr>
        <w:t>a citar lo siguiente:</w:t>
      </w:r>
      <w:r>
        <w:rPr>
          <w:rFonts w:ascii="Arial" w:eastAsia="Calibri" w:hAnsi="Arial" w:cs="Arial"/>
          <w:bCs/>
          <w:sz w:val="26"/>
          <w:szCs w:val="26"/>
        </w:rPr>
        <w:t xml:space="preserve">  “…</w:t>
      </w:r>
      <w:r>
        <w:rPr>
          <w:rFonts w:ascii="Arial" w:eastAsia="Calibri" w:hAnsi="Arial" w:cs="Arial"/>
          <w:b/>
          <w:bCs/>
          <w:i/>
        </w:rPr>
        <w:t>que es un hecho notorio, que dicha fiscalía resulta vinculada al pago de los quinquenios</w:t>
      </w:r>
      <w:r w:rsidR="004A4745">
        <w:rPr>
          <w:rFonts w:ascii="Arial" w:eastAsia="Calibri" w:hAnsi="Arial" w:cs="Arial"/>
          <w:b/>
          <w:bCs/>
          <w:i/>
        </w:rPr>
        <w:t xml:space="preserve"> que demanda el actor; tal y como sucedió en el expediente 209/2016 del índice de esta Sala;  consecuentemente, como diligencias para mejor proveer, con el fin de no violentar el derecho de defensa de la Fiscalía General del Estado de Oaxaca, por ser la autoridad a la que </w:t>
      </w:r>
      <w:r w:rsidR="004A4745">
        <w:rPr>
          <w:rFonts w:ascii="Arial" w:eastAsia="Calibri" w:hAnsi="Arial" w:cs="Arial"/>
          <w:b/>
          <w:bCs/>
          <w:i/>
          <w:u w:val="single"/>
        </w:rPr>
        <w:t>le resulta afectado su presupuesto en caso de que el actor obtenga una sentencia favorable.</w:t>
      </w:r>
      <w:r w:rsidR="00FF5281">
        <w:rPr>
          <w:rFonts w:ascii="Arial" w:eastAsia="Calibri" w:hAnsi="Arial" w:cs="Arial"/>
          <w:bCs/>
          <w:sz w:val="26"/>
          <w:szCs w:val="26"/>
        </w:rPr>
        <w:t xml:space="preserve"> Lo anterior, porque </w:t>
      </w:r>
      <w:r w:rsidR="004A4745">
        <w:rPr>
          <w:rFonts w:ascii="Arial" w:eastAsia="Calibri" w:hAnsi="Arial" w:cs="Arial"/>
          <w:bCs/>
          <w:sz w:val="26"/>
          <w:szCs w:val="26"/>
        </w:rPr>
        <w:t xml:space="preserve">la pretensión del actor señalado </w:t>
      </w:r>
      <w:r w:rsidR="00FF5281">
        <w:rPr>
          <w:rFonts w:ascii="Arial" w:eastAsia="Calibri" w:hAnsi="Arial" w:cs="Arial"/>
          <w:bCs/>
          <w:sz w:val="26"/>
          <w:szCs w:val="26"/>
        </w:rPr>
        <w:t xml:space="preserve">en </w:t>
      </w:r>
      <w:r w:rsidR="004A4745">
        <w:rPr>
          <w:rFonts w:ascii="Arial" w:eastAsia="Calibri" w:hAnsi="Arial" w:cs="Arial"/>
          <w:bCs/>
          <w:sz w:val="26"/>
          <w:szCs w:val="26"/>
        </w:rPr>
        <w:t>su escrito de demanda es la siguiente:</w:t>
      </w:r>
      <w:r w:rsidR="00FF5281">
        <w:rPr>
          <w:rFonts w:ascii="Arial" w:eastAsia="Calibri" w:hAnsi="Arial" w:cs="Arial"/>
          <w:bCs/>
          <w:sz w:val="26"/>
          <w:szCs w:val="26"/>
        </w:rPr>
        <w:t xml:space="preserve"> </w:t>
      </w:r>
      <w:r w:rsidR="00FF5281">
        <w:rPr>
          <w:rFonts w:ascii="Arial" w:eastAsia="Calibri" w:hAnsi="Arial" w:cs="Arial"/>
          <w:bCs/>
          <w:i/>
        </w:rPr>
        <w:t>“…Que se me pague la cantidad correcta de seis  quinquenios laborados, incluyendo el PAGO RETROACTIVO DE LOS ANTERIORES, así como los SUBSECUENTES, tal y como lo establece el artículo 34 BIS  de la Ley de Servicio Civil para los Empleados del Gobierno del Estado…”</w:t>
      </w:r>
      <w:r w:rsidR="00FF5281">
        <w:rPr>
          <w:rFonts w:ascii="Arial" w:eastAsia="Calibri" w:hAnsi="Arial" w:cs="Arial"/>
          <w:bCs/>
          <w:sz w:val="26"/>
          <w:szCs w:val="26"/>
        </w:rPr>
        <w:t>- - - - - - - - - - - - - - - - - - - - - - - - - - - - - - - - - - - - - -</w:t>
      </w:r>
      <w:r w:rsidR="00FF5281">
        <w:rPr>
          <w:rFonts w:ascii="Arial" w:eastAsia="Calibri" w:hAnsi="Arial" w:cs="Arial"/>
          <w:bCs/>
          <w:sz w:val="26"/>
          <w:szCs w:val="26"/>
        </w:rPr>
        <w:tab/>
        <w:t xml:space="preserve">En consecuencia, expone el recurrente que las pretensiones retroactivas no </w:t>
      </w:r>
      <w:r w:rsidR="00FF5281" w:rsidRPr="001124CB">
        <w:rPr>
          <w:rFonts w:ascii="Arial" w:eastAsia="Calibri" w:hAnsi="Arial" w:cs="Arial"/>
          <w:bCs/>
          <w:sz w:val="26"/>
          <w:szCs w:val="26"/>
        </w:rPr>
        <w:t>son imputables a la Fiscalía General del Estado de Oaxaca, porque ante</w:t>
      </w:r>
      <w:r w:rsidR="00922349" w:rsidRPr="001124CB">
        <w:rPr>
          <w:rFonts w:ascii="Arial" w:eastAsia="Calibri" w:hAnsi="Arial" w:cs="Arial"/>
          <w:bCs/>
          <w:sz w:val="26"/>
          <w:szCs w:val="26"/>
        </w:rPr>
        <w:t>s</w:t>
      </w:r>
      <w:r w:rsidR="00FF5281" w:rsidRPr="001124CB">
        <w:rPr>
          <w:rFonts w:ascii="Arial" w:eastAsia="Calibri" w:hAnsi="Arial" w:cs="Arial"/>
          <w:bCs/>
          <w:sz w:val="26"/>
          <w:szCs w:val="26"/>
        </w:rPr>
        <w:t xml:space="preserve"> de entrar en vigor la reforma Constitucional en materia de Derecho</w:t>
      </w:r>
      <w:r w:rsidR="00922349" w:rsidRPr="001124CB">
        <w:rPr>
          <w:rFonts w:ascii="Arial" w:eastAsia="Calibri" w:hAnsi="Arial" w:cs="Arial"/>
          <w:bCs/>
          <w:sz w:val="26"/>
          <w:szCs w:val="26"/>
        </w:rPr>
        <w:t>s</w:t>
      </w:r>
      <w:r w:rsidR="00FF5281" w:rsidRPr="001124CB">
        <w:rPr>
          <w:rFonts w:ascii="Arial" w:eastAsia="Calibri" w:hAnsi="Arial" w:cs="Arial"/>
          <w:bCs/>
          <w:sz w:val="26"/>
          <w:szCs w:val="26"/>
        </w:rPr>
        <w:t xml:space="preserve"> Humanos, Transparencia, Procuración de Justicia, Político Electoral y Combate a la Corrupción, la Procuraduría General de Justicia del Estado de Oaxaca (hoy Fiscalía General del Estado de Oaxaca), formaba parte de la Centralización de las dependencia</w:t>
      </w:r>
      <w:r w:rsidR="00922349" w:rsidRPr="001124CB">
        <w:rPr>
          <w:rFonts w:ascii="Arial" w:eastAsia="Calibri" w:hAnsi="Arial" w:cs="Arial"/>
          <w:bCs/>
          <w:sz w:val="26"/>
          <w:szCs w:val="26"/>
        </w:rPr>
        <w:t>s</w:t>
      </w:r>
      <w:r w:rsidR="00FF5281" w:rsidRPr="001124CB">
        <w:rPr>
          <w:rFonts w:ascii="Arial" w:eastAsia="Calibri" w:hAnsi="Arial" w:cs="Arial"/>
          <w:bCs/>
          <w:sz w:val="26"/>
          <w:szCs w:val="26"/>
        </w:rPr>
        <w:t xml:space="preserve"> del Gobierno del Estado, en términos de la Ley Orgánica del Poder Ejecutivo vigente, y por no contar con autonomía dependía presupuestalmente y</w:t>
      </w:r>
      <w:r w:rsidR="00FF5281">
        <w:rPr>
          <w:rFonts w:ascii="Arial" w:eastAsia="Calibri" w:hAnsi="Arial" w:cs="Arial"/>
          <w:bCs/>
          <w:sz w:val="26"/>
          <w:szCs w:val="26"/>
        </w:rPr>
        <w:t xml:space="preserve"> administrativamente del Poder Ejecutivo.- - - - - - - - - - - - - - - - - - - - - - -</w:t>
      </w:r>
    </w:p>
    <w:p w14:paraId="5BE0B74C" w14:textId="35F24200" w:rsidR="00214AE3" w:rsidRDefault="00FF5281"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Por lo que, </w:t>
      </w:r>
      <w:r w:rsidR="00214AE3">
        <w:rPr>
          <w:rFonts w:ascii="Arial" w:eastAsia="Calibri" w:hAnsi="Arial" w:cs="Arial"/>
          <w:bCs/>
          <w:sz w:val="26"/>
          <w:szCs w:val="26"/>
        </w:rPr>
        <w:t>menciona</w:t>
      </w:r>
      <w:r>
        <w:rPr>
          <w:rFonts w:ascii="Arial" w:eastAsia="Calibri" w:hAnsi="Arial" w:cs="Arial"/>
          <w:bCs/>
          <w:sz w:val="26"/>
          <w:szCs w:val="26"/>
        </w:rPr>
        <w:t xml:space="preserve"> que las prestaciones subsecuentes del pago de quinquenios reclamado</w:t>
      </w:r>
      <w:r w:rsidR="001124CB">
        <w:rPr>
          <w:rFonts w:ascii="Arial" w:eastAsia="Calibri" w:hAnsi="Arial" w:cs="Arial"/>
          <w:bCs/>
          <w:sz w:val="26"/>
          <w:szCs w:val="26"/>
        </w:rPr>
        <w:t>s</w:t>
      </w:r>
      <w:r>
        <w:rPr>
          <w:rFonts w:ascii="Arial" w:eastAsia="Calibri" w:hAnsi="Arial" w:cs="Arial"/>
          <w:bCs/>
          <w:sz w:val="26"/>
          <w:szCs w:val="26"/>
        </w:rPr>
        <w:t xml:space="preserve"> por el actor, como lo establece el artículo 34 BIS de la Ley del Servicio Civil para los Empleados del Gobierno del Estado, </w:t>
      </w:r>
      <w:r w:rsidR="00214AE3">
        <w:rPr>
          <w:rFonts w:ascii="Arial" w:eastAsia="Calibri" w:hAnsi="Arial" w:cs="Arial"/>
          <w:bCs/>
          <w:sz w:val="26"/>
          <w:szCs w:val="26"/>
        </w:rPr>
        <w:t xml:space="preserve">tampoco es exigible a la Fiscalía General del Estado de Oaxaca, en razón de que la Ley del Servicio Civil para los Empleados del </w:t>
      </w:r>
      <w:r w:rsidR="00214AE3">
        <w:rPr>
          <w:rFonts w:ascii="Arial" w:eastAsia="Calibri" w:hAnsi="Arial" w:cs="Arial"/>
          <w:bCs/>
          <w:sz w:val="26"/>
          <w:szCs w:val="26"/>
        </w:rPr>
        <w:lastRenderedPageBreak/>
        <w:t xml:space="preserve">Gobierno del Estado, no le es aplicable, porque dicha Fiscalía no forma parte de los Poderes Legislativo, Ejecutivo y Judicial del Estado de Oaxaca, por ser un órgano autónomo, en razón de que mediante Decreto 1263, publicado en el Periódico Oficial del Estado el treinta de junio de dos mil quince, se derogó, adicionó y reformaron diversas disposiciones de la Constitución Política del Estado Libre y Soberano de Oaxaca.- - - - - - - - - - - - - - - - - - - - - - - - - - - - - - - - - - - - - - - - - - - - - - </w:t>
      </w:r>
    </w:p>
    <w:p w14:paraId="7E5C6E36" w14:textId="42B356C1" w:rsidR="00FF5281" w:rsidRDefault="00214AE3"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CC2368">
        <w:rPr>
          <w:rFonts w:ascii="Arial" w:eastAsia="Calibri" w:hAnsi="Arial" w:cs="Arial"/>
          <w:bCs/>
          <w:sz w:val="26"/>
          <w:szCs w:val="26"/>
        </w:rPr>
        <w:t xml:space="preserve">Señala que dicha reforma constitucional, establece en su artículo 114, apartado D, la transformación estructural de la Procuraduría General de Justicia del Estado de Oaxaca, </w:t>
      </w:r>
      <w:r>
        <w:rPr>
          <w:rFonts w:ascii="Arial" w:eastAsia="Calibri" w:hAnsi="Arial" w:cs="Arial"/>
          <w:bCs/>
          <w:sz w:val="26"/>
          <w:szCs w:val="26"/>
        </w:rPr>
        <w:t xml:space="preserve"> </w:t>
      </w:r>
      <w:r w:rsidR="00CC2368">
        <w:rPr>
          <w:rFonts w:ascii="Arial" w:eastAsia="Calibri" w:hAnsi="Arial" w:cs="Arial"/>
          <w:bCs/>
          <w:sz w:val="26"/>
          <w:szCs w:val="26"/>
        </w:rPr>
        <w:t>dotada de autonomía constitucional para el ejercicio de sus funciones en materia de procuración de justicia, así como en las funciones específicas del Ministerio Público, para la investigación y persecución de los delitos; indica que, la autonomía constitucional de la Fiscalía General del Estado de Oaxaca, implicó en lo que aquí interesa, dejar de formar parte del Poder Ejecutivo del Estado, para convertirse en un órgano autónomo constitucional con personalidad jurídica y patrimonio propio</w:t>
      </w:r>
      <w:r w:rsidR="000C3CC3">
        <w:rPr>
          <w:rFonts w:ascii="Arial" w:eastAsia="Calibri" w:hAnsi="Arial" w:cs="Arial"/>
          <w:bCs/>
          <w:sz w:val="26"/>
          <w:szCs w:val="26"/>
        </w:rPr>
        <w:t>, así como el manejo y administración de sus recursos humanos, materiales y financieros, de igual forma, su patrimonio y presupuesto, sin injerencia de la Secretaría de Finanzas y de Administración del Gobierno del Estado</w:t>
      </w:r>
      <w:r w:rsidR="00CC2368">
        <w:rPr>
          <w:rFonts w:ascii="Arial" w:eastAsia="Calibri" w:hAnsi="Arial" w:cs="Arial"/>
          <w:bCs/>
          <w:sz w:val="26"/>
          <w:szCs w:val="26"/>
        </w:rPr>
        <w:t>.- - - - - - - - -</w:t>
      </w:r>
      <w:r w:rsidR="000C3CC3">
        <w:rPr>
          <w:rFonts w:ascii="Arial" w:eastAsia="Calibri" w:hAnsi="Arial" w:cs="Arial"/>
          <w:bCs/>
          <w:sz w:val="26"/>
          <w:szCs w:val="26"/>
        </w:rPr>
        <w:t xml:space="preserve"> - - - - - - - - - - - - - - - - - - - - - - - - - - - - - - - - - - - - - -</w:t>
      </w:r>
    </w:p>
    <w:p w14:paraId="246FD2E8" w14:textId="14B93859" w:rsidR="00990669" w:rsidRDefault="00990669"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Por otro lado, señala en su agravio </w:t>
      </w:r>
      <w:r>
        <w:rPr>
          <w:rFonts w:ascii="Arial" w:eastAsia="Calibri" w:hAnsi="Arial" w:cs="Arial"/>
          <w:b/>
          <w:bCs/>
          <w:sz w:val="26"/>
          <w:szCs w:val="26"/>
        </w:rPr>
        <w:t xml:space="preserve">tercero </w:t>
      </w:r>
      <w:r>
        <w:rPr>
          <w:rFonts w:ascii="Arial" w:eastAsia="Calibri" w:hAnsi="Arial" w:cs="Arial"/>
          <w:bCs/>
          <w:sz w:val="26"/>
          <w:szCs w:val="26"/>
        </w:rPr>
        <w:t xml:space="preserve">que el acuerdo recurrido es ilegal, porque no se encuentra fundado y motivado, por lo que la vinculación y el llamamiento a juicio a la Fiscalía General del Estado de Oaxaca, es improcedente. - - - - - - - - - - - - - - - - - - - - - - - - - </w:t>
      </w:r>
    </w:p>
    <w:p w14:paraId="420353F8" w14:textId="161E8A2D" w:rsidR="00990669" w:rsidRPr="00990669" w:rsidRDefault="00990669"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Explica que en el presente juicio no existe Litis consorcio pasivo necesario, porque no se está demandando la nulidad de un acto administrativo, en donde la Fiscalía General del Estado de Oaxaca haya intervenido, </w:t>
      </w:r>
      <w:r>
        <w:rPr>
          <w:rFonts w:ascii="Arial" w:eastAsia="Calibri" w:hAnsi="Arial" w:cs="Arial"/>
          <w:b/>
          <w:bCs/>
          <w:i/>
          <w:sz w:val="26"/>
          <w:szCs w:val="26"/>
          <w:u w:val="single"/>
        </w:rPr>
        <w:t xml:space="preserve">dictando, ordenando, ejecutando o trate de ejecutar el acto impugnado, u omitido dar respuesta a las peticiones o instancias de los particulares, </w:t>
      </w:r>
      <w:r>
        <w:rPr>
          <w:rFonts w:ascii="Arial" w:eastAsia="Calibri" w:hAnsi="Arial" w:cs="Arial"/>
          <w:bCs/>
          <w:sz w:val="26"/>
          <w:szCs w:val="26"/>
        </w:rPr>
        <w:t>por lo que no se da el supuesto que para el caso exige las jurisprudencia invocadas en el acuerdo recurrido.</w:t>
      </w:r>
    </w:p>
    <w:p w14:paraId="659E6869" w14:textId="24D3AC6D" w:rsidR="00514668" w:rsidRPr="00514668" w:rsidRDefault="00CC2368" w:rsidP="00990669">
      <w:pPr>
        <w:widowControl w:val="0"/>
        <w:tabs>
          <w:tab w:val="left" w:pos="0"/>
        </w:tabs>
        <w:spacing w:before="240" w:after="0" w:line="360" w:lineRule="auto"/>
        <w:ind w:right="18"/>
        <w:jc w:val="both"/>
        <w:rPr>
          <w:rFonts w:ascii="Arial" w:eastAsia="Calibri" w:hAnsi="Arial" w:cs="Arial"/>
          <w:bCs/>
          <w:sz w:val="26"/>
          <w:szCs w:val="26"/>
          <w:lang w:val="es-ES" w:eastAsia="en-US"/>
        </w:rPr>
      </w:pPr>
      <w:r>
        <w:rPr>
          <w:rFonts w:ascii="Arial" w:eastAsia="Calibri" w:hAnsi="Arial" w:cs="Arial"/>
          <w:bCs/>
          <w:sz w:val="26"/>
          <w:szCs w:val="26"/>
        </w:rPr>
        <w:tab/>
      </w:r>
      <w:r w:rsidR="00514668" w:rsidRPr="00514668">
        <w:rPr>
          <w:rFonts w:ascii="Arial" w:eastAsia="Times New Roman" w:hAnsi="Arial" w:cs="Arial"/>
          <w:sz w:val="26"/>
          <w:szCs w:val="26"/>
        </w:rPr>
        <w:t xml:space="preserve">Antes de entrar al estudio de los agravios manifestados por la autoridad inconforme, esta Sala Superior considera necesario precisar </w:t>
      </w:r>
      <w:r w:rsidR="00514668" w:rsidRPr="00514668">
        <w:rPr>
          <w:rFonts w:ascii="Arial" w:eastAsia="Times New Roman" w:hAnsi="Arial" w:cs="Arial"/>
          <w:sz w:val="26"/>
          <w:szCs w:val="26"/>
        </w:rPr>
        <w:lastRenderedPageBreak/>
        <w:t>que el</w:t>
      </w:r>
      <w:r w:rsidR="00514668" w:rsidRPr="00514668">
        <w:rPr>
          <w:rFonts w:ascii="Arial" w:eastAsia="Calibri" w:hAnsi="Arial" w:cs="Arial"/>
          <w:bCs/>
          <w:sz w:val="26"/>
          <w:szCs w:val="26"/>
          <w:lang w:val="es-ES" w:eastAsia="en-US"/>
        </w:rPr>
        <w:t xml:space="preserve"> artículo 236 fracción VII</w:t>
      </w:r>
      <w:r w:rsidR="00514668" w:rsidRPr="00514668">
        <w:rPr>
          <w:rFonts w:ascii="Arial" w:eastAsia="Calibri" w:hAnsi="Arial" w:cs="Arial"/>
          <w:bCs/>
          <w:sz w:val="26"/>
          <w:szCs w:val="26"/>
          <w:vertAlign w:val="superscript"/>
          <w:lang w:val="es-ES" w:eastAsia="en-US"/>
        </w:rPr>
        <w:footnoteReference w:id="1"/>
      </w:r>
      <w:r w:rsidR="00514668" w:rsidRPr="00514668">
        <w:rPr>
          <w:rFonts w:ascii="Arial" w:eastAsia="Calibri" w:hAnsi="Arial" w:cs="Arial"/>
          <w:bCs/>
          <w:sz w:val="26"/>
          <w:szCs w:val="26"/>
          <w:lang w:val="es-ES" w:eastAsia="en-US"/>
        </w:rPr>
        <w:t xml:space="preserve"> de la Ley de Procedimiento y Justicia Administrativa para el Estado de Oaxaca, establece que las sentencias de la primera </w:t>
      </w:r>
      <w:r w:rsidR="00AD413F" w:rsidRPr="00514668">
        <w:rPr>
          <w:rFonts w:ascii="Arial" w:eastAsia="Calibri" w:hAnsi="Arial" w:cs="Arial"/>
          <w:bCs/>
          <w:sz w:val="26"/>
          <w:szCs w:val="26"/>
          <w:lang w:val="es-ES" w:eastAsia="en-US"/>
        </w:rPr>
        <w:t>instancia</w:t>
      </w:r>
      <w:r w:rsidR="00514668" w:rsidRPr="00514668">
        <w:rPr>
          <w:rFonts w:ascii="Arial" w:eastAsia="Calibri" w:hAnsi="Arial" w:cs="Arial"/>
          <w:bCs/>
          <w:sz w:val="26"/>
          <w:szCs w:val="26"/>
          <w:lang w:val="es-ES" w:eastAsia="en-US"/>
        </w:rPr>
        <w:t xml:space="preserve"> podrán ser impugnadas por las partes a través del recurso de revisión.</w:t>
      </w:r>
    </w:p>
    <w:p w14:paraId="09186268" w14:textId="2C0BE9C2" w:rsidR="00514668" w:rsidRPr="00514668" w:rsidRDefault="00514668" w:rsidP="00514668">
      <w:pPr>
        <w:spacing w:before="100" w:beforeAutospacing="1" w:after="100" w:afterAutospacing="1" w:line="360" w:lineRule="auto"/>
        <w:ind w:firstLine="708"/>
        <w:jc w:val="both"/>
        <w:rPr>
          <w:rFonts w:ascii="Arial" w:eastAsia="Calibri" w:hAnsi="Arial" w:cs="Arial"/>
          <w:bCs/>
          <w:sz w:val="26"/>
          <w:szCs w:val="26"/>
        </w:rPr>
      </w:pPr>
      <w:r w:rsidRPr="00514668">
        <w:rPr>
          <w:rFonts w:ascii="Arial" w:eastAsia="Calibri" w:hAnsi="Arial" w:cs="Arial"/>
          <w:bCs/>
          <w:sz w:val="26"/>
          <w:szCs w:val="26"/>
        </w:rPr>
        <w:t xml:space="preserve">En el mismo orden de ideas, el artículo 163 de la misma </w:t>
      </w:r>
      <w:r w:rsidR="00AD413F" w:rsidRPr="00514668">
        <w:rPr>
          <w:rFonts w:ascii="Arial" w:eastAsia="Calibri" w:hAnsi="Arial" w:cs="Arial"/>
          <w:bCs/>
          <w:sz w:val="26"/>
          <w:szCs w:val="26"/>
        </w:rPr>
        <w:t>Ley establece</w:t>
      </w:r>
      <w:r w:rsidRPr="00514668">
        <w:rPr>
          <w:rFonts w:ascii="Arial" w:eastAsia="Calibri" w:hAnsi="Arial" w:cs="Arial"/>
          <w:bCs/>
          <w:sz w:val="26"/>
          <w:szCs w:val="26"/>
        </w:rPr>
        <w:t>:</w:t>
      </w:r>
    </w:p>
    <w:p w14:paraId="0783F698" w14:textId="77777777" w:rsidR="00514668" w:rsidRPr="00514668" w:rsidRDefault="00514668" w:rsidP="00514668">
      <w:pPr>
        <w:autoSpaceDE w:val="0"/>
        <w:autoSpaceDN w:val="0"/>
        <w:adjustRightInd w:val="0"/>
        <w:spacing w:after="0"/>
        <w:ind w:left="567" w:right="900"/>
        <w:jc w:val="both"/>
        <w:rPr>
          <w:rFonts w:ascii="Arial" w:eastAsiaTheme="minorHAnsi" w:hAnsi="Arial" w:cs="Arial"/>
          <w:i/>
          <w:color w:val="000000"/>
          <w:lang w:val="es-ES" w:eastAsia="en-US"/>
        </w:rPr>
      </w:pPr>
      <w:r w:rsidRPr="00514668">
        <w:rPr>
          <w:rFonts w:ascii="Arial" w:eastAsiaTheme="minorHAnsi" w:hAnsi="Arial" w:cs="Arial"/>
          <w:b/>
          <w:bCs/>
          <w:i/>
          <w:color w:val="000000"/>
          <w:lang w:val="es-ES" w:eastAsia="en-US"/>
        </w:rPr>
        <w:t xml:space="preserve">“ARTÍCULO 163.- </w:t>
      </w:r>
      <w:r w:rsidRPr="00514668">
        <w:rPr>
          <w:rFonts w:ascii="Arial" w:eastAsiaTheme="minorHAnsi" w:hAnsi="Arial" w:cs="Arial"/>
          <w:i/>
          <w:color w:val="000000"/>
          <w:lang w:val="es-ES" w:eastAsia="en-US"/>
        </w:rPr>
        <w:t xml:space="preserve">Son partes en el juicio contencioso administrativo: </w:t>
      </w:r>
    </w:p>
    <w:p w14:paraId="6C97CB48" w14:textId="77777777" w:rsidR="00514668" w:rsidRPr="00514668" w:rsidRDefault="00514668" w:rsidP="00514668">
      <w:pPr>
        <w:autoSpaceDE w:val="0"/>
        <w:autoSpaceDN w:val="0"/>
        <w:adjustRightInd w:val="0"/>
        <w:spacing w:after="0"/>
        <w:ind w:left="567" w:right="900"/>
        <w:jc w:val="both"/>
        <w:rPr>
          <w:rFonts w:ascii="Arial" w:eastAsiaTheme="minorHAnsi" w:hAnsi="Arial" w:cs="Arial"/>
          <w:i/>
          <w:color w:val="000000"/>
          <w:lang w:val="es-ES" w:eastAsia="en-US"/>
        </w:rPr>
      </w:pPr>
    </w:p>
    <w:p w14:paraId="165E6D7D" w14:textId="77777777" w:rsidR="00514668" w:rsidRPr="00514668" w:rsidRDefault="00514668" w:rsidP="00514668">
      <w:pPr>
        <w:autoSpaceDE w:val="0"/>
        <w:autoSpaceDN w:val="0"/>
        <w:adjustRightInd w:val="0"/>
        <w:spacing w:after="0"/>
        <w:ind w:left="567" w:right="900"/>
        <w:jc w:val="both"/>
        <w:rPr>
          <w:rFonts w:ascii="Arial" w:eastAsiaTheme="minorHAnsi" w:hAnsi="Arial" w:cs="Arial"/>
          <w:i/>
          <w:color w:val="000000"/>
          <w:lang w:val="es-ES" w:eastAsia="en-US"/>
        </w:rPr>
      </w:pPr>
      <w:r w:rsidRPr="00514668">
        <w:rPr>
          <w:rFonts w:ascii="Arial" w:eastAsiaTheme="minorHAnsi" w:hAnsi="Arial" w:cs="Arial"/>
          <w:i/>
          <w:color w:val="000000"/>
          <w:lang w:val="es-ES" w:eastAsia="en-US"/>
        </w:rPr>
        <w:t xml:space="preserve">I. El actor. Tendrá ese carácter: </w:t>
      </w:r>
    </w:p>
    <w:p w14:paraId="3F9B1047" w14:textId="77777777" w:rsidR="00514668" w:rsidRPr="00514668" w:rsidRDefault="00514668" w:rsidP="00514668">
      <w:pPr>
        <w:autoSpaceDE w:val="0"/>
        <w:autoSpaceDN w:val="0"/>
        <w:adjustRightInd w:val="0"/>
        <w:spacing w:after="0"/>
        <w:ind w:left="567" w:right="900"/>
        <w:jc w:val="both"/>
        <w:rPr>
          <w:rFonts w:ascii="Arial" w:eastAsiaTheme="minorHAnsi" w:hAnsi="Arial" w:cs="Arial"/>
          <w:i/>
          <w:color w:val="000000"/>
          <w:lang w:val="es-ES" w:eastAsia="en-US"/>
        </w:rPr>
      </w:pPr>
    </w:p>
    <w:p w14:paraId="3ACC52A7" w14:textId="77777777" w:rsidR="00514668" w:rsidRPr="00514668" w:rsidRDefault="00514668" w:rsidP="00514668">
      <w:pPr>
        <w:autoSpaceDE w:val="0"/>
        <w:autoSpaceDN w:val="0"/>
        <w:adjustRightInd w:val="0"/>
        <w:spacing w:after="0"/>
        <w:ind w:left="567" w:right="900"/>
        <w:jc w:val="both"/>
        <w:rPr>
          <w:rFonts w:ascii="Arial" w:eastAsiaTheme="minorHAnsi" w:hAnsi="Arial" w:cs="Arial"/>
          <w:i/>
          <w:color w:val="000000"/>
          <w:lang w:val="es-ES" w:eastAsia="en-US"/>
        </w:rPr>
      </w:pPr>
      <w:r w:rsidRPr="00514668">
        <w:rPr>
          <w:rFonts w:ascii="Arial" w:eastAsiaTheme="minorHAnsi" w:hAnsi="Arial" w:cs="Arial"/>
          <w:i/>
          <w:color w:val="000000"/>
          <w:lang w:val="es-ES" w:eastAsia="en-US"/>
        </w:rPr>
        <w:t xml:space="preserve">a) El Administrado, que será el particular que tenga interés jurídico o legítimo que funde su pretensión; y </w:t>
      </w:r>
    </w:p>
    <w:p w14:paraId="4B8BA8DC" w14:textId="77777777" w:rsidR="00514668" w:rsidRPr="00514668" w:rsidRDefault="00514668" w:rsidP="00514668">
      <w:pPr>
        <w:autoSpaceDE w:val="0"/>
        <w:autoSpaceDN w:val="0"/>
        <w:adjustRightInd w:val="0"/>
        <w:spacing w:after="0"/>
        <w:ind w:left="567" w:right="900"/>
        <w:jc w:val="both"/>
        <w:rPr>
          <w:rFonts w:ascii="Arial" w:eastAsiaTheme="minorHAnsi" w:hAnsi="Arial" w:cs="Arial"/>
          <w:i/>
          <w:color w:val="000000"/>
          <w:lang w:val="es-ES" w:eastAsia="en-US"/>
        </w:rPr>
      </w:pPr>
    </w:p>
    <w:p w14:paraId="47D9D1BE" w14:textId="77777777" w:rsidR="00514668" w:rsidRPr="00514668" w:rsidRDefault="00514668" w:rsidP="00514668">
      <w:pPr>
        <w:autoSpaceDE w:val="0"/>
        <w:autoSpaceDN w:val="0"/>
        <w:adjustRightInd w:val="0"/>
        <w:spacing w:after="0"/>
        <w:ind w:left="567" w:right="900"/>
        <w:jc w:val="both"/>
        <w:rPr>
          <w:rFonts w:ascii="Arial" w:eastAsiaTheme="minorHAnsi" w:hAnsi="Arial" w:cs="Arial"/>
          <w:i/>
          <w:color w:val="000000"/>
          <w:lang w:val="es-ES" w:eastAsia="en-US"/>
        </w:rPr>
      </w:pPr>
      <w:r w:rsidRPr="00514668">
        <w:rPr>
          <w:rFonts w:ascii="Arial" w:eastAsiaTheme="minorHAnsi" w:hAnsi="Arial" w:cs="Arial"/>
          <w:i/>
          <w:color w:val="000000"/>
          <w:lang w:val="es-ES" w:eastAsia="en-US"/>
        </w:rPr>
        <w:t xml:space="preserve">b) La autoridad en el juicio de lesividad. </w:t>
      </w:r>
    </w:p>
    <w:p w14:paraId="0A504D5A" w14:textId="77777777" w:rsidR="00514668" w:rsidRPr="00514668" w:rsidRDefault="00514668" w:rsidP="00514668">
      <w:pPr>
        <w:autoSpaceDE w:val="0"/>
        <w:autoSpaceDN w:val="0"/>
        <w:adjustRightInd w:val="0"/>
        <w:spacing w:after="0"/>
        <w:ind w:left="567" w:right="900"/>
        <w:jc w:val="both"/>
        <w:rPr>
          <w:rFonts w:ascii="Arial" w:eastAsiaTheme="minorHAnsi" w:hAnsi="Arial" w:cs="Arial"/>
          <w:i/>
          <w:color w:val="000000"/>
          <w:lang w:val="es-ES" w:eastAsia="en-US"/>
        </w:rPr>
      </w:pPr>
    </w:p>
    <w:p w14:paraId="45B43BAE" w14:textId="77777777" w:rsidR="00514668" w:rsidRPr="00514668" w:rsidRDefault="00514668" w:rsidP="00514668">
      <w:pPr>
        <w:autoSpaceDE w:val="0"/>
        <w:autoSpaceDN w:val="0"/>
        <w:adjustRightInd w:val="0"/>
        <w:spacing w:after="0"/>
        <w:ind w:left="567" w:right="900"/>
        <w:jc w:val="both"/>
        <w:rPr>
          <w:rFonts w:ascii="Arial" w:eastAsiaTheme="minorHAnsi" w:hAnsi="Arial" w:cs="Arial"/>
          <w:i/>
          <w:color w:val="000000"/>
          <w:lang w:val="es-ES" w:eastAsia="en-US"/>
        </w:rPr>
      </w:pPr>
      <w:r w:rsidRPr="00514668">
        <w:rPr>
          <w:rFonts w:ascii="Arial" w:eastAsiaTheme="minorHAnsi" w:hAnsi="Arial" w:cs="Arial"/>
          <w:i/>
          <w:color w:val="000000"/>
          <w:lang w:val="es-ES" w:eastAsia="en-US"/>
        </w:rPr>
        <w:t xml:space="preserve">II. El demandado. Tendrá ese carácter: </w:t>
      </w:r>
    </w:p>
    <w:p w14:paraId="2E624EB7" w14:textId="77777777" w:rsidR="00514668" w:rsidRPr="00514668" w:rsidRDefault="00514668" w:rsidP="00514668">
      <w:pPr>
        <w:autoSpaceDE w:val="0"/>
        <w:autoSpaceDN w:val="0"/>
        <w:adjustRightInd w:val="0"/>
        <w:spacing w:after="0"/>
        <w:ind w:left="567" w:right="900"/>
        <w:jc w:val="both"/>
        <w:rPr>
          <w:rFonts w:ascii="Arial" w:eastAsiaTheme="minorHAnsi" w:hAnsi="Arial" w:cs="Arial"/>
          <w:i/>
          <w:color w:val="000000"/>
          <w:lang w:val="es-ES" w:eastAsia="en-US"/>
        </w:rPr>
      </w:pPr>
    </w:p>
    <w:p w14:paraId="0C72876B" w14:textId="77777777" w:rsidR="00514668" w:rsidRPr="00514668" w:rsidRDefault="00514668" w:rsidP="00514668">
      <w:pPr>
        <w:autoSpaceDE w:val="0"/>
        <w:autoSpaceDN w:val="0"/>
        <w:adjustRightInd w:val="0"/>
        <w:spacing w:after="0"/>
        <w:ind w:left="567" w:right="900"/>
        <w:jc w:val="both"/>
        <w:rPr>
          <w:rFonts w:ascii="Arial" w:eastAsiaTheme="minorHAnsi" w:hAnsi="Arial" w:cs="Arial"/>
          <w:i/>
          <w:color w:val="000000"/>
          <w:lang w:val="es-ES" w:eastAsia="en-US"/>
        </w:rPr>
      </w:pPr>
      <w:r w:rsidRPr="00514668">
        <w:rPr>
          <w:rFonts w:ascii="Arial" w:eastAsiaTheme="minorHAnsi" w:hAnsi="Arial" w:cs="Arial"/>
          <w:i/>
          <w:color w:val="000000"/>
          <w:lang w:val="es-ES" w:eastAsia="en-US"/>
        </w:rPr>
        <w:t xml:space="preserve">a) La autoridad que dicte, ordene, ejecute o trate de ejecutar el acto impugnado, o que omita dar respuesta a las peticiones o instancias de los particulares; </w:t>
      </w:r>
    </w:p>
    <w:p w14:paraId="20C1CB8C" w14:textId="77777777" w:rsidR="00514668" w:rsidRPr="00514668" w:rsidRDefault="00514668" w:rsidP="00514668">
      <w:pPr>
        <w:autoSpaceDE w:val="0"/>
        <w:autoSpaceDN w:val="0"/>
        <w:adjustRightInd w:val="0"/>
        <w:spacing w:after="0"/>
        <w:ind w:left="567" w:right="900"/>
        <w:jc w:val="both"/>
        <w:rPr>
          <w:rFonts w:ascii="Arial" w:eastAsiaTheme="minorHAnsi" w:hAnsi="Arial" w:cs="Arial"/>
          <w:i/>
          <w:color w:val="000000"/>
          <w:lang w:val="es-ES" w:eastAsia="en-US"/>
        </w:rPr>
      </w:pPr>
    </w:p>
    <w:p w14:paraId="45AA6BC3" w14:textId="77777777" w:rsidR="00514668" w:rsidRPr="00514668" w:rsidRDefault="00514668" w:rsidP="00514668">
      <w:pPr>
        <w:autoSpaceDE w:val="0"/>
        <w:autoSpaceDN w:val="0"/>
        <w:adjustRightInd w:val="0"/>
        <w:spacing w:after="0"/>
        <w:ind w:left="567" w:right="900"/>
        <w:jc w:val="both"/>
        <w:rPr>
          <w:rFonts w:ascii="Arial" w:eastAsiaTheme="minorHAnsi" w:hAnsi="Arial" w:cs="Arial"/>
          <w:i/>
          <w:color w:val="000000"/>
          <w:lang w:val="es-ES" w:eastAsia="en-US"/>
        </w:rPr>
      </w:pPr>
      <w:r w:rsidRPr="00514668">
        <w:rPr>
          <w:rFonts w:ascii="Arial" w:eastAsiaTheme="minorHAnsi" w:hAnsi="Arial" w:cs="Arial"/>
          <w:i/>
          <w:color w:val="000000"/>
          <w:lang w:val="es-ES" w:eastAsia="en-US"/>
        </w:rPr>
        <w:t xml:space="preserve">b) La persona o institución que funja como autoridad administrativa o fiscal en el ámbito estatal o municipal o en los Organismos Públicos Descentralizados, que dicte, ordene, ejecute o trate de ejecutar el acto o resolución impugnados; y </w:t>
      </w:r>
    </w:p>
    <w:p w14:paraId="35F4F0A1" w14:textId="77777777" w:rsidR="00514668" w:rsidRPr="00514668" w:rsidRDefault="00514668" w:rsidP="00514668">
      <w:pPr>
        <w:autoSpaceDE w:val="0"/>
        <w:autoSpaceDN w:val="0"/>
        <w:adjustRightInd w:val="0"/>
        <w:spacing w:after="0"/>
        <w:ind w:left="567" w:right="900"/>
        <w:jc w:val="both"/>
        <w:rPr>
          <w:rFonts w:ascii="Arial" w:eastAsiaTheme="minorHAnsi" w:hAnsi="Arial" w:cs="Arial"/>
          <w:i/>
          <w:color w:val="000000"/>
          <w:lang w:val="es-ES" w:eastAsia="en-US"/>
        </w:rPr>
      </w:pPr>
    </w:p>
    <w:p w14:paraId="10C033B2" w14:textId="77777777" w:rsidR="00514668" w:rsidRPr="00514668" w:rsidRDefault="00514668" w:rsidP="00514668">
      <w:pPr>
        <w:autoSpaceDE w:val="0"/>
        <w:autoSpaceDN w:val="0"/>
        <w:adjustRightInd w:val="0"/>
        <w:spacing w:after="0"/>
        <w:ind w:left="567" w:right="900"/>
        <w:jc w:val="both"/>
        <w:rPr>
          <w:rFonts w:ascii="Arial" w:eastAsiaTheme="minorHAnsi" w:hAnsi="Arial" w:cs="Arial"/>
          <w:i/>
          <w:color w:val="000000"/>
          <w:lang w:val="es-ES" w:eastAsia="en-US"/>
        </w:rPr>
      </w:pPr>
      <w:r w:rsidRPr="00514668">
        <w:rPr>
          <w:rFonts w:ascii="Arial" w:eastAsiaTheme="minorHAnsi" w:hAnsi="Arial" w:cs="Arial"/>
          <w:i/>
          <w:color w:val="000000"/>
          <w:lang w:val="es-ES" w:eastAsia="en-US"/>
        </w:rPr>
        <w:t xml:space="preserve">c) El particular a quien favorezca la resolución cuya modificación o nulidad demande la autoridad administrativa, estatal o municipal. </w:t>
      </w:r>
    </w:p>
    <w:p w14:paraId="388BFA06" w14:textId="77777777" w:rsidR="00514668" w:rsidRPr="00514668" w:rsidRDefault="00514668" w:rsidP="00514668">
      <w:pPr>
        <w:spacing w:before="100" w:beforeAutospacing="1" w:after="100" w:afterAutospacing="1"/>
        <w:ind w:left="567" w:right="900"/>
        <w:jc w:val="both"/>
        <w:rPr>
          <w:rFonts w:ascii="Arial" w:eastAsia="Calibri" w:hAnsi="Arial" w:cs="Arial"/>
          <w:bCs/>
          <w:i/>
        </w:rPr>
      </w:pPr>
      <w:r w:rsidRPr="00514668">
        <w:rPr>
          <w:rFonts w:ascii="Arial" w:eastAsia="Times New Roman" w:hAnsi="Arial" w:cs="Arial"/>
          <w:i/>
        </w:rPr>
        <w:t>III. El tercero afectado, pudiendo intervenir con ese carácter cualquier persona física o moral, cuyos intereses puedan resultar incompatibles con las pretensiones del actor y que demuestre interés en que subsista el acto administrativo combatido.”</w:t>
      </w:r>
    </w:p>
    <w:p w14:paraId="6D038128" w14:textId="60233663" w:rsidR="00514668" w:rsidRPr="00514668" w:rsidRDefault="00514668" w:rsidP="00514668">
      <w:pPr>
        <w:spacing w:before="100" w:beforeAutospacing="1" w:after="100" w:afterAutospacing="1" w:line="360" w:lineRule="auto"/>
        <w:ind w:firstLine="567"/>
        <w:jc w:val="both"/>
        <w:rPr>
          <w:rFonts w:ascii="Arial" w:eastAsia="Calibri" w:hAnsi="Arial" w:cs="Arial"/>
          <w:bCs/>
          <w:sz w:val="26"/>
          <w:szCs w:val="26"/>
        </w:rPr>
      </w:pPr>
      <w:r w:rsidRPr="00514668">
        <w:rPr>
          <w:rFonts w:ascii="Arial" w:eastAsia="Calibri" w:hAnsi="Arial" w:cs="Arial"/>
          <w:bCs/>
          <w:sz w:val="26"/>
          <w:szCs w:val="26"/>
        </w:rPr>
        <w:t xml:space="preserve">El precepto legal supra citado define claramente que las partes en el juicio contencioso administrativo son: </w:t>
      </w:r>
      <w:r w:rsidRPr="00514668">
        <w:rPr>
          <w:rFonts w:ascii="Arial" w:eastAsia="Calibri" w:hAnsi="Arial" w:cs="Arial"/>
          <w:bCs/>
          <w:i/>
          <w:sz w:val="26"/>
          <w:szCs w:val="26"/>
        </w:rPr>
        <w:t>el actor, la autoridad demandada y el tercero afectado.</w:t>
      </w:r>
    </w:p>
    <w:p w14:paraId="3A7ED896" w14:textId="6C59594E" w:rsidR="00514668" w:rsidRDefault="00514668" w:rsidP="00514668">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514668">
        <w:rPr>
          <w:rFonts w:ascii="Arial" w:eastAsia="Calibri" w:hAnsi="Arial" w:cs="Arial"/>
          <w:bCs/>
          <w:sz w:val="26"/>
          <w:szCs w:val="26"/>
          <w:lang w:val="es-ES" w:eastAsia="en-US"/>
        </w:rPr>
        <w:t xml:space="preserve">En esa tesitura, de las constancias procesales que integran el expediente de primera instancia, las que tienen pleno valor probatorio conforme lo dispuesto por el artículo </w:t>
      </w:r>
      <w:r w:rsidRPr="001124CB">
        <w:rPr>
          <w:rFonts w:ascii="Arial" w:eastAsia="Calibri" w:hAnsi="Arial" w:cs="Arial"/>
          <w:bCs/>
          <w:sz w:val="26"/>
          <w:szCs w:val="26"/>
          <w:lang w:val="es-ES" w:eastAsia="en-US"/>
        </w:rPr>
        <w:t>203</w:t>
      </w:r>
      <w:r w:rsidR="00815844" w:rsidRPr="001124CB">
        <w:rPr>
          <w:rFonts w:ascii="Arial" w:eastAsia="Calibri" w:hAnsi="Arial" w:cs="Arial"/>
          <w:bCs/>
          <w:sz w:val="26"/>
          <w:szCs w:val="26"/>
          <w:lang w:val="es-ES" w:eastAsia="en-US"/>
        </w:rPr>
        <w:t>,</w:t>
      </w:r>
      <w:r w:rsidRPr="00514668">
        <w:rPr>
          <w:rFonts w:ascii="Arial" w:eastAsia="Calibri" w:hAnsi="Arial" w:cs="Arial"/>
          <w:bCs/>
          <w:sz w:val="26"/>
          <w:szCs w:val="26"/>
          <w:lang w:val="es-ES" w:eastAsia="en-US"/>
        </w:rPr>
        <w:t xml:space="preserve"> fracción I</w:t>
      </w:r>
      <w:r w:rsidRPr="00514668">
        <w:rPr>
          <w:rFonts w:ascii="Arial" w:eastAsia="Calibri" w:hAnsi="Arial" w:cs="Arial"/>
          <w:bCs/>
          <w:sz w:val="26"/>
          <w:szCs w:val="26"/>
          <w:vertAlign w:val="superscript"/>
          <w:lang w:val="es-ES" w:eastAsia="en-US"/>
        </w:rPr>
        <w:footnoteReference w:id="2"/>
      </w:r>
      <w:r w:rsidRPr="00514668">
        <w:rPr>
          <w:rFonts w:ascii="Arial" w:eastAsia="Calibri" w:hAnsi="Arial" w:cs="Arial"/>
          <w:bCs/>
          <w:sz w:val="26"/>
          <w:szCs w:val="26"/>
          <w:lang w:val="es-ES" w:eastAsia="en-US"/>
        </w:rPr>
        <w:t xml:space="preserve"> de la Ley de </w:t>
      </w:r>
      <w:r w:rsidRPr="00514668">
        <w:rPr>
          <w:rFonts w:ascii="Arial" w:eastAsia="Calibri" w:hAnsi="Arial" w:cs="Arial"/>
          <w:bCs/>
          <w:sz w:val="26"/>
          <w:szCs w:val="26"/>
          <w:lang w:val="es-ES" w:eastAsia="en-US"/>
        </w:rPr>
        <w:lastRenderedPageBreak/>
        <w:t xml:space="preserve">Procedimiento y Justicia Administrativa para el Estado de Oaxaca, por tratarse de actuaciones judiciales, se advierte </w:t>
      </w:r>
      <w:r w:rsidR="00BE33A0">
        <w:rPr>
          <w:rFonts w:ascii="Arial" w:eastAsia="Calibri" w:hAnsi="Arial" w:cs="Arial"/>
          <w:bCs/>
          <w:sz w:val="26"/>
          <w:szCs w:val="26"/>
          <w:lang w:val="es-ES" w:eastAsia="en-US"/>
        </w:rPr>
        <w:t>lo siguiente:</w:t>
      </w:r>
    </w:p>
    <w:p w14:paraId="4C897834" w14:textId="40B65690" w:rsidR="00DB3D2F" w:rsidRPr="00DB3D2F" w:rsidRDefault="008D1D99" w:rsidP="00620617">
      <w:pPr>
        <w:pStyle w:val="Prrafodelista"/>
        <w:widowControl w:val="0"/>
        <w:numPr>
          <w:ilvl w:val="0"/>
          <w:numId w:val="13"/>
        </w:numPr>
        <w:autoSpaceDE w:val="0"/>
        <w:autoSpaceDN w:val="0"/>
        <w:adjustRightInd w:val="0"/>
        <w:spacing w:before="240" w:after="0" w:line="360" w:lineRule="auto"/>
        <w:jc w:val="both"/>
        <w:rPr>
          <w:rFonts w:ascii="Arial" w:eastAsiaTheme="minorHAnsi" w:hAnsi="Arial" w:cs="Arial"/>
          <w:b/>
          <w:sz w:val="26"/>
          <w:szCs w:val="26"/>
          <w:lang w:val="es-ES" w:eastAsia="en-US"/>
        </w:rPr>
      </w:pPr>
      <w:r w:rsidRPr="00DB3D2F">
        <w:rPr>
          <w:rFonts w:ascii="Arial" w:eastAsiaTheme="minorHAnsi" w:hAnsi="Arial" w:cs="Arial"/>
          <w:bCs/>
          <w:sz w:val="26"/>
          <w:szCs w:val="26"/>
          <w:lang w:val="es-ES" w:eastAsia="en-US"/>
        </w:rPr>
        <w:t xml:space="preserve">Que </w:t>
      </w:r>
      <w:r w:rsidR="00DB3D2F" w:rsidRPr="00DB3D2F">
        <w:rPr>
          <w:rFonts w:ascii="Arial" w:eastAsiaTheme="minorHAnsi" w:hAnsi="Arial" w:cs="Arial"/>
          <w:bCs/>
          <w:sz w:val="26"/>
          <w:szCs w:val="26"/>
          <w:lang w:val="es-ES" w:eastAsia="en-US"/>
        </w:rPr>
        <w:t xml:space="preserve">mediante escrito presentado </w:t>
      </w:r>
      <w:r w:rsidRPr="00DB3D2F">
        <w:rPr>
          <w:rFonts w:ascii="Arial" w:eastAsiaTheme="minorHAnsi" w:hAnsi="Arial" w:cs="Arial"/>
          <w:bCs/>
          <w:sz w:val="26"/>
          <w:szCs w:val="26"/>
          <w:lang w:val="es-ES" w:eastAsia="en-US"/>
        </w:rPr>
        <w:t xml:space="preserve">con fecha </w:t>
      </w:r>
      <w:r w:rsidR="00DB3D2F" w:rsidRPr="00DB3D2F">
        <w:rPr>
          <w:rFonts w:ascii="Arial" w:eastAsiaTheme="minorHAnsi" w:hAnsi="Arial" w:cs="Arial"/>
          <w:bCs/>
          <w:sz w:val="26"/>
          <w:szCs w:val="26"/>
          <w:lang w:val="es-ES" w:eastAsia="en-US"/>
        </w:rPr>
        <w:t>cuatro de julio de dos mil diecinueve</w:t>
      </w:r>
      <w:r w:rsidRPr="00DB3D2F">
        <w:rPr>
          <w:rFonts w:ascii="Arial" w:eastAsiaTheme="minorHAnsi" w:hAnsi="Arial" w:cs="Arial"/>
          <w:bCs/>
          <w:sz w:val="26"/>
          <w:szCs w:val="26"/>
          <w:lang w:val="es-ES" w:eastAsia="en-US"/>
        </w:rPr>
        <w:t xml:space="preserve">, </w:t>
      </w:r>
      <w:r w:rsidR="00761D3A" w:rsidRPr="00DB3D2F">
        <w:rPr>
          <w:rFonts w:ascii="Arial" w:eastAsiaTheme="minorHAnsi" w:hAnsi="Arial" w:cs="Arial"/>
          <w:bCs/>
          <w:sz w:val="26"/>
          <w:szCs w:val="26"/>
          <w:lang w:val="es-ES" w:eastAsia="en-US"/>
        </w:rPr>
        <w:t xml:space="preserve">el actor </w:t>
      </w:r>
      <w:r w:rsidR="000C0FE0">
        <w:rPr>
          <w:rFonts w:ascii="Arial" w:hAnsi="Arial" w:cs="Arial"/>
          <w:b/>
          <w:sz w:val="26"/>
          <w:szCs w:val="26"/>
        </w:rPr>
        <w:t>***********</w:t>
      </w:r>
      <w:r w:rsidR="00DB3D2F" w:rsidRPr="00DB3D2F">
        <w:rPr>
          <w:rFonts w:ascii="Arial" w:eastAsiaTheme="minorHAnsi" w:hAnsi="Arial" w:cs="Arial"/>
          <w:bCs/>
          <w:sz w:val="26"/>
          <w:szCs w:val="26"/>
          <w:lang w:val="es-ES" w:eastAsia="en-US"/>
        </w:rPr>
        <w:t>,</w:t>
      </w:r>
      <w:r w:rsidRPr="00DB3D2F">
        <w:rPr>
          <w:rFonts w:ascii="Arial" w:eastAsiaTheme="minorHAnsi" w:hAnsi="Arial" w:cs="Arial"/>
          <w:bCs/>
          <w:sz w:val="26"/>
          <w:szCs w:val="26"/>
          <w:lang w:val="es-ES" w:eastAsia="en-US"/>
        </w:rPr>
        <w:t xml:space="preserve"> demandó la nulidad de</w:t>
      </w:r>
      <w:r w:rsidR="00AC6743" w:rsidRPr="00DB3D2F">
        <w:rPr>
          <w:rFonts w:ascii="Arial" w:eastAsiaTheme="minorHAnsi" w:hAnsi="Arial" w:cs="Arial"/>
          <w:bCs/>
          <w:sz w:val="26"/>
          <w:szCs w:val="26"/>
          <w:lang w:val="es-ES" w:eastAsia="en-US"/>
        </w:rPr>
        <w:t xml:space="preserve">l oficio número </w:t>
      </w:r>
      <w:r w:rsidR="000C0FE0">
        <w:rPr>
          <w:rFonts w:ascii="Arial" w:hAnsi="Arial" w:cs="Arial"/>
          <w:b/>
          <w:sz w:val="26"/>
          <w:szCs w:val="26"/>
        </w:rPr>
        <w:t>***********</w:t>
      </w:r>
      <w:r w:rsidR="00AC6743" w:rsidRPr="00DB3D2F">
        <w:rPr>
          <w:rFonts w:ascii="Arial" w:eastAsiaTheme="minorHAnsi" w:hAnsi="Arial" w:cs="Arial"/>
          <w:bCs/>
          <w:sz w:val="26"/>
          <w:szCs w:val="26"/>
          <w:lang w:val="es-ES" w:eastAsia="en-US"/>
        </w:rPr>
        <w:t>, de fecha trece de junio de dos mil diecinueve,</w:t>
      </w:r>
      <w:r w:rsidR="00DB3D2F" w:rsidRPr="00DB3D2F">
        <w:rPr>
          <w:rFonts w:ascii="Arial" w:eastAsiaTheme="minorHAnsi" w:hAnsi="Arial" w:cs="Arial"/>
          <w:bCs/>
          <w:sz w:val="26"/>
          <w:szCs w:val="26"/>
          <w:lang w:val="es-ES" w:eastAsia="en-US"/>
        </w:rPr>
        <w:t xml:space="preserve"> emitido por el Director de Recursos Humanos de la Secretaría de Administración del Gobierno del Estado de Oaxaca, </w:t>
      </w:r>
      <w:r w:rsidR="00B81C9C" w:rsidRPr="00DB3D2F">
        <w:rPr>
          <w:rFonts w:ascii="Arial" w:eastAsiaTheme="minorHAnsi" w:hAnsi="Arial" w:cs="Arial"/>
          <w:bCs/>
          <w:sz w:val="26"/>
          <w:szCs w:val="26"/>
          <w:lang w:val="es-ES" w:eastAsia="en-US"/>
        </w:rPr>
        <w:t xml:space="preserve">por el cual se dio respuesta al escrito de petición de fecha </w:t>
      </w:r>
      <w:r w:rsidR="00DB3D2F">
        <w:rPr>
          <w:rFonts w:ascii="Arial" w:eastAsiaTheme="minorHAnsi" w:hAnsi="Arial" w:cs="Arial"/>
          <w:bCs/>
          <w:sz w:val="26"/>
          <w:szCs w:val="26"/>
          <w:lang w:val="es-ES" w:eastAsia="en-US"/>
        </w:rPr>
        <w:t xml:space="preserve">cuatro de junio del citado año, en la que el </w:t>
      </w:r>
      <w:r w:rsidR="00B81C9C" w:rsidRPr="00DB3D2F">
        <w:rPr>
          <w:rFonts w:ascii="Arial" w:eastAsiaTheme="minorHAnsi" w:hAnsi="Arial" w:cs="Arial"/>
          <w:bCs/>
          <w:sz w:val="26"/>
          <w:szCs w:val="26"/>
          <w:lang w:val="es-ES" w:eastAsia="en-US"/>
        </w:rPr>
        <w:t>actor solicitó el pago de los quinquenios, con fundamento en el artículo 54 de la Ley del Servicio Civil para los Empleados de Gobierno del Estado.</w:t>
      </w:r>
    </w:p>
    <w:p w14:paraId="0E3026AD" w14:textId="776B1257" w:rsidR="00B81C9C" w:rsidRPr="00DB3D2F" w:rsidRDefault="000518FF" w:rsidP="00DB3D2F">
      <w:pPr>
        <w:widowControl w:val="0"/>
        <w:autoSpaceDE w:val="0"/>
        <w:autoSpaceDN w:val="0"/>
        <w:adjustRightInd w:val="0"/>
        <w:spacing w:before="240" w:after="0" w:line="360" w:lineRule="auto"/>
        <w:ind w:left="1068"/>
        <w:jc w:val="both"/>
        <w:rPr>
          <w:rFonts w:ascii="Arial" w:eastAsiaTheme="minorHAnsi" w:hAnsi="Arial" w:cs="Arial"/>
          <w:b/>
          <w:sz w:val="26"/>
          <w:szCs w:val="26"/>
          <w:lang w:val="es-ES" w:eastAsia="en-US"/>
        </w:rPr>
      </w:pPr>
      <w:r w:rsidRPr="00DB3D2F">
        <w:rPr>
          <w:rFonts w:ascii="Arial" w:eastAsiaTheme="minorHAnsi" w:hAnsi="Arial" w:cs="Arial"/>
          <w:bCs/>
          <w:sz w:val="26"/>
          <w:szCs w:val="26"/>
          <w:lang w:val="es-ES" w:eastAsia="en-US"/>
        </w:rPr>
        <w:t>En el escrito de</w:t>
      </w:r>
      <w:r w:rsidR="00DB3D2F">
        <w:rPr>
          <w:rFonts w:ascii="Arial" w:eastAsiaTheme="minorHAnsi" w:hAnsi="Arial" w:cs="Arial"/>
          <w:bCs/>
          <w:sz w:val="26"/>
          <w:szCs w:val="26"/>
          <w:lang w:val="es-ES" w:eastAsia="en-US"/>
        </w:rPr>
        <w:t xml:space="preserve"> demanda, señaló como autoridad</w:t>
      </w:r>
      <w:r w:rsidRPr="00DB3D2F">
        <w:rPr>
          <w:rFonts w:ascii="Arial" w:eastAsiaTheme="minorHAnsi" w:hAnsi="Arial" w:cs="Arial"/>
          <w:bCs/>
          <w:sz w:val="26"/>
          <w:szCs w:val="26"/>
          <w:lang w:val="es-ES" w:eastAsia="en-US"/>
        </w:rPr>
        <w:t xml:space="preserve"> demandada al </w:t>
      </w:r>
      <w:r w:rsidR="00B81C9C" w:rsidRPr="00DB3D2F">
        <w:rPr>
          <w:rFonts w:ascii="Arial" w:eastAsiaTheme="minorHAnsi" w:hAnsi="Arial" w:cs="Arial"/>
          <w:bCs/>
          <w:sz w:val="26"/>
          <w:szCs w:val="26"/>
          <w:lang w:val="es-ES" w:eastAsia="en-US"/>
        </w:rPr>
        <w:t>Director de Recursos Humanos de la Secretaría de Admini</w:t>
      </w:r>
      <w:r w:rsidR="00026703">
        <w:rPr>
          <w:rFonts w:ascii="Arial" w:eastAsiaTheme="minorHAnsi" w:hAnsi="Arial" w:cs="Arial"/>
          <w:bCs/>
          <w:sz w:val="26"/>
          <w:szCs w:val="26"/>
          <w:lang w:val="es-ES" w:eastAsia="en-US"/>
        </w:rPr>
        <w:t>stración de Gobierno del Estado.</w:t>
      </w:r>
    </w:p>
    <w:p w14:paraId="50A4B3E3" w14:textId="16F4CE0F" w:rsidR="000518FF" w:rsidRPr="00026703" w:rsidRDefault="00F8147C" w:rsidP="00620617">
      <w:pPr>
        <w:pStyle w:val="Prrafodelista"/>
        <w:widowControl w:val="0"/>
        <w:numPr>
          <w:ilvl w:val="0"/>
          <w:numId w:val="13"/>
        </w:numPr>
        <w:autoSpaceDE w:val="0"/>
        <w:autoSpaceDN w:val="0"/>
        <w:adjustRightInd w:val="0"/>
        <w:spacing w:before="240" w:after="0" w:line="360" w:lineRule="auto"/>
        <w:jc w:val="both"/>
        <w:rPr>
          <w:rFonts w:ascii="Arial" w:eastAsiaTheme="minorHAnsi" w:hAnsi="Arial" w:cs="Arial"/>
          <w:b/>
          <w:sz w:val="26"/>
          <w:szCs w:val="26"/>
          <w:lang w:val="es-ES" w:eastAsia="en-US"/>
        </w:rPr>
      </w:pPr>
      <w:r w:rsidRPr="00DB3D2F">
        <w:rPr>
          <w:rFonts w:ascii="Arial" w:eastAsiaTheme="minorHAnsi" w:hAnsi="Arial" w:cs="Arial"/>
          <w:bCs/>
          <w:sz w:val="26"/>
          <w:szCs w:val="26"/>
          <w:lang w:val="es-ES" w:eastAsia="en-US"/>
        </w:rPr>
        <w:t xml:space="preserve">Mediante acuerdo de fecha </w:t>
      </w:r>
      <w:r w:rsidR="00026703">
        <w:rPr>
          <w:rFonts w:ascii="Arial" w:eastAsiaTheme="minorHAnsi" w:hAnsi="Arial" w:cs="Arial"/>
          <w:bCs/>
          <w:sz w:val="26"/>
          <w:szCs w:val="26"/>
          <w:lang w:val="es-ES" w:eastAsia="en-US"/>
        </w:rPr>
        <w:t xml:space="preserve">cinco de julio de </w:t>
      </w:r>
      <w:r w:rsidRPr="00DB3D2F">
        <w:rPr>
          <w:rFonts w:ascii="Arial" w:eastAsiaTheme="minorHAnsi" w:hAnsi="Arial" w:cs="Arial"/>
          <w:bCs/>
          <w:sz w:val="26"/>
          <w:szCs w:val="26"/>
          <w:lang w:val="es-ES" w:eastAsia="en-US"/>
        </w:rPr>
        <w:t xml:space="preserve">dos mil diecinueve, la </w:t>
      </w:r>
      <w:r w:rsidR="00026703">
        <w:rPr>
          <w:rFonts w:ascii="Arial" w:eastAsiaTheme="minorHAnsi" w:hAnsi="Arial" w:cs="Arial"/>
          <w:bCs/>
          <w:sz w:val="26"/>
          <w:szCs w:val="26"/>
          <w:lang w:val="es-ES" w:eastAsia="en-US"/>
        </w:rPr>
        <w:t>Magistrada de la entonces Séptima</w:t>
      </w:r>
      <w:r w:rsidRPr="00DB3D2F">
        <w:rPr>
          <w:rFonts w:ascii="Arial" w:eastAsiaTheme="minorHAnsi" w:hAnsi="Arial" w:cs="Arial"/>
          <w:bCs/>
          <w:sz w:val="26"/>
          <w:szCs w:val="26"/>
          <w:lang w:val="es-ES" w:eastAsia="en-US"/>
        </w:rPr>
        <w:t xml:space="preserve"> Sala Unitaria de Primera Instancia</w:t>
      </w:r>
      <w:r w:rsidR="002046C1" w:rsidRPr="00DB3D2F">
        <w:rPr>
          <w:rFonts w:ascii="Arial" w:eastAsiaTheme="minorHAnsi" w:hAnsi="Arial" w:cs="Arial"/>
          <w:bCs/>
          <w:sz w:val="26"/>
          <w:szCs w:val="26"/>
          <w:lang w:val="es-ES" w:eastAsia="en-US"/>
        </w:rPr>
        <w:t xml:space="preserve"> </w:t>
      </w:r>
      <w:r w:rsidR="00EE1B1F" w:rsidRPr="00DB3D2F">
        <w:rPr>
          <w:rFonts w:ascii="Arial" w:eastAsiaTheme="minorHAnsi" w:hAnsi="Arial" w:cs="Arial"/>
          <w:b/>
          <w:sz w:val="26"/>
          <w:szCs w:val="26"/>
          <w:lang w:val="es-ES" w:eastAsia="en-US"/>
        </w:rPr>
        <w:t xml:space="preserve">admitió </w:t>
      </w:r>
      <w:r w:rsidR="00EE1B1F" w:rsidRPr="00DB3D2F">
        <w:rPr>
          <w:rFonts w:ascii="Arial" w:eastAsiaTheme="minorHAnsi" w:hAnsi="Arial" w:cs="Arial"/>
          <w:bCs/>
          <w:sz w:val="26"/>
          <w:szCs w:val="26"/>
          <w:lang w:val="es-ES" w:eastAsia="en-US"/>
        </w:rPr>
        <w:t>a trámite la demanda interpuesta</w:t>
      </w:r>
      <w:r w:rsidR="009D54BA" w:rsidRPr="00DB3D2F">
        <w:rPr>
          <w:rFonts w:ascii="Arial" w:eastAsiaTheme="minorHAnsi" w:hAnsi="Arial" w:cs="Arial"/>
          <w:bCs/>
          <w:sz w:val="26"/>
          <w:szCs w:val="26"/>
          <w:lang w:val="es-ES" w:eastAsia="en-US"/>
        </w:rPr>
        <w:t xml:space="preserve"> en contra </w:t>
      </w:r>
      <w:r w:rsidR="00026703">
        <w:rPr>
          <w:rFonts w:ascii="Arial" w:eastAsiaTheme="minorHAnsi" w:hAnsi="Arial" w:cs="Arial"/>
          <w:bCs/>
          <w:sz w:val="26"/>
          <w:szCs w:val="26"/>
          <w:lang w:val="es-ES" w:eastAsia="en-US"/>
        </w:rPr>
        <w:t>d</w:t>
      </w:r>
      <w:r w:rsidR="009D54BA" w:rsidRPr="00DB3D2F">
        <w:rPr>
          <w:rFonts w:ascii="Arial" w:eastAsiaTheme="minorHAnsi" w:hAnsi="Arial" w:cs="Arial"/>
          <w:bCs/>
          <w:sz w:val="26"/>
          <w:szCs w:val="26"/>
          <w:lang w:val="es-ES" w:eastAsia="en-US"/>
        </w:rPr>
        <w:t xml:space="preserve">el acto y </w:t>
      </w:r>
      <w:r w:rsidR="00026703">
        <w:rPr>
          <w:rFonts w:ascii="Arial" w:eastAsiaTheme="minorHAnsi" w:hAnsi="Arial" w:cs="Arial"/>
          <w:bCs/>
          <w:sz w:val="26"/>
          <w:szCs w:val="26"/>
          <w:lang w:val="es-ES" w:eastAsia="en-US"/>
        </w:rPr>
        <w:t xml:space="preserve">la </w:t>
      </w:r>
      <w:r w:rsidR="00026703" w:rsidRPr="00DB3D2F">
        <w:rPr>
          <w:rFonts w:ascii="Arial" w:eastAsiaTheme="minorHAnsi" w:hAnsi="Arial" w:cs="Arial"/>
          <w:bCs/>
          <w:sz w:val="26"/>
          <w:szCs w:val="26"/>
          <w:lang w:val="es-ES" w:eastAsia="en-US"/>
        </w:rPr>
        <w:t>autoridad</w:t>
      </w:r>
      <w:r w:rsidR="00026703">
        <w:rPr>
          <w:rFonts w:ascii="Arial" w:eastAsiaTheme="minorHAnsi" w:hAnsi="Arial" w:cs="Arial"/>
          <w:bCs/>
          <w:sz w:val="26"/>
          <w:szCs w:val="26"/>
          <w:lang w:val="es-ES" w:eastAsia="en-US"/>
        </w:rPr>
        <w:t xml:space="preserve"> </w:t>
      </w:r>
      <w:r w:rsidR="009D54BA" w:rsidRPr="00DB3D2F">
        <w:rPr>
          <w:rFonts w:ascii="Arial" w:eastAsiaTheme="minorHAnsi" w:hAnsi="Arial" w:cs="Arial"/>
          <w:bCs/>
          <w:sz w:val="26"/>
          <w:szCs w:val="26"/>
          <w:lang w:val="es-ES" w:eastAsia="en-US"/>
        </w:rPr>
        <w:t xml:space="preserve">referida en el punto anterior, y con fundamento en </w:t>
      </w:r>
      <w:r w:rsidR="00026703">
        <w:rPr>
          <w:rFonts w:ascii="Arial" w:eastAsiaTheme="minorHAnsi" w:hAnsi="Arial" w:cs="Arial"/>
          <w:bCs/>
          <w:sz w:val="26"/>
          <w:szCs w:val="26"/>
          <w:lang w:val="es-ES" w:eastAsia="en-US"/>
        </w:rPr>
        <w:t>los</w:t>
      </w:r>
      <w:r w:rsidR="009D54BA" w:rsidRPr="00DB3D2F">
        <w:rPr>
          <w:rFonts w:ascii="Arial" w:eastAsiaTheme="minorHAnsi" w:hAnsi="Arial" w:cs="Arial"/>
          <w:bCs/>
          <w:sz w:val="26"/>
          <w:szCs w:val="26"/>
          <w:lang w:val="es-ES" w:eastAsia="en-US"/>
        </w:rPr>
        <w:t xml:space="preserve"> artículo</w:t>
      </w:r>
      <w:r w:rsidR="00026703">
        <w:rPr>
          <w:rFonts w:ascii="Arial" w:eastAsiaTheme="minorHAnsi" w:hAnsi="Arial" w:cs="Arial"/>
          <w:bCs/>
          <w:sz w:val="26"/>
          <w:szCs w:val="26"/>
          <w:lang w:val="es-ES" w:eastAsia="en-US"/>
        </w:rPr>
        <w:t>s</w:t>
      </w:r>
      <w:r w:rsidR="009D54BA" w:rsidRPr="00DB3D2F">
        <w:rPr>
          <w:rFonts w:ascii="Arial" w:eastAsiaTheme="minorHAnsi" w:hAnsi="Arial" w:cs="Arial"/>
          <w:bCs/>
          <w:sz w:val="26"/>
          <w:szCs w:val="26"/>
          <w:lang w:val="es-ES" w:eastAsia="en-US"/>
        </w:rPr>
        <w:t xml:space="preserve"> 183</w:t>
      </w:r>
      <w:r w:rsidR="00026703">
        <w:rPr>
          <w:rFonts w:ascii="Arial" w:eastAsiaTheme="minorHAnsi" w:hAnsi="Arial" w:cs="Arial"/>
          <w:bCs/>
          <w:sz w:val="26"/>
          <w:szCs w:val="26"/>
          <w:lang w:val="es-ES" w:eastAsia="en-US"/>
        </w:rPr>
        <w:t>, 184 y 185</w:t>
      </w:r>
      <w:r w:rsidR="009D54BA" w:rsidRPr="00DB3D2F">
        <w:rPr>
          <w:rFonts w:ascii="Arial" w:eastAsiaTheme="minorHAnsi" w:hAnsi="Arial" w:cs="Arial"/>
          <w:bCs/>
          <w:sz w:val="26"/>
          <w:szCs w:val="26"/>
          <w:lang w:val="es-ES" w:eastAsia="en-US"/>
        </w:rPr>
        <w:t xml:space="preserve"> de la </w:t>
      </w:r>
      <w:r w:rsidR="009D54BA" w:rsidRPr="00DB3D2F">
        <w:rPr>
          <w:rFonts w:ascii="Arial" w:eastAsia="Calibri" w:hAnsi="Arial" w:cs="Arial"/>
          <w:bCs/>
          <w:sz w:val="26"/>
          <w:szCs w:val="26"/>
          <w:lang w:val="es-ES" w:eastAsia="en-US"/>
        </w:rPr>
        <w:t>Ley de Procedimiento y Justicia Administrativa para el Estado de Oaxaca</w:t>
      </w:r>
      <w:r w:rsidR="00026703">
        <w:rPr>
          <w:rFonts w:ascii="Arial" w:eastAsia="Calibri" w:hAnsi="Arial" w:cs="Arial"/>
          <w:bCs/>
          <w:sz w:val="26"/>
          <w:szCs w:val="26"/>
          <w:lang w:val="es-ES" w:eastAsia="en-US"/>
        </w:rPr>
        <w:t>,</w:t>
      </w:r>
      <w:r w:rsidR="009D54BA" w:rsidRPr="00DB3D2F">
        <w:rPr>
          <w:rFonts w:ascii="Arial" w:eastAsia="Calibri" w:hAnsi="Arial" w:cs="Arial"/>
          <w:bCs/>
          <w:sz w:val="26"/>
          <w:szCs w:val="26"/>
          <w:lang w:val="es-ES" w:eastAsia="en-US"/>
        </w:rPr>
        <w:t xml:space="preserve"> </w:t>
      </w:r>
      <w:r w:rsidR="009D54BA" w:rsidRPr="00DB3D2F">
        <w:rPr>
          <w:rFonts w:ascii="Arial" w:eastAsiaTheme="minorHAnsi" w:hAnsi="Arial" w:cs="Arial"/>
          <w:bCs/>
          <w:sz w:val="26"/>
          <w:szCs w:val="26"/>
          <w:lang w:val="es-ES" w:eastAsia="en-US"/>
        </w:rPr>
        <w:t>ordenó notificar, emplazar y correr traslado a la</w:t>
      </w:r>
      <w:r w:rsidR="00026703">
        <w:rPr>
          <w:rFonts w:ascii="Arial" w:eastAsiaTheme="minorHAnsi" w:hAnsi="Arial" w:cs="Arial"/>
          <w:bCs/>
          <w:sz w:val="26"/>
          <w:szCs w:val="26"/>
          <w:lang w:val="es-ES" w:eastAsia="en-US"/>
        </w:rPr>
        <w:t xml:space="preserve"> autoridad</w:t>
      </w:r>
      <w:r w:rsidR="009D54BA" w:rsidRPr="00DB3D2F">
        <w:rPr>
          <w:rFonts w:ascii="Arial" w:eastAsiaTheme="minorHAnsi" w:hAnsi="Arial" w:cs="Arial"/>
          <w:bCs/>
          <w:sz w:val="26"/>
          <w:szCs w:val="26"/>
          <w:lang w:val="es-ES" w:eastAsia="en-US"/>
        </w:rPr>
        <w:t xml:space="preserve"> demandada</w:t>
      </w:r>
      <w:r w:rsidR="00026703">
        <w:rPr>
          <w:rFonts w:ascii="Arial" w:eastAsiaTheme="minorHAnsi" w:hAnsi="Arial" w:cs="Arial"/>
          <w:bCs/>
          <w:sz w:val="26"/>
          <w:szCs w:val="26"/>
          <w:lang w:val="es-ES" w:eastAsia="en-US"/>
        </w:rPr>
        <w:t>,</w:t>
      </w:r>
      <w:r w:rsidR="009D54BA" w:rsidRPr="00DB3D2F">
        <w:rPr>
          <w:rFonts w:ascii="Arial" w:eastAsiaTheme="minorHAnsi" w:hAnsi="Arial" w:cs="Arial"/>
          <w:bCs/>
          <w:sz w:val="26"/>
          <w:szCs w:val="26"/>
          <w:lang w:val="es-ES" w:eastAsia="en-US"/>
        </w:rPr>
        <w:t xml:space="preserve"> para que en el plazo legal de nueve días hábiles, </w:t>
      </w:r>
      <w:r w:rsidR="00E70CC3" w:rsidRPr="00DB3D2F">
        <w:rPr>
          <w:rFonts w:ascii="Arial" w:eastAsiaTheme="minorHAnsi" w:hAnsi="Arial" w:cs="Arial"/>
          <w:bCs/>
          <w:sz w:val="26"/>
          <w:szCs w:val="26"/>
          <w:lang w:val="es-ES" w:eastAsia="en-US"/>
        </w:rPr>
        <w:t>diera contestación a la demanda, bajo el apercibimiento que, de no hacerlo, se le tendría por contestada la demanda en sentido afirmativo.</w:t>
      </w:r>
    </w:p>
    <w:p w14:paraId="02548C09" w14:textId="77777777" w:rsidR="00026703" w:rsidRPr="00DB3D2F" w:rsidRDefault="00026703" w:rsidP="00026703">
      <w:pPr>
        <w:pStyle w:val="Prrafodelista"/>
        <w:widowControl w:val="0"/>
        <w:autoSpaceDE w:val="0"/>
        <w:autoSpaceDN w:val="0"/>
        <w:adjustRightInd w:val="0"/>
        <w:spacing w:before="240" w:after="0" w:line="360" w:lineRule="auto"/>
        <w:ind w:left="1068"/>
        <w:jc w:val="both"/>
        <w:rPr>
          <w:rFonts w:ascii="Arial" w:eastAsiaTheme="minorHAnsi" w:hAnsi="Arial" w:cs="Arial"/>
          <w:b/>
          <w:sz w:val="26"/>
          <w:szCs w:val="26"/>
          <w:lang w:val="es-ES" w:eastAsia="en-US"/>
        </w:rPr>
      </w:pPr>
    </w:p>
    <w:p w14:paraId="6CFE74CF" w14:textId="34319833" w:rsidR="00026703" w:rsidRDefault="00026703" w:rsidP="00620617">
      <w:pPr>
        <w:pStyle w:val="Prrafodelista"/>
        <w:widowControl w:val="0"/>
        <w:numPr>
          <w:ilvl w:val="0"/>
          <w:numId w:val="13"/>
        </w:numPr>
        <w:autoSpaceDE w:val="0"/>
        <w:autoSpaceDN w:val="0"/>
        <w:adjustRightInd w:val="0"/>
        <w:spacing w:before="240" w:after="0" w:line="360" w:lineRule="auto"/>
        <w:jc w:val="both"/>
        <w:rPr>
          <w:rFonts w:ascii="Arial" w:eastAsiaTheme="minorHAnsi" w:hAnsi="Arial" w:cs="Arial"/>
          <w:bCs/>
          <w:sz w:val="26"/>
          <w:szCs w:val="26"/>
          <w:lang w:val="es-ES" w:eastAsia="en-US"/>
        </w:rPr>
      </w:pPr>
      <w:r>
        <w:rPr>
          <w:rFonts w:ascii="Arial" w:eastAsiaTheme="minorHAnsi" w:hAnsi="Arial" w:cs="Arial"/>
          <w:bCs/>
          <w:sz w:val="26"/>
          <w:szCs w:val="26"/>
          <w:lang w:val="es-ES" w:eastAsia="en-US"/>
        </w:rPr>
        <w:t xml:space="preserve">Mediante oficio presentado el once de septiembre de dos mil diecinueve, </w:t>
      </w:r>
      <w:bookmarkStart w:id="0" w:name="_Hlk70567762"/>
      <w:r w:rsidR="00A462E6" w:rsidRPr="00DB3D2F">
        <w:rPr>
          <w:rFonts w:ascii="Arial" w:eastAsiaTheme="minorHAnsi" w:hAnsi="Arial" w:cs="Arial"/>
          <w:bCs/>
          <w:sz w:val="26"/>
          <w:szCs w:val="26"/>
          <w:lang w:val="es-ES" w:eastAsia="en-US"/>
        </w:rPr>
        <w:t xml:space="preserve">el </w:t>
      </w:r>
      <w:r>
        <w:rPr>
          <w:rFonts w:ascii="Arial" w:eastAsiaTheme="minorHAnsi" w:hAnsi="Arial" w:cs="Arial"/>
          <w:bCs/>
          <w:sz w:val="26"/>
          <w:szCs w:val="26"/>
          <w:lang w:val="es-ES" w:eastAsia="en-US"/>
        </w:rPr>
        <w:t>Contador Público José de Jesús Cisneros Pérez, Director de Recursos Humanos, dio contestación a la demanda de nulidad, y por acuerdo dictado el ocho de octubre de citado año, la Magistrada de la entonces Séptima Sala Unitaria de Primera Instancia, tuvo por contestando en tiempo la demanda a la referida autoridad.</w:t>
      </w:r>
    </w:p>
    <w:p w14:paraId="6C25EB32" w14:textId="77777777" w:rsidR="00026703" w:rsidRPr="00026703" w:rsidRDefault="00026703" w:rsidP="00026703">
      <w:pPr>
        <w:pStyle w:val="Prrafodelista"/>
        <w:rPr>
          <w:rFonts w:ascii="Arial" w:eastAsiaTheme="minorHAnsi" w:hAnsi="Arial" w:cs="Arial"/>
          <w:bCs/>
          <w:sz w:val="26"/>
          <w:szCs w:val="26"/>
          <w:lang w:val="es-ES" w:eastAsia="en-US"/>
        </w:rPr>
      </w:pPr>
    </w:p>
    <w:p w14:paraId="6DA8A894" w14:textId="2BC1641D" w:rsidR="00026703" w:rsidRDefault="00026703" w:rsidP="00620617">
      <w:pPr>
        <w:pStyle w:val="Prrafodelista"/>
        <w:widowControl w:val="0"/>
        <w:numPr>
          <w:ilvl w:val="0"/>
          <w:numId w:val="13"/>
        </w:numPr>
        <w:autoSpaceDE w:val="0"/>
        <w:autoSpaceDN w:val="0"/>
        <w:adjustRightInd w:val="0"/>
        <w:spacing w:before="240" w:after="0" w:line="360" w:lineRule="auto"/>
        <w:jc w:val="both"/>
        <w:rPr>
          <w:rFonts w:ascii="Arial" w:eastAsiaTheme="minorHAnsi" w:hAnsi="Arial" w:cs="Arial"/>
          <w:bCs/>
          <w:sz w:val="26"/>
          <w:szCs w:val="26"/>
          <w:lang w:val="es-ES" w:eastAsia="en-US"/>
        </w:rPr>
      </w:pPr>
      <w:r>
        <w:rPr>
          <w:rFonts w:ascii="Arial" w:eastAsiaTheme="minorHAnsi" w:hAnsi="Arial" w:cs="Arial"/>
          <w:bCs/>
          <w:sz w:val="26"/>
          <w:szCs w:val="26"/>
          <w:lang w:val="es-ES" w:eastAsia="en-US"/>
        </w:rPr>
        <w:t xml:space="preserve">Por auto dictado el quince de noviembre de dos mil diecinueve, la Magistrada de la entonces Séptima Sala Unitaria de Primera </w:t>
      </w:r>
      <w:r>
        <w:rPr>
          <w:rFonts w:ascii="Arial" w:eastAsiaTheme="minorHAnsi" w:hAnsi="Arial" w:cs="Arial"/>
          <w:bCs/>
          <w:sz w:val="26"/>
          <w:szCs w:val="26"/>
          <w:lang w:val="es-ES" w:eastAsia="en-US"/>
        </w:rPr>
        <w:lastRenderedPageBreak/>
        <w:t xml:space="preserve">Instancia, </w:t>
      </w:r>
      <w:r w:rsidR="00A0765D">
        <w:rPr>
          <w:rFonts w:ascii="Arial" w:eastAsiaTheme="minorHAnsi" w:hAnsi="Arial" w:cs="Arial"/>
          <w:bCs/>
          <w:sz w:val="26"/>
          <w:szCs w:val="26"/>
          <w:lang w:val="es-ES" w:eastAsia="en-US"/>
        </w:rPr>
        <w:t xml:space="preserve">acordó </w:t>
      </w:r>
      <w:r w:rsidR="00401A8D">
        <w:rPr>
          <w:rFonts w:ascii="Arial" w:eastAsiaTheme="minorHAnsi" w:hAnsi="Arial" w:cs="Arial"/>
          <w:bCs/>
          <w:sz w:val="26"/>
          <w:szCs w:val="26"/>
          <w:lang w:val="es-ES" w:eastAsia="en-US"/>
        </w:rPr>
        <w:t>e</w:t>
      </w:r>
      <w:r w:rsidR="00A0765D">
        <w:rPr>
          <w:rFonts w:ascii="Arial" w:eastAsiaTheme="minorHAnsi" w:hAnsi="Arial" w:cs="Arial"/>
          <w:bCs/>
          <w:sz w:val="26"/>
          <w:szCs w:val="26"/>
          <w:lang w:val="es-ES" w:eastAsia="en-US"/>
        </w:rPr>
        <w:t xml:space="preserve">mplazar a juicio a la Fiscalía General del Estado de Oaxaca, al considerar que  de obtener una sentencia favorable el actor, se verá afectado el presupuesto de dicha Fiscalía,  más aun tomando en consideración que es un hecho notorio, que resulta vinculada al pago de los quinquenio que demanda </w:t>
      </w:r>
      <w:r w:rsidR="000C0FE0">
        <w:rPr>
          <w:rFonts w:ascii="Arial" w:hAnsi="Arial" w:cs="Arial"/>
          <w:b/>
          <w:sz w:val="26"/>
          <w:szCs w:val="26"/>
        </w:rPr>
        <w:t>***********</w:t>
      </w:r>
      <w:r w:rsidR="00A0765D">
        <w:rPr>
          <w:rFonts w:ascii="Arial" w:eastAsiaTheme="minorHAnsi" w:hAnsi="Arial" w:cs="Arial"/>
          <w:bCs/>
          <w:sz w:val="26"/>
          <w:szCs w:val="26"/>
          <w:lang w:val="es-ES" w:eastAsia="en-US"/>
        </w:rPr>
        <w:t>.</w:t>
      </w:r>
    </w:p>
    <w:p w14:paraId="3B9405CE" w14:textId="77777777" w:rsidR="00026703" w:rsidRPr="00026703" w:rsidRDefault="00026703" w:rsidP="00026703">
      <w:pPr>
        <w:pStyle w:val="Prrafodelista"/>
        <w:rPr>
          <w:rFonts w:ascii="Arial" w:eastAsiaTheme="minorHAnsi" w:hAnsi="Arial" w:cs="Arial"/>
          <w:bCs/>
          <w:sz w:val="26"/>
          <w:szCs w:val="26"/>
          <w:lang w:val="es-ES" w:eastAsia="en-US"/>
        </w:rPr>
      </w:pPr>
    </w:p>
    <w:p w14:paraId="57B3D263" w14:textId="50E666EB" w:rsidR="00E70CC3" w:rsidRDefault="001E3CAA" w:rsidP="00620617">
      <w:pPr>
        <w:pStyle w:val="Prrafodelista"/>
        <w:widowControl w:val="0"/>
        <w:numPr>
          <w:ilvl w:val="0"/>
          <w:numId w:val="13"/>
        </w:numPr>
        <w:autoSpaceDE w:val="0"/>
        <w:autoSpaceDN w:val="0"/>
        <w:adjustRightInd w:val="0"/>
        <w:spacing w:before="240" w:after="0" w:line="360" w:lineRule="auto"/>
        <w:jc w:val="both"/>
        <w:rPr>
          <w:rFonts w:ascii="Arial" w:eastAsiaTheme="minorHAnsi" w:hAnsi="Arial" w:cs="Arial"/>
          <w:bCs/>
          <w:sz w:val="26"/>
          <w:szCs w:val="26"/>
          <w:lang w:val="es-ES" w:eastAsia="en-US"/>
        </w:rPr>
      </w:pPr>
      <w:r>
        <w:rPr>
          <w:rFonts w:ascii="Arial" w:eastAsiaTheme="minorHAnsi" w:hAnsi="Arial" w:cs="Arial"/>
          <w:bCs/>
          <w:sz w:val="26"/>
          <w:szCs w:val="26"/>
          <w:lang w:val="es-ES" w:eastAsia="en-US"/>
        </w:rPr>
        <w:t xml:space="preserve">Mediante escrito presentado el doce de diciembre de dos mil diecinueve, </w:t>
      </w:r>
      <w:r w:rsidR="00A462E6" w:rsidRPr="00DB3D2F">
        <w:rPr>
          <w:rFonts w:ascii="Arial" w:eastAsiaTheme="minorHAnsi" w:hAnsi="Arial" w:cs="Arial"/>
          <w:bCs/>
          <w:sz w:val="26"/>
          <w:szCs w:val="26"/>
          <w:lang w:val="es-ES" w:eastAsia="en-US"/>
        </w:rPr>
        <w:t>Jaime Alejandro Velázquez Martínez, quien se ostenta como Director de Asuntos Jurídicos de la Fiscalía General del Estado de Oaxaca</w:t>
      </w:r>
      <w:r w:rsidR="007702C1" w:rsidRPr="00DB3D2F">
        <w:rPr>
          <w:rFonts w:ascii="Arial" w:eastAsiaTheme="minorHAnsi" w:hAnsi="Arial" w:cs="Arial"/>
          <w:bCs/>
          <w:sz w:val="26"/>
          <w:szCs w:val="26"/>
          <w:lang w:val="es-ES" w:eastAsia="en-US"/>
        </w:rPr>
        <w:t>,</w:t>
      </w:r>
      <w:r w:rsidR="00225E51">
        <w:rPr>
          <w:rFonts w:ascii="Arial" w:eastAsiaTheme="minorHAnsi" w:hAnsi="Arial" w:cs="Arial"/>
          <w:bCs/>
          <w:sz w:val="26"/>
          <w:szCs w:val="26"/>
          <w:lang w:val="es-ES" w:eastAsia="en-US"/>
        </w:rPr>
        <w:t xml:space="preserve"> y representante jurídico del Fiscal General del Estado de Oaxaca,</w:t>
      </w:r>
      <w:r w:rsidR="007702C1" w:rsidRPr="00DB3D2F">
        <w:rPr>
          <w:rFonts w:ascii="Arial" w:eastAsiaTheme="minorHAnsi" w:hAnsi="Arial" w:cs="Arial"/>
          <w:bCs/>
          <w:sz w:val="26"/>
          <w:szCs w:val="26"/>
          <w:lang w:val="es-ES" w:eastAsia="en-US"/>
        </w:rPr>
        <w:t xml:space="preserve"> </w:t>
      </w:r>
      <w:bookmarkEnd w:id="0"/>
      <w:r w:rsidR="007702C1" w:rsidRPr="00DB3D2F">
        <w:rPr>
          <w:rFonts w:ascii="Arial" w:eastAsiaTheme="minorHAnsi" w:hAnsi="Arial" w:cs="Arial"/>
          <w:bCs/>
          <w:sz w:val="26"/>
          <w:szCs w:val="26"/>
          <w:lang w:val="es-ES" w:eastAsia="en-US"/>
        </w:rPr>
        <w:t>interpuso recurso de revisión en contra del acuerdo</w:t>
      </w:r>
      <w:r>
        <w:rPr>
          <w:rFonts w:ascii="Arial" w:eastAsiaTheme="minorHAnsi" w:hAnsi="Arial" w:cs="Arial"/>
          <w:bCs/>
          <w:sz w:val="26"/>
          <w:szCs w:val="26"/>
          <w:lang w:val="es-ES" w:eastAsia="en-US"/>
        </w:rPr>
        <w:t xml:space="preserve"> </w:t>
      </w:r>
      <w:r w:rsidR="007702C1" w:rsidRPr="00DB3D2F">
        <w:rPr>
          <w:rFonts w:ascii="Arial" w:eastAsiaTheme="minorHAnsi" w:hAnsi="Arial" w:cs="Arial"/>
          <w:bCs/>
          <w:sz w:val="26"/>
          <w:szCs w:val="26"/>
          <w:lang w:val="es-ES" w:eastAsia="en-US"/>
        </w:rPr>
        <w:t xml:space="preserve">de fecha </w:t>
      </w:r>
      <w:r>
        <w:rPr>
          <w:rFonts w:ascii="Arial" w:eastAsiaTheme="minorHAnsi" w:hAnsi="Arial" w:cs="Arial"/>
          <w:bCs/>
          <w:sz w:val="26"/>
          <w:szCs w:val="26"/>
          <w:lang w:val="es-ES" w:eastAsia="en-US"/>
        </w:rPr>
        <w:t>quince de noviembre del citado año.</w:t>
      </w:r>
    </w:p>
    <w:p w14:paraId="158EB38F" w14:textId="04A0EB2E" w:rsidR="002634BD" w:rsidRDefault="00ED3702" w:rsidP="00514668">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Pr>
          <w:rFonts w:ascii="Arial" w:eastAsia="Calibri" w:hAnsi="Arial" w:cs="Arial"/>
          <w:bCs/>
          <w:sz w:val="26"/>
          <w:szCs w:val="26"/>
          <w:lang w:val="es-ES" w:eastAsia="en-US"/>
        </w:rPr>
        <w:t xml:space="preserve">De los puntos </w:t>
      </w:r>
      <w:r w:rsidRPr="001124CB">
        <w:rPr>
          <w:rFonts w:ascii="Arial" w:eastAsia="Calibri" w:hAnsi="Arial" w:cs="Arial"/>
          <w:bCs/>
          <w:sz w:val="26"/>
          <w:szCs w:val="26"/>
          <w:lang w:val="es-ES" w:eastAsia="en-US"/>
        </w:rPr>
        <w:t>anteriores</w:t>
      </w:r>
      <w:r w:rsidR="00922349" w:rsidRPr="001124CB">
        <w:rPr>
          <w:rFonts w:ascii="Arial" w:eastAsia="Calibri" w:hAnsi="Arial" w:cs="Arial"/>
          <w:bCs/>
          <w:sz w:val="26"/>
          <w:szCs w:val="26"/>
          <w:lang w:val="es-ES" w:eastAsia="en-US"/>
        </w:rPr>
        <w:t>,</w:t>
      </w:r>
      <w:r>
        <w:rPr>
          <w:rFonts w:ascii="Arial" w:eastAsia="Calibri" w:hAnsi="Arial" w:cs="Arial"/>
          <w:bCs/>
          <w:sz w:val="26"/>
          <w:szCs w:val="26"/>
          <w:lang w:val="es-ES" w:eastAsia="en-US"/>
        </w:rPr>
        <w:t xml:space="preserve"> se desprende que,</w:t>
      </w:r>
      <w:r w:rsidR="00DF0112">
        <w:rPr>
          <w:rFonts w:ascii="Arial" w:eastAsia="Calibri" w:hAnsi="Arial" w:cs="Arial"/>
          <w:bCs/>
          <w:sz w:val="26"/>
          <w:szCs w:val="26"/>
          <w:lang w:val="es-ES" w:eastAsia="en-US"/>
        </w:rPr>
        <w:t xml:space="preserve"> la </w:t>
      </w:r>
      <w:r w:rsidR="00740397">
        <w:rPr>
          <w:rFonts w:ascii="Arial" w:eastAsia="Calibri" w:hAnsi="Arial" w:cs="Arial"/>
          <w:bCs/>
          <w:sz w:val="26"/>
          <w:szCs w:val="26"/>
          <w:lang w:val="es-ES" w:eastAsia="en-US"/>
        </w:rPr>
        <w:t xml:space="preserve">otrora Séptima </w:t>
      </w:r>
      <w:r w:rsidR="003F4744">
        <w:rPr>
          <w:rFonts w:ascii="Arial" w:eastAsia="Calibri" w:hAnsi="Arial" w:cs="Arial"/>
          <w:bCs/>
          <w:sz w:val="26"/>
          <w:szCs w:val="26"/>
          <w:lang w:val="es-ES" w:eastAsia="en-US"/>
        </w:rPr>
        <w:t>Sa</w:t>
      </w:r>
      <w:r w:rsidR="00394B5E">
        <w:rPr>
          <w:rFonts w:ascii="Arial" w:eastAsia="Calibri" w:hAnsi="Arial" w:cs="Arial"/>
          <w:bCs/>
          <w:sz w:val="26"/>
          <w:szCs w:val="26"/>
          <w:lang w:val="es-ES" w:eastAsia="en-US"/>
        </w:rPr>
        <w:t xml:space="preserve">la Unitaria de </w:t>
      </w:r>
      <w:r w:rsidR="00740397">
        <w:rPr>
          <w:rFonts w:ascii="Arial" w:eastAsia="Calibri" w:hAnsi="Arial" w:cs="Arial"/>
          <w:bCs/>
          <w:sz w:val="26"/>
          <w:szCs w:val="26"/>
          <w:lang w:val="es-ES" w:eastAsia="en-US"/>
        </w:rPr>
        <w:t>P</w:t>
      </w:r>
      <w:r w:rsidR="00394B5E">
        <w:rPr>
          <w:rFonts w:ascii="Arial" w:eastAsia="Calibri" w:hAnsi="Arial" w:cs="Arial"/>
          <w:bCs/>
          <w:sz w:val="26"/>
          <w:szCs w:val="26"/>
          <w:lang w:val="es-ES" w:eastAsia="en-US"/>
        </w:rPr>
        <w:t xml:space="preserve">rimera </w:t>
      </w:r>
      <w:r w:rsidR="00740397">
        <w:rPr>
          <w:rFonts w:ascii="Arial" w:eastAsia="Calibri" w:hAnsi="Arial" w:cs="Arial"/>
          <w:bCs/>
          <w:sz w:val="26"/>
          <w:szCs w:val="26"/>
          <w:lang w:val="es-ES" w:eastAsia="en-US"/>
        </w:rPr>
        <w:t>I</w:t>
      </w:r>
      <w:r w:rsidR="00394B5E">
        <w:rPr>
          <w:rFonts w:ascii="Arial" w:eastAsia="Calibri" w:hAnsi="Arial" w:cs="Arial"/>
          <w:bCs/>
          <w:sz w:val="26"/>
          <w:szCs w:val="26"/>
          <w:lang w:val="es-ES" w:eastAsia="en-US"/>
        </w:rPr>
        <w:t xml:space="preserve">nstancia, </w:t>
      </w:r>
      <w:r w:rsidR="00D745B7">
        <w:rPr>
          <w:rFonts w:ascii="Arial" w:eastAsia="Calibri" w:hAnsi="Arial" w:cs="Arial"/>
          <w:bCs/>
          <w:sz w:val="26"/>
          <w:szCs w:val="26"/>
          <w:lang w:val="es-ES" w:eastAsia="en-US"/>
        </w:rPr>
        <w:t xml:space="preserve">en el acto impugnado </w:t>
      </w:r>
      <w:r w:rsidR="00740397">
        <w:rPr>
          <w:rFonts w:ascii="Arial" w:eastAsia="Calibri" w:hAnsi="Arial" w:cs="Arial"/>
          <w:bCs/>
          <w:sz w:val="26"/>
          <w:szCs w:val="26"/>
          <w:lang w:val="es-ES" w:eastAsia="en-US"/>
        </w:rPr>
        <w:t>dictado el quince de noviembre de dos mil diecinueve, ordenó emplazar a juicio y c</w:t>
      </w:r>
      <w:r w:rsidR="00D745B7">
        <w:rPr>
          <w:rFonts w:ascii="Arial" w:eastAsia="Calibri" w:hAnsi="Arial" w:cs="Arial"/>
          <w:bCs/>
          <w:sz w:val="26"/>
          <w:szCs w:val="26"/>
          <w:lang w:val="es-ES" w:eastAsia="en-US"/>
        </w:rPr>
        <w:t>o</w:t>
      </w:r>
      <w:r w:rsidR="00740397">
        <w:rPr>
          <w:rFonts w:ascii="Arial" w:eastAsia="Calibri" w:hAnsi="Arial" w:cs="Arial"/>
          <w:bCs/>
          <w:sz w:val="26"/>
          <w:szCs w:val="26"/>
          <w:lang w:val="es-ES" w:eastAsia="en-US"/>
        </w:rPr>
        <w:t>rrer</w:t>
      </w:r>
      <w:r w:rsidR="00D745B7">
        <w:rPr>
          <w:rFonts w:ascii="Arial" w:eastAsia="Calibri" w:hAnsi="Arial" w:cs="Arial"/>
          <w:bCs/>
          <w:sz w:val="26"/>
          <w:szCs w:val="26"/>
          <w:lang w:val="es-ES" w:eastAsia="en-US"/>
        </w:rPr>
        <w:t xml:space="preserve"> traslado con la demanda de nulidad, </w:t>
      </w:r>
      <w:r w:rsidR="00740397">
        <w:rPr>
          <w:rFonts w:ascii="Arial" w:eastAsia="Calibri" w:hAnsi="Arial" w:cs="Arial"/>
          <w:bCs/>
          <w:sz w:val="26"/>
          <w:szCs w:val="26"/>
          <w:lang w:val="es-ES" w:eastAsia="en-US"/>
        </w:rPr>
        <w:t xml:space="preserve">a la Fiscalía General del Estado de Oaxaca, al señalar que dicha autoridad resulta vinculada al pago de los quinquenios que demanda </w:t>
      </w:r>
      <w:r w:rsidR="000C0FE0">
        <w:rPr>
          <w:rFonts w:ascii="Arial" w:hAnsi="Arial" w:cs="Arial"/>
          <w:b/>
          <w:sz w:val="26"/>
          <w:szCs w:val="26"/>
        </w:rPr>
        <w:t>***********</w:t>
      </w:r>
      <w:r w:rsidR="002634BD">
        <w:rPr>
          <w:rFonts w:ascii="Arial" w:eastAsia="Calibri" w:hAnsi="Arial" w:cs="Arial"/>
          <w:bCs/>
          <w:sz w:val="26"/>
          <w:szCs w:val="26"/>
          <w:lang w:val="es-ES" w:eastAsia="en-US"/>
        </w:rPr>
        <w:t>,</w:t>
      </w:r>
      <w:r w:rsidR="00740397">
        <w:rPr>
          <w:rFonts w:ascii="Arial" w:eastAsia="Calibri" w:hAnsi="Arial" w:cs="Arial"/>
          <w:bCs/>
          <w:sz w:val="26"/>
          <w:szCs w:val="26"/>
          <w:lang w:val="es-ES" w:eastAsia="en-US"/>
        </w:rPr>
        <w:t xml:space="preserve"> y</w:t>
      </w:r>
      <w:r w:rsidR="002634BD">
        <w:rPr>
          <w:rFonts w:ascii="Arial" w:eastAsia="Calibri" w:hAnsi="Arial" w:cs="Arial"/>
          <w:bCs/>
          <w:sz w:val="26"/>
          <w:szCs w:val="26"/>
          <w:lang w:val="es-ES" w:eastAsia="en-US"/>
        </w:rPr>
        <w:t xml:space="preserve"> que dicha Fiscalía</w:t>
      </w:r>
      <w:r w:rsidR="00740397">
        <w:rPr>
          <w:rFonts w:ascii="Arial" w:eastAsia="Calibri" w:hAnsi="Arial" w:cs="Arial"/>
          <w:bCs/>
          <w:sz w:val="26"/>
          <w:szCs w:val="26"/>
          <w:lang w:val="es-ES" w:eastAsia="en-US"/>
        </w:rPr>
        <w:t xml:space="preserve"> resultaría afectad</w:t>
      </w:r>
      <w:r w:rsidR="002634BD">
        <w:rPr>
          <w:rFonts w:ascii="Arial" w:eastAsia="Calibri" w:hAnsi="Arial" w:cs="Arial"/>
          <w:bCs/>
          <w:sz w:val="26"/>
          <w:szCs w:val="26"/>
          <w:lang w:val="es-ES" w:eastAsia="en-US"/>
        </w:rPr>
        <w:t>a en</w:t>
      </w:r>
      <w:r w:rsidR="00740397">
        <w:rPr>
          <w:rFonts w:ascii="Arial" w:eastAsia="Calibri" w:hAnsi="Arial" w:cs="Arial"/>
          <w:bCs/>
          <w:sz w:val="26"/>
          <w:szCs w:val="26"/>
          <w:lang w:val="es-ES" w:eastAsia="en-US"/>
        </w:rPr>
        <w:t xml:space="preserve"> su presupuesto</w:t>
      </w:r>
      <w:r w:rsidR="002634BD">
        <w:rPr>
          <w:rFonts w:ascii="Arial" w:eastAsia="Calibri" w:hAnsi="Arial" w:cs="Arial"/>
          <w:bCs/>
          <w:sz w:val="26"/>
          <w:szCs w:val="26"/>
          <w:lang w:val="es-ES" w:eastAsia="en-US"/>
        </w:rPr>
        <w:t>,</w:t>
      </w:r>
      <w:r w:rsidR="00740397">
        <w:rPr>
          <w:rFonts w:ascii="Arial" w:eastAsia="Calibri" w:hAnsi="Arial" w:cs="Arial"/>
          <w:bCs/>
          <w:sz w:val="26"/>
          <w:szCs w:val="26"/>
          <w:lang w:val="es-ES" w:eastAsia="en-US"/>
        </w:rPr>
        <w:t xml:space="preserve"> en caso de que el actor obtenga una sentencia favorable</w:t>
      </w:r>
      <w:r w:rsidR="002634BD">
        <w:rPr>
          <w:rFonts w:ascii="Arial" w:eastAsia="Calibri" w:hAnsi="Arial" w:cs="Arial"/>
          <w:bCs/>
          <w:sz w:val="26"/>
          <w:szCs w:val="26"/>
          <w:lang w:val="es-ES" w:eastAsia="en-US"/>
        </w:rPr>
        <w:t xml:space="preserve">.- - - - - - - - - - - - - </w:t>
      </w:r>
      <w:r w:rsidR="000C0FE0">
        <w:rPr>
          <w:rFonts w:ascii="Arial" w:eastAsia="Calibri" w:hAnsi="Arial" w:cs="Arial"/>
          <w:bCs/>
          <w:sz w:val="26"/>
          <w:szCs w:val="26"/>
          <w:lang w:val="es-ES" w:eastAsia="en-US"/>
        </w:rPr>
        <w:t>- - - - - - - - - - - - - - - - - - - - - -</w:t>
      </w:r>
    </w:p>
    <w:p w14:paraId="341E3B01" w14:textId="4C3A0000" w:rsidR="00D745B7" w:rsidRDefault="002634BD" w:rsidP="00514668">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Pr>
          <w:rFonts w:ascii="Arial" w:eastAsia="Calibri" w:hAnsi="Arial" w:cs="Arial"/>
          <w:bCs/>
          <w:sz w:val="26"/>
          <w:szCs w:val="26"/>
          <w:lang w:val="es-ES" w:eastAsia="en-US"/>
        </w:rPr>
        <w:t>P</w:t>
      </w:r>
      <w:r w:rsidR="00D745B7">
        <w:rPr>
          <w:rFonts w:ascii="Arial" w:eastAsia="Calibri" w:hAnsi="Arial" w:cs="Arial"/>
          <w:bCs/>
          <w:sz w:val="26"/>
          <w:szCs w:val="26"/>
          <w:lang w:val="es-ES" w:eastAsia="en-US"/>
        </w:rPr>
        <w:t xml:space="preserve">or lo que </w:t>
      </w:r>
      <w:r w:rsidR="00D745B7">
        <w:rPr>
          <w:rFonts w:ascii="Arial" w:eastAsiaTheme="minorHAnsi" w:hAnsi="Arial" w:cs="Arial"/>
          <w:bCs/>
          <w:sz w:val="26"/>
          <w:szCs w:val="26"/>
          <w:lang w:val="es-ES" w:eastAsia="en-US"/>
        </w:rPr>
        <w:t>si bien es cierto</w:t>
      </w:r>
      <w:r>
        <w:rPr>
          <w:rFonts w:ascii="Arial" w:eastAsiaTheme="minorHAnsi" w:hAnsi="Arial" w:cs="Arial"/>
          <w:bCs/>
          <w:sz w:val="26"/>
          <w:szCs w:val="26"/>
          <w:lang w:val="es-ES" w:eastAsia="en-US"/>
        </w:rPr>
        <w:t>,</w:t>
      </w:r>
      <w:r w:rsidR="00D745B7">
        <w:rPr>
          <w:rFonts w:ascii="Arial" w:eastAsiaTheme="minorHAnsi" w:hAnsi="Arial" w:cs="Arial"/>
          <w:bCs/>
          <w:sz w:val="26"/>
          <w:szCs w:val="26"/>
          <w:lang w:val="es-ES" w:eastAsia="en-US"/>
        </w:rPr>
        <w:t xml:space="preserve"> que se está ordenando emplazar a juicio a</w:t>
      </w:r>
      <w:r>
        <w:rPr>
          <w:rFonts w:ascii="Arial" w:eastAsiaTheme="minorHAnsi" w:hAnsi="Arial" w:cs="Arial"/>
          <w:bCs/>
          <w:sz w:val="26"/>
          <w:szCs w:val="26"/>
          <w:lang w:val="es-ES" w:eastAsia="en-US"/>
        </w:rPr>
        <w:t xml:space="preserve"> </w:t>
      </w:r>
      <w:r w:rsidR="00D745B7">
        <w:rPr>
          <w:rFonts w:ascii="Arial" w:eastAsiaTheme="minorHAnsi" w:hAnsi="Arial" w:cs="Arial"/>
          <w:bCs/>
          <w:sz w:val="26"/>
          <w:szCs w:val="26"/>
          <w:lang w:val="es-ES" w:eastAsia="en-US"/>
        </w:rPr>
        <w:t>l</w:t>
      </w:r>
      <w:r>
        <w:rPr>
          <w:rFonts w:ascii="Arial" w:eastAsiaTheme="minorHAnsi" w:hAnsi="Arial" w:cs="Arial"/>
          <w:bCs/>
          <w:sz w:val="26"/>
          <w:szCs w:val="26"/>
          <w:lang w:val="es-ES" w:eastAsia="en-US"/>
        </w:rPr>
        <w:t>a</w:t>
      </w:r>
      <w:r w:rsidR="00D745B7">
        <w:rPr>
          <w:rFonts w:ascii="Arial" w:eastAsiaTheme="minorHAnsi" w:hAnsi="Arial" w:cs="Arial"/>
          <w:bCs/>
          <w:sz w:val="26"/>
          <w:szCs w:val="26"/>
          <w:lang w:val="es-ES" w:eastAsia="en-US"/>
        </w:rPr>
        <w:t xml:space="preserve"> Fisca</w:t>
      </w:r>
      <w:r>
        <w:rPr>
          <w:rFonts w:ascii="Arial" w:eastAsiaTheme="minorHAnsi" w:hAnsi="Arial" w:cs="Arial"/>
          <w:bCs/>
          <w:sz w:val="26"/>
          <w:szCs w:val="26"/>
          <w:lang w:val="es-ES" w:eastAsia="en-US"/>
        </w:rPr>
        <w:t>lía</w:t>
      </w:r>
      <w:r w:rsidR="00D745B7">
        <w:rPr>
          <w:rFonts w:ascii="Arial" w:eastAsiaTheme="minorHAnsi" w:hAnsi="Arial" w:cs="Arial"/>
          <w:bCs/>
          <w:sz w:val="26"/>
          <w:szCs w:val="26"/>
          <w:lang w:val="es-ES" w:eastAsia="en-US"/>
        </w:rPr>
        <w:t xml:space="preserve"> General del Estado de Oaxaca, como autoridad demandada en el juicio principal,</w:t>
      </w:r>
      <w:r w:rsidR="00D745B7" w:rsidRPr="00D745B7">
        <w:rPr>
          <w:rFonts w:ascii="Arial" w:eastAsiaTheme="minorHAnsi" w:hAnsi="Arial" w:cs="Arial"/>
          <w:bCs/>
          <w:sz w:val="26"/>
          <w:szCs w:val="26"/>
          <w:lang w:val="es-ES" w:eastAsia="en-US"/>
        </w:rPr>
        <w:t xml:space="preserve"> </w:t>
      </w:r>
      <w:r w:rsidR="00D745B7">
        <w:rPr>
          <w:rFonts w:ascii="Arial" w:eastAsiaTheme="minorHAnsi" w:hAnsi="Arial" w:cs="Arial"/>
          <w:bCs/>
          <w:sz w:val="26"/>
          <w:szCs w:val="26"/>
          <w:lang w:val="es-ES" w:eastAsia="en-US"/>
        </w:rPr>
        <w:t>también se observa que aún no se ha recono</w:t>
      </w:r>
      <w:bookmarkStart w:id="1" w:name="_GoBack"/>
      <w:bookmarkEnd w:id="1"/>
      <w:r w:rsidR="00D745B7">
        <w:rPr>
          <w:rFonts w:ascii="Arial" w:eastAsiaTheme="minorHAnsi" w:hAnsi="Arial" w:cs="Arial"/>
          <w:bCs/>
          <w:sz w:val="26"/>
          <w:szCs w:val="26"/>
          <w:lang w:val="es-ES" w:eastAsia="en-US"/>
        </w:rPr>
        <w:t xml:space="preserve">cido en </w:t>
      </w:r>
      <w:r w:rsidR="00401A8D">
        <w:rPr>
          <w:rFonts w:ascii="Arial" w:eastAsiaTheme="minorHAnsi" w:hAnsi="Arial" w:cs="Arial"/>
          <w:bCs/>
          <w:sz w:val="26"/>
          <w:szCs w:val="26"/>
          <w:lang w:val="es-ES" w:eastAsia="en-US"/>
        </w:rPr>
        <w:t>ta</w:t>
      </w:r>
      <w:r w:rsidR="00D745B7">
        <w:rPr>
          <w:rFonts w:ascii="Arial" w:eastAsiaTheme="minorHAnsi" w:hAnsi="Arial" w:cs="Arial"/>
          <w:bCs/>
          <w:sz w:val="26"/>
          <w:szCs w:val="26"/>
          <w:lang w:val="es-ES" w:eastAsia="en-US"/>
        </w:rPr>
        <w:t xml:space="preserve">l juicio principal, la personalidad del ahora recurrente como representante de la autoridad en mención, por lo que </w:t>
      </w:r>
      <w:r w:rsidR="00D745B7">
        <w:rPr>
          <w:rFonts w:ascii="Arial" w:eastAsia="Calibri" w:hAnsi="Arial" w:cs="Arial"/>
          <w:bCs/>
          <w:sz w:val="26"/>
          <w:szCs w:val="26"/>
          <w:lang w:val="es-ES" w:eastAsia="en-US"/>
        </w:rPr>
        <w:t>el</w:t>
      </w:r>
      <w:r w:rsidR="00D745B7" w:rsidRPr="007041E1">
        <w:rPr>
          <w:rFonts w:ascii="Arial" w:eastAsia="Calibri" w:hAnsi="Arial" w:cs="Arial"/>
          <w:bCs/>
          <w:sz w:val="26"/>
          <w:szCs w:val="26"/>
          <w:lang w:val="es-ES" w:eastAsia="en-US"/>
        </w:rPr>
        <w:t xml:space="preserve"> licenciado Jaime Alejandro Velázquez Martínez</w:t>
      </w:r>
      <w:r w:rsidR="00D745B7">
        <w:rPr>
          <w:rFonts w:ascii="Arial" w:eastAsiaTheme="minorHAnsi" w:hAnsi="Arial" w:cs="Arial"/>
          <w:bCs/>
          <w:sz w:val="26"/>
          <w:szCs w:val="26"/>
          <w:lang w:val="es-ES" w:eastAsia="en-US"/>
        </w:rPr>
        <w:t xml:space="preserve"> carece de legitimación para interponer el recurso de revisión que se analiza.- - - - - - - - - -- - - -</w:t>
      </w:r>
      <w:r w:rsidR="00C25F88">
        <w:rPr>
          <w:rFonts w:ascii="Arial" w:eastAsiaTheme="minorHAnsi" w:hAnsi="Arial" w:cs="Arial"/>
          <w:bCs/>
          <w:sz w:val="26"/>
          <w:szCs w:val="26"/>
          <w:lang w:val="es-ES" w:eastAsia="en-US"/>
        </w:rPr>
        <w:t xml:space="preserve"> - - - - </w:t>
      </w:r>
    </w:p>
    <w:p w14:paraId="71625FF1" w14:textId="6ACA670B" w:rsidR="00514668" w:rsidRPr="00514668" w:rsidRDefault="00514668" w:rsidP="00514668">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514668">
        <w:rPr>
          <w:rFonts w:ascii="Arial" w:eastAsia="Calibri" w:hAnsi="Arial" w:cs="Arial"/>
          <w:bCs/>
          <w:sz w:val="26"/>
          <w:szCs w:val="26"/>
          <w:lang w:val="es-ES" w:eastAsia="en-US"/>
        </w:rPr>
        <w:t xml:space="preserve">Por tanto, quien hoy promueve el recurso de revisión, no cuenta con </w:t>
      </w:r>
      <w:r w:rsidRPr="00514668">
        <w:rPr>
          <w:rFonts w:ascii="Arial" w:eastAsia="Calibri" w:hAnsi="Arial" w:cs="Arial"/>
          <w:bCs/>
          <w:i/>
          <w:sz w:val="26"/>
          <w:szCs w:val="26"/>
          <w:lang w:val="es-ES" w:eastAsia="en-US"/>
        </w:rPr>
        <w:t xml:space="preserve">legitimación </w:t>
      </w:r>
      <w:r w:rsidRPr="00514668">
        <w:rPr>
          <w:rFonts w:ascii="Arial" w:eastAsia="Calibri" w:hAnsi="Arial" w:cs="Arial"/>
          <w:bCs/>
          <w:sz w:val="26"/>
          <w:szCs w:val="26"/>
          <w:lang w:val="es-ES" w:eastAsia="en-US"/>
        </w:rPr>
        <w:t xml:space="preserve">para impugnar la determinación de declarar nulo </w:t>
      </w:r>
      <w:r w:rsidRPr="001124CB">
        <w:rPr>
          <w:rFonts w:ascii="Arial" w:eastAsia="Calibri" w:hAnsi="Arial" w:cs="Arial"/>
          <w:bCs/>
          <w:sz w:val="26"/>
          <w:szCs w:val="26"/>
          <w:lang w:val="es-ES" w:eastAsia="en-US"/>
        </w:rPr>
        <w:t>e</w:t>
      </w:r>
      <w:r w:rsidR="00922349" w:rsidRPr="001124CB">
        <w:rPr>
          <w:rFonts w:ascii="Arial" w:eastAsia="Calibri" w:hAnsi="Arial" w:cs="Arial"/>
          <w:bCs/>
          <w:sz w:val="26"/>
          <w:szCs w:val="26"/>
          <w:lang w:val="es-ES" w:eastAsia="en-US"/>
        </w:rPr>
        <w:t>l</w:t>
      </w:r>
      <w:r w:rsidRPr="001124CB">
        <w:rPr>
          <w:rFonts w:ascii="Arial" w:eastAsia="Calibri" w:hAnsi="Arial" w:cs="Arial"/>
          <w:bCs/>
          <w:sz w:val="26"/>
          <w:szCs w:val="26"/>
          <w:lang w:val="es-ES" w:eastAsia="en-US"/>
        </w:rPr>
        <w:t xml:space="preserve"> acto</w:t>
      </w:r>
      <w:r w:rsidRPr="00514668">
        <w:rPr>
          <w:rFonts w:ascii="Arial" w:eastAsia="Calibri" w:hAnsi="Arial" w:cs="Arial"/>
          <w:bCs/>
          <w:sz w:val="26"/>
          <w:szCs w:val="26"/>
          <w:lang w:val="es-ES" w:eastAsia="en-US"/>
        </w:rPr>
        <w:t xml:space="preserve"> de autoridad diversa.</w:t>
      </w:r>
      <w:r w:rsidR="00D745B7">
        <w:rPr>
          <w:rFonts w:ascii="Arial" w:eastAsia="Calibri" w:hAnsi="Arial" w:cs="Arial"/>
          <w:bCs/>
          <w:sz w:val="26"/>
          <w:szCs w:val="26"/>
          <w:lang w:val="es-ES" w:eastAsia="en-US"/>
        </w:rPr>
        <w:t>- - - - - - - - - - - - - - - - - - - - - - - - - - - - - - - - -</w:t>
      </w:r>
      <w:r w:rsidR="00922349">
        <w:rPr>
          <w:rFonts w:ascii="Arial" w:eastAsia="Calibri" w:hAnsi="Arial" w:cs="Arial"/>
          <w:bCs/>
          <w:sz w:val="26"/>
          <w:szCs w:val="26"/>
          <w:lang w:val="es-ES" w:eastAsia="en-US"/>
        </w:rPr>
        <w:t xml:space="preserve"> - - - -</w:t>
      </w:r>
    </w:p>
    <w:p w14:paraId="6607A7A5" w14:textId="0A5068C1" w:rsidR="00514668" w:rsidRPr="00514668" w:rsidRDefault="00514668" w:rsidP="00514668">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514668">
        <w:rPr>
          <w:rFonts w:ascii="Arial" w:eastAsia="Calibri" w:hAnsi="Arial" w:cs="Arial"/>
          <w:bCs/>
          <w:sz w:val="26"/>
          <w:szCs w:val="26"/>
          <w:lang w:val="es-ES" w:eastAsia="en-US"/>
        </w:rPr>
        <w:t xml:space="preserve">En ese sentido, debe entenderse a la </w:t>
      </w:r>
      <w:r w:rsidRPr="00514668">
        <w:rPr>
          <w:rFonts w:ascii="Arial" w:eastAsia="Calibri" w:hAnsi="Arial" w:cs="Arial"/>
          <w:bCs/>
          <w:i/>
          <w:sz w:val="26"/>
          <w:szCs w:val="26"/>
          <w:lang w:val="es-ES" w:eastAsia="en-US"/>
        </w:rPr>
        <w:t xml:space="preserve">legitimación </w:t>
      </w:r>
      <w:r w:rsidRPr="00514668">
        <w:rPr>
          <w:rFonts w:ascii="Arial" w:eastAsia="Calibri" w:hAnsi="Arial" w:cs="Arial"/>
          <w:bCs/>
          <w:sz w:val="26"/>
          <w:szCs w:val="26"/>
          <w:lang w:val="es-ES" w:eastAsia="en-US"/>
        </w:rPr>
        <w:t>en su aspecto general, como la aptitud de ser parte en un proceso concreto, pero únicamente la que se encuentra en determinada relación con la pretensión que</w:t>
      </w:r>
      <w:r w:rsidR="00D745B7">
        <w:rPr>
          <w:rFonts w:ascii="Arial" w:eastAsia="Calibri" w:hAnsi="Arial" w:cs="Arial"/>
          <w:bCs/>
          <w:sz w:val="26"/>
          <w:szCs w:val="26"/>
          <w:lang w:val="es-ES" w:eastAsia="en-US"/>
        </w:rPr>
        <w:t>,</w:t>
      </w:r>
      <w:r w:rsidRPr="00514668">
        <w:rPr>
          <w:rFonts w:ascii="Arial" w:eastAsia="Calibri" w:hAnsi="Arial" w:cs="Arial"/>
          <w:bCs/>
          <w:sz w:val="26"/>
          <w:szCs w:val="26"/>
          <w:lang w:val="es-ES" w:eastAsia="en-US"/>
        </w:rPr>
        <w:t xml:space="preserve"> tratándose del recurso de revisión, sólo incumbe a quien </w:t>
      </w:r>
      <w:r w:rsidRPr="00514668">
        <w:rPr>
          <w:rFonts w:ascii="Arial" w:eastAsia="Calibri" w:hAnsi="Arial" w:cs="Arial"/>
          <w:bCs/>
          <w:sz w:val="26"/>
          <w:szCs w:val="26"/>
          <w:lang w:val="es-ES" w:eastAsia="en-US"/>
        </w:rPr>
        <w:lastRenderedPageBreak/>
        <w:t xml:space="preserve">pueda ocasionarle perjuicio jurídico la decisión; esto es, que la sentencia impugnada le agravie directamente, para así, ver justificado su interés en que sea modificada o revocada esa decisión. </w:t>
      </w:r>
      <w:r w:rsidR="00D745B7">
        <w:rPr>
          <w:rFonts w:ascii="Arial" w:eastAsia="Calibri" w:hAnsi="Arial" w:cs="Arial"/>
          <w:bCs/>
          <w:sz w:val="26"/>
          <w:szCs w:val="26"/>
          <w:lang w:val="es-ES" w:eastAsia="en-US"/>
        </w:rPr>
        <w:t>- - - - - - - - - - - - - - - - -</w:t>
      </w:r>
    </w:p>
    <w:p w14:paraId="4EB751F6" w14:textId="05B1CE4B" w:rsidR="00514668" w:rsidRPr="00514668" w:rsidRDefault="00514668" w:rsidP="00514668">
      <w:pPr>
        <w:spacing w:before="240" w:line="360" w:lineRule="auto"/>
        <w:ind w:firstLine="709"/>
        <w:jc w:val="both"/>
        <w:rPr>
          <w:rFonts w:ascii="Arial" w:eastAsia="Times New Roman" w:hAnsi="Arial"/>
          <w:color w:val="000000"/>
          <w:sz w:val="26"/>
          <w:szCs w:val="26"/>
          <w:lang w:val="es-ES" w:eastAsia="en-US"/>
        </w:rPr>
      </w:pPr>
      <w:r w:rsidRPr="00514668">
        <w:rPr>
          <w:rFonts w:ascii="Arial" w:eastAsia="Calibri" w:hAnsi="Arial" w:cs="Arial"/>
          <w:bCs/>
          <w:sz w:val="26"/>
          <w:szCs w:val="26"/>
          <w:lang w:val="es-ES" w:eastAsia="en-US"/>
        </w:rPr>
        <w:t>Al respecto, es aplicable al caso que nos ocupa, el criterio emitido por el Octavo Tribunal Colegiado en Materia Administrativa del Primer Circuito, Novena</w:t>
      </w:r>
      <w:r w:rsidRPr="00514668">
        <w:rPr>
          <w:rFonts w:ascii="Arial" w:eastAsia="Times New Roman" w:hAnsi="Arial"/>
          <w:color w:val="000000"/>
          <w:sz w:val="26"/>
          <w:szCs w:val="26"/>
          <w:lang w:val="es-ES" w:eastAsia="en-US"/>
        </w:rPr>
        <w:t xml:space="preserve"> Época, Tomo XXIX, en mayo de 2009, consultable a página 1119 en la Gaceta del Semanario Judicial de la Federación, cuyo rubro y texto son los siguientes:</w:t>
      </w:r>
      <w:r w:rsidR="00D745B7">
        <w:rPr>
          <w:rFonts w:ascii="Arial" w:eastAsia="Times New Roman" w:hAnsi="Arial"/>
          <w:color w:val="000000"/>
          <w:sz w:val="26"/>
          <w:szCs w:val="26"/>
          <w:lang w:val="es-ES" w:eastAsia="en-US"/>
        </w:rPr>
        <w:t xml:space="preserve">- - - - - - - - - - - - - - - - - - - - - - - - - - - - - </w:t>
      </w:r>
    </w:p>
    <w:p w14:paraId="69D02F38" w14:textId="77777777" w:rsidR="00514668" w:rsidRPr="00514668" w:rsidRDefault="00514668" w:rsidP="00B94F90">
      <w:pPr>
        <w:widowControl w:val="0"/>
        <w:autoSpaceDE w:val="0"/>
        <w:autoSpaceDN w:val="0"/>
        <w:adjustRightInd w:val="0"/>
        <w:spacing w:before="240" w:after="0"/>
        <w:ind w:left="851" w:right="900"/>
        <w:jc w:val="both"/>
        <w:rPr>
          <w:rFonts w:ascii="Arial" w:eastAsia="Calibri" w:hAnsi="Arial" w:cs="Arial"/>
          <w:bCs/>
          <w:lang w:val="es-ES" w:eastAsia="en-US"/>
        </w:rPr>
      </w:pPr>
      <w:r w:rsidRPr="00514668">
        <w:rPr>
          <w:rFonts w:ascii="Arial" w:eastAsia="Calibri" w:hAnsi="Arial" w:cs="Arial"/>
          <w:bCs/>
          <w:lang w:val="es-ES" w:eastAsia="en-US"/>
        </w:rPr>
        <w:t>“</w:t>
      </w:r>
      <w:r w:rsidRPr="00514668">
        <w:rPr>
          <w:rFonts w:ascii="Arial" w:eastAsia="Calibri" w:hAnsi="Arial" w:cs="Arial"/>
          <w:b/>
          <w:bCs/>
          <w:i/>
          <w:lang w:val="es-ES" w:eastAsia="en-US"/>
        </w:rPr>
        <w:t>REVISIÓN CONTENCIOSA ADMINISTRATIVA. LA LEGITIMACIÓN PARA INTERPONER DICHO RECURSO NO SÓLO IMPLICA QUE EL PROMOVENTE SEA AUTORIDAD, SINO TAMBIÉN QUE LA SENTENCIA IMPUGNADA LE AGRAVIE</w:t>
      </w:r>
      <w:r w:rsidRPr="00514668">
        <w:rPr>
          <w:rFonts w:ascii="Arial" w:eastAsia="Calibri" w:hAnsi="Arial" w:cs="Arial"/>
          <w:bCs/>
          <w:i/>
          <w:lang w:val="es-ES" w:eastAsia="en-US"/>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sidRPr="00514668">
        <w:rPr>
          <w:rFonts w:ascii="Arial" w:eastAsia="Calibri" w:hAnsi="Arial" w:cs="Arial"/>
          <w:bCs/>
          <w:lang w:val="es-ES" w:eastAsia="en-US"/>
        </w:rPr>
        <w:t>”</w:t>
      </w:r>
    </w:p>
    <w:p w14:paraId="72B063E9" w14:textId="6AE97E5E" w:rsidR="00514668" w:rsidRPr="00514668" w:rsidRDefault="00514668" w:rsidP="00514668">
      <w:pPr>
        <w:spacing w:before="240" w:line="360" w:lineRule="auto"/>
        <w:jc w:val="both"/>
        <w:rPr>
          <w:rFonts w:ascii="Arial" w:eastAsia="Calibri" w:hAnsi="Arial" w:cs="Arial"/>
          <w:bCs/>
          <w:sz w:val="26"/>
          <w:szCs w:val="26"/>
          <w:lang w:val="es-ES" w:eastAsia="en-US"/>
        </w:rPr>
      </w:pPr>
      <w:r w:rsidRPr="00514668">
        <w:rPr>
          <w:rFonts w:ascii="Arial" w:eastAsia="Calibri" w:hAnsi="Arial" w:cs="Arial"/>
          <w:bCs/>
          <w:sz w:val="26"/>
          <w:szCs w:val="26"/>
          <w:lang w:val="es-ES" w:eastAsia="en-US"/>
        </w:rPr>
        <w:tab/>
        <w:t xml:space="preserve">En el presente caso, es pertinente puntualizar que la legitimación respecto de las partes procesales, puede ser de dos tipos: </w:t>
      </w:r>
      <w:r w:rsidRPr="00514668">
        <w:rPr>
          <w:rFonts w:ascii="Arial" w:eastAsia="Calibri" w:hAnsi="Arial" w:cs="Arial"/>
          <w:bCs/>
          <w:i/>
          <w:sz w:val="26"/>
          <w:szCs w:val="26"/>
          <w:lang w:val="es-ES" w:eastAsia="en-US"/>
        </w:rPr>
        <w:t xml:space="preserve">legitimación ad </w:t>
      </w:r>
      <w:proofErr w:type="spellStart"/>
      <w:r w:rsidRPr="00514668">
        <w:rPr>
          <w:rFonts w:ascii="Arial" w:eastAsia="Calibri" w:hAnsi="Arial" w:cs="Arial"/>
          <w:bCs/>
          <w:i/>
          <w:sz w:val="26"/>
          <w:szCs w:val="26"/>
          <w:lang w:val="es-ES" w:eastAsia="en-US"/>
        </w:rPr>
        <w:t>causam</w:t>
      </w:r>
      <w:proofErr w:type="spellEnd"/>
      <w:r w:rsidRPr="00514668">
        <w:rPr>
          <w:rFonts w:ascii="Arial" w:eastAsia="Calibri" w:hAnsi="Arial" w:cs="Arial"/>
          <w:bCs/>
          <w:sz w:val="26"/>
          <w:szCs w:val="26"/>
          <w:lang w:val="es-ES" w:eastAsia="en-US"/>
        </w:rPr>
        <w:t xml:space="preserve"> (legitimación en la causa) y </w:t>
      </w:r>
      <w:r w:rsidRPr="00514668">
        <w:rPr>
          <w:rFonts w:ascii="Arial" w:eastAsia="Calibri" w:hAnsi="Arial" w:cs="Arial"/>
          <w:bCs/>
          <w:i/>
          <w:sz w:val="26"/>
          <w:szCs w:val="26"/>
          <w:lang w:val="es-ES" w:eastAsia="en-US"/>
        </w:rPr>
        <w:t xml:space="preserve">legitimación ad </w:t>
      </w:r>
      <w:proofErr w:type="spellStart"/>
      <w:r w:rsidRPr="00514668">
        <w:rPr>
          <w:rFonts w:ascii="Arial" w:eastAsia="Calibri" w:hAnsi="Arial" w:cs="Arial"/>
          <w:bCs/>
          <w:i/>
          <w:sz w:val="26"/>
          <w:szCs w:val="26"/>
          <w:lang w:val="es-ES" w:eastAsia="en-US"/>
        </w:rPr>
        <w:t>processum</w:t>
      </w:r>
      <w:proofErr w:type="spellEnd"/>
      <w:r w:rsidRPr="00514668">
        <w:rPr>
          <w:rFonts w:ascii="Arial" w:eastAsia="Calibri" w:hAnsi="Arial" w:cs="Arial"/>
          <w:bCs/>
          <w:sz w:val="26"/>
          <w:szCs w:val="26"/>
          <w:lang w:val="es-ES" w:eastAsia="en-US"/>
        </w:rPr>
        <w:t xml:space="preserve"> (legitimación procesal). La </w:t>
      </w:r>
      <w:r w:rsidRPr="00514668">
        <w:rPr>
          <w:rFonts w:ascii="Arial" w:eastAsia="Calibri" w:hAnsi="Arial" w:cs="Arial"/>
          <w:bCs/>
          <w:i/>
          <w:sz w:val="26"/>
          <w:szCs w:val="26"/>
          <w:lang w:val="es-ES" w:eastAsia="en-US"/>
        </w:rPr>
        <w:t xml:space="preserve">legitimación ad </w:t>
      </w:r>
      <w:proofErr w:type="spellStart"/>
      <w:r w:rsidRPr="00514668">
        <w:rPr>
          <w:rFonts w:ascii="Arial" w:eastAsia="Calibri" w:hAnsi="Arial" w:cs="Arial"/>
          <w:bCs/>
          <w:i/>
          <w:sz w:val="26"/>
          <w:szCs w:val="26"/>
          <w:lang w:val="es-ES" w:eastAsia="en-US"/>
        </w:rPr>
        <w:t>causam</w:t>
      </w:r>
      <w:proofErr w:type="spellEnd"/>
      <w:r w:rsidRPr="00514668">
        <w:rPr>
          <w:rFonts w:ascii="Arial" w:eastAsia="Calibri" w:hAnsi="Arial" w:cs="Arial"/>
          <w:bCs/>
          <w:i/>
          <w:sz w:val="26"/>
          <w:szCs w:val="26"/>
          <w:lang w:val="es-ES" w:eastAsia="en-US"/>
        </w:rPr>
        <w:t xml:space="preserve"> </w:t>
      </w:r>
      <w:r w:rsidRPr="00514668">
        <w:rPr>
          <w:rFonts w:ascii="Arial" w:eastAsia="Calibri" w:hAnsi="Arial" w:cs="Arial"/>
          <w:bCs/>
          <w:sz w:val="26"/>
          <w:szCs w:val="26"/>
          <w:lang w:val="es-ES" w:eastAsia="en-US"/>
        </w:rPr>
        <w:t>se refiere a la identidad del actor, así como a la identidad del demandado, o bien de los terceros, todos siempre en sentido material, en cuanto que ellos son titulares de un derecho subjetivo cuya aplicación y respeto piden al órgano jurisdiccional, y dado que es una cuestión referente al fondo del asunto sólo puede analizarse al dictar sentencia.</w:t>
      </w:r>
      <w:r w:rsidR="00D745B7">
        <w:rPr>
          <w:rFonts w:ascii="Arial" w:eastAsia="Calibri" w:hAnsi="Arial" w:cs="Arial"/>
          <w:bCs/>
          <w:sz w:val="26"/>
          <w:szCs w:val="26"/>
          <w:lang w:val="es-ES" w:eastAsia="en-US"/>
        </w:rPr>
        <w:t>- - - - - - - - - - - - - - - - -</w:t>
      </w:r>
    </w:p>
    <w:p w14:paraId="73F5E969" w14:textId="6CD399D4" w:rsidR="00514668" w:rsidRPr="00514668" w:rsidRDefault="00514668" w:rsidP="00514668">
      <w:pPr>
        <w:spacing w:before="240" w:line="360" w:lineRule="auto"/>
        <w:ind w:firstLine="708"/>
        <w:jc w:val="both"/>
        <w:rPr>
          <w:rFonts w:ascii="Arial" w:eastAsia="Calibri" w:hAnsi="Arial" w:cs="Arial"/>
          <w:bCs/>
          <w:sz w:val="26"/>
          <w:szCs w:val="26"/>
          <w:lang w:val="es-ES" w:eastAsia="en-US"/>
        </w:rPr>
      </w:pPr>
      <w:r w:rsidRPr="00514668">
        <w:rPr>
          <w:rFonts w:ascii="Arial" w:eastAsia="Calibri" w:hAnsi="Arial" w:cs="Arial"/>
          <w:bCs/>
          <w:sz w:val="26"/>
          <w:szCs w:val="26"/>
          <w:lang w:val="es-ES" w:eastAsia="en-US"/>
        </w:rPr>
        <w:t xml:space="preserve">Por su parte, la </w:t>
      </w:r>
      <w:r w:rsidRPr="00514668">
        <w:rPr>
          <w:rFonts w:ascii="Arial" w:eastAsia="Calibri" w:hAnsi="Arial" w:cs="Arial"/>
          <w:bCs/>
          <w:i/>
          <w:sz w:val="26"/>
          <w:szCs w:val="26"/>
          <w:lang w:val="es-ES" w:eastAsia="en-US"/>
        </w:rPr>
        <w:t xml:space="preserve">legitimación ad </w:t>
      </w:r>
      <w:proofErr w:type="spellStart"/>
      <w:r w:rsidRPr="00514668">
        <w:rPr>
          <w:rFonts w:ascii="Arial" w:eastAsia="Calibri" w:hAnsi="Arial" w:cs="Arial"/>
          <w:bCs/>
          <w:i/>
          <w:sz w:val="26"/>
          <w:szCs w:val="26"/>
          <w:lang w:val="es-ES" w:eastAsia="en-US"/>
        </w:rPr>
        <w:t>processum</w:t>
      </w:r>
      <w:proofErr w:type="spellEnd"/>
      <w:r w:rsidRPr="00514668">
        <w:rPr>
          <w:rFonts w:ascii="Arial" w:eastAsia="Calibri" w:hAnsi="Arial" w:cs="Arial"/>
          <w:bCs/>
          <w:i/>
          <w:sz w:val="26"/>
          <w:szCs w:val="26"/>
          <w:lang w:val="es-ES" w:eastAsia="en-US"/>
        </w:rPr>
        <w:t xml:space="preserve"> </w:t>
      </w:r>
      <w:r w:rsidRPr="00514668">
        <w:rPr>
          <w:rFonts w:ascii="Arial" w:eastAsia="Calibri" w:hAnsi="Arial" w:cs="Arial"/>
          <w:bCs/>
          <w:sz w:val="26"/>
          <w:szCs w:val="26"/>
          <w:lang w:val="es-ES" w:eastAsia="en-US"/>
        </w:rPr>
        <w:t xml:space="preserve">o capacidad procesal, consiste en la capacidad que tiene un sujeto para realizar válidamente actos procesales, bien sea porque actúe por su propio derecho o en representación de otra persona titular del derecho violentado o bien de quien estima se ha transgredido su esfera objetiva de derechos, por lo que su acreditación en el juicio implica un presupuesto procesal. </w:t>
      </w:r>
      <w:r w:rsidR="00D745B7">
        <w:rPr>
          <w:rFonts w:ascii="Arial" w:eastAsia="Calibri" w:hAnsi="Arial" w:cs="Arial"/>
          <w:bCs/>
          <w:sz w:val="26"/>
          <w:szCs w:val="26"/>
          <w:lang w:val="es-ES" w:eastAsia="en-US"/>
        </w:rPr>
        <w:t>- - - - -</w:t>
      </w:r>
    </w:p>
    <w:p w14:paraId="42242051" w14:textId="27E3E96E" w:rsidR="004E3D55" w:rsidRDefault="00514668" w:rsidP="00514668">
      <w:pPr>
        <w:spacing w:before="240" w:line="360" w:lineRule="auto"/>
        <w:ind w:firstLine="708"/>
        <w:jc w:val="both"/>
        <w:rPr>
          <w:rFonts w:ascii="Arial" w:eastAsia="Calibri" w:hAnsi="Arial" w:cs="Arial"/>
          <w:bCs/>
          <w:sz w:val="26"/>
          <w:szCs w:val="26"/>
          <w:lang w:val="es-ES" w:eastAsia="en-US"/>
        </w:rPr>
      </w:pPr>
      <w:r w:rsidRPr="00514668">
        <w:rPr>
          <w:rFonts w:ascii="Arial" w:eastAsia="Calibri" w:hAnsi="Arial" w:cs="Arial"/>
          <w:bCs/>
          <w:sz w:val="26"/>
          <w:szCs w:val="26"/>
          <w:lang w:val="es-ES" w:eastAsia="en-US"/>
        </w:rPr>
        <w:lastRenderedPageBreak/>
        <w:t>Por l</w:t>
      </w:r>
      <w:r w:rsidR="00862925">
        <w:rPr>
          <w:rFonts w:ascii="Arial" w:eastAsia="Calibri" w:hAnsi="Arial" w:cs="Arial"/>
          <w:bCs/>
          <w:sz w:val="26"/>
          <w:szCs w:val="26"/>
          <w:lang w:val="es-ES" w:eastAsia="en-US"/>
        </w:rPr>
        <w:t>o tanto, se advierte que el</w:t>
      </w:r>
      <w:r w:rsidRPr="00514668">
        <w:rPr>
          <w:rFonts w:ascii="Arial" w:eastAsia="Calibri" w:hAnsi="Arial" w:cs="Arial"/>
          <w:bCs/>
          <w:sz w:val="26"/>
          <w:szCs w:val="26"/>
          <w:lang w:val="es-ES" w:eastAsia="en-US"/>
        </w:rPr>
        <w:t xml:space="preserve"> recurrente carece de legitimación procesal para interponer recu</w:t>
      </w:r>
      <w:r w:rsidR="004E3D55">
        <w:rPr>
          <w:rFonts w:ascii="Arial" w:eastAsia="Calibri" w:hAnsi="Arial" w:cs="Arial"/>
          <w:bCs/>
          <w:sz w:val="26"/>
          <w:szCs w:val="26"/>
          <w:lang w:val="es-ES" w:eastAsia="en-US"/>
        </w:rPr>
        <w:t>rso de revisión en contra del acuerdo de fecha veinte de noviembre de d</w:t>
      </w:r>
      <w:r w:rsidRPr="00514668">
        <w:rPr>
          <w:rFonts w:ascii="Arial" w:eastAsia="Calibri" w:hAnsi="Arial" w:cs="Arial"/>
          <w:bCs/>
          <w:sz w:val="26"/>
          <w:szCs w:val="26"/>
          <w:lang w:val="es-ES" w:eastAsia="en-US"/>
        </w:rPr>
        <w:t>os mil veinte, porque aunque</w:t>
      </w:r>
      <w:r w:rsidR="004E3D55">
        <w:rPr>
          <w:rFonts w:ascii="Arial" w:eastAsia="Calibri" w:hAnsi="Arial" w:cs="Arial"/>
          <w:bCs/>
          <w:sz w:val="26"/>
          <w:szCs w:val="26"/>
          <w:lang w:val="es-ES" w:eastAsia="en-US"/>
        </w:rPr>
        <w:t xml:space="preserve"> </w:t>
      </w:r>
      <w:r w:rsidR="004E3D55" w:rsidRPr="002046C1">
        <w:rPr>
          <w:rFonts w:ascii="Arial" w:eastAsiaTheme="minorHAnsi" w:hAnsi="Arial" w:cs="Arial"/>
          <w:bCs/>
          <w:sz w:val="26"/>
          <w:szCs w:val="26"/>
          <w:lang w:val="es-ES" w:eastAsia="en-US"/>
        </w:rPr>
        <w:t xml:space="preserve">el licenciado Jaime Alejandro Velázquez Martínez, </w:t>
      </w:r>
      <w:r w:rsidR="00862925">
        <w:rPr>
          <w:rFonts w:ascii="Arial" w:eastAsiaTheme="minorHAnsi" w:hAnsi="Arial" w:cs="Arial"/>
          <w:bCs/>
          <w:sz w:val="26"/>
          <w:szCs w:val="26"/>
          <w:lang w:val="es-ES" w:eastAsia="en-US"/>
        </w:rPr>
        <w:t xml:space="preserve">se </w:t>
      </w:r>
      <w:r w:rsidR="004E3D55">
        <w:rPr>
          <w:rFonts w:ascii="Arial" w:eastAsiaTheme="minorHAnsi" w:hAnsi="Arial" w:cs="Arial"/>
          <w:bCs/>
          <w:sz w:val="26"/>
          <w:szCs w:val="26"/>
          <w:lang w:val="es-ES" w:eastAsia="en-US"/>
        </w:rPr>
        <w:t xml:space="preserve">ostente </w:t>
      </w:r>
      <w:r w:rsidR="004E3D55" w:rsidRPr="002046C1">
        <w:rPr>
          <w:rFonts w:ascii="Arial" w:eastAsiaTheme="minorHAnsi" w:hAnsi="Arial" w:cs="Arial"/>
          <w:bCs/>
          <w:sz w:val="26"/>
          <w:szCs w:val="26"/>
          <w:lang w:val="es-ES" w:eastAsia="en-US"/>
        </w:rPr>
        <w:t>como Director de Asuntos Jurídicos de la Fiscalía General del Estado de Oaxaca</w:t>
      </w:r>
      <w:r w:rsidR="004E3D55">
        <w:rPr>
          <w:rFonts w:ascii="Arial" w:eastAsiaTheme="minorHAnsi" w:hAnsi="Arial" w:cs="Arial"/>
          <w:bCs/>
          <w:sz w:val="26"/>
          <w:szCs w:val="26"/>
          <w:lang w:val="es-ES" w:eastAsia="en-US"/>
        </w:rPr>
        <w:t>,</w:t>
      </w:r>
      <w:r w:rsidR="00862925">
        <w:rPr>
          <w:rFonts w:ascii="Arial" w:eastAsiaTheme="minorHAnsi" w:hAnsi="Arial" w:cs="Arial"/>
          <w:bCs/>
          <w:sz w:val="26"/>
          <w:szCs w:val="26"/>
          <w:lang w:val="es-ES" w:eastAsia="en-US"/>
        </w:rPr>
        <w:t xml:space="preserve"> no puede tener legitimación para interponer el medio de impugnación en comento, porque la Sala de </w:t>
      </w:r>
      <w:r w:rsidR="00D745B7">
        <w:rPr>
          <w:rFonts w:ascii="Arial" w:eastAsiaTheme="minorHAnsi" w:hAnsi="Arial" w:cs="Arial"/>
          <w:bCs/>
          <w:sz w:val="26"/>
          <w:szCs w:val="26"/>
          <w:lang w:val="es-ES" w:eastAsia="en-US"/>
        </w:rPr>
        <w:t>P</w:t>
      </w:r>
      <w:r w:rsidR="00862925">
        <w:rPr>
          <w:rFonts w:ascii="Arial" w:eastAsiaTheme="minorHAnsi" w:hAnsi="Arial" w:cs="Arial"/>
          <w:bCs/>
          <w:sz w:val="26"/>
          <w:szCs w:val="26"/>
          <w:lang w:val="es-ES" w:eastAsia="en-US"/>
        </w:rPr>
        <w:t xml:space="preserve">rimera </w:t>
      </w:r>
      <w:r w:rsidR="00D745B7">
        <w:rPr>
          <w:rFonts w:ascii="Arial" w:eastAsiaTheme="minorHAnsi" w:hAnsi="Arial" w:cs="Arial"/>
          <w:bCs/>
          <w:sz w:val="26"/>
          <w:szCs w:val="26"/>
          <w:lang w:val="es-ES" w:eastAsia="en-US"/>
        </w:rPr>
        <w:t>I</w:t>
      </w:r>
      <w:r w:rsidR="00862925">
        <w:rPr>
          <w:rFonts w:ascii="Arial" w:eastAsiaTheme="minorHAnsi" w:hAnsi="Arial" w:cs="Arial"/>
          <w:bCs/>
          <w:sz w:val="26"/>
          <w:szCs w:val="26"/>
          <w:lang w:val="es-ES" w:eastAsia="en-US"/>
        </w:rPr>
        <w:t>nstancia no le ha reconocido la personalidad en el juicio de nulidad.</w:t>
      </w:r>
      <w:r w:rsidR="00D745B7">
        <w:rPr>
          <w:rFonts w:ascii="Arial" w:eastAsiaTheme="minorHAnsi" w:hAnsi="Arial" w:cs="Arial"/>
          <w:bCs/>
          <w:sz w:val="26"/>
          <w:szCs w:val="26"/>
          <w:lang w:val="es-ES" w:eastAsia="en-US"/>
        </w:rPr>
        <w:t>- - - - - - - - - - - - - - -- -</w:t>
      </w:r>
    </w:p>
    <w:p w14:paraId="294EDC49" w14:textId="17DAC1C3" w:rsidR="00514668" w:rsidRPr="00514668" w:rsidRDefault="00514668" w:rsidP="00514668">
      <w:pPr>
        <w:spacing w:before="240" w:line="360" w:lineRule="auto"/>
        <w:ind w:firstLine="708"/>
        <w:jc w:val="both"/>
        <w:rPr>
          <w:rFonts w:ascii="Arial" w:eastAsia="Calibri" w:hAnsi="Arial" w:cs="Arial"/>
          <w:bCs/>
          <w:sz w:val="26"/>
          <w:szCs w:val="26"/>
          <w:lang w:val="es-ES" w:eastAsia="en-US"/>
        </w:rPr>
      </w:pPr>
      <w:r w:rsidRPr="00514668">
        <w:rPr>
          <w:rFonts w:ascii="Arial" w:eastAsia="Calibri" w:hAnsi="Arial" w:cs="Arial"/>
          <w:bCs/>
          <w:sz w:val="26"/>
          <w:szCs w:val="26"/>
          <w:lang w:val="es-ES" w:eastAsia="en-US"/>
        </w:rPr>
        <w:t xml:space="preserve">En apoyo a lo anterior, se invoca el criterio sostenido por el Segundo Tribunal Colegiado del Décimo Tercer Circuito, en la tesis que aparece publicada en el Semanario Judicial de la Federación, perteneciente a la Octava Época, Tomo XI, febrero de 1993, página 275, que a la letra dice: </w:t>
      </w:r>
      <w:r w:rsidR="00D745B7">
        <w:rPr>
          <w:rFonts w:ascii="Arial" w:eastAsia="Calibri" w:hAnsi="Arial" w:cs="Arial"/>
          <w:bCs/>
          <w:sz w:val="26"/>
          <w:szCs w:val="26"/>
          <w:lang w:val="es-ES" w:eastAsia="en-US"/>
        </w:rPr>
        <w:t>- - - - - - - - - - - - - - - - - - - - - - - - - - - - - - - - - - - - - -</w:t>
      </w:r>
    </w:p>
    <w:p w14:paraId="5165B130" w14:textId="7410E0A4" w:rsidR="00514668" w:rsidRPr="00514668" w:rsidRDefault="00D745B7" w:rsidP="00113053">
      <w:pPr>
        <w:spacing w:before="240"/>
        <w:ind w:left="851" w:right="900"/>
        <w:jc w:val="both"/>
        <w:rPr>
          <w:rFonts w:ascii="Arial" w:eastAsia="Calibri" w:hAnsi="Arial" w:cs="Arial"/>
          <w:bCs/>
          <w:i/>
          <w:lang w:val="es-ES" w:eastAsia="en-US"/>
        </w:rPr>
      </w:pPr>
      <w:r>
        <w:rPr>
          <w:rFonts w:ascii="Arial" w:eastAsia="Calibri" w:hAnsi="Arial" w:cs="Arial"/>
          <w:b/>
          <w:bCs/>
          <w:i/>
          <w:lang w:val="es-ES" w:eastAsia="en-US"/>
        </w:rPr>
        <w:t>“</w:t>
      </w:r>
      <w:r w:rsidR="00514668" w:rsidRPr="00514668">
        <w:rPr>
          <w:rFonts w:ascii="Arial" w:eastAsia="Calibri" w:hAnsi="Arial" w:cs="Arial"/>
          <w:b/>
          <w:bCs/>
          <w:i/>
          <w:lang w:val="es-ES" w:eastAsia="en-US"/>
        </w:rPr>
        <w:t xml:space="preserve">LEGITIMACION EN LA CAUSA Y LEGITIMACION EN EL PROCESO. DIFERENCIAS. </w:t>
      </w:r>
      <w:r w:rsidR="00514668" w:rsidRPr="00514668">
        <w:rPr>
          <w:rFonts w:ascii="Arial" w:eastAsia="Calibri" w:hAnsi="Arial" w:cs="Arial"/>
          <w:bCs/>
          <w:i/>
          <w:lang w:val="es-ES" w:eastAsia="en-US"/>
        </w:rPr>
        <w:t xml:space="preserve">La </w:t>
      </w:r>
      <w:proofErr w:type="spellStart"/>
      <w:r w:rsidR="00514668" w:rsidRPr="00514668">
        <w:rPr>
          <w:rFonts w:ascii="Arial" w:eastAsia="Calibri" w:hAnsi="Arial" w:cs="Arial"/>
          <w:bCs/>
          <w:i/>
          <w:lang w:val="es-ES" w:eastAsia="en-US"/>
        </w:rPr>
        <w:t>legitimatio</w:t>
      </w:r>
      <w:proofErr w:type="spellEnd"/>
      <w:r w:rsidR="00514668" w:rsidRPr="00514668">
        <w:rPr>
          <w:rFonts w:ascii="Arial" w:eastAsia="Calibri" w:hAnsi="Arial" w:cs="Arial"/>
          <w:bCs/>
          <w:i/>
          <w:lang w:val="es-ES" w:eastAsia="en-US"/>
        </w:rPr>
        <w:t xml:space="preserve"> ad </w:t>
      </w:r>
      <w:proofErr w:type="spellStart"/>
      <w:r w:rsidR="00514668" w:rsidRPr="00514668">
        <w:rPr>
          <w:rFonts w:ascii="Arial" w:eastAsia="Calibri" w:hAnsi="Arial" w:cs="Arial"/>
          <w:bCs/>
          <w:i/>
          <w:lang w:val="es-ES" w:eastAsia="en-US"/>
        </w:rPr>
        <w:t>causam</w:t>
      </w:r>
      <w:proofErr w:type="spellEnd"/>
      <w:r w:rsidR="00514668" w:rsidRPr="00514668">
        <w:rPr>
          <w:rFonts w:ascii="Arial" w:eastAsia="Calibri" w:hAnsi="Arial" w:cs="Arial"/>
          <w:bCs/>
          <w:i/>
          <w:lang w:val="es-ES" w:eastAsia="en-US"/>
        </w:rPr>
        <w:t xml:space="preserve"> no es un presupuesto procesal como erróneamente lo expuso la responsable, porque lejos de referirse al procedimiento o al válido ejercicio de la acción, contempla la relación sustancial que debe existir entre el sujeto demandante o demandado y el interés perseguido en el juicio. Es entonces, una cuestión sustancial y no procesal o, mejor dicho, un presupuesto de la pretensión para la sentencia de fondo. En cambio, la </w:t>
      </w:r>
      <w:proofErr w:type="spellStart"/>
      <w:r w:rsidR="00514668" w:rsidRPr="00514668">
        <w:rPr>
          <w:rFonts w:ascii="Arial" w:eastAsia="Calibri" w:hAnsi="Arial" w:cs="Arial"/>
          <w:bCs/>
          <w:i/>
          <w:lang w:val="es-ES" w:eastAsia="en-US"/>
        </w:rPr>
        <w:t>legitimatio</w:t>
      </w:r>
      <w:proofErr w:type="spellEnd"/>
      <w:r w:rsidR="00514668" w:rsidRPr="00514668">
        <w:rPr>
          <w:rFonts w:ascii="Arial" w:eastAsia="Calibri" w:hAnsi="Arial" w:cs="Arial"/>
          <w:bCs/>
          <w:i/>
          <w:lang w:val="es-ES" w:eastAsia="en-US"/>
        </w:rPr>
        <w:t xml:space="preserve"> ad </w:t>
      </w:r>
      <w:proofErr w:type="spellStart"/>
      <w:r w:rsidR="00514668" w:rsidRPr="00514668">
        <w:rPr>
          <w:rFonts w:ascii="Arial" w:eastAsia="Calibri" w:hAnsi="Arial" w:cs="Arial"/>
          <w:bCs/>
          <w:i/>
          <w:lang w:val="es-ES" w:eastAsia="en-US"/>
        </w:rPr>
        <w:t>procesum</w:t>
      </w:r>
      <w:proofErr w:type="spellEnd"/>
      <w:r w:rsidR="00514668" w:rsidRPr="00514668">
        <w:rPr>
          <w:rFonts w:ascii="Arial" w:eastAsia="Calibri" w:hAnsi="Arial" w:cs="Arial"/>
          <w:bCs/>
          <w:i/>
          <w:lang w:val="es-ES" w:eastAsia="en-US"/>
        </w:rPr>
        <w:t xml:space="preserve"> sí es un presupuesto procesal pues refiere a la capacidad de las partes para ejecutar válidamente actos procesales y, por tanto, es condición para la validez formal del juicio.</w:t>
      </w:r>
      <w:r>
        <w:rPr>
          <w:rFonts w:ascii="Arial" w:eastAsia="Calibri" w:hAnsi="Arial" w:cs="Arial"/>
          <w:bCs/>
          <w:i/>
          <w:lang w:val="es-ES" w:eastAsia="en-US"/>
        </w:rPr>
        <w:t>”</w:t>
      </w:r>
    </w:p>
    <w:p w14:paraId="5ECC2A61" w14:textId="19970ECD" w:rsidR="001537A7" w:rsidRDefault="00D745B7" w:rsidP="00EB2E5C">
      <w:pPr>
        <w:widowControl w:val="0"/>
        <w:tabs>
          <w:tab w:val="left" w:pos="7797"/>
        </w:tabs>
        <w:spacing w:before="240" w:after="0" w:line="360" w:lineRule="auto"/>
        <w:ind w:right="18"/>
        <w:jc w:val="both"/>
        <w:rPr>
          <w:rFonts w:ascii="Arial" w:eastAsiaTheme="minorHAnsi" w:hAnsi="Arial" w:cs="Arial"/>
          <w:sz w:val="26"/>
          <w:szCs w:val="26"/>
          <w:lang w:val="es-ES" w:eastAsia="en-US"/>
        </w:rPr>
      </w:pPr>
      <w:r>
        <w:rPr>
          <w:rFonts w:ascii="Arial" w:eastAsia="Calibri" w:hAnsi="Arial" w:cs="Arial"/>
          <w:bCs/>
          <w:sz w:val="26"/>
          <w:szCs w:val="26"/>
          <w:lang w:val="es-ES" w:eastAsia="en-US"/>
        </w:rPr>
        <w:t xml:space="preserve">         </w:t>
      </w:r>
      <w:r w:rsidR="00514668" w:rsidRPr="00514668">
        <w:rPr>
          <w:rFonts w:ascii="Arial" w:eastAsia="Calibri" w:hAnsi="Arial" w:cs="Arial"/>
          <w:bCs/>
          <w:sz w:val="26"/>
          <w:szCs w:val="26"/>
          <w:lang w:val="es-ES" w:eastAsia="en-US"/>
        </w:rPr>
        <w:t xml:space="preserve">En consecuencia, atendiendo a las consideraciones anteriormente expuestas, es procedente </w:t>
      </w:r>
      <w:r w:rsidR="00514668" w:rsidRPr="00514668">
        <w:rPr>
          <w:rFonts w:ascii="Arial" w:eastAsia="Calibri" w:hAnsi="Arial" w:cs="Arial"/>
          <w:b/>
          <w:bCs/>
          <w:sz w:val="26"/>
          <w:szCs w:val="26"/>
          <w:lang w:val="es-ES" w:eastAsia="en-US"/>
        </w:rPr>
        <w:t>DESECHAR</w:t>
      </w:r>
      <w:r w:rsidR="00514668" w:rsidRPr="00514668">
        <w:rPr>
          <w:rFonts w:ascii="Arial" w:eastAsia="Calibri" w:hAnsi="Arial" w:cs="Arial"/>
          <w:bCs/>
          <w:sz w:val="26"/>
          <w:szCs w:val="26"/>
          <w:lang w:val="es-ES" w:eastAsia="en-US"/>
        </w:rPr>
        <w:t xml:space="preserve"> el presente recurso de revisión, al no estar legitimada la autoridad recurrente para impugnar </w:t>
      </w:r>
      <w:r w:rsidR="00401706">
        <w:rPr>
          <w:rFonts w:ascii="Arial" w:eastAsia="Calibri" w:hAnsi="Arial" w:cs="Arial"/>
          <w:bCs/>
          <w:sz w:val="26"/>
          <w:szCs w:val="26"/>
          <w:lang w:val="es-ES" w:eastAsia="en-US"/>
        </w:rPr>
        <w:t>el acu</w:t>
      </w:r>
      <w:r w:rsidR="00EE481B">
        <w:rPr>
          <w:rFonts w:ascii="Arial" w:eastAsia="Calibri" w:hAnsi="Arial" w:cs="Arial"/>
          <w:bCs/>
          <w:sz w:val="26"/>
          <w:szCs w:val="26"/>
          <w:lang w:val="es-ES" w:eastAsia="en-US"/>
        </w:rPr>
        <w:t>e</w:t>
      </w:r>
      <w:r w:rsidR="00401706">
        <w:rPr>
          <w:rFonts w:ascii="Arial" w:eastAsia="Calibri" w:hAnsi="Arial" w:cs="Arial"/>
          <w:bCs/>
          <w:sz w:val="26"/>
          <w:szCs w:val="26"/>
          <w:lang w:val="es-ES" w:eastAsia="en-US"/>
        </w:rPr>
        <w:t xml:space="preserve">rdo </w:t>
      </w:r>
      <w:r w:rsidR="001537A7">
        <w:rPr>
          <w:rFonts w:ascii="Arial" w:eastAsia="Calibri" w:hAnsi="Arial" w:cs="Arial"/>
          <w:bCs/>
          <w:sz w:val="26"/>
          <w:szCs w:val="26"/>
          <w:lang w:val="es-ES" w:eastAsia="en-US"/>
        </w:rPr>
        <w:t>de quince</w:t>
      </w:r>
      <w:r w:rsidR="00401706">
        <w:rPr>
          <w:rFonts w:ascii="Arial" w:eastAsia="Calibri" w:hAnsi="Arial" w:cs="Arial"/>
          <w:bCs/>
          <w:sz w:val="26"/>
          <w:szCs w:val="26"/>
          <w:lang w:val="es-ES" w:eastAsia="en-US"/>
        </w:rPr>
        <w:t xml:space="preserve"> de noviembre de dos mil diecinueve</w:t>
      </w:r>
      <w:r w:rsidR="00514668" w:rsidRPr="00514668">
        <w:rPr>
          <w:rFonts w:ascii="Arial" w:eastAsia="Calibri" w:hAnsi="Arial" w:cs="Arial"/>
          <w:bCs/>
          <w:sz w:val="26"/>
          <w:szCs w:val="26"/>
          <w:lang w:val="es-ES" w:eastAsia="en-US"/>
        </w:rPr>
        <w:t xml:space="preserve"> en los términos planteados </w:t>
      </w:r>
      <w:r w:rsidR="00514668" w:rsidRPr="00514668">
        <w:rPr>
          <w:rFonts w:ascii="Arial" w:eastAsia="Calibri" w:hAnsi="Arial" w:cs="Arial"/>
          <w:sz w:val="26"/>
          <w:szCs w:val="26"/>
          <w:lang w:val="es-ES" w:eastAsia="en-US"/>
        </w:rPr>
        <w:t xml:space="preserve">y </w:t>
      </w:r>
      <w:r w:rsidR="00514668" w:rsidRPr="00514668">
        <w:rPr>
          <w:rFonts w:ascii="Arial" w:eastAsiaTheme="minorHAnsi" w:hAnsi="Arial" w:cs="Arial"/>
          <w:bCs/>
          <w:iCs/>
          <w:sz w:val="26"/>
          <w:szCs w:val="26"/>
          <w:lang w:val="es-ES" w:eastAsia="en-US"/>
        </w:rPr>
        <w:t>con fundamento en los artículos 237 y 238 de la Ley de Procedimiento y Justicia Administrativa para el Estado</w:t>
      </w:r>
      <w:r w:rsidR="00514668" w:rsidRPr="00514668">
        <w:rPr>
          <w:rFonts w:ascii="Arial" w:eastAsia="Calibri" w:hAnsi="Arial" w:cs="Arial"/>
          <w:sz w:val="26"/>
          <w:szCs w:val="26"/>
          <w:lang w:val="es-ES" w:eastAsia="en-US"/>
        </w:rPr>
        <w:t xml:space="preserve"> de Oaxaca, se</w:t>
      </w:r>
      <w:r w:rsidR="00514668" w:rsidRPr="00514668">
        <w:rPr>
          <w:rFonts w:ascii="Arial" w:eastAsiaTheme="minorHAnsi" w:hAnsi="Arial" w:cs="Arial"/>
          <w:sz w:val="26"/>
          <w:szCs w:val="26"/>
          <w:lang w:val="es-ES" w:eastAsia="en-US"/>
        </w:rPr>
        <w:t>:</w:t>
      </w:r>
      <w:r w:rsidR="00EB2E5C">
        <w:rPr>
          <w:rFonts w:ascii="Arial" w:eastAsiaTheme="minorHAnsi" w:hAnsi="Arial" w:cs="Arial"/>
          <w:sz w:val="26"/>
          <w:szCs w:val="26"/>
          <w:lang w:val="es-ES" w:eastAsia="en-US"/>
        </w:rPr>
        <w:t xml:space="preserve"> - </w:t>
      </w:r>
    </w:p>
    <w:p w14:paraId="50E3276C" w14:textId="3C8306D3" w:rsidR="00514668" w:rsidRPr="00EB2E5C" w:rsidRDefault="00514668" w:rsidP="001537A7">
      <w:pPr>
        <w:widowControl w:val="0"/>
        <w:tabs>
          <w:tab w:val="left" w:pos="7797"/>
        </w:tabs>
        <w:spacing w:before="240" w:after="0" w:line="360" w:lineRule="auto"/>
        <w:ind w:right="18"/>
        <w:jc w:val="center"/>
        <w:rPr>
          <w:rFonts w:ascii="Arial" w:hAnsi="Arial" w:cs="Arial"/>
          <w:bCs/>
          <w:sz w:val="24"/>
          <w:szCs w:val="24"/>
          <w:lang w:val="es-ES"/>
        </w:rPr>
      </w:pPr>
      <w:r w:rsidRPr="001537A7">
        <w:rPr>
          <w:rFonts w:ascii="Arial" w:hAnsi="Arial" w:cs="Arial"/>
          <w:b/>
          <w:sz w:val="26"/>
          <w:szCs w:val="26"/>
          <w:lang w:val="es-ES"/>
        </w:rPr>
        <w:t>R E S U E L V E</w:t>
      </w:r>
    </w:p>
    <w:p w14:paraId="6A13AA79" w14:textId="00DE202D" w:rsidR="00EB2E5C" w:rsidRDefault="00514668" w:rsidP="00EB2E5C">
      <w:pPr>
        <w:spacing w:before="240" w:after="0" w:line="360" w:lineRule="auto"/>
        <w:ind w:firstLine="708"/>
        <w:jc w:val="both"/>
        <w:rPr>
          <w:rFonts w:ascii="Arial" w:hAnsi="Arial" w:cs="Arial"/>
          <w:sz w:val="26"/>
          <w:szCs w:val="26"/>
        </w:rPr>
      </w:pPr>
      <w:r w:rsidRPr="00514668">
        <w:rPr>
          <w:rFonts w:ascii="Arial" w:hAnsi="Arial" w:cs="Arial"/>
          <w:b/>
          <w:color w:val="000000"/>
          <w:sz w:val="26"/>
          <w:szCs w:val="26"/>
          <w:lang w:val="es-ES"/>
        </w:rPr>
        <w:t>PRIMERO</w:t>
      </w:r>
      <w:r w:rsidRPr="00514668">
        <w:rPr>
          <w:rFonts w:ascii="Arial" w:hAnsi="Arial" w:cs="Arial"/>
          <w:color w:val="000000"/>
          <w:sz w:val="26"/>
          <w:szCs w:val="26"/>
          <w:lang w:val="es-ES"/>
        </w:rPr>
        <w:t xml:space="preserve">. </w:t>
      </w:r>
      <w:r w:rsidRPr="00514668">
        <w:rPr>
          <w:rFonts w:ascii="Arial" w:hAnsi="Arial" w:cs="Arial"/>
          <w:color w:val="000000"/>
          <w:sz w:val="26"/>
          <w:szCs w:val="26"/>
        </w:rPr>
        <w:t>Se</w:t>
      </w:r>
      <w:r w:rsidRPr="00514668">
        <w:rPr>
          <w:rFonts w:ascii="Arial" w:hAnsi="Arial" w:cs="Arial"/>
          <w:b/>
          <w:color w:val="000000"/>
          <w:sz w:val="26"/>
          <w:szCs w:val="26"/>
        </w:rPr>
        <w:t xml:space="preserve"> </w:t>
      </w:r>
      <w:r>
        <w:rPr>
          <w:rFonts w:ascii="Arial" w:hAnsi="Arial" w:cs="Arial"/>
          <w:b/>
          <w:color w:val="000000"/>
          <w:sz w:val="26"/>
          <w:szCs w:val="26"/>
        </w:rPr>
        <w:t xml:space="preserve">DESECHA </w:t>
      </w:r>
      <w:r w:rsidR="00EB2E5C" w:rsidRPr="006321D4">
        <w:rPr>
          <w:rFonts w:ascii="Arial" w:hAnsi="Arial" w:cs="Arial"/>
          <w:sz w:val="26"/>
          <w:szCs w:val="26"/>
        </w:rPr>
        <w:t xml:space="preserve">por </w:t>
      </w:r>
      <w:r w:rsidR="00EB2E5C" w:rsidRPr="006321D4">
        <w:rPr>
          <w:rFonts w:ascii="Arial" w:hAnsi="Arial" w:cs="Arial"/>
          <w:b/>
          <w:sz w:val="26"/>
          <w:szCs w:val="26"/>
        </w:rPr>
        <w:t xml:space="preserve">IMPROCEDENTE </w:t>
      </w:r>
      <w:r w:rsidR="00EB2E5C" w:rsidRPr="006321D4">
        <w:rPr>
          <w:rFonts w:ascii="Arial" w:hAnsi="Arial" w:cs="Arial"/>
          <w:sz w:val="26"/>
          <w:szCs w:val="26"/>
        </w:rPr>
        <w:t>el recurso de revisión, por las razones expuestas en el considerando que antecede</w:t>
      </w:r>
      <w:r w:rsidR="00EB2E5C">
        <w:rPr>
          <w:rFonts w:ascii="Arial" w:hAnsi="Arial" w:cs="Arial"/>
          <w:sz w:val="26"/>
          <w:szCs w:val="26"/>
        </w:rPr>
        <w:t xml:space="preserve">. - </w:t>
      </w:r>
    </w:p>
    <w:p w14:paraId="12673677" w14:textId="4EC4C52D" w:rsidR="00514668" w:rsidRPr="00514668" w:rsidRDefault="00514668" w:rsidP="00EB2E5C">
      <w:pPr>
        <w:spacing w:before="240" w:after="0" w:line="360" w:lineRule="auto"/>
        <w:ind w:firstLine="708"/>
        <w:jc w:val="both"/>
        <w:rPr>
          <w:rFonts w:ascii="Arial" w:hAnsi="Arial" w:cs="Arial"/>
          <w:sz w:val="26"/>
          <w:szCs w:val="26"/>
        </w:rPr>
      </w:pPr>
      <w:r w:rsidRPr="00514668">
        <w:rPr>
          <w:rFonts w:ascii="Arial" w:hAnsi="Arial" w:cs="Arial"/>
          <w:b/>
          <w:sz w:val="26"/>
          <w:szCs w:val="26"/>
        </w:rPr>
        <w:t>SEGUNDO.- NOTIFÍQUESE Y CÚMPLASE,</w:t>
      </w:r>
      <w:r w:rsidRPr="00514668">
        <w:rPr>
          <w:rFonts w:ascii="Arial" w:hAnsi="Arial" w:cs="Arial"/>
          <w:sz w:val="26"/>
          <w:szCs w:val="26"/>
        </w:rPr>
        <w:t xml:space="preserve"> remítase copia certificada de la</w:t>
      </w:r>
      <w:r w:rsidR="009F3E20">
        <w:rPr>
          <w:rFonts w:ascii="Arial" w:hAnsi="Arial" w:cs="Arial"/>
          <w:sz w:val="26"/>
          <w:szCs w:val="26"/>
        </w:rPr>
        <w:t xml:space="preserve"> presente resolución a la </w:t>
      </w:r>
      <w:r w:rsidR="00EB2E5C">
        <w:rPr>
          <w:rFonts w:ascii="Arial" w:hAnsi="Arial" w:cs="Arial"/>
          <w:sz w:val="26"/>
          <w:szCs w:val="26"/>
        </w:rPr>
        <w:t>Segunda</w:t>
      </w:r>
      <w:r w:rsidRPr="00514668">
        <w:rPr>
          <w:rFonts w:ascii="Arial" w:hAnsi="Arial" w:cs="Arial"/>
          <w:sz w:val="26"/>
          <w:szCs w:val="26"/>
        </w:rPr>
        <w:t xml:space="preserve"> Sala Unitaria de Primera Instancia de este Tribunal y en su oportunidad archívese el presente cuaderno de revisión como asunto concluido.</w:t>
      </w:r>
      <w:r w:rsidR="00EB2E5C">
        <w:rPr>
          <w:rFonts w:ascii="Arial" w:hAnsi="Arial" w:cs="Arial"/>
          <w:sz w:val="26"/>
          <w:szCs w:val="26"/>
        </w:rPr>
        <w:t>- - - - - - - - - - - - -</w:t>
      </w:r>
    </w:p>
    <w:p w14:paraId="50FD2249" w14:textId="6A258638" w:rsidR="00912559" w:rsidRDefault="00912559" w:rsidP="00912559">
      <w:pPr>
        <w:pStyle w:val="corte4fondo"/>
        <w:spacing w:before="240"/>
        <w:ind w:left="-284" w:right="51" w:firstLine="710"/>
        <w:rPr>
          <w:rFonts w:eastAsia="Calibri"/>
          <w:sz w:val="26"/>
          <w:szCs w:val="26"/>
          <w:lang w:eastAsia="en-US"/>
        </w:rPr>
      </w:pPr>
      <w:r>
        <w:rPr>
          <w:sz w:val="26"/>
          <w:szCs w:val="26"/>
        </w:rPr>
        <w:lastRenderedPageBreak/>
        <w:tab/>
      </w:r>
      <w:r w:rsidRPr="00BD491B">
        <w:rPr>
          <w:rFonts w:eastAsia="Calibri"/>
          <w:sz w:val="26"/>
          <w:szCs w:val="26"/>
          <w:lang w:eastAsia="en-US"/>
        </w:rPr>
        <w:t>Así por mayoría de votos, lo resolvieron y firmaron los</w:t>
      </w:r>
      <w:r>
        <w:rPr>
          <w:rFonts w:eastAsia="Calibri"/>
          <w:sz w:val="26"/>
          <w:szCs w:val="26"/>
          <w:lang w:eastAsia="en-US"/>
        </w:rPr>
        <w:t xml:space="preserve"> Magistrados integrantes de la Sala Superior, Magistrado Manuel Velasco Alcántara</w:t>
      </w:r>
      <w:r>
        <w:rPr>
          <w:sz w:val="26"/>
          <w:szCs w:val="26"/>
        </w:rPr>
        <w:t xml:space="preserve">, </w:t>
      </w:r>
      <w:r w:rsidRPr="00ED52B7">
        <w:rPr>
          <w:sz w:val="26"/>
          <w:szCs w:val="26"/>
        </w:rPr>
        <w:t>Raúl Palomares Palomino</w:t>
      </w:r>
      <w:r>
        <w:rPr>
          <w:b/>
          <w:bCs/>
          <w:sz w:val="26"/>
          <w:szCs w:val="26"/>
        </w:rPr>
        <w:t>,</w:t>
      </w:r>
      <w:r w:rsidRPr="00ED52B7">
        <w:rPr>
          <w:sz w:val="26"/>
          <w:szCs w:val="26"/>
        </w:rPr>
        <w:t xml:space="preserve"> Gloria del Carmen Camacho Meza </w:t>
      </w:r>
      <w:r w:rsidRPr="00C31A71">
        <w:rPr>
          <w:b/>
          <w:bCs/>
          <w:sz w:val="26"/>
          <w:szCs w:val="26"/>
        </w:rPr>
        <w:t>(</w:t>
      </w:r>
      <w:r w:rsidRPr="00912559">
        <w:rPr>
          <w:b/>
          <w:bCs/>
          <w:sz w:val="26"/>
          <w:szCs w:val="26"/>
        </w:rPr>
        <w:t>ponente)</w:t>
      </w:r>
      <w:r>
        <w:rPr>
          <w:sz w:val="26"/>
          <w:szCs w:val="26"/>
        </w:rPr>
        <w:t xml:space="preserve"> </w:t>
      </w:r>
      <w:r w:rsidRPr="00ED52B7">
        <w:rPr>
          <w:sz w:val="26"/>
          <w:szCs w:val="26"/>
        </w:rPr>
        <w:t>y Paulo José Luis Tapia Palacios</w:t>
      </w:r>
      <w:r>
        <w:rPr>
          <w:sz w:val="26"/>
          <w:szCs w:val="26"/>
        </w:rPr>
        <w:t xml:space="preserve">, </w:t>
      </w:r>
      <w:r w:rsidRPr="00BD491B">
        <w:rPr>
          <w:rFonts w:eastAsia="Calibri"/>
          <w:sz w:val="26"/>
          <w:szCs w:val="26"/>
          <w:lang w:eastAsia="en-US"/>
        </w:rPr>
        <w:t>con el voto</w:t>
      </w:r>
      <w:r>
        <w:rPr>
          <w:rFonts w:eastAsia="Calibri"/>
          <w:sz w:val="26"/>
          <w:szCs w:val="26"/>
          <w:lang w:eastAsia="en-US"/>
        </w:rPr>
        <w:t xml:space="preserve"> en contra</w:t>
      </w:r>
      <w:r w:rsidRPr="00BD491B">
        <w:rPr>
          <w:rFonts w:eastAsia="Calibri"/>
          <w:sz w:val="26"/>
          <w:szCs w:val="26"/>
          <w:lang w:eastAsia="en-US"/>
        </w:rPr>
        <w:t xml:space="preserve"> del</w:t>
      </w:r>
      <w:r>
        <w:rPr>
          <w:rFonts w:eastAsia="Calibri"/>
          <w:sz w:val="26"/>
          <w:szCs w:val="26"/>
          <w:lang w:eastAsia="en-US"/>
        </w:rPr>
        <w:t xml:space="preserve"> Magistrado</w:t>
      </w:r>
      <w:r w:rsidRPr="00BD491B">
        <w:rPr>
          <w:rFonts w:eastAsia="Calibri"/>
          <w:sz w:val="26"/>
          <w:szCs w:val="26"/>
          <w:lang w:eastAsia="en-US"/>
        </w:rPr>
        <w:t xml:space="preserve"> </w:t>
      </w:r>
      <w:r w:rsidRPr="00C31A71">
        <w:rPr>
          <w:sz w:val="26"/>
          <w:szCs w:val="26"/>
        </w:rPr>
        <w:t>Abraham Santiago Soriano</w:t>
      </w:r>
      <w:r>
        <w:rPr>
          <w:sz w:val="26"/>
          <w:szCs w:val="26"/>
        </w:rPr>
        <w:t>,</w:t>
      </w:r>
      <w:r w:rsidRPr="00BD491B">
        <w:rPr>
          <w:rFonts w:eastAsia="Calibri"/>
          <w:sz w:val="26"/>
          <w:szCs w:val="26"/>
          <w:lang w:eastAsia="en-US"/>
        </w:rPr>
        <w:t xml:space="preserve"> quienes actúan con </w:t>
      </w:r>
      <w:r>
        <w:rPr>
          <w:rFonts w:eastAsia="Calibri"/>
          <w:sz w:val="26"/>
          <w:szCs w:val="26"/>
          <w:lang w:eastAsia="en-US"/>
        </w:rPr>
        <w:t>el Licenciado Juan Edy García Coronado,</w:t>
      </w:r>
      <w:r w:rsidRPr="00BD491B">
        <w:rPr>
          <w:rFonts w:eastAsia="Calibri"/>
          <w:sz w:val="26"/>
          <w:szCs w:val="26"/>
          <w:lang w:eastAsia="en-US"/>
        </w:rPr>
        <w:t xml:space="preserve"> Secretari</w:t>
      </w:r>
      <w:r>
        <w:rPr>
          <w:rFonts w:eastAsia="Calibri"/>
          <w:sz w:val="26"/>
          <w:szCs w:val="26"/>
          <w:lang w:eastAsia="en-US"/>
        </w:rPr>
        <w:t>o</w:t>
      </w:r>
      <w:r w:rsidRPr="00BD491B">
        <w:rPr>
          <w:rFonts w:eastAsia="Calibri"/>
          <w:sz w:val="26"/>
          <w:szCs w:val="26"/>
          <w:lang w:eastAsia="en-US"/>
        </w:rPr>
        <w:t xml:space="preserve"> General de Acuerdos de este Tribunal, que autoriza y da fe.</w:t>
      </w:r>
      <w:r>
        <w:rPr>
          <w:rFonts w:eastAsia="Calibri"/>
          <w:sz w:val="26"/>
          <w:szCs w:val="26"/>
          <w:lang w:eastAsia="en-US"/>
        </w:rPr>
        <w:t>- - - - - - - - - - - - - - - - - - - - - - - - - - - - - - - -</w:t>
      </w:r>
    </w:p>
    <w:p w14:paraId="50AEB970" w14:textId="34D24DF1" w:rsidR="00912559" w:rsidRDefault="00912559" w:rsidP="00912559">
      <w:pPr>
        <w:tabs>
          <w:tab w:val="center" w:pos="4135"/>
          <w:tab w:val="left" w:pos="7515"/>
        </w:tabs>
        <w:spacing w:line="360" w:lineRule="auto"/>
        <w:rPr>
          <w:rFonts w:ascii="Arial" w:hAnsi="Arial" w:cs="Arial"/>
          <w:b/>
          <w:bCs/>
          <w:sz w:val="16"/>
          <w:szCs w:val="16"/>
        </w:rPr>
      </w:pPr>
    </w:p>
    <w:p w14:paraId="0304E8C0" w14:textId="77777777" w:rsidR="00912559" w:rsidRDefault="00912559" w:rsidP="00912559">
      <w:pPr>
        <w:tabs>
          <w:tab w:val="center" w:pos="4135"/>
          <w:tab w:val="left" w:pos="7515"/>
        </w:tabs>
        <w:spacing w:line="360" w:lineRule="auto"/>
        <w:rPr>
          <w:rFonts w:ascii="Arial" w:hAnsi="Arial" w:cs="Arial"/>
          <w:b/>
          <w:bCs/>
          <w:sz w:val="16"/>
          <w:szCs w:val="16"/>
        </w:rPr>
      </w:pPr>
    </w:p>
    <w:p w14:paraId="5A0CEDDB" w14:textId="77777777" w:rsidR="00912559" w:rsidRDefault="00912559" w:rsidP="00912559">
      <w:pPr>
        <w:tabs>
          <w:tab w:val="center" w:pos="4135"/>
          <w:tab w:val="left" w:pos="7515"/>
        </w:tabs>
        <w:spacing w:line="360" w:lineRule="auto"/>
        <w:rPr>
          <w:rFonts w:ascii="Arial" w:hAnsi="Arial" w:cs="Arial"/>
          <w:b/>
          <w:bCs/>
          <w:sz w:val="16"/>
          <w:szCs w:val="16"/>
        </w:rPr>
      </w:pPr>
    </w:p>
    <w:p w14:paraId="3D0DC12D" w14:textId="77777777" w:rsidR="00912559" w:rsidRDefault="00912559" w:rsidP="00912559">
      <w:pPr>
        <w:tabs>
          <w:tab w:val="left" w:pos="1680"/>
          <w:tab w:val="center" w:pos="4277"/>
        </w:tabs>
        <w:spacing w:after="0"/>
        <w:jc w:val="center"/>
        <w:rPr>
          <w:rFonts w:ascii="Arial" w:hAnsi="Arial" w:cs="Arial"/>
          <w:sz w:val="26"/>
          <w:szCs w:val="26"/>
        </w:rPr>
      </w:pPr>
      <w:r>
        <w:rPr>
          <w:rFonts w:ascii="Arial" w:hAnsi="Arial" w:cs="Arial"/>
          <w:sz w:val="26"/>
          <w:szCs w:val="26"/>
        </w:rPr>
        <w:t>MAGISTRADO MANUEL VELASCO ALCÁNTARA</w:t>
      </w:r>
    </w:p>
    <w:p w14:paraId="53B8B449" w14:textId="77777777" w:rsidR="00912559" w:rsidRDefault="00912559" w:rsidP="00912559">
      <w:pPr>
        <w:tabs>
          <w:tab w:val="left" w:pos="798"/>
          <w:tab w:val="center" w:pos="4135"/>
        </w:tabs>
        <w:spacing w:after="0"/>
        <w:jc w:val="center"/>
        <w:rPr>
          <w:rFonts w:ascii="Arial" w:hAnsi="Arial" w:cs="Arial"/>
          <w:sz w:val="26"/>
          <w:szCs w:val="26"/>
        </w:rPr>
      </w:pPr>
      <w:r>
        <w:rPr>
          <w:rFonts w:ascii="Arial" w:hAnsi="Arial" w:cs="Arial"/>
          <w:sz w:val="26"/>
          <w:szCs w:val="26"/>
        </w:rPr>
        <w:t>PRESIDENTE</w:t>
      </w:r>
    </w:p>
    <w:p w14:paraId="6FE945A9" w14:textId="77777777" w:rsidR="00912559" w:rsidRDefault="00912559" w:rsidP="00912559">
      <w:pPr>
        <w:tabs>
          <w:tab w:val="left" w:pos="798"/>
          <w:tab w:val="center" w:pos="4135"/>
        </w:tabs>
        <w:spacing w:after="0"/>
        <w:jc w:val="center"/>
        <w:rPr>
          <w:rFonts w:ascii="Arial" w:hAnsi="Arial" w:cs="Arial"/>
          <w:sz w:val="26"/>
          <w:szCs w:val="26"/>
        </w:rPr>
      </w:pPr>
    </w:p>
    <w:p w14:paraId="632248DF" w14:textId="77777777" w:rsidR="00912559" w:rsidRDefault="00912559" w:rsidP="00912559">
      <w:pPr>
        <w:tabs>
          <w:tab w:val="center" w:pos="4135"/>
          <w:tab w:val="left" w:pos="7515"/>
        </w:tabs>
        <w:spacing w:line="360" w:lineRule="auto"/>
        <w:rPr>
          <w:rFonts w:ascii="Arial" w:hAnsi="Arial" w:cs="Arial"/>
          <w:sz w:val="26"/>
          <w:szCs w:val="26"/>
        </w:rPr>
      </w:pPr>
    </w:p>
    <w:p w14:paraId="3552832E" w14:textId="77777777" w:rsidR="00912559" w:rsidRDefault="00912559" w:rsidP="00912559">
      <w:pPr>
        <w:tabs>
          <w:tab w:val="center" w:pos="4135"/>
          <w:tab w:val="left" w:pos="7515"/>
        </w:tabs>
        <w:spacing w:line="360" w:lineRule="auto"/>
        <w:rPr>
          <w:rFonts w:ascii="Arial" w:hAnsi="Arial" w:cs="Arial"/>
          <w:sz w:val="26"/>
          <w:szCs w:val="26"/>
        </w:rPr>
      </w:pPr>
    </w:p>
    <w:p w14:paraId="397F5254" w14:textId="77777777" w:rsidR="00912559" w:rsidRDefault="00912559" w:rsidP="00912559">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64863974" w14:textId="77777777" w:rsidR="00912559" w:rsidRDefault="00912559" w:rsidP="00912559">
      <w:pPr>
        <w:tabs>
          <w:tab w:val="center" w:pos="4135"/>
          <w:tab w:val="left" w:pos="7515"/>
        </w:tabs>
        <w:spacing w:line="360" w:lineRule="auto"/>
        <w:rPr>
          <w:rFonts w:ascii="Arial" w:hAnsi="Arial" w:cs="Arial"/>
          <w:sz w:val="26"/>
          <w:szCs w:val="26"/>
        </w:rPr>
      </w:pPr>
    </w:p>
    <w:p w14:paraId="0C570849" w14:textId="77777777" w:rsidR="00912559" w:rsidRDefault="00912559" w:rsidP="00912559">
      <w:pPr>
        <w:tabs>
          <w:tab w:val="center" w:pos="4135"/>
          <w:tab w:val="left" w:pos="7515"/>
        </w:tabs>
        <w:spacing w:line="360" w:lineRule="auto"/>
        <w:rPr>
          <w:rFonts w:ascii="Arial" w:hAnsi="Arial" w:cs="Arial"/>
          <w:sz w:val="26"/>
          <w:szCs w:val="26"/>
        </w:rPr>
      </w:pPr>
    </w:p>
    <w:p w14:paraId="01E596A4" w14:textId="77777777" w:rsidR="00912559" w:rsidRDefault="00912559" w:rsidP="00912559">
      <w:pPr>
        <w:tabs>
          <w:tab w:val="center" w:pos="4135"/>
          <w:tab w:val="left" w:pos="7515"/>
        </w:tabs>
        <w:spacing w:line="360" w:lineRule="auto"/>
        <w:rPr>
          <w:rFonts w:ascii="Arial" w:hAnsi="Arial" w:cs="Arial"/>
          <w:sz w:val="26"/>
          <w:szCs w:val="26"/>
        </w:rPr>
      </w:pPr>
    </w:p>
    <w:p w14:paraId="5FD0B4F1" w14:textId="77777777" w:rsidR="00912559" w:rsidRDefault="00912559" w:rsidP="00912559">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20192194" w14:textId="77777777" w:rsidR="00912559" w:rsidRDefault="00912559" w:rsidP="00912559">
      <w:pPr>
        <w:tabs>
          <w:tab w:val="left" w:pos="1925"/>
          <w:tab w:val="center" w:pos="4135"/>
        </w:tabs>
        <w:rPr>
          <w:rFonts w:ascii="Arial" w:hAnsi="Arial" w:cs="Arial"/>
          <w:sz w:val="26"/>
          <w:szCs w:val="26"/>
        </w:rPr>
      </w:pPr>
    </w:p>
    <w:p w14:paraId="7F29ED39" w14:textId="77777777" w:rsidR="00912559" w:rsidRDefault="00912559" w:rsidP="00912559">
      <w:pPr>
        <w:tabs>
          <w:tab w:val="left" w:pos="1925"/>
          <w:tab w:val="center" w:pos="4135"/>
        </w:tabs>
        <w:jc w:val="center"/>
        <w:rPr>
          <w:rFonts w:ascii="Arial" w:hAnsi="Arial" w:cs="Arial"/>
          <w:sz w:val="26"/>
          <w:szCs w:val="26"/>
        </w:rPr>
      </w:pPr>
    </w:p>
    <w:p w14:paraId="067EA855" w14:textId="77777777" w:rsidR="00912559" w:rsidRDefault="00912559" w:rsidP="00912559">
      <w:pPr>
        <w:tabs>
          <w:tab w:val="left" w:pos="1925"/>
          <w:tab w:val="center" w:pos="4135"/>
        </w:tabs>
        <w:jc w:val="center"/>
        <w:rPr>
          <w:rFonts w:ascii="Arial" w:hAnsi="Arial" w:cs="Arial"/>
          <w:sz w:val="26"/>
          <w:szCs w:val="26"/>
        </w:rPr>
      </w:pPr>
    </w:p>
    <w:p w14:paraId="440C8BD6" w14:textId="77777777" w:rsidR="00912559" w:rsidRDefault="00912559" w:rsidP="00912559">
      <w:pPr>
        <w:tabs>
          <w:tab w:val="left" w:pos="1925"/>
          <w:tab w:val="center" w:pos="4135"/>
        </w:tabs>
        <w:jc w:val="center"/>
        <w:rPr>
          <w:rFonts w:ascii="Arial" w:hAnsi="Arial" w:cs="Arial"/>
          <w:sz w:val="26"/>
          <w:szCs w:val="26"/>
        </w:rPr>
      </w:pPr>
    </w:p>
    <w:p w14:paraId="305D6B1B" w14:textId="77777777" w:rsidR="00912559" w:rsidRDefault="00912559" w:rsidP="00912559">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0AE2C6E6" w14:textId="77777777" w:rsidR="00912559" w:rsidRDefault="00912559" w:rsidP="00912559">
      <w:pPr>
        <w:tabs>
          <w:tab w:val="left" w:pos="1925"/>
          <w:tab w:val="center" w:pos="4135"/>
        </w:tabs>
        <w:rPr>
          <w:rFonts w:ascii="Arial" w:hAnsi="Arial" w:cs="Arial"/>
          <w:sz w:val="26"/>
          <w:szCs w:val="26"/>
        </w:rPr>
      </w:pPr>
    </w:p>
    <w:p w14:paraId="2F29E9EE" w14:textId="77777777" w:rsidR="00912559" w:rsidRDefault="00912559" w:rsidP="00912559">
      <w:pPr>
        <w:tabs>
          <w:tab w:val="left" w:pos="1925"/>
          <w:tab w:val="center" w:pos="4135"/>
        </w:tabs>
        <w:rPr>
          <w:rFonts w:ascii="Arial" w:hAnsi="Arial" w:cs="Arial"/>
          <w:sz w:val="26"/>
          <w:szCs w:val="26"/>
        </w:rPr>
      </w:pPr>
    </w:p>
    <w:p w14:paraId="760028EC" w14:textId="77777777" w:rsidR="00912559" w:rsidRDefault="00912559" w:rsidP="00912559">
      <w:pPr>
        <w:tabs>
          <w:tab w:val="left" w:pos="1925"/>
          <w:tab w:val="center" w:pos="4135"/>
        </w:tabs>
        <w:rPr>
          <w:rFonts w:ascii="Arial" w:hAnsi="Arial" w:cs="Arial"/>
          <w:sz w:val="26"/>
          <w:szCs w:val="26"/>
        </w:rPr>
      </w:pPr>
    </w:p>
    <w:p w14:paraId="7F2EE14A" w14:textId="77777777" w:rsidR="00912559" w:rsidRDefault="00912559" w:rsidP="00912559">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5A6E8109" w14:textId="77777777" w:rsidR="00912559" w:rsidRDefault="00912559" w:rsidP="00912559">
      <w:pPr>
        <w:tabs>
          <w:tab w:val="left" w:pos="1925"/>
          <w:tab w:val="center" w:pos="4135"/>
        </w:tabs>
        <w:rPr>
          <w:rFonts w:ascii="Arial" w:hAnsi="Arial" w:cs="Arial"/>
          <w:sz w:val="26"/>
          <w:szCs w:val="26"/>
        </w:rPr>
      </w:pPr>
    </w:p>
    <w:p w14:paraId="5C59167A" w14:textId="77777777" w:rsidR="00912559" w:rsidRDefault="00912559" w:rsidP="00912559">
      <w:pPr>
        <w:tabs>
          <w:tab w:val="left" w:pos="1925"/>
          <w:tab w:val="center" w:pos="4135"/>
        </w:tabs>
        <w:jc w:val="center"/>
        <w:rPr>
          <w:rFonts w:ascii="Arial" w:hAnsi="Arial" w:cs="Arial"/>
          <w:sz w:val="26"/>
          <w:szCs w:val="26"/>
        </w:rPr>
      </w:pPr>
    </w:p>
    <w:p w14:paraId="60C028D9" w14:textId="77777777" w:rsidR="00912559" w:rsidRDefault="00912559" w:rsidP="00912559">
      <w:pPr>
        <w:tabs>
          <w:tab w:val="left" w:pos="1925"/>
          <w:tab w:val="center" w:pos="4135"/>
        </w:tabs>
        <w:spacing w:after="0"/>
        <w:jc w:val="center"/>
        <w:rPr>
          <w:rFonts w:ascii="Arial" w:hAnsi="Arial" w:cs="Arial"/>
          <w:sz w:val="26"/>
          <w:szCs w:val="26"/>
        </w:rPr>
      </w:pPr>
      <w:r>
        <w:rPr>
          <w:rFonts w:ascii="Arial" w:hAnsi="Arial" w:cs="Arial"/>
          <w:sz w:val="26"/>
          <w:szCs w:val="26"/>
        </w:rPr>
        <w:t>LIC. JUAN EDY GARCÍA CORONADO</w:t>
      </w:r>
    </w:p>
    <w:p w14:paraId="46EC0791" w14:textId="77777777" w:rsidR="00912559" w:rsidRDefault="00912559" w:rsidP="00912559">
      <w:pPr>
        <w:spacing w:after="0"/>
        <w:jc w:val="center"/>
        <w:rPr>
          <w:rFonts w:ascii="Arial" w:hAnsi="Arial" w:cs="Arial"/>
          <w:sz w:val="26"/>
          <w:szCs w:val="26"/>
        </w:rPr>
      </w:pPr>
      <w:r>
        <w:rPr>
          <w:rFonts w:ascii="Arial" w:hAnsi="Arial" w:cs="Arial"/>
          <w:sz w:val="26"/>
          <w:szCs w:val="26"/>
        </w:rPr>
        <w:t>SECRETARIO GENERAL DE ACUERDOS</w:t>
      </w:r>
    </w:p>
    <w:p w14:paraId="67EB0D61" w14:textId="77777777" w:rsidR="00912559" w:rsidRPr="003B6CF0" w:rsidRDefault="00912559" w:rsidP="00912559">
      <w:pPr>
        <w:spacing w:before="240" w:line="360" w:lineRule="auto"/>
        <w:ind w:firstLine="708"/>
        <w:jc w:val="both"/>
      </w:pPr>
    </w:p>
    <w:p w14:paraId="3F6D3BEC" w14:textId="77777777" w:rsidR="00912559" w:rsidRDefault="00912559" w:rsidP="00912559">
      <w:pPr>
        <w:pStyle w:val="corte4fondo"/>
        <w:spacing w:before="240"/>
        <w:ind w:left="-284" w:right="51" w:firstLine="710"/>
        <w:rPr>
          <w:rFonts w:eastAsia="Calibri"/>
          <w:sz w:val="26"/>
          <w:szCs w:val="26"/>
          <w:lang w:eastAsia="en-US"/>
        </w:rPr>
      </w:pPr>
    </w:p>
    <w:p w14:paraId="5CA0A5F9" w14:textId="77777777" w:rsidR="00912559" w:rsidRDefault="00912559" w:rsidP="00912559">
      <w:pPr>
        <w:pStyle w:val="corte4fondo"/>
        <w:spacing w:before="240"/>
        <w:ind w:left="-284" w:right="51" w:firstLine="710"/>
        <w:rPr>
          <w:rFonts w:eastAsia="Calibri"/>
          <w:sz w:val="26"/>
          <w:szCs w:val="26"/>
          <w:lang w:eastAsia="en-US"/>
        </w:rPr>
      </w:pPr>
    </w:p>
    <w:p w14:paraId="1A0C281D" w14:textId="77777777" w:rsidR="00912559" w:rsidRDefault="00912559" w:rsidP="00912559">
      <w:pPr>
        <w:pStyle w:val="corte4fondo"/>
        <w:spacing w:before="240"/>
        <w:ind w:left="-284" w:right="51" w:firstLine="710"/>
        <w:rPr>
          <w:rFonts w:eastAsia="Calibri"/>
          <w:sz w:val="26"/>
          <w:szCs w:val="26"/>
          <w:lang w:eastAsia="en-US"/>
        </w:rPr>
      </w:pPr>
    </w:p>
    <w:p w14:paraId="5F6B8E2A" w14:textId="77777777" w:rsidR="00912559" w:rsidRDefault="00912559" w:rsidP="00912559">
      <w:pPr>
        <w:pStyle w:val="corte4fondo"/>
        <w:spacing w:before="240"/>
        <w:ind w:left="-284" w:right="51" w:firstLine="710"/>
        <w:rPr>
          <w:rFonts w:eastAsia="Calibri"/>
          <w:sz w:val="26"/>
          <w:szCs w:val="26"/>
          <w:lang w:eastAsia="en-US"/>
        </w:rPr>
      </w:pPr>
    </w:p>
    <w:p w14:paraId="3C39D2DA" w14:textId="77777777" w:rsidR="00912559" w:rsidRDefault="00912559" w:rsidP="00912559">
      <w:pPr>
        <w:pStyle w:val="corte4fondo"/>
        <w:spacing w:before="240"/>
        <w:ind w:left="-284" w:right="51" w:firstLine="710"/>
        <w:rPr>
          <w:rFonts w:eastAsia="Calibri"/>
          <w:sz w:val="26"/>
          <w:szCs w:val="26"/>
          <w:lang w:eastAsia="en-US"/>
        </w:rPr>
      </w:pPr>
    </w:p>
    <w:p w14:paraId="099C5C99" w14:textId="77777777" w:rsidR="002614F4" w:rsidRDefault="002614F4" w:rsidP="003B6CF0">
      <w:pPr>
        <w:widowControl w:val="0"/>
        <w:tabs>
          <w:tab w:val="left" w:pos="0"/>
        </w:tabs>
        <w:spacing w:before="240" w:after="0" w:line="360" w:lineRule="auto"/>
        <w:ind w:right="18"/>
        <w:jc w:val="both"/>
        <w:rPr>
          <w:rFonts w:ascii="Arial" w:eastAsia="Calibri" w:hAnsi="Arial" w:cs="Arial"/>
          <w:bCs/>
          <w:sz w:val="26"/>
          <w:szCs w:val="26"/>
        </w:rPr>
      </w:pPr>
    </w:p>
    <w:p w14:paraId="50453FE0" w14:textId="00EF8C3C" w:rsidR="00BA258A" w:rsidRPr="003B6CF0" w:rsidRDefault="006D1DB2" w:rsidP="003B6CF0">
      <w:r w:rsidRPr="003B6CF0">
        <w:t xml:space="preserve"> </w:t>
      </w:r>
    </w:p>
    <w:sectPr w:rsidR="00BA258A" w:rsidRPr="003B6CF0" w:rsidSect="007C47F2">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328E5F" w14:textId="77777777" w:rsidR="004A77E6" w:rsidRDefault="004A77E6">
      <w:pPr>
        <w:spacing w:after="0" w:line="240" w:lineRule="auto"/>
      </w:pPr>
      <w:r>
        <w:separator/>
      </w:r>
    </w:p>
  </w:endnote>
  <w:endnote w:type="continuationSeparator" w:id="0">
    <w:p w14:paraId="00AC3930" w14:textId="77777777" w:rsidR="004A77E6" w:rsidRDefault="004A77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620617" w:rsidRDefault="00620617">
    <w:pPr>
      <w:pStyle w:val="Piedepgina"/>
      <w:jc w:val="center"/>
    </w:pPr>
  </w:p>
  <w:p w14:paraId="195FF414" w14:textId="77777777" w:rsidR="00620617" w:rsidRDefault="0062061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D9F65B" w14:textId="77777777" w:rsidR="004A77E6" w:rsidRDefault="004A77E6">
      <w:pPr>
        <w:spacing w:after="0" w:line="240" w:lineRule="auto"/>
      </w:pPr>
      <w:r>
        <w:separator/>
      </w:r>
    </w:p>
  </w:footnote>
  <w:footnote w:type="continuationSeparator" w:id="0">
    <w:p w14:paraId="4636666C" w14:textId="77777777" w:rsidR="004A77E6" w:rsidRDefault="004A77E6">
      <w:pPr>
        <w:spacing w:after="0" w:line="240" w:lineRule="auto"/>
      </w:pPr>
      <w:r>
        <w:continuationSeparator/>
      </w:r>
    </w:p>
  </w:footnote>
  <w:footnote w:id="1">
    <w:p w14:paraId="61DE3626" w14:textId="77777777" w:rsidR="00620617" w:rsidRPr="00873308" w:rsidRDefault="00620617" w:rsidP="00514668">
      <w:pPr>
        <w:pStyle w:val="Textonotapie"/>
        <w:jc w:val="both"/>
        <w:rPr>
          <w:rFonts w:ascii="Arial" w:hAnsi="Arial" w:cs="Arial"/>
          <w:i/>
        </w:rPr>
      </w:pPr>
      <w:r w:rsidRPr="00873308">
        <w:rPr>
          <w:rStyle w:val="Refdenotaalpie"/>
          <w:rFonts w:ascii="Arial" w:hAnsi="Arial" w:cs="Arial"/>
          <w:i/>
        </w:rPr>
        <w:footnoteRef/>
      </w:r>
      <w:r w:rsidRPr="00873308">
        <w:rPr>
          <w:rFonts w:ascii="Arial" w:hAnsi="Arial" w:cs="Arial"/>
          <w:i/>
        </w:rPr>
        <w:t xml:space="preserve"> </w:t>
      </w:r>
      <w:r>
        <w:rPr>
          <w:rFonts w:ascii="Arial" w:hAnsi="Arial" w:cs="Arial"/>
          <w:b/>
          <w:i/>
        </w:rPr>
        <w:t>ARTÍCULO 23</w:t>
      </w:r>
      <w:r w:rsidRPr="00873308">
        <w:rPr>
          <w:rFonts w:ascii="Arial" w:hAnsi="Arial" w:cs="Arial"/>
          <w:b/>
          <w:i/>
        </w:rPr>
        <w:t xml:space="preserve">6.- </w:t>
      </w:r>
      <w:r w:rsidRPr="00873308">
        <w:rPr>
          <w:rFonts w:ascii="Arial" w:hAnsi="Arial" w:cs="Arial"/>
          <w:i/>
        </w:rPr>
        <w:t>Contra los acuerdos y resoluciones dictados por las salas unitarias de</w:t>
      </w:r>
      <w:r>
        <w:rPr>
          <w:rFonts w:ascii="Arial" w:hAnsi="Arial" w:cs="Arial"/>
          <w:i/>
        </w:rPr>
        <w:t xml:space="preserve"> </w:t>
      </w:r>
      <w:r w:rsidRPr="00873308">
        <w:rPr>
          <w:rFonts w:ascii="Arial" w:hAnsi="Arial" w:cs="Arial"/>
          <w:i/>
        </w:rPr>
        <w:t>primera instancia, procede el recurso de revisión,</w:t>
      </w:r>
      <w:r>
        <w:rPr>
          <w:rFonts w:ascii="Arial" w:hAnsi="Arial" w:cs="Arial"/>
          <w:i/>
        </w:rPr>
        <w:t xml:space="preserve"> cuyo conocimiento y resolución </w:t>
      </w:r>
      <w:r w:rsidRPr="00873308">
        <w:rPr>
          <w:rFonts w:ascii="Arial" w:hAnsi="Arial" w:cs="Arial"/>
          <w:i/>
        </w:rPr>
        <w:t>corresponde a la Sala Superior.</w:t>
      </w:r>
    </w:p>
    <w:p w14:paraId="24D04A50" w14:textId="77777777" w:rsidR="00620617" w:rsidRPr="00873308" w:rsidRDefault="00620617" w:rsidP="00514668">
      <w:pPr>
        <w:pStyle w:val="Textonotapie"/>
        <w:jc w:val="both"/>
        <w:rPr>
          <w:rFonts w:ascii="Arial" w:hAnsi="Arial" w:cs="Arial"/>
          <w:i/>
        </w:rPr>
      </w:pPr>
      <w:r w:rsidRPr="00873308">
        <w:rPr>
          <w:rFonts w:ascii="Arial" w:hAnsi="Arial" w:cs="Arial"/>
          <w:i/>
        </w:rPr>
        <w:t>Podrán ser impugnadas por las partes, mediante recurso de revisión: …</w:t>
      </w:r>
    </w:p>
    <w:p w14:paraId="65BFB83A" w14:textId="77777777" w:rsidR="00620617" w:rsidRPr="00873308" w:rsidRDefault="00620617" w:rsidP="00514668">
      <w:pPr>
        <w:pStyle w:val="Textonotapie"/>
        <w:jc w:val="both"/>
        <w:rPr>
          <w:rFonts w:ascii="Arial" w:hAnsi="Arial" w:cs="Arial"/>
          <w:i/>
        </w:rPr>
      </w:pPr>
      <w:r w:rsidRPr="00873308">
        <w:rPr>
          <w:rFonts w:ascii="Arial" w:hAnsi="Arial" w:cs="Arial"/>
          <w:i/>
        </w:rPr>
        <w:t>VII. Las sentencias que decidan la cuestión planteada;</w:t>
      </w:r>
    </w:p>
  </w:footnote>
  <w:footnote w:id="2">
    <w:p w14:paraId="070B68C2" w14:textId="77777777" w:rsidR="00620617" w:rsidRPr="0095018D" w:rsidRDefault="00620617" w:rsidP="00514668">
      <w:pPr>
        <w:pStyle w:val="Textonotapie"/>
        <w:rPr>
          <w:rFonts w:ascii="Arial" w:hAnsi="Arial" w:cs="Arial"/>
          <w:i/>
        </w:rPr>
      </w:pPr>
      <w:r>
        <w:rPr>
          <w:rStyle w:val="Refdenotaalpie"/>
        </w:rPr>
        <w:footnoteRef/>
      </w:r>
      <w:r>
        <w:t xml:space="preserve"> </w:t>
      </w:r>
      <w:r w:rsidRPr="0095018D">
        <w:rPr>
          <w:rFonts w:ascii="Arial" w:hAnsi="Arial" w:cs="Arial"/>
          <w:i/>
        </w:rPr>
        <w:t>“</w:t>
      </w:r>
      <w:r w:rsidRPr="0095018D">
        <w:rPr>
          <w:rFonts w:ascii="Arial" w:hAnsi="Arial" w:cs="Arial"/>
          <w:b/>
          <w:i/>
        </w:rPr>
        <w:t xml:space="preserve">ARTÍCULO </w:t>
      </w:r>
      <w:r>
        <w:rPr>
          <w:rFonts w:ascii="Arial" w:hAnsi="Arial" w:cs="Arial"/>
          <w:b/>
          <w:i/>
        </w:rPr>
        <w:t>20</w:t>
      </w:r>
      <w:r w:rsidRPr="0095018D">
        <w:rPr>
          <w:rFonts w:ascii="Arial" w:hAnsi="Arial" w:cs="Arial"/>
          <w:b/>
          <w:i/>
        </w:rPr>
        <w:t xml:space="preserve">3.- </w:t>
      </w:r>
      <w:r w:rsidRPr="0095018D">
        <w:rPr>
          <w:rFonts w:ascii="Arial" w:hAnsi="Arial" w:cs="Arial"/>
          <w:i/>
        </w:rPr>
        <w:t>La valoración de las pruebas se hará de acuerdo con las siguientes reglas:</w:t>
      </w:r>
    </w:p>
    <w:p w14:paraId="5BBE8C3A" w14:textId="77777777" w:rsidR="00620617" w:rsidRPr="006C4EE7" w:rsidRDefault="00620617" w:rsidP="00514668">
      <w:pPr>
        <w:pStyle w:val="Textonotapie"/>
        <w:jc w:val="both"/>
        <w:rPr>
          <w:rFonts w:ascii="Arial" w:hAnsi="Arial" w:cs="Arial"/>
          <w:i/>
        </w:rPr>
      </w:pPr>
      <w:r w:rsidRPr="0095018D">
        <w:rPr>
          <w:rFonts w:ascii="Arial" w:hAnsi="Arial" w:cs="Arial"/>
          <w:i/>
        </w:rPr>
        <w:t xml:space="preserve">   I. Harán prueba plena la confesión expresa de las partes y los actos contenidos en documentos públicos, si en éstos últimos se contiene declaraciones de verdad o manifestacio</w:t>
      </w:r>
      <w:r>
        <w:rPr>
          <w:rFonts w:ascii="Arial" w:hAnsi="Arial" w:cs="Arial"/>
          <w:i/>
        </w:rPr>
        <w:t>nes de hechos de particulares,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0B30B14" w:rsidR="00620617" w:rsidRDefault="000C0FE0">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1"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620617">
          <w:fldChar w:fldCharType="begin"/>
        </w:r>
        <w:r w:rsidR="00620617">
          <w:instrText>PAGE   \* MERGEFORMAT</w:instrText>
        </w:r>
        <w:r w:rsidR="00620617">
          <w:fldChar w:fldCharType="separate"/>
        </w:r>
        <w:r w:rsidRPr="000C0FE0">
          <w:rPr>
            <w:noProof/>
            <w:lang w:val="es-ES"/>
          </w:rPr>
          <w:t>12</w:t>
        </w:r>
        <w:r w:rsidR="00620617">
          <w:fldChar w:fldCharType="end"/>
        </w:r>
      </w:p>
    </w:sdtContent>
  </w:sdt>
  <w:p w14:paraId="0E68208C" w14:textId="77777777" w:rsidR="00620617" w:rsidRDefault="0062061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46AED36D" w:rsidR="00620617" w:rsidRDefault="000C0FE0">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0"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620617">
          <w:fldChar w:fldCharType="begin"/>
        </w:r>
        <w:r w:rsidR="00620617">
          <w:instrText>PAGE   \* MERGEFORMAT</w:instrText>
        </w:r>
        <w:r w:rsidR="00620617">
          <w:fldChar w:fldCharType="separate"/>
        </w:r>
        <w:r w:rsidRPr="000C0FE0">
          <w:rPr>
            <w:noProof/>
            <w:lang w:val="es-ES"/>
          </w:rPr>
          <w:t>11</w:t>
        </w:r>
        <w:r w:rsidR="00620617">
          <w:fldChar w:fldCharType="end"/>
        </w:r>
      </w:sdtContent>
    </w:sdt>
  </w:p>
  <w:p w14:paraId="51E22156" w14:textId="78C081E3" w:rsidR="00620617" w:rsidRDefault="00620617"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620617" w:rsidRDefault="000C0FE0">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7242222"/>
    <w:multiLevelType w:val="hybridMultilevel"/>
    <w:tmpl w:val="45A0571A"/>
    <w:lvl w:ilvl="0" w:tplc="3EC0A1B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5ADF5F09"/>
    <w:multiLevelType w:val="hybridMultilevel"/>
    <w:tmpl w:val="42DEAA6C"/>
    <w:lvl w:ilvl="0" w:tplc="67E4F24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5D106E98"/>
    <w:multiLevelType w:val="hybridMultilevel"/>
    <w:tmpl w:val="8E6A132A"/>
    <w:lvl w:ilvl="0" w:tplc="B74EA0C8">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66E82488"/>
    <w:multiLevelType w:val="hybridMultilevel"/>
    <w:tmpl w:val="B93A9082"/>
    <w:lvl w:ilvl="0" w:tplc="9ED60D8A">
      <w:start w:val="1"/>
      <w:numFmt w:val="decimal"/>
      <w:lvlText w:val="%1)"/>
      <w:lvlJc w:val="left"/>
      <w:pPr>
        <w:ind w:left="1068" w:hanging="360"/>
      </w:pPr>
      <w:rPr>
        <w:rFonts w:eastAsia="Calibri" w:hint="default"/>
        <w:b w:val="0"/>
      </w:rPr>
    </w:lvl>
    <w:lvl w:ilvl="1" w:tplc="080A0019">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5"/>
  </w:num>
  <w:num w:numId="2">
    <w:abstractNumId w:val="2"/>
  </w:num>
  <w:num w:numId="3">
    <w:abstractNumId w:val="0"/>
  </w:num>
  <w:num w:numId="4">
    <w:abstractNumId w:val="9"/>
  </w:num>
  <w:num w:numId="5">
    <w:abstractNumId w:val="13"/>
  </w:num>
  <w:num w:numId="6">
    <w:abstractNumId w:val="5"/>
  </w:num>
  <w:num w:numId="7">
    <w:abstractNumId w:val="4"/>
  </w:num>
  <w:num w:numId="8">
    <w:abstractNumId w:val="1"/>
  </w:num>
  <w:num w:numId="9">
    <w:abstractNumId w:val="3"/>
  </w:num>
  <w:num w:numId="10">
    <w:abstractNumId w:val="8"/>
  </w:num>
  <w:num w:numId="11">
    <w:abstractNumId w:val="10"/>
  </w:num>
  <w:num w:numId="12">
    <w:abstractNumId w:val="6"/>
  </w:num>
  <w:num w:numId="13">
    <w:abstractNumId w:val="14"/>
  </w:num>
  <w:num w:numId="14">
    <w:abstractNumId w:val="11"/>
  </w:num>
  <w:num w:numId="15">
    <w:abstractNumId w:val="12"/>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3FDD"/>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703"/>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260"/>
    <w:rsid w:val="000466B1"/>
    <w:rsid w:val="000466D5"/>
    <w:rsid w:val="000518FF"/>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5B1C"/>
    <w:rsid w:val="00065E9F"/>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1CB"/>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0FE0"/>
    <w:rsid w:val="000C1E6B"/>
    <w:rsid w:val="000C238B"/>
    <w:rsid w:val="000C2764"/>
    <w:rsid w:val="000C3CC3"/>
    <w:rsid w:val="000C3DC9"/>
    <w:rsid w:val="000C4139"/>
    <w:rsid w:val="000C47B5"/>
    <w:rsid w:val="000C5414"/>
    <w:rsid w:val="000C5BCE"/>
    <w:rsid w:val="000C5DC1"/>
    <w:rsid w:val="000C6670"/>
    <w:rsid w:val="000C795A"/>
    <w:rsid w:val="000D04BF"/>
    <w:rsid w:val="000D153E"/>
    <w:rsid w:val="000D170C"/>
    <w:rsid w:val="000D1CF0"/>
    <w:rsid w:val="000D2A1F"/>
    <w:rsid w:val="000D2BB6"/>
    <w:rsid w:val="000D3E85"/>
    <w:rsid w:val="000D42B5"/>
    <w:rsid w:val="000D432F"/>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631D"/>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4CB"/>
    <w:rsid w:val="00112765"/>
    <w:rsid w:val="00112BF7"/>
    <w:rsid w:val="00113053"/>
    <w:rsid w:val="00113361"/>
    <w:rsid w:val="00113A46"/>
    <w:rsid w:val="00114AC5"/>
    <w:rsid w:val="001162E0"/>
    <w:rsid w:val="00116579"/>
    <w:rsid w:val="00116652"/>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1C79"/>
    <w:rsid w:val="00152DA5"/>
    <w:rsid w:val="00152F51"/>
    <w:rsid w:val="00152FB6"/>
    <w:rsid w:val="0015351E"/>
    <w:rsid w:val="001537A7"/>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37D"/>
    <w:rsid w:val="0018345B"/>
    <w:rsid w:val="0018356C"/>
    <w:rsid w:val="0018358B"/>
    <w:rsid w:val="0018454F"/>
    <w:rsid w:val="001846BB"/>
    <w:rsid w:val="001854BD"/>
    <w:rsid w:val="00185DC5"/>
    <w:rsid w:val="00186701"/>
    <w:rsid w:val="00186FB3"/>
    <w:rsid w:val="001872FD"/>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0880"/>
    <w:rsid w:val="001B13DB"/>
    <w:rsid w:val="001B17F6"/>
    <w:rsid w:val="001B341D"/>
    <w:rsid w:val="001B3A10"/>
    <w:rsid w:val="001B6E63"/>
    <w:rsid w:val="001B7EF3"/>
    <w:rsid w:val="001C0151"/>
    <w:rsid w:val="001C0C36"/>
    <w:rsid w:val="001C100F"/>
    <w:rsid w:val="001C1402"/>
    <w:rsid w:val="001C1FDF"/>
    <w:rsid w:val="001C24B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2E60"/>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3CAA"/>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46C1"/>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AE3"/>
    <w:rsid w:val="00214CE8"/>
    <w:rsid w:val="002160F3"/>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5E51"/>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669"/>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0BA3"/>
    <w:rsid w:val="0026116F"/>
    <w:rsid w:val="002614F4"/>
    <w:rsid w:val="002617F9"/>
    <w:rsid w:val="00262666"/>
    <w:rsid w:val="00262D7C"/>
    <w:rsid w:val="002634BD"/>
    <w:rsid w:val="00263720"/>
    <w:rsid w:val="00265161"/>
    <w:rsid w:val="00265F1B"/>
    <w:rsid w:val="002665A2"/>
    <w:rsid w:val="00267012"/>
    <w:rsid w:val="00267221"/>
    <w:rsid w:val="00270087"/>
    <w:rsid w:val="002702D6"/>
    <w:rsid w:val="00270831"/>
    <w:rsid w:val="0027275E"/>
    <w:rsid w:val="00272A7D"/>
    <w:rsid w:val="00273171"/>
    <w:rsid w:val="00273266"/>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D7"/>
    <w:rsid w:val="002A6EF0"/>
    <w:rsid w:val="002B0967"/>
    <w:rsid w:val="002B1C2A"/>
    <w:rsid w:val="002B21C2"/>
    <w:rsid w:val="002B2706"/>
    <w:rsid w:val="002B3BA3"/>
    <w:rsid w:val="002B4040"/>
    <w:rsid w:val="002B5C09"/>
    <w:rsid w:val="002B5C82"/>
    <w:rsid w:val="002B5E81"/>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7F6"/>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36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3D6B"/>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20D"/>
    <w:rsid w:val="003448FF"/>
    <w:rsid w:val="00345946"/>
    <w:rsid w:val="00345C53"/>
    <w:rsid w:val="00346754"/>
    <w:rsid w:val="00346E4A"/>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87D65"/>
    <w:rsid w:val="00390CDE"/>
    <w:rsid w:val="00392B20"/>
    <w:rsid w:val="00392F32"/>
    <w:rsid w:val="00394516"/>
    <w:rsid w:val="00394B5E"/>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AA9"/>
    <w:rsid w:val="003E1CD9"/>
    <w:rsid w:val="003E2CF8"/>
    <w:rsid w:val="003E3169"/>
    <w:rsid w:val="003E35FB"/>
    <w:rsid w:val="003E37F9"/>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744"/>
    <w:rsid w:val="003F4833"/>
    <w:rsid w:val="003F4B68"/>
    <w:rsid w:val="003F532D"/>
    <w:rsid w:val="003F7A40"/>
    <w:rsid w:val="00400352"/>
    <w:rsid w:val="004003E7"/>
    <w:rsid w:val="00400CE8"/>
    <w:rsid w:val="00401706"/>
    <w:rsid w:val="00401A8D"/>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780"/>
    <w:rsid w:val="0041486D"/>
    <w:rsid w:val="0041540D"/>
    <w:rsid w:val="0041584F"/>
    <w:rsid w:val="00415924"/>
    <w:rsid w:val="004165A7"/>
    <w:rsid w:val="00416D45"/>
    <w:rsid w:val="00416F89"/>
    <w:rsid w:val="00417B7B"/>
    <w:rsid w:val="004211BE"/>
    <w:rsid w:val="0042205F"/>
    <w:rsid w:val="00423C26"/>
    <w:rsid w:val="00423E43"/>
    <w:rsid w:val="00424839"/>
    <w:rsid w:val="0042483E"/>
    <w:rsid w:val="00424D35"/>
    <w:rsid w:val="004256FF"/>
    <w:rsid w:val="004258D6"/>
    <w:rsid w:val="004264F9"/>
    <w:rsid w:val="00426777"/>
    <w:rsid w:val="00427031"/>
    <w:rsid w:val="00427142"/>
    <w:rsid w:val="00427899"/>
    <w:rsid w:val="00427DBB"/>
    <w:rsid w:val="00427FBB"/>
    <w:rsid w:val="00430399"/>
    <w:rsid w:val="00430DEA"/>
    <w:rsid w:val="00430E42"/>
    <w:rsid w:val="0043209C"/>
    <w:rsid w:val="004322A6"/>
    <w:rsid w:val="00433351"/>
    <w:rsid w:val="004340BA"/>
    <w:rsid w:val="004341EE"/>
    <w:rsid w:val="004348C5"/>
    <w:rsid w:val="00436B6F"/>
    <w:rsid w:val="00437D5A"/>
    <w:rsid w:val="0044044F"/>
    <w:rsid w:val="00441DE8"/>
    <w:rsid w:val="00442F67"/>
    <w:rsid w:val="00442FBB"/>
    <w:rsid w:val="00443487"/>
    <w:rsid w:val="0044467E"/>
    <w:rsid w:val="0044496C"/>
    <w:rsid w:val="00444F46"/>
    <w:rsid w:val="0044520F"/>
    <w:rsid w:val="00445B5E"/>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0EF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6F78"/>
    <w:rsid w:val="004673D5"/>
    <w:rsid w:val="00470636"/>
    <w:rsid w:val="0047274B"/>
    <w:rsid w:val="00472B3D"/>
    <w:rsid w:val="00472D90"/>
    <w:rsid w:val="00473EB5"/>
    <w:rsid w:val="0047511F"/>
    <w:rsid w:val="0047647A"/>
    <w:rsid w:val="004771E5"/>
    <w:rsid w:val="00477357"/>
    <w:rsid w:val="00477E07"/>
    <w:rsid w:val="00480A69"/>
    <w:rsid w:val="004813E0"/>
    <w:rsid w:val="00482534"/>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4745"/>
    <w:rsid w:val="004A5F27"/>
    <w:rsid w:val="004A6251"/>
    <w:rsid w:val="004A6CA2"/>
    <w:rsid w:val="004A770C"/>
    <w:rsid w:val="004A77E6"/>
    <w:rsid w:val="004A781C"/>
    <w:rsid w:val="004A7ECD"/>
    <w:rsid w:val="004B05CE"/>
    <w:rsid w:val="004B0EF8"/>
    <w:rsid w:val="004B117E"/>
    <w:rsid w:val="004B17F7"/>
    <w:rsid w:val="004B1E33"/>
    <w:rsid w:val="004B2FA9"/>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32FC"/>
    <w:rsid w:val="004E3D55"/>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373F"/>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4668"/>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818"/>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3E0A"/>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2F01"/>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5A5"/>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17E6C"/>
    <w:rsid w:val="0062006E"/>
    <w:rsid w:val="00620357"/>
    <w:rsid w:val="00620617"/>
    <w:rsid w:val="00620FB8"/>
    <w:rsid w:val="006214D7"/>
    <w:rsid w:val="00621B71"/>
    <w:rsid w:val="00622BEF"/>
    <w:rsid w:val="0062386E"/>
    <w:rsid w:val="00624802"/>
    <w:rsid w:val="00624F20"/>
    <w:rsid w:val="00625F4E"/>
    <w:rsid w:val="00626E45"/>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B74"/>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0A5"/>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1E1"/>
    <w:rsid w:val="0070428E"/>
    <w:rsid w:val="007042B5"/>
    <w:rsid w:val="00704634"/>
    <w:rsid w:val="00705D6A"/>
    <w:rsid w:val="00705E84"/>
    <w:rsid w:val="00706144"/>
    <w:rsid w:val="007061EE"/>
    <w:rsid w:val="007063E6"/>
    <w:rsid w:val="00707031"/>
    <w:rsid w:val="00707245"/>
    <w:rsid w:val="00707707"/>
    <w:rsid w:val="00707DFC"/>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397"/>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0E69"/>
    <w:rsid w:val="00761447"/>
    <w:rsid w:val="00761D3A"/>
    <w:rsid w:val="00762460"/>
    <w:rsid w:val="00762B99"/>
    <w:rsid w:val="007656A2"/>
    <w:rsid w:val="00766389"/>
    <w:rsid w:val="007677CD"/>
    <w:rsid w:val="00767FE0"/>
    <w:rsid w:val="007702C1"/>
    <w:rsid w:val="00770340"/>
    <w:rsid w:val="00770536"/>
    <w:rsid w:val="00770AC5"/>
    <w:rsid w:val="007711A1"/>
    <w:rsid w:val="00771AF2"/>
    <w:rsid w:val="007722CF"/>
    <w:rsid w:val="00772E06"/>
    <w:rsid w:val="00773C44"/>
    <w:rsid w:val="00773E85"/>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5BD"/>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7F2"/>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5844"/>
    <w:rsid w:val="008161D5"/>
    <w:rsid w:val="00817154"/>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0714"/>
    <w:rsid w:val="00851000"/>
    <w:rsid w:val="00851789"/>
    <w:rsid w:val="00851F9C"/>
    <w:rsid w:val="00854886"/>
    <w:rsid w:val="00855029"/>
    <w:rsid w:val="0085507C"/>
    <w:rsid w:val="0085563E"/>
    <w:rsid w:val="00857E00"/>
    <w:rsid w:val="008601DA"/>
    <w:rsid w:val="00861653"/>
    <w:rsid w:val="00861978"/>
    <w:rsid w:val="00861BBB"/>
    <w:rsid w:val="008625C0"/>
    <w:rsid w:val="00862925"/>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3EC"/>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08B2"/>
    <w:rsid w:val="008D1236"/>
    <w:rsid w:val="008D1D99"/>
    <w:rsid w:val="008D1EDE"/>
    <w:rsid w:val="008D32AD"/>
    <w:rsid w:val="008D3620"/>
    <w:rsid w:val="008D458F"/>
    <w:rsid w:val="008D52D9"/>
    <w:rsid w:val="008D6772"/>
    <w:rsid w:val="008D7AC6"/>
    <w:rsid w:val="008D7AD1"/>
    <w:rsid w:val="008E02E6"/>
    <w:rsid w:val="008E08A8"/>
    <w:rsid w:val="008E0B04"/>
    <w:rsid w:val="008E15B5"/>
    <w:rsid w:val="008E1606"/>
    <w:rsid w:val="008E2B42"/>
    <w:rsid w:val="008E350D"/>
    <w:rsid w:val="008E3B36"/>
    <w:rsid w:val="008E3CEC"/>
    <w:rsid w:val="008E480F"/>
    <w:rsid w:val="008E4A67"/>
    <w:rsid w:val="008E54E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555"/>
    <w:rsid w:val="00912559"/>
    <w:rsid w:val="00912F68"/>
    <w:rsid w:val="009133A9"/>
    <w:rsid w:val="00913418"/>
    <w:rsid w:val="009137F9"/>
    <w:rsid w:val="00913C08"/>
    <w:rsid w:val="00915282"/>
    <w:rsid w:val="0091567A"/>
    <w:rsid w:val="00920287"/>
    <w:rsid w:val="00920947"/>
    <w:rsid w:val="0092099A"/>
    <w:rsid w:val="00920C90"/>
    <w:rsid w:val="00921E9D"/>
    <w:rsid w:val="009220E0"/>
    <w:rsid w:val="00922349"/>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178"/>
    <w:rsid w:val="00934282"/>
    <w:rsid w:val="00934719"/>
    <w:rsid w:val="00934B4F"/>
    <w:rsid w:val="00935C0C"/>
    <w:rsid w:val="00936747"/>
    <w:rsid w:val="00937A05"/>
    <w:rsid w:val="00937A28"/>
    <w:rsid w:val="00937B14"/>
    <w:rsid w:val="00937D05"/>
    <w:rsid w:val="009401E4"/>
    <w:rsid w:val="0094044A"/>
    <w:rsid w:val="00940C5D"/>
    <w:rsid w:val="00941603"/>
    <w:rsid w:val="00941701"/>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014E"/>
    <w:rsid w:val="00971321"/>
    <w:rsid w:val="00972B61"/>
    <w:rsid w:val="009730F2"/>
    <w:rsid w:val="00974250"/>
    <w:rsid w:val="00974F50"/>
    <w:rsid w:val="009756EC"/>
    <w:rsid w:val="009757EE"/>
    <w:rsid w:val="0097584C"/>
    <w:rsid w:val="00976FCC"/>
    <w:rsid w:val="0097768E"/>
    <w:rsid w:val="009818A2"/>
    <w:rsid w:val="009828F5"/>
    <w:rsid w:val="009829E2"/>
    <w:rsid w:val="00983525"/>
    <w:rsid w:val="009844CE"/>
    <w:rsid w:val="00984590"/>
    <w:rsid w:val="00984F92"/>
    <w:rsid w:val="00984FB7"/>
    <w:rsid w:val="009855CB"/>
    <w:rsid w:val="00985932"/>
    <w:rsid w:val="009868FC"/>
    <w:rsid w:val="00986D6A"/>
    <w:rsid w:val="00990013"/>
    <w:rsid w:val="00990669"/>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4BA"/>
    <w:rsid w:val="009D5AC5"/>
    <w:rsid w:val="009D5D6A"/>
    <w:rsid w:val="009D6566"/>
    <w:rsid w:val="009D6EC6"/>
    <w:rsid w:val="009D7058"/>
    <w:rsid w:val="009D76EB"/>
    <w:rsid w:val="009D7E4B"/>
    <w:rsid w:val="009E01B0"/>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3E20"/>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611"/>
    <w:rsid w:val="00A04848"/>
    <w:rsid w:val="00A04D47"/>
    <w:rsid w:val="00A06A2F"/>
    <w:rsid w:val="00A06D1F"/>
    <w:rsid w:val="00A06F57"/>
    <w:rsid w:val="00A06FB2"/>
    <w:rsid w:val="00A073BA"/>
    <w:rsid w:val="00A0765D"/>
    <w:rsid w:val="00A07A56"/>
    <w:rsid w:val="00A1031F"/>
    <w:rsid w:val="00A10D42"/>
    <w:rsid w:val="00A11062"/>
    <w:rsid w:val="00A1186C"/>
    <w:rsid w:val="00A12661"/>
    <w:rsid w:val="00A12D31"/>
    <w:rsid w:val="00A12F8B"/>
    <w:rsid w:val="00A13C0F"/>
    <w:rsid w:val="00A164A6"/>
    <w:rsid w:val="00A165FE"/>
    <w:rsid w:val="00A16EFC"/>
    <w:rsid w:val="00A17A7F"/>
    <w:rsid w:val="00A17DD0"/>
    <w:rsid w:val="00A202FC"/>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62E6"/>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086"/>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1C1"/>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0EE"/>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C6743"/>
    <w:rsid w:val="00AD100C"/>
    <w:rsid w:val="00AD2540"/>
    <w:rsid w:val="00AD38ED"/>
    <w:rsid w:val="00AD39D6"/>
    <w:rsid w:val="00AD3C97"/>
    <w:rsid w:val="00AD413F"/>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053C"/>
    <w:rsid w:val="00AF05B7"/>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17F22"/>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10F9"/>
    <w:rsid w:val="00B7192B"/>
    <w:rsid w:val="00B72097"/>
    <w:rsid w:val="00B72FDD"/>
    <w:rsid w:val="00B735DA"/>
    <w:rsid w:val="00B736E2"/>
    <w:rsid w:val="00B73AD3"/>
    <w:rsid w:val="00B759C6"/>
    <w:rsid w:val="00B766B9"/>
    <w:rsid w:val="00B76E0C"/>
    <w:rsid w:val="00B7789B"/>
    <w:rsid w:val="00B77DF2"/>
    <w:rsid w:val="00B8020F"/>
    <w:rsid w:val="00B8071F"/>
    <w:rsid w:val="00B814A1"/>
    <w:rsid w:val="00B81C9C"/>
    <w:rsid w:val="00B82205"/>
    <w:rsid w:val="00B8238D"/>
    <w:rsid w:val="00B82642"/>
    <w:rsid w:val="00B832CE"/>
    <w:rsid w:val="00B83A0B"/>
    <w:rsid w:val="00B8477B"/>
    <w:rsid w:val="00B84DE7"/>
    <w:rsid w:val="00B854B7"/>
    <w:rsid w:val="00B85D11"/>
    <w:rsid w:val="00B8650B"/>
    <w:rsid w:val="00B868FA"/>
    <w:rsid w:val="00B86B3C"/>
    <w:rsid w:val="00B876BF"/>
    <w:rsid w:val="00B87BE7"/>
    <w:rsid w:val="00B87E94"/>
    <w:rsid w:val="00B90116"/>
    <w:rsid w:val="00B90ED9"/>
    <w:rsid w:val="00B91714"/>
    <w:rsid w:val="00B923B6"/>
    <w:rsid w:val="00B9293A"/>
    <w:rsid w:val="00B93021"/>
    <w:rsid w:val="00B93BE3"/>
    <w:rsid w:val="00B94F90"/>
    <w:rsid w:val="00B950EF"/>
    <w:rsid w:val="00B95FE2"/>
    <w:rsid w:val="00B962C6"/>
    <w:rsid w:val="00B962EE"/>
    <w:rsid w:val="00B97246"/>
    <w:rsid w:val="00B9725F"/>
    <w:rsid w:val="00B972B2"/>
    <w:rsid w:val="00B97390"/>
    <w:rsid w:val="00BA03EE"/>
    <w:rsid w:val="00BA0DDD"/>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0EFF"/>
    <w:rsid w:val="00BC1305"/>
    <w:rsid w:val="00BC1DC2"/>
    <w:rsid w:val="00BC2587"/>
    <w:rsid w:val="00BC342A"/>
    <w:rsid w:val="00BC40F2"/>
    <w:rsid w:val="00BC45CE"/>
    <w:rsid w:val="00BC4F3D"/>
    <w:rsid w:val="00BC5B12"/>
    <w:rsid w:val="00BC64CE"/>
    <w:rsid w:val="00BC68AD"/>
    <w:rsid w:val="00BC7112"/>
    <w:rsid w:val="00BD0C00"/>
    <w:rsid w:val="00BD0DA0"/>
    <w:rsid w:val="00BD1F9D"/>
    <w:rsid w:val="00BD3693"/>
    <w:rsid w:val="00BD4259"/>
    <w:rsid w:val="00BD438C"/>
    <w:rsid w:val="00BD492B"/>
    <w:rsid w:val="00BD4F9A"/>
    <w:rsid w:val="00BD5E19"/>
    <w:rsid w:val="00BD6D4E"/>
    <w:rsid w:val="00BD71F1"/>
    <w:rsid w:val="00BD74CF"/>
    <w:rsid w:val="00BE1BBE"/>
    <w:rsid w:val="00BE2C9F"/>
    <w:rsid w:val="00BE33A0"/>
    <w:rsid w:val="00BE35D0"/>
    <w:rsid w:val="00BE36D5"/>
    <w:rsid w:val="00BE4FDC"/>
    <w:rsid w:val="00BE6056"/>
    <w:rsid w:val="00BE6217"/>
    <w:rsid w:val="00BE6785"/>
    <w:rsid w:val="00BE7C10"/>
    <w:rsid w:val="00BF01B9"/>
    <w:rsid w:val="00BF0D7C"/>
    <w:rsid w:val="00BF1235"/>
    <w:rsid w:val="00BF1F39"/>
    <w:rsid w:val="00BF232B"/>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5F88"/>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A82"/>
    <w:rsid w:val="00C76E4E"/>
    <w:rsid w:val="00C80261"/>
    <w:rsid w:val="00C808D5"/>
    <w:rsid w:val="00C810FC"/>
    <w:rsid w:val="00C813A5"/>
    <w:rsid w:val="00C83651"/>
    <w:rsid w:val="00C83754"/>
    <w:rsid w:val="00C83F2B"/>
    <w:rsid w:val="00C84998"/>
    <w:rsid w:val="00C849F0"/>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2368"/>
    <w:rsid w:val="00CC367C"/>
    <w:rsid w:val="00CC3FEE"/>
    <w:rsid w:val="00CC416D"/>
    <w:rsid w:val="00CC45E5"/>
    <w:rsid w:val="00CC466F"/>
    <w:rsid w:val="00CC55E8"/>
    <w:rsid w:val="00CC5DF0"/>
    <w:rsid w:val="00CC71C6"/>
    <w:rsid w:val="00CC7E7D"/>
    <w:rsid w:val="00CD0968"/>
    <w:rsid w:val="00CD0F21"/>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B18"/>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2CCC"/>
    <w:rsid w:val="00D239A5"/>
    <w:rsid w:val="00D24260"/>
    <w:rsid w:val="00D2457A"/>
    <w:rsid w:val="00D25024"/>
    <w:rsid w:val="00D25A36"/>
    <w:rsid w:val="00D26250"/>
    <w:rsid w:val="00D2737B"/>
    <w:rsid w:val="00D3007F"/>
    <w:rsid w:val="00D30447"/>
    <w:rsid w:val="00D30DBA"/>
    <w:rsid w:val="00D30EC7"/>
    <w:rsid w:val="00D325F2"/>
    <w:rsid w:val="00D33362"/>
    <w:rsid w:val="00D33C0D"/>
    <w:rsid w:val="00D34C41"/>
    <w:rsid w:val="00D35BC6"/>
    <w:rsid w:val="00D3635F"/>
    <w:rsid w:val="00D36532"/>
    <w:rsid w:val="00D367B4"/>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263B"/>
    <w:rsid w:val="00D63073"/>
    <w:rsid w:val="00D6362A"/>
    <w:rsid w:val="00D63DA5"/>
    <w:rsid w:val="00D641C8"/>
    <w:rsid w:val="00D64B3A"/>
    <w:rsid w:val="00D64D09"/>
    <w:rsid w:val="00D6587E"/>
    <w:rsid w:val="00D65C48"/>
    <w:rsid w:val="00D67C48"/>
    <w:rsid w:val="00D70CA3"/>
    <w:rsid w:val="00D718E2"/>
    <w:rsid w:val="00D719E5"/>
    <w:rsid w:val="00D72097"/>
    <w:rsid w:val="00D722FA"/>
    <w:rsid w:val="00D73167"/>
    <w:rsid w:val="00D7322F"/>
    <w:rsid w:val="00D733BC"/>
    <w:rsid w:val="00D73481"/>
    <w:rsid w:val="00D73C07"/>
    <w:rsid w:val="00D743AB"/>
    <w:rsid w:val="00D745B7"/>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87AAE"/>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3D2F"/>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220"/>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112"/>
    <w:rsid w:val="00DF0FAE"/>
    <w:rsid w:val="00DF1506"/>
    <w:rsid w:val="00DF1880"/>
    <w:rsid w:val="00DF1F74"/>
    <w:rsid w:val="00DF2FA1"/>
    <w:rsid w:val="00DF5862"/>
    <w:rsid w:val="00DF5E93"/>
    <w:rsid w:val="00DF66BB"/>
    <w:rsid w:val="00DF6FB0"/>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4DB"/>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0CC3"/>
    <w:rsid w:val="00E70CCF"/>
    <w:rsid w:val="00E71269"/>
    <w:rsid w:val="00E71EAE"/>
    <w:rsid w:val="00E7339F"/>
    <w:rsid w:val="00E75146"/>
    <w:rsid w:val="00E755AB"/>
    <w:rsid w:val="00E75B19"/>
    <w:rsid w:val="00E75BB5"/>
    <w:rsid w:val="00E7676F"/>
    <w:rsid w:val="00E7767C"/>
    <w:rsid w:val="00E77805"/>
    <w:rsid w:val="00E77C72"/>
    <w:rsid w:val="00E801F8"/>
    <w:rsid w:val="00E8167D"/>
    <w:rsid w:val="00E81BCF"/>
    <w:rsid w:val="00E8217A"/>
    <w:rsid w:val="00E82708"/>
    <w:rsid w:val="00E82822"/>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590"/>
    <w:rsid w:val="00EA7BE2"/>
    <w:rsid w:val="00EA7C5F"/>
    <w:rsid w:val="00EA7FAC"/>
    <w:rsid w:val="00EB0480"/>
    <w:rsid w:val="00EB0E25"/>
    <w:rsid w:val="00EB1BF9"/>
    <w:rsid w:val="00EB1D2C"/>
    <w:rsid w:val="00EB2497"/>
    <w:rsid w:val="00EB2A4F"/>
    <w:rsid w:val="00EB2ACC"/>
    <w:rsid w:val="00EB2D9B"/>
    <w:rsid w:val="00EB2E5C"/>
    <w:rsid w:val="00EB2F4D"/>
    <w:rsid w:val="00EB3C52"/>
    <w:rsid w:val="00EB51C7"/>
    <w:rsid w:val="00EB5858"/>
    <w:rsid w:val="00EB5DEF"/>
    <w:rsid w:val="00EB61E5"/>
    <w:rsid w:val="00EB67AA"/>
    <w:rsid w:val="00EB70B5"/>
    <w:rsid w:val="00EB780C"/>
    <w:rsid w:val="00EC23C4"/>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DE"/>
    <w:rsid w:val="00ED18EC"/>
    <w:rsid w:val="00ED2378"/>
    <w:rsid w:val="00ED29A6"/>
    <w:rsid w:val="00ED35F3"/>
    <w:rsid w:val="00ED3702"/>
    <w:rsid w:val="00ED3C6C"/>
    <w:rsid w:val="00ED525B"/>
    <w:rsid w:val="00ED5337"/>
    <w:rsid w:val="00ED59E7"/>
    <w:rsid w:val="00ED72E4"/>
    <w:rsid w:val="00ED7403"/>
    <w:rsid w:val="00ED7AA8"/>
    <w:rsid w:val="00EE057C"/>
    <w:rsid w:val="00EE0858"/>
    <w:rsid w:val="00EE1B1F"/>
    <w:rsid w:val="00EE236A"/>
    <w:rsid w:val="00EE2649"/>
    <w:rsid w:val="00EE3015"/>
    <w:rsid w:val="00EE31AF"/>
    <w:rsid w:val="00EE34A1"/>
    <w:rsid w:val="00EE41A1"/>
    <w:rsid w:val="00EE481B"/>
    <w:rsid w:val="00EE50C5"/>
    <w:rsid w:val="00EE536C"/>
    <w:rsid w:val="00EE53E7"/>
    <w:rsid w:val="00EE71BF"/>
    <w:rsid w:val="00EE73E5"/>
    <w:rsid w:val="00EE7B44"/>
    <w:rsid w:val="00EE7D04"/>
    <w:rsid w:val="00EE7FB9"/>
    <w:rsid w:val="00EF09AC"/>
    <w:rsid w:val="00EF14D1"/>
    <w:rsid w:val="00EF1D2A"/>
    <w:rsid w:val="00EF1DD2"/>
    <w:rsid w:val="00EF2D0C"/>
    <w:rsid w:val="00EF58F2"/>
    <w:rsid w:val="00EF60C8"/>
    <w:rsid w:val="00EF6733"/>
    <w:rsid w:val="00EF6AD7"/>
    <w:rsid w:val="00F006A9"/>
    <w:rsid w:val="00F009EB"/>
    <w:rsid w:val="00F00EFF"/>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228"/>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5F1A"/>
    <w:rsid w:val="00F66D81"/>
    <w:rsid w:val="00F67C3E"/>
    <w:rsid w:val="00F70281"/>
    <w:rsid w:val="00F707C2"/>
    <w:rsid w:val="00F707EE"/>
    <w:rsid w:val="00F710EA"/>
    <w:rsid w:val="00F73249"/>
    <w:rsid w:val="00F73BF7"/>
    <w:rsid w:val="00F74615"/>
    <w:rsid w:val="00F74CF0"/>
    <w:rsid w:val="00F75115"/>
    <w:rsid w:val="00F75A3F"/>
    <w:rsid w:val="00F75D29"/>
    <w:rsid w:val="00F75F03"/>
    <w:rsid w:val="00F77624"/>
    <w:rsid w:val="00F804E8"/>
    <w:rsid w:val="00F80DF4"/>
    <w:rsid w:val="00F8147C"/>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1E8F"/>
    <w:rsid w:val="00FA2900"/>
    <w:rsid w:val="00FA39AD"/>
    <w:rsid w:val="00FA3C84"/>
    <w:rsid w:val="00FA46ED"/>
    <w:rsid w:val="00FA4A5E"/>
    <w:rsid w:val="00FA4B22"/>
    <w:rsid w:val="00FA5829"/>
    <w:rsid w:val="00FA59CF"/>
    <w:rsid w:val="00FA746C"/>
    <w:rsid w:val="00FA7B8D"/>
    <w:rsid w:val="00FB0C83"/>
    <w:rsid w:val="00FB1043"/>
    <w:rsid w:val="00FB20F3"/>
    <w:rsid w:val="00FB43AC"/>
    <w:rsid w:val="00FB47EA"/>
    <w:rsid w:val="00FB567E"/>
    <w:rsid w:val="00FB7C38"/>
    <w:rsid w:val="00FB7F1F"/>
    <w:rsid w:val="00FC054A"/>
    <w:rsid w:val="00FC0790"/>
    <w:rsid w:val="00FC0A0D"/>
    <w:rsid w:val="00FC0DFE"/>
    <w:rsid w:val="00FC0F4A"/>
    <w:rsid w:val="00FC1289"/>
    <w:rsid w:val="00FC16C4"/>
    <w:rsid w:val="00FC26C9"/>
    <w:rsid w:val="00FC2C91"/>
    <w:rsid w:val="00FC3459"/>
    <w:rsid w:val="00FC387F"/>
    <w:rsid w:val="00FC4C6D"/>
    <w:rsid w:val="00FC4DC2"/>
    <w:rsid w:val="00FC5311"/>
    <w:rsid w:val="00FC6C11"/>
    <w:rsid w:val="00FC7940"/>
    <w:rsid w:val="00FC7B46"/>
    <w:rsid w:val="00FC7B74"/>
    <w:rsid w:val="00FD0CFA"/>
    <w:rsid w:val="00FD1CE7"/>
    <w:rsid w:val="00FD1CF2"/>
    <w:rsid w:val="00FD1D4B"/>
    <w:rsid w:val="00FD1F76"/>
    <w:rsid w:val="00FD230C"/>
    <w:rsid w:val="00FD30CD"/>
    <w:rsid w:val="00FD40D5"/>
    <w:rsid w:val="00FD4636"/>
    <w:rsid w:val="00FD46BA"/>
    <w:rsid w:val="00FD4915"/>
    <w:rsid w:val="00FD4F18"/>
    <w:rsid w:val="00FD534A"/>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281"/>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0D18D3-4D99-4E3E-9A1A-453207E5B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13</Pages>
  <Words>4755</Words>
  <Characters>26158</Characters>
  <Application>Microsoft Office Word</Application>
  <DocSecurity>0</DocSecurity>
  <Lines>217</Lines>
  <Paragraphs>61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30852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50</cp:revision>
  <cp:lastPrinted>2021-06-15T19:51:00Z</cp:lastPrinted>
  <dcterms:created xsi:type="dcterms:W3CDTF">2021-06-07T18:05:00Z</dcterms:created>
  <dcterms:modified xsi:type="dcterms:W3CDTF">2021-09-13T18:49:00Z</dcterms:modified>
</cp:coreProperties>
</file>