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22DA5E" w14:textId="77777777" w:rsidR="00BE74A2" w:rsidRPr="00CB6405" w:rsidRDefault="00BE74A2" w:rsidP="00FD190A">
      <w:pPr>
        <w:spacing w:line="240" w:lineRule="auto"/>
        <w:ind w:left="2835"/>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w:t>
      </w:r>
      <w:r w:rsidRPr="00CB6405">
        <w:rPr>
          <w:rFonts w:ascii="Arial" w:hAnsi="Arial" w:cs="Arial"/>
          <w:b/>
          <w:sz w:val="26"/>
          <w:szCs w:val="26"/>
        </w:rPr>
        <w:t>ADMINISTRATIV</w:t>
      </w:r>
      <w:r>
        <w:rPr>
          <w:rFonts w:ascii="Arial" w:hAnsi="Arial" w:cs="Arial"/>
          <w:b/>
          <w:sz w:val="26"/>
          <w:szCs w:val="26"/>
        </w:rPr>
        <w:t xml:space="preserve">A </w:t>
      </w:r>
      <w:r w:rsidRPr="00CB6405">
        <w:rPr>
          <w:rFonts w:ascii="Arial" w:hAnsi="Arial" w:cs="Arial"/>
          <w:b/>
          <w:sz w:val="26"/>
          <w:szCs w:val="26"/>
        </w:rPr>
        <w:t>DEL ESTADO DE OAXACA</w:t>
      </w:r>
    </w:p>
    <w:p w14:paraId="08201F98" w14:textId="77777777" w:rsidR="00BE74A2" w:rsidRPr="00A240AA" w:rsidRDefault="00BE74A2" w:rsidP="00FD190A">
      <w:pPr>
        <w:spacing w:line="240" w:lineRule="auto"/>
        <w:ind w:left="2835"/>
        <w:jc w:val="both"/>
        <w:rPr>
          <w:rFonts w:ascii="Arial" w:hAnsi="Arial" w:cs="Arial"/>
          <w:b/>
          <w:sz w:val="26"/>
          <w:szCs w:val="26"/>
        </w:rPr>
      </w:pPr>
      <w:r>
        <w:rPr>
          <w:rFonts w:ascii="Arial" w:hAnsi="Arial" w:cs="Arial"/>
          <w:b/>
          <w:sz w:val="26"/>
          <w:szCs w:val="26"/>
        </w:rPr>
        <w:t>RECURSO DE REVISIÓN: 0469/2019.</w:t>
      </w:r>
    </w:p>
    <w:p w14:paraId="5368BCB8" w14:textId="77777777" w:rsidR="00BE74A2" w:rsidRPr="00CB6405" w:rsidRDefault="00BE74A2" w:rsidP="00FD190A">
      <w:pPr>
        <w:spacing w:line="240" w:lineRule="auto"/>
        <w:ind w:left="2835"/>
        <w:jc w:val="both"/>
        <w:rPr>
          <w:rFonts w:ascii="Arial" w:hAnsi="Arial" w:cs="Arial"/>
          <w:b/>
          <w:sz w:val="26"/>
          <w:szCs w:val="26"/>
        </w:rPr>
      </w:pPr>
      <w:r w:rsidRPr="00A240AA">
        <w:rPr>
          <w:rFonts w:ascii="Arial" w:hAnsi="Arial" w:cs="Arial"/>
          <w:b/>
          <w:sz w:val="26"/>
          <w:szCs w:val="26"/>
        </w:rPr>
        <w:t>EXPEDIENTE:</w:t>
      </w:r>
      <w:r w:rsidRPr="00A240AA">
        <w:rPr>
          <w:rFonts w:ascii="Arial" w:hAnsi="Arial" w:cs="Arial"/>
          <w:b/>
          <w:sz w:val="26"/>
          <w:szCs w:val="26"/>
        </w:rPr>
        <w:tab/>
      </w:r>
      <w:r>
        <w:rPr>
          <w:rFonts w:ascii="Arial" w:hAnsi="Arial" w:cs="Arial"/>
          <w:b/>
          <w:iCs/>
          <w:caps/>
          <w:sz w:val="26"/>
          <w:szCs w:val="26"/>
        </w:rPr>
        <w:t>0281/2016 DE LA PRIMERa</w:t>
      </w:r>
      <w:r w:rsidRPr="002C2607">
        <w:rPr>
          <w:rFonts w:ascii="Arial" w:hAnsi="Arial" w:cs="Arial"/>
          <w:b/>
          <w:iCs/>
          <w:caps/>
          <w:sz w:val="26"/>
          <w:szCs w:val="26"/>
        </w:rPr>
        <w:t xml:space="preserve"> </w:t>
      </w:r>
      <w:r>
        <w:rPr>
          <w:rFonts w:ascii="Arial" w:hAnsi="Arial" w:cs="Arial"/>
          <w:b/>
          <w:iCs/>
          <w:caps/>
          <w:sz w:val="26"/>
          <w:szCs w:val="26"/>
        </w:rPr>
        <w:t>s</w:t>
      </w:r>
      <w:r w:rsidRPr="00CB6405">
        <w:rPr>
          <w:rFonts w:ascii="Arial" w:hAnsi="Arial" w:cs="Arial"/>
          <w:b/>
          <w:sz w:val="26"/>
          <w:szCs w:val="26"/>
        </w:rPr>
        <w:t>ALA UNITARIA DE PRIMERA INSTANCIA</w:t>
      </w:r>
      <w:r>
        <w:rPr>
          <w:rFonts w:ascii="Arial" w:hAnsi="Arial" w:cs="Arial"/>
          <w:b/>
          <w:sz w:val="26"/>
          <w:szCs w:val="26"/>
        </w:rPr>
        <w:t>.</w:t>
      </w:r>
    </w:p>
    <w:p w14:paraId="741CC904" w14:textId="77777777" w:rsidR="00BE74A2" w:rsidRPr="00CB6405" w:rsidRDefault="00BE74A2" w:rsidP="00FD190A">
      <w:pPr>
        <w:spacing w:line="240" w:lineRule="auto"/>
        <w:ind w:left="2835"/>
        <w:jc w:val="both"/>
        <w:rPr>
          <w:rFonts w:ascii="Arial" w:hAnsi="Arial" w:cs="Arial"/>
          <w:b/>
          <w:sz w:val="26"/>
          <w:szCs w:val="26"/>
        </w:rPr>
      </w:pPr>
      <w:r w:rsidRPr="00CB6405">
        <w:rPr>
          <w:rFonts w:ascii="Arial" w:hAnsi="Arial" w:cs="Arial"/>
          <w:b/>
          <w:sz w:val="26"/>
          <w:szCs w:val="26"/>
        </w:rPr>
        <w:t xml:space="preserve">PONENTE: MAGISTRADO </w:t>
      </w:r>
      <w:r>
        <w:rPr>
          <w:rFonts w:ascii="Arial" w:hAnsi="Arial" w:cs="Arial"/>
          <w:b/>
          <w:sz w:val="26"/>
          <w:szCs w:val="26"/>
        </w:rPr>
        <w:t>MANUEL VELASCO ALCÁNTARA</w:t>
      </w:r>
      <w:r w:rsidRPr="00CB6405">
        <w:rPr>
          <w:rFonts w:ascii="Arial" w:hAnsi="Arial" w:cs="Arial"/>
          <w:b/>
          <w:sz w:val="26"/>
          <w:szCs w:val="26"/>
        </w:rPr>
        <w:t>.</w:t>
      </w:r>
    </w:p>
    <w:p w14:paraId="0F58870E" w14:textId="77777777" w:rsidR="00BE74A2" w:rsidRPr="00CB6405" w:rsidRDefault="00BE74A2" w:rsidP="00BE74A2">
      <w:pPr>
        <w:tabs>
          <w:tab w:val="left" w:pos="7482"/>
        </w:tabs>
        <w:spacing w:line="240" w:lineRule="auto"/>
        <w:ind w:left="2124"/>
        <w:jc w:val="both"/>
        <w:rPr>
          <w:rFonts w:ascii="Arial" w:hAnsi="Arial" w:cs="Arial"/>
          <w:b/>
          <w:sz w:val="26"/>
          <w:szCs w:val="26"/>
        </w:rPr>
      </w:pPr>
    </w:p>
    <w:p w14:paraId="5241ED71" w14:textId="507AE917" w:rsidR="00BE74A2" w:rsidRDefault="00BE74A2" w:rsidP="00BE74A2">
      <w:pPr>
        <w:spacing w:line="360" w:lineRule="auto"/>
        <w:jc w:val="both"/>
        <w:rPr>
          <w:rFonts w:ascii="Arial" w:hAnsi="Arial" w:cs="Arial"/>
          <w:b/>
          <w:sz w:val="26"/>
          <w:szCs w:val="26"/>
        </w:rPr>
      </w:pPr>
      <w:r w:rsidRPr="00CB6405">
        <w:rPr>
          <w:rFonts w:ascii="Arial" w:hAnsi="Arial" w:cs="Arial"/>
          <w:b/>
          <w:sz w:val="26"/>
          <w:szCs w:val="26"/>
        </w:rPr>
        <w:t>OAXACA DE JUÁREZ, OAXACA</w:t>
      </w:r>
      <w:r>
        <w:rPr>
          <w:rFonts w:ascii="Arial" w:hAnsi="Arial" w:cs="Arial"/>
          <w:b/>
          <w:sz w:val="26"/>
          <w:szCs w:val="26"/>
        </w:rPr>
        <w:t>,</w:t>
      </w:r>
      <w:r w:rsidRPr="00CB6405">
        <w:rPr>
          <w:rFonts w:ascii="Arial" w:hAnsi="Arial" w:cs="Arial"/>
          <w:b/>
          <w:sz w:val="26"/>
          <w:szCs w:val="26"/>
        </w:rPr>
        <w:t xml:space="preserve"> </w:t>
      </w:r>
      <w:r w:rsidR="001008EE">
        <w:rPr>
          <w:rFonts w:ascii="Arial" w:hAnsi="Arial" w:cs="Arial"/>
          <w:b/>
          <w:sz w:val="26"/>
          <w:szCs w:val="26"/>
        </w:rPr>
        <w:t xml:space="preserve">A SIETE DE OCTUBRE </w:t>
      </w:r>
      <w:r w:rsidRPr="00CB6405">
        <w:rPr>
          <w:rFonts w:ascii="Arial" w:hAnsi="Arial" w:cs="Arial"/>
          <w:b/>
          <w:sz w:val="26"/>
          <w:szCs w:val="26"/>
        </w:rPr>
        <w:t>DE</w:t>
      </w:r>
      <w:r>
        <w:rPr>
          <w:rFonts w:ascii="Arial" w:hAnsi="Arial" w:cs="Arial"/>
          <w:b/>
          <w:sz w:val="26"/>
          <w:szCs w:val="26"/>
        </w:rPr>
        <w:t>L AÑO</w:t>
      </w:r>
      <w:r w:rsidRPr="00CB6405">
        <w:rPr>
          <w:rFonts w:ascii="Arial" w:hAnsi="Arial" w:cs="Arial"/>
          <w:b/>
          <w:sz w:val="26"/>
          <w:szCs w:val="26"/>
        </w:rPr>
        <w:t xml:space="preserve"> DOS MIL </w:t>
      </w:r>
      <w:r>
        <w:rPr>
          <w:rFonts w:ascii="Arial" w:hAnsi="Arial" w:cs="Arial"/>
          <w:b/>
          <w:sz w:val="26"/>
          <w:szCs w:val="26"/>
        </w:rPr>
        <w:t>VEINTIUNO</w:t>
      </w:r>
      <w:r w:rsidRPr="00CB6405">
        <w:rPr>
          <w:rFonts w:ascii="Arial" w:hAnsi="Arial" w:cs="Arial"/>
          <w:b/>
          <w:sz w:val="26"/>
          <w:szCs w:val="26"/>
        </w:rPr>
        <w:t>.</w:t>
      </w:r>
      <w:r>
        <w:rPr>
          <w:rFonts w:ascii="Arial" w:hAnsi="Arial" w:cs="Arial"/>
          <w:b/>
          <w:sz w:val="26"/>
          <w:szCs w:val="26"/>
        </w:rPr>
        <w:t xml:space="preserve"> - - - - - - - - - - - - - - - - - - - - - - - - - - - - - - - </w:t>
      </w:r>
      <w:r w:rsidR="001008EE">
        <w:rPr>
          <w:rFonts w:ascii="Arial" w:hAnsi="Arial" w:cs="Arial"/>
          <w:b/>
          <w:sz w:val="26"/>
          <w:szCs w:val="26"/>
        </w:rPr>
        <w:t xml:space="preserve">- - - - </w:t>
      </w:r>
    </w:p>
    <w:p w14:paraId="463EDB39" w14:textId="71E666E1" w:rsidR="00BE74A2" w:rsidRPr="00CB6405" w:rsidRDefault="00BE74A2" w:rsidP="00BE74A2">
      <w:pPr>
        <w:spacing w:line="360" w:lineRule="auto"/>
        <w:ind w:firstLine="708"/>
        <w:jc w:val="both"/>
        <w:rPr>
          <w:rFonts w:ascii="Arial" w:hAnsi="Arial" w:cs="Arial"/>
          <w:sz w:val="26"/>
          <w:szCs w:val="26"/>
        </w:rPr>
      </w:pPr>
      <w:r w:rsidRPr="00CB6405">
        <w:rPr>
          <w:rFonts w:ascii="Arial" w:hAnsi="Arial" w:cs="Arial"/>
          <w:sz w:val="26"/>
          <w:szCs w:val="26"/>
        </w:rPr>
        <w:t>Por recibido</w:t>
      </w:r>
      <w:r>
        <w:rPr>
          <w:rFonts w:ascii="Arial" w:hAnsi="Arial" w:cs="Arial"/>
          <w:sz w:val="26"/>
          <w:szCs w:val="26"/>
        </w:rPr>
        <w:t xml:space="preserve"> el Cuaderno de </w:t>
      </w:r>
      <w:r w:rsidRPr="00CB6405">
        <w:rPr>
          <w:rFonts w:ascii="Arial" w:hAnsi="Arial" w:cs="Arial"/>
          <w:sz w:val="26"/>
          <w:szCs w:val="26"/>
        </w:rPr>
        <w:t xml:space="preserve">Revisión </w:t>
      </w:r>
      <w:r>
        <w:rPr>
          <w:rFonts w:ascii="Arial" w:hAnsi="Arial" w:cs="Arial"/>
          <w:b/>
          <w:sz w:val="26"/>
          <w:szCs w:val="26"/>
        </w:rPr>
        <w:t>0469/2019</w:t>
      </w:r>
      <w:r w:rsidRPr="00CB6405">
        <w:rPr>
          <w:rFonts w:ascii="Arial" w:hAnsi="Arial" w:cs="Arial"/>
          <w:sz w:val="26"/>
          <w:szCs w:val="26"/>
        </w:rPr>
        <w:t>, que remite la Secretaría General de Acuerdos, con motivo del recurso de revisión interpuesto po</w:t>
      </w:r>
      <w:r>
        <w:rPr>
          <w:rFonts w:ascii="Arial" w:hAnsi="Arial" w:cs="Arial"/>
          <w:sz w:val="26"/>
          <w:szCs w:val="26"/>
        </w:rPr>
        <w:t>r</w:t>
      </w:r>
      <w:r>
        <w:rPr>
          <w:rFonts w:ascii="Arial" w:hAnsi="Arial" w:cs="Arial"/>
          <w:b/>
          <w:sz w:val="26"/>
          <w:szCs w:val="26"/>
        </w:rPr>
        <w:t xml:space="preserve"> </w:t>
      </w:r>
      <w:r>
        <w:rPr>
          <w:rFonts w:ascii="Arial" w:hAnsi="Arial" w:cs="Arial"/>
          <w:bCs/>
          <w:sz w:val="26"/>
          <w:szCs w:val="26"/>
        </w:rPr>
        <w:t>el</w:t>
      </w:r>
      <w:r>
        <w:rPr>
          <w:rFonts w:ascii="Arial" w:hAnsi="Arial" w:cs="Arial"/>
          <w:b/>
          <w:sz w:val="26"/>
          <w:szCs w:val="26"/>
        </w:rPr>
        <w:t xml:space="preserve"> DIRECTOR JURÍDICO DE LA SECRETARÍA DE MOVILIDAD DEL GOBIERNO DEL ESTADO DE OAXACA, </w:t>
      </w:r>
      <w:r>
        <w:rPr>
          <w:rFonts w:ascii="Arial" w:hAnsi="Arial" w:cs="Arial"/>
          <w:sz w:val="26"/>
          <w:szCs w:val="26"/>
        </w:rPr>
        <w:t>promovido en</w:t>
      </w:r>
      <w:r w:rsidRPr="00CB6405">
        <w:rPr>
          <w:rFonts w:ascii="Arial" w:hAnsi="Arial" w:cs="Arial"/>
          <w:sz w:val="26"/>
          <w:szCs w:val="26"/>
        </w:rPr>
        <w:t xml:space="preserve"> contra de</w:t>
      </w:r>
      <w:r>
        <w:rPr>
          <w:rFonts w:ascii="Arial" w:hAnsi="Arial" w:cs="Arial"/>
          <w:sz w:val="26"/>
          <w:szCs w:val="26"/>
        </w:rPr>
        <w:t xml:space="preserve"> la resolución del recurso de queja de fecha 5 cinco de noviembre de 2019 dos mil diecinueve</w:t>
      </w:r>
      <w:r w:rsidRPr="00A240AA">
        <w:rPr>
          <w:rFonts w:ascii="Arial" w:hAnsi="Arial" w:cs="Arial"/>
          <w:sz w:val="26"/>
          <w:szCs w:val="26"/>
        </w:rPr>
        <w:t xml:space="preserve">, dictada en el expediente </w:t>
      </w:r>
      <w:r>
        <w:rPr>
          <w:rFonts w:ascii="Arial" w:hAnsi="Arial" w:cs="Arial"/>
          <w:b/>
          <w:iCs/>
          <w:caps/>
          <w:sz w:val="26"/>
          <w:szCs w:val="26"/>
        </w:rPr>
        <w:t>0281/2016</w:t>
      </w:r>
      <w:r w:rsidRPr="00A240AA">
        <w:rPr>
          <w:rFonts w:ascii="Arial" w:hAnsi="Arial" w:cs="Arial"/>
          <w:b/>
          <w:sz w:val="26"/>
          <w:szCs w:val="26"/>
        </w:rPr>
        <w:t>,</w:t>
      </w:r>
      <w:r w:rsidRPr="00CB6405">
        <w:rPr>
          <w:rFonts w:ascii="Arial" w:hAnsi="Arial" w:cs="Arial"/>
          <w:sz w:val="26"/>
          <w:szCs w:val="26"/>
        </w:rPr>
        <w:t xml:space="preserve"> de la </w:t>
      </w:r>
      <w:r>
        <w:rPr>
          <w:rFonts w:ascii="Arial" w:hAnsi="Arial" w:cs="Arial"/>
          <w:sz w:val="26"/>
          <w:szCs w:val="26"/>
        </w:rPr>
        <w:t xml:space="preserve">Primera </w:t>
      </w:r>
      <w:r w:rsidRPr="00CB6405">
        <w:rPr>
          <w:rFonts w:ascii="Arial" w:hAnsi="Arial" w:cs="Arial"/>
          <w:sz w:val="26"/>
          <w:szCs w:val="26"/>
        </w:rPr>
        <w:t>Sala Unitaria de Primera Instancia</w:t>
      </w:r>
      <w:r>
        <w:rPr>
          <w:rFonts w:ascii="Arial" w:hAnsi="Arial" w:cs="Arial"/>
          <w:sz w:val="26"/>
          <w:szCs w:val="26"/>
        </w:rPr>
        <w:t xml:space="preserve"> de este Tribunal</w:t>
      </w:r>
      <w:r w:rsidRPr="00CB6405">
        <w:rPr>
          <w:rFonts w:ascii="Arial" w:hAnsi="Arial" w:cs="Arial"/>
          <w:sz w:val="26"/>
          <w:szCs w:val="26"/>
        </w:rPr>
        <w:t xml:space="preserve">, relativo al </w:t>
      </w:r>
      <w:r>
        <w:rPr>
          <w:rFonts w:ascii="Arial" w:hAnsi="Arial" w:cs="Arial"/>
          <w:sz w:val="26"/>
          <w:szCs w:val="26"/>
        </w:rPr>
        <w:t xml:space="preserve">juicio de nulidad promovido por </w:t>
      </w:r>
      <w:r w:rsidR="00FE4C84">
        <w:rPr>
          <w:rFonts w:ascii="Arial" w:eastAsia="Times New Roman" w:hAnsi="Arial" w:cs="Arial"/>
          <w:b/>
          <w:iCs/>
          <w:color w:val="000000"/>
        </w:rPr>
        <w:t>***********</w:t>
      </w:r>
      <w:r>
        <w:rPr>
          <w:rFonts w:ascii="Arial" w:hAnsi="Arial" w:cs="Arial"/>
          <w:b/>
          <w:bCs/>
          <w:sz w:val="26"/>
          <w:szCs w:val="26"/>
        </w:rPr>
        <w:t xml:space="preserve">, </w:t>
      </w:r>
      <w:r w:rsidRPr="00CB6405">
        <w:rPr>
          <w:rFonts w:ascii="Arial" w:hAnsi="Arial" w:cs="Arial"/>
          <w:sz w:val="26"/>
          <w:szCs w:val="26"/>
        </w:rPr>
        <w:t>en contra de</w:t>
      </w:r>
      <w:r>
        <w:rPr>
          <w:rFonts w:ascii="Arial" w:hAnsi="Arial" w:cs="Arial"/>
          <w:sz w:val="26"/>
          <w:szCs w:val="26"/>
        </w:rPr>
        <w:t xml:space="preserve">l </w:t>
      </w:r>
      <w:r w:rsidRPr="00F84CA7">
        <w:rPr>
          <w:rFonts w:ascii="Arial" w:hAnsi="Arial" w:cs="Arial"/>
          <w:b/>
          <w:sz w:val="26"/>
          <w:szCs w:val="26"/>
        </w:rPr>
        <w:t xml:space="preserve">SECRETARIO DE SEGURIDAD PÚBLICA DEL ESTADO, </w:t>
      </w:r>
      <w:r>
        <w:rPr>
          <w:rFonts w:ascii="Arial" w:hAnsi="Arial" w:cs="Arial"/>
          <w:b/>
          <w:sz w:val="26"/>
          <w:szCs w:val="26"/>
        </w:rPr>
        <w:t xml:space="preserve">SECRETARIO DE VIALIDAD Y TRANSPORTE (ANTES COORDINADOR GENERAL DEL TRANSPORTE DEL ESTADO DE OAXACA), DIRECTOR DE TRÁNSITO DEL ESTADO y EL JEFE OPERATIVO DE TRÁNSITO DEL ESTADO EN ZIMATLÁN DE ÁLVAREZ, OAXACA; </w:t>
      </w:r>
      <w:r w:rsidRPr="00CB6405">
        <w:rPr>
          <w:rFonts w:ascii="Arial" w:hAnsi="Arial" w:cs="Arial"/>
          <w:sz w:val="26"/>
          <w:szCs w:val="26"/>
        </w:rPr>
        <w:t xml:space="preserve">por lo que con fundamento en los artículos </w:t>
      </w:r>
      <w:r>
        <w:rPr>
          <w:rFonts w:ascii="Arial" w:hAnsi="Arial" w:cs="Arial"/>
          <w:sz w:val="26"/>
          <w:szCs w:val="26"/>
        </w:rPr>
        <w:t>206 y 20</w:t>
      </w:r>
      <w:r w:rsidR="002C6005">
        <w:rPr>
          <w:rFonts w:ascii="Arial" w:hAnsi="Arial" w:cs="Arial"/>
          <w:sz w:val="26"/>
          <w:szCs w:val="26"/>
        </w:rPr>
        <w:t>7</w:t>
      </w:r>
      <w:r w:rsidRPr="001238BA">
        <w:rPr>
          <w:rFonts w:ascii="Arial" w:hAnsi="Arial" w:cs="Arial"/>
          <w:sz w:val="26"/>
          <w:szCs w:val="26"/>
        </w:rPr>
        <w:t xml:space="preserve"> de la Ley de Justicia Administrativa para el Estado de Oaxaca</w:t>
      </w:r>
      <w:r w:rsidRPr="00CB6405">
        <w:rPr>
          <w:rFonts w:ascii="Arial" w:hAnsi="Arial" w:cs="Arial"/>
          <w:sz w:val="26"/>
          <w:szCs w:val="26"/>
        </w:rPr>
        <w:t>,</w:t>
      </w:r>
      <w:r>
        <w:rPr>
          <w:rFonts w:ascii="Arial" w:hAnsi="Arial" w:cs="Arial"/>
          <w:sz w:val="26"/>
          <w:szCs w:val="26"/>
        </w:rPr>
        <w:t xml:space="preserve"> </w:t>
      </w:r>
      <w:r w:rsidR="002C6005">
        <w:rPr>
          <w:rFonts w:ascii="Arial" w:hAnsi="Arial" w:cs="Arial"/>
          <w:sz w:val="26"/>
          <w:szCs w:val="26"/>
        </w:rPr>
        <w:t>al estar vigente al inicio del juicio natural</w:t>
      </w:r>
      <w:r>
        <w:rPr>
          <w:rFonts w:ascii="Arial" w:hAnsi="Arial" w:cs="Arial"/>
          <w:sz w:val="26"/>
          <w:szCs w:val="26"/>
        </w:rPr>
        <w:t>,</w:t>
      </w:r>
      <w:r w:rsidRPr="00CB6405">
        <w:rPr>
          <w:rFonts w:ascii="Arial" w:hAnsi="Arial" w:cs="Arial"/>
          <w:sz w:val="26"/>
          <w:szCs w:val="26"/>
        </w:rPr>
        <w:t xml:space="preserve"> se admite. En consecuencia, se procede a dictar resolución en los siguientes términos:</w:t>
      </w:r>
      <w:r w:rsidR="002C6005">
        <w:rPr>
          <w:rFonts w:ascii="Arial" w:hAnsi="Arial" w:cs="Arial"/>
          <w:sz w:val="26"/>
          <w:szCs w:val="26"/>
        </w:rPr>
        <w:t xml:space="preserve"> - - -- - - - - - - - - - </w:t>
      </w:r>
      <w:r w:rsidR="00FE4C84">
        <w:rPr>
          <w:rFonts w:ascii="Arial" w:hAnsi="Arial" w:cs="Arial"/>
          <w:sz w:val="26"/>
          <w:szCs w:val="26"/>
        </w:rPr>
        <w:t xml:space="preserve"> </w:t>
      </w:r>
    </w:p>
    <w:p w14:paraId="746CE502" w14:textId="77777777" w:rsidR="00BE74A2" w:rsidRPr="00CB6405" w:rsidRDefault="00BE74A2" w:rsidP="00BE74A2">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109A6CA0" w14:textId="2E378E3E" w:rsidR="00BE74A2" w:rsidRPr="00CB6405" w:rsidRDefault="00BE74A2" w:rsidP="00BE74A2">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la resolución del recurso de queja de 5 cinco de noviembre de 2019 dos mil diecinueve</w:t>
      </w:r>
      <w:r w:rsidRPr="00A240AA">
        <w:rPr>
          <w:rFonts w:ascii="Arial" w:hAnsi="Arial" w:cs="Arial"/>
          <w:sz w:val="26"/>
          <w:szCs w:val="26"/>
        </w:rPr>
        <w:t xml:space="preserve">, </w:t>
      </w:r>
      <w:r w:rsidRPr="00CB6405">
        <w:rPr>
          <w:rFonts w:ascii="Arial" w:hAnsi="Arial" w:cs="Arial"/>
          <w:sz w:val="26"/>
          <w:szCs w:val="26"/>
        </w:rPr>
        <w:t xml:space="preserve">de la </w:t>
      </w:r>
      <w:r>
        <w:rPr>
          <w:rFonts w:ascii="Arial" w:hAnsi="Arial" w:cs="Arial"/>
          <w:sz w:val="26"/>
          <w:szCs w:val="26"/>
        </w:rPr>
        <w:t xml:space="preserve">Primera </w:t>
      </w:r>
      <w:r w:rsidRPr="00CB6405">
        <w:rPr>
          <w:rFonts w:ascii="Arial" w:hAnsi="Arial" w:cs="Arial"/>
          <w:sz w:val="26"/>
          <w:szCs w:val="26"/>
        </w:rPr>
        <w:t>Sala Unitaria de Primera Instancia</w:t>
      </w:r>
      <w:r>
        <w:rPr>
          <w:rFonts w:ascii="Arial" w:hAnsi="Arial" w:cs="Arial"/>
          <w:sz w:val="26"/>
          <w:szCs w:val="26"/>
        </w:rPr>
        <w:t xml:space="preserve"> de este Tribunal</w:t>
      </w:r>
      <w:r w:rsidRPr="00CB6405">
        <w:rPr>
          <w:rFonts w:ascii="Arial" w:hAnsi="Arial" w:cs="Arial"/>
          <w:sz w:val="26"/>
          <w:szCs w:val="26"/>
        </w:rPr>
        <w:t>,</w:t>
      </w:r>
      <w:r>
        <w:rPr>
          <w:rFonts w:ascii="Arial" w:hAnsi="Arial" w:cs="Arial"/>
          <w:sz w:val="26"/>
          <w:szCs w:val="26"/>
        </w:rPr>
        <w:t xml:space="preserve"> </w:t>
      </w:r>
      <w:r>
        <w:rPr>
          <w:rFonts w:ascii="Arial" w:hAnsi="Arial" w:cs="Arial"/>
          <w:bCs/>
          <w:sz w:val="26"/>
          <w:szCs w:val="26"/>
        </w:rPr>
        <w:t>el</w:t>
      </w:r>
      <w:r>
        <w:rPr>
          <w:rFonts w:ascii="Arial" w:hAnsi="Arial" w:cs="Arial"/>
          <w:b/>
          <w:sz w:val="26"/>
          <w:szCs w:val="26"/>
        </w:rPr>
        <w:t xml:space="preserve"> DIRECTOR JURÍDICO DE LA SECRETARÍA DE MOVILIDAD DEL GOBIERNO DEL ESTADO DE OAXACA,</w:t>
      </w:r>
      <w:r w:rsidRPr="00CB6405">
        <w:rPr>
          <w:rFonts w:ascii="Arial" w:hAnsi="Arial" w:cs="Arial"/>
          <w:sz w:val="26"/>
          <w:szCs w:val="26"/>
        </w:rPr>
        <w:t xml:space="preserve"> </w:t>
      </w:r>
      <w:r>
        <w:rPr>
          <w:rFonts w:ascii="Arial" w:hAnsi="Arial" w:cs="Arial"/>
          <w:sz w:val="26"/>
          <w:szCs w:val="26"/>
        </w:rPr>
        <w:t xml:space="preserve">como autoridad demandada, </w:t>
      </w:r>
      <w:r w:rsidRPr="00CB6405">
        <w:rPr>
          <w:rFonts w:ascii="Arial" w:hAnsi="Arial" w:cs="Arial"/>
          <w:sz w:val="26"/>
          <w:szCs w:val="26"/>
        </w:rPr>
        <w:t>interpus</w:t>
      </w:r>
      <w:r>
        <w:rPr>
          <w:rFonts w:ascii="Arial" w:hAnsi="Arial" w:cs="Arial"/>
          <w:sz w:val="26"/>
          <w:szCs w:val="26"/>
        </w:rPr>
        <w:t xml:space="preserve">o </w:t>
      </w:r>
      <w:r w:rsidRPr="00CB6405">
        <w:rPr>
          <w:rFonts w:ascii="Arial" w:hAnsi="Arial" w:cs="Arial"/>
          <w:sz w:val="26"/>
          <w:szCs w:val="26"/>
        </w:rPr>
        <w:t>en su contra recurso de revisión.</w:t>
      </w:r>
      <w:r w:rsidR="00571A08">
        <w:rPr>
          <w:rFonts w:ascii="Arial" w:hAnsi="Arial" w:cs="Arial"/>
          <w:sz w:val="26"/>
          <w:szCs w:val="26"/>
        </w:rPr>
        <w:t>- - - - - - - - - - - - - - - - - - - - - - - - - - - - - - - - - - - - - -</w:t>
      </w:r>
    </w:p>
    <w:p w14:paraId="0F45E303" w14:textId="0B9E7E1A" w:rsidR="00BE74A2" w:rsidRDefault="00BE74A2" w:rsidP="00BE74A2">
      <w:pPr>
        <w:spacing w:after="0" w:line="360" w:lineRule="auto"/>
        <w:ind w:firstLine="567"/>
        <w:jc w:val="both"/>
        <w:rPr>
          <w:rFonts w:ascii="Arial" w:hAnsi="Arial" w:cs="Arial"/>
          <w:bCs/>
          <w:sz w:val="26"/>
          <w:szCs w:val="26"/>
        </w:rPr>
      </w:pPr>
      <w:r>
        <w:rPr>
          <w:rFonts w:ascii="Arial" w:hAnsi="Arial" w:cs="Arial"/>
          <w:b/>
          <w:bCs/>
          <w:sz w:val="26"/>
          <w:szCs w:val="26"/>
        </w:rPr>
        <w:t>SEGUNDO.</w:t>
      </w:r>
      <w:r>
        <w:rPr>
          <w:rFonts w:ascii="Arial" w:hAnsi="Arial" w:cs="Arial"/>
          <w:bCs/>
          <w:sz w:val="26"/>
          <w:szCs w:val="26"/>
        </w:rPr>
        <w:t xml:space="preserve"> Los puntos resolutivos del recurso de queja, son los siguientes:</w:t>
      </w:r>
      <w:r w:rsidR="00B545A1">
        <w:rPr>
          <w:rFonts w:ascii="Arial" w:hAnsi="Arial" w:cs="Arial"/>
          <w:bCs/>
          <w:sz w:val="26"/>
          <w:szCs w:val="26"/>
        </w:rPr>
        <w:t xml:space="preserve"> - - - - - - - - - - - - - - - - - - - - - - - - - - - - - - - - - - - - - - - - - - - -</w:t>
      </w:r>
    </w:p>
    <w:p w14:paraId="5A585926" w14:textId="77777777" w:rsidR="00B545A1" w:rsidRDefault="00B545A1" w:rsidP="00BE74A2">
      <w:pPr>
        <w:spacing w:after="0" w:line="360" w:lineRule="auto"/>
        <w:ind w:firstLine="567"/>
        <w:jc w:val="both"/>
        <w:rPr>
          <w:rFonts w:ascii="Arial" w:hAnsi="Arial" w:cs="Arial"/>
          <w:bCs/>
          <w:sz w:val="26"/>
          <w:szCs w:val="26"/>
        </w:rPr>
      </w:pPr>
    </w:p>
    <w:p w14:paraId="07229600" w14:textId="6DD0BF5A" w:rsidR="00BE74A2" w:rsidRPr="00B545A1" w:rsidRDefault="00BE74A2" w:rsidP="00B545A1">
      <w:pPr>
        <w:ind w:left="567" w:right="616" w:firstLine="141"/>
        <w:jc w:val="both"/>
        <w:rPr>
          <w:rFonts w:ascii="Arial" w:hAnsi="Arial" w:cs="Arial"/>
          <w:i/>
          <w:iCs/>
          <w:sz w:val="24"/>
          <w:szCs w:val="24"/>
        </w:rPr>
      </w:pPr>
      <w:r w:rsidRPr="00B545A1">
        <w:rPr>
          <w:rFonts w:ascii="Arial" w:hAnsi="Arial" w:cs="Arial"/>
          <w:b/>
          <w:i/>
          <w:iCs/>
          <w:sz w:val="24"/>
          <w:szCs w:val="24"/>
        </w:rPr>
        <w:t xml:space="preserve">“PRIMERO.- </w:t>
      </w:r>
      <w:r w:rsidRPr="00B545A1">
        <w:rPr>
          <w:rFonts w:ascii="Arial" w:hAnsi="Arial" w:cs="Arial"/>
          <w:i/>
          <w:iCs/>
          <w:sz w:val="24"/>
          <w:szCs w:val="24"/>
        </w:rPr>
        <w:t xml:space="preserve"> Esta Sala de Primera Instancia es competente para conocer y resolver de la presente queja. - - - - - - - - - - - - - - - - - - - </w:t>
      </w:r>
    </w:p>
    <w:p w14:paraId="54E14269" w14:textId="188BB247" w:rsidR="00BE74A2" w:rsidRPr="00B545A1" w:rsidRDefault="00BE74A2" w:rsidP="00B545A1">
      <w:pPr>
        <w:ind w:left="567" w:right="616" w:firstLine="141"/>
        <w:jc w:val="both"/>
        <w:rPr>
          <w:rFonts w:ascii="Arial" w:hAnsi="Arial" w:cs="Arial"/>
          <w:i/>
          <w:iCs/>
          <w:sz w:val="24"/>
          <w:szCs w:val="24"/>
        </w:rPr>
      </w:pPr>
      <w:r w:rsidRPr="00B545A1">
        <w:rPr>
          <w:rFonts w:ascii="Arial" w:hAnsi="Arial" w:cs="Arial"/>
          <w:b/>
          <w:i/>
          <w:iCs/>
          <w:sz w:val="24"/>
          <w:szCs w:val="24"/>
        </w:rPr>
        <w:t xml:space="preserve">SEGUNDO.- </w:t>
      </w:r>
      <w:r w:rsidRPr="00B545A1">
        <w:rPr>
          <w:rFonts w:ascii="Arial" w:hAnsi="Arial" w:cs="Arial"/>
          <w:i/>
          <w:iCs/>
          <w:sz w:val="24"/>
          <w:szCs w:val="24"/>
        </w:rPr>
        <w:t xml:space="preserve">Es </w:t>
      </w:r>
      <w:r w:rsidRPr="00B545A1">
        <w:rPr>
          <w:rFonts w:ascii="Arial" w:hAnsi="Arial" w:cs="Arial"/>
          <w:b/>
          <w:i/>
          <w:iCs/>
          <w:sz w:val="24"/>
          <w:szCs w:val="24"/>
        </w:rPr>
        <w:t>PROCEDENTE</w:t>
      </w:r>
      <w:r w:rsidRPr="00B545A1">
        <w:rPr>
          <w:rFonts w:ascii="Arial" w:hAnsi="Arial" w:cs="Arial"/>
          <w:i/>
          <w:iCs/>
          <w:sz w:val="24"/>
          <w:szCs w:val="24"/>
        </w:rPr>
        <w:t xml:space="preserve"> el recurso de queja promovido por </w:t>
      </w:r>
      <w:r w:rsidR="00FE4C84">
        <w:rPr>
          <w:rFonts w:ascii="Arial" w:eastAsia="Times New Roman" w:hAnsi="Arial" w:cs="Arial"/>
          <w:b/>
          <w:iCs/>
          <w:color w:val="000000"/>
        </w:rPr>
        <w:t>***********</w:t>
      </w:r>
      <w:r w:rsidRPr="00B545A1">
        <w:rPr>
          <w:rFonts w:ascii="Arial" w:hAnsi="Arial" w:cs="Arial"/>
          <w:i/>
          <w:iCs/>
          <w:sz w:val="24"/>
          <w:szCs w:val="24"/>
        </w:rPr>
        <w:t xml:space="preserve">, en consecuencia, </w:t>
      </w:r>
      <w:r w:rsidRPr="00B545A1">
        <w:rPr>
          <w:rFonts w:ascii="Arial" w:hAnsi="Arial" w:cs="Arial"/>
          <w:i/>
          <w:iCs/>
          <w:sz w:val="24"/>
          <w:szCs w:val="24"/>
          <w:u w:val="single"/>
        </w:rPr>
        <w:t>se ordena (sic) la Secretaría de Movilidad del Gobierno del Estado de Oaxaca, para que deje sin efectos el acuerdo de fecha veintiséis de abril de dos mil diecinueve, debiéndolo dar de baja del sistema documental y/o electrónico que para tal efecto lleve esa autoridad y en su lugar se emita uno nuevo en el que se observen las consideraciones pronunciadas en la presente resolución,</w:t>
      </w:r>
      <w:r w:rsidRPr="00B545A1">
        <w:rPr>
          <w:rFonts w:ascii="Arial" w:hAnsi="Arial" w:cs="Arial"/>
          <w:i/>
          <w:iCs/>
          <w:sz w:val="24"/>
          <w:szCs w:val="24"/>
        </w:rPr>
        <w:t xml:space="preserve"> y para garantizar el cumplimiento de la sentencia, se apercibe a la autoridad demandada que, para el caso de ser contumaz y de no garantizar el cumplimiento de la presente queja en los términos de la misma, con fundamento en el artículo 124 fracción I de la Ley de Justicia Administrativa para el Estado de Oaxaca se le impondrá una multa en cantidad de 100 U.M.A., es decir la cantidad de </w:t>
      </w:r>
      <w:r w:rsidR="00FE4C84">
        <w:rPr>
          <w:rFonts w:ascii="Arial" w:eastAsia="Times New Roman" w:hAnsi="Arial" w:cs="Arial"/>
          <w:b/>
          <w:iCs/>
          <w:color w:val="000000"/>
        </w:rPr>
        <w:t>***********</w:t>
      </w:r>
      <w:r w:rsidR="00FE4C84">
        <w:rPr>
          <w:rFonts w:ascii="Arial" w:eastAsia="Times New Roman" w:hAnsi="Arial" w:cs="Arial"/>
          <w:b/>
          <w:iCs/>
          <w:color w:val="000000"/>
        </w:rPr>
        <w:t xml:space="preserve"> </w:t>
      </w:r>
      <w:r w:rsidRPr="00B545A1">
        <w:rPr>
          <w:rFonts w:ascii="Arial" w:hAnsi="Arial" w:cs="Arial"/>
          <w:i/>
          <w:iCs/>
          <w:sz w:val="24"/>
          <w:szCs w:val="24"/>
        </w:rPr>
        <w:t xml:space="preserve">tomando en cuenta que el valor unitario de la U.M.A. determinado para el año dos mil diecinueve es de $84.49 pesos (sic), misma que se impondrá las veces que sean necesarias hasta que se garantice el cumplimiento de la presente resolución de queja y con ello la sentencia de fecha dieciséis de agosto de dos mil dieciocho, por las razones esgrimidas en el considerando SEGUNDO de este (sic) resolución. - - - - - - - - - - - </w:t>
      </w:r>
      <w:r w:rsidR="00B545A1">
        <w:rPr>
          <w:rFonts w:ascii="Arial" w:hAnsi="Arial" w:cs="Arial"/>
          <w:i/>
          <w:iCs/>
          <w:sz w:val="24"/>
          <w:szCs w:val="24"/>
        </w:rPr>
        <w:t xml:space="preserve">- - - - - - - - - - - </w:t>
      </w:r>
      <w:r w:rsidR="00FE4C84">
        <w:rPr>
          <w:rFonts w:ascii="Arial" w:hAnsi="Arial" w:cs="Arial"/>
          <w:i/>
          <w:iCs/>
          <w:sz w:val="24"/>
          <w:szCs w:val="24"/>
        </w:rPr>
        <w:t>- - - - - - - - - - - - - - - - - -</w:t>
      </w:r>
    </w:p>
    <w:p w14:paraId="60BD89C3" w14:textId="77777777" w:rsidR="00BE74A2" w:rsidRPr="00B545A1" w:rsidRDefault="00BE74A2" w:rsidP="00B545A1">
      <w:pPr>
        <w:ind w:left="567" w:right="616" w:firstLine="141"/>
        <w:jc w:val="both"/>
        <w:rPr>
          <w:rFonts w:ascii="Arial" w:hAnsi="Arial" w:cs="Arial"/>
          <w:b/>
          <w:i/>
          <w:iCs/>
          <w:sz w:val="24"/>
          <w:szCs w:val="24"/>
        </w:rPr>
      </w:pPr>
      <w:r w:rsidRPr="00B545A1">
        <w:rPr>
          <w:rFonts w:ascii="Arial" w:hAnsi="Arial" w:cs="Arial"/>
          <w:b/>
          <w:i/>
          <w:iCs/>
          <w:sz w:val="24"/>
          <w:szCs w:val="24"/>
        </w:rPr>
        <w:t xml:space="preserve">TERCERO.- </w:t>
      </w:r>
      <w:r w:rsidRPr="00B545A1">
        <w:rPr>
          <w:rFonts w:ascii="Arial" w:hAnsi="Arial" w:cs="Arial"/>
          <w:i/>
          <w:iCs/>
          <w:sz w:val="24"/>
          <w:szCs w:val="24"/>
        </w:rPr>
        <w:t xml:space="preserve">Conforme a lo dispuesto en los artículos 142 y 143 de la Ley de Justicia Administrativa para el Estado de Oaxaca, </w:t>
      </w:r>
      <w:r w:rsidRPr="00B545A1">
        <w:rPr>
          <w:rFonts w:ascii="Arial" w:hAnsi="Arial" w:cs="Arial"/>
          <w:b/>
          <w:i/>
          <w:iCs/>
          <w:sz w:val="24"/>
          <w:szCs w:val="24"/>
        </w:rPr>
        <w:t>NOTIFÍQUESE y CÚMPLASE. -</w:t>
      </w:r>
      <w:r w:rsidRPr="00B545A1">
        <w:rPr>
          <w:rFonts w:ascii="Arial" w:hAnsi="Arial" w:cs="Arial"/>
          <w:i/>
          <w:iCs/>
          <w:sz w:val="24"/>
          <w:szCs w:val="24"/>
        </w:rPr>
        <w:t>”</w:t>
      </w:r>
    </w:p>
    <w:p w14:paraId="625AF2F3" w14:textId="7974FB56" w:rsidR="00BE74A2" w:rsidRPr="00CB6405" w:rsidRDefault="00BE74A2" w:rsidP="00BE74A2">
      <w:pPr>
        <w:ind w:left="851" w:right="758"/>
        <w:jc w:val="center"/>
        <w:rPr>
          <w:rFonts w:ascii="Arial" w:hAnsi="Arial" w:cs="Arial"/>
          <w:b/>
          <w:bCs/>
          <w:sz w:val="26"/>
          <w:szCs w:val="26"/>
        </w:rPr>
      </w:pPr>
      <w:r w:rsidRPr="00CB6405">
        <w:rPr>
          <w:rFonts w:ascii="Arial" w:hAnsi="Arial" w:cs="Arial"/>
          <w:b/>
          <w:bCs/>
          <w:sz w:val="26"/>
          <w:szCs w:val="26"/>
        </w:rPr>
        <w:t>C O N S I D E R A N D O</w:t>
      </w:r>
    </w:p>
    <w:p w14:paraId="562750CF" w14:textId="04DA3008" w:rsidR="00BE74A2" w:rsidRPr="00DD695C" w:rsidRDefault="00BE74A2" w:rsidP="00BE74A2">
      <w:pPr>
        <w:pStyle w:val="Textoindependiente21"/>
        <w:spacing w:before="240" w:line="360" w:lineRule="auto"/>
        <w:ind w:right="18" w:firstLine="708"/>
        <w:rPr>
          <w:rFonts w:ascii="Arial" w:hAnsi="Arial" w:cs="Arial"/>
          <w:bCs/>
          <w:iCs/>
          <w:sz w:val="26"/>
          <w:szCs w:val="26"/>
        </w:rPr>
      </w:pPr>
      <w:r w:rsidRPr="00CB6405">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de conformidad con</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4 fracción VIII, 2</w:t>
      </w:r>
      <w:r>
        <w:rPr>
          <w:rFonts w:ascii="Arial" w:hAnsi="Arial" w:cs="Arial"/>
          <w:bCs/>
          <w:iCs/>
          <w:sz w:val="26"/>
          <w:szCs w:val="26"/>
        </w:rPr>
        <w:t>3, 24 fracción I, 25 fracción I y</w:t>
      </w:r>
      <w:r w:rsidRPr="00455424">
        <w:rPr>
          <w:rFonts w:ascii="Arial" w:hAnsi="Arial" w:cs="Arial"/>
          <w:bCs/>
          <w:iCs/>
          <w:sz w:val="26"/>
          <w:szCs w:val="26"/>
        </w:rPr>
        <w:t xml:space="preserve"> 27 de la Ley Orgánica del Tribunal de Justicia Administrativa del Estado de Oaxaca</w:t>
      </w:r>
      <w:r w:rsidRPr="001238BA">
        <w:rPr>
          <w:rFonts w:ascii="Arial" w:hAnsi="Arial" w:cs="Arial"/>
          <w:bCs/>
          <w:iCs/>
          <w:sz w:val="26"/>
          <w:szCs w:val="26"/>
        </w:rPr>
        <w:t xml:space="preserve">; así como los diversos </w:t>
      </w:r>
      <w:r w:rsidRPr="007B2F64">
        <w:rPr>
          <w:rFonts w:ascii="Arial" w:hAnsi="Arial" w:cs="Arial"/>
          <w:bCs/>
          <w:iCs/>
          <w:sz w:val="26"/>
          <w:szCs w:val="26"/>
        </w:rPr>
        <w:t>82 fracción I, 8</w:t>
      </w:r>
      <w:r>
        <w:rPr>
          <w:rFonts w:ascii="Arial" w:hAnsi="Arial" w:cs="Arial"/>
          <w:bCs/>
          <w:iCs/>
          <w:sz w:val="26"/>
          <w:szCs w:val="26"/>
        </w:rPr>
        <w:t xml:space="preserve">6, 88, 89, 93 fracción I, 94, </w:t>
      </w:r>
      <w:r w:rsidRPr="004E791E">
        <w:rPr>
          <w:rFonts w:ascii="Arial" w:hAnsi="Arial" w:cs="Arial"/>
          <w:bCs/>
          <w:iCs/>
          <w:sz w:val="26"/>
          <w:szCs w:val="26"/>
        </w:rPr>
        <w:t>201, 206 y 208</w:t>
      </w:r>
      <w:r w:rsidRPr="001238BA">
        <w:rPr>
          <w:rFonts w:ascii="Arial" w:hAnsi="Arial" w:cs="Arial"/>
          <w:bCs/>
          <w:iCs/>
          <w:sz w:val="26"/>
          <w:szCs w:val="26"/>
        </w:rPr>
        <w:t xml:space="preserve"> de la Ley de Justicia Administrativa para el Estado de Oaxaca,</w:t>
      </w:r>
      <w:r>
        <w:rPr>
          <w:rFonts w:ascii="Arial" w:hAnsi="Arial" w:cs="Arial"/>
          <w:bCs/>
          <w:iCs/>
          <w:sz w:val="26"/>
          <w:szCs w:val="26"/>
        </w:rPr>
        <w:t xml:space="preserve"> </w:t>
      </w:r>
      <w:r w:rsidRPr="00652AF8">
        <w:rPr>
          <w:rFonts w:ascii="Arial" w:hAnsi="Arial" w:cs="Arial"/>
          <w:bCs/>
          <w:iCs/>
          <w:sz w:val="26"/>
          <w:szCs w:val="26"/>
        </w:rPr>
        <w:t>aplicable al caso</w:t>
      </w:r>
      <w:r>
        <w:rPr>
          <w:rFonts w:ascii="Arial" w:hAnsi="Arial" w:cs="Arial"/>
          <w:bCs/>
          <w:iCs/>
          <w:sz w:val="26"/>
          <w:szCs w:val="26"/>
        </w:rPr>
        <w:t>, dado que se trata de un  r</w:t>
      </w:r>
      <w:r w:rsidRPr="00403CFB">
        <w:rPr>
          <w:rFonts w:ascii="Arial" w:hAnsi="Arial" w:cs="Arial"/>
          <w:bCs/>
          <w:iCs/>
          <w:sz w:val="26"/>
          <w:szCs w:val="26"/>
        </w:rPr>
        <w:t>ecurso</w:t>
      </w:r>
      <w:r>
        <w:rPr>
          <w:rFonts w:ascii="Arial" w:hAnsi="Arial" w:cs="Arial"/>
          <w:bCs/>
          <w:iCs/>
          <w:sz w:val="26"/>
          <w:szCs w:val="26"/>
        </w:rPr>
        <w:t xml:space="preserve"> de r</w:t>
      </w:r>
      <w:r w:rsidRPr="00403CFB">
        <w:rPr>
          <w:rFonts w:ascii="Arial" w:hAnsi="Arial" w:cs="Arial"/>
          <w:bCs/>
          <w:iCs/>
          <w:sz w:val="26"/>
          <w:szCs w:val="26"/>
        </w:rPr>
        <w:t>evisión interpuesto</w:t>
      </w:r>
      <w:r>
        <w:rPr>
          <w:rFonts w:ascii="Arial" w:hAnsi="Arial" w:cs="Arial"/>
          <w:bCs/>
          <w:iCs/>
          <w:sz w:val="26"/>
          <w:szCs w:val="26"/>
        </w:rPr>
        <w:t xml:space="preserve"> en contra de la resolución del recurso de queja de 5 cinco de noviembre de 2019 dos mil diecinueve, </w:t>
      </w:r>
      <w:r w:rsidRPr="00CB6405">
        <w:rPr>
          <w:rFonts w:ascii="Arial" w:hAnsi="Arial" w:cs="Arial"/>
          <w:sz w:val="26"/>
          <w:szCs w:val="26"/>
        </w:rPr>
        <w:t>dictad</w:t>
      </w:r>
      <w:r>
        <w:rPr>
          <w:rFonts w:ascii="Arial" w:hAnsi="Arial" w:cs="Arial"/>
          <w:sz w:val="26"/>
          <w:szCs w:val="26"/>
        </w:rPr>
        <w:t xml:space="preserve">a </w:t>
      </w:r>
      <w:r w:rsidRPr="00CB6405">
        <w:rPr>
          <w:rFonts w:ascii="Arial" w:hAnsi="Arial" w:cs="Arial"/>
          <w:sz w:val="26"/>
          <w:szCs w:val="26"/>
        </w:rPr>
        <w:t xml:space="preserve">por la </w:t>
      </w:r>
      <w:r>
        <w:rPr>
          <w:rFonts w:ascii="Arial" w:hAnsi="Arial" w:cs="Arial"/>
          <w:sz w:val="26"/>
          <w:szCs w:val="26"/>
        </w:rPr>
        <w:t>Primera S</w:t>
      </w:r>
      <w:r w:rsidRPr="00CB6405">
        <w:rPr>
          <w:rFonts w:ascii="Arial" w:hAnsi="Arial" w:cs="Arial"/>
          <w:sz w:val="26"/>
          <w:szCs w:val="26"/>
        </w:rPr>
        <w:t>al</w:t>
      </w:r>
      <w:r>
        <w:rPr>
          <w:rFonts w:ascii="Arial" w:hAnsi="Arial" w:cs="Arial"/>
          <w:sz w:val="26"/>
          <w:szCs w:val="26"/>
        </w:rPr>
        <w:t xml:space="preserve">a Unitaria de Primera Instancia </w:t>
      </w:r>
      <w:r>
        <w:rPr>
          <w:rFonts w:ascii="Arial" w:hAnsi="Arial" w:cs="Arial"/>
          <w:bCs/>
          <w:iCs/>
          <w:sz w:val="26"/>
          <w:szCs w:val="26"/>
        </w:rPr>
        <w:t xml:space="preserve">de este Tribunal, en el expediente número </w:t>
      </w:r>
      <w:r>
        <w:rPr>
          <w:rFonts w:ascii="Arial" w:hAnsi="Arial" w:cs="Arial"/>
          <w:b/>
          <w:bCs/>
          <w:iCs/>
          <w:sz w:val="26"/>
          <w:szCs w:val="26"/>
        </w:rPr>
        <w:t>0281/2016</w:t>
      </w:r>
      <w:r>
        <w:rPr>
          <w:rFonts w:ascii="Arial" w:hAnsi="Arial" w:cs="Arial"/>
          <w:bCs/>
          <w:iCs/>
          <w:sz w:val="26"/>
          <w:szCs w:val="26"/>
        </w:rPr>
        <w:t xml:space="preserve">. </w:t>
      </w:r>
      <w:r w:rsidR="00652AF8">
        <w:rPr>
          <w:rFonts w:ascii="Arial" w:hAnsi="Arial" w:cs="Arial"/>
          <w:bCs/>
          <w:iCs/>
          <w:sz w:val="26"/>
          <w:szCs w:val="26"/>
        </w:rPr>
        <w:t>- - - - - - - - - - - - - - - - - - - - - - - - - - - - -</w:t>
      </w:r>
    </w:p>
    <w:p w14:paraId="3D53EAB1" w14:textId="2EB59E5E" w:rsidR="00BE74A2" w:rsidRDefault="00BE74A2" w:rsidP="00BE74A2">
      <w:pPr>
        <w:widowControl w:val="0"/>
        <w:tabs>
          <w:tab w:val="left" w:pos="7938"/>
          <w:tab w:val="left" w:pos="8222"/>
        </w:tabs>
        <w:spacing w:before="240" w:line="360" w:lineRule="auto"/>
        <w:ind w:right="49" w:firstLine="851"/>
        <w:jc w:val="both"/>
        <w:rPr>
          <w:rFonts w:ascii="Arial" w:hAnsi="Arial" w:cs="Arial"/>
          <w:bCs/>
          <w:color w:val="000000"/>
          <w:sz w:val="26"/>
          <w:szCs w:val="26"/>
        </w:rPr>
      </w:pPr>
      <w:r w:rsidRPr="00D65424">
        <w:rPr>
          <w:rFonts w:ascii="Arial" w:hAnsi="Arial" w:cs="Arial"/>
          <w:b/>
          <w:bCs/>
          <w:sz w:val="26"/>
          <w:szCs w:val="26"/>
        </w:rPr>
        <w:t xml:space="preserve">SEGUNDO. </w:t>
      </w:r>
      <w:r w:rsidRPr="004060F9">
        <w:rPr>
          <w:rFonts w:ascii="Arial" w:hAnsi="Arial" w:cs="Arial"/>
          <w:b/>
          <w:sz w:val="26"/>
          <w:szCs w:val="26"/>
        </w:rPr>
        <w:t>El agravio hecho valer se encuentra expuesto</w:t>
      </w:r>
      <w:r w:rsidRPr="006E349D">
        <w:rPr>
          <w:rFonts w:ascii="Arial" w:hAnsi="Arial" w:cs="Arial"/>
          <w:bCs/>
          <w:sz w:val="26"/>
          <w:szCs w:val="26"/>
        </w:rPr>
        <w:t xml:space="preserve"> en el escrito respectivo del recurrente, por lo que no existe necesidad de transcribirlos, virtud a que ello no implica transgresión a derecho alguno del recurrente, como tampoco se vulnera disposición expresa que </w:t>
      </w:r>
      <w:r w:rsidRPr="006E349D">
        <w:rPr>
          <w:rFonts w:ascii="Arial" w:hAnsi="Arial" w:cs="Arial"/>
          <w:bCs/>
          <w:sz w:val="26"/>
          <w:szCs w:val="26"/>
        </w:rPr>
        <w:lastRenderedPageBreak/>
        <w:t>imponga tal obligación</w:t>
      </w:r>
      <w:r w:rsidRPr="006E349D">
        <w:rPr>
          <w:rFonts w:ascii="Arial" w:hAnsi="Arial" w:cs="Arial"/>
          <w:sz w:val="26"/>
          <w:szCs w:val="26"/>
        </w:rPr>
        <w:t>.</w:t>
      </w:r>
      <w:r>
        <w:rPr>
          <w:rFonts w:ascii="Arial" w:hAnsi="Arial" w:cs="Arial"/>
          <w:bCs/>
          <w:color w:val="000000"/>
          <w:sz w:val="26"/>
          <w:szCs w:val="26"/>
        </w:rPr>
        <w:t xml:space="preserve"> </w:t>
      </w:r>
      <w:r w:rsidR="00652AF8">
        <w:rPr>
          <w:rFonts w:ascii="Arial" w:hAnsi="Arial" w:cs="Arial"/>
          <w:bCs/>
          <w:color w:val="000000"/>
          <w:sz w:val="26"/>
          <w:szCs w:val="26"/>
        </w:rPr>
        <w:t xml:space="preserve">- - - - - - - - - - - - - - - - - - - - - - - - - - - -  - - - - - - </w:t>
      </w:r>
    </w:p>
    <w:p w14:paraId="575F6BCE" w14:textId="7F5FEF6F" w:rsidR="00BE74A2" w:rsidRPr="001E036E" w:rsidRDefault="00BE74A2" w:rsidP="00BE74A2">
      <w:pPr>
        <w:shd w:val="clear" w:color="auto" w:fill="FFFFFF"/>
        <w:spacing w:line="360" w:lineRule="auto"/>
        <w:ind w:firstLine="567"/>
        <w:jc w:val="both"/>
        <w:rPr>
          <w:rFonts w:ascii="Arial" w:hAnsi="Arial" w:cs="Arial"/>
          <w:bCs/>
          <w:sz w:val="26"/>
          <w:szCs w:val="26"/>
        </w:rPr>
      </w:pPr>
      <w:r w:rsidRPr="001E036E">
        <w:rPr>
          <w:rFonts w:ascii="Arial" w:hAnsi="Arial" w:cs="Arial"/>
          <w:bCs/>
          <w:sz w:val="26"/>
          <w:szCs w:val="26"/>
        </w:rPr>
        <w:t xml:space="preserve">Se invoca en apoyo a lo anterior, la jurisprudencia en materia común, número </w:t>
      </w:r>
      <w:r w:rsidRPr="001E036E">
        <w:rPr>
          <w:rFonts w:ascii="Arial" w:eastAsia="Times New Roman" w:hAnsi="Arial" w:cs="Arial"/>
          <w:sz w:val="26"/>
          <w:szCs w:val="26"/>
        </w:rPr>
        <w:t xml:space="preserve">2a./J. 58/2010, de la Novena Época, emitida por la Segunda Sala de la Suprema Corte de Justicia de la Nación, </w:t>
      </w:r>
      <w:r w:rsidRPr="001E036E">
        <w:rPr>
          <w:rFonts w:ascii="Arial" w:hAnsi="Arial" w:cs="Arial"/>
          <w:bCs/>
          <w:sz w:val="26"/>
          <w:szCs w:val="26"/>
        </w:rPr>
        <w:t xml:space="preserve">con número de registro digital </w:t>
      </w:r>
      <w:r w:rsidRPr="001E036E">
        <w:rPr>
          <w:rFonts w:ascii="Arial" w:eastAsia="Times New Roman" w:hAnsi="Arial" w:cs="Arial"/>
          <w:sz w:val="26"/>
          <w:szCs w:val="26"/>
        </w:rPr>
        <w:t xml:space="preserve">164618, publicada en el Semanario Judicial de la Federación y su Gaceta. En el Tomo XXXI, Mayo de 2010, visible a página 830, </w:t>
      </w:r>
      <w:r w:rsidRPr="001E036E">
        <w:rPr>
          <w:rFonts w:ascii="Arial" w:hAnsi="Arial" w:cs="Arial"/>
          <w:bCs/>
          <w:sz w:val="26"/>
          <w:szCs w:val="26"/>
        </w:rPr>
        <w:t xml:space="preserve">bajo el rubro y texto siguiente: </w:t>
      </w:r>
      <w:r w:rsidR="00652AF8">
        <w:rPr>
          <w:rFonts w:ascii="Arial" w:hAnsi="Arial" w:cs="Arial"/>
          <w:bCs/>
          <w:sz w:val="26"/>
          <w:szCs w:val="26"/>
        </w:rPr>
        <w:t>- - - - - - - - - - - - - - - - - - - - -</w:t>
      </w:r>
    </w:p>
    <w:p w14:paraId="02B7A012" w14:textId="77777777" w:rsidR="00BE74A2" w:rsidRPr="00652AF8" w:rsidRDefault="00BE74A2" w:rsidP="00BE74A2">
      <w:pPr>
        <w:shd w:val="clear" w:color="auto" w:fill="FFFFFF"/>
        <w:spacing w:before="100" w:beforeAutospacing="1" w:after="100" w:afterAutospacing="1" w:line="240" w:lineRule="auto"/>
        <w:ind w:left="567" w:right="616"/>
        <w:jc w:val="both"/>
        <w:rPr>
          <w:rFonts w:ascii="Arial" w:eastAsia="Times New Roman" w:hAnsi="Arial" w:cs="Arial"/>
          <w:i/>
          <w:iCs/>
        </w:rPr>
      </w:pPr>
      <w:r w:rsidRPr="00652AF8">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652AF8">
        <w:rPr>
          <w:rFonts w:ascii="Arial" w:eastAsia="Times New Roman" w:hAnsi="Arial" w:cs="Arial"/>
          <w:i/>
          <w:iCs/>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59848B09" w14:textId="3D0918B4" w:rsidR="00BE74A2" w:rsidRDefault="00BE74A2" w:rsidP="00BE74A2">
      <w:pPr>
        <w:spacing w:line="360" w:lineRule="auto"/>
        <w:ind w:firstLine="708"/>
        <w:jc w:val="both"/>
        <w:rPr>
          <w:rFonts w:ascii="Arial" w:eastAsia="Calibri" w:hAnsi="Arial" w:cs="Arial"/>
          <w:bCs/>
          <w:sz w:val="26"/>
          <w:szCs w:val="26"/>
        </w:rPr>
      </w:pPr>
      <w:r w:rsidRPr="00817600">
        <w:rPr>
          <w:rFonts w:ascii="Arial" w:hAnsi="Arial" w:cs="Arial"/>
          <w:b/>
          <w:bCs/>
          <w:sz w:val="26"/>
          <w:szCs w:val="26"/>
        </w:rPr>
        <w:t xml:space="preserve">TERCERO. </w:t>
      </w:r>
      <w:r>
        <w:rPr>
          <w:rFonts w:ascii="Arial" w:eastAsia="Calibri" w:hAnsi="Arial" w:cs="Arial"/>
          <w:bCs/>
          <w:sz w:val="26"/>
          <w:szCs w:val="26"/>
        </w:rPr>
        <w:t>A</w:t>
      </w:r>
      <w:r w:rsidRPr="00167105">
        <w:rPr>
          <w:rFonts w:ascii="Arial" w:eastAsia="Calibri" w:hAnsi="Arial" w:cs="Arial"/>
          <w:bCs/>
          <w:sz w:val="26"/>
          <w:szCs w:val="26"/>
        </w:rPr>
        <w:t xml:space="preserve">rguye </w:t>
      </w:r>
      <w:r>
        <w:rPr>
          <w:rFonts w:ascii="Arial" w:eastAsia="Calibri" w:hAnsi="Arial" w:cs="Arial"/>
          <w:bCs/>
          <w:sz w:val="26"/>
          <w:szCs w:val="26"/>
        </w:rPr>
        <w:t xml:space="preserve">el </w:t>
      </w:r>
      <w:r w:rsidRPr="00167105">
        <w:rPr>
          <w:rFonts w:ascii="Arial" w:eastAsia="Calibri" w:hAnsi="Arial" w:cs="Arial"/>
          <w:bCs/>
          <w:sz w:val="26"/>
          <w:szCs w:val="26"/>
        </w:rPr>
        <w:t>recurrente</w:t>
      </w:r>
      <w:r>
        <w:rPr>
          <w:rFonts w:ascii="Arial" w:eastAsia="Calibri" w:hAnsi="Arial" w:cs="Arial"/>
          <w:bCs/>
          <w:sz w:val="26"/>
          <w:szCs w:val="26"/>
        </w:rPr>
        <w:t xml:space="preserve"> </w:t>
      </w:r>
      <w:r w:rsidRPr="00167105">
        <w:rPr>
          <w:rFonts w:ascii="Arial" w:eastAsia="Calibri" w:hAnsi="Arial" w:cs="Arial"/>
          <w:bCs/>
          <w:sz w:val="26"/>
          <w:szCs w:val="26"/>
        </w:rPr>
        <w:t xml:space="preserve">le causa agravio </w:t>
      </w:r>
      <w:r>
        <w:rPr>
          <w:rFonts w:ascii="Arial" w:eastAsia="Calibri" w:hAnsi="Arial" w:cs="Arial"/>
          <w:bCs/>
          <w:sz w:val="26"/>
          <w:szCs w:val="26"/>
        </w:rPr>
        <w:t xml:space="preserve">el fallo emitido por la Primera Instancia, al considerar se resolvió de forma incorrecta el recurso de queja promovido por </w:t>
      </w:r>
      <w:r w:rsidR="00FE4C84">
        <w:rPr>
          <w:rFonts w:ascii="Arial" w:eastAsia="Times New Roman" w:hAnsi="Arial" w:cs="Arial"/>
          <w:b/>
          <w:iCs/>
          <w:color w:val="000000"/>
        </w:rPr>
        <w:t>***********</w:t>
      </w:r>
      <w:r>
        <w:rPr>
          <w:rFonts w:ascii="Arial" w:eastAsia="Calibri" w:hAnsi="Arial" w:cs="Arial"/>
          <w:bCs/>
          <w:sz w:val="26"/>
          <w:szCs w:val="26"/>
        </w:rPr>
        <w:t xml:space="preserve">, vulnerando lo dispuesto por el artículo 232 de la Ley de Procedimiento y Justicia Administrativa para el Estado de Oaxaca (sic), ya que el actor al contestar la demanda manifestó que no es concesionario del servicio público de taxi, en la localidad de Zimatlán de Álvarez, además que no acreditó cumplir con todos los requisitos del procedimiento publicado en el acuerdo 18 dieciocho, para que los acuerdos de concesión entregados en el 2004 año dos mil cuatro, tengan Certeza Jurídica, siendo el objetivo principal la revisión de los Títulos de concesión, debido que exhibió copia certificada del acuerdo de concesión, cuando debió exhibirlo en documento original, dado que el cotejo de una copia solo se puede realizar con el original, con el objeto de verificar la autenticidad de las firmas, lo cual el actor no acreditó; sin embargo, la Sala Unitaria le otorgó valor probatorio pleno a su documental; y por lo que respecta a la copia de la factura número </w:t>
      </w:r>
      <w:r w:rsidR="00FE4C84">
        <w:rPr>
          <w:rFonts w:ascii="Arial" w:eastAsia="Times New Roman" w:hAnsi="Arial" w:cs="Arial"/>
          <w:b/>
          <w:iCs/>
          <w:color w:val="000000"/>
        </w:rPr>
        <w:t>***********</w:t>
      </w:r>
      <w:r>
        <w:rPr>
          <w:rFonts w:ascii="Arial" w:eastAsia="Calibri" w:hAnsi="Arial" w:cs="Arial"/>
          <w:bCs/>
          <w:sz w:val="26"/>
          <w:szCs w:val="26"/>
        </w:rPr>
        <w:t xml:space="preserve">, emitida el 25 veinticinco de marzo de 2008 dos mil ocho, del vehículo </w:t>
      </w:r>
      <w:r w:rsidR="00FE4C84">
        <w:rPr>
          <w:rFonts w:ascii="Arial" w:eastAsia="Times New Roman" w:hAnsi="Arial" w:cs="Arial"/>
          <w:b/>
          <w:iCs/>
          <w:color w:val="000000"/>
        </w:rPr>
        <w:t>***********</w:t>
      </w:r>
      <w:r>
        <w:rPr>
          <w:rFonts w:ascii="Arial" w:eastAsia="Calibri" w:hAnsi="Arial" w:cs="Arial"/>
          <w:bCs/>
          <w:sz w:val="26"/>
          <w:szCs w:val="26"/>
        </w:rPr>
        <w:t xml:space="preserve">, tipo </w:t>
      </w:r>
      <w:r w:rsidR="00FE4C84">
        <w:rPr>
          <w:rFonts w:ascii="Arial" w:eastAsia="Times New Roman" w:hAnsi="Arial" w:cs="Arial"/>
          <w:b/>
          <w:iCs/>
          <w:color w:val="000000"/>
        </w:rPr>
        <w:t>***********</w:t>
      </w:r>
      <w:r>
        <w:rPr>
          <w:rFonts w:ascii="Arial" w:eastAsia="Calibri" w:hAnsi="Arial" w:cs="Arial"/>
          <w:bCs/>
          <w:sz w:val="26"/>
          <w:szCs w:val="26"/>
        </w:rPr>
        <w:t xml:space="preserve">, expedida a favor de </w:t>
      </w:r>
      <w:r w:rsidR="00FE4C84">
        <w:rPr>
          <w:rFonts w:ascii="Arial" w:eastAsia="Times New Roman" w:hAnsi="Arial" w:cs="Arial"/>
          <w:b/>
          <w:iCs/>
          <w:color w:val="000000"/>
        </w:rPr>
        <w:lastRenderedPageBreak/>
        <w:t>***********</w:t>
      </w:r>
      <w:r>
        <w:rPr>
          <w:rFonts w:ascii="Arial" w:eastAsia="Calibri" w:hAnsi="Arial" w:cs="Arial"/>
          <w:bCs/>
          <w:sz w:val="26"/>
          <w:szCs w:val="26"/>
        </w:rPr>
        <w:t xml:space="preserve">, endosada a favor de </w:t>
      </w:r>
      <w:r w:rsidR="00FE4C84">
        <w:rPr>
          <w:rFonts w:ascii="Arial" w:eastAsia="Times New Roman" w:hAnsi="Arial" w:cs="Arial"/>
          <w:b/>
          <w:iCs/>
          <w:color w:val="000000"/>
        </w:rPr>
        <w:t>***********</w:t>
      </w:r>
      <w:r>
        <w:rPr>
          <w:rFonts w:ascii="Arial" w:eastAsia="Calibri" w:hAnsi="Arial" w:cs="Arial"/>
          <w:bCs/>
          <w:sz w:val="26"/>
          <w:szCs w:val="26"/>
        </w:rPr>
        <w:t xml:space="preserve">, sin hacerse constar la fecha de endoso, es decir, que presentó un vehículo adquirido posteriormente al otorgamiento del supuesto acuerdo de concesión </w:t>
      </w:r>
      <w:r w:rsidR="00FE4C84">
        <w:rPr>
          <w:rFonts w:ascii="Arial" w:eastAsia="Times New Roman" w:hAnsi="Arial" w:cs="Arial"/>
          <w:b/>
          <w:iCs/>
          <w:color w:val="000000"/>
        </w:rPr>
        <w:t>***********</w:t>
      </w:r>
      <w:r>
        <w:rPr>
          <w:rFonts w:ascii="Arial" w:eastAsia="Calibri" w:hAnsi="Arial" w:cs="Arial"/>
          <w:bCs/>
          <w:sz w:val="26"/>
          <w:szCs w:val="26"/>
        </w:rPr>
        <w:t xml:space="preserve"> siete mil cuatrocientos cincuenta y ocho, que dice tener, exhibiendo placas de Tlaxcala y Tarjeta de circulación a nombre de </w:t>
      </w:r>
      <w:r w:rsidR="00FE4C84">
        <w:rPr>
          <w:rFonts w:ascii="Arial" w:eastAsia="Times New Roman" w:hAnsi="Arial" w:cs="Arial"/>
          <w:b/>
          <w:iCs/>
          <w:color w:val="000000"/>
        </w:rPr>
        <w:t>***********</w:t>
      </w:r>
      <w:r>
        <w:rPr>
          <w:rFonts w:ascii="Arial" w:eastAsia="Calibri" w:hAnsi="Arial" w:cs="Arial"/>
          <w:bCs/>
          <w:sz w:val="26"/>
          <w:szCs w:val="26"/>
        </w:rPr>
        <w:t>, por lo que con su actuar la parte actora infringe disposiciones de orden público, al no cumplir con los requisitos establecidos en la Ley de la materia; por lo que la Primera Instancia analizó y resolvió de forma incorrecta al declarar procedente el recurso de queja por defecto en el cumplimiento de la sentencia de 16 dieciséis de agosto de 2018 dos mil dieciocho, dejando a un lado su facultad de resolver de acuerdo a las constancias que acreditan que su representada llevó a cabo  el procedimiento en el que se requirió al actor acreditara ser concesionario y cumpla con las condiciones por las cuales se le otorgó la concesión, quien al no hacerlo, imposibilita dar continuidad al procedimiento, por lo que si el vehículo de motor con el que se pretende prestar el servicio no tiene placas ni concesión resulta que coloca en estado de vulnerabilidad a los pasajeros y demás personas, por los posibles accidentes automovilísticos provocados por los conductores; por tanto, considera debe declararse infundada la resolución que impugna, pues la Sala Unitaria se tomó atribuciones fuera de su competencia, violando los artículos 176 y 177 fracciones I y II de la Ley de Justicia Administrativa para el Estado de Oaxaca, que señalan que las resoluciones judiciales deben analizar todos los puntos planteados</w:t>
      </w:r>
      <w:r w:rsidR="009B1AA7">
        <w:rPr>
          <w:rFonts w:ascii="Arial" w:eastAsia="Calibri" w:hAnsi="Arial" w:cs="Arial"/>
          <w:bCs/>
          <w:sz w:val="26"/>
          <w:szCs w:val="26"/>
        </w:rPr>
        <w:t xml:space="preserve">. - - - - - - - - - - - - - - - - - - - - - - - - - - - - - - - </w:t>
      </w:r>
      <w:r w:rsidR="00FE4C84">
        <w:rPr>
          <w:rFonts w:ascii="Arial" w:eastAsia="Calibri" w:hAnsi="Arial" w:cs="Arial"/>
          <w:bCs/>
          <w:sz w:val="26"/>
          <w:szCs w:val="26"/>
        </w:rPr>
        <w:t xml:space="preserve"> </w:t>
      </w:r>
      <w:bookmarkStart w:id="0" w:name="_GoBack"/>
      <w:bookmarkEnd w:id="0"/>
      <w:r w:rsidR="009B1AA7">
        <w:rPr>
          <w:rFonts w:ascii="Arial" w:eastAsia="Calibri" w:hAnsi="Arial" w:cs="Arial"/>
          <w:bCs/>
          <w:sz w:val="26"/>
          <w:szCs w:val="26"/>
        </w:rPr>
        <w:t xml:space="preserve"> </w:t>
      </w:r>
    </w:p>
    <w:p w14:paraId="4CD6B076" w14:textId="732BC5ED" w:rsidR="00BE74A2" w:rsidRDefault="00BE74A2" w:rsidP="00BE74A2">
      <w:pPr>
        <w:pStyle w:val="Sinespaciado"/>
        <w:spacing w:after="200" w:line="360" w:lineRule="auto"/>
        <w:ind w:firstLine="708"/>
        <w:jc w:val="both"/>
        <w:rPr>
          <w:rFonts w:ascii="Arial" w:eastAsia="Calibri" w:hAnsi="Arial" w:cs="Times New Roman"/>
          <w:color w:val="000000"/>
          <w:sz w:val="26"/>
          <w:szCs w:val="26"/>
          <w:lang w:val="es-MX"/>
        </w:rPr>
      </w:pPr>
      <w:r>
        <w:rPr>
          <w:rFonts w:ascii="Arial" w:eastAsia="Calibri" w:hAnsi="Arial" w:cs="Times New Roman"/>
          <w:color w:val="000000"/>
          <w:sz w:val="26"/>
          <w:szCs w:val="26"/>
          <w:lang w:val="es-MX"/>
        </w:rPr>
        <w:t xml:space="preserve">De </w:t>
      </w:r>
      <w:r>
        <w:rPr>
          <w:rFonts w:ascii="Arial" w:hAnsi="Arial" w:cs="Arial"/>
          <w:sz w:val="26"/>
          <w:szCs w:val="26"/>
        </w:rPr>
        <w:t>las constancias de autos que fueron remitidas para la substanciación del presente asunto, que hacen prueba plena en términos del artículo 173, fracción I, de la Ley de Justicia Administrativa para el Estado de Oaxaca, por tratarse de actuaciones judiciales; se advierte que el acto impugnado lo constituye la resolución del recurso de queja de 5 cinco de noviembre de 2019 dos mil diecinueve</w:t>
      </w:r>
      <w:r>
        <w:rPr>
          <w:rFonts w:ascii="Arial" w:hAnsi="Arial" w:cs="Arial"/>
          <w:bCs/>
          <w:sz w:val="26"/>
          <w:szCs w:val="26"/>
        </w:rPr>
        <w:t>, visible a fojas cuatrocientos cuarenta y dos a cuatrocientos cuarenta y cinco,</w:t>
      </w:r>
      <w:r>
        <w:rPr>
          <w:rFonts w:ascii="Arial" w:hAnsi="Arial" w:cs="Arial"/>
          <w:sz w:val="26"/>
          <w:szCs w:val="26"/>
        </w:rPr>
        <w:t xml:space="preserve"> del expediente natural, del cual se advierte que la primera instancia declaró procedente el recurso de queja interpuesto por la parte actora en el juicio de nulidad, en consecuencia, se ordenó a la parte demandada </w:t>
      </w:r>
      <w:r w:rsidRPr="00002A09">
        <w:rPr>
          <w:rFonts w:ascii="Arial" w:hAnsi="Arial" w:cs="Arial"/>
          <w:sz w:val="26"/>
          <w:szCs w:val="26"/>
        </w:rPr>
        <w:t xml:space="preserve">deje sin efectos el acuerdo de fecha </w:t>
      </w:r>
      <w:r>
        <w:rPr>
          <w:rFonts w:ascii="Arial" w:hAnsi="Arial" w:cs="Arial"/>
          <w:sz w:val="26"/>
          <w:szCs w:val="26"/>
        </w:rPr>
        <w:t xml:space="preserve">26 </w:t>
      </w:r>
      <w:r w:rsidRPr="00002A09">
        <w:rPr>
          <w:rFonts w:ascii="Arial" w:hAnsi="Arial" w:cs="Arial"/>
          <w:sz w:val="26"/>
          <w:szCs w:val="26"/>
        </w:rPr>
        <w:t xml:space="preserve">veintiséis de abril de </w:t>
      </w:r>
      <w:r>
        <w:rPr>
          <w:rFonts w:ascii="Arial" w:hAnsi="Arial" w:cs="Arial"/>
          <w:sz w:val="26"/>
          <w:szCs w:val="26"/>
        </w:rPr>
        <w:t xml:space="preserve">2019 </w:t>
      </w:r>
      <w:r w:rsidRPr="00002A09">
        <w:rPr>
          <w:rFonts w:ascii="Arial" w:hAnsi="Arial" w:cs="Arial"/>
          <w:sz w:val="26"/>
          <w:szCs w:val="26"/>
        </w:rPr>
        <w:t xml:space="preserve">dos mil diecinueve, debiéndolo dar de baja del sistema documental y/o electrónico que para tal efecto lleve esa autoridad y en su lugar se emita uno nuevo en el que se observen las consideraciones pronunciadas en </w:t>
      </w:r>
      <w:r>
        <w:rPr>
          <w:rFonts w:ascii="Arial" w:hAnsi="Arial" w:cs="Arial"/>
          <w:sz w:val="26"/>
          <w:szCs w:val="26"/>
        </w:rPr>
        <w:lastRenderedPageBreak/>
        <w:t>la resolución del recurso de queja</w:t>
      </w:r>
      <w:r w:rsidRPr="00002A09">
        <w:rPr>
          <w:rFonts w:ascii="Arial" w:hAnsi="Arial" w:cs="Arial"/>
          <w:sz w:val="26"/>
          <w:szCs w:val="26"/>
        </w:rPr>
        <w:t xml:space="preserve">, para garantizar el cumplimiento de la sentencia de fecha </w:t>
      </w:r>
      <w:r>
        <w:rPr>
          <w:rFonts w:ascii="Arial" w:hAnsi="Arial" w:cs="Arial"/>
          <w:sz w:val="26"/>
          <w:szCs w:val="26"/>
        </w:rPr>
        <w:t xml:space="preserve">16 </w:t>
      </w:r>
      <w:r w:rsidRPr="00002A09">
        <w:rPr>
          <w:rFonts w:ascii="Arial" w:hAnsi="Arial" w:cs="Arial"/>
          <w:sz w:val="26"/>
          <w:szCs w:val="26"/>
        </w:rPr>
        <w:t xml:space="preserve">dieciséis de agosto de </w:t>
      </w:r>
      <w:r>
        <w:rPr>
          <w:rFonts w:ascii="Arial" w:hAnsi="Arial" w:cs="Arial"/>
          <w:sz w:val="26"/>
          <w:szCs w:val="26"/>
        </w:rPr>
        <w:t xml:space="preserve">2018 </w:t>
      </w:r>
      <w:r w:rsidRPr="00002A09">
        <w:rPr>
          <w:rFonts w:ascii="Arial" w:hAnsi="Arial" w:cs="Arial"/>
          <w:sz w:val="26"/>
          <w:szCs w:val="26"/>
        </w:rPr>
        <w:t>dos mil dieciocho</w:t>
      </w:r>
      <w:r>
        <w:rPr>
          <w:rFonts w:ascii="Arial" w:hAnsi="Arial" w:cs="Arial"/>
          <w:sz w:val="26"/>
          <w:szCs w:val="26"/>
        </w:rPr>
        <w:t>.</w:t>
      </w:r>
      <w:r w:rsidR="009B1AA7">
        <w:rPr>
          <w:rFonts w:ascii="Arial" w:hAnsi="Arial" w:cs="Arial"/>
          <w:sz w:val="26"/>
          <w:szCs w:val="26"/>
        </w:rPr>
        <w:t xml:space="preserve">- - </w:t>
      </w:r>
    </w:p>
    <w:p w14:paraId="633C87B1" w14:textId="3290F0DC" w:rsidR="00BE74A2" w:rsidRDefault="00BE74A2" w:rsidP="00BE74A2">
      <w:pPr>
        <w:pStyle w:val="Sinespaciado"/>
        <w:spacing w:after="200" w:line="360" w:lineRule="auto"/>
        <w:ind w:firstLine="708"/>
        <w:jc w:val="both"/>
        <w:rPr>
          <w:rFonts w:ascii="Arial" w:hAnsi="Arial" w:cs="Arial"/>
          <w:bCs/>
          <w:color w:val="000000"/>
          <w:sz w:val="26"/>
          <w:szCs w:val="26"/>
          <w:lang w:val="es-MX"/>
        </w:rPr>
      </w:pPr>
      <w:r>
        <w:rPr>
          <w:rFonts w:ascii="Arial" w:eastAsia="Calibri" w:hAnsi="Arial" w:cs="Times New Roman"/>
          <w:color w:val="000000"/>
          <w:sz w:val="26"/>
          <w:szCs w:val="26"/>
          <w:lang w:val="es-MX"/>
        </w:rPr>
        <w:t xml:space="preserve">En tal consideración, es pertinente señalar, que </w:t>
      </w:r>
      <w:r>
        <w:rPr>
          <w:rFonts w:ascii="Arial" w:hAnsi="Arial" w:cs="Arial"/>
          <w:bCs/>
          <w:color w:val="000000"/>
          <w:sz w:val="26"/>
          <w:szCs w:val="26"/>
          <w:lang w:val="es-MX"/>
        </w:rPr>
        <w:t>el</w:t>
      </w:r>
      <w:r w:rsidRPr="00881784">
        <w:rPr>
          <w:rFonts w:ascii="Arial" w:hAnsi="Arial" w:cs="Arial"/>
          <w:bCs/>
          <w:color w:val="000000"/>
          <w:sz w:val="26"/>
          <w:szCs w:val="26"/>
          <w:lang w:val="es-MX"/>
        </w:rPr>
        <w:t xml:space="preserve"> artículo 2</w:t>
      </w:r>
      <w:r>
        <w:rPr>
          <w:rFonts w:ascii="Arial" w:hAnsi="Arial" w:cs="Arial"/>
          <w:bCs/>
          <w:color w:val="000000"/>
          <w:sz w:val="26"/>
          <w:szCs w:val="26"/>
          <w:lang w:val="es-MX"/>
        </w:rPr>
        <w:t>0</w:t>
      </w:r>
      <w:r w:rsidRPr="00881784">
        <w:rPr>
          <w:rFonts w:ascii="Arial" w:hAnsi="Arial" w:cs="Arial"/>
          <w:bCs/>
          <w:color w:val="000000"/>
          <w:sz w:val="26"/>
          <w:szCs w:val="26"/>
          <w:lang w:val="es-MX"/>
        </w:rPr>
        <w:t xml:space="preserve">6 de la Ley de Justicia Administrativa </w:t>
      </w:r>
      <w:r>
        <w:rPr>
          <w:rFonts w:ascii="Arial" w:hAnsi="Arial" w:cs="Arial"/>
          <w:bCs/>
          <w:color w:val="000000"/>
          <w:sz w:val="26"/>
          <w:szCs w:val="26"/>
          <w:lang w:val="es-MX"/>
        </w:rPr>
        <w:t xml:space="preserve">para el Estado de Oaxaca, </w:t>
      </w:r>
      <w:r w:rsidRPr="00881784">
        <w:rPr>
          <w:rFonts w:ascii="Arial" w:hAnsi="Arial" w:cs="Arial"/>
          <w:bCs/>
          <w:color w:val="000000"/>
          <w:sz w:val="26"/>
          <w:szCs w:val="26"/>
          <w:lang w:val="es-MX"/>
        </w:rPr>
        <w:t xml:space="preserve">prevé las hipótesis </w:t>
      </w:r>
      <w:r>
        <w:rPr>
          <w:rFonts w:ascii="Arial" w:hAnsi="Arial" w:cs="Arial"/>
          <w:bCs/>
          <w:color w:val="000000"/>
          <w:sz w:val="26"/>
          <w:szCs w:val="26"/>
          <w:lang w:val="es-MX"/>
        </w:rPr>
        <w:t xml:space="preserve">respecto de </w:t>
      </w:r>
      <w:r w:rsidRPr="00881784">
        <w:rPr>
          <w:rFonts w:ascii="Arial" w:hAnsi="Arial" w:cs="Arial"/>
          <w:bCs/>
          <w:color w:val="000000"/>
          <w:sz w:val="26"/>
          <w:szCs w:val="26"/>
          <w:lang w:val="es-MX"/>
        </w:rPr>
        <w:t xml:space="preserve">las cuales </w:t>
      </w:r>
      <w:r>
        <w:rPr>
          <w:rFonts w:ascii="Arial" w:hAnsi="Arial" w:cs="Arial"/>
          <w:bCs/>
          <w:color w:val="000000"/>
          <w:sz w:val="26"/>
          <w:szCs w:val="26"/>
          <w:lang w:val="es-MX"/>
        </w:rPr>
        <w:t xml:space="preserve">es procedente </w:t>
      </w:r>
      <w:r w:rsidRPr="00881784">
        <w:rPr>
          <w:rFonts w:ascii="Arial" w:hAnsi="Arial" w:cs="Arial"/>
          <w:bCs/>
          <w:color w:val="000000"/>
          <w:sz w:val="26"/>
          <w:szCs w:val="26"/>
          <w:lang w:val="es-MX"/>
        </w:rPr>
        <w:t xml:space="preserve">el recurso de revisión, </w:t>
      </w:r>
      <w:r>
        <w:rPr>
          <w:rFonts w:ascii="Arial" w:hAnsi="Arial" w:cs="Arial"/>
          <w:bCs/>
          <w:color w:val="000000"/>
          <w:sz w:val="26"/>
          <w:szCs w:val="26"/>
          <w:lang w:val="es-MX"/>
        </w:rPr>
        <w:t>estableciéndolo de la s</w:t>
      </w:r>
      <w:r w:rsidRPr="00881784">
        <w:rPr>
          <w:rFonts w:ascii="Arial" w:hAnsi="Arial" w:cs="Arial"/>
          <w:bCs/>
          <w:color w:val="000000"/>
          <w:sz w:val="26"/>
          <w:szCs w:val="26"/>
          <w:lang w:val="es-MX"/>
        </w:rPr>
        <w:t>iguient</w:t>
      </w:r>
      <w:r>
        <w:rPr>
          <w:rFonts w:ascii="Arial" w:hAnsi="Arial" w:cs="Arial"/>
          <w:bCs/>
          <w:color w:val="000000"/>
          <w:sz w:val="26"/>
          <w:szCs w:val="26"/>
          <w:lang w:val="es-MX"/>
        </w:rPr>
        <w:t>e manera:</w:t>
      </w:r>
      <w:r w:rsidR="009B1AA7">
        <w:rPr>
          <w:rFonts w:ascii="Arial" w:hAnsi="Arial" w:cs="Arial"/>
          <w:bCs/>
          <w:color w:val="000000"/>
          <w:sz w:val="26"/>
          <w:szCs w:val="26"/>
          <w:lang w:val="es-MX"/>
        </w:rPr>
        <w:t xml:space="preserve"> - - - - - - - - - - - - - - - - - - - - - - -</w:t>
      </w:r>
    </w:p>
    <w:p w14:paraId="242E6F90" w14:textId="77777777" w:rsidR="00BE74A2" w:rsidRPr="009B1AA7" w:rsidRDefault="00BE74A2" w:rsidP="00BE74A2">
      <w:pPr>
        <w:pStyle w:val="Sinespaciado"/>
        <w:ind w:left="851" w:right="618"/>
        <w:jc w:val="both"/>
        <w:rPr>
          <w:rFonts w:ascii="Arial" w:hAnsi="Arial" w:cs="Arial"/>
          <w:i/>
        </w:rPr>
      </w:pPr>
      <w:r w:rsidRPr="009B1AA7">
        <w:rPr>
          <w:rFonts w:ascii="Arial" w:hAnsi="Arial" w:cs="Arial"/>
          <w:b/>
          <w:bCs/>
          <w:i/>
          <w:color w:val="000000"/>
          <w:lang w:val="es-MX"/>
        </w:rPr>
        <w:t>“</w:t>
      </w:r>
      <w:r w:rsidRPr="009B1AA7">
        <w:rPr>
          <w:rFonts w:ascii="Arial" w:hAnsi="Arial" w:cs="Arial"/>
          <w:b/>
          <w:i/>
        </w:rPr>
        <w:t>ARTICULO 206.-</w:t>
      </w:r>
      <w:r w:rsidRPr="009B1AA7">
        <w:rPr>
          <w:rFonts w:ascii="Arial" w:hAnsi="Arial" w:cs="Arial"/>
          <w:i/>
        </w:rPr>
        <w:t xml:space="preserve"> Contra los acuerdos y resoluciones dictados por las salas unitarias de primera instancia, procede el recurso de revisión, cuyo conocimiento y resolución corresponde a la Sala Superior. </w:t>
      </w:r>
    </w:p>
    <w:p w14:paraId="247AAE1F" w14:textId="77777777" w:rsidR="00BE74A2" w:rsidRPr="009B1AA7" w:rsidRDefault="00BE74A2" w:rsidP="00BE74A2">
      <w:pPr>
        <w:pStyle w:val="Sinespaciado"/>
        <w:ind w:left="851" w:right="618"/>
        <w:jc w:val="both"/>
        <w:rPr>
          <w:rFonts w:ascii="Arial" w:hAnsi="Arial" w:cs="Arial"/>
          <w:i/>
        </w:rPr>
      </w:pPr>
      <w:r w:rsidRPr="009B1AA7">
        <w:rPr>
          <w:rFonts w:ascii="Arial" w:hAnsi="Arial" w:cs="Arial"/>
          <w:i/>
        </w:rPr>
        <w:t>Podrán ser impugnadas por las partes, mediante recurso de revisión:</w:t>
      </w:r>
    </w:p>
    <w:p w14:paraId="1176A7B1" w14:textId="77777777" w:rsidR="00BE74A2" w:rsidRPr="009B1AA7" w:rsidRDefault="00BE74A2" w:rsidP="00BE74A2">
      <w:pPr>
        <w:pStyle w:val="Sinespaciado"/>
        <w:ind w:left="851" w:right="618"/>
        <w:jc w:val="both"/>
        <w:rPr>
          <w:rFonts w:ascii="Arial" w:hAnsi="Arial" w:cs="Arial"/>
          <w:i/>
        </w:rPr>
      </w:pPr>
      <w:r w:rsidRPr="009B1AA7">
        <w:rPr>
          <w:rFonts w:ascii="Arial" w:hAnsi="Arial" w:cs="Arial"/>
          <w:i/>
        </w:rPr>
        <w:t xml:space="preserve">I.- Los acuerdos que admitan o desechen la demanda, su contestación o ampliación; </w:t>
      </w:r>
    </w:p>
    <w:p w14:paraId="100BEF45" w14:textId="77777777" w:rsidR="00BE74A2" w:rsidRPr="009B1AA7" w:rsidRDefault="00BE74A2" w:rsidP="00BE74A2">
      <w:pPr>
        <w:pStyle w:val="Sinespaciado"/>
        <w:ind w:left="851" w:right="618"/>
        <w:jc w:val="both"/>
        <w:rPr>
          <w:rFonts w:ascii="Arial" w:hAnsi="Arial" w:cs="Arial"/>
          <w:i/>
        </w:rPr>
      </w:pPr>
      <w:r w:rsidRPr="009B1AA7">
        <w:rPr>
          <w:rFonts w:ascii="Arial" w:hAnsi="Arial" w:cs="Arial"/>
          <w:i/>
        </w:rPr>
        <w:t xml:space="preserve">II.- El acuerdo que deseche pruebas; </w:t>
      </w:r>
    </w:p>
    <w:p w14:paraId="34E6E5DC" w14:textId="77777777" w:rsidR="00BE74A2" w:rsidRPr="009B1AA7" w:rsidRDefault="00BE74A2" w:rsidP="00BE74A2">
      <w:pPr>
        <w:pStyle w:val="Sinespaciado"/>
        <w:ind w:left="851" w:right="618"/>
        <w:jc w:val="both"/>
        <w:rPr>
          <w:rFonts w:ascii="Arial" w:hAnsi="Arial" w:cs="Arial"/>
          <w:i/>
        </w:rPr>
      </w:pPr>
      <w:r w:rsidRPr="009B1AA7">
        <w:rPr>
          <w:rFonts w:ascii="Arial" w:hAnsi="Arial" w:cs="Arial"/>
          <w:i/>
        </w:rPr>
        <w:t xml:space="preserve">III.- El acuerdo que rechace la intervención del tercero; </w:t>
      </w:r>
    </w:p>
    <w:p w14:paraId="190D00D1" w14:textId="77777777" w:rsidR="00BE74A2" w:rsidRPr="009B1AA7" w:rsidRDefault="00BE74A2" w:rsidP="00BE74A2">
      <w:pPr>
        <w:pStyle w:val="Sinespaciado"/>
        <w:ind w:left="851" w:right="618"/>
        <w:jc w:val="both"/>
        <w:rPr>
          <w:rFonts w:ascii="Arial" w:hAnsi="Arial" w:cs="Arial"/>
          <w:i/>
        </w:rPr>
      </w:pPr>
      <w:r w:rsidRPr="009B1AA7">
        <w:rPr>
          <w:rFonts w:ascii="Arial" w:hAnsi="Arial" w:cs="Arial"/>
          <w:i/>
        </w:rPr>
        <w:t xml:space="preserve">IV.- Los acuerdos que decreten, nieguen o revoquen la suspensión; </w:t>
      </w:r>
    </w:p>
    <w:p w14:paraId="22E507E0" w14:textId="77777777" w:rsidR="00BE74A2" w:rsidRPr="009B1AA7" w:rsidRDefault="00BE74A2" w:rsidP="00BE74A2">
      <w:pPr>
        <w:pStyle w:val="Sinespaciado"/>
        <w:ind w:left="851" w:right="618"/>
        <w:jc w:val="both"/>
        <w:rPr>
          <w:rFonts w:ascii="Arial" w:hAnsi="Arial" w:cs="Arial"/>
          <w:i/>
        </w:rPr>
      </w:pPr>
      <w:r w:rsidRPr="009B1AA7">
        <w:rPr>
          <w:rFonts w:ascii="Arial" w:hAnsi="Arial" w:cs="Arial"/>
          <w:i/>
        </w:rPr>
        <w:t xml:space="preserve">V.- Las resoluciones que decidan incidentes; </w:t>
      </w:r>
    </w:p>
    <w:p w14:paraId="476BEDD2" w14:textId="77777777" w:rsidR="00BE74A2" w:rsidRPr="009B1AA7" w:rsidRDefault="00BE74A2" w:rsidP="00BE74A2">
      <w:pPr>
        <w:pStyle w:val="Sinespaciado"/>
        <w:ind w:left="851" w:right="618"/>
        <w:jc w:val="both"/>
        <w:rPr>
          <w:rFonts w:ascii="Arial" w:hAnsi="Arial" w:cs="Arial"/>
          <w:i/>
        </w:rPr>
      </w:pPr>
      <w:r w:rsidRPr="009B1AA7">
        <w:rPr>
          <w:rFonts w:ascii="Arial" w:hAnsi="Arial" w:cs="Arial"/>
          <w:i/>
        </w:rPr>
        <w:t xml:space="preserve">VI.- Las resoluciones que decreten o nieguen el sobreseimiento; </w:t>
      </w:r>
    </w:p>
    <w:p w14:paraId="128F7C24" w14:textId="77777777" w:rsidR="00BE74A2" w:rsidRPr="009B1AA7" w:rsidRDefault="00BE74A2" w:rsidP="00BE74A2">
      <w:pPr>
        <w:pStyle w:val="Sinespaciado"/>
        <w:ind w:left="851" w:right="618"/>
        <w:jc w:val="both"/>
        <w:rPr>
          <w:rFonts w:ascii="Arial" w:hAnsi="Arial" w:cs="Arial"/>
          <w:i/>
        </w:rPr>
      </w:pPr>
      <w:r w:rsidRPr="009B1AA7">
        <w:rPr>
          <w:rFonts w:ascii="Arial" w:hAnsi="Arial" w:cs="Arial"/>
          <w:i/>
        </w:rPr>
        <w:t xml:space="preserve">VII.- Las sentencias que decidan la cuestión planteada. Por violaciones cometidas durante el procedimiento del juicio, cuando hayan dejado sin defensa al recurrente y trasciendan al sentido de la sentencia; y </w:t>
      </w:r>
    </w:p>
    <w:p w14:paraId="259A254E" w14:textId="77777777" w:rsidR="00BE74A2" w:rsidRPr="009B1AA7" w:rsidRDefault="00BE74A2" w:rsidP="00BE74A2">
      <w:pPr>
        <w:pStyle w:val="Sinespaciado"/>
        <w:ind w:left="851" w:right="618"/>
        <w:jc w:val="both"/>
        <w:rPr>
          <w:rFonts w:ascii="Arial" w:hAnsi="Arial" w:cs="Arial"/>
          <w:i/>
          <w:lang w:val="es-MX"/>
        </w:rPr>
      </w:pPr>
      <w:r w:rsidRPr="009B1AA7">
        <w:rPr>
          <w:rFonts w:ascii="Arial" w:hAnsi="Arial" w:cs="Arial"/>
          <w:i/>
        </w:rPr>
        <w:t>VIII.- Las resoluciones que pongan fin al procedimiento de ejecución de la sentencia.”</w:t>
      </w:r>
    </w:p>
    <w:p w14:paraId="2595EBF7" w14:textId="77777777" w:rsidR="00BE74A2" w:rsidRDefault="00BE74A2" w:rsidP="00BE74A2">
      <w:pPr>
        <w:pStyle w:val="Sinespaciado"/>
        <w:ind w:right="49"/>
        <w:jc w:val="both"/>
        <w:rPr>
          <w:rFonts w:ascii="Arial" w:hAnsi="Arial" w:cs="Arial"/>
          <w:bCs/>
          <w:color w:val="000000"/>
          <w:sz w:val="26"/>
          <w:szCs w:val="26"/>
          <w:lang w:val="es-MX"/>
        </w:rPr>
      </w:pPr>
    </w:p>
    <w:p w14:paraId="038A3947" w14:textId="7F2206CD" w:rsidR="00BE74A2" w:rsidRDefault="00BE74A2" w:rsidP="00BE74A2">
      <w:pPr>
        <w:widowControl w:val="0"/>
        <w:tabs>
          <w:tab w:val="left" w:pos="0"/>
        </w:tabs>
        <w:spacing w:line="360" w:lineRule="auto"/>
        <w:ind w:right="18" w:firstLine="709"/>
        <w:jc w:val="both"/>
        <w:rPr>
          <w:rFonts w:ascii="Arial" w:hAnsi="Arial" w:cs="Arial"/>
          <w:bCs/>
          <w:color w:val="000000"/>
          <w:sz w:val="26"/>
          <w:szCs w:val="26"/>
        </w:rPr>
      </w:pPr>
      <w:r w:rsidRPr="003C2D9D">
        <w:rPr>
          <w:rFonts w:ascii="Arial" w:eastAsia="Calibri" w:hAnsi="Arial" w:cs="Times New Roman"/>
          <w:color w:val="000000"/>
          <w:sz w:val="26"/>
          <w:szCs w:val="26"/>
        </w:rPr>
        <w:t xml:space="preserve">Como </w:t>
      </w:r>
      <w:r>
        <w:rPr>
          <w:rFonts w:ascii="Arial" w:eastAsia="Calibri" w:hAnsi="Arial" w:cs="Times New Roman"/>
          <w:color w:val="000000"/>
          <w:sz w:val="26"/>
          <w:szCs w:val="26"/>
        </w:rPr>
        <w:t>se advierte del artículo anteriormente transcrito, ninguna de las hipótesis previstas se</w:t>
      </w:r>
      <w:r>
        <w:rPr>
          <w:rFonts w:ascii="Arial" w:hAnsi="Arial" w:cs="Arial"/>
          <w:bCs/>
          <w:color w:val="000000"/>
          <w:sz w:val="26"/>
          <w:szCs w:val="26"/>
        </w:rPr>
        <w:t xml:space="preserve">ñala que sea procedente el citado medio de impugnación contra las resoluciones dictadas por la Primera Instancia en los recursos de queja, consideración respecto de la que versa la resolución refutada, </w:t>
      </w:r>
      <w:r w:rsidRPr="00563B58">
        <w:rPr>
          <w:rFonts w:ascii="Arial" w:hAnsi="Arial" w:cs="Arial"/>
          <w:b/>
          <w:color w:val="000000"/>
          <w:sz w:val="26"/>
          <w:szCs w:val="26"/>
        </w:rPr>
        <w:t xml:space="preserve">además que no puso fin al procedimiento de </w:t>
      </w:r>
      <w:r w:rsidR="006E123E" w:rsidRPr="00563B58">
        <w:rPr>
          <w:rFonts w:ascii="Arial" w:hAnsi="Arial" w:cs="Arial"/>
          <w:b/>
          <w:color w:val="000000"/>
          <w:sz w:val="26"/>
          <w:szCs w:val="26"/>
        </w:rPr>
        <w:t>nulidad.</w:t>
      </w:r>
      <w:r w:rsidR="006E123E">
        <w:rPr>
          <w:rFonts w:ascii="Arial" w:hAnsi="Arial" w:cs="Arial"/>
          <w:b/>
          <w:color w:val="000000"/>
          <w:sz w:val="26"/>
          <w:szCs w:val="26"/>
        </w:rPr>
        <w:t xml:space="preserve"> -</w:t>
      </w:r>
      <w:r w:rsidR="00513B48">
        <w:rPr>
          <w:rFonts w:ascii="Arial" w:hAnsi="Arial" w:cs="Arial"/>
          <w:b/>
          <w:color w:val="000000"/>
          <w:sz w:val="26"/>
          <w:szCs w:val="26"/>
        </w:rPr>
        <w:t xml:space="preserve"> - - - - - -  - - - - - - - - - - - - - - - - - - - - - - - - - - - - - - - - - - - - - -</w:t>
      </w:r>
    </w:p>
    <w:p w14:paraId="6EB20B86" w14:textId="77777777" w:rsidR="00761BD7" w:rsidRDefault="00BE74A2" w:rsidP="00761BD7">
      <w:pPr>
        <w:widowControl w:val="0"/>
        <w:tabs>
          <w:tab w:val="left" w:pos="0"/>
        </w:tabs>
        <w:spacing w:line="360" w:lineRule="auto"/>
        <w:ind w:right="18" w:firstLine="709"/>
        <w:jc w:val="both"/>
        <w:rPr>
          <w:rFonts w:ascii="Arial" w:hAnsi="Arial" w:cs="Arial"/>
          <w:sz w:val="26"/>
          <w:szCs w:val="26"/>
        </w:rPr>
      </w:pPr>
      <w:r>
        <w:rPr>
          <w:rFonts w:ascii="Arial" w:hAnsi="Arial" w:cs="Arial"/>
          <w:bCs/>
          <w:color w:val="000000"/>
          <w:sz w:val="26"/>
          <w:szCs w:val="26"/>
        </w:rPr>
        <w:t>E</w:t>
      </w:r>
      <w:r w:rsidRPr="00881784">
        <w:rPr>
          <w:rFonts w:ascii="Arial" w:hAnsi="Arial" w:cs="Arial"/>
          <w:bCs/>
          <w:color w:val="000000"/>
          <w:sz w:val="26"/>
          <w:szCs w:val="26"/>
        </w:rPr>
        <w:t>n consecuencia, se desecha</w:t>
      </w:r>
      <w:r>
        <w:rPr>
          <w:rFonts w:ascii="Arial" w:hAnsi="Arial" w:cs="Arial"/>
          <w:bCs/>
          <w:color w:val="000000"/>
          <w:sz w:val="26"/>
          <w:szCs w:val="26"/>
        </w:rPr>
        <w:t xml:space="preserve"> </w:t>
      </w:r>
      <w:r w:rsidRPr="00881784">
        <w:rPr>
          <w:rFonts w:ascii="Arial" w:hAnsi="Arial" w:cs="Arial"/>
          <w:bCs/>
          <w:color w:val="000000"/>
          <w:sz w:val="26"/>
          <w:szCs w:val="26"/>
        </w:rPr>
        <w:t>por improcedente</w:t>
      </w:r>
      <w:r>
        <w:rPr>
          <w:rFonts w:ascii="Arial" w:hAnsi="Arial" w:cs="Arial"/>
          <w:bCs/>
          <w:color w:val="000000"/>
          <w:sz w:val="26"/>
          <w:szCs w:val="26"/>
        </w:rPr>
        <w:t xml:space="preserve"> el </w:t>
      </w:r>
      <w:r w:rsidRPr="00881784">
        <w:rPr>
          <w:rFonts w:ascii="Arial" w:hAnsi="Arial" w:cs="Arial"/>
          <w:bCs/>
          <w:color w:val="000000"/>
          <w:sz w:val="26"/>
          <w:szCs w:val="26"/>
        </w:rPr>
        <w:t>medio</w:t>
      </w:r>
      <w:r>
        <w:rPr>
          <w:rFonts w:ascii="Arial" w:hAnsi="Arial" w:cs="Arial"/>
          <w:bCs/>
          <w:color w:val="000000"/>
          <w:sz w:val="26"/>
          <w:szCs w:val="26"/>
        </w:rPr>
        <w:t xml:space="preserve"> </w:t>
      </w:r>
      <w:r w:rsidRPr="00881784">
        <w:rPr>
          <w:rFonts w:ascii="Arial" w:hAnsi="Arial" w:cs="Arial"/>
          <w:bCs/>
          <w:color w:val="000000"/>
          <w:sz w:val="26"/>
          <w:szCs w:val="26"/>
        </w:rPr>
        <w:t xml:space="preserve">de defensa </w:t>
      </w:r>
      <w:r>
        <w:rPr>
          <w:rFonts w:ascii="Arial" w:hAnsi="Arial" w:cs="Arial"/>
          <w:bCs/>
          <w:color w:val="000000"/>
          <w:sz w:val="26"/>
          <w:szCs w:val="26"/>
        </w:rPr>
        <w:t xml:space="preserve">interpuesto por </w:t>
      </w:r>
      <w:r>
        <w:rPr>
          <w:rFonts w:ascii="Arial" w:hAnsi="Arial" w:cs="Arial"/>
          <w:sz w:val="26"/>
          <w:szCs w:val="26"/>
        </w:rPr>
        <w:t xml:space="preserve">el </w:t>
      </w:r>
      <w:r>
        <w:rPr>
          <w:rFonts w:ascii="Arial" w:hAnsi="Arial" w:cs="Arial"/>
          <w:b/>
          <w:sz w:val="26"/>
          <w:szCs w:val="26"/>
        </w:rPr>
        <w:t>DIRECTOR JURÍDICO DE LA SECRETARÍA DE MOVILIDAD DEL GOBIERNO DEL ESTADO DE OAXACA,</w:t>
      </w:r>
      <w:r>
        <w:rPr>
          <w:rFonts w:ascii="Arial" w:hAnsi="Arial" w:cs="Arial"/>
          <w:sz w:val="26"/>
          <w:szCs w:val="26"/>
        </w:rPr>
        <w:t xml:space="preserve"> en contra de la resolución de 5 cinco de noviembre de 2019 dos mil diecinueve, al no actualizarse alguna de las hipótesis previstas para la procedencia del recurso de revisión que interpuso. </w:t>
      </w:r>
      <w:r w:rsidR="00310AD6">
        <w:rPr>
          <w:rFonts w:ascii="Arial" w:hAnsi="Arial" w:cs="Arial"/>
          <w:sz w:val="26"/>
          <w:szCs w:val="26"/>
        </w:rPr>
        <w:t>- - - - - - - - - - - - - - -</w:t>
      </w:r>
    </w:p>
    <w:p w14:paraId="42E9B251" w14:textId="08FDCF7A" w:rsidR="00BE74A2" w:rsidRDefault="00BE74A2" w:rsidP="00761BD7">
      <w:pPr>
        <w:widowControl w:val="0"/>
        <w:tabs>
          <w:tab w:val="left" w:pos="0"/>
        </w:tabs>
        <w:spacing w:line="360" w:lineRule="auto"/>
        <w:ind w:right="18" w:firstLine="709"/>
        <w:jc w:val="both"/>
        <w:rPr>
          <w:rFonts w:ascii="Arial" w:hAnsi="Arial" w:cs="Arial"/>
          <w:sz w:val="26"/>
          <w:szCs w:val="26"/>
        </w:rPr>
      </w:pPr>
      <w:r>
        <w:rPr>
          <w:rFonts w:ascii="Arial" w:hAnsi="Arial" w:cs="Arial"/>
          <w:sz w:val="26"/>
          <w:szCs w:val="26"/>
        </w:rPr>
        <w:t>En mérito de lo anterior, con fundamento en los artículos 207 y 208 de la Ley de Justicia Administrativa para el Estado de Oaxaca,</w:t>
      </w:r>
      <w:r w:rsidR="00310AD6" w:rsidRPr="00310AD6">
        <w:rPr>
          <w:rFonts w:ascii="Arial" w:hAnsi="Arial" w:cs="Arial"/>
          <w:sz w:val="26"/>
          <w:szCs w:val="26"/>
        </w:rPr>
        <w:t xml:space="preserve"> </w:t>
      </w:r>
      <w:r w:rsidR="00310AD6">
        <w:rPr>
          <w:rFonts w:ascii="Arial" w:hAnsi="Arial" w:cs="Arial"/>
          <w:sz w:val="26"/>
          <w:szCs w:val="26"/>
        </w:rPr>
        <w:t>al estar vigente al inicio del juicio natural</w:t>
      </w:r>
      <w:r>
        <w:rPr>
          <w:rFonts w:ascii="Arial" w:hAnsi="Arial" w:cs="Arial"/>
          <w:sz w:val="26"/>
          <w:szCs w:val="26"/>
        </w:rPr>
        <w:t xml:space="preserve"> se:</w:t>
      </w:r>
      <w:r w:rsidR="00310AD6">
        <w:rPr>
          <w:rFonts w:ascii="Arial" w:hAnsi="Arial" w:cs="Arial"/>
          <w:sz w:val="26"/>
          <w:szCs w:val="26"/>
        </w:rPr>
        <w:t>- - - - - - - - - - - - - - - - - - - - - -</w:t>
      </w:r>
      <w:r w:rsidR="00761BD7">
        <w:rPr>
          <w:rFonts w:ascii="Arial" w:hAnsi="Arial" w:cs="Arial"/>
          <w:sz w:val="26"/>
          <w:szCs w:val="26"/>
        </w:rPr>
        <w:t xml:space="preserve"> </w:t>
      </w:r>
    </w:p>
    <w:p w14:paraId="1A6AB188" w14:textId="77777777" w:rsidR="00BE74A2" w:rsidRDefault="00BE74A2" w:rsidP="00BE74A2">
      <w:pPr>
        <w:pStyle w:val="Sinespaciado"/>
        <w:spacing w:after="240" w:line="360" w:lineRule="auto"/>
        <w:ind w:right="51" w:firstLine="709"/>
        <w:jc w:val="center"/>
        <w:rPr>
          <w:rFonts w:ascii="Arial" w:hAnsi="Arial" w:cs="Arial"/>
          <w:b/>
          <w:sz w:val="26"/>
          <w:szCs w:val="26"/>
        </w:rPr>
      </w:pPr>
      <w:r w:rsidRPr="007B7A46">
        <w:rPr>
          <w:rFonts w:ascii="Arial" w:hAnsi="Arial" w:cs="Arial"/>
          <w:b/>
          <w:sz w:val="26"/>
          <w:szCs w:val="26"/>
        </w:rPr>
        <w:t>R E S U E L V E</w:t>
      </w:r>
    </w:p>
    <w:p w14:paraId="0A297BA9" w14:textId="77777777" w:rsidR="00BE74A2" w:rsidRPr="007B401E" w:rsidRDefault="00BE74A2" w:rsidP="00BE74A2">
      <w:pPr>
        <w:widowControl w:val="0"/>
        <w:tabs>
          <w:tab w:val="left" w:pos="0"/>
        </w:tabs>
        <w:spacing w:before="240" w:after="0" w:line="360" w:lineRule="auto"/>
        <w:ind w:right="18"/>
        <w:jc w:val="both"/>
        <w:rPr>
          <w:rFonts w:ascii="Arial" w:hAnsi="Arial" w:cs="Arial"/>
          <w:color w:val="000000"/>
          <w:sz w:val="26"/>
          <w:szCs w:val="26"/>
        </w:rPr>
      </w:pPr>
      <w:r>
        <w:rPr>
          <w:rFonts w:ascii="Arial" w:hAnsi="Arial" w:cs="Arial"/>
          <w:b/>
          <w:color w:val="000000"/>
          <w:sz w:val="26"/>
          <w:szCs w:val="26"/>
        </w:rPr>
        <w:tab/>
      </w:r>
      <w:r w:rsidRPr="007B401E">
        <w:rPr>
          <w:rFonts w:ascii="Arial" w:hAnsi="Arial" w:cs="Arial"/>
          <w:b/>
          <w:color w:val="000000"/>
          <w:sz w:val="26"/>
          <w:szCs w:val="26"/>
        </w:rPr>
        <w:t>PRIMERO</w:t>
      </w:r>
      <w:r w:rsidRPr="007B401E">
        <w:rPr>
          <w:rFonts w:ascii="Arial" w:hAnsi="Arial" w:cs="Arial"/>
          <w:color w:val="000000"/>
          <w:sz w:val="26"/>
          <w:szCs w:val="26"/>
        </w:rPr>
        <w:t xml:space="preserve">. Se </w:t>
      </w:r>
      <w:r>
        <w:rPr>
          <w:rFonts w:ascii="Arial" w:hAnsi="Arial" w:cs="Arial"/>
          <w:b/>
          <w:bCs/>
          <w:color w:val="000000"/>
          <w:sz w:val="26"/>
          <w:szCs w:val="26"/>
        </w:rPr>
        <w:t>DESECHA el recurso por improcedente</w:t>
      </w:r>
      <w:r w:rsidRPr="007B401E">
        <w:rPr>
          <w:rFonts w:ascii="Arial" w:hAnsi="Arial" w:cs="Arial"/>
          <w:b/>
          <w:color w:val="000000"/>
          <w:sz w:val="26"/>
          <w:szCs w:val="26"/>
        </w:rPr>
        <w:t xml:space="preserve">, </w:t>
      </w:r>
      <w:r w:rsidRPr="007B401E">
        <w:rPr>
          <w:rFonts w:ascii="Arial" w:hAnsi="Arial" w:cs="Arial"/>
          <w:color w:val="000000"/>
          <w:sz w:val="26"/>
          <w:szCs w:val="26"/>
        </w:rPr>
        <w:t xml:space="preserve">por las razones expuestas en el considerando Tercero de la presente resolución. - - - - - - - - - - - - - - - - - - - - - - - - - - - - - - - -  - - - - - - - - - - - </w:t>
      </w:r>
    </w:p>
    <w:p w14:paraId="7479C048" w14:textId="77777777" w:rsidR="00BE74A2" w:rsidRDefault="00BE74A2" w:rsidP="00BE74A2">
      <w:pPr>
        <w:pStyle w:val="Sinespaciado"/>
        <w:spacing w:before="240" w:after="240" w:line="360" w:lineRule="auto"/>
        <w:ind w:firstLine="708"/>
        <w:jc w:val="both"/>
        <w:rPr>
          <w:rFonts w:ascii="Arial" w:hAnsi="Arial" w:cs="Arial"/>
          <w:sz w:val="26"/>
          <w:szCs w:val="26"/>
        </w:rPr>
      </w:pPr>
      <w:r w:rsidRPr="007B401E">
        <w:rPr>
          <w:rFonts w:ascii="Arial" w:hAnsi="Arial" w:cs="Arial"/>
          <w:b/>
          <w:sz w:val="26"/>
          <w:szCs w:val="26"/>
        </w:rPr>
        <w:lastRenderedPageBreak/>
        <w:t>SEGUNDO. NOTIFÍQUESE Y CÚMPLASE,</w:t>
      </w:r>
      <w:r w:rsidRPr="007B401E">
        <w:rPr>
          <w:rFonts w:ascii="Arial" w:hAnsi="Arial" w:cs="Arial"/>
          <w:sz w:val="26"/>
          <w:szCs w:val="26"/>
        </w:rPr>
        <w:t xml:space="preserve"> remítase copia certificada de la presente resolución a la Sala de origen para los efectos legales a que haya lugar y archívese como asunto concluido. - - - - - - - -</w:t>
      </w:r>
    </w:p>
    <w:p w14:paraId="7DD28BB4" w14:textId="055C500C" w:rsidR="00BE74A2" w:rsidRDefault="00BE74A2" w:rsidP="00BE74A2">
      <w:pPr>
        <w:tabs>
          <w:tab w:val="left" w:pos="1925"/>
          <w:tab w:val="center" w:pos="4135"/>
        </w:tabs>
        <w:spacing w:line="360" w:lineRule="auto"/>
        <w:jc w:val="both"/>
        <w:rPr>
          <w:rFonts w:ascii="Arial" w:hAnsi="Arial" w:cs="Arial"/>
          <w:sz w:val="26"/>
          <w:szCs w:val="26"/>
        </w:rPr>
      </w:pPr>
      <w:r>
        <w:rPr>
          <w:rFonts w:ascii="Arial" w:hAnsi="Arial" w:cs="Arial"/>
          <w:sz w:val="26"/>
          <w:szCs w:val="26"/>
        </w:rPr>
        <w:t xml:space="preserve">     </w:t>
      </w:r>
      <w:r w:rsidR="00A64CA6">
        <w:rPr>
          <w:rFonts w:ascii="Arial" w:hAnsi="Arial" w:cs="Arial"/>
          <w:sz w:val="26"/>
          <w:szCs w:val="26"/>
        </w:rPr>
        <w:t xml:space="preserve">   </w:t>
      </w:r>
      <w:r>
        <w:rPr>
          <w:rFonts w:ascii="Arial" w:hAnsi="Arial" w:cs="Arial"/>
          <w:sz w:val="26"/>
          <w:szCs w:val="26"/>
        </w:rPr>
        <w:t xml:space="preserve"> Por unanimidad de votos, lo resolvieron y firmaron los Magistrados integrantes de la Sala Superior, Manuel Velasco Alcántara </w:t>
      </w:r>
      <w:r>
        <w:rPr>
          <w:rFonts w:ascii="Arial" w:hAnsi="Arial" w:cs="Arial"/>
          <w:b/>
          <w:bCs/>
          <w:sz w:val="26"/>
          <w:szCs w:val="26"/>
        </w:rPr>
        <w:t>(ponente)</w:t>
      </w:r>
      <w:r>
        <w:rPr>
          <w:rFonts w:ascii="Arial" w:hAnsi="Arial" w:cs="Arial"/>
          <w:sz w:val="26"/>
          <w:szCs w:val="26"/>
        </w:rPr>
        <w:t xml:space="preserve">, Abraham Santiago Soriano, Raúl Palomares Palomino, Gloria del Carmen Camacho Meza, Paulo José Luis Tapia Palacios, quienes actúan con el Licenciado Juan Edy García Coronado, Secretario General de Acuerdos de este Tribunal, que autoriza y da fe. - - - - - - - - - - - - - - - </w:t>
      </w:r>
    </w:p>
    <w:p w14:paraId="0A8B5311" w14:textId="1DFE6F0C" w:rsidR="005249CB" w:rsidRDefault="005249CB" w:rsidP="00BE74A2">
      <w:pPr>
        <w:tabs>
          <w:tab w:val="center" w:pos="4135"/>
          <w:tab w:val="left" w:pos="7515"/>
        </w:tabs>
        <w:spacing w:line="360" w:lineRule="auto"/>
        <w:jc w:val="center"/>
        <w:rPr>
          <w:rFonts w:ascii="Arial" w:hAnsi="Arial" w:cs="Arial"/>
          <w:sz w:val="26"/>
          <w:szCs w:val="26"/>
        </w:rPr>
      </w:pPr>
    </w:p>
    <w:p w14:paraId="44F6D7DB" w14:textId="77777777" w:rsidR="005249CB" w:rsidRDefault="005249CB" w:rsidP="00BE74A2">
      <w:pPr>
        <w:tabs>
          <w:tab w:val="center" w:pos="4135"/>
          <w:tab w:val="left" w:pos="7515"/>
        </w:tabs>
        <w:spacing w:line="360" w:lineRule="auto"/>
        <w:jc w:val="center"/>
        <w:rPr>
          <w:rFonts w:ascii="Arial" w:hAnsi="Arial" w:cs="Arial"/>
          <w:sz w:val="26"/>
          <w:szCs w:val="26"/>
        </w:rPr>
      </w:pPr>
    </w:p>
    <w:p w14:paraId="57E36D16" w14:textId="77777777" w:rsidR="00BE74A2" w:rsidRPr="00160C7B" w:rsidRDefault="00BE74A2" w:rsidP="00160C7B">
      <w:pPr>
        <w:pStyle w:val="Sinespaciado"/>
        <w:jc w:val="center"/>
        <w:rPr>
          <w:rFonts w:ascii="Arial" w:hAnsi="Arial" w:cs="Arial"/>
          <w:sz w:val="26"/>
          <w:szCs w:val="26"/>
        </w:rPr>
      </w:pPr>
      <w:r w:rsidRPr="00160C7B">
        <w:rPr>
          <w:rFonts w:ascii="Arial" w:hAnsi="Arial" w:cs="Arial"/>
          <w:sz w:val="26"/>
          <w:szCs w:val="26"/>
        </w:rPr>
        <w:t>MAGISTRADO MANUEL VELASCO ALCÁNTARA</w:t>
      </w:r>
    </w:p>
    <w:p w14:paraId="4ADCBCCF" w14:textId="77777777" w:rsidR="00BE74A2" w:rsidRPr="00160C7B" w:rsidRDefault="00BE74A2" w:rsidP="00160C7B">
      <w:pPr>
        <w:pStyle w:val="Sinespaciado"/>
        <w:jc w:val="center"/>
        <w:rPr>
          <w:rFonts w:ascii="Arial" w:hAnsi="Arial" w:cs="Arial"/>
          <w:sz w:val="26"/>
          <w:szCs w:val="26"/>
        </w:rPr>
      </w:pPr>
      <w:r w:rsidRPr="00160C7B">
        <w:rPr>
          <w:rFonts w:ascii="Arial" w:hAnsi="Arial" w:cs="Arial"/>
          <w:sz w:val="26"/>
          <w:szCs w:val="26"/>
        </w:rPr>
        <w:t>PRESIDENTE</w:t>
      </w:r>
    </w:p>
    <w:p w14:paraId="1144268C" w14:textId="4CC3C4C0" w:rsidR="00BE74A2" w:rsidRDefault="00BE74A2" w:rsidP="00BE74A2">
      <w:pPr>
        <w:tabs>
          <w:tab w:val="center" w:pos="4135"/>
          <w:tab w:val="left" w:pos="7515"/>
        </w:tabs>
        <w:spacing w:line="360" w:lineRule="auto"/>
        <w:jc w:val="center"/>
        <w:rPr>
          <w:rFonts w:ascii="Arial" w:hAnsi="Arial" w:cs="Arial"/>
          <w:sz w:val="26"/>
          <w:szCs w:val="26"/>
        </w:rPr>
      </w:pPr>
    </w:p>
    <w:p w14:paraId="0D5FCB93" w14:textId="77777777" w:rsidR="005249CB" w:rsidRDefault="005249CB" w:rsidP="00BE74A2">
      <w:pPr>
        <w:tabs>
          <w:tab w:val="center" w:pos="4135"/>
          <w:tab w:val="left" w:pos="7515"/>
        </w:tabs>
        <w:spacing w:line="360" w:lineRule="auto"/>
        <w:jc w:val="center"/>
        <w:rPr>
          <w:rFonts w:ascii="Arial" w:hAnsi="Arial" w:cs="Arial"/>
          <w:sz w:val="26"/>
          <w:szCs w:val="26"/>
        </w:rPr>
      </w:pPr>
    </w:p>
    <w:p w14:paraId="7E877810" w14:textId="77777777" w:rsidR="00BE74A2" w:rsidRDefault="00BE74A2" w:rsidP="00BE74A2">
      <w:pPr>
        <w:tabs>
          <w:tab w:val="center" w:pos="4135"/>
          <w:tab w:val="left" w:pos="7515"/>
        </w:tabs>
        <w:spacing w:line="360" w:lineRule="auto"/>
        <w:jc w:val="center"/>
        <w:rPr>
          <w:rFonts w:ascii="Arial" w:hAnsi="Arial" w:cs="Arial"/>
          <w:sz w:val="26"/>
          <w:szCs w:val="26"/>
        </w:rPr>
      </w:pPr>
    </w:p>
    <w:p w14:paraId="2E15E849" w14:textId="77777777" w:rsidR="00BE74A2" w:rsidRDefault="00BE74A2" w:rsidP="00BE74A2">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ABRAHAM SANTIAGO SORIANO</w:t>
      </w:r>
    </w:p>
    <w:p w14:paraId="197D16B5" w14:textId="2F11875E" w:rsidR="00BE74A2" w:rsidRDefault="00BE74A2" w:rsidP="00BE74A2">
      <w:pPr>
        <w:tabs>
          <w:tab w:val="center" w:pos="4135"/>
          <w:tab w:val="left" w:pos="7515"/>
        </w:tabs>
        <w:spacing w:line="360" w:lineRule="auto"/>
        <w:jc w:val="center"/>
        <w:rPr>
          <w:rFonts w:ascii="Arial" w:hAnsi="Arial" w:cs="Arial"/>
          <w:sz w:val="26"/>
          <w:szCs w:val="26"/>
        </w:rPr>
      </w:pPr>
    </w:p>
    <w:p w14:paraId="4E82E722" w14:textId="77777777" w:rsidR="005249CB" w:rsidRDefault="005249CB" w:rsidP="00BE74A2">
      <w:pPr>
        <w:tabs>
          <w:tab w:val="center" w:pos="4135"/>
          <w:tab w:val="left" w:pos="7515"/>
        </w:tabs>
        <w:spacing w:line="360" w:lineRule="auto"/>
        <w:jc w:val="center"/>
        <w:rPr>
          <w:rFonts w:ascii="Arial" w:hAnsi="Arial" w:cs="Arial"/>
          <w:sz w:val="26"/>
          <w:szCs w:val="26"/>
        </w:rPr>
      </w:pPr>
    </w:p>
    <w:p w14:paraId="6EDCDD97" w14:textId="77777777" w:rsidR="00BE74A2" w:rsidRDefault="00BE74A2" w:rsidP="00BE74A2">
      <w:pPr>
        <w:tabs>
          <w:tab w:val="center" w:pos="4135"/>
          <w:tab w:val="left" w:pos="7515"/>
        </w:tabs>
        <w:spacing w:line="360" w:lineRule="auto"/>
        <w:jc w:val="center"/>
        <w:rPr>
          <w:rFonts w:ascii="Arial" w:hAnsi="Arial" w:cs="Arial"/>
          <w:sz w:val="26"/>
          <w:szCs w:val="26"/>
        </w:rPr>
      </w:pPr>
    </w:p>
    <w:p w14:paraId="2A2DE0C5" w14:textId="77777777" w:rsidR="00BE74A2" w:rsidRDefault="00BE74A2" w:rsidP="00BE74A2">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RAÚL PALOMARES PALOMINO</w:t>
      </w:r>
    </w:p>
    <w:p w14:paraId="3D14A33C" w14:textId="77777777" w:rsidR="00BE74A2" w:rsidRDefault="00BE74A2" w:rsidP="00BE74A2">
      <w:pPr>
        <w:tabs>
          <w:tab w:val="left" w:pos="1925"/>
          <w:tab w:val="center" w:pos="4135"/>
        </w:tabs>
        <w:jc w:val="center"/>
        <w:rPr>
          <w:rFonts w:ascii="Arial" w:hAnsi="Arial" w:cs="Arial"/>
          <w:sz w:val="26"/>
          <w:szCs w:val="26"/>
        </w:rPr>
      </w:pPr>
    </w:p>
    <w:p w14:paraId="5BC6FB14" w14:textId="200ADB06" w:rsidR="00BE74A2" w:rsidRDefault="00BE74A2" w:rsidP="00BE74A2">
      <w:pPr>
        <w:tabs>
          <w:tab w:val="left" w:pos="1925"/>
          <w:tab w:val="center" w:pos="4135"/>
        </w:tabs>
        <w:jc w:val="center"/>
        <w:rPr>
          <w:rFonts w:ascii="Arial" w:hAnsi="Arial" w:cs="Arial"/>
          <w:sz w:val="26"/>
          <w:szCs w:val="26"/>
        </w:rPr>
      </w:pPr>
    </w:p>
    <w:p w14:paraId="5B813205" w14:textId="77777777" w:rsidR="005249CB" w:rsidRDefault="005249CB" w:rsidP="00BE74A2">
      <w:pPr>
        <w:tabs>
          <w:tab w:val="left" w:pos="1925"/>
          <w:tab w:val="center" w:pos="4135"/>
        </w:tabs>
        <w:jc w:val="center"/>
        <w:rPr>
          <w:rFonts w:ascii="Arial" w:hAnsi="Arial" w:cs="Arial"/>
          <w:sz w:val="26"/>
          <w:szCs w:val="26"/>
        </w:rPr>
      </w:pPr>
    </w:p>
    <w:p w14:paraId="25E01177" w14:textId="77777777" w:rsidR="005249CB" w:rsidRDefault="005249CB" w:rsidP="00BE74A2">
      <w:pPr>
        <w:tabs>
          <w:tab w:val="left" w:pos="1925"/>
          <w:tab w:val="center" w:pos="4135"/>
        </w:tabs>
        <w:jc w:val="center"/>
        <w:rPr>
          <w:rFonts w:ascii="Arial" w:hAnsi="Arial" w:cs="Arial"/>
          <w:sz w:val="26"/>
          <w:szCs w:val="26"/>
        </w:rPr>
      </w:pPr>
    </w:p>
    <w:p w14:paraId="7B9B16A3" w14:textId="77777777" w:rsidR="00BE74A2" w:rsidRDefault="00BE74A2" w:rsidP="00BE74A2">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07C06C65" w14:textId="66E07D6C" w:rsidR="00BE74A2" w:rsidRPr="00DF4085" w:rsidRDefault="00DF4085" w:rsidP="00BE74A2">
      <w:pPr>
        <w:tabs>
          <w:tab w:val="left" w:pos="1925"/>
          <w:tab w:val="center" w:pos="4135"/>
        </w:tabs>
        <w:jc w:val="center"/>
        <w:rPr>
          <w:rFonts w:ascii="Arial" w:hAnsi="Arial" w:cs="Arial"/>
          <w:b/>
          <w:bCs/>
          <w:sz w:val="18"/>
          <w:szCs w:val="18"/>
        </w:rPr>
      </w:pPr>
      <w:r w:rsidRPr="00DF4085">
        <w:rPr>
          <w:rFonts w:ascii="Arial" w:hAnsi="Arial" w:cs="Arial"/>
          <w:b/>
          <w:bCs/>
          <w:sz w:val="18"/>
          <w:szCs w:val="18"/>
        </w:rPr>
        <w:t>LAS PRESENTES FIRMAS CORRESPONDEN AL RECURSO DE REVISIÓN 0469/2019.</w:t>
      </w:r>
    </w:p>
    <w:p w14:paraId="7C0B17DC" w14:textId="4D3894D7" w:rsidR="00BE74A2" w:rsidRDefault="00BE74A2" w:rsidP="00BE74A2">
      <w:pPr>
        <w:tabs>
          <w:tab w:val="left" w:pos="1925"/>
          <w:tab w:val="center" w:pos="4135"/>
        </w:tabs>
        <w:jc w:val="center"/>
        <w:rPr>
          <w:rFonts w:ascii="Arial" w:hAnsi="Arial" w:cs="Arial"/>
          <w:sz w:val="26"/>
          <w:szCs w:val="26"/>
        </w:rPr>
      </w:pPr>
    </w:p>
    <w:p w14:paraId="0EB2D892" w14:textId="7E2B120E" w:rsidR="00DF4085" w:rsidRDefault="00DF4085" w:rsidP="00BE74A2">
      <w:pPr>
        <w:tabs>
          <w:tab w:val="left" w:pos="1925"/>
          <w:tab w:val="center" w:pos="4135"/>
        </w:tabs>
        <w:jc w:val="center"/>
        <w:rPr>
          <w:rFonts w:ascii="Arial" w:hAnsi="Arial" w:cs="Arial"/>
          <w:sz w:val="26"/>
          <w:szCs w:val="26"/>
        </w:rPr>
      </w:pPr>
    </w:p>
    <w:p w14:paraId="5560AC0E" w14:textId="78B5706C" w:rsidR="00DF4085" w:rsidRDefault="00DF4085" w:rsidP="00BE74A2">
      <w:pPr>
        <w:tabs>
          <w:tab w:val="left" w:pos="1925"/>
          <w:tab w:val="center" w:pos="4135"/>
        </w:tabs>
        <w:jc w:val="center"/>
        <w:rPr>
          <w:rFonts w:ascii="Arial" w:hAnsi="Arial" w:cs="Arial"/>
          <w:sz w:val="26"/>
          <w:szCs w:val="26"/>
        </w:rPr>
      </w:pPr>
    </w:p>
    <w:p w14:paraId="63A6C92E" w14:textId="77777777" w:rsidR="00DF4085" w:rsidRDefault="00DF4085" w:rsidP="00BE74A2">
      <w:pPr>
        <w:tabs>
          <w:tab w:val="left" w:pos="1925"/>
          <w:tab w:val="center" w:pos="4135"/>
        </w:tabs>
        <w:jc w:val="center"/>
        <w:rPr>
          <w:rFonts w:ascii="Arial" w:hAnsi="Arial" w:cs="Arial"/>
          <w:sz w:val="26"/>
          <w:szCs w:val="26"/>
        </w:rPr>
      </w:pPr>
    </w:p>
    <w:p w14:paraId="509F4377" w14:textId="77777777" w:rsidR="00BE74A2" w:rsidRDefault="00BE74A2" w:rsidP="00BE74A2">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08EBFF7B" w14:textId="77777777" w:rsidR="00BE74A2" w:rsidRDefault="00BE74A2" w:rsidP="00BE74A2">
      <w:pPr>
        <w:jc w:val="center"/>
        <w:rPr>
          <w:rFonts w:ascii="Arial" w:hAnsi="Arial" w:cs="Arial"/>
          <w:sz w:val="26"/>
          <w:szCs w:val="26"/>
        </w:rPr>
      </w:pPr>
    </w:p>
    <w:p w14:paraId="60B4BD97" w14:textId="77777777" w:rsidR="00BE74A2" w:rsidRDefault="00BE74A2" w:rsidP="00BE74A2">
      <w:pPr>
        <w:jc w:val="center"/>
        <w:rPr>
          <w:rFonts w:ascii="Arial" w:hAnsi="Arial" w:cs="Arial"/>
          <w:sz w:val="26"/>
          <w:szCs w:val="26"/>
        </w:rPr>
      </w:pPr>
    </w:p>
    <w:p w14:paraId="10DA34A2" w14:textId="77777777" w:rsidR="00BE74A2" w:rsidRDefault="00BE74A2" w:rsidP="00BE74A2">
      <w:pPr>
        <w:jc w:val="center"/>
        <w:rPr>
          <w:rFonts w:ascii="Arial" w:hAnsi="Arial" w:cs="Arial"/>
          <w:sz w:val="26"/>
          <w:szCs w:val="26"/>
        </w:rPr>
      </w:pPr>
    </w:p>
    <w:p w14:paraId="1E21D81C" w14:textId="77777777" w:rsidR="00BE74A2" w:rsidRPr="00DF4085" w:rsidRDefault="00BE74A2" w:rsidP="00DF4085">
      <w:pPr>
        <w:pStyle w:val="Sinespaciado"/>
        <w:jc w:val="center"/>
        <w:rPr>
          <w:rFonts w:ascii="Arial" w:hAnsi="Arial" w:cs="Arial"/>
          <w:sz w:val="26"/>
          <w:szCs w:val="26"/>
        </w:rPr>
      </w:pPr>
      <w:r w:rsidRPr="00DF4085">
        <w:rPr>
          <w:rFonts w:ascii="Arial" w:hAnsi="Arial" w:cs="Arial"/>
          <w:sz w:val="26"/>
          <w:szCs w:val="26"/>
        </w:rPr>
        <w:t>LIC. JUAN EDY GARCÍA CORONADO</w:t>
      </w:r>
    </w:p>
    <w:p w14:paraId="136C78ED" w14:textId="77777777" w:rsidR="00BE74A2" w:rsidRPr="00DF4085" w:rsidRDefault="00BE74A2" w:rsidP="00DF4085">
      <w:pPr>
        <w:pStyle w:val="Sinespaciado"/>
        <w:jc w:val="center"/>
        <w:rPr>
          <w:rFonts w:ascii="Arial" w:hAnsi="Arial" w:cs="Arial"/>
          <w:sz w:val="26"/>
          <w:szCs w:val="26"/>
        </w:rPr>
      </w:pPr>
      <w:r w:rsidRPr="00DF4085">
        <w:rPr>
          <w:rFonts w:ascii="Arial" w:hAnsi="Arial" w:cs="Arial"/>
          <w:sz w:val="26"/>
          <w:szCs w:val="26"/>
        </w:rPr>
        <w:t>SECRETARIO GENERAL DE ACUERDOS</w:t>
      </w:r>
    </w:p>
    <w:p w14:paraId="50453FE0" w14:textId="758CCE4D" w:rsidR="00BA258A" w:rsidRPr="00673539" w:rsidRDefault="00BA258A" w:rsidP="00BE74A2">
      <w:pPr>
        <w:spacing w:line="240" w:lineRule="auto"/>
        <w:ind w:left="2835"/>
        <w:jc w:val="both"/>
        <w:rPr>
          <w:rFonts w:ascii="Arial" w:hAnsi="Arial" w:cs="Arial"/>
          <w:sz w:val="26"/>
          <w:szCs w:val="26"/>
        </w:rPr>
      </w:pPr>
    </w:p>
    <w:sectPr w:rsidR="00BA258A" w:rsidRPr="00673539" w:rsidSect="005371AA">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E3FC30" w14:textId="77777777" w:rsidR="00897DDD" w:rsidRDefault="00897DDD">
      <w:pPr>
        <w:spacing w:after="0" w:line="240" w:lineRule="auto"/>
      </w:pPr>
      <w:r>
        <w:separator/>
      </w:r>
    </w:p>
  </w:endnote>
  <w:endnote w:type="continuationSeparator" w:id="0">
    <w:p w14:paraId="0F82A760" w14:textId="77777777" w:rsidR="00897DDD" w:rsidRDefault="00897D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651A32" w14:textId="77777777" w:rsidR="00897DDD" w:rsidRDefault="00897DDD">
      <w:pPr>
        <w:spacing w:after="0" w:line="240" w:lineRule="auto"/>
      </w:pPr>
      <w:r>
        <w:separator/>
      </w:r>
    </w:p>
  </w:footnote>
  <w:footnote w:type="continuationSeparator" w:id="0">
    <w:p w14:paraId="35FCAD08" w14:textId="77777777" w:rsidR="00897DDD" w:rsidRDefault="00897D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17248900" w:rsidR="000F5C41" w:rsidRDefault="00FE4C84">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FE4C84">
          <w:rPr>
            <w:noProof/>
            <w:lang w:val="es-ES"/>
          </w:rPr>
          <w:t>6</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7319D6A5" w:rsidR="000F5C41" w:rsidRDefault="00FE4C84">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FE4C84">
          <w:rPr>
            <w:noProof/>
            <w:lang w:val="es-ES"/>
          </w:rPr>
          <w:t>5</w:t>
        </w:r>
        <w:r w:rsidR="000F5C41">
          <w:fldChar w:fldCharType="end"/>
        </w:r>
      </w:sdtContent>
    </w:sdt>
  </w:p>
  <w:p w14:paraId="51E22156" w14:textId="78C081E3"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FE4C84">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F8D49F0"/>
    <w:multiLevelType w:val="hybridMultilevel"/>
    <w:tmpl w:val="9162F21E"/>
    <w:lvl w:ilvl="0" w:tplc="080A0013">
      <w:start w:val="1"/>
      <w:numFmt w:val="upperRoman"/>
      <w:lvlText w:val="%1."/>
      <w:lvlJc w:val="righ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2">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6BA032E"/>
    <w:multiLevelType w:val="hybridMultilevel"/>
    <w:tmpl w:val="F89AD924"/>
    <w:lvl w:ilvl="0" w:tplc="02A6EFE6">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5">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0">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1">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2">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3">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3"/>
  </w:num>
  <w:num w:numId="2">
    <w:abstractNumId w:val="3"/>
  </w:num>
  <w:num w:numId="3">
    <w:abstractNumId w:val="0"/>
  </w:num>
  <w:num w:numId="4">
    <w:abstractNumId w:val="10"/>
  </w:num>
  <w:num w:numId="5">
    <w:abstractNumId w:val="12"/>
  </w:num>
  <w:num w:numId="6">
    <w:abstractNumId w:val="7"/>
  </w:num>
  <w:num w:numId="7">
    <w:abstractNumId w:val="6"/>
  </w:num>
  <w:num w:numId="8">
    <w:abstractNumId w:val="2"/>
  </w:num>
  <w:num w:numId="9">
    <w:abstractNumId w:val="5"/>
  </w:num>
  <w:num w:numId="10">
    <w:abstractNumId w:val="9"/>
  </w:num>
  <w:num w:numId="11">
    <w:abstractNumId w:val="11"/>
  </w:num>
  <w:num w:numId="12">
    <w:abstractNumId w:val="8"/>
  </w:num>
  <w:num w:numId="13">
    <w:abstractNumId w:val="4"/>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A7B"/>
    <w:rsid w:val="00003CC3"/>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3767"/>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08EE"/>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0C7B"/>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822"/>
    <w:rsid w:val="00175C14"/>
    <w:rsid w:val="001761CB"/>
    <w:rsid w:val="0017651E"/>
    <w:rsid w:val="001778B4"/>
    <w:rsid w:val="001779CB"/>
    <w:rsid w:val="00177B53"/>
    <w:rsid w:val="001826D0"/>
    <w:rsid w:val="001831E3"/>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005"/>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0AD6"/>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54BB"/>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725F"/>
    <w:rsid w:val="003804A7"/>
    <w:rsid w:val="00381DC3"/>
    <w:rsid w:val="0038228C"/>
    <w:rsid w:val="00382BDE"/>
    <w:rsid w:val="00384989"/>
    <w:rsid w:val="003859C4"/>
    <w:rsid w:val="00385B11"/>
    <w:rsid w:val="00385EA5"/>
    <w:rsid w:val="00386F92"/>
    <w:rsid w:val="003874C3"/>
    <w:rsid w:val="00387725"/>
    <w:rsid w:val="00387C65"/>
    <w:rsid w:val="00390CDE"/>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86D"/>
    <w:rsid w:val="0041540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647A"/>
    <w:rsid w:val="004771E5"/>
    <w:rsid w:val="00477357"/>
    <w:rsid w:val="00477E07"/>
    <w:rsid w:val="00480A69"/>
    <w:rsid w:val="004813E0"/>
    <w:rsid w:val="004826CB"/>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5F16"/>
    <w:rsid w:val="005063B6"/>
    <w:rsid w:val="00506A1C"/>
    <w:rsid w:val="0050734D"/>
    <w:rsid w:val="00507AB3"/>
    <w:rsid w:val="00510956"/>
    <w:rsid w:val="00510F23"/>
    <w:rsid w:val="0051133B"/>
    <w:rsid w:val="005115C3"/>
    <w:rsid w:val="00513B48"/>
    <w:rsid w:val="00515288"/>
    <w:rsid w:val="00515B21"/>
    <w:rsid w:val="00515CF2"/>
    <w:rsid w:val="00517079"/>
    <w:rsid w:val="00520023"/>
    <w:rsid w:val="005201C4"/>
    <w:rsid w:val="00520569"/>
    <w:rsid w:val="005212AE"/>
    <w:rsid w:val="005229B8"/>
    <w:rsid w:val="00522C1A"/>
    <w:rsid w:val="00523091"/>
    <w:rsid w:val="005242CB"/>
    <w:rsid w:val="005249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1AA"/>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1A08"/>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2AF8"/>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539"/>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89"/>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1DB2"/>
    <w:rsid w:val="006D3FF8"/>
    <w:rsid w:val="006D428F"/>
    <w:rsid w:val="006D54E1"/>
    <w:rsid w:val="006D5A11"/>
    <w:rsid w:val="006D668F"/>
    <w:rsid w:val="006E0406"/>
    <w:rsid w:val="006E09D6"/>
    <w:rsid w:val="006E123E"/>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1BD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7816"/>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64DF"/>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57A8E"/>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97DDD"/>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AC6"/>
    <w:rsid w:val="008D7AD1"/>
    <w:rsid w:val="008E02E6"/>
    <w:rsid w:val="008E08A8"/>
    <w:rsid w:val="008E0B04"/>
    <w:rsid w:val="008E15B5"/>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598"/>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33BE"/>
    <w:rsid w:val="009A3F67"/>
    <w:rsid w:val="009B0C38"/>
    <w:rsid w:val="009B1120"/>
    <w:rsid w:val="009B127F"/>
    <w:rsid w:val="009B15EE"/>
    <w:rsid w:val="009B19C2"/>
    <w:rsid w:val="009B1AA7"/>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EFE"/>
    <w:rsid w:val="00A64280"/>
    <w:rsid w:val="00A64C7D"/>
    <w:rsid w:val="00A64CA6"/>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0704"/>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22DC"/>
    <w:rsid w:val="00AB3569"/>
    <w:rsid w:val="00AB45BF"/>
    <w:rsid w:val="00AB511E"/>
    <w:rsid w:val="00AB5C16"/>
    <w:rsid w:val="00AB5C8E"/>
    <w:rsid w:val="00AB628D"/>
    <w:rsid w:val="00AC00B1"/>
    <w:rsid w:val="00AC0229"/>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5A1"/>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1F9D"/>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4A2"/>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67B9"/>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5D30"/>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4085"/>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B49"/>
    <w:rsid w:val="00E17DE3"/>
    <w:rsid w:val="00E17F03"/>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690D"/>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4F19"/>
    <w:rsid w:val="00ED525B"/>
    <w:rsid w:val="00ED5337"/>
    <w:rsid w:val="00ED59E7"/>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0E16"/>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2900"/>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90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4C84"/>
    <w:rsid w:val="00FE520C"/>
    <w:rsid w:val="00FE60E3"/>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31C9C4-DECA-46A9-8F11-9082E8A2A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7</Pages>
  <Words>2186</Words>
  <Characters>12028</Characters>
  <Application>Microsoft Office Word</Application>
  <DocSecurity>0</DocSecurity>
  <Lines>100</Lines>
  <Paragraphs>28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14186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tjao-personal</cp:lastModifiedBy>
  <cp:revision>39</cp:revision>
  <cp:lastPrinted>2021-10-14T19:25:00Z</cp:lastPrinted>
  <dcterms:created xsi:type="dcterms:W3CDTF">2021-02-11T20:15:00Z</dcterms:created>
  <dcterms:modified xsi:type="dcterms:W3CDTF">2022-02-04T18:33:00Z</dcterms:modified>
</cp:coreProperties>
</file>