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dxa"/>
        <w:tblInd w:w="-781" w:type="dxa"/>
        <w:tblLayout w:type="fixed"/>
        <w:tblCellMar>
          <w:left w:w="70" w:type="dxa"/>
          <w:right w:w="70" w:type="dxa"/>
        </w:tblCellMar>
        <w:tblLook w:val="04A0" w:firstRow="1" w:lastRow="0" w:firstColumn="1" w:lastColumn="0" w:noHBand="0" w:noVBand="1"/>
      </w:tblPr>
      <w:tblGrid>
        <w:gridCol w:w="2356"/>
        <w:gridCol w:w="7426"/>
      </w:tblGrid>
      <w:tr w:rsidR="00571114" w14:paraId="57DA8808" w14:textId="77777777" w:rsidTr="00571114">
        <w:tc>
          <w:tcPr>
            <w:tcW w:w="2356" w:type="dxa"/>
          </w:tcPr>
          <w:p w14:paraId="5A0BF651" w14:textId="7190E90B" w:rsidR="00571114" w:rsidRPr="00D07C1D" w:rsidRDefault="00571114">
            <w:pPr>
              <w:spacing w:after="0" w:line="240" w:lineRule="auto"/>
              <w:rPr>
                <w:rFonts w:ascii="Arial" w:hAnsi="Arial" w:cs="Arial"/>
                <w:b/>
                <w:i/>
                <w:sz w:val="24"/>
                <w:szCs w:val="24"/>
                <w:lang w:val="es-ES"/>
              </w:rPr>
            </w:pPr>
          </w:p>
        </w:tc>
        <w:tc>
          <w:tcPr>
            <w:tcW w:w="7426" w:type="dxa"/>
          </w:tcPr>
          <w:p w14:paraId="16825CA0" w14:textId="77777777" w:rsidR="00D07C1D" w:rsidRDefault="00571114">
            <w:pPr>
              <w:tabs>
                <w:tab w:val="left" w:pos="3103"/>
              </w:tabs>
              <w:spacing w:after="0" w:line="240" w:lineRule="auto"/>
              <w:ind w:left="1119" w:right="709" w:hanging="1119"/>
              <w:jc w:val="both"/>
              <w:rPr>
                <w:rFonts w:ascii="Arial" w:hAnsi="Arial" w:cs="Arial"/>
                <w:b/>
                <w:i/>
                <w:iCs/>
                <w:caps/>
                <w:sz w:val="26"/>
                <w:szCs w:val="26"/>
                <w:lang w:val="es-ES"/>
              </w:rPr>
            </w:pPr>
            <w:r>
              <w:rPr>
                <w:rFonts w:ascii="Arial" w:hAnsi="Arial" w:cs="Arial"/>
                <w:b/>
                <w:i/>
                <w:iCs/>
                <w:caps/>
                <w:sz w:val="26"/>
                <w:szCs w:val="26"/>
                <w:lang w:val="es-ES"/>
              </w:rPr>
              <w:t xml:space="preserve">              </w:t>
            </w:r>
          </w:p>
          <w:p w14:paraId="17F55A72" w14:textId="7BAF4978" w:rsidR="00571114" w:rsidRDefault="00D07C1D">
            <w:pPr>
              <w:tabs>
                <w:tab w:val="left" w:pos="3103"/>
              </w:tabs>
              <w:spacing w:after="0" w:line="240" w:lineRule="auto"/>
              <w:ind w:left="1119" w:right="709" w:hanging="1119"/>
              <w:jc w:val="both"/>
              <w:rPr>
                <w:rFonts w:ascii="Arial" w:hAnsi="Arial" w:cs="Arial"/>
                <w:b/>
                <w:iCs/>
                <w:caps/>
                <w:sz w:val="26"/>
                <w:szCs w:val="26"/>
              </w:rPr>
            </w:pPr>
            <w:r>
              <w:rPr>
                <w:rFonts w:ascii="Arial" w:hAnsi="Arial" w:cs="Arial"/>
                <w:b/>
                <w:i/>
                <w:iCs/>
                <w:caps/>
                <w:sz w:val="26"/>
                <w:szCs w:val="26"/>
                <w:lang w:val="es-ES"/>
              </w:rPr>
              <w:t xml:space="preserve">               </w:t>
            </w:r>
            <w:r w:rsidR="00571114">
              <w:rPr>
                <w:rFonts w:ascii="Arial" w:hAnsi="Arial" w:cs="Arial"/>
                <w:b/>
                <w:iCs/>
                <w:caps/>
                <w:sz w:val="26"/>
                <w:szCs w:val="26"/>
                <w:lang w:val="es-ES"/>
              </w:rPr>
              <w:t>SALA SUPERIOR DEL TRIBUNAL DE justicia administrativa DEL ESTADO de oaxaca.</w:t>
            </w:r>
          </w:p>
          <w:p w14:paraId="3A9B72CC" w14:textId="77777777" w:rsidR="00571114" w:rsidRDefault="00571114">
            <w:pPr>
              <w:tabs>
                <w:tab w:val="center" w:pos="4252"/>
                <w:tab w:val="right" w:pos="8504"/>
              </w:tabs>
              <w:spacing w:after="0" w:line="240" w:lineRule="auto"/>
              <w:ind w:right="709"/>
              <w:jc w:val="both"/>
              <w:rPr>
                <w:rFonts w:ascii="Arial" w:eastAsia="PMingLiU" w:hAnsi="Arial" w:cs="Arial"/>
                <w:b/>
                <w:iCs/>
                <w:caps/>
                <w:sz w:val="26"/>
                <w:szCs w:val="26"/>
                <w:lang w:val="es-PE" w:eastAsia="zh-TW"/>
              </w:rPr>
            </w:pPr>
            <w:r>
              <w:rPr>
                <w:rFonts w:ascii="Arial" w:eastAsia="PMingLiU" w:hAnsi="Arial" w:cs="Arial"/>
                <w:b/>
                <w:iCs/>
                <w:caps/>
                <w:sz w:val="26"/>
                <w:szCs w:val="26"/>
                <w:lang w:val="es-PE" w:eastAsia="zh-TW"/>
              </w:rPr>
              <w:t xml:space="preserve">               </w:t>
            </w:r>
          </w:p>
          <w:p w14:paraId="788FDC77" w14:textId="3BF8832E" w:rsidR="00571114" w:rsidRDefault="00571114">
            <w:pPr>
              <w:tabs>
                <w:tab w:val="center" w:pos="4252"/>
                <w:tab w:val="right" w:pos="8504"/>
              </w:tabs>
              <w:spacing w:after="0" w:line="240" w:lineRule="auto"/>
              <w:ind w:right="709"/>
              <w:jc w:val="both"/>
              <w:rPr>
                <w:rFonts w:ascii="Arial" w:eastAsia="PMingLiU" w:hAnsi="Arial" w:cs="Arial"/>
                <w:b/>
                <w:iCs/>
                <w:caps/>
                <w:sz w:val="26"/>
                <w:szCs w:val="26"/>
                <w:lang w:val="es-PE" w:eastAsia="zh-TW"/>
              </w:rPr>
            </w:pPr>
            <w:r>
              <w:rPr>
                <w:rFonts w:ascii="Arial" w:eastAsia="PMingLiU" w:hAnsi="Arial" w:cs="Arial"/>
                <w:b/>
                <w:iCs/>
                <w:caps/>
                <w:sz w:val="26"/>
                <w:szCs w:val="26"/>
                <w:lang w:val="es-PE" w:eastAsia="zh-TW"/>
              </w:rPr>
              <w:t xml:space="preserve">               RECURSO DE REVISIÓN: </w:t>
            </w:r>
            <w:r w:rsidR="00465AD1">
              <w:rPr>
                <w:rFonts w:ascii="Arial" w:eastAsia="PMingLiU" w:hAnsi="Arial" w:cs="Arial"/>
                <w:b/>
                <w:iCs/>
                <w:caps/>
                <w:sz w:val="26"/>
                <w:szCs w:val="26"/>
                <w:lang w:val="es-PE" w:eastAsia="zh-TW"/>
              </w:rPr>
              <w:t>0047/2021</w:t>
            </w:r>
            <w:r>
              <w:rPr>
                <w:rFonts w:ascii="Arial" w:eastAsia="PMingLiU" w:hAnsi="Arial" w:cs="Arial"/>
                <w:b/>
                <w:iCs/>
                <w:caps/>
                <w:sz w:val="26"/>
                <w:szCs w:val="26"/>
                <w:lang w:val="es-PE" w:eastAsia="zh-TW"/>
              </w:rPr>
              <w:t>.</w:t>
            </w:r>
          </w:p>
          <w:p w14:paraId="4209B1B3" w14:textId="77777777" w:rsidR="00571114" w:rsidRDefault="00571114">
            <w:pPr>
              <w:tabs>
                <w:tab w:val="center" w:pos="4252"/>
                <w:tab w:val="right" w:pos="8504"/>
              </w:tabs>
              <w:spacing w:after="0" w:line="240" w:lineRule="auto"/>
              <w:ind w:right="709"/>
              <w:jc w:val="both"/>
              <w:rPr>
                <w:rFonts w:ascii="Arial" w:eastAsia="PMingLiU" w:hAnsi="Arial" w:cs="Arial"/>
                <w:b/>
                <w:iCs/>
                <w:caps/>
                <w:sz w:val="26"/>
                <w:szCs w:val="26"/>
                <w:lang w:val="es-PE" w:eastAsia="zh-TW"/>
              </w:rPr>
            </w:pPr>
          </w:p>
          <w:p w14:paraId="08F2EC3C" w14:textId="49C9ACB8" w:rsidR="00571114" w:rsidRDefault="00571114">
            <w:pPr>
              <w:tabs>
                <w:tab w:val="center" w:pos="4252"/>
                <w:tab w:val="right" w:pos="8504"/>
              </w:tabs>
              <w:spacing w:after="0" w:line="240" w:lineRule="auto"/>
              <w:ind w:left="1119" w:right="709" w:hanging="1119"/>
              <w:jc w:val="both"/>
              <w:rPr>
                <w:rFonts w:ascii="Arial" w:eastAsia="PMingLiU" w:hAnsi="Arial" w:cs="Arial"/>
                <w:b/>
                <w:iCs/>
                <w:caps/>
                <w:sz w:val="26"/>
                <w:szCs w:val="26"/>
                <w:lang w:val="es-PE" w:eastAsia="zh-TW"/>
              </w:rPr>
            </w:pPr>
            <w:r>
              <w:rPr>
                <w:rFonts w:ascii="Arial" w:eastAsia="PMingLiU" w:hAnsi="Arial" w:cs="Arial"/>
                <w:b/>
                <w:iCs/>
                <w:caps/>
                <w:sz w:val="26"/>
                <w:szCs w:val="26"/>
                <w:lang w:val="es-PE" w:eastAsia="zh-TW"/>
              </w:rPr>
              <w:t xml:space="preserve">                EXPEDIENTE</w:t>
            </w:r>
            <w:r>
              <w:rPr>
                <w:rFonts w:ascii="Arial" w:eastAsia="PMingLiU" w:hAnsi="Arial" w:cs="Arial"/>
                <w:b/>
                <w:iCs/>
                <w:caps/>
                <w:sz w:val="26"/>
                <w:szCs w:val="26"/>
                <w:lang w:val="es-ES" w:eastAsia="zh-TW"/>
              </w:rPr>
              <w:t>:</w:t>
            </w:r>
            <w:r>
              <w:rPr>
                <w:rFonts w:ascii="Arial" w:eastAsia="PMingLiU" w:hAnsi="Arial" w:cs="Arial"/>
                <w:b/>
                <w:iCs/>
                <w:caps/>
                <w:sz w:val="26"/>
                <w:szCs w:val="26"/>
                <w:lang w:val="es-PE" w:eastAsia="zh-TW"/>
              </w:rPr>
              <w:t xml:space="preserve"> </w:t>
            </w:r>
            <w:r w:rsidR="00465AD1">
              <w:rPr>
                <w:rFonts w:ascii="Arial" w:eastAsia="PMingLiU" w:hAnsi="Arial" w:cs="Arial"/>
                <w:b/>
                <w:iCs/>
                <w:caps/>
                <w:sz w:val="26"/>
                <w:szCs w:val="26"/>
                <w:lang w:val="es-PE" w:eastAsia="zh-TW"/>
              </w:rPr>
              <w:t>0003/</w:t>
            </w:r>
            <w:r w:rsidR="00C32415">
              <w:rPr>
                <w:rFonts w:ascii="Arial" w:eastAsia="PMingLiU" w:hAnsi="Arial" w:cs="Arial"/>
                <w:b/>
                <w:iCs/>
                <w:caps/>
                <w:sz w:val="26"/>
                <w:szCs w:val="26"/>
                <w:lang w:val="es-PE" w:eastAsia="zh-TW"/>
              </w:rPr>
              <w:t>202</w:t>
            </w:r>
            <w:r w:rsidR="00465AD1">
              <w:rPr>
                <w:rFonts w:ascii="Arial" w:eastAsia="PMingLiU" w:hAnsi="Arial" w:cs="Arial"/>
                <w:b/>
                <w:iCs/>
                <w:caps/>
                <w:sz w:val="26"/>
                <w:szCs w:val="26"/>
                <w:lang w:val="es-PE" w:eastAsia="zh-TW"/>
              </w:rPr>
              <w:t>0</w:t>
            </w:r>
            <w:r>
              <w:rPr>
                <w:rFonts w:ascii="Arial" w:eastAsia="PMingLiU" w:hAnsi="Arial" w:cs="Arial"/>
                <w:b/>
                <w:iCs/>
                <w:caps/>
                <w:sz w:val="26"/>
                <w:szCs w:val="26"/>
                <w:lang w:val="es-PE" w:eastAsia="zh-TW"/>
              </w:rPr>
              <w:t xml:space="preserve"> de la </w:t>
            </w:r>
            <w:r w:rsidR="00465AD1">
              <w:rPr>
                <w:rFonts w:ascii="Arial" w:eastAsia="PMingLiU" w:hAnsi="Arial" w:cs="Arial"/>
                <w:b/>
                <w:iCs/>
                <w:caps/>
                <w:sz w:val="26"/>
                <w:szCs w:val="26"/>
                <w:lang w:val="es-PE" w:eastAsia="zh-TW"/>
              </w:rPr>
              <w:t xml:space="preserve">tercera </w:t>
            </w:r>
            <w:r>
              <w:rPr>
                <w:rFonts w:ascii="Arial" w:eastAsia="PMingLiU" w:hAnsi="Arial" w:cs="Arial"/>
                <w:b/>
                <w:iCs/>
                <w:caps/>
                <w:sz w:val="26"/>
                <w:szCs w:val="26"/>
                <w:lang w:val="es-PE" w:eastAsia="zh-TW"/>
              </w:rPr>
              <w:t>sala unitaria DE PRIMERA INSTANCIA.</w:t>
            </w:r>
          </w:p>
          <w:p w14:paraId="6A5D62DB" w14:textId="4E0B5157" w:rsidR="00571114" w:rsidRDefault="00D316AE">
            <w:pPr>
              <w:tabs>
                <w:tab w:val="center" w:pos="4252"/>
                <w:tab w:val="right" w:pos="8504"/>
              </w:tabs>
              <w:spacing w:after="0" w:line="240" w:lineRule="auto"/>
              <w:ind w:left="1119" w:right="709" w:hanging="1119"/>
              <w:jc w:val="both"/>
              <w:rPr>
                <w:rFonts w:ascii="Arial" w:eastAsia="PMingLiU" w:hAnsi="Arial" w:cs="Arial"/>
                <w:b/>
                <w:iCs/>
                <w:caps/>
                <w:sz w:val="26"/>
                <w:szCs w:val="26"/>
                <w:lang w:val="es-PE" w:eastAsia="zh-TW"/>
              </w:rPr>
            </w:pPr>
            <w:r>
              <w:rPr>
                <w:rFonts w:ascii="Arial" w:eastAsia="PMingLiU" w:hAnsi="Arial" w:cs="Arial"/>
                <w:b/>
                <w:iCs/>
                <w:caps/>
                <w:sz w:val="26"/>
                <w:szCs w:val="26"/>
                <w:lang w:val="es-PE" w:eastAsia="zh-TW"/>
              </w:rPr>
              <w:t xml:space="preserve">                </w:t>
            </w:r>
          </w:p>
          <w:p w14:paraId="1BA65A15" w14:textId="101487DB" w:rsidR="00571114" w:rsidRDefault="00571114" w:rsidP="00D12C55">
            <w:pPr>
              <w:tabs>
                <w:tab w:val="center" w:pos="4252"/>
                <w:tab w:val="right" w:pos="8504"/>
              </w:tabs>
              <w:spacing w:after="0" w:line="240" w:lineRule="auto"/>
              <w:ind w:left="1119" w:right="709" w:hanging="1134"/>
              <w:jc w:val="both"/>
              <w:rPr>
                <w:rFonts w:ascii="Arial" w:eastAsia="PMingLiU" w:hAnsi="Arial" w:cs="Arial"/>
                <w:b/>
                <w:iCs/>
                <w:caps/>
                <w:sz w:val="26"/>
                <w:szCs w:val="26"/>
                <w:lang w:val="es-PE" w:eastAsia="zh-TW"/>
              </w:rPr>
            </w:pPr>
            <w:r>
              <w:rPr>
                <w:rFonts w:ascii="Arial" w:eastAsia="PMingLiU" w:hAnsi="Arial" w:cs="Arial"/>
                <w:b/>
                <w:iCs/>
                <w:caps/>
                <w:sz w:val="26"/>
                <w:szCs w:val="26"/>
                <w:lang w:val="es-PE" w:eastAsia="zh-TW"/>
              </w:rPr>
              <w:t xml:space="preserve">                ponente:</w:t>
            </w:r>
            <w:r w:rsidR="00C4450E">
              <w:rPr>
                <w:rFonts w:ascii="Arial" w:eastAsia="PMingLiU" w:hAnsi="Arial" w:cs="Arial"/>
                <w:b/>
                <w:iCs/>
                <w:caps/>
                <w:sz w:val="26"/>
                <w:szCs w:val="26"/>
                <w:lang w:val="es-PE" w:eastAsia="zh-TW"/>
              </w:rPr>
              <w:t xml:space="preserve"> </w:t>
            </w:r>
            <w:r w:rsidR="005D630A">
              <w:rPr>
                <w:rFonts w:ascii="Arial" w:eastAsia="PMingLiU" w:hAnsi="Arial" w:cs="Arial"/>
                <w:b/>
                <w:iCs/>
                <w:caps/>
                <w:sz w:val="26"/>
                <w:szCs w:val="26"/>
                <w:lang w:val="es-PE" w:eastAsia="zh-TW"/>
              </w:rPr>
              <w:t xml:space="preserve">MAGISTRADA </w:t>
            </w:r>
            <w:r w:rsidR="00D12C55">
              <w:rPr>
                <w:rFonts w:ascii="Arial" w:eastAsia="PMingLiU" w:hAnsi="Arial" w:cs="Arial"/>
                <w:b/>
                <w:iCs/>
                <w:caps/>
                <w:sz w:val="26"/>
                <w:szCs w:val="26"/>
                <w:lang w:val="es-PE" w:eastAsia="zh-TW"/>
              </w:rPr>
              <w:t>gloria del carmen camacho meza.</w:t>
            </w:r>
          </w:p>
        </w:tc>
      </w:tr>
      <w:tr w:rsidR="00571114" w14:paraId="2E2732D1" w14:textId="77777777" w:rsidTr="00571114">
        <w:tc>
          <w:tcPr>
            <w:tcW w:w="2356" w:type="dxa"/>
          </w:tcPr>
          <w:p w14:paraId="75A181C8" w14:textId="77777777" w:rsidR="00571114" w:rsidRDefault="00571114">
            <w:pPr>
              <w:spacing w:after="0" w:line="240" w:lineRule="auto"/>
              <w:rPr>
                <w:rFonts w:ascii="Arial" w:eastAsiaTheme="minorHAnsi" w:hAnsi="Arial" w:cs="Arial"/>
                <w:b/>
                <w:sz w:val="26"/>
                <w:szCs w:val="26"/>
                <w:lang w:val="es-ES" w:eastAsia="en-US"/>
              </w:rPr>
            </w:pPr>
          </w:p>
        </w:tc>
        <w:tc>
          <w:tcPr>
            <w:tcW w:w="7426" w:type="dxa"/>
            <w:hideMark/>
          </w:tcPr>
          <w:p w14:paraId="4FFCBE8E" w14:textId="77777777" w:rsidR="00571114" w:rsidRDefault="00571114">
            <w:pPr>
              <w:tabs>
                <w:tab w:val="left" w:pos="3103"/>
              </w:tabs>
              <w:spacing w:after="0" w:line="240" w:lineRule="auto"/>
              <w:ind w:left="2961" w:hanging="2961"/>
              <w:jc w:val="both"/>
              <w:rPr>
                <w:rFonts w:ascii="Arial" w:hAnsi="Arial" w:cs="Arial"/>
                <w:b/>
                <w:iCs/>
                <w:caps/>
                <w:sz w:val="26"/>
                <w:szCs w:val="26"/>
                <w:lang w:val="es-ES"/>
              </w:rPr>
            </w:pPr>
            <w:r>
              <w:rPr>
                <w:rFonts w:ascii="Arial" w:hAnsi="Arial" w:cs="Arial"/>
                <w:b/>
                <w:i/>
                <w:iCs/>
                <w:caps/>
                <w:sz w:val="26"/>
                <w:szCs w:val="26"/>
                <w:lang w:val="es-ES"/>
              </w:rPr>
              <w:t xml:space="preserve">                                   </w:t>
            </w:r>
          </w:p>
        </w:tc>
      </w:tr>
      <w:tr w:rsidR="00571114" w14:paraId="63E4C78C" w14:textId="77777777" w:rsidTr="00571114">
        <w:tc>
          <w:tcPr>
            <w:tcW w:w="2356" w:type="dxa"/>
          </w:tcPr>
          <w:p w14:paraId="30D53E9D" w14:textId="77777777" w:rsidR="00571114" w:rsidRDefault="00571114">
            <w:pPr>
              <w:spacing w:after="0" w:line="240" w:lineRule="auto"/>
              <w:rPr>
                <w:rFonts w:ascii="Arial" w:hAnsi="Arial" w:cs="Arial"/>
                <w:b/>
                <w:sz w:val="26"/>
                <w:szCs w:val="26"/>
                <w:lang w:val="es-ES"/>
              </w:rPr>
            </w:pPr>
          </w:p>
        </w:tc>
        <w:tc>
          <w:tcPr>
            <w:tcW w:w="7426" w:type="dxa"/>
          </w:tcPr>
          <w:p w14:paraId="7FCFD9D5" w14:textId="77777777" w:rsidR="00571114" w:rsidRDefault="00571114">
            <w:pPr>
              <w:tabs>
                <w:tab w:val="left" w:pos="3103"/>
              </w:tabs>
              <w:spacing w:after="0" w:line="240" w:lineRule="auto"/>
              <w:ind w:left="2961" w:hanging="2961"/>
              <w:jc w:val="both"/>
              <w:rPr>
                <w:rFonts w:ascii="Arial" w:hAnsi="Arial" w:cs="Arial"/>
                <w:b/>
                <w:i/>
                <w:iCs/>
                <w:caps/>
                <w:sz w:val="26"/>
                <w:szCs w:val="26"/>
                <w:lang w:val="es-ES"/>
              </w:rPr>
            </w:pPr>
          </w:p>
        </w:tc>
      </w:tr>
    </w:tbl>
    <w:p w14:paraId="5AC839C6" w14:textId="42B68528" w:rsidR="00571114" w:rsidRDefault="00571114" w:rsidP="00D0729A">
      <w:pPr>
        <w:spacing w:after="0" w:line="360" w:lineRule="auto"/>
        <w:jc w:val="both"/>
        <w:rPr>
          <w:rFonts w:ascii="Arial" w:hAnsi="Arial" w:cs="Arial"/>
          <w:b/>
          <w:sz w:val="26"/>
          <w:szCs w:val="26"/>
          <w:lang w:val="es-ES"/>
        </w:rPr>
      </w:pPr>
      <w:r>
        <w:rPr>
          <w:rFonts w:ascii="Arial" w:hAnsi="Arial" w:cs="Arial"/>
          <w:b/>
          <w:sz w:val="26"/>
          <w:szCs w:val="26"/>
          <w:lang w:val="es-ES"/>
        </w:rPr>
        <w:t>OAXACA DE JUÁREZ, OAXACA</w:t>
      </w:r>
      <w:r w:rsidR="00D0729A">
        <w:rPr>
          <w:rFonts w:ascii="Arial" w:hAnsi="Arial" w:cs="Arial"/>
          <w:b/>
          <w:sz w:val="26"/>
          <w:szCs w:val="26"/>
          <w:lang w:val="es-ES"/>
        </w:rPr>
        <w:t xml:space="preserve">, A SIETE DE OCTUBRE </w:t>
      </w:r>
      <w:r>
        <w:rPr>
          <w:rFonts w:ascii="Arial" w:hAnsi="Arial" w:cs="Arial"/>
          <w:b/>
          <w:sz w:val="26"/>
          <w:szCs w:val="26"/>
          <w:lang w:val="es-ES"/>
        </w:rPr>
        <w:t xml:space="preserve">DE DOS MIL </w:t>
      </w:r>
      <w:r w:rsidR="00D0729A">
        <w:rPr>
          <w:rFonts w:ascii="Arial" w:hAnsi="Arial" w:cs="Arial"/>
          <w:b/>
          <w:sz w:val="26"/>
          <w:szCs w:val="26"/>
          <w:lang w:val="es-ES"/>
        </w:rPr>
        <w:t>VEINTIUNO. -</w:t>
      </w:r>
      <w:r>
        <w:rPr>
          <w:rFonts w:ascii="Arial" w:hAnsi="Arial" w:cs="Arial"/>
          <w:b/>
          <w:sz w:val="26"/>
          <w:szCs w:val="26"/>
          <w:lang w:val="es-ES"/>
        </w:rPr>
        <w:t xml:space="preserve"> - - - - - - - - - - - - - - - - - - - - - - - - - - - - - - - - </w:t>
      </w:r>
      <w:r w:rsidR="00D0729A">
        <w:rPr>
          <w:rFonts w:ascii="Arial" w:hAnsi="Arial" w:cs="Arial"/>
          <w:b/>
          <w:sz w:val="26"/>
          <w:szCs w:val="26"/>
          <w:lang w:val="es-ES"/>
        </w:rPr>
        <w:t>- - - - - -</w:t>
      </w:r>
    </w:p>
    <w:p w14:paraId="4038067F" w14:textId="77777777" w:rsidR="00D0729A" w:rsidRDefault="00D0729A" w:rsidP="00D0729A">
      <w:pPr>
        <w:pStyle w:val="Sinespaciado"/>
      </w:pPr>
    </w:p>
    <w:p w14:paraId="2D9FACF0" w14:textId="0C95D671" w:rsidR="00827DA1" w:rsidRDefault="00571114" w:rsidP="00B02F70">
      <w:pPr>
        <w:spacing w:after="0" w:line="360" w:lineRule="auto"/>
        <w:ind w:firstLine="708"/>
        <w:jc w:val="both"/>
        <w:rPr>
          <w:rFonts w:ascii="Arial" w:hAnsi="Arial" w:cs="Arial"/>
          <w:sz w:val="26"/>
          <w:szCs w:val="26"/>
        </w:rPr>
      </w:pPr>
      <w:r>
        <w:rPr>
          <w:rFonts w:ascii="Arial" w:eastAsia="Calibri" w:hAnsi="Arial" w:cs="Arial"/>
          <w:sz w:val="26"/>
          <w:szCs w:val="26"/>
        </w:rPr>
        <w:t xml:space="preserve">Por recibido el Cuaderno de Revisión </w:t>
      </w:r>
      <w:r w:rsidR="00465AD1">
        <w:rPr>
          <w:rFonts w:ascii="Arial" w:eastAsia="PMingLiU" w:hAnsi="Arial" w:cs="Arial"/>
          <w:b/>
          <w:iCs/>
          <w:caps/>
          <w:sz w:val="26"/>
          <w:szCs w:val="26"/>
          <w:lang w:val="es-PE" w:eastAsia="zh-TW"/>
        </w:rPr>
        <w:t>0047/2021</w:t>
      </w:r>
      <w:r>
        <w:rPr>
          <w:rFonts w:ascii="Arial" w:eastAsia="PMingLiU" w:hAnsi="Arial" w:cs="Arial"/>
          <w:b/>
          <w:iCs/>
          <w:caps/>
          <w:sz w:val="26"/>
          <w:szCs w:val="26"/>
          <w:lang w:val="es-PE" w:eastAsia="zh-TW"/>
        </w:rPr>
        <w:t xml:space="preserve"> </w:t>
      </w:r>
      <w:r>
        <w:rPr>
          <w:rFonts w:ascii="Arial" w:eastAsia="Calibri" w:hAnsi="Arial" w:cs="Arial"/>
          <w:sz w:val="26"/>
          <w:szCs w:val="26"/>
        </w:rPr>
        <w:t xml:space="preserve">que remite la Secretaría General de Acuerdos, con motivo del recurso de revisión interpuesto por </w:t>
      </w:r>
      <w:r w:rsidR="00523F88">
        <w:rPr>
          <w:rFonts w:ascii="Arial" w:hAnsi="Arial" w:cs="Arial"/>
          <w:b/>
          <w:sz w:val="26"/>
          <w:szCs w:val="26"/>
        </w:rPr>
        <w:t>***********</w:t>
      </w:r>
      <w:r w:rsidRPr="006551F8">
        <w:rPr>
          <w:rFonts w:ascii="Arial" w:hAnsi="Arial" w:cs="Arial"/>
          <w:b/>
          <w:bCs/>
          <w:color w:val="000000"/>
          <w:sz w:val="26"/>
          <w:szCs w:val="26"/>
        </w:rPr>
        <w:t xml:space="preserve">, </w:t>
      </w:r>
      <w:r w:rsidR="00D646B8">
        <w:rPr>
          <w:rFonts w:ascii="Arial" w:eastAsia="Calibri" w:hAnsi="Arial" w:cs="Arial"/>
          <w:sz w:val="26"/>
          <w:szCs w:val="26"/>
          <w:lang w:eastAsia="en-US"/>
        </w:rPr>
        <w:t xml:space="preserve">en contra de </w:t>
      </w:r>
      <w:r w:rsidR="00D646B8">
        <w:rPr>
          <w:rFonts w:ascii="Arial" w:eastAsia="Calibri" w:hAnsi="Arial" w:cs="Arial"/>
          <w:sz w:val="26"/>
          <w:szCs w:val="26"/>
        </w:rPr>
        <w:t xml:space="preserve">la sentencia de fecha </w:t>
      </w:r>
      <w:r w:rsidR="00465AD1">
        <w:rPr>
          <w:rFonts w:ascii="Arial" w:eastAsia="Calibri" w:hAnsi="Arial" w:cs="Arial"/>
          <w:sz w:val="26"/>
          <w:szCs w:val="26"/>
        </w:rPr>
        <w:t>quince de diciembre de dos mil veinte</w:t>
      </w:r>
      <w:r w:rsidR="007063ED">
        <w:rPr>
          <w:rFonts w:ascii="Arial" w:eastAsia="Calibri" w:hAnsi="Arial" w:cs="Arial"/>
          <w:sz w:val="26"/>
          <w:szCs w:val="26"/>
          <w:lang w:eastAsia="en-US"/>
        </w:rPr>
        <w:t>, dictada</w:t>
      </w:r>
      <w:r w:rsidR="00D646B8">
        <w:rPr>
          <w:rFonts w:ascii="Arial" w:eastAsia="Calibri" w:hAnsi="Arial" w:cs="Arial"/>
          <w:sz w:val="26"/>
          <w:szCs w:val="26"/>
          <w:lang w:eastAsia="en-US"/>
        </w:rPr>
        <w:t xml:space="preserve"> en el juicio de nulidad</w:t>
      </w:r>
      <w:r w:rsidR="00D646B8">
        <w:rPr>
          <w:rFonts w:ascii="Arial" w:eastAsia="Calibri" w:hAnsi="Arial" w:cs="Arial"/>
          <w:bCs/>
          <w:sz w:val="26"/>
          <w:szCs w:val="26"/>
          <w:lang w:eastAsia="en-US"/>
        </w:rPr>
        <w:t xml:space="preserve"> </w:t>
      </w:r>
      <w:r w:rsidR="00465AD1">
        <w:rPr>
          <w:rFonts w:ascii="Arial" w:eastAsia="Calibri" w:hAnsi="Arial" w:cs="Arial"/>
          <w:bCs/>
          <w:sz w:val="26"/>
          <w:szCs w:val="26"/>
          <w:lang w:eastAsia="en-US"/>
        </w:rPr>
        <w:t>0003/2020</w:t>
      </w:r>
      <w:r w:rsidR="00D646B8">
        <w:rPr>
          <w:rFonts w:ascii="Arial" w:eastAsia="Calibri" w:hAnsi="Arial" w:cs="Arial"/>
          <w:bCs/>
          <w:sz w:val="26"/>
          <w:szCs w:val="26"/>
          <w:lang w:eastAsia="en-US"/>
        </w:rPr>
        <w:t xml:space="preserve"> de la </w:t>
      </w:r>
      <w:r w:rsidR="00465AD1">
        <w:rPr>
          <w:rFonts w:ascii="Arial" w:eastAsia="Calibri" w:hAnsi="Arial" w:cs="Arial"/>
          <w:bCs/>
          <w:sz w:val="26"/>
          <w:szCs w:val="26"/>
          <w:lang w:eastAsia="en-US"/>
        </w:rPr>
        <w:t xml:space="preserve">Tercera </w:t>
      </w:r>
      <w:r w:rsidR="00D646B8">
        <w:rPr>
          <w:rFonts w:ascii="Arial" w:eastAsia="Calibri" w:hAnsi="Arial" w:cs="Arial"/>
          <w:sz w:val="26"/>
          <w:szCs w:val="26"/>
          <w:lang w:eastAsia="en-US"/>
        </w:rPr>
        <w:t xml:space="preserve">Sala Unitaria de Primera Instancia, relativo al juicio promovido por </w:t>
      </w:r>
      <w:r w:rsidR="00465AD1" w:rsidRPr="00EB041C">
        <w:rPr>
          <w:rFonts w:ascii="Arial" w:eastAsia="Calibri" w:hAnsi="Arial" w:cs="Arial"/>
          <w:sz w:val="26"/>
          <w:szCs w:val="26"/>
        </w:rPr>
        <w:t>el</w:t>
      </w:r>
      <w:r w:rsidR="00C32415" w:rsidRPr="00EB041C">
        <w:rPr>
          <w:rFonts w:ascii="Arial" w:eastAsia="Calibri" w:hAnsi="Arial" w:cs="Arial"/>
          <w:sz w:val="26"/>
          <w:szCs w:val="26"/>
        </w:rPr>
        <w:t xml:space="preserve"> </w:t>
      </w:r>
      <w:r w:rsidR="00232B2D" w:rsidRPr="00EB041C">
        <w:rPr>
          <w:rFonts w:ascii="Arial" w:eastAsia="Calibri" w:hAnsi="Arial" w:cs="Arial"/>
          <w:sz w:val="26"/>
          <w:szCs w:val="26"/>
        </w:rPr>
        <w:t>hoy</w:t>
      </w:r>
      <w:r w:rsidR="00232B2D">
        <w:rPr>
          <w:rFonts w:ascii="Arial" w:eastAsia="Calibri" w:hAnsi="Arial" w:cs="Arial"/>
          <w:sz w:val="26"/>
          <w:szCs w:val="26"/>
        </w:rPr>
        <w:t xml:space="preserve"> </w:t>
      </w:r>
      <w:r w:rsidR="00C32415">
        <w:rPr>
          <w:rFonts w:ascii="Arial" w:eastAsia="Calibri" w:hAnsi="Arial" w:cs="Arial"/>
          <w:b/>
          <w:sz w:val="26"/>
          <w:szCs w:val="26"/>
        </w:rPr>
        <w:t>RECURRENTE</w:t>
      </w:r>
      <w:r w:rsidR="00B02F70">
        <w:rPr>
          <w:rFonts w:ascii="Arial" w:eastAsia="Calibri" w:hAnsi="Arial" w:cs="Arial"/>
          <w:b/>
          <w:sz w:val="26"/>
          <w:szCs w:val="26"/>
        </w:rPr>
        <w:t>,</w:t>
      </w:r>
      <w:r>
        <w:rPr>
          <w:rFonts w:ascii="Arial" w:eastAsia="Calibri" w:hAnsi="Arial" w:cs="Arial"/>
          <w:b/>
          <w:sz w:val="26"/>
          <w:szCs w:val="26"/>
        </w:rPr>
        <w:t xml:space="preserve"> </w:t>
      </w:r>
      <w:r>
        <w:rPr>
          <w:rFonts w:ascii="Arial" w:eastAsia="Calibri" w:hAnsi="Arial" w:cs="Arial"/>
          <w:sz w:val="26"/>
          <w:szCs w:val="26"/>
        </w:rPr>
        <w:t>en contra de</w:t>
      </w:r>
      <w:r w:rsidR="00C32415">
        <w:rPr>
          <w:rFonts w:ascii="Arial" w:eastAsia="Calibri" w:hAnsi="Arial" w:cs="Arial"/>
          <w:sz w:val="26"/>
          <w:szCs w:val="26"/>
        </w:rPr>
        <w:t xml:space="preserve">l </w:t>
      </w:r>
      <w:r w:rsidR="00C32415">
        <w:rPr>
          <w:rFonts w:ascii="Arial" w:eastAsia="Calibri" w:hAnsi="Arial" w:cs="Arial"/>
          <w:b/>
          <w:sz w:val="26"/>
          <w:szCs w:val="26"/>
        </w:rPr>
        <w:t>CONSEJO DIRECTIVO DE LA OFICINA DE PENSIONES y del</w:t>
      </w:r>
      <w:r w:rsidR="0008342F">
        <w:rPr>
          <w:rFonts w:ascii="Arial" w:eastAsia="Calibri" w:hAnsi="Arial" w:cs="Arial"/>
          <w:sz w:val="26"/>
          <w:szCs w:val="26"/>
        </w:rPr>
        <w:t xml:space="preserve"> </w:t>
      </w:r>
      <w:r w:rsidR="00C32415">
        <w:rPr>
          <w:rFonts w:ascii="Arial" w:eastAsia="Calibri" w:hAnsi="Arial" w:cs="Arial"/>
          <w:b/>
          <w:sz w:val="26"/>
          <w:szCs w:val="26"/>
        </w:rPr>
        <w:t>DIRECTOR GENERAL DE LA OFICINA DE PENSIONES</w:t>
      </w:r>
      <w:r>
        <w:rPr>
          <w:rFonts w:ascii="Arial" w:eastAsia="Calibri" w:hAnsi="Arial" w:cs="Arial"/>
          <w:b/>
          <w:sz w:val="26"/>
          <w:szCs w:val="26"/>
        </w:rPr>
        <w:t xml:space="preserve">, </w:t>
      </w:r>
      <w:r>
        <w:rPr>
          <w:rFonts w:ascii="Arial" w:hAnsi="Arial" w:cs="Arial"/>
          <w:sz w:val="26"/>
          <w:szCs w:val="26"/>
        </w:rPr>
        <w:t>por lo que con fundamento en los artículos 236 y 237 de la Ley de Procedimiento y Justicia Administrativa para el Estado de Oaxaca, se admite. En consecuencia, se procede a dictar resolución en los siguientes términos:</w:t>
      </w:r>
      <w:r w:rsidR="00B02F70">
        <w:rPr>
          <w:rFonts w:ascii="Arial" w:hAnsi="Arial" w:cs="Arial"/>
          <w:sz w:val="26"/>
          <w:szCs w:val="26"/>
        </w:rPr>
        <w:t>-</w:t>
      </w:r>
      <w:r w:rsidR="00D646B8">
        <w:rPr>
          <w:rFonts w:ascii="Arial" w:hAnsi="Arial" w:cs="Arial"/>
          <w:sz w:val="26"/>
          <w:szCs w:val="26"/>
        </w:rPr>
        <w:t xml:space="preserve"> - - - - - - - - - - - </w:t>
      </w:r>
      <w:r w:rsidR="00B02F70">
        <w:rPr>
          <w:rFonts w:ascii="Arial" w:hAnsi="Arial" w:cs="Arial"/>
          <w:sz w:val="26"/>
          <w:szCs w:val="26"/>
        </w:rPr>
        <w:t xml:space="preserve"> - - -</w:t>
      </w:r>
      <w:r w:rsidR="00C32415">
        <w:rPr>
          <w:rFonts w:ascii="Arial" w:hAnsi="Arial" w:cs="Arial"/>
          <w:sz w:val="26"/>
          <w:szCs w:val="26"/>
        </w:rPr>
        <w:t xml:space="preserve">- - - - - - - - -  - </w:t>
      </w:r>
      <w:r w:rsidR="00523F88">
        <w:rPr>
          <w:rFonts w:ascii="Arial" w:hAnsi="Arial" w:cs="Arial"/>
          <w:sz w:val="26"/>
          <w:szCs w:val="26"/>
        </w:rPr>
        <w:t xml:space="preserve"> </w:t>
      </w:r>
      <w:r w:rsidR="00A20405">
        <w:rPr>
          <w:rFonts w:ascii="Arial" w:hAnsi="Arial" w:cs="Arial"/>
          <w:sz w:val="26"/>
          <w:szCs w:val="26"/>
        </w:rPr>
        <w:t xml:space="preserve"> </w:t>
      </w:r>
    </w:p>
    <w:p w14:paraId="751FB8A8" w14:textId="308843AE" w:rsidR="00571114" w:rsidRPr="00B02F70" w:rsidRDefault="00571114" w:rsidP="00827DA1">
      <w:pPr>
        <w:spacing w:after="0" w:line="360" w:lineRule="auto"/>
        <w:ind w:firstLine="708"/>
        <w:jc w:val="center"/>
        <w:rPr>
          <w:rFonts w:ascii="Arial" w:hAnsi="Arial" w:cs="Arial"/>
          <w:sz w:val="26"/>
          <w:szCs w:val="26"/>
        </w:rPr>
      </w:pPr>
      <w:r w:rsidRPr="00B02F70">
        <w:rPr>
          <w:rFonts w:ascii="Arial" w:hAnsi="Arial" w:cs="Arial"/>
          <w:b/>
          <w:bCs/>
          <w:sz w:val="26"/>
          <w:szCs w:val="26"/>
          <w:lang w:val="es-ES"/>
        </w:rPr>
        <w:t>R E S U L T A N D O</w:t>
      </w:r>
    </w:p>
    <w:p w14:paraId="4995B53C" w14:textId="341C9226" w:rsidR="00571114" w:rsidRDefault="00571114" w:rsidP="00900E97">
      <w:pPr>
        <w:spacing w:after="120" w:line="360" w:lineRule="auto"/>
        <w:ind w:firstLine="709"/>
        <w:jc w:val="both"/>
        <w:rPr>
          <w:rFonts w:ascii="Arial" w:hAnsi="Arial" w:cs="Arial"/>
          <w:sz w:val="26"/>
          <w:szCs w:val="26"/>
          <w:lang w:val="es-ES"/>
        </w:rPr>
      </w:pPr>
      <w:r>
        <w:rPr>
          <w:rFonts w:ascii="Arial" w:hAnsi="Arial" w:cs="Arial"/>
          <w:b/>
          <w:bCs/>
          <w:sz w:val="26"/>
          <w:szCs w:val="26"/>
          <w:lang w:val="es-ES"/>
        </w:rPr>
        <w:t xml:space="preserve">PRIMERO. </w:t>
      </w:r>
      <w:r>
        <w:rPr>
          <w:rFonts w:ascii="Arial" w:hAnsi="Arial" w:cs="Arial"/>
          <w:sz w:val="26"/>
          <w:szCs w:val="26"/>
          <w:lang w:val="es-ES"/>
        </w:rPr>
        <w:t xml:space="preserve">Inconforme con la sentencia de </w:t>
      </w:r>
      <w:r w:rsidR="00465AD1">
        <w:rPr>
          <w:rFonts w:ascii="Arial" w:eastAsia="Calibri" w:hAnsi="Arial" w:cs="Arial"/>
          <w:sz w:val="26"/>
          <w:szCs w:val="26"/>
        </w:rPr>
        <w:t>quince de diciembre de dos mil veinte</w:t>
      </w:r>
      <w:r>
        <w:rPr>
          <w:rFonts w:ascii="Arial" w:hAnsi="Arial" w:cs="Arial"/>
          <w:sz w:val="26"/>
          <w:szCs w:val="26"/>
          <w:lang w:val="es-ES"/>
        </w:rPr>
        <w:t xml:space="preserve">, dictada por </w:t>
      </w:r>
      <w:r w:rsidR="00900E97">
        <w:rPr>
          <w:rFonts w:ascii="Arial" w:hAnsi="Arial" w:cs="Arial"/>
          <w:sz w:val="26"/>
          <w:szCs w:val="26"/>
          <w:lang w:val="es-ES"/>
        </w:rPr>
        <w:t>la</w:t>
      </w:r>
      <w:r w:rsidR="00BD5B0D">
        <w:rPr>
          <w:rFonts w:ascii="Arial" w:hAnsi="Arial" w:cs="Arial"/>
          <w:sz w:val="26"/>
          <w:szCs w:val="26"/>
          <w:lang w:val="es-ES"/>
        </w:rPr>
        <w:t xml:space="preserve"> </w:t>
      </w:r>
      <w:r w:rsidR="00465AD1">
        <w:rPr>
          <w:rFonts w:ascii="Arial" w:hAnsi="Arial" w:cs="Arial"/>
          <w:sz w:val="26"/>
          <w:szCs w:val="26"/>
          <w:lang w:val="es-ES"/>
        </w:rPr>
        <w:t xml:space="preserve">Tercera </w:t>
      </w:r>
      <w:r>
        <w:rPr>
          <w:rFonts w:ascii="Arial" w:hAnsi="Arial" w:cs="Arial"/>
          <w:sz w:val="26"/>
          <w:szCs w:val="26"/>
          <w:lang w:val="es-ES"/>
        </w:rPr>
        <w:t>Sala Unitaria de Primera Instancia de este Tribunal</w:t>
      </w:r>
      <w:r w:rsidR="00AE3B8E">
        <w:rPr>
          <w:rFonts w:ascii="Arial" w:hAnsi="Arial" w:cs="Arial"/>
          <w:sz w:val="26"/>
          <w:szCs w:val="26"/>
          <w:lang w:val="es-ES"/>
        </w:rPr>
        <w:t>,</w:t>
      </w:r>
      <w:r w:rsidR="00A81C86" w:rsidRPr="00A81C86">
        <w:rPr>
          <w:rFonts w:ascii="Arial" w:eastAsia="Calibri" w:hAnsi="Arial" w:cs="Arial"/>
          <w:b/>
          <w:sz w:val="26"/>
          <w:szCs w:val="26"/>
        </w:rPr>
        <w:t xml:space="preserve"> </w:t>
      </w:r>
      <w:r w:rsidR="00523F88">
        <w:rPr>
          <w:rFonts w:ascii="Arial" w:hAnsi="Arial" w:cs="Arial"/>
          <w:b/>
          <w:sz w:val="26"/>
          <w:szCs w:val="26"/>
        </w:rPr>
        <w:t>***********</w:t>
      </w:r>
      <w:r w:rsidRPr="006551F8">
        <w:rPr>
          <w:rFonts w:ascii="Arial" w:hAnsi="Arial" w:cs="Arial"/>
          <w:sz w:val="26"/>
          <w:szCs w:val="26"/>
          <w:lang w:val="es-ES"/>
        </w:rPr>
        <w:t>interpuso</w:t>
      </w:r>
      <w:r>
        <w:rPr>
          <w:rFonts w:ascii="Arial" w:hAnsi="Arial" w:cs="Arial"/>
          <w:sz w:val="26"/>
          <w:szCs w:val="26"/>
          <w:lang w:val="es-ES"/>
        </w:rPr>
        <w:t xml:space="preserve"> en su contra recurso de revisión.</w:t>
      </w:r>
      <w:r w:rsidR="00B02F70">
        <w:rPr>
          <w:rFonts w:ascii="Arial" w:hAnsi="Arial" w:cs="Arial"/>
          <w:sz w:val="26"/>
          <w:szCs w:val="26"/>
          <w:lang w:val="es-ES"/>
        </w:rPr>
        <w:t xml:space="preserve">- - - - - - </w:t>
      </w:r>
      <w:r w:rsidR="00465AD1">
        <w:rPr>
          <w:rFonts w:ascii="Arial" w:hAnsi="Arial" w:cs="Arial"/>
          <w:sz w:val="26"/>
          <w:szCs w:val="26"/>
          <w:lang w:val="es-ES"/>
        </w:rPr>
        <w:t xml:space="preserve">- - - - - - - - - - - - - - - - - - - - - - - - - - - </w:t>
      </w:r>
      <w:r w:rsidR="00523F88">
        <w:rPr>
          <w:rFonts w:ascii="Arial" w:hAnsi="Arial" w:cs="Arial"/>
          <w:sz w:val="26"/>
          <w:szCs w:val="26"/>
          <w:lang w:val="es-ES"/>
        </w:rPr>
        <w:t xml:space="preserve">- - - - - - - - - - - - - </w:t>
      </w:r>
    </w:p>
    <w:p w14:paraId="0F56A65A" w14:textId="56FFE6EC" w:rsidR="00571114" w:rsidRDefault="00571114" w:rsidP="00900E97">
      <w:pPr>
        <w:spacing w:after="120" w:line="360" w:lineRule="auto"/>
        <w:ind w:firstLine="709"/>
        <w:jc w:val="both"/>
        <w:rPr>
          <w:rFonts w:ascii="Arial" w:hAnsi="Arial" w:cs="Arial"/>
          <w:sz w:val="26"/>
          <w:szCs w:val="26"/>
        </w:rPr>
      </w:pPr>
      <w:r>
        <w:rPr>
          <w:rFonts w:ascii="Arial" w:hAnsi="Arial" w:cs="Arial"/>
          <w:b/>
          <w:bCs/>
          <w:sz w:val="26"/>
          <w:szCs w:val="26"/>
        </w:rPr>
        <w:t xml:space="preserve">SEGUNDO. </w:t>
      </w:r>
      <w:r>
        <w:rPr>
          <w:rFonts w:ascii="Arial" w:hAnsi="Arial" w:cs="Arial"/>
          <w:sz w:val="26"/>
          <w:szCs w:val="26"/>
        </w:rPr>
        <w:t>Los puntos resolutivos de la sentencia recurrida, son los siguientes:</w:t>
      </w:r>
      <w:r w:rsidR="00B02F70">
        <w:rPr>
          <w:rFonts w:ascii="Arial" w:hAnsi="Arial" w:cs="Arial"/>
          <w:sz w:val="26"/>
          <w:szCs w:val="26"/>
        </w:rPr>
        <w:t xml:space="preserve">- - - - - - - - - - - - - - - - - - - - - - - - - - - - - - - - - - - - - - - - - - </w:t>
      </w:r>
    </w:p>
    <w:p w14:paraId="043AA6DF" w14:textId="6CD01C44" w:rsidR="00635B8D" w:rsidRDefault="00635B8D" w:rsidP="00635B8D">
      <w:pPr>
        <w:spacing w:after="0" w:line="360" w:lineRule="auto"/>
        <w:ind w:left="1134" w:right="900" w:firstLine="282"/>
        <w:jc w:val="both"/>
        <w:rPr>
          <w:rFonts w:ascii="Arial" w:eastAsia="Calibri" w:hAnsi="Arial" w:cs="Arial"/>
          <w:bCs/>
          <w:i/>
          <w:color w:val="000000" w:themeColor="text1"/>
        </w:rPr>
      </w:pPr>
      <w:r>
        <w:rPr>
          <w:rFonts w:ascii="Arial" w:eastAsia="Calibri" w:hAnsi="Arial" w:cs="Arial"/>
          <w:bCs/>
          <w:color w:val="000000" w:themeColor="text1"/>
        </w:rPr>
        <w:t>“</w:t>
      </w:r>
      <w:r>
        <w:rPr>
          <w:rFonts w:ascii="Arial" w:eastAsia="Calibri" w:hAnsi="Arial" w:cs="Arial"/>
          <w:b/>
          <w:bCs/>
          <w:i/>
          <w:color w:val="000000" w:themeColor="text1"/>
        </w:rPr>
        <w:t xml:space="preserve">PRIMERO.- </w:t>
      </w:r>
      <w:r w:rsidR="00130734">
        <w:rPr>
          <w:rFonts w:ascii="Arial" w:eastAsia="Calibri" w:hAnsi="Arial" w:cs="Arial"/>
          <w:bCs/>
          <w:i/>
          <w:color w:val="000000" w:themeColor="text1"/>
        </w:rPr>
        <w:t xml:space="preserve">Esta </w:t>
      </w:r>
      <w:r w:rsidR="00FD2144">
        <w:rPr>
          <w:rFonts w:ascii="Arial" w:eastAsia="Calibri" w:hAnsi="Arial" w:cs="Arial"/>
          <w:bCs/>
          <w:i/>
          <w:color w:val="000000" w:themeColor="text1"/>
        </w:rPr>
        <w:t xml:space="preserve">Tercera </w:t>
      </w:r>
      <w:r>
        <w:rPr>
          <w:rFonts w:ascii="Arial" w:eastAsia="Calibri" w:hAnsi="Arial" w:cs="Arial"/>
          <w:bCs/>
          <w:i/>
          <w:color w:val="000000" w:themeColor="text1"/>
        </w:rPr>
        <w:t xml:space="preserve">Sala </w:t>
      </w:r>
      <w:r w:rsidR="00130734">
        <w:rPr>
          <w:rFonts w:ascii="Arial" w:eastAsia="Calibri" w:hAnsi="Arial" w:cs="Arial"/>
          <w:bCs/>
          <w:i/>
          <w:color w:val="000000" w:themeColor="text1"/>
        </w:rPr>
        <w:t xml:space="preserve">de Primera Instancia </w:t>
      </w:r>
      <w:r>
        <w:rPr>
          <w:rFonts w:ascii="Arial" w:eastAsia="Calibri" w:hAnsi="Arial" w:cs="Arial"/>
          <w:bCs/>
          <w:i/>
          <w:color w:val="000000" w:themeColor="text1"/>
        </w:rPr>
        <w:t xml:space="preserve">del Tribunal de Justicia Administrativa del Estado de Oaxaca, </w:t>
      </w:r>
      <w:r w:rsidR="00130734">
        <w:rPr>
          <w:rFonts w:ascii="Arial" w:eastAsia="Calibri" w:hAnsi="Arial" w:cs="Arial"/>
          <w:bCs/>
          <w:i/>
          <w:color w:val="000000" w:themeColor="text1"/>
        </w:rPr>
        <w:t xml:space="preserve">es legalmente </w:t>
      </w:r>
      <w:r>
        <w:rPr>
          <w:rFonts w:ascii="Arial" w:eastAsia="Calibri" w:hAnsi="Arial" w:cs="Arial"/>
          <w:bCs/>
          <w:i/>
          <w:color w:val="000000" w:themeColor="text1"/>
        </w:rPr>
        <w:t xml:space="preserve">competente para conocer y resolver del presente </w:t>
      </w:r>
      <w:r w:rsidR="00130734">
        <w:rPr>
          <w:rFonts w:ascii="Arial" w:eastAsia="Calibri" w:hAnsi="Arial" w:cs="Arial"/>
          <w:bCs/>
          <w:i/>
          <w:color w:val="000000" w:themeColor="text1"/>
        </w:rPr>
        <w:t xml:space="preserve">Juicio de Nulidad.- - - - - - - - - - - - - - - - - - -  - - - - - - - - - - - - - - </w:t>
      </w:r>
    </w:p>
    <w:p w14:paraId="34C4E265" w14:textId="05E9871A" w:rsidR="00130734" w:rsidRDefault="00635B8D" w:rsidP="00130734">
      <w:pPr>
        <w:spacing w:after="120" w:line="360" w:lineRule="auto"/>
        <w:ind w:left="1134" w:right="902" w:firstLine="284"/>
        <w:jc w:val="both"/>
        <w:rPr>
          <w:rFonts w:ascii="Arial" w:eastAsia="Calibri" w:hAnsi="Arial" w:cs="Arial"/>
          <w:bCs/>
          <w:i/>
          <w:color w:val="000000" w:themeColor="text1"/>
        </w:rPr>
      </w:pPr>
      <w:r>
        <w:rPr>
          <w:rFonts w:ascii="Arial" w:eastAsia="Calibri" w:hAnsi="Arial" w:cs="Arial"/>
          <w:b/>
          <w:bCs/>
          <w:i/>
          <w:color w:val="000000" w:themeColor="text1"/>
        </w:rPr>
        <w:t xml:space="preserve">SEGUNDO.- </w:t>
      </w:r>
      <w:r w:rsidR="00130734">
        <w:rPr>
          <w:rFonts w:ascii="Arial" w:eastAsia="Calibri" w:hAnsi="Arial" w:cs="Arial"/>
          <w:bCs/>
          <w:i/>
          <w:color w:val="000000" w:themeColor="text1"/>
        </w:rPr>
        <w:t xml:space="preserve">No se actualizó causal de improcedencia alguna, por lo que NO SE </w:t>
      </w:r>
      <w:r w:rsidR="00130734" w:rsidRPr="006551F8">
        <w:rPr>
          <w:rFonts w:ascii="Arial" w:eastAsia="Calibri" w:hAnsi="Arial" w:cs="Arial"/>
          <w:bCs/>
          <w:i/>
          <w:color w:val="000000" w:themeColor="text1"/>
        </w:rPr>
        <w:t>SOBR</w:t>
      </w:r>
      <w:r w:rsidR="00AE3B8E">
        <w:rPr>
          <w:rFonts w:ascii="Arial" w:eastAsia="Calibri" w:hAnsi="Arial" w:cs="Arial"/>
          <w:bCs/>
          <w:i/>
          <w:color w:val="000000" w:themeColor="text1"/>
        </w:rPr>
        <w:t>E</w:t>
      </w:r>
      <w:r w:rsidR="00130734" w:rsidRPr="006551F8">
        <w:rPr>
          <w:rFonts w:ascii="Arial" w:eastAsia="Calibri" w:hAnsi="Arial" w:cs="Arial"/>
          <w:bCs/>
          <w:i/>
          <w:color w:val="000000" w:themeColor="text1"/>
        </w:rPr>
        <w:t>SEE E</w:t>
      </w:r>
      <w:r w:rsidR="00130734">
        <w:rPr>
          <w:rFonts w:ascii="Arial" w:eastAsia="Calibri" w:hAnsi="Arial" w:cs="Arial"/>
          <w:bCs/>
          <w:i/>
          <w:color w:val="000000" w:themeColor="text1"/>
        </w:rPr>
        <w:t>L JUICIO, en términos del considerando QUINTO de esta resolución.- - - - - - - - - - - - -</w:t>
      </w:r>
    </w:p>
    <w:p w14:paraId="45E5C04E" w14:textId="628CDB97" w:rsidR="00FD2144" w:rsidRDefault="00635B8D" w:rsidP="00635B8D">
      <w:pPr>
        <w:spacing w:after="120" w:line="360" w:lineRule="auto"/>
        <w:ind w:left="1134" w:right="902" w:firstLine="284"/>
        <w:jc w:val="both"/>
        <w:rPr>
          <w:rFonts w:ascii="Arial" w:eastAsia="Calibri" w:hAnsi="Arial" w:cs="Arial"/>
          <w:bCs/>
          <w:i/>
          <w:color w:val="000000" w:themeColor="text1"/>
        </w:rPr>
      </w:pPr>
      <w:r>
        <w:rPr>
          <w:rFonts w:ascii="Arial" w:eastAsia="Calibri" w:hAnsi="Arial" w:cs="Arial"/>
          <w:b/>
          <w:bCs/>
          <w:i/>
          <w:color w:val="000000" w:themeColor="text1"/>
        </w:rPr>
        <w:t>TERCERO.-</w:t>
      </w:r>
      <w:r>
        <w:rPr>
          <w:rFonts w:ascii="Arial" w:eastAsia="Calibri" w:hAnsi="Arial" w:cs="Arial"/>
          <w:bCs/>
          <w:i/>
          <w:color w:val="000000" w:themeColor="text1"/>
        </w:rPr>
        <w:t xml:space="preserve"> Se declara la </w:t>
      </w:r>
      <w:r>
        <w:rPr>
          <w:rFonts w:ascii="Arial" w:eastAsia="Calibri" w:hAnsi="Arial" w:cs="Arial"/>
          <w:b/>
          <w:bCs/>
          <w:i/>
          <w:color w:val="000000" w:themeColor="text1"/>
        </w:rPr>
        <w:t xml:space="preserve">NULIDAD </w:t>
      </w:r>
      <w:r>
        <w:rPr>
          <w:rFonts w:ascii="Arial" w:eastAsia="Calibri" w:hAnsi="Arial" w:cs="Arial"/>
          <w:bCs/>
          <w:i/>
          <w:color w:val="000000" w:themeColor="text1"/>
        </w:rPr>
        <w:t>del</w:t>
      </w:r>
      <w:r w:rsidR="00130734">
        <w:rPr>
          <w:rFonts w:ascii="Arial" w:eastAsia="Calibri" w:hAnsi="Arial" w:cs="Arial"/>
          <w:bCs/>
          <w:i/>
          <w:color w:val="000000" w:themeColor="text1"/>
        </w:rPr>
        <w:t xml:space="preserve"> oficio OP/DG/</w:t>
      </w:r>
      <w:r w:rsidR="00FD2144">
        <w:rPr>
          <w:rFonts w:ascii="Arial" w:eastAsia="Calibri" w:hAnsi="Arial" w:cs="Arial"/>
          <w:bCs/>
          <w:i/>
          <w:color w:val="000000" w:themeColor="text1"/>
        </w:rPr>
        <w:t>1900</w:t>
      </w:r>
      <w:r w:rsidR="00130734">
        <w:rPr>
          <w:rFonts w:ascii="Arial" w:eastAsia="Calibri" w:hAnsi="Arial" w:cs="Arial"/>
          <w:bCs/>
          <w:i/>
          <w:color w:val="000000" w:themeColor="text1"/>
        </w:rPr>
        <w:t xml:space="preserve">/2019, de fecha </w:t>
      </w:r>
      <w:r w:rsidR="00FD2144">
        <w:rPr>
          <w:rFonts w:ascii="Arial" w:eastAsia="Calibri" w:hAnsi="Arial" w:cs="Arial"/>
          <w:bCs/>
          <w:i/>
          <w:color w:val="000000" w:themeColor="text1"/>
        </w:rPr>
        <w:t xml:space="preserve">diez de julio de dos </w:t>
      </w:r>
      <w:r w:rsidR="00130734">
        <w:rPr>
          <w:rFonts w:ascii="Arial" w:eastAsia="Calibri" w:hAnsi="Arial" w:cs="Arial"/>
          <w:bCs/>
          <w:i/>
          <w:color w:val="000000" w:themeColor="text1"/>
        </w:rPr>
        <w:t xml:space="preserve">mil diecinueve </w:t>
      </w:r>
      <w:r w:rsidR="00130734">
        <w:rPr>
          <w:rFonts w:ascii="Arial" w:eastAsia="Calibri" w:hAnsi="Arial" w:cs="Arial"/>
          <w:bCs/>
          <w:i/>
          <w:color w:val="000000" w:themeColor="text1"/>
        </w:rPr>
        <w:lastRenderedPageBreak/>
        <w:t>(</w:t>
      </w:r>
      <w:r w:rsidR="00FD2144">
        <w:rPr>
          <w:rFonts w:ascii="Arial" w:eastAsia="Calibri" w:hAnsi="Arial" w:cs="Arial"/>
          <w:bCs/>
          <w:i/>
          <w:color w:val="000000" w:themeColor="text1"/>
        </w:rPr>
        <w:t>10/07</w:t>
      </w:r>
      <w:r w:rsidR="00130734">
        <w:rPr>
          <w:rFonts w:ascii="Arial" w:eastAsia="Calibri" w:hAnsi="Arial" w:cs="Arial"/>
          <w:bCs/>
          <w:i/>
          <w:color w:val="000000" w:themeColor="text1"/>
        </w:rPr>
        <w:t xml:space="preserve">/2019), emitido por el Director General de la Oficina de Pensiones del Estado de Oaxaca, así como del </w:t>
      </w:r>
      <w:r w:rsidR="00FD2144">
        <w:rPr>
          <w:rFonts w:ascii="Arial" w:eastAsia="Calibri" w:hAnsi="Arial" w:cs="Arial"/>
          <w:bCs/>
          <w:i/>
          <w:color w:val="000000" w:themeColor="text1"/>
        </w:rPr>
        <w:t>dictamen de pensión por jubilación emitido por el Consejo Directivo de Pensiones en esa propia fecha, para</w:t>
      </w:r>
      <w:r w:rsidR="00130734">
        <w:rPr>
          <w:rFonts w:ascii="Arial" w:eastAsia="Calibri" w:hAnsi="Arial" w:cs="Arial"/>
          <w:bCs/>
          <w:i/>
          <w:color w:val="000000" w:themeColor="text1"/>
        </w:rPr>
        <w:t xml:space="preserve"> el </w:t>
      </w:r>
      <w:r w:rsidR="00130734" w:rsidRPr="00FD2144">
        <w:rPr>
          <w:rFonts w:ascii="Arial" w:eastAsia="Calibri" w:hAnsi="Arial" w:cs="Arial"/>
          <w:b/>
          <w:bCs/>
          <w:i/>
          <w:color w:val="000000" w:themeColor="text1"/>
        </w:rPr>
        <w:t>EFECTO</w:t>
      </w:r>
      <w:r w:rsidR="00FD2144">
        <w:rPr>
          <w:rFonts w:ascii="Arial" w:eastAsia="Calibri" w:hAnsi="Arial" w:cs="Arial"/>
          <w:bCs/>
          <w:i/>
          <w:color w:val="000000" w:themeColor="text1"/>
        </w:rPr>
        <w:t>,</w:t>
      </w:r>
      <w:r w:rsidR="00130734" w:rsidRPr="00FD2144">
        <w:rPr>
          <w:rFonts w:ascii="Arial" w:eastAsia="Calibri" w:hAnsi="Arial" w:cs="Arial"/>
          <w:bCs/>
          <w:i/>
          <w:color w:val="000000" w:themeColor="text1"/>
        </w:rPr>
        <w:t xml:space="preserve"> </w:t>
      </w:r>
      <w:r w:rsidR="00130734">
        <w:rPr>
          <w:rFonts w:ascii="Arial" w:eastAsia="Calibri" w:hAnsi="Arial" w:cs="Arial"/>
          <w:bCs/>
          <w:i/>
          <w:color w:val="000000" w:themeColor="text1"/>
        </w:rPr>
        <w:t>de que la autoridad demandada Consejo Directivo de Pensiones</w:t>
      </w:r>
      <w:r w:rsidR="00FD2144">
        <w:rPr>
          <w:rFonts w:ascii="Arial" w:eastAsia="Calibri" w:hAnsi="Arial" w:cs="Arial"/>
          <w:bCs/>
          <w:i/>
          <w:color w:val="000000" w:themeColor="text1"/>
        </w:rPr>
        <w:t>,</w:t>
      </w:r>
      <w:r w:rsidR="00130734">
        <w:rPr>
          <w:rFonts w:ascii="Arial" w:eastAsia="Calibri" w:hAnsi="Arial" w:cs="Arial"/>
          <w:bCs/>
          <w:i/>
          <w:color w:val="000000" w:themeColor="text1"/>
        </w:rPr>
        <w:t xml:space="preserve"> </w:t>
      </w:r>
      <w:r w:rsidR="00FD2144" w:rsidRPr="003B30C0">
        <w:rPr>
          <w:rFonts w:ascii="Arial" w:eastAsia="Calibri" w:hAnsi="Arial" w:cs="Arial"/>
          <w:bCs/>
          <w:i/>
          <w:color w:val="000000" w:themeColor="text1"/>
        </w:rPr>
        <w:t>emit</w:t>
      </w:r>
      <w:r w:rsidR="002B4BEA">
        <w:rPr>
          <w:rFonts w:ascii="Arial" w:eastAsia="Calibri" w:hAnsi="Arial" w:cs="Arial"/>
          <w:bCs/>
          <w:i/>
          <w:color w:val="000000" w:themeColor="text1"/>
        </w:rPr>
        <w:t>a</w:t>
      </w:r>
      <w:r w:rsidR="00FD2144">
        <w:rPr>
          <w:rFonts w:ascii="Arial" w:eastAsia="Calibri" w:hAnsi="Arial" w:cs="Arial"/>
          <w:bCs/>
          <w:i/>
          <w:color w:val="000000" w:themeColor="text1"/>
        </w:rPr>
        <w:t xml:space="preserve"> </w:t>
      </w:r>
      <w:r w:rsidR="00130734">
        <w:rPr>
          <w:rFonts w:ascii="Arial" w:eastAsia="Calibri" w:hAnsi="Arial" w:cs="Arial"/>
          <w:bCs/>
          <w:i/>
          <w:color w:val="000000" w:themeColor="text1"/>
        </w:rPr>
        <w:t xml:space="preserve">otro, en el que además de la pensión por jubilación otorgada </w:t>
      </w:r>
      <w:r w:rsidR="00FD2144">
        <w:rPr>
          <w:rFonts w:ascii="Arial" w:eastAsia="Calibri" w:hAnsi="Arial" w:cs="Arial"/>
          <w:bCs/>
          <w:i/>
          <w:color w:val="000000" w:themeColor="text1"/>
        </w:rPr>
        <w:t xml:space="preserve">por el 100% del sueldo del actor, </w:t>
      </w:r>
      <w:r w:rsidR="00130734">
        <w:rPr>
          <w:rFonts w:ascii="Arial" w:eastAsia="Calibri" w:hAnsi="Arial" w:cs="Arial"/>
          <w:bCs/>
          <w:i/>
          <w:color w:val="000000" w:themeColor="text1"/>
        </w:rPr>
        <w:t xml:space="preserve">conceda las prestaciones ya precisadas en esta resolución, </w:t>
      </w:r>
      <w:r w:rsidR="00FD2144">
        <w:rPr>
          <w:rFonts w:ascii="Arial" w:eastAsia="Calibri" w:hAnsi="Arial" w:cs="Arial"/>
          <w:bCs/>
          <w:i/>
          <w:color w:val="000000" w:themeColor="text1"/>
        </w:rPr>
        <w:t>en el entendido que para tener por cumplida la presente sentencia, se habrán de reintegrar las prestaciones correspondientes no otorgadas ni pagadas y que aquí se declararon procedentes; lo anterior en términos precisados en el considerando SEXTO de esta resolución.- - - -</w:t>
      </w:r>
    </w:p>
    <w:p w14:paraId="1FE5E19A" w14:textId="4D878C03" w:rsidR="00635B8D" w:rsidRDefault="004257EC" w:rsidP="00635B8D">
      <w:pPr>
        <w:spacing w:after="120" w:line="360" w:lineRule="auto"/>
        <w:ind w:left="1134" w:right="902" w:firstLine="284"/>
        <w:jc w:val="both"/>
        <w:rPr>
          <w:rFonts w:ascii="Arial" w:eastAsia="Calibri" w:hAnsi="Arial" w:cs="Arial"/>
          <w:bCs/>
          <w:i/>
          <w:color w:val="000000" w:themeColor="text1"/>
        </w:rPr>
      </w:pPr>
      <w:r>
        <w:rPr>
          <w:rFonts w:ascii="Arial" w:eastAsia="Calibri" w:hAnsi="Arial" w:cs="Arial"/>
          <w:b/>
          <w:bCs/>
          <w:i/>
          <w:color w:val="000000" w:themeColor="text1"/>
        </w:rPr>
        <w:t>CUARTO</w:t>
      </w:r>
      <w:r w:rsidR="00635B8D">
        <w:rPr>
          <w:rFonts w:ascii="Arial" w:eastAsia="Calibri" w:hAnsi="Arial" w:cs="Arial"/>
          <w:b/>
          <w:bCs/>
          <w:i/>
          <w:color w:val="000000" w:themeColor="text1"/>
        </w:rPr>
        <w:t xml:space="preserve">.- </w:t>
      </w:r>
      <w:r w:rsidR="00635B8D">
        <w:rPr>
          <w:rFonts w:ascii="Arial" w:eastAsia="Calibri" w:hAnsi="Arial" w:cs="Arial"/>
          <w:bCs/>
          <w:i/>
          <w:color w:val="000000" w:themeColor="text1"/>
        </w:rPr>
        <w:t>Con</w:t>
      </w:r>
      <w:r>
        <w:rPr>
          <w:rFonts w:ascii="Arial" w:eastAsia="Calibri" w:hAnsi="Arial" w:cs="Arial"/>
          <w:bCs/>
          <w:i/>
          <w:color w:val="000000" w:themeColor="text1"/>
        </w:rPr>
        <w:t>forme a lo dispuesto en el artículo</w:t>
      </w:r>
      <w:r w:rsidR="00635B8D">
        <w:rPr>
          <w:rFonts w:ascii="Arial" w:eastAsia="Calibri" w:hAnsi="Arial" w:cs="Arial"/>
          <w:bCs/>
          <w:i/>
          <w:color w:val="000000" w:themeColor="text1"/>
        </w:rPr>
        <w:t xml:space="preserve"> 172 </w:t>
      </w:r>
      <w:r>
        <w:rPr>
          <w:rFonts w:ascii="Arial" w:eastAsia="Calibri" w:hAnsi="Arial" w:cs="Arial"/>
          <w:bCs/>
          <w:i/>
          <w:color w:val="000000" w:themeColor="text1"/>
        </w:rPr>
        <w:t>fracción II y 173 fracciones II y III,</w:t>
      </w:r>
      <w:r w:rsidR="00635B8D">
        <w:rPr>
          <w:rFonts w:ascii="Arial" w:eastAsia="Calibri" w:hAnsi="Arial" w:cs="Arial"/>
          <w:bCs/>
          <w:i/>
          <w:color w:val="000000" w:themeColor="text1"/>
        </w:rPr>
        <w:t xml:space="preserve"> de la Ley de Procedimiento y Justicia Administrativa para el Estado de Oaxaca, </w:t>
      </w:r>
      <w:r w:rsidRPr="004257EC">
        <w:rPr>
          <w:rFonts w:ascii="Arial" w:eastAsia="Calibri" w:hAnsi="Arial" w:cs="Arial"/>
          <w:b/>
          <w:bCs/>
          <w:i/>
          <w:color w:val="000000" w:themeColor="text1"/>
        </w:rPr>
        <w:t>NOTIFÍQUESE</w:t>
      </w:r>
      <w:r w:rsidR="00917C56">
        <w:rPr>
          <w:rFonts w:ascii="Arial" w:eastAsia="Calibri" w:hAnsi="Arial" w:cs="Arial"/>
          <w:b/>
          <w:bCs/>
          <w:i/>
          <w:color w:val="000000" w:themeColor="text1"/>
        </w:rPr>
        <w:t xml:space="preserve"> </w:t>
      </w:r>
      <w:r w:rsidRPr="004257EC">
        <w:rPr>
          <w:rFonts w:ascii="Arial" w:eastAsia="Calibri" w:hAnsi="Arial" w:cs="Arial"/>
          <w:b/>
          <w:bCs/>
          <w:i/>
          <w:color w:val="000000" w:themeColor="text1"/>
        </w:rPr>
        <w:t xml:space="preserve"> PERSONALMENTE</w:t>
      </w:r>
      <w:r w:rsidR="00917C56">
        <w:rPr>
          <w:rFonts w:ascii="Arial" w:eastAsia="Calibri" w:hAnsi="Arial" w:cs="Arial"/>
          <w:b/>
          <w:bCs/>
          <w:i/>
          <w:color w:val="000000" w:themeColor="text1"/>
        </w:rPr>
        <w:t xml:space="preserve"> </w:t>
      </w:r>
      <w:r w:rsidRPr="004257EC">
        <w:rPr>
          <w:rFonts w:ascii="Arial" w:eastAsia="Calibri" w:hAnsi="Arial" w:cs="Arial"/>
          <w:b/>
          <w:bCs/>
          <w:i/>
          <w:color w:val="000000" w:themeColor="text1"/>
        </w:rPr>
        <w:t xml:space="preserve"> A</w:t>
      </w:r>
      <w:r w:rsidR="00917C56">
        <w:rPr>
          <w:rFonts w:ascii="Arial" w:eastAsia="Calibri" w:hAnsi="Arial" w:cs="Arial"/>
          <w:b/>
          <w:bCs/>
          <w:i/>
          <w:color w:val="000000" w:themeColor="text1"/>
        </w:rPr>
        <w:t xml:space="preserve"> </w:t>
      </w:r>
      <w:r w:rsidRPr="004257EC">
        <w:rPr>
          <w:rFonts w:ascii="Arial" w:eastAsia="Calibri" w:hAnsi="Arial" w:cs="Arial"/>
          <w:b/>
          <w:bCs/>
          <w:i/>
          <w:color w:val="000000" w:themeColor="text1"/>
        </w:rPr>
        <w:t xml:space="preserve"> LA PARTE ACTORA Y   POR OFICIO A LAS AUTORIDADES DEMANDADAS</w:t>
      </w:r>
      <w:r w:rsidR="00635B8D" w:rsidRPr="004257EC">
        <w:rPr>
          <w:rFonts w:ascii="Arial" w:eastAsia="Calibri" w:hAnsi="Arial" w:cs="Arial"/>
          <w:b/>
          <w:bCs/>
          <w:i/>
          <w:color w:val="000000" w:themeColor="text1"/>
        </w:rPr>
        <w:t>. CÚMPLASE.”.- -</w:t>
      </w:r>
      <w:r w:rsidR="00635B8D">
        <w:rPr>
          <w:rFonts w:ascii="Arial" w:eastAsia="Calibri" w:hAnsi="Arial" w:cs="Arial"/>
          <w:bCs/>
          <w:i/>
          <w:color w:val="000000" w:themeColor="text1"/>
        </w:rPr>
        <w:t xml:space="preserve"> - - - - - - - - - - </w:t>
      </w:r>
      <w:r>
        <w:rPr>
          <w:rFonts w:ascii="Arial" w:eastAsia="Calibri" w:hAnsi="Arial" w:cs="Arial"/>
          <w:bCs/>
          <w:i/>
          <w:color w:val="000000" w:themeColor="text1"/>
        </w:rPr>
        <w:t>- - - - - - - - - - - - - - - - - - - - - - - -</w:t>
      </w:r>
    </w:p>
    <w:p w14:paraId="510C90B5" w14:textId="7C0DFFC1" w:rsidR="00635B8D" w:rsidRPr="00183EE9" w:rsidRDefault="00635B8D" w:rsidP="00A8622E">
      <w:pPr>
        <w:spacing w:after="0" w:line="360" w:lineRule="auto"/>
        <w:jc w:val="center"/>
        <w:rPr>
          <w:rFonts w:ascii="Arial" w:eastAsia="Times New Roman" w:hAnsi="Arial" w:cs="Arial"/>
          <w:b/>
          <w:bCs/>
          <w:sz w:val="26"/>
          <w:szCs w:val="26"/>
          <w:lang w:val="es-ES" w:eastAsia="es-ES"/>
        </w:rPr>
      </w:pPr>
      <w:r w:rsidRPr="00183EE9">
        <w:rPr>
          <w:rFonts w:ascii="Arial" w:eastAsia="Times New Roman" w:hAnsi="Arial" w:cs="Arial"/>
          <w:b/>
          <w:bCs/>
          <w:sz w:val="26"/>
          <w:szCs w:val="26"/>
          <w:lang w:val="es-ES" w:eastAsia="es-ES"/>
        </w:rPr>
        <w:t>C O N S I D E R A N D O</w:t>
      </w:r>
    </w:p>
    <w:p w14:paraId="6A185FB2" w14:textId="7B2FA21D" w:rsidR="00635B8D" w:rsidRDefault="00635B8D" w:rsidP="00635B8D">
      <w:pPr>
        <w:spacing w:after="120" w:line="360" w:lineRule="auto"/>
        <w:ind w:firstLine="708"/>
        <w:jc w:val="both"/>
        <w:rPr>
          <w:rFonts w:ascii="Arial" w:hAnsi="Arial" w:cs="Arial"/>
          <w:bCs/>
          <w:iCs/>
          <w:sz w:val="26"/>
          <w:szCs w:val="26"/>
          <w:lang w:eastAsia="es-ES"/>
        </w:rPr>
      </w:pPr>
      <w:r>
        <w:rPr>
          <w:rFonts w:ascii="Arial" w:hAnsi="Arial" w:cs="Arial"/>
          <w:b/>
          <w:bCs/>
          <w:iCs/>
          <w:sz w:val="26"/>
          <w:szCs w:val="26"/>
        </w:rPr>
        <w:t xml:space="preserve">PRIMERO. </w:t>
      </w:r>
      <w:r>
        <w:rPr>
          <w:rFonts w:ascii="Arial" w:hAnsi="Arial" w:cs="Arial"/>
          <w:bCs/>
          <w:iCs/>
          <w:sz w:val="26"/>
          <w:szCs w:val="26"/>
        </w:rPr>
        <w:t xml:space="preserve">Esta Sala Superior es competente para conocer del presente asunto, </w:t>
      </w:r>
      <w:r>
        <w:rPr>
          <w:rFonts w:ascii="Arial" w:hAnsi="Arial" w:cs="Arial"/>
          <w:bCs/>
          <w:iCs/>
          <w:sz w:val="26"/>
          <w:szCs w:val="26"/>
          <w:lang w:eastAsia="es-ES"/>
        </w:rPr>
        <w:t xml:space="preserve">de conformidad con lo dispuesto por los artículos 114 QUÁTER, Párrafo Tercero de la Constitución Política del Estado Libre y Soberano de Oaxaca; </w:t>
      </w:r>
      <w:r>
        <w:rPr>
          <w:rFonts w:ascii="Arial" w:hAnsi="Arial" w:cs="Arial"/>
          <w:bCs/>
          <w:iCs/>
          <w:sz w:val="26"/>
          <w:szCs w:val="26"/>
        </w:rPr>
        <w:t>1 párrafo segundo, 2 párrafos primero y cuarto, 4 fracción VIII, 23, 24 fracción I, 25 fracción I y 27 de la Ley Orgánica del Tribunal de Justicia Administrativa del Estado de Oaxaca, publicada en el Periódico Oficial del Estado de Oaxaca</w:t>
      </w:r>
      <w:r w:rsidR="00DB3A8A">
        <w:rPr>
          <w:rFonts w:ascii="Arial" w:hAnsi="Arial" w:cs="Arial"/>
          <w:bCs/>
          <w:iCs/>
          <w:sz w:val="26"/>
          <w:szCs w:val="26"/>
        </w:rPr>
        <w:t xml:space="preserve">, </w:t>
      </w:r>
      <w:r w:rsidR="00DB3A8A" w:rsidRPr="00455424">
        <w:rPr>
          <w:rFonts w:ascii="Arial" w:hAnsi="Arial" w:cs="Arial"/>
          <w:bCs/>
          <w:iCs/>
          <w:sz w:val="26"/>
          <w:szCs w:val="26"/>
        </w:rPr>
        <w:t>publicada en el Periódico Oficial del Estado de Oaxaca el siete de noviembre de</w:t>
      </w:r>
      <w:r w:rsidR="00DB3A8A">
        <w:rPr>
          <w:rFonts w:ascii="Arial" w:hAnsi="Arial" w:cs="Arial"/>
          <w:bCs/>
          <w:iCs/>
          <w:sz w:val="26"/>
          <w:szCs w:val="26"/>
        </w:rPr>
        <w:t xml:space="preserve"> </w:t>
      </w:r>
      <w:r w:rsidR="00DB3A8A" w:rsidRPr="00455424">
        <w:rPr>
          <w:rFonts w:ascii="Arial" w:hAnsi="Arial" w:cs="Arial"/>
          <w:bCs/>
          <w:iCs/>
          <w:sz w:val="26"/>
          <w:szCs w:val="26"/>
        </w:rPr>
        <w:t>dos mil diecinueve</w:t>
      </w:r>
      <w:r>
        <w:rPr>
          <w:rFonts w:ascii="Arial" w:hAnsi="Arial" w:cs="Arial"/>
          <w:bCs/>
          <w:iCs/>
          <w:sz w:val="26"/>
          <w:szCs w:val="26"/>
        </w:rPr>
        <w:t>; así como los numerales</w:t>
      </w:r>
      <w:r>
        <w:rPr>
          <w:rFonts w:ascii="Arial" w:hAnsi="Arial" w:cs="Arial"/>
          <w:bCs/>
          <w:iCs/>
          <w:sz w:val="26"/>
          <w:szCs w:val="26"/>
          <w:lang w:eastAsia="es-ES"/>
        </w:rPr>
        <w:t xml:space="preserve"> 1, 118, 119, 120, 123 segundo párrafo, 125, 130 fracción I, 131, 231, 236 fracción VII y 238 de la Ley de Procedimiento y Justicia Administrativa para el Estado de Oaxaca, dado que se trata de un Recurso de Revisión interpuesto en contra de la sentencia de </w:t>
      </w:r>
      <w:r>
        <w:rPr>
          <w:rFonts w:ascii="Arial" w:eastAsia="Calibri" w:hAnsi="Arial" w:cs="Arial"/>
          <w:sz w:val="26"/>
          <w:szCs w:val="26"/>
        </w:rPr>
        <w:t xml:space="preserve">fecha </w:t>
      </w:r>
      <w:r w:rsidR="002B4BEA" w:rsidRPr="003B30C0">
        <w:rPr>
          <w:rFonts w:ascii="Arial" w:eastAsia="Calibri" w:hAnsi="Arial" w:cs="Arial"/>
          <w:sz w:val="26"/>
          <w:szCs w:val="26"/>
        </w:rPr>
        <w:t>quince de diciembre</w:t>
      </w:r>
      <w:r w:rsidRPr="003B30C0">
        <w:rPr>
          <w:rFonts w:ascii="Arial" w:eastAsia="Calibri" w:hAnsi="Arial" w:cs="Arial"/>
          <w:sz w:val="26"/>
          <w:szCs w:val="26"/>
        </w:rPr>
        <w:t xml:space="preserve"> de dos mil veinte</w:t>
      </w:r>
      <w:r>
        <w:rPr>
          <w:rFonts w:ascii="Arial" w:eastAsia="Calibri" w:hAnsi="Arial" w:cs="Arial"/>
          <w:sz w:val="26"/>
          <w:szCs w:val="26"/>
        </w:rPr>
        <w:t xml:space="preserve">, dictada por </w:t>
      </w:r>
      <w:r w:rsidR="00900E97">
        <w:rPr>
          <w:rFonts w:ascii="Arial" w:eastAsia="Calibri" w:hAnsi="Arial" w:cs="Arial"/>
          <w:sz w:val="26"/>
          <w:szCs w:val="26"/>
        </w:rPr>
        <w:t>la</w:t>
      </w:r>
      <w:r>
        <w:rPr>
          <w:rFonts w:ascii="Arial" w:eastAsia="Calibri" w:hAnsi="Arial" w:cs="Arial"/>
          <w:sz w:val="26"/>
          <w:szCs w:val="26"/>
        </w:rPr>
        <w:t xml:space="preserve"> </w:t>
      </w:r>
      <w:r w:rsidR="00DB3A8A">
        <w:rPr>
          <w:rFonts w:ascii="Arial" w:eastAsia="Calibri" w:hAnsi="Arial" w:cs="Arial"/>
          <w:sz w:val="26"/>
          <w:szCs w:val="26"/>
        </w:rPr>
        <w:t>Tercera</w:t>
      </w:r>
      <w:r>
        <w:rPr>
          <w:rFonts w:ascii="Arial" w:eastAsia="Calibri" w:hAnsi="Arial" w:cs="Arial"/>
          <w:sz w:val="26"/>
          <w:szCs w:val="26"/>
        </w:rPr>
        <w:t xml:space="preserve"> Sala Unitaria de Primera Instancia de este Tribunal,</w:t>
      </w:r>
      <w:r>
        <w:rPr>
          <w:rFonts w:ascii="Arial" w:hAnsi="Arial" w:cs="Arial"/>
          <w:bCs/>
          <w:iCs/>
          <w:sz w:val="26"/>
          <w:szCs w:val="26"/>
          <w:lang w:eastAsia="es-ES"/>
        </w:rPr>
        <w:t xml:space="preserve"> en el juicio de nulidad </w:t>
      </w:r>
      <w:r w:rsidR="00DB3A8A">
        <w:rPr>
          <w:rFonts w:ascii="Arial" w:hAnsi="Arial" w:cs="Arial"/>
          <w:b/>
          <w:bCs/>
          <w:iCs/>
          <w:sz w:val="26"/>
          <w:szCs w:val="26"/>
          <w:lang w:eastAsia="es-ES"/>
        </w:rPr>
        <w:t>0003/2020.</w:t>
      </w:r>
      <w:r>
        <w:rPr>
          <w:rFonts w:ascii="Arial" w:hAnsi="Arial" w:cs="Arial"/>
          <w:bCs/>
          <w:iCs/>
          <w:sz w:val="26"/>
          <w:szCs w:val="26"/>
          <w:lang w:eastAsia="es-ES"/>
        </w:rPr>
        <w:t xml:space="preserve"> -</w:t>
      </w:r>
      <w:r w:rsidR="00420A2F">
        <w:rPr>
          <w:rFonts w:ascii="Arial" w:hAnsi="Arial" w:cs="Arial"/>
          <w:bCs/>
          <w:iCs/>
          <w:sz w:val="26"/>
          <w:szCs w:val="26"/>
          <w:lang w:eastAsia="es-ES"/>
        </w:rPr>
        <w:t xml:space="preserve"> -</w:t>
      </w:r>
      <w:r>
        <w:rPr>
          <w:rFonts w:ascii="Arial" w:hAnsi="Arial" w:cs="Arial"/>
          <w:bCs/>
          <w:iCs/>
          <w:sz w:val="26"/>
          <w:szCs w:val="26"/>
          <w:lang w:eastAsia="es-ES"/>
        </w:rPr>
        <w:t xml:space="preserve"> </w:t>
      </w:r>
      <w:r w:rsidR="00900E97">
        <w:rPr>
          <w:rFonts w:ascii="Arial" w:hAnsi="Arial" w:cs="Arial"/>
          <w:bCs/>
          <w:iCs/>
          <w:sz w:val="26"/>
          <w:szCs w:val="26"/>
          <w:lang w:eastAsia="es-ES"/>
        </w:rPr>
        <w:t xml:space="preserve">- - - - - - - - - - - - - - - - - - - - - - - - </w:t>
      </w:r>
      <w:r w:rsidR="00DB3A8A">
        <w:rPr>
          <w:rFonts w:ascii="Arial" w:hAnsi="Arial" w:cs="Arial"/>
          <w:bCs/>
          <w:iCs/>
          <w:sz w:val="26"/>
          <w:szCs w:val="26"/>
          <w:lang w:eastAsia="es-ES"/>
        </w:rPr>
        <w:t>- - - - - -</w:t>
      </w:r>
    </w:p>
    <w:p w14:paraId="441C17BD" w14:textId="131D7863" w:rsidR="00635B8D" w:rsidRDefault="00635B8D" w:rsidP="00635B8D">
      <w:pPr>
        <w:spacing w:line="360" w:lineRule="auto"/>
        <w:ind w:firstLine="708"/>
        <w:jc w:val="both"/>
        <w:rPr>
          <w:rFonts w:ascii="Arial" w:hAnsi="Arial" w:cs="Arial"/>
          <w:sz w:val="26"/>
          <w:szCs w:val="26"/>
        </w:rPr>
      </w:pPr>
      <w:r>
        <w:rPr>
          <w:rFonts w:ascii="Arial" w:hAnsi="Arial" w:cs="Arial"/>
          <w:b/>
          <w:bCs/>
          <w:sz w:val="26"/>
          <w:szCs w:val="26"/>
        </w:rPr>
        <w:t>SEGUNDO.</w:t>
      </w:r>
      <w:r>
        <w:rPr>
          <w:rFonts w:ascii="Arial" w:eastAsia="Calibri" w:hAnsi="Arial" w:cs="Arial"/>
          <w:bCs/>
          <w:sz w:val="26"/>
          <w:szCs w:val="26"/>
        </w:rPr>
        <w:t xml:space="preserve"> </w:t>
      </w:r>
      <w:r w:rsidR="00E22428">
        <w:rPr>
          <w:rFonts w:ascii="Arial" w:hAnsi="Arial" w:cs="Arial"/>
          <w:bCs/>
          <w:sz w:val="26"/>
          <w:szCs w:val="26"/>
        </w:rPr>
        <w:t>Los</w:t>
      </w:r>
      <w:r>
        <w:rPr>
          <w:rFonts w:ascii="Arial" w:hAnsi="Arial" w:cs="Arial"/>
          <w:bCs/>
          <w:sz w:val="26"/>
          <w:szCs w:val="26"/>
        </w:rPr>
        <w:t xml:space="preserve"> agravio</w:t>
      </w:r>
      <w:r w:rsidR="00E22428">
        <w:rPr>
          <w:rFonts w:ascii="Arial" w:hAnsi="Arial" w:cs="Arial"/>
          <w:bCs/>
          <w:sz w:val="26"/>
          <w:szCs w:val="26"/>
        </w:rPr>
        <w:t>s</w:t>
      </w:r>
      <w:r>
        <w:rPr>
          <w:rFonts w:ascii="Arial" w:hAnsi="Arial" w:cs="Arial"/>
          <w:bCs/>
          <w:sz w:val="26"/>
          <w:szCs w:val="26"/>
        </w:rPr>
        <w:t xml:space="preserve"> hech</w:t>
      </w:r>
      <w:r w:rsidRPr="003B30C0">
        <w:rPr>
          <w:rFonts w:ascii="Arial" w:hAnsi="Arial" w:cs="Arial"/>
          <w:bCs/>
          <w:sz w:val="26"/>
          <w:szCs w:val="26"/>
        </w:rPr>
        <w:t>o</w:t>
      </w:r>
      <w:r w:rsidR="00EC1685" w:rsidRPr="003B30C0">
        <w:rPr>
          <w:rFonts w:ascii="Arial" w:hAnsi="Arial" w:cs="Arial"/>
          <w:bCs/>
          <w:sz w:val="26"/>
          <w:szCs w:val="26"/>
        </w:rPr>
        <w:t>s</w:t>
      </w:r>
      <w:r>
        <w:rPr>
          <w:rFonts w:ascii="Arial" w:hAnsi="Arial" w:cs="Arial"/>
          <w:bCs/>
          <w:sz w:val="26"/>
          <w:szCs w:val="26"/>
        </w:rPr>
        <w:t xml:space="preserve"> valer se encuentra</w:t>
      </w:r>
      <w:r w:rsidR="00E22428">
        <w:rPr>
          <w:rFonts w:ascii="Arial" w:hAnsi="Arial" w:cs="Arial"/>
          <w:bCs/>
          <w:sz w:val="26"/>
          <w:szCs w:val="26"/>
        </w:rPr>
        <w:t>n</w:t>
      </w:r>
      <w:r>
        <w:rPr>
          <w:rFonts w:ascii="Arial" w:hAnsi="Arial" w:cs="Arial"/>
          <w:bCs/>
          <w:sz w:val="26"/>
          <w:szCs w:val="26"/>
        </w:rPr>
        <w:t xml:space="preserve"> expues</w:t>
      </w:r>
      <w:r w:rsidRPr="003B30C0">
        <w:rPr>
          <w:rFonts w:ascii="Arial" w:hAnsi="Arial" w:cs="Arial"/>
          <w:bCs/>
          <w:sz w:val="26"/>
          <w:szCs w:val="26"/>
        </w:rPr>
        <w:t>to</w:t>
      </w:r>
      <w:r w:rsidR="00EC1685" w:rsidRPr="003B30C0">
        <w:rPr>
          <w:rFonts w:ascii="Arial" w:hAnsi="Arial" w:cs="Arial"/>
          <w:bCs/>
          <w:sz w:val="26"/>
          <w:szCs w:val="26"/>
        </w:rPr>
        <w:t>s</w:t>
      </w:r>
      <w:r>
        <w:rPr>
          <w:rFonts w:ascii="Arial" w:hAnsi="Arial" w:cs="Arial"/>
          <w:bCs/>
          <w:sz w:val="26"/>
          <w:szCs w:val="26"/>
        </w:rPr>
        <w:t xml:space="preserve"> en el escrito </w:t>
      </w:r>
      <w:r w:rsidR="00917C56">
        <w:rPr>
          <w:rFonts w:ascii="Arial" w:hAnsi="Arial" w:cs="Arial"/>
          <w:bCs/>
          <w:sz w:val="26"/>
          <w:szCs w:val="26"/>
        </w:rPr>
        <w:t>de recurso de revisión</w:t>
      </w:r>
      <w:r w:rsidR="00E22428">
        <w:rPr>
          <w:rFonts w:ascii="Arial" w:hAnsi="Arial" w:cs="Arial"/>
          <w:bCs/>
          <w:sz w:val="26"/>
          <w:szCs w:val="26"/>
        </w:rPr>
        <w:t xml:space="preserve"> del recurrente</w:t>
      </w:r>
      <w:r>
        <w:rPr>
          <w:rFonts w:ascii="Arial" w:hAnsi="Arial" w:cs="Arial"/>
          <w:bCs/>
          <w:sz w:val="26"/>
          <w:szCs w:val="26"/>
        </w:rPr>
        <w:t>, por lo que no existe necesidad de transcrib</w:t>
      </w:r>
      <w:r w:rsidRPr="003B30C0">
        <w:rPr>
          <w:rFonts w:ascii="Arial" w:hAnsi="Arial" w:cs="Arial"/>
          <w:bCs/>
          <w:sz w:val="26"/>
          <w:szCs w:val="26"/>
        </w:rPr>
        <w:t>irlo</w:t>
      </w:r>
      <w:r w:rsidR="00EC1685" w:rsidRPr="003B30C0">
        <w:rPr>
          <w:rFonts w:ascii="Arial" w:hAnsi="Arial" w:cs="Arial"/>
          <w:bCs/>
          <w:sz w:val="26"/>
          <w:szCs w:val="26"/>
        </w:rPr>
        <w:t>s</w:t>
      </w:r>
      <w:r w:rsidRPr="003B30C0">
        <w:rPr>
          <w:rFonts w:ascii="Arial" w:hAnsi="Arial" w:cs="Arial"/>
          <w:bCs/>
          <w:sz w:val="26"/>
          <w:szCs w:val="26"/>
        </w:rPr>
        <w:t>,</w:t>
      </w:r>
      <w:r>
        <w:rPr>
          <w:rFonts w:ascii="Arial" w:hAnsi="Arial" w:cs="Arial"/>
          <w:bCs/>
          <w:sz w:val="26"/>
          <w:szCs w:val="26"/>
        </w:rPr>
        <w:t xml:space="preserve"> virtud a que ello no implica transgresión a derecho alguno </w:t>
      </w:r>
      <w:r w:rsidRPr="003B30C0">
        <w:rPr>
          <w:rFonts w:ascii="Arial" w:hAnsi="Arial" w:cs="Arial"/>
          <w:bCs/>
          <w:sz w:val="26"/>
          <w:szCs w:val="26"/>
        </w:rPr>
        <w:t>del</w:t>
      </w:r>
      <w:r w:rsidR="003B30C0">
        <w:rPr>
          <w:rFonts w:ascii="Arial" w:hAnsi="Arial" w:cs="Arial"/>
          <w:bCs/>
          <w:sz w:val="26"/>
          <w:szCs w:val="26"/>
        </w:rPr>
        <w:t xml:space="preserve"> </w:t>
      </w:r>
      <w:r>
        <w:rPr>
          <w:rFonts w:ascii="Arial" w:hAnsi="Arial" w:cs="Arial"/>
          <w:bCs/>
          <w:sz w:val="26"/>
          <w:szCs w:val="26"/>
        </w:rPr>
        <w:t>recurrente, como tampoco se vulnera disposición expresa que imponga tal obligación</w:t>
      </w:r>
      <w:r>
        <w:rPr>
          <w:rFonts w:ascii="Arial" w:hAnsi="Arial" w:cs="Arial"/>
          <w:sz w:val="26"/>
          <w:szCs w:val="26"/>
        </w:rPr>
        <w:t xml:space="preserve">. En apoyo a lo anterior, se invoca el </w:t>
      </w:r>
      <w:r w:rsidRPr="003B30C0">
        <w:rPr>
          <w:rFonts w:ascii="Arial" w:hAnsi="Arial" w:cs="Arial"/>
          <w:sz w:val="26"/>
          <w:szCs w:val="26"/>
        </w:rPr>
        <w:t>criterio</w:t>
      </w:r>
      <w:r>
        <w:rPr>
          <w:rFonts w:ascii="Arial" w:hAnsi="Arial" w:cs="Arial"/>
          <w:sz w:val="26"/>
          <w:szCs w:val="26"/>
        </w:rPr>
        <w:t xml:space="preserve"> Jurisprudencial</w:t>
      </w:r>
      <w:r>
        <w:rPr>
          <w:rFonts w:ascii="Arial" w:hAnsi="Arial" w:cs="Arial"/>
          <w:bCs/>
          <w:color w:val="000000"/>
          <w:sz w:val="26"/>
          <w:szCs w:val="26"/>
        </w:rPr>
        <w:t xml:space="preserve"> 2a./J. 58/2010 emiti</w:t>
      </w:r>
      <w:r w:rsidRPr="003B30C0">
        <w:rPr>
          <w:rFonts w:ascii="Arial" w:hAnsi="Arial" w:cs="Arial"/>
          <w:bCs/>
          <w:color w:val="000000"/>
          <w:sz w:val="26"/>
          <w:szCs w:val="26"/>
        </w:rPr>
        <w:t>d</w:t>
      </w:r>
      <w:r w:rsidR="002B4BEA">
        <w:rPr>
          <w:rFonts w:ascii="Arial" w:hAnsi="Arial" w:cs="Arial"/>
          <w:bCs/>
          <w:color w:val="000000"/>
          <w:sz w:val="26"/>
          <w:szCs w:val="26"/>
        </w:rPr>
        <w:t>o</w:t>
      </w:r>
      <w:r>
        <w:rPr>
          <w:rFonts w:ascii="Arial" w:hAnsi="Arial" w:cs="Arial"/>
          <w:bCs/>
          <w:color w:val="000000"/>
          <w:sz w:val="26"/>
          <w:szCs w:val="26"/>
        </w:rPr>
        <w:t xml:space="preserve"> por la Segunda Sala de la </w:t>
      </w:r>
      <w:r>
        <w:rPr>
          <w:rFonts w:ascii="Arial" w:hAnsi="Arial" w:cs="Arial"/>
          <w:bCs/>
          <w:color w:val="000000"/>
          <w:sz w:val="26"/>
          <w:szCs w:val="26"/>
        </w:rPr>
        <w:lastRenderedPageBreak/>
        <w:t>Suprema Corte de Justicia de la Nación, con número de registro 164618, publica</w:t>
      </w:r>
      <w:r w:rsidRPr="003B30C0">
        <w:rPr>
          <w:rFonts w:ascii="Arial" w:hAnsi="Arial" w:cs="Arial"/>
          <w:bCs/>
          <w:color w:val="000000"/>
          <w:sz w:val="26"/>
          <w:szCs w:val="26"/>
        </w:rPr>
        <w:t>d</w:t>
      </w:r>
      <w:r w:rsidR="002B4BEA">
        <w:rPr>
          <w:rFonts w:ascii="Arial" w:hAnsi="Arial" w:cs="Arial"/>
          <w:bCs/>
          <w:color w:val="000000"/>
          <w:sz w:val="26"/>
          <w:szCs w:val="26"/>
        </w:rPr>
        <w:t>o</w:t>
      </w:r>
      <w:r>
        <w:rPr>
          <w:rFonts w:ascii="Arial" w:hAnsi="Arial" w:cs="Arial"/>
          <w:bCs/>
          <w:color w:val="000000"/>
          <w:sz w:val="26"/>
          <w:szCs w:val="26"/>
        </w:rPr>
        <w:t xml:space="preserve"> en la Gaceta del Semanario Judicial de la Federación, Tomo XXXI, Mayo de 2010, visible a página 830, Novena Época, bajo el rubro y texto siguiente:- - -  - - - - - - - - - - - - - - - - - - - - - - - - - - - - - - - - - - - - -</w:t>
      </w:r>
    </w:p>
    <w:p w14:paraId="04C792F8" w14:textId="77777777" w:rsidR="00635B8D" w:rsidRDefault="00635B8D" w:rsidP="00635B8D">
      <w:pPr>
        <w:spacing w:after="120" w:line="360" w:lineRule="auto"/>
        <w:ind w:left="567" w:right="902"/>
        <w:jc w:val="both"/>
        <w:rPr>
          <w:rFonts w:ascii="Arial" w:eastAsia="Calibri" w:hAnsi="Arial" w:cs="Arial"/>
          <w:bCs/>
          <w:i/>
        </w:rPr>
      </w:pPr>
      <w:r w:rsidRPr="00886DB1">
        <w:rPr>
          <w:rFonts w:ascii="Arial" w:eastAsia="Calibri" w:hAnsi="Arial" w:cs="Arial"/>
          <w:b/>
          <w:bCs/>
          <w:i/>
        </w:rPr>
        <w:t xml:space="preserve">“CONCEPTOS DE VIOLACIÓN O AGRAVIOS. PARA CUMPLIR CON LOS PRINCIPIOS DE CONGRUENCIA Y EXHAUSTIVIDAD EN LAS SENTENCIAS DE AMPARO ES INNECESARIA SU TRANSCRIPCIÓN. </w:t>
      </w:r>
      <w:r w:rsidRPr="00886DB1">
        <w:rPr>
          <w:rFonts w:ascii="Arial" w:eastAsia="Calibri" w:hAnsi="Arial" w:cs="Arial"/>
          <w:bCs/>
          <w:i/>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r>
        <w:rPr>
          <w:rFonts w:ascii="Arial" w:eastAsia="Calibri" w:hAnsi="Arial" w:cs="Arial"/>
          <w:bCs/>
          <w:i/>
        </w:rPr>
        <w:t>- - - - - - - - - - - - - - - - - - - - - - - - - - - - - - - - - - - - - - - - - - - - - -</w:t>
      </w:r>
    </w:p>
    <w:p w14:paraId="7A52AFE0" w14:textId="148FE243" w:rsidR="00762D2E" w:rsidRDefault="00571114" w:rsidP="00635B8D">
      <w:pPr>
        <w:spacing w:after="120" w:line="360" w:lineRule="auto"/>
        <w:ind w:firstLine="709"/>
        <w:jc w:val="both"/>
        <w:rPr>
          <w:rFonts w:ascii="Arial" w:eastAsia="Calibri" w:hAnsi="Arial" w:cs="Arial"/>
          <w:bCs/>
          <w:sz w:val="26"/>
          <w:szCs w:val="26"/>
        </w:rPr>
      </w:pPr>
      <w:r>
        <w:rPr>
          <w:rFonts w:ascii="Arial" w:eastAsia="Calibri" w:hAnsi="Arial" w:cs="Arial"/>
          <w:b/>
          <w:bCs/>
          <w:sz w:val="26"/>
          <w:szCs w:val="26"/>
        </w:rPr>
        <w:t xml:space="preserve">TERCERO. </w:t>
      </w:r>
      <w:r>
        <w:rPr>
          <w:rFonts w:ascii="Arial" w:eastAsia="Calibri" w:hAnsi="Arial" w:cs="Arial"/>
          <w:bCs/>
          <w:sz w:val="26"/>
          <w:szCs w:val="26"/>
        </w:rPr>
        <w:t xml:space="preserve">Señala </w:t>
      </w:r>
      <w:r w:rsidR="00762D2E">
        <w:rPr>
          <w:rFonts w:ascii="Arial" w:eastAsia="Calibri" w:hAnsi="Arial" w:cs="Arial"/>
          <w:bCs/>
          <w:sz w:val="26"/>
          <w:szCs w:val="26"/>
        </w:rPr>
        <w:t xml:space="preserve">el </w:t>
      </w:r>
      <w:r w:rsidR="008A79DF">
        <w:rPr>
          <w:rFonts w:ascii="Arial" w:eastAsia="Calibri" w:hAnsi="Arial" w:cs="Arial"/>
          <w:bCs/>
          <w:sz w:val="26"/>
          <w:szCs w:val="26"/>
        </w:rPr>
        <w:t xml:space="preserve">recurrente </w:t>
      </w:r>
      <w:r w:rsidR="007B5930">
        <w:rPr>
          <w:rFonts w:ascii="Arial" w:eastAsia="Calibri" w:hAnsi="Arial" w:cs="Arial"/>
          <w:bCs/>
          <w:sz w:val="26"/>
          <w:szCs w:val="26"/>
        </w:rPr>
        <w:t xml:space="preserve">en su agravio </w:t>
      </w:r>
      <w:r w:rsidR="007B5930">
        <w:rPr>
          <w:rFonts w:ascii="Arial" w:eastAsia="Calibri" w:hAnsi="Arial" w:cs="Arial"/>
          <w:b/>
          <w:bCs/>
          <w:sz w:val="26"/>
          <w:szCs w:val="26"/>
        </w:rPr>
        <w:t xml:space="preserve">primero, </w:t>
      </w:r>
      <w:r w:rsidR="008A79DF">
        <w:rPr>
          <w:rFonts w:ascii="Arial" w:eastAsia="Calibri" w:hAnsi="Arial" w:cs="Arial"/>
          <w:bCs/>
          <w:sz w:val="26"/>
          <w:szCs w:val="26"/>
        </w:rPr>
        <w:t xml:space="preserve">que </w:t>
      </w:r>
      <w:r w:rsidR="008430F0">
        <w:rPr>
          <w:rFonts w:ascii="Arial" w:eastAsia="Calibri" w:hAnsi="Arial" w:cs="Arial"/>
          <w:bCs/>
          <w:sz w:val="26"/>
          <w:szCs w:val="26"/>
        </w:rPr>
        <w:t xml:space="preserve">le causa </w:t>
      </w:r>
      <w:r w:rsidR="007B5930">
        <w:rPr>
          <w:rFonts w:ascii="Arial" w:eastAsia="Calibri" w:hAnsi="Arial" w:cs="Arial"/>
          <w:bCs/>
          <w:sz w:val="26"/>
          <w:szCs w:val="26"/>
        </w:rPr>
        <w:t>perjuicio</w:t>
      </w:r>
      <w:r w:rsidR="008430F0">
        <w:rPr>
          <w:rFonts w:ascii="Arial" w:eastAsia="Calibri" w:hAnsi="Arial" w:cs="Arial"/>
          <w:bCs/>
          <w:sz w:val="26"/>
          <w:szCs w:val="26"/>
        </w:rPr>
        <w:t xml:space="preserve"> en forma parcial la sentencia de fecha quince de diciembre de dos mil veinte, en virtud de que si bien es cierto al momento de resolver, se declaró la nulidad del dictamen emitido por el Consejo Directivo de Pensiones del Gobierno del Estado de Oaxaca, contenido en el oficio OP/DG/1900/2019 de fecha diez de julio de dos mil diecinueve, signado por el Director General de la Oficina de Pensiones del Estado de Oaxaca, ordenando que </w:t>
      </w:r>
      <w:r w:rsidR="007B5930">
        <w:rPr>
          <w:rFonts w:ascii="Arial" w:eastAsia="Calibri" w:hAnsi="Arial" w:cs="Arial"/>
          <w:bCs/>
          <w:sz w:val="26"/>
          <w:szCs w:val="26"/>
        </w:rPr>
        <w:t>emitiera otro en su lugar, en el que además de la pensión otorgada al 100%, conceda las prestaciones precisadas en su resolución; sin embargo, refiere que no se determinó nada respecto al pago retroactivo del sueldo y demás prestaciones que le corresponden, de conformidad con el artículo 54 de la Ley de Pensiones para los Trabajadores del Gobierno del Estado, es decir, a partir del primero de enero de dos mil veinte, como lo solicitó en la parte relativa de su demanda</w:t>
      </w:r>
      <w:r w:rsidR="0082276D">
        <w:rPr>
          <w:rFonts w:ascii="Arial" w:eastAsia="Calibri" w:hAnsi="Arial" w:cs="Arial"/>
          <w:bCs/>
          <w:sz w:val="26"/>
          <w:szCs w:val="26"/>
        </w:rPr>
        <w:t xml:space="preserve">, -lo transcribe-.- - - - - - - - - - - -  - - - - - - - - - - </w:t>
      </w:r>
      <w:r w:rsidR="007B5930">
        <w:rPr>
          <w:rFonts w:ascii="Arial" w:eastAsia="Calibri" w:hAnsi="Arial" w:cs="Arial"/>
          <w:bCs/>
          <w:sz w:val="26"/>
          <w:szCs w:val="26"/>
        </w:rPr>
        <w:t xml:space="preserve"> </w:t>
      </w:r>
    </w:p>
    <w:p w14:paraId="4DAF6B48" w14:textId="38748A02" w:rsidR="00FF266A" w:rsidRDefault="00FF266A" w:rsidP="00635B8D">
      <w:pPr>
        <w:spacing w:after="120" w:line="360" w:lineRule="auto"/>
        <w:ind w:firstLine="709"/>
        <w:jc w:val="both"/>
        <w:rPr>
          <w:rFonts w:ascii="Arial" w:eastAsia="Calibri" w:hAnsi="Arial" w:cs="Arial"/>
          <w:bCs/>
          <w:sz w:val="26"/>
          <w:szCs w:val="26"/>
        </w:rPr>
      </w:pPr>
      <w:r>
        <w:rPr>
          <w:rFonts w:ascii="Arial" w:eastAsia="Calibri" w:hAnsi="Arial" w:cs="Arial"/>
          <w:bCs/>
          <w:sz w:val="26"/>
          <w:szCs w:val="26"/>
        </w:rPr>
        <w:lastRenderedPageBreak/>
        <w:t xml:space="preserve">Sigue explicando, que le causa perjuicios graves el actuar del resolutor, al haber omitido ordenar a la parte demandada, que también deberá realizar el pago de las cantidades faltantes que le corresponden, conforme al artículo 54 de la Ley de Pensiones para los Trabajadores del Estado, así como también el pago retroactivo del descuento a que se refieren los artículos </w:t>
      </w:r>
      <w:r w:rsidRPr="000E2CAD">
        <w:rPr>
          <w:rFonts w:ascii="Arial" w:eastAsia="Calibri" w:hAnsi="Arial" w:cs="Arial"/>
          <w:bCs/>
          <w:sz w:val="26"/>
          <w:szCs w:val="26"/>
        </w:rPr>
        <w:t>6, fracción III, 18, párrafo segundo y octavo transitorio</w:t>
      </w:r>
      <w:r>
        <w:rPr>
          <w:rFonts w:ascii="Arial" w:eastAsia="Calibri" w:hAnsi="Arial" w:cs="Arial"/>
          <w:bCs/>
          <w:sz w:val="26"/>
          <w:szCs w:val="26"/>
        </w:rPr>
        <w:t xml:space="preserve"> de la Ley de Pensiones para los Trabajadores del Estado de Oaxaca, en virtud de que </w:t>
      </w:r>
      <w:r w:rsidRPr="00051A31">
        <w:rPr>
          <w:rFonts w:ascii="Arial" w:eastAsia="Calibri" w:hAnsi="Arial" w:cs="Arial"/>
          <w:bCs/>
          <w:sz w:val="26"/>
          <w:szCs w:val="26"/>
        </w:rPr>
        <w:t>desde el mes de enero de dos mil veinte, se le empezó a pagar como jubilado y con la aplicación de las cuotas correspondientes,</w:t>
      </w:r>
      <w:r>
        <w:rPr>
          <w:rFonts w:ascii="Arial" w:eastAsia="Calibri" w:hAnsi="Arial" w:cs="Arial"/>
          <w:bCs/>
          <w:sz w:val="26"/>
          <w:szCs w:val="26"/>
        </w:rPr>
        <w:t xml:space="preserve"> por ello, indica que solic</w:t>
      </w:r>
      <w:r w:rsidRPr="003B30C0">
        <w:rPr>
          <w:rFonts w:ascii="Arial" w:eastAsia="Calibri" w:hAnsi="Arial" w:cs="Arial"/>
          <w:bCs/>
          <w:sz w:val="26"/>
          <w:szCs w:val="26"/>
        </w:rPr>
        <w:t>it</w:t>
      </w:r>
      <w:r w:rsidR="00587764" w:rsidRPr="003B30C0">
        <w:rPr>
          <w:rFonts w:ascii="Arial" w:eastAsia="Calibri" w:hAnsi="Arial" w:cs="Arial"/>
          <w:bCs/>
          <w:sz w:val="26"/>
          <w:szCs w:val="26"/>
        </w:rPr>
        <w:t>ó</w:t>
      </w:r>
      <w:r>
        <w:rPr>
          <w:rFonts w:ascii="Arial" w:eastAsia="Calibri" w:hAnsi="Arial" w:cs="Arial"/>
          <w:bCs/>
          <w:sz w:val="26"/>
          <w:szCs w:val="26"/>
        </w:rPr>
        <w:t xml:space="preserve"> la nulidad de la resolución contenida en el oficio OP/DG/1900/2019 de fecha nueve de julio de dos mil </w:t>
      </w:r>
      <w:r w:rsidRPr="00CB7E7F">
        <w:rPr>
          <w:rFonts w:ascii="Arial" w:eastAsia="Calibri" w:hAnsi="Arial" w:cs="Arial"/>
          <w:bCs/>
          <w:sz w:val="26"/>
          <w:szCs w:val="26"/>
        </w:rPr>
        <w:t>diecinueve.</w:t>
      </w:r>
      <w:r w:rsidR="0027251F">
        <w:rPr>
          <w:rFonts w:ascii="Arial" w:eastAsia="Calibri" w:hAnsi="Arial" w:cs="Arial"/>
          <w:bCs/>
          <w:sz w:val="26"/>
          <w:szCs w:val="26"/>
        </w:rPr>
        <w:t xml:space="preserve"> </w:t>
      </w:r>
      <w:r w:rsidR="000A0ED5">
        <w:rPr>
          <w:rFonts w:ascii="Arial" w:eastAsia="Calibri" w:hAnsi="Arial" w:cs="Arial"/>
          <w:bCs/>
          <w:sz w:val="26"/>
          <w:szCs w:val="26"/>
        </w:rPr>
        <w:t>- - - - - - - - - - - - - - - - - - - - - - - - - - - - - - - - - - - - - - - - -</w:t>
      </w:r>
    </w:p>
    <w:p w14:paraId="728F2C47" w14:textId="169C35F5" w:rsidR="000A0ED5" w:rsidRPr="00FF266A" w:rsidRDefault="000A0ED5" w:rsidP="00635B8D">
      <w:pPr>
        <w:spacing w:after="120" w:line="360" w:lineRule="auto"/>
        <w:ind w:firstLine="709"/>
        <w:jc w:val="both"/>
        <w:rPr>
          <w:rFonts w:ascii="Arial" w:eastAsia="Calibri" w:hAnsi="Arial" w:cs="Arial"/>
          <w:bCs/>
          <w:sz w:val="26"/>
          <w:szCs w:val="26"/>
        </w:rPr>
      </w:pPr>
      <w:r>
        <w:rPr>
          <w:rFonts w:ascii="Arial" w:eastAsia="Calibri" w:hAnsi="Arial" w:cs="Arial"/>
          <w:bCs/>
          <w:sz w:val="26"/>
          <w:szCs w:val="26"/>
        </w:rPr>
        <w:t>Arguye que si bien es cierto la citada resolución fue declar</w:t>
      </w:r>
      <w:r w:rsidRPr="003B30C0">
        <w:rPr>
          <w:rFonts w:ascii="Arial" w:eastAsia="Calibri" w:hAnsi="Arial" w:cs="Arial"/>
          <w:bCs/>
          <w:sz w:val="26"/>
          <w:szCs w:val="26"/>
        </w:rPr>
        <w:t>a</w:t>
      </w:r>
      <w:r w:rsidR="00587764" w:rsidRPr="003B30C0">
        <w:rPr>
          <w:rFonts w:ascii="Arial" w:eastAsia="Calibri" w:hAnsi="Arial" w:cs="Arial"/>
          <w:bCs/>
          <w:sz w:val="26"/>
          <w:szCs w:val="26"/>
        </w:rPr>
        <w:t>da</w:t>
      </w:r>
      <w:r>
        <w:rPr>
          <w:rFonts w:ascii="Arial" w:eastAsia="Calibri" w:hAnsi="Arial" w:cs="Arial"/>
          <w:bCs/>
          <w:sz w:val="26"/>
          <w:szCs w:val="26"/>
        </w:rPr>
        <w:t xml:space="preserve"> nula mediante sentencia de quince de diciembre de dos mil veinte, y se ordenó aplicar el artículo 54 de la Ley de Pensiones para los Trabajadores del Estado de Oaxaca, como consecuencia de ello, también se debió ordenar la reintegración de las cantidades faltantes a partir del mes de enero de dos mil veinte, hasta la </w:t>
      </w:r>
      <w:r w:rsidRPr="00051A31">
        <w:rPr>
          <w:rFonts w:ascii="Arial" w:eastAsia="Calibri" w:hAnsi="Arial" w:cs="Arial"/>
          <w:bCs/>
          <w:sz w:val="26"/>
          <w:szCs w:val="26"/>
        </w:rPr>
        <w:t>fecha en que se le notifique la sentencia a la autoridad demandada, así como la reintegración del pago de cuotas que le ha estado aplicando también a partir de la cita</w:t>
      </w:r>
      <w:r w:rsidR="00180D6E" w:rsidRPr="00051A31">
        <w:rPr>
          <w:rFonts w:ascii="Arial" w:eastAsia="Calibri" w:hAnsi="Arial" w:cs="Arial"/>
          <w:bCs/>
          <w:sz w:val="26"/>
          <w:szCs w:val="26"/>
        </w:rPr>
        <w:t>da</w:t>
      </w:r>
      <w:r w:rsidRPr="00051A31">
        <w:rPr>
          <w:rFonts w:ascii="Arial" w:eastAsia="Calibri" w:hAnsi="Arial" w:cs="Arial"/>
          <w:bCs/>
          <w:sz w:val="26"/>
          <w:szCs w:val="26"/>
        </w:rPr>
        <w:t xml:space="preserve"> fecha</w:t>
      </w:r>
      <w:r w:rsidR="00460BAE" w:rsidRPr="00140C01">
        <w:rPr>
          <w:rFonts w:ascii="Arial" w:eastAsia="Calibri" w:hAnsi="Arial" w:cs="Arial"/>
          <w:bCs/>
          <w:sz w:val="26"/>
          <w:szCs w:val="26"/>
        </w:rPr>
        <w:t>;</w:t>
      </w:r>
      <w:r w:rsidR="00460BAE">
        <w:rPr>
          <w:rFonts w:ascii="Arial" w:eastAsia="Calibri" w:hAnsi="Arial" w:cs="Arial"/>
          <w:bCs/>
          <w:sz w:val="26"/>
          <w:szCs w:val="26"/>
        </w:rPr>
        <w:t xml:space="preserve">  por tanto, manifiesta que con dicha actuación, la Sala Unitaria viola en su </w:t>
      </w:r>
      <w:r w:rsidR="00460BAE" w:rsidRPr="006F083F">
        <w:rPr>
          <w:rFonts w:ascii="Arial" w:eastAsia="Calibri" w:hAnsi="Arial" w:cs="Arial"/>
          <w:bCs/>
          <w:sz w:val="26"/>
          <w:szCs w:val="26"/>
        </w:rPr>
        <w:t>perjuicio lo</w:t>
      </w:r>
      <w:r w:rsidR="00460BAE">
        <w:rPr>
          <w:rFonts w:ascii="Arial" w:eastAsia="Calibri" w:hAnsi="Arial" w:cs="Arial"/>
          <w:bCs/>
          <w:sz w:val="26"/>
          <w:szCs w:val="26"/>
        </w:rPr>
        <w:t>s artículos 1, 14, 16 y 17 párrafo segundo de la Constitución Federal, ya que no le dio la protección más amplia, ni el acceso a la justicia completa y la aplicación obligatoria de la jurisprudencia. - - - - - - - - - - - - - - - - - - - - - - - - - - - - - - - - - - - - - - - -</w:t>
      </w:r>
    </w:p>
    <w:p w14:paraId="43ACC02D" w14:textId="5E5F8100" w:rsidR="00140C01" w:rsidRDefault="00140C01" w:rsidP="00140C01">
      <w:pPr>
        <w:spacing w:after="120" w:line="360" w:lineRule="auto"/>
        <w:ind w:firstLine="709"/>
        <w:jc w:val="both"/>
        <w:rPr>
          <w:rFonts w:ascii="Arial" w:eastAsia="Calibri" w:hAnsi="Arial" w:cs="Arial"/>
          <w:bCs/>
          <w:sz w:val="26"/>
          <w:szCs w:val="26"/>
        </w:rPr>
      </w:pPr>
      <w:r>
        <w:rPr>
          <w:rFonts w:ascii="Arial" w:eastAsia="Calibri" w:hAnsi="Arial" w:cs="Arial"/>
          <w:bCs/>
          <w:sz w:val="26"/>
          <w:szCs w:val="26"/>
        </w:rPr>
        <w:t xml:space="preserve">Señala el recurrente en su agravio </w:t>
      </w:r>
      <w:r>
        <w:rPr>
          <w:rFonts w:ascii="Arial" w:eastAsia="Calibri" w:hAnsi="Arial" w:cs="Arial"/>
          <w:b/>
          <w:bCs/>
          <w:sz w:val="26"/>
          <w:szCs w:val="26"/>
        </w:rPr>
        <w:t xml:space="preserve">primero, </w:t>
      </w:r>
      <w:r>
        <w:rPr>
          <w:rFonts w:ascii="Arial" w:eastAsia="Calibri" w:hAnsi="Arial" w:cs="Arial"/>
          <w:bCs/>
          <w:sz w:val="26"/>
          <w:szCs w:val="26"/>
        </w:rPr>
        <w:t xml:space="preserve">que le causa perjuicio en forma parcial la sentencia de fecha quince de diciembre de dos mil veinte, en virtud de que si bien es cierto al momento de resolver, se declaró la nulidad del dictamen emitido por el Consejo Directivo de Pensiones del Gobierno del Estado de Oaxaca, contenido en el oficio OP/DG/1900/2019 de fecha diez de julio de dos mil diecinueve, signado por el Director General de la Oficina de Pensiones del Estado de Oaxaca, ordenando que emitiera otro en su lugar, en el que además de la pensión otorgada al 100%, conceda las prestaciones precisadas en su resolución; sin embargo, refiere que no se determinó nada respecto al pago retroactivo del sueldo y demás prestaciones que le corresponden, de conformidad con el artículo 54 de la Ley de Pensiones para los Trabajadores del Gobierno del Estado, es decir, a partir del </w:t>
      </w:r>
      <w:r>
        <w:rPr>
          <w:rFonts w:ascii="Arial" w:eastAsia="Calibri" w:hAnsi="Arial" w:cs="Arial"/>
          <w:bCs/>
          <w:sz w:val="26"/>
          <w:szCs w:val="26"/>
        </w:rPr>
        <w:lastRenderedPageBreak/>
        <w:t>primero de enero de dos mil veinte, como lo solicitó en la parte relativa de su demanda, -lo transcribe-.- - - - - - - - - - - -  - - - - - - - - - -  - - - - - - -</w:t>
      </w:r>
    </w:p>
    <w:p w14:paraId="55555A95" w14:textId="77777777" w:rsidR="00140C01" w:rsidRDefault="00140C01" w:rsidP="00140C01">
      <w:pPr>
        <w:spacing w:after="120" w:line="360" w:lineRule="auto"/>
        <w:ind w:firstLine="709"/>
        <w:jc w:val="both"/>
        <w:rPr>
          <w:rFonts w:ascii="Arial" w:eastAsia="Calibri" w:hAnsi="Arial" w:cs="Arial"/>
          <w:bCs/>
          <w:sz w:val="26"/>
          <w:szCs w:val="26"/>
        </w:rPr>
      </w:pPr>
      <w:r>
        <w:rPr>
          <w:rFonts w:ascii="Arial" w:eastAsia="Calibri" w:hAnsi="Arial" w:cs="Arial"/>
          <w:bCs/>
          <w:sz w:val="26"/>
          <w:szCs w:val="26"/>
        </w:rPr>
        <w:t xml:space="preserve">En su agravio </w:t>
      </w:r>
      <w:r>
        <w:rPr>
          <w:rFonts w:ascii="Arial" w:eastAsia="Calibri" w:hAnsi="Arial" w:cs="Arial"/>
          <w:b/>
          <w:bCs/>
          <w:sz w:val="26"/>
          <w:szCs w:val="26"/>
        </w:rPr>
        <w:t xml:space="preserve">segundo </w:t>
      </w:r>
      <w:r>
        <w:rPr>
          <w:rFonts w:ascii="Arial" w:eastAsia="Calibri" w:hAnsi="Arial" w:cs="Arial"/>
          <w:bCs/>
          <w:sz w:val="26"/>
          <w:szCs w:val="26"/>
        </w:rPr>
        <w:t xml:space="preserve">expone, que le causa perjuicio la sentencia recurrida, en la parte relativa al 9% de cuota que le descuenta la oficina de pensiones, al señalar el encargado de la Sala Unitaria, lo siguiente: </w:t>
      </w:r>
      <w:r>
        <w:rPr>
          <w:rFonts w:ascii="Arial" w:eastAsia="Calibri" w:hAnsi="Arial" w:cs="Arial"/>
          <w:b/>
          <w:bCs/>
          <w:i/>
        </w:rPr>
        <w:t>“lo cierto es que dicho descuento no formó parte de la Litis en este asunto, además esta autoridad desconoce si el actor ha promovido, diverso para la eliminación de dicho descuento, por lo que de no ser el caso, quedan a salvo sus derechos para promover lo que a sus intereses convenga respecto al referido descuento”.</w:t>
      </w:r>
      <w:r>
        <w:rPr>
          <w:rFonts w:ascii="Arial" w:eastAsia="Calibri" w:hAnsi="Arial" w:cs="Arial"/>
          <w:bCs/>
          <w:sz w:val="26"/>
          <w:szCs w:val="26"/>
        </w:rPr>
        <w:t xml:space="preserve"> - - - - - - - - - - - - - - - - - - - - - - - - - - - - - - - - - - - - - - </w:t>
      </w:r>
    </w:p>
    <w:p w14:paraId="4680F6F9" w14:textId="77777777" w:rsidR="00140C01" w:rsidRDefault="00140C01" w:rsidP="00140C01">
      <w:pPr>
        <w:spacing w:after="120" w:line="360" w:lineRule="auto"/>
        <w:ind w:firstLine="709"/>
        <w:jc w:val="both"/>
        <w:rPr>
          <w:rFonts w:ascii="Arial" w:eastAsia="Calibri" w:hAnsi="Arial" w:cs="Arial"/>
          <w:b/>
          <w:bCs/>
          <w:i/>
        </w:rPr>
      </w:pPr>
      <w:r>
        <w:rPr>
          <w:rFonts w:ascii="Arial" w:eastAsia="Calibri" w:hAnsi="Arial" w:cs="Arial"/>
          <w:bCs/>
          <w:sz w:val="26"/>
          <w:szCs w:val="26"/>
        </w:rPr>
        <w:t xml:space="preserve">Indica que resulta errónea dicha determinación, toda vez que en su demanda manifestó: </w:t>
      </w:r>
      <w:r w:rsidRPr="00051A31">
        <w:rPr>
          <w:rFonts w:ascii="Arial" w:eastAsia="Calibri" w:hAnsi="Arial" w:cs="Arial"/>
          <w:b/>
          <w:bCs/>
          <w:i/>
        </w:rPr>
        <w:t>“</w:t>
      </w:r>
      <w:r w:rsidRPr="00051A31">
        <w:rPr>
          <w:rFonts w:ascii="Arial" w:eastAsia="Calibri" w:hAnsi="Arial" w:cs="Arial"/>
          <w:bCs/>
          <w:i/>
        </w:rPr>
        <w:t xml:space="preserve">desde luego estas prestaciones me deberán ser cubiertas desde el primer momento en que se me pague mi pensión como jubilado del gobierno del Estado, es decir a partir del primero de enero del año 2020 pago que se me realizará el día 31 de enero de 2020 hasta la fecha en que se resuelva mi petición en forma retroactiva, pues desde esa fecha se me discrimina, no pagándome dichas prestaciones como si hubiera sido de trabajador de base </w:t>
      </w:r>
      <w:r w:rsidRPr="00051A31">
        <w:rPr>
          <w:rFonts w:ascii="Arial" w:eastAsia="Calibri" w:hAnsi="Arial" w:cs="Arial"/>
          <w:b/>
          <w:bCs/>
          <w:i/>
        </w:rPr>
        <w:t>y sin la aplicación del descuento</w:t>
      </w:r>
      <w:r>
        <w:rPr>
          <w:rFonts w:ascii="Arial" w:eastAsia="Calibri" w:hAnsi="Arial" w:cs="Arial"/>
          <w:b/>
          <w:bCs/>
          <w:i/>
        </w:rPr>
        <w:t xml:space="preserve"> a que se refieren los artículos 6, fracción III, 18, párrafo segundo y octavo transitorio de la ley relativa, por haber sido declarados inconvencionales e inconstitucionales en los términos apuntados, al incumplir con el requisito de validez del acto administrativo obliga la fracción V, del artículo 7 de la Ley de Justicia Administrativa para el Estado de Oaxaca…”- - - -</w:t>
      </w:r>
    </w:p>
    <w:p w14:paraId="5C8F7710" w14:textId="77777777" w:rsidR="00140C01" w:rsidRDefault="00140C01" w:rsidP="00140C01">
      <w:pPr>
        <w:spacing w:after="120" w:line="360" w:lineRule="auto"/>
        <w:ind w:firstLine="709"/>
        <w:jc w:val="both"/>
        <w:rPr>
          <w:rFonts w:ascii="Arial" w:eastAsia="Calibri" w:hAnsi="Arial" w:cs="Arial"/>
          <w:bCs/>
          <w:sz w:val="26"/>
          <w:szCs w:val="26"/>
        </w:rPr>
      </w:pPr>
      <w:r>
        <w:rPr>
          <w:rFonts w:ascii="Arial" w:eastAsia="Calibri" w:hAnsi="Arial" w:cs="Arial"/>
          <w:bCs/>
          <w:sz w:val="26"/>
          <w:szCs w:val="26"/>
        </w:rPr>
        <w:t xml:space="preserve">Refiere que la Sala de Primera Instancia, no tomó en cuenta que los </w:t>
      </w:r>
      <w:r w:rsidRPr="000E2CAD">
        <w:rPr>
          <w:rFonts w:ascii="Arial" w:eastAsia="Calibri" w:hAnsi="Arial" w:cs="Arial"/>
          <w:bCs/>
          <w:sz w:val="26"/>
          <w:szCs w:val="26"/>
        </w:rPr>
        <w:t>artículos 6, fracción III, 18, párrafo segundo y octavo transitorio</w:t>
      </w:r>
      <w:r>
        <w:rPr>
          <w:rFonts w:ascii="Arial" w:eastAsia="Calibri" w:hAnsi="Arial" w:cs="Arial"/>
          <w:bCs/>
          <w:sz w:val="26"/>
          <w:szCs w:val="26"/>
        </w:rPr>
        <w:t xml:space="preserve"> de la Ley de Pensiones para los Trabajadores del Estado de Oaxaca, fueron declarados inconvencionales e inconstitucionales, al desatender los artículos 26, numeral 3 y 67 inciso b), del convenio número 102 de Organización Internacional del Trabajo y violar el derecho humano a la igualdad y legalidad obtenida, tal como lo sustenta la Jurisprudencia con número de registro 2007629, de rubro: “</w:t>
      </w:r>
      <w:r w:rsidRPr="00FB57E7">
        <w:rPr>
          <w:rFonts w:ascii="Arial" w:eastAsia="Calibri" w:hAnsi="Arial" w:cs="Arial"/>
          <w:b/>
          <w:bCs/>
          <w:i/>
        </w:rPr>
        <w:t xml:space="preserve">PENSIONES PARA LOS TRABAJADORES DEL GOBIERNO DEL ESTADO DE OAXACA. LOS ARTÍCULOS 6, FRACCIÓN III, 18, PÁRRAFO SEGUNDO Y OCTAVO TRANSITORIO DE LA LEY RELATIVA, QUE DISPONEN QUE QUIENES ADQUIERAN EL </w:t>
      </w:r>
      <w:r>
        <w:rPr>
          <w:rFonts w:ascii="Arial" w:eastAsia="Calibri" w:hAnsi="Arial" w:cs="Arial"/>
          <w:b/>
          <w:bCs/>
          <w:i/>
        </w:rPr>
        <w:t xml:space="preserve">CARÁCTER DE JUBILADOS DEBEN APORTAR EL 9% DE SU PENSIÓN PARA INCREMENTAR EL FONDO RESPECTIVO, SON INCONVENCIONALES E INCONSTITUCIONALES, AL DESATENDER LOS ARTÍCULOS 26, NUMERAL 3 Y 67, INCISO B) DEL CONVENIO NÚMERO 102 DE LA ORGANIZACIÓN INTERNACIONAL DEL TRABAJO Y VIOLAR EL DERECHO HUMANO A LA IGUALDAD.” </w:t>
      </w:r>
      <w:r>
        <w:rPr>
          <w:rFonts w:ascii="Arial" w:eastAsia="Calibri" w:hAnsi="Arial" w:cs="Arial"/>
          <w:bCs/>
          <w:sz w:val="26"/>
          <w:szCs w:val="26"/>
        </w:rPr>
        <w:t>- - - - - - - - - - - - - - - - - - - - - - - - - - - - - - - - - - - - - - - - - - - -</w:t>
      </w:r>
    </w:p>
    <w:p w14:paraId="06D77B08" w14:textId="77777777" w:rsidR="00140C01" w:rsidRDefault="00140C01" w:rsidP="00140C01">
      <w:pPr>
        <w:spacing w:after="120" w:line="360" w:lineRule="auto"/>
        <w:ind w:firstLine="709"/>
        <w:jc w:val="both"/>
        <w:rPr>
          <w:rFonts w:ascii="Arial" w:eastAsia="Calibri" w:hAnsi="Arial" w:cs="Arial"/>
          <w:bCs/>
          <w:sz w:val="26"/>
          <w:szCs w:val="26"/>
        </w:rPr>
      </w:pPr>
      <w:r>
        <w:rPr>
          <w:rFonts w:ascii="Arial" w:eastAsia="Calibri" w:hAnsi="Arial" w:cs="Arial"/>
          <w:bCs/>
          <w:sz w:val="26"/>
          <w:szCs w:val="26"/>
        </w:rPr>
        <w:lastRenderedPageBreak/>
        <w:t xml:space="preserve">Por tanto, manifiesta que al haber omitido la aplicación de la citada Jurisprudencia, le causa perjuicio grave en su persona y economía, haciendo nugatorio el acceso a la justicia pronta, expedita y completitud, justificando su determinación que desconoce si ha promovido juicio diverso, siendo omiso en tomar en cuenta su petición primigenia.- - - - - </w:t>
      </w:r>
    </w:p>
    <w:p w14:paraId="139789B2" w14:textId="1A2D413E" w:rsidR="00140C01" w:rsidRDefault="00140C01" w:rsidP="00140C01">
      <w:pPr>
        <w:spacing w:after="120" w:line="360" w:lineRule="auto"/>
        <w:ind w:firstLine="709"/>
        <w:jc w:val="both"/>
        <w:rPr>
          <w:rFonts w:ascii="Arial" w:eastAsia="Calibri" w:hAnsi="Arial" w:cs="Arial"/>
          <w:bCs/>
          <w:sz w:val="26"/>
          <w:szCs w:val="26"/>
        </w:rPr>
      </w:pPr>
      <w:r>
        <w:rPr>
          <w:rFonts w:ascii="Arial" w:eastAsia="Calibri" w:hAnsi="Arial" w:cs="Arial"/>
          <w:bCs/>
          <w:sz w:val="26"/>
          <w:szCs w:val="26"/>
        </w:rPr>
        <w:t xml:space="preserve">Sigue explicando, que le causa perjuicios graves el actuar del resolutor, al haber omitido ordenar a la parte demandada, que también deberá realizar el pago de las cantidades faltantes que le corresponden, conforme al artículo 54 de la Ley de Pensiones para los Trabajadores del Estado, así como también el pago retroactivo del descuento a que se refieren los artículos </w:t>
      </w:r>
      <w:r w:rsidRPr="000E2CAD">
        <w:rPr>
          <w:rFonts w:ascii="Arial" w:eastAsia="Calibri" w:hAnsi="Arial" w:cs="Arial"/>
          <w:bCs/>
          <w:sz w:val="26"/>
          <w:szCs w:val="26"/>
        </w:rPr>
        <w:t>6, fracción III, 18, párrafo segundo y octavo transitorio</w:t>
      </w:r>
      <w:r>
        <w:rPr>
          <w:rFonts w:ascii="Arial" w:eastAsia="Calibri" w:hAnsi="Arial" w:cs="Arial"/>
          <w:bCs/>
          <w:sz w:val="26"/>
          <w:szCs w:val="26"/>
        </w:rPr>
        <w:t xml:space="preserve"> de la Ley de Pensiones para los Trabajadores del Estado de Oaxaca, en virtud de que desde el mes de enero de dos mil veinte, se le empezó a pagar como jubilado y con la aplicación de las cuotas correspondientes, por ello, indica que </w:t>
      </w:r>
      <w:r w:rsidRPr="00EB041C">
        <w:rPr>
          <w:rFonts w:ascii="Arial" w:eastAsia="Calibri" w:hAnsi="Arial" w:cs="Arial"/>
          <w:bCs/>
          <w:sz w:val="26"/>
          <w:szCs w:val="26"/>
        </w:rPr>
        <w:t>solicit</w:t>
      </w:r>
      <w:r w:rsidR="005837A5" w:rsidRPr="00EB041C">
        <w:rPr>
          <w:rFonts w:ascii="Arial" w:eastAsia="Calibri" w:hAnsi="Arial" w:cs="Arial"/>
          <w:bCs/>
          <w:sz w:val="26"/>
          <w:szCs w:val="26"/>
        </w:rPr>
        <w:t>ó</w:t>
      </w:r>
      <w:r>
        <w:rPr>
          <w:rFonts w:ascii="Arial" w:eastAsia="Calibri" w:hAnsi="Arial" w:cs="Arial"/>
          <w:bCs/>
          <w:sz w:val="26"/>
          <w:szCs w:val="26"/>
        </w:rPr>
        <w:t xml:space="preserve"> la nulidad de la resolución contenida en el oficio OP/DG/1900/2019 de fecha nueve de julio de dos mil </w:t>
      </w:r>
      <w:r w:rsidRPr="00CB7E7F">
        <w:rPr>
          <w:rFonts w:ascii="Arial" w:eastAsia="Calibri" w:hAnsi="Arial" w:cs="Arial"/>
          <w:bCs/>
          <w:sz w:val="26"/>
          <w:szCs w:val="26"/>
        </w:rPr>
        <w:t>diecinueve.</w:t>
      </w:r>
      <w:r>
        <w:rPr>
          <w:rFonts w:ascii="Arial" w:eastAsia="Calibri" w:hAnsi="Arial" w:cs="Arial"/>
          <w:bCs/>
          <w:sz w:val="26"/>
          <w:szCs w:val="26"/>
        </w:rPr>
        <w:t xml:space="preserve"> - - - - - - - - - - - - - - - - - - - - - - - - - - - - - - - - - - - - - - - - -</w:t>
      </w:r>
    </w:p>
    <w:p w14:paraId="378A3673" w14:textId="77777777" w:rsidR="00140C01" w:rsidRPr="00FF266A" w:rsidRDefault="00140C01" w:rsidP="00140C01">
      <w:pPr>
        <w:spacing w:after="120" w:line="360" w:lineRule="auto"/>
        <w:ind w:firstLine="709"/>
        <w:jc w:val="both"/>
        <w:rPr>
          <w:rFonts w:ascii="Arial" w:eastAsia="Calibri" w:hAnsi="Arial" w:cs="Arial"/>
          <w:bCs/>
          <w:sz w:val="26"/>
          <w:szCs w:val="26"/>
        </w:rPr>
      </w:pPr>
      <w:r>
        <w:rPr>
          <w:rFonts w:ascii="Arial" w:eastAsia="Calibri" w:hAnsi="Arial" w:cs="Arial"/>
          <w:bCs/>
          <w:sz w:val="26"/>
          <w:szCs w:val="26"/>
        </w:rPr>
        <w:t>Arguye que si bien es cierto la citada resolución fue declara nula mediante sentencia de quince de diciembre de dos mil veinte, y se ordenó aplicar el artículo 54 de la Ley de Pensiones para los Trabajadores del Estado de Oaxaca, como consecuencia de ello, también se debió ordenar la reintegración de las cantidades faltantes a partir del mes de enero de dos mil veinte, hasta la fecha en que se le notifique la sentencia a la autoridad demandada, así como la reintegración del pago de cuotas que le ha estado aplicando también a partir de la cita fecha;  por tanto, manifiesta que con dicha actuación, la Sala Unitaria viola en su perjuicios los artículos 1, 14, 16 y 17 párrafo segundo de la Constitución Federal, ya que no le dio la protección más amplia, ni el acceso a la justicia completa y la aplicación obligatoria de la jurisprudencia. - - - - - - - - - - - - - - - - - - - - - - - - - - - - - - - - - - - - - - - -</w:t>
      </w:r>
    </w:p>
    <w:p w14:paraId="6EDA889D" w14:textId="1745F9AB" w:rsidR="00762D2E" w:rsidRPr="00F41CAF" w:rsidRDefault="00762D2E" w:rsidP="00E05309">
      <w:pPr>
        <w:spacing w:before="120" w:after="0" w:line="360" w:lineRule="auto"/>
        <w:ind w:firstLine="708"/>
        <w:jc w:val="both"/>
        <w:rPr>
          <w:rFonts w:ascii="Arial" w:hAnsi="Arial" w:cs="Arial"/>
          <w:bCs/>
          <w:color w:val="000000"/>
          <w:sz w:val="26"/>
          <w:szCs w:val="26"/>
        </w:rPr>
      </w:pPr>
      <w:r w:rsidRPr="00035632">
        <w:rPr>
          <w:rFonts w:ascii="Arial" w:hAnsi="Arial" w:cs="Arial"/>
          <w:b/>
          <w:color w:val="000000"/>
          <w:sz w:val="26"/>
          <w:szCs w:val="26"/>
        </w:rPr>
        <w:t>Ahora bien</w:t>
      </w:r>
      <w:r>
        <w:rPr>
          <w:rFonts w:ascii="Arial" w:hAnsi="Arial" w:cs="Arial"/>
          <w:bCs/>
          <w:color w:val="000000"/>
          <w:sz w:val="26"/>
          <w:szCs w:val="26"/>
        </w:rPr>
        <w:t>, del</w:t>
      </w:r>
      <w:r>
        <w:rPr>
          <w:rFonts w:ascii="Arial" w:hAnsi="Arial" w:cs="Arial"/>
          <w:b/>
          <w:bCs/>
          <w:sz w:val="26"/>
          <w:szCs w:val="26"/>
        </w:rPr>
        <w:t xml:space="preserve"> </w:t>
      </w:r>
      <w:r w:rsidRPr="00F41CAF">
        <w:rPr>
          <w:rFonts w:ascii="Arial" w:hAnsi="Arial" w:cs="Arial"/>
          <w:bCs/>
          <w:sz w:val="26"/>
          <w:szCs w:val="26"/>
        </w:rPr>
        <w:t>análisis de las constancia de autos</w:t>
      </w:r>
      <w:r>
        <w:rPr>
          <w:rFonts w:ascii="Arial" w:hAnsi="Arial" w:cs="Arial"/>
          <w:bCs/>
          <w:sz w:val="26"/>
          <w:szCs w:val="26"/>
        </w:rPr>
        <w:t xml:space="preserve"> </w:t>
      </w:r>
      <w:r w:rsidRPr="00F41CAF">
        <w:rPr>
          <w:rFonts w:ascii="Arial" w:hAnsi="Arial" w:cs="Arial"/>
          <w:bCs/>
          <w:sz w:val="26"/>
          <w:szCs w:val="26"/>
        </w:rPr>
        <w:t xml:space="preserve">remitidas para la solución del presente asunto, </w:t>
      </w:r>
      <w:r w:rsidR="006248BC">
        <w:rPr>
          <w:rFonts w:ascii="Arial" w:hAnsi="Arial" w:cs="Arial"/>
          <w:bCs/>
          <w:sz w:val="26"/>
          <w:szCs w:val="26"/>
        </w:rPr>
        <w:t>con</w:t>
      </w:r>
      <w:r w:rsidRPr="00F41CAF">
        <w:rPr>
          <w:rFonts w:ascii="Arial" w:hAnsi="Arial" w:cs="Arial"/>
          <w:bCs/>
          <w:sz w:val="26"/>
          <w:szCs w:val="26"/>
        </w:rPr>
        <w:t xml:space="preserve"> valor probatorio </w:t>
      </w:r>
      <w:r w:rsidR="006248BC">
        <w:rPr>
          <w:rFonts w:ascii="Arial" w:hAnsi="Arial" w:cs="Arial"/>
          <w:bCs/>
          <w:sz w:val="26"/>
          <w:szCs w:val="26"/>
        </w:rPr>
        <w:t xml:space="preserve">pleno </w:t>
      </w:r>
      <w:r w:rsidRPr="00F41CAF">
        <w:rPr>
          <w:rFonts w:ascii="Arial" w:hAnsi="Arial" w:cs="Arial"/>
          <w:bCs/>
          <w:sz w:val="26"/>
          <w:szCs w:val="26"/>
        </w:rPr>
        <w:t xml:space="preserve">en términos del artículo </w:t>
      </w:r>
      <w:r w:rsidR="006248BC">
        <w:rPr>
          <w:rFonts w:ascii="Arial" w:hAnsi="Arial" w:cs="Arial"/>
          <w:bCs/>
          <w:sz w:val="26"/>
          <w:szCs w:val="26"/>
        </w:rPr>
        <w:t>203</w:t>
      </w:r>
      <w:r w:rsidR="00E05309" w:rsidRPr="00F41CAF">
        <w:rPr>
          <w:rFonts w:ascii="Arial" w:hAnsi="Arial" w:cs="Arial"/>
          <w:bCs/>
          <w:sz w:val="26"/>
          <w:szCs w:val="26"/>
        </w:rPr>
        <w:t xml:space="preserve"> fracción I</w:t>
      </w:r>
      <w:r w:rsidR="00E05309">
        <w:rPr>
          <w:rStyle w:val="Refdenotaalpie"/>
          <w:rFonts w:ascii="Arial" w:hAnsi="Arial" w:cs="Arial"/>
          <w:bCs/>
          <w:sz w:val="26"/>
          <w:szCs w:val="26"/>
        </w:rPr>
        <w:footnoteReference w:id="1"/>
      </w:r>
      <w:r w:rsidR="00E05309" w:rsidRPr="00F41CAF">
        <w:rPr>
          <w:rFonts w:ascii="Arial" w:hAnsi="Arial" w:cs="Arial"/>
          <w:bCs/>
          <w:sz w:val="26"/>
          <w:szCs w:val="26"/>
        </w:rPr>
        <w:t xml:space="preserve"> </w:t>
      </w:r>
      <w:r w:rsidRPr="00F41CAF">
        <w:rPr>
          <w:rFonts w:ascii="Arial" w:hAnsi="Arial" w:cs="Arial"/>
          <w:bCs/>
          <w:sz w:val="26"/>
          <w:szCs w:val="26"/>
        </w:rPr>
        <w:t xml:space="preserve">de la Ley de </w:t>
      </w:r>
      <w:r w:rsidR="006248BC">
        <w:rPr>
          <w:rFonts w:ascii="Arial" w:hAnsi="Arial" w:cs="Arial"/>
          <w:bCs/>
          <w:sz w:val="26"/>
          <w:szCs w:val="26"/>
        </w:rPr>
        <w:t xml:space="preserve">Procedimiento y </w:t>
      </w:r>
      <w:r w:rsidRPr="00F41CAF">
        <w:rPr>
          <w:rFonts w:ascii="Arial" w:hAnsi="Arial" w:cs="Arial"/>
          <w:bCs/>
          <w:sz w:val="26"/>
          <w:szCs w:val="26"/>
        </w:rPr>
        <w:t xml:space="preserve">Justicia </w:t>
      </w:r>
      <w:r w:rsidRPr="00F41CAF">
        <w:rPr>
          <w:rFonts w:ascii="Arial" w:hAnsi="Arial" w:cs="Arial"/>
          <w:bCs/>
          <w:sz w:val="26"/>
          <w:szCs w:val="26"/>
        </w:rPr>
        <w:lastRenderedPageBreak/>
        <w:t xml:space="preserve">Administrativa </w:t>
      </w:r>
      <w:r w:rsidRPr="00F41CAF">
        <w:rPr>
          <w:rFonts w:ascii="Arial" w:hAnsi="Arial" w:cs="Arial"/>
          <w:bCs/>
          <w:color w:val="000000"/>
          <w:sz w:val="26"/>
          <w:szCs w:val="26"/>
        </w:rPr>
        <w:t xml:space="preserve">para el Estado de Oaxaca, se advierte de la sentencia  </w:t>
      </w:r>
      <w:r w:rsidR="006248BC">
        <w:rPr>
          <w:rFonts w:ascii="Arial" w:hAnsi="Arial" w:cs="Arial"/>
          <w:bCs/>
          <w:color w:val="000000"/>
          <w:sz w:val="26"/>
          <w:szCs w:val="26"/>
        </w:rPr>
        <w:t>recurrida</w:t>
      </w:r>
      <w:r w:rsidRPr="00F41CAF">
        <w:rPr>
          <w:rFonts w:ascii="Arial" w:hAnsi="Arial" w:cs="Arial"/>
          <w:bCs/>
          <w:color w:val="000000"/>
          <w:sz w:val="26"/>
          <w:szCs w:val="26"/>
        </w:rPr>
        <w:t>, lo siguiente:- - - - - - - - - - - - - - - - - - - - - - - - - - - - -</w:t>
      </w:r>
      <w:r>
        <w:rPr>
          <w:rFonts w:ascii="Arial" w:hAnsi="Arial" w:cs="Arial"/>
          <w:bCs/>
          <w:color w:val="000000"/>
          <w:sz w:val="26"/>
          <w:szCs w:val="26"/>
        </w:rPr>
        <w:t xml:space="preserve"> - </w:t>
      </w:r>
      <w:r w:rsidR="006248BC">
        <w:rPr>
          <w:rFonts w:ascii="Arial" w:hAnsi="Arial" w:cs="Arial"/>
          <w:bCs/>
          <w:color w:val="000000"/>
          <w:sz w:val="26"/>
          <w:szCs w:val="26"/>
        </w:rPr>
        <w:t xml:space="preserve">- - - - - - </w:t>
      </w:r>
    </w:p>
    <w:p w14:paraId="2CD81362" w14:textId="77777777" w:rsidR="00035632" w:rsidRDefault="00762D2E" w:rsidP="00B32943">
      <w:pPr>
        <w:pStyle w:val="Sinespaciado"/>
      </w:pPr>
      <w:r w:rsidRPr="00F41CAF">
        <w:tab/>
      </w:r>
    </w:p>
    <w:p w14:paraId="50B7EF63" w14:textId="427C1255" w:rsidR="00762D2E" w:rsidRDefault="00762D2E" w:rsidP="00E05309">
      <w:pPr>
        <w:spacing w:before="120" w:after="0" w:line="360" w:lineRule="auto"/>
        <w:ind w:left="851" w:right="1325"/>
        <w:jc w:val="both"/>
        <w:rPr>
          <w:rFonts w:ascii="Arial" w:hAnsi="Arial" w:cs="Arial"/>
          <w:bCs/>
          <w:i/>
          <w:color w:val="000000"/>
        </w:rPr>
      </w:pPr>
      <w:r w:rsidRPr="00F41CAF">
        <w:rPr>
          <w:rFonts w:ascii="Arial" w:hAnsi="Arial" w:cs="Arial"/>
          <w:bCs/>
          <w:i/>
          <w:color w:val="000000"/>
        </w:rPr>
        <w:t>“</w:t>
      </w:r>
      <w:r>
        <w:rPr>
          <w:rFonts w:ascii="Arial" w:hAnsi="Arial" w:cs="Arial"/>
          <w:b/>
          <w:bCs/>
          <w:i/>
          <w:color w:val="000000"/>
        </w:rPr>
        <w:t>SEXTO</w:t>
      </w:r>
      <w:r w:rsidRPr="00F41CAF">
        <w:rPr>
          <w:rFonts w:ascii="Arial" w:hAnsi="Arial" w:cs="Arial"/>
          <w:b/>
          <w:bCs/>
          <w:i/>
          <w:color w:val="000000"/>
        </w:rPr>
        <w:t xml:space="preserve">.- </w:t>
      </w:r>
      <w:r w:rsidRPr="00697046">
        <w:rPr>
          <w:rFonts w:ascii="Arial" w:hAnsi="Arial" w:cs="Arial"/>
          <w:bCs/>
          <w:i/>
          <w:color w:val="000000"/>
        </w:rPr>
        <w:t>[…]</w:t>
      </w:r>
    </w:p>
    <w:p w14:paraId="4DA81A0C" w14:textId="0F81C861" w:rsidR="00E05309" w:rsidRDefault="00762D2E" w:rsidP="005B5D4C">
      <w:pPr>
        <w:spacing w:before="120" w:after="0" w:line="360" w:lineRule="auto"/>
        <w:ind w:left="851" w:right="902"/>
        <w:jc w:val="both"/>
        <w:rPr>
          <w:rFonts w:ascii="Arial" w:hAnsi="Arial" w:cs="Arial"/>
          <w:bCs/>
          <w:i/>
          <w:color w:val="000000"/>
        </w:rPr>
      </w:pPr>
      <w:r>
        <w:rPr>
          <w:rFonts w:ascii="Arial" w:hAnsi="Arial" w:cs="Arial"/>
          <w:bCs/>
          <w:i/>
          <w:color w:val="000000"/>
        </w:rPr>
        <w:t xml:space="preserve">   … </w:t>
      </w:r>
      <w:r w:rsidR="00433817">
        <w:rPr>
          <w:rFonts w:ascii="Arial" w:hAnsi="Arial" w:cs="Arial"/>
          <w:bCs/>
          <w:i/>
          <w:color w:val="000000"/>
        </w:rPr>
        <w:t xml:space="preserve">para asegurar la primacía y aplicación efectiva de los derechos humanos establecidos en la Constitución Política de los Estados Unidos Mexicanos y en los Tratados Internacionales de los cuáles el Estado Mexicano es parte, en virtud del reformado texto del artículo 1 Constitucional, que impone a todas las autoridades del Estado Mexicano la obligación de respetar, proteger y garantizar los derechos humanos reconocidos en dichos ordenamientos jurídicos, este Juzgador considera que para establecer la protección del derecho a la seguridad social de la actora (sic), dispuesto en el artículo 123, Apartado B, fracciones XI y XIV, de la Ley Suprema, y de la legislación internacional ya referida, lo procedente es </w:t>
      </w:r>
      <w:r w:rsidR="00433817">
        <w:rPr>
          <w:rFonts w:ascii="Arial" w:hAnsi="Arial" w:cs="Arial"/>
          <w:b/>
          <w:bCs/>
          <w:i/>
          <w:color w:val="000000"/>
        </w:rPr>
        <w:t xml:space="preserve">INAPLICAR </w:t>
      </w:r>
      <w:r w:rsidR="00433817">
        <w:rPr>
          <w:rFonts w:ascii="Arial" w:hAnsi="Arial" w:cs="Arial"/>
          <w:bCs/>
          <w:i/>
          <w:color w:val="000000"/>
        </w:rPr>
        <w:t xml:space="preserve">la disposición del artículo 54 fracción I de la Ley de Pensiones para los Trabajadores del Estado de Oaxaca, </w:t>
      </w:r>
      <w:r w:rsidR="005B5D4C">
        <w:rPr>
          <w:rFonts w:ascii="Arial" w:hAnsi="Arial" w:cs="Arial"/>
          <w:bCs/>
          <w:i/>
          <w:color w:val="000000"/>
        </w:rPr>
        <w:t xml:space="preserve">en lo relativo a que únicamente considera las prestaciones de previsión social múltiple, despensa, vida cara, quinquenios, aguinaldo, estímulo del día del jubilado, y canasta navideña, para los trabajadores de base, </w:t>
      </w:r>
      <w:r w:rsidR="005B5D4C">
        <w:rPr>
          <w:rFonts w:ascii="Arial" w:hAnsi="Arial" w:cs="Arial"/>
          <w:b/>
          <w:bCs/>
          <w:i/>
          <w:color w:val="000000"/>
        </w:rPr>
        <w:t xml:space="preserve">por lo que </w:t>
      </w:r>
      <w:r w:rsidR="005B5D4C">
        <w:rPr>
          <w:rFonts w:ascii="Arial" w:hAnsi="Arial" w:cs="Arial"/>
          <w:bCs/>
          <w:i/>
          <w:color w:val="000000"/>
        </w:rPr>
        <w:t xml:space="preserve">se ordena a la autoridad demandada, conceder dichas prestaciones al actor </w:t>
      </w:r>
      <w:r w:rsidR="00523F88">
        <w:rPr>
          <w:rFonts w:ascii="Arial" w:hAnsi="Arial" w:cs="Arial"/>
          <w:b/>
          <w:sz w:val="26"/>
          <w:szCs w:val="26"/>
        </w:rPr>
        <w:t>***********</w:t>
      </w:r>
      <w:r w:rsidR="005B5D4C">
        <w:rPr>
          <w:rFonts w:ascii="Arial" w:hAnsi="Arial" w:cs="Arial"/>
          <w:bCs/>
          <w:i/>
          <w:color w:val="000000"/>
        </w:rPr>
        <w:t>, evitando la discriminación.</w:t>
      </w:r>
    </w:p>
    <w:p w14:paraId="77A00B15" w14:textId="7D5FD723" w:rsidR="005B5D4C" w:rsidRDefault="005B5D4C" w:rsidP="005B5D4C">
      <w:pPr>
        <w:spacing w:before="120" w:after="0" w:line="360" w:lineRule="auto"/>
        <w:ind w:left="851" w:right="902"/>
        <w:jc w:val="both"/>
        <w:rPr>
          <w:rFonts w:ascii="Arial" w:hAnsi="Arial" w:cs="Arial"/>
          <w:bCs/>
          <w:i/>
          <w:color w:val="000000"/>
        </w:rPr>
      </w:pPr>
      <w:r>
        <w:rPr>
          <w:rFonts w:ascii="Arial" w:hAnsi="Arial" w:cs="Arial"/>
          <w:bCs/>
          <w:i/>
          <w:color w:val="000000"/>
        </w:rPr>
        <w:tab/>
        <w:t xml:space="preserve">Si bien es cierto que en el dictamen en estudio, este resolutor advierte que el Consejo Directivo de Pensiones, ordenó el descuento del 9% de la pensión otorgada al actor, por concepto de cuota al fondo de pensiones, en base a los artículos 6 fracción IV, 18 párrafo segundo y Transitorio Octavo, todos de la Ley de Pensiones para los Trabajadores del Gobierno de Oaxaca (sic), </w:t>
      </w:r>
      <w:r>
        <w:rPr>
          <w:rFonts w:ascii="Arial" w:hAnsi="Arial" w:cs="Arial"/>
          <w:b/>
          <w:bCs/>
          <w:i/>
          <w:color w:val="000000"/>
        </w:rPr>
        <w:t xml:space="preserve">artículos que fueron considerados violatorios del derecho humano a la seguridad social </w:t>
      </w:r>
      <w:r>
        <w:rPr>
          <w:rFonts w:ascii="Arial" w:hAnsi="Arial" w:cs="Arial"/>
          <w:bCs/>
          <w:i/>
          <w:color w:val="000000"/>
        </w:rPr>
        <w:t xml:space="preserve">por el más alto Tribunal de este País, mediante Jurisprudencia visible en la Gaceta del Semanario Judicial de la Federación, Libro 11, Octubre de 2014, Tomo III, Décima Época, pág. 2512, Registro 2007629, Jurisprudencia Constitucional, Tribunales Colegiados de Circuito, y de rubro: “PENSIONES PARA LOS TRABAJADORES DEL GOBIERNO DEL ESTADO DE OAXACA. LOS ARTÍCULOS 6, FRACCIÓN III, 18, PÁRRAFO SEGUNDO Y OCTAVO TRANSITORIO DE LA LEY RELATIVA, QUE DISPONEN QUE QUIENES ADQUIERAN EL CARÁCTER DE JUBILADOS DEBEN APORTAR EL 9% DE SU PENSIÓN PARA INCREMENTAR EL FONDO RESPECTIVO, SON INCONVENCIONALES E INCONSTITUCIOALES, AL DESATENDER LOS ARTÍCULOS 26, NUMERAL 3 Y 67, INCISO B), DEL CONVENIO NÚMERO 102 DE LA ORGANIZACIÓN </w:t>
      </w:r>
      <w:r>
        <w:rPr>
          <w:rFonts w:ascii="Arial" w:hAnsi="Arial" w:cs="Arial"/>
          <w:bCs/>
          <w:i/>
          <w:color w:val="000000"/>
        </w:rPr>
        <w:lastRenderedPageBreak/>
        <w:t>INTERNACIONAL DEL TRABAJO Y VIOLAR EL DERECHO HUMANO A LA IGUALDAD.”; lo cierto es, que dicho descuento no formó parte de la Litis en este asunto, además esta autoridad desconoce si el actor ha promovido juicio diverso para la eliminación de dicho descuento, por lo que de no ser el caso, quedan a salvo sus derechos para promover lo que a sus intereses convenga respecto al referido descuento.</w:t>
      </w:r>
    </w:p>
    <w:p w14:paraId="31574E33" w14:textId="08A57AFB" w:rsidR="005B5D4C" w:rsidRDefault="005B5D4C" w:rsidP="005B5D4C">
      <w:pPr>
        <w:spacing w:before="120" w:after="0" w:line="360" w:lineRule="auto"/>
        <w:ind w:left="851" w:right="902"/>
        <w:jc w:val="both"/>
        <w:rPr>
          <w:rFonts w:ascii="Arial" w:hAnsi="Arial" w:cs="Arial"/>
          <w:bCs/>
          <w:i/>
          <w:color w:val="000000"/>
        </w:rPr>
      </w:pPr>
      <w:r>
        <w:rPr>
          <w:rFonts w:ascii="Arial" w:hAnsi="Arial" w:cs="Arial"/>
          <w:bCs/>
          <w:i/>
          <w:color w:val="000000"/>
        </w:rPr>
        <w:tab/>
        <w:t xml:space="preserve">Sirve de apoyo a las anteriores consideraciones, las Jurisprudencias con datos de identificación: </w:t>
      </w:r>
    </w:p>
    <w:p w14:paraId="59B17A16" w14:textId="6486388F" w:rsidR="005B5D4C" w:rsidRDefault="005B5D4C" w:rsidP="005B5D4C">
      <w:pPr>
        <w:spacing w:before="120" w:after="0" w:line="360" w:lineRule="auto"/>
        <w:ind w:left="851" w:right="902"/>
        <w:jc w:val="both"/>
        <w:rPr>
          <w:rFonts w:ascii="Arial" w:hAnsi="Arial" w:cs="Arial"/>
          <w:bCs/>
          <w:i/>
          <w:color w:val="000000"/>
        </w:rPr>
      </w:pPr>
      <w:r>
        <w:rPr>
          <w:rFonts w:ascii="Arial" w:hAnsi="Arial" w:cs="Arial"/>
          <w:bCs/>
          <w:i/>
          <w:color w:val="000000"/>
        </w:rPr>
        <w:tab/>
        <w:t>Tomo I, Constitucional 3. Derechos Fundamentales, Primera Parte-SCJN, Vigésima Segunda, Sección-Derechos laborales, Novena Época, pág. 2169, registro 1012200, Segunda Sala, y de rubro: “TRABAJADORES DE CONFIANZA AL SERVICIO DEL ESTADO. AUQUE NO GOZAN DEL DERECHO A LA ESTABILIDAD EN EL EMPLEO, EL ARTÍCULO 123</w:t>
      </w:r>
      <w:r w:rsidR="00EB1997">
        <w:rPr>
          <w:rFonts w:ascii="Arial" w:hAnsi="Arial" w:cs="Arial"/>
          <w:bCs/>
          <w:i/>
          <w:color w:val="000000"/>
        </w:rPr>
        <w:t xml:space="preserve"> APARTADO B, FRACCIÓN XIV, DE LA CONSTITUCIÓN POLÍTICA DE LOS ESTADOS UNIDOS MEXICANOS, LES OTORGA DERECHOS DE PROTECCIÓN AL SALARIO Y DE SEGURIDAD SOCIAL.”</w:t>
      </w:r>
    </w:p>
    <w:p w14:paraId="0C34A064" w14:textId="1E9A57DD" w:rsidR="00EB1997" w:rsidRDefault="00EB1997" w:rsidP="005B5D4C">
      <w:pPr>
        <w:spacing w:before="120" w:after="0" w:line="360" w:lineRule="auto"/>
        <w:ind w:left="851" w:right="902"/>
        <w:jc w:val="both"/>
        <w:rPr>
          <w:rFonts w:ascii="Arial" w:hAnsi="Arial" w:cs="Arial"/>
          <w:bCs/>
          <w:i/>
          <w:color w:val="000000"/>
        </w:rPr>
      </w:pPr>
      <w:r>
        <w:rPr>
          <w:rFonts w:ascii="Arial" w:hAnsi="Arial" w:cs="Arial"/>
          <w:bCs/>
          <w:i/>
          <w:color w:val="000000"/>
        </w:rPr>
        <w:tab/>
        <w:t>Gaceta del Semanario Judicial de la Federación, Libro 63, Febrero de 2019, Tomo I, Décima Época- 980, registro 2019325, Jurisprudencia Constitucional, Común, Segunda Sala, y de rubro: “PRINCIPIO DE PROGRESIVIDAD DE LOS DERECHOS HUMANOS SU NATURALEZA Y FUNCIÓN EN EL ESTADO MEXICANO.”; y,</w:t>
      </w:r>
    </w:p>
    <w:p w14:paraId="64BC15B9" w14:textId="07BFBFA4" w:rsidR="00EB1997" w:rsidRDefault="00EB1997" w:rsidP="005B5D4C">
      <w:pPr>
        <w:spacing w:before="120" w:after="0" w:line="360" w:lineRule="auto"/>
        <w:ind w:left="851" w:right="902"/>
        <w:jc w:val="both"/>
        <w:rPr>
          <w:rFonts w:ascii="Arial" w:hAnsi="Arial" w:cs="Arial"/>
          <w:bCs/>
          <w:i/>
          <w:color w:val="000000"/>
        </w:rPr>
      </w:pPr>
      <w:r>
        <w:rPr>
          <w:rFonts w:ascii="Arial" w:hAnsi="Arial" w:cs="Arial"/>
          <w:bCs/>
          <w:i/>
          <w:color w:val="000000"/>
        </w:rPr>
        <w:tab/>
        <w:t>Semanario Judicial de la Federación y su Gaceta, Libro XV, Diciembre de 2012, Tomo 1, Décima época, pág. 420, registro 2002264, Jurisprudencia Común, Primera Sala, y de rubro: “CONTROL DE CONSTITUCIONALIDAD Y DE CONVENCIONALIDAD (REFORMA CONSTITUCIONAL DE 10 DE JUNIO DE 2011)”;</w:t>
      </w:r>
      <w:r w:rsidR="00091F9D">
        <w:rPr>
          <w:rFonts w:ascii="Arial" w:hAnsi="Arial" w:cs="Arial"/>
          <w:bCs/>
          <w:i/>
          <w:color w:val="000000"/>
        </w:rPr>
        <w:t xml:space="preserve"> </w:t>
      </w:r>
      <w:r>
        <w:rPr>
          <w:rFonts w:ascii="Arial" w:hAnsi="Arial" w:cs="Arial"/>
          <w:bCs/>
          <w:i/>
          <w:color w:val="000000"/>
        </w:rPr>
        <w:t>y la Tesis identificada en el Semanario J</w:t>
      </w:r>
      <w:r w:rsidR="00E56648">
        <w:rPr>
          <w:rFonts w:ascii="Arial" w:hAnsi="Arial" w:cs="Arial"/>
          <w:bCs/>
          <w:i/>
          <w:color w:val="000000"/>
        </w:rPr>
        <w:t>udicial</w:t>
      </w:r>
      <w:r>
        <w:rPr>
          <w:rFonts w:ascii="Arial" w:hAnsi="Arial" w:cs="Arial"/>
          <w:bCs/>
          <w:i/>
          <w:color w:val="000000"/>
        </w:rPr>
        <w:t xml:space="preserve"> de la Federación y su G</w:t>
      </w:r>
      <w:r w:rsidR="00091F9D">
        <w:rPr>
          <w:rFonts w:ascii="Arial" w:hAnsi="Arial" w:cs="Arial"/>
          <w:bCs/>
          <w:i/>
          <w:color w:val="000000"/>
        </w:rPr>
        <w:t xml:space="preserve">aceta, Libro III, Diciembre de 2011, Tomo 1, Décima Época, pág. 552, registro </w:t>
      </w:r>
      <w:r w:rsidR="004B231D">
        <w:rPr>
          <w:rFonts w:ascii="Arial" w:hAnsi="Arial" w:cs="Arial"/>
          <w:bCs/>
          <w:i/>
          <w:color w:val="000000"/>
        </w:rPr>
        <w:t>160525, Tesis Aislada Constitucional, Pleno, y de rubro: “PASOS A SEGUIR EN EL CONTROL DE CONSTITUCIONALIDAD Y CONVENCIONALIDAD EX OFFICIO EN MATERIA DE DERECHOS HUMANOS.”</w:t>
      </w:r>
    </w:p>
    <w:p w14:paraId="64532112" w14:textId="133336F0" w:rsidR="004B231D" w:rsidRDefault="004B231D" w:rsidP="00107ED5">
      <w:pPr>
        <w:spacing w:before="120" w:after="0" w:line="360" w:lineRule="auto"/>
        <w:ind w:left="851" w:right="902"/>
        <w:jc w:val="both"/>
        <w:rPr>
          <w:rFonts w:ascii="Arial" w:hAnsi="Arial" w:cs="Arial"/>
          <w:bCs/>
          <w:i/>
          <w:color w:val="000000"/>
        </w:rPr>
      </w:pPr>
      <w:r>
        <w:rPr>
          <w:rFonts w:ascii="Arial" w:hAnsi="Arial" w:cs="Arial"/>
          <w:bCs/>
          <w:i/>
          <w:color w:val="000000"/>
        </w:rPr>
        <w:tab/>
      </w:r>
      <w:r w:rsidR="008F0E3B">
        <w:rPr>
          <w:rFonts w:ascii="Arial" w:hAnsi="Arial" w:cs="Arial"/>
          <w:bCs/>
          <w:i/>
          <w:color w:val="000000"/>
        </w:rPr>
        <w:t xml:space="preserve">En relatadas consideraciones, se declara la </w:t>
      </w:r>
      <w:r w:rsidR="008F0E3B">
        <w:rPr>
          <w:rFonts w:ascii="Arial" w:hAnsi="Arial" w:cs="Arial"/>
          <w:b/>
          <w:bCs/>
          <w:i/>
          <w:color w:val="000000"/>
        </w:rPr>
        <w:t xml:space="preserve">NULIDAD </w:t>
      </w:r>
      <w:r w:rsidR="008F0E3B">
        <w:rPr>
          <w:rFonts w:ascii="Arial" w:hAnsi="Arial" w:cs="Arial"/>
          <w:bCs/>
          <w:i/>
          <w:color w:val="000000"/>
        </w:rPr>
        <w:t xml:space="preserve">del oficio OP/DG/1900/2019, de fecha diez de julio de dos mil diecinueve (10/07/2019), emitido por el Director General de la Oficina de Pensiones del Estado de Oaxaca, así como el dictamen de pensión por jubilación emitido por el Consejo Directivo de Pensiones en esa propia fecha, para el </w:t>
      </w:r>
      <w:r w:rsidR="008F0E3B">
        <w:rPr>
          <w:rFonts w:ascii="Arial" w:hAnsi="Arial" w:cs="Arial"/>
          <w:b/>
          <w:bCs/>
          <w:i/>
          <w:color w:val="000000"/>
        </w:rPr>
        <w:t xml:space="preserve">EFECTO, </w:t>
      </w:r>
      <w:r w:rsidR="008F0E3B">
        <w:rPr>
          <w:rFonts w:ascii="Arial" w:hAnsi="Arial" w:cs="Arial"/>
          <w:bCs/>
          <w:i/>
          <w:color w:val="000000"/>
        </w:rPr>
        <w:t xml:space="preserve">de que la autoridad demandada Consejo Directivo de Pensiones, emita otro, en el que considerando además de la pensión por jubilación otorgada por el 100% del último sueldo del actor, conceda las </w:t>
      </w:r>
      <w:r w:rsidR="008F0E3B">
        <w:rPr>
          <w:rFonts w:ascii="Arial" w:hAnsi="Arial" w:cs="Arial"/>
          <w:bCs/>
          <w:i/>
          <w:color w:val="000000"/>
        </w:rPr>
        <w:lastRenderedPageBreak/>
        <w:t xml:space="preserve">prestaciones ya precisadas en esta resolución, </w:t>
      </w:r>
      <w:r w:rsidR="008F0E3B">
        <w:rPr>
          <w:rFonts w:ascii="Arial" w:hAnsi="Arial" w:cs="Arial"/>
          <w:b/>
          <w:bCs/>
          <w:i/>
          <w:color w:val="000000"/>
        </w:rPr>
        <w:t xml:space="preserve">en el entendido </w:t>
      </w:r>
      <w:r w:rsidR="008F0E3B">
        <w:rPr>
          <w:rFonts w:ascii="Arial" w:hAnsi="Arial" w:cs="Arial"/>
          <w:bCs/>
          <w:i/>
          <w:color w:val="000000"/>
        </w:rPr>
        <w:t>que para tener por cumplida la presente sentencia, se habrán de reintegrar las prestaciones correspondientes no otorgadas ni pagadas a partir de la emisión del primer dictamen de pensión (10/07/2019) y que aquí se declararon procedentes, lo anterior de conformidad con lo dispuesto en los artículos 207, 208 y 209 de la Ley de Procedimiento y Justicia Administrativa para el Estado de Oaxaca.</w:t>
      </w:r>
      <w:r w:rsidR="00301728">
        <w:rPr>
          <w:rFonts w:ascii="Arial" w:hAnsi="Arial" w:cs="Arial"/>
          <w:bCs/>
          <w:i/>
          <w:color w:val="000000"/>
        </w:rPr>
        <w:t>”</w:t>
      </w:r>
    </w:p>
    <w:p w14:paraId="2D56B1D6" w14:textId="2D1DFACE" w:rsidR="00BC5528" w:rsidRPr="006F083F" w:rsidRDefault="00035632" w:rsidP="009C0845">
      <w:pPr>
        <w:pStyle w:val="Sinespaciado"/>
        <w:tabs>
          <w:tab w:val="left" w:pos="709"/>
        </w:tabs>
        <w:spacing w:before="120" w:line="360" w:lineRule="auto"/>
        <w:jc w:val="both"/>
        <w:rPr>
          <w:rFonts w:ascii="Arial" w:eastAsia="Calibri" w:hAnsi="Arial" w:cs="Arial"/>
          <w:b/>
          <w:i/>
          <w:iCs/>
          <w:color w:val="000000"/>
          <w:sz w:val="26"/>
          <w:szCs w:val="26"/>
        </w:rPr>
      </w:pPr>
      <w:r>
        <w:rPr>
          <w:rFonts w:ascii="Arial" w:eastAsia="Arial Unicode MS" w:hAnsi="Arial" w:cs="Arial"/>
          <w:bCs/>
          <w:sz w:val="26"/>
          <w:szCs w:val="26"/>
          <w:lang w:eastAsia="es-ES"/>
        </w:rPr>
        <w:tab/>
      </w:r>
      <w:r w:rsidR="00762D2E" w:rsidRPr="000D5F97">
        <w:rPr>
          <w:rFonts w:ascii="Arial" w:eastAsia="Arial Unicode MS" w:hAnsi="Arial" w:cs="Arial"/>
          <w:bCs/>
          <w:sz w:val="26"/>
          <w:szCs w:val="26"/>
          <w:lang w:eastAsia="es-ES"/>
        </w:rPr>
        <w:t>De la</w:t>
      </w:r>
      <w:r w:rsidR="00762D2E" w:rsidRPr="004562D9">
        <w:rPr>
          <w:rFonts w:ascii="Arial" w:eastAsia="Arial Unicode MS" w:hAnsi="Arial" w:cs="Arial"/>
          <w:bCs/>
          <w:sz w:val="26"/>
          <w:szCs w:val="26"/>
          <w:lang w:eastAsia="es-ES"/>
        </w:rPr>
        <w:t xml:space="preserve"> transcripción anterior, se advierte que </w:t>
      </w:r>
      <w:r w:rsidR="00762D2E" w:rsidRPr="004562D9">
        <w:rPr>
          <w:rFonts w:ascii="Arial" w:eastAsia="Arial Unicode MS" w:hAnsi="Arial" w:cs="Arial"/>
          <w:b/>
          <w:bCs/>
          <w:sz w:val="26"/>
          <w:szCs w:val="26"/>
          <w:lang w:eastAsia="es-ES"/>
        </w:rPr>
        <w:t>las manifestaciones</w:t>
      </w:r>
      <w:r w:rsidR="00762D2E" w:rsidRPr="004717B9">
        <w:rPr>
          <w:rFonts w:ascii="Arial" w:eastAsia="Arial Unicode MS" w:hAnsi="Arial" w:cs="Arial"/>
          <w:b/>
          <w:bCs/>
          <w:sz w:val="26"/>
          <w:szCs w:val="26"/>
          <w:lang w:eastAsia="es-ES"/>
        </w:rPr>
        <w:t xml:space="preserve"> del recurrente son </w:t>
      </w:r>
      <w:r w:rsidR="007F3FE2" w:rsidRPr="004717B9">
        <w:rPr>
          <w:rFonts w:ascii="Arial" w:eastAsia="Arial Unicode MS" w:hAnsi="Arial" w:cs="Arial"/>
          <w:b/>
          <w:bCs/>
          <w:sz w:val="26"/>
          <w:szCs w:val="26"/>
          <w:lang w:eastAsia="es-ES"/>
        </w:rPr>
        <w:t>FUNDADAS</w:t>
      </w:r>
      <w:r w:rsidR="00762D2E" w:rsidRPr="004717B9">
        <w:rPr>
          <w:rFonts w:ascii="Arial" w:eastAsia="Arial Unicode MS" w:hAnsi="Arial" w:cs="Arial"/>
          <w:b/>
          <w:bCs/>
          <w:sz w:val="26"/>
          <w:szCs w:val="26"/>
          <w:lang w:eastAsia="es-ES"/>
        </w:rPr>
        <w:t xml:space="preserve">, </w:t>
      </w:r>
      <w:r w:rsidR="00762D2E" w:rsidRPr="006F083F">
        <w:rPr>
          <w:rFonts w:ascii="Arial" w:eastAsia="Arial Unicode MS" w:hAnsi="Arial" w:cs="Arial"/>
          <w:bCs/>
          <w:sz w:val="26"/>
          <w:szCs w:val="26"/>
          <w:lang w:eastAsia="es-ES"/>
        </w:rPr>
        <w:t xml:space="preserve">toda vez que </w:t>
      </w:r>
      <w:r w:rsidR="00762D2E" w:rsidRPr="006F083F">
        <w:rPr>
          <w:rFonts w:ascii="Arial" w:eastAsia="Arial Unicode MS" w:hAnsi="Arial" w:cs="Arial"/>
          <w:bCs/>
          <w:sz w:val="26"/>
          <w:szCs w:val="26"/>
        </w:rPr>
        <w:t xml:space="preserve">la primera instancia incumplió lo dispuesto por los artículos 206 y 207 fracción I de la Ley de </w:t>
      </w:r>
      <w:r w:rsidR="007F3FE2" w:rsidRPr="006F083F">
        <w:rPr>
          <w:rFonts w:ascii="Arial" w:eastAsia="Arial Unicode MS" w:hAnsi="Arial" w:cs="Arial"/>
          <w:bCs/>
          <w:sz w:val="26"/>
          <w:szCs w:val="26"/>
        </w:rPr>
        <w:t xml:space="preserve">Procedimiento y </w:t>
      </w:r>
      <w:r w:rsidR="00762D2E" w:rsidRPr="006F083F">
        <w:rPr>
          <w:rFonts w:ascii="Arial" w:eastAsia="Arial Unicode MS" w:hAnsi="Arial" w:cs="Arial"/>
          <w:bCs/>
          <w:sz w:val="26"/>
          <w:szCs w:val="26"/>
        </w:rPr>
        <w:t xml:space="preserve">Justicia Administrativa para el Estado de Oaxaca, los cuales </w:t>
      </w:r>
      <w:r w:rsidR="00762D2E" w:rsidRPr="006F083F">
        <w:rPr>
          <w:rFonts w:ascii="Arial" w:eastAsia="Calibri" w:hAnsi="Arial" w:cs="Arial"/>
          <w:bCs/>
          <w:color w:val="000000"/>
          <w:sz w:val="26"/>
          <w:szCs w:val="26"/>
        </w:rPr>
        <w:t>exigen a los juzgadores que al emitir sus determinaciones lo hagan de acuerdo a los puntos litigiosos, ello atendiendo a los principios de seguridad jurídica y congruencia que deben imperar en las sentencias</w:t>
      </w:r>
      <w:r w:rsidR="00EE61BE" w:rsidRPr="006F083F">
        <w:rPr>
          <w:rFonts w:ascii="Arial" w:eastAsia="Calibri" w:hAnsi="Arial" w:cs="Arial"/>
          <w:bCs/>
          <w:color w:val="000000"/>
          <w:sz w:val="26"/>
          <w:szCs w:val="26"/>
        </w:rPr>
        <w:t xml:space="preserve">, </w:t>
      </w:r>
      <w:r w:rsidR="00EE61BE" w:rsidRPr="006F083F">
        <w:rPr>
          <w:rFonts w:ascii="Arial" w:eastAsia="Calibri" w:hAnsi="Arial" w:cs="Arial"/>
          <w:bCs/>
          <w:color w:val="000000"/>
          <w:sz w:val="26"/>
          <w:szCs w:val="26"/>
          <w:lang w:val="es-MX"/>
        </w:rPr>
        <w:t>pues</w:t>
      </w:r>
      <w:r w:rsidR="00AC5A5A" w:rsidRPr="006F083F">
        <w:rPr>
          <w:rFonts w:ascii="Arial" w:eastAsia="Calibri" w:hAnsi="Arial" w:cs="Arial"/>
          <w:bCs/>
          <w:color w:val="000000"/>
          <w:sz w:val="26"/>
          <w:szCs w:val="26"/>
          <w:lang w:val="es-MX"/>
        </w:rPr>
        <w:t xml:space="preserve"> como lo alega el actor, la sentencia recurrida le causa perjuicio, puesto que </w:t>
      </w:r>
      <w:r w:rsidR="00EE61BE" w:rsidRPr="006F083F">
        <w:rPr>
          <w:rFonts w:ascii="Arial" w:eastAsia="Calibri" w:hAnsi="Arial" w:cs="Arial"/>
          <w:bCs/>
          <w:color w:val="000000"/>
          <w:sz w:val="26"/>
          <w:szCs w:val="26"/>
          <w:lang w:val="es-MX"/>
        </w:rPr>
        <w:t xml:space="preserve">si bien declaró la </w:t>
      </w:r>
      <w:r w:rsidR="00EE61BE" w:rsidRPr="006F083F">
        <w:rPr>
          <w:rFonts w:ascii="Arial" w:eastAsia="Calibri" w:hAnsi="Arial" w:cs="Arial"/>
          <w:b/>
          <w:bCs/>
          <w:color w:val="000000"/>
          <w:sz w:val="26"/>
          <w:szCs w:val="26"/>
          <w:lang w:val="es-MX"/>
        </w:rPr>
        <w:t xml:space="preserve">nulidad </w:t>
      </w:r>
      <w:r w:rsidR="00EE61BE" w:rsidRPr="006F083F">
        <w:rPr>
          <w:rFonts w:ascii="Arial" w:eastAsia="Calibri" w:hAnsi="Arial" w:cs="Arial"/>
          <w:bCs/>
          <w:color w:val="000000"/>
          <w:sz w:val="26"/>
          <w:szCs w:val="26"/>
          <w:lang w:val="es-MX"/>
        </w:rPr>
        <w:t xml:space="preserve">de la resolución contenida en el oficio OP/DG/1900/2019 de fecha diez de julio de dos mil diecinueve, </w:t>
      </w:r>
      <w:r w:rsidR="00EE61BE" w:rsidRPr="006F083F">
        <w:rPr>
          <w:rFonts w:ascii="Arial" w:eastAsia="Calibri" w:hAnsi="Arial" w:cs="Arial"/>
          <w:b/>
          <w:bCs/>
          <w:color w:val="000000"/>
          <w:sz w:val="26"/>
          <w:szCs w:val="26"/>
          <w:lang w:val="es-MX"/>
        </w:rPr>
        <w:t>para el efecto</w:t>
      </w:r>
      <w:r w:rsidR="00EE61BE" w:rsidRPr="006F083F">
        <w:rPr>
          <w:rFonts w:ascii="Arial" w:eastAsia="Calibri" w:hAnsi="Arial" w:cs="Arial"/>
          <w:bCs/>
          <w:color w:val="000000"/>
          <w:sz w:val="26"/>
          <w:szCs w:val="26"/>
          <w:lang w:val="es-MX"/>
        </w:rPr>
        <w:t xml:space="preserve"> de que </w:t>
      </w:r>
      <w:r w:rsidR="009C0845" w:rsidRPr="006F083F">
        <w:rPr>
          <w:rFonts w:ascii="Arial" w:eastAsia="Calibri" w:hAnsi="Arial" w:cs="Arial"/>
          <w:bCs/>
          <w:color w:val="000000"/>
          <w:sz w:val="26"/>
          <w:szCs w:val="26"/>
          <w:lang w:val="es-MX"/>
        </w:rPr>
        <w:t>el</w:t>
      </w:r>
      <w:r w:rsidR="00EE61BE" w:rsidRPr="006F083F">
        <w:rPr>
          <w:rFonts w:ascii="Arial" w:eastAsia="Calibri" w:hAnsi="Arial" w:cs="Arial"/>
          <w:bCs/>
          <w:color w:val="000000"/>
          <w:sz w:val="26"/>
          <w:szCs w:val="26"/>
          <w:lang w:val="es-MX"/>
        </w:rPr>
        <w:t xml:space="preserve"> Consejo Directivo de Pensiones del Gobierno del Estado, dicte otra en la que considerando además de la pensión por jubilación otorgada por el 100% del último sueldo del actor, le conceda  las prestaciones</w:t>
      </w:r>
      <w:r w:rsidR="00EE61BE" w:rsidRPr="006F083F">
        <w:rPr>
          <w:rFonts w:ascii="Arial" w:eastAsia="Calibri" w:hAnsi="Arial" w:cs="Arial"/>
          <w:b/>
          <w:bCs/>
          <w:color w:val="000000"/>
          <w:sz w:val="26"/>
          <w:szCs w:val="26"/>
          <w:lang w:val="es-MX"/>
        </w:rPr>
        <w:t xml:space="preserve"> </w:t>
      </w:r>
      <w:r w:rsidR="00EE61BE" w:rsidRPr="006F083F">
        <w:rPr>
          <w:rFonts w:ascii="Arial" w:eastAsia="Calibri" w:hAnsi="Arial" w:cs="Arial"/>
          <w:bCs/>
          <w:color w:val="000000"/>
          <w:sz w:val="26"/>
          <w:szCs w:val="26"/>
          <w:lang w:val="es-MX"/>
        </w:rPr>
        <w:t xml:space="preserve">que percibe un trabajador de base, en términos del artículo 54 </w:t>
      </w:r>
      <w:r w:rsidR="00813D18">
        <w:rPr>
          <w:rFonts w:ascii="Arial" w:eastAsia="Calibri" w:hAnsi="Arial" w:cs="Arial"/>
          <w:bCs/>
          <w:color w:val="000000"/>
          <w:sz w:val="26"/>
          <w:szCs w:val="26"/>
          <w:lang w:val="es-MX"/>
        </w:rPr>
        <w:t xml:space="preserve">fracción I </w:t>
      </w:r>
      <w:r w:rsidR="00EE61BE" w:rsidRPr="006F083F">
        <w:rPr>
          <w:rFonts w:ascii="Arial" w:eastAsia="Calibri" w:hAnsi="Arial" w:cs="Arial"/>
          <w:bCs/>
          <w:color w:val="000000"/>
          <w:sz w:val="26"/>
          <w:szCs w:val="26"/>
          <w:lang w:val="es-MX"/>
        </w:rPr>
        <w:t xml:space="preserve">de la Ley de Pensiones para los Trabajadores del Gobierno del Estado; sin embargo, </w:t>
      </w:r>
      <w:r w:rsidR="00EE61BE" w:rsidRPr="006F083F">
        <w:rPr>
          <w:rFonts w:ascii="Arial" w:eastAsia="Calibri" w:hAnsi="Arial" w:cs="Arial"/>
          <w:b/>
          <w:bCs/>
          <w:i/>
          <w:color w:val="000000"/>
          <w:sz w:val="26"/>
          <w:szCs w:val="26"/>
          <w:lang w:val="es-MX"/>
        </w:rPr>
        <w:t xml:space="preserve">omitió </w:t>
      </w:r>
      <w:r w:rsidR="00EE61BE" w:rsidRPr="006F083F">
        <w:rPr>
          <w:rFonts w:ascii="Arial" w:eastAsia="Calibri" w:hAnsi="Arial" w:cs="Arial"/>
          <w:bCs/>
          <w:color w:val="000000"/>
          <w:sz w:val="26"/>
          <w:szCs w:val="26"/>
          <w:lang w:val="es-MX"/>
        </w:rPr>
        <w:t xml:space="preserve">señalar a partir de qué fecha se efectuaría </w:t>
      </w:r>
      <w:r w:rsidR="00EE61BE" w:rsidRPr="00C65542">
        <w:rPr>
          <w:rFonts w:ascii="Arial" w:eastAsia="Calibri" w:hAnsi="Arial" w:cs="Arial"/>
          <w:bCs/>
          <w:color w:val="000000"/>
          <w:sz w:val="26"/>
          <w:szCs w:val="26"/>
          <w:lang w:val="es-MX"/>
        </w:rPr>
        <w:t>dicho pago</w:t>
      </w:r>
      <w:r w:rsidR="009C0845" w:rsidRPr="00C65542">
        <w:rPr>
          <w:rFonts w:ascii="Arial" w:eastAsia="Calibri" w:hAnsi="Arial" w:cs="Arial"/>
          <w:bCs/>
          <w:color w:val="000000"/>
          <w:sz w:val="26"/>
          <w:szCs w:val="26"/>
          <w:lang w:val="es-MX"/>
        </w:rPr>
        <w:t xml:space="preserve">, no obstante que el actor solicitó </w:t>
      </w:r>
      <w:r w:rsidR="00813D18" w:rsidRPr="00C65542">
        <w:rPr>
          <w:rFonts w:ascii="Arial" w:eastAsia="Calibri" w:hAnsi="Arial" w:cs="Arial"/>
          <w:bCs/>
          <w:color w:val="000000"/>
          <w:sz w:val="26"/>
          <w:szCs w:val="26"/>
          <w:lang w:val="es-MX"/>
        </w:rPr>
        <w:t xml:space="preserve">en su demanda de nulidad, se efectuará el </w:t>
      </w:r>
      <w:r w:rsidR="009C0845" w:rsidRPr="00C65542">
        <w:rPr>
          <w:rFonts w:ascii="Arial" w:eastAsia="Calibri" w:hAnsi="Arial" w:cs="Arial"/>
          <w:bCs/>
          <w:color w:val="000000"/>
          <w:sz w:val="26"/>
          <w:szCs w:val="26"/>
          <w:lang w:val="es-MX"/>
        </w:rPr>
        <w:t xml:space="preserve">pago de forma retroactiva </w:t>
      </w:r>
      <w:r w:rsidR="00813D18" w:rsidRPr="00C65542">
        <w:rPr>
          <w:rFonts w:ascii="Arial" w:eastAsia="Calibri" w:hAnsi="Arial" w:cs="Arial"/>
          <w:bCs/>
          <w:color w:val="000000"/>
          <w:sz w:val="26"/>
          <w:szCs w:val="26"/>
          <w:lang w:val="es-MX"/>
        </w:rPr>
        <w:t xml:space="preserve">de las prestaciones consistentes en previsión social múltiple, despensa, vida cara, quinquenios, aguinaldo, </w:t>
      </w:r>
      <w:r w:rsidR="00813D18" w:rsidRPr="00C65542">
        <w:rPr>
          <w:rFonts w:ascii="Arial" w:eastAsia="Calibri" w:hAnsi="Arial" w:cs="Arial"/>
          <w:bCs/>
          <w:color w:val="000000"/>
          <w:sz w:val="26"/>
          <w:szCs w:val="26"/>
          <w:shd w:val="clear" w:color="auto" w:fill="FFFFFF" w:themeFill="background1"/>
          <w:lang w:val="es-MX"/>
        </w:rPr>
        <w:t xml:space="preserve">estímulo </w:t>
      </w:r>
      <w:r w:rsidR="00813D18" w:rsidRPr="00C65542">
        <w:rPr>
          <w:rFonts w:ascii="Arial" w:eastAsia="Calibri" w:hAnsi="Arial" w:cs="Arial"/>
          <w:bCs/>
          <w:color w:val="000000"/>
          <w:sz w:val="26"/>
          <w:szCs w:val="26"/>
          <w:lang w:val="es-MX"/>
        </w:rPr>
        <w:t xml:space="preserve">del día del jubilado y canasta navideña, </w:t>
      </w:r>
      <w:r w:rsidR="009C0845" w:rsidRPr="00C65542">
        <w:rPr>
          <w:rFonts w:ascii="Arial" w:eastAsia="Calibri" w:hAnsi="Arial" w:cs="Arial"/>
          <w:bCs/>
          <w:color w:val="000000"/>
          <w:sz w:val="26"/>
          <w:szCs w:val="26"/>
          <w:lang w:val="es-MX"/>
        </w:rPr>
        <w:t>a partir de la fecha en que se le empezó a pagar su pensión por jubilación</w:t>
      </w:r>
      <w:r w:rsidR="00813D18" w:rsidRPr="00C65542">
        <w:rPr>
          <w:rFonts w:ascii="Arial" w:eastAsia="Calibri" w:hAnsi="Arial" w:cs="Arial"/>
          <w:bCs/>
          <w:color w:val="000000"/>
          <w:sz w:val="26"/>
          <w:szCs w:val="26"/>
          <w:lang w:val="es-MX"/>
        </w:rPr>
        <w:t>, que fue el uno de enero de dos mil veinte</w:t>
      </w:r>
      <w:r w:rsidR="00F10231">
        <w:rPr>
          <w:rFonts w:ascii="Arial" w:eastAsia="Calibri" w:hAnsi="Arial" w:cs="Arial"/>
          <w:bCs/>
          <w:color w:val="000000"/>
          <w:sz w:val="26"/>
          <w:szCs w:val="26"/>
          <w:lang w:val="es-MX"/>
        </w:rPr>
        <w:t xml:space="preserve">. </w:t>
      </w:r>
      <w:r w:rsidR="00606F2E">
        <w:rPr>
          <w:rFonts w:ascii="Arial" w:eastAsia="Calibri" w:hAnsi="Arial" w:cs="Arial"/>
          <w:bCs/>
          <w:color w:val="000000"/>
          <w:sz w:val="26"/>
          <w:szCs w:val="26"/>
          <w:lang w:val="es-MX"/>
        </w:rPr>
        <w:t xml:space="preserve">- - - - - - - - - - - - - - - - - - -  - - - - - - - - - - - - - - - - - - - - - -  - - - - - </w:t>
      </w:r>
    </w:p>
    <w:p w14:paraId="0DCAF692" w14:textId="70CF042F" w:rsidR="00762D2E" w:rsidRPr="006F083F" w:rsidRDefault="009C0845" w:rsidP="009D4197">
      <w:pPr>
        <w:spacing w:before="120" w:after="0" w:line="360" w:lineRule="auto"/>
        <w:ind w:firstLine="708"/>
        <w:jc w:val="both"/>
        <w:rPr>
          <w:rFonts w:ascii="Arial" w:eastAsia="Calibri" w:hAnsi="Arial" w:cs="Arial"/>
          <w:sz w:val="26"/>
          <w:szCs w:val="26"/>
        </w:rPr>
      </w:pPr>
      <w:r w:rsidRPr="006F083F">
        <w:rPr>
          <w:rFonts w:ascii="Arial" w:eastAsia="Calibri" w:hAnsi="Arial" w:cs="Arial"/>
          <w:bCs/>
          <w:color w:val="000000"/>
          <w:sz w:val="26"/>
          <w:szCs w:val="26"/>
        </w:rPr>
        <w:t>Así se tiene que e</w:t>
      </w:r>
      <w:r w:rsidR="00762D2E" w:rsidRPr="006F083F">
        <w:rPr>
          <w:rFonts w:ascii="Arial" w:eastAsia="Calibri" w:hAnsi="Arial" w:cs="Arial"/>
          <w:bCs/>
          <w:color w:val="000000"/>
          <w:sz w:val="26"/>
          <w:szCs w:val="26"/>
        </w:rPr>
        <w:t xml:space="preserve">l principio de congruencia debe entenderse desde dos vertientes, la congruencia </w:t>
      </w:r>
      <w:r w:rsidR="00762D2E" w:rsidRPr="006F083F">
        <w:rPr>
          <w:rFonts w:ascii="Arial" w:eastAsia="Calibri" w:hAnsi="Arial" w:cs="Arial"/>
          <w:bCs/>
          <w:i/>
          <w:color w:val="000000"/>
          <w:sz w:val="26"/>
          <w:szCs w:val="26"/>
        </w:rPr>
        <w:t xml:space="preserve">interna </w:t>
      </w:r>
      <w:r w:rsidR="00762D2E" w:rsidRPr="006F083F">
        <w:rPr>
          <w:rFonts w:ascii="Arial" w:eastAsia="Calibri" w:hAnsi="Arial" w:cs="Arial"/>
          <w:bCs/>
          <w:color w:val="000000"/>
          <w:sz w:val="26"/>
          <w:szCs w:val="26"/>
        </w:rPr>
        <w:t xml:space="preserve">la cual exige que dentro de la propia decisión no existan determinaciones contrarias entre sí, y la congruencia </w:t>
      </w:r>
      <w:r w:rsidR="00762D2E" w:rsidRPr="006F083F">
        <w:rPr>
          <w:rFonts w:ascii="Arial" w:eastAsia="Calibri" w:hAnsi="Arial" w:cs="Arial"/>
          <w:bCs/>
          <w:i/>
          <w:color w:val="000000"/>
          <w:sz w:val="26"/>
          <w:szCs w:val="26"/>
        </w:rPr>
        <w:t>externa</w:t>
      </w:r>
      <w:r w:rsidR="00762D2E" w:rsidRPr="006F083F">
        <w:rPr>
          <w:rFonts w:ascii="Arial" w:eastAsia="Calibri" w:hAnsi="Arial" w:cs="Arial"/>
          <w:bCs/>
          <w:color w:val="000000"/>
          <w:sz w:val="26"/>
          <w:szCs w:val="26"/>
        </w:rPr>
        <w:t xml:space="preserve"> que implica que las sentencias sean proporcionales a la pretensión deducida o petitio, por lo que las juzgadoras deben resolver las controversias que conozcan atendiendo a todos los planteamientos de las partes, </w:t>
      </w:r>
      <w:r w:rsidR="00762D2E" w:rsidRPr="006F083F">
        <w:rPr>
          <w:rFonts w:ascii="Arial" w:eastAsia="Calibri" w:hAnsi="Arial" w:cs="Arial"/>
          <w:b/>
          <w:bCs/>
          <w:color w:val="000000"/>
          <w:sz w:val="26"/>
          <w:szCs w:val="26"/>
        </w:rPr>
        <w:t>sin omitir alguno</w:t>
      </w:r>
      <w:r w:rsidR="00762D2E" w:rsidRPr="006F083F">
        <w:rPr>
          <w:rFonts w:ascii="Arial" w:eastAsia="Calibri" w:hAnsi="Arial" w:cs="Arial"/>
          <w:bCs/>
          <w:color w:val="000000"/>
          <w:sz w:val="26"/>
          <w:szCs w:val="26"/>
        </w:rPr>
        <w:t xml:space="preserve"> ni añadir</w:t>
      </w:r>
      <w:r w:rsidR="00762D2E" w:rsidRPr="006F083F">
        <w:rPr>
          <w:rFonts w:ascii="Arial" w:eastAsia="Calibri" w:hAnsi="Arial" w:cs="Arial"/>
          <w:b/>
          <w:bCs/>
          <w:color w:val="000000"/>
          <w:sz w:val="26"/>
          <w:szCs w:val="26"/>
        </w:rPr>
        <w:t xml:space="preserve"> </w:t>
      </w:r>
      <w:r w:rsidR="00762D2E" w:rsidRPr="006F083F">
        <w:rPr>
          <w:rFonts w:ascii="Arial" w:eastAsia="Calibri" w:hAnsi="Arial" w:cs="Arial"/>
          <w:bCs/>
          <w:color w:val="000000"/>
          <w:sz w:val="26"/>
          <w:szCs w:val="26"/>
        </w:rPr>
        <w:t xml:space="preserve">cuestiones ajenas. Estas consideraciones encuentran sustento en la jurisprudencia </w:t>
      </w:r>
      <w:r w:rsidR="00762D2E" w:rsidRPr="006F083F">
        <w:rPr>
          <w:rFonts w:ascii="Arial" w:eastAsia="Calibri" w:hAnsi="Arial" w:cs="Arial"/>
          <w:sz w:val="26"/>
          <w:szCs w:val="26"/>
        </w:rPr>
        <w:lastRenderedPageBreak/>
        <w:t>IV.2o.T. J/44  del Segundo Tribunal Colegiado en Materia del Trabajo del Cuarto Circuito,</w:t>
      </w:r>
      <w:r w:rsidRPr="006F083F">
        <w:rPr>
          <w:rFonts w:ascii="Arial" w:eastAsia="Calibri" w:hAnsi="Arial" w:cs="Arial"/>
          <w:sz w:val="26"/>
          <w:szCs w:val="26"/>
        </w:rPr>
        <w:t xml:space="preserve"> con número de </w:t>
      </w:r>
      <w:r w:rsidRPr="006F083F">
        <w:rPr>
          <w:rStyle w:val="bold"/>
          <w:rFonts w:ascii="Arial" w:hAnsi="Arial" w:cs="Arial"/>
          <w:color w:val="212529"/>
          <w:sz w:val="26"/>
          <w:szCs w:val="26"/>
          <w:shd w:val="clear" w:color="auto" w:fill="FFFFFF"/>
        </w:rPr>
        <w:t>Registro digital:</w:t>
      </w:r>
      <w:r w:rsidRPr="006F083F">
        <w:rPr>
          <w:rStyle w:val="bold"/>
          <w:rFonts w:ascii="Arial" w:hAnsi="Arial" w:cs="Arial"/>
          <w:b/>
          <w:bCs/>
          <w:color w:val="212529"/>
          <w:sz w:val="26"/>
          <w:szCs w:val="26"/>
          <w:shd w:val="clear" w:color="auto" w:fill="FFFFFF"/>
        </w:rPr>
        <w:t> </w:t>
      </w:r>
      <w:r w:rsidRPr="006F083F">
        <w:rPr>
          <w:rFonts w:ascii="Arial" w:hAnsi="Arial" w:cs="Arial"/>
          <w:color w:val="212529"/>
          <w:sz w:val="26"/>
          <w:szCs w:val="26"/>
          <w:shd w:val="clear" w:color="auto" w:fill="FFFFFF"/>
        </w:rPr>
        <w:t>179074</w:t>
      </w:r>
      <w:r w:rsidRPr="006F083F">
        <w:rPr>
          <w:rFonts w:ascii="Calibri" w:hAnsi="Calibri" w:cs="Calibri"/>
          <w:color w:val="212529"/>
          <w:sz w:val="26"/>
          <w:szCs w:val="26"/>
          <w:shd w:val="clear" w:color="auto" w:fill="FFFFFF"/>
        </w:rPr>
        <w:t xml:space="preserve">, </w:t>
      </w:r>
      <w:r w:rsidR="00762D2E" w:rsidRPr="006F083F">
        <w:rPr>
          <w:rFonts w:ascii="Arial" w:eastAsia="Calibri" w:hAnsi="Arial" w:cs="Arial"/>
          <w:sz w:val="26"/>
          <w:szCs w:val="26"/>
        </w:rPr>
        <w:t xml:space="preserve">dictada en la Novena </w:t>
      </w:r>
      <w:r w:rsidRPr="006F083F">
        <w:rPr>
          <w:rFonts w:ascii="Arial" w:eastAsia="Calibri" w:hAnsi="Arial" w:cs="Arial"/>
          <w:sz w:val="26"/>
          <w:szCs w:val="26"/>
        </w:rPr>
        <w:t>É</w:t>
      </w:r>
      <w:r w:rsidR="00762D2E" w:rsidRPr="006F083F">
        <w:rPr>
          <w:rFonts w:ascii="Arial" w:eastAsia="Calibri" w:hAnsi="Arial" w:cs="Arial"/>
          <w:sz w:val="26"/>
          <w:szCs w:val="26"/>
        </w:rPr>
        <w:t xml:space="preserve">poca, la cual fue publicada en el Semanario Judicial de la Federación y su Gaceta en el Tomo XI de Marzo de 2005, y que es consultable a página 959, bajo el rubro y texto siguientes:- - - - - - - - - - - </w:t>
      </w:r>
    </w:p>
    <w:p w14:paraId="7B887CD2" w14:textId="77777777" w:rsidR="009D4197" w:rsidRPr="006F083F" w:rsidRDefault="00762D2E" w:rsidP="009D4197">
      <w:pPr>
        <w:spacing w:before="120" w:after="0" w:line="240" w:lineRule="auto"/>
        <w:ind w:left="851" w:right="902"/>
        <w:jc w:val="both"/>
        <w:rPr>
          <w:rFonts w:ascii="Arial" w:eastAsia="Calibri" w:hAnsi="Arial" w:cs="Arial"/>
          <w:i/>
        </w:rPr>
      </w:pPr>
      <w:r w:rsidRPr="006F083F">
        <w:rPr>
          <w:rFonts w:ascii="Arial" w:eastAsia="Calibri" w:hAnsi="Arial" w:cs="Arial"/>
          <w:b/>
          <w:i/>
        </w:rPr>
        <w:t>“CONGRUENCIA Y EXHAUSTIVIDAD, PRINCIPIOS DE. SUS DIFERENCIAS Y CASO EN QUE EL LAUDO INCUMPLE EL SEGUNDO DE ELLOS.</w:t>
      </w:r>
      <w:r w:rsidRPr="006F083F">
        <w:rPr>
          <w:rFonts w:ascii="Arial" w:eastAsia="Calibri" w:hAnsi="Arial" w:cs="Arial"/>
          <w:i/>
        </w:rPr>
        <w:t xml:space="preserve">   Del artículo 842 de la Ley Federal del Trabajo se advierte la existencia de dos principios fundamentales o requisitos de fondo que deben observarse en el dictado del laudo: el de congruencia y el de exhaustividad. El primero es explícito, en tanto que el segundo queda imbíbito en la disposición legal. Así, el principio de congruencia está referido a que el laudo debe ser congruente no sólo consigo mismo, sino también con la litis, tal como haya quedado establecida en la etapa oportuna; de ahí que se hable, por un lado, de congruencia interna, entendida como aquella característica de que el laudo no contenga resoluciones o afirmaciones que se contradigan entre sí y, por otro, de congruencia externa, que en sí atañe a la concordancia que debe haber con la demanda y contestación formuladas por las partes, esto es, que el laudo no distorsione o altere lo pedido o lo alegado en la defensa sino que sólo se ocupe de las pretensiones de las partes y de éstas, sin introducir cuestión alguna que no se hubiere reclamado, ni de condenar o de absolver a alguien que no fue parte en el juicio laboral. Mientras que el de exhaustividad está relacionado con el examen que debe efectuar la autoridad respecto de todas las cuestiones o puntos litigiosos, sin omitir ninguno de ellos, es decir, dicho principio implica la obligación del juzgador de decidir las controversias que se sometan a su conocimiento tomando en cuenta los argumentos aducidos tanto en la demanda como en aquellos en los que se sustenta la contestación y demás pretensiones hechas valer oportunamente en el juicio, de tal forma que se condene o absuelva al demandado, resolviendo sobre todos y cada uno de los puntos litigiosos que hubieran sido materia del debate. Por tanto, cuando la autoridad laboral dicta un laudo sin resolver sobre algún punto litigioso, en realidad no resulta contrario al principio de congruencia, sino al de exhaustividad, pues lejos de distorsionar o alterar la litis, su proceder se reduce a omitir el examen y pronunciamiento de una cuestión controvertida que oportunamente se le planteó, lo que permite, entonces, hablar de un laudo propiamente incompleto, falto de exhaustividad, precisamente porque la congruencia -externa- significa que sólo debe ocuparse de las personas que contendieron como partes y de sus pretensiones; mientras que la exhaustividad implica que el laudo ha de ocuparse de todos los puntos discutibles. Consecuentemente, si el laudo no satisface esto último, es inconcuso que resulta contrario al principio de exhaustividad que emerge del artículo 842 de la Ley Federal del Trabajo, traduciéndose en un laudo incompleto, con la consiguiente violación a la garantía consagrada en el artículo 17 de la Constitución Federal.”- - - - - - - - - - - - - - - - - - - - - - - - - - - - - - - -</w:t>
      </w:r>
      <w:r w:rsidR="009D4197" w:rsidRPr="006F083F">
        <w:rPr>
          <w:rFonts w:ascii="Arial" w:eastAsia="Calibri" w:hAnsi="Arial" w:cs="Arial"/>
          <w:i/>
        </w:rPr>
        <w:t>-</w:t>
      </w:r>
    </w:p>
    <w:p w14:paraId="3E61EAFC" w14:textId="3E297894" w:rsidR="00762D2E" w:rsidRPr="006F083F" w:rsidRDefault="00762D2E" w:rsidP="009D4197">
      <w:pPr>
        <w:spacing w:before="120" w:after="0" w:line="240" w:lineRule="auto"/>
        <w:ind w:left="851" w:right="902"/>
        <w:jc w:val="both"/>
        <w:rPr>
          <w:rFonts w:ascii="Arial" w:eastAsia="Calibri" w:hAnsi="Arial" w:cs="Arial"/>
          <w:i/>
        </w:rPr>
      </w:pPr>
      <w:r w:rsidRPr="006F083F">
        <w:rPr>
          <w:rFonts w:ascii="Arial" w:eastAsia="Calibri" w:hAnsi="Arial" w:cs="Arial"/>
          <w:i/>
        </w:rPr>
        <w:t xml:space="preserve"> </w:t>
      </w:r>
    </w:p>
    <w:p w14:paraId="4D80A09F" w14:textId="4A7A6872" w:rsidR="00762D2E" w:rsidRPr="006F083F" w:rsidRDefault="00762D2E" w:rsidP="00035632">
      <w:pPr>
        <w:widowControl w:val="0"/>
        <w:spacing w:after="0" w:line="360" w:lineRule="auto"/>
        <w:ind w:right="49" w:firstLine="708"/>
        <w:jc w:val="both"/>
        <w:rPr>
          <w:rFonts w:ascii="Arial" w:eastAsia="Calibri" w:hAnsi="Arial" w:cs="Arial"/>
          <w:sz w:val="26"/>
          <w:szCs w:val="26"/>
        </w:rPr>
      </w:pPr>
      <w:r w:rsidRPr="006F083F">
        <w:rPr>
          <w:rFonts w:ascii="Arial" w:eastAsia="Calibri" w:hAnsi="Arial" w:cs="Arial"/>
          <w:bCs/>
          <w:color w:val="000000"/>
          <w:sz w:val="26"/>
          <w:szCs w:val="26"/>
        </w:rPr>
        <w:t xml:space="preserve">Así como la jurisprudencia </w:t>
      </w:r>
      <w:r w:rsidRPr="006F083F">
        <w:rPr>
          <w:rFonts w:ascii="Arial" w:eastAsia="Calibri" w:hAnsi="Arial" w:cs="Arial"/>
          <w:sz w:val="26"/>
          <w:szCs w:val="26"/>
        </w:rPr>
        <w:t xml:space="preserve">I.4o.A. J/31 de la </w:t>
      </w:r>
      <w:r w:rsidR="00753C4F" w:rsidRPr="006F083F">
        <w:rPr>
          <w:rFonts w:ascii="Arial" w:eastAsia="Calibri" w:hAnsi="Arial" w:cs="Arial"/>
          <w:sz w:val="26"/>
          <w:szCs w:val="26"/>
        </w:rPr>
        <w:t>N</w:t>
      </w:r>
      <w:r w:rsidRPr="006F083F">
        <w:rPr>
          <w:rFonts w:ascii="Arial" w:eastAsia="Calibri" w:hAnsi="Arial" w:cs="Arial"/>
          <w:sz w:val="26"/>
          <w:szCs w:val="26"/>
        </w:rPr>
        <w:t xml:space="preserve">ovena </w:t>
      </w:r>
      <w:r w:rsidR="00753C4F" w:rsidRPr="006F083F">
        <w:rPr>
          <w:rFonts w:ascii="Arial" w:eastAsia="Calibri" w:hAnsi="Arial" w:cs="Arial"/>
          <w:sz w:val="26"/>
          <w:szCs w:val="26"/>
        </w:rPr>
        <w:t>Ép</w:t>
      </w:r>
      <w:r w:rsidRPr="006F083F">
        <w:rPr>
          <w:rFonts w:ascii="Arial" w:eastAsia="Calibri" w:hAnsi="Arial" w:cs="Arial"/>
          <w:sz w:val="26"/>
          <w:szCs w:val="26"/>
        </w:rPr>
        <w:t>oca dictada por el Cuarto Tribunal Colegiado en Materia Administrativa del Primer Circuito, publicada en el Semanario Judicial de la Federación y su Gaceta en el Tomo XXI, de marzo de 2005</w:t>
      </w:r>
      <w:r w:rsidR="00872DA7" w:rsidRPr="006F083F">
        <w:rPr>
          <w:rFonts w:ascii="Arial" w:eastAsia="Calibri" w:hAnsi="Arial" w:cs="Arial"/>
          <w:sz w:val="26"/>
          <w:szCs w:val="26"/>
        </w:rPr>
        <w:t xml:space="preserve">, </w:t>
      </w:r>
      <w:r w:rsidR="009C0845" w:rsidRPr="006F083F">
        <w:rPr>
          <w:rFonts w:ascii="Arial" w:eastAsia="Calibri" w:hAnsi="Arial" w:cs="Arial"/>
          <w:sz w:val="26"/>
          <w:szCs w:val="26"/>
        </w:rPr>
        <w:t xml:space="preserve">con número de </w:t>
      </w:r>
      <w:r w:rsidR="009C0845" w:rsidRPr="006F083F">
        <w:rPr>
          <w:rStyle w:val="bold"/>
          <w:rFonts w:ascii="Arial" w:hAnsi="Arial" w:cs="Arial"/>
          <w:color w:val="212529"/>
          <w:sz w:val="26"/>
          <w:szCs w:val="26"/>
          <w:shd w:val="clear" w:color="auto" w:fill="FFFFFF"/>
        </w:rPr>
        <w:t>Registro digital: </w:t>
      </w:r>
      <w:r w:rsidR="009C0845" w:rsidRPr="006F083F">
        <w:rPr>
          <w:rFonts w:ascii="Arial" w:hAnsi="Arial" w:cs="Arial"/>
          <w:color w:val="212529"/>
          <w:sz w:val="26"/>
          <w:szCs w:val="26"/>
          <w:shd w:val="clear" w:color="auto" w:fill="FFFFFF"/>
        </w:rPr>
        <w:t>178877</w:t>
      </w:r>
      <w:r w:rsidR="00753C4F" w:rsidRPr="006F083F">
        <w:rPr>
          <w:rFonts w:ascii="Arial" w:hAnsi="Arial" w:cs="Arial"/>
          <w:color w:val="212529"/>
          <w:sz w:val="26"/>
          <w:szCs w:val="26"/>
          <w:shd w:val="clear" w:color="auto" w:fill="FFFFFF"/>
        </w:rPr>
        <w:t>,</w:t>
      </w:r>
      <w:r w:rsidR="009C0845" w:rsidRPr="006F083F">
        <w:rPr>
          <w:rFonts w:ascii="Arial" w:eastAsia="Calibri" w:hAnsi="Arial" w:cs="Arial"/>
          <w:sz w:val="26"/>
          <w:szCs w:val="26"/>
        </w:rPr>
        <w:t xml:space="preserve"> </w:t>
      </w:r>
      <w:r w:rsidRPr="006F083F">
        <w:rPr>
          <w:rFonts w:ascii="Arial" w:eastAsia="Calibri" w:hAnsi="Arial" w:cs="Arial"/>
          <w:sz w:val="26"/>
          <w:szCs w:val="26"/>
        </w:rPr>
        <w:t xml:space="preserve">visible a página 1047 con el título y texto siguientes:- - - </w:t>
      </w:r>
    </w:p>
    <w:p w14:paraId="5A9ED877" w14:textId="77777777" w:rsidR="00762D2E" w:rsidRPr="006F083F" w:rsidRDefault="00762D2E" w:rsidP="00035632">
      <w:pPr>
        <w:widowControl w:val="0"/>
        <w:spacing w:before="240" w:after="0" w:line="360" w:lineRule="auto"/>
        <w:ind w:left="851" w:right="900"/>
        <w:jc w:val="both"/>
        <w:rPr>
          <w:rFonts w:ascii="Arial" w:eastAsia="Calibri" w:hAnsi="Arial" w:cs="Arial"/>
          <w:i/>
        </w:rPr>
      </w:pPr>
      <w:r w:rsidRPr="006F083F">
        <w:rPr>
          <w:rFonts w:ascii="Calibri" w:eastAsia="Calibri" w:hAnsi="Calibri" w:cs="Times New Roman"/>
        </w:rPr>
        <w:t>”</w:t>
      </w:r>
      <w:r w:rsidRPr="006F083F">
        <w:rPr>
          <w:rFonts w:ascii="Arial" w:eastAsia="Calibri" w:hAnsi="Arial" w:cs="Arial"/>
          <w:b/>
          <w:i/>
        </w:rPr>
        <w:t xml:space="preserve">SENTENCIAS DEL TRIBUNAL FEDERAL DE JUSTICIA FISCAL </w:t>
      </w:r>
      <w:r w:rsidRPr="006F083F">
        <w:rPr>
          <w:rFonts w:ascii="Arial" w:eastAsia="Calibri" w:hAnsi="Arial" w:cs="Arial"/>
          <w:b/>
          <w:i/>
        </w:rPr>
        <w:lastRenderedPageBreak/>
        <w:t>Y ADMINISTRATIVA. PRINCIPIO DE CONGRUENCIA EXTERNA.</w:t>
      </w:r>
      <w:r w:rsidRPr="006F083F">
        <w:rPr>
          <w:rFonts w:ascii="Arial" w:eastAsia="Calibri" w:hAnsi="Arial" w:cs="Arial"/>
          <w:i/>
        </w:rPr>
        <w:t xml:space="preserve"> De acuerdo con lo dispuesto en los artículos 237 del Código Fiscal de la Federación y 222 del Código Federal de Procedimientos Civiles -de aplicación supletoria a la materia fiscal- la congruencia externa de las sentencias implica que la decisión sea correspondiente y proporcional a la pretensión deducida o petitio; atento a lo cual, el Tribunal Federal de Justicia Fiscal y Administrativa no puede omitir analizar aspectos planteados por las partes ni rebasar el límite que la propia acción ejercitada le determina.” - - - - - - - - - - - - - - - - - - - - - - - - - - - - - - - - - - - - - - - -</w:t>
      </w:r>
    </w:p>
    <w:p w14:paraId="18B5865D" w14:textId="558ED283" w:rsidR="00D137B2" w:rsidRPr="006F083F" w:rsidRDefault="00035632" w:rsidP="00035632">
      <w:pPr>
        <w:pStyle w:val="Sinespaciado"/>
        <w:tabs>
          <w:tab w:val="left" w:pos="709"/>
        </w:tabs>
        <w:spacing w:before="120" w:after="100" w:afterAutospacing="1" w:line="360" w:lineRule="auto"/>
        <w:jc w:val="both"/>
        <w:rPr>
          <w:rFonts w:ascii="Arial" w:eastAsia="Calibri" w:hAnsi="Arial" w:cs="Arial"/>
          <w:bCs/>
          <w:color w:val="000000"/>
          <w:sz w:val="26"/>
          <w:szCs w:val="26"/>
          <w:lang w:val="es-MX"/>
        </w:rPr>
      </w:pPr>
      <w:r w:rsidRPr="006F083F">
        <w:rPr>
          <w:rFonts w:ascii="Arial" w:eastAsia="Calibri" w:hAnsi="Arial" w:cs="Arial"/>
          <w:bCs/>
          <w:color w:val="000000"/>
          <w:sz w:val="26"/>
          <w:szCs w:val="26"/>
          <w:lang w:val="es-MX"/>
        </w:rPr>
        <w:tab/>
      </w:r>
      <w:r w:rsidR="00762D2E" w:rsidRPr="006F083F">
        <w:rPr>
          <w:rFonts w:ascii="Arial" w:eastAsia="Calibri" w:hAnsi="Arial" w:cs="Arial"/>
          <w:bCs/>
          <w:color w:val="000000"/>
          <w:sz w:val="26"/>
          <w:szCs w:val="26"/>
          <w:lang w:val="es-MX"/>
        </w:rPr>
        <w:t xml:space="preserve">Con base en lo anterior, la primera instancia emitió un fallo </w:t>
      </w:r>
      <w:r w:rsidR="00762D2E" w:rsidRPr="006F083F">
        <w:rPr>
          <w:rFonts w:ascii="Arial" w:eastAsia="Calibri" w:hAnsi="Arial" w:cs="Arial"/>
          <w:b/>
          <w:bCs/>
          <w:color w:val="000000"/>
          <w:sz w:val="26"/>
          <w:szCs w:val="26"/>
          <w:lang w:val="es-MX"/>
        </w:rPr>
        <w:t>carente de congruencia externa y exhaustividad</w:t>
      </w:r>
      <w:r w:rsidR="00762D2E" w:rsidRPr="006F083F">
        <w:rPr>
          <w:rFonts w:ascii="Arial" w:eastAsia="Calibri" w:hAnsi="Arial" w:cs="Arial"/>
          <w:bCs/>
          <w:color w:val="000000"/>
          <w:sz w:val="26"/>
          <w:szCs w:val="26"/>
          <w:lang w:val="es-MX"/>
        </w:rPr>
        <w:t xml:space="preserve">, pues si bien declaró la </w:t>
      </w:r>
      <w:r w:rsidR="00762D2E" w:rsidRPr="006F083F">
        <w:rPr>
          <w:rFonts w:ascii="Arial" w:eastAsia="Calibri" w:hAnsi="Arial" w:cs="Arial"/>
          <w:b/>
          <w:bCs/>
          <w:color w:val="000000"/>
          <w:sz w:val="26"/>
          <w:szCs w:val="26"/>
          <w:lang w:val="es-MX"/>
        </w:rPr>
        <w:t xml:space="preserve">nulidad </w:t>
      </w:r>
      <w:r w:rsidR="00762D2E" w:rsidRPr="006F083F">
        <w:rPr>
          <w:rFonts w:ascii="Arial" w:eastAsia="Calibri" w:hAnsi="Arial" w:cs="Arial"/>
          <w:bCs/>
          <w:color w:val="000000"/>
          <w:sz w:val="26"/>
          <w:szCs w:val="26"/>
          <w:lang w:val="es-MX"/>
        </w:rPr>
        <w:t>de la resolución contenida en el oficio OP/DG/</w:t>
      </w:r>
      <w:r w:rsidR="009D4197" w:rsidRPr="006F083F">
        <w:rPr>
          <w:rFonts w:ascii="Arial" w:eastAsia="Calibri" w:hAnsi="Arial" w:cs="Arial"/>
          <w:bCs/>
          <w:color w:val="000000"/>
          <w:sz w:val="26"/>
          <w:szCs w:val="26"/>
          <w:lang w:val="es-MX"/>
        </w:rPr>
        <w:t>1900</w:t>
      </w:r>
      <w:r w:rsidR="00762D2E" w:rsidRPr="006F083F">
        <w:rPr>
          <w:rFonts w:ascii="Arial" w:eastAsia="Calibri" w:hAnsi="Arial" w:cs="Arial"/>
          <w:bCs/>
          <w:color w:val="000000"/>
          <w:sz w:val="26"/>
          <w:szCs w:val="26"/>
          <w:lang w:val="es-MX"/>
        </w:rPr>
        <w:t>/201</w:t>
      </w:r>
      <w:r w:rsidR="009D4197" w:rsidRPr="006F083F">
        <w:rPr>
          <w:rFonts w:ascii="Arial" w:eastAsia="Calibri" w:hAnsi="Arial" w:cs="Arial"/>
          <w:bCs/>
          <w:color w:val="000000"/>
          <w:sz w:val="26"/>
          <w:szCs w:val="26"/>
          <w:lang w:val="es-MX"/>
        </w:rPr>
        <w:t>9</w:t>
      </w:r>
      <w:r w:rsidR="00762D2E" w:rsidRPr="006F083F">
        <w:rPr>
          <w:rFonts w:ascii="Arial" w:eastAsia="Calibri" w:hAnsi="Arial" w:cs="Arial"/>
          <w:bCs/>
          <w:color w:val="000000"/>
          <w:sz w:val="26"/>
          <w:szCs w:val="26"/>
          <w:lang w:val="es-MX"/>
        </w:rPr>
        <w:t xml:space="preserve"> de fecha </w:t>
      </w:r>
      <w:r w:rsidR="009D4197" w:rsidRPr="006F083F">
        <w:rPr>
          <w:rFonts w:ascii="Arial" w:eastAsia="Calibri" w:hAnsi="Arial" w:cs="Arial"/>
          <w:bCs/>
          <w:color w:val="000000"/>
          <w:sz w:val="26"/>
          <w:szCs w:val="26"/>
          <w:lang w:val="es-MX"/>
        </w:rPr>
        <w:t>diez de julio de dos mil diecinueve</w:t>
      </w:r>
      <w:r w:rsidR="00762D2E" w:rsidRPr="006F083F">
        <w:rPr>
          <w:rFonts w:ascii="Arial" w:eastAsia="Calibri" w:hAnsi="Arial" w:cs="Arial"/>
          <w:bCs/>
          <w:color w:val="000000"/>
          <w:sz w:val="26"/>
          <w:szCs w:val="26"/>
          <w:lang w:val="es-MX"/>
        </w:rPr>
        <w:t xml:space="preserve">, </w:t>
      </w:r>
      <w:r w:rsidR="00762D2E" w:rsidRPr="006F083F">
        <w:rPr>
          <w:rFonts w:ascii="Arial" w:eastAsia="Calibri" w:hAnsi="Arial" w:cs="Arial"/>
          <w:b/>
          <w:bCs/>
          <w:color w:val="000000"/>
          <w:sz w:val="26"/>
          <w:szCs w:val="26"/>
          <w:lang w:val="es-MX"/>
        </w:rPr>
        <w:t>para el efecto</w:t>
      </w:r>
      <w:r w:rsidR="00762D2E" w:rsidRPr="006F083F">
        <w:rPr>
          <w:rFonts w:ascii="Arial" w:eastAsia="Calibri" w:hAnsi="Arial" w:cs="Arial"/>
          <w:bCs/>
          <w:color w:val="000000"/>
          <w:sz w:val="26"/>
          <w:szCs w:val="26"/>
          <w:lang w:val="es-MX"/>
        </w:rPr>
        <w:t xml:space="preserve"> de que </w:t>
      </w:r>
      <w:r w:rsidR="009D4197" w:rsidRPr="006F083F">
        <w:rPr>
          <w:rFonts w:ascii="Arial" w:eastAsia="Calibri" w:hAnsi="Arial" w:cs="Arial"/>
          <w:bCs/>
          <w:color w:val="000000"/>
          <w:sz w:val="26"/>
          <w:szCs w:val="26"/>
          <w:lang w:val="es-MX"/>
        </w:rPr>
        <w:t>la autoridad demanda</w:t>
      </w:r>
      <w:r w:rsidR="00587764" w:rsidRPr="006F083F">
        <w:rPr>
          <w:rFonts w:ascii="Arial" w:eastAsia="Calibri" w:hAnsi="Arial" w:cs="Arial"/>
          <w:bCs/>
          <w:color w:val="000000"/>
          <w:sz w:val="26"/>
          <w:szCs w:val="26"/>
          <w:lang w:val="es-MX"/>
        </w:rPr>
        <w:t>da</w:t>
      </w:r>
      <w:r w:rsidR="009D4197" w:rsidRPr="006F083F">
        <w:rPr>
          <w:rFonts w:ascii="Arial" w:eastAsia="Calibri" w:hAnsi="Arial" w:cs="Arial"/>
          <w:bCs/>
          <w:color w:val="000000"/>
          <w:sz w:val="26"/>
          <w:szCs w:val="26"/>
          <w:lang w:val="es-MX"/>
        </w:rPr>
        <w:t xml:space="preserve"> </w:t>
      </w:r>
      <w:r w:rsidR="00762D2E" w:rsidRPr="006F083F">
        <w:rPr>
          <w:rFonts w:ascii="Arial" w:eastAsia="Calibri" w:hAnsi="Arial" w:cs="Arial"/>
          <w:bCs/>
          <w:color w:val="000000"/>
          <w:sz w:val="26"/>
          <w:szCs w:val="26"/>
          <w:lang w:val="es-MX"/>
        </w:rPr>
        <w:t xml:space="preserve">Consejo Directivo de Pensiones del Gobierno del Estado, dicte otra en la que </w:t>
      </w:r>
      <w:r w:rsidR="009D4197" w:rsidRPr="006F083F">
        <w:rPr>
          <w:rFonts w:ascii="Arial" w:eastAsia="Calibri" w:hAnsi="Arial" w:cs="Arial"/>
          <w:bCs/>
          <w:color w:val="000000"/>
          <w:sz w:val="26"/>
          <w:szCs w:val="26"/>
          <w:lang w:val="es-MX"/>
        </w:rPr>
        <w:t xml:space="preserve">considerando además de la pensión por jubilación otorgada por el 100% del último sueldo del actor, </w:t>
      </w:r>
      <w:r w:rsidR="00D137B2" w:rsidRPr="006F083F">
        <w:rPr>
          <w:rFonts w:ascii="Arial" w:eastAsia="Calibri" w:hAnsi="Arial" w:cs="Arial"/>
          <w:bCs/>
          <w:color w:val="000000"/>
          <w:sz w:val="26"/>
          <w:szCs w:val="26"/>
          <w:lang w:val="es-MX"/>
        </w:rPr>
        <w:t xml:space="preserve">le </w:t>
      </w:r>
      <w:r w:rsidR="009D4197" w:rsidRPr="006F083F">
        <w:rPr>
          <w:rFonts w:ascii="Arial" w:eastAsia="Calibri" w:hAnsi="Arial" w:cs="Arial"/>
          <w:bCs/>
          <w:color w:val="000000"/>
          <w:sz w:val="26"/>
          <w:szCs w:val="26"/>
          <w:lang w:val="es-MX"/>
        </w:rPr>
        <w:t xml:space="preserve">conceda </w:t>
      </w:r>
      <w:r w:rsidR="00762D2E" w:rsidRPr="006F083F">
        <w:rPr>
          <w:rFonts w:ascii="Arial" w:eastAsia="Calibri" w:hAnsi="Arial" w:cs="Arial"/>
          <w:bCs/>
          <w:color w:val="000000"/>
          <w:sz w:val="26"/>
          <w:szCs w:val="26"/>
          <w:lang w:val="es-MX"/>
        </w:rPr>
        <w:t xml:space="preserve">  </w:t>
      </w:r>
      <w:r w:rsidR="009D4197" w:rsidRPr="006F083F">
        <w:rPr>
          <w:rFonts w:ascii="Arial" w:eastAsia="Calibri" w:hAnsi="Arial" w:cs="Arial"/>
          <w:bCs/>
          <w:color w:val="000000"/>
          <w:sz w:val="26"/>
          <w:szCs w:val="26"/>
          <w:lang w:val="es-MX"/>
        </w:rPr>
        <w:t>las prestaciones</w:t>
      </w:r>
      <w:r w:rsidR="009D4197" w:rsidRPr="006F083F">
        <w:rPr>
          <w:rFonts w:ascii="Arial" w:eastAsia="Calibri" w:hAnsi="Arial" w:cs="Arial"/>
          <w:b/>
          <w:bCs/>
          <w:color w:val="000000"/>
          <w:sz w:val="26"/>
          <w:szCs w:val="26"/>
          <w:lang w:val="es-MX"/>
        </w:rPr>
        <w:t xml:space="preserve"> </w:t>
      </w:r>
      <w:r w:rsidR="00762D2E" w:rsidRPr="006F083F">
        <w:rPr>
          <w:rFonts w:ascii="Arial" w:eastAsia="Calibri" w:hAnsi="Arial" w:cs="Arial"/>
          <w:bCs/>
          <w:color w:val="000000"/>
          <w:sz w:val="26"/>
          <w:szCs w:val="26"/>
          <w:lang w:val="es-MX"/>
        </w:rPr>
        <w:t>que percibe un trabajador de base</w:t>
      </w:r>
      <w:r w:rsidR="00D137B2" w:rsidRPr="006F083F">
        <w:rPr>
          <w:rFonts w:ascii="Arial" w:eastAsia="Calibri" w:hAnsi="Arial" w:cs="Arial"/>
          <w:bCs/>
          <w:color w:val="000000"/>
          <w:sz w:val="26"/>
          <w:szCs w:val="26"/>
          <w:lang w:val="es-MX"/>
        </w:rPr>
        <w:t>,</w:t>
      </w:r>
      <w:r w:rsidR="00762D2E" w:rsidRPr="006F083F">
        <w:rPr>
          <w:rFonts w:ascii="Arial" w:eastAsia="Calibri" w:hAnsi="Arial" w:cs="Arial"/>
          <w:bCs/>
          <w:color w:val="000000"/>
          <w:sz w:val="26"/>
          <w:szCs w:val="26"/>
          <w:lang w:val="es-MX"/>
        </w:rPr>
        <w:t xml:space="preserve"> en términos del artículo 54 de la Ley de Pensiones para los Trabajadores del Gobierno del Estado; sin embargo, </w:t>
      </w:r>
      <w:r w:rsidR="00762D2E" w:rsidRPr="006F083F">
        <w:rPr>
          <w:rFonts w:ascii="Arial" w:eastAsia="Calibri" w:hAnsi="Arial" w:cs="Arial"/>
          <w:b/>
          <w:bCs/>
          <w:i/>
          <w:color w:val="000000"/>
          <w:sz w:val="26"/>
          <w:szCs w:val="26"/>
          <w:lang w:val="es-MX"/>
        </w:rPr>
        <w:t xml:space="preserve">omitió </w:t>
      </w:r>
      <w:r w:rsidR="00762D2E" w:rsidRPr="006F083F">
        <w:rPr>
          <w:rFonts w:ascii="Arial" w:eastAsia="Calibri" w:hAnsi="Arial" w:cs="Arial"/>
          <w:bCs/>
          <w:color w:val="000000"/>
          <w:sz w:val="26"/>
          <w:szCs w:val="26"/>
          <w:lang w:val="es-MX"/>
        </w:rPr>
        <w:t>señalar a partir de qué fecha se efectuaría dicho pago</w:t>
      </w:r>
      <w:r w:rsidR="00CA03D4" w:rsidRPr="006F083F">
        <w:rPr>
          <w:rFonts w:ascii="Arial" w:eastAsia="Calibri" w:hAnsi="Arial" w:cs="Arial"/>
          <w:bCs/>
          <w:color w:val="000000"/>
          <w:sz w:val="26"/>
          <w:szCs w:val="26"/>
          <w:lang w:val="es-MX"/>
        </w:rPr>
        <w:t>.</w:t>
      </w:r>
      <w:r w:rsidR="00D137B2" w:rsidRPr="006F083F">
        <w:rPr>
          <w:rFonts w:ascii="Arial" w:eastAsia="Calibri" w:hAnsi="Arial" w:cs="Arial"/>
          <w:bCs/>
          <w:color w:val="000000"/>
          <w:sz w:val="26"/>
          <w:szCs w:val="26"/>
          <w:lang w:val="es-MX"/>
        </w:rPr>
        <w:t xml:space="preserve">- - - - - - - - - - - - - - - - - - - - - - - - - - - - - - - - - - - - </w:t>
      </w:r>
    </w:p>
    <w:p w14:paraId="5402128D" w14:textId="0F851493" w:rsidR="00140C01" w:rsidRDefault="00B447DC" w:rsidP="00140C01">
      <w:pPr>
        <w:pStyle w:val="Sinespaciado"/>
        <w:tabs>
          <w:tab w:val="left" w:pos="709"/>
        </w:tabs>
        <w:spacing w:before="120" w:line="360" w:lineRule="auto"/>
        <w:jc w:val="both"/>
        <w:rPr>
          <w:rFonts w:ascii="Arial" w:eastAsia="Calibri" w:hAnsi="Arial" w:cs="Arial"/>
          <w:bCs/>
          <w:color w:val="000000"/>
          <w:sz w:val="26"/>
          <w:szCs w:val="26"/>
          <w:lang w:val="es-MX"/>
        </w:rPr>
      </w:pPr>
      <w:r w:rsidRPr="006F083F">
        <w:rPr>
          <w:rFonts w:ascii="Arial" w:eastAsia="Calibri" w:hAnsi="Arial" w:cs="Arial"/>
          <w:bCs/>
          <w:color w:val="000000"/>
          <w:sz w:val="26"/>
          <w:szCs w:val="26"/>
          <w:lang w:val="es-MX"/>
        </w:rPr>
        <w:tab/>
      </w:r>
      <w:r w:rsidR="00140C01">
        <w:rPr>
          <w:rFonts w:ascii="Arial" w:eastAsia="Calibri" w:hAnsi="Arial" w:cs="Arial"/>
          <w:bCs/>
          <w:color w:val="000000"/>
          <w:sz w:val="26"/>
          <w:szCs w:val="26"/>
          <w:lang w:val="es-MX"/>
        </w:rPr>
        <w:t xml:space="preserve">De igual forma, respecto al descuento del 9% que se efectúa a la pensión de </w:t>
      </w:r>
      <w:r w:rsidR="00523F88">
        <w:rPr>
          <w:rFonts w:ascii="Arial" w:hAnsi="Arial" w:cs="Arial"/>
          <w:b/>
          <w:sz w:val="26"/>
          <w:szCs w:val="26"/>
        </w:rPr>
        <w:t>***********</w:t>
      </w:r>
      <w:r w:rsidR="00140C01">
        <w:rPr>
          <w:rFonts w:ascii="Arial" w:eastAsia="Calibri" w:hAnsi="Arial" w:cs="Arial"/>
          <w:bCs/>
          <w:color w:val="000000"/>
          <w:sz w:val="26"/>
          <w:szCs w:val="26"/>
          <w:lang w:val="es-MX"/>
        </w:rPr>
        <w:t>, por concepto de aportación al Fondo de Pensiones, la Tercera Sala Unitaria de Primera Instancia</w:t>
      </w:r>
      <w:r w:rsidR="004505C6">
        <w:rPr>
          <w:rFonts w:ascii="Arial" w:eastAsia="Calibri" w:hAnsi="Arial" w:cs="Arial"/>
          <w:bCs/>
          <w:color w:val="000000"/>
          <w:sz w:val="26"/>
          <w:szCs w:val="26"/>
          <w:lang w:val="es-MX"/>
        </w:rPr>
        <w:t xml:space="preserve"> </w:t>
      </w:r>
      <w:r w:rsidR="00140C01">
        <w:rPr>
          <w:rFonts w:ascii="Arial" w:eastAsia="Calibri" w:hAnsi="Arial" w:cs="Arial"/>
          <w:bCs/>
          <w:color w:val="000000"/>
          <w:sz w:val="26"/>
          <w:szCs w:val="26"/>
          <w:lang w:val="es-MX"/>
        </w:rPr>
        <w:t xml:space="preserve">señaló que dicho descuento no fue parte de la Litis en el asunto, además de que esa autoridad desconocía si el actor había promovido juicio diverso para la eliminación de dicho descuento, por lo que dejaba a salvo sus derechos para promover lo que a sus intereses conviniere.- - - - - - - - - - - - - - - - - </w:t>
      </w:r>
    </w:p>
    <w:p w14:paraId="6E8E7E3E" w14:textId="21CD4FBB" w:rsidR="00140C01" w:rsidRDefault="00140C01" w:rsidP="00140C01">
      <w:pPr>
        <w:pStyle w:val="Sinespaciado"/>
        <w:tabs>
          <w:tab w:val="left" w:pos="709"/>
        </w:tabs>
        <w:spacing w:before="120" w:line="360" w:lineRule="auto"/>
        <w:jc w:val="both"/>
        <w:rPr>
          <w:rFonts w:ascii="Arial" w:eastAsia="Calibri" w:hAnsi="Arial" w:cs="Arial"/>
          <w:bCs/>
          <w:color w:val="000000"/>
          <w:sz w:val="26"/>
          <w:szCs w:val="26"/>
          <w:lang w:val="es-MX"/>
        </w:rPr>
      </w:pPr>
      <w:r>
        <w:rPr>
          <w:rFonts w:ascii="Arial" w:eastAsia="Calibri" w:hAnsi="Arial" w:cs="Arial"/>
          <w:bCs/>
          <w:color w:val="000000"/>
          <w:sz w:val="26"/>
          <w:szCs w:val="26"/>
          <w:lang w:val="es-MX"/>
        </w:rPr>
        <w:tab/>
        <w:t xml:space="preserve">Al respecto es de indicar que contrario a lo resuelto por la primera instancia, de la demanda de nulidad presentada por </w:t>
      </w:r>
      <w:r w:rsidR="00523F88">
        <w:rPr>
          <w:rFonts w:ascii="Arial" w:hAnsi="Arial" w:cs="Arial"/>
          <w:b/>
          <w:sz w:val="26"/>
          <w:szCs w:val="26"/>
        </w:rPr>
        <w:t>***********</w:t>
      </w:r>
      <w:r>
        <w:rPr>
          <w:rFonts w:ascii="Arial" w:eastAsia="Calibri" w:hAnsi="Arial" w:cs="Arial"/>
          <w:bCs/>
          <w:color w:val="000000"/>
          <w:sz w:val="26"/>
          <w:szCs w:val="26"/>
          <w:lang w:val="es-MX"/>
        </w:rPr>
        <w:t xml:space="preserve">, respecto a las prensiones solicito lo siguiente: - - - - - - - - - - - </w:t>
      </w:r>
      <w:r w:rsidR="00523F88">
        <w:rPr>
          <w:rFonts w:ascii="Arial" w:eastAsia="Calibri" w:hAnsi="Arial" w:cs="Arial"/>
          <w:bCs/>
          <w:color w:val="000000"/>
          <w:sz w:val="26"/>
          <w:szCs w:val="26"/>
          <w:lang w:val="es-MX"/>
        </w:rPr>
        <w:t xml:space="preserve">- - - - - - - - - - - - - - </w:t>
      </w:r>
    </w:p>
    <w:p w14:paraId="6B8DF440" w14:textId="77777777" w:rsidR="00140C01" w:rsidRDefault="00140C01" w:rsidP="00140C01">
      <w:pPr>
        <w:pStyle w:val="Sinespaciado"/>
        <w:tabs>
          <w:tab w:val="left" w:pos="709"/>
        </w:tabs>
        <w:spacing w:before="120" w:line="360" w:lineRule="auto"/>
        <w:ind w:left="851" w:right="900"/>
        <w:jc w:val="both"/>
        <w:rPr>
          <w:rFonts w:ascii="Arial" w:eastAsia="Calibri" w:hAnsi="Arial" w:cs="Arial"/>
          <w:b/>
          <w:bCs/>
          <w:i/>
          <w:color w:val="000000"/>
          <w:lang w:val="es-MX"/>
        </w:rPr>
      </w:pPr>
      <w:r w:rsidRPr="001D2589">
        <w:rPr>
          <w:rFonts w:ascii="Arial" w:eastAsia="Calibri" w:hAnsi="Arial" w:cs="Arial"/>
          <w:b/>
          <w:bCs/>
          <w:i/>
          <w:color w:val="000000"/>
          <w:sz w:val="26"/>
          <w:szCs w:val="26"/>
          <w:lang w:val="es-MX"/>
        </w:rPr>
        <w:t>“</w:t>
      </w:r>
      <w:r>
        <w:rPr>
          <w:rFonts w:ascii="Arial" w:eastAsia="Calibri" w:hAnsi="Arial" w:cs="Arial"/>
          <w:bCs/>
          <w:i/>
          <w:color w:val="000000"/>
          <w:lang w:val="es-MX"/>
        </w:rPr>
        <w:t xml:space="preserve">Pretensión que se deduce en el juicio: </w:t>
      </w:r>
      <w:r>
        <w:rPr>
          <w:rFonts w:ascii="Arial" w:eastAsia="Calibri" w:hAnsi="Arial" w:cs="Arial"/>
          <w:b/>
          <w:bCs/>
          <w:i/>
          <w:color w:val="000000"/>
          <w:lang w:val="es-MX"/>
        </w:rPr>
        <w:t>previo el procedimiento de ley, con fundamento en lo dispuesto por los artículos 206 y 207 de la Ley de Procedimiento y Justicia Administrativa para el Estado de Oaxaca, se declare la nulidad lisa y llana del acto impugnado y como consecuencia se me restituya en el pleno goce de mis derechos indebidamente afectados.</w:t>
      </w:r>
    </w:p>
    <w:p w14:paraId="3FE03276" w14:textId="77777777" w:rsidR="00140C01" w:rsidRDefault="00140C01" w:rsidP="00140C01">
      <w:pPr>
        <w:pStyle w:val="Sinespaciado"/>
        <w:tabs>
          <w:tab w:val="left" w:pos="709"/>
        </w:tabs>
        <w:spacing w:before="120" w:line="360" w:lineRule="auto"/>
        <w:ind w:left="851" w:right="900"/>
        <w:jc w:val="both"/>
        <w:rPr>
          <w:rFonts w:ascii="Arial" w:eastAsia="Calibri" w:hAnsi="Arial" w:cs="Arial"/>
          <w:bCs/>
          <w:i/>
          <w:color w:val="000000"/>
          <w:lang w:val="es-MX"/>
        </w:rPr>
      </w:pPr>
      <w:r w:rsidRPr="00B854C5">
        <w:rPr>
          <w:rFonts w:ascii="Arial" w:eastAsia="Calibri" w:hAnsi="Arial" w:cs="Arial"/>
          <w:bCs/>
          <w:i/>
          <w:color w:val="000000"/>
          <w:lang w:val="es-MX"/>
        </w:rPr>
        <w:t xml:space="preserve">Así también se me </w:t>
      </w:r>
      <w:r>
        <w:rPr>
          <w:rFonts w:ascii="Arial" w:eastAsia="Calibri" w:hAnsi="Arial" w:cs="Arial"/>
          <w:bCs/>
          <w:i/>
          <w:color w:val="000000"/>
          <w:lang w:val="es-MX"/>
        </w:rPr>
        <w:t xml:space="preserve">paguen las demás prestaciones a que tengo derecho con efectos restitutorios, lo anterior con fundamento a lo </w:t>
      </w:r>
      <w:r>
        <w:rPr>
          <w:rFonts w:ascii="Arial" w:eastAsia="Calibri" w:hAnsi="Arial" w:cs="Arial"/>
          <w:bCs/>
          <w:i/>
          <w:color w:val="000000"/>
          <w:lang w:val="es-MX"/>
        </w:rPr>
        <w:lastRenderedPageBreak/>
        <w:t>establecido en el artículo 1º de Nuestra Carta Magna y al Principio Pro Persona, lo anterior con apego a la interpretación conforme al control difuso de constitucionalidad y convencionalidad.</w:t>
      </w:r>
    </w:p>
    <w:p w14:paraId="16FCB269" w14:textId="77777777" w:rsidR="00140C01" w:rsidRDefault="00140C01" w:rsidP="00140C01">
      <w:pPr>
        <w:pStyle w:val="Sinespaciado"/>
        <w:tabs>
          <w:tab w:val="left" w:pos="709"/>
        </w:tabs>
        <w:spacing w:before="120" w:line="360" w:lineRule="auto"/>
        <w:ind w:left="851" w:right="900"/>
        <w:jc w:val="both"/>
        <w:rPr>
          <w:rFonts w:ascii="Arial" w:eastAsia="Calibri" w:hAnsi="Arial" w:cs="Arial"/>
          <w:bCs/>
          <w:i/>
          <w:color w:val="000000"/>
          <w:lang w:val="es-MX"/>
        </w:rPr>
      </w:pPr>
      <w:r>
        <w:rPr>
          <w:rFonts w:ascii="Arial" w:eastAsia="Calibri" w:hAnsi="Arial" w:cs="Arial"/>
          <w:bCs/>
          <w:i/>
          <w:color w:val="000000"/>
          <w:lang w:val="es-MX"/>
        </w:rPr>
        <w:t>Y además no se me haga la retención del 9% establecido en el artículo 6 fracción III de la Ley de Pensiones para los Trabajadores del Gobierno del Estado de Oaxaca, lo anterior por ser violatorio de los artículos 1º, 14 y 16 de la Constitución Política de los Estados Unidos Mexicanos.</w:t>
      </w:r>
    </w:p>
    <w:p w14:paraId="77551BF1" w14:textId="77777777" w:rsidR="00140C01" w:rsidRDefault="00140C01" w:rsidP="00140C01">
      <w:pPr>
        <w:pStyle w:val="Sinespaciado"/>
        <w:tabs>
          <w:tab w:val="left" w:pos="709"/>
        </w:tabs>
        <w:spacing w:before="120" w:line="360" w:lineRule="auto"/>
        <w:jc w:val="both"/>
        <w:rPr>
          <w:rFonts w:ascii="Arial" w:eastAsia="Calibri" w:hAnsi="Arial" w:cs="Arial"/>
          <w:bCs/>
          <w:color w:val="000000"/>
          <w:sz w:val="26"/>
          <w:szCs w:val="26"/>
          <w:lang w:val="es-MX"/>
        </w:rPr>
      </w:pPr>
      <w:r>
        <w:rPr>
          <w:rFonts w:ascii="Arial" w:eastAsia="Calibri" w:hAnsi="Arial" w:cs="Arial"/>
          <w:bCs/>
          <w:color w:val="000000"/>
          <w:sz w:val="26"/>
          <w:szCs w:val="26"/>
          <w:lang w:val="es-MX"/>
        </w:rPr>
        <w:tab/>
        <w:t xml:space="preserve">Asimismo, en la parte final de su demanda, señaló:- - - - - - - - - - - </w:t>
      </w:r>
    </w:p>
    <w:p w14:paraId="171DD66D" w14:textId="049C086A" w:rsidR="00140C01" w:rsidRPr="000C0E81" w:rsidRDefault="00140C01" w:rsidP="00140C01">
      <w:pPr>
        <w:pStyle w:val="Sinespaciado"/>
        <w:tabs>
          <w:tab w:val="left" w:pos="709"/>
        </w:tabs>
        <w:spacing w:before="120" w:line="360" w:lineRule="auto"/>
        <w:ind w:left="993" w:right="900"/>
        <w:jc w:val="both"/>
        <w:rPr>
          <w:rFonts w:ascii="Arial" w:eastAsia="Calibri" w:hAnsi="Arial" w:cs="Arial"/>
          <w:bCs/>
          <w:i/>
          <w:color w:val="000000"/>
          <w:lang w:val="es-MX"/>
        </w:rPr>
      </w:pPr>
      <w:r>
        <w:rPr>
          <w:rFonts w:ascii="Arial" w:eastAsia="Calibri" w:hAnsi="Arial" w:cs="Arial"/>
          <w:bCs/>
          <w:i/>
          <w:color w:val="000000"/>
          <w:lang w:val="es-MX"/>
        </w:rPr>
        <w:t xml:space="preserve">“En este contexto al quedar plenamente probada la indebida motivación del acto impugnado, solicito a esta H. SALA declare LA NULIDAD </w:t>
      </w:r>
      <w:r>
        <w:rPr>
          <w:rFonts w:ascii="Arial" w:eastAsia="Calibri" w:hAnsi="Arial" w:cs="Arial"/>
          <w:b/>
          <w:bCs/>
          <w:i/>
          <w:color w:val="000000"/>
          <w:lang w:val="es-MX"/>
        </w:rPr>
        <w:t xml:space="preserve">PARA EFECTO </w:t>
      </w:r>
      <w:r>
        <w:rPr>
          <w:rFonts w:ascii="Arial" w:eastAsia="Calibri" w:hAnsi="Arial" w:cs="Arial"/>
          <w:bCs/>
          <w:i/>
          <w:color w:val="000000"/>
          <w:lang w:val="es-MX"/>
        </w:rPr>
        <w:t xml:space="preserve">de que se orden al Consejo Directivo de la Oficina de Pensiones del Estado de Oaxaca, dicte otra, en la que se me otorgue la pensión por jubilación con las mismas prestaciones que percibe un trabajador de base, en términos del artículo 54 de la Ley de Pensiones para los Trabajadores del Gobierno del Estado, </w:t>
      </w:r>
      <w:r>
        <w:rPr>
          <w:rFonts w:ascii="Arial" w:eastAsia="Calibri" w:hAnsi="Arial" w:cs="Arial"/>
          <w:b/>
          <w:bCs/>
          <w:i/>
          <w:color w:val="000000"/>
          <w:lang w:val="es-MX"/>
        </w:rPr>
        <w:t xml:space="preserve">desde luego estas prestaciones me deberán ser cubiertas desde el primer momento en que se me pagó mi pensión como jubilado del gobierno del Estado, es decir desde el primero de enero del año 2020, pago que me realizó el día 31 de diciembre del año 2019, tal como lo acredito con el original del recibo de pago que me fue expedido por la oficina de pensiones, donde consta que solo me pagaron la cantidad de </w:t>
      </w:r>
      <w:r w:rsidR="00523F88">
        <w:rPr>
          <w:rFonts w:ascii="Arial" w:hAnsi="Arial" w:cs="Arial"/>
          <w:b/>
          <w:sz w:val="26"/>
          <w:szCs w:val="26"/>
        </w:rPr>
        <w:t>***********</w:t>
      </w:r>
      <w:r>
        <w:rPr>
          <w:rFonts w:ascii="Arial" w:eastAsia="Calibri" w:hAnsi="Arial" w:cs="Arial"/>
          <w:b/>
          <w:bCs/>
          <w:i/>
          <w:color w:val="000000"/>
          <w:lang w:val="es-MX"/>
        </w:rPr>
        <w:t xml:space="preserve"> es por eso que solicito que mi pago sea de manera retroactiva desde el primero de enero del año 2020 hasta la fecha en forma retroactiva (sic), pues desde esa fecha se me discriminó, no pagándome dichas prestaciones como si hubiera sido trabajador de base, </w:t>
      </w:r>
      <w:r>
        <w:rPr>
          <w:rFonts w:ascii="Arial" w:eastAsia="Calibri" w:hAnsi="Arial" w:cs="Arial"/>
          <w:bCs/>
          <w:i/>
          <w:color w:val="000000"/>
          <w:lang w:val="es-MX"/>
        </w:rPr>
        <w:t xml:space="preserve">y sin la aplicación del descuento a que se refieren los artículos 6, fracción III, 18, párrafo segundo y octavo transitorio de la ley relativa, por haber sido declarados </w:t>
      </w:r>
      <w:proofErr w:type="spellStart"/>
      <w:r>
        <w:rPr>
          <w:rFonts w:ascii="Arial" w:eastAsia="Calibri" w:hAnsi="Arial" w:cs="Arial"/>
          <w:bCs/>
          <w:i/>
          <w:color w:val="000000"/>
          <w:lang w:val="es-MX"/>
        </w:rPr>
        <w:t>inconvencionales</w:t>
      </w:r>
      <w:proofErr w:type="spellEnd"/>
      <w:r>
        <w:rPr>
          <w:rFonts w:ascii="Arial" w:eastAsia="Calibri" w:hAnsi="Arial" w:cs="Arial"/>
          <w:bCs/>
          <w:i/>
          <w:color w:val="000000"/>
          <w:lang w:val="es-MX"/>
        </w:rPr>
        <w:t xml:space="preserve"> e inconstitucionales en los términos apuntados.”</w:t>
      </w:r>
    </w:p>
    <w:p w14:paraId="2632F2F3" w14:textId="195B63FC" w:rsidR="006021BA" w:rsidRPr="00EB041C" w:rsidRDefault="00140C01" w:rsidP="006021BA">
      <w:pPr>
        <w:pStyle w:val="Sinespaciado"/>
        <w:tabs>
          <w:tab w:val="left" w:pos="709"/>
        </w:tabs>
        <w:spacing w:before="120" w:line="360" w:lineRule="auto"/>
        <w:jc w:val="both"/>
        <w:rPr>
          <w:rFonts w:ascii="Arial" w:eastAsia="Calibri" w:hAnsi="Arial" w:cs="Arial"/>
          <w:bCs/>
          <w:color w:val="000000"/>
          <w:sz w:val="26"/>
          <w:szCs w:val="26"/>
          <w:lang w:val="es-MX"/>
        </w:rPr>
      </w:pPr>
      <w:r>
        <w:rPr>
          <w:rFonts w:ascii="Arial" w:eastAsia="Calibri" w:hAnsi="Arial" w:cs="Arial"/>
          <w:bCs/>
          <w:color w:val="000000"/>
          <w:sz w:val="26"/>
          <w:szCs w:val="26"/>
          <w:lang w:val="es-MX"/>
        </w:rPr>
        <w:tab/>
      </w:r>
      <w:r w:rsidR="006021BA" w:rsidRPr="00EB041C">
        <w:rPr>
          <w:rFonts w:ascii="Arial" w:eastAsia="Calibri" w:hAnsi="Arial" w:cs="Arial"/>
          <w:bCs/>
          <w:color w:val="000000"/>
          <w:sz w:val="26"/>
          <w:szCs w:val="26"/>
          <w:lang w:val="es-MX"/>
        </w:rPr>
        <w:t xml:space="preserve">Así se tiene que </w:t>
      </w:r>
      <w:r w:rsidR="00523F88">
        <w:rPr>
          <w:rFonts w:ascii="Arial" w:hAnsi="Arial" w:cs="Arial"/>
          <w:b/>
          <w:sz w:val="26"/>
          <w:szCs w:val="26"/>
        </w:rPr>
        <w:t>***********</w:t>
      </w:r>
      <w:r w:rsidR="006021BA" w:rsidRPr="00EB041C">
        <w:rPr>
          <w:rFonts w:ascii="Arial" w:eastAsia="Calibri" w:hAnsi="Arial" w:cs="Arial"/>
          <w:bCs/>
          <w:color w:val="000000"/>
          <w:sz w:val="26"/>
          <w:szCs w:val="26"/>
          <w:lang w:val="es-MX"/>
        </w:rPr>
        <w:t xml:space="preserve">, sí </w:t>
      </w:r>
      <w:r w:rsidR="002129D5" w:rsidRPr="00EB041C">
        <w:rPr>
          <w:rFonts w:ascii="Arial" w:eastAsia="Calibri" w:hAnsi="Arial" w:cs="Arial"/>
          <w:bCs/>
          <w:color w:val="000000"/>
          <w:sz w:val="26"/>
          <w:szCs w:val="26"/>
          <w:lang w:val="es-MX"/>
        </w:rPr>
        <w:t>solicitó</w:t>
      </w:r>
      <w:r w:rsidR="006021BA" w:rsidRPr="00EB041C">
        <w:rPr>
          <w:rFonts w:ascii="Arial" w:eastAsia="Calibri" w:hAnsi="Arial" w:cs="Arial"/>
          <w:bCs/>
          <w:color w:val="000000"/>
          <w:sz w:val="26"/>
          <w:szCs w:val="26"/>
          <w:lang w:val="es-MX"/>
        </w:rPr>
        <w:t xml:space="preserve"> en su demanda de nulidad que se le hiciera el pago retroactivo de las prestaciones que perciben los trabajadores de base en términos del artículo 54</w:t>
      </w:r>
      <w:r w:rsidR="009B3FF6">
        <w:rPr>
          <w:rFonts w:ascii="Arial" w:eastAsia="Calibri" w:hAnsi="Arial" w:cs="Arial"/>
          <w:bCs/>
          <w:color w:val="000000"/>
          <w:sz w:val="26"/>
          <w:szCs w:val="26"/>
          <w:lang w:val="es-MX"/>
        </w:rPr>
        <w:t xml:space="preserve">, fracción I </w:t>
      </w:r>
      <w:r w:rsidR="006021BA" w:rsidRPr="00EB041C">
        <w:rPr>
          <w:rFonts w:ascii="Arial" w:eastAsia="Calibri" w:hAnsi="Arial" w:cs="Arial"/>
          <w:bCs/>
          <w:color w:val="000000"/>
          <w:sz w:val="26"/>
          <w:szCs w:val="26"/>
          <w:lang w:val="es-MX"/>
        </w:rPr>
        <w:t>de la Ley de Pensiones para los Trabajadores del Gobierno del Estado de Oaxaca, así como se le dejara</w:t>
      </w:r>
      <w:r w:rsidR="002129D5" w:rsidRPr="00EB041C">
        <w:rPr>
          <w:rFonts w:ascii="Arial" w:eastAsia="Calibri" w:hAnsi="Arial" w:cs="Arial"/>
          <w:bCs/>
          <w:color w:val="000000"/>
          <w:sz w:val="26"/>
          <w:szCs w:val="26"/>
          <w:lang w:val="es-MX"/>
        </w:rPr>
        <w:t>n</w:t>
      </w:r>
      <w:r w:rsidR="006021BA" w:rsidRPr="00EB041C">
        <w:rPr>
          <w:rFonts w:ascii="Arial" w:eastAsia="Calibri" w:hAnsi="Arial" w:cs="Arial"/>
          <w:bCs/>
          <w:color w:val="000000"/>
          <w:sz w:val="26"/>
          <w:szCs w:val="26"/>
          <w:lang w:val="es-MX"/>
        </w:rPr>
        <w:t xml:space="preserve"> de hacer los descuentos del 9% efectuados a su pensión y destinados al  Fondo de Pensiones, a que se refieren los artículos 6, fracción III, 18, párrafo segundo y artículo octavo transitorio de la citada ley, por haber sido declarados inconvencionales e inconstitucionales; por tanto, sí fue materia de la Litis del procedimiento administrativo tramitado en el expediente 0003/2020.- </w:t>
      </w:r>
      <w:r w:rsidR="009B3FF6">
        <w:rPr>
          <w:rFonts w:ascii="Arial" w:eastAsia="Calibri" w:hAnsi="Arial" w:cs="Arial"/>
          <w:bCs/>
          <w:color w:val="000000"/>
          <w:sz w:val="26"/>
          <w:szCs w:val="26"/>
          <w:lang w:val="es-MX"/>
        </w:rPr>
        <w:t xml:space="preserve">- - - - - - - - - - - - - </w:t>
      </w:r>
      <w:r w:rsidR="00523F88">
        <w:rPr>
          <w:rFonts w:ascii="Arial" w:eastAsia="Calibri" w:hAnsi="Arial" w:cs="Arial"/>
          <w:bCs/>
          <w:color w:val="000000"/>
          <w:sz w:val="26"/>
          <w:szCs w:val="26"/>
          <w:lang w:val="es-MX"/>
        </w:rPr>
        <w:t xml:space="preserve"> </w:t>
      </w:r>
    </w:p>
    <w:p w14:paraId="0B9F165E" w14:textId="60D7AE41" w:rsidR="006021BA" w:rsidRPr="00EB041C" w:rsidRDefault="006021BA" w:rsidP="006021BA">
      <w:pPr>
        <w:pStyle w:val="Sinespaciado"/>
        <w:tabs>
          <w:tab w:val="left" w:pos="709"/>
        </w:tabs>
        <w:spacing w:before="100" w:beforeAutospacing="1" w:after="120" w:line="360" w:lineRule="auto"/>
        <w:jc w:val="both"/>
        <w:rPr>
          <w:rFonts w:ascii="Arial" w:hAnsi="Arial" w:cs="Arial"/>
          <w:sz w:val="26"/>
          <w:szCs w:val="26"/>
        </w:rPr>
      </w:pPr>
      <w:r w:rsidRPr="00EB041C">
        <w:rPr>
          <w:rFonts w:ascii="Arial" w:eastAsia="Calibri" w:hAnsi="Arial" w:cs="Arial"/>
          <w:bCs/>
          <w:color w:val="000000"/>
          <w:sz w:val="26"/>
          <w:szCs w:val="26"/>
          <w:lang w:val="es-MX"/>
        </w:rPr>
        <w:lastRenderedPageBreak/>
        <w:tab/>
        <w:t>Por ende, de conformidad con lo dispuesto por el artículo 18, fracción II</w:t>
      </w:r>
      <w:r w:rsidRPr="00EB041C">
        <w:rPr>
          <w:rStyle w:val="Refdenotaalpie"/>
          <w:rFonts w:ascii="Arial" w:eastAsia="Calibri" w:hAnsi="Arial" w:cs="Arial"/>
          <w:bCs/>
          <w:color w:val="000000"/>
          <w:sz w:val="26"/>
          <w:szCs w:val="26"/>
          <w:lang w:val="es-MX"/>
        </w:rPr>
        <w:footnoteReference w:id="2"/>
      </w:r>
      <w:r w:rsidRPr="00EB041C">
        <w:rPr>
          <w:rFonts w:ascii="Arial" w:eastAsia="Calibri" w:hAnsi="Arial" w:cs="Arial"/>
          <w:bCs/>
          <w:color w:val="000000"/>
          <w:sz w:val="26"/>
          <w:szCs w:val="26"/>
          <w:lang w:val="es-MX"/>
        </w:rPr>
        <w:t xml:space="preserve"> de la Ley de Procedimiento y Justicia Administrativa para el Estado de Oaxaca, que establece claramente que cuando el acto administrativo se declare jurídicamente nulo será inválido, y que dicha declaración de nulidad producirá efectos retroactivos; es decir, la nulidad se da en el dictado de una sentencia favorable, que resuelve de manera absoluta la pretensión de la parte actora y le otorga el máximo beneficio sin posibilidad de una afectación posterior. Por ello, ante la nulidad del el oficio OP/DG/1900/2019 de fecha diez de julio de dos mil diecinueve, emitida por el Director General de la Oficina de Pensiones del Gobierno del Estado de Oaxaca, así como del dictamen de pensión por jubilación emitido por el Consejo Directivo de Pensiones, se deben conceder las prestaciones comprendidas en el artículo 54, fracción I de la Ley de Pensiones para los Trabajadores del Estado de Oaxaca, consistentes en: previsión social múltiple, despensa, vida cara, quinquenios, aguinaldo, </w:t>
      </w:r>
      <w:r w:rsidRPr="00EB041C">
        <w:rPr>
          <w:rFonts w:ascii="Arial" w:eastAsia="Calibri" w:hAnsi="Arial" w:cs="Arial"/>
          <w:bCs/>
          <w:color w:val="000000"/>
          <w:sz w:val="26"/>
          <w:szCs w:val="26"/>
          <w:shd w:val="clear" w:color="auto" w:fill="FFFFFF" w:themeFill="background1"/>
          <w:lang w:val="es-MX"/>
        </w:rPr>
        <w:t xml:space="preserve">estímulo </w:t>
      </w:r>
      <w:r w:rsidRPr="00EB041C">
        <w:rPr>
          <w:rFonts w:ascii="Arial" w:eastAsia="Calibri" w:hAnsi="Arial" w:cs="Arial"/>
          <w:bCs/>
          <w:color w:val="000000"/>
          <w:sz w:val="26"/>
          <w:szCs w:val="26"/>
          <w:lang w:val="es-MX"/>
        </w:rPr>
        <w:t xml:space="preserve">del día del jubilado y canasta navideña, a partir de la fecha en que </w:t>
      </w:r>
      <w:r w:rsidR="002129D5" w:rsidRPr="00EB041C">
        <w:rPr>
          <w:rFonts w:ascii="Arial" w:eastAsia="Calibri" w:hAnsi="Arial" w:cs="Arial"/>
          <w:bCs/>
          <w:color w:val="000000"/>
          <w:sz w:val="26"/>
          <w:szCs w:val="26"/>
          <w:lang w:val="es-MX"/>
        </w:rPr>
        <w:t xml:space="preserve">el actor </w:t>
      </w:r>
      <w:r w:rsidRPr="00EB041C">
        <w:rPr>
          <w:rFonts w:ascii="Arial" w:eastAsia="Calibri" w:hAnsi="Arial" w:cs="Arial"/>
          <w:bCs/>
          <w:color w:val="000000"/>
          <w:sz w:val="26"/>
          <w:szCs w:val="26"/>
          <w:lang w:val="es-MX"/>
        </w:rPr>
        <w:t>recibió su primer pago como jubilad</w:t>
      </w:r>
      <w:r w:rsidR="002129D5" w:rsidRPr="00EB041C">
        <w:rPr>
          <w:rFonts w:ascii="Arial" w:eastAsia="Calibri" w:hAnsi="Arial" w:cs="Arial"/>
          <w:bCs/>
          <w:color w:val="000000"/>
          <w:sz w:val="26"/>
          <w:szCs w:val="26"/>
          <w:lang w:val="es-MX"/>
        </w:rPr>
        <w:t>o</w:t>
      </w:r>
      <w:r w:rsidRPr="00EB041C">
        <w:rPr>
          <w:rFonts w:ascii="Arial" w:eastAsia="Calibri" w:hAnsi="Arial" w:cs="Arial"/>
          <w:bCs/>
          <w:color w:val="000000"/>
          <w:sz w:val="26"/>
          <w:szCs w:val="26"/>
          <w:lang w:val="es-MX"/>
        </w:rPr>
        <w:t>; esto es</w:t>
      </w:r>
      <w:r w:rsidR="002129D5" w:rsidRPr="00EB041C">
        <w:rPr>
          <w:rFonts w:ascii="Arial" w:eastAsia="Calibri" w:hAnsi="Arial" w:cs="Arial"/>
          <w:bCs/>
          <w:color w:val="000000"/>
          <w:sz w:val="26"/>
          <w:szCs w:val="26"/>
          <w:lang w:val="es-MX"/>
        </w:rPr>
        <w:t>,</w:t>
      </w:r>
      <w:r w:rsidRPr="00EB041C">
        <w:rPr>
          <w:rFonts w:ascii="Arial" w:eastAsia="Calibri" w:hAnsi="Arial" w:cs="Arial"/>
          <w:bCs/>
          <w:color w:val="000000"/>
          <w:sz w:val="26"/>
          <w:szCs w:val="26"/>
          <w:lang w:val="es-MX"/>
        </w:rPr>
        <w:t xml:space="preserve"> el uno de enero de dos mil veinte, así como dejar de</w:t>
      </w:r>
      <w:r w:rsidRPr="00EB041C">
        <w:rPr>
          <w:rFonts w:ascii="Arial" w:hAnsi="Arial" w:cs="Arial"/>
          <w:sz w:val="26"/>
          <w:szCs w:val="26"/>
        </w:rPr>
        <w:t xml:space="preserve"> hacer los </w:t>
      </w:r>
      <w:r w:rsidRPr="00EB041C">
        <w:rPr>
          <w:rFonts w:ascii="Arial" w:eastAsia="Calibri" w:hAnsi="Arial" w:cs="Arial"/>
          <w:bCs/>
          <w:color w:val="000000"/>
          <w:sz w:val="26"/>
          <w:szCs w:val="26"/>
          <w:lang w:val="es-MX"/>
        </w:rPr>
        <w:t xml:space="preserve">descuentos del 9% a la pensión de </w:t>
      </w:r>
      <w:r w:rsidR="00523F88">
        <w:rPr>
          <w:rFonts w:ascii="Arial" w:hAnsi="Arial" w:cs="Arial"/>
          <w:b/>
          <w:sz w:val="26"/>
          <w:szCs w:val="26"/>
        </w:rPr>
        <w:t>***********</w:t>
      </w:r>
      <w:r w:rsidRPr="00EB041C">
        <w:rPr>
          <w:rFonts w:ascii="Arial" w:eastAsia="Calibri" w:hAnsi="Arial" w:cs="Arial"/>
          <w:b/>
          <w:sz w:val="26"/>
          <w:szCs w:val="26"/>
        </w:rPr>
        <w:t xml:space="preserve">, </w:t>
      </w:r>
      <w:r w:rsidRPr="00EB041C">
        <w:rPr>
          <w:rFonts w:ascii="Arial" w:eastAsia="Calibri" w:hAnsi="Arial" w:cs="Arial"/>
          <w:bCs/>
          <w:color w:val="000000"/>
          <w:sz w:val="26"/>
          <w:szCs w:val="26"/>
          <w:lang w:val="es-MX"/>
        </w:rPr>
        <w:t xml:space="preserve"> destinados al Fondo de Pensiones, a que se refieren los artículos 6, fracción III, 18, párrafo segundo y artículo octavo transitorio de la citada ley, toda vez que dichos preceptos  </w:t>
      </w:r>
      <w:r w:rsidRPr="00EB041C">
        <w:rPr>
          <w:rFonts w:ascii="Arial" w:hAnsi="Arial" w:cs="Arial"/>
          <w:sz w:val="26"/>
          <w:szCs w:val="26"/>
        </w:rPr>
        <w:t xml:space="preserve">fueron declarados inconstitucionales por el Tribunal Colegiado en Materias de Trabajo y Administrativa de este Décimo Tercer Circuito al emitir la jurisprudencia por reiteración, visible en la página 2512 del Semanario Judicial de la Federación y su Gaceta, décima época, libro 11, Octubre de 2014, tomo III, registro 2007629, que señala: - - - - - - - - - - - - - - - - - </w:t>
      </w:r>
      <w:r w:rsidR="00523F88">
        <w:rPr>
          <w:rFonts w:ascii="Arial" w:hAnsi="Arial" w:cs="Arial"/>
          <w:sz w:val="26"/>
          <w:szCs w:val="26"/>
        </w:rPr>
        <w:t xml:space="preserve">  </w:t>
      </w:r>
      <w:r w:rsidR="00EB041C" w:rsidRPr="00EB041C">
        <w:rPr>
          <w:rFonts w:ascii="Arial" w:hAnsi="Arial" w:cs="Arial"/>
          <w:sz w:val="26"/>
          <w:szCs w:val="26"/>
        </w:rPr>
        <w:t xml:space="preserve"> </w:t>
      </w:r>
    </w:p>
    <w:p w14:paraId="7129CF90" w14:textId="77777777" w:rsidR="006021BA" w:rsidRPr="00EB041C" w:rsidRDefault="006021BA" w:rsidP="006021BA">
      <w:pPr>
        <w:pStyle w:val="Sinespaciado"/>
        <w:spacing w:line="360" w:lineRule="auto"/>
        <w:ind w:left="851" w:right="900"/>
        <w:jc w:val="both"/>
        <w:rPr>
          <w:rFonts w:ascii="Arial" w:hAnsi="Arial" w:cs="Arial"/>
          <w:i/>
        </w:rPr>
      </w:pPr>
      <w:r w:rsidRPr="00EB041C">
        <w:rPr>
          <w:rFonts w:ascii="Arial" w:hAnsi="Arial" w:cs="Arial"/>
          <w:b/>
          <w:bCs/>
          <w:i/>
        </w:rPr>
        <w:t xml:space="preserve">“PENSIONES PARA LOS TRABAJADORES DEL GOBIERNO DEL ESTADO DE OAXACA. LOS ARTÍCULOS 6, FRACCIÓN III, 18, PÁRRAFO SEGUNDO Y OCTAVO TRANSITORIO DE LA LEY RELATIVA, QUE DISPONEN QUE QUIENES ADQUIERAN EL CARÁCTER DE JUBILADOS DEBEN APORTAR EL 9% DE SU PENSIÓN PARA INCREMENTAR EL FONDO RESPECTIVO, SON INCONVENCIONALES E INCONSTITUCIONALES, AL DESATENDER LOS ARTÍCULOS 26, NUMERAL 3 Y 67, INCISO </w:t>
      </w:r>
      <w:r w:rsidRPr="00EB041C">
        <w:rPr>
          <w:rFonts w:ascii="Arial" w:hAnsi="Arial" w:cs="Arial"/>
          <w:b/>
          <w:bCs/>
          <w:i/>
        </w:rPr>
        <w:lastRenderedPageBreak/>
        <w:t>B), DEL CONVENIO NÚMERO 102 DE LA ORGANIZACIÓN INTERNACIONAL DEL TRABAJO Y VIOLAR EL DERECHO HUMANO A LA IGUALDAD.</w:t>
      </w:r>
      <w:r w:rsidRPr="00EB041C">
        <w:rPr>
          <w:rFonts w:ascii="Arial" w:hAnsi="Arial" w:cs="Arial"/>
          <w:i/>
        </w:rPr>
        <w:t xml:space="preserve"> Los artículos 6, fracción III, 18, párrafo segundo y octavo transitorio de la Ley de Pensiones para los Trabajadores del Gobierno del Estado de Oaxaca, publicada mediante Decreto Número 885 en el Periódico Oficial de dicha entidad federativa el 28 de enero de 2012, conforme a los cuales, quienes adquieran el carácter de jubilados deben aportar el 9% de su pensión para incrementar el fondo de pensiones, desatienden los artículos 26, punto 3 y 67, inciso b), del Convenio Número 102 de la Organización Internacional del Trabajo, relativo a la Norma Mínima de la Seguridad Social, los cuales autorizan dos casos de afectación: a) en el supuesto de prestaciones de vejez, se suspende cuando se ejerzan actividades remuneradas o se reduce cuando las ganancias del beneficiario excedan de un valor prescrito; y, b) respecto de pagos periódicos, se reduce en la medida en que los demás recursos de la familia del beneficiario excedan de sumas apreciables fijadas por las autoridades competentes, de conformidad con reglas prescritas. Lo anterior, porque si bien es cierto que la norma internacional, en su dimensión caracterizada como derecho humano a la seguridad social, autoriza la fijación de dichos topes, también lo es que la cuota regulada por el legislador local no encuadra en las hipótesis permitidas señaladas, ya que se traduce en un descuento indebido del monto de la pensión jubilatoria, encaminado a constituir el fondo monetario con el que se cubrirá ésta, por lo cual los preceptos indicados son inconvencionales. Asimismo, violan el derecho humano a la igualdad, al dejar de tomar en cuenta que el jubilado ya aportó cuotas durante su vida laboral para gozar del beneficio respectivo y, por ende, se le da el trato de trabajador en activo”. - - - - - - - - - - </w:t>
      </w:r>
    </w:p>
    <w:p w14:paraId="6C0CC916" w14:textId="77777777" w:rsidR="006021BA" w:rsidRPr="00EB041C" w:rsidRDefault="006021BA" w:rsidP="006021BA">
      <w:pPr>
        <w:pStyle w:val="Sinespaciado"/>
        <w:tabs>
          <w:tab w:val="left" w:pos="709"/>
        </w:tabs>
        <w:spacing w:line="360" w:lineRule="auto"/>
        <w:jc w:val="both"/>
        <w:rPr>
          <w:rFonts w:ascii="Arial" w:eastAsia="Calibri" w:hAnsi="Arial" w:cs="Arial"/>
          <w:bCs/>
          <w:color w:val="000000"/>
          <w:sz w:val="26"/>
          <w:szCs w:val="26"/>
          <w:lang w:val="es-MX"/>
        </w:rPr>
      </w:pPr>
      <w:r w:rsidRPr="00EB041C">
        <w:rPr>
          <w:rFonts w:ascii="Arial" w:eastAsia="Calibri" w:hAnsi="Arial" w:cs="Arial"/>
          <w:bCs/>
          <w:color w:val="000000"/>
          <w:sz w:val="26"/>
          <w:szCs w:val="26"/>
          <w:lang w:val="es-MX"/>
        </w:rPr>
        <w:tab/>
      </w:r>
    </w:p>
    <w:p w14:paraId="418B41E9" w14:textId="77777777" w:rsidR="006021BA" w:rsidRPr="00EB041C" w:rsidRDefault="006021BA" w:rsidP="006021BA">
      <w:pPr>
        <w:pStyle w:val="Sinespaciado"/>
        <w:tabs>
          <w:tab w:val="left" w:pos="709"/>
        </w:tabs>
        <w:spacing w:before="120" w:line="360" w:lineRule="auto"/>
        <w:jc w:val="both"/>
        <w:rPr>
          <w:rFonts w:ascii="Arial" w:eastAsia="Calibri" w:hAnsi="Arial" w:cs="Arial"/>
          <w:bCs/>
          <w:color w:val="000000"/>
          <w:sz w:val="26"/>
          <w:szCs w:val="26"/>
          <w:lang w:val="es-MX"/>
        </w:rPr>
      </w:pPr>
      <w:r w:rsidRPr="00EB041C">
        <w:rPr>
          <w:rFonts w:ascii="Arial" w:eastAsia="Calibri" w:hAnsi="Arial" w:cs="Arial"/>
          <w:bCs/>
          <w:color w:val="000000"/>
          <w:sz w:val="26"/>
          <w:szCs w:val="26"/>
          <w:lang w:val="es-MX"/>
        </w:rPr>
        <w:tab/>
        <w:t xml:space="preserve">Sirve de sustento a la anterior la tesis aislada I.4o.A, con registro digital 179740, publicada por los Tribunales Colegiados de Circuito en el Tomo XX, Diciembre de 2004, página 2454 del Semanario Judicial de la Federación y su Gaceta, Novena Época, de rubro y texto siguientes:- - - </w:t>
      </w:r>
    </w:p>
    <w:p w14:paraId="166C574C" w14:textId="77777777" w:rsidR="006021BA" w:rsidRPr="00EB041C" w:rsidRDefault="006021BA" w:rsidP="006021BA">
      <w:pPr>
        <w:tabs>
          <w:tab w:val="left" w:pos="7371"/>
        </w:tabs>
        <w:spacing w:before="120" w:after="0" w:line="240" w:lineRule="auto"/>
        <w:ind w:left="851" w:right="902"/>
        <w:jc w:val="both"/>
        <w:rPr>
          <w:rFonts w:ascii="Arial" w:hAnsi="Arial" w:cs="Arial"/>
          <w:bCs/>
          <w:i/>
          <w:iCs/>
          <w:color w:val="000000"/>
        </w:rPr>
      </w:pPr>
      <w:r w:rsidRPr="00EB041C">
        <w:rPr>
          <w:rFonts w:ascii="Arial" w:hAnsi="Arial" w:cs="Arial"/>
          <w:bCs/>
          <w:i/>
          <w:iCs/>
          <w:color w:val="000000"/>
        </w:rPr>
        <w:t>“</w:t>
      </w:r>
      <w:r w:rsidRPr="00EB041C">
        <w:rPr>
          <w:rFonts w:ascii="Arial" w:hAnsi="Arial" w:cs="Arial"/>
          <w:b/>
          <w:i/>
          <w:iCs/>
          <w:color w:val="000000"/>
        </w:rPr>
        <w:t xml:space="preserve">SENTENCIAS DEL TRIBUNAL FEDERAL DE JUSTICIA FISCAL Y ADMINISTRATIVA. LA ORDEN DE RESTITUIR AL ACTOR EN SUS DERECHOS ES UN EFECTO PROPIO DE LAS QUE DECLARAN LA NULIDAD QUE, POR TANTO, NO IMPLICA LA INTRODUCCIÓN DE UN NUEVO ELEMENTO EN LA LITIS NI SUPLENCIA DE LA QUEJA DEFICIENTE. </w:t>
      </w:r>
      <w:r w:rsidRPr="00EB041C">
        <w:rPr>
          <w:rFonts w:ascii="Arial" w:hAnsi="Arial" w:cs="Arial"/>
          <w:bCs/>
          <w:i/>
          <w:iCs/>
          <w:color w:val="000000"/>
        </w:rPr>
        <w:t xml:space="preserve">La orden para restituir al actor en el goce de los derechos de que fue privado mediante la resolución impugnada en el juicio contencioso administrativo, es un efecto propio de las sentencias que declaran la nulidad y, por tanto, no implica la introducción de un elemento nuevo en la litis ni la suplencia de la deficiencia de la queja, sino una obligación del Tribunal Federal de Justicia Fiscal y Administrativa que le imponen los principios de legalidad y de justicia. </w:t>
      </w:r>
      <w:r w:rsidRPr="00EB041C">
        <w:rPr>
          <w:rFonts w:ascii="Arial" w:hAnsi="Arial" w:cs="Arial"/>
          <w:bCs/>
          <w:i/>
          <w:iCs/>
          <w:color w:val="000000"/>
          <w:u w:val="single"/>
        </w:rPr>
        <w:t xml:space="preserve">En efecto, la nulidad de la </w:t>
      </w:r>
      <w:r w:rsidRPr="00EB041C">
        <w:rPr>
          <w:rFonts w:ascii="Arial" w:hAnsi="Arial" w:cs="Arial"/>
          <w:bCs/>
          <w:i/>
          <w:iCs/>
          <w:color w:val="000000"/>
          <w:u w:val="single"/>
        </w:rPr>
        <w:lastRenderedPageBreak/>
        <w:t>resolución impugnada que priva al actor de sus derechos de manera ilegal, necesariamente debe tener como efecto su restitución pues, de no ser así, no tendría sentido la declaración de nulidad</w:t>
      </w:r>
      <w:r w:rsidRPr="00EB041C">
        <w:rPr>
          <w:rFonts w:ascii="Arial" w:hAnsi="Arial" w:cs="Arial"/>
          <w:bCs/>
          <w:i/>
          <w:iCs/>
          <w:color w:val="000000"/>
        </w:rPr>
        <w:t xml:space="preserve">.”                  </w:t>
      </w:r>
    </w:p>
    <w:p w14:paraId="225547C0" w14:textId="427EF4D8" w:rsidR="006F083F" w:rsidRPr="00EB041C" w:rsidRDefault="006021BA" w:rsidP="00C65542">
      <w:pPr>
        <w:tabs>
          <w:tab w:val="left" w:pos="7371"/>
        </w:tabs>
        <w:spacing w:after="120" w:line="360" w:lineRule="auto"/>
        <w:ind w:left="851" w:right="902"/>
        <w:jc w:val="both"/>
        <w:rPr>
          <w:rFonts w:ascii="Arial" w:eastAsia="Calibri" w:hAnsi="Arial" w:cs="Arial"/>
          <w:bCs/>
          <w:color w:val="000000"/>
          <w:sz w:val="26"/>
          <w:szCs w:val="26"/>
        </w:rPr>
      </w:pPr>
      <w:r w:rsidRPr="00EB041C">
        <w:rPr>
          <w:rFonts w:ascii="Arial" w:hAnsi="Arial" w:cs="Arial"/>
          <w:bCs/>
          <w:i/>
          <w:iCs/>
          <w:color w:val="000000"/>
          <w:sz w:val="18"/>
          <w:szCs w:val="18"/>
        </w:rPr>
        <w:t xml:space="preserve"> -el subrayado es nuestro-</w:t>
      </w:r>
      <w:r w:rsidR="00E028E3" w:rsidRPr="00EB041C">
        <w:rPr>
          <w:rFonts w:ascii="Arial" w:hAnsi="Arial" w:cs="Arial"/>
          <w:sz w:val="26"/>
          <w:szCs w:val="26"/>
        </w:rPr>
        <w:tab/>
      </w:r>
      <w:r w:rsidR="00657871" w:rsidRPr="00EB041C">
        <w:rPr>
          <w:rFonts w:ascii="Arial" w:eastAsia="Calibri" w:hAnsi="Arial" w:cs="Arial"/>
          <w:bCs/>
          <w:color w:val="000000"/>
          <w:sz w:val="26"/>
          <w:szCs w:val="26"/>
        </w:rPr>
        <w:tab/>
      </w:r>
    </w:p>
    <w:p w14:paraId="78DEA20A" w14:textId="5875C458" w:rsidR="00EB041C" w:rsidRPr="00C65542" w:rsidRDefault="006F083F" w:rsidP="00C65542">
      <w:pPr>
        <w:pStyle w:val="Sinespaciado"/>
        <w:tabs>
          <w:tab w:val="left" w:pos="709"/>
        </w:tabs>
        <w:spacing w:after="120" w:line="360" w:lineRule="auto"/>
        <w:jc w:val="both"/>
        <w:rPr>
          <w:rFonts w:ascii="Arial" w:eastAsia="Calibri" w:hAnsi="Arial" w:cs="Arial"/>
          <w:bCs/>
          <w:sz w:val="26"/>
          <w:szCs w:val="26"/>
        </w:rPr>
      </w:pPr>
      <w:r w:rsidRPr="00EB041C">
        <w:rPr>
          <w:rFonts w:ascii="Arial" w:eastAsia="Calibri" w:hAnsi="Arial" w:cs="Arial"/>
          <w:bCs/>
          <w:color w:val="000000"/>
          <w:sz w:val="26"/>
          <w:szCs w:val="26"/>
          <w:lang w:val="es-MX"/>
        </w:rPr>
        <w:tab/>
      </w:r>
      <w:r w:rsidRPr="00EB041C">
        <w:rPr>
          <w:rFonts w:ascii="Arial" w:eastAsia="Calibri" w:hAnsi="Arial" w:cs="Arial"/>
          <w:b/>
          <w:color w:val="000000"/>
          <w:sz w:val="26"/>
          <w:szCs w:val="26"/>
          <w:lang w:val="es-MX"/>
        </w:rPr>
        <w:t>Por</w:t>
      </w:r>
      <w:r w:rsidRPr="00EB041C">
        <w:rPr>
          <w:rFonts w:ascii="Arial" w:eastAsia="Calibri" w:hAnsi="Arial" w:cs="Arial"/>
          <w:bCs/>
          <w:color w:val="000000"/>
          <w:sz w:val="26"/>
          <w:szCs w:val="26"/>
          <w:lang w:val="es-MX"/>
        </w:rPr>
        <w:t xml:space="preserve"> otro lado, </w:t>
      </w:r>
      <w:r w:rsidR="00A008BB" w:rsidRPr="00EB041C">
        <w:rPr>
          <w:rFonts w:ascii="Arial" w:eastAsia="Calibri" w:hAnsi="Arial" w:cs="Arial"/>
          <w:bCs/>
          <w:color w:val="000000"/>
          <w:sz w:val="26"/>
          <w:szCs w:val="26"/>
          <w:lang w:val="es-MX"/>
        </w:rPr>
        <w:t xml:space="preserve">si bien el aquí recurrente no señaló en su demanda </w:t>
      </w:r>
      <w:r w:rsidR="00307274" w:rsidRPr="00EB041C">
        <w:rPr>
          <w:rFonts w:ascii="Arial" w:eastAsia="Calibri" w:hAnsi="Arial" w:cs="Arial"/>
          <w:bCs/>
          <w:color w:val="000000"/>
          <w:sz w:val="26"/>
          <w:szCs w:val="26"/>
          <w:lang w:val="es-MX"/>
        </w:rPr>
        <w:t xml:space="preserve">de nulidad como pretensión, </w:t>
      </w:r>
      <w:r w:rsidR="00277FAA" w:rsidRPr="00EB041C">
        <w:rPr>
          <w:rFonts w:ascii="Arial" w:eastAsia="Calibri" w:hAnsi="Arial" w:cs="Arial"/>
          <w:bCs/>
          <w:sz w:val="26"/>
          <w:szCs w:val="26"/>
          <w:u w:val="single"/>
        </w:rPr>
        <w:t xml:space="preserve">la devolución </w:t>
      </w:r>
      <w:r w:rsidR="00A008BB" w:rsidRPr="00EB041C">
        <w:rPr>
          <w:rFonts w:ascii="Arial" w:eastAsia="Calibri" w:hAnsi="Arial" w:cs="Arial"/>
          <w:bCs/>
          <w:sz w:val="26"/>
          <w:szCs w:val="26"/>
          <w:u w:val="single"/>
        </w:rPr>
        <w:t>retroactiv</w:t>
      </w:r>
      <w:r w:rsidR="00277FAA" w:rsidRPr="00EB041C">
        <w:rPr>
          <w:rFonts w:ascii="Arial" w:eastAsia="Calibri" w:hAnsi="Arial" w:cs="Arial"/>
          <w:bCs/>
          <w:sz w:val="26"/>
          <w:szCs w:val="26"/>
          <w:u w:val="single"/>
        </w:rPr>
        <w:t>a</w:t>
      </w:r>
      <w:r w:rsidR="00A008BB" w:rsidRPr="00EB041C">
        <w:rPr>
          <w:rFonts w:ascii="Arial" w:eastAsia="Calibri" w:hAnsi="Arial" w:cs="Arial"/>
          <w:bCs/>
          <w:sz w:val="26"/>
          <w:szCs w:val="26"/>
          <w:u w:val="single"/>
        </w:rPr>
        <w:t xml:space="preserve"> del descuento a que se refieren los artículos 6, fracción III, 18, párrafo segundo y octavo transitorio de la Ley de Pensiones para los Trabajadores del Estado de Oaxaca,</w:t>
      </w:r>
      <w:r w:rsidR="00A008BB" w:rsidRPr="00EB041C">
        <w:rPr>
          <w:rFonts w:ascii="Arial" w:eastAsia="Calibri" w:hAnsi="Arial" w:cs="Arial"/>
          <w:bCs/>
          <w:sz w:val="26"/>
          <w:szCs w:val="26"/>
        </w:rPr>
        <w:t xml:space="preserve"> </w:t>
      </w:r>
      <w:r w:rsidR="00307274" w:rsidRPr="00EB041C">
        <w:rPr>
          <w:rFonts w:ascii="Arial" w:eastAsia="Calibri" w:hAnsi="Arial" w:cs="Arial"/>
          <w:bCs/>
          <w:sz w:val="26"/>
          <w:szCs w:val="26"/>
        </w:rPr>
        <w:t xml:space="preserve">los cuales se han efectuado </w:t>
      </w:r>
      <w:r w:rsidR="00A008BB" w:rsidRPr="00EB041C">
        <w:rPr>
          <w:rFonts w:ascii="Arial" w:eastAsia="Calibri" w:hAnsi="Arial" w:cs="Arial"/>
          <w:bCs/>
          <w:sz w:val="26"/>
          <w:szCs w:val="26"/>
        </w:rPr>
        <w:t xml:space="preserve">desde el mes de enero de dos mil veinte, </w:t>
      </w:r>
      <w:r w:rsidR="00307274" w:rsidRPr="00EB041C">
        <w:rPr>
          <w:rFonts w:ascii="Arial" w:eastAsia="Calibri" w:hAnsi="Arial" w:cs="Arial"/>
          <w:bCs/>
          <w:sz w:val="26"/>
          <w:szCs w:val="26"/>
        </w:rPr>
        <w:t>cuando se le empezó a pagar</w:t>
      </w:r>
      <w:r w:rsidR="00A008BB" w:rsidRPr="00EB041C">
        <w:rPr>
          <w:rFonts w:ascii="Arial" w:eastAsia="Calibri" w:hAnsi="Arial" w:cs="Arial"/>
          <w:bCs/>
          <w:sz w:val="26"/>
          <w:szCs w:val="26"/>
        </w:rPr>
        <w:t xml:space="preserve"> como jubilado</w:t>
      </w:r>
      <w:r w:rsidR="00BB05EC" w:rsidRPr="00EB041C">
        <w:rPr>
          <w:rFonts w:ascii="Arial" w:eastAsia="Calibri" w:hAnsi="Arial" w:cs="Arial"/>
          <w:bCs/>
          <w:sz w:val="26"/>
          <w:szCs w:val="26"/>
        </w:rPr>
        <w:t xml:space="preserve">, </w:t>
      </w:r>
      <w:r w:rsidR="00EB041C" w:rsidRPr="00C65542">
        <w:rPr>
          <w:rFonts w:ascii="Arial" w:eastAsia="Calibri" w:hAnsi="Arial" w:cs="Arial"/>
          <w:bCs/>
          <w:sz w:val="26"/>
          <w:szCs w:val="26"/>
        </w:rPr>
        <w:t>pues únicamente hace referencia en su demanda que se deben pagar las prestaciones a que se refiere el artículo 54</w:t>
      </w:r>
      <w:r w:rsidR="009B3FF6" w:rsidRPr="00C65542">
        <w:rPr>
          <w:rFonts w:ascii="Arial" w:eastAsia="Calibri" w:hAnsi="Arial" w:cs="Arial"/>
          <w:bCs/>
          <w:sz w:val="26"/>
          <w:szCs w:val="26"/>
        </w:rPr>
        <w:t>, fracción I</w:t>
      </w:r>
      <w:r w:rsidR="00EB041C" w:rsidRPr="00C65542">
        <w:rPr>
          <w:rFonts w:ascii="Arial" w:eastAsia="Calibri" w:hAnsi="Arial" w:cs="Arial"/>
          <w:bCs/>
          <w:sz w:val="26"/>
          <w:szCs w:val="26"/>
        </w:rPr>
        <w:t xml:space="preserve"> de la Ley de Pensiones para los Trabajados del Gobierno del Estado de Oaxaca, desde el primer momento en que se le pagó su pensión como jubilado del Gobierno del Estado, es decir a partir del primero de enero del año 2020 hasta la fecha en que se resuelva su petición en forma retroactiva.- - - - - - - - - - - - - - - </w:t>
      </w:r>
    </w:p>
    <w:p w14:paraId="6AE3CE07" w14:textId="29FDD2B3" w:rsidR="00BB05EC" w:rsidRPr="00A07C27" w:rsidRDefault="00EB041C" w:rsidP="009B3FF6">
      <w:pPr>
        <w:pStyle w:val="Sinespaciado"/>
        <w:tabs>
          <w:tab w:val="left" w:pos="709"/>
        </w:tabs>
        <w:spacing w:after="120" w:line="360" w:lineRule="auto"/>
        <w:jc w:val="both"/>
        <w:rPr>
          <w:rFonts w:ascii="Arial" w:hAnsi="Arial" w:cs="Arial"/>
          <w:bCs/>
          <w:sz w:val="26"/>
          <w:szCs w:val="26"/>
        </w:rPr>
      </w:pPr>
      <w:r w:rsidRPr="00C65542">
        <w:rPr>
          <w:rFonts w:ascii="Arial" w:eastAsia="Calibri" w:hAnsi="Arial" w:cs="Arial"/>
          <w:bCs/>
          <w:sz w:val="26"/>
          <w:szCs w:val="26"/>
        </w:rPr>
        <w:tab/>
        <w:t xml:space="preserve">Por tanto, a </w:t>
      </w:r>
      <w:r w:rsidR="00BB05EC" w:rsidRPr="00C65542">
        <w:rPr>
          <w:rFonts w:ascii="Arial" w:eastAsia="Calibri" w:hAnsi="Arial" w:cs="Arial"/>
          <w:bCs/>
          <w:sz w:val="26"/>
          <w:szCs w:val="26"/>
        </w:rPr>
        <w:t xml:space="preserve"> efecto de otorgar el </w:t>
      </w:r>
      <w:r w:rsidR="00BB05EC" w:rsidRPr="00C65542">
        <w:rPr>
          <w:rFonts w:ascii="Arial" w:eastAsia="Calibri" w:hAnsi="Arial" w:cs="Arial"/>
          <w:bCs/>
          <w:color w:val="000000"/>
          <w:sz w:val="26"/>
          <w:szCs w:val="26"/>
          <w:lang w:val="es-MX"/>
        </w:rPr>
        <w:t xml:space="preserve">máximo beneficio sin posibilidad de una afectación posterior, </w:t>
      </w:r>
      <w:r w:rsidR="00BB05EC" w:rsidRPr="00C65542">
        <w:rPr>
          <w:rFonts w:ascii="Arial" w:hAnsi="Arial" w:cs="Arial"/>
          <w:sz w:val="26"/>
          <w:szCs w:val="26"/>
        </w:rPr>
        <w:t xml:space="preserve">en cumplimiento al principio </w:t>
      </w:r>
      <w:r w:rsidR="00BB05EC" w:rsidRPr="00C65542">
        <w:rPr>
          <w:rFonts w:ascii="Arial" w:hAnsi="Arial" w:cs="Arial"/>
          <w:i/>
          <w:sz w:val="26"/>
          <w:szCs w:val="26"/>
        </w:rPr>
        <w:t>pro persona</w:t>
      </w:r>
      <w:r w:rsidR="00BB05EC" w:rsidRPr="00EB041C">
        <w:rPr>
          <w:rFonts w:ascii="Arial" w:hAnsi="Arial" w:cs="Arial"/>
          <w:sz w:val="26"/>
          <w:szCs w:val="26"/>
        </w:rPr>
        <w:t xml:space="preserve"> que implica que la interpretación jurídica siempre debe buscar el mayor beneficio para la persona, acudiendo a la norma más amplia o a la interpretación más favorable,</w:t>
      </w:r>
      <w:r w:rsidR="00BB05EC" w:rsidRPr="00EB041C">
        <w:rPr>
          <w:rFonts w:ascii="Arial" w:hAnsi="Arial" w:cs="Arial"/>
          <w:b/>
          <w:sz w:val="26"/>
          <w:szCs w:val="26"/>
        </w:rPr>
        <w:t xml:space="preserve"> </w:t>
      </w:r>
      <w:r w:rsidR="00BB05EC" w:rsidRPr="00EB041C">
        <w:rPr>
          <w:rFonts w:ascii="Arial" w:hAnsi="Arial" w:cs="Arial"/>
          <w:sz w:val="26"/>
          <w:szCs w:val="26"/>
        </w:rPr>
        <w:t>cuando se trata de derechos protegidos,</w:t>
      </w:r>
      <w:r w:rsidR="00593424" w:rsidRPr="00EB041C">
        <w:rPr>
          <w:rFonts w:ascii="Arial" w:hAnsi="Arial" w:cs="Arial"/>
          <w:sz w:val="26"/>
          <w:szCs w:val="26"/>
        </w:rPr>
        <w:t xml:space="preserve"> conforme a lo establecido en el artículo 1 de la Constitución Política de los Estados Unidos Mexicanos,</w:t>
      </w:r>
      <w:r w:rsidR="0012326E" w:rsidRPr="00EB041C">
        <w:rPr>
          <w:rFonts w:ascii="Arial" w:hAnsi="Arial" w:cs="Arial"/>
          <w:sz w:val="26"/>
          <w:szCs w:val="26"/>
        </w:rPr>
        <w:t xml:space="preserve"> y al ser obligación en el ámbito de la competencia de esta autoridad, promover, respetar, proteger y garantizar las normas relativas a los derechos humanos de conformidad con los principios de universalidad, interdependencia, indivisibilidad y progresividad, e interpretarlos de conformidad con la Constitución Federal y con los Tratados Internacionales de la Materia, </w:t>
      </w:r>
      <w:r w:rsidR="005F5108" w:rsidRPr="00A07C27">
        <w:rPr>
          <w:rFonts w:ascii="Arial" w:eastAsia="Calibri" w:hAnsi="Arial" w:cs="Arial"/>
          <w:bCs/>
          <w:color w:val="000000"/>
          <w:sz w:val="26"/>
          <w:szCs w:val="26"/>
        </w:rPr>
        <w:t xml:space="preserve">se </w:t>
      </w:r>
      <w:r w:rsidR="00AF6135" w:rsidRPr="00A07C27">
        <w:rPr>
          <w:rFonts w:ascii="Arial" w:eastAsia="Calibri" w:hAnsi="Arial" w:cs="Arial"/>
          <w:bCs/>
          <w:color w:val="000000"/>
          <w:sz w:val="26"/>
          <w:szCs w:val="26"/>
        </w:rPr>
        <w:t xml:space="preserve">debe </w:t>
      </w:r>
      <w:r w:rsidR="005F5108" w:rsidRPr="00A07C27">
        <w:rPr>
          <w:rFonts w:ascii="Arial" w:eastAsia="Calibri" w:hAnsi="Arial" w:cs="Arial"/>
          <w:bCs/>
          <w:color w:val="000000"/>
          <w:sz w:val="26"/>
          <w:szCs w:val="26"/>
        </w:rPr>
        <w:t>ordena</w:t>
      </w:r>
      <w:r w:rsidR="00AF6135" w:rsidRPr="00A07C27">
        <w:rPr>
          <w:rFonts w:ascii="Arial" w:eastAsia="Calibri" w:hAnsi="Arial" w:cs="Arial"/>
          <w:bCs/>
          <w:color w:val="000000"/>
          <w:sz w:val="26"/>
          <w:szCs w:val="26"/>
        </w:rPr>
        <w:t>r</w:t>
      </w:r>
      <w:r w:rsidR="005F5108" w:rsidRPr="00A07C27">
        <w:rPr>
          <w:rFonts w:ascii="Arial" w:eastAsia="Calibri" w:hAnsi="Arial" w:cs="Arial"/>
          <w:bCs/>
          <w:color w:val="000000"/>
          <w:sz w:val="26"/>
          <w:szCs w:val="26"/>
        </w:rPr>
        <w:t xml:space="preserve"> a la autoridad demanda, haga </w:t>
      </w:r>
      <w:r w:rsidR="005F5108" w:rsidRPr="00A07C27">
        <w:rPr>
          <w:rFonts w:ascii="Arial" w:hAnsi="Arial" w:cs="Arial"/>
          <w:bCs/>
          <w:sz w:val="26"/>
          <w:szCs w:val="26"/>
        </w:rPr>
        <w:t xml:space="preserve">la devolución de las cantidades que le fueron indebidamente descontadas respecto del 9%, en forma retroactiva a partir de la fecha en que recibió su primer pago como jubilado; esto es, a partir del uno de enero de dos mil veinte. </w:t>
      </w:r>
      <w:r w:rsidR="00AF6135" w:rsidRPr="00A07C27">
        <w:rPr>
          <w:rFonts w:ascii="Arial" w:hAnsi="Arial" w:cs="Arial"/>
          <w:bCs/>
          <w:sz w:val="26"/>
          <w:szCs w:val="26"/>
        </w:rPr>
        <w:t>- - - - - - - -</w:t>
      </w:r>
    </w:p>
    <w:p w14:paraId="6CD0E6B1" w14:textId="77777777" w:rsidR="009A66A5" w:rsidRPr="00EB041C" w:rsidRDefault="009A66A5" w:rsidP="009A66A5">
      <w:pPr>
        <w:spacing w:before="120" w:after="0" w:line="360" w:lineRule="auto"/>
        <w:ind w:firstLine="567"/>
        <w:jc w:val="both"/>
        <w:rPr>
          <w:rFonts w:ascii="Arial" w:hAnsi="Arial" w:cs="Arial"/>
          <w:sz w:val="26"/>
          <w:szCs w:val="26"/>
        </w:rPr>
      </w:pPr>
      <w:r w:rsidRPr="00A07C27">
        <w:rPr>
          <w:rFonts w:ascii="Arial" w:hAnsi="Arial" w:cs="Arial"/>
          <w:sz w:val="26"/>
          <w:szCs w:val="26"/>
        </w:rPr>
        <w:t>Es aplicable al caso la jurisprudencia de la Suprema Corte de</w:t>
      </w:r>
      <w:r w:rsidRPr="00EB041C">
        <w:rPr>
          <w:rFonts w:ascii="Arial" w:hAnsi="Arial" w:cs="Arial"/>
          <w:sz w:val="26"/>
          <w:szCs w:val="26"/>
        </w:rPr>
        <w:t xml:space="preserve"> Justicia, con número de registro 2002000, de la Décima Época, Instancia: Primera Sala, Fuente: Semanario Judicial de la Federación y su Gaceta Libro XIII, Octubre de 2012, Tomo 2, Materia (s): </w:t>
      </w:r>
      <w:r w:rsidRPr="00EB041C">
        <w:rPr>
          <w:rFonts w:ascii="Arial" w:hAnsi="Arial" w:cs="Arial"/>
          <w:sz w:val="26"/>
          <w:szCs w:val="26"/>
        </w:rPr>
        <w:lastRenderedPageBreak/>
        <w:t xml:space="preserve">Constitucional, Tesis: 1 a./J. 107/2012 (10 a.), pagina 799, con el rubro y texto siguiente: - - -  - - - - - - - - - - - - - - - - - - - - - - - - - - - - - - - - - - - - </w:t>
      </w:r>
    </w:p>
    <w:p w14:paraId="252F0D9D" w14:textId="77777777" w:rsidR="009A66A5" w:rsidRPr="00EB041C" w:rsidRDefault="009A66A5" w:rsidP="009A66A5">
      <w:pPr>
        <w:spacing w:before="120" w:after="0" w:line="240" w:lineRule="auto"/>
        <w:ind w:left="851" w:right="902"/>
        <w:jc w:val="both"/>
        <w:rPr>
          <w:rFonts w:ascii="Arial" w:hAnsi="Arial" w:cs="Arial"/>
          <w:i/>
        </w:rPr>
      </w:pPr>
      <w:r w:rsidRPr="00EB041C">
        <w:rPr>
          <w:rFonts w:ascii="Arial" w:hAnsi="Arial" w:cs="Arial"/>
          <w:i/>
        </w:rPr>
        <w:t>“</w:t>
      </w:r>
      <w:r w:rsidRPr="00EB041C">
        <w:rPr>
          <w:rFonts w:ascii="Arial" w:hAnsi="Arial" w:cs="Arial"/>
          <w:b/>
          <w:i/>
        </w:rPr>
        <w:t>PRINCIPIO PRO PERSONA. CRITERIO DE SELECCIÓN DE LA NORMA DE DERECHO FUNDAMENTAL APLICABLE.</w:t>
      </w:r>
      <w:r w:rsidRPr="00EB041C">
        <w:rPr>
          <w:rFonts w:ascii="Arial" w:hAnsi="Arial" w:cs="Arial"/>
          <w:i/>
        </w:rPr>
        <w:t xml:space="preserve"> De conformidad con el texto vigente del artículo 1o. constitucional, modificado por el decreto de reforma constitucional publicado en el Diario Oficial de la Federación el 10 de junio de 2011, en materia de derechos fundamentales, el ordenamiento jurídico mexicano tiene dos fuentes primigenias: a) los derechos fundamentales reconocidos en la Constitución Política de los Estados Unidos Mexicanos; y, b) todos aquellos derechos humanos establecidos en tratados internacionales de los que el Estado mexicano sea parte. Consecuentemente, las normas provenientes de ambas fuentes, son normas supremas del ordenamiento jurídico mexicano. Esto implica que los valores, principios y derechos que ellas materializan deben permear en todo el orden jurídico, obligando a todas las autoridades a su aplicación y, en aquellos casos en que sea procedente, a su interpretación. Ahora bien, en el supuesto de que un mismo derecho fundamental esté reconocido en las dos fuentes supremas del ordenamiento jurídico, a saber, la Constitución y los tratados internacionales, la elección de la norma que será aplicable -en materia de derechos humanos-, atenderá a criterios que favorezcan al individuo o lo que se ha denominado principio pro persona, de conformidad con lo dispuesto en el segundo párrafo del artículo 1o. constitucional. Según dicho criterio interpretativo, en caso de que exista una diferencia entre el alcance o la protección reconocida en las normas de estas distintas fuentes, +deberá prevalecer aquella que represente una mayor protección para la persona o que implique una menor restricción. En esta lógica, el catálogo de derechos fundamentales no se encuentra limitado a lo prescrito en el texto constitucional, sino que también incluye a todos aquellos derechos que figuran en los tratados internacionales ratificados por el Estado mexicano”. </w:t>
      </w:r>
    </w:p>
    <w:p w14:paraId="7722DD57" w14:textId="77777777" w:rsidR="009A66A5" w:rsidRPr="00EB041C" w:rsidRDefault="009A66A5" w:rsidP="00AF6135">
      <w:pPr>
        <w:pStyle w:val="Sinespaciado"/>
        <w:tabs>
          <w:tab w:val="left" w:pos="709"/>
        </w:tabs>
        <w:spacing w:line="360" w:lineRule="auto"/>
        <w:jc w:val="both"/>
        <w:rPr>
          <w:rFonts w:ascii="Arial" w:eastAsia="Calibri" w:hAnsi="Arial" w:cs="Arial"/>
          <w:bCs/>
          <w:color w:val="000000"/>
          <w:sz w:val="26"/>
          <w:szCs w:val="26"/>
          <w:lang w:val="es-MX"/>
        </w:rPr>
      </w:pPr>
    </w:p>
    <w:p w14:paraId="2550B2E9" w14:textId="6C83D04E" w:rsidR="009A66A5" w:rsidRPr="00E5151A" w:rsidRDefault="006F083F" w:rsidP="00AF6135">
      <w:pPr>
        <w:pStyle w:val="Sinespaciado"/>
        <w:tabs>
          <w:tab w:val="left" w:pos="709"/>
        </w:tabs>
        <w:spacing w:line="360" w:lineRule="auto"/>
        <w:jc w:val="both"/>
        <w:rPr>
          <w:rFonts w:ascii="Arial" w:hAnsi="Arial" w:cs="Arial"/>
          <w:sz w:val="26"/>
          <w:szCs w:val="26"/>
        </w:rPr>
      </w:pPr>
      <w:r w:rsidRPr="00330CD1">
        <w:rPr>
          <w:rFonts w:ascii="Arial" w:eastAsia="Calibri" w:hAnsi="Arial" w:cs="Arial"/>
          <w:bCs/>
          <w:color w:val="000000"/>
          <w:sz w:val="26"/>
          <w:szCs w:val="26"/>
          <w:lang w:val="es-MX"/>
        </w:rPr>
        <w:tab/>
      </w:r>
      <w:r w:rsidR="009A66A5" w:rsidRPr="00330CD1">
        <w:rPr>
          <w:rFonts w:ascii="Arial" w:hAnsi="Arial" w:cs="Arial"/>
          <w:sz w:val="26"/>
          <w:szCs w:val="26"/>
        </w:rPr>
        <w:t>Así las</w:t>
      </w:r>
      <w:r w:rsidR="009A66A5" w:rsidRPr="00E5151A">
        <w:rPr>
          <w:rFonts w:ascii="Arial" w:hAnsi="Arial" w:cs="Arial"/>
          <w:sz w:val="26"/>
          <w:szCs w:val="26"/>
        </w:rPr>
        <w:t xml:space="preserve"> cosas, procede </w:t>
      </w:r>
      <w:r w:rsidR="009A66A5" w:rsidRPr="00E5151A">
        <w:rPr>
          <w:rFonts w:ascii="Arial" w:hAnsi="Arial" w:cs="Arial"/>
          <w:b/>
          <w:sz w:val="26"/>
          <w:szCs w:val="26"/>
        </w:rPr>
        <w:t>MODIFICAR</w:t>
      </w:r>
      <w:r w:rsidR="009A66A5" w:rsidRPr="00E5151A">
        <w:rPr>
          <w:rFonts w:ascii="Arial" w:hAnsi="Arial" w:cs="Arial"/>
          <w:sz w:val="26"/>
          <w:szCs w:val="26"/>
        </w:rPr>
        <w:t xml:space="preserve"> la sentencia de fecha quince de diciembre de dos mil veinte</w:t>
      </w:r>
      <w:r w:rsidR="00AF6135">
        <w:rPr>
          <w:rFonts w:ascii="Arial" w:hAnsi="Arial" w:cs="Arial"/>
          <w:sz w:val="26"/>
          <w:szCs w:val="26"/>
        </w:rPr>
        <w:t xml:space="preserve"> </w:t>
      </w:r>
      <w:r w:rsidR="009A66A5" w:rsidRPr="00E5151A">
        <w:rPr>
          <w:rFonts w:ascii="Arial" w:hAnsi="Arial" w:cs="Arial"/>
          <w:sz w:val="26"/>
          <w:szCs w:val="26"/>
        </w:rPr>
        <w:t xml:space="preserve"> que declaró </w:t>
      </w:r>
      <w:r w:rsidR="009A66A5" w:rsidRPr="00E5151A">
        <w:rPr>
          <w:rFonts w:ascii="Arial" w:eastAsia="Arial Unicode MS" w:hAnsi="Arial" w:cs="Arial"/>
          <w:bCs/>
          <w:iCs/>
          <w:sz w:val="26"/>
          <w:szCs w:val="26"/>
          <w:lang w:eastAsia="es-ES"/>
        </w:rPr>
        <w:t xml:space="preserve">la </w:t>
      </w:r>
      <w:r w:rsidR="009A66A5" w:rsidRPr="00E5151A">
        <w:rPr>
          <w:rFonts w:ascii="Arial" w:eastAsia="Arial Unicode MS" w:hAnsi="Arial" w:cs="Arial"/>
          <w:b/>
          <w:bCs/>
          <w:iCs/>
          <w:sz w:val="26"/>
          <w:szCs w:val="26"/>
          <w:lang w:eastAsia="es-ES"/>
        </w:rPr>
        <w:t xml:space="preserve">NULIDAD </w:t>
      </w:r>
      <w:r w:rsidR="009A66A5" w:rsidRPr="00E5151A">
        <w:rPr>
          <w:rFonts w:ascii="Arial" w:eastAsia="Arial Unicode MS" w:hAnsi="Arial" w:cs="Arial"/>
          <w:bCs/>
          <w:iCs/>
          <w:sz w:val="26"/>
          <w:szCs w:val="26"/>
          <w:lang w:eastAsia="es-ES"/>
        </w:rPr>
        <w:t xml:space="preserve">del oficio </w:t>
      </w:r>
      <w:r w:rsidR="009A66A5" w:rsidRPr="00E5151A">
        <w:rPr>
          <w:rFonts w:ascii="Arial" w:eastAsia="Calibri" w:hAnsi="Arial" w:cs="Arial"/>
          <w:bCs/>
          <w:color w:val="000000"/>
          <w:sz w:val="26"/>
          <w:szCs w:val="26"/>
        </w:rPr>
        <w:t>OP/DG/1900/2019 de fecha diez de julio  de dos mil diecinueve</w:t>
      </w:r>
      <w:r w:rsidR="009A66A5" w:rsidRPr="00E5151A">
        <w:rPr>
          <w:rFonts w:ascii="Arial" w:eastAsia="Arial Unicode MS" w:hAnsi="Arial" w:cs="Arial"/>
          <w:bCs/>
          <w:iCs/>
          <w:sz w:val="26"/>
          <w:szCs w:val="26"/>
          <w:lang w:eastAsia="es-ES"/>
        </w:rPr>
        <w:t xml:space="preserve">, emitido por el Director General de la Oficina de Pensiones del Estado de Oaxaca, así como del dictamen de pensión por jubilación emitido por el Consejo Directivo de la Oficina de Pensiones del Estado de Oaxaca, para el </w:t>
      </w:r>
      <w:r w:rsidR="009A66A5" w:rsidRPr="00E5151A">
        <w:rPr>
          <w:rFonts w:ascii="Arial" w:eastAsia="Arial Unicode MS" w:hAnsi="Arial" w:cs="Arial"/>
          <w:b/>
          <w:bCs/>
          <w:iCs/>
          <w:sz w:val="26"/>
          <w:szCs w:val="26"/>
          <w:lang w:eastAsia="es-ES"/>
        </w:rPr>
        <w:t xml:space="preserve">EFECTO </w:t>
      </w:r>
      <w:r w:rsidR="009A66A5" w:rsidRPr="00E5151A">
        <w:rPr>
          <w:rFonts w:ascii="Arial" w:eastAsia="Arial Unicode MS" w:hAnsi="Arial" w:cs="Arial"/>
          <w:bCs/>
          <w:iCs/>
          <w:sz w:val="26"/>
          <w:szCs w:val="26"/>
          <w:lang w:eastAsia="es-ES"/>
        </w:rPr>
        <w:t xml:space="preserve">de que la autoridad demandada “Consejo Directivo de la Oficina de Pensiones del Estado de Oaxaca”, dicte otro, en el que además de la pensión por jubilación otorgada a favor de </w:t>
      </w:r>
      <w:r w:rsidR="00523F88">
        <w:rPr>
          <w:rFonts w:ascii="Arial" w:hAnsi="Arial" w:cs="Arial"/>
          <w:b/>
          <w:sz w:val="26"/>
          <w:szCs w:val="26"/>
        </w:rPr>
        <w:t>***********</w:t>
      </w:r>
      <w:r w:rsidR="009A66A5" w:rsidRPr="00E5151A">
        <w:rPr>
          <w:rFonts w:ascii="Arial" w:eastAsia="Arial Unicode MS" w:hAnsi="Arial" w:cs="Arial"/>
          <w:bCs/>
          <w:iCs/>
          <w:sz w:val="26"/>
          <w:szCs w:val="26"/>
          <w:lang w:eastAsia="es-ES"/>
        </w:rPr>
        <w:t xml:space="preserve">, le conceda las prestaciones </w:t>
      </w:r>
      <w:r w:rsidR="009A66A5" w:rsidRPr="00E5151A">
        <w:rPr>
          <w:rFonts w:ascii="Arial" w:eastAsia="Calibri" w:hAnsi="Arial" w:cs="Arial"/>
          <w:bCs/>
          <w:color w:val="000000"/>
          <w:sz w:val="26"/>
          <w:szCs w:val="26"/>
          <w:lang w:val="es-MX"/>
        </w:rPr>
        <w:t xml:space="preserve">como son: previsión social múltiple, despensa, vida cara, quinquenios, aguinaldo, </w:t>
      </w:r>
      <w:r w:rsidR="009A66A5" w:rsidRPr="00E5151A">
        <w:rPr>
          <w:rFonts w:ascii="Arial" w:eastAsia="Calibri" w:hAnsi="Arial" w:cs="Arial"/>
          <w:bCs/>
          <w:color w:val="000000"/>
          <w:sz w:val="26"/>
          <w:szCs w:val="26"/>
          <w:shd w:val="clear" w:color="auto" w:fill="FFFFFF" w:themeFill="background1"/>
          <w:lang w:val="es-MX"/>
        </w:rPr>
        <w:t xml:space="preserve">estímulo </w:t>
      </w:r>
      <w:r w:rsidR="009A66A5" w:rsidRPr="00E5151A">
        <w:rPr>
          <w:rFonts w:ascii="Arial" w:eastAsia="Calibri" w:hAnsi="Arial" w:cs="Arial"/>
          <w:bCs/>
          <w:color w:val="000000"/>
          <w:sz w:val="26"/>
          <w:szCs w:val="26"/>
          <w:lang w:val="es-MX"/>
        </w:rPr>
        <w:t>del día del jubilado y canasta navideña,</w:t>
      </w:r>
      <w:r w:rsidR="009A66A5" w:rsidRPr="00E5151A">
        <w:rPr>
          <w:rFonts w:ascii="Arial" w:eastAsia="Arial Unicode MS" w:hAnsi="Arial" w:cs="Arial"/>
          <w:bCs/>
          <w:iCs/>
          <w:sz w:val="26"/>
          <w:szCs w:val="26"/>
          <w:lang w:eastAsia="es-ES"/>
        </w:rPr>
        <w:t xml:space="preserve"> </w:t>
      </w:r>
      <w:r w:rsidR="009A66A5" w:rsidRPr="00E5151A">
        <w:rPr>
          <w:rFonts w:ascii="Arial" w:hAnsi="Arial" w:cs="Arial"/>
          <w:sz w:val="26"/>
          <w:szCs w:val="26"/>
        </w:rPr>
        <w:t xml:space="preserve">sin aplicar el descuento del 9% a que se refieren los artículos 6 fracción III, 18 párrafo segundo y octavo transitorios de la Ley de Pensiones para los Trabajadores del Gobierno del Estado de Oaxaca, por haber sido declarados inconvencionales e inconstitucionales en los términos apuntados; lo anterior, al incumplir con el requisito de validez del acto administrativo que obliga el artículo 17, fracción V de la Ley de </w:t>
      </w:r>
      <w:r w:rsidR="009A66A5" w:rsidRPr="00E5151A">
        <w:rPr>
          <w:rFonts w:ascii="Arial" w:hAnsi="Arial" w:cs="Arial"/>
          <w:sz w:val="26"/>
          <w:szCs w:val="26"/>
        </w:rPr>
        <w:lastRenderedPageBreak/>
        <w:t>Procedimiento y Justicia Administrativa para el Estado de Oaxaca</w:t>
      </w:r>
      <w:r w:rsidR="009A66A5" w:rsidRPr="00E5151A">
        <w:rPr>
          <w:rFonts w:ascii="Arial" w:eastAsia="Arial Unicode MS" w:hAnsi="Arial" w:cs="Arial"/>
          <w:bCs/>
          <w:iCs/>
          <w:sz w:val="26"/>
          <w:szCs w:val="26"/>
          <w:lang w:eastAsia="es-ES"/>
        </w:rPr>
        <w:t xml:space="preserve">; </w:t>
      </w:r>
      <w:r w:rsidR="009A66A5" w:rsidRPr="00E5151A">
        <w:rPr>
          <w:rFonts w:ascii="Arial" w:hAnsi="Arial" w:cs="Arial"/>
          <w:b/>
          <w:sz w:val="26"/>
          <w:szCs w:val="26"/>
          <w:u w:val="single"/>
        </w:rPr>
        <w:t xml:space="preserve"> asimismo, se ordena a la autoridad demandada “Consejo Directivo de la Oficina de Pensiones del Estado de Oaxaca", haga el pago de las prestaciones que dejó de percibir la actora, así como la devolución de las cantidades que le fueron indebidamente descontadas respecto del 9%</w:t>
      </w:r>
      <w:r w:rsidR="00DF2C6A" w:rsidRPr="00E5151A">
        <w:rPr>
          <w:rFonts w:ascii="Arial" w:hAnsi="Arial" w:cs="Arial"/>
          <w:b/>
          <w:sz w:val="26"/>
          <w:szCs w:val="26"/>
          <w:u w:val="single"/>
        </w:rPr>
        <w:t xml:space="preserve"> destinado al Fondo de Pensiones</w:t>
      </w:r>
      <w:r w:rsidR="009A66A5" w:rsidRPr="00E5151A">
        <w:rPr>
          <w:rFonts w:ascii="Arial" w:hAnsi="Arial" w:cs="Arial"/>
          <w:b/>
          <w:sz w:val="26"/>
          <w:szCs w:val="26"/>
          <w:u w:val="single"/>
        </w:rPr>
        <w:t xml:space="preserve">, </w:t>
      </w:r>
      <w:r w:rsidR="00DF2C6A" w:rsidRPr="00E5151A">
        <w:rPr>
          <w:rFonts w:ascii="Arial" w:hAnsi="Arial" w:cs="Arial"/>
          <w:b/>
          <w:sz w:val="26"/>
          <w:szCs w:val="26"/>
          <w:u w:val="single"/>
        </w:rPr>
        <w:t xml:space="preserve">ambas </w:t>
      </w:r>
      <w:r w:rsidR="009A66A5" w:rsidRPr="00E5151A">
        <w:rPr>
          <w:rFonts w:ascii="Arial" w:hAnsi="Arial" w:cs="Arial"/>
          <w:b/>
          <w:sz w:val="26"/>
          <w:szCs w:val="26"/>
          <w:u w:val="single"/>
        </w:rPr>
        <w:t>en forma retroactiva a partir de la fecha en que recibió su primer pago como jubilado; esto es, a partir del uno de enero de dos mil veinte.  De igual forma, se haga la devolución de los descuentos</w:t>
      </w:r>
      <w:r w:rsidR="00DF2C6A" w:rsidRPr="00E5151A">
        <w:rPr>
          <w:rFonts w:ascii="Arial" w:hAnsi="Arial" w:cs="Arial"/>
          <w:b/>
          <w:sz w:val="26"/>
          <w:szCs w:val="26"/>
          <w:u w:val="single"/>
        </w:rPr>
        <w:t xml:space="preserve"> </w:t>
      </w:r>
      <w:r w:rsidR="009A66A5" w:rsidRPr="00E5151A">
        <w:rPr>
          <w:rFonts w:ascii="Arial" w:hAnsi="Arial" w:cs="Arial"/>
          <w:b/>
          <w:sz w:val="26"/>
          <w:szCs w:val="26"/>
          <w:u w:val="single"/>
        </w:rPr>
        <w:t>que</w:t>
      </w:r>
      <w:r w:rsidR="00DF2C6A" w:rsidRPr="00E5151A">
        <w:rPr>
          <w:rFonts w:ascii="Arial" w:hAnsi="Arial" w:cs="Arial"/>
          <w:b/>
          <w:sz w:val="26"/>
          <w:szCs w:val="26"/>
          <w:u w:val="single"/>
        </w:rPr>
        <w:t xml:space="preserve"> por este último concepto</w:t>
      </w:r>
      <w:r w:rsidR="009A66A5" w:rsidRPr="00E5151A">
        <w:rPr>
          <w:rFonts w:ascii="Arial" w:hAnsi="Arial" w:cs="Arial"/>
          <w:b/>
          <w:sz w:val="26"/>
          <w:szCs w:val="26"/>
          <w:u w:val="single"/>
        </w:rPr>
        <w:t xml:space="preserve"> se han seguido efectuando durante la tramitación del presente juicio hasta la fecha del cumplimiento de la sentencia</w:t>
      </w:r>
      <w:r w:rsidR="009A66A5" w:rsidRPr="00E5151A">
        <w:rPr>
          <w:rFonts w:ascii="Arial" w:hAnsi="Arial" w:cs="Arial"/>
          <w:sz w:val="26"/>
          <w:szCs w:val="26"/>
        </w:rPr>
        <w:t xml:space="preserve">.- - - - - - - - - - - - - - - - - - - - - - - - - - </w:t>
      </w:r>
    </w:p>
    <w:p w14:paraId="1C946BCE" w14:textId="664E6770" w:rsidR="00EB041C" w:rsidRPr="00A07C27" w:rsidRDefault="009A66A5" w:rsidP="009A66A5">
      <w:pPr>
        <w:pStyle w:val="Sinespaciado"/>
        <w:tabs>
          <w:tab w:val="left" w:pos="709"/>
        </w:tabs>
        <w:spacing w:before="120" w:line="360" w:lineRule="auto"/>
        <w:jc w:val="both"/>
        <w:rPr>
          <w:rFonts w:ascii="Arial" w:hAnsi="Arial" w:cs="Arial"/>
          <w:sz w:val="26"/>
          <w:szCs w:val="26"/>
        </w:rPr>
      </w:pPr>
      <w:r w:rsidRPr="00E5151A">
        <w:rPr>
          <w:rFonts w:ascii="Arial" w:hAnsi="Arial" w:cs="Arial"/>
          <w:sz w:val="26"/>
          <w:szCs w:val="26"/>
        </w:rPr>
        <w:tab/>
        <w:t>De este modo, la autoridad demandada al momento de dar</w:t>
      </w:r>
      <w:r w:rsidRPr="009469BC">
        <w:rPr>
          <w:rFonts w:ascii="Arial" w:hAnsi="Arial" w:cs="Arial"/>
          <w:sz w:val="26"/>
          <w:szCs w:val="26"/>
        </w:rPr>
        <w:t xml:space="preserve"> cumplimiento a la sentencia, deberá exhibir la documentación correspondiente que compruebe que le fue pagada </w:t>
      </w:r>
      <w:r w:rsidR="00EB041C" w:rsidRPr="009469BC">
        <w:rPr>
          <w:rFonts w:ascii="Arial" w:hAnsi="Arial" w:cs="Arial"/>
          <w:sz w:val="26"/>
          <w:szCs w:val="26"/>
        </w:rPr>
        <w:t xml:space="preserve">a </w:t>
      </w:r>
      <w:r w:rsidR="00523F88">
        <w:rPr>
          <w:rFonts w:ascii="Arial" w:hAnsi="Arial" w:cs="Arial"/>
          <w:b/>
          <w:sz w:val="26"/>
          <w:szCs w:val="26"/>
        </w:rPr>
        <w:t>***********</w:t>
      </w:r>
      <w:r w:rsidRPr="009469BC">
        <w:rPr>
          <w:rFonts w:ascii="Arial" w:hAnsi="Arial" w:cs="Arial"/>
          <w:sz w:val="26"/>
          <w:szCs w:val="26"/>
        </w:rPr>
        <w:t xml:space="preserve">,  su pensión por jubilación con las prestaciones que señala el artículo 54,  </w:t>
      </w:r>
      <w:r w:rsidRPr="00A07C27">
        <w:rPr>
          <w:rFonts w:ascii="Arial" w:hAnsi="Arial" w:cs="Arial"/>
          <w:sz w:val="26"/>
          <w:szCs w:val="26"/>
        </w:rPr>
        <w:t>fracción I  de la Ley de Pensiones para los Trabajadores del Estado de Oaxaca, a partir de la fecha en que recibió su primer pago como jubilado</w:t>
      </w:r>
      <w:r w:rsidR="00EB041C" w:rsidRPr="00A07C27">
        <w:rPr>
          <w:rFonts w:ascii="Arial" w:hAnsi="Arial" w:cs="Arial"/>
          <w:sz w:val="26"/>
          <w:szCs w:val="26"/>
        </w:rPr>
        <w:t xml:space="preserve"> y sin </w:t>
      </w:r>
      <w:r w:rsidR="009469BC" w:rsidRPr="00A07C27">
        <w:rPr>
          <w:rFonts w:ascii="Arial" w:hAnsi="Arial" w:cs="Arial"/>
          <w:sz w:val="26"/>
          <w:szCs w:val="26"/>
        </w:rPr>
        <w:t xml:space="preserve">haber </w:t>
      </w:r>
      <w:r w:rsidR="00EB041C" w:rsidRPr="00A07C27">
        <w:rPr>
          <w:rFonts w:ascii="Arial" w:hAnsi="Arial" w:cs="Arial"/>
          <w:sz w:val="26"/>
          <w:szCs w:val="26"/>
        </w:rPr>
        <w:t>aplica</w:t>
      </w:r>
      <w:r w:rsidR="009469BC" w:rsidRPr="00A07C27">
        <w:rPr>
          <w:rFonts w:ascii="Arial" w:hAnsi="Arial" w:cs="Arial"/>
          <w:sz w:val="26"/>
          <w:szCs w:val="26"/>
        </w:rPr>
        <w:t>do</w:t>
      </w:r>
      <w:r w:rsidR="00EB041C" w:rsidRPr="00A07C27">
        <w:rPr>
          <w:rFonts w:ascii="Arial" w:hAnsi="Arial" w:cs="Arial"/>
          <w:sz w:val="26"/>
          <w:szCs w:val="26"/>
        </w:rPr>
        <w:t xml:space="preserve"> el descuentos del 9%</w:t>
      </w:r>
      <w:r w:rsidR="009469BC" w:rsidRPr="00A07C27">
        <w:rPr>
          <w:rFonts w:ascii="Arial" w:hAnsi="Arial" w:cs="Arial"/>
          <w:sz w:val="26"/>
          <w:szCs w:val="26"/>
        </w:rPr>
        <w:t xml:space="preserve"> para el Fondo de Pensiones.- </w:t>
      </w:r>
      <w:r w:rsidR="00523F88">
        <w:rPr>
          <w:rFonts w:ascii="Arial" w:hAnsi="Arial" w:cs="Arial"/>
          <w:sz w:val="26"/>
          <w:szCs w:val="26"/>
        </w:rPr>
        <w:t xml:space="preserve"> </w:t>
      </w:r>
    </w:p>
    <w:p w14:paraId="23EC66C5" w14:textId="70D80525" w:rsidR="009A66A5" w:rsidRPr="00A07C27" w:rsidRDefault="009469BC" w:rsidP="009A66A5">
      <w:pPr>
        <w:pStyle w:val="Sinespaciado"/>
        <w:tabs>
          <w:tab w:val="left" w:pos="709"/>
        </w:tabs>
        <w:spacing w:before="120" w:line="360" w:lineRule="auto"/>
        <w:jc w:val="both"/>
        <w:rPr>
          <w:rFonts w:ascii="Arial" w:hAnsi="Arial" w:cs="Arial"/>
          <w:sz w:val="26"/>
          <w:szCs w:val="26"/>
        </w:rPr>
      </w:pPr>
      <w:r w:rsidRPr="00A07C27">
        <w:rPr>
          <w:rFonts w:ascii="Arial" w:hAnsi="Arial" w:cs="Arial"/>
          <w:sz w:val="26"/>
          <w:szCs w:val="26"/>
        </w:rPr>
        <w:tab/>
        <w:t>A</w:t>
      </w:r>
      <w:r w:rsidR="009A66A5" w:rsidRPr="00A07C27">
        <w:rPr>
          <w:rFonts w:ascii="Arial" w:hAnsi="Arial" w:cs="Arial"/>
          <w:sz w:val="26"/>
          <w:szCs w:val="26"/>
        </w:rPr>
        <w:t xml:space="preserve">simismo, remita la documentación respectiva, que acredite que la cantidad devuelta respecto </w:t>
      </w:r>
      <w:r w:rsidR="00DF2C6A" w:rsidRPr="00A07C27">
        <w:rPr>
          <w:rFonts w:ascii="Arial" w:hAnsi="Arial" w:cs="Arial"/>
          <w:sz w:val="26"/>
          <w:szCs w:val="26"/>
        </w:rPr>
        <w:t>a</w:t>
      </w:r>
      <w:r w:rsidR="009A66A5" w:rsidRPr="00A07C27">
        <w:rPr>
          <w:rFonts w:ascii="Arial" w:hAnsi="Arial" w:cs="Arial"/>
          <w:sz w:val="26"/>
          <w:szCs w:val="26"/>
        </w:rPr>
        <w:t>l</w:t>
      </w:r>
      <w:r w:rsidR="00DF2C6A" w:rsidRPr="00A07C27">
        <w:rPr>
          <w:rFonts w:ascii="Arial" w:hAnsi="Arial" w:cs="Arial"/>
          <w:sz w:val="26"/>
          <w:szCs w:val="26"/>
        </w:rPr>
        <w:t xml:space="preserve"> descuento del</w:t>
      </w:r>
      <w:r w:rsidR="009A66A5" w:rsidRPr="00A07C27">
        <w:rPr>
          <w:rFonts w:ascii="Arial" w:hAnsi="Arial" w:cs="Arial"/>
          <w:sz w:val="26"/>
          <w:szCs w:val="26"/>
        </w:rPr>
        <w:t xml:space="preserve"> 9%, </w:t>
      </w:r>
      <w:r w:rsidR="00DF2C6A" w:rsidRPr="00A07C27">
        <w:rPr>
          <w:rFonts w:ascii="Arial" w:hAnsi="Arial" w:cs="Arial"/>
          <w:sz w:val="26"/>
          <w:szCs w:val="26"/>
        </w:rPr>
        <w:t>destinado al Fondo de Pension</w:t>
      </w:r>
      <w:r w:rsidR="009A66A5" w:rsidRPr="00A07C27">
        <w:rPr>
          <w:rFonts w:ascii="Arial" w:hAnsi="Arial" w:cs="Arial"/>
          <w:sz w:val="26"/>
          <w:szCs w:val="26"/>
        </w:rPr>
        <w:t>es</w:t>
      </w:r>
      <w:r w:rsidRPr="00A07C27">
        <w:rPr>
          <w:rFonts w:ascii="Arial" w:hAnsi="Arial" w:cs="Arial"/>
          <w:sz w:val="26"/>
          <w:szCs w:val="26"/>
        </w:rPr>
        <w:t>,</w:t>
      </w:r>
      <w:r w:rsidR="00051A31" w:rsidRPr="00A07C27">
        <w:rPr>
          <w:rFonts w:ascii="Arial" w:hAnsi="Arial" w:cs="Arial"/>
          <w:sz w:val="26"/>
          <w:szCs w:val="26"/>
        </w:rPr>
        <w:t xml:space="preserve"> es</w:t>
      </w:r>
      <w:r w:rsidR="009A66A5" w:rsidRPr="00A07C27">
        <w:rPr>
          <w:rFonts w:ascii="Arial" w:hAnsi="Arial" w:cs="Arial"/>
          <w:sz w:val="26"/>
          <w:szCs w:val="26"/>
        </w:rPr>
        <w:t xml:space="preserve"> la que se descontó a </w:t>
      </w:r>
      <w:r w:rsidRPr="00A07C27">
        <w:rPr>
          <w:rFonts w:ascii="Arial" w:hAnsi="Arial" w:cs="Arial"/>
          <w:sz w:val="26"/>
          <w:szCs w:val="26"/>
        </w:rPr>
        <w:t xml:space="preserve">la </w:t>
      </w:r>
      <w:r w:rsidR="009A66A5" w:rsidRPr="00A07C27">
        <w:rPr>
          <w:rFonts w:ascii="Arial" w:hAnsi="Arial" w:cs="Arial"/>
          <w:sz w:val="26"/>
          <w:szCs w:val="26"/>
        </w:rPr>
        <w:t xml:space="preserve">pensión </w:t>
      </w:r>
      <w:r w:rsidRPr="00A07C27">
        <w:rPr>
          <w:rFonts w:ascii="Arial" w:hAnsi="Arial" w:cs="Arial"/>
          <w:sz w:val="26"/>
          <w:szCs w:val="26"/>
        </w:rPr>
        <w:t xml:space="preserve">de </w:t>
      </w:r>
      <w:r w:rsidR="00523F88">
        <w:rPr>
          <w:rFonts w:ascii="Arial" w:hAnsi="Arial" w:cs="Arial"/>
          <w:b/>
          <w:sz w:val="26"/>
          <w:szCs w:val="26"/>
        </w:rPr>
        <w:t>***********</w:t>
      </w:r>
      <w:r w:rsidRPr="00A07C27">
        <w:rPr>
          <w:rFonts w:ascii="Arial" w:hAnsi="Arial" w:cs="Arial"/>
          <w:sz w:val="26"/>
          <w:szCs w:val="26"/>
        </w:rPr>
        <w:t xml:space="preserve">,  </w:t>
      </w:r>
      <w:r w:rsidR="009A66A5" w:rsidRPr="00A07C27">
        <w:rPr>
          <w:rFonts w:ascii="Arial" w:hAnsi="Arial" w:cs="Arial"/>
          <w:sz w:val="26"/>
          <w:szCs w:val="26"/>
        </w:rPr>
        <w:t>desde el uno de enero de dos mil veinte hasta la fecha en que se dé cumplimiento a la sentencia.- - - - - - - - - - - - - - - - - - - - - - - -</w:t>
      </w:r>
      <w:r w:rsidR="00523F88">
        <w:rPr>
          <w:rFonts w:ascii="Arial" w:hAnsi="Arial" w:cs="Arial"/>
          <w:sz w:val="26"/>
          <w:szCs w:val="26"/>
        </w:rPr>
        <w:t xml:space="preserve"> - - - - - - - - </w:t>
      </w:r>
      <w:bookmarkStart w:id="0" w:name="_GoBack"/>
      <w:bookmarkEnd w:id="0"/>
    </w:p>
    <w:p w14:paraId="1A828D85" w14:textId="3F2F4A0A" w:rsidR="00571114" w:rsidRPr="00A07C27" w:rsidRDefault="000A3D89" w:rsidP="009A66A5">
      <w:pPr>
        <w:pStyle w:val="Sinespaciado"/>
        <w:tabs>
          <w:tab w:val="left" w:pos="709"/>
        </w:tabs>
        <w:spacing w:before="120" w:line="360" w:lineRule="auto"/>
        <w:jc w:val="both"/>
        <w:rPr>
          <w:rFonts w:ascii="Arial" w:eastAsiaTheme="minorHAnsi" w:hAnsi="Arial" w:cs="Arial"/>
          <w:sz w:val="26"/>
          <w:szCs w:val="26"/>
        </w:rPr>
      </w:pPr>
      <w:r w:rsidRPr="00A07C27">
        <w:rPr>
          <w:rFonts w:ascii="Arial" w:hAnsi="Arial" w:cs="Arial"/>
          <w:sz w:val="26"/>
          <w:szCs w:val="26"/>
        </w:rPr>
        <w:tab/>
      </w:r>
      <w:r w:rsidR="008C2F16" w:rsidRPr="00A07C27">
        <w:rPr>
          <w:rFonts w:ascii="Arial" w:eastAsia="Calibri" w:hAnsi="Arial" w:cs="Arial"/>
          <w:bCs/>
          <w:sz w:val="26"/>
          <w:szCs w:val="26"/>
        </w:rPr>
        <w:t>En consecuencia,</w:t>
      </w:r>
      <w:r w:rsidR="00571114" w:rsidRPr="00A07C27">
        <w:rPr>
          <w:rFonts w:ascii="Arial" w:eastAsia="Calibri" w:hAnsi="Arial" w:cs="Arial"/>
          <w:bCs/>
          <w:sz w:val="26"/>
          <w:szCs w:val="26"/>
        </w:rPr>
        <w:t xml:space="preserve"> </w:t>
      </w:r>
      <w:r w:rsidR="00571114" w:rsidRPr="00A07C27">
        <w:rPr>
          <w:rFonts w:ascii="Arial" w:hAnsi="Arial" w:cs="Arial"/>
          <w:sz w:val="26"/>
          <w:szCs w:val="26"/>
        </w:rPr>
        <w:t>con fundamento en los en los artículos 237 y 238 de la Ley de Procedimiento y Justicia Administrativa para el Estado de Oaxaca, se:</w:t>
      </w:r>
      <w:r w:rsidR="00380738" w:rsidRPr="00A07C27">
        <w:rPr>
          <w:rFonts w:ascii="Arial" w:hAnsi="Arial" w:cs="Arial"/>
          <w:sz w:val="26"/>
          <w:szCs w:val="26"/>
        </w:rPr>
        <w:t xml:space="preserve">- - - - - - - - - - - - - - - - - - - - - - - - - - - - - - - - - - - - - - - - - </w:t>
      </w:r>
    </w:p>
    <w:p w14:paraId="006EA992" w14:textId="77777777" w:rsidR="00A8622E" w:rsidRDefault="00A8622E" w:rsidP="00A8622E">
      <w:pPr>
        <w:spacing w:after="120" w:line="360" w:lineRule="auto"/>
        <w:ind w:right="51"/>
        <w:jc w:val="center"/>
        <w:rPr>
          <w:rFonts w:ascii="Arial" w:hAnsi="Arial" w:cs="Arial"/>
          <w:b/>
          <w:sz w:val="26"/>
          <w:szCs w:val="26"/>
        </w:rPr>
      </w:pPr>
    </w:p>
    <w:p w14:paraId="1D7BD6C0" w14:textId="2BC00438" w:rsidR="00571114" w:rsidRPr="00A07C27" w:rsidRDefault="00571114" w:rsidP="00A8622E">
      <w:pPr>
        <w:spacing w:after="120" w:line="360" w:lineRule="auto"/>
        <w:ind w:right="51"/>
        <w:jc w:val="center"/>
        <w:rPr>
          <w:rFonts w:ascii="Arial" w:hAnsi="Arial" w:cs="Arial"/>
          <w:b/>
          <w:sz w:val="26"/>
          <w:szCs w:val="26"/>
        </w:rPr>
      </w:pPr>
      <w:r w:rsidRPr="00A07C27">
        <w:rPr>
          <w:rFonts w:ascii="Arial" w:hAnsi="Arial" w:cs="Arial"/>
          <w:b/>
          <w:sz w:val="26"/>
          <w:szCs w:val="26"/>
        </w:rPr>
        <w:t>R E S U E L V E</w:t>
      </w:r>
    </w:p>
    <w:p w14:paraId="32EA3667" w14:textId="529FB00D" w:rsidR="00571114" w:rsidRPr="00A07C27" w:rsidRDefault="00571114" w:rsidP="00962475">
      <w:pPr>
        <w:spacing w:after="120" w:line="360" w:lineRule="auto"/>
        <w:ind w:right="51"/>
        <w:jc w:val="both"/>
        <w:rPr>
          <w:rFonts w:ascii="Arial" w:hAnsi="Arial" w:cs="Arial"/>
          <w:sz w:val="26"/>
          <w:szCs w:val="26"/>
        </w:rPr>
      </w:pPr>
      <w:r w:rsidRPr="00A07C27">
        <w:rPr>
          <w:rFonts w:ascii="Arial" w:hAnsi="Arial" w:cs="Arial"/>
          <w:b/>
          <w:sz w:val="24"/>
          <w:szCs w:val="24"/>
        </w:rPr>
        <w:t xml:space="preserve"> </w:t>
      </w:r>
      <w:r w:rsidR="00422629" w:rsidRPr="00A07C27">
        <w:rPr>
          <w:rFonts w:ascii="Arial" w:hAnsi="Arial" w:cs="Arial"/>
          <w:b/>
          <w:sz w:val="24"/>
          <w:szCs w:val="24"/>
        </w:rPr>
        <w:tab/>
      </w:r>
      <w:r w:rsidRPr="00A07C27">
        <w:rPr>
          <w:rFonts w:ascii="Arial" w:hAnsi="Arial" w:cs="Arial"/>
          <w:b/>
          <w:sz w:val="26"/>
          <w:szCs w:val="26"/>
        </w:rPr>
        <w:t>PRIMERO.</w:t>
      </w:r>
      <w:r w:rsidRPr="00A07C27">
        <w:rPr>
          <w:rFonts w:ascii="Arial" w:hAnsi="Arial" w:cs="Arial"/>
          <w:sz w:val="26"/>
          <w:szCs w:val="26"/>
        </w:rPr>
        <w:t xml:space="preserve"> Se </w:t>
      </w:r>
      <w:r w:rsidR="008C2F16" w:rsidRPr="00A07C27">
        <w:rPr>
          <w:rFonts w:ascii="Arial" w:hAnsi="Arial" w:cs="Arial"/>
          <w:b/>
          <w:sz w:val="26"/>
          <w:szCs w:val="26"/>
        </w:rPr>
        <w:t>MODIFICA</w:t>
      </w:r>
      <w:r w:rsidRPr="00A07C27">
        <w:rPr>
          <w:rFonts w:ascii="Arial" w:hAnsi="Arial" w:cs="Arial"/>
          <w:sz w:val="26"/>
          <w:szCs w:val="26"/>
        </w:rPr>
        <w:t xml:space="preserve"> la sentencia de fecha </w:t>
      </w:r>
      <w:r w:rsidR="00294749" w:rsidRPr="00A07C27">
        <w:rPr>
          <w:rFonts w:ascii="Arial" w:hAnsi="Arial" w:cs="Arial"/>
          <w:bCs/>
          <w:iCs/>
          <w:sz w:val="26"/>
          <w:szCs w:val="26"/>
          <w:lang w:eastAsia="es-ES"/>
        </w:rPr>
        <w:t xml:space="preserve">quince de diciembre </w:t>
      </w:r>
      <w:r w:rsidR="002937DD" w:rsidRPr="00A07C27">
        <w:rPr>
          <w:rFonts w:ascii="Arial" w:hAnsi="Arial" w:cs="Arial"/>
          <w:bCs/>
          <w:iCs/>
          <w:sz w:val="26"/>
          <w:szCs w:val="26"/>
          <w:lang w:eastAsia="es-ES"/>
        </w:rPr>
        <w:t>de dos mil veinte</w:t>
      </w:r>
      <w:r w:rsidRPr="00A07C27">
        <w:rPr>
          <w:rFonts w:ascii="Arial" w:hAnsi="Arial" w:cs="Arial"/>
          <w:bCs/>
          <w:iCs/>
          <w:sz w:val="26"/>
          <w:szCs w:val="26"/>
          <w:lang w:eastAsia="es-ES"/>
        </w:rPr>
        <w:t>,</w:t>
      </w:r>
      <w:r w:rsidRPr="00A07C27">
        <w:rPr>
          <w:rFonts w:ascii="Arial" w:hAnsi="Arial" w:cs="Arial"/>
          <w:sz w:val="26"/>
          <w:szCs w:val="26"/>
        </w:rPr>
        <w:t xml:space="preserve"> </w:t>
      </w:r>
      <w:r w:rsidR="00B55D40" w:rsidRPr="00A07C27">
        <w:rPr>
          <w:rFonts w:ascii="Arial" w:hAnsi="Arial" w:cs="Arial"/>
          <w:sz w:val="26"/>
          <w:szCs w:val="26"/>
        </w:rPr>
        <w:t xml:space="preserve">en términos de </w:t>
      </w:r>
      <w:r w:rsidRPr="00A07C27">
        <w:rPr>
          <w:rFonts w:ascii="Arial" w:hAnsi="Arial" w:cs="Arial"/>
          <w:sz w:val="26"/>
          <w:szCs w:val="26"/>
        </w:rPr>
        <w:t>l</w:t>
      </w:r>
      <w:r w:rsidR="00AE3B8E" w:rsidRPr="00A07C27">
        <w:rPr>
          <w:rFonts w:ascii="Arial" w:hAnsi="Arial" w:cs="Arial"/>
          <w:sz w:val="26"/>
          <w:szCs w:val="26"/>
        </w:rPr>
        <w:t xml:space="preserve">o </w:t>
      </w:r>
      <w:r w:rsidR="00B55D40" w:rsidRPr="00A07C27">
        <w:rPr>
          <w:rFonts w:ascii="Arial" w:hAnsi="Arial" w:cs="Arial"/>
          <w:sz w:val="26"/>
          <w:szCs w:val="26"/>
        </w:rPr>
        <w:t>expuest</w:t>
      </w:r>
      <w:r w:rsidR="00AE3B8E" w:rsidRPr="00A07C27">
        <w:rPr>
          <w:rFonts w:ascii="Arial" w:hAnsi="Arial" w:cs="Arial"/>
          <w:sz w:val="26"/>
          <w:szCs w:val="26"/>
        </w:rPr>
        <w:t>o</w:t>
      </w:r>
      <w:r w:rsidRPr="00A07C27">
        <w:rPr>
          <w:rFonts w:ascii="Arial" w:hAnsi="Arial" w:cs="Arial"/>
          <w:sz w:val="26"/>
          <w:szCs w:val="26"/>
        </w:rPr>
        <w:t xml:space="preserve"> en el considerando tercero de esta resolución.</w:t>
      </w:r>
      <w:r w:rsidR="00422629" w:rsidRPr="00A07C27">
        <w:rPr>
          <w:rFonts w:ascii="Arial" w:hAnsi="Arial" w:cs="Arial"/>
          <w:sz w:val="26"/>
          <w:szCs w:val="26"/>
        </w:rPr>
        <w:t xml:space="preserve"> - - - - - - - - - - - - - - - - - - - - - - </w:t>
      </w:r>
    </w:p>
    <w:p w14:paraId="36F99D22" w14:textId="7BC7C819" w:rsidR="00422629" w:rsidRPr="00A008BB" w:rsidRDefault="00571114" w:rsidP="008C2F16">
      <w:pPr>
        <w:spacing w:after="120" w:line="360" w:lineRule="auto"/>
        <w:ind w:right="51"/>
        <w:jc w:val="both"/>
        <w:rPr>
          <w:rFonts w:ascii="Arial" w:hAnsi="Arial" w:cs="Arial"/>
          <w:sz w:val="26"/>
          <w:szCs w:val="26"/>
        </w:rPr>
      </w:pPr>
      <w:r w:rsidRPr="00A07C27">
        <w:rPr>
          <w:rFonts w:ascii="Arial" w:hAnsi="Arial" w:cs="Arial"/>
          <w:sz w:val="26"/>
          <w:szCs w:val="26"/>
        </w:rPr>
        <w:t xml:space="preserve"> </w:t>
      </w:r>
      <w:r w:rsidR="00422629" w:rsidRPr="00A07C27">
        <w:rPr>
          <w:rFonts w:ascii="Arial" w:hAnsi="Arial" w:cs="Arial"/>
          <w:sz w:val="26"/>
          <w:szCs w:val="26"/>
        </w:rPr>
        <w:tab/>
      </w:r>
      <w:r w:rsidRPr="00A07C27">
        <w:rPr>
          <w:rFonts w:ascii="Arial" w:eastAsia="Calibri" w:hAnsi="Arial" w:cs="Arial"/>
          <w:b/>
          <w:sz w:val="26"/>
          <w:szCs w:val="26"/>
        </w:rPr>
        <w:t xml:space="preserve">SEGUNDO. </w:t>
      </w:r>
      <w:r w:rsidRPr="00A07C27">
        <w:rPr>
          <w:rFonts w:ascii="Arial" w:hAnsi="Arial" w:cs="Arial"/>
          <w:b/>
          <w:sz w:val="26"/>
          <w:szCs w:val="26"/>
        </w:rPr>
        <w:t xml:space="preserve">NOTIFÍQUESE Y CÚMPLASE, </w:t>
      </w:r>
      <w:r w:rsidRPr="00A07C27">
        <w:rPr>
          <w:rFonts w:ascii="Arial" w:hAnsi="Arial" w:cs="Arial"/>
          <w:sz w:val="26"/>
          <w:szCs w:val="26"/>
        </w:rPr>
        <w:t xml:space="preserve">remítase copia certificada de la presente resolución a la </w:t>
      </w:r>
      <w:r w:rsidR="00294749" w:rsidRPr="00A07C27">
        <w:rPr>
          <w:rFonts w:ascii="Arial" w:hAnsi="Arial" w:cs="Arial"/>
          <w:sz w:val="26"/>
          <w:szCs w:val="26"/>
        </w:rPr>
        <w:t>Tercera</w:t>
      </w:r>
      <w:r w:rsidR="008C2F16" w:rsidRPr="00A07C27">
        <w:rPr>
          <w:rFonts w:ascii="Arial" w:hAnsi="Arial" w:cs="Arial"/>
          <w:sz w:val="26"/>
          <w:szCs w:val="26"/>
        </w:rPr>
        <w:t xml:space="preserve"> </w:t>
      </w:r>
      <w:r w:rsidRPr="00A07C27">
        <w:rPr>
          <w:rFonts w:ascii="Arial" w:hAnsi="Arial" w:cs="Arial"/>
          <w:sz w:val="26"/>
          <w:szCs w:val="26"/>
        </w:rPr>
        <w:t>Sala Unitaria de Primera Instancia de este Tribunal y en su oportunidad</w:t>
      </w:r>
      <w:r w:rsidR="004F68BF" w:rsidRPr="00A07C27">
        <w:rPr>
          <w:rFonts w:ascii="Arial" w:hAnsi="Arial" w:cs="Arial"/>
          <w:sz w:val="26"/>
          <w:szCs w:val="26"/>
        </w:rPr>
        <w:t>,</w:t>
      </w:r>
      <w:r w:rsidRPr="00A07C27">
        <w:rPr>
          <w:rFonts w:ascii="Arial" w:hAnsi="Arial" w:cs="Arial"/>
          <w:sz w:val="26"/>
          <w:szCs w:val="26"/>
        </w:rPr>
        <w:t xml:space="preserve"> archívese el presente cuaderno de revisión co</w:t>
      </w:r>
      <w:r w:rsidRPr="00A008BB">
        <w:rPr>
          <w:rFonts w:ascii="Arial" w:hAnsi="Arial" w:cs="Arial"/>
          <w:sz w:val="26"/>
          <w:szCs w:val="26"/>
        </w:rPr>
        <w:t xml:space="preserve">mo asunto </w:t>
      </w:r>
      <w:r w:rsidR="00561DEB" w:rsidRPr="00A008BB">
        <w:rPr>
          <w:rFonts w:ascii="Arial" w:hAnsi="Arial" w:cs="Arial"/>
          <w:sz w:val="26"/>
          <w:szCs w:val="26"/>
        </w:rPr>
        <w:t>concluido. -</w:t>
      </w:r>
      <w:r w:rsidR="00422629" w:rsidRPr="00A008BB">
        <w:rPr>
          <w:rFonts w:ascii="Arial" w:hAnsi="Arial" w:cs="Arial"/>
          <w:sz w:val="26"/>
          <w:szCs w:val="26"/>
        </w:rPr>
        <w:t xml:space="preserve"> - - - - - - - - - - -</w:t>
      </w:r>
      <w:r w:rsidR="007A2561" w:rsidRPr="00A008BB">
        <w:rPr>
          <w:rFonts w:ascii="Arial" w:hAnsi="Arial" w:cs="Arial"/>
          <w:sz w:val="26"/>
          <w:szCs w:val="26"/>
        </w:rPr>
        <w:t xml:space="preserve"> </w:t>
      </w:r>
    </w:p>
    <w:p w14:paraId="12E1BEAE" w14:textId="77777777" w:rsidR="00A8622E" w:rsidRPr="00677A95" w:rsidRDefault="00A8622E" w:rsidP="00A8622E">
      <w:pPr>
        <w:pStyle w:val="Sinespaciado"/>
        <w:spacing w:before="240" w:line="360" w:lineRule="auto"/>
        <w:ind w:right="-376" w:firstLine="567"/>
        <w:jc w:val="both"/>
        <w:rPr>
          <w:rFonts w:ascii="Arial" w:eastAsiaTheme="minorHAnsi" w:hAnsi="Arial" w:cs="Arial"/>
          <w:sz w:val="26"/>
          <w:szCs w:val="26"/>
        </w:rPr>
      </w:pPr>
      <w:r w:rsidRPr="00677A95">
        <w:rPr>
          <w:rFonts w:ascii="Arial" w:eastAsia="Calibri" w:hAnsi="Arial" w:cs="Arial"/>
          <w:sz w:val="26"/>
          <w:szCs w:val="26"/>
        </w:rPr>
        <w:lastRenderedPageBreak/>
        <w:t xml:space="preserve">Así por unanimidad de votos, lo resolvieron y firmaron </w:t>
      </w:r>
      <w:r w:rsidRPr="00677A95">
        <w:rPr>
          <w:rFonts w:ascii="Arial" w:hAnsi="Arial" w:cs="Arial"/>
          <w:sz w:val="26"/>
          <w:szCs w:val="26"/>
        </w:rPr>
        <w:t>los Magistrados integrantes de la Sala Superior, Manuel Velasco Alcántara, Abraham Santiago Soriano, Raúl Palomares Palomino</w:t>
      </w:r>
      <w:r>
        <w:rPr>
          <w:rFonts w:ascii="Arial" w:hAnsi="Arial" w:cs="Arial"/>
          <w:sz w:val="26"/>
          <w:szCs w:val="26"/>
        </w:rPr>
        <w:t xml:space="preserve">, </w:t>
      </w:r>
      <w:r w:rsidRPr="00677A95">
        <w:rPr>
          <w:rFonts w:ascii="Arial" w:hAnsi="Arial" w:cs="Arial"/>
          <w:sz w:val="26"/>
          <w:szCs w:val="26"/>
        </w:rPr>
        <w:t xml:space="preserve">Gloria del Carmen Camacho Meza </w:t>
      </w:r>
      <w:r w:rsidRPr="00677A95">
        <w:rPr>
          <w:rFonts w:ascii="Arial" w:hAnsi="Arial" w:cs="Arial"/>
          <w:b/>
          <w:bCs/>
          <w:sz w:val="26"/>
          <w:szCs w:val="26"/>
        </w:rPr>
        <w:t>(ponente)</w:t>
      </w:r>
      <w:r w:rsidRPr="00677A95">
        <w:rPr>
          <w:rFonts w:ascii="Arial" w:hAnsi="Arial" w:cs="Arial"/>
          <w:sz w:val="26"/>
          <w:szCs w:val="26"/>
        </w:rPr>
        <w:t xml:space="preserve">, y Paulo José Luis Tapia Palacios, </w:t>
      </w:r>
      <w:r>
        <w:rPr>
          <w:rFonts w:ascii="Arial" w:hAnsi="Arial" w:cs="Arial"/>
          <w:sz w:val="26"/>
          <w:szCs w:val="26"/>
        </w:rPr>
        <w:t xml:space="preserve">quienes actúan con el Licenciado Juan Edy García Coronado, Secretario General de Acuerdos de este Tribunal, que autoriza y da fe. - - - - - - - - - - - - - - - - - - - - - - - - - - - - - </w:t>
      </w:r>
    </w:p>
    <w:p w14:paraId="795CD7B3" w14:textId="77777777" w:rsidR="00A8622E" w:rsidRPr="00677A95" w:rsidRDefault="00A8622E" w:rsidP="00A8622E">
      <w:pPr>
        <w:spacing w:after="0" w:line="360" w:lineRule="auto"/>
        <w:ind w:right="51" w:firstLine="567"/>
        <w:jc w:val="center"/>
        <w:rPr>
          <w:rFonts w:ascii="Arial" w:eastAsia="Calibri" w:hAnsi="Arial" w:cs="Arial"/>
          <w:b/>
          <w:sz w:val="18"/>
          <w:szCs w:val="18"/>
        </w:rPr>
      </w:pPr>
    </w:p>
    <w:p w14:paraId="79CBDA98" w14:textId="10AFF7B9" w:rsidR="00A8622E" w:rsidRDefault="00A8622E" w:rsidP="00A8622E">
      <w:pPr>
        <w:spacing w:after="0" w:line="360" w:lineRule="auto"/>
        <w:ind w:right="51" w:firstLine="567"/>
        <w:jc w:val="center"/>
        <w:rPr>
          <w:rFonts w:ascii="Arial" w:eastAsia="Calibri" w:hAnsi="Arial" w:cs="Arial"/>
          <w:b/>
          <w:sz w:val="18"/>
          <w:szCs w:val="18"/>
        </w:rPr>
      </w:pPr>
    </w:p>
    <w:p w14:paraId="49BF2702" w14:textId="45485769" w:rsidR="00A8622E" w:rsidRDefault="00A8622E" w:rsidP="00A8622E">
      <w:pPr>
        <w:spacing w:after="0" w:line="360" w:lineRule="auto"/>
        <w:ind w:right="51" w:firstLine="567"/>
        <w:jc w:val="center"/>
        <w:rPr>
          <w:rFonts w:ascii="Arial" w:eastAsia="Calibri" w:hAnsi="Arial" w:cs="Arial"/>
          <w:b/>
          <w:sz w:val="18"/>
          <w:szCs w:val="18"/>
        </w:rPr>
      </w:pPr>
    </w:p>
    <w:p w14:paraId="034E2F44" w14:textId="6977E831" w:rsidR="00A8622E" w:rsidRDefault="00A8622E" w:rsidP="00A8622E">
      <w:pPr>
        <w:spacing w:after="0" w:line="360" w:lineRule="auto"/>
        <w:ind w:right="51" w:firstLine="567"/>
        <w:jc w:val="center"/>
        <w:rPr>
          <w:rFonts w:ascii="Arial" w:eastAsia="Calibri" w:hAnsi="Arial" w:cs="Arial"/>
          <w:b/>
          <w:sz w:val="18"/>
          <w:szCs w:val="18"/>
        </w:rPr>
      </w:pPr>
    </w:p>
    <w:p w14:paraId="38138B40" w14:textId="77777777" w:rsidR="00A8622E" w:rsidRPr="00677A95" w:rsidRDefault="00A8622E" w:rsidP="00A8622E">
      <w:pPr>
        <w:spacing w:after="0" w:line="360" w:lineRule="auto"/>
        <w:ind w:right="51" w:firstLine="567"/>
        <w:jc w:val="center"/>
        <w:rPr>
          <w:rFonts w:ascii="Arial" w:eastAsia="Calibri" w:hAnsi="Arial" w:cs="Arial"/>
          <w:b/>
          <w:sz w:val="18"/>
          <w:szCs w:val="18"/>
        </w:rPr>
      </w:pPr>
    </w:p>
    <w:p w14:paraId="1C8E0111" w14:textId="77777777" w:rsidR="00A8622E" w:rsidRPr="00677A95" w:rsidRDefault="00A8622E" w:rsidP="00A8622E">
      <w:pPr>
        <w:spacing w:after="0" w:line="240" w:lineRule="auto"/>
        <w:rPr>
          <w:rFonts w:ascii="Arial" w:eastAsia="Times New Roman" w:hAnsi="Arial" w:cs="Arial"/>
          <w:sz w:val="26"/>
          <w:szCs w:val="26"/>
        </w:rPr>
      </w:pPr>
    </w:p>
    <w:p w14:paraId="0ECBA8CB" w14:textId="77777777" w:rsidR="00A8622E" w:rsidRPr="00677A95" w:rsidRDefault="00A8622E" w:rsidP="00A8622E">
      <w:pPr>
        <w:spacing w:after="0" w:line="240" w:lineRule="auto"/>
        <w:ind w:firstLine="567"/>
        <w:jc w:val="center"/>
        <w:rPr>
          <w:rFonts w:ascii="Arial" w:eastAsia="Times New Roman" w:hAnsi="Arial" w:cs="Arial"/>
          <w:sz w:val="26"/>
          <w:szCs w:val="26"/>
        </w:rPr>
      </w:pPr>
    </w:p>
    <w:p w14:paraId="36172F64" w14:textId="77777777" w:rsidR="00A8622E" w:rsidRPr="00677A95" w:rsidRDefault="00A8622E" w:rsidP="00A8622E">
      <w:pPr>
        <w:spacing w:after="0" w:line="240" w:lineRule="auto"/>
        <w:ind w:firstLine="567"/>
        <w:jc w:val="center"/>
        <w:rPr>
          <w:rFonts w:ascii="Arial" w:eastAsiaTheme="minorHAnsi" w:hAnsi="Arial" w:cs="Arial"/>
          <w:b/>
          <w:sz w:val="14"/>
          <w:szCs w:val="26"/>
          <w:lang w:eastAsia="en-US"/>
        </w:rPr>
      </w:pPr>
      <w:r w:rsidRPr="00677A95">
        <w:rPr>
          <w:rFonts w:ascii="Arial" w:eastAsia="Times New Roman" w:hAnsi="Arial" w:cs="Arial"/>
          <w:sz w:val="26"/>
          <w:szCs w:val="26"/>
        </w:rPr>
        <w:t>MAGISTRADO MANUEL VELASCO ALCÁNTARA</w:t>
      </w:r>
    </w:p>
    <w:p w14:paraId="3281D949" w14:textId="77777777" w:rsidR="00A8622E" w:rsidRPr="00677A95" w:rsidRDefault="00A8622E" w:rsidP="00A8622E">
      <w:pPr>
        <w:spacing w:after="0" w:line="240" w:lineRule="auto"/>
        <w:ind w:firstLine="567"/>
        <w:jc w:val="center"/>
        <w:rPr>
          <w:rFonts w:ascii="Arial" w:hAnsi="Arial" w:cs="Arial"/>
          <w:sz w:val="26"/>
          <w:szCs w:val="26"/>
        </w:rPr>
      </w:pPr>
      <w:r w:rsidRPr="00677A95">
        <w:rPr>
          <w:rFonts w:ascii="Arial" w:hAnsi="Arial" w:cs="Arial"/>
          <w:sz w:val="26"/>
          <w:szCs w:val="26"/>
        </w:rPr>
        <w:t>PRESIDENTE</w:t>
      </w:r>
    </w:p>
    <w:p w14:paraId="3A7983B6" w14:textId="77777777" w:rsidR="00A8622E" w:rsidRPr="00677A95" w:rsidRDefault="00A8622E" w:rsidP="00A8622E">
      <w:pPr>
        <w:jc w:val="center"/>
        <w:rPr>
          <w:rFonts w:ascii="Arial" w:hAnsi="Arial" w:cs="Arial"/>
          <w:sz w:val="26"/>
          <w:szCs w:val="26"/>
        </w:rPr>
      </w:pPr>
    </w:p>
    <w:p w14:paraId="62BEADD0" w14:textId="60D1F2DC" w:rsidR="00A8622E" w:rsidRDefault="00A8622E" w:rsidP="00A8622E">
      <w:pPr>
        <w:rPr>
          <w:rFonts w:ascii="Arial" w:hAnsi="Arial" w:cs="Arial"/>
          <w:sz w:val="26"/>
          <w:szCs w:val="26"/>
        </w:rPr>
      </w:pPr>
    </w:p>
    <w:p w14:paraId="2ED57BB4" w14:textId="77777777" w:rsidR="00A8622E" w:rsidRPr="00677A95" w:rsidRDefault="00A8622E" w:rsidP="00A8622E">
      <w:pPr>
        <w:rPr>
          <w:rFonts w:ascii="Arial" w:hAnsi="Arial" w:cs="Arial"/>
          <w:sz w:val="26"/>
          <w:szCs w:val="26"/>
        </w:rPr>
      </w:pPr>
    </w:p>
    <w:p w14:paraId="481EF674" w14:textId="77777777" w:rsidR="00A8622E" w:rsidRPr="00677A95" w:rsidRDefault="00A8622E" w:rsidP="00A8622E">
      <w:pPr>
        <w:jc w:val="center"/>
        <w:rPr>
          <w:rFonts w:ascii="Arial" w:hAnsi="Arial" w:cs="Arial"/>
          <w:sz w:val="26"/>
          <w:szCs w:val="26"/>
        </w:rPr>
      </w:pPr>
    </w:p>
    <w:p w14:paraId="66E19D93" w14:textId="77777777" w:rsidR="00A8622E" w:rsidRPr="00677A95" w:rsidRDefault="00A8622E" w:rsidP="00A8622E">
      <w:pPr>
        <w:tabs>
          <w:tab w:val="left" w:pos="1680"/>
          <w:tab w:val="center" w:pos="4277"/>
        </w:tabs>
        <w:spacing w:line="360" w:lineRule="auto"/>
        <w:jc w:val="center"/>
        <w:rPr>
          <w:rFonts w:ascii="Arial" w:hAnsi="Arial" w:cs="Arial"/>
          <w:sz w:val="26"/>
          <w:szCs w:val="26"/>
        </w:rPr>
      </w:pPr>
      <w:r w:rsidRPr="00677A95">
        <w:rPr>
          <w:rFonts w:ascii="Arial" w:hAnsi="Arial" w:cs="Arial"/>
          <w:sz w:val="26"/>
          <w:szCs w:val="26"/>
        </w:rPr>
        <w:t xml:space="preserve">        MAGISTRADO ABRAHAM SANTIAGO SORIANO</w:t>
      </w:r>
    </w:p>
    <w:p w14:paraId="221D9CB4" w14:textId="77777777" w:rsidR="00A8622E" w:rsidRDefault="00A8622E" w:rsidP="00A8622E">
      <w:pPr>
        <w:rPr>
          <w:rFonts w:ascii="Arial" w:hAnsi="Arial" w:cs="Arial"/>
          <w:sz w:val="26"/>
          <w:szCs w:val="26"/>
        </w:rPr>
      </w:pPr>
    </w:p>
    <w:p w14:paraId="05FE9D9F" w14:textId="13F1909D" w:rsidR="00A8622E" w:rsidRDefault="00A8622E" w:rsidP="00A8622E">
      <w:pPr>
        <w:rPr>
          <w:rFonts w:ascii="Arial" w:hAnsi="Arial" w:cs="Arial"/>
          <w:sz w:val="26"/>
          <w:szCs w:val="26"/>
        </w:rPr>
      </w:pPr>
    </w:p>
    <w:p w14:paraId="3545A530" w14:textId="77777777" w:rsidR="00A8622E" w:rsidRPr="00677A95" w:rsidRDefault="00A8622E" w:rsidP="00A8622E">
      <w:pPr>
        <w:rPr>
          <w:rFonts w:ascii="Arial" w:hAnsi="Arial" w:cs="Arial"/>
          <w:sz w:val="26"/>
          <w:szCs w:val="26"/>
        </w:rPr>
      </w:pPr>
    </w:p>
    <w:p w14:paraId="2E58CBC7" w14:textId="77777777" w:rsidR="00A8622E" w:rsidRPr="00677A95" w:rsidRDefault="00A8622E" w:rsidP="00A8622E">
      <w:pPr>
        <w:rPr>
          <w:rFonts w:ascii="Arial" w:hAnsi="Arial" w:cs="Arial"/>
          <w:sz w:val="26"/>
          <w:szCs w:val="26"/>
        </w:rPr>
      </w:pPr>
    </w:p>
    <w:p w14:paraId="1F8E5960" w14:textId="5809F2AF" w:rsidR="00A8622E" w:rsidRPr="00677A95" w:rsidRDefault="00A8622E" w:rsidP="00A8622E">
      <w:pPr>
        <w:rPr>
          <w:rFonts w:ascii="Arial" w:hAnsi="Arial" w:cs="Arial"/>
          <w:sz w:val="26"/>
          <w:szCs w:val="26"/>
        </w:rPr>
      </w:pPr>
      <w:r>
        <w:rPr>
          <w:rFonts w:ascii="Arial" w:hAnsi="Arial" w:cs="Arial"/>
          <w:sz w:val="26"/>
          <w:szCs w:val="26"/>
        </w:rPr>
        <w:t xml:space="preserve">                   </w:t>
      </w:r>
      <w:r w:rsidRPr="00677A95">
        <w:rPr>
          <w:rFonts w:ascii="Arial" w:hAnsi="Arial" w:cs="Arial"/>
          <w:sz w:val="26"/>
          <w:szCs w:val="26"/>
        </w:rPr>
        <w:t>MAGISTRADO RAÚL PALOMARES PALOMINO</w:t>
      </w:r>
    </w:p>
    <w:p w14:paraId="330787AD" w14:textId="77777777" w:rsidR="00A8622E" w:rsidRDefault="00A8622E" w:rsidP="00A8622E">
      <w:pPr>
        <w:jc w:val="center"/>
        <w:rPr>
          <w:rFonts w:ascii="Arial" w:hAnsi="Arial" w:cs="Arial"/>
          <w:sz w:val="26"/>
          <w:szCs w:val="26"/>
        </w:rPr>
      </w:pPr>
    </w:p>
    <w:p w14:paraId="0F07A336" w14:textId="4BDEE739" w:rsidR="00A8622E" w:rsidRDefault="00A8622E" w:rsidP="00A8622E">
      <w:pPr>
        <w:rPr>
          <w:rFonts w:ascii="Arial" w:hAnsi="Arial" w:cs="Arial"/>
          <w:sz w:val="26"/>
          <w:szCs w:val="26"/>
        </w:rPr>
      </w:pPr>
    </w:p>
    <w:p w14:paraId="415945CE" w14:textId="77777777" w:rsidR="00A8622E" w:rsidRDefault="00A8622E" w:rsidP="00A8622E">
      <w:pPr>
        <w:rPr>
          <w:rFonts w:ascii="Arial" w:hAnsi="Arial" w:cs="Arial"/>
          <w:sz w:val="26"/>
          <w:szCs w:val="26"/>
        </w:rPr>
      </w:pPr>
    </w:p>
    <w:p w14:paraId="330D1101" w14:textId="77777777" w:rsidR="00A8622E" w:rsidRPr="00677A95" w:rsidRDefault="00A8622E" w:rsidP="00A8622E">
      <w:pPr>
        <w:jc w:val="center"/>
        <w:rPr>
          <w:rFonts w:ascii="Arial" w:hAnsi="Arial" w:cs="Arial"/>
          <w:sz w:val="26"/>
          <w:szCs w:val="26"/>
        </w:rPr>
      </w:pPr>
    </w:p>
    <w:p w14:paraId="17522AA8" w14:textId="77777777" w:rsidR="00A8622E" w:rsidRPr="00677A95" w:rsidRDefault="00A8622E" w:rsidP="00A8622E">
      <w:pPr>
        <w:tabs>
          <w:tab w:val="left" w:pos="1680"/>
          <w:tab w:val="center" w:pos="4277"/>
        </w:tabs>
        <w:spacing w:line="360" w:lineRule="auto"/>
        <w:jc w:val="center"/>
        <w:rPr>
          <w:rFonts w:ascii="Arial" w:hAnsi="Arial" w:cs="Arial"/>
          <w:sz w:val="26"/>
          <w:szCs w:val="26"/>
        </w:rPr>
      </w:pPr>
      <w:r w:rsidRPr="00677A95">
        <w:rPr>
          <w:rFonts w:ascii="Arial" w:hAnsi="Arial" w:cs="Arial"/>
          <w:sz w:val="26"/>
          <w:szCs w:val="26"/>
        </w:rPr>
        <w:t xml:space="preserve">    MAGISTRADA GLORIA DEL CARMEN CAMACHO MEZA</w:t>
      </w:r>
    </w:p>
    <w:p w14:paraId="463B39F6" w14:textId="77777777" w:rsidR="00A8622E" w:rsidRPr="00677A95" w:rsidRDefault="00A8622E" w:rsidP="00A8622E">
      <w:pPr>
        <w:tabs>
          <w:tab w:val="left" w:pos="1680"/>
          <w:tab w:val="center" w:pos="4277"/>
        </w:tabs>
        <w:spacing w:line="360" w:lineRule="auto"/>
        <w:rPr>
          <w:rFonts w:ascii="Arial" w:hAnsi="Arial" w:cs="Arial"/>
          <w:sz w:val="26"/>
          <w:szCs w:val="26"/>
        </w:rPr>
      </w:pPr>
    </w:p>
    <w:p w14:paraId="692B5E6B" w14:textId="20BD5117" w:rsidR="00A8622E" w:rsidRDefault="00A8622E" w:rsidP="00C25C35">
      <w:pPr>
        <w:tabs>
          <w:tab w:val="left" w:pos="1680"/>
          <w:tab w:val="center" w:pos="4277"/>
        </w:tabs>
        <w:spacing w:line="360" w:lineRule="auto"/>
        <w:jc w:val="center"/>
        <w:rPr>
          <w:rFonts w:ascii="Arial" w:hAnsi="Arial" w:cs="Arial"/>
          <w:b/>
          <w:bCs/>
          <w:sz w:val="18"/>
          <w:szCs w:val="18"/>
        </w:rPr>
      </w:pPr>
      <w:r w:rsidRPr="00A8622E">
        <w:rPr>
          <w:rFonts w:ascii="Arial" w:hAnsi="Arial" w:cs="Arial"/>
          <w:b/>
          <w:bCs/>
          <w:sz w:val="18"/>
          <w:szCs w:val="18"/>
        </w:rPr>
        <w:t>LAS PRESENTES FIRMAS CORRESPONDEN AL RECURSO DE REVISIÓN 0047/2021.</w:t>
      </w:r>
    </w:p>
    <w:p w14:paraId="19DCB154" w14:textId="428BB26A" w:rsidR="00A8622E" w:rsidRDefault="00A8622E" w:rsidP="00C25C35">
      <w:pPr>
        <w:tabs>
          <w:tab w:val="left" w:pos="1680"/>
          <w:tab w:val="center" w:pos="4277"/>
        </w:tabs>
        <w:spacing w:line="360" w:lineRule="auto"/>
        <w:jc w:val="center"/>
        <w:rPr>
          <w:rFonts w:ascii="Arial" w:hAnsi="Arial" w:cs="Arial"/>
          <w:b/>
          <w:bCs/>
          <w:sz w:val="18"/>
          <w:szCs w:val="18"/>
        </w:rPr>
      </w:pPr>
    </w:p>
    <w:p w14:paraId="0448709E" w14:textId="6A150449" w:rsidR="00A8622E" w:rsidRDefault="00A8622E" w:rsidP="00C25C35">
      <w:pPr>
        <w:tabs>
          <w:tab w:val="left" w:pos="1680"/>
          <w:tab w:val="center" w:pos="4277"/>
        </w:tabs>
        <w:spacing w:line="360" w:lineRule="auto"/>
        <w:jc w:val="center"/>
        <w:rPr>
          <w:rFonts w:ascii="Arial" w:hAnsi="Arial" w:cs="Arial"/>
          <w:b/>
          <w:bCs/>
          <w:sz w:val="18"/>
          <w:szCs w:val="18"/>
        </w:rPr>
      </w:pPr>
    </w:p>
    <w:p w14:paraId="435248C6" w14:textId="46BEAF1E" w:rsidR="00A8622E" w:rsidRDefault="00A8622E" w:rsidP="00C25C35">
      <w:pPr>
        <w:tabs>
          <w:tab w:val="left" w:pos="1680"/>
          <w:tab w:val="center" w:pos="4277"/>
        </w:tabs>
        <w:spacing w:line="360" w:lineRule="auto"/>
        <w:jc w:val="center"/>
        <w:rPr>
          <w:rFonts w:ascii="Arial" w:hAnsi="Arial" w:cs="Arial"/>
          <w:b/>
          <w:bCs/>
          <w:sz w:val="18"/>
          <w:szCs w:val="18"/>
        </w:rPr>
      </w:pPr>
    </w:p>
    <w:p w14:paraId="1C50EDEA" w14:textId="77777777" w:rsidR="00A8622E" w:rsidRPr="00A8622E" w:rsidRDefault="00A8622E" w:rsidP="00C25C35">
      <w:pPr>
        <w:tabs>
          <w:tab w:val="left" w:pos="1680"/>
          <w:tab w:val="center" w:pos="4277"/>
        </w:tabs>
        <w:spacing w:line="360" w:lineRule="auto"/>
        <w:jc w:val="center"/>
        <w:rPr>
          <w:rFonts w:ascii="Arial" w:hAnsi="Arial" w:cs="Arial"/>
          <w:b/>
          <w:bCs/>
          <w:sz w:val="18"/>
          <w:szCs w:val="18"/>
        </w:rPr>
      </w:pPr>
    </w:p>
    <w:p w14:paraId="1D651B54" w14:textId="2CEC5EDD" w:rsidR="00A8622E" w:rsidRPr="00677A95" w:rsidRDefault="00A8622E" w:rsidP="00C25C35">
      <w:pPr>
        <w:tabs>
          <w:tab w:val="left" w:pos="1680"/>
          <w:tab w:val="center" w:pos="4277"/>
        </w:tabs>
        <w:spacing w:line="360" w:lineRule="auto"/>
        <w:jc w:val="center"/>
        <w:rPr>
          <w:rFonts w:ascii="Arial" w:hAnsi="Arial" w:cs="Arial"/>
          <w:sz w:val="26"/>
          <w:szCs w:val="26"/>
        </w:rPr>
      </w:pPr>
      <w:r w:rsidRPr="00677A95">
        <w:rPr>
          <w:rFonts w:ascii="Arial" w:hAnsi="Arial" w:cs="Arial"/>
          <w:sz w:val="26"/>
          <w:szCs w:val="26"/>
        </w:rPr>
        <w:lastRenderedPageBreak/>
        <w:t>MAGISTRADO PAULO JOSÉ LUIS TAPIA PALACIOS</w:t>
      </w:r>
    </w:p>
    <w:p w14:paraId="4AD62D12" w14:textId="77777777" w:rsidR="00A8622E" w:rsidRPr="00677A95" w:rsidRDefault="00A8622E" w:rsidP="00C25C35">
      <w:pPr>
        <w:tabs>
          <w:tab w:val="left" w:pos="1680"/>
          <w:tab w:val="center" w:pos="4277"/>
        </w:tabs>
        <w:spacing w:line="360" w:lineRule="auto"/>
        <w:jc w:val="center"/>
        <w:rPr>
          <w:rFonts w:ascii="Arial" w:hAnsi="Arial" w:cs="Arial"/>
          <w:sz w:val="26"/>
          <w:szCs w:val="26"/>
        </w:rPr>
      </w:pPr>
    </w:p>
    <w:p w14:paraId="158BF74A" w14:textId="77777777" w:rsidR="00A8622E" w:rsidRPr="00677A95" w:rsidRDefault="00A8622E" w:rsidP="00C25C35">
      <w:pPr>
        <w:tabs>
          <w:tab w:val="left" w:pos="1680"/>
          <w:tab w:val="center" w:pos="4277"/>
        </w:tabs>
        <w:spacing w:line="360" w:lineRule="auto"/>
        <w:jc w:val="center"/>
        <w:rPr>
          <w:rFonts w:ascii="Arial" w:hAnsi="Arial" w:cs="Arial"/>
          <w:sz w:val="26"/>
          <w:szCs w:val="26"/>
        </w:rPr>
      </w:pPr>
    </w:p>
    <w:p w14:paraId="359A8D01" w14:textId="77777777" w:rsidR="00A8622E" w:rsidRPr="00677A95" w:rsidRDefault="00A8622E" w:rsidP="00C25C35">
      <w:pPr>
        <w:spacing w:after="0" w:line="240" w:lineRule="auto"/>
        <w:jc w:val="center"/>
        <w:rPr>
          <w:rFonts w:ascii="Arial" w:hAnsi="Arial" w:cs="Arial"/>
          <w:sz w:val="26"/>
          <w:szCs w:val="26"/>
        </w:rPr>
      </w:pPr>
    </w:p>
    <w:p w14:paraId="05201EE8" w14:textId="77777777" w:rsidR="00A8622E" w:rsidRPr="00677A95" w:rsidRDefault="00A8622E" w:rsidP="00C25C35">
      <w:pPr>
        <w:spacing w:after="0" w:line="240" w:lineRule="auto"/>
        <w:jc w:val="center"/>
        <w:rPr>
          <w:rFonts w:ascii="Arial" w:hAnsi="Arial" w:cs="Arial"/>
          <w:sz w:val="26"/>
          <w:szCs w:val="26"/>
        </w:rPr>
      </w:pPr>
    </w:p>
    <w:p w14:paraId="3C4E5EF5" w14:textId="77777777" w:rsidR="00A8622E" w:rsidRPr="00677A95" w:rsidRDefault="00A8622E" w:rsidP="00C25C35">
      <w:pPr>
        <w:spacing w:after="0" w:line="240" w:lineRule="auto"/>
        <w:jc w:val="center"/>
        <w:rPr>
          <w:rFonts w:ascii="Arial" w:hAnsi="Arial" w:cs="Arial"/>
          <w:sz w:val="26"/>
          <w:szCs w:val="26"/>
        </w:rPr>
      </w:pPr>
      <w:r w:rsidRPr="00677A95">
        <w:rPr>
          <w:rFonts w:ascii="Arial" w:hAnsi="Arial" w:cs="Arial"/>
          <w:sz w:val="26"/>
          <w:szCs w:val="26"/>
        </w:rPr>
        <w:t>LIC. JUAN EDY GARCÍA CORONADO.</w:t>
      </w:r>
    </w:p>
    <w:p w14:paraId="259DAB15" w14:textId="77777777" w:rsidR="00A8622E" w:rsidRPr="00666C98" w:rsidRDefault="00A8622E" w:rsidP="00C25C35">
      <w:pPr>
        <w:spacing w:after="0" w:line="240" w:lineRule="auto"/>
        <w:jc w:val="center"/>
      </w:pPr>
      <w:r w:rsidRPr="00677A95">
        <w:rPr>
          <w:rFonts w:ascii="Arial" w:hAnsi="Arial" w:cs="Arial"/>
          <w:sz w:val="26"/>
          <w:szCs w:val="26"/>
        </w:rPr>
        <w:t>SECRETARIO GENERAL DE ACUERDOS</w:t>
      </w:r>
    </w:p>
    <w:p w14:paraId="50453FE0" w14:textId="2452ADC9" w:rsidR="00BA258A" w:rsidRPr="000338EE" w:rsidRDefault="00BA258A" w:rsidP="00A8622E">
      <w:pPr>
        <w:spacing w:after="0" w:line="360" w:lineRule="auto"/>
        <w:ind w:right="51" w:firstLine="567"/>
        <w:jc w:val="both"/>
        <w:rPr>
          <w:lang w:val="es-ES"/>
        </w:rPr>
      </w:pPr>
    </w:p>
    <w:sectPr w:rsidR="00BA258A" w:rsidRPr="000338EE" w:rsidSect="00D0729A">
      <w:headerReference w:type="even" r:id="rId8"/>
      <w:headerReference w:type="default" r:id="rId9"/>
      <w:footerReference w:type="default" r:id="rId10"/>
      <w:headerReference w:type="first" r:id="rId11"/>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909337E" w14:textId="77777777" w:rsidR="00A554BC" w:rsidRDefault="00A554BC">
      <w:pPr>
        <w:spacing w:after="0" w:line="240" w:lineRule="auto"/>
      </w:pPr>
      <w:r>
        <w:separator/>
      </w:r>
    </w:p>
  </w:endnote>
  <w:endnote w:type="continuationSeparator" w:id="0">
    <w:p w14:paraId="6CB1C2AB" w14:textId="77777777" w:rsidR="00A554BC" w:rsidRDefault="00A554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17121A" w:rsidRDefault="0017121A">
    <w:pPr>
      <w:pStyle w:val="Piedepgina"/>
      <w:jc w:val="center"/>
    </w:pPr>
  </w:p>
  <w:p w14:paraId="195FF414" w14:textId="77777777" w:rsidR="0017121A" w:rsidRDefault="0017121A">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7D713C2" w14:textId="77777777" w:rsidR="00A554BC" w:rsidRDefault="00A554BC">
      <w:pPr>
        <w:spacing w:after="0" w:line="240" w:lineRule="auto"/>
      </w:pPr>
      <w:r>
        <w:separator/>
      </w:r>
    </w:p>
  </w:footnote>
  <w:footnote w:type="continuationSeparator" w:id="0">
    <w:p w14:paraId="47A40713" w14:textId="77777777" w:rsidR="00A554BC" w:rsidRDefault="00A554BC">
      <w:pPr>
        <w:spacing w:after="0" w:line="240" w:lineRule="auto"/>
      </w:pPr>
      <w:r>
        <w:continuationSeparator/>
      </w:r>
    </w:p>
  </w:footnote>
  <w:footnote w:id="1">
    <w:p w14:paraId="1A564845" w14:textId="77777777" w:rsidR="0017121A" w:rsidRPr="00E05309" w:rsidRDefault="0017121A" w:rsidP="00E05309">
      <w:pPr>
        <w:pStyle w:val="Textonotapie"/>
        <w:jc w:val="both"/>
        <w:rPr>
          <w:sz w:val="18"/>
          <w:szCs w:val="18"/>
        </w:rPr>
      </w:pPr>
      <w:r w:rsidRPr="00E05309">
        <w:rPr>
          <w:rStyle w:val="Refdenotaalpie"/>
          <w:sz w:val="18"/>
          <w:szCs w:val="18"/>
        </w:rPr>
        <w:footnoteRef/>
      </w:r>
      <w:r w:rsidRPr="00E05309">
        <w:rPr>
          <w:sz w:val="18"/>
          <w:szCs w:val="18"/>
        </w:rPr>
        <w:t xml:space="preserve"> </w:t>
      </w:r>
      <w:r w:rsidRPr="00E05309">
        <w:rPr>
          <w:b/>
          <w:sz w:val="18"/>
          <w:szCs w:val="18"/>
        </w:rPr>
        <w:t>ARTÍCULO 203</w:t>
      </w:r>
      <w:r w:rsidRPr="00E05309">
        <w:rPr>
          <w:sz w:val="18"/>
          <w:szCs w:val="18"/>
        </w:rPr>
        <w:t xml:space="preserve">.- La valoración de las pruebas se hará de acuerdo con las siguientes reglas: </w:t>
      </w:r>
    </w:p>
    <w:p w14:paraId="776FA9D4" w14:textId="77777777" w:rsidR="0017121A" w:rsidRPr="00E05309" w:rsidRDefault="0017121A" w:rsidP="00E05309">
      <w:pPr>
        <w:pStyle w:val="Textonotapie"/>
        <w:jc w:val="both"/>
        <w:rPr>
          <w:sz w:val="18"/>
          <w:szCs w:val="18"/>
        </w:rPr>
      </w:pPr>
    </w:p>
    <w:p w14:paraId="7A214055" w14:textId="7B1F3636" w:rsidR="0017121A" w:rsidRPr="00E05309" w:rsidRDefault="0017121A" w:rsidP="00E05309">
      <w:pPr>
        <w:pStyle w:val="Textonotapie"/>
        <w:jc w:val="both"/>
        <w:rPr>
          <w:sz w:val="18"/>
          <w:szCs w:val="18"/>
        </w:rPr>
      </w:pPr>
      <w:r w:rsidRPr="00E05309">
        <w:rPr>
          <w:b/>
          <w:sz w:val="18"/>
          <w:szCs w:val="18"/>
        </w:rPr>
        <w:t>I.</w:t>
      </w:r>
      <w:r w:rsidRPr="00E05309">
        <w:rPr>
          <w:sz w:val="18"/>
          <w:szCs w:val="18"/>
        </w:rPr>
        <w:t xml:space="preserve"> Harán prueba plena la confesión expresa de las partes y los actos contenidos en documentos públicos, si en éstos últimos se contienen declaraciones de verdad o manifestaciones de hechos de particulares</w:t>
      </w:r>
    </w:p>
  </w:footnote>
  <w:footnote w:id="2">
    <w:p w14:paraId="5B1D6772" w14:textId="77777777" w:rsidR="006021BA" w:rsidRDefault="006021BA" w:rsidP="006021BA">
      <w:pPr>
        <w:pStyle w:val="Textonotapie"/>
        <w:jc w:val="both"/>
      </w:pPr>
      <w:r>
        <w:rPr>
          <w:rStyle w:val="Refdenotaalpie"/>
        </w:rPr>
        <w:footnoteRef/>
      </w:r>
      <w:r>
        <w:t xml:space="preserve"> </w:t>
      </w:r>
      <w:r>
        <w:rPr>
          <w:b/>
        </w:rPr>
        <w:t>ARTÍCULO 18.-</w:t>
      </w:r>
      <w:r>
        <w:t xml:space="preserve"> Para que el acto administrativo produzca efectos jurídicos, deberá reunir los elementos y requisitos del mismo, en caso contrario, dará lugar a su nulidad, la que deberá demandarse conforme a la ley que rija al acto o bien ante el Tribunal, con arreglo en lo establecido en la presente Ley, cumpliendo con las siguientes reglas generales:</w:t>
      </w:r>
    </w:p>
    <w:p w14:paraId="12165EC0" w14:textId="77777777" w:rsidR="006021BA" w:rsidRDefault="006021BA" w:rsidP="006021BA">
      <w:pPr>
        <w:pStyle w:val="Textonotapie"/>
        <w:jc w:val="both"/>
      </w:pPr>
      <w:r>
        <w:rPr>
          <w:b/>
        </w:rPr>
        <w:t>II.</w:t>
      </w:r>
      <w:r>
        <w:t xml:space="preserve"> El acto administrativo que se declare jurídicamente nulo será inválido; no se presumirá legítimo ni ejecutable; será subsanable, sin perjuicio de que pueda expedirse un nuevo acto. Los particulares no tendrán obligación de cumplirlo y los servidores públicos deberán hacer constar su oposición a ejecutar el acto, fundando y motivando tal negativa. La declaración de nulidad producirá efectos retroactivos;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62677F2A" w:rsidR="0017121A" w:rsidRDefault="00523F88">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7" type="#_x0000_t75" alt="imagen" style="position:absolute;left:0;text-align:left;margin-left:0;margin-top:0;width:413.5pt;height:349.8pt;z-index:-251652096;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r w:rsidR="0017121A">
          <w:fldChar w:fldCharType="begin"/>
        </w:r>
        <w:r w:rsidR="0017121A">
          <w:instrText>PAGE   \* MERGEFORMAT</w:instrText>
        </w:r>
        <w:r w:rsidR="0017121A">
          <w:fldChar w:fldCharType="separate"/>
        </w:r>
        <w:r w:rsidRPr="00523F88">
          <w:rPr>
            <w:noProof/>
            <w:lang w:val="es-ES"/>
          </w:rPr>
          <w:t>18</w:t>
        </w:r>
        <w:r w:rsidR="0017121A">
          <w:fldChar w:fldCharType="end"/>
        </w:r>
      </w:p>
    </w:sdtContent>
  </w:sdt>
  <w:p w14:paraId="0E68208C" w14:textId="77777777" w:rsidR="0017121A" w:rsidRDefault="0017121A">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3876F700" w:rsidR="0017121A" w:rsidRDefault="00523F88">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6" type="#_x0000_t75" alt="imagen" style="position:absolute;left:0;text-align:left;margin-left:0;margin-top:0;width:413.5pt;height:349.8pt;z-index:-251651072;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17121A">
          <w:fldChar w:fldCharType="begin"/>
        </w:r>
        <w:r w:rsidR="0017121A">
          <w:instrText>PAGE   \* MERGEFORMAT</w:instrText>
        </w:r>
        <w:r w:rsidR="0017121A">
          <w:fldChar w:fldCharType="separate"/>
        </w:r>
        <w:r w:rsidRPr="00523F88">
          <w:rPr>
            <w:noProof/>
            <w:lang w:val="es-ES"/>
          </w:rPr>
          <w:t>17</w:t>
        </w:r>
        <w:r w:rsidR="0017121A">
          <w:fldChar w:fldCharType="end"/>
        </w:r>
      </w:sdtContent>
    </w:sdt>
  </w:p>
  <w:p w14:paraId="51E22156" w14:textId="78C081E3" w:rsidR="0017121A" w:rsidRDefault="0017121A" w:rsidP="00927607">
    <w:pPr>
      <w:pStyle w:val="Encabezado"/>
      <w:tabs>
        <w:tab w:val="left" w:pos="142"/>
      </w:tabs>
      <w:ind w:left="284"/>
    </w:pPr>
    <w:r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D81BB01"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17121A" w:rsidRDefault="00523F88">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alt="imagen" style="position:absolute;margin-left:0;margin-top:0;width:413.5pt;height:349.8pt;z-index:-251653120;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D832B6FC"/>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016D59F7"/>
    <w:multiLevelType w:val="hybridMultilevel"/>
    <w:tmpl w:val="A5088FD0"/>
    <w:lvl w:ilvl="0" w:tplc="01EC06AE">
      <w:numFmt w:val="bullet"/>
      <w:lvlText w:val="-"/>
      <w:lvlJc w:val="left"/>
      <w:pPr>
        <w:ind w:left="720" w:hanging="360"/>
      </w:pPr>
      <w:rPr>
        <w:rFonts w:ascii="Arial" w:eastAsia="Times New Roman" w:hAnsi="Arial" w:cs="Arial" w:hint="default"/>
        <w:i/>
        <w:sz w:val="24"/>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nsid w:val="034350C7"/>
    <w:multiLevelType w:val="hybridMultilevel"/>
    <w:tmpl w:val="F738C79A"/>
    <w:lvl w:ilvl="0" w:tplc="22A8CDC0">
      <w:numFmt w:val="bullet"/>
      <w:lvlText w:val="-"/>
      <w:lvlJc w:val="left"/>
      <w:pPr>
        <w:ind w:left="720" w:hanging="360"/>
      </w:pPr>
      <w:rPr>
        <w:rFonts w:ascii="Arial" w:eastAsiaTheme="minorEastAsia"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4">
    <w:nsid w:val="0E61563F"/>
    <w:multiLevelType w:val="hybridMultilevel"/>
    <w:tmpl w:val="34620DD0"/>
    <w:lvl w:ilvl="0" w:tplc="3AEE072A">
      <w:start w:val="1"/>
      <w:numFmt w:val="decimal"/>
      <w:lvlText w:val="%1)"/>
      <w:lvlJc w:val="left"/>
      <w:pPr>
        <w:ind w:left="2345" w:hanging="360"/>
      </w:pPr>
      <w:rPr>
        <w:rFonts w:hint="default"/>
      </w:rPr>
    </w:lvl>
    <w:lvl w:ilvl="1" w:tplc="080A0019" w:tentative="1">
      <w:start w:val="1"/>
      <w:numFmt w:val="lowerLetter"/>
      <w:lvlText w:val="%2."/>
      <w:lvlJc w:val="left"/>
      <w:pPr>
        <w:ind w:left="3065" w:hanging="360"/>
      </w:pPr>
    </w:lvl>
    <w:lvl w:ilvl="2" w:tplc="080A001B" w:tentative="1">
      <w:start w:val="1"/>
      <w:numFmt w:val="lowerRoman"/>
      <w:lvlText w:val="%3."/>
      <w:lvlJc w:val="right"/>
      <w:pPr>
        <w:ind w:left="3785" w:hanging="180"/>
      </w:pPr>
    </w:lvl>
    <w:lvl w:ilvl="3" w:tplc="080A000F" w:tentative="1">
      <w:start w:val="1"/>
      <w:numFmt w:val="decimal"/>
      <w:lvlText w:val="%4."/>
      <w:lvlJc w:val="left"/>
      <w:pPr>
        <w:ind w:left="4505" w:hanging="360"/>
      </w:pPr>
    </w:lvl>
    <w:lvl w:ilvl="4" w:tplc="080A0019" w:tentative="1">
      <w:start w:val="1"/>
      <w:numFmt w:val="lowerLetter"/>
      <w:lvlText w:val="%5."/>
      <w:lvlJc w:val="left"/>
      <w:pPr>
        <w:ind w:left="5225" w:hanging="360"/>
      </w:pPr>
    </w:lvl>
    <w:lvl w:ilvl="5" w:tplc="080A001B" w:tentative="1">
      <w:start w:val="1"/>
      <w:numFmt w:val="lowerRoman"/>
      <w:lvlText w:val="%6."/>
      <w:lvlJc w:val="right"/>
      <w:pPr>
        <w:ind w:left="5945" w:hanging="180"/>
      </w:pPr>
    </w:lvl>
    <w:lvl w:ilvl="6" w:tplc="080A000F" w:tentative="1">
      <w:start w:val="1"/>
      <w:numFmt w:val="decimal"/>
      <w:lvlText w:val="%7."/>
      <w:lvlJc w:val="left"/>
      <w:pPr>
        <w:ind w:left="6665" w:hanging="360"/>
      </w:pPr>
    </w:lvl>
    <w:lvl w:ilvl="7" w:tplc="080A0019" w:tentative="1">
      <w:start w:val="1"/>
      <w:numFmt w:val="lowerLetter"/>
      <w:lvlText w:val="%8."/>
      <w:lvlJc w:val="left"/>
      <w:pPr>
        <w:ind w:left="7385" w:hanging="360"/>
      </w:pPr>
    </w:lvl>
    <w:lvl w:ilvl="8" w:tplc="080A001B" w:tentative="1">
      <w:start w:val="1"/>
      <w:numFmt w:val="lowerRoman"/>
      <w:lvlText w:val="%9."/>
      <w:lvlJc w:val="right"/>
      <w:pPr>
        <w:ind w:left="8105" w:hanging="180"/>
      </w:pPr>
    </w:lvl>
  </w:abstractNum>
  <w:abstractNum w:abstractNumId="5">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6">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nsid w:val="172105D6"/>
    <w:multiLevelType w:val="hybridMultilevel"/>
    <w:tmpl w:val="7084EF56"/>
    <w:lvl w:ilvl="0" w:tplc="544A1058">
      <w:start w:val="1"/>
      <w:numFmt w:val="decimal"/>
      <w:lvlText w:val="%1)"/>
      <w:lvlJc w:val="left"/>
      <w:pPr>
        <w:ind w:left="1188" w:hanging="405"/>
      </w:pPr>
      <w:rPr>
        <w:rFonts w:hint="default"/>
      </w:rPr>
    </w:lvl>
    <w:lvl w:ilvl="1" w:tplc="080A0019" w:tentative="1">
      <w:start w:val="1"/>
      <w:numFmt w:val="lowerLetter"/>
      <w:lvlText w:val="%2."/>
      <w:lvlJc w:val="left"/>
      <w:pPr>
        <w:ind w:left="1863" w:hanging="360"/>
      </w:pPr>
    </w:lvl>
    <w:lvl w:ilvl="2" w:tplc="080A001B" w:tentative="1">
      <w:start w:val="1"/>
      <w:numFmt w:val="lowerRoman"/>
      <w:lvlText w:val="%3."/>
      <w:lvlJc w:val="right"/>
      <w:pPr>
        <w:ind w:left="2583" w:hanging="180"/>
      </w:pPr>
    </w:lvl>
    <w:lvl w:ilvl="3" w:tplc="080A000F" w:tentative="1">
      <w:start w:val="1"/>
      <w:numFmt w:val="decimal"/>
      <w:lvlText w:val="%4."/>
      <w:lvlJc w:val="left"/>
      <w:pPr>
        <w:ind w:left="3303" w:hanging="360"/>
      </w:pPr>
    </w:lvl>
    <w:lvl w:ilvl="4" w:tplc="080A0019" w:tentative="1">
      <w:start w:val="1"/>
      <w:numFmt w:val="lowerLetter"/>
      <w:lvlText w:val="%5."/>
      <w:lvlJc w:val="left"/>
      <w:pPr>
        <w:ind w:left="4023" w:hanging="360"/>
      </w:pPr>
    </w:lvl>
    <w:lvl w:ilvl="5" w:tplc="080A001B" w:tentative="1">
      <w:start w:val="1"/>
      <w:numFmt w:val="lowerRoman"/>
      <w:lvlText w:val="%6."/>
      <w:lvlJc w:val="right"/>
      <w:pPr>
        <w:ind w:left="4743" w:hanging="180"/>
      </w:pPr>
    </w:lvl>
    <w:lvl w:ilvl="6" w:tplc="080A000F" w:tentative="1">
      <w:start w:val="1"/>
      <w:numFmt w:val="decimal"/>
      <w:lvlText w:val="%7."/>
      <w:lvlJc w:val="left"/>
      <w:pPr>
        <w:ind w:left="5463" w:hanging="360"/>
      </w:pPr>
    </w:lvl>
    <w:lvl w:ilvl="7" w:tplc="080A0019" w:tentative="1">
      <w:start w:val="1"/>
      <w:numFmt w:val="lowerLetter"/>
      <w:lvlText w:val="%8."/>
      <w:lvlJc w:val="left"/>
      <w:pPr>
        <w:ind w:left="6183" w:hanging="360"/>
      </w:pPr>
    </w:lvl>
    <w:lvl w:ilvl="8" w:tplc="080A001B" w:tentative="1">
      <w:start w:val="1"/>
      <w:numFmt w:val="lowerRoman"/>
      <w:lvlText w:val="%9."/>
      <w:lvlJc w:val="right"/>
      <w:pPr>
        <w:ind w:left="6903" w:hanging="180"/>
      </w:pPr>
    </w:lvl>
  </w:abstractNum>
  <w:abstractNum w:abstractNumId="8">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0">
    <w:nsid w:val="1E0600E8"/>
    <w:multiLevelType w:val="hybridMultilevel"/>
    <w:tmpl w:val="A67ED446"/>
    <w:lvl w:ilvl="0" w:tplc="8E40A920">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nsid w:val="345C5B3A"/>
    <w:multiLevelType w:val="hybridMultilevel"/>
    <w:tmpl w:val="1E46E506"/>
    <w:lvl w:ilvl="0" w:tplc="ABAED16E">
      <w:numFmt w:val="bullet"/>
      <w:lvlText w:val="-"/>
      <w:lvlJc w:val="left"/>
      <w:pPr>
        <w:ind w:left="720" w:hanging="360"/>
      </w:pPr>
      <w:rPr>
        <w:rFonts w:ascii="Arial" w:eastAsiaTheme="minorEastAsia"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nsid w:val="35147BBE"/>
    <w:multiLevelType w:val="hybridMultilevel"/>
    <w:tmpl w:val="B65463E6"/>
    <w:lvl w:ilvl="0" w:tplc="DC7C37BC">
      <w:numFmt w:val="bullet"/>
      <w:lvlText w:val="-"/>
      <w:lvlJc w:val="left"/>
      <w:pPr>
        <w:ind w:left="720" w:hanging="360"/>
      </w:pPr>
      <w:rPr>
        <w:rFonts w:ascii="Arial" w:eastAsiaTheme="minorEastAsia"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15">
    <w:nsid w:val="4402324E"/>
    <w:multiLevelType w:val="hybridMultilevel"/>
    <w:tmpl w:val="923CAAFE"/>
    <w:lvl w:ilvl="0" w:tplc="24425F62">
      <w:start w:val="1"/>
      <w:numFmt w:val="decimal"/>
      <w:lvlText w:val="%1)"/>
      <w:lvlJc w:val="left"/>
      <w:pPr>
        <w:ind w:left="1778" w:hanging="360"/>
      </w:pPr>
      <w:rPr>
        <w:rFonts w:hint="default"/>
      </w:rPr>
    </w:lvl>
    <w:lvl w:ilvl="1" w:tplc="080A0019" w:tentative="1">
      <w:start w:val="1"/>
      <w:numFmt w:val="lowerLetter"/>
      <w:lvlText w:val="%2."/>
      <w:lvlJc w:val="left"/>
      <w:pPr>
        <w:ind w:left="2498" w:hanging="360"/>
      </w:pPr>
    </w:lvl>
    <w:lvl w:ilvl="2" w:tplc="080A001B" w:tentative="1">
      <w:start w:val="1"/>
      <w:numFmt w:val="lowerRoman"/>
      <w:lvlText w:val="%3."/>
      <w:lvlJc w:val="right"/>
      <w:pPr>
        <w:ind w:left="3218" w:hanging="180"/>
      </w:pPr>
    </w:lvl>
    <w:lvl w:ilvl="3" w:tplc="080A000F" w:tentative="1">
      <w:start w:val="1"/>
      <w:numFmt w:val="decimal"/>
      <w:lvlText w:val="%4."/>
      <w:lvlJc w:val="left"/>
      <w:pPr>
        <w:ind w:left="3938" w:hanging="360"/>
      </w:pPr>
    </w:lvl>
    <w:lvl w:ilvl="4" w:tplc="080A0019" w:tentative="1">
      <w:start w:val="1"/>
      <w:numFmt w:val="lowerLetter"/>
      <w:lvlText w:val="%5."/>
      <w:lvlJc w:val="left"/>
      <w:pPr>
        <w:ind w:left="4658" w:hanging="360"/>
      </w:pPr>
    </w:lvl>
    <w:lvl w:ilvl="5" w:tplc="080A001B" w:tentative="1">
      <w:start w:val="1"/>
      <w:numFmt w:val="lowerRoman"/>
      <w:lvlText w:val="%6."/>
      <w:lvlJc w:val="right"/>
      <w:pPr>
        <w:ind w:left="5378" w:hanging="180"/>
      </w:pPr>
    </w:lvl>
    <w:lvl w:ilvl="6" w:tplc="080A000F" w:tentative="1">
      <w:start w:val="1"/>
      <w:numFmt w:val="decimal"/>
      <w:lvlText w:val="%7."/>
      <w:lvlJc w:val="left"/>
      <w:pPr>
        <w:ind w:left="6098" w:hanging="360"/>
      </w:pPr>
    </w:lvl>
    <w:lvl w:ilvl="7" w:tplc="080A0019" w:tentative="1">
      <w:start w:val="1"/>
      <w:numFmt w:val="lowerLetter"/>
      <w:lvlText w:val="%8."/>
      <w:lvlJc w:val="left"/>
      <w:pPr>
        <w:ind w:left="6818" w:hanging="360"/>
      </w:pPr>
    </w:lvl>
    <w:lvl w:ilvl="8" w:tplc="080A001B" w:tentative="1">
      <w:start w:val="1"/>
      <w:numFmt w:val="lowerRoman"/>
      <w:lvlText w:val="%9."/>
      <w:lvlJc w:val="right"/>
      <w:pPr>
        <w:ind w:left="7538" w:hanging="180"/>
      </w:pPr>
    </w:lvl>
  </w:abstractNum>
  <w:abstractNum w:abstractNumId="16">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7">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8">
    <w:nsid w:val="5A56582A"/>
    <w:multiLevelType w:val="hybridMultilevel"/>
    <w:tmpl w:val="86BEA442"/>
    <w:lvl w:ilvl="0" w:tplc="D85A9C8E">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0">
    <w:nsid w:val="6BF67D4A"/>
    <w:multiLevelType w:val="hybridMultilevel"/>
    <w:tmpl w:val="00147C4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21"/>
  </w:num>
  <w:num w:numId="2">
    <w:abstractNumId w:val="6"/>
  </w:num>
  <w:num w:numId="3">
    <w:abstractNumId w:val="3"/>
  </w:num>
  <w:num w:numId="4">
    <w:abstractNumId w:val="16"/>
  </w:num>
  <w:num w:numId="5">
    <w:abstractNumId w:val="19"/>
  </w:num>
  <w:num w:numId="6">
    <w:abstractNumId w:val="11"/>
  </w:num>
  <w:num w:numId="7">
    <w:abstractNumId w:val="9"/>
  </w:num>
  <w:num w:numId="8">
    <w:abstractNumId w:val="5"/>
  </w:num>
  <w:num w:numId="9">
    <w:abstractNumId w:val="8"/>
  </w:num>
  <w:num w:numId="10">
    <w:abstractNumId w:val="14"/>
  </w:num>
  <w:num w:numId="11">
    <w:abstractNumId w:val="17"/>
  </w:num>
  <w:num w:numId="12">
    <w:abstractNumId w:val="4"/>
  </w:num>
  <w:num w:numId="13">
    <w:abstractNumId w:val="7"/>
  </w:num>
  <w:num w:numId="14">
    <w:abstractNumId w:val="0"/>
  </w:num>
  <w:num w:numId="15">
    <w:abstractNumId w:val="18"/>
  </w:num>
  <w:num w:numId="16">
    <w:abstractNumId w:val="1"/>
  </w:num>
  <w:num w:numId="17">
    <w:abstractNumId w:val="2"/>
  </w:num>
  <w:num w:numId="18">
    <w:abstractNumId w:val="13"/>
  </w:num>
  <w:num w:numId="19">
    <w:abstractNumId w:val="10"/>
  </w:num>
  <w:num w:numId="20">
    <w:abstractNumId w:val="12"/>
  </w:num>
  <w:num w:numId="21">
    <w:abstractNumId w:val="15"/>
  </w:num>
  <w:num w:numId="2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8E5"/>
    <w:rsid w:val="00000AF2"/>
    <w:rsid w:val="00000BFF"/>
    <w:rsid w:val="00000EAB"/>
    <w:rsid w:val="00000FD3"/>
    <w:rsid w:val="0000187B"/>
    <w:rsid w:val="00001CDC"/>
    <w:rsid w:val="00001FA6"/>
    <w:rsid w:val="0000259B"/>
    <w:rsid w:val="00002B85"/>
    <w:rsid w:val="00003CC3"/>
    <w:rsid w:val="00004038"/>
    <w:rsid w:val="0000488B"/>
    <w:rsid w:val="00005B69"/>
    <w:rsid w:val="00005BCB"/>
    <w:rsid w:val="00005EA0"/>
    <w:rsid w:val="00007105"/>
    <w:rsid w:val="00007296"/>
    <w:rsid w:val="00007E09"/>
    <w:rsid w:val="00007EFD"/>
    <w:rsid w:val="00007FD5"/>
    <w:rsid w:val="000106FE"/>
    <w:rsid w:val="000121A9"/>
    <w:rsid w:val="000126F6"/>
    <w:rsid w:val="00012904"/>
    <w:rsid w:val="00012918"/>
    <w:rsid w:val="00012DC1"/>
    <w:rsid w:val="000130C8"/>
    <w:rsid w:val="000135AF"/>
    <w:rsid w:val="00014D13"/>
    <w:rsid w:val="00014F98"/>
    <w:rsid w:val="0001695E"/>
    <w:rsid w:val="00016C0B"/>
    <w:rsid w:val="00016DF1"/>
    <w:rsid w:val="00016E88"/>
    <w:rsid w:val="000172AD"/>
    <w:rsid w:val="000174F5"/>
    <w:rsid w:val="000201A4"/>
    <w:rsid w:val="00020680"/>
    <w:rsid w:val="000208F3"/>
    <w:rsid w:val="00020D86"/>
    <w:rsid w:val="00021989"/>
    <w:rsid w:val="00021B04"/>
    <w:rsid w:val="00021C5F"/>
    <w:rsid w:val="00022BBC"/>
    <w:rsid w:val="00023F33"/>
    <w:rsid w:val="00024545"/>
    <w:rsid w:val="00025BEB"/>
    <w:rsid w:val="000262A2"/>
    <w:rsid w:val="000264DD"/>
    <w:rsid w:val="00026C11"/>
    <w:rsid w:val="00027FD8"/>
    <w:rsid w:val="000306D4"/>
    <w:rsid w:val="00030BAF"/>
    <w:rsid w:val="000318F4"/>
    <w:rsid w:val="00031F8E"/>
    <w:rsid w:val="000324B9"/>
    <w:rsid w:val="000329BA"/>
    <w:rsid w:val="00032D83"/>
    <w:rsid w:val="000330FB"/>
    <w:rsid w:val="000338EE"/>
    <w:rsid w:val="00034F3F"/>
    <w:rsid w:val="00035632"/>
    <w:rsid w:val="0003566C"/>
    <w:rsid w:val="00035ED9"/>
    <w:rsid w:val="0003629C"/>
    <w:rsid w:val="00036809"/>
    <w:rsid w:val="00036823"/>
    <w:rsid w:val="000369AF"/>
    <w:rsid w:val="00037279"/>
    <w:rsid w:val="00037443"/>
    <w:rsid w:val="00037770"/>
    <w:rsid w:val="00037843"/>
    <w:rsid w:val="00037C6A"/>
    <w:rsid w:val="00040C69"/>
    <w:rsid w:val="000419E9"/>
    <w:rsid w:val="00041EAA"/>
    <w:rsid w:val="00042473"/>
    <w:rsid w:val="00043077"/>
    <w:rsid w:val="000436B4"/>
    <w:rsid w:val="000441B5"/>
    <w:rsid w:val="00044C5F"/>
    <w:rsid w:val="000450F5"/>
    <w:rsid w:val="0004577C"/>
    <w:rsid w:val="000466B1"/>
    <w:rsid w:val="000466D5"/>
    <w:rsid w:val="00047278"/>
    <w:rsid w:val="00051A31"/>
    <w:rsid w:val="000525F8"/>
    <w:rsid w:val="0005285F"/>
    <w:rsid w:val="00053207"/>
    <w:rsid w:val="0005370C"/>
    <w:rsid w:val="000540E8"/>
    <w:rsid w:val="00054705"/>
    <w:rsid w:val="00054D3C"/>
    <w:rsid w:val="00055248"/>
    <w:rsid w:val="00055F66"/>
    <w:rsid w:val="000562FB"/>
    <w:rsid w:val="000565B2"/>
    <w:rsid w:val="00060DBB"/>
    <w:rsid w:val="00061268"/>
    <w:rsid w:val="00061610"/>
    <w:rsid w:val="000616B5"/>
    <w:rsid w:val="00061C4C"/>
    <w:rsid w:val="0006202A"/>
    <w:rsid w:val="000620CD"/>
    <w:rsid w:val="00062802"/>
    <w:rsid w:val="00062BE3"/>
    <w:rsid w:val="00063759"/>
    <w:rsid w:val="00064906"/>
    <w:rsid w:val="00064FD9"/>
    <w:rsid w:val="00067246"/>
    <w:rsid w:val="00067B5A"/>
    <w:rsid w:val="00070777"/>
    <w:rsid w:val="00070AA4"/>
    <w:rsid w:val="00071BE4"/>
    <w:rsid w:val="00071C6F"/>
    <w:rsid w:val="00071E8C"/>
    <w:rsid w:val="00071F15"/>
    <w:rsid w:val="000728B9"/>
    <w:rsid w:val="000737BF"/>
    <w:rsid w:val="00074790"/>
    <w:rsid w:val="00074A23"/>
    <w:rsid w:val="00074C62"/>
    <w:rsid w:val="000755A5"/>
    <w:rsid w:val="000756DE"/>
    <w:rsid w:val="00076647"/>
    <w:rsid w:val="00076CEA"/>
    <w:rsid w:val="00077661"/>
    <w:rsid w:val="00077DFD"/>
    <w:rsid w:val="00080A85"/>
    <w:rsid w:val="0008122B"/>
    <w:rsid w:val="0008141F"/>
    <w:rsid w:val="00083375"/>
    <w:rsid w:val="0008342F"/>
    <w:rsid w:val="00085132"/>
    <w:rsid w:val="0008514D"/>
    <w:rsid w:val="00085F74"/>
    <w:rsid w:val="0008711A"/>
    <w:rsid w:val="00087470"/>
    <w:rsid w:val="000875DB"/>
    <w:rsid w:val="00087E08"/>
    <w:rsid w:val="000900BD"/>
    <w:rsid w:val="000904A5"/>
    <w:rsid w:val="0009077C"/>
    <w:rsid w:val="00090D7D"/>
    <w:rsid w:val="000910E0"/>
    <w:rsid w:val="00091B93"/>
    <w:rsid w:val="00091C9F"/>
    <w:rsid w:val="00091F9D"/>
    <w:rsid w:val="000939DB"/>
    <w:rsid w:val="00093C95"/>
    <w:rsid w:val="00094EB2"/>
    <w:rsid w:val="00095419"/>
    <w:rsid w:val="000964DE"/>
    <w:rsid w:val="00096B18"/>
    <w:rsid w:val="00096C5C"/>
    <w:rsid w:val="00096CE1"/>
    <w:rsid w:val="000A084D"/>
    <w:rsid w:val="000A0AFA"/>
    <w:rsid w:val="000A0E5E"/>
    <w:rsid w:val="000A0ED5"/>
    <w:rsid w:val="000A12C0"/>
    <w:rsid w:val="000A1491"/>
    <w:rsid w:val="000A14E0"/>
    <w:rsid w:val="000A17DF"/>
    <w:rsid w:val="000A200A"/>
    <w:rsid w:val="000A2550"/>
    <w:rsid w:val="000A27AC"/>
    <w:rsid w:val="000A335C"/>
    <w:rsid w:val="000A33D9"/>
    <w:rsid w:val="000A33F5"/>
    <w:rsid w:val="000A3D89"/>
    <w:rsid w:val="000A468C"/>
    <w:rsid w:val="000A5540"/>
    <w:rsid w:val="000A578F"/>
    <w:rsid w:val="000A58B5"/>
    <w:rsid w:val="000A5D36"/>
    <w:rsid w:val="000A5FA8"/>
    <w:rsid w:val="000A6C87"/>
    <w:rsid w:val="000B0351"/>
    <w:rsid w:val="000B03B9"/>
    <w:rsid w:val="000B0431"/>
    <w:rsid w:val="000B1650"/>
    <w:rsid w:val="000B1A06"/>
    <w:rsid w:val="000B1F22"/>
    <w:rsid w:val="000B2866"/>
    <w:rsid w:val="000B31B3"/>
    <w:rsid w:val="000B35EE"/>
    <w:rsid w:val="000B36E5"/>
    <w:rsid w:val="000B39C8"/>
    <w:rsid w:val="000B3B3B"/>
    <w:rsid w:val="000B40FA"/>
    <w:rsid w:val="000B5281"/>
    <w:rsid w:val="000B584E"/>
    <w:rsid w:val="000B5EC8"/>
    <w:rsid w:val="000B5FE3"/>
    <w:rsid w:val="000B674B"/>
    <w:rsid w:val="000B6B86"/>
    <w:rsid w:val="000B6EF2"/>
    <w:rsid w:val="000B71FE"/>
    <w:rsid w:val="000B77B4"/>
    <w:rsid w:val="000B7A3A"/>
    <w:rsid w:val="000C02A9"/>
    <w:rsid w:val="000C0569"/>
    <w:rsid w:val="000C0E81"/>
    <w:rsid w:val="000C1E6B"/>
    <w:rsid w:val="000C238B"/>
    <w:rsid w:val="000C2764"/>
    <w:rsid w:val="000C3DC9"/>
    <w:rsid w:val="000C4139"/>
    <w:rsid w:val="000C47B5"/>
    <w:rsid w:val="000C5414"/>
    <w:rsid w:val="000C590D"/>
    <w:rsid w:val="000C5BCE"/>
    <w:rsid w:val="000C5DC1"/>
    <w:rsid w:val="000C6670"/>
    <w:rsid w:val="000D04BF"/>
    <w:rsid w:val="000D0AC9"/>
    <w:rsid w:val="000D153E"/>
    <w:rsid w:val="000D170C"/>
    <w:rsid w:val="000D1CF0"/>
    <w:rsid w:val="000D2A1F"/>
    <w:rsid w:val="000D3597"/>
    <w:rsid w:val="000D3E85"/>
    <w:rsid w:val="000D42B5"/>
    <w:rsid w:val="000D4AFE"/>
    <w:rsid w:val="000D5397"/>
    <w:rsid w:val="000D558F"/>
    <w:rsid w:val="000D5746"/>
    <w:rsid w:val="000D6134"/>
    <w:rsid w:val="000D6E87"/>
    <w:rsid w:val="000D7314"/>
    <w:rsid w:val="000D7B89"/>
    <w:rsid w:val="000D7C8C"/>
    <w:rsid w:val="000E1E0D"/>
    <w:rsid w:val="000E2CAD"/>
    <w:rsid w:val="000E343A"/>
    <w:rsid w:val="000E3FF4"/>
    <w:rsid w:val="000E40FD"/>
    <w:rsid w:val="000E4A40"/>
    <w:rsid w:val="000E4AC8"/>
    <w:rsid w:val="000E4C30"/>
    <w:rsid w:val="000E5501"/>
    <w:rsid w:val="000E5766"/>
    <w:rsid w:val="000E5B3C"/>
    <w:rsid w:val="000E5B66"/>
    <w:rsid w:val="000E5F83"/>
    <w:rsid w:val="000E74F5"/>
    <w:rsid w:val="000E7DB2"/>
    <w:rsid w:val="000F0C84"/>
    <w:rsid w:val="000F0D7B"/>
    <w:rsid w:val="000F2020"/>
    <w:rsid w:val="000F2949"/>
    <w:rsid w:val="000F2B5A"/>
    <w:rsid w:val="000F2D32"/>
    <w:rsid w:val="000F4347"/>
    <w:rsid w:val="000F50E8"/>
    <w:rsid w:val="000F54B0"/>
    <w:rsid w:val="000F5C41"/>
    <w:rsid w:val="000F5DE0"/>
    <w:rsid w:val="000F62C3"/>
    <w:rsid w:val="000F75AF"/>
    <w:rsid w:val="000F77DE"/>
    <w:rsid w:val="001002F5"/>
    <w:rsid w:val="001019F2"/>
    <w:rsid w:val="0010207B"/>
    <w:rsid w:val="001025E5"/>
    <w:rsid w:val="00102AFD"/>
    <w:rsid w:val="00102D3E"/>
    <w:rsid w:val="00104022"/>
    <w:rsid w:val="001041F6"/>
    <w:rsid w:val="0010644A"/>
    <w:rsid w:val="0010719A"/>
    <w:rsid w:val="00107ED5"/>
    <w:rsid w:val="001108F3"/>
    <w:rsid w:val="00110B09"/>
    <w:rsid w:val="00110C32"/>
    <w:rsid w:val="00111BFC"/>
    <w:rsid w:val="00111CBB"/>
    <w:rsid w:val="0011210D"/>
    <w:rsid w:val="00112765"/>
    <w:rsid w:val="00112BF7"/>
    <w:rsid w:val="00113361"/>
    <w:rsid w:val="00113A46"/>
    <w:rsid w:val="00114AC5"/>
    <w:rsid w:val="001162E0"/>
    <w:rsid w:val="00116579"/>
    <w:rsid w:val="00116C7F"/>
    <w:rsid w:val="0011786C"/>
    <w:rsid w:val="00121DE8"/>
    <w:rsid w:val="00122E48"/>
    <w:rsid w:val="00122F5E"/>
    <w:rsid w:val="0012326E"/>
    <w:rsid w:val="001237B4"/>
    <w:rsid w:val="001239B6"/>
    <w:rsid w:val="001244EC"/>
    <w:rsid w:val="00126E70"/>
    <w:rsid w:val="00126EEE"/>
    <w:rsid w:val="00126EEF"/>
    <w:rsid w:val="00126F80"/>
    <w:rsid w:val="00127248"/>
    <w:rsid w:val="00127B1F"/>
    <w:rsid w:val="00127C05"/>
    <w:rsid w:val="00130500"/>
    <w:rsid w:val="0013065F"/>
    <w:rsid w:val="00130734"/>
    <w:rsid w:val="001312BC"/>
    <w:rsid w:val="00131562"/>
    <w:rsid w:val="00131911"/>
    <w:rsid w:val="00131CDF"/>
    <w:rsid w:val="00132391"/>
    <w:rsid w:val="001336D8"/>
    <w:rsid w:val="00133BFB"/>
    <w:rsid w:val="00133D68"/>
    <w:rsid w:val="00133DCC"/>
    <w:rsid w:val="00134892"/>
    <w:rsid w:val="00134A68"/>
    <w:rsid w:val="00134AB5"/>
    <w:rsid w:val="00135132"/>
    <w:rsid w:val="0013555E"/>
    <w:rsid w:val="00135B0C"/>
    <w:rsid w:val="00136750"/>
    <w:rsid w:val="00136897"/>
    <w:rsid w:val="0013695E"/>
    <w:rsid w:val="00136FB8"/>
    <w:rsid w:val="0014043C"/>
    <w:rsid w:val="00140C01"/>
    <w:rsid w:val="00140D7E"/>
    <w:rsid w:val="00141BB2"/>
    <w:rsid w:val="00142417"/>
    <w:rsid w:val="0014331F"/>
    <w:rsid w:val="00143682"/>
    <w:rsid w:val="001441D3"/>
    <w:rsid w:val="001450E2"/>
    <w:rsid w:val="001460CF"/>
    <w:rsid w:val="00146509"/>
    <w:rsid w:val="0014671A"/>
    <w:rsid w:val="00146991"/>
    <w:rsid w:val="00146DCF"/>
    <w:rsid w:val="00147CCC"/>
    <w:rsid w:val="00147FEF"/>
    <w:rsid w:val="0015050B"/>
    <w:rsid w:val="00151A88"/>
    <w:rsid w:val="001526F2"/>
    <w:rsid w:val="00152DA5"/>
    <w:rsid w:val="00152F51"/>
    <w:rsid w:val="00152FB6"/>
    <w:rsid w:val="0015351E"/>
    <w:rsid w:val="00153976"/>
    <w:rsid w:val="00153BE4"/>
    <w:rsid w:val="001542BE"/>
    <w:rsid w:val="00154490"/>
    <w:rsid w:val="00156250"/>
    <w:rsid w:val="00156F22"/>
    <w:rsid w:val="001570E1"/>
    <w:rsid w:val="00161661"/>
    <w:rsid w:val="0016171F"/>
    <w:rsid w:val="00161D8A"/>
    <w:rsid w:val="00161F6F"/>
    <w:rsid w:val="001621EF"/>
    <w:rsid w:val="00163EBF"/>
    <w:rsid w:val="00164BCE"/>
    <w:rsid w:val="001659D0"/>
    <w:rsid w:val="0016604B"/>
    <w:rsid w:val="0016700D"/>
    <w:rsid w:val="00167ADD"/>
    <w:rsid w:val="001702C6"/>
    <w:rsid w:val="001711A1"/>
    <w:rsid w:val="0017121A"/>
    <w:rsid w:val="00171A78"/>
    <w:rsid w:val="00172205"/>
    <w:rsid w:val="0017260E"/>
    <w:rsid w:val="001729D0"/>
    <w:rsid w:val="00172B51"/>
    <w:rsid w:val="00172C89"/>
    <w:rsid w:val="0017568D"/>
    <w:rsid w:val="00175C14"/>
    <w:rsid w:val="001761CB"/>
    <w:rsid w:val="0017651E"/>
    <w:rsid w:val="001778B4"/>
    <w:rsid w:val="001779CB"/>
    <w:rsid w:val="00177B24"/>
    <w:rsid w:val="00177B53"/>
    <w:rsid w:val="00180D6E"/>
    <w:rsid w:val="00181DB0"/>
    <w:rsid w:val="001826D0"/>
    <w:rsid w:val="0018345B"/>
    <w:rsid w:val="0018356C"/>
    <w:rsid w:val="0018358B"/>
    <w:rsid w:val="00183EE9"/>
    <w:rsid w:val="0018454F"/>
    <w:rsid w:val="001846BB"/>
    <w:rsid w:val="001854BD"/>
    <w:rsid w:val="00185DC5"/>
    <w:rsid w:val="00186701"/>
    <w:rsid w:val="00186FB3"/>
    <w:rsid w:val="00186FE8"/>
    <w:rsid w:val="0018765B"/>
    <w:rsid w:val="00187830"/>
    <w:rsid w:val="00192287"/>
    <w:rsid w:val="001923AE"/>
    <w:rsid w:val="001924B2"/>
    <w:rsid w:val="00193379"/>
    <w:rsid w:val="0019343F"/>
    <w:rsid w:val="00194B7B"/>
    <w:rsid w:val="001951A3"/>
    <w:rsid w:val="00195583"/>
    <w:rsid w:val="001A0745"/>
    <w:rsid w:val="001A1302"/>
    <w:rsid w:val="001A16CC"/>
    <w:rsid w:val="001A18E1"/>
    <w:rsid w:val="001A2144"/>
    <w:rsid w:val="001A2E1D"/>
    <w:rsid w:val="001A2FDB"/>
    <w:rsid w:val="001A3075"/>
    <w:rsid w:val="001A340F"/>
    <w:rsid w:val="001A3755"/>
    <w:rsid w:val="001A4127"/>
    <w:rsid w:val="001A4A0D"/>
    <w:rsid w:val="001A4E1C"/>
    <w:rsid w:val="001A554E"/>
    <w:rsid w:val="001A6EBE"/>
    <w:rsid w:val="001A6F68"/>
    <w:rsid w:val="001A7533"/>
    <w:rsid w:val="001A77FB"/>
    <w:rsid w:val="001B009D"/>
    <w:rsid w:val="001B035C"/>
    <w:rsid w:val="001B046F"/>
    <w:rsid w:val="001B13DB"/>
    <w:rsid w:val="001B17F6"/>
    <w:rsid w:val="001B341D"/>
    <w:rsid w:val="001B3A10"/>
    <w:rsid w:val="001B3B5C"/>
    <w:rsid w:val="001B5128"/>
    <w:rsid w:val="001B6E63"/>
    <w:rsid w:val="001B7127"/>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502D"/>
    <w:rsid w:val="001C53B0"/>
    <w:rsid w:val="001C6DD8"/>
    <w:rsid w:val="001C7EC3"/>
    <w:rsid w:val="001D07F6"/>
    <w:rsid w:val="001D0DCF"/>
    <w:rsid w:val="001D31A6"/>
    <w:rsid w:val="001D3B81"/>
    <w:rsid w:val="001D40CC"/>
    <w:rsid w:val="001D4D61"/>
    <w:rsid w:val="001D4D8C"/>
    <w:rsid w:val="001D5282"/>
    <w:rsid w:val="001D529D"/>
    <w:rsid w:val="001D577C"/>
    <w:rsid w:val="001D694C"/>
    <w:rsid w:val="001D754A"/>
    <w:rsid w:val="001E288A"/>
    <w:rsid w:val="001E2A02"/>
    <w:rsid w:val="001E2B84"/>
    <w:rsid w:val="001E338B"/>
    <w:rsid w:val="001E3B11"/>
    <w:rsid w:val="001E4893"/>
    <w:rsid w:val="001E4C02"/>
    <w:rsid w:val="001E5309"/>
    <w:rsid w:val="001E593B"/>
    <w:rsid w:val="001E65E8"/>
    <w:rsid w:val="001E6AE5"/>
    <w:rsid w:val="001E7020"/>
    <w:rsid w:val="001E71FD"/>
    <w:rsid w:val="001E77A9"/>
    <w:rsid w:val="001E7A93"/>
    <w:rsid w:val="001E7BD1"/>
    <w:rsid w:val="001F0FBC"/>
    <w:rsid w:val="001F2154"/>
    <w:rsid w:val="001F287C"/>
    <w:rsid w:val="001F2D73"/>
    <w:rsid w:val="001F4C86"/>
    <w:rsid w:val="001F504E"/>
    <w:rsid w:val="001F5050"/>
    <w:rsid w:val="001F5F15"/>
    <w:rsid w:val="001F625A"/>
    <w:rsid w:val="001F6B28"/>
    <w:rsid w:val="001F6C56"/>
    <w:rsid w:val="001F72DF"/>
    <w:rsid w:val="001F77D0"/>
    <w:rsid w:val="002010A9"/>
    <w:rsid w:val="00201769"/>
    <w:rsid w:val="0020247E"/>
    <w:rsid w:val="002025FD"/>
    <w:rsid w:val="002029D9"/>
    <w:rsid w:val="002038E9"/>
    <w:rsid w:val="00203FD3"/>
    <w:rsid w:val="00205A55"/>
    <w:rsid w:val="00206222"/>
    <w:rsid w:val="002063F4"/>
    <w:rsid w:val="0020694D"/>
    <w:rsid w:val="00206B99"/>
    <w:rsid w:val="002073D2"/>
    <w:rsid w:val="002078AA"/>
    <w:rsid w:val="00207CEA"/>
    <w:rsid w:val="00210261"/>
    <w:rsid w:val="0021074F"/>
    <w:rsid w:val="002111AC"/>
    <w:rsid w:val="0021150C"/>
    <w:rsid w:val="0021188E"/>
    <w:rsid w:val="002129D5"/>
    <w:rsid w:val="00212E08"/>
    <w:rsid w:val="0021302A"/>
    <w:rsid w:val="00213783"/>
    <w:rsid w:val="00214685"/>
    <w:rsid w:val="002147E4"/>
    <w:rsid w:val="00214CE8"/>
    <w:rsid w:val="002160EA"/>
    <w:rsid w:val="002161AD"/>
    <w:rsid w:val="00216595"/>
    <w:rsid w:val="002165D6"/>
    <w:rsid w:val="00216AB7"/>
    <w:rsid w:val="002170A5"/>
    <w:rsid w:val="00217F57"/>
    <w:rsid w:val="00221687"/>
    <w:rsid w:val="00221709"/>
    <w:rsid w:val="00222A05"/>
    <w:rsid w:val="00222E1E"/>
    <w:rsid w:val="0022341D"/>
    <w:rsid w:val="0022360E"/>
    <w:rsid w:val="00223F75"/>
    <w:rsid w:val="002241C3"/>
    <w:rsid w:val="00224412"/>
    <w:rsid w:val="002246DF"/>
    <w:rsid w:val="002248E9"/>
    <w:rsid w:val="00225069"/>
    <w:rsid w:val="002256A3"/>
    <w:rsid w:val="00227445"/>
    <w:rsid w:val="00227471"/>
    <w:rsid w:val="00230D10"/>
    <w:rsid w:val="00231036"/>
    <w:rsid w:val="00232A92"/>
    <w:rsid w:val="00232B2D"/>
    <w:rsid w:val="00232D7F"/>
    <w:rsid w:val="00233C2B"/>
    <w:rsid w:val="0023417B"/>
    <w:rsid w:val="002350A1"/>
    <w:rsid w:val="002369EA"/>
    <w:rsid w:val="002371FF"/>
    <w:rsid w:val="00237985"/>
    <w:rsid w:val="00237D5A"/>
    <w:rsid w:val="00237DC2"/>
    <w:rsid w:val="00240A4A"/>
    <w:rsid w:val="00240C99"/>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1957"/>
    <w:rsid w:val="00251BCC"/>
    <w:rsid w:val="00252528"/>
    <w:rsid w:val="002530F3"/>
    <w:rsid w:val="00253130"/>
    <w:rsid w:val="00253A1C"/>
    <w:rsid w:val="002541B3"/>
    <w:rsid w:val="00254C10"/>
    <w:rsid w:val="00256761"/>
    <w:rsid w:val="00256B3C"/>
    <w:rsid w:val="00256E7D"/>
    <w:rsid w:val="00256F27"/>
    <w:rsid w:val="00257816"/>
    <w:rsid w:val="00257C5E"/>
    <w:rsid w:val="00260433"/>
    <w:rsid w:val="0026116F"/>
    <w:rsid w:val="002617F9"/>
    <w:rsid w:val="00261993"/>
    <w:rsid w:val="00262666"/>
    <w:rsid w:val="00262D7C"/>
    <w:rsid w:val="00263720"/>
    <w:rsid w:val="00265161"/>
    <w:rsid w:val="00265F1B"/>
    <w:rsid w:val="002665A2"/>
    <w:rsid w:val="00267221"/>
    <w:rsid w:val="00270087"/>
    <w:rsid w:val="00270831"/>
    <w:rsid w:val="0027251F"/>
    <w:rsid w:val="0027275E"/>
    <w:rsid w:val="00272A7D"/>
    <w:rsid w:val="00273171"/>
    <w:rsid w:val="00273398"/>
    <w:rsid w:val="002745CD"/>
    <w:rsid w:val="002748AA"/>
    <w:rsid w:val="00275418"/>
    <w:rsid w:val="002759DE"/>
    <w:rsid w:val="00277FAA"/>
    <w:rsid w:val="002805AC"/>
    <w:rsid w:val="00280919"/>
    <w:rsid w:val="00281661"/>
    <w:rsid w:val="00282C81"/>
    <w:rsid w:val="00283B3F"/>
    <w:rsid w:val="002841EE"/>
    <w:rsid w:val="002844AF"/>
    <w:rsid w:val="00284891"/>
    <w:rsid w:val="002856E9"/>
    <w:rsid w:val="00285B3A"/>
    <w:rsid w:val="00285C95"/>
    <w:rsid w:val="00286C13"/>
    <w:rsid w:val="00286D80"/>
    <w:rsid w:val="00287888"/>
    <w:rsid w:val="00291333"/>
    <w:rsid w:val="00291341"/>
    <w:rsid w:val="002926B1"/>
    <w:rsid w:val="00292CA5"/>
    <w:rsid w:val="002937DD"/>
    <w:rsid w:val="00293B1D"/>
    <w:rsid w:val="00293E41"/>
    <w:rsid w:val="00294749"/>
    <w:rsid w:val="00295212"/>
    <w:rsid w:val="00296748"/>
    <w:rsid w:val="0029713B"/>
    <w:rsid w:val="00297709"/>
    <w:rsid w:val="00297C79"/>
    <w:rsid w:val="002A0081"/>
    <w:rsid w:val="002A0713"/>
    <w:rsid w:val="002A18E6"/>
    <w:rsid w:val="002A1AAC"/>
    <w:rsid w:val="002A2985"/>
    <w:rsid w:val="002A4088"/>
    <w:rsid w:val="002A4403"/>
    <w:rsid w:val="002A4AD1"/>
    <w:rsid w:val="002A4AE9"/>
    <w:rsid w:val="002A4B47"/>
    <w:rsid w:val="002A5750"/>
    <w:rsid w:val="002A657D"/>
    <w:rsid w:val="002A6B3D"/>
    <w:rsid w:val="002A6E86"/>
    <w:rsid w:val="002A6EF0"/>
    <w:rsid w:val="002B0967"/>
    <w:rsid w:val="002B18DB"/>
    <w:rsid w:val="002B1C2A"/>
    <w:rsid w:val="002B1F65"/>
    <w:rsid w:val="002B25C4"/>
    <w:rsid w:val="002B2706"/>
    <w:rsid w:val="002B37CC"/>
    <w:rsid w:val="002B38FA"/>
    <w:rsid w:val="002B3BA3"/>
    <w:rsid w:val="002B4040"/>
    <w:rsid w:val="002B4BEA"/>
    <w:rsid w:val="002B5C09"/>
    <w:rsid w:val="002B5C82"/>
    <w:rsid w:val="002B62B3"/>
    <w:rsid w:val="002B6893"/>
    <w:rsid w:val="002B6B9D"/>
    <w:rsid w:val="002B6C19"/>
    <w:rsid w:val="002B6D0D"/>
    <w:rsid w:val="002B79C4"/>
    <w:rsid w:val="002C01BF"/>
    <w:rsid w:val="002C06FE"/>
    <w:rsid w:val="002C0988"/>
    <w:rsid w:val="002C0FDA"/>
    <w:rsid w:val="002C2131"/>
    <w:rsid w:val="002C2259"/>
    <w:rsid w:val="002C3470"/>
    <w:rsid w:val="002C348A"/>
    <w:rsid w:val="002C3FD4"/>
    <w:rsid w:val="002C41D3"/>
    <w:rsid w:val="002C4419"/>
    <w:rsid w:val="002C4824"/>
    <w:rsid w:val="002C509D"/>
    <w:rsid w:val="002C5540"/>
    <w:rsid w:val="002C5C50"/>
    <w:rsid w:val="002C62F6"/>
    <w:rsid w:val="002C65ED"/>
    <w:rsid w:val="002C6CED"/>
    <w:rsid w:val="002C6F55"/>
    <w:rsid w:val="002C7D98"/>
    <w:rsid w:val="002D0290"/>
    <w:rsid w:val="002D0C9B"/>
    <w:rsid w:val="002D1979"/>
    <w:rsid w:val="002D268B"/>
    <w:rsid w:val="002D2CEE"/>
    <w:rsid w:val="002D3701"/>
    <w:rsid w:val="002D3CF1"/>
    <w:rsid w:val="002D3F79"/>
    <w:rsid w:val="002D413F"/>
    <w:rsid w:val="002D43C7"/>
    <w:rsid w:val="002D47C8"/>
    <w:rsid w:val="002D4B99"/>
    <w:rsid w:val="002D6E4D"/>
    <w:rsid w:val="002D724E"/>
    <w:rsid w:val="002D7BA0"/>
    <w:rsid w:val="002E1666"/>
    <w:rsid w:val="002E2D79"/>
    <w:rsid w:val="002E3358"/>
    <w:rsid w:val="002E3511"/>
    <w:rsid w:val="002E3777"/>
    <w:rsid w:val="002E3B43"/>
    <w:rsid w:val="002E3D1C"/>
    <w:rsid w:val="002E5953"/>
    <w:rsid w:val="002E5971"/>
    <w:rsid w:val="002E5EAB"/>
    <w:rsid w:val="002E6032"/>
    <w:rsid w:val="002E60D4"/>
    <w:rsid w:val="002E773F"/>
    <w:rsid w:val="002E791E"/>
    <w:rsid w:val="002F02E0"/>
    <w:rsid w:val="002F19AF"/>
    <w:rsid w:val="002F1B7B"/>
    <w:rsid w:val="002F1C6A"/>
    <w:rsid w:val="002F1FCB"/>
    <w:rsid w:val="002F282F"/>
    <w:rsid w:val="002F2BC5"/>
    <w:rsid w:val="002F31B4"/>
    <w:rsid w:val="002F32E5"/>
    <w:rsid w:val="002F32F4"/>
    <w:rsid w:val="002F3B18"/>
    <w:rsid w:val="002F3DC5"/>
    <w:rsid w:val="002F4F72"/>
    <w:rsid w:val="002F511C"/>
    <w:rsid w:val="002F5E12"/>
    <w:rsid w:val="002F5F9B"/>
    <w:rsid w:val="002F67C7"/>
    <w:rsid w:val="002F6EC3"/>
    <w:rsid w:val="002F7173"/>
    <w:rsid w:val="002F7484"/>
    <w:rsid w:val="002F77C3"/>
    <w:rsid w:val="00301728"/>
    <w:rsid w:val="00301CB4"/>
    <w:rsid w:val="00302960"/>
    <w:rsid w:val="0030330D"/>
    <w:rsid w:val="00304999"/>
    <w:rsid w:val="00304F25"/>
    <w:rsid w:val="0030556A"/>
    <w:rsid w:val="003056B2"/>
    <w:rsid w:val="00305D48"/>
    <w:rsid w:val="00306940"/>
    <w:rsid w:val="00307274"/>
    <w:rsid w:val="00307353"/>
    <w:rsid w:val="00307E06"/>
    <w:rsid w:val="00310588"/>
    <w:rsid w:val="0031096E"/>
    <w:rsid w:val="00311560"/>
    <w:rsid w:val="00311708"/>
    <w:rsid w:val="00311BB1"/>
    <w:rsid w:val="00312470"/>
    <w:rsid w:val="0031285C"/>
    <w:rsid w:val="003129B9"/>
    <w:rsid w:val="00313A44"/>
    <w:rsid w:val="003150CD"/>
    <w:rsid w:val="003154AB"/>
    <w:rsid w:val="003155CF"/>
    <w:rsid w:val="00315BA3"/>
    <w:rsid w:val="00316707"/>
    <w:rsid w:val="0031727E"/>
    <w:rsid w:val="00317A31"/>
    <w:rsid w:val="00317B07"/>
    <w:rsid w:val="00317BDE"/>
    <w:rsid w:val="00317D80"/>
    <w:rsid w:val="00317DC3"/>
    <w:rsid w:val="0032088F"/>
    <w:rsid w:val="00321643"/>
    <w:rsid w:val="00321A91"/>
    <w:rsid w:val="00322486"/>
    <w:rsid w:val="003225E3"/>
    <w:rsid w:val="00323295"/>
    <w:rsid w:val="00323848"/>
    <w:rsid w:val="00323FF5"/>
    <w:rsid w:val="0032464C"/>
    <w:rsid w:val="00324B78"/>
    <w:rsid w:val="003253CA"/>
    <w:rsid w:val="003264D7"/>
    <w:rsid w:val="00326AF6"/>
    <w:rsid w:val="00326D5E"/>
    <w:rsid w:val="00327A8E"/>
    <w:rsid w:val="00327BDD"/>
    <w:rsid w:val="00330CD1"/>
    <w:rsid w:val="00331836"/>
    <w:rsid w:val="0033190E"/>
    <w:rsid w:val="00332BD2"/>
    <w:rsid w:val="00333962"/>
    <w:rsid w:val="00333B62"/>
    <w:rsid w:val="00333E45"/>
    <w:rsid w:val="0033404E"/>
    <w:rsid w:val="00334A65"/>
    <w:rsid w:val="003364DB"/>
    <w:rsid w:val="00336A8D"/>
    <w:rsid w:val="00337583"/>
    <w:rsid w:val="003379FB"/>
    <w:rsid w:val="00337DF6"/>
    <w:rsid w:val="0034068D"/>
    <w:rsid w:val="0034180B"/>
    <w:rsid w:val="00341A52"/>
    <w:rsid w:val="00341C4A"/>
    <w:rsid w:val="00342184"/>
    <w:rsid w:val="0034266B"/>
    <w:rsid w:val="00342740"/>
    <w:rsid w:val="00342B26"/>
    <w:rsid w:val="00342CE5"/>
    <w:rsid w:val="00343BE2"/>
    <w:rsid w:val="003448FF"/>
    <w:rsid w:val="00344C04"/>
    <w:rsid w:val="00345946"/>
    <w:rsid w:val="00345C53"/>
    <w:rsid w:val="00346754"/>
    <w:rsid w:val="0034781F"/>
    <w:rsid w:val="00347AAB"/>
    <w:rsid w:val="00347FD3"/>
    <w:rsid w:val="0035006A"/>
    <w:rsid w:val="003509B6"/>
    <w:rsid w:val="00350B13"/>
    <w:rsid w:val="00352979"/>
    <w:rsid w:val="00352CC2"/>
    <w:rsid w:val="00352DE7"/>
    <w:rsid w:val="0035300A"/>
    <w:rsid w:val="0035347E"/>
    <w:rsid w:val="003538E6"/>
    <w:rsid w:val="003549F9"/>
    <w:rsid w:val="00354CF7"/>
    <w:rsid w:val="003550DE"/>
    <w:rsid w:val="00355E72"/>
    <w:rsid w:val="0035659D"/>
    <w:rsid w:val="00357E0B"/>
    <w:rsid w:val="0036034C"/>
    <w:rsid w:val="003611E4"/>
    <w:rsid w:val="0036133D"/>
    <w:rsid w:val="003617D9"/>
    <w:rsid w:val="00361938"/>
    <w:rsid w:val="003625FB"/>
    <w:rsid w:val="003633B9"/>
    <w:rsid w:val="003636DE"/>
    <w:rsid w:val="003646B9"/>
    <w:rsid w:val="003646E5"/>
    <w:rsid w:val="003652C6"/>
    <w:rsid w:val="003654A6"/>
    <w:rsid w:val="00365C52"/>
    <w:rsid w:val="00365D74"/>
    <w:rsid w:val="003660A9"/>
    <w:rsid w:val="00366829"/>
    <w:rsid w:val="003668C0"/>
    <w:rsid w:val="0036711C"/>
    <w:rsid w:val="00370629"/>
    <w:rsid w:val="003708D3"/>
    <w:rsid w:val="00371249"/>
    <w:rsid w:val="00371B45"/>
    <w:rsid w:val="003726E1"/>
    <w:rsid w:val="00374012"/>
    <w:rsid w:val="003743D7"/>
    <w:rsid w:val="003749C0"/>
    <w:rsid w:val="003750D6"/>
    <w:rsid w:val="003752B5"/>
    <w:rsid w:val="0037599C"/>
    <w:rsid w:val="00375FDD"/>
    <w:rsid w:val="003804A7"/>
    <w:rsid w:val="00380738"/>
    <w:rsid w:val="00381DC3"/>
    <w:rsid w:val="00381F89"/>
    <w:rsid w:val="0038228C"/>
    <w:rsid w:val="00382BDE"/>
    <w:rsid w:val="003859C4"/>
    <w:rsid w:val="00385EA5"/>
    <w:rsid w:val="00386F92"/>
    <w:rsid w:val="003874C3"/>
    <w:rsid w:val="00387725"/>
    <w:rsid w:val="00387C65"/>
    <w:rsid w:val="0039022E"/>
    <w:rsid w:val="00390CDE"/>
    <w:rsid w:val="00392B20"/>
    <w:rsid w:val="00392BA3"/>
    <w:rsid w:val="00394516"/>
    <w:rsid w:val="003961E1"/>
    <w:rsid w:val="003974F9"/>
    <w:rsid w:val="003A0AA1"/>
    <w:rsid w:val="003A0FE5"/>
    <w:rsid w:val="003A24EC"/>
    <w:rsid w:val="003A3812"/>
    <w:rsid w:val="003A3EA0"/>
    <w:rsid w:val="003A6262"/>
    <w:rsid w:val="003A645D"/>
    <w:rsid w:val="003B0033"/>
    <w:rsid w:val="003B0A5E"/>
    <w:rsid w:val="003B0AA1"/>
    <w:rsid w:val="003B0AB6"/>
    <w:rsid w:val="003B0AD5"/>
    <w:rsid w:val="003B0B21"/>
    <w:rsid w:val="003B16F0"/>
    <w:rsid w:val="003B1D29"/>
    <w:rsid w:val="003B210B"/>
    <w:rsid w:val="003B2F00"/>
    <w:rsid w:val="003B30C0"/>
    <w:rsid w:val="003B354A"/>
    <w:rsid w:val="003B3575"/>
    <w:rsid w:val="003B3697"/>
    <w:rsid w:val="003B373B"/>
    <w:rsid w:val="003B3A74"/>
    <w:rsid w:val="003B4BAF"/>
    <w:rsid w:val="003B5111"/>
    <w:rsid w:val="003B57C3"/>
    <w:rsid w:val="003B5B26"/>
    <w:rsid w:val="003B609E"/>
    <w:rsid w:val="003B6581"/>
    <w:rsid w:val="003B6C7E"/>
    <w:rsid w:val="003B79F9"/>
    <w:rsid w:val="003C0293"/>
    <w:rsid w:val="003C0DF1"/>
    <w:rsid w:val="003C1936"/>
    <w:rsid w:val="003C268F"/>
    <w:rsid w:val="003C2A42"/>
    <w:rsid w:val="003C2E68"/>
    <w:rsid w:val="003C32CD"/>
    <w:rsid w:val="003C32DC"/>
    <w:rsid w:val="003C32FC"/>
    <w:rsid w:val="003C42AD"/>
    <w:rsid w:val="003C4C9F"/>
    <w:rsid w:val="003C51C5"/>
    <w:rsid w:val="003C5D9D"/>
    <w:rsid w:val="003C7036"/>
    <w:rsid w:val="003C7781"/>
    <w:rsid w:val="003C7FA5"/>
    <w:rsid w:val="003D0C96"/>
    <w:rsid w:val="003D13F0"/>
    <w:rsid w:val="003D1CAA"/>
    <w:rsid w:val="003D4395"/>
    <w:rsid w:val="003D474C"/>
    <w:rsid w:val="003D5393"/>
    <w:rsid w:val="003D5398"/>
    <w:rsid w:val="003D5BAD"/>
    <w:rsid w:val="003D5F20"/>
    <w:rsid w:val="003D6311"/>
    <w:rsid w:val="003D6950"/>
    <w:rsid w:val="003D6DAF"/>
    <w:rsid w:val="003D6E19"/>
    <w:rsid w:val="003D737D"/>
    <w:rsid w:val="003D7E33"/>
    <w:rsid w:val="003E0536"/>
    <w:rsid w:val="003E0C30"/>
    <w:rsid w:val="003E0F2A"/>
    <w:rsid w:val="003E1CD9"/>
    <w:rsid w:val="003E2CF8"/>
    <w:rsid w:val="003E3169"/>
    <w:rsid w:val="003E35FB"/>
    <w:rsid w:val="003E3999"/>
    <w:rsid w:val="003E43BE"/>
    <w:rsid w:val="003E4A4E"/>
    <w:rsid w:val="003E504F"/>
    <w:rsid w:val="003E5B98"/>
    <w:rsid w:val="003E62FB"/>
    <w:rsid w:val="003E6A41"/>
    <w:rsid w:val="003E7801"/>
    <w:rsid w:val="003F0AF5"/>
    <w:rsid w:val="003F14E4"/>
    <w:rsid w:val="003F1FC5"/>
    <w:rsid w:val="003F3547"/>
    <w:rsid w:val="003F3E65"/>
    <w:rsid w:val="003F42FC"/>
    <w:rsid w:val="003F4833"/>
    <w:rsid w:val="003F4B68"/>
    <w:rsid w:val="003F532D"/>
    <w:rsid w:val="003F701E"/>
    <w:rsid w:val="003F713B"/>
    <w:rsid w:val="003F7A40"/>
    <w:rsid w:val="004003E7"/>
    <w:rsid w:val="00400CE8"/>
    <w:rsid w:val="0040130D"/>
    <w:rsid w:val="00401B8F"/>
    <w:rsid w:val="00401FEB"/>
    <w:rsid w:val="004022FC"/>
    <w:rsid w:val="00402763"/>
    <w:rsid w:val="004027A1"/>
    <w:rsid w:val="00404935"/>
    <w:rsid w:val="00404E59"/>
    <w:rsid w:val="004051E8"/>
    <w:rsid w:val="00405E13"/>
    <w:rsid w:val="00406284"/>
    <w:rsid w:val="00406A7E"/>
    <w:rsid w:val="00406B2A"/>
    <w:rsid w:val="00406B80"/>
    <w:rsid w:val="00406C21"/>
    <w:rsid w:val="00406FC8"/>
    <w:rsid w:val="0040758D"/>
    <w:rsid w:val="00407734"/>
    <w:rsid w:val="00407A5C"/>
    <w:rsid w:val="00411707"/>
    <w:rsid w:val="0041258E"/>
    <w:rsid w:val="00412C2F"/>
    <w:rsid w:val="0041486D"/>
    <w:rsid w:val="0041584F"/>
    <w:rsid w:val="00415924"/>
    <w:rsid w:val="004165A7"/>
    <w:rsid w:val="00416F89"/>
    <w:rsid w:val="00417B7B"/>
    <w:rsid w:val="00420A2F"/>
    <w:rsid w:val="004211BE"/>
    <w:rsid w:val="0042205F"/>
    <w:rsid w:val="00422629"/>
    <w:rsid w:val="00423C26"/>
    <w:rsid w:val="00423E43"/>
    <w:rsid w:val="00424839"/>
    <w:rsid w:val="00424968"/>
    <w:rsid w:val="00424A72"/>
    <w:rsid w:val="00424D35"/>
    <w:rsid w:val="004256FF"/>
    <w:rsid w:val="004257EC"/>
    <w:rsid w:val="004258D6"/>
    <w:rsid w:val="004264F9"/>
    <w:rsid w:val="00426777"/>
    <w:rsid w:val="00427031"/>
    <w:rsid w:val="00427142"/>
    <w:rsid w:val="00427899"/>
    <w:rsid w:val="00427DBB"/>
    <w:rsid w:val="00427FBB"/>
    <w:rsid w:val="00430399"/>
    <w:rsid w:val="00430E42"/>
    <w:rsid w:val="0043209C"/>
    <w:rsid w:val="004322A6"/>
    <w:rsid w:val="00433351"/>
    <w:rsid w:val="00433817"/>
    <w:rsid w:val="004340BA"/>
    <w:rsid w:val="00434341"/>
    <w:rsid w:val="004348C5"/>
    <w:rsid w:val="00436B6F"/>
    <w:rsid w:val="00437D5A"/>
    <w:rsid w:val="0044044F"/>
    <w:rsid w:val="00441DE8"/>
    <w:rsid w:val="00442830"/>
    <w:rsid w:val="00442F67"/>
    <w:rsid w:val="00442FBB"/>
    <w:rsid w:val="00443487"/>
    <w:rsid w:val="0044467E"/>
    <w:rsid w:val="0044496C"/>
    <w:rsid w:val="00444F46"/>
    <w:rsid w:val="0044520F"/>
    <w:rsid w:val="004454F9"/>
    <w:rsid w:val="004468EC"/>
    <w:rsid w:val="00446A05"/>
    <w:rsid w:val="00446B69"/>
    <w:rsid w:val="004502C5"/>
    <w:rsid w:val="004505C6"/>
    <w:rsid w:val="004509CE"/>
    <w:rsid w:val="00451498"/>
    <w:rsid w:val="004515BE"/>
    <w:rsid w:val="00452B43"/>
    <w:rsid w:val="00454957"/>
    <w:rsid w:val="004557F7"/>
    <w:rsid w:val="00455A62"/>
    <w:rsid w:val="00456294"/>
    <w:rsid w:val="004572E7"/>
    <w:rsid w:val="00457778"/>
    <w:rsid w:val="00457FE0"/>
    <w:rsid w:val="004606DA"/>
    <w:rsid w:val="00460BAE"/>
    <w:rsid w:val="00461033"/>
    <w:rsid w:val="00461308"/>
    <w:rsid w:val="00461FB3"/>
    <w:rsid w:val="0046279F"/>
    <w:rsid w:val="00462F79"/>
    <w:rsid w:val="00463325"/>
    <w:rsid w:val="00463D48"/>
    <w:rsid w:val="00464148"/>
    <w:rsid w:val="004647B9"/>
    <w:rsid w:val="00464F06"/>
    <w:rsid w:val="004652D5"/>
    <w:rsid w:val="00465AD1"/>
    <w:rsid w:val="00465B25"/>
    <w:rsid w:val="00465BF5"/>
    <w:rsid w:val="004668E6"/>
    <w:rsid w:val="004673D5"/>
    <w:rsid w:val="00471682"/>
    <w:rsid w:val="0047274B"/>
    <w:rsid w:val="00472B3D"/>
    <w:rsid w:val="00472D90"/>
    <w:rsid w:val="00473EB5"/>
    <w:rsid w:val="004749FD"/>
    <w:rsid w:val="0047576D"/>
    <w:rsid w:val="0047647A"/>
    <w:rsid w:val="004771E5"/>
    <w:rsid w:val="00477357"/>
    <w:rsid w:val="00477E07"/>
    <w:rsid w:val="004804CF"/>
    <w:rsid w:val="00480A69"/>
    <w:rsid w:val="004813E0"/>
    <w:rsid w:val="0048306E"/>
    <w:rsid w:val="00483B0E"/>
    <w:rsid w:val="0048487F"/>
    <w:rsid w:val="00484AE9"/>
    <w:rsid w:val="00485508"/>
    <w:rsid w:val="00486580"/>
    <w:rsid w:val="0048659E"/>
    <w:rsid w:val="00486775"/>
    <w:rsid w:val="00486E2E"/>
    <w:rsid w:val="004874A4"/>
    <w:rsid w:val="00491E99"/>
    <w:rsid w:val="00492261"/>
    <w:rsid w:val="004922DC"/>
    <w:rsid w:val="004929E7"/>
    <w:rsid w:val="00492F5A"/>
    <w:rsid w:val="0049318A"/>
    <w:rsid w:val="00493A5B"/>
    <w:rsid w:val="00493F26"/>
    <w:rsid w:val="00494F0A"/>
    <w:rsid w:val="00495547"/>
    <w:rsid w:val="004961AD"/>
    <w:rsid w:val="00496339"/>
    <w:rsid w:val="00496661"/>
    <w:rsid w:val="004967A0"/>
    <w:rsid w:val="00496C40"/>
    <w:rsid w:val="00497059"/>
    <w:rsid w:val="00497082"/>
    <w:rsid w:val="004973EC"/>
    <w:rsid w:val="00497B15"/>
    <w:rsid w:val="004A054C"/>
    <w:rsid w:val="004A0617"/>
    <w:rsid w:val="004A1A63"/>
    <w:rsid w:val="004A2326"/>
    <w:rsid w:val="004A2A39"/>
    <w:rsid w:val="004A319F"/>
    <w:rsid w:val="004A32F1"/>
    <w:rsid w:val="004A363B"/>
    <w:rsid w:val="004A36A8"/>
    <w:rsid w:val="004A6251"/>
    <w:rsid w:val="004A6CA2"/>
    <w:rsid w:val="004A770C"/>
    <w:rsid w:val="004A781C"/>
    <w:rsid w:val="004A7ECD"/>
    <w:rsid w:val="004B05CE"/>
    <w:rsid w:val="004B0EF8"/>
    <w:rsid w:val="004B117E"/>
    <w:rsid w:val="004B17F7"/>
    <w:rsid w:val="004B1E33"/>
    <w:rsid w:val="004B231D"/>
    <w:rsid w:val="004B4654"/>
    <w:rsid w:val="004B4B42"/>
    <w:rsid w:val="004B5540"/>
    <w:rsid w:val="004B5F62"/>
    <w:rsid w:val="004B6800"/>
    <w:rsid w:val="004B69CB"/>
    <w:rsid w:val="004B6B98"/>
    <w:rsid w:val="004B748E"/>
    <w:rsid w:val="004B7C5E"/>
    <w:rsid w:val="004C05E4"/>
    <w:rsid w:val="004C1578"/>
    <w:rsid w:val="004C1927"/>
    <w:rsid w:val="004C2276"/>
    <w:rsid w:val="004C3A42"/>
    <w:rsid w:val="004C4721"/>
    <w:rsid w:val="004C4B13"/>
    <w:rsid w:val="004C4B5E"/>
    <w:rsid w:val="004C5064"/>
    <w:rsid w:val="004C513B"/>
    <w:rsid w:val="004C537F"/>
    <w:rsid w:val="004C54F2"/>
    <w:rsid w:val="004C5B4E"/>
    <w:rsid w:val="004C62A2"/>
    <w:rsid w:val="004C643F"/>
    <w:rsid w:val="004C6683"/>
    <w:rsid w:val="004C715A"/>
    <w:rsid w:val="004D0799"/>
    <w:rsid w:val="004D0927"/>
    <w:rsid w:val="004D12E1"/>
    <w:rsid w:val="004D1337"/>
    <w:rsid w:val="004D19B6"/>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9AB"/>
    <w:rsid w:val="004E0362"/>
    <w:rsid w:val="004E0C13"/>
    <w:rsid w:val="004E0DB7"/>
    <w:rsid w:val="004E13BA"/>
    <w:rsid w:val="004E1A6E"/>
    <w:rsid w:val="004E1B12"/>
    <w:rsid w:val="004E32FC"/>
    <w:rsid w:val="004E3E15"/>
    <w:rsid w:val="004E4A63"/>
    <w:rsid w:val="004E531A"/>
    <w:rsid w:val="004E6061"/>
    <w:rsid w:val="004E6502"/>
    <w:rsid w:val="004E6A8C"/>
    <w:rsid w:val="004E744E"/>
    <w:rsid w:val="004E758B"/>
    <w:rsid w:val="004E75C0"/>
    <w:rsid w:val="004F026D"/>
    <w:rsid w:val="004F0402"/>
    <w:rsid w:val="004F07B7"/>
    <w:rsid w:val="004F12C9"/>
    <w:rsid w:val="004F1B13"/>
    <w:rsid w:val="004F28AC"/>
    <w:rsid w:val="004F2A92"/>
    <w:rsid w:val="004F2E5D"/>
    <w:rsid w:val="004F2E7C"/>
    <w:rsid w:val="004F421C"/>
    <w:rsid w:val="004F4289"/>
    <w:rsid w:val="004F48BF"/>
    <w:rsid w:val="004F5821"/>
    <w:rsid w:val="004F674E"/>
    <w:rsid w:val="004F68BF"/>
    <w:rsid w:val="004F6C74"/>
    <w:rsid w:val="005001E5"/>
    <w:rsid w:val="00500A0B"/>
    <w:rsid w:val="00500C4C"/>
    <w:rsid w:val="005016CA"/>
    <w:rsid w:val="00502093"/>
    <w:rsid w:val="00502177"/>
    <w:rsid w:val="0050345B"/>
    <w:rsid w:val="00504E19"/>
    <w:rsid w:val="005063B6"/>
    <w:rsid w:val="00506A1C"/>
    <w:rsid w:val="0050734D"/>
    <w:rsid w:val="00507AB3"/>
    <w:rsid w:val="00510956"/>
    <w:rsid w:val="00510F23"/>
    <w:rsid w:val="0051133B"/>
    <w:rsid w:val="005115C3"/>
    <w:rsid w:val="00511E07"/>
    <w:rsid w:val="00515288"/>
    <w:rsid w:val="00515B21"/>
    <w:rsid w:val="00515CF2"/>
    <w:rsid w:val="00516A54"/>
    <w:rsid w:val="00517079"/>
    <w:rsid w:val="00520023"/>
    <w:rsid w:val="005201C4"/>
    <w:rsid w:val="00520569"/>
    <w:rsid w:val="005212AE"/>
    <w:rsid w:val="005229B8"/>
    <w:rsid w:val="00522C1A"/>
    <w:rsid w:val="00523091"/>
    <w:rsid w:val="00523826"/>
    <w:rsid w:val="00523F88"/>
    <w:rsid w:val="005242CB"/>
    <w:rsid w:val="00524D42"/>
    <w:rsid w:val="00526D7B"/>
    <w:rsid w:val="00526DC4"/>
    <w:rsid w:val="00527324"/>
    <w:rsid w:val="005274E0"/>
    <w:rsid w:val="00527F7B"/>
    <w:rsid w:val="005300DF"/>
    <w:rsid w:val="0053048E"/>
    <w:rsid w:val="00531B2A"/>
    <w:rsid w:val="00531B72"/>
    <w:rsid w:val="00531C8C"/>
    <w:rsid w:val="00531DC6"/>
    <w:rsid w:val="005324A4"/>
    <w:rsid w:val="00532D69"/>
    <w:rsid w:val="00532E56"/>
    <w:rsid w:val="00533B21"/>
    <w:rsid w:val="00533D34"/>
    <w:rsid w:val="00533EE1"/>
    <w:rsid w:val="005341A6"/>
    <w:rsid w:val="00534D86"/>
    <w:rsid w:val="0053514B"/>
    <w:rsid w:val="00537038"/>
    <w:rsid w:val="0053715D"/>
    <w:rsid w:val="00537700"/>
    <w:rsid w:val="00537BB3"/>
    <w:rsid w:val="00537DB4"/>
    <w:rsid w:val="00540317"/>
    <w:rsid w:val="0054049A"/>
    <w:rsid w:val="0054184C"/>
    <w:rsid w:val="00541B18"/>
    <w:rsid w:val="00541D68"/>
    <w:rsid w:val="00542646"/>
    <w:rsid w:val="00543994"/>
    <w:rsid w:val="00543C2D"/>
    <w:rsid w:val="00543DBE"/>
    <w:rsid w:val="00543DE7"/>
    <w:rsid w:val="0054479C"/>
    <w:rsid w:val="00544E43"/>
    <w:rsid w:val="00546E22"/>
    <w:rsid w:val="00547361"/>
    <w:rsid w:val="00547737"/>
    <w:rsid w:val="00547A16"/>
    <w:rsid w:val="00551154"/>
    <w:rsid w:val="00551AFF"/>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88"/>
    <w:rsid w:val="00561AFE"/>
    <w:rsid w:val="00561B8F"/>
    <w:rsid w:val="00561CDE"/>
    <w:rsid w:val="00561DEB"/>
    <w:rsid w:val="0056210B"/>
    <w:rsid w:val="00562D03"/>
    <w:rsid w:val="005632DA"/>
    <w:rsid w:val="00563692"/>
    <w:rsid w:val="00563B9C"/>
    <w:rsid w:val="00564247"/>
    <w:rsid w:val="00564488"/>
    <w:rsid w:val="0056508D"/>
    <w:rsid w:val="005669AD"/>
    <w:rsid w:val="00567CCF"/>
    <w:rsid w:val="00570608"/>
    <w:rsid w:val="005707BD"/>
    <w:rsid w:val="00570A3B"/>
    <w:rsid w:val="00571114"/>
    <w:rsid w:val="0057130E"/>
    <w:rsid w:val="0057187A"/>
    <w:rsid w:val="005720EB"/>
    <w:rsid w:val="0057273D"/>
    <w:rsid w:val="005731B2"/>
    <w:rsid w:val="00573350"/>
    <w:rsid w:val="00573D28"/>
    <w:rsid w:val="00573E34"/>
    <w:rsid w:val="005740D5"/>
    <w:rsid w:val="005740DA"/>
    <w:rsid w:val="00575BAF"/>
    <w:rsid w:val="00576025"/>
    <w:rsid w:val="00577656"/>
    <w:rsid w:val="0057772B"/>
    <w:rsid w:val="00580176"/>
    <w:rsid w:val="005802AF"/>
    <w:rsid w:val="005807E5"/>
    <w:rsid w:val="00581327"/>
    <w:rsid w:val="005817AB"/>
    <w:rsid w:val="00581EDC"/>
    <w:rsid w:val="00582C57"/>
    <w:rsid w:val="005837A5"/>
    <w:rsid w:val="00584BAB"/>
    <w:rsid w:val="00584EFB"/>
    <w:rsid w:val="0058621D"/>
    <w:rsid w:val="00586D72"/>
    <w:rsid w:val="00586E4F"/>
    <w:rsid w:val="00587330"/>
    <w:rsid w:val="00587764"/>
    <w:rsid w:val="00587984"/>
    <w:rsid w:val="00587A84"/>
    <w:rsid w:val="00587B46"/>
    <w:rsid w:val="00590AF7"/>
    <w:rsid w:val="00592360"/>
    <w:rsid w:val="00593333"/>
    <w:rsid w:val="00593424"/>
    <w:rsid w:val="005960D3"/>
    <w:rsid w:val="005973A7"/>
    <w:rsid w:val="005A072A"/>
    <w:rsid w:val="005A0825"/>
    <w:rsid w:val="005A09A3"/>
    <w:rsid w:val="005A1070"/>
    <w:rsid w:val="005A1FEE"/>
    <w:rsid w:val="005A273F"/>
    <w:rsid w:val="005A2B6A"/>
    <w:rsid w:val="005A3583"/>
    <w:rsid w:val="005A4118"/>
    <w:rsid w:val="005A453F"/>
    <w:rsid w:val="005A493F"/>
    <w:rsid w:val="005A6A9E"/>
    <w:rsid w:val="005A752F"/>
    <w:rsid w:val="005B1E67"/>
    <w:rsid w:val="005B2365"/>
    <w:rsid w:val="005B296A"/>
    <w:rsid w:val="005B3184"/>
    <w:rsid w:val="005B36F5"/>
    <w:rsid w:val="005B3BB9"/>
    <w:rsid w:val="005B3F3B"/>
    <w:rsid w:val="005B5D4C"/>
    <w:rsid w:val="005B5E4D"/>
    <w:rsid w:val="005B5FC8"/>
    <w:rsid w:val="005B6E2C"/>
    <w:rsid w:val="005B7761"/>
    <w:rsid w:val="005C08BA"/>
    <w:rsid w:val="005C0DC0"/>
    <w:rsid w:val="005C194D"/>
    <w:rsid w:val="005C21B5"/>
    <w:rsid w:val="005C2C17"/>
    <w:rsid w:val="005C3179"/>
    <w:rsid w:val="005C464F"/>
    <w:rsid w:val="005C565F"/>
    <w:rsid w:val="005C5B71"/>
    <w:rsid w:val="005C639C"/>
    <w:rsid w:val="005C7062"/>
    <w:rsid w:val="005C714B"/>
    <w:rsid w:val="005C795A"/>
    <w:rsid w:val="005D205F"/>
    <w:rsid w:val="005D2CDE"/>
    <w:rsid w:val="005D2DDC"/>
    <w:rsid w:val="005D341C"/>
    <w:rsid w:val="005D3A26"/>
    <w:rsid w:val="005D3C96"/>
    <w:rsid w:val="005D4EDA"/>
    <w:rsid w:val="005D58F0"/>
    <w:rsid w:val="005D60DE"/>
    <w:rsid w:val="005D630A"/>
    <w:rsid w:val="005D65FC"/>
    <w:rsid w:val="005D6747"/>
    <w:rsid w:val="005D6918"/>
    <w:rsid w:val="005D71DA"/>
    <w:rsid w:val="005E08EE"/>
    <w:rsid w:val="005E3A57"/>
    <w:rsid w:val="005E3BA2"/>
    <w:rsid w:val="005E40A8"/>
    <w:rsid w:val="005E4335"/>
    <w:rsid w:val="005E534E"/>
    <w:rsid w:val="005E5764"/>
    <w:rsid w:val="005E5F15"/>
    <w:rsid w:val="005E65D5"/>
    <w:rsid w:val="005E7897"/>
    <w:rsid w:val="005F0996"/>
    <w:rsid w:val="005F0EDE"/>
    <w:rsid w:val="005F1394"/>
    <w:rsid w:val="005F156F"/>
    <w:rsid w:val="005F1C5A"/>
    <w:rsid w:val="005F1D9F"/>
    <w:rsid w:val="005F2179"/>
    <w:rsid w:val="005F2E7D"/>
    <w:rsid w:val="005F2F7D"/>
    <w:rsid w:val="005F366A"/>
    <w:rsid w:val="005F3678"/>
    <w:rsid w:val="005F39CC"/>
    <w:rsid w:val="005F45C2"/>
    <w:rsid w:val="005F4ECF"/>
    <w:rsid w:val="005F5108"/>
    <w:rsid w:val="005F52FF"/>
    <w:rsid w:val="005F569A"/>
    <w:rsid w:val="005F6073"/>
    <w:rsid w:val="005F6196"/>
    <w:rsid w:val="005F61B4"/>
    <w:rsid w:val="005F6454"/>
    <w:rsid w:val="005F7659"/>
    <w:rsid w:val="005F7759"/>
    <w:rsid w:val="005F7852"/>
    <w:rsid w:val="0060041C"/>
    <w:rsid w:val="0060055A"/>
    <w:rsid w:val="00600877"/>
    <w:rsid w:val="006012BD"/>
    <w:rsid w:val="00601C04"/>
    <w:rsid w:val="00602086"/>
    <w:rsid w:val="006021BA"/>
    <w:rsid w:val="00602AAE"/>
    <w:rsid w:val="006031E8"/>
    <w:rsid w:val="00603EE5"/>
    <w:rsid w:val="00605582"/>
    <w:rsid w:val="00605720"/>
    <w:rsid w:val="00605C0C"/>
    <w:rsid w:val="00605C57"/>
    <w:rsid w:val="00605C73"/>
    <w:rsid w:val="0060626C"/>
    <w:rsid w:val="006065FF"/>
    <w:rsid w:val="00606F2E"/>
    <w:rsid w:val="00607309"/>
    <w:rsid w:val="00607F3D"/>
    <w:rsid w:val="00610C46"/>
    <w:rsid w:val="00614079"/>
    <w:rsid w:val="00614188"/>
    <w:rsid w:val="00615362"/>
    <w:rsid w:val="006157B6"/>
    <w:rsid w:val="00615A62"/>
    <w:rsid w:val="00615EBC"/>
    <w:rsid w:val="00616F1D"/>
    <w:rsid w:val="00616FA1"/>
    <w:rsid w:val="00617C77"/>
    <w:rsid w:val="00620031"/>
    <w:rsid w:val="0062006E"/>
    <w:rsid w:val="00620357"/>
    <w:rsid w:val="00620FB8"/>
    <w:rsid w:val="006214D7"/>
    <w:rsid w:val="00621B71"/>
    <w:rsid w:val="00622BEF"/>
    <w:rsid w:val="0062386E"/>
    <w:rsid w:val="00624802"/>
    <w:rsid w:val="006248BC"/>
    <w:rsid w:val="00624F20"/>
    <w:rsid w:val="00625F4E"/>
    <w:rsid w:val="006271BD"/>
    <w:rsid w:val="0062750D"/>
    <w:rsid w:val="006279BE"/>
    <w:rsid w:val="00627F0D"/>
    <w:rsid w:val="006304BB"/>
    <w:rsid w:val="0063071F"/>
    <w:rsid w:val="00630C62"/>
    <w:rsid w:val="00631207"/>
    <w:rsid w:val="00631467"/>
    <w:rsid w:val="00631749"/>
    <w:rsid w:val="0063273E"/>
    <w:rsid w:val="00633242"/>
    <w:rsid w:val="00633FA0"/>
    <w:rsid w:val="00634534"/>
    <w:rsid w:val="00634EF5"/>
    <w:rsid w:val="00635B8D"/>
    <w:rsid w:val="00636401"/>
    <w:rsid w:val="00636905"/>
    <w:rsid w:val="00636A93"/>
    <w:rsid w:val="00637474"/>
    <w:rsid w:val="0063772A"/>
    <w:rsid w:val="006418C8"/>
    <w:rsid w:val="006427D9"/>
    <w:rsid w:val="00642BAE"/>
    <w:rsid w:val="00642CAD"/>
    <w:rsid w:val="00643498"/>
    <w:rsid w:val="00643D25"/>
    <w:rsid w:val="006448DB"/>
    <w:rsid w:val="00644D3E"/>
    <w:rsid w:val="00644EB6"/>
    <w:rsid w:val="00645AB9"/>
    <w:rsid w:val="00645E2A"/>
    <w:rsid w:val="006460CB"/>
    <w:rsid w:val="00646267"/>
    <w:rsid w:val="00646D5C"/>
    <w:rsid w:val="00646DD7"/>
    <w:rsid w:val="006473BA"/>
    <w:rsid w:val="006475F4"/>
    <w:rsid w:val="00647D90"/>
    <w:rsid w:val="006502D1"/>
    <w:rsid w:val="006504FE"/>
    <w:rsid w:val="00650BC5"/>
    <w:rsid w:val="00650FE9"/>
    <w:rsid w:val="00651275"/>
    <w:rsid w:val="00652231"/>
    <w:rsid w:val="0065228A"/>
    <w:rsid w:val="00654244"/>
    <w:rsid w:val="006546B6"/>
    <w:rsid w:val="006547BB"/>
    <w:rsid w:val="006551F8"/>
    <w:rsid w:val="006555CA"/>
    <w:rsid w:val="00655BA3"/>
    <w:rsid w:val="006560E3"/>
    <w:rsid w:val="006564ED"/>
    <w:rsid w:val="00656C6E"/>
    <w:rsid w:val="00657871"/>
    <w:rsid w:val="0066116D"/>
    <w:rsid w:val="00663F47"/>
    <w:rsid w:val="00664AC4"/>
    <w:rsid w:val="00664FB0"/>
    <w:rsid w:val="0066505B"/>
    <w:rsid w:val="00665ACE"/>
    <w:rsid w:val="00666712"/>
    <w:rsid w:val="0066701C"/>
    <w:rsid w:val="006671D4"/>
    <w:rsid w:val="0066750D"/>
    <w:rsid w:val="00667F2F"/>
    <w:rsid w:val="00671338"/>
    <w:rsid w:val="006714CD"/>
    <w:rsid w:val="00671D6E"/>
    <w:rsid w:val="00672CE0"/>
    <w:rsid w:val="00672F8D"/>
    <w:rsid w:val="006730DE"/>
    <w:rsid w:val="006730F3"/>
    <w:rsid w:val="00673752"/>
    <w:rsid w:val="00673B33"/>
    <w:rsid w:val="006741EF"/>
    <w:rsid w:val="006747AB"/>
    <w:rsid w:val="00676465"/>
    <w:rsid w:val="006775C4"/>
    <w:rsid w:val="0068056E"/>
    <w:rsid w:val="00681AC1"/>
    <w:rsid w:val="00681EE7"/>
    <w:rsid w:val="00682165"/>
    <w:rsid w:val="00683178"/>
    <w:rsid w:val="0068325D"/>
    <w:rsid w:val="00684F50"/>
    <w:rsid w:val="00685785"/>
    <w:rsid w:val="00685E24"/>
    <w:rsid w:val="00686F6A"/>
    <w:rsid w:val="00687828"/>
    <w:rsid w:val="00687BEB"/>
    <w:rsid w:val="0069052E"/>
    <w:rsid w:val="00690738"/>
    <w:rsid w:val="00691515"/>
    <w:rsid w:val="00691ADA"/>
    <w:rsid w:val="00692778"/>
    <w:rsid w:val="00692B2A"/>
    <w:rsid w:val="006937A1"/>
    <w:rsid w:val="00693CC2"/>
    <w:rsid w:val="00693F50"/>
    <w:rsid w:val="0069465C"/>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253"/>
    <w:rsid w:val="006A03BD"/>
    <w:rsid w:val="006A07C1"/>
    <w:rsid w:val="006A136B"/>
    <w:rsid w:val="006A19D5"/>
    <w:rsid w:val="006A28FD"/>
    <w:rsid w:val="006A326C"/>
    <w:rsid w:val="006A52BF"/>
    <w:rsid w:val="006A5821"/>
    <w:rsid w:val="006A5A6C"/>
    <w:rsid w:val="006A61E5"/>
    <w:rsid w:val="006A654C"/>
    <w:rsid w:val="006A6B9A"/>
    <w:rsid w:val="006A7061"/>
    <w:rsid w:val="006B03F7"/>
    <w:rsid w:val="006B0A9C"/>
    <w:rsid w:val="006B0B08"/>
    <w:rsid w:val="006B10A8"/>
    <w:rsid w:val="006B10B6"/>
    <w:rsid w:val="006B1B86"/>
    <w:rsid w:val="006B208B"/>
    <w:rsid w:val="006B3C7A"/>
    <w:rsid w:val="006B454E"/>
    <w:rsid w:val="006B462B"/>
    <w:rsid w:val="006B46C9"/>
    <w:rsid w:val="006B4FD6"/>
    <w:rsid w:val="006B511B"/>
    <w:rsid w:val="006B5508"/>
    <w:rsid w:val="006B5F34"/>
    <w:rsid w:val="006B6C62"/>
    <w:rsid w:val="006B7267"/>
    <w:rsid w:val="006C0BE0"/>
    <w:rsid w:val="006C1371"/>
    <w:rsid w:val="006C1F9E"/>
    <w:rsid w:val="006C2F23"/>
    <w:rsid w:val="006C408C"/>
    <w:rsid w:val="006C44AE"/>
    <w:rsid w:val="006C456A"/>
    <w:rsid w:val="006C564D"/>
    <w:rsid w:val="006C671F"/>
    <w:rsid w:val="006C6F3C"/>
    <w:rsid w:val="006C6FB7"/>
    <w:rsid w:val="006D007C"/>
    <w:rsid w:val="006D06F5"/>
    <w:rsid w:val="006D120B"/>
    <w:rsid w:val="006D264E"/>
    <w:rsid w:val="006D3569"/>
    <w:rsid w:val="006D3FF8"/>
    <w:rsid w:val="006D428F"/>
    <w:rsid w:val="006D54E1"/>
    <w:rsid w:val="006D5A11"/>
    <w:rsid w:val="006D668F"/>
    <w:rsid w:val="006E0406"/>
    <w:rsid w:val="006E09D6"/>
    <w:rsid w:val="006E1695"/>
    <w:rsid w:val="006E197B"/>
    <w:rsid w:val="006E1AC8"/>
    <w:rsid w:val="006E22C9"/>
    <w:rsid w:val="006E2B27"/>
    <w:rsid w:val="006E5742"/>
    <w:rsid w:val="006E58AF"/>
    <w:rsid w:val="006E698C"/>
    <w:rsid w:val="006E6A36"/>
    <w:rsid w:val="006E7F21"/>
    <w:rsid w:val="006F0329"/>
    <w:rsid w:val="006F0642"/>
    <w:rsid w:val="006F0771"/>
    <w:rsid w:val="006F083F"/>
    <w:rsid w:val="006F0913"/>
    <w:rsid w:val="006F2412"/>
    <w:rsid w:val="006F2A57"/>
    <w:rsid w:val="006F3230"/>
    <w:rsid w:val="006F3FE0"/>
    <w:rsid w:val="006F462B"/>
    <w:rsid w:val="006F46F0"/>
    <w:rsid w:val="006F473B"/>
    <w:rsid w:val="006F4D52"/>
    <w:rsid w:val="006F6131"/>
    <w:rsid w:val="006F650D"/>
    <w:rsid w:val="006F68C0"/>
    <w:rsid w:val="006F68E5"/>
    <w:rsid w:val="00700013"/>
    <w:rsid w:val="007007EB"/>
    <w:rsid w:val="00701329"/>
    <w:rsid w:val="007017F0"/>
    <w:rsid w:val="00702862"/>
    <w:rsid w:val="007037DD"/>
    <w:rsid w:val="00703AE1"/>
    <w:rsid w:val="00703B2F"/>
    <w:rsid w:val="0070428E"/>
    <w:rsid w:val="007042B5"/>
    <w:rsid w:val="00704634"/>
    <w:rsid w:val="00704D06"/>
    <w:rsid w:val="00705D6A"/>
    <w:rsid w:val="00705E84"/>
    <w:rsid w:val="00706144"/>
    <w:rsid w:val="007061EE"/>
    <w:rsid w:val="007063E6"/>
    <w:rsid w:val="007063ED"/>
    <w:rsid w:val="00706FF1"/>
    <w:rsid w:val="00707031"/>
    <w:rsid w:val="00707245"/>
    <w:rsid w:val="00710B09"/>
    <w:rsid w:val="00711EB9"/>
    <w:rsid w:val="0071287D"/>
    <w:rsid w:val="007129B2"/>
    <w:rsid w:val="00712D50"/>
    <w:rsid w:val="00713419"/>
    <w:rsid w:val="007135A0"/>
    <w:rsid w:val="00713653"/>
    <w:rsid w:val="00713957"/>
    <w:rsid w:val="00714402"/>
    <w:rsid w:val="00714488"/>
    <w:rsid w:val="00714E6C"/>
    <w:rsid w:val="00715319"/>
    <w:rsid w:val="00715DC7"/>
    <w:rsid w:val="00715EBB"/>
    <w:rsid w:val="00717122"/>
    <w:rsid w:val="00717898"/>
    <w:rsid w:val="00720029"/>
    <w:rsid w:val="0072068A"/>
    <w:rsid w:val="00721D8E"/>
    <w:rsid w:val="0072215B"/>
    <w:rsid w:val="00722B88"/>
    <w:rsid w:val="0072304C"/>
    <w:rsid w:val="0072368F"/>
    <w:rsid w:val="00723EC1"/>
    <w:rsid w:val="00724552"/>
    <w:rsid w:val="00724C1C"/>
    <w:rsid w:val="00727C09"/>
    <w:rsid w:val="00727D9C"/>
    <w:rsid w:val="00727F60"/>
    <w:rsid w:val="00730089"/>
    <w:rsid w:val="00730250"/>
    <w:rsid w:val="00730453"/>
    <w:rsid w:val="0073182F"/>
    <w:rsid w:val="0073212F"/>
    <w:rsid w:val="007324A9"/>
    <w:rsid w:val="0073298F"/>
    <w:rsid w:val="007332CB"/>
    <w:rsid w:val="00734300"/>
    <w:rsid w:val="0073439D"/>
    <w:rsid w:val="00734795"/>
    <w:rsid w:val="00736F71"/>
    <w:rsid w:val="00740D93"/>
    <w:rsid w:val="007426D1"/>
    <w:rsid w:val="00743E50"/>
    <w:rsid w:val="00743F9C"/>
    <w:rsid w:val="00744DC2"/>
    <w:rsid w:val="00744E48"/>
    <w:rsid w:val="00744EED"/>
    <w:rsid w:val="00746015"/>
    <w:rsid w:val="00746730"/>
    <w:rsid w:val="0075000B"/>
    <w:rsid w:val="00750CBC"/>
    <w:rsid w:val="00751760"/>
    <w:rsid w:val="00752C85"/>
    <w:rsid w:val="00752CFC"/>
    <w:rsid w:val="00753C4F"/>
    <w:rsid w:val="00754055"/>
    <w:rsid w:val="00755103"/>
    <w:rsid w:val="007562AF"/>
    <w:rsid w:val="00756771"/>
    <w:rsid w:val="00756A0B"/>
    <w:rsid w:val="00756C88"/>
    <w:rsid w:val="00757070"/>
    <w:rsid w:val="0075716B"/>
    <w:rsid w:val="00757251"/>
    <w:rsid w:val="007573A2"/>
    <w:rsid w:val="00757BFC"/>
    <w:rsid w:val="00757FD7"/>
    <w:rsid w:val="00760108"/>
    <w:rsid w:val="00760AB6"/>
    <w:rsid w:val="00760DD6"/>
    <w:rsid w:val="00761447"/>
    <w:rsid w:val="00761706"/>
    <w:rsid w:val="0076204F"/>
    <w:rsid w:val="00762460"/>
    <w:rsid w:val="007628A2"/>
    <w:rsid w:val="00762B99"/>
    <w:rsid w:val="00762D2E"/>
    <w:rsid w:val="007656A2"/>
    <w:rsid w:val="00766389"/>
    <w:rsid w:val="00766CF2"/>
    <w:rsid w:val="007677CD"/>
    <w:rsid w:val="00767FE0"/>
    <w:rsid w:val="00770340"/>
    <w:rsid w:val="00770536"/>
    <w:rsid w:val="00770AC5"/>
    <w:rsid w:val="007711A1"/>
    <w:rsid w:val="00771AF2"/>
    <w:rsid w:val="007722CF"/>
    <w:rsid w:val="00772E06"/>
    <w:rsid w:val="00773C44"/>
    <w:rsid w:val="00774396"/>
    <w:rsid w:val="007743DD"/>
    <w:rsid w:val="007758EE"/>
    <w:rsid w:val="00775BD0"/>
    <w:rsid w:val="00777684"/>
    <w:rsid w:val="007779BF"/>
    <w:rsid w:val="00777A6D"/>
    <w:rsid w:val="00777B9A"/>
    <w:rsid w:val="00777CFA"/>
    <w:rsid w:val="00777F6C"/>
    <w:rsid w:val="007806D4"/>
    <w:rsid w:val="00781E84"/>
    <w:rsid w:val="00781EFF"/>
    <w:rsid w:val="00782019"/>
    <w:rsid w:val="007841D1"/>
    <w:rsid w:val="00786A0E"/>
    <w:rsid w:val="00787328"/>
    <w:rsid w:val="00787403"/>
    <w:rsid w:val="00787FF8"/>
    <w:rsid w:val="007904C9"/>
    <w:rsid w:val="00790CF4"/>
    <w:rsid w:val="00790DA7"/>
    <w:rsid w:val="00791F5C"/>
    <w:rsid w:val="007927EC"/>
    <w:rsid w:val="00792B4F"/>
    <w:rsid w:val="00792E46"/>
    <w:rsid w:val="00792E5F"/>
    <w:rsid w:val="0079342A"/>
    <w:rsid w:val="00793C07"/>
    <w:rsid w:val="00795A12"/>
    <w:rsid w:val="00796315"/>
    <w:rsid w:val="00796538"/>
    <w:rsid w:val="00796AB8"/>
    <w:rsid w:val="00796CE5"/>
    <w:rsid w:val="0079771A"/>
    <w:rsid w:val="007A0C87"/>
    <w:rsid w:val="007A0DD5"/>
    <w:rsid w:val="007A1877"/>
    <w:rsid w:val="007A1A79"/>
    <w:rsid w:val="007A2561"/>
    <w:rsid w:val="007A367E"/>
    <w:rsid w:val="007A3972"/>
    <w:rsid w:val="007A3AF8"/>
    <w:rsid w:val="007A43A0"/>
    <w:rsid w:val="007A47F2"/>
    <w:rsid w:val="007A48A6"/>
    <w:rsid w:val="007A490A"/>
    <w:rsid w:val="007A530A"/>
    <w:rsid w:val="007A65AF"/>
    <w:rsid w:val="007A719C"/>
    <w:rsid w:val="007A726F"/>
    <w:rsid w:val="007A757A"/>
    <w:rsid w:val="007B08F4"/>
    <w:rsid w:val="007B0A40"/>
    <w:rsid w:val="007B14D2"/>
    <w:rsid w:val="007B3321"/>
    <w:rsid w:val="007B34BC"/>
    <w:rsid w:val="007B38A6"/>
    <w:rsid w:val="007B452B"/>
    <w:rsid w:val="007B494B"/>
    <w:rsid w:val="007B4EEE"/>
    <w:rsid w:val="007B5930"/>
    <w:rsid w:val="007B5EBB"/>
    <w:rsid w:val="007B5FD8"/>
    <w:rsid w:val="007B65D2"/>
    <w:rsid w:val="007B6AD5"/>
    <w:rsid w:val="007B6B01"/>
    <w:rsid w:val="007B79BD"/>
    <w:rsid w:val="007C04A2"/>
    <w:rsid w:val="007C0845"/>
    <w:rsid w:val="007C09CB"/>
    <w:rsid w:val="007C1271"/>
    <w:rsid w:val="007C1273"/>
    <w:rsid w:val="007C313D"/>
    <w:rsid w:val="007C3B2E"/>
    <w:rsid w:val="007C405D"/>
    <w:rsid w:val="007C4D7C"/>
    <w:rsid w:val="007C5545"/>
    <w:rsid w:val="007C587A"/>
    <w:rsid w:val="007C5FD2"/>
    <w:rsid w:val="007C6E79"/>
    <w:rsid w:val="007C7020"/>
    <w:rsid w:val="007C79F5"/>
    <w:rsid w:val="007C7A6B"/>
    <w:rsid w:val="007D0A0F"/>
    <w:rsid w:val="007D131D"/>
    <w:rsid w:val="007D1719"/>
    <w:rsid w:val="007D22FC"/>
    <w:rsid w:val="007D303D"/>
    <w:rsid w:val="007D3939"/>
    <w:rsid w:val="007D3BCC"/>
    <w:rsid w:val="007D3CE0"/>
    <w:rsid w:val="007D404D"/>
    <w:rsid w:val="007D45CB"/>
    <w:rsid w:val="007D4645"/>
    <w:rsid w:val="007D5692"/>
    <w:rsid w:val="007D6461"/>
    <w:rsid w:val="007E3210"/>
    <w:rsid w:val="007E32FC"/>
    <w:rsid w:val="007E4266"/>
    <w:rsid w:val="007E4EA5"/>
    <w:rsid w:val="007E5A5C"/>
    <w:rsid w:val="007E7A9C"/>
    <w:rsid w:val="007F0B65"/>
    <w:rsid w:val="007F0BA9"/>
    <w:rsid w:val="007F14CC"/>
    <w:rsid w:val="007F17A3"/>
    <w:rsid w:val="007F1A1A"/>
    <w:rsid w:val="007F1ECE"/>
    <w:rsid w:val="007F2B47"/>
    <w:rsid w:val="007F2DD4"/>
    <w:rsid w:val="007F2EB7"/>
    <w:rsid w:val="007F35C6"/>
    <w:rsid w:val="007F3BF0"/>
    <w:rsid w:val="007F3FE2"/>
    <w:rsid w:val="007F4049"/>
    <w:rsid w:val="007F4460"/>
    <w:rsid w:val="007F4946"/>
    <w:rsid w:val="007F4B42"/>
    <w:rsid w:val="007F5B11"/>
    <w:rsid w:val="007F7CB7"/>
    <w:rsid w:val="007F7F91"/>
    <w:rsid w:val="00801A10"/>
    <w:rsid w:val="00801CDA"/>
    <w:rsid w:val="00801F35"/>
    <w:rsid w:val="00803391"/>
    <w:rsid w:val="00803D63"/>
    <w:rsid w:val="00805B95"/>
    <w:rsid w:val="008061D6"/>
    <w:rsid w:val="008068C9"/>
    <w:rsid w:val="00806D14"/>
    <w:rsid w:val="0080728A"/>
    <w:rsid w:val="00807D76"/>
    <w:rsid w:val="00810D10"/>
    <w:rsid w:val="00811182"/>
    <w:rsid w:val="00811407"/>
    <w:rsid w:val="00811B44"/>
    <w:rsid w:val="008122E4"/>
    <w:rsid w:val="00812B26"/>
    <w:rsid w:val="00812D5A"/>
    <w:rsid w:val="00813494"/>
    <w:rsid w:val="00813755"/>
    <w:rsid w:val="00813D18"/>
    <w:rsid w:val="008158E7"/>
    <w:rsid w:val="00815A57"/>
    <w:rsid w:val="008161D5"/>
    <w:rsid w:val="00817A06"/>
    <w:rsid w:val="0082001A"/>
    <w:rsid w:val="008205D0"/>
    <w:rsid w:val="0082070E"/>
    <w:rsid w:val="00820D99"/>
    <w:rsid w:val="00820E06"/>
    <w:rsid w:val="008211F5"/>
    <w:rsid w:val="0082276D"/>
    <w:rsid w:val="00823863"/>
    <w:rsid w:val="008240AB"/>
    <w:rsid w:val="008241FC"/>
    <w:rsid w:val="00824B51"/>
    <w:rsid w:val="00825DF2"/>
    <w:rsid w:val="00826459"/>
    <w:rsid w:val="008264A3"/>
    <w:rsid w:val="00826F27"/>
    <w:rsid w:val="008270BC"/>
    <w:rsid w:val="00827DA1"/>
    <w:rsid w:val="008309C8"/>
    <w:rsid w:val="008309F3"/>
    <w:rsid w:val="008312B3"/>
    <w:rsid w:val="0083287B"/>
    <w:rsid w:val="0083298A"/>
    <w:rsid w:val="00832A83"/>
    <w:rsid w:val="00832D2B"/>
    <w:rsid w:val="00833114"/>
    <w:rsid w:val="00833ECE"/>
    <w:rsid w:val="00834DE3"/>
    <w:rsid w:val="00835668"/>
    <w:rsid w:val="008357D2"/>
    <w:rsid w:val="008370CF"/>
    <w:rsid w:val="00837CEF"/>
    <w:rsid w:val="00840C89"/>
    <w:rsid w:val="0084114B"/>
    <w:rsid w:val="00841D66"/>
    <w:rsid w:val="00842756"/>
    <w:rsid w:val="008430AD"/>
    <w:rsid w:val="008430F0"/>
    <w:rsid w:val="008433AE"/>
    <w:rsid w:val="0084355F"/>
    <w:rsid w:val="00843D17"/>
    <w:rsid w:val="00844ACA"/>
    <w:rsid w:val="00846DD0"/>
    <w:rsid w:val="0084703C"/>
    <w:rsid w:val="008473A8"/>
    <w:rsid w:val="00847424"/>
    <w:rsid w:val="00847B25"/>
    <w:rsid w:val="00850061"/>
    <w:rsid w:val="00850259"/>
    <w:rsid w:val="008504C8"/>
    <w:rsid w:val="00851000"/>
    <w:rsid w:val="00851789"/>
    <w:rsid w:val="00854886"/>
    <w:rsid w:val="00855029"/>
    <w:rsid w:val="0085507C"/>
    <w:rsid w:val="0085563E"/>
    <w:rsid w:val="00860053"/>
    <w:rsid w:val="008601DA"/>
    <w:rsid w:val="00861653"/>
    <w:rsid w:val="00861978"/>
    <w:rsid w:val="008625C0"/>
    <w:rsid w:val="00863418"/>
    <w:rsid w:val="008634C5"/>
    <w:rsid w:val="00863FB1"/>
    <w:rsid w:val="00864F72"/>
    <w:rsid w:val="00865B42"/>
    <w:rsid w:val="00866CE0"/>
    <w:rsid w:val="00866DED"/>
    <w:rsid w:val="00866DF0"/>
    <w:rsid w:val="008672F5"/>
    <w:rsid w:val="00867EA3"/>
    <w:rsid w:val="00870822"/>
    <w:rsid w:val="0087089C"/>
    <w:rsid w:val="008709B3"/>
    <w:rsid w:val="00870DB7"/>
    <w:rsid w:val="0087135B"/>
    <w:rsid w:val="00871CF9"/>
    <w:rsid w:val="008721B7"/>
    <w:rsid w:val="008728A9"/>
    <w:rsid w:val="00872D12"/>
    <w:rsid w:val="00872DA7"/>
    <w:rsid w:val="00873D60"/>
    <w:rsid w:val="008740F9"/>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3AE2"/>
    <w:rsid w:val="0088412E"/>
    <w:rsid w:val="00884613"/>
    <w:rsid w:val="00884F71"/>
    <w:rsid w:val="0088509D"/>
    <w:rsid w:val="00885A50"/>
    <w:rsid w:val="008866BD"/>
    <w:rsid w:val="008871D7"/>
    <w:rsid w:val="00887311"/>
    <w:rsid w:val="00887B04"/>
    <w:rsid w:val="008904F2"/>
    <w:rsid w:val="00890833"/>
    <w:rsid w:val="00890BC5"/>
    <w:rsid w:val="00890E9C"/>
    <w:rsid w:val="00891864"/>
    <w:rsid w:val="008927FE"/>
    <w:rsid w:val="00893B24"/>
    <w:rsid w:val="00894002"/>
    <w:rsid w:val="008946EA"/>
    <w:rsid w:val="00894A6C"/>
    <w:rsid w:val="00894D4A"/>
    <w:rsid w:val="0089545F"/>
    <w:rsid w:val="0089557F"/>
    <w:rsid w:val="008959BA"/>
    <w:rsid w:val="00896821"/>
    <w:rsid w:val="00896F48"/>
    <w:rsid w:val="008A0039"/>
    <w:rsid w:val="008A0BA3"/>
    <w:rsid w:val="008A12C7"/>
    <w:rsid w:val="008A23DD"/>
    <w:rsid w:val="008A249E"/>
    <w:rsid w:val="008A4EE6"/>
    <w:rsid w:val="008A6544"/>
    <w:rsid w:val="008A65C4"/>
    <w:rsid w:val="008A79DF"/>
    <w:rsid w:val="008A7EC3"/>
    <w:rsid w:val="008A7F72"/>
    <w:rsid w:val="008B0AD8"/>
    <w:rsid w:val="008B1D4F"/>
    <w:rsid w:val="008B299F"/>
    <w:rsid w:val="008B2A33"/>
    <w:rsid w:val="008B3030"/>
    <w:rsid w:val="008B3155"/>
    <w:rsid w:val="008B32AC"/>
    <w:rsid w:val="008B33CF"/>
    <w:rsid w:val="008B43C8"/>
    <w:rsid w:val="008B458E"/>
    <w:rsid w:val="008B4EBC"/>
    <w:rsid w:val="008B5073"/>
    <w:rsid w:val="008B5200"/>
    <w:rsid w:val="008B55DE"/>
    <w:rsid w:val="008B5DFE"/>
    <w:rsid w:val="008B604B"/>
    <w:rsid w:val="008B68E8"/>
    <w:rsid w:val="008C02B6"/>
    <w:rsid w:val="008C0623"/>
    <w:rsid w:val="008C2171"/>
    <w:rsid w:val="008C2664"/>
    <w:rsid w:val="008C2CF5"/>
    <w:rsid w:val="008C2DFE"/>
    <w:rsid w:val="008C2F16"/>
    <w:rsid w:val="008C3494"/>
    <w:rsid w:val="008C3682"/>
    <w:rsid w:val="008C3721"/>
    <w:rsid w:val="008C3CED"/>
    <w:rsid w:val="008C4305"/>
    <w:rsid w:val="008C4332"/>
    <w:rsid w:val="008C4DA7"/>
    <w:rsid w:val="008C4DD6"/>
    <w:rsid w:val="008C4FF7"/>
    <w:rsid w:val="008C508D"/>
    <w:rsid w:val="008C50D4"/>
    <w:rsid w:val="008C5220"/>
    <w:rsid w:val="008C5421"/>
    <w:rsid w:val="008C65C9"/>
    <w:rsid w:val="008C7C52"/>
    <w:rsid w:val="008D1236"/>
    <w:rsid w:val="008D1EDE"/>
    <w:rsid w:val="008D2DE3"/>
    <w:rsid w:val="008D32AD"/>
    <w:rsid w:val="008D3620"/>
    <w:rsid w:val="008D458F"/>
    <w:rsid w:val="008D4987"/>
    <w:rsid w:val="008D52D9"/>
    <w:rsid w:val="008D6772"/>
    <w:rsid w:val="008D72E4"/>
    <w:rsid w:val="008D7AC6"/>
    <w:rsid w:val="008E02E6"/>
    <w:rsid w:val="008E08A8"/>
    <w:rsid w:val="008E0B04"/>
    <w:rsid w:val="008E11CE"/>
    <w:rsid w:val="008E15B5"/>
    <w:rsid w:val="008E1B7B"/>
    <w:rsid w:val="008E20E6"/>
    <w:rsid w:val="008E2B42"/>
    <w:rsid w:val="008E2E62"/>
    <w:rsid w:val="008E350D"/>
    <w:rsid w:val="008E37D1"/>
    <w:rsid w:val="008E3B36"/>
    <w:rsid w:val="008E3CEC"/>
    <w:rsid w:val="008E480F"/>
    <w:rsid w:val="008E4A67"/>
    <w:rsid w:val="008E4D4A"/>
    <w:rsid w:val="008F0205"/>
    <w:rsid w:val="008F0DCC"/>
    <w:rsid w:val="008F0E3B"/>
    <w:rsid w:val="008F188C"/>
    <w:rsid w:val="008F1EB2"/>
    <w:rsid w:val="008F284E"/>
    <w:rsid w:val="008F2BAD"/>
    <w:rsid w:val="008F2CAE"/>
    <w:rsid w:val="008F39F2"/>
    <w:rsid w:val="008F3D03"/>
    <w:rsid w:val="008F45EB"/>
    <w:rsid w:val="008F4E1B"/>
    <w:rsid w:val="008F52F4"/>
    <w:rsid w:val="008F743B"/>
    <w:rsid w:val="00900DA9"/>
    <w:rsid w:val="00900E97"/>
    <w:rsid w:val="009011B4"/>
    <w:rsid w:val="0090168E"/>
    <w:rsid w:val="00901AE0"/>
    <w:rsid w:val="00901FFB"/>
    <w:rsid w:val="009020E0"/>
    <w:rsid w:val="00902FFF"/>
    <w:rsid w:val="00903765"/>
    <w:rsid w:val="00903E8E"/>
    <w:rsid w:val="00904997"/>
    <w:rsid w:val="00905D8A"/>
    <w:rsid w:val="00906232"/>
    <w:rsid w:val="009064B4"/>
    <w:rsid w:val="0090696C"/>
    <w:rsid w:val="00907C15"/>
    <w:rsid w:val="0091170B"/>
    <w:rsid w:val="00911817"/>
    <w:rsid w:val="00912F68"/>
    <w:rsid w:val="009133A9"/>
    <w:rsid w:val="00913418"/>
    <w:rsid w:val="009137F9"/>
    <w:rsid w:val="00913C08"/>
    <w:rsid w:val="00915282"/>
    <w:rsid w:val="0091567A"/>
    <w:rsid w:val="00916277"/>
    <w:rsid w:val="00917C56"/>
    <w:rsid w:val="00920287"/>
    <w:rsid w:val="00920947"/>
    <w:rsid w:val="0092099A"/>
    <w:rsid w:val="00920C90"/>
    <w:rsid w:val="00921428"/>
    <w:rsid w:val="009215CD"/>
    <w:rsid w:val="00921E9D"/>
    <w:rsid w:val="009220E0"/>
    <w:rsid w:val="0092244D"/>
    <w:rsid w:val="00922458"/>
    <w:rsid w:val="00922FD0"/>
    <w:rsid w:val="00923572"/>
    <w:rsid w:val="0092383C"/>
    <w:rsid w:val="009239A1"/>
    <w:rsid w:val="00923E83"/>
    <w:rsid w:val="00923FD8"/>
    <w:rsid w:val="009250CB"/>
    <w:rsid w:val="00925FF0"/>
    <w:rsid w:val="00926AC7"/>
    <w:rsid w:val="00926FCD"/>
    <w:rsid w:val="00927607"/>
    <w:rsid w:val="00930147"/>
    <w:rsid w:val="00931D14"/>
    <w:rsid w:val="009322BE"/>
    <w:rsid w:val="00933060"/>
    <w:rsid w:val="00933673"/>
    <w:rsid w:val="00934282"/>
    <w:rsid w:val="00934719"/>
    <w:rsid w:val="00934B4F"/>
    <w:rsid w:val="00935C0C"/>
    <w:rsid w:val="00936747"/>
    <w:rsid w:val="00937A05"/>
    <w:rsid w:val="00937A28"/>
    <w:rsid w:val="00937B14"/>
    <w:rsid w:val="00937D05"/>
    <w:rsid w:val="009401E4"/>
    <w:rsid w:val="0094044A"/>
    <w:rsid w:val="00940C5D"/>
    <w:rsid w:val="00941603"/>
    <w:rsid w:val="00941839"/>
    <w:rsid w:val="00942CAB"/>
    <w:rsid w:val="00942E61"/>
    <w:rsid w:val="00942EBA"/>
    <w:rsid w:val="00945295"/>
    <w:rsid w:val="0094562D"/>
    <w:rsid w:val="009469BC"/>
    <w:rsid w:val="00946E68"/>
    <w:rsid w:val="00946FB0"/>
    <w:rsid w:val="009473C5"/>
    <w:rsid w:val="009475F5"/>
    <w:rsid w:val="00947785"/>
    <w:rsid w:val="00950019"/>
    <w:rsid w:val="009504AD"/>
    <w:rsid w:val="009513AF"/>
    <w:rsid w:val="009514A7"/>
    <w:rsid w:val="00952111"/>
    <w:rsid w:val="009524CE"/>
    <w:rsid w:val="009525E5"/>
    <w:rsid w:val="00952E94"/>
    <w:rsid w:val="00953386"/>
    <w:rsid w:val="00954F7D"/>
    <w:rsid w:val="00955D30"/>
    <w:rsid w:val="00956727"/>
    <w:rsid w:val="00957B91"/>
    <w:rsid w:val="00957E51"/>
    <w:rsid w:val="009608E8"/>
    <w:rsid w:val="00960E04"/>
    <w:rsid w:val="0096112B"/>
    <w:rsid w:val="00962475"/>
    <w:rsid w:val="009629EE"/>
    <w:rsid w:val="0096309B"/>
    <w:rsid w:val="009635F5"/>
    <w:rsid w:val="00964A87"/>
    <w:rsid w:val="00964CE3"/>
    <w:rsid w:val="00965204"/>
    <w:rsid w:val="00965931"/>
    <w:rsid w:val="00965DB7"/>
    <w:rsid w:val="009663A9"/>
    <w:rsid w:val="00966C28"/>
    <w:rsid w:val="009700BB"/>
    <w:rsid w:val="0097040A"/>
    <w:rsid w:val="00971321"/>
    <w:rsid w:val="00972B61"/>
    <w:rsid w:val="009730F2"/>
    <w:rsid w:val="00974250"/>
    <w:rsid w:val="00974F50"/>
    <w:rsid w:val="009756EC"/>
    <w:rsid w:val="009757EE"/>
    <w:rsid w:val="0097584C"/>
    <w:rsid w:val="009759CD"/>
    <w:rsid w:val="00976FCC"/>
    <w:rsid w:val="0097768E"/>
    <w:rsid w:val="009818A2"/>
    <w:rsid w:val="00981A0A"/>
    <w:rsid w:val="009829E2"/>
    <w:rsid w:val="00983525"/>
    <w:rsid w:val="009844CE"/>
    <w:rsid w:val="00984590"/>
    <w:rsid w:val="00984F92"/>
    <w:rsid w:val="00984FB7"/>
    <w:rsid w:val="009855CB"/>
    <w:rsid w:val="00985932"/>
    <w:rsid w:val="009868FC"/>
    <w:rsid w:val="00986D58"/>
    <w:rsid w:val="00986D6A"/>
    <w:rsid w:val="00990013"/>
    <w:rsid w:val="00990D44"/>
    <w:rsid w:val="00990F76"/>
    <w:rsid w:val="009910E4"/>
    <w:rsid w:val="00991E94"/>
    <w:rsid w:val="00992712"/>
    <w:rsid w:val="00993E4C"/>
    <w:rsid w:val="00993E7E"/>
    <w:rsid w:val="0099690A"/>
    <w:rsid w:val="00997136"/>
    <w:rsid w:val="009971A7"/>
    <w:rsid w:val="00997965"/>
    <w:rsid w:val="00997BBE"/>
    <w:rsid w:val="009A143B"/>
    <w:rsid w:val="009A33BE"/>
    <w:rsid w:val="009A3700"/>
    <w:rsid w:val="009A3F67"/>
    <w:rsid w:val="009A5302"/>
    <w:rsid w:val="009A57DB"/>
    <w:rsid w:val="009A66A5"/>
    <w:rsid w:val="009B0C38"/>
    <w:rsid w:val="009B1120"/>
    <w:rsid w:val="009B127F"/>
    <w:rsid w:val="009B15EE"/>
    <w:rsid w:val="009B19C2"/>
    <w:rsid w:val="009B1EAF"/>
    <w:rsid w:val="009B229F"/>
    <w:rsid w:val="009B2AE4"/>
    <w:rsid w:val="009B30D4"/>
    <w:rsid w:val="009B38A3"/>
    <w:rsid w:val="009B38C8"/>
    <w:rsid w:val="009B3FF6"/>
    <w:rsid w:val="009B4E0E"/>
    <w:rsid w:val="009B5202"/>
    <w:rsid w:val="009B537A"/>
    <w:rsid w:val="009B6107"/>
    <w:rsid w:val="009B622A"/>
    <w:rsid w:val="009B6D2C"/>
    <w:rsid w:val="009C0461"/>
    <w:rsid w:val="009C0845"/>
    <w:rsid w:val="009C1468"/>
    <w:rsid w:val="009C16E5"/>
    <w:rsid w:val="009C2202"/>
    <w:rsid w:val="009C24D1"/>
    <w:rsid w:val="009C3841"/>
    <w:rsid w:val="009C607A"/>
    <w:rsid w:val="009C6929"/>
    <w:rsid w:val="009C6A52"/>
    <w:rsid w:val="009C72C2"/>
    <w:rsid w:val="009C7A68"/>
    <w:rsid w:val="009D07CC"/>
    <w:rsid w:val="009D183B"/>
    <w:rsid w:val="009D20C4"/>
    <w:rsid w:val="009D2378"/>
    <w:rsid w:val="009D267D"/>
    <w:rsid w:val="009D30C1"/>
    <w:rsid w:val="009D3356"/>
    <w:rsid w:val="009D3CB7"/>
    <w:rsid w:val="009D3DBF"/>
    <w:rsid w:val="009D4197"/>
    <w:rsid w:val="009D4901"/>
    <w:rsid w:val="009D4C43"/>
    <w:rsid w:val="009D5068"/>
    <w:rsid w:val="009D5281"/>
    <w:rsid w:val="009D5AC5"/>
    <w:rsid w:val="009D5D6A"/>
    <w:rsid w:val="009D6566"/>
    <w:rsid w:val="009D6EC6"/>
    <w:rsid w:val="009D7058"/>
    <w:rsid w:val="009D76EB"/>
    <w:rsid w:val="009E01AF"/>
    <w:rsid w:val="009E021F"/>
    <w:rsid w:val="009E0336"/>
    <w:rsid w:val="009E08CA"/>
    <w:rsid w:val="009E10EC"/>
    <w:rsid w:val="009E10F6"/>
    <w:rsid w:val="009E1628"/>
    <w:rsid w:val="009E2622"/>
    <w:rsid w:val="009E2B95"/>
    <w:rsid w:val="009E2F5D"/>
    <w:rsid w:val="009E34FA"/>
    <w:rsid w:val="009E3D69"/>
    <w:rsid w:val="009E3DB9"/>
    <w:rsid w:val="009E4B0C"/>
    <w:rsid w:val="009E4B72"/>
    <w:rsid w:val="009E646B"/>
    <w:rsid w:val="009E7B07"/>
    <w:rsid w:val="009F050C"/>
    <w:rsid w:val="009F1587"/>
    <w:rsid w:val="009F2F69"/>
    <w:rsid w:val="009F344F"/>
    <w:rsid w:val="009F3537"/>
    <w:rsid w:val="009F3962"/>
    <w:rsid w:val="009F3A8E"/>
    <w:rsid w:val="009F3B12"/>
    <w:rsid w:val="009F4300"/>
    <w:rsid w:val="009F46F3"/>
    <w:rsid w:val="009F4CDD"/>
    <w:rsid w:val="009F52DB"/>
    <w:rsid w:val="009F5F75"/>
    <w:rsid w:val="009F6D03"/>
    <w:rsid w:val="009F74A6"/>
    <w:rsid w:val="009F75C0"/>
    <w:rsid w:val="009F7671"/>
    <w:rsid w:val="00A00067"/>
    <w:rsid w:val="00A00501"/>
    <w:rsid w:val="00A008BB"/>
    <w:rsid w:val="00A01117"/>
    <w:rsid w:val="00A022D9"/>
    <w:rsid w:val="00A023EE"/>
    <w:rsid w:val="00A02465"/>
    <w:rsid w:val="00A0357E"/>
    <w:rsid w:val="00A03CB6"/>
    <w:rsid w:val="00A03CB7"/>
    <w:rsid w:val="00A04078"/>
    <w:rsid w:val="00A040CB"/>
    <w:rsid w:val="00A041FD"/>
    <w:rsid w:val="00A0428C"/>
    <w:rsid w:val="00A045DB"/>
    <w:rsid w:val="00A04848"/>
    <w:rsid w:val="00A04D47"/>
    <w:rsid w:val="00A05070"/>
    <w:rsid w:val="00A06A2F"/>
    <w:rsid w:val="00A06D1F"/>
    <w:rsid w:val="00A06F57"/>
    <w:rsid w:val="00A06FB2"/>
    <w:rsid w:val="00A073BA"/>
    <w:rsid w:val="00A07A56"/>
    <w:rsid w:val="00A07C27"/>
    <w:rsid w:val="00A1031F"/>
    <w:rsid w:val="00A10D42"/>
    <w:rsid w:val="00A11365"/>
    <w:rsid w:val="00A1186C"/>
    <w:rsid w:val="00A12661"/>
    <w:rsid w:val="00A12A2E"/>
    <w:rsid w:val="00A12D31"/>
    <w:rsid w:val="00A12F8B"/>
    <w:rsid w:val="00A13C0F"/>
    <w:rsid w:val="00A164A6"/>
    <w:rsid w:val="00A165FE"/>
    <w:rsid w:val="00A16EFC"/>
    <w:rsid w:val="00A17A7F"/>
    <w:rsid w:val="00A20405"/>
    <w:rsid w:val="00A20FD0"/>
    <w:rsid w:val="00A21357"/>
    <w:rsid w:val="00A215C1"/>
    <w:rsid w:val="00A21B13"/>
    <w:rsid w:val="00A22381"/>
    <w:rsid w:val="00A23061"/>
    <w:rsid w:val="00A23D23"/>
    <w:rsid w:val="00A243B5"/>
    <w:rsid w:val="00A24A17"/>
    <w:rsid w:val="00A24B73"/>
    <w:rsid w:val="00A257A4"/>
    <w:rsid w:val="00A258BB"/>
    <w:rsid w:val="00A27138"/>
    <w:rsid w:val="00A30D30"/>
    <w:rsid w:val="00A31158"/>
    <w:rsid w:val="00A3215A"/>
    <w:rsid w:val="00A32881"/>
    <w:rsid w:val="00A32E73"/>
    <w:rsid w:val="00A3359F"/>
    <w:rsid w:val="00A33F3B"/>
    <w:rsid w:val="00A352E3"/>
    <w:rsid w:val="00A35446"/>
    <w:rsid w:val="00A35615"/>
    <w:rsid w:val="00A3583F"/>
    <w:rsid w:val="00A360DF"/>
    <w:rsid w:val="00A36936"/>
    <w:rsid w:val="00A37129"/>
    <w:rsid w:val="00A37825"/>
    <w:rsid w:val="00A37DA2"/>
    <w:rsid w:val="00A4105D"/>
    <w:rsid w:val="00A41757"/>
    <w:rsid w:val="00A417FE"/>
    <w:rsid w:val="00A41FA8"/>
    <w:rsid w:val="00A41FF8"/>
    <w:rsid w:val="00A426F3"/>
    <w:rsid w:val="00A42E01"/>
    <w:rsid w:val="00A4381B"/>
    <w:rsid w:val="00A44166"/>
    <w:rsid w:val="00A448E0"/>
    <w:rsid w:val="00A456F5"/>
    <w:rsid w:val="00A45C42"/>
    <w:rsid w:val="00A45C71"/>
    <w:rsid w:val="00A45EEA"/>
    <w:rsid w:val="00A4628E"/>
    <w:rsid w:val="00A47209"/>
    <w:rsid w:val="00A47455"/>
    <w:rsid w:val="00A47FB5"/>
    <w:rsid w:val="00A51781"/>
    <w:rsid w:val="00A5203E"/>
    <w:rsid w:val="00A52320"/>
    <w:rsid w:val="00A52762"/>
    <w:rsid w:val="00A537AD"/>
    <w:rsid w:val="00A54A2D"/>
    <w:rsid w:val="00A54AAC"/>
    <w:rsid w:val="00A554BC"/>
    <w:rsid w:val="00A55915"/>
    <w:rsid w:val="00A55A68"/>
    <w:rsid w:val="00A56094"/>
    <w:rsid w:val="00A5698E"/>
    <w:rsid w:val="00A56B70"/>
    <w:rsid w:val="00A575B4"/>
    <w:rsid w:val="00A608CD"/>
    <w:rsid w:val="00A60A4A"/>
    <w:rsid w:val="00A61433"/>
    <w:rsid w:val="00A64280"/>
    <w:rsid w:val="00A64C7D"/>
    <w:rsid w:val="00A64E0F"/>
    <w:rsid w:val="00A654A2"/>
    <w:rsid w:val="00A654DF"/>
    <w:rsid w:val="00A655E9"/>
    <w:rsid w:val="00A65731"/>
    <w:rsid w:val="00A66269"/>
    <w:rsid w:val="00A66CB2"/>
    <w:rsid w:val="00A67461"/>
    <w:rsid w:val="00A703F5"/>
    <w:rsid w:val="00A70940"/>
    <w:rsid w:val="00A71119"/>
    <w:rsid w:val="00A72E3D"/>
    <w:rsid w:val="00A72EE1"/>
    <w:rsid w:val="00A73B00"/>
    <w:rsid w:val="00A746E4"/>
    <w:rsid w:val="00A761F4"/>
    <w:rsid w:val="00A77448"/>
    <w:rsid w:val="00A77B65"/>
    <w:rsid w:val="00A77EC2"/>
    <w:rsid w:val="00A8007D"/>
    <w:rsid w:val="00A80761"/>
    <w:rsid w:val="00A80DC8"/>
    <w:rsid w:val="00A812F5"/>
    <w:rsid w:val="00A814C5"/>
    <w:rsid w:val="00A81C21"/>
    <w:rsid w:val="00A81C86"/>
    <w:rsid w:val="00A82415"/>
    <w:rsid w:val="00A82953"/>
    <w:rsid w:val="00A82B2C"/>
    <w:rsid w:val="00A83039"/>
    <w:rsid w:val="00A833A8"/>
    <w:rsid w:val="00A83D36"/>
    <w:rsid w:val="00A8427B"/>
    <w:rsid w:val="00A84B23"/>
    <w:rsid w:val="00A84B4C"/>
    <w:rsid w:val="00A8517B"/>
    <w:rsid w:val="00A85897"/>
    <w:rsid w:val="00A8622E"/>
    <w:rsid w:val="00A86E22"/>
    <w:rsid w:val="00A87169"/>
    <w:rsid w:val="00A87174"/>
    <w:rsid w:val="00A87279"/>
    <w:rsid w:val="00A87E95"/>
    <w:rsid w:val="00A900FE"/>
    <w:rsid w:val="00A92C9A"/>
    <w:rsid w:val="00A9370A"/>
    <w:rsid w:val="00A94848"/>
    <w:rsid w:val="00A94E2C"/>
    <w:rsid w:val="00A94F2D"/>
    <w:rsid w:val="00A95DD5"/>
    <w:rsid w:val="00A96022"/>
    <w:rsid w:val="00A966F4"/>
    <w:rsid w:val="00A96770"/>
    <w:rsid w:val="00A97932"/>
    <w:rsid w:val="00AA0197"/>
    <w:rsid w:val="00AA029D"/>
    <w:rsid w:val="00AA0D66"/>
    <w:rsid w:val="00AA11A2"/>
    <w:rsid w:val="00AA20E4"/>
    <w:rsid w:val="00AA221F"/>
    <w:rsid w:val="00AA2502"/>
    <w:rsid w:val="00AA2C0B"/>
    <w:rsid w:val="00AA2CA6"/>
    <w:rsid w:val="00AA2DFD"/>
    <w:rsid w:val="00AA3786"/>
    <w:rsid w:val="00AA38B9"/>
    <w:rsid w:val="00AA438D"/>
    <w:rsid w:val="00AA55E0"/>
    <w:rsid w:val="00AA5BC8"/>
    <w:rsid w:val="00AA61B7"/>
    <w:rsid w:val="00AA689B"/>
    <w:rsid w:val="00AA7023"/>
    <w:rsid w:val="00AA7F37"/>
    <w:rsid w:val="00AB00F1"/>
    <w:rsid w:val="00AB0CE7"/>
    <w:rsid w:val="00AB11B8"/>
    <w:rsid w:val="00AB3569"/>
    <w:rsid w:val="00AB511E"/>
    <w:rsid w:val="00AB5C16"/>
    <w:rsid w:val="00AB5C8E"/>
    <w:rsid w:val="00AB628D"/>
    <w:rsid w:val="00AB73B7"/>
    <w:rsid w:val="00AB7E1B"/>
    <w:rsid w:val="00AC00B1"/>
    <w:rsid w:val="00AC0229"/>
    <w:rsid w:val="00AC12CF"/>
    <w:rsid w:val="00AC154D"/>
    <w:rsid w:val="00AC2548"/>
    <w:rsid w:val="00AC3C32"/>
    <w:rsid w:val="00AC3DB8"/>
    <w:rsid w:val="00AC5A5A"/>
    <w:rsid w:val="00AC7924"/>
    <w:rsid w:val="00AD100C"/>
    <w:rsid w:val="00AD2540"/>
    <w:rsid w:val="00AD38ED"/>
    <w:rsid w:val="00AD39D6"/>
    <w:rsid w:val="00AD3C97"/>
    <w:rsid w:val="00AD40FF"/>
    <w:rsid w:val="00AD4282"/>
    <w:rsid w:val="00AD4456"/>
    <w:rsid w:val="00AD5A42"/>
    <w:rsid w:val="00AD6EF0"/>
    <w:rsid w:val="00AD7073"/>
    <w:rsid w:val="00AD77FD"/>
    <w:rsid w:val="00AD79E0"/>
    <w:rsid w:val="00AD79E2"/>
    <w:rsid w:val="00AD7FFB"/>
    <w:rsid w:val="00AE1201"/>
    <w:rsid w:val="00AE1C5C"/>
    <w:rsid w:val="00AE271F"/>
    <w:rsid w:val="00AE3B8E"/>
    <w:rsid w:val="00AE3DF5"/>
    <w:rsid w:val="00AE4CFF"/>
    <w:rsid w:val="00AE4E46"/>
    <w:rsid w:val="00AE52B0"/>
    <w:rsid w:val="00AE54F8"/>
    <w:rsid w:val="00AE5C7F"/>
    <w:rsid w:val="00AF1629"/>
    <w:rsid w:val="00AF1B39"/>
    <w:rsid w:val="00AF1B42"/>
    <w:rsid w:val="00AF2172"/>
    <w:rsid w:val="00AF3B8C"/>
    <w:rsid w:val="00AF3E80"/>
    <w:rsid w:val="00AF4CB2"/>
    <w:rsid w:val="00AF4E0C"/>
    <w:rsid w:val="00AF4E17"/>
    <w:rsid w:val="00AF580C"/>
    <w:rsid w:val="00AF5B71"/>
    <w:rsid w:val="00AF6135"/>
    <w:rsid w:val="00AF67FD"/>
    <w:rsid w:val="00AF6C6B"/>
    <w:rsid w:val="00AF6E07"/>
    <w:rsid w:val="00AF72B1"/>
    <w:rsid w:val="00B0093A"/>
    <w:rsid w:val="00B00AAC"/>
    <w:rsid w:val="00B02152"/>
    <w:rsid w:val="00B0229E"/>
    <w:rsid w:val="00B02BB1"/>
    <w:rsid w:val="00B02F70"/>
    <w:rsid w:val="00B02FB6"/>
    <w:rsid w:val="00B03ACC"/>
    <w:rsid w:val="00B03FF8"/>
    <w:rsid w:val="00B04123"/>
    <w:rsid w:val="00B049EC"/>
    <w:rsid w:val="00B04DD6"/>
    <w:rsid w:val="00B050D6"/>
    <w:rsid w:val="00B0768C"/>
    <w:rsid w:val="00B10264"/>
    <w:rsid w:val="00B11845"/>
    <w:rsid w:val="00B1212B"/>
    <w:rsid w:val="00B125A0"/>
    <w:rsid w:val="00B13177"/>
    <w:rsid w:val="00B13705"/>
    <w:rsid w:val="00B13E8D"/>
    <w:rsid w:val="00B15165"/>
    <w:rsid w:val="00B15852"/>
    <w:rsid w:val="00B161B4"/>
    <w:rsid w:val="00B16887"/>
    <w:rsid w:val="00B176C8"/>
    <w:rsid w:val="00B20379"/>
    <w:rsid w:val="00B20655"/>
    <w:rsid w:val="00B2074B"/>
    <w:rsid w:val="00B211BD"/>
    <w:rsid w:val="00B21544"/>
    <w:rsid w:val="00B21717"/>
    <w:rsid w:val="00B21AB1"/>
    <w:rsid w:val="00B228FA"/>
    <w:rsid w:val="00B2361C"/>
    <w:rsid w:val="00B23719"/>
    <w:rsid w:val="00B2459C"/>
    <w:rsid w:val="00B25FA6"/>
    <w:rsid w:val="00B26009"/>
    <w:rsid w:val="00B26215"/>
    <w:rsid w:val="00B26918"/>
    <w:rsid w:val="00B26C44"/>
    <w:rsid w:val="00B30025"/>
    <w:rsid w:val="00B31114"/>
    <w:rsid w:val="00B313D0"/>
    <w:rsid w:val="00B3156A"/>
    <w:rsid w:val="00B315E1"/>
    <w:rsid w:val="00B315F4"/>
    <w:rsid w:val="00B317DD"/>
    <w:rsid w:val="00B32943"/>
    <w:rsid w:val="00B33EBC"/>
    <w:rsid w:val="00B33FC4"/>
    <w:rsid w:val="00B347F8"/>
    <w:rsid w:val="00B34AAA"/>
    <w:rsid w:val="00B34E8B"/>
    <w:rsid w:val="00B36081"/>
    <w:rsid w:val="00B372E3"/>
    <w:rsid w:val="00B37C1A"/>
    <w:rsid w:val="00B37D09"/>
    <w:rsid w:val="00B40212"/>
    <w:rsid w:val="00B40B0C"/>
    <w:rsid w:val="00B40B73"/>
    <w:rsid w:val="00B41036"/>
    <w:rsid w:val="00B41312"/>
    <w:rsid w:val="00B417BF"/>
    <w:rsid w:val="00B42215"/>
    <w:rsid w:val="00B438BE"/>
    <w:rsid w:val="00B447DC"/>
    <w:rsid w:val="00B453AD"/>
    <w:rsid w:val="00B45776"/>
    <w:rsid w:val="00B4626A"/>
    <w:rsid w:val="00B462D1"/>
    <w:rsid w:val="00B467AA"/>
    <w:rsid w:val="00B46D2B"/>
    <w:rsid w:val="00B50446"/>
    <w:rsid w:val="00B514A0"/>
    <w:rsid w:val="00B51B10"/>
    <w:rsid w:val="00B523E5"/>
    <w:rsid w:val="00B528A3"/>
    <w:rsid w:val="00B52E31"/>
    <w:rsid w:val="00B5349D"/>
    <w:rsid w:val="00B534E9"/>
    <w:rsid w:val="00B54BDD"/>
    <w:rsid w:val="00B5501D"/>
    <w:rsid w:val="00B558B6"/>
    <w:rsid w:val="00B55AEC"/>
    <w:rsid w:val="00B55C20"/>
    <w:rsid w:val="00B55D40"/>
    <w:rsid w:val="00B56166"/>
    <w:rsid w:val="00B565A9"/>
    <w:rsid w:val="00B5681F"/>
    <w:rsid w:val="00B56F11"/>
    <w:rsid w:val="00B60E54"/>
    <w:rsid w:val="00B6152A"/>
    <w:rsid w:val="00B61A36"/>
    <w:rsid w:val="00B61E5C"/>
    <w:rsid w:val="00B6208F"/>
    <w:rsid w:val="00B6219D"/>
    <w:rsid w:val="00B62597"/>
    <w:rsid w:val="00B62B0D"/>
    <w:rsid w:val="00B62E87"/>
    <w:rsid w:val="00B635E2"/>
    <w:rsid w:val="00B636E6"/>
    <w:rsid w:val="00B646C8"/>
    <w:rsid w:val="00B64DB8"/>
    <w:rsid w:val="00B65654"/>
    <w:rsid w:val="00B658F8"/>
    <w:rsid w:val="00B6596E"/>
    <w:rsid w:val="00B65D72"/>
    <w:rsid w:val="00B661AF"/>
    <w:rsid w:val="00B66F67"/>
    <w:rsid w:val="00B6786A"/>
    <w:rsid w:val="00B67AA4"/>
    <w:rsid w:val="00B7058E"/>
    <w:rsid w:val="00B70EC1"/>
    <w:rsid w:val="00B70F1D"/>
    <w:rsid w:val="00B7103E"/>
    <w:rsid w:val="00B71115"/>
    <w:rsid w:val="00B72097"/>
    <w:rsid w:val="00B72FDD"/>
    <w:rsid w:val="00B735DA"/>
    <w:rsid w:val="00B73AD3"/>
    <w:rsid w:val="00B759C6"/>
    <w:rsid w:val="00B766B9"/>
    <w:rsid w:val="00B76E0C"/>
    <w:rsid w:val="00B7789B"/>
    <w:rsid w:val="00B77DF2"/>
    <w:rsid w:val="00B8020F"/>
    <w:rsid w:val="00B8071F"/>
    <w:rsid w:val="00B80E81"/>
    <w:rsid w:val="00B814A1"/>
    <w:rsid w:val="00B82205"/>
    <w:rsid w:val="00B8238D"/>
    <w:rsid w:val="00B82642"/>
    <w:rsid w:val="00B832CE"/>
    <w:rsid w:val="00B83A0B"/>
    <w:rsid w:val="00B8477B"/>
    <w:rsid w:val="00B84DE7"/>
    <w:rsid w:val="00B854B7"/>
    <w:rsid w:val="00B854C5"/>
    <w:rsid w:val="00B8650B"/>
    <w:rsid w:val="00B868FA"/>
    <w:rsid w:val="00B86B3C"/>
    <w:rsid w:val="00B876BF"/>
    <w:rsid w:val="00B87BE7"/>
    <w:rsid w:val="00B87E94"/>
    <w:rsid w:val="00B90116"/>
    <w:rsid w:val="00B90ED9"/>
    <w:rsid w:val="00B91714"/>
    <w:rsid w:val="00B923B6"/>
    <w:rsid w:val="00B9293A"/>
    <w:rsid w:val="00B93021"/>
    <w:rsid w:val="00B93BE3"/>
    <w:rsid w:val="00B95FE2"/>
    <w:rsid w:val="00B962EE"/>
    <w:rsid w:val="00B97246"/>
    <w:rsid w:val="00B9725F"/>
    <w:rsid w:val="00B972B2"/>
    <w:rsid w:val="00B97390"/>
    <w:rsid w:val="00BA03EE"/>
    <w:rsid w:val="00BA0DF9"/>
    <w:rsid w:val="00BA1836"/>
    <w:rsid w:val="00BA18D4"/>
    <w:rsid w:val="00BA224E"/>
    <w:rsid w:val="00BA258A"/>
    <w:rsid w:val="00BA2A3D"/>
    <w:rsid w:val="00BA31EF"/>
    <w:rsid w:val="00BA3677"/>
    <w:rsid w:val="00BA3973"/>
    <w:rsid w:val="00BA42E0"/>
    <w:rsid w:val="00BA5246"/>
    <w:rsid w:val="00BA541C"/>
    <w:rsid w:val="00BA59AD"/>
    <w:rsid w:val="00BA63BB"/>
    <w:rsid w:val="00BA65C8"/>
    <w:rsid w:val="00BA6A89"/>
    <w:rsid w:val="00BA6F7A"/>
    <w:rsid w:val="00BA76AF"/>
    <w:rsid w:val="00BA79B7"/>
    <w:rsid w:val="00BB05EC"/>
    <w:rsid w:val="00BB0D35"/>
    <w:rsid w:val="00BB13C5"/>
    <w:rsid w:val="00BB1447"/>
    <w:rsid w:val="00BB1812"/>
    <w:rsid w:val="00BB23CB"/>
    <w:rsid w:val="00BB2532"/>
    <w:rsid w:val="00BB2686"/>
    <w:rsid w:val="00BB37EA"/>
    <w:rsid w:val="00BB3A96"/>
    <w:rsid w:val="00BB3D8C"/>
    <w:rsid w:val="00BB4B71"/>
    <w:rsid w:val="00BB4D08"/>
    <w:rsid w:val="00BB66C0"/>
    <w:rsid w:val="00BB6A68"/>
    <w:rsid w:val="00BB739C"/>
    <w:rsid w:val="00BB7905"/>
    <w:rsid w:val="00BC0108"/>
    <w:rsid w:val="00BC088B"/>
    <w:rsid w:val="00BC1305"/>
    <w:rsid w:val="00BC15C0"/>
    <w:rsid w:val="00BC2587"/>
    <w:rsid w:val="00BC26C1"/>
    <w:rsid w:val="00BC342A"/>
    <w:rsid w:val="00BC40F2"/>
    <w:rsid w:val="00BC45CE"/>
    <w:rsid w:val="00BC4F3D"/>
    <w:rsid w:val="00BC5371"/>
    <w:rsid w:val="00BC5528"/>
    <w:rsid w:val="00BC64CE"/>
    <w:rsid w:val="00BC68AD"/>
    <w:rsid w:val="00BC7112"/>
    <w:rsid w:val="00BD0C00"/>
    <w:rsid w:val="00BD0DA0"/>
    <w:rsid w:val="00BD1799"/>
    <w:rsid w:val="00BD3693"/>
    <w:rsid w:val="00BD438C"/>
    <w:rsid w:val="00BD4843"/>
    <w:rsid w:val="00BD492B"/>
    <w:rsid w:val="00BD4F9A"/>
    <w:rsid w:val="00BD5489"/>
    <w:rsid w:val="00BD5B0D"/>
    <w:rsid w:val="00BD5E19"/>
    <w:rsid w:val="00BD6D4E"/>
    <w:rsid w:val="00BD71F1"/>
    <w:rsid w:val="00BD74CF"/>
    <w:rsid w:val="00BE1BBE"/>
    <w:rsid w:val="00BE2662"/>
    <w:rsid w:val="00BE2C9F"/>
    <w:rsid w:val="00BE3239"/>
    <w:rsid w:val="00BE36D5"/>
    <w:rsid w:val="00BE38E1"/>
    <w:rsid w:val="00BE4FDC"/>
    <w:rsid w:val="00BE6056"/>
    <w:rsid w:val="00BE6217"/>
    <w:rsid w:val="00BE7C10"/>
    <w:rsid w:val="00BE7E4D"/>
    <w:rsid w:val="00BF01B9"/>
    <w:rsid w:val="00BF0D7C"/>
    <w:rsid w:val="00BF1235"/>
    <w:rsid w:val="00BF1F39"/>
    <w:rsid w:val="00BF2AD9"/>
    <w:rsid w:val="00BF2FDA"/>
    <w:rsid w:val="00BF3046"/>
    <w:rsid w:val="00BF47B7"/>
    <w:rsid w:val="00BF5877"/>
    <w:rsid w:val="00BF68A1"/>
    <w:rsid w:val="00C006E1"/>
    <w:rsid w:val="00C013E9"/>
    <w:rsid w:val="00C01536"/>
    <w:rsid w:val="00C0185C"/>
    <w:rsid w:val="00C01AE5"/>
    <w:rsid w:val="00C02174"/>
    <w:rsid w:val="00C0372A"/>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96A"/>
    <w:rsid w:val="00C13E95"/>
    <w:rsid w:val="00C14A18"/>
    <w:rsid w:val="00C14B07"/>
    <w:rsid w:val="00C14BF5"/>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BF3"/>
    <w:rsid w:val="00C23FDB"/>
    <w:rsid w:val="00C24B6B"/>
    <w:rsid w:val="00C25A02"/>
    <w:rsid w:val="00C25C35"/>
    <w:rsid w:val="00C26147"/>
    <w:rsid w:val="00C268F6"/>
    <w:rsid w:val="00C26F23"/>
    <w:rsid w:val="00C27D1A"/>
    <w:rsid w:val="00C31200"/>
    <w:rsid w:val="00C31A08"/>
    <w:rsid w:val="00C31BE7"/>
    <w:rsid w:val="00C32229"/>
    <w:rsid w:val="00C32415"/>
    <w:rsid w:val="00C32DE7"/>
    <w:rsid w:val="00C32F73"/>
    <w:rsid w:val="00C32FD3"/>
    <w:rsid w:val="00C341CB"/>
    <w:rsid w:val="00C3542E"/>
    <w:rsid w:val="00C35B5E"/>
    <w:rsid w:val="00C3695D"/>
    <w:rsid w:val="00C370A0"/>
    <w:rsid w:val="00C3736F"/>
    <w:rsid w:val="00C4017A"/>
    <w:rsid w:val="00C404FF"/>
    <w:rsid w:val="00C40770"/>
    <w:rsid w:val="00C41357"/>
    <w:rsid w:val="00C41799"/>
    <w:rsid w:val="00C41B56"/>
    <w:rsid w:val="00C42196"/>
    <w:rsid w:val="00C4244D"/>
    <w:rsid w:val="00C42C2F"/>
    <w:rsid w:val="00C43B8F"/>
    <w:rsid w:val="00C4450E"/>
    <w:rsid w:val="00C44980"/>
    <w:rsid w:val="00C45268"/>
    <w:rsid w:val="00C455CD"/>
    <w:rsid w:val="00C45BBF"/>
    <w:rsid w:val="00C46708"/>
    <w:rsid w:val="00C474EF"/>
    <w:rsid w:val="00C500D2"/>
    <w:rsid w:val="00C50922"/>
    <w:rsid w:val="00C51440"/>
    <w:rsid w:val="00C51FAE"/>
    <w:rsid w:val="00C52089"/>
    <w:rsid w:val="00C53E87"/>
    <w:rsid w:val="00C55CDE"/>
    <w:rsid w:val="00C56885"/>
    <w:rsid w:val="00C56AE3"/>
    <w:rsid w:val="00C56D20"/>
    <w:rsid w:val="00C57069"/>
    <w:rsid w:val="00C57680"/>
    <w:rsid w:val="00C577F6"/>
    <w:rsid w:val="00C57997"/>
    <w:rsid w:val="00C60F3A"/>
    <w:rsid w:val="00C6124E"/>
    <w:rsid w:val="00C613CF"/>
    <w:rsid w:val="00C6230B"/>
    <w:rsid w:val="00C6257D"/>
    <w:rsid w:val="00C632FA"/>
    <w:rsid w:val="00C635D0"/>
    <w:rsid w:val="00C64273"/>
    <w:rsid w:val="00C647F8"/>
    <w:rsid w:val="00C65542"/>
    <w:rsid w:val="00C65B9B"/>
    <w:rsid w:val="00C65CE0"/>
    <w:rsid w:val="00C67249"/>
    <w:rsid w:val="00C67698"/>
    <w:rsid w:val="00C70952"/>
    <w:rsid w:val="00C70B81"/>
    <w:rsid w:val="00C724E4"/>
    <w:rsid w:val="00C732D8"/>
    <w:rsid w:val="00C7377B"/>
    <w:rsid w:val="00C737D7"/>
    <w:rsid w:val="00C73886"/>
    <w:rsid w:val="00C73DC4"/>
    <w:rsid w:val="00C74D41"/>
    <w:rsid w:val="00C756FD"/>
    <w:rsid w:val="00C75775"/>
    <w:rsid w:val="00C75C57"/>
    <w:rsid w:val="00C75FF8"/>
    <w:rsid w:val="00C76261"/>
    <w:rsid w:val="00C76E4E"/>
    <w:rsid w:val="00C77025"/>
    <w:rsid w:val="00C80261"/>
    <w:rsid w:val="00C808D5"/>
    <w:rsid w:val="00C810FC"/>
    <w:rsid w:val="00C83543"/>
    <w:rsid w:val="00C83651"/>
    <w:rsid w:val="00C83754"/>
    <w:rsid w:val="00C83F2B"/>
    <w:rsid w:val="00C843FD"/>
    <w:rsid w:val="00C84998"/>
    <w:rsid w:val="00C855DB"/>
    <w:rsid w:val="00C85611"/>
    <w:rsid w:val="00C87999"/>
    <w:rsid w:val="00C9111E"/>
    <w:rsid w:val="00C91446"/>
    <w:rsid w:val="00C919AB"/>
    <w:rsid w:val="00C92681"/>
    <w:rsid w:val="00C944AB"/>
    <w:rsid w:val="00C94994"/>
    <w:rsid w:val="00C94C04"/>
    <w:rsid w:val="00C951C1"/>
    <w:rsid w:val="00C95D58"/>
    <w:rsid w:val="00C95FEF"/>
    <w:rsid w:val="00C9600B"/>
    <w:rsid w:val="00C962CF"/>
    <w:rsid w:val="00C96BE2"/>
    <w:rsid w:val="00C96F6C"/>
    <w:rsid w:val="00C97806"/>
    <w:rsid w:val="00C978B4"/>
    <w:rsid w:val="00CA03D4"/>
    <w:rsid w:val="00CA069E"/>
    <w:rsid w:val="00CA1A5E"/>
    <w:rsid w:val="00CA1BD1"/>
    <w:rsid w:val="00CA1D49"/>
    <w:rsid w:val="00CA22A3"/>
    <w:rsid w:val="00CA2377"/>
    <w:rsid w:val="00CA25D8"/>
    <w:rsid w:val="00CA265A"/>
    <w:rsid w:val="00CA2D94"/>
    <w:rsid w:val="00CA403B"/>
    <w:rsid w:val="00CA476E"/>
    <w:rsid w:val="00CA4B98"/>
    <w:rsid w:val="00CA4BFA"/>
    <w:rsid w:val="00CA5463"/>
    <w:rsid w:val="00CA5A6D"/>
    <w:rsid w:val="00CA5E32"/>
    <w:rsid w:val="00CA6CF9"/>
    <w:rsid w:val="00CB1AC1"/>
    <w:rsid w:val="00CB26F2"/>
    <w:rsid w:val="00CB2BAE"/>
    <w:rsid w:val="00CB3166"/>
    <w:rsid w:val="00CB36D9"/>
    <w:rsid w:val="00CB40D4"/>
    <w:rsid w:val="00CB4885"/>
    <w:rsid w:val="00CB638D"/>
    <w:rsid w:val="00CB6900"/>
    <w:rsid w:val="00CB6EB4"/>
    <w:rsid w:val="00CB7439"/>
    <w:rsid w:val="00CB748E"/>
    <w:rsid w:val="00CB7C3A"/>
    <w:rsid w:val="00CB7E7F"/>
    <w:rsid w:val="00CC0FC3"/>
    <w:rsid w:val="00CC1406"/>
    <w:rsid w:val="00CC154C"/>
    <w:rsid w:val="00CC1DB2"/>
    <w:rsid w:val="00CC2D53"/>
    <w:rsid w:val="00CC3509"/>
    <w:rsid w:val="00CC367C"/>
    <w:rsid w:val="00CC3FEE"/>
    <w:rsid w:val="00CC416D"/>
    <w:rsid w:val="00CC45E5"/>
    <w:rsid w:val="00CC466F"/>
    <w:rsid w:val="00CC55E8"/>
    <w:rsid w:val="00CC5DF0"/>
    <w:rsid w:val="00CC5EF4"/>
    <w:rsid w:val="00CC71C6"/>
    <w:rsid w:val="00CC7E7D"/>
    <w:rsid w:val="00CD0968"/>
    <w:rsid w:val="00CD1491"/>
    <w:rsid w:val="00CD2580"/>
    <w:rsid w:val="00CD3739"/>
    <w:rsid w:val="00CD3AE0"/>
    <w:rsid w:val="00CD3B16"/>
    <w:rsid w:val="00CD460E"/>
    <w:rsid w:val="00CD4B83"/>
    <w:rsid w:val="00CD5020"/>
    <w:rsid w:val="00CD58BA"/>
    <w:rsid w:val="00CD6145"/>
    <w:rsid w:val="00CD64DE"/>
    <w:rsid w:val="00CD681F"/>
    <w:rsid w:val="00CD6D50"/>
    <w:rsid w:val="00CD7638"/>
    <w:rsid w:val="00CD7E95"/>
    <w:rsid w:val="00CE049D"/>
    <w:rsid w:val="00CE123E"/>
    <w:rsid w:val="00CE140B"/>
    <w:rsid w:val="00CE2476"/>
    <w:rsid w:val="00CE25CA"/>
    <w:rsid w:val="00CE2CBA"/>
    <w:rsid w:val="00CE302C"/>
    <w:rsid w:val="00CE31BD"/>
    <w:rsid w:val="00CE449A"/>
    <w:rsid w:val="00CE4619"/>
    <w:rsid w:val="00CE4BF2"/>
    <w:rsid w:val="00CE4C91"/>
    <w:rsid w:val="00CE5E91"/>
    <w:rsid w:val="00CF01EA"/>
    <w:rsid w:val="00CF021C"/>
    <w:rsid w:val="00CF10EF"/>
    <w:rsid w:val="00CF1F53"/>
    <w:rsid w:val="00CF1FAE"/>
    <w:rsid w:val="00CF27F9"/>
    <w:rsid w:val="00CF3BED"/>
    <w:rsid w:val="00CF4A6D"/>
    <w:rsid w:val="00CF50FD"/>
    <w:rsid w:val="00CF58B9"/>
    <w:rsid w:val="00CF593F"/>
    <w:rsid w:val="00CF5B89"/>
    <w:rsid w:val="00CF6510"/>
    <w:rsid w:val="00CF65E5"/>
    <w:rsid w:val="00CF66B8"/>
    <w:rsid w:val="00CF6971"/>
    <w:rsid w:val="00CF6D04"/>
    <w:rsid w:val="00CF6DEE"/>
    <w:rsid w:val="00CF7327"/>
    <w:rsid w:val="00CF779F"/>
    <w:rsid w:val="00CF7C57"/>
    <w:rsid w:val="00D000D1"/>
    <w:rsid w:val="00D0041D"/>
    <w:rsid w:val="00D0074A"/>
    <w:rsid w:val="00D00AC1"/>
    <w:rsid w:val="00D0124D"/>
    <w:rsid w:val="00D02187"/>
    <w:rsid w:val="00D0267B"/>
    <w:rsid w:val="00D032B4"/>
    <w:rsid w:val="00D03AC3"/>
    <w:rsid w:val="00D040A2"/>
    <w:rsid w:val="00D055E6"/>
    <w:rsid w:val="00D05CAF"/>
    <w:rsid w:val="00D065AD"/>
    <w:rsid w:val="00D06BB8"/>
    <w:rsid w:val="00D0729A"/>
    <w:rsid w:val="00D072EF"/>
    <w:rsid w:val="00D07394"/>
    <w:rsid w:val="00D07A9C"/>
    <w:rsid w:val="00D07C1D"/>
    <w:rsid w:val="00D10A14"/>
    <w:rsid w:val="00D113FF"/>
    <w:rsid w:val="00D11E7B"/>
    <w:rsid w:val="00D11F9A"/>
    <w:rsid w:val="00D12C52"/>
    <w:rsid w:val="00D12C55"/>
    <w:rsid w:val="00D12D84"/>
    <w:rsid w:val="00D137B2"/>
    <w:rsid w:val="00D14E13"/>
    <w:rsid w:val="00D16547"/>
    <w:rsid w:val="00D20368"/>
    <w:rsid w:val="00D209D8"/>
    <w:rsid w:val="00D20B6C"/>
    <w:rsid w:val="00D20DAB"/>
    <w:rsid w:val="00D20E00"/>
    <w:rsid w:val="00D2186C"/>
    <w:rsid w:val="00D239A5"/>
    <w:rsid w:val="00D24260"/>
    <w:rsid w:val="00D2457A"/>
    <w:rsid w:val="00D25024"/>
    <w:rsid w:val="00D25A36"/>
    <w:rsid w:val="00D26250"/>
    <w:rsid w:val="00D26F20"/>
    <w:rsid w:val="00D2737B"/>
    <w:rsid w:val="00D3007F"/>
    <w:rsid w:val="00D30447"/>
    <w:rsid w:val="00D30DBA"/>
    <w:rsid w:val="00D30EC7"/>
    <w:rsid w:val="00D316AE"/>
    <w:rsid w:val="00D33362"/>
    <w:rsid w:val="00D33C0D"/>
    <w:rsid w:val="00D34C41"/>
    <w:rsid w:val="00D35BC6"/>
    <w:rsid w:val="00D3635F"/>
    <w:rsid w:val="00D36532"/>
    <w:rsid w:val="00D367F9"/>
    <w:rsid w:val="00D37FBA"/>
    <w:rsid w:val="00D40A87"/>
    <w:rsid w:val="00D40BF5"/>
    <w:rsid w:val="00D4166E"/>
    <w:rsid w:val="00D418AA"/>
    <w:rsid w:val="00D41CA2"/>
    <w:rsid w:val="00D42026"/>
    <w:rsid w:val="00D424A2"/>
    <w:rsid w:val="00D4251B"/>
    <w:rsid w:val="00D42ECA"/>
    <w:rsid w:val="00D43649"/>
    <w:rsid w:val="00D44BD1"/>
    <w:rsid w:val="00D45359"/>
    <w:rsid w:val="00D47AB6"/>
    <w:rsid w:val="00D507D9"/>
    <w:rsid w:val="00D50BC3"/>
    <w:rsid w:val="00D52E63"/>
    <w:rsid w:val="00D53E86"/>
    <w:rsid w:val="00D545A8"/>
    <w:rsid w:val="00D548A5"/>
    <w:rsid w:val="00D548E5"/>
    <w:rsid w:val="00D553BC"/>
    <w:rsid w:val="00D55BD9"/>
    <w:rsid w:val="00D56163"/>
    <w:rsid w:val="00D566F5"/>
    <w:rsid w:val="00D56BF3"/>
    <w:rsid w:val="00D604AB"/>
    <w:rsid w:val="00D60503"/>
    <w:rsid w:val="00D62605"/>
    <w:rsid w:val="00D62796"/>
    <w:rsid w:val="00D63073"/>
    <w:rsid w:val="00D6362A"/>
    <w:rsid w:val="00D63640"/>
    <w:rsid w:val="00D63DA5"/>
    <w:rsid w:val="00D641C8"/>
    <w:rsid w:val="00D64404"/>
    <w:rsid w:val="00D646B8"/>
    <w:rsid w:val="00D64B3A"/>
    <w:rsid w:val="00D64D09"/>
    <w:rsid w:val="00D6587E"/>
    <w:rsid w:val="00D65C48"/>
    <w:rsid w:val="00D67915"/>
    <w:rsid w:val="00D67C48"/>
    <w:rsid w:val="00D70CA3"/>
    <w:rsid w:val="00D718E2"/>
    <w:rsid w:val="00D719E5"/>
    <w:rsid w:val="00D72097"/>
    <w:rsid w:val="00D7233A"/>
    <w:rsid w:val="00D72510"/>
    <w:rsid w:val="00D73167"/>
    <w:rsid w:val="00D7322F"/>
    <w:rsid w:val="00D73481"/>
    <w:rsid w:val="00D73C07"/>
    <w:rsid w:val="00D743AB"/>
    <w:rsid w:val="00D746E6"/>
    <w:rsid w:val="00D74799"/>
    <w:rsid w:val="00D74FDC"/>
    <w:rsid w:val="00D7536B"/>
    <w:rsid w:val="00D75AD5"/>
    <w:rsid w:val="00D768A0"/>
    <w:rsid w:val="00D76FEA"/>
    <w:rsid w:val="00D81033"/>
    <w:rsid w:val="00D81136"/>
    <w:rsid w:val="00D812D3"/>
    <w:rsid w:val="00D82C07"/>
    <w:rsid w:val="00D82CE9"/>
    <w:rsid w:val="00D8317A"/>
    <w:rsid w:val="00D832F2"/>
    <w:rsid w:val="00D84AEE"/>
    <w:rsid w:val="00D8502A"/>
    <w:rsid w:val="00D850ED"/>
    <w:rsid w:val="00D85E53"/>
    <w:rsid w:val="00D865D9"/>
    <w:rsid w:val="00D86B99"/>
    <w:rsid w:val="00D9154A"/>
    <w:rsid w:val="00D923F4"/>
    <w:rsid w:val="00D93271"/>
    <w:rsid w:val="00D93F15"/>
    <w:rsid w:val="00D9475D"/>
    <w:rsid w:val="00D96319"/>
    <w:rsid w:val="00D964D8"/>
    <w:rsid w:val="00DA020A"/>
    <w:rsid w:val="00DA07B6"/>
    <w:rsid w:val="00DA0CA2"/>
    <w:rsid w:val="00DA158D"/>
    <w:rsid w:val="00DA1A82"/>
    <w:rsid w:val="00DA1D14"/>
    <w:rsid w:val="00DA3B52"/>
    <w:rsid w:val="00DA4151"/>
    <w:rsid w:val="00DA4B87"/>
    <w:rsid w:val="00DA5129"/>
    <w:rsid w:val="00DA54E7"/>
    <w:rsid w:val="00DA5795"/>
    <w:rsid w:val="00DA5945"/>
    <w:rsid w:val="00DA63A9"/>
    <w:rsid w:val="00DA717D"/>
    <w:rsid w:val="00DA7986"/>
    <w:rsid w:val="00DA7A5F"/>
    <w:rsid w:val="00DB0226"/>
    <w:rsid w:val="00DB05C4"/>
    <w:rsid w:val="00DB069A"/>
    <w:rsid w:val="00DB0766"/>
    <w:rsid w:val="00DB07C2"/>
    <w:rsid w:val="00DB0E2F"/>
    <w:rsid w:val="00DB0F5D"/>
    <w:rsid w:val="00DB1351"/>
    <w:rsid w:val="00DB16DB"/>
    <w:rsid w:val="00DB2AE9"/>
    <w:rsid w:val="00DB2C6D"/>
    <w:rsid w:val="00DB3037"/>
    <w:rsid w:val="00DB3A8A"/>
    <w:rsid w:val="00DB45FD"/>
    <w:rsid w:val="00DB48F6"/>
    <w:rsid w:val="00DB4D86"/>
    <w:rsid w:val="00DB516F"/>
    <w:rsid w:val="00DB6A81"/>
    <w:rsid w:val="00DB6BB1"/>
    <w:rsid w:val="00DB77AF"/>
    <w:rsid w:val="00DB7F38"/>
    <w:rsid w:val="00DC09F8"/>
    <w:rsid w:val="00DC0D1A"/>
    <w:rsid w:val="00DC1C5C"/>
    <w:rsid w:val="00DC1E6D"/>
    <w:rsid w:val="00DC2465"/>
    <w:rsid w:val="00DC252B"/>
    <w:rsid w:val="00DC2811"/>
    <w:rsid w:val="00DC458D"/>
    <w:rsid w:val="00DC480C"/>
    <w:rsid w:val="00DC4BE1"/>
    <w:rsid w:val="00DC5054"/>
    <w:rsid w:val="00DC596B"/>
    <w:rsid w:val="00DC78C5"/>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2AD"/>
    <w:rsid w:val="00DE2C26"/>
    <w:rsid w:val="00DE2CFB"/>
    <w:rsid w:val="00DE414D"/>
    <w:rsid w:val="00DE5048"/>
    <w:rsid w:val="00DE5F42"/>
    <w:rsid w:val="00DE68DD"/>
    <w:rsid w:val="00DE7717"/>
    <w:rsid w:val="00DE77DC"/>
    <w:rsid w:val="00DF0391"/>
    <w:rsid w:val="00DF0DE7"/>
    <w:rsid w:val="00DF0FAE"/>
    <w:rsid w:val="00DF1506"/>
    <w:rsid w:val="00DF1D06"/>
    <w:rsid w:val="00DF1F74"/>
    <w:rsid w:val="00DF2C6A"/>
    <w:rsid w:val="00DF2FA1"/>
    <w:rsid w:val="00DF5862"/>
    <w:rsid w:val="00DF5E93"/>
    <w:rsid w:val="00DF66BB"/>
    <w:rsid w:val="00DF726F"/>
    <w:rsid w:val="00DF7D55"/>
    <w:rsid w:val="00E00E3A"/>
    <w:rsid w:val="00E013E9"/>
    <w:rsid w:val="00E013EF"/>
    <w:rsid w:val="00E017F2"/>
    <w:rsid w:val="00E01B2C"/>
    <w:rsid w:val="00E0267C"/>
    <w:rsid w:val="00E028E3"/>
    <w:rsid w:val="00E02932"/>
    <w:rsid w:val="00E02CE1"/>
    <w:rsid w:val="00E03B4B"/>
    <w:rsid w:val="00E043FA"/>
    <w:rsid w:val="00E04ACE"/>
    <w:rsid w:val="00E05309"/>
    <w:rsid w:val="00E05373"/>
    <w:rsid w:val="00E069C1"/>
    <w:rsid w:val="00E0725D"/>
    <w:rsid w:val="00E1063D"/>
    <w:rsid w:val="00E10676"/>
    <w:rsid w:val="00E10E12"/>
    <w:rsid w:val="00E119EA"/>
    <w:rsid w:val="00E11DFA"/>
    <w:rsid w:val="00E123BB"/>
    <w:rsid w:val="00E12B19"/>
    <w:rsid w:val="00E12DB1"/>
    <w:rsid w:val="00E12EF3"/>
    <w:rsid w:val="00E13856"/>
    <w:rsid w:val="00E13E2F"/>
    <w:rsid w:val="00E14C82"/>
    <w:rsid w:val="00E15278"/>
    <w:rsid w:val="00E1582A"/>
    <w:rsid w:val="00E158E9"/>
    <w:rsid w:val="00E15B98"/>
    <w:rsid w:val="00E16411"/>
    <w:rsid w:val="00E16654"/>
    <w:rsid w:val="00E17B49"/>
    <w:rsid w:val="00E17DE3"/>
    <w:rsid w:val="00E17F03"/>
    <w:rsid w:val="00E20388"/>
    <w:rsid w:val="00E2102F"/>
    <w:rsid w:val="00E21104"/>
    <w:rsid w:val="00E21CDD"/>
    <w:rsid w:val="00E21E11"/>
    <w:rsid w:val="00E22428"/>
    <w:rsid w:val="00E233C9"/>
    <w:rsid w:val="00E23438"/>
    <w:rsid w:val="00E239BA"/>
    <w:rsid w:val="00E24415"/>
    <w:rsid w:val="00E24B7F"/>
    <w:rsid w:val="00E24D01"/>
    <w:rsid w:val="00E25521"/>
    <w:rsid w:val="00E25917"/>
    <w:rsid w:val="00E261E0"/>
    <w:rsid w:val="00E26580"/>
    <w:rsid w:val="00E2721C"/>
    <w:rsid w:val="00E27B4B"/>
    <w:rsid w:val="00E3028E"/>
    <w:rsid w:val="00E311CE"/>
    <w:rsid w:val="00E31D2B"/>
    <w:rsid w:val="00E31E30"/>
    <w:rsid w:val="00E31E40"/>
    <w:rsid w:val="00E33520"/>
    <w:rsid w:val="00E33741"/>
    <w:rsid w:val="00E33D3D"/>
    <w:rsid w:val="00E341FA"/>
    <w:rsid w:val="00E351B8"/>
    <w:rsid w:val="00E355B7"/>
    <w:rsid w:val="00E35EC1"/>
    <w:rsid w:val="00E35F95"/>
    <w:rsid w:val="00E3623E"/>
    <w:rsid w:val="00E36893"/>
    <w:rsid w:val="00E369E0"/>
    <w:rsid w:val="00E36F87"/>
    <w:rsid w:val="00E36FAF"/>
    <w:rsid w:val="00E37775"/>
    <w:rsid w:val="00E37879"/>
    <w:rsid w:val="00E4029A"/>
    <w:rsid w:val="00E40302"/>
    <w:rsid w:val="00E410B5"/>
    <w:rsid w:val="00E41D4A"/>
    <w:rsid w:val="00E41DFA"/>
    <w:rsid w:val="00E4205C"/>
    <w:rsid w:val="00E42264"/>
    <w:rsid w:val="00E42D1E"/>
    <w:rsid w:val="00E432A3"/>
    <w:rsid w:val="00E43435"/>
    <w:rsid w:val="00E447FF"/>
    <w:rsid w:val="00E44850"/>
    <w:rsid w:val="00E455A1"/>
    <w:rsid w:val="00E45DF0"/>
    <w:rsid w:val="00E45F05"/>
    <w:rsid w:val="00E47A30"/>
    <w:rsid w:val="00E50E09"/>
    <w:rsid w:val="00E5151A"/>
    <w:rsid w:val="00E51F55"/>
    <w:rsid w:val="00E531FE"/>
    <w:rsid w:val="00E540CA"/>
    <w:rsid w:val="00E54462"/>
    <w:rsid w:val="00E54583"/>
    <w:rsid w:val="00E55F46"/>
    <w:rsid w:val="00E5633C"/>
    <w:rsid w:val="00E56648"/>
    <w:rsid w:val="00E56E97"/>
    <w:rsid w:val="00E56EE4"/>
    <w:rsid w:val="00E572DD"/>
    <w:rsid w:val="00E57504"/>
    <w:rsid w:val="00E60A17"/>
    <w:rsid w:val="00E610F3"/>
    <w:rsid w:val="00E61462"/>
    <w:rsid w:val="00E621FE"/>
    <w:rsid w:val="00E62CBA"/>
    <w:rsid w:val="00E63E08"/>
    <w:rsid w:val="00E648F7"/>
    <w:rsid w:val="00E64CC9"/>
    <w:rsid w:val="00E65D50"/>
    <w:rsid w:val="00E65E40"/>
    <w:rsid w:val="00E66274"/>
    <w:rsid w:val="00E67861"/>
    <w:rsid w:val="00E67D3C"/>
    <w:rsid w:val="00E702B9"/>
    <w:rsid w:val="00E71269"/>
    <w:rsid w:val="00E71EAE"/>
    <w:rsid w:val="00E736D9"/>
    <w:rsid w:val="00E748AC"/>
    <w:rsid w:val="00E74FEC"/>
    <w:rsid w:val="00E75146"/>
    <w:rsid w:val="00E755AB"/>
    <w:rsid w:val="00E75B19"/>
    <w:rsid w:val="00E75BB5"/>
    <w:rsid w:val="00E7676F"/>
    <w:rsid w:val="00E7767C"/>
    <w:rsid w:val="00E77805"/>
    <w:rsid w:val="00E77C72"/>
    <w:rsid w:val="00E801F8"/>
    <w:rsid w:val="00E8167D"/>
    <w:rsid w:val="00E81BCF"/>
    <w:rsid w:val="00E8217A"/>
    <w:rsid w:val="00E82708"/>
    <w:rsid w:val="00E8399A"/>
    <w:rsid w:val="00E839A4"/>
    <w:rsid w:val="00E839CE"/>
    <w:rsid w:val="00E83AB6"/>
    <w:rsid w:val="00E83EE2"/>
    <w:rsid w:val="00E86047"/>
    <w:rsid w:val="00E86711"/>
    <w:rsid w:val="00E86798"/>
    <w:rsid w:val="00E87172"/>
    <w:rsid w:val="00E90A7F"/>
    <w:rsid w:val="00E90BD7"/>
    <w:rsid w:val="00E90CAB"/>
    <w:rsid w:val="00E90E54"/>
    <w:rsid w:val="00E9118C"/>
    <w:rsid w:val="00E911AC"/>
    <w:rsid w:val="00E914A9"/>
    <w:rsid w:val="00E92595"/>
    <w:rsid w:val="00E92FBB"/>
    <w:rsid w:val="00E92FE6"/>
    <w:rsid w:val="00E93342"/>
    <w:rsid w:val="00E94929"/>
    <w:rsid w:val="00E9535A"/>
    <w:rsid w:val="00E9569C"/>
    <w:rsid w:val="00E959AC"/>
    <w:rsid w:val="00E968B6"/>
    <w:rsid w:val="00E96D3C"/>
    <w:rsid w:val="00E97839"/>
    <w:rsid w:val="00E97BE5"/>
    <w:rsid w:val="00EA2148"/>
    <w:rsid w:val="00EA2C19"/>
    <w:rsid w:val="00EA3031"/>
    <w:rsid w:val="00EA3072"/>
    <w:rsid w:val="00EA3B39"/>
    <w:rsid w:val="00EA3B87"/>
    <w:rsid w:val="00EA3BBF"/>
    <w:rsid w:val="00EA3EA7"/>
    <w:rsid w:val="00EA4F63"/>
    <w:rsid w:val="00EA5703"/>
    <w:rsid w:val="00EA5851"/>
    <w:rsid w:val="00EA6786"/>
    <w:rsid w:val="00EA689E"/>
    <w:rsid w:val="00EA778B"/>
    <w:rsid w:val="00EA7C5F"/>
    <w:rsid w:val="00EA7FAC"/>
    <w:rsid w:val="00EB041C"/>
    <w:rsid w:val="00EB0480"/>
    <w:rsid w:val="00EB0E25"/>
    <w:rsid w:val="00EB1997"/>
    <w:rsid w:val="00EB1BF9"/>
    <w:rsid w:val="00EB1D2C"/>
    <w:rsid w:val="00EB2497"/>
    <w:rsid w:val="00EB2A4F"/>
    <w:rsid w:val="00EB2ACC"/>
    <w:rsid w:val="00EB2D9B"/>
    <w:rsid w:val="00EB2F4D"/>
    <w:rsid w:val="00EB3AF2"/>
    <w:rsid w:val="00EB3C52"/>
    <w:rsid w:val="00EB51C7"/>
    <w:rsid w:val="00EB5858"/>
    <w:rsid w:val="00EB5DEF"/>
    <w:rsid w:val="00EB61E5"/>
    <w:rsid w:val="00EB67AA"/>
    <w:rsid w:val="00EB70B5"/>
    <w:rsid w:val="00EB780C"/>
    <w:rsid w:val="00EC0AEF"/>
    <w:rsid w:val="00EC1685"/>
    <w:rsid w:val="00EC27BC"/>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EC"/>
    <w:rsid w:val="00ED1CC4"/>
    <w:rsid w:val="00ED2378"/>
    <w:rsid w:val="00ED29A6"/>
    <w:rsid w:val="00ED35F3"/>
    <w:rsid w:val="00ED525B"/>
    <w:rsid w:val="00ED5337"/>
    <w:rsid w:val="00ED59E7"/>
    <w:rsid w:val="00ED7403"/>
    <w:rsid w:val="00ED7AA8"/>
    <w:rsid w:val="00EE057C"/>
    <w:rsid w:val="00EE0858"/>
    <w:rsid w:val="00EE1CC8"/>
    <w:rsid w:val="00EE236A"/>
    <w:rsid w:val="00EE2649"/>
    <w:rsid w:val="00EE2BF9"/>
    <w:rsid w:val="00EE3015"/>
    <w:rsid w:val="00EE31AF"/>
    <w:rsid w:val="00EE34A1"/>
    <w:rsid w:val="00EE41A1"/>
    <w:rsid w:val="00EE50C5"/>
    <w:rsid w:val="00EE536C"/>
    <w:rsid w:val="00EE53E7"/>
    <w:rsid w:val="00EE61BE"/>
    <w:rsid w:val="00EE6B18"/>
    <w:rsid w:val="00EE71BF"/>
    <w:rsid w:val="00EE73E5"/>
    <w:rsid w:val="00EE7B44"/>
    <w:rsid w:val="00EE7D04"/>
    <w:rsid w:val="00EE7FB9"/>
    <w:rsid w:val="00EF09AC"/>
    <w:rsid w:val="00EF14D1"/>
    <w:rsid w:val="00EF1DD2"/>
    <w:rsid w:val="00EF58F2"/>
    <w:rsid w:val="00EF60C8"/>
    <w:rsid w:val="00EF6733"/>
    <w:rsid w:val="00EF6AD7"/>
    <w:rsid w:val="00F006A9"/>
    <w:rsid w:val="00F009EB"/>
    <w:rsid w:val="00F017FB"/>
    <w:rsid w:val="00F01F7A"/>
    <w:rsid w:val="00F02736"/>
    <w:rsid w:val="00F02A35"/>
    <w:rsid w:val="00F02DE0"/>
    <w:rsid w:val="00F030A2"/>
    <w:rsid w:val="00F0344E"/>
    <w:rsid w:val="00F03930"/>
    <w:rsid w:val="00F04DD4"/>
    <w:rsid w:val="00F053FC"/>
    <w:rsid w:val="00F05564"/>
    <w:rsid w:val="00F05888"/>
    <w:rsid w:val="00F06302"/>
    <w:rsid w:val="00F079CC"/>
    <w:rsid w:val="00F10231"/>
    <w:rsid w:val="00F13509"/>
    <w:rsid w:val="00F1360C"/>
    <w:rsid w:val="00F1390D"/>
    <w:rsid w:val="00F151EA"/>
    <w:rsid w:val="00F15595"/>
    <w:rsid w:val="00F156A1"/>
    <w:rsid w:val="00F208B7"/>
    <w:rsid w:val="00F20B24"/>
    <w:rsid w:val="00F21368"/>
    <w:rsid w:val="00F21A7E"/>
    <w:rsid w:val="00F224D7"/>
    <w:rsid w:val="00F226DE"/>
    <w:rsid w:val="00F227F6"/>
    <w:rsid w:val="00F22851"/>
    <w:rsid w:val="00F24944"/>
    <w:rsid w:val="00F24AE7"/>
    <w:rsid w:val="00F2516C"/>
    <w:rsid w:val="00F2560A"/>
    <w:rsid w:val="00F25B7F"/>
    <w:rsid w:val="00F25D74"/>
    <w:rsid w:val="00F2644C"/>
    <w:rsid w:val="00F26992"/>
    <w:rsid w:val="00F26BE7"/>
    <w:rsid w:val="00F26F0E"/>
    <w:rsid w:val="00F27167"/>
    <w:rsid w:val="00F276E4"/>
    <w:rsid w:val="00F2789C"/>
    <w:rsid w:val="00F30B89"/>
    <w:rsid w:val="00F310A3"/>
    <w:rsid w:val="00F310EE"/>
    <w:rsid w:val="00F31B8A"/>
    <w:rsid w:val="00F31FDD"/>
    <w:rsid w:val="00F323A8"/>
    <w:rsid w:val="00F3251D"/>
    <w:rsid w:val="00F334EB"/>
    <w:rsid w:val="00F34DC1"/>
    <w:rsid w:val="00F34DEA"/>
    <w:rsid w:val="00F35DBE"/>
    <w:rsid w:val="00F36B23"/>
    <w:rsid w:val="00F370C9"/>
    <w:rsid w:val="00F37101"/>
    <w:rsid w:val="00F377CE"/>
    <w:rsid w:val="00F40084"/>
    <w:rsid w:val="00F40094"/>
    <w:rsid w:val="00F40646"/>
    <w:rsid w:val="00F42591"/>
    <w:rsid w:val="00F426C8"/>
    <w:rsid w:val="00F4377C"/>
    <w:rsid w:val="00F44809"/>
    <w:rsid w:val="00F45459"/>
    <w:rsid w:val="00F46D5A"/>
    <w:rsid w:val="00F47305"/>
    <w:rsid w:val="00F5036E"/>
    <w:rsid w:val="00F519A9"/>
    <w:rsid w:val="00F52AF5"/>
    <w:rsid w:val="00F53204"/>
    <w:rsid w:val="00F53860"/>
    <w:rsid w:val="00F54021"/>
    <w:rsid w:val="00F542AA"/>
    <w:rsid w:val="00F543D3"/>
    <w:rsid w:val="00F551B0"/>
    <w:rsid w:val="00F55452"/>
    <w:rsid w:val="00F55CC1"/>
    <w:rsid w:val="00F55F33"/>
    <w:rsid w:val="00F56A49"/>
    <w:rsid w:val="00F56C72"/>
    <w:rsid w:val="00F60D33"/>
    <w:rsid w:val="00F60D74"/>
    <w:rsid w:val="00F61136"/>
    <w:rsid w:val="00F615F1"/>
    <w:rsid w:val="00F6166A"/>
    <w:rsid w:val="00F61EF5"/>
    <w:rsid w:val="00F624A5"/>
    <w:rsid w:val="00F62A5C"/>
    <w:rsid w:val="00F62D15"/>
    <w:rsid w:val="00F6398A"/>
    <w:rsid w:val="00F63C51"/>
    <w:rsid w:val="00F64C5A"/>
    <w:rsid w:val="00F66D81"/>
    <w:rsid w:val="00F67C3E"/>
    <w:rsid w:val="00F70281"/>
    <w:rsid w:val="00F707C2"/>
    <w:rsid w:val="00F707EE"/>
    <w:rsid w:val="00F710EA"/>
    <w:rsid w:val="00F73249"/>
    <w:rsid w:val="00F734D1"/>
    <w:rsid w:val="00F73524"/>
    <w:rsid w:val="00F73E9C"/>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E1B"/>
    <w:rsid w:val="00F874D2"/>
    <w:rsid w:val="00F902E3"/>
    <w:rsid w:val="00F921D2"/>
    <w:rsid w:val="00F92334"/>
    <w:rsid w:val="00F937E1"/>
    <w:rsid w:val="00F93EFB"/>
    <w:rsid w:val="00F94647"/>
    <w:rsid w:val="00F9509F"/>
    <w:rsid w:val="00F9524E"/>
    <w:rsid w:val="00F958CB"/>
    <w:rsid w:val="00F95BEE"/>
    <w:rsid w:val="00F95E95"/>
    <w:rsid w:val="00F966D6"/>
    <w:rsid w:val="00F96B6E"/>
    <w:rsid w:val="00F971CA"/>
    <w:rsid w:val="00F97B8D"/>
    <w:rsid w:val="00FA001C"/>
    <w:rsid w:val="00FA0211"/>
    <w:rsid w:val="00FA197C"/>
    <w:rsid w:val="00FA1B8A"/>
    <w:rsid w:val="00FA311C"/>
    <w:rsid w:val="00FA39AD"/>
    <w:rsid w:val="00FA3BCD"/>
    <w:rsid w:val="00FA3C84"/>
    <w:rsid w:val="00FA46ED"/>
    <w:rsid w:val="00FA4A5E"/>
    <w:rsid w:val="00FA4B22"/>
    <w:rsid w:val="00FA5829"/>
    <w:rsid w:val="00FA746C"/>
    <w:rsid w:val="00FA7B8D"/>
    <w:rsid w:val="00FB0C83"/>
    <w:rsid w:val="00FB1043"/>
    <w:rsid w:val="00FB20F3"/>
    <w:rsid w:val="00FB226D"/>
    <w:rsid w:val="00FB31F7"/>
    <w:rsid w:val="00FB43AC"/>
    <w:rsid w:val="00FB4676"/>
    <w:rsid w:val="00FB47EA"/>
    <w:rsid w:val="00FB567E"/>
    <w:rsid w:val="00FB57E7"/>
    <w:rsid w:val="00FB7C38"/>
    <w:rsid w:val="00FB7F1F"/>
    <w:rsid w:val="00FC054A"/>
    <w:rsid w:val="00FC0790"/>
    <w:rsid w:val="00FC0A0D"/>
    <w:rsid w:val="00FC0F4A"/>
    <w:rsid w:val="00FC1289"/>
    <w:rsid w:val="00FC16C4"/>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144"/>
    <w:rsid w:val="00FD230C"/>
    <w:rsid w:val="00FD30CD"/>
    <w:rsid w:val="00FD40D5"/>
    <w:rsid w:val="00FD4636"/>
    <w:rsid w:val="00FD46BA"/>
    <w:rsid w:val="00FD4915"/>
    <w:rsid w:val="00FD4F18"/>
    <w:rsid w:val="00FD5D4A"/>
    <w:rsid w:val="00FD6B5B"/>
    <w:rsid w:val="00FD6C27"/>
    <w:rsid w:val="00FE05FC"/>
    <w:rsid w:val="00FE0693"/>
    <w:rsid w:val="00FE086E"/>
    <w:rsid w:val="00FE0AF4"/>
    <w:rsid w:val="00FE0FCB"/>
    <w:rsid w:val="00FE127F"/>
    <w:rsid w:val="00FE27EE"/>
    <w:rsid w:val="00FE30E1"/>
    <w:rsid w:val="00FE520C"/>
    <w:rsid w:val="00FE65C5"/>
    <w:rsid w:val="00FE6DA0"/>
    <w:rsid w:val="00FF0C49"/>
    <w:rsid w:val="00FF0FDB"/>
    <w:rsid w:val="00FF1282"/>
    <w:rsid w:val="00FF1339"/>
    <w:rsid w:val="00FF1682"/>
    <w:rsid w:val="00FF266A"/>
    <w:rsid w:val="00FF33D3"/>
    <w:rsid w:val="00FF479B"/>
    <w:rsid w:val="00FF5100"/>
    <w:rsid w:val="00FF5C53"/>
    <w:rsid w:val="00FF63AC"/>
    <w:rsid w:val="00FF6AA1"/>
    <w:rsid w:val="00FF781D"/>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aconvietas">
    <w:name w:val="List Bullet"/>
    <w:basedOn w:val="Normal"/>
    <w:uiPriority w:val="99"/>
    <w:unhideWhenUsed/>
    <w:rsid w:val="00326AF6"/>
    <w:pPr>
      <w:numPr>
        <w:numId w:val="14"/>
      </w:numPr>
      <w:contextualSpacing/>
    </w:pPr>
  </w:style>
  <w:style w:type="paragraph" w:styleId="NormalWeb">
    <w:name w:val="Normal (Web)"/>
    <w:basedOn w:val="Normal"/>
    <w:uiPriority w:val="99"/>
    <w:unhideWhenUsed/>
    <w:rsid w:val="0075000B"/>
    <w:pPr>
      <w:spacing w:before="100" w:beforeAutospacing="1" w:after="100" w:afterAutospacing="1" w:line="240" w:lineRule="auto"/>
    </w:pPr>
    <w:rPr>
      <w:rFonts w:ascii="Times New Roman" w:eastAsia="Times New Roman" w:hAnsi="Times New Roman" w:cs="Times New Roman"/>
      <w:sz w:val="24"/>
      <w:szCs w:val="24"/>
    </w:rPr>
  </w:style>
  <w:style w:type="character" w:styleId="Textoennegrita">
    <w:name w:val="Strong"/>
    <w:basedOn w:val="Fuentedeprrafopredeter"/>
    <w:uiPriority w:val="22"/>
    <w:qFormat/>
    <w:rsid w:val="00E87172"/>
    <w:rPr>
      <w:b/>
      <w:bCs/>
    </w:rPr>
  </w:style>
  <w:style w:type="paragraph" w:customStyle="1" w:styleId="temp">
    <w:name w:val="temp"/>
    <w:basedOn w:val="Normal"/>
    <w:rsid w:val="00F9509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ld">
    <w:name w:val="bold"/>
    <w:basedOn w:val="Fuentedeprrafopredeter"/>
    <w:rsid w:val="00F9509F"/>
  </w:style>
  <w:style w:type="character" w:customStyle="1" w:styleId="ng-star-inserted">
    <w:name w:val="ng-star-inserted"/>
    <w:basedOn w:val="Fuentedeprrafopredeter"/>
    <w:rsid w:val="00F9509F"/>
  </w:style>
  <w:style w:type="character" w:styleId="Hipervnculovisitado">
    <w:name w:val="FollowedHyperlink"/>
    <w:basedOn w:val="Fuentedeprrafopredeter"/>
    <w:uiPriority w:val="99"/>
    <w:semiHidden/>
    <w:unhideWhenUsed/>
    <w:rsid w:val="0027339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620496177">
      <w:bodyDiv w:val="1"/>
      <w:marLeft w:val="0"/>
      <w:marRight w:val="0"/>
      <w:marTop w:val="0"/>
      <w:marBottom w:val="0"/>
      <w:divBdr>
        <w:top w:val="none" w:sz="0" w:space="0" w:color="auto"/>
        <w:left w:val="none" w:sz="0" w:space="0" w:color="auto"/>
        <w:bottom w:val="none" w:sz="0" w:space="0" w:color="auto"/>
        <w:right w:val="none" w:sz="0" w:space="0" w:color="auto"/>
      </w:divBdr>
    </w:div>
    <w:div w:id="844511588">
      <w:bodyDiv w:val="1"/>
      <w:marLeft w:val="0"/>
      <w:marRight w:val="0"/>
      <w:marTop w:val="0"/>
      <w:marBottom w:val="0"/>
      <w:divBdr>
        <w:top w:val="none" w:sz="0" w:space="0" w:color="auto"/>
        <w:left w:val="none" w:sz="0" w:space="0" w:color="auto"/>
        <w:bottom w:val="none" w:sz="0" w:space="0" w:color="auto"/>
        <w:right w:val="none" w:sz="0" w:space="0" w:color="auto"/>
      </w:divBdr>
    </w:div>
    <w:div w:id="1018198581">
      <w:bodyDiv w:val="1"/>
      <w:marLeft w:val="0"/>
      <w:marRight w:val="0"/>
      <w:marTop w:val="0"/>
      <w:marBottom w:val="0"/>
      <w:divBdr>
        <w:top w:val="none" w:sz="0" w:space="0" w:color="auto"/>
        <w:left w:val="none" w:sz="0" w:space="0" w:color="auto"/>
        <w:bottom w:val="none" w:sz="0" w:space="0" w:color="auto"/>
        <w:right w:val="none" w:sz="0" w:space="0" w:color="auto"/>
      </w:divBdr>
    </w:div>
    <w:div w:id="1155685609">
      <w:bodyDiv w:val="1"/>
      <w:marLeft w:val="0"/>
      <w:marRight w:val="0"/>
      <w:marTop w:val="0"/>
      <w:marBottom w:val="0"/>
      <w:divBdr>
        <w:top w:val="none" w:sz="0" w:space="0" w:color="auto"/>
        <w:left w:val="none" w:sz="0" w:space="0" w:color="auto"/>
        <w:bottom w:val="none" w:sz="0" w:space="0" w:color="auto"/>
        <w:right w:val="none" w:sz="0" w:space="0" w:color="auto"/>
      </w:divBdr>
    </w:div>
    <w:div w:id="1202985717">
      <w:bodyDiv w:val="1"/>
      <w:marLeft w:val="0"/>
      <w:marRight w:val="0"/>
      <w:marTop w:val="0"/>
      <w:marBottom w:val="0"/>
      <w:divBdr>
        <w:top w:val="none" w:sz="0" w:space="0" w:color="auto"/>
        <w:left w:val="none" w:sz="0" w:space="0" w:color="auto"/>
        <w:bottom w:val="none" w:sz="0" w:space="0" w:color="auto"/>
        <w:right w:val="none" w:sz="0" w:space="0" w:color="auto"/>
      </w:divBdr>
      <w:divsChild>
        <w:div w:id="1206022934">
          <w:marLeft w:val="0"/>
          <w:marRight w:val="0"/>
          <w:marTop w:val="0"/>
          <w:marBottom w:val="0"/>
          <w:divBdr>
            <w:top w:val="none" w:sz="0" w:space="0" w:color="auto"/>
            <w:left w:val="none" w:sz="0" w:space="0" w:color="auto"/>
            <w:bottom w:val="none" w:sz="0" w:space="0" w:color="auto"/>
            <w:right w:val="none" w:sz="0" w:space="0" w:color="auto"/>
          </w:divBdr>
        </w:div>
        <w:div w:id="1029839009">
          <w:marLeft w:val="0"/>
          <w:marRight w:val="0"/>
          <w:marTop w:val="0"/>
          <w:marBottom w:val="0"/>
          <w:divBdr>
            <w:top w:val="none" w:sz="0" w:space="0" w:color="auto"/>
            <w:left w:val="none" w:sz="0" w:space="0" w:color="auto"/>
            <w:bottom w:val="none" w:sz="0" w:space="0" w:color="auto"/>
            <w:right w:val="none" w:sz="0" w:space="0" w:color="auto"/>
          </w:divBdr>
        </w:div>
        <w:div w:id="1916501762">
          <w:marLeft w:val="0"/>
          <w:marRight w:val="0"/>
          <w:marTop w:val="0"/>
          <w:marBottom w:val="0"/>
          <w:divBdr>
            <w:top w:val="none" w:sz="0" w:space="0" w:color="auto"/>
            <w:left w:val="none" w:sz="0" w:space="0" w:color="auto"/>
            <w:bottom w:val="none" w:sz="0" w:space="0" w:color="auto"/>
            <w:right w:val="none" w:sz="0" w:space="0" w:color="auto"/>
          </w:divBdr>
        </w:div>
        <w:div w:id="433748839">
          <w:marLeft w:val="0"/>
          <w:marRight w:val="0"/>
          <w:marTop w:val="0"/>
          <w:marBottom w:val="0"/>
          <w:divBdr>
            <w:top w:val="none" w:sz="0" w:space="0" w:color="auto"/>
            <w:left w:val="none" w:sz="0" w:space="0" w:color="auto"/>
            <w:bottom w:val="none" w:sz="0" w:space="0" w:color="auto"/>
            <w:right w:val="none" w:sz="0" w:space="0" w:color="auto"/>
          </w:divBdr>
        </w:div>
        <w:div w:id="1157497806">
          <w:marLeft w:val="0"/>
          <w:marRight w:val="0"/>
          <w:marTop w:val="0"/>
          <w:marBottom w:val="0"/>
          <w:divBdr>
            <w:top w:val="none" w:sz="0" w:space="0" w:color="auto"/>
            <w:left w:val="none" w:sz="0" w:space="0" w:color="auto"/>
            <w:bottom w:val="none" w:sz="0" w:space="0" w:color="auto"/>
            <w:right w:val="none" w:sz="0" w:space="0" w:color="auto"/>
          </w:divBdr>
        </w:div>
        <w:div w:id="1890452557">
          <w:marLeft w:val="0"/>
          <w:marRight w:val="0"/>
          <w:marTop w:val="0"/>
          <w:marBottom w:val="0"/>
          <w:divBdr>
            <w:top w:val="none" w:sz="0" w:space="0" w:color="auto"/>
            <w:left w:val="none" w:sz="0" w:space="0" w:color="auto"/>
            <w:bottom w:val="none" w:sz="0" w:space="0" w:color="auto"/>
            <w:right w:val="none" w:sz="0" w:space="0" w:color="auto"/>
          </w:divBdr>
        </w:div>
        <w:div w:id="6566744">
          <w:marLeft w:val="0"/>
          <w:marRight w:val="0"/>
          <w:marTop w:val="0"/>
          <w:marBottom w:val="0"/>
          <w:divBdr>
            <w:top w:val="none" w:sz="0" w:space="0" w:color="auto"/>
            <w:left w:val="none" w:sz="0" w:space="0" w:color="auto"/>
            <w:bottom w:val="none" w:sz="0" w:space="0" w:color="auto"/>
            <w:right w:val="none" w:sz="0" w:space="0" w:color="auto"/>
          </w:divBdr>
        </w:div>
      </w:divsChild>
    </w:div>
    <w:div w:id="1280796189">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721052596">
      <w:bodyDiv w:val="1"/>
      <w:marLeft w:val="0"/>
      <w:marRight w:val="0"/>
      <w:marTop w:val="0"/>
      <w:marBottom w:val="0"/>
      <w:divBdr>
        <w:top w:val="none" w:sz="0" w:space="0" w:color="auto"/>
        <w:left w:val="none" w:sz="0" w:space="0" w:color="auto"/>
        <w:bottom w:val="none" w:sz="0" w:space="0" w:color="auto"/>
        <w:right w:val="none" w:sz="0" w:space="0" w:color="auto"/>
      </w:divBdr>
      <w:divsChild>
        <w:div w:id="1389067027">
          <w:marLeft w:val="0"/>
          <w:marRight w:val="0"/>
          <w:marTop w:val="0"/>
          <w:marBottom w:val="0"/>
          <w:divBdr>
            <w:top w:val="none" w:sz="0" w:space="0" w:color="auto"/>
            <w:left w:val="none" w:sz="0" w:space="0" w:color="auto"/>
            <w:bottom w:val="none" w:sz="0" w:space="0" w:color="auto"/>
            <w:right w:val="none" w:sz="0" w:space="0" w:color="auto"/>
          </w:divBdr>
        </w:div>
        <w:div w:id="1022703068">
          <w:marLeft w:val="0"/>
          <w:marRight w:val="0"/>
          <w:marTop w:val="0"/>
          <w:marBottom w:val="0"/>
          <w:divBdr>
            <w:top w:val="none" w:sz="0" w:space="0" w:color="auto"/>
            <w:left w:val="none" w:sz="0" w:space="0" w:color="auto"/>
            <w:bottom w:val="none" w:sz="0" w:space="0" w:color="auto"/>
            <w:right w:val="none" w:sz="0" w:space="0" w:color="auto"/>
          </w:divBdr>
        </w:div>
        <w:div w:id="1628464759">
          <w:marLeft w:val="0"/>
          <w:marRight w:val="0"/>
          <w:marTop w:val="0"/>
          <w:marBottom w:val="0"/>
          <w:divBdr>
            <w:top w:val="none" w:sz="0" w:space="0" w:color="auto"/>
            <w:left w:val="none" w:sz="0" w:space="0" w:color="auto"/>
            <w:bottom w:val="none" w:sz="0" w:space="0" w:color="auto"/>
            <w:right w:val="none" w:sz="0" w:space="0" w:color="auto"/>
          </w:divBdr>
        </w:div>
        <w:div w:id="2022589072">
          <w:marLeft w:val="0"/>
          <w:marRight w:val="0"/>
          <w:marTop w:val="0"/>
          <w:marBottom w:val="0"/>
          <w:divBdr>
            <w:top w:val="none" w:sz="0" w:space="0" w:color="auto"/>
            <w:left w:val="none" w:sz="0" w:space="0" w:color="auto"/>
            <w:bottom w:val="none" w:sz="0" w:space="0" w:color="auto"/>
            <w:right w:val="none" w:sz="0" w:space="0" w:color="auto"/>
          </w:divBdr>
        </w:div>
        <w:div w:id="894049322">
          <w:marLeft w:val="0"/>
          <w:marRight w:val="0"/>
          <w:marTop w:val="0"/>
          <w:marBottom w:val="0"/>
          <w:divBdr>
            <w:top w:val="none" w:sz="0" w:space="0" w:color="auto"/>
            <w:left w:val="none" w:sz="0" w:space="0" w:color="auto"/>
            <w:bottom w:val="none" w:sz="0" w:space="0" w:color="auto"/>
            <w:right w:val="none" w:sz="0" w:space="0" w:color="auto"/>
          </w:divBdr>
        </w:div>
        <w:div w:id="13846736">
          <w:marLeft w:val="0"/>
          <w:marRight w:val="0"/>
          <w:marTop w:val="0"/>
          <w:marBottom w:val="0"/>
          <w:divBdr>
            <w:top w:val="none" w:sz="0" w:space="0" w:color="auto"/>
            <w:left w:val="none" w:sz="0" w:space="0" w:color="auto"/>
            <w:bottom w:val="none" w:sz="0" w:space="0" w:color="auto"/>
            <w:right w:val="none" w:sz="0" w:space="0" w:color="auto"/>
          </w:divBdr>
        </w:div>
        <w:div w:id="22439095">
          <w:marLeft w:val="0"/>
          <w:marRight w:val="0"/>
          <w:marTop w:val="0"/>
          <w:marBottom w:val="0"/>
          <w:divBdr>
            <w:top w:val="none" w:sz="0" w:space="0" w:color="auto"/>
            <w:left w:val="none" w:sz="0" w:space="0" w:color="auto"/>
            <w:bottom w:val="none" w:sz="0" w:space="0" w:color="auto"/>
            <w:right w:val="none" w:sz="0" w:space="0" w:color="auto"/>
          </w:divBdr>
        </w:div>
      </w:divsChild>
    </w:div>
    <w:div w:id="1774519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5986B4-3A81-4FD4-A730-AE082C62C9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209</TotalTime>
  <Pages>19</Pages>
  <Words>7105</Words>
  <Characters>39082</Characters>
  <Application>Microsoft Office Word</Application>
  <DocSecurity>0</DocSecurity>
  <Lines>325</Lines>
  <Paragraphs>92</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46095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tjao-personal</cp:lastModifiedBy>
  <cp:revision>39</cp:revision>
  <cp:lastPrinted>2021-05-20T15:30:00Z</cp:lastPrinted>
  <dcterms:created xsi:type="dcterms:W3CDTF">2021-09-14T17:33:00Z</dcterms:created>
  <dcterms:modified xsi:type="dcterms:W3CDTF">2022-02-03T20:08:00Z</dcterms:modified>
</cp:coreProperties>
</file>