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6661" w:rsidRPr="00CB6405" w:rsidRDefault="00C06661" w:rsidP="00C06661">
      <w:pPr>
        <w:spacing w:line="240" w:lineRule="auto"/>
        <w:ind w:left="2124"/>
        <w:jc w:val="both"/>
        <w:rPr>
          <w:rFonts w:ascii="Arial" w:hAnsi="Arial" w:cs="Arial"/>
          <w:b/>
          <w:sz w:val="26"/>
          <w:szCs w:val="26"/>
        </w:rPr>
      </w:pPr>
      <w:bookmarkStart w:id="0" w:name="_GoBack"/>
      <w:bookmarkEnd w:id="0"/>
      <w:r w:rsidRPr="00CB6405">
        <w:rPr>
          <w:rFonts w:ascii="Arial" w:hAnsi="Arial" w:cs="Arial"/>
          <w:b/>
          <w:sz w:val="26"/>
          <w:szCs w:val="26"/>
        </w:rPr>
        <w:t xml:space="preserve">SALA SUPERIOR DEL TRIBUNAL DE </w:t>
      </w:r>
      <w:r w:rsidR="00611746">
        <w:rPr>
          <w:rFonts w:ascii="Arial" w:hAnsi="Arial" w:cs="Arial"/>
          <w:b/>
          <w:sz w:val="26"/>
          <w:szCs w:val="26"/>
        </w:rPr>
        <w:t xml:space="preserve">JUSTICIA ADMINISTRATIVA </w:t>
      </w:r>
      <w:r w:rsidRPr="00CB6405">
        <w:rPr>
          <w:rFonts w:ascii="Arial" w:hAnsi="Arial" w:cs="Arial"/>
          <w:b/>
          <w:sz w:val="26"/>
          <w:szCs w:val="26"/>
        </w:rPr>
        <w:t>DEL ESTADO DE OAXACA</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146540">
        <w:rPr>
          <w:rFonts w:ascii="Arial" w:hAnsi="Arial" w:cs="Arial"/>
          <w:b/>
          <w:sz w:val="26"/>
          <w:szCs w:val="26"/>
        </w:rPr>
        <w:t>4</w:t>
      </w:r>
      <w:r w:rsidR="00D50F7C">
        <w:rPr>
          <w:rFonts w:ascii="Arial" w:hAnsi="Arial" w:cs="Arial"/>
          <w:b/>
          <w:sz w:val="26"/>
          <w:szCs w:val="26"/>
        </w:rPr>
        <w:t>75</w:t>
      </w:r>
      <w:r w:rsidRPr="00CB6405">
        <w:rPr>
          <w:rFonts w:ascii="Arial" w:hAnsi="Arial" w:cs="Arial"/>
          <w:b/>
          <w:sz w:val="26"/>
          <w:szCs w:val="26"/>
        </w:rPr>
        <w:t>/201</w:t>
      </w:r>
      <w:r w:rsidR="00E076A7">
        <w:rPr>
          <w:rFonts w:ascii="Arial" w:hAnsi="Arial" w:cs="Arial"/>
          <w:b/>
          <w:sz w:val="26"/>
          <w:szCs w:val="26"/>
        </w:rPr>
        <w:t>8</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w:t>
      </w:r>
      <w:r w:rsidR="00146540">
        <w:rPr>
          <w:rFonts w:ascii="Arial" w:hAnsi="Arial" w:cs="Arial"/>
          <w:b/>
          <w:sz w:val="26"/>
          <w:szCs w:val="26"/>
        </w:rPr>
        <w:t>6</w:t>
      </w:r>
      <w:r w:rsidR="00D50F7C">
        <w:rPr>
          <w:rFonts w:ascii="Arial" w:hAnsi="Arial" w:cs="Arial"/>
          <w:b/>
          <w:sz w:val="26"/>
          <w:szCs w:val="26"/>
        </w:rPr>
        <w:t>4</w:t>
      </w:r>
      <w:r>
        <w:rPr>
          <w:rFonts w:ascii="Arial" w:hAnsi="Arial" w:cs="Arial"/>
          <w:b/>
          <w:sz w:val="26"/>
          <w:szCs w:val="26"/>
        </w:rPr>
        <w:t>/</w:t>
      </w:r>
      <w:r w:rsidRPr="00CB6405">
        <w:rPr>
          <w:rFonts w:ascii="Arial" w:hAnsi="Arial" w:cs="Arial"/>
          <w:b/>
          <w:sz w:val="26"/>
          <w:szCs w:val="26"/>
        </w:rPr>
        <w:t>201</w:t>
      </w:r>
      <w:r w:rsidR="00146540">
        <w:rPr>
          <w:rFonts w:ascii="Arial" w:hAnsi="Arial" w:cs="Arial"/>
          <w:b/>
          <w:sz w:val="26"/>
          <w:szCs w:val="26"/>
        </w:rPr>
        <w:t>8</w:t>
      </w:r>
      <w:r w:rsidRPr="00CB6405">
        <w:rPr>
          <w:rFonts w:ascii="Arial" w:hAnsi="Arial" w:cs="Arial"/>
          <w:b/>
          <w:sz w:val="26"/>
          <w:szCs w:val="26"/>
        </w:rPr>
        <w:t xml:space="preserve"> </w:t>
      </w:r>
      <w:r w:rsidR="00D50F7C">
        <w:rPr>
          <w:rFonts w:ascii="Arial" w:hAnsi="Arial" w:cs="Arial"/>
          <w:b/>
          <w:sz w:val="26"/>
          <w:szCs w:val="26"/>
        </w:rPr>
        <w:t>PRIMERA</w:t>
      </w:r>
      <w:r w:rsidR="00146540">
        <w:rPr>
          <w:rFonts w:ascii="Arial" w:hAnsi="Arial" w:cs="Arial"/>
          <w:b/>
          <w:sz w:val="26"/>
          <w:szCs w:val="26"/>
        </w:rPr>
        <w:t xml:space="preserve"> </w:t>
      </w:r>
      <w:r w:rsidRPr="00CB6405">
        <w:rPr>
          <w:rFonts w:ascii="Arial" w:hAnsi="Arial" w:cs="Arial"/>
          <w:b/>
          <w:sz w:val="26"/>
          <w:szCs w:val="26"/>
        </w:rPr>
        <w:t>SALA UNITARIA DE PRIMERA INSTANCIA</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PONENTE: MAGISTRADO ENRIQUE PACHECO MARTÍNEZ.</w:t>
      </w:r>
    </w:p>
    <w:p w:rsidR="00FC4278" w:rsidRDefault="00FC4278" w:rsidP="00FC4278">
      <w:pPr>
        <w:spacing w:before="240" w:line="360" w:lineRule="auto"/>
        <w:jc w:val="both"/>
        <w:rPr>
          <w:rFonts w:ascii="Arial" w:hAnsi="Arial" w:cs="Arial"/>
          <w:b/>
          <w:sz w:val="26"/>
          <w:szCs w:val="26"/>
        </w:rPr>
      </w:pPr>
      <w:r>
        <w:rPr>
          <w:rFonts w:ascii="Arial" w:hAnsi="Arial" w:cs="Arial"/>
          <w:b/>
          <w:sz w:val="26"/>
          <w:szCs w:val="26"/>
        </w:rPr>
        <w:t xml:space="preserve">OAXACA DE JUÁREZ, OAXACA A </w:t>
      </w:r>
      <w:r w:rsidR="00AC0F6D">
        <w:rPr>
          <w:rFonts w:ascii="Arial" w:hAnsi="Arial" w:cs="Arial"/>
          <w:b/>
          <w:sz w:val="26"/>
          <w:szCs w:val="26"/>
        </w:rPr>
        <w:t xml:space="preserve">VEINTIOCHO </w:t>
      </w:r>
      <w:r>
        <w:rPr>
          <w:rFonts w:ascii="Arial" w:hAnsi="Arial" w:cs="Arial"/>
          <w:b/>
          <w:sz w:val="26"/>
          <w:szCs w:val="26"/>
        </w:rPr>
        <w:t>DE</w:t>
      </w:r>
      <w:r w:rsidR="00E076A7">
        <w:rPr>
          <w:rFonts w:ascii="Arial" w:hAnsi="Arial" w:cs="Arial"/>
          <w:b/>
          <w:sz w:val="26"/>
          <w:szCs w:val="26"/>
        </w:rPr>
        <w:t xml:space="preserve"> </w:t>
      </w:r>
      <w:r w:rsidR="00E11FCF">
        <w:rPr>
          <w:rFonts w:ascii="Arial" w:hAnsi="Arial" w:cs="Arial"/>
          <w:b/>
          <w:sz w:val="26"/>
          <w:szCs w:val="26"/>
        </w:rPr>
        <w:t xml:space="preserve">MARZO </w:t>
      </w:r>
      <w:r>
        <w:rPr>
          <w:rFonts w:ascii="Arial" w:hAnsi="Arial" w:cs="Arial"/>
          <w:b/>
          <w:sz w:val="26"/>
          <w:szCs w:val="26"/>
        </w:rPr>
        <w:t>DE DOS MIL DIECI</w:t>
      </w:r>
      <w:r w:rsidR="00E076A7">
        <w:rPr>
          <w:rFonts w:ascii="Arial" w:hAnsi="Arial" w:cs="Arial"/>
          <w:b/>
          <w:sz w:val="26"/>
          <w:szCs w:val="26"/>
        </w:rPr>
        <w:t>NUEVE</w:t>
      </w:r>
      <w:r>
        <w:rPr>
          <w:rFonts w:ascii="Arial" w:hAnsi="Arial" w:cs="Arial"/>
          <w:b/>
          <w:sz w:val="26"/>
          <w:szCs w:val="26"/>
        </w:rPr>
        <w:t xml:space="preserve">. </w:t>
      </w:r>
    </w:p>
    <w:p w:rsidR="00C06661" w:rsidRPr="00CB6405" w:rsidRDefault="00C06661" w:rsidP="006B3BEA">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sidR="00146540">
        <w:rPr>
          <w:rFonts w:ascii="Arial" w:hAnsi="Arial" w:cs="Arial"/>
          <w:b/>
          <w:sz w:val="26"/>
          <w:szCs w:val="26"/>
        </w:rPr>
        <w:t>4</w:t>
      </w:r>
      <w:r w:rsidR="00D50F7C">
        <w:rPr>
          <w:rFonts w:ascii="Arial" w:hAnsi="Arial" w:cs="Arial"/>
          <w:b/>
          <w:sz w:val="26"/>
          <w:szCs w:val="26"/>
        </w:rPr>
        <w:t>75</w:t>
      </w:r>
      <w:r w:rsidRPr="00CB6405">
        <w:rPr>
          <w:rFonts w:ascii="Arial" w:hAnsi="Arial" w:cs="Arial"/>
          <w:b/>
          <w:sz w:val="26"/>
          <w:szCs w:val="26"/>
        </w:rPr>
        <w:t>/201</w:t>
      </w:r>
      <w:r w:rsidR="007B5637">
        <w:rPr>
          <w:rFonts w:ascii="Arial" w:hAnsi="Arial" w:cs="Arial"/>
          <w:b/>
          <w:sz w:val="26"/>
          <w:szCs w:val="26"/>
        </w:rPr>
        <w:t>8</w:t>
      </w:r>
      <w:r w:rsidRPr="00CB6405">
        <w:rPr>
          <w:rFonts w:ascii="Arial" w:hAnsi="Arial" w:cs="Arial"/>
          <w:sz w:val="26"/>
          <w:szCs w:val="26"/>
        </w:rPr>
        <w:t xml:space="preserve">, que remite la Secretaría General de Acuerdos, con motivo del recurso de revisión interpuesto por </w:t>
      </w:r>
      <w:r w:rsidR="00BE01B0">
        <w:rPr>
          <w:rFonts w:ascii="Arial" w:hAnsi="Arial" w:cs="Arial"/>
          <w:sz w:val="26"/>
          <w:szCs w:val="26"/>
        </w:rPr>
        <w:t>la</w:t>
      </w:r>
      <w:r w:rsidR="00F469C7">
        <w:rPr>
          <w:rFonts w:ascii="Arial" w:hAnsi="Arial" w:cs="Arial"/>
          <w:sz w:val="26"/>
          <w:szCs w:val="26"/>
        </w:rPr>
        <w:t xml:space="preserve"> </w:t>
      </w:r>
      <w:r w:rsidR="00146540" w:rsidRPr="00146540">
        <w:rPr>
          <w:rFonts w:ascii="Arial" w:hAnsi="Arial" w:cs="Arial"/>
          <w:b/>
          <w:sz w:val="26"/>
          <w:szCs w:val="26"/>
        </w:rPr>
        <w:t>JEFA DE LA UNIDAD DE</w:t>
      </w:r>
      <w:r w:rsidR="00146540">
        <w:rPr>
          <w:rFonts w:ascii="Arial" w:hAnsi="Arial" w:cs="Arial"/>
          <w:sz w:val="26"/>
          <w:szCs w:val="26"/>
        </w:rPr>
        <w:t xml:space="preserve"> </w:t>
      </w:r>
      <w:r w:rsidR="00A700C1" w:rsidRPr="00A700C1">
        <w:rPr>
          <w:rFonts w:ascii="Arial" w:hAnsi="Arial" w:cs="Arial"/>
          <w:b/>
          <w:sz w:val="26"/>
          <w:szCs w:val="26"/>
        </w:rPr>
        <w:t>RECAUDA</w:t>
      </w:r>
      <w:r w:rsidR="00146540">
        <w:rPr>
          <w:rFonts w:ascii="Arial" w:hAnsi="Arial" w:cs="Arial"/>
          <w:b/>
          <w:sz w:val="26"/>
          <w:szCs w:val="26"/>
        </w:rPr>
        <w:t xml:space="preserve">CIÓN </w:t>
      </w:r>
      <w:r w:rsidR="00A700C1" w:rsidRPr="00A700C1">
        <w:rPr>
          <w:rFonts w:ascii="Arial" w:hAnsi="Arial" w:cs="Arial"/>
          <w:b/>
          <w:sz w:val="26"/>
          <w:szCs w:val="26"/>
        </w:rPr>
        <w:t>DE RENTAS DEL MUNICIPIO DE OAXACA</w:t>
      </w:r>
      <w:r w:rsidR="00A700C1">
        <w:rPr>
          <w:rFonts w:ascii="Arial" w:hAnsi="Arial" w:cs="Arial"/>
          <w:sz w:val="26"/>
          <w:szCs w:val="26"/>
        </w:rPr>
        <w:t xml:space="preserve"> </w:t>
      </w:r>
      <w:r w:rsidR="003E2B2E" w:rsidRPr="003E2B2E">
        <w:rPr>
          <w:rFonts w:ascii="Arial" w:hAnsi="Arial" w:cs="Arial"/>
          <w:b/>
          <w:sz w:val="26"/>
          <w:szCs w:val="26"/>
        </w:rPr>
        <w:t>DE JUÁREZ</w:t>
      </w:r>
      <w:r w:rsidR="00D50F7C">
        <w:rPr>
          <w:rFonts w:ascii="Arial" w:hAnsi="Arial" w:cs="Arial"/>
          <w:b/>
          <w:sz w:val="26"/>
          <w:szCs w:val="26"/>
        </w:rPr>
        <w:t>, OAXACA</w:t>
      </w:r>
      <w:r w:rsidRPr="00CB6405">
        <w:rPr>
          <w:rFonts w:ascii="Arial" w:hAnsi="Arial" w:cs="Arial"/>
          <w:sz w:val="26"/>
          <w:szCs w:val="26"/>
        </w:rPr>
        <w:t>, en contra de</w:t>
      </w:r>
      <w:r>
        <w:rPr>
          <w:rFonts w:ascii="Arial" w:hAnsi="Arial" w:cs="Arial"/>
          <w:sz w:val="26"/>
          <w:szCs w:val="26"/>
        </w:rPr>
        <w:t xml:space="preserve"> la sentencia de </w:t>
      </w:r>
      <w:r w:rsidR="00D50F7C">
        <w:rPr>
          <w:rFonts w:ascii="Arial" w:hAnsi="Arial" w:cs="Arial"/>
          <w:sz w:val="26"/>
          <w:szCs w:val="26"/>
        </w:rPr>
        <w:t xml:space="preserve">veintiséis de </w:t>
      </w:r>
      <w:r w:rsidR="00146540">
        <w:rPr>
          <w:rFonts w:ascii="Arial" w:hAnsi="Arial" w:cs="Arial"/>
          <w:sz w:val="26"/>
          <w:szCs w:val="26"/>
        </w:rPr>
        <w:t xml:space="preserve">octubre </w:t>
      </w:r>
      <w:r w:rsidR="00E076A7">
        <w:rPr>
          <w:rFonts w:ascii="Arial" w:hAnsi="Arial" w:cs="Arial"/>
          <w:sz w:val="26"/>
          <w:szCs w:val="26"/>
        </w:rPr>
        <w:t xml:space="preserve">de </w:t>
      </w:r>
      <w:r w:rsidRPr="00CB6405">
        <w:rPr>
          <w:rFonts w:ascii="Arial" w:hAnsi="Arial" w:cs="Arial"/>
          <w:sz w:val="26"/>
          <w:szCs w:val="26"/>
        </w:rPr>
        <w:t>dos mil dieci</w:t>
      </w:r>
      <w:r w:rsidR="00E076A7">
        <w:rPr>
          <w:rFonts w:ascii="Arial" w:hAnsi="Arial" w:cs="Arial"/>
          <w:sz w:val="26"/>
          <w:szCs w:val="26"/>
        </w:rPr>
        <w:t>ocho</w:t>
      </w:r>
      <w:r>
        <w:rPr>
          <w:rFonts w:ascii="Arial" w:hAnsi="Arial" w:cs="Arial"/>
          <w:sz w:val="26"/>
          <w:szCs w:val="26"/>
        </w:rPr>
        <w:t>, dictada</w:t>
      </w:r>
      <w:r w:rsidRPr="00CB6405">
        <w:rPr>
          <w:rFonts w:ascii="Arial" w:hAnsi="Arial" w:cs="Arial"/>
          <w:sz w:val="26"/>
          <w:szCs w:val="26"/>
        </w:rPr>
        <w:t xml:space="preserve"> en el expediente </w:t>
      </w:r>
      <w:r w:rsidR="00D50F7C">
        <w:rPr>
          <w:rFonts w:ascii="Arial" w:hAnsi="Arial" w:cs="Arial"/>
          <w:b/>
          <w:sz w:val="26"/>
          <w:szCs w:val="26"/>
        </w:rPr>
        <w:t>064</w:t>
      </w:r>
      <w:r w:rsidRPr="00CB6405">
        <w:rPr>
          <w:rFonts w:ascii="Arial" w:hAnsi="Arial" w:cs="Arial"/>
          <w:b/>
          <w:sz w:val="26"/>
          <w:szCs w:val="26"/>
        </w:rPr>
        <w:t>/201</w:t>
      </w:r>
      <w:r w:rsidR="00146540">
        <w:rPr>
          <w:rFonts w:ascii="Arial" w:hAnsi="Arial" w:cs="Arial"/>
          <w:b/>
          <w:sz w:val="26"/>
          <w:szCs w:val="26"/>
        </w:rPr>
        <w:t>8</w:t>
      </w:r>
      <w:r w:rsidRPr="00CB6405">
        <w:rPr>
          <w:rFonts w:ascii="Arial" w:hAnsi="Arial" w:cs="Arial"/>
          <w:sz w:val="26"/>
          <w:szCs w:val="26"/>
        </w:rPr>
        <w:t xml:space="preserve"> de la </w:t>
      </w:r>
      <w:r w:rsidR="00D50F7C">
        <w:rPr>
          <w:rFonts w:ascii="Arial" w:hAnsi="Arial" w:cs="Arial"/>
          <w:sz w:val="26"/>
          <w:szCs w:val="26"/>
        </w:rPr>
        <w:t xml:space="preserve">Primera </w:t>
      </w:r>
      <w:r w:rsidRPr="00CB6405">
        <w:rPr>
          <w:rFonts w:ascii="Arial" w:hAnsi="Arial" w:cs="Arial"/>
          <w:sz w:val="26"/>
          <w:szCs w:val="26"/>
        </w:rPr>
        <w:t xml:space="preserve">Sala Unitaria de Primera Instancia, relativo al </w:t>
      </w:r>
      <w:r w:rsidR="007B0E0D">
        <w:rPr>
          <w:rFonts w:ascii="Arial" w:hAnsi="Arial" w:cs="Arial"/>
          <w:sz w:val="26"/>
          <w:szCs w:val="26"/>
        </w:rPr>
        <w:t>juicio de nulidad promovido por</w:t>
      </w:r>
      <w:r w:rsidR="00663368">
        <w:rPr>
          <w:rFonts w:ascii="Arial" w:hAnsi="Arial" w:cs="Arial"/>
          <w:sz w:val="26"/>
          <w:szCs w:val="26"/>
        </w:rPr>
        <w:t>**********</w:t>
      </w:r>
      <w:r w:rsidR="006B6D39" w:rsidRPr="00D50F7C">
        <w:rPr>
          <w:rFonts w:ascii="Arial" w:hAnsi="Arial" w:cs="Arial"/>
          <w:sz w:val="26"/>
          <w:szCs w:val="26"/>
        </w:rPr>
        <w:t>,</w:t>
      </w:r>
      <w:r w:rsidR="006B6D39">
        <w:rPr>
          <w:rFonts w:ascii="Arial" w:hAnsi="Arial" w:cs="Arial"/>
          <w:b/>
          <w:sz w:val="26"/>
          <w:szCs w:val="26"/>
        </w:rPr>
        <w:t xml:space="preserve"> </w:t>
      </w:r>
      <w:r w:rsidR="006B6D39" w:rsidRPr="006B6D39">
        <w:rPr>
          <w:rFonts w:ascii="Arial" w:hAnsi="Arial" w:cs="Arial"/>
          <w:sz w:val="26"/>
          <w:szCs w:val="26"/>
        </w:rPr>
        <w:t>en contra del</w:t>
      </w:r>
      <w:r w:rsidR="006B6D39">
        <w:rPr>
          <w:rFonts w:ascii="Arial" w:hAnsi="Arial" w:cs="Arial"/>
          <w:b/>
          <w:sz w:val="26"/>
          <w:szCs w:val="26"/>
        </w:rPr>
        <w:t xml:space="preserve"> POLICÍA </w:t>
      </w:r>
      <w:r w:rsidR="006B3BEA" w:rsidRPr="006B3BEA">
        <w:rPr>
          <w:rFonts w:ascii="Arial" w:hAnsi="Arial" w:cs="Arial"/>
          <w:b/>
          <w:sz w:val="26"/>
          <w:szCs w:val="26"/>
        </w:rPr>
        <w:t>VIAL PV-</w:t>
      </w:r>
      <w:r w:rsidR="00146540">
        <w:rPr>
          <w:rFonts w:ascii="Arial" w:hAnsi="Arial" w:cs="Arial"/>
          <w:b/>
          <w:sz w:val="26"/>
          <w:szCs w:val="26"/>
        </w:rPr>
        <w:t>131</w:t>
      </w:r>
      <w:r w:rsidR="00DC76BD">
        <w:rPr>
          <w:rFonts w:ascii="Arial" w:hAnsi="Arial" w:cs="Arial"/>
          <w:b/>
          <w:sz w:val="26"/>
          <w:szCs w:val="26"/>
        </w:rPr>
        <w:t>, adscrito</w:t>
      </w:r>
      <w:r w:rsidR="006B3BEA" w:rsidRPr="006B3BEA">
        <w:rPr>
          <w:rFonts w:ascii="Arial" w:hAnsi="Arial" w:cs="Arial"/>
          <w:b/>
          <w:sz w:val="26"/>
          <w:szCs w:val="26"/>
        </w:rPr>
        <w:t xml:space="preserve"> a la </w:t>
      </w:r>
      <w:r w:rsidR="00E076A7" w:rsidRPr="006B3BEA">
        <w:rPr>
          <w:rFonts w:ascii="Arial" w:hAnsi="Arial" w:cs="Arial"/>
          <w:b/>
          <w:sz w:val="26"/>
          <w:szCs w:val="26"/>
        </w:rPr>
        <w:t>COMIS</w:t>
      </w:r>
      <w:r w:rsidR="00DE3FFC">
        <w:rPr>
          <w:rFonts w:ascii="Arial" w:hAnsi="Arial" w:cs="Arial"/>
          <w:b/>
          <w:sz w:val="26"/>
          <w:szCs w:val="26"/>
        </w:rPr>
        <w:t xml:space="preserve">ARÍA DE VIALIDAD DEL MUNICIPIO DE OAXACA DE </w:t>
      </w:r>
      <w:r w:rsidR="00E076A7">
        <w:rPr>
          <w:rFonts w:ascii="Arial" w:hAnsi="Arial" w:cs="Arial"/>
          <w:b/>
          <w:sz w:val="26"/>
          <w:szCs w:val="26"/>
        </w:rPr>
        <w:t xml:space="preserve">JUÁREZ, OAXACA </w:t>
      </w:r>
      <w:r w:rsidR="00B53176">
        <w:rPr>
          <w:rFonts w:ascii="Arial" w:hAnsi="Arial" w:cs="Arial"/>
          <w:b/>
          <w:sz w:val="26"/>
          <w:szCs w:val="26"/>
        </w:rPr>
        <w:t xml:space="preserve">y </w:t>
      </w:r>
      <w:r w:rsidR="006B3BEA" w:rsidRPr="006B3BEA">
        <w:rPr>
          <w:rFonts w:ascii="Arial" w:hAnsi="Arial" w:cs="Arial"/>
          <w:b/>
          <w:sz w:val="26"/>
          <w:szCs w:val="26"/>
        </w:rPr>
        <w:t>l</w:t>
      </w:r>
      <w:r w:rsidR="00B53176">
        <w:rPr>
          <w:rFonts w:ascii="Arial" w:hAnsi="Arial" w:cs="Arial"/>
          <w:b/>
          <w:sz w:val="26"/>
          <w:szCs w:val="26"/>
        </w:rPr>
        <w:t xml:space="preserve">a </w:t>
      </w:r>
      <w:r w:rsidR="00E076A7">
        <w:rPr>
          <w:rFonts w:ascii="Arial" w:hAnsi="Arial" w:cs="Arial"/>
          <w:b/>
          <w:sz w:val="26"/>
          <w:szCs w:val="26"/>
        </w:rPr>
        <w:t>RE</w:t>
      </w:r>
      <w:r w:rsidR="00146540">
        <w:rPr>
          <w:rFonts w:ascii="Arial" w:hAnsi="Arial" w:cs="Arial"/>
          <w:b/>
          <w:sz w:val="26"/>
          <w:szCs w:val="26"/>
        </w:rPr>
        <w:t>CAUDADORA DE RENTAS DEL MUNICIPIO</w:t>
      </w:r>
      <w:r w:rsidRPr="006B3BEA">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por lo que con fundamento en los artículos 2</w:t>
      </w:r>
      <w:r w:rsidR="00146540">
        <w:rPr>
          <w:rFonts w:ascii="Arial" w:hAnsi="Arial" w:cs="Arial"/>
          <w:sz w:val="26"/>
          <w:szCs w:val="26"/>
        </w:rPr>
        <w:t>3</w:t>
      </w:r>
      <w:r w:rsidRPr="00CB6405">
        <w:rPr>
          <w:rFonts w:ascii="Arial" w:hAnsi="Arial" w:cs="Arial"/>
          <w:sz w:val="26"/>
          <w:szCs w:val="26"/>
        </w:rPr>
        <w:t>7 y 2</w:t>
      </w:r>
      <w:r w:rsidR="00146540">
        <w:rPr>
          <w:rFonts w:ascii="Arial" w:hAnsi="Arial" w:cs="Arial"/>
          <w:sz w:val="26"/>
          <w:szCs w:val="26"/>
        </w:rPr>
        <w:t>3</w:t>
      </w:r>
      <w:r w:rsidRPr="00CB6405">
        <w:rPr>
          <w:rFonts w:ascii="Arial" w:hAnsi="Arial" w:cs="Arial"/>
          <w:sz w:val="26"/>
          <w:szCs w:val="26"/>
        </w:rPr>
        <w:t xml:space="preserve">8 de la Ley de </w:t>
      </w:r>
      <w:r w:rsidR="00146540">
        <w:rPr>
          <w:rFonts w:ascii="Arial" w:hAnsi="Arial" w:cs="Arial"/>
          <w:sz w:val="26"/>
          <w:szCs w:val="26"/>
        </w:rPr>
        <w:t xml:space="preserve">Procedimiento y </w:t>
      </w:r>
      <w:r w:rsidRPr="00CB6405">
        <w:rPr>
          <w:rFonts w:ascii="Arial" w:hAnsi="Arial" w:cs="Arial"/>
          <w:sz w:val="26"/>
          <w:szCs w:val="26"/>
        </w:rPr>
        <w:t>Justicia Administrativa para el Estado de Oaxaca, se admite. En consecuencia, se procede a dictar resolución en los siguientes términos:</w:t>
      </w:r>
    </w:p>
    <w:p w:rsidR="00C06661" w:rsidRPr="00CB6405" w:rsidRDefault="00C06661" w:rsidP="00C06661">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C06661" w:rsidRPr="00CB6405" w:rsidRDefault="00C06661" w:rsidP="00C06661">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 xml:space="preserve">la sentencia </w:t>
      </w:r>
      <w:r w:rsidRPr="00CB6405">
        <w:rPr>
          <w:rFonts w:ascii="Arial" w:hAnsi="Arial" w:cs="Arial"/>
          <w:sz w:val="26"/>
          <w:szCs w:val="26"/>
        </w:rPr>
        <w:t xml:space="preserve">de </w:t>
      </w:r>
      <w:r w:rsidR="00D50F7C">
        <w:rPr>
          <w:rFonts w:ascii="Arial" w:hAnsi="Arial" w:cs="Arial"/>
          <w:sz w:val="26"/>
          <w:szCs w:val="26"/>
        </w:rPr>
        <w:t xml:space="preserve">veintiséis de octubre </w:t>
      </w:r>
      <w:r w:rsidR="002870CA">
        <w:rPr>
          <w:rFonts w:ascii="Arial" w:hAnsi="Arial" w:cs="Arial"/>
          <w:sz w:val="26"/>
          <w:szCs w:val="26"/>
        </w:rPr>
        <w:t xml:space="preserve">de </w:t>
      </w:r>
      <w:r w:rsidR="002870CA" w:rsidRPr="00CB6405">
        <w:rPr>
          <w:rFonts w:ascii="Arial" w:hAnsi="Arial" w:cs="Arial"/>
          <w:sz w:val="26"/>
          <w:szCs w:val="26"/>
        </w:rPr>
        <w:t>dos mil dieci</w:t>
      </w:r>
      <w:r w:rsidR="00E076A7">
        <w:rPr>
          <w:rFonts w:ascii="Arial" w:hAnsi="Arial" w:cs="Arial"/>
          <w:sz w:val="26"/>
          <w:szCs w:val="26"/>
        </w:rPr>
        <w:t>ocho</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sidR="00D50F7C">
        <w:rPr>
          <w:rFonts w:ascii="Arial" w:hAnsi="Arial" w:cs="Arial"/>
          <w:sz w:val="26"/>
          <w:szCs w:val="26"/>
        </w:rPr>
        <w:t xml:space="preserve">Primera </w:t>
      </w:r>
      <w:r w:rsidRPr="00CB6405">
        <w:rPr>
          <w:rFonts w:ascii="Arial" w:hAnsi="Arial" w:cs="Arial"/>
          <w:sz w:val="26"/>
          <w:szCs w:val="26"/>
        </w:rPr>
        <w:t xml:space="preserve">Sala Unitaria de Primera Instancia, </w:t>
      </w:r>
      <w:r w:rsidR="00146540">
        <w:rPr>
          <w:rFonts w:ascii="Arial" w:hAnsi="Arial" w:cs="Arial"/>
          <w:sz w:val="26"/>
          <w:szCs w:val="26"/>
        </w:rPr>
        <w:t xml:space="preserve">la </w:t>
      </w:r>
      <w:r w:rsidR="00146540" w:rsidRPr="00146540">
        <w:rPr>
          <w:rFonts w:ascii="Arial" w:hAnsi="Arial" w:cs="Arial"/>
          <w:b/>
          <w:sz w:val="26"/>
          <w:szCs w:val="26"/>
        </w:rPr>
        <w:t>JEFA DE LA UNIDAD DE</w:t>
      </w:r>
      <w:r w:rsidR="00146540">
        <w:rPr>
          <w:rFonts w:ascii="Arial" w:hAnsi="Arial" w:cs="Arial"/>
          <w:sz w:val="26"/>
          <w:szCs w:val="26"/>
        </w:rPr>
        <w:t xml:space="preserve"> </w:t>
      </w:r>
      <w:r w:rsidR="00146540" w:rsidRPr="00A700C1">
        <w:rPr>
          <w:rFonts w:ascii="Arial" w:hAnsi="Arial" w:cs="Arial"/>
          <w:b/>
          <w:sz w:val="26"/>
          <w:szCs w:val="26"/>
        </w:rPr>
        <w:t>RECAUDA</w:t>
      </w:r>
      <w:r w:rsidR="00146540">
        <w:rPr>
          <w:rFonts w:ascii="Arial" w:hAnsi="Arial" w:cs="Arial"/>
          <w:b/>
          <w:sz w:val="26"/>
          <w:szCs w:val="26"/>
        </w:rPr>
        <w:t xml:space="preserve">CIÓN </w:t>
      </w:r>
      <w:r w:rsidR="00146540" w:rsidRPr="00A700C1">
        <w:rPr>
          <w:rFonts w:ascii="Arial" w:hAnsi="Arial" w:cs="Arial"/>
          <w:b/>
          <w:sz w:val="26"/>
          <w:szCs w:val="26"/>
        </w:rPr>
        <w:t>DE RENTAS DEL MUNICIPIO DE OAXACA</w:t>
      </w:r>
      <w:r w:rsidR="00146540">
        <w:rPr>
          <w:rFonts w:ascii="Arial" w:hAnsi="Arial" w:cs="Arial"/>
          <w:sz w:val="26"/>
          <w:szCs w:val="26"/>
        </w:rPr>
        <w:t xml:space="preserve"> </w:t>
      </w:r>
      <w:r w:rsidR="00146540" w:rsidRPr="003E2B2E">
        <w:rPr>
          <w:rFonts w:ascii="Arial" w:hAnsi="Arial" w:cs="Arial"/>
          <w:b/>
          <w:sz w:val="26"/>
          <w:szCs w:val="26"/>
        </w:rPr>
        <w:t>DE JUÁREZ</w:t>
      </w:r>
      <w:r w:rsidR="00D50F7C">
        <w:rPr>
          <w:rFonts w:ascii="Arial" w:hAnsi="Arial" w:cs="Arial"/>
          <w:b/>
          <w:sz w:val="26"/>
          <w:szCs w:val="26"/>
        </w:rPr>
        <w:t>, OAXACA</w:t>
      </w:r>
      <w:r w:rsidRPr="00CB6405">
        <w:rPr>
          <w:rFonts w:ascii="Arial" w:hAnsi="Arial" w:cs="Arial"/>
          <w:sz w:val="26"/>
          <w:szCs w:val="26"/>
        </w:rPr>
        <w:t>, interpuso en su contra recurso de revisión.</w:t>
      </w:r>
    </w:p>
    <w:p w:rsidR="00C06661" w:rsidRDefault="001144A1" w:rsidP="00C06661">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00C37A09" w:rsidRPr="00C37A09">
        <w:rPr>
          <w:rFonts w:ascii="Arial" w:hAnsi="Arial" w:cs="Arial"/>
          <w:bCs/>
          <w:sz w:val="26"/>
          <w:szCs w:val="26"/>
        </w:rPr>
        <w:t xml:space="preserve">Los puntos resolutivos de la sentencia recurrida son </w:t>
      </w:r>
      <w:r w:rsidR="00C06661">
        <w:rPr>
          <w:rFonts w:ascii="Arial" w:hAnsi="Arial" w:cs="Arial"/>
          <w:bCs/>
          <w:sz w:val="26"/>
          <w:szCs w:val="26"/>
        </w:rPr>
        <w:t>los siguientes:</w:t>
      </w:r>
    </w:p>
    <w:p w:rsidR="00472E19" w:rsidRPr="00C06661" w:rsidRDefault="00C37A09" w:rsidP="00C06661">
      <w:pPr>
        <w:widowControl w:val="0"/>
        <w:tabs>
          <w:tab w:val="left" w:pos="7938"/>
        </w:tabs>
        <w:spacing w:before="240" w:after="0" w:line="360" w:lineRule="auto"/>
        <w:ind w:left="1134" w:right="616"/>
        <w:jc w:val="both"/>
        <w:rPr>
          <w:rFonts w:ascii="Arial" w:eastAsia="Times New Roman" w:hAnsi="Arial" w:cs="Arial"/>
          <w:bCs/>
          <w:i/>
          <w:iCs/>
          <w:sz w:val="24"/>
          <w:szCs w:val="24"/>
          <w:lang w:eastAsia="es-ES"/>
        </w:rPr>
      </w:pPr>
      <w:r w:rsidRPr="00C06661">
        <w:rPr>
          <w:rFonts w:ascii="Arial" w:eastAsia="Times New Roman" w:hAnsi="Arial" w:cs="Arial"/>
          <w:bCs/>
          <w:i/>
          <w:iCs/>
          <w:sz w:val="24"/>
          <w:szCs w:val="24"/>
          <w:lang w:eastAsia="es-ES"/>
        </w:rPr>
        <w:t>“</w:t>
      </w:r>
      <w:r w:rsidRPr="00C06661">
        <w:rPr>
          <w:rFonts w:ascii="Arial" w:eastAsia="Times New Roman" w:hAnsi="Arial" w:cs="Arial"/>
          <w:b/>
          <w:bCs/>
          <w:i/>
          <w:iCs/>
          <w:sz w:val="24"/>
          <w:szCs w:val="24"/>
          <w:lang w:eastAsia="es-ES"/>
        </w:rPr>
        <w:t xml:space="preserve">PRIMERO. </w:t>
      </w:r>
      <w:r w:rsidRPr="00C06661">
        <w:rPr>
          <w:rFonts w:ascii="Arial" w:eastAsia="Times New Roman" w:hAnsi="Arial" w:cs="Arial"/>
          <w:bCs/>
          <w:i/>
          <w:iCs/>
          <w:sz w:val="24"/>
          <w:szCs w:val="24"/>
          <w:lang w:eastAsia="es-ES"/>
        </w:rPr>
        <w:t xml:space="preserve">Esta </w:t>
      </w:r>
      <w:r w:rsidR="00283A16">
        <w:rPr>
          <w:rFonts w:ascii="Arial" w:eastAsia="Times New Roman" w:hAnsi="Arial" w:cs="Arial"/>
          <w:bCs/>
          <w:i/>
          <w:iCs/>
          <w:sz w:val="24"/>
          <w:szCs w:val="24"/>
          <w:lang w:eastAsia="es-ES"/>
        </w:rPr>
        <w:t xml:space="preserve">Primera </w:t>
      </w:r>
      <w:r w:rsidR="00B53176">
        <w:rPr>
          <w:rFonts w:ascii="Arial" w:eastAsia="Times New Roman" w:hAnsi="Arial" w:cs="Arial"/>
          <w:bCs/>
          <w:i/>
          <w:iCs/>
          <w:sz w:val="24"/>
          <w:szCs w:val="24"/>
          <w:lang w:eastAsia="es-ES"/>
        </w:rPr>
        <w:t xml:space="preserve">Sala </w:t>
      </w:r>
      <w:r w:rsidR="006B47CC">
        <w:rPr>
          <w:rFonts w:ascii="Arial" w:eastAsia="Times New Roman" w:hAnsi="Arial" w:cs="Arial"/>
          <w:bCs/>
          <w:i/>
          <w:iCs/>
          <w:sz w:val="24"/>
          <w:szCs w:val="24"/>
          <w:lang w:eastAsia="es-ES"/>
        </w:rPr>
        <w:t xml:space="preserve">Unitaria </w:t>
      </w:r>
      <w:r w:rsidR="00146540">
        <w:rPr>
          <w:rFonts w:ascii="Arial" w:eastAsia="Times New Roman" w:hAnsi="Arial" w:cs="Arial"/>
          <w:bCs/>
          <w:i/>
          <w:iCs/>
          <w:sz w:val="24"/>
          <w:szCs w:val="24"/>
          <w:lang w:eastAsia="es-ES"/>
        </w:rPr>
        <w:t>de</w:t>
      </w:r>
      <w:r w:rsidR="00283A16">
        <w:rPr>
          <w:rFonts w:ascii="Arial" w:eastAsia="Times New Roman" w:hAnsi="Arial" w:cs="Arial"/>
          <w:bCs/>
          <w:i/>
          <w:iCs/>
          <w:sz w:val="24"/>
          <w:szCs w:val="24"/>
          <w:lang w:eastAsia="es-ES"/>
        </w:rPr>
        <w:t>l</w:t>
      </w:r>
      <w:r w:rsidR="00146540">
        <w:rPr>
          <w:rFonts w:ascii="Arial" w:eastAsia="Times New Roman" w:hAnsi="Arial" w:cs="Arial"/>
          <w:bCs/>
          <w:i/>
          <w:iCs/>
          <w:sz w:val="24"/>
          <w:szCs w:val="24"/>
          <w:lang w:eastAsia="es-ES"/>
        </w:rPr>
        <w:t xml:space="preserve"> </w:t>
      </w:r>
      <w:r w:rsidR="00283A16">
        <w:rPr>
          <w:rFonts w:ascii="Arial" w:eastAsia="Times New Roman" w:hAnsi="Arial" w:cs="Arial"/>
          <w:bCs/>
          <w:i/>
          <w:iCs/>
          <w:sz w:val="24"/>
          <w:szCs w:val="24"/>
          <w:lang w:eastAsia="es-ES"/>
        </w:rPr>
        <w:t xml:space="preserve">Tribunal de Justicia Administrativa </w:t>
      </w:r>
      <w:r w:rsidR="00146540">
        <w:rPr>
          <w:rFonts w:ascii="Arial" w:eastAsia="Times New Roman" w:hAnsi="Arial" w:cs="Arial"/>
          <w:bCs/>
          <w:i/>
          <w:iCs/>
          <w:sz w:val="24"/>
          <w:szCs w:val="24"/>
          <w:lang w:eastAsia="es-ES"/>
        </w:rPr>
        <w:t>del Estado</w:t>
      </w:r>
      <w:r w:rsidR="00283A16">
        <w:rPr>
          <w:rFonts w:ascii="Arial" w:eastAsia="Times New Roman" w:hAnsi="Arial" w:cs="Arial"/>
          <w:bCs/>
          <w:i/>
          <w:iCs/>
          <w:sz w:val="24"/>
          <w:szCs w:val="24"/>
          <w:lang w:eastAsia="es-ES"/>
        </w:rPr>
        <w:t xml:space="preserve"> de Oaxaca</w:t>
      </w:r>
      <w:r w:rsidR="00146540">
        <w:rPr>
          <w:rFonts w:ascii="Arial" w:eastAsia="Times New Roman" w:hAnsi="Arial" w:cs="Arial"/>
          <w:bCs/>
          <w:i/>
          <w:iCs/>
          <w:sz w:val="24"/>
          <w:szCs w:val="24"/>
          <w:lang w:eastAsia="es-ES"/>
        </w:rPr>
        <w:t xml:space="preserve">, </w:t>
      </w:r>
      <w:r w:rsidR="006B47CC">
        <w:rPr>
          <w:rFonts w:ascii="Arial" w:eastAsia="Times New Roman" w:hAnsi="Arial" w:cs="Arial"/>
          <w:bCs/>
          <w:i/>
          <w:iCs/>
          <w:sz w:val="24"/>
          <w:szCs w:val="24"/>
          <w:lang w:eastAsia="es-ES"/>
        </w:rPr>
        <w:t>e</w:t>
      </w:r>
      <w:r w:rsidR="00283A16">
        <w:rPr>
          <w:rFonts w:ascii="Arial" w:eastAsia="Times New Roman" w:hAnsi="Arial" w:cs="Arial"/>
          <w:bCs/>
          <w:i/>
          <w:iCs/>
          <w:sz w:val="24"/>
          <w:szCs w:val="24"/>
          <w:lang w:eastAsia="es-ES"/>
        </w:rPr>
        <w:t>s</w:t>
      </w:r>
      <w:r w:rsidR="00B53176">
        <w:rPr>
          <w:rFonts w:ascii="Arial" w:eastAsia="Times New Roman" w:hAnsi="Arial" w:cs="Arial"/>
          <w:bCs/>
          <w:i/>
          <w:iCs/>
          <w:sz w:val="24"/>
          <w:szCs w:val="24"/>
          <w:lang w:eastAsia="es-ES"/>
        </w:rPr>
        <w:t xml:space="preserve"> compe</w:t>
      </w:r>
      <w:r w:rsidR="00FB0E2A">
        <w:rPr>
          <w:rFonts w:ascii="Arial" w:eastAsia="Times New Roman" w:hAnsi="Arial" w:cs="Arial"/>
          <w:bCs/>
          <w:i/>
          <w:iCs/>
          <w:sz w:val="24"/>
          <w:szCs w:val="24"/>
          <w:lang w:eastAsia="es-ES"/>
        </w:rPr>
        <w:t xml:space="preserve">tente para conocer </w:t>
      </w:r>
      <w:r w:rsidR="00BD5CAE" w:rsidRPr="00C06661">
        <w:rPr>
          <w:rFonts w:ascii="Arial" w:eastAsia="Times New Roman" w:hAnsi="Arial" w:cs="Arial"/>
          <w:bCs/>
          <w:i/>
          <w:iCs/>
          <w:sz w:val="24"/>
          <w:szCs w:val="24"/>
          <w:lang w:eastAsia="es-ES"/>
        </w:rPr>
        <w:t xml:space="preserve">y resolver el presente </w:t>
      </w:r>
      <w:r w:rsidR="006B47CC">
        <w:rPr>
          <w:rFonts w:ascii="Arial" w:eastAsia="Times New Roman" w:hAnsi="Arial" w:cs="Arial"/>
          <w:bCs/>
          <w:i/>
          <w:iCs/>
          <w:sz w:val="24"/>
          <w:szCs w:val="24"/>
          <w:lang w:eastAsia="es-ES"/>
        </w:rPr>
        <w:t>asunto</w:t>
      </w:r>
      <w:r w:rsidR="00151D48" w:rsidRPr="00C06661">
        <w:rPr>
          <w:rFonts w:ascii="Arial" w:eastAsia="Times New Roman" w:hAnsi="Arial" w:cs="Arial"/>
          <w:bCs/>
          <w:i/>
          <w:iCs/>
          <w:sz w:val="24"/>
          <w:szCs w:val="24"/>
          <w:lang w:eastAsia="es-ES"/>
        </w:rPr>
        <w:t>.</w:t>
      </w:r>
      <w:r w:rsidR="003C63BE" w:rsidRPr="00C06661">
        <w:rPr>
          <w:rFonts w:ascii="Arial" w:eastAsia="Times New Roman" w:hAnsi="Arial" w:cs="Arial"/>
          <w:bCs/>
          <w:i/>
          <w:iCs/>
          <w:sz w:val="24"/>
          <w:szCs w:val="24"/>
          <w:lang w:eastAsia="es-ES"/>
        </w:rPr>
        <w:t xml:space="preserve">- - </w:t>
      </w:r>
      <w:r w:rsidR="006B3BEA">
        <w:rPr>
          <w:rFonts w:ascii="Arial" w:eastAsia="Times New Roman" w:hAnsi="Arial" w:cs="Arial"/>
          <w:bCs/>
          <w:i/>
          <w:iCs/>
          <w:sz w:val="24"/>
          <w:szCs w:val="24"/>
          <w:lang w:eastAsia="es-ES"/>
        </w:rPr>
        <w:t xml:space="preserve">- </w:t>
      </w:r>
      <w:r w:rsidR="00283A16">
        <w:rPr>
          <w:rFonts w:ascii="Arial" w:eastAsia="Times New Roman" w:hAnsi="Arial" w:cs="Arial"/>
          <w:bCs/>
          <w:i/>
          <w:iCs/>
          <w:sz w:val="24"/>
          <w:szCs w:val="24"/>
          <w:lang w:eastAsia="es-ES"/>
        </w:rPr>
        <w:t xml:space="preserve">- - - - - - - - - - </w:t>
      </w:r>
      <w:r w:rsidR="00151D48" w:rsidRPr="00C06661">
        <w:rPr>
          <w:rFonts w:ascii="Arial" w:eastAsia="Times New Roman" w:hAnsi="Arial" w:cs="Arial"/>
          <w:b/>
          <w:bCs/>
          <w:i/>
          <w:iCs/>
          <w:sz w:val="24"/>
          <w:szCs w:val="24"/>
          <w:lang w:eastAsia="es-ES"/>
        </w:rPr>
        <w:t xml:space="preserve">SEGUNDO. </w:t>
      </w:r>
      <w:r w:rsidR="006B47CC">
        <w:rPr>
          <w:rFonts w:ascii="Arial" w:eastAsia="Times New Roman" w:hAnsi="Arial" w:cs="Arial"/>
          <w:bCs/>
          <w:i/>
          <w:iCs/>
          <w:sz w:val="24"/>
          <w:szCs w:val="24"/>
          <w:lang w:eastAsia="es-ES"/>
        </w:rPr>
        <w:t>La personalidad de la</w:t>
      </w:r>
      <w:r w:rsidR="004C519F">
        <w:rPr>
          <w:rFonts w:ascii="Arial" w:eastAsia="Times New Roman" w:hAnsi="Arial" w:cs="Arial"/>
          <w:bCs/>
          <w:i/>
          <w:iCs/>
          <w:sz w:val="24"/>
          <w:szCs w:val="24"/>
          <w:lang w:eastAsia="es-ES"/>
        </w:rPr>
        <w:t>s</w:t>
      </w:r>
      <w:r w:rsidR="006B47CC">
        <w:rPr>
          <w:rFonts w:ascii="Arial" w:eastAsia="Times New Roman" w:hAnsi="Arial" w:cs="Arial"/>
          <w:bCs/>
          <w:i/>
          <w:iCs/>
          <w:sz w:val="24"/>
          <w:szCs w:val="24"/>
          <w:lang w:eastAsia="es-ES"/>
        </w:rPr>
        <w:t xml:space="preserve"> parte</w:t>
      </w:r>
      <w:r w:rsidR="004C519F">
        <w:rPr>
          <w:rFonts w:ascii="Arial" w:eastAsia="Times New Roman" w:hAnsi="Arial" w:cs="Arial"/>
          <w:bCs/>
          <w:i/>
          <w:iCs/>
          <w:sz w:val="24"/>
          <w:szCs w:val="24"/>
          <w:lang w:eastAsia="es-ES"/>
        </w:rPr>
        <w:t>s</w:t>
      </w:r>
      <w:r w:rsidR="00146540">
        <w:rPr>
          <w:rFonts w:ascii="Arial" w:eastAsia="Times New Roman" w:hAnsi="Arial" w:cs="Arial"/>
          <w:bCs/>
          <w:i/>
          <w:iCs/>
          <w:sz w:val="24"/>
          <w:szCs w:val="24"/>
          <w:lang w:eastAsia="es-ES"/>
        </w:rPr>
        <w:t xml:space="preserve">, </w:t>
      </w:r>
      <w:r w:rsidR="006B47CC">
        <w:rPr>
          <w:rFonts w:ascii="Arial" w:eastAsia="Times New Roman" w:hAnsi="Arial" w:cs="Arial"/>
          <w:bCs/>
          <w:i/>
          <w:iCs/>
          <w:sz w:val="24"/>
          <w:szCs w:val="24"/>
          <w:lang w:eastAsia="es-ES"/>
        </w:rPr>
        <w:t xml:space="preserve">quedó acreditada </w:t>
      </w:r>
      <w:r w:rsidR="006B47CC">
        <w:rPr>
          <w:rFonts w:ascii="Arial" w:eastAsia="Times New Roman" w:hAnsi="Arial" w:cs="Arial"/>
          <w:bCs/>
          <w:i/>
          <w:iCs/>
          <w:sz w:val="24"/>
          <w:szCs w:val="24"/>
          <w:lang w:eastAsia="es-ES"/>
        </w:rPr>
        <w:lastRenderedPageBreak/>
        <w:t>en autos</w:t>
      </w:r>
      <w:r w:rsidR="00CA05EE">
        <w:rPr>
          <w:rFonts w:ascii="Arial" w:eastAsia="Times New Roman" w:hAnsi="Arial" w:cs="Arial"/>
          <w:bCs/>
          <w:i/>
          <w:iCs/>
          <w:sz w:val="24"/>
          <w:szCs w:val="24"/>
          <w:lang w:eastAsia="es-ES"/>
        </w:rPr>
        <w:t xml:space="preserve">.- - - - - - - - - - - - - - - - - - - - - - - - - - - - - - </w:t>
      </w:r>
      <w:r w:rsidR="004C519F">
        <w:rPr>
          <w:rFonts w:ascii="Arial" w:eastAsia="Times New Roman" w:hAnsi="Arial" w:cs="Arial"/>
          <w:bCs/>
          <w:i/>
          <w:iCs/>
          <w:sz w:val="24"/>
          <w:szCs w:val="24"/>
          <w:lang w:eastAsia="es-ES"/>
        </w:rPr>
        <w:t xml:space="preserve">- - - - - - - - </w:t>
      </w:r>
      <w:r w:rsidR="00CA05EE">
        <w:rPr>
          <w:rFonts w:ascii="Arial" w:eastAsia="Times New Roman" w:hAnsi="Arial" w:cs="Arial"/>
          <w:b/>
          <w:bCs/>
          <w:i/>
          <w:iCs/>
          <w:sz w:val="24"/>
          <w:szCs w:val="24"/>
          <w:lang w:eastAsia="es-ES"/>
        </w:rPr>
        <w:t xml:space="preserve">TERCERO. </w:t>
      </w:r>
      <w:r w:rsidR="00283A16" w:rsidRPr="00283A16">
        <w:rPr>
          <w:rFonts w:ascii="Arial" w:eastAsia="Times New Roman" w:hAnsi="Arial" w:cs="Arial"/>
          <w:bCs/>
          <w:i/>
          <w:iCs/>
          <w:sz w:val="24"/>
          <w:szCs w:val="24"/>
          <w:lang w:eastAsia="es-ES"/>
        </w:rPr>
        <w:t>Esta Sala advierte que, en el p</w:t>
      </w:r>
      <w:r w:rsidR="00283A16">
        <w:rPr>
          <w:rFonts w:ascii="Arial" w:eastAsia="Times New Roman" w:hAnsi="Arial" w:cs="Arial"/>
          <w:bCs/>
          <w:i/>
          <w:iCs/>
          <w:sz w:val="24"/>
          <w:szCs w:val="24"/>
          <w:lang w:eastAsia="es-ES"/>
        </w:rPr>
        <w:t>r</w:t>
      </w:r>
      <w:r w:rsidR="00283A16" w:rsidRPr="00283A16">
        <w:rPr>
          <w:rFonts w:ascii="Arial" w:eastAsia="Times New Roman" w:hAnsi="Arial" w:cs="Arial"/>
          <w:bCs/>
          <w:i/>
          <w:iCs/>
          <w:sz w:val="24"/>
          <w:szCs w:val="24"/>
          <w:lang w:eastAsia="es-ES"/>
        </w:rPr>
        <w:t>esente juicio no se configura alguna causal de improcedencia o sobreseimiento</w:t>
      </w:r>
      <w:r w:rsidR="00286D00">
        <w:rPr>
          <w:rFonts w:ascii="Arial" w:eastAsia="Times New Roman" w:hAnsi="Arial" w:cs="Arial"/>
          <w:bCs/>
          <w:i/>
          <w:iCs/>
          <w:sz w:val="24"/>
          <w:szCs w:val="24"/>
          <w:lang w:eastAsia="es-ES"/>
        </w:rPr>
        <w:t xml:space="preserve">, por lo tanto, </w:t>
      </w:r>
      <w:r w:rsidR="00DC76BD" w:rsidRPr="00CA05EE">
        <w:rPr>
          <w:rFonts w:ascii="Arial" w:eastAsia="Times New Roman" w:hAnsi="Arial" w:cs="Arial"/>
          <w:b/>
          <w:bCs/>
          <w:i/>
          <w:iCs/>
          <w:sz w:val="24"/>
          <w:szCs w:val="24"/>
          <w:lang w:eastAsia="es-ES"/>
        </w:rPr>
        <w:t>NO SE SOBRESEE</w:t>
      </w:r>
      <w:r w:rsidR="00472E19" w:rsidRPr="00C06661">
        <w:rPr>
          <w:rFonts w:ascii="Arial" w:eastAsia="Times New Roman" w:hAnsi="Arial" w:cs="Arial"/>
          <w:bCs/>
          <w:i/>
          <w:iCs/>
          <w:sz w:val="24"/>
          <w:szCs w:val="24"/>
          <w:lang w:eastAsia="es-ES"/>
        </w:rPr>
        <w:t xml:space="preserve">.- - - - - - - - - </w:t>
      </w:r>
    </w:p>
    <w:p w:rsidR="006B52CD" w:rsidRPr="00C06661" w:rsidRDefault="00CA05EE" w:rsidP="00286D00">
      <w:pPr>
        <w:widowControl w:val="0"/>
        <w:tabs>
          <w:tab w:val="left" w:pos="7938"/>
        </w:tabs>
        <w:spacing w:after="0" w:line="360" w:lineRule="auto"/>
        <w:ind w:left="1134" w:right="616"/>
        <w:jc w:val="both"/>
        <w:rPr>
          <w:rFonts w:ascii="Arial" w:eastAsia="Times New Roman" w:hAnsi="Arial" w:cs="Arial"/>
          <w:b/>
          <w:bCs/>
          <w:i/>
          <w:iCs/>
          <w:sz w:val="24"/>
          <w:szCs w:val="24"/>
          <w:lang w:eastAsia="es-ES"/>
        </w:rPr>
      </w:pPr>
      <w:r>
        <w:rPr>
          <w:rFonts w:ascii="Arial" w:eastAsia="Times New Roman" w:hAnsi="Arial" w:cs="Arial"/>
          <w:b/>
          <w:bCs/>
          <w:i/>
          <w:iCs/>
          <w:sz w:val="24"/>
          <w:szCs w:val="24"/>
          <w:lang w:eastAsia="es-ES"/>
        </w:rPr>
        <w:t>CUARTO</w:t>
      </w:r>
      <w:r w:rsidR="00472E19" w:rsidRPr="00C06661">
        <w:rPr>
          <w:rFonts w:ascii="Arial" w:eastAsia="Times New Roman" w:hAnsi="Arial" w:cs="Arial"/>
          <w:b/>
          <w:bCs/>
          <w:i/>
          <w:iCs/>
          <w:sz w:val="24"/>
          <w:szCs w:val="24"/>
          <w:lang w:eastAsia="es-ES"/>
        </w:rPr>
        <w:t>.</w:t>
      </w:r>
      <w:r w:rsidR="000169A3" w:rsidRPr="00C06661">
        <w:rPr>
          <w:rFonts w:ascii="Arial" w:eastAsia="Times New Roman" w:hAnsi="Arial" w:cs="Arial"/>
          <w:b/>
          <w:bCs/>
          <w:i/>
          <w:iCs/>
          <w:sz w:val="24"/>
          <w:szCs w:val="24"/>
          <w:lang w:eastAsia="es-ES"/>
        </w:rPr>
        <w:t xml:space="preserve"> </w:t>
      </w:r>
      <w:r w:rsidR="00EA4997">
        <w:rPr>
          <w:rFonts w:ascii="Arial" w:eastAsia="Times New Roman" w:hAnsi="Arial" w:cs="Arial"/>
          <w:bCs/>
          <w:i/>
          <w:iCs/>
          <w:sz w:val="24"/>
          <w:szCs w:val="24"/>
          <w:lang w:eastAsia="es-ES"/>
        </w:rPr>
        <w:t>Se d</w:t>
      </w:r>
      <w:r w:rsidR="003E2B2E">
        <w:rPr>
          <w:rFonts w:ascii="Arial" w:eastAsia="Times New Roman" w:hAnsi="Arial" w:cs="Arial"/>
          <w:bCs/>
          <w:i/>
          <w:iCs/>
          <w:sz w:val="24"/>
          <w:szCs w:val="24"/>
          <w:lang w:eastAsia="es-ES"/>
        </w:rPr>
        <w:t xml:space="preserve">eclara </w:t>
      </w:r>
      <w:r w:rsidRPr="00CA05EE">
        <w:rPr>
          <w:rFonts w:ascii="Arial" w:eastAsia="Times New Roman" w:hAnsi="Arial" w:cs="Arial"/>
          <w:b/>
          <w:bCs/>
          <w:i/>
          <w:iCs/>
          <w:sz w:val="24"/>
          <w:szCs w:val="24"/>
          <w:lang w:eastAsia="es-ES"/>
        </w:rPr>
        <w:t xml:space="preserve">LA </w:t>
      </w:r>
      <w:r w:rsidR="003E2B2E" w:rsidRPr="00CA05EE">
        <w:rPr>
          <w:rFonts w:ascii="Arial" w:eastAsia="Times New Roman" w:hAnsi="Arial" w:cs="Arial"/>
          <w:b/>
          <w:bCs/>
          <w:i/>
          <w:iCs/>
          <w:sz w:val="24"/>
          <w:szCs w:val="24"/>
          <w:lang w:eastAsia="es-ES"/>
        </w:rPr>
        <w:t>NULIDAD LISA Y LLANA</w:t>
      </w:r>
      <w:r w:rsidR="003E2B2E">
        <w:rPr>
          <w:rFonts w:ascii="Arial" w:eastAsia="Times New Roman" w:hAnsi="Arial" w:cs="Arial"/>
          <w:b/>
          <w:bCs/>
          <w:i/>
          <w:iCs/>
          <w:sz w:val="24"/>
          <w:szCs w:val="24"/>
          <w:lang w:eastAsia="es-ES"/>
        </w:rPr>
        <w:t xml:space="preserve"> </w:t>
      </w:r>
      <w:r w:rsidR="003E2B2E" w:rsidRPr="00B53176">
        <w:rPr>
          <w:rFonts w:ascii="Arial" w:eastAsia="Times New Roman" w:hAnsi="Arial" w:cs="Arial"/>
          <w:bCs/>
          <w:i/>
          <w:iCs/>
          <w:sz w:val="24"/>
          <w:szCs w:val="24"/>
          <w:lang w:eastAsia="es-ES"/>
        </w:rPr>
        <w:t xml:space="preserve">del acta </w:t>
      </w:r>
      <w:r w:rsidR="00286D00">
        <w:rPr>
          <w:rFonts w:ascii="Arial" w:eastAsia="Times New Roman" w:hAnsi="Arial" w:cs="Arial"/>
          <w:bCs/>
          <w:i/>
          <w:iCs/>
          <w:sz w:val="24"/>
          <w:szCs w:val="24"/>
          <w:lang w:eastAsia="es-ES"/>
        </w:rPr>
        <w:t xml:space="preserve">de infracción </w:t>
      </w:r>
      <w:r w:rsidR="003E2B2E" w:rsidRPr="00B53176">
        <w:rPr>
          <w:rFonts w:ascii="Arial" w:eastAsia="Times New Roman" w:hAnsi="Arial" w:cs="Arial"/>
          <w:bCs/>
          <w:i/>
          <w:iCs/>
          <w:sz w:val="24"/>
          <w:szCs w:val="24"/>
          <w:lang w:eastAsia="es-ES"/>
        </w:rPr>
        <w:t xml:space="preserve">de </w:t>
      </w:r>
      <w:r w:rsidR="00286D00">
        <w:rPr>
          <w:rFonts w:ascii="Arial" w:eastAsia="Times New Roman" w:hAnsi="Arial" w:cs="Arial"/>
          <w:bCs/>
          <w:i/>
          <w:iCs/>
          <w:sz w:val="24"/>
          <w:szCs w:val="24"/>
          <w:lang w:eastAsia="es-ES"/>
        </w:rPr>
        <w:t xml:space="preserve">número de </w:t>
      </w:r>
      <w:r w:rsidR="00886977">
        <w:rPr>
          <w:rFonts w:ascii="Arial" w:eastAsia="Times New Roman" w:hAnsi="Arial" w:cs="Arial"/>
          <w:bCs/>
          <w:i/>
          <w:iCs/>
          <w:sz w:val="24"/>
          <w:szCs w:val="24"/>
          <w:lang w:eastAsia="es-ES"/>
        </w:rPr>
        <w:t xml:space="preserve">folio </w:t>
      </w:r>
      <w:r w:rsidR="0021340C">
        <w:rPr>
          <w:rFonts w:ascii="Arial" w:eastAsia="Times New Roman" w:hAnsi="Arial" w:cs="Arial"/>
          <w:b/>
          <w:bCs/>
          <w:i/>
          <w:iCs/>
          <w:sz w:val="24"/>
          <w:szCs w:val="24"/>
          <w:lang w:eastAsia="es-ES"/>
        </w:rPr>
        <w:t>4739</w:t>
      </w:r>
      <w:r w:rsidR="00286D00">
        <w:rPr>
          <w:rFonts w:ascii="Arial" w:eastAsia="Times New Roman" w:hAnsi="Arial" w:cs="Arial"/>
          <w:b/>
          <w:bCs/>
          <w:i/>
          <w:iCs/>
          <w:sz w:val="24"/>
          <w:szCs w:val="24"/>
          <w:lang w:eastAsia="es-ES"/>
        </w:rPr>
        <w:t xml:space="preserve">3 de fecha catorce de junio de dos mil dieciocho, </w:t>
      </w:r>
      <w:r w:rsidR="00286D00">
        <w:rPr>
          <w:rFonts w:ascii="Arial" w:eastAsia="Times New Roman" w:hAnsi="Arial" w:cs="Arial"/>
          <w:bCs/>
          <w:i/>
          <w:iCs/>
          <w:sz w:val="24"/>
          <w:szCs w:val="24"/>
          <w:lang w:eastAsia="es-ES"/>
        </w:rPr>
        <w:t xml:space="preserve">emitida por JOSÉ RUBÉN HERNÁNDEZ MÁRQUEZ </w:t>
      </w:r>
      <w:r w:rsidR="00286D00">
        <w:rPr>
          <w:rFonts w:ascii="Arial" w:eastAsia="Times New Roman" w:hAnsi="Arial" w:cs="Arial"/>
          <w:b/>
          <w:bCs/>
          <w:i/>
          <w:iCs/>
          <w:sz w:val="24"/>
          <w:szCs w:val="24"/>
          <w:lang w:eastAsia="es-ES"/>
        </w:rPr>
        <w:t xml:space="preserve">POLICÍA VIAL CON NÚMERO ESTADÍSTICO PV-131, ADSCRITO A LA COMISARÍA DE VIALIDAD MUNICIPAL Y DE OAXACA DE JUÁREZ, </w:t>
      </w:r>
      <w:r w:rsidR="00286D00">
        <w:rPr>
          <w:rFonts w:ascii="Arial" w:eastAsia="Times New Roman" w:hAnsi="Arial" w:cs="Arial"/>
          <w:bCs/>
          <w:i/>
          <w:iCs/>
          <w:sz w:val="24"/>
          <w:szCs w:val="24"/>
          <w:lang w:eastAsia="es-ES"/>
        </w:rPr>
        <w:t xml:space="preserve">relacionada con la motocicleta marca YAMAHA, tipo CRIPTON, color ROJO/NEGRO/PLATA, con placas de circulación número </w:t>
      </w:r>
      <w:r w:rsidR="00663368">
        <w:rPr>
          <w:rFonts w:ascii="Arial" w:eastAsia="Times New Roman" w:hAnsi="Arial" w:cs="Arial"/>
          <w:bCs/>
          <w:i/>
          <w:iCs/>
          <w:sz w:val="24"/>
          <w:szCs w:val="24"/>
          <w:lang w:eastAsia="es-ES"/>
        </w:rPr>
        <w:t>**********</w:t>
      </w:r>
      <w:r w:rsidR="00286D00">
        <w:rPr>
          <w:rFonts w:ascii="Arial" w:eastAsia="Times New Roman" w:hAnsi="Arial" w:cs="Arial"/>
          <w:bCs/>
          <w:i/>
          <w:iCs/>
          <w:sz w:val="24"/>
          <w:szCs w:val="24"/>
          <w:lang w:eastAsia="es-ES"/>
        </w:rPr>
        <w:t>del Estado de Oaxaca, en consecuencia, se ordena a esa autoridad para que a través de ella misma o a través de sus superiores jerárquicos o de quien sea competente para tal efecto realice la baja del sistema SAP o documental el acta de infracción descrita en líneas anteriores, así también se ordena a la RECAUDADORA DE RENTAS MUNICIPAL DE OAXACA DE JUÁREZ, realice la devolución de la cantidad que ampara el recibo oficial con número de folio FGO04300000443012 datado el diecinueve de junio de dos mil dieciocho, por la cantidad de $727.00 (setecientos veintisiete pesos 00/100 monea nacional), el cual fue pagado a la Recaudación de Rentas dependiente de la Coordinación de Finanzas y Administración del Municipio de Oaxaca de Juárez, Oaxaca, por las razones ya expuestas en el considerando CUARTO de esta sentencia</w:t>
      </w:r>
      <w:r>
        <w:rPr>
          <w:rFonts w:ascii="Arial" w:eastAsia="Times New Roman" w:hAnsi="Arial" w:cs="Arial"/>
          <w:bCs/>
          <w:i/>
          <w:iCs/>
          <w:sz w:val="24"/>
          <w:szCs w:val="24"/>
          <w:lang w:eastAsia="es-ES"/>
        </w:rPr>
        <w:t xml:space="preserve">.- - - - - - - - - - - </w:t>
      </w:r>
      <w:r w:rsidR="00EA4997">
        <w:rPr>
          <w:rFonts w:ascii="Arial" w:eastAsia="Times New Roman" w:hAnsi="Arial" w:cs="Arial"/>
          <w:bCs/>
          <w:i/>
          <w:iCs/>
          <w:sz w:val="24"/>
          <w:szCs w:val="24"/>
          <w:lang w:eastAsia="es-ES"/>
        </w:rPr>
        <w:t xml:space="preserve">- - - - </w:t>
      </w:r>
      <w:r w:rsidR="006E0451">
        <w:rPr>
          <w:rFonts w:ascii="Arial" w:eastAsia="Times New Roman" w:hAnsi="Arial" w:cs="Arial"/>
          <w:bCs/>
          <w:i/>
          <w:iCs/>
          <w:sz w:val="24"/>
          <w:szCs w:val="24"/>
          <w:lang w:eastAsia="es-ES"/>
        </w:rPr>
        <w:t>- - - - - - - - - - - - - - - - - - -</w:t>
      </w:r>
      <w:r w:rsidR="006E0451">
        <w:rPr>
          <w:rFonts w:ascii="Arial" w:eastAsia="Times New Roman" w:hAnsi="Arial" w:cs="Arial"/>
          <w:b/>
          <w:bCs/>
          <w:i/>
          <w:iCs/>
          <w:sz w:val="24"/>
          <w:szCs w:val="24"/>
          <w:lang w:eastAsia="es-ES"/>
        </w:rPr>
        <w:t>QUINTO</w:t>
      </w:r>
      <w:r w:rsidR="00EA4997">
        <w:rPr>
          <w:rFonts w:ascii="Arial" w:eastAsia="Times New Roman" w:hAnsi="Arial" w:cs="Arial"/>
          <w:b/>
          <w:bCs/>
          <w:i/>
          <w:iCs/>
          <w:sz w:val="24"/>
          <w:szCs w:val="24"/>
          <w:lang w:eastAsia="es-ES"/>
        </w:rPr>
        <w:t xml:space="preserve">. </w:t>
      </w:r>
      <w:r w:rsidR="006E0451">
        <w:rPr>
          <w:rFonts w:ascii="Arial" w:eastAsia="Times New Roman" w:hAnsi="Arial" w:cs="Arial"/>
          <w:bCs/>
          <w:i/>
          <w:iCs/>
          <w:sz w:val="24"/>
          <w:szCs w:val="24"/>
          <w:lang w:eastAsia="es-ES"/>
        </w:rPr>
        <w:t>C</w:t>
      </w:r>
      <w:r w:rsidR="00886977">
        <w:rPr>
          <w:rFonts w:ascii="Arial" w:eastAsia="Times New Roman" w:hAnsi="Arial" w:cs="Arial"/>
          <w:bCs/>
          <w:i/>
          <w:iCs/>
          <w:sz w:val="24"/>
          <w:szCs w:val="24"/>
          <w:lang w:eastAsia="es-ES"/>
        </w:rPr>
        <w:t>on</w:t>
      </w:r>
      <w:r w:rsidR="006E0451">
        <w:rPr>
          <w:rFonts w:ascii="Arial" w:eastAsia="Times New Roman" w:hAnsi="Arial" w:cs="Arial"/>
          <w:bCs/>
          <w:i/>
          <w:iCs/>
          <w:sz w:val="24"/>
          <w:szCs w:val="24"/>
          <w:lang w:eastAsia="es-ES"/>
        </w:rPr>
        <w:t xml:space="preserve">forme a lo dispuesto en los </w:t>
      </w:r>
      <w:r w:rsidR="00886977">
        <w:rPr>
          <w:rFonts w:ascii="Arial" w:eastAsia="Times New Roman" w:hAnsi="Arial" w:cs="Arial"/>
          <w:bCs/>
          <w:i/>
          <w:iCs/>
          <w:sz w:val="24"/>
          <w:szCs w:val="24"/>
          <w:lang w:eastAsia="es-ES"/>
        </w:rPr>
        <w:t>artículos 1</w:t>
      </w:r>
      <w:r w:rsidR="006E0451">
        <w:rPr>
          <w:rFonts w:ascii="Arial" w:eastAsia="Times New Roman" w:hAnsi="Arial" w:cs="Arial"/>
          <w:bCs/>
          <w:i/>
          <w:iCs/>
          <w:sz w:val="24"/>
          <w:szCs w:val="24"/>
          <w:lang w:eastAsia="es-ES"/>
        </w:rPr>
        <w:t>7</w:t>
      </w:r>
      <w:r w:rsidR="00886977">
        <w:rPr>
          <w:rFonts w:ascii="Arial" w:eastAsia="Times New Roman" w:hAnsi="Arial" w:cs="Arial"/>
          <w:bCs/>
          <w:i/>
          <w:iCs/>
          <w:sz w:val="24"/>
          <w:szCs w:val="24"/>
          <w:lang w:eastAsia="es-ES"/>
        </w:rPr>
        <w:t>2 y 1</w:t>
      </w:r>
      <w:r w:rsidR="006E0451">
        <w:rPr>
          <w:rFonts w:ascii="Arial" w:eastAsia="Times New Roman" w:hAnsi="Arial" w:cs="Arial"/>
          <w:bCs/>
          <w:i/>
          <w:iCs/>
          <w:sz w:val="24"/>
          <w:szCs w:val="24"/>
          <w:lang w:eastAsia="es-ES"/>
        </w:rPr>
        <w:t>7</w:t>
      </w:r>
      <w:r w:rsidR="00886977">
        <w:rPr>
          <w:rFonts w:ascii="Arial" w:eastAsia="Times New Roman" w:hAnsi="Arial" w:cs="Arial"/>
          <w:bCs/>
          <w:i/>
          <w:iCs/>
          <w:sz w:val="24"/>
          <w:szCs w:val="24"/>
          <w:lang w:eastAsia="es-ES"/>
        </w:rPr>
        <w:t xml:space="preserve">3 de la Ley de </w:t>
      </w:r>
      <w:r w:rsidR="006E0451">
        <w:rPr>
          <w:rFonts w:ascii="Arial" w:eastAsia="Times New Roman" w:hAnsi="Arial" w:cs="Arial"/>
          <w:bCs/>
          <w:i/>
          <w:iCs/>
          <w:sz w:val="24"/>
          <w:szCs w:val="24"/>
          <w:lang w:eastAsia="es-ES"/>
        </w:rPr>
        <w:t xml:space="preserve">Procedimiento y </w:t>
      </w:r>
      <w:r w:rsidR="00886977">
        <w:rPr>
          <w:rFonts w:ascii="Arial" w:eastAsia="Times New Roman" w:hAnsi="Arial" w:cs="Arial"/>
          <w:bCs/>
          <w:i/>
          <w:iCs/>
          <w:sz w:val="24"/>
          <w:szCs w:val="24"/>
          <w:lang w:eastAsia="es-ES"/>
        </w:rPr>
        <w:t>Justicia Administrativa para el Estado</w:t>
      </w:r>
      <w:r w:rsidR="006E0451">
        <w:rPr>
          <w:rFonts w:ascii="Arial" w:eastAsia="Times New Roman" w:hAnsi="Arial" w:cs="Arial"/>
          <w:bCs/>
          <w:i/>
          <w:iCs/>
          <w:sz w:val="24"/>
          <w:szCs w:val="24"/>
          <w:lang w:eastAsia="es-ES"/>
        </w:rPr>
        <w:t xml:space="preserve">, </w:t>
      </w:r>
      <w:r w:rsidR="006E0451" w:rsidRPr="00C06661">
        <w:rPr>
          <w:rFonts w:ascii="Arial" w:eastAsia="Times New Roman" w:hAnsi="Arial" w:cs="Arial"/>
          <w:b/>
          <w:bCs/>
          <w:i/>
          <w:iCs/>
          <w:sz w:val="24"/>
          <w:szCs w:val="24"/>
          <w:lang w:eastAsia="es-ES"/>
        </w:rPr>
        <w:t xml:space="preserve">NOTIFÍQUESE </w:t>
      </w:r>
      <w:r w:rsidR="002103CD" w:rsidRPr="002103CD">
        <w:rPr>
          <w:rFonts w:ascii="Arial" w:eastAsia="Times New Roman" w:hAnsi="Arial" w:cs="Arial"/>
          <w:bCs/>
          <w:i/>
          <w:iCs/>
          <w:sz w:val="24"/>
          <w:szCs w:val="24"/>
          <w:lang w:eastAsia="es-ES"/>
        </w:rPr>
        <w:t>personalmente a la parte actora</w:t>
      </w:r>
      <w:r w:rsidR="002103CD">
        <w:rPr>
          <w:rFonts w:ascii="Arial" w:eastAsia="Times New Roman" w:hAnsi="Arial" w:cs="Arial"/>
          <w:bCs/>
          <w:i/>
          <w:iCs/>
          <w:sz w:val="24"/>
          <w:szCs w:val="24"/>
          <w:lang w:eastAsia="es-ES"/>
        </w:rPr>
        <w:t>,</w:t>
      </w:r>
      <w:r w:rsidR="002103CD" w:rsidRPr="002103CD">
        <w:rPr>
          <w:rFonts w:ascii="Arial" w:eastAsia="Times New Roman" w:hAnsi="Arial" w:cs="Arial"/>
          <w:bCs/>
          <w:i/>
          <w:iCs/>
          <w:sz w:val="24"/>
          <w:szCs w:val="24"/>
          <w:lang w:eastAsia="es-ES"/>
        </w:rPr>
        <w:t xml:space="preserve"> por oficio a la</w:t>
      </w:r>
      <w:r w:rsidR="002103CD">
        <w:rPr>
          <w:rFonts w:ascii="Arial" w:eastAsia="Times New Roman" w:hAnsi="Arial" w:cs="Arial"/>
          <w:bCs/>
          <w:i/>
          <w:iCs/>
          <w:sz w:val="24"/>
          <w:szCs w:val="24"/>
          <w:lang w:eastAsia="es-ES"/>
        </w:rPr>
        <w:t>s</w:t>
      </w:r>
      <w:r w:rsidR="002103CD" w:rsidRPr="002103CD">
        <w:rPr>
          <w:rFonts w:ascii="Arial" w:eastAsia="Times New Roman" w:hAnsi="Arial" w:cs="Arial"/>
          <w:bCs/>
          <w:i/>
          <w:iCs/>
          <w:sz w:val="24"/>
          <w:szCs w:val="24"/>
          <w:lang w:eastAsia="es-ES"/>
        </w:rPr>
        <w:t xml:space="preserve"> autoridad</w:t>
      </w:r>
      <w:r w:rsidR="002103CD">
        <w:rPr>
          <w:rFonts w:ascii="Arial" w:eastAsia="Times New Roman" w:hAnsi="Arial" w:cs="Arial"/>
          <w:bCs/>
          <w:i/>
          <w:iCs/>
          <w:sz w:val="24"/>
          <w:szCs w:val="24"/>
          <w:lang w:eastAsia="es-ES"/>
        </w:rPr>
        <w:t>es</w:t>
      </w:r>
      <w:r w:rsidR="002103CD" w:rsidRPr="002103CD">
        <w:rPr>
          <w:rFonts w:ascii="Arial" w:eastAsia="Times New Roman" w:hAnsi="Arial" w:cs="Arial"/>
          <w:bCs/>
          <w:i/>
          <w:iCs/>
          <w:sz w:val="24"/>
          <w:szCs w:val="24"/>
          <w:lang w:eastAsia="es-ES"/>
        </w:rPr>
        <w:t xml:space="preserve"> demandada</w:t>
      </w:r>
      <w:r w:rsidR="002103CD">
        <w:rPr>
          <w:rFonts w:ascii="Arial" w:eastAsia="Times New Roman" w:hAnsi="Arial" w:cs="Arial"/>
          <w:bCs/>
          <w:i/>
          <w:iCs/>
          <w:sz w:val="24"/>
          <w:szCs w:val="24"/>
          <w:lang w:eastAsia="es-ES"/>
        </w:rPr>
        <w:t>s</w:t>
      </w:r>
      <w:r w:rsidR="006E0451">
        <w:rPr>
          <w:rFonts w:ascii="Arial" w:eastAsia="Times New Roman" w:hAnsi="Arial" w:cs="Arial"/>
          <w:b/>
          <w:bCs/>
          <w:i/>
          <w:iCs/>
          <w:sz w:val="24"/>
          <w:szCs w:val="24"/>
          <w:lang w:eastAsia="es-ES"/>
        </w:rPr>
        <w:t>. CÚMPLASE</w:t>
      </w:r>
      <w:r w:rsidR="00D2489A">
        <w:rPr>
          <w:rFonts w:ascii="Arial" w:eastAsia="Times New Roman" w:hAnsi="Arial" w:cs="Arial"/>
          <w:bCs/>
          <w:i/>
          <w:iCs/>
          <w:sz w:val="24"/>
          <w:szCs w:val="24"/>
          <w:lang w:eastAsia="es-ES"/>
        </w:rPr>
        <w:t>.</w:t>
      </w:r>
      <w:r w:rsidR="005C5F71">
        <w:rPr>
          <w:rFonts w:ascii="Arial" w:eastAsia="Times New Roman" w:hAnsi="Arial" w:cs="Arial"/>
          <w:bCs/>
          <w:i/>
          <w:iCs/>
          <w:sz w:val="24"/>
          <w:szCs w:val="24"/>
          <w:lang w:eastAsia="es-ES"/>
        </w:rPr>
        <w:t xml:space="preserve">- - - - </w:t>
      </w:r>
      <w:r w:rsidR="002103CD">
        <w:rPr>
          <w:rFonts w:ascii="Arial" w:eastAsia="Times New Roman" w:hAnsi="Arial" w:cs="Arial"/>
          <w:bCs/>
          <w:i/>
          <w:iCs/>
          <w:sz w:val="24"/>
          <w:szCs w:val="24"/>
          <w:lang w:eastAsia="es-ES"/>
        </w:rPr>
        <w:t xml:space="preserve">- - - </w:t>
      </w:r>
      <w:r w:rsidR="00742758" w:rsidRPr="00C06661">
        <w:rPr>
          <w:rFonts w:ascii="Arial" w:eastAsia="Times New Roman" w:hAnsi="Arial" w:cs="Arial"/>
          <w:bCs/>
          <w:i/>
          <w:iCs/>
          <w:sz w:val="24"/>
          <w:szCs w:val="24"/>
          <w:lang w:eastAsia="es-ES"/>
        </w:rPr>
        <w:t>”</w:t>
      </w:r>
    </w:p>
    <w:p w:rsidR="00C06661" w:rsidRPr="00CB6405" w:rsidRDefault="00C06661" w:rsidP="007B0E0D">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AE77F1" w:rsidRPr="00CB6405" w:rsidRDefault="0047534A" w:rsidP="00AE77F1">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 xml:space="preserve">Esta Sala Superior es competente para conocer del presente asunto, de conformidad con lo dispuesto por los artículos 114 Quáter de la Constitución Política del Estado Libre y Soberano de </w:t>
      </w:r>
      <w:r>
        <w:rPr>
          <w:rFonts w:ascii="Arial" w:hAnsi="Arial" w:cs="Arial"/>
          <w:bCs/>
          <w:iCs/>
          <w:sz w:val="26"/>
          <w:szCs w:val="26"/>
        </w:rPr>
        <w:lastRenderedPageBreak/>
        <w:t>Oaxaca;</w:t>
      </w:r>
      <w:r>
        <w:rPr>
          <w:rFonts w:ascii="Arial" w:hAnsi="Arial" w:cs="Arial"/>
          <w:bCs/>
          <w:iCs/>
          <w:sz w:val="26"/>
          <w:szCs w:val="26"/>
          <w:lang w:eastAsia="es-ES"/>
        </w:rPr>
        <w:t xml:space="preserve"> 125</w:t>
      </w:r>
      <w:r>
        <w:rPr>
          <w:rFonts w:ascii="Arial" w:hAnsi="Arial" w:cs="Arial"/>
          <w:bCs/>
          <w:iCs/>
          <w:sz w:val="26"/>
          <w:szCs w:val="26"/>
        </w:rPr>
        <w:t xml:space="preserve">, 127, 129, 130, fracción I, 131, 231, 236 y 238 de la Ley de Procedimiento y Justicia Administrativa para el Estado de Oaxaca, </w:t>
      </w:r>
      <w:r w:rsidRPr="00CB6405">
        <w:rPr>
          <w:rFonts w:ascii="Arial" w:hAnsi="Arial" w:cs="Arial"/>
          <w:bCs/>
          <w:iCs/>
          <w:sz w:val="26"/>
          <w:szCs w:val="26"/>
        </w:rPr>
        <w:t xml:space="preserve">dado que se trata de un Recurso de Revisión interpuesto en contra </w:t>
      </w:r>
      <w:r w:rsidR="00AE77F1" w:rsidRPr="00CB6405">
        <w:rPr>
          <w:rFonts w:ascii="Arial" w:hAnsi="Arial" w:cs="Arial"/>
          <w:bCs/>
          <w:iCs/>
          <w:sz w:val="26"/>
          <w:szCs w:val="26"/>
        </w:rPr>
        <w:t>de</w:t>
      </w:r>
      <w:r w:rsidR="00AE77F1">
        <w:rPr>
          <w:rFonts w:ascii="Arial" w:hAnsi="Arial" w:cs="Arial"/>
          <w:bCs/>
          <w:iCs/>
          <w:sz w:val="26"/>
          <w:szCs w:val="26"/>
        </w:rPr>
        <w:t xml:space="preserve"> la sentencia de </w:t>
      </w:r>
      <w:r w:rsidR="002103CD">
        <w:rPr>
          <w:rFonts w:ascii="Arial" w:hAnsi="Arial" w:cs="Arial"/>
          <w:bCs/>
          <w:iCs/>
          <w:sz w:val="26"/>
          <w:szCs w:val="26"/>
        </w:rPr>
        <w:t xml:space="preserve">veintiséis de </w:t>
      </w:r>
      <w:r>
        <w:rPr>
          <w:rFonts w:ascii="Arial" w:hAnsi="Arial" w:cs="Arial"/>
          <w:bCs/>
          <w:iCs/>
          <w:sz w:val="26"/>
          <w:szCs w:val="26"/>
        </w:rPr>
        <w:t xml:space="preserve">octubre </w:t>
      </w:r>
      <w:r w:rsidR="00AE77F1">
        <w:rPr>
          <w:rFonts w:ascii="Arial" w:hAnsi="Arial" w:cs="Arial"/>
          <w:bCs/>
          <w:iCs/>
          <w:sz w:val="26"/>
          <w:szCs w:val="26"/>
        </w:rPr>
        <w:t xml:space="preserve">de dos mil dieciocho, dictada </w:t>
      </w:r>
      <w:r w:rsidR="00AE77F1" w:rsidRPr="00CB6405">
        <w:rPr>
          <w:rFonts w:ascii="Arial" w:hAnsi="Arial" w:cs="Arial"/>
          <w:bCs/>
          <w:iCs/>
          <w:sz w:val="26"/>
          <w:szCs w:val="26"/>
        </w:rPr>
        <w:t xml:space="preserve">por la </w:t>
      </w:r>
      <w:r w:rsidR="002103CD">
        <w:rPr>
          <w:rFonts w:ascii="Arial" w:hAnsi="Arial" w:cs="Arial"/>
          <w:bCs/>
          <w:iCs/>
          <w:sz w:val="26"/>
          <w:szCs w:val="26"/>
        </w:rPr>
        <w:t xml:space="preserve">Primera </w:t>
      </w:r>
      <w:r w:rsidR="00AE77F1" w:rsidRPr="00CB6405">
        <w:rPr>
          <w:rFonts w:ascii="Arial" w:hAnsi="Arial" w:cs="Arial"/>
          <w:bCs/>
          <w:iCs/>
          <w:sz w:val="26"/>
          <w:szCs w:val="26"/>
        </w:rPr>
        <w:t xml:space="preserve">Sala Unitaria de Primera Instancia de este Tribunal, en el expediente </w:t>
      </w:r>
      <w:r>
        <w:rPr>
          <w:rFonts w:ascii="Arial" w:hAnsi="Arial" w:cs="Arial"/>
          <w:b/>
          <w:bCs/>
          <w:iCs/>
          <w:sz w:val="26"/>
          <w:szCs w:val="26"/>
        </w:rPr>
        <w:t>06</w:t>
      </w:r>
      <w:r w:rsidR="002103CD">
        <w:rPr>
          <w:rFonts w:ascii="Arial" w:hAnsi="Arial" w:cs="Arial"/>
          <w:b/>
          <w:bCs/>
          <w:iCs/>
          <w:sz w:val="26"/>
          <w:szCs w:val="26"/>
        </w:rPr>
        <w:t>4</w:t>
      </w:r>
      <w:r w:rsidR="00AE77F1">
        <w:rPr>
          <w:rFonts w:ascii="Arial" w:hAnsi="Arial" w:cs="Arial"/>
          <w:b/>
          <w:bCs/>
          <w:iCs/>
          <w:sz w:val="26"/>
          <w:szCs w:val="26"/>
        </w:rPr>
        <w:t>/201</w:t>
      </w:r>
      <w:r>
        <w:rPr>
          <w:rFonts w:ascii="Arial" w:hAnsi="Arial" w:cs="Arial"/>
          <w:b/>
          <w:bCs/>
          <w:iCs/>
          <w:sz w:val="26"/>
          <w:szCs w:val="26"/>
        </w:rPr>
        <w:t>8</w:t>
      </w:r>
      <w:r w:rsidR="00AE77F1" w:rsidRPr="00CB6405">
        <w:rPr>
          <w:rFonts w:ascii="Arial" w:hAnsi="Arial" w:cs="Arial"/>
          <w:sz w:val="26"/>
          <w:szCs w:val="26"/>
        </w:rPr>
        <w:t>.</w:t>
      </w:r>
    </w:p>
    <w:p w:rsidR="00D75DC7" w:rsidRDefault="00C06661" w:rsidP="002103CD">
      <w:pPr>
        <w:pStyle w:val="NormalWeb"/>
        <w:spacing w:line="360" w:lineRule="auto"/>
        <w:ind w:firstLine="708"/>
        <w:jc w:val="both"/>
        <w:rPr>
          <w:rFonts w:ascii="Arial" w:eastAsia="Calibri" w:hAnsi="Arial" w:cs="Arial"/>
          <w:bCs/>
          <w:sz w:val="26"/>
          <w:szCs w:val="26"/>
        </w:rPr>
      </w:pPr>
      <w:r w:rsidRPr="00CB6405">
        <w:rPr>
          <w:rFonts w:ascii="Arial" w:hAnsi="Arial" w:cs="Arial"/>
          <w:b/>
          <w:sz w:val="26"/>
          <w:szCs w:val="26"/>
        </w:rPr>
        <w:t>SEGUNDO</w:t>
      </w:r>
      <w:r w:rsidRPr="00CB6405">
        <w:rPr>
          <w:rFonts w:ascii="Arial" w:hAnsi="Arial" w:cs="Arial"/>
          <w:sz w:val="26"/>
          <w:szCs w:val="26"/>
        </w:rPr>
        <w:t>.</w:t>
      </w:r>
      <w:r w:rsidR="009768B5" w:rsidRPr="00372D3D">
        <w:rPr>
          <w:rFonts w:ascii="Arial" w:eastAsia="Calibri" w:hAnsi="Arial" w:cs="Arial"/>
          <w:b/>
          <w:bCs/>
          <w:sz w:val="26"/>
          <w:szCs w:val="26"/>
        </w:rPr>
        <w:t xml:space="preserve"> </w:t>
      </w:r>
      <w:r w:rsidR="00D75DC7" w:rsidRPr="00D75DC7">
        <w:rPr>
          <w:rFonts w:ascii="Arial" w:eastAsia="Calibri" w:hAnsi="Arial" w:cs="Arial"/>
          <w:bCs/>
          <w:sz w:val="26"/>
          <w:szCs w:val="26"/>
        </w:rPr>
        <w:t>E</w:t>
      </w:r>
      <w:r w:rsidR="005C5F71">
        <w:rPr>
          <w:rFonts w:ascii="Arial" w:eastAsia="Calibri" w:hAnsi="Arial" w:cs="Arial"/>
          <w:bCs/>
          <w:sz w:val="26"/>
          <w:szCs w:val="26"/>
        </w:rPr>
        <w:t>l artículo 2</w:t>
      </w:r>
      <w:r w:rsidR="0047534A">
        <w:rPr>
          <w:rFonts w:ascii="Arial" w:eastAsia="Calibri" w:hAnsi="Arial" w:cs="Arial"/>
          <w:bCs/>
          <w:sz w:val="26"/>
          <w:szCs w:val="26"/>
        </w:rPr>
        <w:t>3</w:t>
      </w:r>
      <w:r w:rsidR="005C5F71">
        <w:rPr>
          <w:rFonts w:ascii="Arial" w:eastAsia="Calibri" w:hAnsi="Arial" w:cs="Arial"/>
          <w:bCs/>
          <w:sz w:val="26"/>
          <w:szCs w:val="26"/>
        </w:rPr>
        <w:t>6</w:t>
      </w:r>
      <w:r w:rsidR="005C5F71">
        <w:rPr>
          <w:rStyle w:val="Refdenotaalpie"/>
          <w:rFonts w:ascii="Arial" w:eastAsia="Calibri" w:hAnsi="Arial" w:cs="Arial"/>
          <w:sz w:val="26"/>
          <w:szCs w:val="26"/>
        </w:rPr>
        <w:footnoteReference w:id="1"/>
      </w:r>
      <w:r w:rsidR="005C5F71" w:rsidRPr="00DC6CDC">
        <w:rPr>
          <w:rFonts w:ascii="Arial" w:eastAsia="Calibri" w:hAnsi="Arial" w:cs="Arial"/>
          <w:bCs/>
          <w:sz w:val="26"/>
          <w:szCs w:val="26"/>
        </w:rPr>
        <w:t xml:space="preserve"> </w:t>
      </w:r>
      <w:r w:rsidR="005C5F71">
        <w:rPr>
          <w:rFonts w:ascii="Arial" w:eastAsia="Calibri" w:hAnsi="Arial" w:cs="Arial"/>
          <w:bCs/>
          <w:sz w:val="26"/>
          <w:szCs w:val="26"/>
        </w:rPr>
        <w:t xml:space="preserve">de la Ley de </w:t>
      </w:r>
      <w:r w:rsidR="0047534A">
        <w:rPr>
          <w:rFonts w:ascii="Arial" w:eastAsia="Calibri" w:hAnsi="Arial" w:cs="Arial"/>
          <w:bCs/>
          <w:sz w:val="26"/>
          <w:szCs w:val="26"/>
        </w:rPr>
        <w:t xml:space="preserve">Procedimiento y </w:t>
      </w:r>
      <w:r w:rsidR="005C5F71">
        <w:rPr>
          <w:rFonts w:ascii="Arial" w:eastAsia="Calibri" w:hAnsi="Arial" w:cs="Arial"/>
          <w:bCs/>
          <w:sz w:val="26"/>
          <w:szCs w:val="26"/>
        </w:rPr>
        <w:t xml:space="preserve">Justicia Administrativa para el Estado de Oaxaca, los acuerdos y resoluciones de la primera </w:t>
      </w:r>
      <w:r w:rsidR="004A250E">
        <w:rPr>
          <w:rFonts w:ascii="Arial" w:eastAsia="Calibri" w:hAnsi="Arial" w:cs="Arial"/>
          <w:bCs/>
          <w:sz w:val="26"/>
          <w:szCs w:val="26"/>
        </w:rPr>
        <w:t>i</w:t>
      </w:r>
      <w:r w:rsidR="005C5F71">
        <w:rPr>
          <w:rFonts w:ascii="Arial" w:eastAsia="Calibri" w:hAnsi="Arial" w:cs="Arial"/>
          <w:bCs/>
          <w:sz w:val="26"/>
          <w:szCs w:val="26"/>
        </w:rPr>
        <w:t>nstancia, podrán ser impugnadas por las partes; y, de conformidad con</w:t>
      </w:r>
      <w:r w:rsidR="0047534A">
        <w:rPr>
          <w:rFonts w:ascii="Arial" w:eastAsia="Calibri" w:hAnsi="Arial" w:cs="Arial"/>
          <w:bCs/>
          <w:sz w:val="26"/>
          <w:szCs w:val="26"/>
        </w:rPr>
        <w:t xml:space="preserve"> lo estatuido por el artículo 16</w:t>
      </w:r>
      <w:r w:rsidR="005C5F71">
        <w:rPr>
          <w:rFonts w:ascii="Arial" w:eastAsia="Calibri" w:hAnsi="Arial" w:cs="Arial"/>
          <w:bCs/>
          <w:sz w:val="26"/>
          <w:szCs w:val="26"/>
        </w:rPr>
        <w:t>3</w:t>
      </w:r>
      <w:r w:rsidR="005C5F71">
        <w:rPr>
          <w:rStyle w:val="Refdenotaalpie"/>
          <w:rFonts w:ascii="Arial" w:eastAsia="Calibri" w:hAnsi="Arial" w:cs="Arial"/>
          <w:sz w:val="26"/>
          <w:szCs w:val="26"/>
        </w:rPr>
        <w:footnoteReference w:id="2"/>
      </w:r>
      <w:r w:rsidR="005C5F71" w:rsidRPr="00DC6CDC">
        <w:rPr>
          <w:rFonts w:ascii="Arial" w:eastAsia="Calibri" w:hAnsi="Arial" w:cs="Arial"/>
          <w:bCs/>
          <w:sz w:val="26"/>
          <w:szCs w:val="26"/>
        </w:rPr>
        <w:t xml:space="preserve"> </w:t>
      </w:r>
      <w:r w:rsidR="005C5F71">
        <w:rPr>
          <w:rFonts w:ascii="Arial" w:eastAsia="Calibri" w:hAnsi="Arial" w:cs="Arial"/>
          <w:bCs/>
          <w:sz w:val="26"/>
          <w:szCs w:val="26"/>
        </w:rPr>
        <w:t>de la Ley de la materia, son partes en el juicio contencioso; el actor, la autoridad demandada y el tercero afectado</w:t>
      </w:r>
      <w:r w:rsidR="00D75DC7">
        <w:rPr>
          <w:rFonts w:ascii="Arial" w:eastAsia="Calibri" w:hAnsi="Arial" w:cs="Arial"/>
          <w:bCs/>
          <w:sz w:val="26"/>
          <w:szCs w:val="26"/>
        </w:rPr>
        <w:t>.</w:t>
      </w:r>
    </w:p>
    <w:p w:rsidR="005C5F71" w:rsidRDefault="00D75DC7" w:rsidP="00D75DC7">
      <w:pPr>
        <w:spacing w:line="360" w:lineRule="auto"/>
        <w:ind w:firstLine="708"/>
        <w:jc w:val="both"/>
        <w:rPr>
          <w:rFonts w:ascii="Arial" w:eastAsia="Calibri" w:hAnsi="Arial" w:cs="Arial"/>
          <w:bCs/>
          <w:sz w:val="26"/>
          <w:szCs w:val="26"/>
        </w:rPr>
      </w:pPr>
      <w:r>
        <w:rPr>
          <w:rFonts w:ascii="Arial" w:eastAsia="Calibri" w:hAnsi="Arial" w:cs="Arial"/>
          <w:bCs/>
          <w:sz w:val="26"/>
          <w:szCs w:val="26"/>
        </w:rPr>
        <w:t>Ahora, de constancias que integran el expediente de primera instancia, a las que se les ha otorgado pleno valor probatorio conform</w:t>
      </w:r>
      <w:r w:rsidR="0047534A">
        <w:rPr>
          <w:rFonts w:ascii="Arial" w:eastAsia="Calibri" w:hAnsi="Arial" w:cs="Arial"/>
          <w:bCs/>
          <w:sz w:val="26"/>
          <w:szCs w:val="26"/>
        </w:rPr>
        <w:t>e lo dispuesto por el artículo 203</w:t>
      </w:r>
      <w:r>
        <w:rPr>
          <w:rFonts w:ascii="Arial" w:eastAsia="Calibri" w:hAnsi="Arial" w:cs="Arial"/>
          <w:bCs/>
          <w:sz w:val="26"/>
          <w:szCs w:val="26"/>
        </w:rPr>
        <w:t xml:space="preserve"> fracción I</w:t>
      </w:r>
      <w:r>
        <w:rPr>
          <w:rStyle w:val="Refdenotaalpie"/>
          <w:rFonts w:ascii="Arial" w:eastAsia="Calibri" w:hAnsi="Arial" w:cs="Arial"/>
          <w:bCs/>
          <w:sz w:val="26"/>
          <w:szCs w:val="26"/>
        </w:rPr>
        <w:footnoteReference w:id="3"/>
      </w:r>
      <w:r>
        <w:rPr>
          <w:rFonts w:ascii="Arial" w:eastAsia="Calibri" w:hAnsi="Arial" w:cs="Arial"/>
          <w:bCs/>
          <w:sz w:val="26"/>
          <w:szCs w:val="26"/>
        </w:rPr>
        <w:t xml:space="preserve"> de la Ley de </w:t>
      </w:r>
      <w:r w:rsidR="0047534A">
        <w:rPr>
          <w:rFonts w:ascii="Arial" w:eastAsia="Calibri" w:hAnsi="Arial" w:cs="Arial"/>
          <w:bCs/>
          <w:sz w:val="26"/>
          <w:szCs w:val="26"/>
        </w:rPr>
        <w:t xml:space="preserve">Procedimiento y </w:t>
      </w:r>
      <w:r>
        <w:rPr>
          <w:rFonts w:ascii="Arial" w:eastAsia="Calibri" w:hAnsi="Arial" w:cs="Arial"/>
          <w:bCs/>
          <w:sz w:val="26"/>
          <w:szCs w:val="26"/>
        </w:rPr>
        <w:t>Justicia Administrativa para el Estado, por trata</w:t>
      </w:r>
      <w:r w:rsidR="004A73FA">
        <w:rPr>
          <w:rFonts w:ascii="Arial" w:eastAsia="Calibri" w:hAnsi="Arial" w:cs="Arial"/>
          <w:bCs/>
          <w:sz w:val="26"/>
          <w:szCs w:val="26"/>
        </w:rPr>
        <w:t>r</w:t>
      </w:r>
      <w:r>
        <w:rPr>
          <w:rFonts w:ascii="Arial" w:eastAsia="Calibri" w:hAnsi="Arial" w:cs="Arial"/>
          <w:bCs/>
          <w:sz w:val="26"/>
          <w:szCs w:val="26"/>
        </w:rPr>
        <w:t xml:space="preserve">se de actuaciones judiciales, se observa que </w:t>
      </w:r>
      <w:r w:rsidR="005C5F71">
        <w:rPr>
          <w:rFonts w:ascii="Arial" w:eastAsia="Calibri" w:hAnsi="Arial" w:cs="Arial"/>
          <w:bCs/>
          <w:sz w:val="26"/>
          <w:szCs w:val="26"/>
        </w:rPr>
        <w:t>l</w:t>
      </w:r>
      <w:r w:rsidR="00365A43">
        <w:rPr>
          <w:rFonts w:ascii="Arial" w:eastAsia="Calibri" w:hAnsi="Arial" w:cs="Arial"/>
          <w:bCs/>
          <w:sz w:val="26"/>
          <w:szCs w:val="26"/>
        </w:rPr>
        <w:t xml:space="preserve">a </w:t>
      </w:r>
      <w:r w:rsidR="00DE3FFC">
        <w:rPr>
          <w:rFonts w:ascii="Arial" w:eastAsia="Calibri" w:hAnsi="Arial" w:cs="Arial"/>
          <w:bCs/>
          <w:sz w:val="26"/>
          <w:szCs w:val="26"/>
        </w:rPr>
        <w:t xml:space="preserve">Recaudadora de Rentas </w:t>
      </w:r>
      <w:r w:rsidR="005C5F71">
        <w:rPr>
          <w:rFonts w:ascii="Arial" w:eastAsia="Calibri" w:hAnsi="Arial" w:cs="Arial"/>
          <w:bCs/>
          <w:sz w:val="26"/>
          <w:szCs w:val="26"/>
        </w:rPr>
        <w:t xml:space="preserve">del Municipio de Oaxaca Juárez, es autoridad demandada; sin embargo, el acto impugnado y del cual se declaró su nulidad lo constituye el acta de infracción folio </w:t>
      </w:r>
      <w:r w:rsidR="0047534A">
        <w:rPr>
          <w:rFonts w:ascii="Arial" w:eastAsia="Calibri" w:hAnsi="Arial" w:cs="Arial"/>
          <w:bCs/>
          <w:sz w:val="26"/>
          <w:szCs w:val="26"/>
        </w:rPr>
        <w:t>4739</w:t>
      </w:r>
      <w:r w:rsidR="002103CD">
        <w:rPr>
          <w:rFonts w:ascii="Arial" w:eastAsia="Calibri" w:hAnsi="Arial" w:cs="Arial"/>
          <w:bCs/>
          <w:sz w:val="26"/>
          <w:szCs w:val="26"/>
        </w:rPr>
        <w:t>3</w:t>
      </w:r>
      <w:r w:rsidR="00DE3FFC">
        <w:rPr>
          <w:rFonts w:ascii="Arial" w:eastAsia="Calibri" w:hAnsi="Arial" w:cs="Arial"/>
          <w:bCs/>
          <w:sz w:val="26"/>
          <w:szCs w:val="26"/>
        </w:rPr>
        <w:t xml:space="preserve"> </w:t>
      </w:r>
      <w:r w:rsidR="005C5F71">
        <w:rPr>
          <w:rFonts w:ascii="Arial" w:eastAsia="Calibri" w:hAnsi="Arial" w:cs="Arial"/>
          <w:bCs/>
          <w:sz w:val="26"/>
          <w:szCs w:val="26"/>
        </w:rPr>
        <w:t xml:space="preserve">de </w:t>
      </w:r>
      <w:r w:rsidR="002103CD">
        <w:rPr>
          <w:rFonts w:ascii="Arial" w:eastAsia="Calibri" w:hAnsi="Arial" w:cs="Arial"/>
          <w:bCs/>
          <w:sz w:val="26"/>
          <w:szCs w:val="26"/>
        </w:rPr>
        <w:t xml:space="preserve">catorce </w:t>
      </w:r>
      <w:r w:rsidR="0047534A">
        <w:rPr>
          <w:rFonts w:ascii="Arial" w:eastAsia="Calibri" w:hAnsi="Arial" w:cs="Arial"/>
          <w:bCs/>
          <w:sz w:val="26"/>
          <w:szCs w:val="26"/>
        </w:rPr>
        <w:t xml:space="preserve">de junio de </w:t>
      </w:r>
      <w:r w:rsidR="005C5F71">
        <w:rPr>
          <w:rFonts w:ascii="Arial" w:eastAsia="Calibri" w:hAnsi="Arial" w:cs="Arial"/>
          <w:bCs/>
          <w:sz w:val="26"/>
          <w:szCs w:val="26"/>
        </w:rPr>
        <w:t>dos mil dieci</w:t>
      </w:r>
      <w:r w:rsidR="0047534A">
        <w:rPr>
          <w:rFonts w:ascii="Arial" w:eastAsia="Calibri" w:hAnsi="Arial" w:cs="Arial"/>
          <w:bCs/>
          <w:sz w:val="26"/>
          <w:szCs w:val="26"/>
        </w:rPr>
        <w:t>ocho</w:t>
      </w:r>
      <w:r w:rsidR="005C5F71">
        <w:rPr>
          <w:rFonts w:ascii="Arial" w:eastAsia="Calibri" w:hAnsi="Arial" w:cs="Arial"/>
          <w:bCs/>
          <w:sz w:val="26"/>
          <w:szCs w:val="26"/>
        </w:rPr>
        <w:t>.</w:t>
      </w:r>
    </w:p>
    <w:p w:rsidR="005C5F71" w:rsidRDefault="005C5F71" w:rsidP="005C5F71">
      <w:pPr>
        <w:widowControl w:val="0"/>
        <w:autoSpaceDE w:val="0"/>
        <w:autoSpaceDN w:val="0"/>
        <w:adjustRightInd w:val="0"/>
        <w:spacing w:before="240" w:after="0" w:line="360" w:lineRule="auto"/>
        <w:jc w:val="both"/>
        <w:rPr>
          <w:rFonts w:ascii="Arial" w:eastAsia="Calibri" w:hAnsi="Arial" w:cs="Arial"/>
          <w:bCs/>
          <w:sz w:val="26"/>
          <w:szCs w:val="26"/>
        </w:rPr>
      </w:pPr>
      <w:r>
        <w:rPr>
          <w:rFonts w:ascii="Arial" w:eastAsia="Calibri" w:hAnsi="Arial" w:cs="Arial"/>
          <w:bCs/>
          <w:sz w:val="26"/>
          <w:szCs w:val="26"/>
        </w:rPr>
        <w:tab/>
        <w:t>Acto que fue atribuido a autoridad diversa a la que hoy recurre, como así fue determinado en la sentencia en revisión, al indicar que fue elaborada por el Policía Vial con número estadístico PV-</w:t>
      </w:r>
      <w:r w:rsidR="0047534A">
        <w:rPr>
          <w:rFonts w:ascii="Arial" w:eastAsia="Calibri" w:hAnsi="Arial" w:cs="Arial"/>
          <w:bCs/>
          <w:sz w:val="26"/>
          <w:szCs w:val="26"/>
        </w:rPr>
        <w:t>131</w:t>
      </w:r>
      <w:r>
        <w:rPr>
          <w:rFonts w:ascii="Arial" w:eastAsia="Calibri" w:hAnsi="Arial" w:cs="Arial"/>
          <w:bCs/>
          <w:sz w:val="26"/>
          <w:szCs w:val="26"/>
        </w:rPr>
        <w:t>, adscrito a la Comisaría de Vialidad Municipal de Oaxaca de Juárez, Oaxaca; de donde, aun cuando l</w:t>
      </w:r>
      <w:r w:rsidR="006B2334">
        <w:rPr>
          <w:rFonts w:ascii="Arial" w:eastAsia="Calibri" w:hAnsi="Arial" w:cs="Arial"/>
          <w:bCs/>
          <w:sz w:val="26"/>
          <w:szCs w:val="26"/>
        </w:rPr>
        <w:t>a</w:t>
      </w:r>
      <w:r>
        <w:rPr>
          <w:rFonts w:ascii="Arial" w:eastAsia="Calibri" w:hAnsi="Arial" w:cs="Arial"/>
          <w:bCs/>
          <w:sz w:val="26"/>
          <w:szCs w:val="26"/>
        </w:rPr>
        <w:t xml:space="preserve"> </w:t>
      </w:r>
      <w:r w:rsidR="00DE3FFC">
        <w:rPr>
          <w:rFonts w:ascii="Arial" w:eastAsia="Calibri" w:hAnsi="Arial" w:cs="Arial"/>
          <w:bCs/>
          <w:sz w:val="26"/>
          <w:szCs w:val="26"/>
        </w:rPr>
        <w:t>Recaudadora de Rentas</w:t>
      </w:r>
      <w:r>
        <w:rPr>
          <w:rFonts w:ascii="Arial" w:eastAsia="Calibri" w:hAnsi="Arial" w:cs="Arial"/>
          <w:bCs/>
          <w:sz w:val="26"/>
          <w:szCs w:val="26"/>
        </w:rPr>
        <w:t xml:space="preserve">, fue señalado por </w:t>
      </w:r>
      <w:r w:rsidR="006B2334">
        <w:rPr>
          <w:rFonts w:ascii="Arial" w:eastAsia="Calibri" w:hAnsi="Arial" w:cs="Arial"/>
          <w:bCs/>
          <w:sz w:val="26"/>
          <w:szCs w:val="26"/>
        </w:rPr>
        <w:t>e</w:t>
      </w:r>
      <w:r>
        <w:rPr>
          <w:rFonts w:ascii="Arial" w:eastAsia="Calibri" w:hAnsi="Arial" w:cs="Arial"/>
          <w:bCs/>
          <w:sz w:val="26"/>
          <w:szCs w:val="26"/>
        </w:rPr>
        <w:t xml:space="preserve">l actor como autoridad demandada; lo cierto es que, no cuenta con legitimación para impugnar la determinación de declarar </w:t>
      </w:r>
      <w:r>
        <w:rPr>
          <w:rFonts w:ascii="Arial" w:eastAsia="Calibri" w:hAnsi="Arial" w:cs="Arial"/>
          <w:bCs/>
          <w:sz w:val="26"/>
          <w:szCs w:val="26"/>
        </w:rPr>
        <w:lastRenderedPageBreak/>
        <w:t>nulo ese acto de autoridad diversa.</w:t>
      </w:r>
    </w:p>
    <w:p w:rsidR="005C5F71" w:rsidRDefault="005C5F71" w:rsidP="005C5F71">
      <w:pPr>
        <w:widowControl w:val="0"/>
        <w:autoSpaceDE w:val="0"/>
        <w:autoSpaceDN w:val="0"/>
        <w:adjustRightInd w:val="0"/>
        <w:spacing w:before="240" w:after="0" w:line="360" w:lineRule="auto"/>
        <w:ind w:firstLine="708"/>
        <w:jc w:val="both"/>
        <w:rPr>
          <w:rFonts w:ascii="Arial" w:eastAsia="Calibri" w:hAnsi="Arial" w:cs="Arial"/>
          <w:bCs/>
          <w:sz w:val="26"/>
          <w:szCs w:val="26"/>
        </w:rPr>
      </w:pPr>
      <w:r>
        <w:rPr>
          <w:rFonts w:ascii="Arial" w:eastAsia="Calibri" w:hAnsi="Arial" w:cs="Arial"/>
          <w:bCs/>
          <w:sz w:val="26"/>
          <w:szCs w:val="26"/>
        </w:rPr>
        <w:t>Pues, debe entenderse a la legitimación, sí como la aptitud de ser parte en un proceso concreto, pero únicamente la que se encuentra en determinada relación con la pretensión, que tratándose del recurso, sólo atañe a quien pueda causarle perjuicio jurídico la decisión; esto es, que la sentencia impugnada le agravie directamente, para así, ver justificado su interés en que sea modificada o revocada esa decisión.</w:t>
      </w:r>
    </w:p>
    <w:p w:rsidR="005C5F71" w:rsidRDefault="005C5F71" w:rsidP="005C5F71">
      <w:pPr>
        <w:widowControl w:val="0"/>
        <w:autoSpaceDE w:val="0"/>
        <w:autoSpaceDN w:val="0"/>
        <w:adjustRightInd w:val="0"/>
        <w:spacing w:before="240" w:after="0" w:line="360" w:lineRule="auto"/>
        <w:ind w:firstLine="708"/>
        <w:jc w:val="both"/>
        <w:rPr>
          <w:rFonts w:ascii="Arial" w:eastAsia="Calibri" w:hAnsi="Arial" w:cs="Arial"/>
          <w:bCs/>
          <w:sz w:val="26"/>
          <w:szCs w:val="26"/>
        </w:rPr>
      </w:pPr>
      <w:r>
        <w:rPr>
          <w:rFonts w:ascii="Arial" w:eastAsia="Calibri" w:hAnsi="Arial" w:cs="Arial"/>
          <w:bCs/>
          <w:sz w:val="26"/>
          <w:szCs w:val="26"/>
        </w:rPr>
        <w:t>De tal manera, que si como sucede en la especie, la nulidad decretada fue respecto del acta de infracción levantada por el Policía Vial con número estadístico</w:t>
      </w:r>
      <w:r w:rsidRPr="007D55DA">
        <w:rPr>
          <w:rFonts w:ascii="Arial" w:eastAsia="Calibri" w:hAnsi="Arial" w:cs="Arial"/>
          <w:bCs/>
          <w:sz w:val="26"/>
          <w:szCs w:val="26"/>
        </w:rPr>
        <w:t xml:space="preserve"> </w:t>
      </w:r>
      <w:r>
        <w:rPr>
          <w:rFonts w:ascii="Arial" w:eastAsia="Calibri" w:hAnsi="Arial" w:cs="Arial"/>
          <w:bCs/>
          <w:sz w:val="26"/>
          <w:szCs w:val="26"/>
        </w:rPr>
        <w:t>PV-</w:t>
      </w:r>
      <w:r w:rsidR="0045239D">
        <w:rPr>
          <w:rFonts w:ascii="Arial" w:eastAsia="Calibri" w:hAnsi="Arial" w:cs="Arial"/>
          <w:bCs/>
          <w:sz w:val="26"/>
          <w:szCs w:val="26"/>
        </w:rPr>
        <w:t>131</w:t>
      </w:r>
      <w:r w:rsidR="006B2334">
        <w:rPr>
          <w:rFonts w:ascii="Arial" w:eastAsia="Calibri" w:hAnsi="Arial" w:cs="Arial"/>
          <w:bCs/>
          <w:sz w:val="26"/>
          <w:szCs w:val="26"/>
        </w:rPr>
        <w:t>,</w:t>
      </w:r>
      <w:r>
        <w:rPr>
          <w:rFonts w:ascii="Arial" w:eastAsia="Calibri" w:hAnsi="Arial" w:cs="Arial"/>
          <w:bCs/>
          <w:sz w:val="26"/>
          <w:szCs w:val="26"/>
        </w:rPr>
        <w:t xml:space="preserve"> de la Comisaría de Vialidad Municipal de Oaxaca de Juárez, Oaxaca, sólo a dicha autoridad corresponde la legitimación para impugnarla en lo atinente a tal declaración de nulidad y sus efectos.</w:t>
      </w:r>
    </w:p>
    <w:p w:rsidR="005C5F71" w:rsidRDefault="005C5F71" w:rsidP="005C5F71">
      <w:pPr>
        <w:spacing w:before="240" w:line="360" w:lineRule="auto"/>
        <w:ind w:firstLine="709"/>
        <w:jc w:val="both"/>
        <w:rPr>
          <w:rFonts w:ascii="Arial" w:eastAsia="Times New Roman" w:hAnsi="Arial"/>
          <w:color w:val="000000"/>
          <w:sz w:val="26"/>
          <w:szCs w:val="26"/>
        </w:rPr>
      </w:pPr>
      <w:r>
        <w:rPr>
          <w:rFonts w:ascii="Arial" w:eastAsia="Calibri" w:hAnsi="Arial" w:cs="Arial"/>
          <w:bCs/>
          <w:sz w:val="26"/>
          <w:szCs w:val="26"/>
        </w:rPr>
        <w:t>Al respecto resulta aplicable al caso el criterio emitido por el Octavo Tribunal Colegiado en materia Administrativa del Primer Circuito, novena</w:t>
      </w:r>
      <w:r>
        <w:rPr>
          <w:rFonts w:ascii="Arial" w:eastAsia="Times New Roman" w:hAnsi="Arial"/>
          <w:color w:val="000000"/>
          <w:sz w:val="26"/>
          <w:szCs w:val="26"/>
        </w:rPr>
        <w:t xml:space="preserve"> época, Tomo XXIX, en mayo de 2009, consultable a página 1119, publicadas ambas en la Gaceta del Semanario Judicial de la Federación, cuyo rubro y texto es el siguiente:</w:t>
      </w:r>
    </w:p>
    <w:p w:rsidR="005C5F71" w:rsidRDefault="005C5F71" w:rsidP="005C5F71">
      <w:pPr>
        <w:widowControl w:val="0"/>
        <w:autoSpaceDE w:val="0"/>
        <w:autoSpaceDN w:val="0"/>
        <w:adjustRightInd w:val="0"/>
        <w:spacing w:before="240" w:after="0" w:line="360" w:lineRule="auto"/>
        <w:ind w:left="1134" w:right="474"/>
        <w:jc w:val="both"/>
        <w:rPr>
          <w:rFonts w:ascii="Arial" w:eastAsia="Calibri" w:hAnsi="Arial" w:cs="Arial"/>
          <w:bCs/>
          <w:sz w:val="24"/>
          <w:szCs w:val="24"/>
        </w:rPr>
      </w:pPr>
      <w:r>
        <w:rPr>
          <w:rFonts w:ascii="Arial" w:eastAsia="Calibri" w:hAnsi="Arial" w:cs="Arial"/>
          <w:bCs/>
          <w:sz w:val="24"/>
          <w:szCs w:val="24"/>
        </w:rPr>
        <w:t>“</w:t>
      </w:r>
      <w:r w:rsidRPr="00DC6CDC">
        <w:rPr>
          <w:rFonts w:ascii="Arial" w:eastAsia="Calibri" w:hAnsi="Arial" w:cs="Arial"/>
          <w:b/>
          <w:bCs/>
          <w:i/>
          <w:sz w:val="24"/>
          <w:szCs w:val="24"/>
        </w:rPr>
        <w:t>REVISIÓN CONTENCIOSA ADMINISTRATIVA. LA LEGITIMACIÓN PARA INTERPONER DICHO RECURSO NO SÓLO IMPLICA QUE EL PROMOVENTE SEA AUTORIDAD, SINO TAMBIÉN QUE LA SENTENCIA IMPUGNADA LE AGRAVIE</w:t>
      </w:r>
      <w:r w:rsidRPr="00DC6CDC">
        <w:rPr>
          <w:rFonts w:ascii="Arial" w:eastAsia="Calibri" w:hAnsi="Arial" w:cs="Arial"/>
          <w:bCs/>
          <w:i/>
          <w:sz w:val="24"/>
          <w:szCs w:val="24"/>
        </w:rPr>
        <w:t>. De los artículos 87 y 88 de la Ley del Tribunal de lo Contencioso 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promovente sea autoridad, sino también que la sentencia impugnada le agravie, con lo que se justifica su interés en que sea modificada o revocada.</w:t>
      </w:r>
      <w:r>
        <w:rPr>
          <w:rFonts w:ascii="Arial" w:eastAsia="Calibri" w:hAnsi="Arial" w:cs="Arial"/>
          <w:bCs/>
          <w:sz w:val="24"/>
          <w:szCs w:val="24"/>
        </w:rPr>
        <w:t>”</w:t>
      </w:r>
    </w:p>
    <w:p w:rsidR="005C5F71" w:rsidRPr="009632BE" w:rsidRDefault="005C5F71" w:rsidP="005C5F71">
      <w:pPr>
        <w:spacing w:before="240" w:line="360" w:lineRule="auto"/>
        <w:jc w:val="both"/>
        <w:rPr>
          <w:rFonts w:ascii="Arial" w:hAnsi="Arial" w:cs="Arial"/>
          <w:sz w:val="26"/>
          <w:szCs w:val="26"/>
        </w:rPr>
      </w:pPr>
      <w:r>
        <w:rPr>
          <w:rFonts w:ascii="Arial" w:eastAsia="Calibri" w:hAnsi="Arial" w:cs="Arial"/>
          <w:bCs/>
          <w:sz w:val="26"/>
          <w:szCs w:val="26"/>
        </w:rPr>
        <w:lastRenderedPageBreak/>
        <w:tab/>
      </w:r>
      <w:r w:rsidRPr="009632BE">
        <w:rPr>
          <w:rFonts w:ascii="Arial" w:eastAsia="Calibri" w:hAnsi="Arial" w:cs="Arial"/>
          <w:bCs/>
          <w:sz w:val="26"/>
          <w:szCs w:val="26"/>
        </w:rPr>
        <w:t xml:space="preserve">En el caso, importa destacar que la legitimación es una institución jurídica que tiene dos vertientes a saber, como presupuesto procesal y como una condición para obtener sentencia favorable. Así existe la legitimación ad procesum y la legitimación ad causam. La legitimación </w:t>
      </w:r>
      <w:r w:rsidRPr="009632BE">
        <w:rPr>
          <w:rFonts w:ascii="Arial" w:eastAsia="Calibri" w:hAnsi="Arial" w:cs="Arial"/>
          <w:b/>
          <w:bCs/>
          <w:i/>
          <w:sz w:val="26"/>
          <w:szCs w:val="26"/>
        </w:rPr>
        <w:t xml:space="preserve">ad procesum </w:t>
      </w:r>
      <w:r w:rsidRPr="009632BE">
        <w:rPr>
          <w:rFonts w:ascii="Arial" w:eastAsia="Calibri" w:hAnsi="Arial" w:cs="Arial"/>
          <w:bCs/>
          <w:sz w:val="26"/>
          <w:szCs w:val="26"/>
        </w:rPr>
        <w:t xml:space="preserve">como presupuesto procesal es la aptitud para comparecer a juicio por sí mismo o bien porque se trate de un representante del titular del derecho violentado o bien de quien estima se ha transgredido su esfera objetiva de derechos. De tal suerte, que por esta legitimación ad procesum se está en la posibilidad de actuar dentro del procedimiento. Mientras tanto, la legitimación </w:t>
      </w:r>
      <w:r w:rsidRPr="009632BE">
        <w:rPr>
          <w:rFonts w:ascii="Arial" w:eastAsia="Calibri" w:hAnsi="Arial" w:cs="Arial"/>
          <w:b/>
          <w:bCs/>
          <w:i/>
          <w:sz w:val="26"/>
          <w:szCs w:val="26"/>
        </w:rPr>
        <w:t xml:space="preserve">ad causam </w:t>
      </w:r>
      <w:r w:rsidRPr="009632BE">
        <w:rPr>
          <w:rFonts w:ascii="Arial" w:eastAsia="Calibri" w:hAnsi="Arial" w:cs="Arial"/>
          <w:bCs/>
          <w:sz w:val="26"/>
          <w:szCs w:val="26"/>
        </w:rPr>
        <w:t xml:space="preserve">no es un presupuesto procesal, sino que es la relativa al derecho que se tiene de obtener una sentencia favorable por un derecho que realmente le corresponde y dado que es una cuestión referente al fondo del asunto sólo puede analizarse al dictar sentencia. Así fue considerado por el Tercer Tribunal Colegiado en Materia Civil del Sexto Circuito en la novena época al emitir la jurisprudencia </w:t>
      </w:r>
      <w:r w:rsidRPr="009632BE">
        <w:rPr>
          <w:rFonts w:ascii="Arial" w:hAnsi="Arial" w:cs="Arial"/>
          <w:sz w:val="26"/>
          <w:szCs w:val="26"/>
        </w:rPr>
        <w:t>VI.3o.C. J/67 que se encuentra publicada en el Semanario Judicial de la Federación y su Gaceta Tomo XXVIII, de Julio de 2008 y visible a página 1600 con el rubro y texto del tenor literal siguiente:</w:t>
      </w:r>
      <w:r>
        <w:rPr>
          <w:rFonts w:ascii="Arial" w:hAnsi="Arial" w:cs="Arial"/>
          <w:sz w:val="26"/>
          <w:szCs w:val="26"/>
        </w:rPr>
        <w:t xml:space="preserve"> </w:t>
      </w:r>
    </w:p>
    <w:p w:rsidR="005C5F71" w:rsidRPr="00807D70" w:rsidRDefault="005C5F71" w:rsidP="005C5F71">
      <w:pPr>
        <w:spacing w:after="0" w:line="360" w:lineRule="auto"/>
        <w:ind w:left="1134" w:right="778"/>
        <w:jc w:val="both"/>
        <w:rPr>
          <w:rFonts w:ascii="Arial" w:eastAsia="Calibri" w:hAnsi="Arial" w:cs="Arial"/>
          <w:bCs/>
          <w:i/>
          <w:sz w:val="24"/>
          <w:szCs w:val="24"/>
        </w:rPr>
      </w:pPr>
      <w:r w:rsidRPr="00807D70">
        <w:rPr>
          <w:rFonts w:ascii="Arial" w:hAnsi="Arial" w:cs="Arial"/>
          <w:i/>
          <w:sz w:val="24"/>
          <w:szCs w:val="24"/>
        </w:rPr>
        <w:t>“</w:t>
      </w:r>
      <w:r w:rsidRPr="00807D70">
        <w:rPr>
          <w:rFonts w:ascii="Arial" w:hAnsi="Arial" w:cs="Arial"/>
          <w:b/>
          <w:i/>
          <w:sz w:val="24"/>
          <w:szCs w:val="24"/>
        </w:rPr>
        <w:t>LEGITIMACIÓN EN LA CAUSA. SÓLO PUEDE ESTUDIARSE EN LA SENTENCIA DEFINITIVA</w:t>
      </w:r>
      <w:r w:rsidRPr="00807D70">
        <w:rPr>
          <w:rFonts w:ascii="Arial" w:hAnsi="Arial" w:cs="Arial"/>
          <w:i/>
          <w:sz w:val="24"/>
          <w:szCs w:val="24"/>
        </w:rPr>
        <w:t xml:space="preserve">. Debe distinguirse la legitimación en el proceso, de la legitimación en la causa. La primera es un presupuesto del procedimiento que se refiere o a la capacidad para comparecer al juicio, para lo cual se requiere que el compareciente esté en pleno ejercicio de sus derechos civiles, o a la representación de quien comparece a nombre de otro. En este sentido, siendo la legitimación ad procesum un presupuesto procesal, puede examinarse en cualquier momento del juicio, pues si el actor carece de capacidad para comparecer a él o no justifica ser el representante legal del demandante, sería ociosa la continuación de un proceso seguido por quien no puede apersonarse en el mismo. En cambio, la legitimación en la causa, no es un presupuesto procesal, sino una condición para obtener sentencia favorable. En efecto, ésta consiste en la identidad del actor con la persona a cuyo favor está la </w:t>
      </w:r>
      <w:r w:rsidRPr="00807D70">
        <w:rPr>
          <w:rFonts w:ascii="Arial" w:hAnsi="Arial" w:cs="Arial"/>
          <w:i/>
          <w:sz w:val="24"/>
          <w:szCs w:val="24"/>
        </w:rPr>
        <w:lastRenderedPageBreak/>
        <w:t xml:space="preserve">ley; en consecuencia, el actor estará legitimado en la causa cuando ejercita un derecho que realmente le corresponde. Como se ve, la legitimación ad causam atañe al fondo de la cuestión litigiosa y, por tanto, lógicamente, sólo puede analizarse en el momento en que se pronuncie la sentencia definitiva.” </w:t>
      </w:r>
    </w:p>
    <w:p w:rsidR="005C5F71" w:rsidRPr="009632BE" w:rsidRDefault="005C5F71" w:rsidP="005C5F71">
      <w:pPr>
        <w:spacing w:before="240" w:line="360" w:lineRule="auto"/>
        <w:ind w:firstLine="708"/>
        <w:jc w:val="both"/>
        <w:rPr>
          <w:rFonts w:ascii="Arial" w:eastAsia="Calibri" w:hAnsi="Arial" w:cs="Arial"/>
          <w:bCs/>
          <w:sz w:val="26"/>
          <w:szCs w:val="26"/>
        </w:rPr>
      </w:pPr>
      <w:r w:rsidRPr="009632BE">
        <w:rPr>
          <w:rFonts w:ascii="Arial" w:hAnsi="Arial" w:cs="Arial"/>
          <w:sz w:val="26"/>
          <w:szCs w:val="26"/>
        </w:rPr>
        <w:t xml:space="preserve">Así mismo, se ha considerado en la jurisprudencia 2a./J. 75/97 de la Segunda Sala de la Suprema Corte de Justicia de la Nación, </w:t>
      </w:r>
      <w:r>
        <w:rPr>
          <w:rFonts w:ascii="Arial" w:hAnsi="Arial" w:cs="Arial"/>
          <w:sz w:val="26"/>
          <w:szCs w:val="26"/>
        </w:rPr>
        <w:t>también emitida en la novena ép</w:t>
      </w:r>
      <w:r w:rsidRPr="009632BE">
        <w:rPr>
          <w:rFonts w:ascii="Arial" w:hAnsi="Arial" w:cs="Arial"/>
          <w:sz w:val="26"/>
          <w:szCs w:val="26"/>
        </w:rPr>
        <w:t>oca. Semanario Judicial de la Federación y su Gaceta. Tomo VII, Enero de 1998, Pág. 351.</w:t>
      </w:r>
    </w:p>
    <w:p w:rsidR="005C5F71" w:rsidRPr="00807D70" w:rsidRDefault="005C5F71" w:rsidP="005C5F71">
      <w:pPr>
        <w:spacing w:line="360" w:lineRule="auto"/>
        <w:ind w:left="1134" w:right="778"/>
        <w:jc w:val="both"/>
        <w:rPr>
          <w:rFonts w:ascii="Arial" w:eastAsia="Calibri" w:hAnsi="Arial" w:cs="Arial"/>
          <w:bCs/>
          <w:i/>
          <w:sz w:val="24"/>
          <w:szCs w:val="24"/>
        </w:rPr>
      </w:pPr>
      <w:r w:rsidRPr="00807D70">
        <w:rPr>
          <w:rFonts w:ascii="Arial" w:hAnsi="Arial" w:cs="Arial"/>
          <w:i/>
          <w:sz w:val="24"/>
          <w:szCs w:val="24"/>
        </w:rPr>
        <w:t>“</w:t>
      </w:r>
      <w:r w:rsidRPr="00807D70">
        <w:rPr>
          <w:rFonts w:ascii="Arial" w:hAnsi="Arial" w:cs="Arial"/>
          <w:b/>
          <w:i/>
          <w:sz w:val="24"/>
          <w:szCs w:val="24"/>
        </w:rPr>
        <w:t>LEGITIMACIÓN PROCESAL ACTIVA. CONCEPTO.</w:t>
      </w:r>
      <w:r w:rsidRPr="00807D70">
        <w:rPr>
          <w:rFonts w:ascii="Arial" w:hAnsi="Arial" w:cs="Arial"/>
          <w:i/>
          <w:sz w:val="24"/>
          <w:szCs w:val="24"/>
        </w:rPr>
        <w:t xml:space="preserve"> Por legitimación procesal activa se entiende la potestad legal para acudir al órgano jurisdiccional con la petición de que se inicie la tramitación del juicio o de una instancia. A esta legitimación se le conoce con el nombre de ad procesum y se produce cuando el derecho que se cuestionará en el juicio es ejercitado en el proceso por quien tiene aptitud para hacerlo valer, a diferencia de la legitimación ad causam que implica tener la titularidad de ese derecho cuestionado en el juicio. La legitimación en el proceso se produce cuando la acción es ejercitada en el juicio por aquel que tiene aptitud para hacer valer el derecho que se cuestionará, bien porque se ostente como titular de ese derecho o bien porque cuente con la representación legal de dicho titular. La legitimación ad procesum es requisito para la procedencia del juicio, mientras que la ad causam, lo es para que se pronuncie sentencia favorable.”</w:t>
      </w:r>
    </w:p>
    <w:p w:rsidR="00D75DC7" w:rsidRDefault="007D55DA" w:rsidP="00D75DC7">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bCs/>
          <w:sz w:val="26"/>
          <w:szCs w:val="26"/>
        </w:rPr>
        <w:tab/>
      </w:r>
      <w:r w:rsidR="00D75DC7">
        <w:rPr>
          <w:rFonts w:ascii="Arial" w:eastAsia="Calibri" w:hAnsi="Arial" w:cs="Arial"/>
          <w:bCs/>
          <w:sz w:val="26"/>
          <w:szCs w:val="26"/>
        </w:rPr>
        <w:t xml:space="preserve">En consecuencia, ante las anteriores consideraciones, procede </w:t>
      </w:r>
      <w:r w:rsidR="00D75DC7" w:rsidRPr="0053094B">
        <w:rPr>
          <w:rFonts w:ascii="Arial" w:eastAsia="Calibri" w:hAnsi="Arial" w:cs="Arial"/>
          <w:b/>
          <w:bCs/>
          <w:sz w:val="26"/>
          <w:szCs w:val="26"/>
        </w:rPr>
        <w:t>DESECHAR</w:t>
      </w:r>
      <w:r w:rsidR="00D75DC7">
        <w:rPr>
          <w:rFonts w:ascii="Arial" w:eastAsia="Calibri" w:hAnsi="Arial" w:cs="Arial"/>
          <w:bCs/>
          <w:sz w:val="26"/>
          <w:szCs w:val="26"/>
        </w:rPr>
        <w:t xml:space="preserve"> el presente recurso de revisión, al no estar legitimada la recurrente para impugnar la sentencia en los términos planteados y </w:t>
      </w:r>
      <w:r w:rsidR="00D75DC7">
        <w:rPr>
          <w:rFonts w:ascii="Arial" w:hAnsi="Arial" w:cs="Arial"/>
          <w:sz w:val="26"/>
          <w:szCs w:val="26"/>
        </w:rPr>
        <w:t>con fundamento en los artículos 2</w:t>
      </w:r>
      <w:r w:rsidR="0045239D">
        <w:rPr>
          <w:rFonts w:ascii="Arial" w:hAnsi="Arial" w:cs="Arial"/>
          <w:sz w:val="26"/>
          <w:szCs w:val="26"/>
        </w:rPr>
        <w:t>37 y 23</w:t>
      </w:r>
      <w:r w:rsidR="00D75DC7">
        <w:rPr>
          <w:rFonts w:ascii="Arial" w:hAnsi="Arial" w:cs="Arial"/>
          <w:sz w:val="26"/>
          <w:szCs w:val="26"/>
        </w:rPr>
        <w:t xml:space="preserve">8 de la Ley de </w:t>
      </w:r>
      <w:r w:rsidR="0045239D">
        <w:rPr>
          <w:rFonts w:ascii="Arial" w:hAnsi="Arial" w:cs="Arial"/>
          <w:sz w:val="26"/>
          <w:szCs w:val="26"/>
        </w:rPr>
        <w:t xml:space="preserve">Procedimiento y Justicia </w:t>
      </w:r>
      <w:r w:rsidR="00D75DC7">
        <w:rPr>
          <w:rFonts w:ascii="Arial" w:hAnsi="Arial" w:cs="Arial"/>
          <w:sz w:val="26"/>
          <w:szCs w:val="26"/>
        </w:rPr>
        <w:t>Administrativa para el Estado, se:</w:t>
      </w:r>
    </w:p>
    <w:p w:rsidR="00D75DC7" w:rsidRDefault="00D75DC7" w:rsidP="00D75DC7">
      <w:pPr>
        <w:pStyle w:val="Sinespaciado"/>
        <w:spacing w:before="240" w:line="360" w:lineRule="auto"/>
        <w:jc w:val="center"/>
        <w:rPr>
          <w:rFonts w:ascii="Arial" w:hAnsi="Arial" w:cs="Arial"/>
          <w:b/>
          <w:sz w:val="24"/>
          <w:szCs w:val="24"/>
        </w:rPr>
      </w:pPr>
      <w:r w:rsidRPr="00CB6E8A">
        <w:rPr>
          <w:rFonts w:ascii="Arial" w:hAnsi="Arial" w:cs="Arial"/>
          <w:b/>
          <w:sz w:val="24"/>
          <w:szCs w:val="24"/>
        </w:rPr>
        <w:t>R E S U E L V E</w:t>
      </w:r>
    </w:p>
    <w:p w:rsidR="00D75DC7" w:rsidRDefault="00D75DC7" w:rsidP="00D75DC7">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Pr>
          <w:rFonts w:ascii="Arial" w:hAnsi="Arial" w:cs="Arial"/>
          <w:b/>
          <w:color w:val="000000"/>
          <w:sz w:val="26"/>
          <w:szCs w:val="26"/>
          <w:lang w:val="es-MX"/>
        </w:rPr>
        <w:t xml:space="preserve">DESECHA </w:t>
      </w:r>
      <w:r>
        <w:rPr>
          <w:rFonts w:ascii="Arial" w:hAnsi="Arial" w:cs="Arial"/>
          <w:color w:val="000000"/>
          <w:sz w:val="26"/>
          <w:szCs w:val="26"/>
          <w:lang w:val="es-MX"/>
        </w:rPr>
        <w:t>el presente medio de impugnación, por las razones expuestas en el considerando que antecede.</w:t>
      </w:r>
    </w:p>
    <w:p w:rsidR="00E164E7" w:rsidRDefault="00D75DC7" w:rsidP="00D75DC7">
      <w:pPr>
        <w:widowControl w:val="0"/>
        <w:tabs>
          <w:tab w:val="left" w:pos="0"/>
        </w:tabs>
        <w:spacing w:before="240" w:after="0" w:line="360" w:lineRule="auto"/>
        <w:ind w:right="18"/>
        <w:jc w:val="both"/>
        <w:rPr>
          <w:rFonts w:ascii="Arial" w:hAnsi="Arial" w:cs="Arial"/>
          <w:sz w:val="26"/>
          <w:szCs w:val="26"/>
        </w:rPr>
      </w:pPr>
      <w:r>
        <w:rPr>
          <w:rFonts w:ascii="Arial" w:hAnsi="Arial" w:cs="Arial"/>
          <w:b/>
          <w:sz w:val="26"/>
          <w:szCs w:val="26"/>
          <w:lang w:val="es-MX"/>
        </w:rPr>
        <w:tab/>
      </w:r>
      <w:r w:rsidR="00D03B93">
        <w:rPr>
          <w:rFonts w:ascii="Arial" w:hAnsi="Arial" w:cs="Arial"/>
          <w:b/>
          <w:sz w:val="26"/>
          <w:szCs w:val="26"/>
        </w:rPr>
        <w:t xml:space="preserve">SEGUNDO.- </w:t>
      </w:r>
      <w:r w:rsidR="00D03B93" w:rsidRPr="007B1E95">
        <w:rPr>
          <w:rFonts w:ascii="Arial" w:hAnsi="Arial" w:cs="Arial"/>
          <w:b/>
          <w:sz w:val="26"/>
          <w:szCs w:val="26"/>
        </w:rPr>
        <w:t>N</w:t>
      </w:r>
      <w:r w:rsidR="00D03B93" w:rsidRPr="006E349D">
        <w:rPr>
          <w:rFonts w:ascii="Arial" w:hAnsi="Arial" w:cs="Arial"/>
          <w:b/>
          <w:sz w:val="26"/>
          <w:szCs w:val="26"/>
        </w:rPr>
        <w:t>OTIFÍQUESE</w:t>
      </w:r>
      <w:r w:rsidR="00D03B93">
        <w:rPr>
          <w:rFonts w:ascii="Arial" w:hAnsi="Arial" w:cs="Arial"/>
          <w:b/>
          <w:sz w:val="26"/>
          <w:szCs w:val="26"/>
        </w:rPr>
        <w:t xml:space="preserve"> Y CÚMPLASE</w:t>
      </w:r>
      <w:r w:rsidR="00986534">
        <w:rPr>
          <w:rFonts w:ascii="Arial" w:hAnsi="Arial" w:cs="Arial"/>
          <w:b/>
          <w:sz w:val="26"/>
          <w:szCs w:val="26"/>
        </w:rPr>
        <w:t>,</w:t>
      </w:r>
      <w:r w:rsidR="00986534" w:rsidRPr="00986534">
        <w:rPr>
          <w:rFonts w:ascii="Arial" w:hAnsi="Arial" w:cs="Arial"/>
          <w:sz w:val="26"/>
          <w:szCs w:val="26"/>
        </w:rPr>
        <w:t xml:space="preserve"> </w:t>
      </w:r>
      <w:r w:rsidR="00986534">
        <w:rPr>
          <w:rFonts w:ascii="Arial" w:hAnsi="Arial" w:cs="Arial"/>
          <w:sz w:val="26"/>
          <w:szCs w:val="26"/>
        </w:rPr>
        <w:t xml:space="preserve">remítase copia </w:t>
      </w:r>
      <w:r w:rsidR="00986534">
        <w:rPr>
          <w:rFonts w:ascii="Arial" w:hAnsi="Arial" w:cs="Arial"/>
          <w:sz w:val="26"/>
          <w:szCs w:val="26"/>
        </w:rPr>
        <w:lastRenderedPageBreak/>
        <w:t xml:space="preserve">certificada de la presente resolución a la </w:t>
      </w:r>
      <w:r w:rsidR="008D36E0">
        <w:rPr>
          <w:rFonts w:ascii="Arial" w:hAnsi="Arial" w:cs="Arial"/>
          <w:sz w:val="26"/>
          <w:szCs w:val="26"/>
        </w:rPr>
        <w:t xml:space="preserve">Primera </w:t>
      </w:r>
      <w:r w:rsidR="00986534">
        <w:rPr>
          <w:rFonts w:ascii="Arial" w:hAnsi="Arial" w:cs="Arial"/>
          <w:sz w:val="26"/>
          <w:szCs w:val="26"/>
        </w:rPr>
        <w:t xml:space="preserve">Sala Unitaria de Primera Instancia de este Tribunal y en su oportunidad archívese el presente cuaderno de </w:t>
      </w:r>
      <w:r w:rsidR="00365A43">
        <w:rPr>
          <w:rFonts w:ascii="Arial" w:hAnsi="Arial" w:cs="Arial"/>
          <w:sz w:val="26"/>
          <w:szCs w:val="26"/>
        </w:rPr>
        <w:t>revisión como asunto concluido.</w:t>
      </w:r>
    </w:p>
    <w:p w:rsidR="00365A43" w:rsidRPr="00582569" w:rsidRDefault="00365A43" w:rsidP="00365A43">
      <w:pPr>
        <w:pStyle w:val="Sinespaciado"/>
        <w:spacing w:before="240" w:after="240" w:line="360" w:lineRule="auto"/>
        <w:ind w:firstLine="708"/>
        <w:jc w:val="both"/>
        <w:rPr>
          <w:rFonts w:ascii="Arial" w:hAnsi="Arial" w:cs="Arial"/>
          <w:b/>
          <w:sz w:val="26"/>
          <w:szCs w:val="26"/>
        </w:rPr>
      </w:pPr>
      <w:r>
        <w:rPr>
          <w:rFonts w:ascii="Arial" w:hAnsi="Arial" w:cs="Arial"/>
          <w:b/>
          <w:sz w:val="26"/>
          <w:szCs w:val="26"/>
        </w:rPr>
        <w:t xml:space="preserve">TERCERO. </w:t>
      </w:r>
      <w:r>
        <w:rPr>
          <w:rFonts w:ascii="Arial" w:hAnsi="Arial" w:cs="Arial"/>
          <w:sz w:val="26"/>
          <w:szCs w:val="26"/>
        </w:rPr>
        <w:t>Finalmente, por Acuerdo General AG/TJAO/015/2018, aprobado en sesión administrativa de fecha veintisiete de noviembre de dos mil dieciocho, por el Pleno de la Sala Superior de este órgano jurisdiccional, se autorizó el cambio de domicilio del Tribunal de Justicia Administrativa del Estado de Oaxaca, y en atención a la fe de erratas del referido acuerdo, hágase del conocimiento a las partes que el inmueble que alberga las instalaciones de este Tribunal a partir del uno de enero de dos mil diecinueve, es el ubicado en la Calle Miguel Hidalgo número 215, Colonia Centro, Municipio de Oaxaca de Juárez, Oaxaca, Código Postal 68000.</w:t>
      </w:r>
    </w:p>
    <w:p w:rsidR="00365A43" w:rsidRDefault="00365A43" w:rsidP="00365A43">
      <w:pPr>
        <w:spacing w:line="360" w:lineRule="auto"/>
        <w:ind w:firstLine="708"/>
        <w:jc w:val="both"/>
        <w:rPr>
          <w:rFonts w:ascii="Arial" w:hAnsi="Arial" w:cs="Arial"/>
          <w:sz w:val="26"/>
          <w:szCs w:val="26"/>
        </w:rPr>
      </w:pPr>
      <w:r>
        <w:rPr>
          <w:rFonts w:ascii="Arial" w:hAnsi="Arial" w:cs="Arial"/>
          <w:sz w:val="26"/>
          <w:szCs w:val="26"/>
        </w:rPr>
        <w:t>Por unanimidad de votos, lo resolvieron y firmaron los Magistrados Adrián Quiroga Avendaño, Hugo Villegas Aquino, María Elena Villa de Jarquín, Enrique Pacheco Martínez (</w:t>
      </w:r>
      <w:r>
        <w:rPr>
          <w:rFonts w:ascii="Arial" w:hAnsi="Arial" w:cs="Arial"/>
          <w:b/>
          <w:sz w:val="26"/>
          <w:szCs w:val="26"/>
        </w:rPr>
        <w:t>ponente</w:t>
      </w:r>
      <w:r>
        <w:rPr>
          <w:rFonts w:ascii="Arial" w:hAnsi="Arial" w:cs="Arial"/>
          <w:sz w:val="26"/>
          <w:szCs w:val="26"/>
        </w:rPr>
        <w:t xml:space="preserve">) y Manuel Velasco Alcántara; quienes actúan con la Licenciada Leticia García Soto, Secretaria General de Acuerdos de este Tribunal, que autoriza y da fe.- </w:t>
      </w:r>
    </w:p>
    <w:p w:rsidR="00365A43" w:rsidRDefault="00365A43" w:rsidP="00365A43">
      <w:pPr>
        <w:spacing w:line="360" w:lineRule="auto"/>
        <w:jc w:val="center"/>
        <w:rPr>
          <w:rFonts w:ascii="Arial" w:hAnsi="Arial" w:cs="Arial"/>
          <w:sz w:val="26"/>
          <w:szCs w:val="26"/>
        </w:rPr>
      </w:pPr>
    </w:p>
    <w:p w:rsidR="00365A43" w:rsidRDefault="00365A43" w:rsidP="00365A43">
      <w:pPr>
        <w:spacing w:line="360" w:lineRule="auto"/>
        <w:jc w:val="center"/>
        <w:rPr>
          <w:rFonts w:ascii="Arial" w:hAnsi="Arial" w:cs="Arial"/>
          <w:sz w:val="26"/>
          <w:szCs w:val="26"/>
        </w:rPr>
      </w:pPr>
    </w:p>
    <w:p w:rsidR="00365A43" w:rsidRDefault="00365A43" w:rsidP="00365A43">
      <w:pPr>
        <w:spacing w:line="360" w:lineRule="auto"/>
        <w:jc w:val="center"/>
        <w:rPr>
          <w:rFonts w:ascii="Arial" w:hAnsi="Arial" w:cs="Arial"/>
          <w:sz w:val="26"/>
          <w:szCs w:val="26"/>
        </w:rPr>
      </w:pPr>
    </w:p>
    <w:p w:rsidR="00365A43" w:rsidRDefault="00365A43" w:rsidP="00365A43">
      <w:pPr>
        <w:spacing w:line="360" w:lineRule="auto"/>
        <w:jc w:val="center"/>
        <w:rPr>
          <w:rFonts w:ascii="Arial" w:hAnsi="Arial" w:cs="Arial"/>
          <w:sz w:val="26"/>
          <w:szCs w:val="26"/>
        </w:rPr>
      </w:pPr>
    </w:p>
    <w:p w:rsidR="00365A43" w:rsidRDefault="00365A43" w:rsidP="00365A43">
      <w:pPr>
        <w:spacing w:line="360" w:lineRule="auto"/>
        <w:jc w:val="center"/>
        <w:rPr>
          <w:rFonts w:ascii="Arial" w:hAnsi="Arial" w:cs="Arial"/>
          <w:sz w:val="26"/>
          <w:szCs w:val="26"/>
        </w:rPr>
      </w:pPr>
      <w:r>
        <w:rPr>
          <w:rFonts w:ascii="Arial" w:hAnsi="Arial" w:cs="Arial"/>
          <w:sz w:val="26"/>
          <w:szCs w:val="26"/>
        </w:rPr>
        <w:t>MAGISTRADO ADRIÁN QUIROGA AVENDAÑO</w:t>
      </w:r>
    </w:p>
    <w:p w:rsidR="00365A43" w:rsidRDefault="00365A43" w:rsidP="00365A43">
      <w:pPr>
        <w:spacing w:line="360" w:lineRule="auto"/>
        <w:jc w:val="center"/>
        <w:rPr>
          <w:rFonts w:ascii="Arial" w:hAnsi="Arial" w:cs="Arial"/>
          <w:sz w:val="26"/>
          <w:szCs w:val="26"/>
        </w:rPr>
      </w:pPr>
      <w:r>
        <w:rPr>
          <w:rFonts w:ascii="Arial" w:hAnsi="Arial" w:cs="Arial"/>
          <w:sz w:val="26"/>
          <w:szCs w:val="26"/>
        </w:rPr>
        <w:t>PRESIDENTE</w:t>
      </w:r>
    </w:p>
    <w:p w:rsidR="00365A43" w:rsidRDefault="00365A43" w:rsidP="00365A43">
      <w:pPr>
        <w:tabs>
          <w:tab w:val="left" w:pos="1680"/>
          <w:tab w:val="center" w:pos="4277"/>
        </w:tabs>
        <w:spacing w:line="360" w:lineRule="auto"/>
        <w:jc w:val="center"/>
        <w:rPr>
          <w:rFonts w:ascii="Arial" w:hAnsi="Arial" w:cs="Arial"/>
          <w:sz w:val="26"/>
          <w:szCs w:val="26"/>
        </w:rPr>
      </w:pPr>
    </w:p>
    <w:p w:rsidR="00365A43" w:rsidRDefault="00365A43" w:rsidP="00365A43">
      <w:pPr>
        <w:tabs>
          <w:tab w:val="left" w:pos="1680"/>
          <w:tab w:val="center" w:pos="4277"/>
        </w:tabs>
        <w:spacing w:line="360" w:lineRule="auto"/>
        <w:jc w:val="center"/>
        <w:rPr>
          <w:rFonts w:ascii="Arial" w:hAnsi="Arial" w:cs="Arial"/>
          <w:sz w:val="26"/>
          <w:szCs w:val="26"/>
        </w:rPr>
      </w:pPr>
    </w:p>
    <w:p w:rsidR="00365A43" w:rsidRDefault="00365A43" w:rsidP="00365A43">
      <w:pPr>
        <w:tabs>
          <w:tab w:val="left" w:pos="1680"/>
          <w:tab w:val="center" w:pos="4277"/>
        </w:tabs>
        <w:spacing w:line="360" w:lineRule="auto"/>
        <w:jc w:val="center"/>
        <w:rPr>
          <w:rFonts w:ascii="Arial" w:hAnsi="Arial" w:cs="Arial"/>
          <w:sz w:val="26"/>
          <w:szCs w:val="26"/>
        </w:rPr>
      </w:pPr>
    </w:p>
    <w:p w:rsidR="00365A43" w:rsidRDefault="00365A43" w:rsidP="00365A43">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HUGO VILLEGAS AQUINO</w:t>
      </w:r>
    </w:p>
    <w:p w:rsidR="00365A43" w:rsidRDefault="00365A43" w:rsidP="00365A43">
      <w:pPr>
        <w:spacing w:line="360" w:lineRule="auto"/>
        <w:jc w:val="center"/>
        <w:rPr>
          <w:rFonts w:ascii="Arial" w:hAnsi="Arial" w:cs="Arial"/>
          <w:sz w:val="26"/>
          <w:szCs w:val="26"/>
        </w:rPr>
      </w:pPr>
    </w:p>
    <w:p w:rsidR="00365A43" w:rsidRDefault="00365A43" w:rsidP="00365A43">
      <w:pPr>
        <w:spacing w:line="360" w:lineRule="auto"/>
        <w:jc w:val="center"/>
        <w:rPr>
          <w:rFonts w:ascii="Arial" w:hAnsi="Arial" w:cs="Arial"/>
          <w:sz w:val="26"/>
          <w:szCs w:val="26"/>
        </w:rPr>
      </w:pPr>
    </w:p>
    <w:p w:rsidR="00365A43" w:rsidRDefault="00365A43" w:rsidP="00365A43">
      <w:pPr>
        <w:spacing w:line="360" w:lineRule="auto"/>
        <w:jc w:val="center"/>
        <w:rPr>
          <w:rFonts w:ascii="Arial" w:hAnsi="Arial" w:cs="Arial"/>
          <w:sz w:val="26"/>
          <w:szCs w:val="26"/>
        </w:rPr>
      </w:pPr>
    </w:p>
    <w:p w:rsidR="00365A43" w:rsidRDefault="00365A43" w:rsidP="00365A43">
      <w:pPr>
        <w:spacing w:line="360" w:lineRule="auto"/>
        <w:jc w:val="center"/>
        <w:rPr>
          <w:rFonts w:ascii="Arial" w:hAnsi="Arial" w:cs="Arial"/>
          <w:sz w:val="26"/>
          <w:szCs w:val="26"/>
        </w:rPr>
      </w:pPr>
    </w:p>
    <w:p w:rsidR="00365A43" w:rsidRDefault="00365A43" w:rsidP="00365A43">
      <w:pPr>
        <w:spacing w:line="360" w:lineRule="auto"/>
        <w:jc w:val="center"/>
        <w:rPr>
          <w:rFonts w:ascii="Arial" w:hAnsi="Arial" w:cs="Arial"/>
          <w:sz w:val="26"/>
          <w:szCs w:val="26"/>
        </w:rPr>
      </w:pPr>
      <w:r>
        <w:rPr>
          <w:rFonts w:ascii="Arial" w:hAnsi="Arial" w:cs="Arial"/>
          <w:sz w:val="26"/>
          <w:szCs w:val="26"/>
        </w:rPr>
        <w:t>MAGISTRADA MARÍA ELENA VILLA DE JARQUÍN</w:t>
      </w:r>
    </w:p>
    <w:p w:rsidR="00365A43" w:rsidRDefault="00365A43" w:rsidP="00365A43">
      <w:pPr>
        <w:spacing w:line="360" w:lineRule="auto"/>
        <w:jc w:val="center"/>
        <w:rPr>
          <w:rFonts w:ascii="Arial" w:hAnsi="Arial" w:cs="Arial"/>
          <w:sz w:val="26"/>
          <w:szCs w:val="26"/>
        </w:rPr>
      </w:pPr>
    </w:p>
    <w:p w:rsidR="00365A43" w:rsidRDefault="00365A43" w:rsidP="00365A43">
      <w:pPr>
        <w:spacing w:line="360" w:lineRule="auto"/>
        <w:jc w:val="center"/>
        <w:rPr>
          <w:rFonts w:ascii="Arial" w:hAnsi="Arial" w:cs="Arial"/>
          <w:sz w:val="26"/>
          <w:szCs w:val="26"/>
        </w:rPr>
      </w:pPr>
    </w:p>
    <w:p w:rsidR="00365A43" w:rsidRDefault="00365A43" w:rsidP="00365A43">
      <w:pPr>
        <w:spacing w:line="360" w:lineRule="auto"/>
        <w:jc w:val="center"/>
        <w:rPr>
          <w:rFonts w:ascii="Arial" w:hAnsi="Arial" w:cs="Arial"/>
          <w:sz w:val="26"/>
          <w:szCs w:val="26"/>
        </w:rPr>
      </w:pPr>
    </w:p>
    <w:p w:rsidR="00365A43" w:rsidRDefault="00365A43" w:rsidP="00365A43">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ENRIQUE PACHECO MARTÍNEZ</w:t>
      </w:r>
    </w:p>
    <w:p w:rsidR="00365A43" w:rsidRDefault="00365A43" w:rsidP="00365A43">
      <w:pPr>
        <w:tabs>
          <w:tab w:val="center" w:pos="4135"/>
          <w:tab w:val="left" w:pos="7515"/>
        </w:tabs>
        <w:spacing w:line="360" w:lineRule="auto"/>
        <w:jc w:val="center"/>
        <w:rPr>
          <w:rFonts w:ascii="Arial" w:hAnsi="Arial" w:cs="Arial"/>
          <w:sz w:val="26"/>
          <w:szCs w:val="26"/>
        </w:rPr>
      </w:pPr>
    </w:p>
    <w:p w:rsidR="00365A43" w:rsidRDefault="00365A43" w:rsidP="00365A43">
      <w:pPr>
        <w:tabs>
          <w:tab w:val="center" w:pos="4135"/>
          <w:tab w:val="left" w:pos="7515"/>
        </w:tabs>
        <w:spacing w:line="360" w:lineRule="auto"/>
        <w:jc w:val="center"/>
        <w:rPr>
          <w:rFonts w:ascii="Arial" w:hAnsi="Arial" w:cs="Arial"/>
          <w:sz w:val="26"/>
          <w:szCs w:val="26"/>
        </w:rPr>
      </w:pPr>
    </w:p>
    <w:p w:rsidR="00365A43" w:rsidRDefault="00365A43" w:rsidP="00365A43">
      <w:pPr>
        <w:tabs>
          <w:tab w:val="center" w:pos="4135"/>
          <w:tab w:val="left" w:pos="7515"/>
        </w:tabs>
        <w:spacing w:line="360" w:lineRule="auto"/>
        <w:jc w:val="center"/>
        <w:rPr>
          <w:rFonts w:ascii="Arial" w:hAnsi="Arial" w:cs="Arial"/>
          <w:sz w:val="26"/>
          <w:szCs w:val="26"/>
        </w:rPr>
      </w:pPr>
    </w:p>
    <w:p w:rsidR="00365A43" w:rsidRDefault="00365A43" w:rsidP="00365A43">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MANUEL VELASCO ALCANTARA</w:t>
      </w:r>
    </w:p>
    <w:p w:rsidR="00365A43" w:rsidRDefault="00365A43" w:rsidP="00365A43">
      <w:pPr>
        <w:jc w:val="center"/>
        <w:rPr>
          <w:rFonts w:ascii="Arial" w:hAnsi="Arial" w:cs="Arial"/>
          <w:sz w:val="26"/>
          <w:szCs w:val="26"/>
        </w:rPr>
      </w:pPr>
    </w:p>
    <w:p w:rsidR="00365A43" w:rsidRDefault="00365A43" w:rsidP="00365A43">
      <w:pPr>
        <w:jc w:val="center"/>
        <w:rPr>
          <w:rFonts w:ascii="Arial" w:hAnsi="Arial" w:cs="Arial"/>
          <w:sz w:val="26"/>
          <w:szCs w:val="26"/>
        </w:rPr>
      </w:pPr>
    </w:p>
    <w:p w:rsidR="00365A43" w:rsidRDefault="00365A43" w:rsidP="00365A43">
      <w:pPr>
        <w:jc w:val="center"/>
        <w:rPr>
          <w:rFonts w:ascii="Arial" w:hAnsi="Arial" w:cs="Arial"/>
          <w:sz w:val="26"/>
          <w:szCs w:val="26"/>
        </w:rPr>
      </w:pPr>
    </w:p>
    <w:p w:rsidR="00365A43" w:rsidRDefault="00365A43" w:rsidP="00365A43">
      <w:pPr>
        <w:jc w:val="center"/>
        <w:rPr>
          <w:rFonts w:ascii="Arial" w:hAnsi="Arial" w:cs="Arial"/>
          <w:sz w:val="26"/>
          <w:szCs w:val="26"/>
        </w:rPr>
      </w:pPr>
      <w:r>
        <w:rPr>
          <w:rFonts w:ascii="Arial" w:hAnsi="Arial" w:cs="Arial"/>
          <w:sz w:val="26"/>
          <w:szCs w:val="26"/>
        </w:rPr>
        <w:t>LCDA. LETICIA GARCIA SOTO</w:t>
      </w:r>
    </w:p>
    <w:sectPr w:rsidR="00365A43" w:rsidSect="0091304F">
      <w:headerReference w:type="even" r:id="rId9"/>
      <w:headerReference w:type="default" r:id="rId10"/>
      <w:footerReference w:type="even" r:id="rId11"/>
      <w:footerReference w:type="default" r:id="rId12"/>
      <w:headerReference w:type="first" r:id="rId13"/>
      <w:footerReference w:type="first" r:id="rId14"/>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4972" w:rsidRDefault="003C4972">
      <w:pPr>
        <w:spacing w:after="0" w:line="240" w:lineRule="auto"/>
      </w:pPr>
      <w:r>
        <w:separator/>
      </w:r>
    </w:p>
  </w:endnote>
  <w:endnote w:type="continuationSeparator" w:id="0">
    <w:p w:rsidR="003C4972" w:rsidRDefault="003C49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0227" w:rsidRDefault="008C0227">
    <w:pPr>
      <w:pStyle w:val="Piedepgina"/>
    </w:pPr>
    <w:r>
      <w:rPr>
        <w:noProof/>
        <w:lang w:val="es-MX" w:eastAsia="es-MX"/>
      </w:rPr>
      <w:drawing>
        <wp:anchor distT="0" distB="0" distL="114300" distR="114300" simplePos="0" relativeHeight="251659264" behindDoc="0" locked="0" layoutInCell="1" allowOverlap="1" wp14:anchorId="0C90FEF7" wp14:editId="319204B3">
          <wp:simplePos x="0" y="0"/>
          <wp:positionH relativeFrom="column">
            <wp:posOffset>5360670</wp:posOffset>
          </wp:positionH>
          <wp:positionV relativeFrom="paragraph">
            <wp:posOffset>-5444490</wp:posOffset>
          </wp:positionV>
          <wp:extent cx="1164590" cy="646430"/>
          <wp:effectExtent l="0" t="0" r="0" b="1270"/>
          <wp:wrapNone/>
          <wp:docPr id="4" name="Imagen 4"/>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0227" w:rsidRDefault="008C0227">
    <w:pPr>
      <w:pStyle w:val="Piedepgina"/>
    </w:pPr>
    <w:r>
      <w:rPr>
        <w:noProof/>
        <w:lang w:val="es-MX" w:eastAsia="es-MX"/>
      </w:rPr>
      <w:drawing>
        <wp:anchor distT="0" distB="0" distL="114300" distR="114300" simplePos="0" relativeHeight="251658240" behindDoc="0" locked="0" layoutInCell="1" allowOverlap="1" wp14:anchorId="693999E5" wp14:editId="61D1DAB4">
          <wp:simplePos x="0" y="0"/>
          <wp:positionH relativeFrom="column">
            <wp:posOffset>-1510665</wp:posOffset>
          </wp:positionH>
          <wp:positionV relativeFrom="paragraph">
            <wp:posOffset>-5063490</wp:posOffset>
          </wp:positionV>
          <wp:extent cx="1164590" cy="646430"/>
          <wp:effectExtent l="0" t="0" r="0" b="1270"/>
          <wp:wrapNone/>
          <wp:docPr id="1" name="Imagen 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0227" w:rsidRDefault="008C022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4972" w:rsidRDefault="003C4972">
      <w:pPr>
        <w:spacing w:after="0" w:line="240" w:lineRule="auto"/>
      </w:pPr>
      <w:r>
        <w:separator/>
      </w:r>
    </w:p>
  </w:footnote>
  <w:footnote w:type="continuationSeparator" w:id="0">
    <w:p w:rsidR="003C4972" w:rsidRDefault="003C4972">
      <w:pPr>
        <w:spacing w:after="0" w:line="240" w:lineRule="auto"/>
      </w:pPr>
      <w:r>
        <w:continuationSeparator/>
      </w:r>
    </w:p>
  </w:footnote>
  <w:footnote w:id="1">
    <w:p w:rsidR="005C5F71" w:rsidRPr="009829E3" w:rsidRDefault="005C5F71" w:rsidP="005C5F71">
      <w:pPr>
        <w:pStyle w:val="Textonotapie"/>
        <w:jc w:val="both"/>
        <w:rPr>
          <w:rFonts w:ascii="Arial" w:hAnsi="Arial" w:cs="Arial"/>
          <w:sz w:val="18"/>
          <w:szCs w:val="18"/>
        </w:rPr>
      </w:pPr>
      <w:r w:rsidRPr="009829E3">
        <w:rPr>
          <w:rStyle w:val="Refdenotaalpie"/>
          <w:rFonts w:ascii="Arial" w:hAnsi="Arial" w:cs="Arial"/>
          <w:sz w:val="18"/>
          <w:szCs w:val="18"/>
        </w:rPr>
        <w:footnoteRef/>
      </w:r>
      <w:r w:rsidRPr="009829E3">
        <w:rPr>
          <w:rFonts w:ascii="Arial" w:hAnsi="Arial" w:cs="Arial"/>
          <w:sz w:val="18"/>
          <w:szCs w:val="18"/>
        </w:rPr>
        <w:t xml:space="preserve">  “</w:t>
      </w:r>
      <w:r w:rsidRPr="0045239D">
        <w:rPr>
          <w:rFonts w:ascii="Arial" w:hAnsi="Arial" w:cs="Arial"/>
          <w:b/>
          <w:sz w:val="18"/>
          <w:szCs w:val="18"/>
        </w:rPr>
        <w:t>ARTICULO 2</w:t>
      </w:r>
      <w:r w:rsidR="0045239D" w:rsidRPr="0045239D">
        <w:rPr>
          <w:rFonts w:ascii="Arial" w:hAnsi="Arial" w:cs="Arial"/>
          <w:b/>
          <w:sz w:val="18"/>
          <w:szCs w:val="18"/>
        </w:rPr>
        <w:t>3</w:t>
      </w:r>
      <w:r w:rsidRPr="0045239D">
        <w:rPr>
          <w:rFonts w:ascii="Arial" w:hAnsi="Arial" w:cs="Arial"/>
          <w:b/>
          <w:sz w:val="18"/>
          <w:szCs w:val="18"/>
        </w:rPr>
        <w:t>6</w:t>
      </w:r>
      <w:r w:rsidRPr="009829E3">
        <w:rPr>
          <w:rFonts w:ascii="Arial" w:hAnsi="Arial" w:cs="Arial"/>
          <w:sz w:val="18"/>
          <w:szCs w:val="18"/>
        </w:rPr>
        <w:t>.- Contra los acuerdos y resoluciones dictados por los Jueces de Primera Instancia, procede el recurso de revisión, cuyo conocimiento y resolución corresponde a la Sala Superior.</w:t>
      </w:r>
    </w:p>
    <w:p w:rsidR="005C5F71" w:rsidRPr="009829E3" w:rsidRDefault="005C5F71" w:rsidP="005C5F71">
      <w:pPr>
        <w:pStyle w:val="Textonotapie"/>
        <w:jc w:val="both"/>
        <w:rPr>
          <w:rFonts w:ascii="Arial" w:hAnsi="Arial" w:cs="Arial"/>
          <w:sz w:val="18"/>
          <w:szCs w:val="18"/>
        </w:rPr>
      </w:pPr>
      <w:r w:rsidRPr="009829E3">
        <w:rPr>
          <w:rFonts w:ascii="Arial" w:hAnsi="Arial" w:cs="Arial"/>
          <w:sz w:val="18"/>
          <w:szCs w:val="18"/>
        </w:rPr>
        <w:t xml:space="preserve">   Podrán ser impugnados por las partes, mediante recurso de revisión;</w:t>
      </w:r>
    </w:p>
    <w:p w:rsidR="005C5F71" w:rsidRPr="009829E3" w:rsidRDefault="005C5F71" w:rsidP="005C5F71">
      <w:pPr>
        <w:pStyle w:val="Textonotapie"/>
        <w:jc w:val="both"/>
        <w:rPr>
          <w:rFonts w:ascii="Arial" w:hAnsi="Arial" w:cs="Arial"/>
          <w:sz w:val="18"/>
          <w:szCs w:val="18"/>
        </w:rPr>
      </w:pPr>
      <w:r w:rsidRPr="009829E3">
        <w:rPr>
          <w:rFonts w:ascii="Arial" w:hAnsi="Arial" w:cs="Arial"/>
          <w:sz w:val="18"/>
          <w:szCs w:val="18"/>
        </w:rPr>
        <w:t xml:space="preserve">   …”</w:t>
      </w:r>
    </w:p>
  </w:footnote>
  <w:footnote w:id="2">
    <w:p w:rsidR="005C5F71" w:rsidRPr="009829E3" w:rsidRDefault="005C5F71" w:rsidP="005C5F71">
      <w:pPr>
        <w:pStyle w:val="Sinespaciado"/>
        <w:rPr>
          <w:rFonts w:ascii="Arial" w:hAnsi="Arial" w:cs="Arial"/>
          <w:sz w:val="18"/>
          <w:szCs w:val="18"/>
        </w:rPr>
      </w:pPr>
      <w:r w:rsidRPr="009829E3">
        <w:rPr>
          <w:rStyle w:val="Refdenotaalpie"/>
          <w:rFonts w:ascii="Arial" w:hAnsi="Arial" w:cs="Arial"/>
          <w:sz w:val="18"/>
          <w:szCs w:val="18"/>
        </w:rPr>
        <w:footnoteRef/>
      </w:r>
      <w:r w:rsidRPr="009829E3">
        <w:rPr>
          <w:rFonts w:ascii="Arial" w:hAnsi="Arial" w:cs="Arial"/>
          <w:sz w:val="18"/>
          <w:szCs w:val="18"/>
        </w:rPr>
        <w:t xml:space="preserve">  “</w:t>
      </w:r>
      <w:r w:rsidRPr="0045239D">
        <w:rPr>
          <w:rFonts w:ascii="Arial" w:hAnsi="Arial" w:cs="Arial"/>
          <w:b/>
          <w:sz w:val="18"/>
          <w:szCs w:val="18"/>
        </w:rPr>
        <w:t>ARTICULO 1</w:t>
      </w:r>
      <w:r w:rsidR="0045239D" w:rsidRPr="0045239D">
        <w:rPr>
          <w:rFonts w:ascii="Arial" w:hAnsi="Arial" w:cs="Arial"/>
          <w:b/>
          <w:sz w:val="18"/>
          <w:szCs w:val="18"/>
        </w:rPr>
        <w:t>63</w:t>
      </w:r>
      <w:r w:rsidRPr="009829E3">
        <w:rPr>
          <w:rFonts w:ascii="Arial" w:hAnsi="Arial" w:cs="Arial"/>
          <w:sz w:val="18"/>
          <w:szCs w:val="18"/>
        </w:rPr>
        <w:t>.- Son partes en el juicio contencioso administrativo:</w:t>
      </w:r>
    </w:p>
    <w:p w:rsidR="005C5F71" w:rsidRPr="009829E3" w:rsidRDefault="005C5F71" w:rsidP="005C5F71">
      <w:pPr>
        <w:pStyle w:val="Sinespaciado"/>
        <w:tabs>
          <w:tab w:val="center" w:pos="4277"/>
        </w:tabs>
        <w:rPr>
          <w:rFonts w:ascii="Arial" w:hAnsi="Arial" w:cs="Arial"/>
          <w:sz w:val="18"/>
          <w:szCs w:val="18"/>
        </w:rPr>
      </w:pPr>
      <w:r w:rsidRPr="009829E3">
        <w:rPr>
          <w:rFonts w:ascii="Arial" w:hAnsi="Arial" w:cs="Arial"/>
          <w:sz w:val="18"/>
          <w:szCs w:val="18"/>
        </w:rPr>
        <w:t xml:space="preserve">   I. El actor. Tendrá ese carácter:</w:t>
      </w:r>
      <w:r>
        <w:rPr>
          <w:rFonts w:ascii="Arial" w:hAnsi="Arial" w:cs="Arial"/>
          <w:sz w:val="18"/>
          <w:szCs w:val="18"/>
        </w:rPr>
        <w:tab/>
      </w:r>
    </w:p>
    <w:p w:rsidR="005C5F71" w:rsidRPr="009829E3" w:rsidRDefault="005C5F71" w:rsidP="005C5F71">
      <w:pPr>
        <w:pStyle w:val="Sinespaciado"/>
        <w:rPr>
          <w:rFonts w:ascii="Arial" w:hAnsi="Arial" w:cs="Arial"/>
          <w:sz w:val="18"/>
          <w:szCs w:val="18"/>
        </w:rPr>
      </w:pPr>
      <w:r w:rsidRPr="009829E3">
        <w:rPr>
          <w:rFonts w:ascii="Arial" w:hAnsi="Arial" w:cs="Arial"/>
          <w:sz w:val="18"/>
          <w:szCs w:val="18"/>
        </w:rPr>
        <w:t xml:space="preserve">   …</w:t>
      </w:r>
    </w:p>
    <w:p w:rsidR="005C5F71" w:rsidRPr="009829E3" w:rsidRDefault="005C5F71" w:rsidP="005C5F71">
      <w:pPr>
        <w:pStyle w:val="Sinespaciado"/>
        <w:rPr>
          <w:rFonts w:ascii="Arial" w:hAnsi="Arial" w:cs="Arial"/>
          <w:sz w:val="18"/>
          <w:szCs w:val="18"/>
        </w:rPr>
      </w:pPr>
      <w:r w:rsidRPr="009829E3">
        <w:rPr>
          <w:rFonts w:ascii="Arial" w:hAnsi="Arial" w:cs="Arial"/>
          <w:sz w:val="18"/>
          <w:szCs w:val="18"/>
        </w:rPr>
        <w:t xml:space="preserve">   II. El demandado. Tendrá ese carácter:</w:t>
      </w:r>
    </w:p>
    <w:p w:rsidR="005C5F71" w:rsidRPr="009829E3" w:rsidRDefault="005C5F71" w:rsidP="005C5F71">
      <w:pPr>
        <w:pStyle w:val="Sinespaciado"/>
        <w:rPr>
          <w:rFonts w:ascii="Arial" w:hAnsi="Arial" w:cs="Arial"/>
          <w:sz w:val="18"/>
          <w:szCs w:val="18"/>
        </w:rPr>
      </w:pPr>
      <w:r w:rsidRPr="009829E3">
        <w:rPr>
          <w:rFonts w:ascii="Arial" w:hAnsi="Arial" w:cs="Arial"/>
          <w:sz w:val="18"/>
          <w:szCs w:val="18"/>
        </w:rPr>
        <w:t xml:space="preserve">   ….</w:t>
      </w:r>
    </w:p>
    <w:p w:rsidR="005C5F71" w:rsidRPr="009829E3" w:rsidRDefault="005C5F71" w:rsidP="005C5F71">
      <w:pPr>
        <w:pStyle w:val="Sinespaciado"/>
        <w:rPr>
          <w:sz w:val="18"/>
          <w:szCs w:val="18"/>
        </w:rPr>
      </w:pPr>
      <w:r w:rsidRPr="009829E3">
        <w:rPr>
          <w:rFonts w:ascii="Arial" w:hAnsi="Arial" w:cs="Arial"/>
          <w:sz w:val="18"/>
          <w:szCs w:val="18"/>
        </w:rPr>
        <w:t xml:space="preserve">   III. El tercero afectado, …”</w:t>
      </w:r>
    </w:p>
  </w:footnote>
  <w:footnote w:id="3">
    <w:p w:rsidR="00D75DC7" w:rsidRDefault="00D75DC7" w:rsidP="00D75DC7">
      <w:pPr>
        <w:pStyle w:val="Textonotapie"/>
        <w:rPr>
          <w:lang w:val="es-MX"/>
        </w:rPr>
      </w:pPr>
      <w:r>
        <w:rPr>
          <w:rStyle w:val="Refdenotaalpie"/>
        </w:rPr>
        <w:footnoteRef/>
      </w:r>
      <w:r>
        <w:t xml:space="preserve"> </w:t>
      </w:r>
      <w:r>
        <w:rPr>
          <w:lang w:val="es-MX"/>
        </w:rPr>
        <w:t>“</w:t>
      </w:r>
      <w:r w:rsidR="0045239D">
        <w:rPr>
          <w:b/>
          <w:lang w:val="es-MX"/>
        </w:rPr>
        <w:t>ARTÍCULO 20</w:t>
      </w:r>
      <w:r>
        <w:rPr>
          <w:b/>
          <w:lang w:val="es-MX"/>
        </w:rPr>
        <w:t xml:space="preserve">3.- </w:t>
      </w:r>
      <w:r>
        <w:rPr>
          <w:lang w:val="es-MX"/>
        </w:rPr>
        <w:t>La valoración de las pruebas se hará de acuerdo con las siguientes reglas:</w:t>
      </w:r>
    </w:p>
    <w:p w:rsidR="00D75DC7" w:rsidRDefault="00D75DC7" w:rsidP="00D75DC7">
      <w:pPr>
        <w:pStyle w:val="Textonotapie"/>
        <w:jc w:val="both"/>
        <w:rPr>
          <w:lang w:val="es-MX"/>
        </w:rPr>
      </w:pPr>
      <w:r>
        <w:rPr>
          <w:lang w:val="es-MX"/>
        </w:rPr>
        <w:t xml:space="preserve">   I. Harán prueba plena la confesión expresa de las partes y los actos contenidos en documentos públicos, si en éstos últimos se contiene declaraciones de verdad o manifestaciones de hechos de particulares, y</w:t>
      </w:r>
    </w:p>
    <w:p w:rsidR="00D75DC7" w:rsidRPr="00D85145" w:rsidRDefault="00D75DC7" w:rsidP="00D75DC7">
      <w:pPr>
        <w:pStyle w:val="Textonotapie"/>
        <w:rPr>
          <w:lang w:val="es-MX"/>
        </w:rPr>
      </w:pPr>
      <w:r>
        <w:rPr>
          <w:lang w:val="es-MX"/>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7A2B3C" w:rsidRDefault="007A2B3C">
        <w:pPr>
          <w:pStyle w:val="Encabezado"/>
          <w:jc w:val="center"/>
        </w:pPr>
        <w:r>
          <w:fldChar w:fldCharType="begin"/>
        </w:r>
        <w:r>
          <w:instrText>PAGE   \* MERGEFORMAT</w:instrText>
        </w:r>
        <w:r>
          <w:fldChar w:fldCharType="separate"/>
        </w:r>
        <w:r w:rsidR="00450EAB">
          <w:rPr>
            <w:noProof/>
          </w:rPr>
          <w:t>8</w:t>
        </w:r>
        <w:r>
          <w:fldChar w:fldCharType="end"/>
        </w:r>
      </w:p>
    </w:sdtContent>
  </w:sdt>
  <w:p w:rsidR="007A2B3C" w:rsidRDefault="007A2B3C">
    <w:pPr>
      <w:pStyle w:val="Encabezado"/>
    </w:pPr>
  </w:p>
  <w:p w:rsidR="007A2B3C" w:rsidRDefault="007A2B3C"/>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7A2B3C" w:rsidRDefault="007A2B3C" w:rsidP="00206B99">
        <w:pPr>
          <w:pStyle w:val="Encabezado"/>
          <w:jc w:val="center"/>
          <w:rPr>
            <w:noProof/>
          </w:rPr>
        </w:pPr>
        <w:r>
          <w:fldChar w:fldCharType="begin"/>
        </w:r>
        <w:r>
          <w:instrText xml:space="preserve"> PAGE   \* MERGEFORMAT </w:instrText>
        </w:r>
        <w:r>
          <w:fldChar w:fldCharType="separate"/>
        </w:r>
        <w:r w:rsidR="00450EAB">
          <w:rPr>
            <w:noProof/>
          </w:rPr>
          <w:t>1</w:t>
        </w:r>
        <w:r>
          <w:rPr>
            <w:noProof/>
          </w:rPr>
          <w:fldChar w:fldCharType="end"/>
        </w:r>
      </w:p>
      <w:p w:rsidR="007A2B3C" w:rsidRDefault="00450EAB" w:rsidP="00206B99">
        <w:pPr>
          <w:pStyle w:val="Encabezado"/>
          <w:jc w:val="center"/>
        </w:pPr>
      </w:p>
    </w:sdtContent>
  </w:sdt>
  <w:p w:rsidR="007A2B3C" w:rsidRDefault="007A2B3C" w:rsidP="00927607">
    <w:pPr>
      <w:pStyle w:val="Encabezado"/>
      <w:tabs>
        <w:tab w:val="left" w:pos="142"/>
      </w:tabs>
      <w:ind w:left="284"/>
    </w:pPr>
  </w:p>
  <w:p w:rsidR="007A2B3C" w:rsidRDefault="007A2B3C"/>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0227" w:rsidRDefault="008C0227">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6">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7"/>
  </w:num>
  <w:num w:numId="2">
    <w:abstractNumId w:val="1"/>
  </w:num>
  <w:num w:numId="3">
    <w:abstractNumId w:val="0"/>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3"/>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2"/>
  <w:mirrorMargins/>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A31"/>
    <w:rsid w:val="0000725B"/>
    <w:rsid w:val="00011594"/>
    <w:rsid w:val="000169A3"/>
    <w:rsid w:val="00017C09"/>
    <w:rsid w:val="00021DF1"/>
    <w:rsid w:val="0002236D"/>
    <w:rsid w:val="00026C11"/>
    <w:rsid w:val="000330FB"/>
    <w:rsid w:val="00035047"/>
    <w:rsid w:val="00035379"/>
    <w:rsid w:val="00036D01"/>
    <w:rsid w:val="000410A1"/>
    <w:rsid w:val="00041D15"/>
    <w:rsid w:val="0004575F"/>
    <w:rsid w:val="00045A11"/>
    <w:rsid w:val="00053617"/>
    <w:rsid w:val="00053C13"/>
    <w:rsid w:val="0005701D"/>
    <w:rsid w:val="00057174"/>
    <w:rsid w:val="00057817"/>
    <w:rsid w:val="000612E4"/>
    <w:rsid w:val="000616B5"/>
    <w:rsid w:val="00070777"/>
    <w:rsid w:val="000737BF"/>
    <w:rsid w:val="0007458B"/>
    <w:rsid w:val="00076CEA"/>
    <w:rsid w:val="000803AB"/>
    <w:rsid w:val="000822AF"/>
    <w:rsid w:val="00083BEB"/>
    <w:rsid w:val="00085132"/>
    <w:rsid w:val="00085F69"/>
    <w:rsid w:val="00094546"/>
    <w:rsid w:val="0009618C"/>
    <w:rsid w:val="000961D2"/>
    <w:rsid w:val="000A1494"/>
    <w:rsid w:val="000A4E40"/>
    <w:rsid w:val="000A6360"/>
    <w:rsid w:val="000A6EC7"/>
    <w:rsid w:val="000A7BA9"/>
    <w:rsid w:val="000B0E70"/>
    <w:rsid w:val="000B1A06"/>
    <w:rsid w:val="000B3B3B"/>
    <w:rsid w:val="000B4122"/>
    <w:rsid w:val="000C1F7C"/>
    <w:rsid w:val="000C313C"/>
    <w:rsid w:val="000C3DBF"/>
    <w:rsid w:val="000D0E1D"/>
    <w:rsid w:val="000D1BD0"/>
    <w:rsid w:val="000D2FDE"/>
    <w:rsid w:val="000E12D3"/>
    <w:rsid w:val="000E218B"/>
    <w:rsid w:val="000E2E24"/>
    <w:rsid w:val="000E322A"/>
    <w:rsid w:val="000F018A"/>
    <w:rsid w:val="000F54B0"/>
    <w:rsid w:val="000F5D12"/>
    <w:rsid w:val="000F62C3"/>
    <w:rsid w:val="000F7CF6"/>
    <w:rsid w:val="00103FE7"/>
    <w:rsid w:val="001058D3"/>
    <w:rsid w:val="0010644A"/>
    <w:rsid w:val="00111B33"/>
    <w:rsid w:val="00111BFC"/>
    <w:rsid w:val="001144A1"/>
    <w:rsid w:val="00114AC5"/>
    <w:rsid w:val="00116579"/>
    <w:rsid w:val="001208F4"/>
    <w:rsid w:val="00121600"/>
    <w:rsid w:val="0012217B"/>
    <w:rsid w:val="00122F5E"/>
    <w:rsid w:val="00126F80"/>
    <w:rsid w:val="00127839"/>
    <w:rsid w:val="00127D14"/>
    <w:rsid w:val="00130500"/>
    <w:rsid w:val="001308D4"/>
    <w:rsid w:val="00131CDF"/>
    <w:rsid w:val="00133C57"/>
    <w:rsid w:val="00133D64"/>
    <w:rsid w:val="00136897"/>
    <w:rsid w:val="0014067A"/>
    <w:rsid w:val="00141175"/>
    <w:rsid w:val="00142893"/>
    <w:rsid w:val="001438A5"/>
    <w:rsid w:val="001441D3"/>
    <w:rsid w:val="0014484E"/>
    <w:rsid w:val="00146509"/>
    <w:rsid w:val="00146540"/>
    <w:rsid w:val="00147A8B"/>
    <w:rsid w:val="00151D48"/>
    <w:rsid w:val="00152A17"/>
    <w:rsid w:val="00152D3F"/>
    <w:rsid w:val="00152EF4"/>
    <w:rsid w:val="0015351E"/>
    <w:rsid w:val="00154584"/>
    <w:rsid w:val="00164061"/>
    <w:rsid w:val="00164BAD"/>
    <w:rsid w:val="00171831"/>
    <w:rsid w:val="00172205"/>
    <w:rsid w:val="001761CB"/>
    <w:rsid w:val="00180F55"/>
    <w:rsid w:val="001827CF"/>
    <w:rsid w:val="001843E8"/>
    <w:rsid w:val="00184B23"/>
    <w:rsid w:val="00190DE9"/>
    <w:rsid w:val="00191A27"/>
    <w:rsid w:val="00192287"/>
    <w:rsid w:val="0019429D"/>
    <w:rsid w:val="00194A88"/>
    <w:rsid w:val="00194C5C"/>
    <w:rsid w:val="0019600D"/>
    <w:rsid w:val="001A2DD1"/>
    <w:rsid w:val="001A3755"/>
    <w:rsid w:val="001A5951"/>
    <w:rsid w:val="001A5B4D"/>
    <w:rsid w:val="001A608E"/>
    <w:rsid w:val="001B1297"/>
    <w:rsid w:val="001B40F8"/>
    <w:rsid w:val="001B469D"/>
    <w:rsid w:val="001C0740"/>
    <w:rsid w:val="001C3488"/>
    <w:rsid w:val="001C4AAC"/>
    <w:rsid w:val="001C6A1B"/>
    <w:rsid w:val="001D0A5A"/>
    <w:rsid w:val="001D27A6"/>
    <w:rsid w:val="001D3B81"/>
    <w:rsid w:val="001D694C"/>
    <w:rsid w:val="001D730F"/>
    <w:rsid w:val="001E1758"/>
    <w:rsid w:val="001E3B11"/>
    <w:rsid w:val="001E503D"/>
    <w:rsid w:val="001E631B"/>
    <w:rsid w:val="001E680E"/>
    <w:rsid w:val="001F03C6"/>
    <w:rsid w:val="001F72DF"/>
    <w:rsid w:val="00200843"/>
    <w:rsid w:val="0020247E"/>
    <w:rsid w:val="00203FD3"/>
    <w:rsid w:val="00206222"/>
    <w:rsid w:val="00206B99"/>
    <w:rsid w:val="002103CD"/>
    <w:rsid w:val="002113FA"/>
    <w:rsid w:val="00211AEE"/>
    <w:rsid w:val="00211DEF"/>
    <w:rsid w:val="00212CDB"/>
    <w:rsid w:val="00212D0A"/>
    <w:rsid w:val="0021340C"/>
    <w:rsid w:val="002142F8"/>
    <w:rsid w:val="00214B69"/>
    <w:rsid w:val="00216474"/>
    <w:rsid w:val="00216595"/>
    <w:rsid w:val="00220A65"/>
    <w:rsid w:val="002214CB"/>
    <w:rsid w:val="0022196F"/>
    <w:rsid w:val="00223F75"/>
    <w:rsid w:val="00226A03"/>
    <w:rsid w:val="0023003B"/>
    <w:rsid w:val="002310A8"/>
    <w:rsid w:val="002327AF"/>
    <w:rsid w:val="00233034"/>
    <w:rsid w:val="00233214"/>
    <w:rsid w:val="00236064"/>
    <w:rsid w:val="002366C4"/>
    <w:rsid w:val="002378DE"/>
    <w:rsid w:val="00242891"/>
    <w:rsid w:val="00243181"/>
    <w:rsid w:val="00244208"/>
    <w:rsid w:val="0024497C"/>
    <w:rsid w:val="00245BAC"/>
    <w:rsid w:val="00246862"/>
    <w:rsid w:val="00246915"/>
    <w:rsid w:val="00246F70"/>
    <w:rsid w:val="00247875"/>
    <w:rsid w:val="00247D11"/>
    <w:rsid w:val="00254ED2"/>
    <w:rsid w:val="00262666"/>
    <w:rsid w:val="00263720"/>
    <w:rsid w:val="00267A88"/>
    <w:rsid w:val="002729E4"/>
    <w:rsid w:val="00273171"/>
    <w:rsid w:val="002802EC"/>
    <w:rsid w:val="002805AC"/>
    <w:rsid w:val="002811D0"/>
    <w:rsid w:val="00283967"/>
    <w:rsid w:val="00283A16"/>
    <w:rsid w:val="00283B3F"/>
    <w:rsid w:val="002844AF"/>
    <w:rsid w:val="00286D00"/>
    <w:rsid w:val="002870CA"/>
    <w:rsid w:val="002908C0"/>
    <w:rsid w:val="00291333"/>
    <w:rsid w:val="00292316"/>
    <w:rsid w:val="0029542B"/>
    <w:rsid w:val="00296748"/>
    <w:rsid w:val="002A0B1C"/>
    <w:rsid w:val="002A28E5"/>
    <w:rsid w:val="002A2985"/>
    <w:rsid w:val="002A4088"/>
    <w:rsid w:val="002A411F"/>
    <w:rsid w:val="002A5510"/>
    <w:rsid w:val="002A6EF0"/>
    <w:rsid w:val="002A72DF"/>
    <w:rsid w:val="002A72EA"/>
    <w:rsid w:val="002B2AF4"/>
    <w:rsid w:val="002B5C82"/>
    <w:rsid w:val="002B73F3"/>
    <w:rsid w:val="002B7422"/>
    <w:rsid w:val="002B79C4"/>
    <w:rsid w:val="002C01EA"/>
    <w:rsid w:val="002C0324"/>
    <w:rsid w:val="002C7363"/>
    <w:rsid w:val="002D1979"/>
    <w:rsid w:val="002D2BC6"/>
    <w:rsid w:val="002D7BCE"/>
    <w:rsid w:val="002E796C"/>
    <w:rsid w:val="002F19AF"/>
    <w:rsid w:val="002F45B6"/>
    <w:rsid w:val="002F4F72"/>
    <w:rsid w:val="002F69D0"/>
    <w:rsid w:val="002F7173"/>
    <w:rsid w:val="002F7484"/>
    <w:rsid w:val="00302511"/>
    <w:rsid w:val="00302C57"/>
    <w:rsid w:val="00303020"/>
    <w:rsid w:val="003032E2"/>
    <w:rsid w:val="00304999"/>
    <w:rsid w:val="003076B0"/>
    <w:rsid w:val="00307E06"/>
    <w:rsid w:val="00312470"/>
    <w:rsid w:val="003124A7"/>
    <w:rsid w:val="00315C76"/>
    <w:rsid w:val="0031730E"/>
    <w:rsid w:val="00321AAB"/>
    <w:rsid w:val="00321C10"/>
    <w:rsid w:val="003253CA"/>
    <w:rsid w:val="00331836"/>
    <w:rsid w:val="0033426E"/>
    <w:rsid w:val="00335EF4"/>
    <w:rsid w:val="00337583"/>
    <w:rsid w:val="0034180B"/>
    <w:rsid w:val="00342CE5"/>
    <w:rsid w:val="003462AA"/>
    <w:rsid w:val="003505C2"/>
    <w:rsid w:val="00355E72"/>
    <w:rsid w:val="00360A0B"/>
    <w:rsid w:val="003628A0"/>
    <w:rsid w:val="003633B9"/>
    <w:rsid w:val="003646B9"/>
    <w:rsid w:val="00365A43"/>
    <w:rsid w:val="003708D3"/>
    <w:rsid w:val="003731F5"/>
    <w:rsid w:val="00375176"/>
    <w:rsid w:val="00380BAC"/>
    <w:rsid w:val="00381DC3"/>
    <w:rsid w:val="00382FD0"/>
    <w:rsid w:val="00387C97"/>
    <w:rsid w:val="003965ED"/>
    <w:rsid w:val="003A0ACC"/>
    <w:rsid w:val="003A1F55"/>
    <w:rsid w:val="003A3A38"/>
    <w:rsid w:val="003B20F0"/>
    <w:rsid w:val="003B2E9F"/>
    <w:rsid w:val="003B2FF4"/>
    <w:rsid w:val="003B373B"/>
    <w:rsid w:val="003B4BAF"/>
    <w:rsid w:val="003B68EA"/>
    <w:rsid w:val="003B6C7E"/>
    <w:rsid w:val="003B7C7A"/>
    <w:rsid w:val="003C0AC1"/>
    <w:rsid w:val="003C4972"/>
    <w:rsid w:val="003C4A93"/>
    <w:rsid w:val="003C63BE"/>
    <w:rsid w:val="003D1EF2"/>
    <w:rsid w:val="003D5E2A"/>
    <w:rsid w:val="003D707F"/>
    <w:rsid w:val="003D7F85"/>
    <w:rsid w:val="003E0B3C"/>
    <w:rsid w:val="003E0F2A"/>
    <w:rsid w:val="003E15CF"/>
    <w:rsid w:val="003E2B2E"/>
    <w:rsid w:val="003E2C06"/>
    <w:rsid w:val="003E4484"/>
    <w:rsid w:val="003E52CC"/>
    <w:rsid w:val="003E5B1E"/>
    <w:rsid w:val="003E7801"/>
    <w:rsid w:val="003E7C91"/>
    <w:rsid w:val="003F09E7"/>
    <w:rsid w:val="003F47AD"/>
    <w:rsid w:val="003F5E8A"/>
    <w:rsid w:val="00400164"/>
    <w:rsid w:val="0040457E"/>
    <w:rsid w:val="00407B2F"/>
    <w:rsid w:val="00411707"/>
    <w:rsid w:val="0041349D"/>
    <w:rsid w:val="004138D3"/>
    <w:rsid w:val="0041760B"/>
    <w:rsid w:val="00423A9D"/>
    <w:rsid w:val="00424229"/>
    <w:rsid w:val="00427081"/>
    <w:rsid w:val="00433FAD"/>
    <w:rsid w:val="004407BC"/>
    <w:rsid w:val="004426E6"/>
    <w:rsid w:val="00444733"/>
    <w:rsid w:val="004503A6"/>
    <w:rsid w:val="00450EAB"/>
    <w:rsid w:val="0045239D"/>
    <w:rsid w:val="00454494"/>
    <w:rsid w:val="004567C7"/>
    <w:rsid w:val="00457CC7"/>
    <w:rsid w:val="004633DC"/>
    <w:rsid w:val="004715AF"/>
    <w:rsid w:val="00472E19"/>
    <w:rsid w:val="00474E30"/>
    <w:rsid w:val="0047534A"/>
    <w:rsid w:val="0047763B"/>
    <w:rsid w:val="00485388"/>
    <w:rsid w:val="004870D8"/>
    <w:rsid w:val="00491DA5"/>
    <w:rsid w:val="004961AD"/>
    <w:rsid w:val="00497E3B"/>
    <w:rsid w:val="004A2326"/>
    <w:rsid w:val="004A250E"/>
    <w:rsid w:val="004A319F"/>
    <w:rsid w:val="004A4ECC"/>
    <w:rsid w:val="004A73FA"/>
    <w:rsid w:val="004B3A33"/>
    <w:rsid w:val="004B3D2E"/>
    <w:rsid w:val="004B483F"/>
    <w:rsid w:val="004B6F87"/>
    <w:rsid w:val="004B748E"/>
    <w:rsid w:val="004B74CE"/>
    <w:rsid w:val="004B7A3D"/>
    <w:rsid w:val="004C10F3"/>
    <w:rsid w:val="004C20AC"/>
    <w:rsid w:val="004C3E7C"/>
    <w:rsid w:val="004C3F7B"/>
    <w:rsid w:val="004C4306"/>
    <w:rsid w:val="004C456C"/>
    <w:rsid w:val="004C489E"/>
    <w:rsid w:val="004C519F"/>
    <w:rsid w:val="004C553C"/>
    <w:rsid w:val="004C57A9"/>
    <w:rsid w:val="004D316A"/>
    <w:rsid w:val="004D3ADD"/>
    <w:rsid w:val="004D5713"/>
    <w:rsid w:val="004D5934"/>
    <w:rsid w:val="004D7564"/>
    <w:rsid w:val="004E154D"/>
    <w:rsid w:val="004E16A4"/>
    <w:rsid w:val="004E661E"/>
    <w:rsid w:val="004F03BE"/>
    <w:rsid w:val="004F4970"/>
    <w:rsid w:val="004F4B8D"/>
    <w:rsid w:val="004F5821"/>
    <w:rsid w:val="004F674E"/>
    <w:rsid w:val="00501DFC"/>
    <w:rsid w:val="00501EAB"/>
    <w:rsid w:val="005043E1"/>
    <w:rsid w:val="005068F2"/>
    <w:rsid w:val="00510956"/>
    <w:rsid w:val="00510C9F"/>
    <w:rsid w:val="005115C3"/>
    <w:rsid w:val="00512FF2"/>
    <w:rsid w:val="0051428C"/>
    <w:rsid w:val="00515E05"/>
    <w:rsid w:val="00516F56"/>
    <w:rsid w:val="00520000"/>
    <w:rsid w:val="00526DC4"/>
    <w:rsid w:val="005300DF"/>
    <w:rsid w:val="00531A5A"/>
    <w:rsid w:val="00531A6D"/>
    <w:rsid w:val="00531B0F"/>
    <w:rsid w:val="00531B2A"/>
    <w:rsid w:val="00531DE3"/>
    <w:rsid w:val="00534C95"/>
    <w:rsid w:val="0053715D"/>
    <w:rsid w:val="00541B18"/>
    <w:rsid w:val="00542671"/>
    <w:rsid w:val="005443FC"/>
    <w:rsid w:val="00544A76"/>
    <w:rsid w:val="00545D35"/>
    <w:rsid w:val="00547862"/>
    <w:rsid w:val="005478F9"/>
    <w:rsid w:val="00551897"/>
    <w:rsid w:val="00553578"/>
    <w:rsid w:val="00557727"/>
    <w:rsid w:val="005609AA"/>
    <w:rsid w:val="00563B9C"/>
    <w:rsid w:val="00565465"/>
    <w:rsid w:val="00567E8E"/>
    <w:rsid w:val="005707BD"/>
    <w:rsid w:val="00571B02"/>
    <w:rsid w:val="005720EB"/>
    <w:rsid w:val="005770F4"/>
    <w:rsid w:val="005776B9"/>
    <w:rsid w:val="00580F64"/>
    <w:rsid w:val="005817AB"/>
    <w:rsid w:val="005864C3"/>
    <w:rsid w:val="005903F7"/>
    <w:rsid w:val="005913ED"/>
    <w:rsid w:val="00593333"/>
    <w:rsid w:val="00594670"/>
    <w:rsid w:val="00595186"/>
    <w:rsid w:val="00597C5A"/>
    <w:rsid w:val="005A0A32"/>
    <w:rsid w:val="005A0D5F"/>
    <w:rsid w:val="005A3800"/>
    <w:rsid w:val="005A415D"/>
    <w:rsid w:val="005A493F"/>
    <w:rsid w:val="005B13A7"/>
    <w:rsid w:val="005B2365"/>
    <w:rsid w:val="005B74A1"/>
    <w:rsid w:val="005C0B46"/>
    <w:rsid w:val="005C2C8E"/>
    <w:rsid w:val="005C3AA7"/>
    <w:rsid w:val="005C414F"/>
    <w:rsid w:val="005C5F71"/>
    <w:rsid w:val="005C7C2F"/>
    <w:rsid w:val="005D1684"/>
    <w:rsid w:val="005D3F0B"/>
    <w:rsid w:val="005D4300"/>
    <w:rsid w:val="005D62CD"/>
    <w:rsid w:val="005D65FC"/>
    <w:rsid w:val="005D74CC"/>
    <w:rsid w:val="005D751A"/>
    <w:rsid w:val="005E18B0"/>
    <w:rsid w:val="005E3275"/>
    <w:rsid w:val="005E40A8"/>
    <w:rsid w:val="005E5273"/>
    <w:rsid w:val="005E76E1"/>
    <w:rsid w:val="005F0B76"/>
    <w:rsid w:val="005F1575"/>
    <w:rsid w:val="005F35AE"/>
    <w:rsid w:val="006012BD"/>
    <w:rsid w:val="00602086"/>
    <w:rsid w:val="006031E8"/>
    <w:rsid w:val="0060423E"/>
    <w:rsid w:val="00605D2B"/>
    <w:rsid w:val="006062DA"/>
    <w:rsid w:val="00607309"/>
    <w:rsid w:val="00607F3D"/>
    <w:rsid w:val="006105BC"/>
    <w:rsid w:val="00610C46"/>
    <w:rsid w:val="00611349"/>
    <w:rsid w:val="00611746"/>
    <w:rsid w:val="00611DD6"/>
    <w:rsid w:val="006150FB"/>
    <w:rsid w:val="00621035"/>
    <w:rsid w:val="00621070"/>
    <w:rsid w:val="00630C62"/>
    <w:rsid w:val="00633FA0"/>
    <w:rsid w:val="006345EE"/>
    <w:rsid w:val="006361ED"/>
    <w:rsid w:val="006418C8"/>
    <w:rsid w:val="00641ABB"/>
    <w:rsid w:val="006422F6"/>
    <w:rsid w:val="0064256C"/>
    <w:rsid w:val="006427D9"/>
    <w:rsid w:val="00643498"/>
    <w:rsid w:val="00645439"/>
    <w:rsid w:val="00645E2A"/>
    <w:rsid w:val="0065279D"/>
    <w:rsid w:val="00653354"/>
    <w:rsid w:val="00655BA3"/>
    <w:rsid w:val="00655D87"/>
    <w:rsid w:val="00661E08"/>
    <w:rsid w:val="0066306B"/>
    <w:rsid w:val="0066335A"/>
    <w:rsid w:val="00663368"/>
    <w:rsid w:val="0066407D"/>
    <w:rsid w:val="006640C5"/>
    <w:rsid w:val="00675661"/>
    <w:rsid w:val="00681F17"/>
    <w:rsid w:val="00682164"/>
    <w:rsid w:val="006826DA"/>
    <w:rsid w:val="0068325D"/>
    <w:rsid w:val="00683DC9"/>
    <w:rsid w:val="00685A2A"/>
    <w:rsid w:val="00687B92"/>
    <w:rsid w:val="006921D8"/>
    <w:rsid w:val="00692778"/>
    <w:rsid w:val="00696616"/>
    <w:rsid w:val="00696F11"/>
    <w:rsid w:val="00697ECB"/>
    <w:rsid w:val="006A141D"/>
    <w:rsid w:val="006A4C24"/>
    <w:rsid w:val="006A5F24"/>
    <w:rsid w:val="006A6FE7"/>
    <w:rsid w:val="006B0915"/>
    <w:rsid w:val="006B0B08"/>
    <w:rsid w:val="006B10A8"/>
    <w:rsid w:val="006B119B"/>
    <w:rsid w:val="006B2334"/>
    <w:rsid w:val="006B26D3"/>
    <w:rsid w:val="006B3BEA"/>
    <w:rsid w:val="006B47CC"/>
    <w:rsid w:val="006B4FD6"/>
    <w:rsid w:val="006B52CD"/>
    <w:rsid w:val="006B6D39"/>
    <w:rsid w:val="006B78C5"/>
    <w:rsid w:val="006C2F23"/>
    <w:rsid w:val="006C31AF"/>
    <w:rsid w:val="006C3540"/>
    <w:rsid w:val="006D1203"/>
    <w:rsid w:val="006D4142"/>
    <w:rsid w:val="006D7AAA"/>
    <w:rsid w:val="006E0451"/>
    <w:rsid w:val="006E04EF"/>
    <w:rsid w:val="006E1B16"/>
    <w:rsid w:val="006E27BA"/>
    <w:rsid w:val="006E43D3"/>
    <w:rsid w:val="006E44A9"/>
    <w:rsid w:val="006E6519"/>
    <w:rsid w:val="006F0897"/>
    <w:rsid w:val="006F0D29"/>
    <w:rsid w:val="006F2412"/>
    <w:rsid w:val="006F3363"/>
    <w:rsid w:val="006F5760"/>
    <w:rsid w:val="006F6BE0"/>
    <w:rsid w:val="00700013"/>
    <w:rsid w:val="00701FA5"/>
    <w:rsid w:val="00702862"/>
    <w:rsid w:val="00702D97"/>
    <w:rsid w:val="00703F64"/>
    <w:rsid w:val="00704CD1"/>
    <w:rsid w:val="0070679D"/>
    <w:rsid w:val="00707019"/>
    <w:rsid w:val="00707245"/>
    <w:rsid w:val="00712EE0"/>
    <w:rsid w:val="0071716F"/>
    <w:rsid w:val="0072215B"/>
    <w:rsid w:val="0072271C"/>
    <w:rsid w:val="00723286"/>
    <w:rsid w:val="00727C09"/>
    <w:rsid w:val="00733866"/>
    <w:rsid w:val="007372AF"/>
    <w:rsid w:val="007372F0"/>
    <w:rsid w:val="007402AF"/>
    <w:rsid w:val="00742461"/>
    <w:rsid w:val="00742758"/>
    <w:rsid w:val="0074315B"/>
    <w:rsid w:val="00745F93"/>
    <w:rsid w:val="00747AB7"/>
    <w:rsid w:val="00752B02"/>
    <w:rsid w:val="00755251"/>
    <w:rsid w:val="007568F4"/>
    <w:rsid w:val="0075724E"/>
    <w:rsid w:val="0076494C"/>
    <w:rsid w:val="00766389"/>
    <w:rsid w:val="0077356E"/>
    <w:rsid w:val="007737E8"/>
    <w:rsid w:val="00773DC9"/>
    <w:rsid w:val="007758EE"/>
    <w:rsid w:val="00776E5E"/>
    <w:rsid w:val="0077739D"/>
    <w:rsid w:val="007806D4"/>
    <w:rsid w:val="0078132A"/>
    <w:rsid w:val="00782019"/>
    <w:rsid w:val="0078202A"/>
    <w:rsid w:val="00785325"/>
    <w:rsid w:val="00790C1A"/>
    <w:rsid w:val="00790E52"/>
    <w:rsid w:val="00792E46"/>
    <w:rsid w:val="00795CE3"/>
    <w:rsid w:val="007A0DD5"/>
    <w:rsid w:val="007A1ABA"/>
    <w:rsid w:val="007A25A8"/>
    <w:rsid w:val="007A2B3C"/>
    <w:rsid w:val="007A3ECB"/>
    <w:rsid w:val="007A4CC0"/>
    <w:rsid w:val="007B0E0D"/>
    <w:rsid w:val="007B29E4"/>
    <w:rsid w:val="007B448D"/>
    <w:rsid w:val="007B5637"/>
    <w:rsid w:val="007B6958"/>
    <w:rsid w:val="007C4D7C"/>
    <w:rsid w:val="007C4FC7"/>
    <w:rsid w:val="007C5134"/>
    <w:rsid w:val="007C6CD3"/>
    <w:rsid w:val="007C7AD1"/>
    <w:rsid w:val="007D1055"/>
    <w:rsid w:val="007D2543"/>
    <w:rsid w:val="007D4645"/>
    <w:rsid w:val="007D4E0F"/>
    <w:rsid w:val="007D55DA"/>
    <w:rsid w:val="007D6D8D"/>
    <w:rsid w:val="007D7972"/>
    <w:rsid w:val="007E1BC3"/>
    <w:rsid w:val="007E32FC"/>
    <w:rsid w:val="007E503E"/>
    <w:rsid w:val="007E52F1"/>
    <w:rsid w:val="007E6F05"/>
    <w:rsid w:val="007E7DD4"/>
    <w:rsid w:val="007F1451"/>
    <w:rsid w:val="007F3488"/>
    <w:rsid w:val="007F4057"/>
    <w:rsid w:val="007F43B4"/>
    <w:rsid w:val="007F4ED0"/>
    <w:rsid w:val="007F566C"/>
    <w:rsid w:val="007F64F9"/>
    <w:rsid w:val="007F7B65"/>
    <w:rsid w:val="007F7F91"/>
    <w:rsid w:val="00801F35"/>
    <w:rsid w:val="0080399F"/>
    <w:rsid w:val="00805C67"/>
    <w:rsid w:val="00807736"/>
    <w:rsid w:val="00807D70"/>
    <w:rsid w:val="00815878"/>
    <w:rsid w:val="0082010D"/>
    <w:rsid w:val="00821C04"/>
    <w:rsid w:val="0083002A"/>
    <w:rsid w:val="00830884"/>
    <w:rsid w:val="00832757"/>
    <w:rsid w:val="00832BFA"/>
    <w:rsid w:val="00832FE5"/>
    <w:rsid w:val="0084114B"/>
    <w:rsid w:val="00841573"/>
    <w:rsid w:val="00841CA9"/>
    <w:rsid w:val="00842ED4"/>
    <w:rsid w:val="00845EA4"/>
    <w:rsid w:val="00847A1D"/>
    <w:rsid w:val="008550F0"/>
    <w:rsid w:val="00855650"/>
    <w:rsid w:val="00857BD3"/>
    <w:rsid w:val="00860037"/>
    <w:rsid w:val="00860FEF"/>
    <w:rsid w:val="008618D9"/>
    <w:rsid w:val="0086361E"/>
    <w:rsid w:val="008649E5"/>
    <w:rsid w:val="00864F72"/>
    <w:rsid w:val="008738A1"/>
    <w:rsid w:val="00873D60"/>
    <w:rsid w:val="00874D05"/>
    <w:rsid w:val="00875CD2"/>
    <w:rsid w:val="00881FFB"/>
    <w:rsid w:val="00883E64"/>
    <w:rsid w:val="0088403D"/>
    <w:rsid w:val="008850E5"/>
    <w:rsid w:val="00885C97"/>
    <w:rsid w:val="00885CDE"/>
    <w:rsid w:val="00886977"/>
    <w:rsid w:val="008946EA"/>
    <w:rsid w:val="008947B5"/>
    <w:rsid w:val="00894D4A"/>
    <w:rsid w:val="00897C9D"/>
    <w:rsid w:val="00897E5B"/>
    <w:rsid w:val="008A20F1"/>
    <w:rsid w:val="008A2A09"/>
    <w:rsid w:val="008A47B2"/>
    <w:rsid w:val="008A5670"/>
    <w:rsid w:val="008A6B4E"/>
    <w:rsid w:val="008B1D4F"/>
    <w:rsid w:val="008B2E64"/>
    <w:rsid w:val="008B2FDE"/>
    <w:rsid w:val="008B4B2E"/>
    <w:rsid w:val="008B4EBC"/>
    <w:rsid w:val="008B5E35"/>
    <w:rsid w:val="008C0227"/>
    <w:rsid w:val="008C380D"/>
    <w:rsid w:val="008C508D"/>
    <w:rsid w:val="008D04B8"/>
    <w:rsid w:val="008D1236"/>
    <w:rsid w:val="008D36E0"/>
    <w:rsid w:val="008D66A5"/>
    <w:rsid w:val="008E215F"/>
    <w:rsid w:val="008E4231"/>
    <w:rsid w:val="008E586E"/>
    <w:rsid w:val="008F05C2"/>
    <w:rsid w:val="008F52F4"/>
    <w:rsid w:val="008F6A42"/>
    <w:rsid w:val="008F7D31"/>
    <w:rsid w:val="009007FC"/>
    <w:rsid w:val="0090282D"/>
    <w:rsid w:val="00903BE5"/>
    <w:rsid w:val="009049BE"/>
    <w:rsid w:val="009073DD"/>
    <w:rsid w:val="009111EA"/>
    <w:rsid w:val="0091170B"/>
    <w:rsid w:val="00912837"/>
    <w:rsid w:val="0091304F"/>
    <w:rsid w:val="009133A9"/>
    <w:rsid w:val="009159DA"/>
    <w:rsid w:val="00920D15"/>
    <w:rsid w:val="009210A6"/>
    <w:rsid w:val="00926FCD"/>
    <w:rsid w:val="00927607"/>
    <w:rsid w:val="00931E3D"/>
    <w:rsid w:val="0094005B"/>
    <w:rsid w:val="00943709"/>
    <w:rsid w:val="00943B62"/>
    <w:rsid w:val="0094607A"/>
    <w:rsid w:val="00947785"/>
    <w:rsid w:val="00956CD1"/>
    <w:rsid w:val="009623FA"/>
    <w:rsid w:val="00964969"/>
    <w:rsid w:val="00964A87"/>
    <w:rsid w:val="00965794"/>
    <w:rsid w:val="00965870"/>
    <w:rsid w:val="00970BC4"/>
    <w:rsid w:val="00973D8D"/>
    <w:rsid w:val="009752F6"/>
    <w:rsid w:val="009758DB"/>
    <w:rsid w:val="009768B5"/>
    <w:rsid w:val="0097768E"/>
    <w:rsid w:val="00983201"/>
    <w:rsid w:val="00984197"/>
    <w:rsid w:val="00986534"/>
    <w:rsid w:val="00995692"/>
    <w:rsid w:val="00996B6C"/>
    <w:rsid w:val="00997F96"/>
    <w:rsid w:val="009A33AC"/>
    <w:rsid w:val="009A33BE"/>
    <w:rsid w:val="009A5AE2"/>
    <w:rsid w:val="009A5D8D"/>
    <w:rsid w:val="009B1106"/>
    <w:rsid w:val="009B1EAF"/>
    <w:rsid w:val="009B38C8"/>
    <w:rsid w:val="009B3FAA"/>
    <w:rsid w:val="009C4221"/>
    <w:rsid w:val="009D1ED8"/>
    <w:rsid w:val="009D4A0A"/>
    <w:rsid w:val="009D6659"/>
    <w:rsid w:val="009D7058"/>
    <w:rsid w:val="009E0336"/>
    <w:rsid w:val="009E10EC"/>
    <w:rsid w:val="009E3A9A"/>
    <w:rsid w:val="009E5841"/>
    <w:rsid w:val="009F50FA"/>
    <w:rsid w:val="00A022D9"/>
    <w:rsid w:val="00A033BB"/>
    <w:rsid w:val="00A0357E"/>
    <w:rsid w:val="00A045F4"/>
    <w:rsid w:val="00A05B4F"/>
    <w:rsid w:val="00A10387"/>
    <w:rsid w:val="00A21B13"/>
    <w:rsid w:val="00A2508C"/>
    <w:rsid w:val="00A2572E"/>
    <w:rsid w:val="00A25FC0"/>
    <w:rsid w:val="00A262B6"/>
    <w:rsid w:val="00A26D41"/>
    <w:rsid w:val="00A27138"/>
    <w:rsid w:val="00A3359F"/>
    <w:rsid w:val="00A33A89"/>
    <w:rsid w:val="00A3728F"/>
    <w:rsid w:val="00A4105D"/>
    <w:rsid w:val="00A442A4"/>
    <w:rsid w:val="00A4466C"/>
    <w:rsid w:val="00A4628E"/>
    <w:rsid w:val="00A51216"/>
    <w:rsid w:val="00A5314A"/>
    <w:rsid w:val="00A57F60"/>
    <w:rsid w:val="00A65B8D"/>
    <w:rsid w:val="00A67424"/>
    <w:rsid w:val="00A700C1"/>
    <w:rsid w:val="00A703CE"/>
    <w:rsid w:val="00A7188F"/>
    <w:rsid w:val="00A7216C"/>
    <w:rsid w:val="00A7622C"/>
    <w:rsid w:val="00A77949"/>
    <w:rsid w:val="00A8007D"/>
    <w:rsid w:val="00A80B43"/>
    <w:rsid w:val="00A8244C"/>
    <w:rsid w:val="00A83D36"/>
    <w:rsid w:val="00A85B97"/>
    <w:rsid w:val="00A86899"/>
    <w:rsid w:val="00A87174"/>
    <w:rsid w:val="00A923D9"/>
    <w:rsid w:val="00A93F22"/>
    <w:rsid w:val="00A94E2C"/>
    <w:rsid w:val="00A977D1"/>
    <w:rsid w:val="00AA0100"/>
    <w:rsid w:val="00AA0A4A"/>
    <w:rsid w:val="00AA27AB"/>
    <w:rsid w:val="00AA29E9"/>
    <w:rsid w:val="00AA38C5"/>
    <w:rsid w:val="00AA3DF2"/>
    <w:rsid w:val="00AB00F1"/>
    <w:rsid w:val="00AB0764"/>
    <w:rsid w:val="00AB10A6"/>
    <w:rsid w:val="00AB19C6"/>
    <w:rsid w:val="00AB1E7B"/>
    <w:rsid w:val="00AB628D"/>
    <w:rsid w:val="00AB641E"/>
    <w:rsid w:val="00AC0F6D"/>
    <w:rsid w:val="00AC1530"/>
    <w:rsid w:val="00AC1D64"/>
    <w:rsid w:val="00AD1E25"/>
    <w:rsid w:val="00AD38ED"/>
    <w:rsid w:val="00AD4282"/>
    <w:rsid w:val="00AD77FD"/>
    <w:rsid w:val="00AE1A7A"/>
    <w:rsid w:val="00AE4894"/>
    <w:rsid w:val="00AE5AC8"/>
    <w:rsid w:val="00AE77F1"/>
    <w:rsid w:val="00AF6F6A"/>
    <w:rsid w:val="00B049EC"/>
    <w:rsid w:val="00B04DD6"/>
    <w:rsid w:val="00B078A6"/>
    <w:rsid w:val="00B10264"/>
    <w:rsid w:val="00B10FF6"/>
    <w:rsid w:val="00B1212B"/>
    <w:rsid w:val="00B14213"/>
    <w:rsid w:val="00B15800"/>
    <w:rsid w:val="00B173E2"/>
    <w:rsid w:val="00B177F2"/>
    <w:rsid w:val="00B216FE"/>
    <w:rsid w:val="00B26CCB"/>
    <w:rsid w:val="00B31114"/>
    <w:rsid w:val="00B31B5C"/>
    <w:rsid w:val="00B34D98"/>
    <w:rsid w:val="00B35503"/>
    <w:rsid w:val="00B37C1A"/>
    <w:rsid w:val="00B37E5F"/>
    <w:rsid w:val="00B408F8"/>
    <w:rsid w:val="00B45AA5"/>
    <w:rsid w:val="00B461BE"/>
    <w:rsid w:val="00B5088E"/>
    <w:rsid w:val="00B517B3"/>
    <w:rsid w:val="00B51D39"/>
    <w:rsid w:val="00B53176"/>
    <w:rsid w:val="00B55C20"/>
    <w:rsid w:val="00B61D3E"/>
    <w:rsid w:val="00B61F76"/>
    <w:rsid w:val="00B626F5"/>
    <w:rsid w:val="00B66885"/>
    <w:rsid w:val="00B7058E"/>
    <w:rsid w:val="00B70873"/>
    <w:rsid w:val="00B70EC1"/>
    <w:rsid w:val="00B7103E"/>
    <w:rsid w:val="00B71315"/>
    <w:rsid w:val="00B7173A"/>
    <w:rsid w:val="00B72FDD"/>
    <w:rsid w:val="00B73E27"/>
    <w:rsid w:val="00B758E5"/>
    <w:rsid w:val="00B76F62"/>
    <w:rsid w:val="00B77B2E"/>
    <w:rsid w:val="00B8098C"/>
    <w:rsid w:val="00B83381"/>
    <w:rsid w:val="00B8390D"/>
    <w:rsid w:val="00B860B7"/>
    <w:rsid w:val="00B87E94"/>
    <w:rsid w:val="00B90D57"/>
    <w:rsid w:val="00B90ED9"/>
    <w:rsid w:val="00B95F1A"/>
    <w:rsid w:val="00BA0DB3"/>
    <w:rsid w:val="00BA0E31"/>
    <w:rsid w:val="00BA2FEE"/>
    <w:rsid w:val="00BA42E0"/>
    <w:rsid w:val="00BB1EC2"/>
    <w:rsid w:val="00BB2686"/>
    <w:rsid w:val="00BB62D7"/>
    <w:rsid w:val="00BC0C9A"/>
    <w:rsid w:val="00BC7BD0"/>
    <w:rsid w:val="00BD249F"/>
    <w:rsid w:val="00BD5CAE"/>
    <w:rsid w:val="00BD7C52"/>
    <w:rsid w:val="00BE01B0"/>
    <w:rsid w:val="00BE1BBE"/>
    <w:rsid w:val="00BE32C7"/>
    <w:rsid w:val="00BE32E2"/>
    <w:rsid w:val="00BE4652"/>
    <w:rsid w:val="00BE4A75"/>
    <w:rsid w:val="00BE4FDC"/>
    <w:rsid w:val="00BE5C36"/>
    <w:rsid w:val="00BF0DCB"/>
    <w:rsid w:val="00BF1EC0"/>
    <w:rsid w:val="00BF2AD9"/>
    <w:rsid w:val="00BF2F98"/>
    <w:rsid w:val="00C00D17"/>
    <w:rsid w:val="00C02A64"/>
    <w:rsid w:val="00C06278"/>
    <w:rsid w:val="00C06502"/>
    <w:rsid w:val="00C06661"/>
    <w:rsid w:val="00C11344"/>
    <w:rsid w:val="00C1297D"/>
    <w:rsid w:val="00C14017"/>
    <w:rsid w:val="00C148AE"/>
    <w:rsid w:val="00C14B07"/>
    <w:rsid w:val="00C1506F"/>
    <w:rsid w:val="00C22D64"/>
    <w:rsid w:val="00C31741"/>
    <w:rsid w:val="00C31CFE"/>
    <w:rsid w:val="00C33CFB"/>
    <w:rsid w:val="00C35B04"/>
    <w:rsid w:val="00C35CE7"/>
    <w:rsid w:val="00C37A09"/>
    <w:rsid w:val="00C412FF"/>
    <w:rsid w:val="00C41357"/>
    <w:rsid w:val="00C4233C"/>
    <w:rsid w:val="00C42EFC"/>
    <w:rsid w:val="00C446B2"/>
    <w:rsid w:val="00C45315"/>
    <w:rsid w:val="00C46DE0"/>
    <w:rsid w:val="00C52510"/>
    <w:rsid w:val="00C55168"/>
    <w:rsid w:val="00C56885"/>
    <w:rsid w:val="00C57680"/>
    <w:rsid w:val="00C57997"/>
    <w:rsid w:val="00C57DE8"/>
    <w:rsid w:val="00C607C9"/>
    <w:rsid w:val="00C6230B"/>
    <w:rsid w:val="00C625C8"/>
    <w:rsid w:val="00C669B9"/>
    <w:rsid w:val="00C72D55"/>
    <w:rsid w:val="00C732C5"/>
    <w:rsid w:val="00C80261"/>
    <w:rsid w:val="00C80FE1"/>
    <w:rsid w:val="00C8246A"/>
    <w:rsid w:val="00C830CA"/>
    <w:rsid w:val="00C83120"/>
    <w:rsid w:val="00C84197"/>
    <w:rsid w:val="00C904A0"/>
    <w:rsid w:val="00C9115E"/>
    <w:rsid w:val="00C9167C"/>
    <w:rsid w:val="00C926A1"/>
    <w:rsid w:val="00C9405A"/>
    <w:rsid w:val="00C94AA0"/>
    <w:rsid w:val="00C95207"/>
    <w:rsid w:val="00C962CF"/>
    <w:rsid w:val="00CA05EE"/>
    <w:rsid w:val="00CA1B76"/>
    <w:rsid w:val="00CA4E8C"/>
    <w:rsid w:val="00CA6573"/>
    <w:rsid w:val="00CA7887"/>
    <w:rsid w:val="00CB27A4"/>
    <w:rsid w:val="00CB621B"/>
    <w:rsid w:val="00CB65EC"/>
    <w:rsid w:val="00CB6E8A"/>
    <w:rsid w:val="00CC1DB1"/>
    <w:rsid w:val="00CC7CEF"/>
    <w:rsid w:val="00CD0468"/>
    <w:rsid w:val="00CD1491"/>
    <w:rsid w:val="00CD1F47"/>
    <w:rsid w:val="00CD64DE"/>
    <w:rsid w:val="00CE50AD"/>
    <w:rsid w:val="00CE5195"/>
    <w:rsid w:val="00CE51E4"/>
    <w:rsid w:val="00CF10FC"/>
    <w:rsid w:val="00CF1E45"/>
    <w:rsid w:val="00CF5631"/>
    <w:rsid w:val="00CF6971"/>
    <w:rsid w:val="00CF7993"/>
    <w:rsid w:val="00D00AC1"/>
    <w:rsid w:val="00D014AF"/>
    <w:rsid w:val="00D03B93"/>
    <w:rsid w:val="00D12214"/>
    <w:rsid w:val="00D12D3B"/>
    <w:rsid w:val="00D16225"/>
    <w:rsid w:val="00D16547"/>
    <w:rsid w:val="00D2010F"/>
    <w:rsid w:val="00D20368"/>
    <w:rsid w:val="00D22035"/>
    <w:rsid w:val="00D24260"/>
    <w:rsid w:val="00D2489A"/>
    <w:rsid w:val="00D24BE6"/>
    <w:rsid w:val="00D309C0"/>
    <w:rsid w:val="00D33C66"/>
    <w:rsid w:val="00D34A5A"/>
    <w:rsid w:val="00D35BF1"/>
    <w:rsid w:val="00D3635F"/>
    <w:rsid w:val="00D378CF"/>
    <w:rsid w:val="00D44218"/>
    <w:rsid w:val="00D4494B"/>
    <w:rsid w:val="00D45843"/>
    <w:rsid w:val="00D50F7C"/>
    <w:rsid w:val="00D5482F"/>
    <w:rsid w:val="00D566F5"/>
    <w:rsid w:val="00D56752"/>
    <w:rsid w:val="00D56F54"/>
    <w:rsid w:val="00D62375"/>
    <w:rsid w:val="00D63A6F"/>
    <w:rsid w:val="00D70AB8"/>
    <w:rsid w:val="00D7104A"/>
    <w:rsid w:val="00D718E2"/>
    <w:rsid w:val="00D724DF"/>
    <w:rsid w:val="00D73B5B"/>
    <w:rsid w:val="00D74FDC"/>
    <w:rsid w:val="00D75DC7"/>
    <w:rsid w:val="00D82506"/>
    <w:rsid w:val="00D871A9"/>
    <w:rsid w:val="00D9154A"/>
    <w:rsid w:val="00D91AF2"/>
    <w:rsid w:val="00D93271"/>
    <w:rsid w:val="00D96319"/>
    <w:rsid w:val="00DA0CA2"/>
    <w:rsid w:val="00DA158D"/>
    <w:rsid w:val="00DA4B87"/>
    <w:rsid w:val="00DB0766"/>
    <w:rsid w:val="00DB225F"/>
    <w:rsid w:val="00DB31F5"/>
    <w:rsid w:val="00DB4D86"/>
    <w:rsid w:val="00DB53F2"/>
    <w:rsid w:val="00DB55B5"/>
    <w:rsid w:val="00DB5D12"/>
    <w:rsid w:val="00DC0207"/>
    <w:rsid w:val="00DC1DD2"/>
    <w:rsid w:val="00DC638A"/>
    <w:rsid w:val="00DC68E2"/>
    <w:rsid w:val="00DC691A"/>
    <w:rsid w:val="00DC6A6C"/>
    <w:rsid w:val="00DC6CDC"/>
    <w:rsid w:val="00DC6D72"/>
    <w:rsid w:val="00DC71EE"/>
    <w:rsid w:val="00DC76BD"/>
    <w:rsid w:val="00DC7E64"/>
    <w:rsid w:val="00DD1BAF"/>
    <w:rsid w:val="00DD4CC6"/>
    <w:rsid w:val="00DD4E98"/>
    <w:rsid w:val="00DD58B8"/>
    <w:rsid w:val="00DD664B"/>
    <w:rsid w:val="00DE06FD"/>
    <w:rsid w:val="00DE2129"/>
    <w:rsid w:val="00DE28BF"/>
    <w:rsid w:val="00DE3FFC"/>
    <w:rsid w:val="00DE5048"/>
    <w:rsid w:val="00DE6690"/>
    <w:rsid w:val="00DE7637"/>
    <w:rsid w:val="00DF09B8"/>
    <w:rsid w:val="00DF15EE"/>
    <w:rsid w:val="00DF2313"/>
    <w:rsid w:val="00E006B6"/>
    <w:rsid w:val="00E013E9"/>
    <w:rsid w:val="00E02840"/>
    <w:rsid w:val="00E02932"/>
    <w:rsid w:val="00E02F3A"/>
    <w:rsid w:val="00E076A7"/>
    <w:rsid w:val="00E1020C"/>
    <w:rsid w:val="00E1033E"/>
    <w:rsid w:val="00E10F14"/>
    <w:rsid w:val="00E11F28"/>
    <w:rsid w:val="00E11FCF"/>
    <w:rsid w:val="00E12B19"/>
    <w:rsid w:val="00E14744"/>
    <w:rsid w:val="00E154AB"/>
    <w:rsid w:val="00E164E7"/>
    <w:rsid w:val="00E16654"/>
    <w:rsid w:val="00E21CDD"/>
    <w:rsid w:val="00E22360"/>
    <w:rsid w:val="00E23669"/>
    <w:rsid w:val="00E25B8B"/>
    <w:rsid w:val="00E25C3E"/>
    <w:rsid w:val="00E31D43"/>
    <w:rsid w:val="00E32EEE"/>
    <w:rsid w:val="00E33520"/>
    <w:rsid w:val="00E3623E"/>
    <w:rsid w:val="00E37775"/>
    <w:rsid w:val="00E40BC0"/>
    <w:rsid w:val="00E41A8D"/>
    <w:rsid w:val="00E427DF"/>
    <w:rsid w:val="00E43435"/>
    <w:rsid w:val="00E44A1E"/>
    <w:rsid w:val="00E52305"/>
    <w:rsid w:val="00E57493"/>
    <w:rsid w:val="00E61CDE"/>
    <w:rsid w:val="00E65459"/>
    <w:rsid w:val="00E67D3C"/>
    <w:rsid w:val="00E7006D"/>
    <w:rsid w:val="00E705F5"/>
    <w:rsid w:val="00E75BB5"/>
    <w:rsid w:val="00E80E37"/>
    <w:rsid w:val="00E83450"/>
    <w:rsid w:val="00E8389D"/>
    <w:rsid w:val="00E86739"/>
    <w:rsid w:val="00E90E54"/>
    <w:rsid w:val="00E91FF2"/>
    <w:rsid w:val="00E94929"/>
    <w:rsid w:val="00E94FF3"/>
    <w:rsid w:val="00E9514D"/>
    <w:rsid w:val="00EA0F7F"/>
    <w:rsid w:val="00EA2C19"/>
    <w:rsid w:val="00EA379C"/>
    <w:rsid w:val="00EA37E1"/>
    <w:rsid w:val="00EA3E29"/>
    <w:rsid w:val="00EA4780"/>
    <w:rsid w:val="00EA4997"/>
    <w:rsid w:val="00EA4DC3"/>
    <w:rsid w:val="00EA4F63"/>
    <w:rsid w:val="00EA5167"/>
    <w:rsid w:val="00EA7123"/>
    <w:rsid w:val="00EB37B1"/>
    <w:rsid w:val="00EC2DA8"/>
    <w:rsid w:val="00EC45FC"/>
    <w:rsid w:val="00EC4A4E"/>
    <w:rsid w:val="00EC6A8E"/>
    <w:rsid w:val="00EC6BCB"/>
    <w:rsid w:val="00ED073E"/>
    <w:rsid w:val="00ED2E55"/>
    <w:rsid w:val="00ED54D9"/>
    <w:rsid w:val="00ED5DDA"/>
    <w:rsid w:val="00ED7D48"/>
    <w:rsid w:val="00EE1352"/>
    <w:rsid w:val="00EE3E2A"/>
    <w:rsid w:val="00EE480B"/>
    <w:rsid w:val="00EE695C"/>
    <w:rsid w:val="00F02DE0"/>
    <w:rsid w:val="00F053FC"/>
    <w:rsid w:val="00F06CB3"/>
    <w:rsid w:val="00F079CC"/>
    <w:rsid w:val="00F07FC2"/>
    <w:rsid w:val="00F123A4"/>
    <w:rsid w:val="00F1519C"/>
    <w:rsid w:val="00F16359"/>
    <w:rsid w:val="00F21698"/>
    <w:rsid w:val="00F24A07"/>
    <w:rsid w:val="00F2514D"/>
    <w:rsid w:val="00F27F68"/>
    <w:rsid w:val="00F3568E"/>
    <w:rsid w:val="00F35DBE"/>
    <w:rsid w:val="00F37880"/>
    <w:rsid w:val="00F42116"/>
    <w:rsid w:val="00F4377C"/>
    <w:rsid w:val="00F4491E"/>
    <w:rsid w:val="00F466A1"/>
    <w:rsid w:val="00F469C7"/>
    <w:rsid w:val="00F46C66"/>
    <w:rsid w:val="00F512B9"/>
    <w:rsid w:val="00F530D1"/>
    <w:rsid w:val="00F54463"/>
    <w:rsid w:val="00F54E38"/>
    <w:rsid w:val="00F551B0"/>
    <w:rsid w:val="00F62D24"/>
    <w:rsid w:val="00F6398A"/>
    <w:rsid w:val="00F762D5"/>
    <w:rsid w:val="00F76381"/>
    <w:rsid w:val="00F7668F"/>
    <w:rsid w:val="00F81765"/>
    <w:rsid w:val="00F8183F"/>
    <w:rsid w:val="00F83C99"/>
    <w:rsid w:val="00F841EA"/>
    <w:rsid w:val="00F8426B"/>
    <w:rsid w:val="00F8623A"/>
    <w:rsid w:val="00F8652F"/>
    <w:rsid w:val="00F90B7E"/>
    <w:rsid w:val="00F90CCF"/>
    <w:rsid w:val="00F92334"/>
    <w:rsid w:val="00FA0211"/>
    <w:rsid w:val="00FA0F1F"/>
    <w:rsid w:val="00FA26F7"/>
    <w:rsid w:val="00FA3C84"/>
    <w:rsid w:val="00FA4E53"/>
    <w:rsid w:val="00FB0E2A"/>
    <w:rsid w:val="00FB1E09"/>
    <w:rsid w:val="00FB4039"/>
    <w:rsid w:val="00FB409B"/>
    <w:rsid w:val="00FB4892"/>
    <w:rsid w:val="00FB6C65"/>
    <w:rsid w:val="00FC0ED3"/>
    <w:rsid w:val="00FC1289"/>
    <w:rsid w:val="00FC15D5"/>
    <w:rsid w:val="00FC4278"/>
    <w:rsid w:val="00FC7940"/>
    <w:rsid w:val="00FD0CFA"/>
    <w:rsid w:val="00FD0F89"/>
    <w:rsid w:val="00FD41C0"/>
    <w:rsid w:val="00FD46BA"/>
    <w:rsid w:val="00FD5D4A"/>
    <w:rsid w:val="00FD7489"/>
    <w:rsid w:val="00FE09B0"/>
    <w:rsid w:val="00FE0F9D"/>
    <w:rsid w:val="00FE10E6"/>
    <w:rsid w:val="00FE42ED"/>
    <w:rsid w:val="00FE48CB"/>
    <w:rsid w:val="00FE6F33"/>
    <w:rsid w:val="00FF1D19"/>
    <w:rsid w:val="00FF24FD"/>
    <w:rsid w:val="00FF481A"/>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A1E963-190C-46A5-9E6F-FBB9583BF2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785</TotalTime>
  <Pages>8</Pages>
  <Words>2036</Words>
  <Characters>11198</Characters>
  <Application>Microsoft Office Word</Application>
  <DocSecurity>0</DocSecurity>
  <Lines>93</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13208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TCA-Admin</cp:lastModifiedBy>
  <cp:revision>98</cp:revision>
  <cp:lastPrinted>2019-04-09T16:36:00Z</cp:lastPrinted>
  <dcterms:created xsi:type="dcterms:W3CDTF">2017-09-05T18:57:00Z</dcterms:created>
  <dcterms:modified xsi:type="dcterms:W3CDTF">2019-04-09T16:36:00Z</dcterms:modified>
</cp:coreProperties>
</file>