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6CE" w:rsidRDefault="005036CE" w:rsidP="0094234B">
      <w:pPr>
        <w:spacing w:line="360" w:lineRule="auto"/>
        <w:ind w:firstLine="708"/>
        <w:jc w:val="both"/>
        <w:rPr>
          <w:rFonts w:ascii="Arial" w:hAnsi="Arial" w:cs="Arial"/>
          <w:b/>
          <w:sz w:val="26"/>
          <w:szCs w:val="26"/>
        </w:rPr>
      </w:pPr>
    </w:p>
    <w:p w:rsidR="005036CE" w:rsidRDefault="005036CE" w:rsidP="005036CE">
      <w:pPr>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036CE" w:rsidRPr="00CB6405" w:rsidRDefault="005036CE" w:rsidP="005036CE">
      <w:pPr>
        <w:ind w:left="2124"/>
        <w:jc w:val="both"/>
        <w:rPr>
          <w:rFonts w:ascii="Arial" w:hAnsi="Arial" w:cs="Arial"/>
          <w:b/>
          <w:sz w:val="26"/>
          <w:szCs w:val="26"/>
        </w:rPr>
      </w:pPr>
    </w:p>
    <w:p w:rsidR="005036CE" w:rsidRDefault="005036CE" w:rsidP="005036CE">
      <w:pPr>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479</w:t>
      </w:r>
      <w:r w:rsidRPr="00CB6405">
        <w:rPr>
          <w:rFonts w:ascii="Arial" w:hAnsi="Arial" w:cs="Arial"/>
          <w:b/>
          <w:sz w:val="26"/>
          <w:szCs w:val="26"/>
        </w:rPr>
        <w:t>/201</w:t>
      </w:r>
      <w:r>
        <w:rPr>
          <w:rFonts w:ascii="Arial" w:hAnsi="Arial" w:cs="Arial"/>
          <w:b/>
          <w:sz w:val="26"/>
          <w:szCs w:val="26"/>
        </w:rPr>
        <w:t>8</w:t>
      </w:r>
    </w:p>
    <w:p w:rsidR="005036CE" w:rsidRPr="00CB6405" w:rsidRDefault="005036CE" w:rsidP="005036CE">
      <w:pPr>
        <w:ind w:left="2124"/>
        <w:jc w:val="both"/>
        <w:rPr>
          <w:rFonts w:ascii="Arial" w:hAnsi="Arial" w:cs="Arial"/>
          <w:b/>
          <w:sz w:val="26"/>
          <w:szCs w:val="26"/>
        </w:rPr>
      </w:pPr>
    </w:p>
    <w:p w:rsidR="005036CE" w:rsidRDefault="005036CE" w:rsidP="005036CE">
      <w:pPr>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053/</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SEXTA </w:t>
      </w:r>
      <w:r w:rsidRPr="00CB6405">
        <w:rPr>
          <w:rFonts w:ascii="Arial" w:hAnsi="Arial" w:cs="Arial"/>
          <w:b/>
          <w:sz w:val="26"/>
          <w:szCs w:val="26"/>
        </w:rPr>
        <w:t>SALA UNITARIA DE PRIMERA INSTANCIA</w:t>
      </w:r>
    </w:p>
    <w:p w:rsidR="005036CE" w:rsidRPr="00CB6405" w:rsidRDefault="005036CE" w:rsidP="005036CE">
      <w:pPr>
        <w:ind w:left="2124"/>
        <w:jc w:val="both"/>
        <w:rPr>
          <w:rFonts w:ascii="Arial" w:hAnsi="Arial" w:cs="Arial"/>
          <w:b/>
          <w:sz w:val="26"/>
          <w:szCs w:val="26"/>
        </w:rPr>
      </w:pPr>
    </w:p>
    <w:p w:rsidR="005036CE" w:rsidRDefault="005036CE" w:rsidP="005036CE">
      <w:pPr>
        <w:ind w:left="2124"/>
        <w:jc w:val="both"/>
        <w:rPr>
          <w:rFonts w:ascii="Arial" w:hAnsi="Arial" w:cs="Arial"/>
          <w:b/>
          <w:sz w:val="26"/>
          <w:szCs w:val="26"/>
        </w:rPr>
      </w:pPr>
      <w:r w:rsidRPr="00CB6405">
        <w:rPr>
          <w:rFonts w:ascii="Arial" w:hAnsi="Arial" w:cs="Arial"/>
          <w:b/>
          <w:sz w:val="26"/>
          <w:szCs w:val="26"/>
        </w:rPr>
        <w:t>PONENTE: MAGISTRADO ENRIQUE PACHECO MARTÍNEZ.</w:t>
      </w:r>
    </w:p>
    <w:p w:rsidR="005036CE" w:rsidRPr="00CB6405" w:rsidRDefault="005036CE" w:rsidP="005036CE">
      <w:pPr>
        <w:ind w:left="2124"/>
        <w:jc w:val="both"/>
        <w:rPr>
          <w:rFonts w:ascii="Arial" w:hAnsi="Arial" w:cs="Arial"/>
          <w:b/>
          <w:sz w:val="26"/>
          <w:szCs w:val="26"/>
        </w:rPr>
      </w:pPr>
    </w:p>
    <w:p w:rsidR="005036CE" w:rsidRDefault="005036CE" w:rsidP="005036CE">
      <w:pPr>
        <w:spacing w:before="240" w:line="360" w:lineRule="auto"/>
        <w:jc w:val="both"/>
        <w:rPr>
          <w:rFonts w:ascii="Arial" w:hAnsi="Arial" w:cs="Arial"/>
          <w:b/>
          <w:sz w:val="26"/>
          <w:szCs w:val="26"/>
        </w:rPr>
      </w:pPr>
      <w:r>
        <w:rPr>
          <w:rFonts w:ascii="Arial" w:hAnsi="Arial" w:cs="Arial"/>
          <w:b/>
          <w:sz w:val="26"/>
          <w:szCs w:val="26"/>
        </w:rPr>
        <w:t xml:space="preserve">OAXACA DE JUÁREZ, OAXACA A CUATRO DE ABRIL DE DOS MIL DIECINUEVE. </w:t>
      </w:r>
    </w:p>
    <w:p w:rsidR="005036CE" w:rsidRPr="00CB6405" w:rsidRDefault="005036CE" w:rsidP="005036CE">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479</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4A27B4">
        <w:rPr>
          <w:rFonts w:ascii="Arial" w:hAnsi="Arial" w:cs="Arial"/>
          <w:b/>
          <w:sz w:val="26"/>
          <w:szCs w:val="26"/>
        </w:rPr>
        <w:t>TESORERA MUNICIPAL DEL AYUNTAMIENTO DE OAXACA DE JUÁREZ, OAXACA</w:t>
      </w:r>
      <w:r w:rsidRPr="00CB6405">
        <w:rPr>
          <w:rFonts w:ascii="Arial" w:hAnsi="Arial" w:cs="Arial"/>
          <w:sz w:val="26"/>
          <w:szCs w:val="26"/>
        </w:rPr>
        <w:t>, en contra de</w:t>
      </w:r>
      <w:r>
        <w:rPr>
          <w:rFonts w:ascii="Arial" w:hAnsi="Arial" w:cs="Arial"/>
          <w:sz w:val="26"/>
          <w:szCs w:val="26"/>
        </w:rPr>
        <w:t xml:space="preserve"> la sentencia de veintidós de octubre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053</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241789">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141, adscrito</w:t>
      </w:r>
      <w:r w:rsidRPr="006B3BEA">
        <w:rPr>
          <w:rFonts w:ascii="Arial" w:hAnsi="Arial" w:cs="Arial"/>
          <w:b/>
          <w:sz w:val="26"/>
          <w:szCs w:val="26"/>
        </w:rPr>
        <w:t xml:space="preserve"> a la COMIS</w:t>
      </w:r>
      <w:r>
        <w:rPr>
          <w:rFonts w:ascii="Arial" w:hAnsi="Arial" w:cs="Arial"/>
          <w:b/>
          <w:sz w:val="26"/>
          <w:szCs w:val="26"/>
        </w:rPr>
        <w:t>ARÍA DE VIALIDAD DEL MUNICIPIO DE OAXACA DE JUÁREZ,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5036CE" w:rsidRPr="00CB6405" w:rsidRDefault="005036CE" w:rsidP="005036CE">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036CE" w:rsidRPr="00CB6405" w:rsidRDefault="005036CE" w:rsidP="005036C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veintidós de octubre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4A27B4">
        <w:rPr>
          <w:rFonts w:ascii="Arial" w:hAnsi="Arial" w:cs="Arial"/>
          <w:b/>
          <w:sz w:val="26"/>
          <w:szCs w:val="26"/>
        </w:rPr>
        <w:t>TESORERA MUNICIPAL DEL AYUNTAMIENTO DE OAXACA DE JUÁREZ, OAXACA</w:t>
      </w:r>
      <w:r w:rsidRPr="00CB6405">
        <w:rPr>
          <w:rFonts w:ascii="Arial" w:hAnsi="Arial" w:cs="Arial"/>
          <w:sz w:val="26"/>
          <w:szCs w:val="26"/>
        </w:rPr>
        <w:t>, interpuso en su contra recurso de revisión.</w:t>
      </w:r>
    </w:p>
    <w:p w:rsidR="005036CE" w:rsidRDefault="005036CE" w:rsidP="005036CE">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5036CE" w:rsidRPr="00C06661" w:rsidRDefault="005036CE" w:rsidP="005036CE">
      <w:pPr>
        <w:widowControl w:val="0"/>
        <w:tabs>
          <w:tab w:val="left" w:pos="7938"/>
        </w:tabs>
        <w:spacing w:before="24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Sexta Sala Unitaria fue competente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del actor quedó acreditada en autos, así como la personería de la autoridad demandada.-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Por las razones expuestas en el considerando Quinto, NO SE SOBRESEE el juicio</w:t>
      </w:r>
      <w:r w:rsidRPr="00C06661">
        <w:rPr>
          <w:rFonts w:ascii="Arial" w:eastAsia="Times New Roman" w:hAnsi="Arial" w:cs="Arial"/>
          <w:bCs/>
          <w:i/>
          <w:iCs/>
          <w:sz w:val="24"/>
          <w:szCs w:val="24"/>
          <w:lang w:eastAsia="es-ES"/>
        </w:rPr>
        <w:t xml:space="preserve">.- - - - - - - - - </w:t>
      </w:r>
      <w:r>
        <w:rPr>
          <w:rFonts w:ascii="Arial" w:eastAsia="Times New Roman" w:hAnsi="Arial" w:cs="Arial"/>
          <w:bCs/>
          <w:i/>
          <w:iCs/>
          <w:sz w:val="24"/>
          <w:szCs w:val="24"/>
          <w:lang w:eastAsia="es-ES"/>
        </w:rPr>
        <w:t xml:space="preserve">- - - - - - - - </w:t>
      </w:r>
    </w:p>
    <w:p w:rsidR="005036CE" w:rsidRPr="00C06661" w:rsidRDefault="005036CE" w:rsidP="005036CE">
      <w:pPr>
        <w:widowControl w:val="0"/>
        <w:tabs>
          <w:tab w:val="left" w:pos="7938"/>
        </w:tabs>
        <w:spacing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declara </w:t>
      </w:r>
      <w:r w:rsidRPr="004A27B4">
        <w:rPr>
          <w:rFonts w:ascii="Arial" w:eastAsia="Times New Roman" w:hAnsi="Arial" w:cs="Arial"/>
          <w:bCs/>
          <w:i/>
          <w:iCs/>
          <w:sz w:val="24"/>
          <w:szCs w:val="24"/>
          <w:lang w:eastAsia="es-ES"/>
        </w:rPr>
        <w:t>la</w:t>
      </w:r>
      <w:r w:rsidRPr="00CA05EE">
        <w:rPr>
          <w:rFonts w:ascii="Arial" w:eastAsia="Times New Roman" w:hAnsi="Arial" w:cs="Arial"/>
          <w:b/>
          <w:bCs/>
          <w:i/>
          <w:iCs/>
          <w:sz w:val="24"/>
          <w:szCs w:val="24"/>
          <w:lang w:eastAsia="es-ES"/>
        </w:rPr>
        <w:t xml:space="preserve"> NULIDAD LISA Y LLANA</w:t>
      </w:r>
      <w:r>
        <w:rPr>
          <w:rFonts w:ascii="Arial" w:eastAsia="Times New Roman" w:hAnsi="Arial" w:cs="Arial"/>
          <w:b/>
          <w:bCs/>
          <w:i/>
          <w:iCs/>
          <w:sz w:val="24"/>
          <w:szCs w:val="24"/>
          <w:lang w:eastAsia="es-ES"/>
        </w:rPr>
        <w:t xml:space="preserve"> </w:t>
      </w:r>
      <w:r w:rsidRPr="004A27B4">
        <w:rPr>
          <w:rFonts w:ascii="Arial" w:eastAsia="Times New Roman" w:hAnsi="Arial" w:cs="Arial"/>
          <w:b/>
          <w:bCs/>
          <w:i/>
          <w:iCs/>
          <w:sz w:val="24"/>
          <w:szCs w:val="24"/>
          <w:lang w:eastAsia="es-ES"/>
        </w:rPr>
        <w:t xml:space="preserve">del acta </w:t>
      </w:r>
      <w:r w:rsidRPr="004A27B4">
        <w:rPr>
          <w:rFonts w:ascii="Arial" w:eastAsia="Times New Roman" w:hAnsi="Arial" w:cs="Arial"/>
          <w:b/>
          <w:bCs/>
          <w:i/>
          <w:iCs/>
          <w:sz w:val="24"/>
          <w:szCs w:val="24"/>
          <w:lang w:eastAsia="es-ES"/>
        </w:rPr>
        <w:lastRenderedPageBreak/>
        <w:t>de infracción</w:t>
      </w:r>
      <w:r>
        <w:rPr>
          <w:rFonts w:ascii="Arial" w:eastAsia="Times New Roman" w:hAnsi="Arial" w:cs="Arial"/>
          <w:b/>
          <w:bCs/>
          <w:i/>
          <w:iCs/>
          <w:sz w:val="24"/>
          <w:szCs w:val="24"/>
          <w:lang w:eastAsia="es-ES"/>
        </w:rPr>
        <w:t xml:space="preserve"> de tránsito folio 45245 de tres de abril del dos mil dieciocho, </w:t>
      </w:r>
      <w:r>
        <w:rPr>
          <w:rFonts w:ascii="Arial" w:eastAsia="Times New Roman" w:hAnsi="Arial" w:cs="Arial"/>
          <w:bCs/>
          <w:i/>
          <w:iCs/>
          <w:sz w:val="24"/>
          <w:szCs w:val="24"/>
          <w:lang w:eastAsia="es-ES"/>
        </w:rPr>
        <w:t xml:space="preserve">relacionada con el vehículo particular marca Yamaha, tipo motoneta, color roja, emitida por el Policía Vial número estadístico PV-141, de la </w:t>
      </w:r>
      <w:r w:rsidRPr="004A27B4">
        <w:rPr>
          <w:rFonts w:ascii="Arial" w:eastAsia="Times New Roman" w:hAnsi="Arial" w:cs="Arial"/>
          <w:bCs/>
          <w:i/>
          <w:iCs/>
          <w:sz w:val="24"/>
          <w:szCs w:val="24"/>
          <w:lang w:eastAsia="es-ES"/>
        </w:rPr>
        <w:t xml:space="preserve">Comisaría </w:t>
      </w:r>
      <w:r>
        <w:rPr>
          <w:rFonts w:ascii="Arial" w:eastAsia="Times New Roman" w:hAnsi="Arial" w:cs="Arial"/>
          <w:bCs/>
          <w:i/>
          <w:iCs/>
          <w:sz w:val="24"/>
          <w:szCs w:val="24"/>
          <w:lang w:eastAsia="es-ES"/>
        </w:rPr>
        <w:t>d</w:t>
      </w:r>
      <w:r w:rsidRPr="004A27B4">
        <w:rPr>
          <w:rFonts w:ascii="Arial" w:eastAsia="Times New Roman" w:hAnsi="Arial" w:cs="Arial"/>
          <w:bCs/>
          <w:i/>
          <w:iCs/>
          <w:sz w:val="24"/>
          <w:szCs w:val="24"/>
          <w:lang w:eastAsia="es-ES"/>
        </w:rPr>
        <w:t xml:space="preserve">e Vialidad </w:t>
      </w:r>
      <w:r>
        <w:rPr>
          <w:rFonts w:ascii="Arial" w:eastAsia="Times New Roman" w:hAnsi="Arial" w:cs="Arial"/>
          <w:bCs/>
          <w:i/>
          <w:iCs/>
          <w:sz w:val="24"/>
          <w:szCs w:val="24"/>
          <w:lang w:eastAsia="es-ES"/>
        </w:rPr>
        <w:t xml:space="preserve">del </w:t>
      </w:r>
      <w:r w:rsidRPr="004A27B4">
        <w:rPr>
          <w:rFonts w:ascii="Arial" w:eastAsia="Times New Roman" w:hAnsi="Arial" w:cs="Arial"/>
          <w:bCs/>
          <w:i/>
          <w:iCs/>
          <w:sz w:val="24"/>
          <w:szCs w:val="24"/>
          <w:lang w:eastAsia="es-ES"/>
        </w:rPr>
        <w:t>Municip</w:t>
      </w:r>
      <w:r>
        <w:rPr>
          <w:rFonts w:ascii="Arial" w:eastAsia="Times New Roman" w:hAnsi="Arial" w:cs="Arial"/>
          <w:bCs/>
          <w:i/>
          <w:iCs/>
          <w:sz w:val="24"/>
          <w:szCs w:val="24"/>
          <w:lang w:eastAsia="es-ES"/>
        </w:rPr>
        <w:t>io d</w:t>
      </w:r>
      <w:r w:rsidRPr="004A27B4">
        <w:rPr>
          <w:rFonts w:ascii="Arial" w:eastAsia="Times New Roman" w:hAnsi="Arial" w:cs="Arial"/>
          <w:bCs/>
          <w:i/>
          <w:iCs/>
          <w:sz w:val="24"/>
          <w:szCs w:val="24"/>
          <w:lang w:eastAsia="es-ES"/>
        </w:rPr>
        <w:t xml:space="preserve">e Oaxaca </w:t>
      </w:r>
      <w:r>
        <w:rPr>
          <w:rFonts w:ascii="Arial" w:eastAsia="Times New Roman" w:hAnsi="Arial" w:cs="Arial"/>
          <w:bCs/>
          <w:i/>
          <w:iCs/>
          <w:sz w:val="24"/>
          <w:szCs w:val="24"/>
          <w:lang w:eastAsia="es-ES"/>
        </w:rPr>
        <w:t>d</w:t>
      </w:r>
      <w:r w:rsidRPr="004A27B4">
        <w:rPr>
          <w:rFonts w:ascii="Arial" w:eastAsia="Times New Roman" w:hAnsi="Arial" w:cs="Arial"/>
          <w:bCs/>
          <w:i/>
          <w:iCs/>
          <w:sz w:val="24"/>
          <w:szCs w:val="24"/>
          <w:lang w:eastAsia="es-ES"/>
        </w:rPr>
        <w:t>e Juárez</w:t>
      </w:r>
      <w:r>
        <w:rPr>
          <w:rFonts w:ascii="Arial" w:eastAsia="Times New Roman" w:hAnsi="Arial" w:cs="Arial"/>
          <w:bCs/>
          <w:i/>
          <w:iCs/>
          <w:sz w:val="24"/>
          <w:szCs w:val="24"/>
          <w:lang w:eastAsia="es-ES"/>
        </w:rPr>
        <w:t xml:space="preserve">. Y, en consecuencia se de (sic) de baja del sistema SAP.-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ORDENA a la Tesorera Municipal del Municipio de Oaxaca de Juárez, Oaxaca, </w:t>
      </w:r>
      <w:r>
        <w:rPr>
          <w:rFonts w:ascii="Arial" w:eastAsia="Times New Roman" w:hAnsi="Arial" w:cs="Arial"/>
          <w:bCs/>
          <w:i/>
          <w:iCs/>
          <w:sz w:val="24"/>
          <w:szCs w:val="24"/>
          <w:lang w:eastAsia="es-ES"/>
        </w:rPr>
        <w:t xml:space="preserve">haga la devolución al actor </w:t>
      </w:r>
      <w:r w:rsidR="00241789">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de las cantidades de $585.00 (Quinientos ochenta y cinco pesos 00/100 m.n.) y $ 226. 00 (Doscientos veintiséis pesos 00/100 m.n.) que se indican en los recibos oficiales de pago de folios HGO01300000426746 y TRA01300000427547 respectivamente.- - - - - - - - - - - - - - - - - - - - - - - - - - - - - - - - </w:t>
      </w:r>
      <w:r w:rsidRPr="001B44B9">
        <w:rPr>
          <w:rFonts w:ascii="Arial" w:eastAsia="Times New Roman" w:hAnsi="Arial" w:cs="Arial"/>
          <w:b/>
          <w:bCs/>
          <w:i/>
          <w:iCs/>
          <w:sz w:val="24"/>
          <w:szCs w:val="24"/>
          <w:lang w:eastAsia="es-ES"/>
        </w:rPr>
        <w:t>SEXTO</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NOTIFÍQUESE </w:t>
      </w:r>
      <w:r w:rsidRPr="001B44B9">
        <w:rPr>
          <w:rFonts w:ascii="Arial" w:eastAsia="Times New Roman" w:hAnsi="Arial" w:cs="Arial"/>
          <w:b/>
          <w:bCs/>
          <w:i/>
          <w:iCs/>
          <w:sz w:val="24"/>
          <w:szCs w:val="24"/>
          <w:lang w:eastAsia="es-ES"/>
        </w:rPr>
        <w:t>PERSONALMENTE</w:t>
      </w:r>
      <w:r w:rsidRPr="002103CD">
        <w:rPr>
          <w:rFonts w:ascii="Arial" w:eastAsia="Times New Roman" w:hAnsi="Arial" w:cs="Arial"/>
          <w:bCs/>
          <w:i/>
          <w:iCs/>
          <w:sz w:val="24"/>
          <w:szCs w:val="24"/>
          <w:lang w:eastAsia="es-ES"/>
        </w:rPr>
        <w:t xml:space="preserve"> </w:t>
      </w:r>
      <w:r w:rsidRPr="001B44B9">
        <w:rPr>
          <w:rFonts w:ascii="Arial" w:eastAsia="Times New Roman" w:hAnsi="Arial" w:cs="Arial"/>
          <w:b/>
          <w:bCs/>
          <w:i/>
          <w:iCs/>
          <w:sz w:val="24"/>
          <w:szCs w:val="24"/>
          <w:lang w:eastAsia="es-ES"/>
        </w:rPr>
        <w:t>AL ACTOR</w:t>
      </w:r>
      <w:r>
        <w:rPr>
          <w:rFonts w:ascii="Arial" w:eastAsia="Times New Roman" w:hAnsi="Arial" w:cs="Arial"/>
          <w:bCs/>
          <w:i/>
          <w:iCs/>
          <w:sz w:val="24"/>
          <w:szCs w:val="24"/>
          <w:lang w:eastAsia="es-ES"/>
        </w:rPr>
        <w:t>,</w:t>
      </w:r>
      <w:r w:rsidRPr="002103CD">
        <w:rPr>
          <w:rFonts w:ascii="Arial" w:eastAsia="Times New Roman" w:hAnsi="Arial" w:cs="Arial"/>
          <w:bCs/>
          <w:i/>
          <w:iCs/>
          <w:sz w:val="24"/>
          <w:szCs w:val="24"/>
          <w:lang w:eastAsia="es-ES"/>
        </w:rPr>
        <w:t xml:space="preserve"> </w:t>
      </w:r>
      <w:r w:rsidRPr="001B44B9">
        <w:rPr>
          <w:rFonts w:ascii="Arial" w:eastAsia="Times New Roman" w:hAnsi="Arial" w:cs="Arial"/>
          <w:b/>
          <w:bCs/>
          <w:i/>
          <w:iCs/>
          <w:sz w:val="24"/>
          <w:szCs w:val="24"/>
          <w:lang w:eastAsia="es-ES"/>
        </w:rPr>
        <w:t>POR OFICIO A LA AUTORIDAD DEMANDADA</w:t>
      </w:r>
      <w:r>
        <w:rPr>
          <w:rFonts w:ascii="Arial" w:eastAsia="Times New Roman" w:hAnsi="Arial" w:cs="Arial"/>
          <w:b/>
          <w:bCs/>
          <w:i/>
          <w:iCs/>
          <w:sz w:val="24"/>
          <w:szCs w:val="24"/>
          <w:lang w:eastAsia="es-ES"/>
        </w:rPr>
        <w:t xml:space="preserve"> Y A LA TESORERA DEL MUNICIPIO DE OAXACA DE JUÁREZ, OAXACA, </w:t>
      </w:r>
      <w:r>
        <w:rPr>
          <w:rFonts w:ascii="Arial" w:eastAsia="Times New Roman" w:hAnsi="Arial" w:cs="Arial"/>
          <w:bCs/>
          <w:i/>
          <w:iCs/>
          <w:sz w:val="24"/>
          <w:szCs w:val="24"/>
          <w:lang w:eastAsia="es-ES"/>
        </w:rPr>
        <w:t xml:space="preserve">con copia de la presente con fundamento en los artículos 172 fracción I y 173 fracciones I y II, de la Ley de Procedimiento y Justicia Administrativa para el Estado de Oaxaca, - </w:t>
      </w:r>
      <w:r>
        <w:rPr>
          <w:rFonts w:ascii="Arial" w:eastAsia="Times New Roman" w:hAnsi="Arial" w:cs="Arial"/>
          <w:b/>
          <w:bCs/>
          <w:i/>
          <w:iCs/>
          <w:sz w:val="24"/>
          <w:szCs w:val="24"/>
          <w:lang w:eastAsia="es-ES"/>
        </w:rPr>
        <w:t>CÚMPLASE</w:t>
      </w:r>
      <w:r>
        <w:rPr>
          <w:rFonts w:ascii="Arial" w:eastAsia="Times New Roman" w:hAnsi="Arial" w:cs="Arial"/>
          <w:bCs/>
          <w:i/>
          <w:iCs/>
          <w:sz w:val="24"/>
          <w:szCs w:val="24"/>
          <w:lang w:eastAsia="es-ES"/>
        </w:rPr>
        <w:t xml:space="preserve">.- - - - - - - - - - - - - - - - - - - - - - - - - - </w:t>
      </w:r>
      <w:r w:rsidRPr="00C06661">
        <w:rPr>
          <w:rFonts w:ascii="Arial" w:eastAsia="Times New Roman" w:hAnsi="Arial" w:cs="Arial"/>
          <w:bCs/>
          <w:i/>
          <w:iCs/>
          <w:sz w:val="24"/>
          <w:szCs w:val="24"/>
          <w:lang w:eastAsia="es-ES"/>
        </w:rPr>
        <w:t>”</w:t>
      </w:r>
    </w:p>
    <w:p w:rsidR="005036CE" w:rsidRPr="00CB6405" w:rsidRDefault="005036CE" w:rsidP="005036CE">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036CE" w:rsidRPr="00CB6405" w:rsidRDefault="005036CE" w:rsidP="005036CE">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veintidós de octubre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053/2018</w:t>
      </w:r>
      <w:r w:rsidRPr="00CB6405">
        <w:rPr>
          <w:rFonts w:ascii="Arial" w:hAnsi="Arial" w:cs="Arial"/>
          <w:sz w:val="26"/>
          <w:szCs w:val="26"/>
        </w:rPr>
        <w:t>.</w:t>
      </w:r>
    </w:p>
    <w:p w:rsidR="005036CE" w:rsidRDefault="005036CE" w:rsidP="005036CE">
      <w:pPr>
        <w:spacing w:line="360" w:lineRule="auto"/>
        <w:ind w:firstLine="708"/>
        <w:jc w:val="both"/>
        <w:rPr>
          <w:rFonts w:ascii="Arial"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Pr>
          <w:rFonts w:ascii="Arial" w:hAnsi="Arial" w:cs="Arial"/>
          <w:sz w:val="26"/>
          <w:szCs w:val="26"/>
        </w:rPr>
        <w:t xml:space="preserve"> De la lectura al escrito de recurso de revisión que se analiza, se advierte que quien lo promueve es la Tesorera Municipal del Municipio de Oaxaca de Juárez, Oaxaca, </w:t>
      </w:r>
      <w:r>
        <w:rPr>
          <w:rFonts w:ascii="Arial" w:hAnsi="Arial" w:cs="Arial"/>
          <w:bCs/>
          <w:sz w:val="26"/>
          <w:szCs w:val="26"/>
        </w:rPr>
        <w:t>exhibiendo copia certificada de su nombramiento y toma de protesta de ley, documental con la que acredita la personalidad con la que se ostenta, no así su calidad de parte en el juicio natural.</w:t>
      </w:r>
    </w:p>
    <w:p w:rsidR="005036CE" w:rsidRDefault="005036CE" w:rsidP="005036CE">
      <w:pPr>
        <w:spacing w:line="360" w:lineRule="auto"/>
        <w:ind w:firstLine="708"/>
        <w:jc w:val="both"/>
        <w:rPr>
          <w:rFonts w:ascii="Arial" w:hAnsi="Arial" w:cs="Arial"/>
          <w:color w:val="000000"/>
          <w:sz w:val="26"/>
          <w:szCs w:val="26"/>
        </w:rPr>
      </w:pPr>
      <w:r>
        <w:rPr>
          <w:rFonts w:ascii="Arial" w:hAnsi="Arial" w:cs="Arial"/>
          <w:bCs/>
          <w:sz w:val="26"/>
          <w:szCs w:val="26"/>
        </w:rPr>
        <w:lastRenderedPageBreak/>
        <w:t xml:space="preserve">Lo anterior es así, ya que </w:t>
      </w:r>
      <w:r>
        <w:rPr>
          <w:rFonts w:ascii="Arial" w:hAnsi="Arial" w:cs="Arial"/>
          <w:color w:val="000000"/>
          <w:sz w:val="26"/>
          <w:szCs w:val="26"/>
        </w:rPr>
        <w:t>del análisis de las constancias que integran el expediente de Primera Instancia remitidos para la substanciación del presente recurso, a las que se les otorga pleno valor probatorio, por tratarse de actuaciones procesales, conforme a lo dispuesto por el artículo 203 fracción I de la Ley de Procedimiento Justicia Administrativa para el Estado de Oaxaca, se advierte:</w:t>
      </w:r>
    </w:p>
    <w:p w:rsidR="005036CE" w:rsidRDefault="005036CE" w:rsidP="005036CE">
      <w:pPr>
        <w:spacing w:line="360" w:lineRule="auto"/>
        <w:ind w:firstLine="708"/>
        <w:jc w:val="both"/>
        <w:rPr>
          <w:rFonts w:ascii="Arial" w:hAnsi="Arial" w:cs="Arial"/>
          <w:sz w:val="26"/>
          <w:szCs w:val="26"/>
        </w:rPr>
      </w:pPr>
      <w:r>
        <w:rPr>
          <w:rFonts w:ascii="Arial" w:hAnsi="Arial" w:cs="Arial"/>
          <w:color w:val="000000"/>
          <w:sz w:val="26"/>
          <w:szCs w:val="26"/>
        </w:rPr>
        <w:t xml:space="preserve">Que </w:t>
      </w:r>
      <w:r>
        <w:rPr>
          <w:rFonts w:ascii="Arial" w:hAnsi="Arial" w:cs="Arial"/>
          <w:sz w:val="26"/>
          <w:szCs w:val="26"/>
        </w:rPr>
        <w:t>el actor señaló como autoridades demandadas a:</w:t>
      </w:r>
    </w:p>
    <w:p w:rsidR="005036CE" w:rsidRPr="00551B01" w:rsidRDefault="005036CE" w:rsidP="005036CE">
      <w:pPr>
        <w:spacing w:line="360" w:lineRule="auto"/>
        <w:ind w:left="1134" w:right="333"/>
        <w:jc w:val="both"/>
        <w:rPr>
          <w:rFonts w:ascii="Arial" w:hAnsi="Arial" w:cs="Arial"/>
          <w:i/>
          <w:sz w:val="24"/>
          <w:szCs w:val="24"/>
        </w:rPr>
      </w:pPr>
      <w:r>
        <w:rPr>
          <w:rFonts w:ascii="Arial" w:hAnsi="Arial" w:cs="Arial"/>
          <w:sz w:val="26"/>
          <w:szCs w:val="26"/>
        </w:rPr>
        <w:t>“</w:t>
      </w:r>
      <w:r w:rsidRPr="00551B01">
        <w:rPr>
          <w:rFonts w:ascii="Arial" w:hAnsi="Arial" w:cs="Arial"/>
          <w:i/>
          <w:sz w:val="24"/>
          <w:szCs w:val="24"/>
        </w:rPr>
        <w:t xml:space="preserve">1) </w:t>
      </w:r>
      <w:r w:rsidRPr="00551B01">
        <w:rPr>
          <w:rFonts w:ascii="Arial" w:hAnsi="Arial" w:cs="Arial"/>
          <w:i/>
        </w:rPr>
        <w:t>C.MIGUEL ANGEL CONTRERAS ZAMORA, POLICÍA VIAL CON NÚMERO ESTADÍSTICO PV-141 DE LA COMISARIA DE VIALIDAD MUNICIPAL DE OAXACA DE JUÁREZ, OAXACA</w:t>
      </w:r>
      <w:r w:rsidRPr="00551B01">
        <w:rPr>
          <w:rFonts w:ascii="Arial" w:hAnsi="Arial" w:cs="Arial"/>
          <w:i/>
          <w:sz w:val="24"/>
          <w:szCs w:val="24"/>
        </w:rPr>
        <w:t>, con domicilio bien conocido en Avenida Hidalgo número 1726, Colonia Centro, Oaxaca de Juárez Oaxaca.</w:t>
      </w:r>
    </w:p>
    <w:p w:rsidR="005036CE" w:rsidRDefault="005036CE" w:rsidP="005036CE">
      <w:pPr>
        <w:spacing w:line="360" w:lineRule="auto"/>
        <w:ind w:left="1134" w:right="333"/>
        <w:jc w:val="both"/>
        <w:rPr>
          <w:rFonts w:ascii="Arial" w:hAnsi="Arial" w:cs="Arial"/>
          <w:sz w:val="26"/>
          <w:szCs w:val="26"/>
        </w:rPr>
      </w:pPr>
      <w:r w:rsidRPr="00551B01">
        <w:rPr>
          <w:rFonts w:ascii="Arial" w:hAnsi="Arial" w:cs="Arial"/>
          <w:i/>
          <w:sz w:val="24"/>
          <w:szCs w:val="24"/>
        </w:rPr>
        <w:t xml:space="preserve">2) </w:t>
      </w:r>
      <w:r w:rsidRPr="00551B01">
        <w:rPr>
          <w:rFonts w:ascii="Arial" w:hAnsi="Arial" w:cs="Arial"/>
          <w:i/>
        </w:rPr>
        <w:t>RECAUDADOR DE RENTAS DE LA COORDINACIÓN DE FINANZAS Y ADMINISTRACIÓN DEL MUNICIPIO DE OAXACA DE JUÁREZ</w:t>
      </w:r>
      <w:r w:rsidRPr="00551B01">
        <w:rPr>
          <w:rFonts w:ascii="Arial" w:hAnsi="Arial" w:cs="Arial"/>
          <w:i/>
          <w:sz w:val="24"/>
          <w:szCs w:val="24"/>
        </w:rPr>
        <w:t>, con domicilio en Plaza de la Danza, S/N, Ex convento de la Soledad, Segundo Piso, Oaxaca de Juárez, Oaxaca.</w:t>
      </w:r>
      <w:r>
        <w:rPr>
          <w:rFonts w:ascii="Arial" w:hAnsi="Arial" w:cs="Arial"/>
          <w:sz w:val="26"/>
          <w:szCs w:val="26"/>
        </w:rPr>
        <w:t>”</w:t>
      </w:r>
    </w:p>
    <w:p w:rsidR="005036CE" w:rsidRDefault="005036CE" w:rsidP="005036CE">
      <w:pPr>
        <w:spacing w:line="360" w:lineRule="auto"/>
        <w:ind w:firstLine="708"/>
        <w:jc w:val="both"/>
        <w:rPr>
          <w:rFonts w:ascii="Arial" w:hAnsi="Arial" w:cs="Arial"/>
          <w:sz w:val="26"/>
          <w:szCs w:val="26"/>
        </w:rPr>
      </w:pPr>
      <w:r>
        <w:rPr>
          <w:rFonts w:ascii="Arial" w:hAnsi="Arial" w:cs="Arial"/>
          <w:sz w:val="26"/>
          <w:szCs w:val="26"/>
        </w:rPr>
        <w:t>Y, por auto de veintiuno de mayo de dos mil dieciocho, la Primera Instancia desechó por improcedente la demanda de nulidad entablada en contra del Recaudador de Rentas; “</w:t>
      </w:r>
      <w:r w:rsidRPr="00061C1A">
        <w:rPr>
          <w:rFonts w:ascii="Arial" w:hAnsi="Arial" w:cs="Arial"/>
          <w:b/>
          <w:i/>
          <w:sz w:val="24"/>
          <w:szCs w:val="24"/>
        </w:rPr>
        <w:t>Respecto al Recaudador de Rentas de la Coordinación de Finanzas y Administración del Municipio de Oaxaca de Juárez</w:t>
      </w:r>
      <w:r w:rsidRPr="00061C1A">
        <w:rPr>
          <w:rFonts w:ascii="Arial" w:hAnsi="Arial" w:cs="Arial"/>
          <w:i/>
          <w:sz w:val="24"/>
          <w:szCs w:val="24"/>
        </w:rPr>
        <w:t xml:space="preserve">, se advierte que esa autoridad no dictó, ordenó, ejecutó o trató de ejecutar el acto impugnado (acta de infracción), puesto que la devolución de las cantidades que pagó, </w:t>
      </w:r>
      <w:r w:rsidRPr="00061C1A">
        <w:rPr>
          <w:rFonts w:ascii="Arial" w:hAnsi="Arial" w:cs="Arial"/>
          <w:i/>
          <w:sz w:val="24"/>
          <w:szCs w:val="24"/>
          <w:u w:val="single"/>
        </w:rPr>
        <w:t>en su caso</w:t>
      </w:r>
      <w:r w:rsidRPr="00061C1A">
        <w:rPr>
          <w:rFonts w:ascii="Arial" w:hAnsi="Arial" w:cs="Arial"/>
          <w:i/>
          <w:sz w:val="24"/>
          <w:szCs w:val="24"/>
        </w:rPr>
        <w:t xml:space="preserve">, se devolverán como consecuencia de la nulidad que se </w:t>
      </w:r>
      <w:r w:rsidRPr="00061C1A">
        <w:rPr>
          <w:rFonts w:ascii="Arial" w:hAnsi="Arial" w:cs="Arial"/>
          <w:i/>
          <w:sz w:val="24"/>
          <w:szCs w:val="24"/>
          <w:u w:val="single"/>
        </w:rPr>
        <w:t>llegare</w:t>
      </w:r>
      <w:r w:rsidRPr="00061C1A">
        <w:rPr>
          <w:rFonts w:ascii="Arial" w:hAnsi="Arial" w:cs="Arial"/>
          <w:i/>
          <w:sz w:val="24"/>
          <w:szCs w:val="24"/>
        </w:rPr>
        <w:t xml:space="preserve"> a decretar, por tanto, se </w:t>
      </w:r>
      <w:r w:rsidRPr="00061C1A">
        <w:rPr>
          <w:rFonts w:ascii="Arial" w:hAnsi="Arial" w:cs="Arial"/>
          <w:b/>
          <w:i/>
          <w:sz w:val="24"/>
          <w:szCs w:val="24"/>
        </w:rPr>
        <w:t>desecha por improcedente la demanda de nulidad en contra de esa autoridad</w:t>
      </w:r>
      <w:r w:rsidRPr="00061C1A">
        <w:rPr>
          <w:rFonts w:ascii="Arial" w:hAnsi="Arial" w:cs="Arial"/>
          <w:i/>
          <w:sz w:val="24"/>
          <w:szCs w:val="24"/>
        </w:rPr>
        <w:t>, de conformidad al artículo 182 fracción I, de la Ley de la materia.</w:t>
      </w:r>
      <w:r>
        <w:rPr>
          <w:rFonts w:ascii="Arial" w:hAnsi="Arial" w:cs="Arial"/>
          <w:sz w:val="26"/>
          <w:szCs w:val="26"/>
        </w:rPr>
        <w:t>”</w:t>
      </w:r>
    </w:p>
    <w:p w:rsidR="005036CE" w:rsidRDefault="005036CE" w:rsidP="005036CE">
      <w:pPr>
        <w:spacing w:line="360" w:lineRule="auto"/>
        <w:ind w:firstLine="708"/>
        <w:jc w:val="both"/>
        <w:rPr>
          <w:rFonts w:ascii="Arial" w:hAnsi="Arial" w:cs="Arial"/>
          <w:sz w:val="26"/>
          <w:szCs w:val="26"/>
        </w:rPr>
      </w:pPr>
      <w:r>
        <w:rPr>
          <w:rFonts w:ascii="Arial" w:hAnsi="Arial" w:cs="Arial"/>
          <w:sz w:val="26"/>
          <w:szCs w:val="26"/>
        </w:rPr>
        <w:t xml:space="preserve">Luego, si el artículo </w:t>
      </w:r>
      <w:r>
        <w:rPr>
          <w:rFonts w:ascii="Arial" w:eastAsia="Calibri" w:hAnsi="Arial" w:cs="Arial"/>
          <w:bCs/>
          <w:sz w:val="26"/>
          <w:szCs w:val="26"/>
        </w:rPr>
        <w:t>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Procedimiento y Justicia Administrativa para el Estado de Oaxaca</w:t>
      </w:r>
      <w:r>
        <w:rPr>
          <w:rFonts w:ascii="Arial" w:hAnsi="Arial" w:cs="Arial"/>
          <w:sz w:val="26"/>
          <w:szCs w:val="26"/>
        </w:rPr>
        <w:t>; establece:</w:t>
      </w:r>
    </w:p>
    <w:p w:rsidR="005036CE" w:rsidRDefault="005036CE" w:rsidP="005036CE">
      <w:pPr>
        <w:spacing w:line="360" w:lineRule="auto"/>
        <w:ind w:left="1134" w:right="778"/>
        <w:jc w:val="both"/>
        <w:rPr>
          <w:rFonts w:ascii="Arial" w:hAnsi="Arial" w:cs="Arial"/>
          <w:i/>
          <w:sz w:val="24"/>
          <w:szCs w:val="24"/>
        </w:rPr>
      </w:pPr>
      <w:r>
        <w:rPr>
          <w:rFonts w:ascii="Arial" w:hAnsi="Arial" w:cs="Arial"/>
          <w:sz w:val="24"/>
          <w:szCs w:val="24"/>
        </w:rPr>
        <w:t>“</w:t>
      </w:r>
      <w:r>
        <w:rPr>
          <w:rFonts w:ascii="Arial" w:hAnsi="Arial" w:cs="Arial"/>
          <w:b/>
          <w:i/>
          <w:sz w:val="24"/>
          <w:szCs w:val="24"/>
        </w:rPr>
        <w:t>Artículo 236.-</w:t>
      </w:r>
      <w:r>
        <w:rPr>
          <w:rFonts w:ascii="Arial" w:hAnsi="Arial" w:cs="Arial"/>
          <w:i/>
          <w:sz w:val="24"/>
          <w:szCs w:val="24"/>
        </w:rPr>
        <w:t xml:space="preserve"> Contra los acuerdos y resoluciones dictadas por las salas unitarias de primera instancia, procede el recurso de revisión, cuyo conocimiento y resolución corresponde a la Sala Superior. </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 xml:space="preserve">Podrán ser </w:t>
      </w:r>
      <w:r>
        <w:rPr>
          <w:rFonts w:ascii="Arial" w:hAnsi="Arial" w:cs="Arial"/>
          <w:i/>
          <w:sz w:val="24"/>
          <w:szCs w:val="24"/>
          <w:u w:val="single"/>
        </w:rPr>
        <w:t>impugnados por las partes</w:t>
      </w:r>
      <w:r>
        <w:rPr>
          <w:rFonts w:ascii="Arial" w:hAnsi="Arial" w:cs="Arial"/>
          <w:i/>
          <w:sz w:val="24"/>
          <w:szCs w:val="24"/>
        </w:rPr>
        <w:t xml:space="preserve">, mediante recurso de revisión: </w:t>
      </w:r>
    </w:p>
    <w:p w:rsidR="005036CE" w:rsidRDefault="005036CE" w:rsidP="005036CE">
      <w:pPr>
        <w:spacing w:before="240" w:line="360" w:lineRule="auto"/>
        <w:ind w:left="1134" w:right="778"/>
        <w:jc w:val="both"/>
        <w:rPr>
          <w:rFonts w:ascii="Arial" w:hAnsi="Arial" w:cs="Arial"/>
          <w:i/>
          <w:sz w:val="24"/>
          <w:szCs w:val="24"/>
        </w:rPr>
      </w:pPr>
      <w:r>
        <w:rPr>
          <w:rFonts w:ascii="Arial" w:hAnsi="Arial" w:cs="Arial"/>
          <w:i/>
          <w:sz w:val="24"/>
          <w:szCs w:val="24"/>
        </w:rPr>
        <w:t>I. Los acuerdos que admitan o desechen la demanda, su contestación o ampliación;</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lastRenderedPageBreak/>
        <w:t>II. El acuerdo que deseche pruebas;</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III. El acuerdo que rechace la intervención del tercero;</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IV. Los acuerdos que decreten, nieguen o revoquen la suspensión;</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V. Las resoluciones que decidan incidentes a que se refiere el artículo 224 de esta Ley;</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 xml:space="preserve">VI. Las resoluciones que decreten o nieguen el sobreseimiento; </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VII. Las sentencias que decidan la cuestión planteada;</w:t>
      </w:r>
    </w:p>
    <w:p w:rsidR="005036CE" w:rsidRDefault="005036CE" w:rsidP="005036CE">
      <w:pPr>
        <w:spacing w:line="360" w:lineRule="auto"/>
        <w:ind w:left="1134" w:right="778"/>
        <w:jc w:val="both"/>
        <w:rPr>
          <w:rFonts w:ascii="Arial" w:hAnsi="Arial" w:cs="Arial"/>
          <w:i/>
          <w:sz w:val="24"/>
          <w:szCs w:val="24"/>
        </w:rPr>
      </w:pPr>
      <w:r>
        <w:rPr>
          <w:rFonts w:ascii="Arial" w:hAnsi="Arial" w:cs="Arial"/>
          <w:i/>
          <w:sz w:val="24"/>
          <w:szCs w:val="24"/>
        </w:rPr>
        <w:t>VIII. Por violaciones cometidas durante el procedimiento del juicio, cuando hayan dejado sin defensa al recurrente y trasciendan al sentido de la sentencia; y</w:t>
      </w:r>
    </w:p>
    <w:p w:rsidR="005036CE" w:rsidRDefault="005036CE" w:rsidP="005036CE">
      <w:pPr>
        <w:spacing w:line="360" w:lineRule="auto"/>
        <w:ind w:left="1134" w:right="778"/>
        <w:jc w:val="both"/>
        <w:rPr>
          <w:rFonts w:ascii="Arial" w:hAnsi="Arial" w:cs="Arial"/>
          <w:sz w:val="24"/>
          <w:szCs w:val="24"/>
        </w:rPr>
      </w:pPr>
      <w:r>
        <w:rPr>
          <w:rFonts w:ascii="Arial" w:hAnsi="Arial" w:cs="Arial"/>
          <w:i/>
          <w:sz w:val="24"/>
          <w:szCs w:val="24"/>
        </w:rPr>
        <w:t>VII. Las resoluciones que pongan fin al procedimiento de ejecución de la sentencia</w:t>
      </w:r>
      <w:r>
        <w:rPr>
          <w:rFonts w:ascii="Arial" w:hAnsi="Arial" w:cs="Arial"/>
          <w:sz w:val="24"/>
          <w:szCs w:val="24"/>
        </w:rPr>
        <w:t>”.</w:t>
      </w:r>
    </w:p>
    <w:p w:rsidR="005036CE" w:rsidRDefault="005036CE" w:rsidP="005036CE">
      <w:pPr>
        <w:spacing w:line="360" w:lineRule="auto"/>
        <w:ind w:left="1134"/>
        <w:jc w:val="both"/>
        <w:rPr>
          <w:rFonts w:ascii="Arial" w:hAnsi="Arial" w:cs="Arial"/>
          <w:sz w:val="24"/>
          <w:szCs w:val="24"/>
        </w:rPr>
      </w:pPr>
    </w:p>
    <w:p w:rsidR="005036CE" w:rsidRDefault="005036CE" w:rsidP="005036CE">
      <w:pPr>
        <w:spacing w:line="360" w:lineRule="auto"/>
        <w:ind w:firstLine="709"/>
        <w:jc w:val="both"/>
        <w:rPr>
          <w:rFonts w:ascii="Arial" w:hAnsi="Arial" w:cs="Arial"/>
          <w:sz w:val="26"/>
          <w:szCs w:val="26"/>
        </w:rPr>
      </w:pPr>
      <w:r>
        <w:rPr>
          <w:rFonts w:ascii="Arial" w:hAnsi="Arial" w:cs="Arial"/>
          <w:sz w:val="26"/>
          <w:szCs w:val="26"/>
        </w:rPr>
        <w:t>(Énfasis añadido)</w:t>
      </w:r>
    </w:p>
    <w:p w:rsidR="005036CE" w:rsidRDefault="005036CE" w:rsidP="005036CE">
      <w:pPr>
        <w:spacing w:before="240" w:line="360" w:lineRule="auto"/>
        <w:ind w:firstLine="708"/>
        <w:jc w:val="both"/>
        <w:rPr>
          <w:rFonts w:ascii="Arial" w:hAnsi="Arial" w:cs="Arial"/>
          <w:sz w:val="26"/>
          <w:szCs w:val="26"/>
        </w:rPr>
      </w:pPr>
      <w:r>
        <w:rPr>
          <w:rFonts w:ascii="Arial" w:hAnsi="Arial" w:cs="Arial"/>
          <w:sz w:val="26"/>
          <w:szCs w:val="26"/>
        </w:rPr>
        <w:t xml:space="preserve">Y, el diverso numeral </w:t>
      </w:r>
      <w:r>
        <w:rPr>
          <w:rFonts w:ascii="Arial" w:eastAsia="Calibri" w:hAnsi="Arial" w:cs="Arial"/>
          <w:bCs/>
          <w:sz w:val="26"/>
          <w:szCs w:val="26"/>
        </w:rPr>
        <w:t>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w:t>
      </w:r>
      <w:r>
        <w:rPr>
          <w:rFonts w:ascii="Arial" w:hAnsi="Arial" w:cs="Arial"/>
          <w:sz w:val="26"/>
          <w:szCs w:val="26"/>
        </w:rPr>
        <w:t xml:space="preserve"> indica que son partes en el juicio contencioso administrativo (e</w:t>
      </w:r>
      <w:r>
        <w:rPr>
          <w:rFonts w:ascii="Arial" w:hAnsi="Arial" w:cs="Arial"/>
          <w:sz w:val="24"/>
          <w:szCs w:val="24"/>
        </w:rPr>
        <w:t xml:space="preserve">l actor, el demandado y el tercero afectado); </w:t>
      </w:r>
      <w:r>
        <w:rPr>
          <w:rFonts w:ascii="Arial" w:hAnsi="Arial" w:cs="Arial"/>
          <w:sz w:val="26"/>
          <w:szCs w:val="26"/>
        </w:rPr>
        <w:t xml:space="preserve">sin que en el asunto que nos ocupa el Tesorero Municipal de Oaxaca de Juárez, Oaxaca, actualice alguna de las hipótesis previstas por el aludido artículo; por ello, al no tener el carácter de parte en el juicio de nulidad, el actual medio de defensa se torna </w:t>
      </w:r>
      <w:r>
        <w:rPr>
          <w:rFonts w:ascii="Arial" w:hAnsi="Arial" w:cs="Arial"/>
          <w:b/>
          <w:sz w:val="26"/>
          <w:szCs w:val="26"/>
        </w:rPr>
        <w:t>improcedente</w:t>
      </w:r>
      <w:r>
        <w:rPr>
          <w:rFonts w:ascii="Arial" w:hAnsi="Arial" w:cs="Arial"/>
          <w:sz w:val="26"/>
          <w:szCs w:val="26"/>
        </w:rPr>
        <w:t>, pues se insiste la impugnación de acuerdos y resoluciones dictados en la tramitación del juicio de nulidad, sólo podrá realizarse por las partes que intervienen en el juicio.</w:t>
      </w:r>
    </w:p>
    <w:p w:rsidR="005036CE" w:rsidRDefault="005036CE" w:rsidP="005036CE">
      <w:pPr>
        <w:spacing w:before="240" w:line="360" w:lineRule="auto"/>
        <w:ind w:right="69" w:firstLine="708"/>
        <w:jc w:val="both"/>
        <w:rPr>
          <w:rFonts w:ascii="Arial" w:hAnsi="Arial" w:cs="Arial"/>
          <w:sz w:val="26"/>
          <w:szCs w:val="26"/>
        </w:rPr>
      </w:pPr>
      <w:r>
        <w:rPr>
          <w:rFonts w:ascii="Arial" w:hAnsi="Arial" w:cs="Arial"/>
          <w:sz w:val="26"/>
          <w:szCs w:val="26"/>
        </w:rPr>
        <w:t xml:space="preserve">De ahí que, al comparecer el referido funcionario sin acreditar contar con el carácter de parte, es que no le asiste el derecho para controvertir las resoluciones dictadas por la Primera Instancia; lo que impone se </w:t>
      </w:r>
      <w:r>
        <w:rPr>
          <w:rFonts w:ascii="Arial" w:hAnsi="Arial" w:cs="Arial"/>
          <w:b/>
          <w:sz w:val="26"/>
          <w:szCs w:val="26"/>
        </w:rPr>
        <w:t>deseche</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 xml:space="preserve">el recurso de revisión interpuesto por el </w:t>
      </w:r>
      <w:r>
        <w:rPr>
          <w:rFonts w:ascii="Arial" w:hAnsi="Arial" w:cs="Arial"/>
          <w:b/>
          <w:sz w:val="26"/>
          <w:szCs w:val="26"/>
        </w:rPr>
        <w:t>Tesorero Municipal de Oaxaca de Juárez,</w:t>
      </w:r>
      <w:r>
        <w:rPr>
          <w:rFonts w:ascii="Arial" w:hAnsi="Arial" w:cs="Arial"/>
          <w:sz w:val="26"/>
          <w:szCs w:val="26"/>
        </w:rPr>
        <w:t xml:space="preserve"> </w:t>
      </w:r>
      <w:r>
        <w:rPr>
          <w:rFonts w:ascii="Arial" w:hAnsi="Arial" w:cs="Arial"/>
          <w:b/>
          <w:sz w:val="26"/>
          <w:szCs w:val="26"/>
        </w:rPr>
        <w:t xml:space="preserve">Oaxaca, </w:t>
      </w:r>
      <w:r>
        <w:rPr>
          <w:rFonts w:ascii="Arial" w:hAnsi="Arial" w:cs="Arial"/>
          <w:sz w:val="26"/>
          <w:szCs w:val="26"/>
        </w:rPr>
        <w:t>en contra de la sentencia de veintidós de octubre de dos mil dieciocho.</w:t>
      </w:r>
    </w:p>
    <w:p w:rsidR="005036CE" w:rsidRDefault="005036CE" w:rsidP="005036CE">
      <w:pPr>
        <w:spacing w:before="240" w:line="360" w:lineRule="auto"/>
        <w:ind w:right="69" w:firstLine="708"/>
        <w:jc w:val="both"/>
        <w:rPr>
          <w:rFonts w:ascii="Arial" w:hAnsi="Arial" w:cs="Arial"/>
          <w:sz w:val="26"/>
          <w:szCs w:val="26"/>
        </w:rPr>
      </w:pPr>
      <w:r>
        <w:rPr>
          <w:rFonts w:ascii="Arial" w:hAnsi="Arial" w:cs="Arial"/>
          <w:sz w:val="26"/>
          <w:szCs w:val="26"/>
        </w:rPr>
        <w:t xml:space="preserve">Sin que sea obstáculo a lo anterior, que en la sentencia se haya constreñido a la Tesorera Municipal a la devolución de la cantidad que </w:t>
      </w:r>
      <w:r>
        <w:rPr>
          <w:rFonts w:ascii="Arial" w:hAnsi="Arial" w:cs="Arial"/>
          <w:sz w:val="26"/>
          <w:szCs w:val="26"/>
        </w:rPr>
        <w:lastRenderedPageBreak/>
        <w:t>fue pagada por el actor con motivo del acta de infracción impugnada; pues tal situación no la legitima para promover el presente medio de impugnación, por las razones ya señaladas en párrafos que anteceden.</w:t>
      </w:r>
    </w:p>
    <w:p w:rsidR="005036CE" w:rsidRDefault="005036CE" w:rsidP="005036CE">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w:t>
      </w:r>
    </w:p>
    <w:p w:rsidR="005036CE" w:rsidRDefault="005036CE" w:rsidP="005036CE">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4E17DE" w:rsidRDefault="005036CE" w:rsidP="005036CE">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w:t>
      </w:r>
      <w:r>
        <w:rPr>
          <w:rFonts w:ascii="Arial" w:hAnsi="Arial" w:cs="Arial"/>
          <w:b/>
          <w:sz w:val="26"/>
          <w:szCs w:val="26"/>
        </w:rPr>
        <w:t xml:space="preserve"> IMPROCEDENTE </w:t>
      </w:r>
      <w:r>
        <w:rPr>
          <w:rFonts w:ascii="Arial" w:hAnsi="Arial" w:cs="Arial"/>
          <w:sz w:val="26"/>
          <w:szCs w:val="26"/>
        </w:rPr>
        <w:t>el recurso de revisión, en los términos d</w:t>
      </w:r>
      <w:r>
        <w:rPr>
          <w:rFonts w:ascii="Arial" w:hAnsi="Arial" w:cs="Arial"/>
          <w:sz w:val="26"/>
          <w:szCs w:val="26"/>
          <w:lang w:eastAsia="es-ES"/>
        </w:rPr>
        <w:t>el considerando que antecede</w:t>
      </w:r>
      <w:r>
        <w:rPr>
          <w:rFonts w:ascii="Arial" w:hAnsi="Arial" w:cs="Arial"/>
          <w:sz w:val="26"/>
          <w:szCs w:val="26"/>
        </w:rPr>
        <w:t xml:space="preserve">. </w:t>
      </w:r>
    </w:p>
    <w:p w:rsidR="005036CE" w:rsidRDefault="005036CE" w:rsidP="005036CE">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p>
    <w:p w:rsidR="005036CE" w:rsidRDefault="005036CE" w:rsidP="005036CE">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94234B" w:rsidRPr="00C43594" w:rsidRDefault="0094234B" w:rsidP="0094234B">
      <w:pPr>
        <w:spacing w:line="360" w:lineRule="auto"/>
        <w:ind w:firstLine="708"/>
        <w:jc w:val="both"/>
        <w:rPr>
          <w:rFonts w:ascii="Arial" w:eastAsia="Times New Roman" w:hAnsi="Arial" w:cs="Arial"/>
          <w:sz w:val="26"/>
          <w:szCs w:val="26"/>
          <w:lang w:eastAsia="es-MX"/>
        </w:rPr>
      </w:pPr>
      <w:r w:rsidRPr="00C43594">
        <w:rPr>
          <w:rFonts w:ascii="Arial" w:eastAsia="Times New Roman" w:hAnsi="Arial" w:cs="Arial"/>
          <w:sz w:val="26"/>
          <w:szCs w:val="26"/>
          <w:lang w:eastAsia="es-MX"/>
        </w:rPr>
        <w:t xml:space="preserve">Así por </w:t>
      </w:r>
      <w:r w:rsidR="00FE5FEA">
        <w:rPr>
          <w:rFonts w:ascii="Arial" w:eastAsia="Times New Roman" w:hAnsi="Arial" w:cs="Arial"/>
          <w:sz w:val="26"/>
          <w:szCs w:val="26"/>
          <w:lang w:eastAsia="es-MX"/>
        </w:rPr>
        <w:t>unanimidad</w:t>
      </w:r>
      <w:r w:rsidRPr="00C43594">
        <w:rPr>
          <w:rFonts w:ascii="Arial" w:eastAsia="Times New Roman" w:hAnsi="Arial" w:cs="Arial"/>
          <w:sz w:val="26"/>
          <w:szCs w:val="26"/>
          <w:lang w:eastAsia="es-MX"/>
        </w:rPr>
        <w:t xml:space="preserve"> de votos, lo resolvieron y firmaron los Magistrados integrantes de la Sala Superior del Tribunal de Justicia Administrativa del Estado de Oaxaca; quienes actúan con la Secretaria General de Acuerdos de este Tribunal, que autoriza y da fe.</w:t>
      </w:r>
    </w:p>
    <w:p w:rsidR="0094234B" w:rsidRPr="00C43594" w:rsidRDefault="0094234B" w:rsidP="0094234B">
      <w:pPr>
        <w:tabs>
          <w:tab w:val="left" w:pos="1985"/>
        </w:tabs>
        <w:spacing w:line="360" w:lineRule="auto"/>
        <w:ind w:firstLine="708"/>
        <w:jc w:val="both"/>
        <w:rPr>
          <w:rFonts w:ascii="Arial" w:hAnsi="Arial" w:cs="Arial"/>
          <w:bCs/>
          <w:sz w:val="26"/>
          <w:szCs w:val="26"/>
        </w:rPr>
      </w:pPr>
    </w:p>
    <w:p w:rsidR="001C5A99" w:rsidRDefault="001C5A99"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B24BD8" w:rsidRDefault="00B24BD8"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4E17DE" w:rsidRDefault="004E17DE" w:rsidP="0094234B">
      <w:pPr>
        <w:jc w:val="center"/>
        <w:rPr>
          <w:rFonts w:ascii="Arial" w:hAnsi="Arial" w:cs="Arial"/>
          <w:sz w:val="26"/>
          <w:szCs w:val="26"/>
        </w:rPr>
      </w:pPr>
    </w:p>
    <w:p w:rsidR="004E17DE" w:rsidRPr="0003505B" w:rsidRDefault="004E17DE" w:rsidP="004E17DE">
      <w:pPr>
        <w:spacing w:line="360" w:lineRule="auto"/>
        <w:jc w:val="center"/>
        <w:rPr>
          <w:rFonts w:ascii="Arial" w:hAnsi="Arial" w:cs="Arial"/>
          <w:b/>
          <w:sz w:val="14"/>
          <w:szCs w:val="26"/>
        </w:rPr>
      </w:pPr>
      <w:r w:rsidRPr="0003505B">
        <w:rPr>
          <w:rFonts w:ascii="Arial" w:hAnsi="Arial" w:cs="Arial"/>
          <w:b/>
          <w:sz w:val="14"/>
          <w:szCs w:val="26"/>
        </w:rPr>
        <w:t xml:space="preserve">LAS PRESENTES FIRMAS CORRESPONDEN AL RECURSO DE REVISIÓN </w:t>
      </w:r>
      <w:r>
        <w:rPr>
          <w:rFonts w:ascii="Arial" w:hAnsi="Arial" w:cs="Arial"/>
          <w:b/>
          <w:sz w:val="14"/>
          <w:szCs w:val="26"/>
        </w:rPr>
        <w:t>479</w:t>
      </w:r>
      <w:r w:rsidRPr="0003505B">
        <w:rPr>
          <w:rFonts w:ascii="Arial" w:hAnsi="Arial" w:cs="Arial"/>
          <w:b/>
          <w:sz w:val="14"/>
          <w:szCs w:val="26"/>
        </w:rPr>
        <w:t>/2018</w:t>
      </w:r>
    </w:p>
    <w:p w:rsidR="004E17DE" w:rsidRDefault="004E17DE" w:rsidP="004E17DE">
      <w:pPr>
        <w:spacing w:line="360" w:lineRule="auto"/>
        <w:rPr>
          <w:rFonts w:ascii="Arial" w:hAnsi="Arial" w:cs="Arial"/>
          <w:sz w:val="26"/>
          <w:szCs w:val="26"/>
        </w:rPr>
      </w:pPr>
    </w:p>
    <w:p w:rsidR="0094234B" w:rsidRDefault="0094234B" w:rsidP="0094234B">
      <w:pPr>
        <w:jc w:val="cente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B24BD8" w:rsidRDefault="00B24BD8" w:rsidP="0094234B">
      <w:pPr>
        <w:rPr>
          <w:rFonts w:ascii="Arial" w:hAnsi="Arial" w:cs="Arial"/>
          <w:sz w:val="26"/>
          <w:szCs w:val="26"/>
        </w:rPr>
      </w:pPr>
    </w:p>
    <w:p w:rsidR="00B24BD8" w:rsidRDefault="00B24BD8" w:rsidP="0094234B">
      <w:pPr>
        <w:rPr>
          <w:rFonts w:ascii="Arial" w:hAnsi="Arial" w:cs="Arial"/>
          <w:sz w:val="26"/>
          <w:szCs w:val="26"/>
        </w:rPr>
      </w:pPr>
    </w:p>
    <w:p w:rsidR="0094234B" w:rsidRDefault="0094234B" w:rsidP="00751444">
      <w:pPr>
        <w:rPr>
          <w:rFonts w:ascii="Arial" w:hAnsi="Arial" w:cs="Arial"/>
          <w:sz w:val="26"/>
          <w:szCs w:val="26"/>
        </w:rPr>
      </w:pPr>
    </w:p>
    <w:p w:rsidR="0094234B" w:rsidRDefault="0094234B" w:rsidP="001C5A99">
      <w:pPr>
        <w:spacing w:line="360" w:lineRule="auto"/>
        <w:jc w:val="center"/>
        <w:rPr>
          <w:rFonts w:ascii="Arial" w:hAnsi="Arial" w:cs="Arial"/>
          <w:sz w:val="26"/>
          <w:szCs w:val="26"/>
        </w:rPr>
      </w:pPr>
      <w:r>
        <w:rPr>
          <w:rFonts w:ascii="Arial" w:hAnsi="Arial" w:cs="Arial"/>
          <w:sz w:val="26"/>
          <w:szCs w:val="26"/>
        </w:rPr>
        <w:t>MAGISTRADO HUGO VILLEGAS AQUINO.</w:t>
      </w: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94234B" w:rsidRDefault="0094234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03505B" w:rsidRDefault="0003505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751444" w:rsidRDefault="00751444"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1C5A99" w:rsidRDefault="001C5A99"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1C5A99" w:rsidRDefault="001C5A99"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691BFA" w:rsidRPr="00F6655D" w:rsidRDefault="0094234B" w:rsidP="00E5750D">
      <w:pPr>
        <w:jc w:val="center"/>
        <w:rPr>
          <w:rFonts w:ascii="Arial" w:hAnsi="Arial" w:cs="Arial"/>
          <w:sz w:val="26"/>
          <w:szCs w:val="26"/>
        </w:rPr>
      </w:pPr>
      <w:r>
        <w:rPr>
          <w:rFonts w:ascii="Arial" w:hAnsi="Arial" w:cs="Arial"/>
          <w:sz w:val="26"/>
          <w:szCs w:val="26"/>
        </w:rPr>
        <w:t xml:space="preserve">  SECRETARIA GENERAL DE ACUERDOS.</w:t>
      </w:r>
    </w:p>
    <w:sectPr w:rsidR="00691BFA" w:rsidRPr="00F6655D" w:rsidSect="00231CEF">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222" w:rsidRDefault="00C01222">
      <w:r>
        <w:separator/>
      </w:r>
    </w:p>
  </w:endnote>
  <w:endnote w:type="continuationSeparator" w:id="0">
    <w:p w:rsidR="00C01222" w:rsidRDefault="00C0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783" w:rsidRDefault="0076778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783" w:rsidRDefault="0076778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783" w:rsidRDefault="007677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222" w:rsidRDefault="00C01222">
      <w:r>
        <w:separator/>
      </w:r>
    </w:p>
  </w:footnote>
  <w:footnote w:type="continuationSeparator" w:id="0">
    <w:p w:rsidR="00C01222" w:rsidRDefault="00C01222">
      <w:r>
        <w:continuationSeparator/>
      </w:r>
    </w:p>
  </w:footnote>
  <w:footnote w:id="1">
    <w:p w:rsidR="005036CE" w:rsidRPr="009829E3" w:rsidRDefault="005036CE" w:rsidP="005036CE">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5036CE" w:rsidRPr="009829E3" w:rsidRDefault="005036CE" w:rsidP="005036CE">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5036CE" w:rsidRPr="009829E3" w:rsidRDefault="005036CE" w:rsidP="005036CE">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5036CE" w:rsidRPr="009829E3" w:rsidRDefault="005036CE" w:rsidP="005036CE">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rsidR="005036CE" w:rsidRPr="009829E3" w:rsidRDefault="005036CE" w:rsidP="005036CE">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5036CE" w:rsidRPr="009829E3" w:rsidRDefault="005036CE" w:rsidP="005036CE">
      <w:pPr>
        <w:pStyle w:val="Sinespaciado"/>
        <w:rPr>
          <w:rFonts w:ascii="Arial" w:hAnsi="Arial" w:cs="Arial"/>
          <w:sz w:val="18"/>
          <w:szCs w:val="18"/>
        </w:rPr>
      </w:pPr>
      <w:r w:rsidRPr="009829E3">
        <w:rPr>
          <w:rFonts w:ascii="Arial" w:hAnsi="Arial" w:cs="Arial"/>
          <w:sz w:val="18"/>
          <w:szCs w:val="18"/>
        </w:rPr>
        <w:t xml:space="preserve">   …</w:t>
      </w:r>
    </w:p>
    <w:p w:rsidR="005036CE" w:rsidRPr="009829E3" w:rsidRDefault="005036CE" w:rsidP="005036CE">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5036CE" w:rsidRPr="009829E3" w:rsidRDefault="005036CE" w:rsidP="005036CE">
      <w:pPr>
        <w:pStyle w:val="Sinespaciado"/>
        <w:rPr>
          <w:rFonts w:ascii="Arial" w:hAnsi="Arial" w:cs="Arial"/>
          <w:sz w:val="18"/>
          <w:szCs w:val="18"/>
        </w:rPr>
      </w:pPr>
      <w:r w:rsidRPr="009829E3">
        <w:rPr>
          <w:rFonts w:ascii="Arial" w:hAnsi="Arial" w:cs="Arial"/>
          <w:sz w:val="18"/>
          <w:szCs w:val="18"/>
        </w:rPr>
        <w:t xml:space="preserve">   ….</w:t>
      </w:r>
    </w:p>
    <w:p w:rsidR="005036CE" w:rsidRPr="009829E3" w:rsidRDefault="005036CE" w:rsidP="005036CE">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767783">
          <w:rPr>
            <w:noProof/>
          </w:rPr>
          <w:t>2</w:t>
        </w:r>
        <w:r>
          <w:rPr>
            <w:noProof/>
          </w:rPr>
          <w:fldChar w:fldCharType="end"/>
        </w:r>
      </w:p>
    </w:sdtContent>
  </w:sdt>
  <w:p w:rsidR="00FB125E" w:rsidRDefault="00767783">
    <w:pPr>
      <w:pStyle w:val="Encabezado"/>
    </w:pPr>
    <w:r>
      <w:rPr>
        <w:noProof/>
        <w:lang w:eastAsia="es-MX"/>
      </w:rPr>
      <w:drawing>
        <wp:anchor distT="0" distB="0" distL="114300" distR="114300" simplePos="0" relativeHeight="251673088" behindDoc="0" locked="0" layoutInCell="1" allowOverlap="1" wp14:anchorId="3979D63F" wp14:editId="121CFF70">
          <wp:simplePos x="0" y="0"/>
          <wp:positionH relativeFrom="column">
            <wp:posOffset>5351926</wp:posOffset>
          </wp:positionH>
          <wp:positionV relativeFrom="paragraph">
            <wp:posOffset>4603115</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767783">
          <w:rPr>
            <w:noProof/>
          </w:rPr>
          <w:t>1</w:t>
        </w:r>
        <w:r>
          <w:rPr>
            <w:noProof/>
          </w:rPr>
          <w:fldChar w:fldCharType="end"/>
        </w:r>
      </w:p>
      <w:p w:rsidR="00FB125E" w:rsidRDefault="00C01222" w:rsidP="00D2291D">
        <w:pPr>
          <w:pStyle w:val="Encabezado"/>
          <w:jc w:val="center"/>
        </w:pPr>
      </w:p>
    </w:sdtContent>
  </w:sdt>
  <w:p w:rsidR="00FB125E" w:rsidRDefault="00767783" w:rsidP="00D2291D">
    <w:pPr>
      <w:pStyle w:val="Encabezado"/>
      <w:tabs>
        <w:tab w:val="left" w:pos="142"/>
      </w:tabs>
      <w:ind w:left="284"/>
    </w:pPr>
    <w:bookmarkStart w:id="0" w:name="_GoBack"/>
    <w:r>
      <w:rPr>
        <w:noProof/>
        <w:lang w:eastAsia="es-MX"/>
      </w:rPr>
      <w:drawing>
        <wp:anchor distT="0" distB="0" distL="114300" distR="114300" simplePos="0" relativeHeight="251670016" behindDoc="0" locked="0" layoutInCell="1" allowOverlap="1" wp14:anchorId="7D63EE0B" wp14:editId="7DB0124E">
          <wp:simplePos x="0" y="0"/>
          <wp:positionH relativeFrom="column">
            <wp:posOffset>-1425429</wp:posOffset>
          </wp:positionH>
          <wp:positionV relativeFrom="paragraph">
            <wp:posOffset>5365360</wp:posOffset>
          </wp:positionV>
          <wp:extent cx="1188720" cy="1125416"/>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416"/>
                  </a:xfrm>
                  <a:prstGeom prst="rect">
                    <a:avLst/>
                  </a:prstGeom>
                  <a:noFill/>
                </pic:spPr>
              </pic:pic>
            </a:graphicData>
          </a:graphic>
        </wp:anchor>
      </w:drawing>
    </w:r>
    <w:bookmarkEnd w:id="0"/>
    <w:r w:rsidR="00FB125E" w:rsidRPr="003E6AD7">
      <w:rPr>
        <w:noProof/>
        <w:lang w:val="es-MX" w:eastAsia="es-MX"/>
      </w:rPr>
      <w:drawing>
        <wp:anchor distT="0" distB="0" distL="114300" distR="114300" simplePos="0" relativeHeight="251661824" behindDoc="0" locked="0" layoutInCell="1" allowOverlap="1" wp14:anchorId="66BB3358" wp14:editId="36AD9E4C">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FB125E">
      <w:rPr>
        <w:noProof/>
        <w:lang w:val="es-MX" w:eastAsia="es-MX"/>
      </w:rPr>
      <w:drawing>
        <wp:anchor distT="0" distB="0" distL="114300" distR="114300" simplePos="0" relativeHeight="251651584" behindDoc="1" locked="0" layoutInCell="1" allowOverlap="1" wp14:anchorId="3D9E8F98" wp14:editId="06F786B9">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783" w:rsidRDefault="0076778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5F10CC2"/>
    <w:multiLevelType w:val="hybridMultilevel"/>
    <w:tmpl w:val="22800AF4"/>
    <w:lvl w:ilvl="0" w:tplc="8C3A039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4D5ED1"/>
    <w:multiLevelType w:val="hybridMultilevel"/>
    <w:tmpl w:val="B44AEF36"/>
    <w:lvl w:ilvl="0" w:tplc="C554B22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0">
    <w:nsid w:val="24C12749"/>
    <w:multiLevelType w:val="hybridMultilevel"/>
    <w:tmpl w:val="1C00AAE4"/>
    <w:lvl w:ilvl="0" w:tplc="739EF1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59C160B"/>
    <w:multiLevelType w:val="hybridMultilevel"/>
    <w:tmpl w:val="1A5C96EE"/>
    <w:lvl w:ilvl="0" w:tplc="56F20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FBC009B"/>
    <w:multiLevelType w:val="hybridMultilevel"/>
    <w:tmpl w:val="7756A0A0"/>
    <w:lvl w:ilvl="0" w:tplc="25F8F99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5A5170C"/>
    <w:multiLevelType w:val="hybridMultilevel"/>
    <w:tmpl w:val="44E21A82"/>
    <w:lvl w:ilvl="0" w:tplc="7C009B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2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8"/>
  </w:num>
  <w:num w:numId="3">
    <w:abstractNumId w:val="23"/>
  </w:num>
  <w:num w:numId="4">
    <w:abstractNumId w:val="20"/>
  </w:num>
  <w:num w:numId="5">
    <w:abstractNumId w:val="5"/>
  </w:num>
  <w:num w:numId="6">
    <w:abstractNumId w:val="24"/>
  </w:num>
  <w:num w:numId="7">
    <w:abstractNumId w:val="0"/>
  </w:num>
  <w:num w:numId="8">
    <w:abstractNumId w:val="21"/>
  </w:num>
  <w:num w:numId="9">
    <w:abstractNumId w:val="15"/>
  </w:num>
  <w:num w:numId="10">
    <w:abstractNumId w:val="9"/>
  </w:num>
  <w:num w:numId="11">
    <w:abstractNumId w:val="12"/>
  </w:num>
  <w:num w:numId="12">
    <w:abstractNumId w:val="18"/>
  </w:num>
  <w:num w:numId="13">
    <w:abstractNumId w:val="7"/>
  </w:num>
  <w:num w:numId="14">
    <w:abstractNumId w:val="22"/>
  </w:num>
  <w:num w:numId="15">
    <w:abstractNumId w:val="19"/>
  </w:num>
  <w:num w:numId="16">
    <w:abstractNumId w:val="4"/>
  </w:num>
  <w:num w:numId="17">
    <w:abstractNumId w:val="2"/>
  </w:num>
  <w:num w:numId="18">
    <w:abstractNumId w:val="16"/>
  </w:num>
  <w:num w:numId="19">
    <w:abstractNumId w:val="14"/>
  </w:num>
  <w:num w:numId="20">
    <w:abstractNumId w:val="17"/>
  </w:num>
  <w:num w:numId="21">
    <w:abstractNumId w:val="11"/>
  </w:num>
  <w:num w:numId="22">
    <w:abstractNumId w:val="10"/>
  </w:num>
  <w:num w:numId="23">
    <w:abstractNumId w:val="13"/>
  </w:num>
  <w:num w:numId="24">
    <w:abstractNumId w:val="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0E03"/>
    <w:rsid w:val="00034661"/>
    <w:rsid w:val="0003505B"/>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C16C8"/>
    <w:rsid w:val="000D1C5E"/>
    <w:rsid w:val="000D6F22"/>
    <w:rsid w:val="000E3723"/>
    <w:rsid w:val="000E4F90"/>
    <w:rsid w:val="000E7F47"/>
    <w:rsid w:val="000F1F12"/>
    <w:rsid w:val="000F3866"/>
    <w:rsid w:val="000F6BCD"/>
    <w:rsid w:val="0010116F"/>
    <w:rsid w:val="00112977"/>
    <w:rsid w:val="001233BF"/>
    <w:rsid w:val="001236FF"/>
    <w:rsid w:val="0012652F"/>
    <w:rsid w:val="00127CA2"/>
    <w:rsid w:val="00132D70"/>
    <w:rsid w:val="00134084"/>
    <w:rsid w:val="001346F2"/>
    <w:rsid w:val="00147F10"/>
    <w:rsid w:val="001548AE"/>
    <w:rsid w:val="00163736"/>
    <w:rsid w:val="00164724"/>
    <w:rsid w:val="00164900"/>
    <w:rsid w:val="00166448"/>
    <w:rsid w:val="00166DA6"/>
    <w:rsid w:val="00173F96"/>
    <w:rsid w:val="00185992"/>
    <w:rsid w:val="001866F5"/>
    <w:rsid w:val="00186E02"/>
    <w:rsid w:val="00190E4C"/>
    <w:rsid w:val="0019363B"/>
    <w:rsid w:val="00194DAA"/>
    <w:rsid w:val="00195BEA"/>
    <w:rsid w:val="001A7270"/>
    <w:rsid w:val="001B49BA"/>
    <w:rsid w:val="001B4BF9"/>
    <w:rsid w:val="001C362A"/>
    <w:rsid w:val="001C49AF"/>
    <w:rsid w:val="001C5A99"/>
    <w:rsid w:val="001D1CC8"/>
    <w:rsid w:val="001D449A"/>
    <w:rsid w:val="001E1D05"/>
    <w:rsid w:val="001E54F8"/>
    <w:rsid w:val="001E5ED9"/>
    <w:rsid w:val="001F2610"/>
    <w:rsid w:val="001F5246"/>
    <w:rsid w:val="001F60FB"/>
    <w:rsid w:val="002120E1"/>
    <w:rsid w:val="002147B8"/>
    <w:rsid w:val="002150C4"/>
    <w:rsid w:val="002226C7"/>
    <w:rsid w:val="00222723"/>
    <w:rsid w:val="00231CEF"/>
    <w:rsid w:val="00232956"/>
    <w:rsid w:val="00240FFF"/>
    <w:rsid w:val="00241789"/>
    <w:rsid w:val="00243890"/>
    <w:rsid w:val="002451B0"/>
    <w:rsid w:val="002452C9"/>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4FCD"/>
    <w:rsid w:val="00286CD1"/>
    <w:rsid w:val="00296FB6"/>
    <w:rsid w:val="002A0206"/>
    <w:rsid w:val="002A0BBA"/>
    <w:rsid w:val="002A7840"/>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50FC"/>
    <w:rsid w:val="00446F54"/>
    <w:rsid w:val="004505CE"/>
    <w:rsid w:val="00452E9D"/>
    <w:rsid w:val="00453503"/>
    <w:rsid w:val="0046514D"/>
    <w:rsid w:val="004717D1"/>
    <w:rsid w:val="00471F7C"/>
    <w:rsid w:val="00477889"/>
    <w:rsid w:val="00477E39"/>
    <w:rsid w:val="004816C1"/>
    <w:rsid w:val="00487E10"/>
    <w:rsid w:val="004910F5"/>
    <w:rsid w:val="00492852"/>
    <w:rsid w:val="00492858"/>
    <w:rsid w:val="0049627F"/>
    <w:rsid w:val="004A0D4D"/>
    <w:rsid w:val="004A25C0"/>
    <w:rsid w:val="004A5D49"/>
    <w:rsid w:val="004B0BA6"/>
    <w:rsid w:val="004C4BEF"/>
    <w:rsid w:val="004D2667"/>
    <w:rsid w:val="004E06C4"/>
    <w:rsid w:val="004E17DE"/>
    <w:rsid w:val="004E4378"/>
    <w:rsid w:val="00500A28"/>
    <w:rsid w:val="00502A34"/>
    <w:rsid w:val="005031F4"/>
    <w:rsid w:val="005036CE"/>
    <w:rsid w:val="00503C04"/>
    <w:rsid w:val="005046F5"/>
    <w:rsid w:val="00504721"/>
    <w:rsid w:val="0050685C"/>
    <w:rsid w:val="00511DA6"/>
    <w:rsid w:val="005156E2"/>
    <w:rsid w:val="00517757"/>
    <w:rsid w:val="00517BA8"/>
    <w:rsid w:val="00517C71"/>
    <w:rsid w:val="00521FE5"/>
    <w:rsid w:val="0053326B"/>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856A0"/>
    <w:rsid w:val="00691BFA"/>
    <w:rsid w:val="006B246A"/>
    <w:rsid w:val="006B670E"/>
    <w:rsid w:val="006B77A0"/>
    <w:rsid w:val="006C2BDB"/>
    <w:rsid w:val="006C530F"/>
    <w:rsid w:val="006C5486"/>
    <w:rsid w:val="006C7FC4"/>
    <w:rsid w:val="006F0298"/>
    <w:rsid w:val="006F271C"/>
    <w:rsid w:val="006F7A7A"/>
    <w:rsid w:val="00704BEF"/>
    <w:rsid w:val="007072C4"/>
    <w:rsid w:val="007114E9"/>
    <w:rsid w:val="0071510F"/>
    <w:rsid w:val="0072015D"/>
    <w:rsid w:val="00720A67"/>
    <w:rsid w:val="0072208F"/>
    <w:rsid w:val="0072648B"/>
    <w:rsid w:val="007317E2"/>
    <w:rsid w:val="0073383B"/>
    <w:rsid w:val="007424DA"/>
    <w:rsid w:val="00746018"/>
    <w:rsid w:val="00751444"/>
    <w:rsid w:val="00752691"/>
    <w:rsid w:val="00754338"/>
    <w:rsid w:val="007557B3"/>
    <w:rsid w:val="00760D05"/>
    <w:rsid w:val="00767783"/>
    <w:rsid w:val="00772B26"/>
    <w:rsid w:val="0077405D"/>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EDB"/>
    <w:rsid w:val="009715C0"/>
    <w:rsid w:val="00976446"/>
    <w:rsid w:val="00984295"/>
    <w:rsid w:val="00987E4B"/>
    <w:rsid w:val="00991A0B"/>
    <w:rsid w:val="00991B65"/>
    <w:rsid w:val="00991F13"/>
    <w:rsid w:val="00997555"/>
    <w:rsid w:val="009A4275"/>
    <w:rsid w:val="009C47A0"/>
    <w:rsid w:val="009C5669"/>
    <w:rsid w:val="009C5C85"/>
    <w:rsid w:val="009C7518"/>
    <w:rsid w:val="009D310D"/>
    <w:rsid w:val="009D5065"/>
    <w:rsid w:val="009E0382"/>
    <w:rsid w:val="009E1930"/>
    <w:rsid w:val="009E1FBD"/>
    <w:rsid w:val="009E43BE"/>
    <w:rsid w:val="009E4460"/>
    <w:rsid w:val="009E4AA5"/>
    <w:rsid w:val="009F4C00"/>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E01AB"/>
    <w:rsid w:val="00AE3A0D"/>
    <w:rsid w:val="00AE6266"/>
    <w:rsid w:val="00AE6D5F"/>
    <w:rsid w:val="00AF2C6A"/>
    <w:rsid w:val="00AF3388"/>
    <w:rsid w:val="00AF4255"/>
    <w:rsid w:val="00AF4C18"/>
    <w:rsid w:val="00B03795"/>
    <w:rsid w:val="00B06703"/>
    <w:rsid w:val="00B21BCE"/>
    <w:rsid w:val="00B24BD8"/>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5234"/>
    <w:rsid w:val="00C007E6"/>
    <w:rsid w:val="00C01222"/>
    <w:rsid w:val="00C137BE"/>
    <w:rsid w:val="00C269CC"/>
    <w:rsid w:val="00C26DF1"/>
    <w:rsid w:val="00C345FA"/>
    <w:rsid w:val="00C368FF"/>
    <w:rsid w:val="00C413FC"/>
    <w:rsid w:val="00C43594"/>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3D88"/>
    <w:rsid w:val="00D149B5"/>
    <w:rsid w:val="00D172D0"/>
    <w:rsid w:val="00D2291D"/>
    <w:rsid w:val="00D336A0"/>
    <w:rsid w:val="00D37493"/>
    <w:rsid w:val="00D54DEE"/>
    <w:rsid w:val="00D73FCC"/>
    <w:rsid w:val="00D755DB"/>
    <w:rsid w:val="00D80903"/>
    <w:rsid w:val="00D81032"/>
    <w:rsid w:val="00D87C80"/>
    <w:rsid w:val="00D93BD7"/>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5750D"/>
    <w:rsid w:val="00E623DB"/>
    <w:rsid w:val="00E65999"/>
    <w:rsid w:val="00E7288B"/>
    <w:rsid w:val="00E803DF"/>
    <w:rsid w:val="00E81A1F"/>
    <w:rsid w:val="00E82872"/>
    <w:rsid w:val="00E8373D"/>
    <w:rsid w:val="00E9739E"/>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4840"/>
    <w:rsid w:val="00FA6D20"/>
    <w:rsid w:val="00FB125E"/>
    <w:rsid w:val="00FB4739"/>
    <w:rsid w:val="00FB5411"/>
    <w:rsid w:val="00FB57DE"/>
    <w:rsid w:val="00FB72FB"/>
    <w:rsid w:val="00FC4E8E"/>
    <w:rsid w:val="00FC764A"/>
    <w:rsid w:val="00FD22B3"/>
    <w:rsid w:val="00FD24C1"/>
    <w:rsid w:val="00FD6022"/>
    <w:rsid w:val="00FE592E"/>
    <w:rsid w:val="00FE5FEA"/>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F4B455-F68D-46DE-BF98-AA538B4E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44298124">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048DDC88-2E20-434A-821B-03AA8AEB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6</Pages>
  <Words>1498</Words>
  <Characters>8243</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118</cp:revision>
  <cp:lastPrinted>2018-06-28T19:06:00Z</cp:lastPrinted>
  <dcterms:created xsi:type="dcterms:W3CDTF">2018-08-24T02:19:00Z</dcterms:created>
  <dcterms:modified xsi:type="dcterms:W3CDTF">2019-06-25T16:36:00Z</dcterms:modified>
</cp:coreProperties>
</file>