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w:t>
      </w:r>
      <w:r w:rsidR="00E70E0E">
        <w:rPr>
          <w:rFonts w:ascii="Arial" w:hAnsi="Arial" w:cs="Arial"/>
          <w:b/>
          <w:sz w:val="26"/>
          <w:szCs w:val="26"/>
        </w:rPr>
        <w:t>4</w:t>
      </w:r>
      <w:r w:rsidR="00C8562C">
        <w:rPr>
          <w:rFonts w:ascii="Arial" w:hAnsi="Arial" w:cs="Arial"/>
          <w:b/>
          <w:sz w:val="26"/>
          <w:szCs w:val="26"/>
        </w:rPr>
        <w:t>80</w:t>
      </w:r>
      <w:r>
        <w:rPr>
          <w:rFonts w:ascii="Arial" w:hAnsi="Arial" w:cs="Arial"/>
          <w:b/>
          <w:sz w:val="26"/>
          <w:szCs w:val="26"/>
        </w:rPr>
        <w:t>/201</w:t>
      </w:r>
      <w:r w:rsidR="00E70E0E">
        <w:rPr>
          <w:rFonts w:ascii="Arial" w:hAnsi="Arial" w:cs="Arial"/>
          <w:b/>
          <w:sz w:val="26"/>
          <w:szCs w:val="26"/>
        </w:rPr>
        <w:t>8</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C8562C">
        <w:rPr>
          <w:rFonts w:ascii="Arial" w:hAnsi="Arial" w:cs="Arial"/>
          <w:b/>
          <w:sz w:val="26"/>
          <w:szCs w:val="26"/>
        </w:rPr>
        <w:t>3</w:t>
      </w:r>
      <w:r w:rsidR="00E70E0E">
        <w:rPr>
          <w:rFonts w:ascii="Arial" w:hAnsi="Arial" w:cs="Arial"/>
          <w:b/>
          <w:sz w:val="26"/>
          <w:szCs w:val="26"/>
        </w:rPr>
        <w:t>01</w:t>
      </w:r>
      <w:r>
        <w:rPr>
          <w:rFonts w:ascii="Arial" w:hAnsi="Arial" w:cs="Arial"/>
          <w:b/>
          <w:sz w:val="26"/>
          <w:szCs w:val="26"/>
        </w:rPr>
        <w:t>/201</w:t>
      </w:r>
      <w:r w:rsidR="005D3EFB">
        <w:rPr>
          <w:rFonts w:ascii="Arial" w:hAnsi="Arial" w:cs="Arial"/>
          <w:b/>
          <w:sz w:val="26"/>
          <w:szCs w:val="26"/>
        </w:rPr>
        <w:t xml:space="preserve">6 </w:t>
      </w:r>
      <w:r w:rsidR="00C8562C">
        <w:rPr>
          <w:rFonts w:ascii="Arial" w:hAnsi="Arial" w:cs="Arial"/>
          <w:b/>
          <w:sz w:val="26"/>
          <w:szCs w:val="26"/>
        </w:rPr>
        <w:t xml:space="preserve">CUARTA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90565" w:rsidRDefault="00290FE2" w:rsidP="00B90565">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8A3137">
        <w:rPr>
          <w:rFonts w:ascii="Arial" w:hAnsi="Arial" w:cs="Arial"/>
          <w:b/>
          <w:sz w:val="26"/>
          <w:szCs w:val="26"/>
        </w:rPr>
        <w:t>,</w:t>
      </w:r>
      <w:r>
        <w:rPr>
          <w:rFonts w:ascii="Arial" w:hAnsi="Arial" w:cs="Arial"/>
          <w:b/>
          <w:sz w:val="26"/>
          <w:szCs w:val="26"/>
        </w:rPr>
        <w:t xml:space="preserve"> VEINTINUEVE </w:t>
      </w:r>
      <w:r w:rsidR="00B90565">
        <w:rPr>
          <w:rFonts w:ascii="Arial" w:hAnsi="Arial" w:cs="Arial"/>
          <w:b/>
          <w:sz w:val="26"/>
          <w:szCs w:val="26"/>
        </w:rPr>
        <w:t xml:space="preserve">DE </w:t>
      </w:r>
      <w:r w:rsidR="00AF5DC0">
        <w:rPr>
          <w:rFonts w:ascii="Arial" w:hAnsi="Arial" w:cs="Arial"/>
          <w:b/>
          <w:sz w:val="26"/>
          <w:szCs w:val="26"/>
        </w:rPr>
        <w:t xml:space="preserve">NOVIEMBRE </w:t>
      </w:r>
      <w:r w:rsidR="00B90565">
        <w:rPr>
          <w:rFonts w:ascii="Arial" w:hAnsi="Arial" w:cs="Arial"/>
          <w:b/>
          <w:sz w:val="26"/>
          <w:szCs w:val="26"/>
        </w:rPr>
        <w:t>DE  DOS MIL DIECINUEVE.</w:t>
      </w:r>
    </w:p>
    <w:p w:rsidR="00117A92" w:rsidRDefault="00B90565" w:rsidP="00E70E0E">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E70E0E">
        <w:rPr>
          <w:rFonts w:ascii="Arial" w:hAnsi="Arial" w:cs="Arial"/>
          <w:b/>
          <w:sz w:val="26"/>
          <w:szCs w:val="26"/>
        </w:rPr>
        <w:t>4</w:t>
      </w:r>
      <w:r w:rsidR="00C8562C">
        <w:rPr>
          <w:rFonts w:ascii="Arial" w:hAnsi="Arial" w:cs="Arial"/>
          <w:b/>
          <w:sz w:val="26"/>
          <w:szCs w:val="26"/>
        </w:rPr>
        <w:t>80</w:t>
      </w:r>
      <w:r>
        <w:rPr>
          <w:rFonts w:ascii="Arial" w:hAnsi="Arial" w:cs="Arial"/>
          <w:b/>
          <w:sz w:val="26"/>
          <w:szCs w:val="26"/>
        </w:rPr>
        <w:t>/201</w:t>
      </w:r>
      <w:r w:rsidR="00E70E0E">
        <w:rPr>
          <w:rFonts w:ascii="Arial" w:hAnsi="Arial" w:cs="Arial"/>
          <w:b/>
          <w:sz w:val="26"/>
          <w:szCs w:val="26"/>
        </w:rPr>
        <w:t>8</w:t>
      </w:r>
      <w:r>
        <w:rPr>
          <w:rFonts w:ascii="Arial" w:hAnsi="Arial" w:cs="Arial"/>
          <w:sz w:val="26"/>
          <w:szCs w:val="26"/>
        </w:rPr>
        <w:t>, que remite la Secretaría General de Acuerdos, con motivo del recurso de revisión interpuesto por</w:t>
      </w:r>
      <w:r w:rsidR="00C8562C">
        <w:rPr>
          <w:rFonts w:ascii="Arial" w:hAnsi="Arial" w:cs="Arial"/>
          <w:b/>
          <w:bCs/>
          <w:sz w:val="26"/>
          <w:szCs w:val="26"/>
        </w:rPr>
        <w:t xml:space="preserve"> </w:t>
      </w:r>
      <w:r w:rsidR="00390B4C">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w:t>
      </w:r>
      <w:r w:rsidR="007D3557">
        <w:rPr>
          <w:rFonts w:ascii="Arial" w:eastAsia="Calibri" w:hAnsi="Arial" w:cs="Arial"/>
          <w:sz w:val="26"/>
          <w:szCs w:val="26"/>
        </w:rPr>
        <w:t xml:space="preserve">la </w:t>
      </w:r>
      <w:r w:rsidR="00AF5DC0">
        <w:rPr>
          <w:rFonts w:ascii="Arial" w:eastAsia="Calibri" w:hAnsi="Arial" w:cs="Arial"/>
          <w:sz w:val="26"/>
          <w:szCs w:val="26"/>
        </w:rPr>
        <w:t xml:space="preserve">resolución </w:t>
      </w:r>
      <w:r w:rsidR="00C8562C">
        <w:rPr>
          <w:rFonts w:ascii="Arial" w:eastAsia="Calibri" w:hAnsi="Arial" w:cs="Arial"/>
          <w:sz w:val="26"/>
          <w:szCs w:val="26"/>
        </w:rPr>
        <w:t xml:space="preserve">de 26 veintiséis de octubre </w:t>
      </w:r>
      <w:r w:rsidR="007E52FF">
        <w:rPr>
          <w:rFonts w:ascii="Arial" w:eastAsia="Calibri" w:hAnsi="Arial" w:cs="Arial"/>
          <w:sz w:val="26"/>
          <w:szCs w:val="26"/>
        </w:rPr>
        <w:t xml:space="preserve">de </w:t>
      </w:r>
      <w:r>
        <w:rPr>
          <w:rFonts w:ascii="Arial" w:eastAsia="Calibri" w:hAnsi="Arial" w:cs="Arial"/>
          <w:sz w:val="26"/>
          <w:szCs w:val="26"/>
        </w:rPr>
        <w:t>201</w:t>
      </w:r>
      <w:r w:rsidR="00117A92">
        <w:rPr>
          <w:rFonts w:ascii="Arial" w:eastAsia="Calibri" w:hAnsi="Arial" w:cs="Arial"/>
          <w:sz w:val="26"/>
          <w:szCs w:val="26"/>
        </w:rPr>
        <w:t>8</w:t>
      </w:r>
      <w:r>
        <w:rPr>
          <w:rFonts w:ascii="Arial" w:eastAsia="Calibri" w:hAnsi="Arial" w:cs="Arial"/>
          <w:sz w:val="26"/>
          <w:szCs w:val="26"/>
        </w:rPr>
        <w:t xml:space="preserve"> dos mil dieci</w:t>
      </w:r>
      <w:r w:rsidR="00117A92">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w:t>
      </w:r>
      <w:r w:rsidR="00AF5DC0">
        <w:rPr>
          <w:rFonts w:ascii="Arial" w:hAnsi="Arial" w:cs="Arial"/>
          <w:sz w:val="26"/>
          <w:szCs w:val="26"/>
        </w:rPr>
        <w:t xml:space="preserve">por la </w:t>
      </w:r>
      <w:r w:rsidR="00C8562C">
        <w:rPr>
          <w:rFonts w:ascii="Arial" w:hAnsi="Arial" w:cs="Arial"/>
          <w:sz w:val="26"/>
          <w:szCs w:val="26"/>
        </w:rPr>
        <w:t xml:space="preserve">Cuarta </w:t>
      </w:r>
      <w:r>
        <w:rPr>
          <w:rFonts w:ascii="Arial" w:hAnsi="Arial" w:cs="Arial"/>
          <w:sz w:val="26"/>
          <w:szCs w:val="26"/>
        </w:rPr>
        <w:t>Sala Unitaria de Primera Instancia</w:t>
      </w:r>
      <w:r>
        <w:rPr>
          <w:rFonts w:ascii="Arial" w:eastAsia="Calibri" w:hAnsi="Arial" w:cs="Arial"/>
          <w:sz w:val="26"/>
          <w:szCs w:val="26"/>
        </w:rPr>
        <w:t xml:space="preserve">, </w:t>
      </w:r>
      <w:r w:rsidR="00AF5DC0">
        <w:rPr>
          <w:rFonts w:ascii="Arial" w:eastAsia="Calibri" w:hAnsi="Arial" w:cs="Arial"/>
          <w:sz w:val="26"/>
          <w:szCs w:val="26"/>
        </w:rPr>
        <w:t xml:space="preserve">en el expediente </w:t>
      </w:r>
      <w:r w:rsidR="00AF5DC0">
        <w:rPr>
          <w:rFonts w:ascii="Arial" w:hAnsi="Arial" w:cs="Arial"/>
          <w:b/>
          <w:sz w:val="26"/>
          <w:szCs w:val="26"/>
        </w:rPr>
        <w:t>0301/2016,</w:t>
      </w:r>
      <w:r w:rsidR="00AF5DC0">
        <w:rPr>
          <w:rFonts w:ascii="Arial" w:hAnsi="Arial" w:cs="Arial"/>
          <w:sz w:val="26"/>
          <w:szCs w:val="26"/>
        </w:rPr>
        <w:t xml:space="preserve"> </w:t>
      </w:r>
      <w:r>
        <w:rPr>
          <w:rFonts w:ascii="Arial" w:hAnsi="Arial" w:cs="Arial"/>
          <w:sz w:val="26"/>
          <w:szCs w:val="26"/>
        </w:rPr>
        <w:t>relativo al juicio de nulidad promovido</w:t>
      </w:r>
      <w:r w:rsidR="004B5EAF">
        <w:rPr>
          <w:rFonts w:ascii="Arial" w:hAnsi="Arial" w:cs="Arial"/>
          <w:sz w:val="26"/>
          <w:szCs w:val="26"/>
        </w:rPr>
        <w:t xml:space="preserve"> por</w:t>
      </w:r>
      <w:r w:rsidR="00C8562C">
        <w:rPr>
          <w:rFonts w:ascii="Arial" w:hAnsi="Arial" w:cs="Arial"/>
          <w:b/>
          <w:bCs/>
          <w:sz w:val="26"/>
          <w:szCs w:val="26"/>
        </w:rPr>
        <w:t xml:space="preserve"> </w:t>
      </w:r>
      <w:r w:rsidR="00390B4C">
        <w:rPr>
          <w:rFonts w:ascii="Arial" w:hAnsi="Arial" w:cs="Arial"/>
          <w:b/>
          <w:sz w:val="26"/>
          <w:szCs w:val="26"/>
        </w:rPr>
        <w:t>**********</w:t>
      </w:r>
      <w:r w:rsidR="007D3557">
        <w:rPr>
          <w:rFonts w:ascii="Arial" w:hAnsi="Arial" w:cs="Arial"/>
          <w:bCs/>
          <w:sz w:val="26"/>
          <w:szCs w:val="26"/>
        </w:rPr>
        <w:t>, en contra de</w:t>
      </w:r>
      <w:r w:rsidR="00AF5DC0">
        <w:rPr>
          <w:rFonts w:ascii="Arial" w:hAnsi="Arial" w:cs="Arial"/>
          <w:bCs/>
          <w:sz w:val="26"/>
          <w:szCs w:val="26"/>
        </w:rPr>
        <w:t xml:space="preserve"> </w:t>
      </w:r>
      <w:r w:rsidR="007D3557">
        <w:rPr>
          <w:rFonts w:ascii="Arial" w:hAnsi="Arial" w:cs="Arial"/>
          <w:bCs/>
          <w:sz w:val="26"/>
          <w:szCs w:val="26"/>
        </w:rPr>
        <w:t>l</w:t>
      </w:r>
      <w:r w:rsidR="00AF5DC0">
        <w:rPr>
          <w:rFonts w:ascii="Arial" w:hAnsi="Arial" w:cs="Arial"/>
          <w:bCs/>
          <w:sz w:val="26"/>
          <w:szCs w:val="26"/>
        </w:rPr>
        <w:t>a</w:t>
      </w:r>
      <w:r w:rsidR="00C8562C">
        <w:rPr>
          <w:rFonts w:ascii="Arial" w:hAnsi="Arial" w:cs="Arial"/>
          <w:b/>
          <w:sz w:val="26"/>
          <w:szCs w:val="26"/>
        </w:rPr>
        <w:t xml:space="preserve"> PROCURAD</w:t>
      </w:r>
      <w:r w:rsidR="00AF5DC0">
        <w:rPr>
          <w:rFonts w:ascii="Arial" w:hAnsi="Arial" w:cs="Arial"/>
          <w:b/>
          <w:sz w:val="26"/>
          <w:szCs w:val="26"/>
        </w:rPr>
        <w:t xml:space="preserve">URÍA </w:t>
      </w:r>
      <w:r w:rsidR="00C8562C">
        <w:rPr>
          <w:rFonts w:ascii="Arial" w:hAnsi="Arial" w:cs="Arial"/>
          <w:b/>
          <w:sz w:val="26"/>
          <w:szCs w:val="26"/>
        </w:rPr>
        <w:t>GENERAL DE JUSTICIA DEL ESTADO</w:t>
      </w:r>
      <w:r w:rsidR="00AF5DC0">
        <w:rPr>
          <w:rFonts w:ascii="Arial" w:hAnsi="Arial" w:cs="Arial"/>
          <w:b/>
          <w:sz w:val="26"/>
          <w:szCs w:val="26"/>
        </w:rPr>
        <w:t xml:space="preserve"> DE 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w:t>
      </w:r>
      <w:r w:rsidR="00117A92" w:rsidRPr="00AE333B">
        <w:rPr>
          <w:rFonts w:ascii="Arial" w:eastAsia="Calibri" w:hAnsi="Arial" w:cs="Arial"/>
          <w:sz w:val="26"/>
          <w:szCs w:val="26"/>
        </w:rPr>
        <w:t xml:space="preserve">en el mes de </w:t>
      </w:r>
      <w:r w:rsidR="00AF5DC0" w:rsidRPr="00AE333B">
        <w:rPr>
          <w:rFonts w:ascii="Arial" w:eastAsia="Calibri" w:hAnsi="Arial" w:cs="Arial"/>
          <w:sz w:val="26"/>
          <w:szCs w:val="26"/>
        </w:rPr>
        <w:t xml:space="preserve">julio </w:t>
      </w:r>
      <w:r w:rsidR="00117A92" w:rsidRPr="00AE333B">
        <w:rPr>
          <w:rFonts w:ascii="Arial" w:eastAsia="Calibri" w:hAnsi="Arial" w:cs="Arial"/>
          <w:sz w:val="26"/>
          <w:szCs w:val="26"/>
        </w:rPr>
        <w:t>de 201</w:t>
      </w:r>
      <w:r w:rsidR="00C8562C" w:rsidRPr="00AE333B">
        <w:rPr>
          <w:rFonts w:ascii="Arial" w:eastAsia="Calibri" w:hAnsi="Arial" w:cs="Arial"/>
          <w:sz w:val="26"/>
          <w:szCs w:val="26"/>
        </w:rPr>
        <w:t>5</w:t>
      </w:r>
      <w:r w:rsidR="00117A92" w:rsidRPr="00AE333B">
        <w:rPr>
          <w:rFonts w:ascii="Arial" w:eastAsia="Calibri" w:hAnsi="Arial" w:cs="Arial"/>
          <w:sz w:val="26"/>
          <w:szCs w:val="26"/>
        </w:rPr>
        <w:t xml:space="preserve"> dos mil</w:t>
      </w:r>
      <w:r w:rsidR="00C8562C" w:rsidRPr="00AE333B">
        <w:rPr>
          <w:rFonts w:ascii="Arial" w:eastAsia="Calibri" w:hAnsi="Arial" w:cs="Arial"/>
          <w:sz w:val="26"/>
          <w:szCs w:val="26"/>
        </w:rPr>
        <w:t xml:space="preserve"> quince</w:t>
      </w:r>
      <w:r w:rsidR="00117A92">
        <w:rPr>
          <w:rFonts w:ascii="Arial" w:eastAsia="Calibri" w:hAnsi="Arial" w:cs="Arial"/>
          <w:sz w:val="26"/>
          <w:szCs w:val="26"/>
        </w:rPr>
        <w:t>, se admite. En consecuencia, se procede a dictar resolución en los siguientes términos:</w:t>
      </w:r>
    </w:p>
    <w:p w:rsidR="00B90565" w:rsidRDefault="00B90565" w:rsidP="000D41A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0565" w:rsidRDefault="00B90565" w:rsidP="008828C9">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9D3CFF" w:rsidRPr="009D3CFF">
        <w:rPr>
          <w:rFonts w:ascii="Arial" w:eastAsia="Calibri" w:hAnsi="Arial" w:cs="Arial"/>
          <w:sz w:val="26"/>
          <w:szCs w:val="26"/>
        </w:rPr>
        <w:t xml:space="preserve"> </w:t>
      </w:r>
      <w:r w:rsidR="009D3CFF">
        <w:rPr>
          <w:rFonts w:ascii="Arial" w:eastAsia="Calibri" w:hAnsi="Arial" w:cs="Arial"/>
          <w:sz w:val="26"/>
          <w:szCs w:val="26"/>
        </w:rPr>
        <w:t>la</w:t>
      </w:r>
      <w:r w:rsidR="00E70E0E" w:rsidRPr="00E70E0E">
        <w:rPr>
          <w:rFonts w:ascii="Arial" w:eastAsia="Calibri" w:hAnsi="Arial" w:cs="Arial"/>
          <w:sz w:val="26"/>
          <w:szCs w:val="26"/>
        </w:rPr>
        <w:t xml:space="preserve"> </w:t>
      </w:r>
      <w:r w:rsidR="00AF5DC0">
        <w:rPr>
          <w:rFonts w:ascii="Arial" w:eastAsia="Calibri" w:hAnsi="Arial" w:cs="Arial"/>
          <w:sz w:val="26"/>
          <w:szCs w:val="26"/>
        </w:rPr>
        <w:t xml:space="preserve">resolución </w:t>
      </w:r>
      <w:r w:rsidR="00E70E0E">
        <w:rPr>
          <w:rFonts w:ascii="Arial" w:eastAsia="Calibri" w:hAnsi="Arial" w:cs="Arial"/>
          <w:sz w:val="26"/>
          <w:szCs w:val="26"/>
        </w:rPr>
        <w:t>de 26 veintiséis de octubre de 2018 dos mil dieciocho</w:t>
      </w:r>
      <w:r>
        <w:rPr>
          <w:rFonts w:ascii="Arial" w:hAnsi="Arial" w:cs="Arial"/>
          <w:sz w:val="26"/>
          <w:szCs w:val="26"/>
        </w:rPr>
        <w:t xml:space="preserve">, dictada por la </w:t>
      </w:r>
      <w:r w:rsidR="008828C9">
        <w:rPr>
          <w:rFonts w:ascii="Arial" w:hAnsi="Arial" w:cs="Arial"/>
          <w:sz w:val="26"/>
          <w:szCs w:val="26"/>
        </w:rPr>
        <w:t xml:space="preserve">Cuarta </w:t>
      </w:r>
      <w:r>
        <w:rPr>
          <w:rFonts w:ascii="Arial" w:hAnsi="Arial" w:cs="Arial"/>
          <w:sz w:val="26"/>
          <w:szCs w:val="26"/>
        </w:rPr>
        <w:t>Sala Unitaria de Primera Instancia</w:t>
      </w:r>
      <w:r w:rsidR="009D3CFF" w:rsidRPr="009D3CFF">
        <w:rPr>
          <w:rFonts w:ascii="Arial" w:hAnsi="Arial" w:cs="Arial"/>
          <w:sz w:val="26"/>
          <w:szCs w:val="26"/>
        </w:rPr>
        <w:t>,</w:t>
      </w:r>
      <w:r w:rsidR="009D3CFF">
        <w:rPr>
          <w:rFonts w:ascii="Arial" w:hAnsi="Arial" w:cs="Arial"/>
          <w:b/>
          <w:bCs/>
          <w:sz w:val="26"/>
          <w:szCs w:val="26"/>
        </w:rPr>
        <w:t xml:space="preserve"> </w:t>
      </w:r>
      <w:r w:rsidR="00390B4C">
        <w:rPr>
          <w:rFonts w:ascii="Arial" w:hAnsi="Arial" w:cs="Arial"/>
          <w:b/>
          <w:sz w:val="26"/>
          <w:szCs w:val="26"/>
        </w:rPr>
        <w:t>**********</w:t>
      </w:r>
      <w:r w:rsidR="009D3CFF" w:rsidRPr="009D3CFF">
        <w:rPr>
          <w:rFonts w:ascii="Arial" w:hAnsi="Arial" w:cs="Arial"/>
          <w:sz w:val="26"/>
          <w:szCs w:val="26"/>
        </w:rPr>
        <w:t>,</w:t>
      </w:r>
      <w:r w:rsidR="00291256" w:rsidRPr="009D3CFF">
        <w:rPr>
          <w:rFonts w:ascii="Arial" w:hAnsi="Arial" w:cs="Arial"/>
          <w:sz w:val="26"/>
          <w:szCs w:val="26"/>
        </w:rPr>
        <w:t xml:space="preserve"> </w:t>
      </w:r>
      <w:r>
        <w:rPr>
          <w:rFonts w:ascii="Arial" w:hAnsi="Arial" w:cs="Arial"/>
          <w:sz w:val="26"/>
          <w:szCs w:val="26"/>
        </w:rPr>
        <w:t xml:space="preserve">interpuso en su contra recurso de revisión. </w:t>
      </w:r>
    </w:p>
    <w:p w:rsidR="00B90565" w:rsidRDefault="00B90565" w:rsidP="00B9056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161EF9">
        <w:rPr>
          <w:rFonts w:ascii="Arial" w:eastAsia="Calibri" w:hAnsi="Arial" w:cs="Arial"/>
          <w:sz w:val="26"/>
          <w:szCs w:val="26"/>
        </w:rPr>
        <w:t xml:space="preserve">resolución </w:t>
      </w:r>
      <w:r>
        <w:rPr>
          <w:rFonts w:ascii="Arial" w:eastAsia="Calibri" w:hAnsi="Arial" w:cs="Arial"/>
          <w:sz w:val="26"/>
          <w:szCs w:val="26"/>
        </w:rPr>
        <w:t>recurrida son los siguientes:</w:t>
      </w:r>
    </w:p>
    <w:p w:rsidR="00B40664" w:rsidRPr="008A3137" w:rsidRDefault="00B90565" w:rsidP="00BD74E2">
      <w:pPr>
        <w:pStyle w:val="Textoindependiente21"/>
        <w:tabs>
          <w:tab w:val="left" w:pos="7938"/>
        </w:tabs>
        <w:spacing w:before="240" w:line="360" w:lineRule="auto"/>
        <w:ind w:left="1134" w:right="616" w:firstLine="0"/>
        <w:rPr>
          <w:rFonts w:ascii="Arial" w:hAnsi="Arial" w:cs="Arial"/>
          <w:bCs/>
          <w:i/>
          <w:iCs/>
          <w:sz w:val="22"/>
          <w:szCs w:val="24"/>
        </w:rPr>
      </w:pPr>
      <w:r w:rsidRPr="008A3137">
        <w:rPr>
          <w:rFonts w:ascii="Arial" w:hAnsi="Arial" w:cs="Arial"/>
          <w:bCs/>
          <w:iCs/>
          <w:sz w:val="22"/>
          <w:szCs w:val="24"/>
        </w:rPr>
        <w:t>“</w:t>
      </w:r>
      <w:r w:rsidRPr="008A3137">
        <w:rPr>
          <w:rFonts w:ascii="Arial" w:hAnsi="Arial" w:cs="Arial"/>
          <w:b/>
          <w:bCs/>
          <w:i/>
          <w:iCs/>
          <w:sz w:val="22"/>
          <w:szCs w:val="24"/>
        </w:rPr>
        <w:t>PRIMERO.</w:t>
      </w:r>
      <w:r w:rsidR="007E52FF" w:rsidRPr="008A3137">
        <w:rPr>
          <w:rFonts w:ascii="Arial" w:hAnsi="Arial" w:cs="Arial"/>
          <w:bCs/>
          <w:i/>
          <w:iCs/>
          <w:sz w:val="22"/>
          <w:szCs w:val="24"/>
        </w:rPr>
        <w:t xml:space="preserve"> Esta </w:t>
      </w:r>
      <w:r w:rsidR="00B40664" w:rsidRPr="008A3137">
        <w:rPr>
          <w:rFonts w:ascii="Arial" w:hAnsi="Arial" w:cs="Arial"/>
          <w:bCs/>
          <w:i/>
          <w:iCs/>
          <w:sz w:val="22"/>
          <w:szCs w:val="24"/>
        </w:rPr>
        <w:t xml:space="preserve">Cuarta </w:t>
      </w:r>
      <w:r w:rsidR="007E52FF" w:rsidRPr="008A3137">
        <w:rPr>
          <w:rFonts w:ascii="Arial" w:hAnsi="Arial" w:cs="Arial"/>
          <w:bCs/>
          <w:i/>
          <w:iCs/>
          <w:sz w:val="22"/>
          <w:szCs w:val="24"/>
        </w:rPr>
        <w:t>Sala</w:t>
      </w:r>
      <w:r w:rsidR="009D3CFF" w:rsidRPr="008A3137">
        <w:rPr>
          <w:rFonts w:ascii="Arial" w:hAnsi="Arial" w:cs="Arial"/>
          <w:bCs/>
          <w:i/>
          <w:iCs/>
          <w:sz w:val="22"/>
          <w:szCs w:val="24"/>
        </w:rPr>
        <w:t xml:space="preserve"> </w:t>
      </w:r>
      <w:r w:rsidR="00161EF9" w:rsidRPr="008A3137">
        <w:rPr>
          <w:rFonts w:ascii="Arial" w:hAnsi="Arial" w:cs="Arial"/>
          <w:bCs/>
          <w:i/>
          <w:iCs/>
          <w:sz w:val="22"/>
          <w:szCs w:val="24"/>
        </w:rPr>
        <w:t xml:space="preserve">Unitaria fue </w:t>
      </w:r>
      <w:r w:rsidR="009D3CFF" w:rsidRPr="008A3137">
        <w:rPr>
          <w:rFonts w:ascii="Arial" w:hAnsi="Arial" w:cs="Arial"/>
          <w:b/>
          <w:bCs/>
          <w:i/>
          <w:iCs/>
          <w:sz w:val="22"/>
          <w:szCs w:val="24"/>
        </w:rPr>
        <w:t>competente</w:t>
      </w:r>
      <w:r w:rsidR="009D3CFF" w:rsidRPr="008A3137">
        <w:rPr>
          <w:rFonts w:ascii="Arial" w:hAnsi="Arial" w:cs="Arial"/>
          <w:bCs/>
          <w:i/>
          <w:iCs/>
          <w:sz w:val="22"/>
          <w:szCs w:val="24"/>
        </w:rPr>
        <w:t xml:space="preserve"> </w:t>
      </w:r>
      <w:r w:rsidR="007E52FF" w:rsidRPr="008A3137">
        <w:rPr>
          <w:rFonts w:ascii="Arial" w:hAnsi="Arial" w:cs="Arial"/>
          <w:bCs/>
          <w:i/>
          <w:iCs/>
          <w:sz w:val="22"/>
          <w:szCs w:val="24"/>
        </w:rPr>
        <w:t xml:space="preserve">para conocer y resolver del presente </w:t>
      </w:r>
      <w:r w:rsidR="00AF5DC0" w:rsidRPr="008A3137">
        <w:rPr>
          <w:rFonts w:ascii="Arial" w:hAnsi="Arial" w:cs="Arial"/>
          <w:bCs/>
          <w:i/>
          <w:iCs/>
          <w:sz w:val="22"/>
          <w:szCs w:val="24"/>
        </w:rPr>
        <w:t>asunto.</w:t>
      </w:r>
      <w:r w:rsidR="00161EF9" w:rsidRPr="008A3137">
        <w:rPr>
          <w:rFonts w:ascii="Arial" w:hAnsi="Arial" w:cs="Arial"/>
          <w:bCs/>
          <w:i/>
          <w:iCs/>
          <w:sz w:val="22"/>
          <w:szCs w:val="24"/>
        </w:rPr>
        <w:t>- - - - - - - - - - -</w:t>
      </w:r>
      <w:r w:rsidR="00BD74E2" w:rsidRPr="008A3137">
        <w:rPr>
          <w:rFonts w:ascii="Arial" w:hAnsi="Arial" w:cs="Arial"/>
          <w:bCs/>
          <w:i/>
          <w:iCs/>
          <w:sz w:val="22"/>
          <w:szCs w:val="24"/>
        </w:rPr>
        <w:t xml:space="preserve"> - - - - - </w:t>
      </w:r>
      <w:r w:rsidRPr="008A3137">
        <w:rPr>
          <w:rFonts w:ascii="Arial" w:hAnsi="Arial" w:cs="Arial"/>
          <w:b/>
          <w:bCs/>
          <w:i/>
          <w:iCs/>
          <w:sz w:val="22"/>
          <w:szCs w:val="24"/>
        </w:rPr>
        <w:t>SEGUNDO</w:t>
      </w:r>
      <w:r w:rsidR="00426364" w:rsidRPr="008A3137">
        <w:rPr>
          <w:rFonts w:ascii="Arial" w:hAnsi="Arial" w:cs="Arial"/>
          <w:bCs/>
          <w:i/>
          <w:iCs/>
          <w:sz w:val="22"/>
          <w:szCs w:val="24"/>
        </w:rPr>
        <w:t>.</w:t>
      </w:r>
      <w:r w:rsidR="009D3CFF" w:rsidRPr="008A3137">
        <w:rPr>
          <w:rFonts w:ascii="Arial" w:hAnsi="Arial" w:cs="Arial"/>
          <w:bCs/>
          <w:i/>
          <w:iCs/>
          <w:sz w:val="22"/>
          <w:szCs w:val="24"/>
        </w:rPr>
        <w:t xml:space="preserve"> </w:t>
      </w:r>
      <w:r w:rsidR="00161EF9" w:rsidRPr="008A3137">
        <w:rPr>
          <w:rFonts w:ascii="Arial" w:hAnsi="Arial" w:cs="Arial"/>
          <w:bCs/>
          <w:i/>
          <w:iCs/>
          <w:sz w:val="22"/>
          <w:szCs w:val="24"/>
        </w:rPr>
        <w:t>La personalidad</w:t>
      </w:r>
      <w:r w:rsidR="00B40664" w:rsidRPr="008A3137">
        <w:rPr>
          <w:rFonts w:ascii="Arial" w:hAnsi="Arial" w:cs="Arial"/>
          <w:bCs/>
          <w:i/>
          <w:iCs/>
          <w:sz w:val="22"/>
          <w:szCs w:val="24"/>
        </w:rPr>
        <w:t xml:space="preserve"> </w:t>
      </w:r>
      <w:r w:rsidR="00161EF9" w:rsidRPr="008A3137">
        <w:rPr>
          <w:rFonts w:ascii="Arial" w:hAnsi="Arial" w:cs="Arial"/>
          <w:bCs/>
          <w:i/>
          <w:iCs/>
          <w:sz w:val="22"/>
          <w:szCs w:val="24"/>
        </w:rPr>
        <w:t>de las partes qued</w:t>
      </w:r>
      <w:r w:rsidR="00B40664" w:rsidRPr="008A3137">
        <w:rPr>
          <w:rFonts w:ascii="Arial" w:hAnsi="Arial" w:cs="Arial"/>
          <w:bCs/>
          <w:i/>
          <w:iCs/>
          <w:sz w:val="22"/>
          <w:szCs w:val="24"/>
        </w:rPr>
        <w:t>ó</w:t>
      </w:r>
      <w:r w:rsidR="00161EF9" w:rsidRPr="008A3137">
        <w:rPr>
          <w:rFonts w:ascii="Arial" w:hAnsi="Arial" w:cs="Arial"/>
          <w:bCs/>
          <w:i/>
          <w:iCs/>
          <w:sz w:val="22"/>
          <w:szCs w:val="24"/>
        </w:rPr>
        <w:t xml:space="preserve"> acreditada en autos. </w:t>
      </w:r>
      <w:r w:rsidR="00291256" w:rsidRPr="008A3137">
        <w:rPr>
          <w:rFonts w:ascii="Arial" w:hAnsi="Arial" w:cs="Arial"/>
          <w:bCs/>
          <w:i/>
          <w:iCs/>
          <w:sz w:val="22"/>
          <w:szCs w:val="24"/>
        </w:rPr>
        <w:t>- - - - - - - - - -</w:t>
      </w:r>
      <w:r w:rsidR="00B40664" w:rsidRPr="008A3137">
        <w:rPr>
          <w:rFonts w:ascii="Arial" w:hAnsi="Arial" w:cs="Arial"/>
          <w:bCs/>
          <w:i/>
          <w:iCs/>
          <w:sz w:val="22"/>
          <w:szCs w:val="24"/>
        </w:rPr>
        <w:t xml:space="preserve"> - - - - - -</w:t>
      </w:r>
      <w:r w:rsidR="00291256" w:rsidRPr="008A3137">
        <w:rPr>
          <w:rFonts w:ascii="Arial" w:hAnsi="Arial" w:cs="Arial"/>
          <w:bCs/>
          <w:i/>
          <w:iCs/>
          <w:sz w:val="22"/>
          <w:szCs w:val="24"/>
        </w:rPr>
        <w:t xml:space="preserve"> </w:t>
      </w:r>
      <w:r w:rsidR="00BD74E2" w:rsidRPr="008A3137">
        <w:rPr>
          <w:rFonts w:ascii="Arial" w:hAnsi="Arial" w:cs="Arial"/>
          <w:bCs/>
          <w:i/>
          <w:iCs/>
          <w:sz w:val="22"/>
          <w:szCs w:val="24"/>
        </w:rPr>
        <w:t xml:space="preserve">- - - - - - - - - - - - - - - - - - - - - - </w:t>
      </w:r>
      <w:r w:rsidR="008A3137">
        <w:rPr>
          <w:rFonts w:ascii="Arial" w:hAnsi="Arial" w:cs="Arial"/>
          <w:bCs/>
          <w:i/>
          <w:iCs/>
          <w:sz w:val="22"/>
          <w:szCs w:val="24"/>
        </w:rPr>
        <w:t>-</w:t>
      </w:r>
      <w:r w:rsidRPr="008A3137">
        <w:rPr>
          <w:rFonts w:ascii="Arial" w:hAnsi="Arial" w:cs="Arial"/>
          <w:b/>
          <w:bCs/>
          <w:i/>
          <w:iCs/>
          <w:sz w:val="22"/>
          <w:szCs w:val="24"/>
        </w:rPr>
        <w:t>TERCERO</w:t>
      </w:r>
      <w:r w:rsidRPr="008A3137">
        <w:rPr>
          <w:rFonts w:ascii="Arial" w:hAnsi="Arial" w:cs="Arial"/>
          <w:bCs/>
          <w:i/>
          <w:iCs/>
          <w:sz w:val="22"/>
          <w:szCs w:val="24"/>
        </w:rPr>
        <w:t>.</w:t>
      </w:r>
      <w:r w:rsidR="00291256" w:rsidRPr="008A3137">
        <w:rPr>
          <w:rFonts w:ascii="Arial" w:hAnsi="Arial" w:cs="Arial"/>
          <w:bCs/>
          <w:i/>
          <w:iCs/>
          <w:sz w:val="22"/>
          <w:szCs w:val="24"/>
        </w:rPr>
        <w:t xml:space="preserve"> </w:t>
      </w:r>
      <w:r w:rsidR="00161EF9" w:rsidRPr="008A3137">
        <w:rPr>
          <w:rFonts w:ascii="Arial" w:hAnsi="Arial" w:cs="Arial"/>
          <w:b/>
          <w:i/>
          <w:iCs/>
          <w:sz w:val="22"/>
          <w:szCs w:val="24"/>
        </w:rPr>
        <w:t>SE SOBRESEE EL JUICIO</w:t>
      </w:r>
      <w:r w:rsidR="00B40664" w:rsidRPr="008A3137">
        <w:rPr>
          <w:rFonts w:ascii="Arial" w:hAnsi="Arial" w:cs="Arial"/>
          <w:bCs/>
          <w:i/>
          <w:iCs/>
          <w:sz w:val="22"/>
          <w:szCs w:val="24"/>
        </w:rPr>
        <w:t xml:space="preserve">, respecto del oficio número </w:t>
      </w:r>
      <w:r w:rsidR="00390B4C">
        <w:rPr>
          <w:rFonts w:ascii="Arial" w:hAnsi="Arial" w:cs="Arial"/>
          <w:b/>
          <w:sz w:val="26"/>
          <w:szCs w:val="26"/>
        </w:rPr>
        <w:t>**********</w:t>
      </w:r>
      <w:r w:rsidR="00B40664" w:rsidRPr="008A3137">
        <w:rPr>
          <w:rFonts w:ascii="Arial" w:hAnsi="Arial" w:cs="Arial"/>
          <w:bCs/>
          <w:i/>
          <w:iCs/>
          <w:sz w:val="22"/>
          <w:szCs w:val="24"/>
        </w:rPr>
        <w:t xml:space="preserve">, de 11 once de diciembre de 2014 dos mil catorce, dictado por el Oficial Mayor de la Procuraduría General de Justicia, al actualizarse la causal de improcedencia prevista en el artículo 131 fracción VI, en relación con la fracción II, del artículo 132 de la Ley de la Materia, como quedó precisado en el considerando </w:t>
      </w:r>
      <w:r w:rsidR="00B40664" w:rsidRPr="008A3137">
        <w:rPr>
          <w:rFonts w:ascii="Arial" w:hAnsi="Arial" w:cs="Arial"/>
          <w:bCs/>
          <w:i/>
          <w:iCs/>
          <w:sz w:val="22"/>
          <w:szCs w:val="24"/>
        </w:rPr>
        <w:lastRenderedPageBreak/>
        <w:t xml:space="preserve">tercero de ésta sentencia.- - - - - - - - - - - - - - - - - - - </w:t>
      </w:r>
      <w:r w:rsidR="00AF5DC0" w:rsidRPr="008A3137">
        <w:rPr>
          <w:rFonts w:ascii="Arial" w:hAnsi="Arial" w:cs="Arial"/>
          <w:bCs/>
          <w:i/>
          <w:iCs/>
          <w:sz w:val="22"/>
          <w:szCs w:val="24"/>
        </w:rPr>
        <w:t xml:space="preserve">- </w:t>
      </w:r>
      <w:r w:rsidR="00390B4C">
        <w:rPr>
          <w:rFonts w:ascii="Arial" w:hAnsi="Arial" w:cs="Arial"/>
          <w:bCs/>
          <w:i/>
          <w:iCs/>
          <w:sz w:val="22"/>
          <w:szCs w:val="24"/>
        </w:rPr>
        <w:t>- - - - - - - - - -</w:t>
      </w:r>
    </w:p>
    <w:p w:rsidR="003A1329" w:rsidRPr="008A3137" w:rsidRDefault="00AC5BE4" w:rsidP="00BD74E2">
      <w:pPr>
        <w:pStyle w:val="Textoindependiente21"/>
        <w:tabs>
          <w:tab w:val="left" w:pos="7938"/>
        </w:tabs>
        <w:spacing w:line="360" w:lineRule="auto"/>
        <w:ind w:left="1134" w:right="616" w:firstLine="0"/>
        <w:rPr>
          <w:rFonts w:ascii="Arial" w:hAnsi="Arial" w:cs="Arial"/>
          <w:bCs/>
          <w:iCs/>
          <w:sz w:val="22"/>
          <w:szCs w:val="24"/>
        </w:rPr>
      </w:pPr>
      <w:r w:rsidRPr="008A3137">
        <w:rPr>
          <w:rFonts w:ascii="Arial" w:hAnsi="Arial" w:cs="Arial"/>
          <w:b/>
          <w:i/>
          <w:iCs/>
          <w:sz w:val="22"/>
          <w:szCs w:val="24"/>
        </w:rPr>
        <w:t>CUARTO.-</w:t>
      </w:r>
      <w:r w:rsidR="00FC4D45" w:rsidRPr="008A3137">
        <w:rPr>
          <w:rFonts w:ascii="Arial" w:hAnsi="Arial" w:cs="Arial"/>
          <w:bCs/>
          <w:i/>
          <w:iCs/>
          <w:sz w:val="22"/>
          <w:szCs w:val="24"/>
        </w:rPr>
        <w:t xml:space="preserve"> </w:t>
      </w:r>
      <w:r w:rsidR="003A1329" w:rsidRPr="008A3137">
        <w:rPr>
          <w:rFonts w:ascii="Arial" w:hAnsi="Arial" w:cs="Arial"/>
          <w:b/>
          <w:i/>
          <w:iCs/>
          <w:sz w:val="22"/>
          <w:szCs w:val="24"/>
        </w:rPr>
        <w:t xml:space="preserve">NOTIFÍQUESE PERSONALMENTE A LA ACTORA Y POR OFICIO A LAS AUTORIDADES DEMANDADAS, </w:t>
      </w:r>
      <w:r w:rsidR="003A1329" w:rsidRPr="008A3137">
        <w:rPr>
          <w:rFonts w:ascii="Arial" w:hAnsi="Arial" w:cs="Arial"/>
          <w:bCs/>
          <w:i/>
          <w:iCs/>
          <w:sz w:val="22"/>
          <w:szCs w:val="24"/>
        </w:rPr>
        <w:t>con fundamento en los artículos 142 fracción I y 143 fracciones I y II, de la Ley de Justicia Administrativa para el Estado de Oaxaca</w:t>
      </w:r>
      <w:r w:rsidR="00B40664" w:rsidRPr="008A3137">
        <w:rPr>
          <w:rFonts w:ascii="Arial" w:hAnsi="Arial" w:cs="Arial"/>
          <w:bCs/>
          <w:i/>
          <w:iCs/>
          <w:sz w:val="22"/>
          <w:szCs w:val="24"/>
        </w:rPr>
        <w:t>, anterior a la reformada</w:t>
      </w:r>
      <w:r w:rsidR="003A1329" w:rsidRPr="008A3137">
        <w:rPr>
          <w:rFonts w:ascii="Arial" w:hAnsi="Arial" w:cs="Arial"/>
          <w:bCs/>
          <w:iCs/>
          <w:sz w:val="22"/>
          <w:szCs w:val="24"/>
        </w:rPr>
        <w:t>.</w:t>
      </w:r>
      <w:r w:rsidR="00BD74E2" w:rsidRPr="008A3137">
        <w:rPr>
          <w:rFonts w:ascii="Arial" w:hAnsi="Arial" w:cs="Arial"/>
          <w:bCs/>
          <w:iCs/>
          <w:sz w:val="22"/>
          <w:szCs w:val="24"/>
        </w:rPr>
        <w:t xml:space="preserve"> - - - - - - - - - - - - - - - - - - - - - - - - - - - - - - - - - - - -</w:t>
      </w:r>
      <w:r w:rsidR="008A3137">
        <w:rPr>
          <w:rFonts w:ascii="Arial" w:hAnsi="Arial" w:cs="Arial"/>
          <w:bCs/>
          <w:iCs/>
          <w:sz w:val="22"/>
          <w:szCs w:val="24"/>
        </w:rPr>
        <w:t xml:space="preserve"> -</w:t>
      </w:r>
      <w:r w:rsidR="00BD74E2" w:rsidRPr="008A3137">
        <w:rPr>
          <w:rFonts w:ascii="Arial" w:hAnsi="Arial" w:cs="Arial"/>
          <w:bCs/>
          <w:iCs/>
          <w:sz w:val="22"/>
          <w:szCs w:val="24"/>
        </w:rPr>
        <w:t>”</w:t>
      </w:r>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0D41AB" w:rsidRPr="00403CFB" w:rsidRDefault="00EA7640"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w:t>
      </w:r>
      <w:bookmarkStart w:id="0" w:name="_GoBack"/>
      <w:bookmarkEnd w:id="0"/>
      <w:r>
        <w:rPr>
          <w:rFonts w:ascii="Arial" w:hAnsi="Arial" w:cs="Arial"/>
          <w:bCs/>
          <w:iCs/>
          <w:sz w:val="26"/>
          <w:szCs w:val="26"/>
        </w:rPr>
        <w:t>fracción I</w:t>
      </w:r>
      <w:r w:rsidR="00E97418">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 </w:t>
      </w:r>
      <w:r w:rsidR="00264533">
        <w:rPr>
          <w:rFonts w:ascii="Arial" w:hAnsi="Arial" w:cs="Arial"/>
          <w:bCs/>
          <w:iCs/>
          <w:sz w:val="26"/>
          <w:szCs w:val="26"/>
        </w:rPr>
        <w:t xml:space="preserve">86, 88, 92, 93, fracción I, 94, 201, 206 y 208, de la Ley de Justicia Administrativa para el Estado de Oaxaca, aplicable por ser la que estaba vigente al inicio de juicio principal en el mes de </w:t>
      </w:r>
      <w:r w:rsidR="00AF5DC0">
        <w:rPr>
          <w:rFonts w:ascii="Arial" w:hAnsi="Arial" w:cs="Arial"/>
          <w:bCs/>
          <w:iCs/>
          <w:sz w:val="26"/>
          <w:szCs w:val="26"/>
        </w:rPr>
        <w:t>julio</w:t>
      </w:r>
      <w:r w:rsidR="00B40664">
        <w:rPr>
          <w:rFonts w:ascii="Arial" w:hAnsi="Arial" w:cs="Arial"/>
          <w:bCs/>
          <w:iCs/>
          <w:sz w:val="26"/>
          <w:szCs w:val="26"/>
        </w:rPr>
        <w:t xml:space="preserve"> </w:t>
      </w:r>
      <w:r w:rsidR="00264533">
        <w:rPr>
          <w:rFonts w:ascii="Arial" w:hAnsi="Arial" w:cs="Arial"/>
          <w:bCs/>
          <w:iCs/>
          <w:sz w:val="26"/>
          <w:szCs w:val="26"/>
        </w:rPr>
        <w:t>de 201</w:t>
      </w:r>
      <w:r w:rsidR="00B40664">
        <w:rPr>
          <w:rFonts w:ascii="Arial" w:hAnsi="Arial" w:cs="Arial"/>
          <w:bCs/>
          <w:iCs/>
          <w:sz w:val="26"/>
          <w:szCs w:val="26"/>
        </w:rPr>
        <w:t>5</w:t>
      </w:r>
      <w:r w:rsidR="00264533">
        <w:rPr>
          <w:rFonts w:ascii="Arial" w:hAnsi="Arial" w:cs="Arial"/>
          <w:bCs/>
          <w:iCs/>
          <w:sz w:val="26"/>
          <w:szCs w:val="26"/>
        </w:rPr>
        <w:t xml:space="preserve"> dos mil</w:t>
      </w:r>
      <w:r w:rsidR="00B40664">
        <w:rPr>
          <w:rFonts w:ascii="Arial" w:hAnsi="Arial" w:cs="Arial"/>
          <w:bCs/>
          <w:iCs/>
          <w:sz w:val="26"/>
          <w:szCs w:val="26"/>
        </w:rPr>
        <w:t xml:space="preserve"> quince</w:t>
      </w:r>
      <w:r w:rsidR="00264533">
        <w:rPr>
          <w:rFonts w:ascii="Arial" w:hAnsi="Arial" w:cs="Arial"/>
          <w:bCs/>
          <w:iCs/>
          <w:sz w:val="26"/>
          <w:szCs w:val="26"/>
        </w:rPr>
        <w:t xml:space="preserve">, al tratarse </w:t>
      </w:r>
      <w:r w:rsidR="00264533" w:rsidRPr="00CB6405">
        <w:rPr>
          <w:rFonts w:ascii="Arial" w:hAnsi="Arial" w:cs="Arial"/>
          <w:bCs/>
          <w:iCs/>
          <w:sz w:val="26"/>
          <w:szCs w:val="26"/>
        </w:rPr>
        <w:t>de un Recurso de Revisión interpuesto en contra d</w:t>
      </w:r>
      <w:r w:rsidR="00440042">
        <w:rPr>
          <w:rFonts w:ascii="Arial" w:hAnsi="Arial" w:cs="Arial"/>
          <w:bCs/>
          <w:iCs/>
          <w:sz w:val="26"/>
          <w:szCs w:val="26"/>
        </w:rPr>
        <w:t>e</w:t>
      </w:r>
      <w:r w:rsidR="003A1329" w:rsidRPr="003A1329">
        <w:rPr>
          <w:rFonts w:ascii="Arial" w:eastAsia="Calibri" w:hAnsi="Arial" w:cs="Arial"/>
          <w:sz w:val="26"/>
          <w:szCs w:val="26"/>
        </w:rPr>
        <w:t xml:space="preserve"> </w:t>
      </w:r>
      <w:r w:rsidR="003A1329">
        <w:rPr>
          <w:rFonts w:ascii="Arial" w:eastAsia="Calibri" w:hAnsi="Arial" w:cs="Arial"/>
          <w:sz w:val="26"/>
          <w:szCs w:val="26"/>
        </w:rPr>
        <w:t>la</w:t>
      </w:r>
      <w:r w:rsidR="003A1329" w:rsidRPr="00E70E0E">
        <w:rPr>
          <w:rFonts w:ascii="Arial" w:eastAsia="Calibri" w:hAnsi="Arial" w:cs="Arial"/>
          <w:sz w:val="26"/>
          <w:szCs w:val="26"/>
        </w:rPr>
        <w:t xml:space="preserve"> </w:t>
      </w:r>
      <w:r w:rsidR="00AF5DC0">
        <w:rPr>
          <w:rFonts w:ascii="Arial" w:eastAsia="Calibri" w:hAnsi="Arial" w:cs="Arial"/>
          <w:sz w:val="26"/>
          <w:szCs w:val="26"/>
        </w:rPr>
        <w:t xml:space="preserve">resolución </w:t>
      </w:r>
      <w:r w:rsidR="003A1329">
        <w:rPr>
          <w:rFonts w:ascii="Arial" w:eastAsia="Calibri" w:hAnsi="Arial" w:cs="Arial"/>
          <w:sz w:val="26"/>
          <w:szCs w:val="26"/>
        </w:rPr>
        <w:t>de 26 veintiséis de octubre de 2018 dos mil dieciocho</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B40664">
        <w:rPr>
          <w:rFonts w:ascii="Arial" w:hAnsi="Arial" w:cs="Arial"/>
          <w:bCs/>
          <w:iCs/>
          <w:sz w:val="26"/>
          <w:szCs w:val="26"/>
        </w:rPr>
        <w:t xml:space="preserve">Cuarta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w:t>
      </w:r>
      <w:r w:rsidR="00B40664">
        <w:rPr>
          <w:rFonts w:ascii="Arial" w:hAnsi="Arial" w:cs="Arial"/>
          <w:b/>
          <w:bCs/>
          <w:iCs/>
          <w:sz w:val="26"/>
          <w:szCs w:val="26"/>
        </w:rPr>
        <w:t>3</w:t>
      </w:r>
      <w:r w:rsidR="003A1329">
        <w:rPr>
          <w:rFonts w:ascii="Arial" w:hAnsi="Arial" w:cs="Arial"/>
          <w:b/>
          <w:bCs/>
          <w:iCs/>
          <w:sz w:val="26"/>
          <w:szCs w:val="26"/>
        </w:rPr>
        <w:t>01/</w:t>
      </w:r>
      <w:r w:rsidR="00264533">
        <w:rPr>
          <w:rFonts w:ascii="Arial" w:hAnsi="Arial" w:cs="Arial"/>
          <w:b/>
          <w:bCs/>
          <w:iCs/>
          <w:sz w:val="26"/>
          <w:szCs w:val="26"/>
        </w:rPr>
        <w:t>201</w:t>
      </w:r>
      <w:r w:rsidR="00B17649">
        <w:rPr>
          <w:rFonts w:ascii="Arial" w:hAnsi="Arial" w:cs="Arial"/>
          <w:b/>
          <w:bCs/>
          <w:iCs/>
          <w:sz w:val="26"/>
          <w:szCs w:val="26"/>
        </w:rPr>
        <w:t>6</w:t>
      </w:r>
      <w:r w:rsidR="00264533" w:rsidRPr="00CB6405">
        <w:rPr>
          <w:rFonts w:ascii="Arial" w:hAnsi="Arial" w:cs="Arial"/>
          <w:sz w:val="26"/>
          <w:szCs w:val="26"/>
        </w:rPr>
        <w:t>.</w:t>
      </w:r>
    </w:p>
    <w:p w:rsidR="00AF5DC0"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B40664">
        <w:rPr>
          <w:rFonts w:ascii="Arial" w:hAnsi="Arial" w:cs="Arial"/>
          <w:sz w:val="26"/>
          <w:szCs w:val="26"/>
        </w:rPr>
        <w:t xml:space="preserv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CF7DA4">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CF7DA4" w:rsidRPr="008A3137" w:rsidRDefault="00CF7DA4" w:rsidP="007E1959">
      <w:pPr>
        <w:spacing w:before="240" w:after="0"/>
        <w:ind w:left="1134" w:right="616"/>
        <w:jc w:val="both"/>
        <w:rPr>
          <w:rFonts w:ascii="Arial" w:hAnsi="Arial" w:cs="Arial"/>
          <w:sz w:val="24"/>
          <w:szCs w:val="26"/>
        </w:rPr>
      </w:pPr>
      <w:r w:rsidRPr="008A3137">
        <w:rPr>
          <w:rFonts w:ascii="Arial" w:hAnsi="Arial" w:cs="Arial"/>
          <w:sz w:val="24"/>
          <w:szCs w:val="26"/>
        </w:rPr>
        <w:t>“</w:t>
      </w:r>
      <w:r w:rsidRPr="008A3137">
        <w:rPr>
          <w:rFonts w:ascii="Arial" w:hAnsi="Arial" w:cs="Arial"/>
          <w:b/>
          <w:i/>
          <w:sz w:val="20"/>
        </w:rPr>
        <w:t>CONCEPTOS DE VIOLACION. NO ES OBLIGATORIO TRANSCRIBIRLOS EN LA SENTENCIA</w:t>
      </w:r>
      <w:r w:rsidRPr="008A3137">
        <w:rPr>
          <w:rFonts w:ascii="Arial" w:hAnsi="Arial" w:cs="Arial"/>
          <w:sz w:val="24"/>
          <w:szCs w:val="26"/>
        </w:rPr>
        <w:t xml:space="preserve">. </w:t>
      </w:r>
      <w:r w:rsidRPr="008A3137">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8A3137">
        <w:rPr>
          <w:rFonts w:ascii="Arial" w:hAnsi="Arial" w:cs="Arial"/>
          <w:sz w:val="24"/>
          <w:szCs w:val="26"/>
        </w:rPr>
        <w:t>.”</w:t>
      </w:r>
    </w:p>
    <w:p w:rsidR="00D757D3" w:rsidRDefault="00B90565" w:rsidP="00CF7DA4">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lastRenderedPageBreak/>
        <w:t>TERCERO</w:t>
      </w:r>
      <w:r>
        <w:rPr>
          <w:rFonts w:ascii="Arial" w:eastAsia="Calibri" w:hAnsi="Arial" w:cs="Arial"/>
          <w:bCs/>
          <w:sz w:val="26"/>
          <w:szCs w:val="26"/>
        </w:rPr>
        <w:t xml:space="preserve">. </w:t>
      </w:r>
      <w:r w:rsidR="00AF5DC0">
        <w:rPr>
          <w:rFonts w:ascii="Arial" w:eastAsia="Calibri" w:hAnsi="Arial" w:cs="Arial"/>
          <w:bCs/>
          <w:sz w:val="26"/>
          <w:szCs w:val="26"/>
        </w:rPr>
        <w:t>Inicia sus alegaciones arguyendo que el considerando tercero de la resolución en combate, le causa agravio, porque no se encuentra debidamente fundada y motivada e infringe derechos humanos, así como los artículos 1, 14 y 16 de la Constitución Política de los Estados Unidos Mexicanos</w:t>
      </w:r>
      <w:r w:rsidR="00D757D3">
        <w:rPr>
          <w:rFonts w:ascii="Arial" w:eastAsia="Calibri" w:hAnsi="Arial" w:cs="Arial"/>
          <w:bCs/>
          <w:sz w:val="26"/>
          <w:szCs w:val="26"/>
        </w:rPr>
        <w:t>; precisa que la excepción de prescripción abordada y aplicada, es improcedente y violatoria de garantías individuales, porque la Primera Instancia, no está obligada a pronunciarse oficiosamente sobre si ha operado o no la prescripción de la responsabilidad de un servidor público, si este no se hizo valer en la contestación de demanda</w:t>
      </w:r>
      <w:r w:rsidR="000E0A84">
        <w:rPr>
          <w:rFonts w:ascii="Arial" w:eastAsia="Calibri" w:hAnsi="Arial" w:cs="Arial"/>
          <w:bCs/>
          <w:sz w:val="26"/>
          <w:szCs w:val="26"/>
        </w:rPr>
        <w:t>; pues al oponer tal excepción de prescripción las demandadas debieron proporcionar los elementos necesarios para que la Sala los analizara y determinara si se presentó extemporáneamente la reclamación</w:t>
      </w:r>
      <w:r w:rsidR="00D757D3">
        <w:rPr>
          <w:rFonts w:ascii="Arial" w:eastAsia="Calibri" w:hAnsi="Arial" w:cs="Arial"/>
          <w:bCs/>
          <w:sz w:val="26"/>
          <w:szCs w:val="26"/>
        </w:rPr>
        <w:t>.</w:t>
      </w:r>
      <w:r w:rsidR="000E0A84">
        <w:rPr>
          <w:rFonts w:ascii="Arial" w:eastAsia="Calibri" w:hAnsi="Arial" w:cs="Arial"/>
          <w:bCs/>
          <w:sz w:val="26"/>
          <w:szCs w:val="26"/>
        </w:rPr>
        <w:t xml:space="preserve"> Cita como apoyo los criterios de rubros: “</w:t>
      </w:r>
      <w:r w:rsidR="000E0A84" w:rsidRPr="000E0A84">
        <w:rPr>
          <w:rFonts w:ascii="Arial" w:eastAsia="Calibri" w:hAnsi="Arial" w:cs="Arial"/>
          <w:bCs/>
          <w:i/>
        </w:rPr>
        <w:t>PRESCRIPCIÓN DE LAS RESPONSABILIDADES DE LOS SERVIDORES PÚBLICOS. SI NO SE HACE VALER EN LA DEMANDA, EL TRIBUNAL FEDERAL DE JUSTICIA FISCAL Y ADMINISTRATIVA NO ESTÁ OBLIGADO A PRONUNCIARSE OFICIOSAMENTE SOBRE SI HA OPERADO O NO (INAPLICABILIDAD DE LA JURISPRUDENCIA 2a./J.154/2010</w:t>
      </w:r>
      <w:r w:rsidR="000E0A84">
        <w:rPr>
          <w:rFonts w:ascii="Arial" w:eastAsia="Calibri" w:hAnsi="Arial" w:cs="Arial"/>
          <w:bCs/>
          <w:sz w:val="26"/>
          <w:szCs w:val="26"/>
        </w:rPr>
        <w:t>).”, “</w:t>
      </w:r>
      <w:r w:rsidR="000E0A84" w:rsidRPr="000E0A84">
        <w:rPr>
          <w:rFonts w:ascii="Arial" w:eastAsia="Calibri" w:hAnsi="Arial" w:cs="Arial"/>
          <w:bCs/>
          <w:i/>
        </w:rPr>
        <w:t xml:space="preserve">PRESCRIPCIÓN DE LAS RESPONSABILIDADES DE LOS SERVIDORES PÚBLICOS. SI SE </w:t>
      </w:r>
      <w:r w:rsidR="000E0A84">
        <w:rPr>
          <w:rFonts w:ascii="Arial" w:eastAsia="Calibri" w:hAnsi="Arial" w:cs="Arial"/>
          <w:bCs/>
          <w:i/>
        </w:rPr>
        <w:t>ALEGA EN EL JUICIO DE AMPARO QUE SE ACTUALIZÓ AQUÉLLA Y NO SE ADVIERTE QUE LA AUTORIDAD RESPONSABLE SE HAYA OCUPADO DE TAL ASPECTO, EL JUEZ DE DISTRITO DEBE CONCEDER EL AMPARO PARA QUE SE ESTUDIE</w:t>
      </w:r>
      <w:r w:rsidR="000E0A84">
        <w:rPr>
          <w:rFonts w:ascii="Arial" w:eastAsia="Calibri" w:hAnsi="Arial" w:cs="Arial"/>
          <w:bCs/>
          <w:sz w:val="26"/>
          <w:szCs w:val="26"/>
        </w:rPr>
        <w:t>.” y “</w:t>
      </w:r>
      <w:r w:rsidR="000E0A84" w:rsidRPr="000E0A84">
        <w:rPr>
          <w:rFonts w:ascii="Arial" w:eastAsia="Calibri" w:hAnsi="Arial" w:cs="Arial"/>
          <w:bCs/>
          <w:i/>
        </w:rPr>
        <w:t xml:space="preserve">PRESCRIPCIÓN </w:t>
      </w:r>
      <w:r w:rsidR="000E0A84">
        <w:rPr>
          <w:rFonts w:ascii="Arial" w:eastAsia="Calibri" w:hAnsi="Arial" w:cs="Arial"/>
          <w:bCs/>
          <w:i/>
        </w:rPr>
        <w:t>O CADUCIDAD EN EL JUICIO DE NULIDAD. CORRESPONDE AL TRIBUNAL FEDERAL DE JUSTICIA FISCAL Y ADMINISTRATIVA DETERMINAR CUÁL DE ESAS FIGURAS SE ACTUALIZA, CONFORME A LAS ALEGACIONES EXPUESTAS EN LA DEMANDA Y EN LA CONTESTACIÓN</w:t>
      </w:r>
      <w:r w:rsidR="000E0A84">
        <w:rPr>
          <w:rFonts w:ascii="Arial" w:eastAsia="Calibri" w:hAnsi="Arial" w:cs="Arial"/>
          <w:bCs/>
          <w:sz w:val="26"/>
          <w:szCs w:val="26"/>
        </w:rPr>
        <w:t>.”.</w:t>
      </w:r>
    </w:p>
    <w:p w:rsidR="002D3825" w:rsidRDefault="000E0A84" w:rsidP="00CF7DA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E0A84">
        <w:rPr>
          <w:rFonts w:ascii="Arial" w:eastAsia="Calibri" w:hAnsi="Arial" w:cs="Arial"/>
          <w:b/>
          <w:bCs/>
          <w:sz w:val="26"/>
          <w:szCs w:val="26"/>
        </w:rPr>
        <w:t>infu</w:t>
      </w:r>
      <w:r>
        <w:rPr>
          <w:rFonts w:ascii="Arial" w:eastAsia="Calibri" w:hAnsi="Arial" w:cs="Arial"/>
          <w:b/>
          <w:bCs/>
          <w:sz w:val="26"/>
          <w:szCs w:val="26"/>
        </w:rPr>
        <w:t>n</w:t>
      </w:r>
      <w:r w:rsidRPr="000E0A84">
        <w:rPr>
          <w:rFonts w:ascii="Arial" w:eastAsia="Calibri" w:hAnsi="Arial" w:cs="Arial"/>
          <w:b/>
          <w:bCs/>
          <w:sz w:val="26"/>
          <w:szCs w:val="26"/>
        </w:rPr>
        <w:t>dadas</w:t>
      </w:r>
      <w:r>
        <w:rPr>
          <w:rFonts w:ascii="Arial" w:eastAsia="Calibri" w:hAnsi="Arial" w:cs="Arial"/>
          <w:b/>
          <w:bCs/>
          <w:sz w:val="26"/>
          <w:szCs w:val="26"/>
        </w:rPr>
        <w:t xml:space="preserve">, </w:t>
      </w:r>
      <w:r>
        <w:rPr>
          <w:rFonts w:ascii="Arial" w:eastAsia="Calibri" w:hAnsi="Arial" w:cs="Arial"/>
          <w:bCs/>
          <w:sz w:val="26"/>
          <w:szCs w:val="26"/>
        </w:rPr>
        <w:t>porque de la lectura integral a la resolución materia de revisión, se advierte que contrario a lo expuesto por la recurrente, la Primera Instanci</w:t>
      </w:r>
      <w:r w:rsidR="00D538EC">
        <w:rPr>
          <w:rFonts w:ascii="Arial" w:eastAsia="Calibri" w:hAnsi="Arial" w:cs="Arial"/>
          <w:bCs/>
          <w:sz w:val="26"/>
          <w:szCs w:val="26"/>
        </w:rPr>
        <w:t>a</w:t>
      </w:r>
      <w:r>
        <w:rPr>
          <w:rFonts w:ascii="Arial" w:eastAsia="Calibri" w:hAnsi="Arial" w:cs="Arial"/>
          <w:bCs/>
          <w:sz w:val="26"/>
          <w:szCs w:val="26"/>
        </w:rPr>
        <w:t xml:space="preserve"> no determinó nada respecto </w:t>
      </w:r>
      <w:r w:rsidR="002D3825">
        <w:rPr>
          <w:rFonts w:ascii="Arial" w:eastAsia="Calibri" w:hAnsi="Arial" w:cs="Arial"/>
          <w:bCs/>
          <w:sz w:val="26"/>
          <w:szCs w:val="26"/>
        </w:rPr>
        <w:t>a la prescripción de la responsabilidad de un servidor público</w:t>
      </w:r>
      <w:r w:rsidR="00664187">
        <w:rPr>
          <w:rFonts w:ascii="Arial" w:eastAsia="Calibri" w:hAnsi="Arial" w:cs="Arial"/>
          <w:bCs/>
          <w:sz w:val="26"/>
          <w:szCs w:val="26"/>
        </w:rPr>
        <w:t xml:space="preserve">; </w:t>
      </w:r>
      <w:r w:rsidR="00664187" w:rsidRPr="00290FE2">
        <w:rPr>
          <w:rFonts w:ascii="Arial" w:eastAsia="Calibri" w:hAnsi="Arial" w:cs="Arial"/>
          <w:bCs/>
          <w:sz w:val="26"/>
          <w:szCs w:val="26"/>
        </w:rPr>
        <w:t>porque su razonamiento se basó en el sobreseimiento del juicio, por haberse presentado de forma extemporánea la demandada</w:t>
      </w:r>
      <w:r w:rsidR="002D3825" w:rsidRPr="00290FE2">
        <w:rPr>
          <w:rFonts w:ascii="Arial" w:eastAsia="Calibri" w:hAnsi="Arial" w:cs="Arial"/>
          <w:bCs/>
          <w:sz w:val="26"/>
          <w:szCs w:val="26"/>
        </w:rPr>
        <w:t>.</w:t>
      </w:r>
    </w:p>
    <w:p w:rsidR="002D3825" w:rsidRDefault="002D3825" w:rsidP="00CF7DA4">
      <w:pPr>
        <w:spacing w:before="240" w:line="360" w:lineRule="auto"/>
        <w:ind w:firstLine="709"/>
        <w:jc w:val="both"/>
        <w:rPr>
          <w:rFonts w:ascii="Arial" w:eastAsia="Calibri" w:hAnsi="Arial" w:cs="Arial"/>
          <w:bCs/>
          <w:sz w:val="26"/>
          <w:szCs w:val="26"/>
        </w:rPr>
      </w:pPr>
      <w:r w:rsidRPr="00664187">
        <w:rPr>
          <w:rFonts w:ascii="Arial" w:eastAsia="Calibri" w:hAnsi="Arial" w:cs="Arial"/>
          <w:b/>
          <w:bCs/>
          <w:sz w:val="26"/>
          <w:szCs w:val="26"/>
        </w:rPr>
        <w:t xml:space="preserve">Por otra parte </w:t>
      </w:r>
      <w:r w:rsidR="0082047A" w:rsidRPr="00664187">
        <w:rPr>
          <w:rFonts w:ascii="Arial" w:eastAsia="Calibri" w:hAnsi="Arial" w:cs="Arial"/>
          <w:b/>
          <w:bCs/>
          <w:sz w:val="26"/>
          <w:szCs w:val="26"/>
        </w:rPr>
        <w:t>aduce</w:t>
      </w:r>
      <w:r w:rsidR="0082047A">
        <w:rPr>
          <w:rFonts w:ascii="Arial" w:eastAsia="Calibri" w:hAnsi="Arial" w:cs="Arial"/>
          <w:bCs/>
          <w:sz w:val="26"/>
          <w:szCs w:val="26"/>
        </w:rPr>
        <w:t xml:space="preserve">, </w:t>
      </w:r>
      <w:r>
        <w:rPr>
          <w:rFonts w:ascii="Arial" w:eastAsia="Calibri" w:hAnsi="Arial" w:cs="Arial"/>
          <w:bCs/>
          <w:sz w:val="26"/>
          <w:szCs w:val="26"/>
        </w:rPr>
        <w:t xml:space="preserve">que la Primera Instancia debió abordar si el contenido del oficio </w:t>
      </w:r>
      <w:r w:rsidR="00390B4C">
        <w:rPr>
          <w:rFonts w:ascii="Arial" w:hAnsi="Arial" w:cs="Arial"/>
          <w:b/>
          <w:sz w:val="26"/>
          <w:szCs w:val="26"/>
        </w:rPr>
        <w:t>**********</w:t>
      </w:r>
      <w:r>
        <w:rPr>
          <w:rFonts w:ascii="Arial" w:eastAsia="Calibri" w:hAnsi="Arial" w:cs="Arial"/>
          <w:bCs/>
          <w:sz w:val="26"/>
          <w:szCs w:val="26"/>
        </w:rPr>
        <w:t xml:space="preserve"> de 11 once de diciembre de 2014 dos mil catorce, </w:t>
      </w:r>
      <w:r w:rsidR="00D538EC">
        <w:rPr>
          <w:rFonts w:ascii="Arial" w:eastAsia="Calibri" w:hAnsi="Arial" w:cs="Arial"/>
          <w:bCs/>
          <w:sz w:val="26"/>
          <w:szCs w:val="26"/>
        </w:rPr>
        <w:t>se encuentra debidamente fundado</w:t>
      </w:r>
      <w:r>
        <w:rPr>
          <w:rFonts w:ascii="Arial" w:eastAsia="Calibri" w:hAnsi="Arial" w:cs="Arial"/>
          <w:bCs/>
          <w:sz w:val="26"/>
          <w:szCs w:val="26"/>
        </w:rPr>
        <w:t xml:space="preserve"> y motivado, así como si la diligencia de notificación de 18 dieciocho del mismo mes y año, fue practicada de forma legal o no; indica que para acreditar esto, en el juicio ofertó diversas pruebas, mismas que enuncia; que las autoridades </w:t>
      </w:r>
      <w:r>
        <w:rPr>
          <w:rFonts w:ascii="Arial" w:eastAsia="Calibri" w:hAnsi="Arial" w:cs="Arial"/>
          <w:bCs/>
          <w:sz w:val="26"/>
          <w:szCs w:val="26"/>
        </w:rPr>
        <w:lastRenderedPageBreak/>
        <w:t>demandadas Procurador General de Justicia y Oficial Mayor de dicha dependencia, no objetaron las pruebas ofertadas y que aun cuando opusieron las excepciones y defensas de falta de derecho, improcedencia de las prestaciones y la prescripción de las prestaciones económicas reclamadas, estas son improcedentes e inoperantes; que estas debieron ser analizadas; que todo trabajador tiene derecho a recibir un salario diario por sus servicios, por lo que la Primera Instancia debió declarar improcedente el término de la relación laboral, con base en el oficio</w:t>
      </w:r>
      <w:r w:rsidRPr="002D3825">
        <w:rPr>
          <w:rFonts w:ascii="Arial" w:eastAsia="Calibri" w:hAnsi="Arial" w:cs="Arial"/>
          <w:bCs/>
          <w:sz w:val="26"/>
          <w:szCs w:val="26"/>
        </w:rPr>
        <w:t xml:space="preserve"> </w:t>
      </w:r>
      <w:r w:rsidR="00390B4C">
        <w:rPr>
          <w:rFonts w:ascii="Arial" w:hAnsi="Arial" w:cs="Arial"/>
          <w:b/>
          <w:sz w:val="26"/>
          <w:szCs w:val="26"/>
        </w:rPr>
        <w:t>**********</w:t>
      </w:r>
      <w:r w:rsidR="0082047A">
        <w:rPr>
          <w:rFonts w:ascii="Arial" w:eastAsia="Calibri" w:hAnsi="Arial" w:cs="Arial"/>
          <w:bCs/>
          <w:sz w:val="26"/>
          <w:szCs w:val="26"/>
        </w:rPr>
        <w:t xml:space="preserve">, </w:t>
      </w:r>
      <w:proofErr w:type="spellStart"/>
      <w:r w:rsidR="0082047A">
        <w:rPr>
          <w:rFonts w:ascii="Arial" w:eastAsia="Calibri" w:hAnsi="Arial" w:cs="Arial"/>
          <w:bCs/>
          <w:sz w:val="26"/>
          <w:szCs w:val="26"/>
        </w:rPr>
        <w:t>asi</w:t>
      </w:r>
      <w:proofErr w:type="spellEnd"/>
      <w:r w:rsidR="0082047A">
        <w:rPr>
          <w:rFonts w:ascii="Arial" w:eastAsia="Calibri" w:hAnsi="Arial" w:cs="Arial"/>
          <w:bCs/>
          <w:sz w:val="26"/>
          <w:szCs w:val="26"/>
        </w:rPr>
        <w:t xml:space="preserve"> como con las pruebas documentales e inspección ocular sobre la libreta de control de asistencia denominada “</w:t>
      </w:r>
      <w:r w:rsidR="0082047A" w:rsidRPr="0082047A">
        <w:rPr>
          <w:rFonts w:ascii="Arial" w:eastAsia="Calibri" w:hAnsi="Arial" w:cs="Arial"/>
          <w:bCs/>
          <w:i/>
          <w:sz w:val="24"/>
          <w:szCs w:val="24"/>
        </w:rPr>
        <w:t>Control interno de entrada y salida de Agentes del Ministerio Público de la Procuraduría General de Justicia del Estado de Oaxaca</w:t>
      </w:r>
      <w:r w:rsidR="0082047A">
        <w:rPr>
          <w:rFonts w:ascii="Arial" w:eastAsia="Calibri" w:hAnsi="Arial" w:cs="Arial"/>
          <w:bCs/>
          <w:sz w:val="26"/>
          <w:szCs w:val="26"/>
        </w:rPr>
        <w:t>”, pruebas con las que acreditó la continuidad de la relación jurídica laboral o administrativa con las</w:t>
      </w:r>
      <w:r w:rsidR="00D538EC">
        <w:rPr>
          <w:rFonts w:ascii="Arial" w:eastAsia="Calibri" w:hAnsi="Arial" w:cs="Arial"/>
          <w:bCs/>
          <w:sz w:val="26"/>
          <w:szCs w:val="26"/>
        </w:rPr>
        <w:t xml:space="preserve"> demandadas, aun cuando no quedó</w:t>
      </w:r>
      <w:r w:rsidR="0082047A">
        <w:rPr>
          <w:rFonts w:ascii="Arial" w:eastAsia="Calibri" w:hAnsi="Arial" w:cs="Arial"/>
          <w:bCs/>
          <w:sz w:val="26"/>
          <w:szCs w:val="26"/>
        </w:rPr>
        <w:t xml:space="preserve"> demostrado el despido injustificado.</w:t>
      </w:r>
    </w:p>
    <w:p w:rsidR="0082047A" w:rsidRDefault="0082047A" w:rsidP="00CF7DA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Continúa sus alegaciones precisando que al resolverse el juicio en un sentido diferente como es el caso de la excepción de prescripción respecto del oficio </w:t>
      </w:r>
      <w:r w:rsidR="00390B4C">
        <w:rPr>
          <w:rFonts w:ascii="Arial" w:hAnsi="Arial" w:cs="Arial"/>
          <w:b/>
          <w:sz w:val="26"/>
          <w:szCs w:val="26"/>
        </w:rPr>
        <w:t>**********</w:t>
      </w:r>
      <w:r>
        <w:rPr>
          <w:rFonts w:ascii="Arial" w:eastAsia="Calibri" w:hAnsi="Arial" w:cs="Arial"/>
          <w:bCs/>
          <w:sz w:val="26"/>
          <w:szCs w:val="26"/>
        </w:rPr>
        <w:t>, conculca en su perjuicio garantías de audiencia y seguridad jurídica; se apoya en el criterio de rubro: “</w:t>
      </w:r>
      <w:r w:rsidRPr="0082047A">
        <w:rPr>
          <w:rFonts w:ascii="Arial" w:eastAsia="Calibri" w:hAnsi="Arial" w:cs="Arial"/>
          <w:bCs/>
          <w:i/>
        </w:rPr>
        <w:t>FORMALIDADES ESENCIALES DEL PROCEDIMIENTO. SON LAS QUE GARANTIZAN UNA ADECUADA Y OPORTUNA DEFENSA PREVIA AL ACTO PRIVATIVO.</w:t>
      </w:r>
      <w:r>
        <w:rPr>
          <w:rFonts w:ascii="Arial" w:eastAsia="Calibri" w:hAnsi="Arial" w:cs="Arial"/>
          <w:bCs/>
          <w:sz w:val="26"/>
          <w:szCs w:val="26"/>
        </w:rPr>
        <w:t>” e indica, que se define a la garantía individual como el derecho que tienen todos los gobernados, no sólo frente a las autoridades administrativas y judiciales, sino también frente al órgano legislativo</w:t>
      </w:r>
      <w:r w:rsidR="00FE6FA1">
        <w:rPr>
          <w:rFonts w:ascii="Arial" w:eastAsia="Calibri" w:hAnsi="Arial" w:cs="Arial"/>
          <w:bCs/>
          <w:sz w:val="26"/>
          <w:szCs w:val="26"/>
        </w:rPr>
        <w:t>, para ser oídos y tengan la oportunidad de defenderse.</w:t>
      </w:r>
    </w:p>
    <w:p w:rsidR="002A7E9D" w:rsidRDefault="00FE6FA1" w:rsidP="00CF7DA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Indica que del análisis a los artículos 123, apartado B, fracción XIII, de la Constitución Política de los Estados Unidos Mexicanos; 25, 28, 36, 37, 38 y 84 de la Ley Orgánica de la Fiscalía General del Estado; 249 y 250 de su Reglamento; se establecen los derechos que tiene los Agentes del Ministerio Público, Policías de la Agencia de Investigaciones, Facilitadores y Peritos; que el personal de la Fiscalía Estatal se clasifica en “</w:t>
      </w:r>
      <w:r w:rsidRPr="007E06C3">
        <w:rPr>
          <w:rFonts w:ascii="Arial" w:eastAsia="Calibri" w:hAnsi="Arial" w:cs="Arial"/>
          <w:bCs/>
          <w:i/>
          <w:sz w:val="24"/>
          <w:szCs w:val="24"/>
        </w:rPr>
        <w:t>a) agentes del Ministerio Público del Estado; policías de investigación de la Agencia de Investigación, facilitadores y peritos, quienes serán miembros sujetos al Servicio Civil de Carrera; y, b) el personal distinto al señalo (sic) anteriormente</w:t>
      </w:r>
      <w:r w:rsidR="007E06C3" w:rsidRPr="007E06C3">
        <w:rPr>
          <w:rFonts w:ascii="Arial" w:eastAsia="Calibri" w:hAnsi="Arial" w:cs="Arial"/>
          <w:bCs/>
          <w:i/>
          <w:sz w:val="24"/>
          <w:szCs w:val="24"/>
        </w:rPr>
        <w:t xml:space="preserve"> será de confianza y en ningún caso será considerado miembro del servicio civil de carrera</w:t>
      </w:r>
      <w:r w:rsidR="007E06C3">
        <w:rPr>
          <w:rFonts w:ascii="Arial" w:eastAsia="Calibri" w:hAnsi="Arial" w:cs="Arial"/>
          <w:bCs/>
          <w:sz w:val="26"/>
          <w:szCs w:val="26"/>
        </w:rPr>
        <w:t xml:space="preserve">”; que </w:t>
      </w:r>
      <w:r>
        <w:rPr>
          <w:rFonts w:ascii="Arial" w:eastAsia="Calibri" w:hAnsi="Arial" w:cs="Arial"/>
          <w:bCs/>
          <w:sz w:val="26"/>
          <w:szCs w:val="26"/>
        </w:rPr>
        <w:t>estos funcionarios son personal que se rigen por sus propias leyes, sin derecho a reincorporación, aun cuando la separación sea injustificada, pero con derecho a indemnización y demás prestaciones</w:t>
      </w:r>
      <w:r w:rsidR="002A7E9D">
        <w:rPr>
          <w:rFonts w:ascii="Arial" w:eastAsia="Calibri" w:hAnsi="Arial" w:cs="Arial"/>
          <w:bCs/>
          <w:sz w:val="26"/>
          <w:szCs w:val="26"/>
        </w:rPr>
        <w:t xml:space="preserve">, mientras que los </w:t>
      </w:r>
      <w:r w:rsidR="002A7E9D">
        <w:rPr>
          <w:rFonts w:ascii="Arial" w:eastAsia="Calibri" w:hAnsi="Arial" w:cs="Arial"/>
          <w:bCs/>
          <w:sz w:val="26"/>
          <w:szCs w:val="26"/>
        </w:rPr>
        <w:lastRenderedPageBreak/>
        <w:t xml:space="preserve">servidores públicos ubicados en el inciso b), son personal de confianza de libre designación y remoción; que del mismo modo se </w:t>
      </w:r>
      <w:r w:rsidR="00D538EC">
        <w:rPr>
          <w:rFonts w:ascii="Arial" w:eastAsia="Calibri" w:hAnsi="Arial" w:cs="Arial"/>
          <w:bCs/>
          <w:sz w:val="26"/>
          <w:szCs w:val="26"/>
        </w:rPr>
        <w:t>establece que excepcionalmente s</w:t>
      </w:r>
      <w:r w:rsidR="002A7E9D">
        <w:rPr>
          <w:rFonts w:ascii="Arial" w:eastAsia="Calibri" w:hAnsi="Arial" w:cs="Arial"/>
          <w:bCs/>
          <w:sz w:val="26"/>
          <w:szCs w:val="26"/>
        </w:rPr>
        <w:t xml:space="preserve">e pueden llevar a cabo designaciones especiales de Agente de Ministerio Público, </w:t>
      </w:r>
      <w:r w:rsidR="00DE6B43">
        <w:rPr>
          <w:rFonts w:ascii="Arial" w:eastAsia="Calibri" w:hAnsi="Arial" w:cs="Arial"/>
          <w:bCs/>
          <w:sz w:val="26"/>
          <w:szCs w:val="26"/>
        </w:rPr>
        <w:t>Policía de Investigación de la Agencia de Investigaciones, Facilitadores y Peritos, los cuales serán considerados personal de confianza; que la Suprema Corte ha establecido que los servidores públicos indicados en la fracción XIII, aparatado B, del artículo 123 Constitucional, carecen del derecho a la estabilidad en el empleo. Cita el criterio de rubro: “</w:t>
      </w:r>
      <w:r w:rsidR="00DE6B43" w:rsidRPr="00DE6B43">
        <w:rPr>
          <w:rFonts w:ascii="Arial" w:eastAsia="Calibri" w:hAnsi="Arial" w:cs="Arial"/>
          <w:bCs/>
          <w:i/>
        </w:rPr>
        <w:t>POLICÍA FEDERAL MINISTERIAL. SUS AGENTES PERTENECEN CONSTITUCIONALMENTE A UN RÉGIMEN ESPECIAL DONDE NO PUEDE RECLAMARSE LA POSIBLE AFECTACIÓN A DERECHOS LABORALES COMO EL DE ESTABILIDAD EN EL EMPLEO O CARGO O INMUTABILIDAD DE LAS CONDICIONES DE PERMANENCIA</w:t>
      </w:r>
      <w:r w:rsidR="002A7E9D">
        <w:rPr>
          <w:rFonts w:ascii="Arial" w:eastAsia="Calibri" w:hAnsi="Arial" w:cs="Arial"/>
          <w:bCs/>
          <w:sz w:val="26"/>
          <w:szCs w:val="26"/>
        </w:rPr>
        <w:t>.</w:t>
      </w:r>
      <w:r w:rsidR="00DE6B43">
        <w:rPr>
          <w:rFonts w:ascii="Arial" w:eastAsia="Calibri" w:hAnsi="Arial" w:cs="Arial"/>
          <w:bCs/>
          <w:sz w:val="26"/>
          <w:szCs w:val="26"/>
        </w:rPr>
        <w:t>”; que esto se destaca porque la Ley Orgánica que regula la relación administrativa entre la Fiscalía y los miembros del servicio, se advierte la garantía de audiencia previo a la separación, siendo evidente que las demandas violaron dicha garantía.</w:t>
      </w:r>
    </w:p>
    <w:p w:rsidR="00A55D69" w:rsidRDefault="005D23BD" w:rsidP="00A55D69">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Que </w:t>
      </w:r>
      <w:r w:rsidR="00A55D69">
        <w:rPr>
          <w:rFonts w:ascii="Arial" w:eastAsia="Calibri" w:hAnsi="Arial" w:cs="Arial"/>
          <w:bCs/>
          <w:sz w:val="26"/>
          <w:szCs w:val="26"/>
        </w:rPr>
        <w:t>las autoridades responsables, para dar por terminado su nombramiento como Agente del Ministerio Público, partieron de la premisa de que le fue otorgado por designación</w:t>
      </w:r>
      <w:r w:rsidR="00C70E5B">
        <w:rPr>
          <w:rFonts w:ascii="Arial" w:eastAsia="Calibri" w:hAnsi="Arial" w:cs="Arial"/>
          <w:bCs/>
          <w:sz w:val="26"/>
          <w:szCs w:val="26"/>
        </w:rPr>
        <w:t xml:space="preserve"> especial, lo que la excluye de la garantía de audiencia; que por ello la garantía de seguridad jurídica que contempla el artículo 16 de la Constitución Política de los Estados Unidos Mexicanos, establece el derecho fundamental del gobernado a la protección contra cualquier acto de autoridad</w:t>
      </w:r>
      <w:r w:rsidR="00BB4AA5">
        <w:rPr>
          <w:rFonts w:ascii="Arial" w:eastAsia="Calibri" w:hAnsi="Arial" w:cs="Arial"/>
          <w:bCs/>
          <w:sz w:val="26"/>
          <w:szCs w:val="26"/>
        </w:rPr>
        <w:t xml:space="preserve">; siendo indispensable por ello, que en el caso de las leyes, en sus articulados existan los elementos mínimos para hacer valer el derecho del gobernado, para que la autoridad no incurra en arbitrariedades, se </w:t>
      </w:r>
      <w:r w:rsidR="00D942A2">
        <w:rPr>
          <w:rFonts w:ascii="Arial" w:eastAsia="Calibri" w:hAnsi="Arial" w:cs="Arial"/>
          <w:bCs/>
          <w:sz w:val="26"/>
          <w:szCs w:val="26"/>
        </w:rPr>
        <w:t>facilite</w:t>
      </w:r>
      <w:r w:rsidR="00BB4AA5">
        <w:rPr>
          <w:rFonts w:ascii="Arial" w:eastAsia="Calibri" w:hAnsi="Arial" w:cs="Arial"/>
          <w:bCs/>
          <w:sz w:val="26"/>
          <w:szCs w:val="26"/>
        </w:rPr>
        <w:t xml:space="preserve"> la </w:t>
      </w:r>
      <w:r w:rsidR="00D942A2">
        <w:rPr>
          <w:rFonts w:ascii="Arial" w:eastAsia="Calibri" w:hAnsi="Arial" w:cs="Arial"/>
          <w:bCs/>
          <w:sz w:val="26"/>
          <w:szCs w:val="26"/>
        </w:rPr>
        <w:t>defensa</w:t>
      </w:r>
      <w:r w:rsidR="00BB4AA5">
        <w:rPr>
          <w:rFonts w:ascii="Arial" w:eastAsia="Calibri" w:hAnsi="Arial" w:cs="Arial"/>
          <w:bCs/>
          <w:sz w:val="26"/>
          <w:szCs w:val="26"/>
        </w:rPr>
        <w:t xml:space="preserve"> de sus intereses y se aporten condiciones que </w:t>
      </w:r>
      <w:r w:rsidR="00D942A2">
        <w:rPr>
          <w:rFonts w:ascii="Arial" w:eastAsia="Calibri" w:hAnsi="Arial" w:cs="Arial"/>
          <w:bCs/>
          <w:sz w:val="26"/>
          <w:szCs w:val="26"/>
        </w:rPr>
        <w:t xml:space="preserve"> proporcionen certeza y seguridad jurídica a los actos del Estado frente a los particulares; que esta garantía de audiencia </w:t>
      </w:r>
      <w:r w:rsidR="00BD74E2">
        <w:rPr>
          <w:rFonts w:ascii="Arial" w:eastAsia="Calibri" w:hAnsi="Arial" w:cs="Arial"/>
          <w:bCs/>
          <w:sz w:val="26"/>
          <w:szCs w:val="26"/>
        </w:rPr>
        <w:t>está</w:t>
      </w:r>
      <w:r w:rsidR="00D942A2">
        <w:rPr>
          <w:rFonts w:ascii="Arial" w:eastAsia="Calibri" w:hAnsi="Arial" w:cs="Arial"/>
          <w:bCs/>
          <w:sz w:val="26"/>
          <w:szCs w:val="26"/>
        </w:rPr>
        <w:t xml:space="preserve"> contemplada en los artículos 61 y 72 de la Ley Orgánica de la Procuraduría General de Justicia del Estado de Oaxaca; así como en el artículo 65 de la Ley Orgánica del Ministerio Público del Estado de Oaxaca. Considera aplicables los criterios de rubros: “</w:t>
      </w:r>
      <w:r w:rsidR="00D942A2" w:rsidRPr="00D942A2">
        <w:rPr>
          <w:rFonts w:ascii="Arial" w:eastAsia="Calibri" w:hAnsi="Arial" w:cs="Arial"/>
          <w:bCs/>
          <w:i/>
        </w:rPr>
        <w:t>GARANTÍA DE PREVIA AUDIENCIA. LOS AGENTES DE LA POLICIA JUDICIAL FEDERAL QUEDAN EN ESTADO DE INDEFENSIÓN, SI PREVIAMENTE A LA ORDEN DE DESTITUCIÓN O CESE NO HAN SIDO OÍDOS (TESIS HISTÓRICA)</w:t>
      </w:r>
      <w:r w:rsidR="00D942A2">
        <w:rPr>
          <w:rFonts w:ascii="Arial" w:eastAsia="Calibri" w:hAnsi="Arial" w:cs="Arial"/>
          <w:bCs/>
          <w:sz w:val="26"/>
          <w:szCs w:val="26"/>
        </w:rPr>
        <w:t>”, “</w:t>
      </w:r>
      <w:r w:rsidR="00D942A2">
        <w:rPr>
          <w:rFonts w:ascii="Arial" w:eastAsia="Calibri" w:hAnsi="Arial" w:cs="Arial"/>
          <w:bCs/>
          <w:i/>
        </w:rPr>
        <w:t xml:space="preserve">SERVIDORES PÚBLICOS DE CONFIANZA AL SERVICIO DEL ESTADO. LOS DESIGNADOS Y QUE DEPENDEN DE LOS TITULARES SEÑALADOS EN EL ARTÍCULO 9o. DE LA LEY QUE LOS </w:t>
      </w:r>
      <w:r w:rsidR="00D942A2">
        <w:rPr>
          <w:rFonts w:ascii="Arial" w:eastAsia="Calibri" w:hAnsi="Arial" w:cs="Arial"/>
          <w:bCs/>
          <w:i/>
        </w:rPr>
        <w:lastRenderedPageBreak/>
        <w:t>RIGE, GOZAN DEL DERECHO A LA ESTABILIDAD EN EL EMPLEO Y PUEDEN DEMANDAR ANTE EL TRIBUNAL DE ARBITRAJE Y ESCALAFÓN ESTATAL LA REINSTLACIÓN O INDEMNIZACIÓN CORRESPONDIENTE (LEGISLACIÓN DEL ESTADO DE JALISCO)</w:t>
      </w:r>
      <w:r w:rsidR="00D942A2">
        <w:rPr>
          <w:rFonts w:ascii="Arial" w:eastAsia="Calibri" w:hAnsi="Arial" w:cs="Arial"/>
          <w:bCs/>
          <w:sz w:val="26"/>
          <w:szCs w:val="26"/>
        </w:rPr>
        <w:t>”, “</w:t>
      </w:r>
      <w:r w:rsidR="00D942A2">
        <w:rPr>
          <w:rFonts w:ascii="Arial" w:eastAsia="Calibri" w:hAnsi="Arial" w:cs="Arial"/>
          <w:bCs/>
          <w:i/>
        </w:rPr>
        <w:t>AGENTES DEL MINISTERIO PÚBLICO. LA DECISIÓN POR LA QUE EL PROCURADOR GENERAL DE JUSTICIA DETERMINA DIRECTAMENTE SU CESE, ES VIOLATORIA DE GARANTÍAS. (LEGISLACIÓN DEL ESTADO DE OAXACA</w:t>
      </w:r>
      <w:r w:rsidR="00D942A2" w:rsidRPr="00D942A2">
        <w:rPr>
          <w:rFonts w:ascii="Arial" w:eastAsia="Calibri" w:hAnsi="Arial" w:cs="Arial"/>
          <w:bCs/>
          <w:i/>
        </w:rPr>
        <w:t>)</w:t>
      </w:r>
      <w:r w:rsidR="00D942A2">
        <w:rPr>
          <w:rFonts w:ascii="Arial" w:eastAsia="Calibri" w:hAnsi="Arial" w:cs="Arial"/>
          <w:bCs/>
          <w:sz w:val="26"/>
          <w:szCs w:val="26"/>
        </w:rPr>
        <w:t>”, “</w:t>
      </w:r>
      <w:r w:rsidR="00D942A2" w:rsidRPr="00D942A2">
        <w:rPr>
          <w:rFonts w:ascii="Arial" w:eastAsia="Calibri" w:hAnsi="Arial" w:cs="Arial"/>
          <w:bCs/>
          <w:i/>
        </w:rPr>
        <w:t xml:space="preserve">GARANTÍA DE PREVIA AUDIENCIA. LOS AGENTES DE LA POLICIA JUDICIAL FEDERAL </w:t>
      </w:r>
      <w:r w:rsidR="00D942A2">
        <w:rPr>
          <w:rFonts w:ascii="Arial" w:eastAsia="Calibri" w:hAnsi="Arial" w:cs="Arial"/>
          <w:bCs/>
          <w:i/>
        </w:rPr>
        <w:t xml:space="preserve">TIENEN DERECHO A LA, POR SER INHERENTES A TODO GOBERNADO. </w:t>
      </w:r>
      <w:r w:rsidR="00D942A2">
        <w:rPr>
          <w:rFonts w:ascii="Arial" w:eastAsia="Calibri" w:hAnsi="Arial" w:cs="Arial"/>
          <w:bCs/>
          <w:sz w:val="26"/>
          <w:szCs w:val="26"/>
        </w:rPr>
        <w:t xml:space="preserve">” </w:t>
      </w:r>
      <w:proofErr w:type="gramStart"/>
      <w:r w:rsidR="00D942A2">
        <w:rPr>
          <w:rFonts w:ascii="Arial" w:eastAsia="Calibri" w:hAnsi="Arial" w:cs="Arial"/>
          <w:bCs/>
          <w:sz w:val="26"/>
          <w:szCs w:val="26"/>
        </w:rPr>
        <w:t>y</w:t>
      </w:r>
      <w:proofErr w:type="gramEnd"/>
      <w:r w:rsidR="00D942A2">
        <w:rPr>
          <w:rFonts w:ascii="Arial" w:eastAsia="Calibri" w:hAnsi="Arial" w:cs="Arial"/>
          <w:bCs/>
          <w:sz w:val="26"/>
          <w:szCs w:val="26"/>
        </w:rPr>
        <w:t xml:space="preserve"> “</w:t>
      </w:r>
      <w:r w:rsidR="00D942A2" w:rsidRPr="00D942A2">
        <w:rPr>
          <w:rFonts w:ascii="Arial" w:eastAsia="Calibri" w:hAnsi="Arial" w:cs="Arial"/>
          <w:bCs/>
          <w:i/>
        </w:rPr>
        <w:t>GARANTÍA DE PREVIA AUDIENCIA. LOS AGENTES DE LA POLICIA JUDICIAL FEDERAL QUEDAN EN ESTADO DE INDEFENSIÓN, SI PREVIAMENTE A LA ORDEN DE DESTITUCIÓN O CESE NO HAN SIDO OÍDOS (TESIS HISTÓRICA)</w:t>
      </w:r>
      <w:r w:rsidR="00D942A2">
        <w:rPr>
          <w:rFonts w:ascii="Arial" w:eastAsia="Calibri" w:hAnsi="Arial" w:cs="Arial"/>
          <w:bCs/>
          <w:sz w:val="26"/>
          <w:szCs w:val="26"/>
        </w:rPr>
        <w:t>”.</w:t>
      </w:r>
    </w:p>
    <w:p w:rsidR="008B23BB" w:rsidRDefault="00BD74E2" w:rsidP="00A515CF">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Que la</w:t>
      </w:r>
      <w:r w:rsidR="005F1961">
        <w:rPr>
          <w:rFonts w:ascii="Arial" w:eastAsia="Calibri" w:hAnsi="Arial" w:cs="Arial"/>
          <w:bCs/>
          <w:sz w:val="26"/>
          <w:szCs w:val="26"/>
        </w:rPr>
        <w:t xml:space="preserve">s demandadas </w:t>
      </w:r>
      <w:r w:rsidR="008B23BB">
        <w:rPr>
          <w:rFonts w:ascii="Arial" w:eastAsia="Calibri" w:hAnsi="Arial" w:cs="Arial"/>
          <w:bCs/>
          <w:sz w:val="26"/>
          <w:szCs w:val="26"/>
        </w:rPr>
        <w:t>Procuraduría General del Estado</w:t>
      </w:r>
      <w:r w:rsidR="005F1961">
        <w:rPr>
          <w:rFonts w:ascii="Arial" w:eastAsia="Calibri" w:hAnsi="Arial" w:cs="Arial"/>
          <w:bCs/>
          <w:sz w:val="26"/>
          <w:szCs w:val="26"/>
        </w:rPr>
        <w:t xml:space="preserve"> y Oficial Mayor de la Procuraduría, al contestar la demanda negaron el despido injustificado, ofreciendo como pruebas </w:t>
      </w:r>
      <w:r w:rsidR="001E6068">
        <w:rPr>
          <w:rFonts w:ascii="Arial" w:eastAsia="Calibri" w:hAnsi="Arial" w:cs="Arial"/>
          <w:bCs/>
          <w:sz w:val="26"/>
          <w:szCs w:val="26"/>
        </w:rPr>
        <w:t xml:space="preserve">la documental consistente en un cuadernillo de copias certificadas de las hojas donde obra registro de transferencia electrónica por concepto de </w:t>
      </w:r>
      <w:r w:rsidR="00FD0263">
        <w:rPr>
          <w:rFonts w:ascii="Arial" w:eastAsia="Calibri" w:hAnsi="Arial" w:cs="Arial"/>
          <w:bCs/>
          <w:sz w:val="26"/>
          <w:szCs w:val="26"/>
        </w:rPr>
        <w:t xml:space="preserve">mi </w:t>
      </w:r>
      <w:r w:rsidR="001E6068">
        <w:rPr>
          <w:rFonts w:ascii="Arial" w:eastAsia="Calibri" w:hAnsi="Arial" w:cs="Arial"/>
          <w:bCs/>
          <w:sz w:val="26"/>
          <w:szCs w:val="26"/>
        </w:rPr>
        <w:t xml:space="preserve">homologación salarial </w:t>
      </w:r>
      <w:r w:rsidR="00FD0263">
        <w:rPr>
          <w:rFonts w:ascii="Arial" w:eastAsia="Calibri" w:hAnsi="Arial" w:cs="Arial"/>
          <w:bCs/>
          <w:sz w:val="26"/>
          <w:szCs w:val="26"/>
        </w:rPr>
        <w:t>del mes de octubre de 2011 dos mil once a diciembre de 2014 dos mil catorce</w:t>
      </w:r>
      <w:r w:rsidR="005F1961">
        <w:rPr>
          <w:rFonts w:ascii="Arial" w:eastAsia="Calibri" w:hAnsi="Arial" w:cs="Arial"/>
          <w:bCs/>
          <w:sz w:val="26"/>
          <w:szCs w:val="26"/>
        </w:rPr>
        <w:t xml:space="preserve">; copias certificadas de oficio </w:t>
      </w:r>
      <w:r w:rsidR="00390B4C">
        <w:rPr>
          <w:rFonts w:ascii="Arial" w:hAnsi="Arial" w:cs="Arial"/>
          <w:b/>
          <w:sz w:val="26"/>
          <w:szCs w:val="26"/>
        </w:rPr>
        <w:t>**********</w:t>
      </w:r>
      <w:r w:rsidR="005F1961">
        <w:rPr>
          <w:rFonts w:ascii="Arial" w:eastAsia="Calibri" w:hAnsi="Arial" w:cs="Arial"/>
          <w:bCs/>
          <w:sz w:val="26"/>
          <w:szCs w:val="26"/>
        </w:rPr>
        <w:t xml:space="preserve"> de 11 once de diciembre de 2014 dos mil catorce y copia de diligencia de notificación personal de 18 dieciocho de diciembre de 2014 dos mil catorce; documentales</w:t>
      </w:r>
      <w:r w:rsidR="00D538EC">
        <w:rPr>
          <w:rFonts w:ascii="Arial" w:eastAsia="Calibri" w:hAnsi="Arial" w:cs="Arial"/>
          <w:bCs/>
          <w:sz w:val="26"/>
          <w:szCs w:val="26"/>
        </w:rPr>
        <w:t xml:space="preserve"> que</w:t>
      </w:r>
      <w:r w:rsidR="005F1961">
        <w:rPr>
          <w:rFonts w:ascii="Arial" w:eastAsia="Calibri" w:hAnsi="Arial" w:cs="Arial"/>
          <w:bCs/>
          <w:sz w:val="26"/>
          <w:szCs w:val="26"/>
        </w:rPr>
        <w:t xml:space="preserve"> </w:t>
      </w:r>
      <w:r w:rsidR="00FD0263">
        <w:rPr>
          <w:rFonts w:ascii="Arial" w:eastAsia="Calibri" w:hAnsi="Arial" w:cs="Arial"/>
          <w:bCs/>
          <w:sz w:val="26"/>
          <w:szCs w:val="26"/>
        </w:rPr>
        <w:t>objet</w:t>
      </w:r>
      <w:r w:rsidR="005F1961">
        <w:rPr>
          <w:rFonts w:ascii="Arial" w:eastAsia="Calibri" w:hAnsi="Arial" w:cs="Arial"/>
          <w:bCs/>
          <w:sz w:val="26"/>
          <w:szCs w:val="26"/>
        </w:rPr>
        <w:t>ó</w:t>
      </w:r>
      <w:r w:rsidR="00FD0263">
        <w:rPr>
          <w:rFonts w:ascii="Arial" w:eastAsia="Calibri" w:hAnsi="Arial" w:cs="Arial"/>
          <w:bCs/>
          <w:sz w:val="26"/>
          <w:szCs w:val="26"/>
        </w:rPr>
        <w:t xml:space="preserve"> en cuanto a su existencia, autenticidad, contenido, firma, alcance y valor probatorio; realizando manifestaciones al respecto de la legalidad de la certificación contenida en dicha documental, por considerar que la emitió funci</w:t>
      </w:r>
      <w:r w:rsidR="005F1961">
        <w:rPr>
          <w:rFonts w:ascii="Arial" w:eastAsia="Calibri" w:hAnsi="Arial" w:cs="Arial"/>
          <w:bCs/>
          <w:sz w:val="26"/>
          <w:szCs w:val="26"/>
        </w:rPr>
        <w:t>onario sin facultades para ello</w:t>
      </w:r>
      <w:r w:rsidR="00FD0263">
        <w:rPr>
          <w:rFonts w:ascii="Arial" w:eastAsia="Calibri" w:hAnsi="Arial" w:cs="Arial"/>
          <w:bCs/>
          <w:sz w:val="26"/>
          <w:szCs w:val="26"/>
        </w:rPr>
        <w:t>. Cita los criterios de rubros: “</w:t>
      </w:r>
      <w:r w:rsidR="00FD0263" w:rsidRPr="00FD0263">
        <w:rPr>
          <w:rFonts w:ascii="Arial" w:eastAsia="Calibri" w:hAnsi="Arial" w:cs="Arial"/>
          <w:bCs/>
          <w:i/>
        </w:rPr>
        <w:t>DOCUMENTOS PRIVADOS EN MATERIA LABORAL. CARECEN DE VALOR PROBATORIO SI SON EXHIBIDOS POR EL PATRÓN EN COPIA CERTIFICADA, Y SU CONSTATACIÓN LA EFECTUÓ ÉL MISMO.</w:t>
      </w:r>
      <w:r w:rsidR="00FD0263">
        <w:rPr>
          <w:rFonts w:ascii="Arial" w:eastAsia="Calibri" w:hAnsi="Arial" w:cs="Arial"/>
          <w:bCs/>
          <w:sz w:val="26"/>
          <w:szCs w:val="26"/>
        </w:rPr>
        <w:t>”</w:t>
      </w:r>
      <w:r w:rsidR="005F1961">
        <w:rPr>
          <w:rFonts w:ascii="Arial" w:eastAsia="Calibri" w:hAnsi="Arial" w:cs="Arial"/>
          <w:bCs/>
          <w:sz w:val="26"/>
          <w:szCs w:val="26"/>
        </w:rPr>
        <w:t>,</w:t>
      </w:r>
      <w:r w:rsidR="00FD0263">
        <w:rPr>
          <w:rFonts w:ascii="Arial" w:eastAsia="Calibri" w:hAnsi="Arial" w:cs="Arial"/>
          <w:bCs/>
          <w:sz w:val="26"/>
          <w:szCs w:val="26"/>
        </w:rPr>
        <w:t xml:space="preserve"> “</w:t>
      </w:r>
      <w:r w:rsidR="00FD0263">
        <w:rPr>
          <w:rFonts w:ascii="Arial" w:eastAsia="Calibri" w:hAnsi="Arial" w:cs="Arial"/>
          <w:bCs/>
          <w:i/>
        </w:rPr>
        <w:t>CERTIFICACIONES HECHAS POR AUTORIDADES QUE SON PARTE EN UN JUICIO LABORAL. INEFICACIA DE LAS</w:t>
      </w:r>
      <w:r w:rsidR="00FD0263" w:rsidRPr="00FD0263">
        <w:rPr>
          <w:rFonts w:ascii="Arial" w:eastAsia="Calibri" w:hAnsi="Arial" w:cs="Arial"/>
          <w:bCs/>
          <w:i/>
        </w:rPr>
        <w:t>.</w:t>
      </w:r>
      <w:r w:rsidR="008B23BB">
        <w:rPr>
          <w:rFonts w:ascii="Arial" w:eastAsia="Calibri" w:hAnsi="Arial" w:cs="Arial"/>
          <w:bCs/>
          <w:sz w:val="26"/>
          <w:szCs w:val="26"/>
        </w:rPr>
        <w:t>”</w:t>
      </w:r>
      <w:r w:rsidR="005F1961">
        <w:rPr>
          <w:rFonts w:ascii="Arial" w:eastAsia="Calibri" w:hAnsi="Arial" w:cs="Arial"/>
          <w:bCs/>
          <w:sz w:val="26"/>
          <w:szCs w:val="26"/>
        </w:rPr>
        <w:t xml:space="preserve"> y “</w:t>
      </w:r>
      <w:r w:rsidR="005F1961">
        <w:rPr>
          <w:rFonts w:ascii="Arial" w:eastAsia="Calibri" w:hAnsi="Arial" w:cs="Arial"/>
          <w:bCs/>
          <w:i/>
        </w:rPr>
        <w:t>DOCUMENTOS PRIVADOS EN MATERIA LABORAL. CARECEN DE VALOR PROBATORIO SI SON EXHIBIDOS POR EL PATRÓN EN COPIA CERTIFICADA, Y SU CONSTATACIÓN LA EFECTUÓ ÉL MISMO</w:t>
      </w:r>
      <w:r w:rsidR="005F1961" w:rsidRPr="00FD0263">
        <w:rPr>
          <w:rFonts w:ascii="Arial" w:eastAsia="Calibri" w:hAnsi="Arial" w:cs="Arial"/>
          <w:bCs/>
          <w:i/>
        </w:rPr>
        <w:t>.</w:t>
      </w:r>
      <w:r w:rsidR="005F1961">
        <w:rPr>
          <w:rFonts w:ascii="Arial" w:eastAsia="Calibri" w:hAnsi="Arial" w:cs="Arial"/>
          <w:bCs/>
          <w:sz w:val="26"/>
          <w:szCs w:val="26"/>
        </w:rPr>
        <w:t>”</w:t>
      </w:r>
      <w:r w:rsidR="008B23BB">
        <w:rPr>
          <w:rFonts w:ascii="Arial" w:eastAsia="Calibri" w:hAnsi="Arial" w:cs="Arial"/>
          <w:bCs/>
          <w:sz w:val="26"/>
          <w:szCs w:val="26"/>
        </w:rPr>
        <w:t>.</w:t>
      </w:r>
    </w:p>
    <w:p w:rsidR="00F81D68" w:rsidRDefault="00F81D68" w:rsidP="00A515CF">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Que en cuanto a la notificación manifestó que las autoridades que la realizaron no son competentes para ello</w:t>
      </w:r>
      <w:r w:rsidR="004365BE">
        <w:rPr>
          <w:rFonts w:ascii="Arial" w:eastAsia="Calibri" w:hAnsi="Arial" w:cs="Arial"/>
          <w:bCs/>
          <w:sz w:val="26"/>
          <w:szCs w:val="26"/>
        </w:rPr>
        <w:t xml:space="preserve">; que </w:t>
      </w:r>
      <w:r w:rsidR="00D538EC">
        <w:rPr>
          <w:rFonts w:ascii="Arial" w:eastAsia="Calibri" w:hAnsi="Arial" w:cs="Arial"/>
          <w:bCs/>
          <w:sz w:val="26"/>
          <w:szCs w:val="26"/>
        </w:rPr>
        <w:t>e</w:t>
      </w:r>
      <w:r w:rsidR="004365BE">
        <w:rPr>
          <w:rFonts w:ascii="Arial" w:eastAsia="Calibri" w:hAnsi="Arial" w:cs="Arial"/>
          <w:bCs/>
          <w:sz w:val="26"/>
          <w:szCs w:val="26"/>
        </w:rPr>
        <w:t xml:space="preserve">l artículo 133 de la Ley del Sistema Estatal de Seguridad Pública, invocado no es aplicable para notificar el </w:t>
      </w:r>
      <w:r w:rsidR="00664187">
        <w:rPr>
          <w:rFonts w:ascii="Arial" w:eastAsia="Calibri" w:hAnsi="Arial" w:cs="Arial"/>
          <w:bCs/>
          <w:sz w:val="26"/>
          <w:szCs w:val="26"/>
        </w:rPr>
        <w:t>término</w:t>
      </w:r>
      <w:r w:rsidR="004365BE">
        <w:rPr>
          <w:rFonts w:ascii="Arial" w:eastAsia="Calibri" w:hAnsi="Arial" w:cs="Arial"/>
          <w:bCs/>
          <w:sz w:val="26"/>
          <w:szCs w:val="26"/>
        </w:rPr>
        <w:t xml:space="preserve"> de la relación laboral; que la notificación no se realizó en su domicilio; que acreditó fehacientemente la existencia y continuidad de la relación laboral; que la jurisprudencia invocada por la Primera Instancia no es aplicable; que la Sala Unitaria debió condenar al pago de las prestaciones reclamadas; que al no haberse condenado, se le transgredieron derecho humanos, así como las garantías de legalidad y </w:t>
      </w:r>
      <w:r w:rsidR="004365BE">
        <w:rPr>
          <w:rFonts w:ascii="Arial" w:eastAsia="Calibri" w:hAnsi="Arial" w:cs="Arial"/>
          <w:bCs/>
          <w:sz w:val="26"/>
          <w:szCs w:val="26"/>
        </w:rPr>
        <w:lastRenderedPageBreak/>
        <w:t xml:space="preserve">seguridad jurídica; que se omitió realizar el estudio de control de convencionalidad, precisando </w:t>
      </w:r>
      <w:r w:rsidR="00BB0FB7">
        <w:rPr>
          <w:rFonts w:ascii="Arial" w:eastAsia="Calibri" w:hAnsi="Arial" w:cs="Arial"/>
          <w:bCs/>
          <w:sz w:val="26"/>
          <w:szCs w:val="26"/>
        </w:rPr>
        <w:t>diversos</w:t>
      </w:r>
      <w:r w:rsidR="004365BE">
        <w:rPr>
          <w:rFonts w:ascii="Arial" w:eastAsia="Calibri" w:hAnsi="Arial" w:cs="Arial"/>
          <w:bCs/>
          <w:sz w:val="26"/>
          <w:szCs w:val="26"/>
        </w:rPr>
        <w:t xml:space="preserve"> artículos que considera fueron conculcados</w:t>
      </w:r>
      <w:r w:rsidR="00BB0FB7">
        <w:rPr>
          <w:rFonts w:ascii="Arial" w:eastAsia="Calibri" w:hAnsi="Arial" w:cs="Arial"/>
          <w:bCs/>
          <w:sz w:val="26"/>
          <w:szCs w:val="26"/>
        </w:rPr>
        <w:t>; precisa que si bien el artículo 123 apartado B fracción XIII de la Constitución Política de los Estados Unidos Mexicanos, establece que si se resolviere que la separación del servicio es injustificada, el Estado sólo estará obligado a pagar la indemnización y demás prestaciones, sin que proceda la reincorporación, lo cual se traduce en una forma de discriminación en perjuicio de los miembros de las instituciones policiales. Cita los criterios de rubros: “</w:t>
      </w:r>
      <w:r w:rsidR="00BB0FB7" w:rsidRPr="00BB0FB7">
        <w:rPr>
          <w:rFonts w:ascii="Arial" w:eastAsia="Calibri" w:hAnsi="Arial" w:cs="Arial"/>
          <w:bCs/>
          <w:i/>
        </w:rPr>
        <w:t>SUPLENCIA DE LA QUEJA DEFICIENTE EN MATERIA DE TRABAJO OPERA EN FAVOR DEL TRABAJADOR CUANDO EL ACTO RECLAMADO AFECTE ALGÚN INTERÉS FUNDAMENTAL TUTELADO POR EL ARTÍCULO 123 DE LA CONSTITUCIÓN FEDERAL.</w:t>
      </w:r>
      <w:r w:rsidR="00BB0FB7">
        <w:rPr>
          <w:rFonts w:ascii="Arial" w:eastAsia="Calibri" w:hAnsi="Arial" w:cs="Arial"/>
          <w:bCs/>
          <w:sz w:val="26"/>
          <w:szCs w:val="26"/>
        </w:rPr>
        <w:t>” y “</w:t>
      </w:r>
      <w:r w:rsidR="00BB0FB7" w:rsidRPr="00BB0FB7">
        <w:rPr>
          <w:rFonts w:ascii="Arial" w:eastAsia="Calibri" w:hAnsi="Arial" w:cs="Arial"/>
          <w:bCs/>
          <w:i/>
        </w:rPr>
        <w:t>SUPLENCIA DE LA QUEJA D</w:t>
      </w:r>
      <w:r w:rsidR="00BB0FB7">
        <w:rPr>
          <w:rFonts w:ascii="Arial" w:eastAsia="Calibri" w:hAnsi="Arial" w:cs="Arial"/>
          <w:bCs/>
          <w:i/>
        </w:rPr>
        <w:t xml:space="preserve">EFICIENTE EN MATERIA DE TRABAJO. </w:t>
      </w:r>
      <w:r w:rsidR="00BB0FB7" w:rsidRPr="00BB0FB7">
        <w:rPr>
          <w:rFonts w:ascii="Arial" w:eastAsia="Calibri" w:hAnsi="Arial" w:cs="Arial"/>
          <w:bCs/>
          <w:i/>
        </w:rPr>
        <w:t>OPERA EN FAVOR DEL TRABAJADOR CUANDO EL ACTO RECLAMADO AFECTE ALGÚN INTERÉS FUNDAMENTAL TUTELADO POR EL ARTÍCULO</w:t>
      </w:r>
      <w:r w:rsidR="00BB0FB7">
        <w:rPr>
          <w:rFonts w:ascii="Arial" w:eastAsia="Calibri" w:hAnsi="Arial" w:cs="Arial"/>
          <w:bCs/>
          <w:i/>
        </w:rPr>
        <w:t xml:space="preserve"> 123, APARATADO A, DE LA CONSTITUCIÓN FEDERAL Y, POR EXTENSIÓN, DE LA LEY FEDERAL DEL TRABAJO, AUNQUE DICHO ACTO SEA FORMALMENTE ADMINISTRATIVO</w:t>
      </w:r>
      <w:r w:rsidR="00BB0FB7" w:rsidRPr="00BB0FB7">
        <w:rPr>
          <w:rFonts w:ascii="Arial" w:eastAsia="Calibri" w:hAnsi="Arial" w:cs="Arial"/>
          <w:bCs/>
          <w:i/>
        </w:rPr>
        <w:t>.</w:t>
      </w:r>
      <w:r w:rsidR="00BB0FB7">
        <w:rPr>
          <w:rFonts w:ascii="Arial" w:eastAsia="Calibri" w:hAnsi="Arial" w:cs="Arial"/>
          <w:bCs/>
          <w:sz w:val="26"/>
          <w:szCs w:val="26"/>
        </w:rPr>
        <w:t>”.</w:t>
      </w:r>
    </w:p>
    <w:p w:rsidR="00270A7E" w:rsidRDefault="00012EA8" w:rsidP="009541E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Todas estas alegaciones son </w:t>
      </w:r>
      <w:r w:rsidRPr="00012EA8">
        <w:rPr>
          <w:rFonts w:ascii="Arial" w:eastAsia="Calibri" w:hAnsi="Arial" w:cs="Arial"/>
          <w:b/>
          <w:bCs/>
          <w:sz w:val="26"/>
          <w:szCs w:val="26"/>
        </w:rPr>
        <w:t>i</w:t>
      </w:r>
      <w:r w:rsidR="00FE6FA1" w:rsidRPr="00FE6FA1">
        <w:rPr>
          <w:rFonts w:ascii="Arial" w:eastAsia="Calibri" w:hAnsi="Arial" w:cs="Arial"/>
          <w:b/>
          <w:bCs/>
          <w:sz w:val="26"/>
          <w:szCs w:val="26"/>
        </w:rPr>
        <w:t>noperantes</w:t>
      </w:r>
      <w:r>
        <w:rPr>
          <w:rFonts w:ascii="Arial" w:eastAsia="Calibri" w:hAnsi="Arial" w:cs="Arial"/>
          <w:b/>
          <w:bCs/>
          <w:sz w:val="26"/>
          <w:szCs w:val="26"/>
        </w:rPr>
        <w:t xml:space="preserve">, </w:t>
      </w:r>
      <w:r w:rsidR="000242CC">
        <w:rPr>
          <w:rFonts w:ascii="Arial" w:eastAsia="Calibri" w:hAnsi="Arial" w:cs="Arial"/>
          <w:bCs/>
          <w:sz w:val="26"/>
          <w:szCs w:val="26"/>
        </w:rPr>
        <w:t xml:space="preserve">al ser únicamente manifestaciones genéricas, </w:t>
      </w:r>
      <w:r w:rsidR="00270A7E">
        <w:rPr>
          <w:rFonts w:ascii="Arial" w:eastAsia="Calibri" w:hAnsi="Arial" w:cs="Arial"/>
          <w:bCs/>
          <w:sz w:val="26"/>
          <w:szCs w:val="26"/>
        </w:rPr>
        <w:t>que en forma alguna combaten la consideración toral de la Primera Instancia para decretar el sobreseimiento del juicio, consistente en que la demanda de nulidad fue presentada de forma extemporánea; pues de todas sus alegaciones</w:t>
      </w:r>
      <w:r w:rsidR="002C6632">
        <w:rPr>
          <w:rFonts w:ascii="Arial" w:eastAsia="Calibri" w:hAnsi="Arial" w:cs="Arial"/>
          <w:bCs/>
          <w:sz w:val="26"/>
          <w:szCs w:val="26"/>
        </w:rPr>
        <w:t>,</w:t>
      </w:r>
      <w:r w:rsidR="00270A7E">
        <w:rPr>
          <w:rFonts w:ascii="Arial" w:eastAsia="Calibri" w:hAnsi="Arial" w:cs="Arial"/>
          <w:bCs/>
          <w:sz w:val="26"/>
          <w:szCs w:val="26"/>
        </w:rPr>
        <w:t xml:space="preserve"> en ninguna parte se extrae que haya dicho que contrario a lo indicado por el resolutor, no es verdad que el oficio </w:t>
      </w:r>
      <w:r w:rsidR="00390B4C">
        <w:rPr>
          <w:rFonts w:ascii="Arial" w:hAnsi="Arial" w:cs="Arial"/>
          <w:b/>
          <w:sz w:val="26"/>
          <w:szCs w:val="26"/>
        </w:rPr>
        <w:t>**********</w:t>
      </w:r>
      <w:r w:rsidR="00270A7E">
        <w:rPr>
          <w:rFonts w:ascii="Arial" w:eastAsia="Calibri" w:hAnsi="Arial" w:cs="Arial"/>
          <w:bCs/>
          <w:sz w:val="26"/>
          <w:szCs w:val="26"/>
        </w:rPr>
        <w:t xml:space="preserve"> de 11 once de diciembre de 2014 dos mil catorce, suscrito por el Oficial Mayo</w:t>
      </w:r>
      <w:r w:rsidR="00D538EC">
        <w:rPr>
          <w:rFonts w:ascii="Arial" w:eastAsia="Calibri" w:hAnsi="Arial" w:cs="Arial"/>
          <w:bCs/>
          <w:sz w:val="26"/>
          <w:szCs w:val="26"/>
        </w:rPr>
        <w:t>r</w:t>
      </w:r>
      <w:r w:rsidR="00270A7E">
        <w:rPr>
          <w:rFonts w:ascii="Arial" w:eastAsia="Calibri" w:hAnsi="Arial" w:cs="Arial"/>
          <w:bCs/>
          <w:sz w:val="26"/>
          <w:szCs w:val="26"/>
        </w:rPr>
        <w:t xml:space="preserve"> de la Procuraduría General de Ju</w:t>
      </w:r>
      <w:r w:rsidR="00D538EC">
        <w:rPr>
          <w:rFonts w:ascii="Arial" w:eastAsia="Calibri" w:hAnsi="Arial" w:cs="Arial"/>
          <w:bCs/>
          <w:sz w:val="26"/>
          <w:szCs w:val="26"/>
        </w:rPr>
        <w:t>sticia del Estado, con el que s</w:t>
      </w:r>
      <w:r w:rsidR="00270A7E">
        <w:rPr>
          <w:rFonts w:ascii="Arial" w:eastAsia="Calibri" w:hAnsi="Arial" w:cs="Arial"/>
          <w:bCs/>
          <w:sz w:val="26"/>
          <w:szCs w:val="26"/>
        </w:rPr>
        <w:t>e</w:t>
      </w:r>
      <w:r w:rsidR="00D538EC">
        <w:rPr>
          <w:rFonts w:ascii="Arial" w:eastAsia="Calibri" w:hAnsi="Arial" w:cs="Arial"/>
          <w:bCs/>
          <w:sz w:val="26"/>
          <w:szCs w:val="26"/>
        </w:rPr>
        <w:t xml:space="preserve"> </w:t>
      </w:r>
      <w:r w:rsidR="00270A7E">
        <w:rPr>
          <w:rFonts w:ascii="Arial" w:eastAsia="Calibri" w:hAnsi="Arial" w:cs="Arial"/>
          <w:bCs/>
          <w:sz w:val="26"/>
          <w:szCs w:val="26"/>
        </w:rPr>
        <w:t>le comunicó a la actora la terminación de su relación administrativa, no le fue notificada el 18 dieciocho de diciembre de 2014 dos mil catorce, como lo puntualizó el A quo; ni tampoco debatió la afirmación de que dicha notificación no fue desvirtuada a través del medio ordinario de defensa proceden como se especificó en la sentencia.</w:t>
      </w:r>
    </w:p>
    <w:p w:rsidR="00B90565" w:rsidRPr="002B506D" w:rsidRDefault="00B90565" w:rsidP="00B90565">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B90565" w:rsidRPr="007E1959" w:rsidRDefault="00B90565" w:rsidP="007E1959">
      <w:pPr>
        <w:ind w:left="1134" w:right="709"/>
        <w:jc w:val="both"/>
        <w:rPr>
          <w:rFonts w:ascii="Arial" w:hAnsi="Arial" w:cs="Arial"/>
          <w:bCs/>
          <w:i/>
          <w:color w:val="000000" w:themeColor="text1"/>
          <w:szCs w:val="24"/>
          <w:lang w:val="es-MX"/>
        </w:rPr>
      </w:pPr>
      <w:r w:rsidRPr="007E1959">
        <w:rPr>
          <w:rFonts w:ascii="Arial" w:eastAsia="Times New Roman" w:hAnsi="Arial"/>
          <w:i/>
          <w:color w:val="000000" w:themeColor="text1"/>
          <w:szCs w:val="24"/>
          <w:lang w:val="es-MX"/>
        </w:rPr>
        <w:lastRenderedPageBreak/>
        <w:t>“</w:t>
      </w:r>
      <w:r w:rsidRPr="007E1959">
        <w:rPr>
          <w:rFonts w:ascii="Arial" w:eastAsia="Times New Roman" w:hAnsi="Arial"/>
          <w:b/>
          <w:i/>
          <w:color w:val="000000" w:themeColor="text1"/>
          <w:szCs w:val="24"/>
          <w:lang w:val="es-MX"/>
        </w:rPr>
        <w:t xml:space="preserve">AGRAVIOS. DEBEN DE IMPUGNAR LA ILEGALIDAD DEL FALLO RECURRIDO. </w:t>
      </w:r>
      <w:r w:rsidRPr="007E1959">
        <w:rPr>
          <w:rFonts w:ascii="Arial" w:eastAsia="Times New Roman" w:hAnsi="Arial"/>
          <w:i/>
          <w:color w:val="000000" w:themeColor="text1"/>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664187" w:rsidRPr="00290FE2" w:rsidRDefault="00664187" w:rsidP="00B90565">
      <w:pPr>
        <w:spacing w:before="240" w:line="360" w:lineRule="auto"/>
        <w:ind w:firstLine="708"/>
        <w:jc w:val="both"/>
        <w:rPr>
          <w:rFonts w:ascii="Arial" w:hAnsi="Arial" w:cs="Arial"/>
          <w:sz w:val="26"/>
          <w:szCs w:val="26"/>
        </w:rPr>
      </w:pPr>
      <w:r w:rsidRPr="00290FE2">
        <w:rPr>
          <w:rFonts w:ascii="Arial" w:hAnsi="Arial" w:cs="Arial"/>
          <w:sz w:val="26"/>
          <w:szCs w:val="26"/>
        </w:rPr>
        <w:t>En cuanto a</w:t>
      </w:r>
      <w:r w:rsidR="00302B40">
        <w:rPr>
          <w:rFonts w:ascii="Arial" w:hAnsi="Arial" w:cs="Arial"/>
          <w:sz w:val="26"/>
          <w:szCs w:val="26"/>
        </w:rPr>
        <w:t xml:space="preserve"> los criterios que indica, </w:t>
      </w:r>
      <w:r w:rsidRPr="00290FE2">
        <w:rPr>
          <w:rFonts w:ascii="Arial" w:hAnsi="Arial" w:cs="Arial"/>
          <w:sz w:val="26"/>
          <w:szCs w:val="26"/>
        </w:rPr>
        <w:t>resultan inoperantes sus alegaciones, no resultan aplicables, aunado a que el segundo que cita respecto a la aplicación del artículo 123 Apartado A de la Constitución Política de los Estados Unidos Mexicanos, no le resulta aplicable, porque sustenta lo relacionado con a las leyes que rigen a los obreros, jornaleros, empleados domésticos, artesanos y de manera general todo contrato de trabajo; y la recurrente al pertenecer a un cuerpo policíaco le es aplicable el Apartado B.</w:t>
      </w:r>
    </w:p>
    <w:p w:rsidR="00B90565" w:rsidRDefault="00B90565" w:rsidP="00B9056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B90565" w:rsidRDefault="00B90565" w:rsidP="00B9056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w:t>
      </w:r>
      <w:r w:rsidR="00270A7E">
        <w:rPr>
          <w:rFonts w:ascii="Arial" w:hAnsi="Arial" w:cs="Arial"/>
          <w:sz w:val="26"/>
          <w:szCs w:val="26"/>
        </w:rPr>
        <w:t xml:space="preserve">resolución </w:t>
      </w:r>
      <w:r>
        <w:rPr>
          <w:rFonts w:ascii="Arial" w:hAnsi="Arial" w:cs="Arial"/>
          <w:sz w:val="26"/>
          <w:szCs w:val="26"/>
        </w:rPr>
        <w:t xml:space="preserve">recurrida, </w:t>
      </w:r>
      <w:r>
        <w:rPr>
          <w:rFonts w:ascii="Arial" w:hAnsi="Arial" w:cs="Arial"/>
          <w:sz w:val="26"/>
          <w:szCs w:val="26"/>
          <w:lang w:eastAsia="es-ES"/>
        </w:rPr>
        <w:t>por las razones expuestas en el considerando que antecede</w:t>
      </w:r>
      <w:r>
        <w:rPr>
          <w:rFonts w:ascii="Arial" w:hAnsi="Arial" w:cs="Arial"/>
          <w:sz w:val="26"/>
          <w:szCs w:val="26"/>
        </w:rPr>
        <w:t>.</w:t>
      </w:r>
    </w:p>
    <w:p w:rsidR="00B90565" w:rsidRDefault="00B90565" w:rsidP="008A3137">
      <w:pPr>
        <w:spacing w:before="240" w:after="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270A7E">
        <w:rPr>
          <w:rFonts w:ascii="Arial" w:hAnsi="Arial" w:cs="Arial"/>
          <w:sz w:val="26"/>
          <w:szCs w:val="26"/>
        </w:rPr>
        <w:t xml:space="preserve">Cuarta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p>
    <w:p w:rsidR="008A3137" w:rsidRDefault="008A3137" w:rsidP="008A3137">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A3137" w:rsidRDefault="008A3137" w:rsidP="008A3137">
      <w:pPr>
        <w:pStyle w:val="corte4fondo"/>
        <w:tabs>
          <w:tab w:val="left" w:pos="0"/>
        </w:tabs>
        <w:ind w:right="51"/>
        <w:rPr>
          <w:sz w:val="26"/>
          <w:szCs w:val="26"/>
        </w:rPr>
      </w:pPr>
    </w:p>
    <w:p w:rsidR="007E1959" w:rsidRDefault="007E1959" w:rsidP="008A3137">
      <w:pPr>
        <w:pStyle w:val="corte4fondo"/>
        <w:tabs>
          <w:tab w:val="left" w:pos="0"/>
        </w:tabs>
        <w:ind w:right="51"/>
        <w:rPr>
          <w:sz w:val="26"/>
          <w:szCs w:val="26"/>
        </w:rPr>
      </w:pPr>
    </w:p>
    <w:p w:rsidR="007E1959" w:rsidRDefault="007E1959" w:rsidP="008A3137">
      <w:pPr>
        <w:pStyle w:val="corte4fondo"/>
        <w:tabs>
          <w:tab w:val="left" w:pos="0"/>
        </w:tabs>
        <w:ind w:right="51"/>
        <w:rPr>
          <w:sz w:val="26"/>
          <w:szCs w:val="26"/>
        </w:rPr>
      </w:pPr>
    </w:p>
    <w:p w:rsidR="007E1959" w:rsidRDefault="007E1959" w:rsidP="008A3137">
      <w:pPr>
        <w:pStyle w:val="corte4fondo"/>
        <w:tabs>
          <w:tab w:val="left" w:pos="0"/>
        </w:tabs>
        <w:ind w:right="51"/>
        <w:rPr>
          <w:sz w:val="26"/>
          <w:szCs w:val="26"/>
        </w:rPr>
      </w:pPr>
    </w:p>
    <w:p w:rsidR="007E1959" w:rsidRDefault="007E1959" w:rsidP="008A3137">
      <w:pPr>
        <w:pStyle w:val="corte4fondo"/>
        <w:tabs>
          <w:tab w:val="left" w:pos="0"/>
        </w:tabs>
        <w:ind w:right="51"/>
        <w:rPr>
          <w:sz w:val="26"/>
          <w:szCs w:val="26"/>
        </w:rPr>
      </w:pPr>
    </w:p>
    <w:p w:rsidR="007E1959" w:rsidRDefault="007E1959" w:rsidP="008A3137">
      <w:pPr>
        <w:pStyle w:val="corte4fondo"/>
        <w:tabs>
          <w:tab w:val="left" w:pos="0"/>
        </w:tabs>
        <w:ind w:right="51"/>
        <w:rPr>
          <w:sz w:val="26"/>
          <w:szCs w:val="26"/>
        </w:rPr>
      </w:pPr>
    </w:p>
    <w:p w:rsidR="008A3137" w:rsidRDefault="008A3137" w:rsidP="008A3137">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8A3137" w:rsidRDefault="008A3137" w:rsidP="008A3137">
      <w:pPr>
        <w:spacing w:after="0" w:line="240" w:lineRule="auto"/>
        <w:jc w:val="center"/>
        <w:rPr>
          <w:rFonts w:ascii="Arial" w:hAnsi="Arial" w:cs="Arial"/>
          <w:sz w:val="26"/>
          <w:szCs w:val="26"/>
        </w:rPr>
      </w:pPr>
      <w:r>
        <w:rPr>
          <w:rFonts w:ascii="Arial" w:hAnsi="Arial" w:cs="Arial"/>
          <w:sz w:val="26"/>
          <w:szCs w:val="26"/>
        </w:rPr>
        <w:t>PRESIDENTA</w:t>
      </w:r>
    </w:p>
    <w:p w:rsidR="008A3137" w:rsidRDefault="008A3137" w:rsidP="008A3137">
      <w:pPr>
        <w:spacing w:after="0" w:line="240" w:lineRule="auto"/>
        <w:jc w:val="center"/>
        <w:rPr>
          <w:rFonts w:ascii="Arial" w:eastAsia="Times New Roman" w:hAnsi="Arial" w:cs="Arial"/>
          <w:sz w:val="26"/>
          <w:szCs w:val="26"/>
          <w:lang w:eastAsia="es-MX"/>
        </w:rPr>
      </w:pPr>
    </w:p>
    <w:p w:rsidR="008A3137" w:rsidRDefault="008A3137" w:rsidP="008A3137">
      <w:pPr>
        <w:spacing w:line="360" w:lineRule="auto"/>
        <w:ind w:firstLine="567"/>
        <w:jc w:val="center"/>
        <w:rPr>
          <w:rFonts w:ascii="Arial" w:hAnsi="Arial" w:cs="Arial"/>
          <w:b/>
          <w:sz w:val="14"/>
          <w:szCs w:val="26"/>
        </w:rPr>
      </w:pPr>
      <w:r>
        <w:rPr>
          <w:rFonts w:ascii="Arial" w:hAnsi="Arial" w:cs="Arial"/>
          <w:b/>
          <w:sz w:val="14"/>
          <w:szCs w:val="26"/>
        </w:rPr>
        <w:lastRenderedPageBreak/>
        <w:t>LAS PRESENTES FIRMAS CORRESPONDEN AL RECURSO DE REVISIÓN 480/2018</w:t>
      </w:r>
    </w:p>
    <w:p w:rsidR="008A3137" w:rsidRDefault="008A3137" w:rsidP="008A3137">
      <w:pPr>
        <w:spacing w:line="360" w:lineRule="auto"/>
        <w:ind w:firstLine="567"/>
        <w:jc w:val="center"/>
        <w:rPr>
          <w:rFonts w:ascii="Arial" w:hAnsi="Arial" w:cs="Arial"/>
          <w:b/>
          <w:sz w:val="14"/>
          <w:szCs w:val="26"/>
        </w:rPr>
      </w:pPr>
    </w:p>
    <w:p w:rsidR="008A3137" w:rsidRDefault="008A3137" w:rsidP="008A3137">
      <w:pPr>
        <w:spacing w:line="360" w:lineRule="auto"/>
        <w:ind w:firstLine="567"/>
        <w:jc w:val="center"/>
        <w:rPr>
          <w:rFonts w:ascii="Arial" w:hAnsi="Arial" w:cs="Arial"/>
          <w:b/>
          <w:sz w:val="14"/>
          <w:szCs w:val="26"/>
        </w:rPr>
      </w:pPr>
    </w:p>
    <w:p w:rsidR="003C3CD1" w:rsidRDefault="003C3CD1" w:rsidP="008A3137">
      <w:pPr>
        <w:spacing w:line="360" w:lineRule="auto"/>
        <w:ind w:firstLine="567"/>
        <w:jc w:val="center"/>
        <w:rPr>
          <w:rFonts w:ascii="Arial" w:hAnsi="Arial" w:cs="Arial"/>
          <w:b/>
          <w:sz w:val="14"/>
          <w:szCs w:val="26"/>
        </w:rPr>
      </w:pPr>
    </w:p>
    <w:p w:rsidR="008A3137" w:rsidRDefault="008A3137" w:rsidP="008A3137">
      <w:pPr>
        <w:spacing w:line="360" w:lineRule="auto"/>
        <w:ind w:firstLine="567"/>
        <w:jc w:val="center"/>
        <w:rPr>
          <w:rFonts w:ascii="Arial" w:hAnsi="Arial" w:cs="Arial"/>
          <w:b/>
          <w:sz w:val="14"/>
          <w:szCs w:val="26"/>
        </w:rPr>
      </w:pPr>
    </w:p>
    <w:p w:rsidR="008A3137" w:rsidRDefault="008A3137" w:rsidP="008A3137">
      <w:pPr>
        <w:spacing w:line="360" w:lineRule="auto"/>
        <w:ind w:firstLine="567"/>
        <w:jc w:val="center"/>
        <w:rPr>
          <w:rFonts w:ascii="Arial" w:hAnsi="Arial" w:cs="Arial"/>
          <w:b/>
          <w:sz w:val="14"/>
          <w:szCs w:val="26"/>
        </w:rPr>
      </w:pPr>
    </w:p>
    <w:p w:rsidR="008A3137" w:rsidRDefault="008A3137" w:rsidP="008A3137">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A3137" w:rsidRDefault="008A3137" w:rsidP="008A3137">
      <w:pPr>
        <w:spacing w:line="360" w:lineRule="auto"/>
        <w:jc w:val="center"/>
        <w:rPr>
          <w:rFonts w:ascii="Arial" w:eastAsia="Times New Roman" w:hAnsi="Arial" w:cs="Arial"/>
          <w:sz w:val="26"/>
          <w:szCs w:val="26"/>
          <w:lang w:eastAsia="es-MX"/>
        </w:rPr>
      </w:pPr>
    </w:p>
    <w:p w:rsidR="008A3137" w:rsidRDefault="008A3137" w:rsidP="008A3137">
      <w:pPr>
        <w:spacing w:line="360" w:lineRule="auto"/>
        <w:jc w:val="center"/>
        <w:rPr>
          <w:rFonts w:ascii="Arial" w:eastAsia="Times New Roman" w:hAnsi="Arial" w:cs="Arial"/>
          <w:sz w:val="26"/>
          <w:szCs w:val="26"/>
          <w:lang w:eastAsia="es-MX"/>
        </w:rPr>
      </w:pPr>
    </w:p>
    <w:p w:rsidR="008A3137" w:rsidRDefault="008A3137" w:rsidP="008A3137">
      <w:pPr>
        <w:spacing w:line="360" w:lineRule="auto"/>
        <w:jc w:val="center"/>
        <w:rPr>
          <w:rFonts w:ascii="Arial" w:eastAsia="Times New Roman" w:hAnsi="Arial" w:cs="Arial"/>
          <w:sz w:val="26"/>
          <w:szCs w:val="26"/>
          <w:lang w:eastAsia="es-MX"/>
        </w:rPr>
      </w:pPr>
    </w:p>
    <w:p w:rsidR="008A3137" w:rsidRDefault="008A3137" w:rsidP="008A3137">
      <w:pPr>
        <w:spacing w:line="360" w:lineRule="auto"/>
        <w:jc w:val="center"/>
        <w:rPr>
          <w:rFonts w:ascii="Arial" w:hAnsi="Arial" w:cs="Arial"/>
          <w:sz w:val="26"/>
          <w:szCs w:val="26"/>
        </w:rPr>
      </w:pPr>
      <w:r>
        <w:rPr>
          <w:rFonts w:ascii="Arial" w:hAnsi="Arial" w:cs="Arial"/>
          <w:sz w:val="26"/>
          <w:szCs w:val="26"/>
        </w:rPr>
        <w:t>MAGISTRADO RAÚL PALOMARES PALOMINO</w:t>
      </w:r>
    </w:p>
    <w:p w:rsidR="008A3137" w:rsidRDefault="008A3137" w:rsidP="008A3137">
      <w:pPr>
        <w:spacing w:line="360" w:lineRule="auto"/>
        <w:jc w:val="center"/>
        <w:rPr>
          <w:rFonts w:ascii="Arial" w:hAnsi="Arial" w:cs="Arial"/>
          <w:sz w:val="26"/>
          <w:szCs w:val="26"/>
        </w:rPr>
      </w:pPr>
    </w:p>
    <w:p w:rsidR="008A3137" w:rsidRDefault="008A3137" w:rsidP="008A3137">
      <w:pPr>
        <w:spacing w:line="360" w:lineRule="auto"/>
        <w:jc w:val="center"/>
        <w:rPr>
          <w:rFonts w:ascii="Arial" w:hAnsi="Arial" w:cs="Arial"/>
          <w:sz w:val="26"/>
          <w:szCs w:val="26"/>
        </w:rPr>
      </w:pPr>
    </w:p>
    <w:p w:rsidR="008A3137" w:rsidRDefault="008A3137" w:rsidP="008A3137">
      <w:pPr>
        <w:spacing w:line="360" w:lineRule="auto"/>
        <w:jc w:val="center"/>
        <w:rPr>
          <w:rFonts w:ascii="Arial" w:hAnsi="Arial" w:cs="Arial"/>
          <w:sz w:val="26"/>
          <w:szCs w:val="26"/>
        </w:rPr>
      </w:pPr>
    </w:p>
    <w:p w:rsidR="008A3137" w:rsidRDefault="008A3137" w:rsidP="008A313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8A3137" w:rsidRDefault="008A3137" w:rsidP="008A3137">
      <w:pPr>
        <w:tabs>
          <w:tab w:val="left" w:pos="1680"/>
          <w:tab w:val="center" w:pos="4277"/>
        </w:tabs>
        <w:spacing w:line="360" w:lineRule="auto"/>
        <w:jc w:val="center"/>
        <w:rPr>
          <w:rFonts w:ascii="Arial" w:hAnsi="Arial" w:cs="Arial"/>
          <w:sz w:val="26"/>
          <w:szCs w:val="26"/>
        </w:rPr>
      </w:pPr>
    </w:p>
    <w:p w:rsidR="008A3137" w:rsidRDefault="008A3137" w:rsidP="008A3137">
      <w:pPr>
        <w:tabs>
          <w:tab w:val="left" w:pos="1680"/>
          <w:tab w:val="center" w:pos="4277"/>
        </w:tabs>
        <w:spacing w:line="360" w:lineRule="auto"/>
        <w:jc w:val="center"/>
        <w:rPr>
          <w:rFonts w:ascii="Arial" w:hAnsi="Arial" w:cs="Arial"/>
          <w:sz w:val="26"/>
          <w:szCs w:val="26"/>
        </w:rPr>
      </w:pPr>
    </w:p>
    <w:p w:rsidR="008A3137" w:rsidRPr="009F77CE" w:rsidRDefault="008A3137" w:rsidP="008A3137">
      <w:pPr>
        <w:tabs>
          <w:tab w:val="left" w:pos="1680"/>
          <w:tab w:val="center" w:pos="4277"/>
        </w:tabs>
        <w:spacing w:line="360" w:lineRule="auto"/>
        <w:jc w:val="center"/>
        <w:rPr>
          <w:rFonts w:ascii="Arial" w:hAnsi="Arial" w:cs="Arial"/>
          <w:sz w:val="26"/>
          <w:szCs w:val="26"/>
        </w:rPr>
      </w:pPr>
    </w:p>
    <w:p w:rsidR="008A3137" w:rsidRDefault="008A3137" w:rsidP="008A3137">
      <w:pPr>
        <w:spacing w:line="360" w:lineRule="auto"/>
        <w:ind w:firstLine="567"/>
        <w:jc w:val="center"/>
        <w:rPr>
          <w:rFonts w:ascii="Arial" w:hAnsi="Arial" w:cs="Arial"/>
          <w:sz w:val="26"/>
          <w:szCs w:val="26"/>
        </w:rPr>
      </w:pPr>
      <w:r>
        <w:rPr>
          <w:rFonts w:ascii="Arial" w:hAnsi="Arial" w:cs="Arial"/>
          <w:sz w:val="26"/>
          <w:szCs w:val="26"/>
        </w:rPr>
        <w:t>MAGISTRADO ADRIÁN QUIROGA AVENDAÑO</w:t>
      </w:r>
    </w:p>
    <w:p w:rsidR="008A3137" w:rsidRDefault="008A3137" w:rsidP="008A3137">
      <w:pPr>
        <w:spacing w:line="360" w:lineRule="auto"/>
        <w:ind w:firstLine="567"/>
        <w:jc w:val="center"/>
        <w:rPr>
          <w:rFonts w:ascii="Arial" w:hAnsi="Arial" w:cs="Arial"/>
          <w:sz w:val="26"/>
          <w:szCs w:val="26"/>
        </w:rPr>
      </w:pPr>
    </w:p>
    <w:p w:rsidR="008A3137" w:rsidRDefault="008A3137" w:rsidP="008A3137">
      <w:pPr>
        <w:spacing w:line="360" w:lineRule="auto"/>
        <w:ind w:firstLine="567"/>
        <w:jc w:val="center"/>
        <w:rPr>
          <w:rFonts w:ascii="Arial" w:hAnsi="Arial" w:cs="Arial"/>
          <w:sz w:val="26"/>
          <w:szCs w:val="26"/>
        </w:rPr>
      </w:pPr>
    </w:p>
    <w:p w:rsidR="008A3137" w:rsidRDefault="008A3137" w:rsidP="008A3137">
      <w:pPr>
        <w:spacing w:line="360" w:lineRule="auto"/>
        <w:ind w:firstLine="567"/>
        <w:jc w:val="center"/>
        <w:rPr>
          <w:rFonts w:ascii="Arial" w:hAnsi="Arial" w:cs="Arial"/>
          <w:sz w:val="26"/>
          <w:szCs w:val="26"/>
        </w:rPr>
      </w:pPr>
    </w:p>
    <w:p w:rsidR="008A3137" w:rsidRDefault="008A3137" w:rsidP="008A3137">
      <w:pPr>
        <w:pStyle w:val="Sinespaciado"/>
        <w:jc w:val="center"/>
        <w:rPr>
          <w:rFonts w:ascii="Arial" w:hAnsi="Arial" w:cs="Arial"/>
          <w:sz w:val="26"/>
          <w:szCs w:val="26"/>
        </w:rPr>
      </w:pPr>
      <w:r>
        <w:rPr>
          <w:rFonts w:ascii="Arial" w:hAnsi="Arial" w:cs="Arial"/>
          <w:sz w:val="26"/>
          <w:szCs w:val="26"/>
        </w:rPr>
        <w:t>LICENCIADA FELICITAS DÍAZ VÁZQUEZ</w:t>
      </w:r>
    </w:p>
    <w:p w:rsidR="008A3137" w:rsidRDefault="008A3137" w:rsidP="008A3137">
      <w:pPr>
        <w:pStyle w:val="Sinespaciado"/>
        <w:jc w:val="center"/>
        <w:rPr>
          <w:rFonts w:ascii="Arial" w:hAnsi="Arial" w:cs="Arial"/>
          <w:sz w:val="26"/>
          <w:szCs w:val="26"/>
        </w:rPr>
      </w:pPr>
      <w:r>
        <w:rPr>
          <w:rFonts w:ascii="Arial" w:hAnsi="Arial" w:cs="Arial"/>
          <w:sz w:val="26"/>
          <w:szCs w:val="26"/>
        </w:rPr>
        <w:t>SECRETARIA GENERAL DE ACUERDOS</w:t>
      </w:r>
    </w:p>
    <w:p w:rsidR="00853A8F" w:rsidRPr="00853A8F" w:rsidRDefault="00853A8F" w:rsidP="00853A8F">
      <w:pPr>
        <w:rPr>
          <w:sz w:val="26"/>
          <w:szCs w:val="26"/>
        </w:rPr>
      </w:pPr>
    </w:p>
    <w:p w:rsidR="00853A8F" w:rsidRDefault="00853A8F" w:rsidP="00853A8F">
      <w:pPr>
        <w:rPr>
          <w:sz w:val="26"/>
          <w:szCs w:val="26"/>
        </w:rPr>
      </w:pPr>
    </w:p>
    <w:p w:rsidR="00B90565" w:rsidRPr="00853A8F" w:rsidRDefault="00853A8F" w:rsidP="00853A8F">
      <w:pPr>
        <w:tabs>
          <w:tab w:val="left" w:pos="5322"/>
        </w:tabs>
        <w:rPr>
          <w:sz w:val="26"/>
          <w:szCs w:val="26"/>
        </w:rPr>
      </w:pPr>
      <w:r>
        <w:rPr>
          <w:sz w:val="26"/>
          <w:szCs w:val="26"/>
        </w:rPr>
        <w:tab/>
      </w:r>
    </w:p>
    <w:sectPr w:rsidR="00B90565" w:rsidRPr="00853A8F" w:rsidSect="008A3137">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BEC" w:rsidRDefault="00CC1BEC">
      <w:pPr>
        <w:spacing w:after="0" w:line="240" w:lineRule="auto"/>
      </w:pPr>
      <w:r>
        <w:separator/>
      </w:r>
    </w:p>
  </w:endnote>
  <w:endnote w:type="continuationSeparator" w:id="0">
    <w:p w:rsidR="00CC1BEC" w:rsidRDefault="00CC1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BEC" w:rsidRDefault="00CC1BEC">
      <w:pPr>
        <w:spacing w:after="0" w:line="240" w:lineRule="auto"/>
      </w:pPr>
      <w:r>
        <w:separator/>
      </w:r>
    </w:p>
  </w:footnote>
  <w:footnote w:type="continuationSeparator" w:id="0">
    <w:p w:rsidR="00CC1BEC" w:rsidRDefault="00CC1B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0242CC" w:rsidRDefault="00FA7749" w:rsidP="00D25099">
        <w:pPr>
          <w:pStyle w:val="Encabezado"/>
          <w:jc w:val="center"/>
        </w:pPr>
        <w:r>
          <w:rPr>
            <w:noProof/>
            <w:lang w:val="es-MX" w:eastAsia="es-MX"/>
          </w:rPr>
          <w:drawing>
            <wp:anchor distT="0" distB="0" distL="114300" distR="114300" simplePos="0" relativeHeight="251665408" behindDoc="0" locked="0" layoutInCell="1" allowOverlap="1" wp14:anchorId="141E44CD" wp14:editId="684219F4">
              <wp:simplePos x="0" y="0"/>
              <wp:positionH relativeFrom="column">
                <wp:posOffset>5753100</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fldChar w:fldCharType="begin"/>
        </w:r>
        <w:r w:rsidR="000242CC">
          <w:instrText>PAGE   \* MERGEFORMAT</w:instrText>
        </w:r>
        <w:r w:rsidR="000242CC">
          <w:fldChar w:fldCharType="separate"/>
        </w:r>
        <w:r>
          <w:rPr>
            <w:noProof/>
          </w:rPr>
          <w:t>8</w:t>
        </w:r>
        <w:r w:rsidR="000242C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FA7749" w:rsidP="00FA7749">
        <w:pPr>
          <w:pStyle w:val="Encabezado"/>
          <w:tabs>
            <w:tab w:val="clear" w:pos="8504"/>
            <w:tab w:val="center" w:pos="4135"/>
          </w:tabs>
          <w:rPr>
            <w:noProof/>
          </w:rPr>
        </w:pPr>
        <w:r>
          <w:tab/>
        </w:r>
        <w:r w:rsidR="000242CC">
          <w:fldChar w:fldCharType="begin"/>
        </w:r>
        <w:r w:rsidR="000242CC">
          <w:instrText xml:space="preserve"> PAGE   \* MERGEFORMAT </w:instrText>
        </w:r>
        <w:r w:rsidR="000242CC">
          <w:fldChar w:fldCharType="separate"/>
        </w:r>
        <w:r>
          <w:rPr>
            <w:noProof/>
          </w:rPr>
          <w:t>9</w:t>
        </w:r>
        <w:r w:rsidR="000242CC">
          <w:rPr>
            <w:noProof/>
          </w:rPr>
          <w:fldChar w:fldCharType="end"/>
        </w:r>
        <w:r>
          <w:rPr>
            <w:noProof/>
          </w:rPr>
          <w:tab/>
        </w:r>
        <w:r>
          <w:rPr>
            <w:noProof/>
          </w:rPr>
          <w:tab/>
        </w:r>
      </w:p>
      <w:p w:rsidR="000242CC" w:rsidRDefault="00FA7749" w:rsidP="008C74CA">
        <w:pPr>
          <w:pStyle w:val="Encabezado"/>
          <w:jc w:val="center"/>
        </w:pPr>
      </w:p>
    </w:sdtContent>
  </w:sdt>
  <w:p w:rsidR="000242CC" w:rsidRDefault="000242CC" w:rsidP="00256B01">
    <w:pPr>
      <w:pStyle w:val="Encabezado"/>
      <w:jc w:val="center"/>
    </w:pPr>
  </w:p>
  <w:p w:rsidR="000242CC" w:rsidRDefault="00FA7749" w:rsidP="00256B01">
    <w:pPr>
      <w:pStyle w:val="Encabezado"/>
      <w:jc w:val="center"/>
    </w:pPr>
    <w:r>
      <w:rPr>
        <w:noProof/>
        <w:lang w:val="es-MX" w:eastAsia="es-MX"/>
      </w:rPr>
      <w:drawing>
        <wp:anchor distT="0" distB="0" distL="114300" distR="114300" simplePos="0" relativeHeight="251663360" behindDoc="0" locked="0" layoutInCell="1" allowOverlap="1" wp14:anchorId="4781F104" wp14:editId="5F080C47">
          <wp:simplePos x="0" y="0"/>
          <wp:positionH relativeFrom="column">
            <wp:posOffset>-1133475</wp:posOffset>
          </wp:positionH>
          <wp:positionV relativeFrom="paragraph">
            <wp:posOffset>3287395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rPr>
        <w:noProof/>
        <w:lang w:val="es-MX" w:eastAsia="es-MX"/>
      </w:rPr>
      <w:drawing>
        <wp:anchor distT="0" distB="0" distL="114300" distR="114300" simplePos="0" relativeHeight="251661312" behindDoc="1" locked="0" layoutInCell="1" allowOverlap="1" wp14:anchorId="4AC43772" wp14:editId="648FECE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2CC" w:rsidRPr="003E6AD7">
      <w:rPr>
        <w:noProof/>
        <w:lang w:val="es-MX" w:eastAsia="es-MX"/>
      </w:rPr>
      <w:drawing>
        <wp:anchor distT="0" distB="0" distL="114300" distR="114300" simplePos="0" relativeHeight="251659264" behindDoc="0" locked="0" layoutInCell="1" allowOverlap="1" wp14:anchorId="007F2CC3" wp14:editId="29E4F11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2EA8"/>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12E4"/>
    <w:rsid w:val="000616B5"/>
    <w:rsid w:val="00061CE8"/>
    <w:rsid w:val="00067E31"/>
    <w:rsid w:val="00070777"/>
    <w:rsid w:val="00070FAA"/>
    <w:rsid w:val="00073687"/>
    <w:rsid w:val="000737BF"/>
    <w:rsid w:val="0007458B"/>
    <w:rsid w:val="000752E9"/>
    <w:rsid w:val="00076CEA"/>
    <w:rsid w:val="000803AB"/>
    <w:rsid w:val="00081361"/>
    <w:rsid w:val="00081FE8"/>
    <w:rsid w:val="000822AF"/>
    <w:rsid w:val="00083BEB"/>
    <w:rsid w:val="00085132"/>
    <w:rsid w:val="00085F69"/>
    <w:rsid w:val="000900E9"/>
    <w:rsid w:val="000902F9"/>
    <w:rsid w:val="00090B95"/>
    <w:rsid w:val="00094546"/>
    <w:rsid w:val="00095A98"/>
    <w:rsid w:val="0009618C"/>
    <w:rsid w:val="000961D2"/>
    <w:rsid w:val="000967C6"/>
    <w:rsid w:val="000A04F6"/>
    <w:rsid w:val="000A1494"/>
    <w:rsid w:val="000A2C18"/>
    <w:rsid w:val="000A4E40"/>
    <w:rsid w:val="000A612F"/>
    <w:rsid w:val="000A6360"/>
    <w:rsid w:val="000A6EC7"/>
    <w:rsid w:val="000A7BA9"/>
    <w:rsid w:val="000B0E70"/>
    <w:rsid w:val="000B1A06"/>
    <w:rsid w:val="000B2590"/>
    <w:rsid w:val="000B2654"/>
    <w:rsid w:val="000B3B02"/>
    <w:rsid w:val="000B3B3B"/>
    <w:rsid w:val="000B4122"/>
    <w:rsid w:val="000C1A75"/>
    <w:rsid w:val="000C1F7C"/>
    <w:rsid w:val="000C2197"/>
    <w:rsid w:val="000C313C"/>
    <w:rsid w:val="000C3DBF"/>
    <w:rsid w:val="000D0E1D"/>
    <w:rsid w:val="000D1BD0"/>
    <w:rsid w:val="000D29A1"/>
    <w:rsid w:val="000D2FDE"/>
    <w:rsid w:val="000D41AB"/>
    <w:rsid w:val="000D595D"/>
    <w:rsid w:val="000E0A84"/>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CF8"/>
    <w:rsid w:val="00154584"/>
    <w:rsid w:val="00154C09"/>
    <w:rsid w:val="00154CD8"/>
    <w:rsid w:val="0015751B"/>
    <w:rsid w:val="0015766E"/>
    <w:rsid w:val="00161CC0"/>
    <w:rsid w:val="00161EF9"/>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ACA"/>
    <w:rsid w:val="001A0089"/>
    <w:rsid w:val="001A14DC"/>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068"/>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484C"/>
    <w:rsid w:val="00226A03"/>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4533"/>
    <w:rsid w:val="0026762A"/>
    <w:rsid w:val="00267A88"/>
    <w:rsid w:val="00267F4F"/>
    <w:rsid w:val="00270A7E"/>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0FE2"/>
    <w:rsid w:val="00291256"/>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A7DB1"/>
    <w:rsid w:val="002A7E9D"/>
    <w:rsid w:val="002B2AF4"/>
    <w:rsid w:val="002B3CD7"/>
    <w:rsid w:val="002B5C82"/>
    <w:rsid w:val="002B73F3"/>
    <w:rsid w:val="002B7422"/>
    <w:rsid w:val="002B79C4"/>
    <w:rsid w:val="002C01EA"/>
    <w:rsid w:val="002C0324"/>
    <w:rsid w:val="002C0C96"/>
    <w:rsid w:val="002C291C"/>
    <w:rsid w:val="002C6632"/>
    <w:rsid w:val="002C6B6A"/>
    <w:rsid w:val="002C7363"/>
    <w:rsid w:val="002D1979"/>
    <w:rsid w:val="002D2BC6"/>
    <w:rsid w:val="002D3825"/>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B40"/>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0B4C"/>
    <w:rsid w:val="0039187C"/>
    <w:rsid w:val="00395802"/>
    <w:rsid w:val="00396451"/>
    <w:rsid w:val="003965ED"/>
    <w:rsid w:val="003A0ACC"/>
    <w:rsid w:val="003A1329"/>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3CD1"/>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2F82"/>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6364"/>
    <w:rsid w:val="00427081"/>
    <w:rsid w:val="00433FAD"/>
    <w:rsid w:val="00435B66"/>
    <w:rsid w:val="004365BE"/>
    <w:rsid w:val="004365BF"/>
    <w:rsid w:val="00440042"/>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015A"/>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5EAF"/>
    <w:rsid w:val="004B6F87"/>
    <w:rsid w:val="004B748E"/>
    <w:rsid w:val="004B74CE"/>
    <w:rsid w:val="004B7A3D"/>
    <w:rsid w:val="004C10F3"/>
    <w:rsid w:val="004C20AC"/>
    <w:rsid w:val="004C3E7C"/>
    <w:rsid w:val="004C4306"/>
    <w:rsid w:val="004C43B4"/>
    <w:rsid w:val="004C456C"/>
    <w:rsid w:val="004C489E"/>
    <w:rsid w:val="004C57A9"/>
    <w:rsid w:val="004D29EE"/>
    <w:rsid w:val="004D316A"/>
    <w:rsid w:val="004D34BF"/>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23BD"/>
    <w:rsid w:val="005D3EFA"/>
    <w:rsid w:val="005D3EFB"/>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1961"/>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21035"/>
    <w:rsid w:val="00621070"/>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4187"/>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6519"/>
    <w:rsid w:val="006E6C97"/>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3E7B"/>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A6546"/>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3557"/>
    <w:rsid w:val="007D3716"/>
    <w:rsid w:val="007D4645"/>
    <w:rsid w:val="007D4E0F"/>
    <w:rsid w:val="007D55DA"/>
    <w:rsid w:val="007D6D8D"/>
    <w:rsid w:val="007D7972"/>
    <w:rsid w:val="007E06C3"/>
    <w:rsid w:val="007E1959"/>
    <w:rsid w:val="007E1BC3"/>
    <w:rsid w:val="007E32FC"/>
    <w:rsid w:val="007E3EBE"/>
    <w:rsid w:val="007E503E"/>
    <w:rsid w:val="007E52F1"/>
    <w:rsid w:val="007E52FF"/>
    <w:rsid w:val="007E646F"/>
    <w:rsid w:val="007E6F05"/>
    <w:rsid w:val="007E7DD4"/>
    <w:rsid w:val="007F065E"/>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78"/>
    <w:rsid w:val="00816BA3"/>
    <w:rsid w:val="0082010D"/>
    <w:rsid w:val="0082047A"/>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3A8F"/>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28C9"/>
    <w:rsid w:val="00883E64"/>
    <w:rsid w:val="0088403D"/>
    <w:rsid w:val="008850E5"/>
    <w:rsid w:val="00885C97"/>
    <w:rsid w:val="00885CDE"/>
    <w:rsid w:val="008946EA"/>
    <w:rsid w:val="008947B5"/>
    <w:rsid w:val="00894D4A"/>
    <w:rsid w:val="00897C9D"/>
    <w:rsid w:val="008A1A10"/>
    <w:rsid w:val="008A20F1"/>
    <w:rsid w:val="008A2A09"/>
    <w:rsid w:val="008A3137"/>
    <w:rsid w:val="008A47B2"/>
    <w:rsid w:val="008A5670"/>
    <w:rsid w:val="008A6B4E"/>
    <w:rsid w:val="008B1D4F"/>
    <w:rsid w:val="008B23BB"/>
    <w:rsid w:val="008B2E64"/>
    <w:rsid w:val="008B2FDE"/>
    <w:rsid w:val="008B4B2E"/>
    <w:rsid w:val="008B4EBC"/>
    <w:rsid w:val="008B5E35"/>
    <w:rsid w:val="008C0259"/>
    <w:rsid w:val="008C0FF3"/>
    <w:rsid w:val="008C297E"/>
    <w:rsid w:val="008C380D"/>
    <w:rsid w:val="008C4030"/>
    <w:rsid w:val="008C508D"/>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427"/>
    <w:rsid w:val="009007FC"/>
    <w:rsid w:val="00900A88"/>
    <w:rsid w:val="0090282D"/>
    <w:rsid w:val="009031EC"/>
    <w:rsid w:val="00903BE5"/>
    <w:rsid w:val="0090457F"/>
    <w:rsid w:val="0090489B"/>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049B"/>
    <w:rsid w:val="00930FEF"/>
    <w:rsid w:val="00931E3D"/>
    <w:rsid w:val="0094005B"/>
    <w:rsid w:val="0094041C"/>
    <w:rsid w:val="00943709"/>
    <w:rsid w:val="00943B62"/>
    <w:rsid w:val="009443A6"/>
    <w:rsid w:val="0094607A"/>
    <w:rsid w:val="00947785"/>
    <w:rsid w:val="009541EB"/>
    <w:rsid w:val="00956CD1"/>
    <w:rsid w:val="00962084"/>
    <w:rsid w:val="009623FA"/>
    <w:rsid w:val="00962A6C"/>
    <w:rsid w:val="00963968"/>
    <w:rsid w:val="00964069"/>
    <w:rsid w:val="00964969"/>
    <w:rsid w:val="00964A87"/>
    <w:rsid w:val="00965794"/>
    <w:rsid w:val="00965870"/>
    <w:rsid w:val="009701DB"/>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1397"/>
    <w:rsid w:val="009C2394"/>
    <w:rsid w:val="009C4221"/>
    <w:rsid w:val="009D0710"/>
    <w:rsid w:val="009D1ED8"/>
    <w:rsid w:val="009D3CFF"/>
    <w:rsid w:val="009D4A0A"/>
    <w:rsid w:val="009D56DE"/>
    <w:rsid w:val="009D6659"/>
    <w:rsid w:val="009D7058"/>
    <w:rsid w:val="009D70CC"/>
    <w:rsid w:val="009E0336"/>
    <w:rsid w:val="009E10EC"/>
    <w:rsid w:val="009E3A9A"/>
    <w:rsid w:val="009E42B9"/>
    <w:rsid w:val="009E5841"/>
    <w:rsid w:val="009F50FA"/>
    <w:rsid w:val="009F7441"/>
    <w:rsid w:val="00A022CF"/>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58B9"/>
    <w:rsid w:val="00A4628E"/>
    <w:rsid w:val="00A51216"/>
    <w:rsid w:val="00A515CF"/>
    <w:rsid w:val="00A51623"/>
    <w:rsid w:val="00A5314A"/>
    <w:rsid w:val="00A53C4F"/>
    <w:rsid w:val="00A55D69"/>
    <w:rsid w:val="00A572C8"/>
    <w:rsid w:val="00A57F60"/>
    <w:rsid w:val="00A608A2"/>
    <w:rsid w:val="00A61A6E"/>
    <w:rsid w:val="00A62646"/>
    <w:rsid w:val="00A65B8D"/>
    <w:rsid w:val="00A67424"/>
    <w:rsid w:val="00A703CE"/>
    <w:rsid w:val="00A70575"/>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5753"/>
    <w:rsid w:val="00A977D1"/>
    <w:rsid w:val="00AA0100"/>
    <w:rsid w:val="00AA0A4A"/>
    <w:rsid w:val="00AA27AB"/>
    <w:rsid w:val="00AA29E9"/>
    <w:rsid w:val="00AA38C5"/>
    <w:rsid w:val="00AA3DF2"/>
    <w:rsid w:val="00AA4675"/>
    <w:rsid w:val="00AA512C"/>
    <w:rsid w:val="00AB00F1"/>
    <w:rsid w:val="00AB0764"/>
    <w:rsid w:val="00AB0B18"/>
    <w:rsid w:val="00AB10A6"/>
    <w:rsid w:val="00AB19C6"/>
    <w:rsid w:val="00AB1E66"/>
    <w:rsid w:val="00AB1E7B"/>
    <w:rsid w:val="00AB4741"/>
    <w:rsid w:val="00AB628D"/>
    <w:rsid w:val="00AB641E"/>
    <w:rsid w:val="00AB6F46"/>
    <w:rsid w:val="00AC1530"/>
    <w:rsid w:val="00AC1D64"/>
    <w:rsid w:val="00AC2BA3"/>
    <w:rsid w:val="00AC5BE4"/>
    <w:rsid w:val="00AD1E25"/>
    <w:rsid w:val="00AD38ED"/>
    <w:rsid w:val="00AD4282"/>
    <w:rsid w:val="00AD4671"/>
    <w:rsid w:val="00AD77FD"/>
    <w:rsid w:val="00AD7D17"/>
    <w:rsid w:val="00AE1A7A"/>
    <w:rsid w:val="00AE333B"/>
    <w:rsid w:val="00AE4894"/>
    <w:rsid w:val="00AE5AC8"/>
    <w:rsid w:val="00AF107D"/>
    <w:rsid w:val="00AF1ED3"/>
    <w:rsid w:val="00AF30AF"/>
    <w:rsid w:val="00AF3A91"/>
    <w:rsid w:val="00AF5DC0"/>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0BB"/>
    <w:rsid w:val="00B33E66"/>
    <w:rsid w:val="00B34D98"/>
    <w:rsid w:val="00B35442"/>
    <w:rsid w:val="00B35503"/>
    <w:rsid w:val="00B37C1A"/>
    <w:rsid w:val="00B37E5F"/>
    <w:rsid w:val="00B40233"/>
    <w:rsid w:val="00B40664"/>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4F"/>
    <w:rsid w:val="00B83381"/>
    <w:rsid w:val="00B8390D"/>
    <w:rsid w:val="00B860B7"/>
    <w:rsid w:val="00B87E72"/>
    <w:rsid w:val="00B87E94"/>
    <w:rsid w:val="00B90565"/>
    <w:rsid w:val="00B90D57"/>
    <w:rsid w:val="00B90ED9"/>
    <w:rsid w:val="00B91207"/>
    <w:rsid w:val="00B94DC9"/>
    <w:rsid w:val="00B95F1A"/>
    <w:rsid w:val="00BA05BF"/>
    <w:rsid w:val="00BA0DB3"/>
    <w:rsid w:val="00BA0E31"/>
    <w:rsid w:val="00BA1726"/>
    <w:rsid w:val="00BA212A"/>
    <w:rsid w:val="00BA2D8E"/>
    <w:rsid w:val="00BA2FEE"/>
    <w:rsid w:val="00BA34DF"/>
    <w:rsid w:val="00BA42E0"/>
    <w:rsid w:val="00BA6F5F"/>
    <w:rsid w:val="00BB0FB7"/>
    <w:rsid w:val="00BB1D5F"/>
    <w:rsid w:val="00BB1EC2"/>
    <w:rsid w:val="00BB2686"/>
    <w:rsid w:val="00BB38FE"/>
    <w:rsid w:val="00BB4AA5"/>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4E2"/>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0E5B"/>
    <w:rsid w:val="00C725E6"/>
    <w:rsid w:val="00C72D55"/>
    <w:rsid w:val="00C732C5"/>
    <w:rsid w:val="00C734EC"/>
    <w:rsid w:val="00C741BF"/>
    <w:rsid w:val="00C747C2"/>
    <w:rsid w:val="00C80261"/>
    <w:rsid w:val="00C807D6"/>
    <w:rsid w:val="00C80FE1"/>
    <w:rsid w:val="00C8246A"/>
    <w:rsid w:val="00C8282A"/>
    <w:rsid w:val="00C830CA"/>
    <w:rsid w:val="00C83120"/>
    <w:rsid w:val="00C8387E"/>
    <w:rsid w:val="00C83BAB"/>
    <w:rsid w:val="00C84197"/>
    <w:rsid w:val="00C84663"/>
    <w:rsid w:val="00C8562C"/>
    <w:rsid w:val="00C904A0"/>
    <w:rsid w:val="00C9115E"/>
    <w:rsid w:val="00C9167C"/>
    <w:rsid w:val="00C926A1"/>
    <w:rsid w:val="00C9405A"/>
    <w:rsid w:val="00C94220"/>
    <w:rsid w:val="00C94AA0"/>
    <w:rsid w:val="00C95207"/>
    <w:rsid w:val="00C962CF"/>
    <w:rsid w:val="00CA1B76"/>
    <w:rsid w:val="00CA1EBE"/>
    <w:rsid w:val="00CA4E8C"/>
    <w:rsid w:val="00CA5017"/>
    <w:rsid w:val="00CA6573"/>
    <w:rsid w:val="00CA7887"/>
    <w:rsid w:val="00CB27A4"/>
    <w:rsid w:val="00CB621B"/>
    <w:rsid w:val="00CB65EC"/>
    <w:rsid w:val="00CB6E8A"/>
    <w:rsid w:val="00CB7070"/>
    <w:rsid w:val="00CC18F6"/>
    <w:rsid w:val="00CC1919"/>
    <w:rsid w:val="00CC1BEC"/>
    <w:rsid w:val="00CC1DB1"/>
    <w:rsid w:val="00CC7CEF"/>
    <w:rsid w:val="00CD0468"/>
    <w:rsid w:val="00CD1491"/>
    <w:rsid w:val="00CD3C69"/>
    <w:rsid w:val="00CD64DE"/>
    <w:rsid w:val="00CD6EC0"/>
    <w:rsid w:val="00CE2D84"/>
    <w:rsid w:val="00CE4666"/>
    <w:rsid w:val="00CE50AD"/>
    <w:rsid w:val="00CE5195"/>
    <w:rsid w:val="00CE51E4"/>
    <w:rsid w:val="00CE54EC"/>
    <w:rsid w:val="00CF0579"/>
    <w:rsid w:val="00CF10FC"/>
    <w:rsid w:val="00CF1E45"/>
    <w:rsid w:val="00CF34B7"/>
    <w:rsid w:val="00CF5631"/>
    <w:rsid w:val="00CF6971"/>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38EC"/>
    <w:rsid w:val="00D5482F"/>
    <w:rsid w:val="00D564D9"/>
    <w:rsid w:val="00D566F5"/>
    <w:rsid w:val="00D56752"/>
    <w:rsid w:val="00D56F54"/>
    <w:rsid w:val="00D5720A"/>
    <w:rsid w:val="00D62375"/>
    <w:rsid w:val="00D63A6F"/>
    <w:rsid w:val="00D6413B"/>
    <w:rsid w:val="00D65FB7"/>
    <w:rsid w:val="00D70AB8"/>
    <w:rsid w:val="00D7104A"/>
    <w:rsid w:val="00D718E2"/>
    <w:rsid w:val="00D73B5B"/>
    <w:rsid w:val="00D74FDC"/>
    <w:rsid w:val="00D757D3"/>
    <w:rsid w:val="00D77684"/>
    <w:rsid w:val="00D81429"/>
    <w:rsid w:val="00D82506"/>
    <w:rsid w:val="00D831CE"/>
    <w:rsid w:val="00D871A9"/>
    <w:rsid w:val="00D9122C"/>
    <w:rsid w:val="00D9154A"/>
    <w:rsid w:val="00D91AF2"/>
    <w:rsid w:val="00D927CA"/>
    <w:rsid w:val="00D93271"/>
    <w:rsid w:val="00D942A2"/>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64B"/>
    <w:rsid w:val="00DE06FD"/>
    <w:rsid w:val="00DE2129"/>
    <w:rsid w:val="00DE28BF"/>
    <w:rsid w:val="00DE2C51"/>
    <w:rsid w:val="00DE44E9"/>
    <w:rsid w:val="00DE5048"/>
    <w:rsid w:val="00DE6690"/>
    <w:rsid w:val="00DE6B43"/>
    <w:rsid w:val="00DE7637"/>
    <w:rsid w:val="00DF09B8"/>
    <w:rsid w:val="00DF15EE"/>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0E0E"/>
    <w:rsid w:val="00E7154B"/>
    <w:rsid w:val="00E739D7"/>
    <w:rsid w:val="00E74076"/>
    <w:rsid w:val="00E75BB5"/>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97418"/>
    <w:rsid w:val="00EA000B"/>
    <w:rsid w:val="00EA05A9"/>
    <w:rsid w:val="00EA0F7F"/>
    <w:rsid w:val="00EA15C2"/>
    <w:rsid w:val="00EA2C19"/>
    <w:rsid w:val="00EA379C"/>
    <w:rsid w:val="00EA37E1"/>
    <w:rsid w:val="00EA4780"/>
    <w:rsid w:val="00EA4997"/>
    <w:rsid w:val="00EA4DC3"/>
    <w:rsid w:val="00EA4F63"/>
    <w:rsid w:val="00EA5167"/>
    <w:rsid w:val="00EA7123"/>
    <w:rsid w:val="00EA7640"/>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1D68"/>
    <w:rsid w:val="00F82010"/>
    <w:rsid w:val="00F82312"/>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A7749"/>
    <w:rsid w:val="00FB0E2A"/>
    <w:rsid w:val="00FB1E09"/>
    <w:rsid w:val="00FB4039"/>
    <w:rsid w:val="00FB409B"/>
    <w:rsid w:val="00FB4892"/>
    <w:rsid w:val="00FB6C65"/>
    <w:rsid w:val="00FB6DF3"/>
    <w:rsid w:val="00FC0ED3"/>
    <w:rsid w:val="00FC1289"/>
    <w:rsid w:val="00FC15D5"/>
    <w:rsid w:val="00FC3D06"/>
    <w:rsid w:val="00FC479D"/>
    <w:rsid w:val="00FC4D45"/>
    <w:rsid w:val="00FC7940"/>
    <w:rsid w:val="00FD0263"/>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6FA1"/>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8A313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8A3137"/>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1EAD5-B24E-42FB-9D9F-C3F841BAC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9</Pages>
  <Words>3018</Words>
  <Characters>16603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48</cp:revision>
  <cp:lastPrinted>2019-12-07T23:32:00Z</cp:lastPrinted>
  <dcterms:created xsi:type="dcterms:W3CDTF">2019-10-17T18:07:00Z</dcterms:created>
  <dcterms:modified xsi:type="dcterms:W3CDTF">2020-01-15T14:35:00Z</dcterms:modified>
</cp:coreProperties>
</file>