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8CF" w:rsidRDefault="008238CF" w:rsidP="00E456F0">
      <w:pPr>
        <w:spacing w:after="0" w:line="360" w:lineRule="auto"/>
        <w:jc w:val="both"/>
        <w:rPr>
          <w:rFonts w:ascii="Arial" w:hAnsi="Arial" w:cs="Arial"/>
          <w:b/>
          <w:iCs/>
          <w:caps/>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9242C" w:rsidRPr="007604A8" w:rsidTr="000E31ED">
        <w:tc>
          <w:tcPr>
            <w:tcW w:w="2356" w:type="dxa"/>
          </w:tcPr>
          <w:p w:rsidR="0069242C" w:rsidRPr="007604A8" w:rsidRDefault="0069242C" w:rsidP="000E31ED">
            <w:pPr>
              <w:spacing w:after="0" w:line="240" w:lineRule="auto"/>
              <w:rPr>
                <w:rFonts w:ascii="Arial" w:hAnsi="Arial" w:cs="Arial"/>
                <w:b/>
                <w:sz w:val="26"/>
                <w:szCs w:val="26"/>
              </w:rPr>
            </w:pPr>
            <w:r w:rsidRPr="007604A8">
              <w:rPr>
                <w:rFonts w:ascii="Arial" w:hAnsi="Arial" w:cs="Arial"/>
                <w:b/>
                <w:sz w:val="26"/>
                <w:szCs w:val="26"/>
              </w:rPr>
              <w:t xml:space="preserve">      </w:t>
            </w:r>
          </w:p>
        </w:tc>
        <w:tc>
          <w:tcPr>
            <w:tcW w:w="7426" w:type="dxa"/>
          </w:tcPr>
          <w:p w:rsidR="0069242C" w:rsidRPr="007604A8" w:rsidRDefault="0069242C" w:rsidP="000E31ED">
            <w:pPr>
              <w:tabs>
                <w:tab w:val="left" w:pos="3103"/>
              </w:tabs>
              <w:spacing w:after="0" w:line="240" w:lineRule="auto"/>
              <w:ind w:left="2394"/>
              <w:jc w:val="both"/>
              <w:rPr>
                <w:rFonts w:ascii="Arial" w:hAnsi="Arial" w:cs="Arial"/>
                <w:b/>
                <w:i/>
                <w:iCs/>
                <w:caps/>
                <w:sz w:val="26"/>
                <w:szCs w:val="26"/>
              </w:rPr>
            </w:pPr>
            <w:r w:rsidRPr="007604A8">
              <w:rPr>
                <w:rFonts w:ascii="Arial" w:hAnsi="Arial" w:cs="Arial"/>
                <w:b/>
                <w:i/>
                <w:iCs/>
                <w:caps/>
                <w:sz w:val="26"/>
                <w:szCs w:val="26"/>
              </w:rPr>
              <w:t xml:space="preserve">                       </w:t>
            </w:r>
          </w:p>
          <w:p w:rsidR="0069242C" w:rsidRPr="007604A8" w:rsidRDefault="0069242C" w:rsidP="000E31ED">
            <w:pPr>
              <w:tabs>
                <w:tab w:val="left" w:pos="3103"/>
              </w:tabs>
              <w:spacing w:after="0" w:line="240" w:lineRule="auto"/>
              <w:ind w:left="1686" w:right="781"/>
              <w:jc w:val="both"/>
              <w:rPr>
                <w:rFonts w:ascii="Arial" w:hAnsi="Arial" w:cs="Arial"/>
                <w:b/>
                <w:iCs/>
                <w:caps/>
                <w:sz w:val="26"/>
                <w:szCs w:val="26"/>
              </w:rPr>
            </w:pPr>
            <w:r w:rsidRPr="007604A8">
              <w:rPr>
                <w:rFonts w:ascii="Arial" w:hAnsi="Arial" w:cs="Arial"/>
                <w:b/>
                <w:iCs/>
                <w:caps/>
                <w:sz w:val="26"/>
                <w:szCs w:val="26"/>
              </w:rPr>
              <w:t>SALA SUPERIOR DEL TRIBUNAL DE JUSTICIA ADMINISTRATIVA DEL ESTADO DE OAXACA.</w:t>
            </w:r>
          </w:p>
          <w:p w:rsidR="0069242C" w:rsidRPr="007604A8" w:rsidRDefault="0069242C" w:rsidP="000E31ED">
            <w:pPr>
              <w:pStyle w:val="Encabezado"/>
              <w:tabs>
                <w:tab w:val="clear" w:pos="4252"/>
              </w:tabs>
              <w:ind w:left="1686" w:right="781"/>
              <w:jc w:val="both"/>
              <w:rPr>
                <w:rFonts w:ascii="Arial" w:hAnsi="Arial" w:cs="Arial"/>
                <w:b/>
                <w:iCs/>
                <w:caps/>
                <w:sz w:val="26"/>
                <w:szCs w:val="26"/>
                <w:lang w:val="es-PE"/>
              </w:rPr>
            </w:pPr>
            <w:r w:rsidRPr="007604A8">
              <w:rPr>
                <w:rFonts w:ascii="Arial" w:hAnsi="Arial" w:cs="Arial"/>
                <w:b/>
                <w:iCs/>
                <w:caps/>
                <w:sz w:val="26"/>
                <w:szCs w:val="26"/>
                <w:lang w:val="es-PE"/>
              </w:rPr>
              <w:t xml:space="preserve">               </w:t>
            </w:r>
          </w:p>
          <w:p w:rsidR="0069242C" w:rsidRPr="007604A8" w:rsidRDefault="0069242C" w:rsidP="000E31ED">
            <w:pPr>
              <w:pStyle w:val="Encabezado"/>
              <w:tabs>
                <w:tab w:val="clear" w:pos="4252"/>
              </w:tabs>
              <w:ind w:left="1686" w:right="781"/>
              <w:jc w:val="both"/>
              <w:rPr>
                <w:rFonts w:ascii="Arial" w:hAnsi="Arial" w:cs="Arial"/>
                <w:b/>
                <w:iCs/>
                <w:caps/>
                <w:sz w:val="26"/>
                <w:szCs w:val="26"/>
                <w:lang w:val="es-PE"/>
              </w:rPr>
            </w:pPr>
            <w:r w:rsidRPr="007604A8">
              <w:rPr>
                <w:rFonts w:ascii="Arial" w:hAnsi="Arial" w:cs="Arial"/>
                <w:b/>
                <w:iCs/>
                <w:caps/>
                <w:sz w:val="26"/>
                <w:szCs w:val="26"/>
                <w:lang w:val="es-PE"/>
              </w:rPr>
              <w:t xml:space="preserve">RECURSO DE REVISIÓN:   0481/2018 </w:t>
            </w:r>
          </w:p>
          <w:p w:rsidR="0069242C" w:rsidRPr="007604A8" w:rsidRDefault="0069242C" w:rsidP="000E31ED">
            <w:pPr>
              <w:pStyle w:val="Encabezado"/>
              <w:tabs>
                <w:tab w:val="clear" w:pos="4252"/>
              </w:tabs>
              <w:ind w:left="1686" w:right="781"/>
              <w:jc w:val="both"/>
              <w:rPr>
                <w:rFonts w:ascii="Arial" w:hAnsi="Arial" w:cs="Arial"/>
                <w:b/>
                <w:iCs/>
                <w:caps/>
                <w:sz w:val="26"/>
                <w:szCs w:val="26"/>
                <w:lang w:val="es-PE"/>
              </w:rPr>
            </w:pPr>
          </w:p>
          <w:p w:rsidR="0069242C" w:rsidRPr="007604A8" w:rsidRDefault="0069242C" w:rsidP="000E31ED">
            <w:pPr>
              <w:pStyle w:val="Encabezado"/>
              <w:tabs>
                <w:tab w:val="clear" w:pos="4252"/>
              </w:tabs>
              <w:ind w:left="1686" w:right="781"/>
              <w:jc w:val="both"/>
              <w:rPr>
                <w:rFonts w:ascii="Arial" w:hAnsi="Arial" w:cs="Arial"/>
                <w:b/>
                <w:iCs/>
                <w:caps/>
                <w:sz w:val="26"/>
                <w:szCs w:val="26"/>
                <w:lang w:val="es-PE"/>
              </w:rPr>
            </w:pPr>
            <w:r w:rsidRPr="007604A8">
              <w:rPr>
                <w:rFonts w:ascii="Arial" w:hAnsi="Arial" w:cs="Arial"/>
                <w:b/>
                <w:iCs/>
                <w:caps/>
                <w:sz w:val="26"/>
                <w:szCs w:val="26"/>
                <w:lang w:val="es-PE"/>
              </w:rPr>
              <w:t>EXPEDIENTE: 010/2018 DE LA primera SALA UNITARIA DE PRIMERA INSTANCIA</w:t>
            </w:r>
          </w:p>
          <w:p w:rsidR="0069242C" w:rsidRPr="007604A8" w:rsidRDefault="0069242C" w:rsidP="000E31ED">
            <w:pPr>
              <w:pStyle w:val="Encabezado"/>
              <w:tabs>
                <w:tab w:val="clear" w:pos="4252"/>
              </w:tabs>
              <w:ind w:left="1686" w:right="781"/>
              <w:jc w:val="both"/>
              <w:rPr>
                <w:rFonts w:ascii="Arial" w:hAnsi="Arial" w:cs="Arial"/>
                <w:b/>
                <w:iCs/>
                <w:caps/>
                <w:sz w:val="26"/>
                <w:szCs w:val="26"/>
                <w:lang w:val="es-PE"/>
              </w:rPr>
            </w:pPr>
            <w:r w:rsidRPr="007604A8">
              <w:rPr>
                <w:rFonts w:ascii="Arial" w:hAnsi="Arial" w:cs="Arial"/>
                <w:b/>
                <w:iCs/>
                <w:caps/>
                <w:sz w:val="26"/>
                <w:szCs w:val="26"/>
                <w:lang w:val="es-PE"/>
              </w:rPr>
              <w:t xml:space="preserve">       </w:t>
            </w:r>
          </w:p>
          <w:p w:rsidR="0069242C" w:rsidRPr="007604A8" w:rsidRDefault="0069242C" w:rsidP="0069242C">
            <w:pPr>
              <w:pStyle w:val="Encabezado"/>
              <w:tabs>
                <w:tab w:val="clear" w:pos="4252"/>
              </w:tabs>
              <w:ind w:left="1686" w:right="781"/>
              <w:jc w:val="both"/>
              <w:rPr>
                <w:rFonts w:ascii="Arial" w:hAnsi="Arial" w:cs="Arial"/>
                <w:b/>
                <w:iCs/>
                <w:caps/>
                <w:sz w:val="26"/>
                <w:szCs w:val="26"/>
                <w:lang w:val="es-PE"/>
              </w:rPr>
            </w:pPr>
            <w:r w:rsidRPr="007604A8">
              <w:rPr>
                <w:rFonts w:ascii="Arial" w:hAnsi="Arial" w:cs="Arial"/>
                <w:b/>
                <w:iCs/>
                <w:caps/>
                <w:sz w:val="26"/>
                <w:szCs w:val="26"/>
                <w:lang w:val="es-PE"/>
              </w:rPr>
              <w:t>ponente magistrado: HUGO VILLEGAS AQUINO</w:t>
            </w:r>
          </w:p>
        </w:tc>
      </w:tr>
      <w:tr w:rsidR="0069242C" w:rsidRPr="007604A8" w:rsidTr="000E31ED">
        <w:tc>
          <w:tcPr>
            <w:tcW w:w="2356" w:type="dxa"/>
          </w:tcPr>
          <w:p w:rsidR="0069242C" w:rsidRPr="007604A8" w:rsidRDefault="0069242C" w:rsidP="000E31ED">
            <w:pPr>
              <w:spacing w:after="0" w:line="240" w:lineRule="auto"/>
              <w:rPr>
                <w:rFonts w:ascii="Arial" w:hAnsi="Arial" w:cs="Arial"/>
                <w:b/>
                <w:sz w:val="26"/>
                <w:szCs w:val="26"/>
              </w:rPr>
            </w:pPr>
          </w:p>
        </w:tc>
        <w:tc>
          <w:tcPr>
            <w:tcW w:w="7426" w:type="dxa"/>
          </w:tcPr>
          <w:p w:rsidR="0069242C" w:rsidRPr="007604A8" w:rsidRDefault="0069242C" w:rsidP="000E31ED">
            <w:pPr>
              <w:tabs>
                <w:tab w:val="left" w:pos="3103"/>
              </w:tabs>
              <w:spacing w:after="0" w:line="240" w:lineRule="auto"/>
              <w:ind w:left="2678" w:hanging="2961"/>
              <w:jc w:val="both"/>
              <w:rPr>
                <w:rFonts w:ascii="Arial" w:hAnsi="Arial" w:cs="Arial"/>
                <w:b/>
                <w:iCs/>
                <w:caps/>
                <w:sz w:val="26"/>
                <w:szCs w:val="26"/>
              </w:rPr>
            </w:pPr>
            <w:r w:rsidRPr="007604A8">
              <w:rPr>
                <w:rFonts w:ascii="Arial" w:hAnsi="Arial" w:cs="Arial"/>
                <w:b/>
                <w:i/>
                <w:iCs/>
                <w:caps/>
                <w:sz w:val="26"/>
                <w:szCs w:val="26"/>
              </w:rPr>
              <w:t xml:space="preserve">                                          </w:t>
            </w:r>
          </w:p>
        </w:tc>
      </w:tr>
      <w:tr w:rsidR="0069242C" w:rsidRPr="007604A8" w:rsidTr="000E31ED">
        <w:tc>
          <w:tcPr>
            <w:tcW w:w="2356" w:type="dxa"/>
          </w:tcPr>
          <w:p w:rsidR="0069242C" w:rsidRPr="007604A8" w:rsidRDefault="0069242C" w:rsidP="000E31ED">
            <w:pPr>
              <w:spacing w:after="0" w:line="240" w:lineRule="auto"/>
              <w:rPr>
                <w:rFonts w:ascii="Arial" w:hAnsi="Arial" w:cs="Arial"/>
                <w:b/>
                <w:sz w:val="26"/>
                <w:szCs w:val="26"/>
              </w:rPr>
            </w:pPr>
          </w:p>
        </w:tc>
        <w:tc>
          <w:tcPr>
            <w:tcW w:w="7426" w:type="dxa"/>
          </w:tcPr>
          <w:p w:rsidR="0069242C" w:rsidRPr="007604A8" w:rsidRDefault="0069242C" w:rsidP="000E31ED">
            <w:pPr>
              <w:tabs>
                <w:tab w:val="left" w:pos="3103"/>
              </w:tabs>
              <w:spacing w:after="0" w:line="240" w:lineRule="auto"/>
              <w:ind w:left="2961" w:hanging="2961"/>
              <w:jc w:val="both"/>
              <w:rPr>
                <w:rFonts w:ascii="Arial" w:hAnsi="Arial" w:cs="Arial"/>
                <w:b/>
                <w:i/>
                <w:iCs/>
                <w:caps/>
                <w:sz w:val="26"/>
                <w:szCs w:val="26"/>
              </w:rPr>
            </w:pPr>
          </w:p>
        </w:tc>
      </w:tr>
    </w:tbl>
    <w:p w:rsidR="0069242C" w:rsidRPr="007604A8" w:rsidRDefault="0069242C" w:rsidP="0069242C">
      <w:pPr>
        <w:spacing w:after="0" w:line="360" w:lineRule="auto"/>
        <w:jc w:val="both"/>
        <w:rPr>
          <w:rFonts w:ascii="Arial" w:hAnsi="Arial" w:cs="Arial"/>
          <w:b/>
          <w:sz w:val="26"/>
          <w:szCs w:val="26"/>
        </w:rPr>
      </w:pPr>
      <w:r>
        <w:rPr>
          <w:rFonts w:ascii="Arial" w:hAnsi="Arial" w:cs="Arial"/>
          <w:b/>
          <w:sz w:val="26"/>
          <w:szCs w:val="26"/>
        </w:rPr>
        <w:t>OAXACA DE JUÁREZ, OAXACA,</w:t>
      </w:r>
      <w:r w:rsidRPr="007604A8">
        <w:rPr>
          <w:rFonts w:ascii="Arial" w:hAnsi="Arial" w:cs="Arial"/>
          <w:b/>
          <w:sz w:val="26"/>
          <w:szCs w:val="26"/>
        </w:rPr>
        <w:t xml:space="preserve"> DIECISÉIS DE MAYO DE DOS MIL DIECINUEVE.  </w:t>
      </w:r>
    </w:p>
    <w:p w:rsidR="0069242C" w:rsidRPr="007604A8" w:rsidRDefault="0069242C" w:rsidP="0069242C">
      <w:pPr>
        <w:spacing w:after="0" w:line="360" w:lineRule="auto"/>
        <w:ind w:firstLine="708"/>
        <w:jc w:val="both"/>
        <w:rPr>
          <w:rFonts w:ascii="Arial" w:hAnsi="Arial" w:cs="Arial"/>
          <w:sz w:val="26"/>
          <w:szCs w:val="26"/>
        </w:rPr>
      </w:pPr>
      <w:r w:rsidRPr="007604A8">
        <w:rPr>
          <w:rFonts w:ascii="Arial" w:hAnsi="Arial" w:cs="Arial"/>
          <w:sz w:val="26"/>
          <w:szCs w:val="26"/>
        </w:rPr>
        <w:t xml:space="preserve">Por recibido el Cuaderno de Revisión </w:t>
      </w:r>
      <w:r w:rsidRPr="007604A8">
        <w:rPr>
          <w:rFonts w:ascii="Arial" w:hAnsi="Arial" w:cs="Arial"/>
          <w:b/>
          <w:sz w:val="26"/>
          <w:szCs w:val="26"/>
        </w:rPr>
        <w:t>0481/2018</w:t>
      </w:r>
      <w:r w:rsidRPr="007604A8">
        <w:rPr>
          <w:rFonts w:ascii="Arial" w:hAnsi="Arial" w:cs="Arial"/>
          <w:sz w:val="26"/>
          <w:szCs w:val="26"/>
        </w:rPr>
        <w:t xml:space="preserve">, que remite la Secretaría General de Acuerdos, con motivo del recurso de revisión interpuesto por </w:t>
      </w:r>
      <w:r w:rsidR="000577EA">
        <w:rPr>
          <w:rFonts w:ascii="Arial" w:hAnsi="Arial" w:cs="Arial"/>
          <w:b/>
          <w:sz w:val="26"/>
          <w:szCs w:val="26"/>
        </w:rPr>
        <w:t>**********</w:t>
      </w:r>
      <w:r w:rsidRPr="007604A8">
        <w:rPr>
          <w:rFonts w:ascii="Arial" w:hAnsi="Arial" w:cs="Arial"/>
          <w:sz w:val="26"/>
          <w:szCs w:val="26"/>
        </w:rPr>
        <w:t>actoras del juicio natural, en contra de la sentencia de 10 diez de octubre de 2018 dos mil dieciocho dictada por la Primera Sala Unitaria de Primera Instancia del Tribunal de Justicia Administrativa del Estado de Oaxaca en el juicio</w:t>
      </w:r>
      <w:r w:rsidRPr="007604A8">
        <w:rPr>
          <w:rFonts w:ascii="Arial" w:hAnsi="Arial" w:cs="Arial"/>
          <w:b/>
          <w:sz w:val="26"/>
          <w:szCs w:val="26"/>
        </w:rPr>
        <w:t xml:space="preserve"> 010/2018 </w:t>
      </w:r>
      <w:r w:rsidRPr="007604A8">
        <w:rPr>
          <w:rFonts w:ascii="Arial" w:hAnsi="Arial" w:cs="Arial"/>
          <w:sz w:val="26"/>
          <w:szCs w:val="26"/>
        </w:rPr>
        <w:t xml:space="preserve">de su índice, relativo al juicio de nulidad promovido por las </w:t>
      </w:r>
      <w:r w:rsidRPr="007604A8">
        <w:rPr>
          <w:rFonts w:ascii="Arial" w:hAnsi="Arial" w:cs="Arial"/>
          <w:b/>
          <w:sz w:val="26"/>
          <w:szCs w:val="26"/>
        </w:rPr>
        <w:t xml:space="preserve">RECURRENTES </w:t>
      </w:r>
      <w:r w:rsidRPr="007604A8">
        <w:rPr>
          <w:rFonts w:ascii="Arial" w:hAnsi="Arial" w:cs="Arial"/>
          <w:sz w:val="26"/>
          <w:szCs w:val="26"/>
        </w:rPr>
        <w:t xml:space="preserve">en contra del </w:t>
      </w:r>
      <w:r w:rsidRPr="007604A8">
        <w:rPr>
          <w:rFonts w:ascii="Arial" w:hAnsi="Arial" w:cs="Arial"/>
          <w:b/>
          <w:sz w:val="26"/>
          <w:szCs w:val="26"/>
        </w:rPr>
        <w:t xml:space="preserve">POLICÍA VIAL Y TESORERO MUNICIPAL ambos del MUNICIPIO DE SANTA LUCÍA DEL CAMINO, OAXACA; </w:t>
      </w:r>
      <w:r w:rsidRPr="007604A8">
        <w:rPr>
          <w:rFonts w:ascii="Arial" w:hAnsi="Arial" w:cs="Arial"/>
          <w:sz w:val="26"/>
          <w:szCs w:val="26"/>
        </w:rPr>
        <w:t>por lo que con fundamento en los artículos 237 y 238 de la Ley de Procedimientos y Justicia Administrativa para el Estado de Oaxaca, se admite.  En consecuencia, se procede a dictar resolución en los siguientes términos:</w:t>
      </w:r>
    </w:p>
    <w:p w:rsidR="0069242C" w:rsidRPr="007604A8" w:rsidRDefault="0069242C" w:rsidP="0069242C">
      <w:pPr>
        <w:spacing w:after="0" w:line="360" w:lineRule="auto"/>
        <w:jc w:val="center"/>
        <w:rPr>
          <w:rFonts w:ascii="Arial" w:hAnsi="Arial" w:cs="Arial"/>
          <w:b/>
          <w:bCs/>
          <w:sz w:val="26"/>
          <w:szCs w:val="26"/>
        </w:rPr>
      </w:pPr>
    </w:p>
    <w:p w:rsidR="0069242C" w:rsidRPr="007604A8" w:rsidRDefault="0069242C" w:rsidP="0069242C">
      <w:pPr>
        <w:spacing w:after="0" w:line="360" w:lineRule="auto"/>
        <w:jc w:val="center"/>
        <w:rPr>
          <w:rFonts w:ascii="Arial" w:hAnsi="Arial" w:cs="Arial"/>
          <w:b/>
          <w:bCs/>
          <w:sz w:val="26"/>
          <w:szCs w:val="26"/>
        </w:rPr>
      </w:pPr>
      <w:r w:rsidRPr="007604A8">
        <w:rPr>
          <w:rFonts w:ascii="Arial" w:hAnsi="Arial" w:cs="Arial"/>
          <w:b/>
          <w:bCs/>
          <w:sz w:val="26"/>
          <w:szCs w:val="26"/>
        </w:rPr>
        <w:t>R E S U L T A N D O</w:t>
      </w:r>
    </w:p>
    <w:p w:rsidR="0069242C" w:rsidRPr="007604A8" w:rsidRDefault="0069242C" w:rsidP="00781E07">
      <w:pPr>
        <w:spacing w:after="0" w:line="360" w:lineRule="auto"/>
        <w:ind w:firstLine="709"/>
        <w:jc w:val="both"/>
        <w:rPr>
          <w:rFonts w:ascii="Arial" w:hAnsi="Arial" w:cs="Arial"/>
          <w:sz w:val="26"/>
          <w:szCs w:val="26"/>
        </w:rPr>
      </w:pPr>
      <w:r w:rsidRPr="007604A8">
        <w:rPr>
          <w:rFonts w:ascii="Arial" w:hAnsi="Arial" w:cs="Arial"/>
          <w:b/>
          <w:bCs/>
          <w:sz w:val="26"/>
          <w:szCs w:val="26"/>
        </w:rPr>
        <w:t xml:space="preserve">PRIMERO. </w:t>
      </w:r>
      <w:r w:rsidRPr="007604A8">
        <w:rPr>
          <w:rFonts w:ascii="Arial" w:hAnsi="Arial" w:cs="Arial"/>
          <w:sz w:val="26"/>
          <w:szCs w:val="26"/>
        </w:rPr>
        <w:t>Inconforme con la sentencia de 10 diez de oc</w:t>
      </w:r>
      <w:r w:rsidR="00781E07">
        <w:rPr>
          <w:rFonts w:ascii="Arial" w:hAnsi="Arial" w:cs="Arial"/>
          <w:sz w:val="26"/>
          <w:szCs w:val="26"/>
        </w:rPr>
        <w:t xml:space="preserve">tubre de 2018 dos mil dieciocho, </w:t>
      </w:r>
      <w:r w:rsidRPr="007604A8">
        <w:rPr>
          <w:rFonts w:ascii="Arial" w:hAnsi="Arial" w:cs="Arial"/>
          <w:sz w:val="26"/>
          <w:szCs w:val="26"/>
        </w:rPr>
        <w:t xml:space="preserve">dictada por la Primera Sala Unitaria de Primera Instancia del Tribunal de Justicia Administrativa del Estado de Oaxaca, </w:t>
      </w:r>
      <w:r w:rsidR="000577EA">
        <w:rPr>
          <w:rFonts w:ascii="Arial" w:hAnsi="Arial" w:cs="Arial"/>
          <w:b/>
          <w:sz w:val="26"/>
          <w:szCs w:val="26"/>
        </w:rPr>
        <w:t>**********</w:t>
      </w:r>
      <w:r w:rsidRPr="007604A8">
        <w:rPr>
          <w:rFonts w:ascii="Arial" w:hAnsi="Arial" w:cs="Arial"/>
          <w:sz w:val="26"/>
          <w:szCs w:val="26"/>
        </w:rPr>
        <w:t xml:space="preserve">actoras del juicio natural, interponen en su contra recurso de revisión. </w:t>
      </w:r>
    </w:p>
    <w:p w:rsidR="0069242C" w:rsidRPr="007604A8" w:rsidRDefault="0069242C" w:rsidP="0069242C">
      <w:pPr>
        <w:spacing w:after="0" w:line="360" w:lineRule="auto"/>
        <w:jc w:val="both"/>
        <w:rPr>
          <w:rFonts w:ascii="Arial" w:eastAsia="Calibri" w:hAnsi="Arial" w:cs="Arial"/>
          <w:sz w:val="26"/>
          <w:szCs w:val="26"/>
        </w:rPr>
      </w:pPr>
      <w:r w:rsidRPr="007604A8">
        <w:rPr>
          <w:rFonts w:ascii="Arial" w:hAnsi="Arial" w:cs="Arial"/>
          <w:b/>
          <w:bCs/>
          <w:sz w:val="26"/>
          <w:szCs w:val="26"/>
        </w:rPr>
        <w:tab/>
        <w:t xml:space="preserve">SEGUNDO.- </w:t>
      </w:r>
      <w:r w:rsidRPr="007604A8">
        <w:rPr>
          <w:rFonts w:ascii="Arial" w:hAnsi="Arial" w:cs="Arial"/>
          <w:bCs/>
          <w:sz w:val="26"/>
          <w:szCs w:val="26"/>
        </w:rPr>
        <w:t>Los puntos resolutivos de la sentencia sujeta a revisión son como siguen:</w:t>
      </w:r>
    </w:p>
    <w:p w:rsidR="0069242C" w:rsidRPr="00A066BA" w:rsidRDefault="0069242C" w:rsidP="0069242C">
      <w:pPr>
        <w:spacing w:after="0" w:line="360" w:lineRule="auto"/>
        <w:ind w:left="851" w:right="1062"/>
        <w:jc w:val="both"/>
        <w:rPr>
          <w:rFonts w:ascii="Arial" w:eastAsia="Calibri" w:hAnsi="Arial" w:cs="Arial"/>
          <w:i/>
          <w:sz w:val="24"/>
          <w:szCs w:val="24"/>
        </w:rPr>
      </w:pPr>
      <w:r w:rsidRPr="00A066BA">
        <w:rPr>
          <w:rFonts w:ascii="Arial" w:eastAsia="Calibri" w:hAnsi="Arial" w:cs="Arial"/>
          <w:i/>
          <w:sz w:val="24"/>
          <w:szCs w:val="24"/>
        </w:rPr>
        <w:t>“…</w:t>
      </w:r>
    </w:p>
    <w:p w:rsidR="0069242C" w:rsidRPr="007604A8" w:rsidRDefault="0069242C" w:rsidP="0069242C">
      <w:pPr>
        <w:spacing w:after="0" w:line="360" w:lineRule="auto"/>
        <w:ind w:left="851" w:right="1062"/>
        <w:jc w:val="both"/>
        <w:rPr>
          <w:rFonts w:ascii="Arial" w:eastAsia="Calibri" w:hAnsi="Arial" w:cs="Arial"/>
          <w:i/>
        </w:rPr>
      </w:pPr>
      <w:r w:rsidRPr="007604A8">
        <w:rPr>
          <w:rFonts w:ascii="Arial" w:eastAsia="Calibri" w:hAnsi="Arial" w:cs="Arial"/>
          <w:b/>
          <w:i/>
        </w:rPr>
        <w:t xml:space="preserve">PRIMERO.- </w:t>
      </w:r>
      <w:r w:rsidRPr="007604A8">
        <w:rPr>
          <w:rFonts w:ascii="Arial" w:eastAsia="Calibri" w:hAnsi="Arial" w:cs="Arial"/>
          <w:i/>
        </w:rPr>
        <w:t xml:space="preserve">Esta Primera Sala Unitaria del Tribunal de Justicia Administrativa del Estado de Oaxaca, es competente para </w:t>
      </w:r>
      <w:r w:rsidRPr="007604A8">
        <w:rPr>
          <w:rFonts w:ascii="Arial" w:eastAsia="Calibri" w:hAnsi="Arial" w:cs="Arial"/>
          <w:i/>
        </w:rPr>
        <w:lastRenderedPageBreak/>
        <w:t>conocer y resolver del presente juicio.</w:t>
      </w:r>
      <w:r w:rsidRPr="007604A8">
        <w:rPr>
          <w:rFonts w:ascii="Arial" w:eastAsia="Calibri" w:hAnsi="Arial" w:cs="Arial"/>
          <w:b/>
          <w:i/>
        </w:rPr>
        <w:t xml:space="preserve"> SEGUNDO.</w:t>
      </w:r>
      <w:r w:rsidRPr="007604A8">
        <w:rPr>
          <w:rFonts w:ascii="Arial" w:eastAsia="Calibri" w:hAnsi="Arial" w:cs="Arial"/>
          <w:i/>
        </w:rPr>
        <w:t xml:space="preserve">- La personalidad de las partes quedó acreditada en autos. </w:t>
      </w:r>
    </w:p>
    <w:p w:rsidR="0069242C" w:rsidRPr="007604A8" w:rsidRDefault="0069242C" w:rsidP="0069242C">
      <w:pPr>
        <w:spacing w:after="0" w:line="360" w:lineRule="auto"/>
        <w:ind w:left="851" w:right="1062"/>
        <w:jc w:val="both"/>
        <w:rPr>
          <w:rFonts w:ascii="Arial" w:eastAsia="Calibri" w:hAnsi="Arial" w:cs="Arial"/>
          <w:i/>
        </w:rPr>
      </w:pPr>
      <w:r w:rsidRPr="007604A8">
        <w:rPr>
          <w:rFonts w:ascii="Arial" w:eastAsia="Calibri" w:hAnsi="Arial" w:cs="Arial"/>
          <w:b/>
          <w:i/>
        </w:rPr>
        <w:t>TERCERO.</w:t>
      </w:r>
      <w:r w:rsidRPr="007604A8">
        <w:rPr>
          <w:rFonts w:ascii="Arial" w:eastAsia="Calibri" w:hAnsi="Arial" w:cs="Arial"/>
          <w:i/>
        </w:rPr>
        <w:t xml:space="preserve">- Este Juzgador advierte que, en el presente juicio no se configura alguna causal de improcedencia o sobreseimiento, por lo tanto, </w:t>
      </w:r>
      <w:r w:rsidRPr="007604A8">
        <w:rPr>
          <w:rFonts w:ascii="Arial" w:eastAsia="Calibri" w:hAnsi="Arial" w:cs="Arial"/>
          <w:b/>
          <w:i/>
        </w:rPr>
        <w:t>NO SE SOBRESEE. CUARTO.</w:t>
      </w:r>
      <w:r w:rsidRPr="007604A8">
        <w:rPr>
          <w:rFonts w:ascii="Arial" w:eastAsia="Calibri" w:hAnsi="Arial" w:cs="Arial"/>
          <w:i/>
        </w:rPr>
        <w:t xml:space="preserve">- </w:t>
      </w:r>
      <w:r w:rsidRPr="007604A8">
        <w:rPr>
          <w:rFonts w:ascii="Arial" w:eastAsia="Calibri" w:hAnsi="Arial" w:cs="Arial"/>
          <w:b/>
          <w:i/>
        </w:rPr>
        <w:t xml:space="preserve">SE RECONOCE LA LEGALIDAD Y VALIDEZ </w:t>
      </w:r>
      <w:r w:rsidRPr="007604A8">
        <w:rPr>
          <w:rFonts w:ascii="Arial" w:eastAsia="Calibri" w:hAnsi="Arial" w:cs="Arial"/>
          <w:i/>
        </w:rPr>
        <w:t xml:space="preserve">del acta de infracción con número de folio </w:t>
      </w:r>
      <w:r w:rsidRPr="007604A8">
        <w:rPr>
          <w:rFonts w:ascii="Arial" w:eastAsia="Calibri" w:hAnsi="Arial" w:cs="Arial"/>
          <w:b/>
          <w:i/>
        </w:rPr>
        <w:t xml:space="preserve">1293 de fecha veinticinco de noviembre de dos mil diecisiete, </w:t>
      </w:r>
      <w:r w:rsidRPr="007604A8">
        <w:rPr>
          <w:rFonts w:ascii="Arial" w:eastAsia="Calibri" w:hAnsi="Arial" w:cs="Arial"/>
          <w:i/>
        </w:rPr>
        <w:t xml:space="preserve">a nombre de </w:t>
      </w:r>
      <w:r w:rsidR="000577EA">
        <w:rPr>
          <w:rFonts w:ascii="Arial" w:eastAsia="Calibri" w:hAnsi="Arial" w:cs="Arial"/>
          <w:i/>
        </w:rPr>
        <w:t>**********</w:t>
      </w:r>
      <w:r w:rsidRPr="007604A8">
        <w:rPr>
          <w:rFonts w:ascii="Arial" w:eastAsia="Calibri" w:hAnsi="Arial" w:cs="Arial"/>
          <w:i/>
        </w:rPr>
        <w:t xml:space="preserve">, emitida por JOSÉ ANTONIO GÓMEZ GONZÁLEZ </w:t>
      </w:r>
      <w:r w:rsidRPr="007604A8">
        <w:rPr>
          <w:rFonts w:ascii="Arial" w:eastAsia="Calibri" w:hAnsi="Arial" w:cs="Arial"/>
          <w:b/>
          <w:i/>
        </w:rPr>
        <w:t xml:space="preserve">ADSCRITO A LA COMISARÍA DE VIALIDAD Y TRANSPORTE DE LA COMISIÓN DE SEGURIDAD PÚBLICA, VIALIDAD TRANSPORTE Y PROTECCIÓN CIVIL DEL MUNICIPIO DE SANTA LUCÍA CENTRO, OAXACA, </w:t>
      </w:r>
      <w:r w:rsidRPr="007604A8">
        <w:rPr>
          <w:rFonts w:ascii="Arial" w:eastAsia="Calibri" w:hAnsi="Arial" w:cs="Arial"/>
          <w:i/>
        </w:rPr>
        <w:t xml:space="preserve">como lo accesorio sigue a la suerte de los principal en el sentido de reconocer la validez y legalidad del acta de infracción impugnada, en consecuencia, resulta </w:t>
      </w:r>
      <w:r w:rsidRPr="007604A8">
        <w:rPr>
          <w:rFonts w:ascii="Arial" w:eastAsia="Calibri" w:hAnsi="Arial" w:cs="Arial"/>
          <w:i/>
          <w:u w:val="single"/>
        </w:rPr>
        <w:t>improcedente</w:t>
      </w:r>
      <w:r w:rsidRPr="007604A8">
        <w:rPr>
          <w:rFonts w:ascii="Arial" w:eastAsia="Calibri" w:hAnsi="Arial" w:cs="Arial"/>
          <w:i/>
        </w:rPr>
        <w:t xml:space="preserve"> la pretensión de </w:t>
      </w:r>
      <w:r w:rsidR="007A4B0F">
        <w:rPr>
          <w:rFonts w:ascii="Arial" w:eastAsia="Calibri" w:hAnsi="Arial" w:cs="Arial"/>
          <w:i/>
        </w:rPr>
        <w:t>**********</w:t>
      </w:r>
      <w:r w:rsidRPr="007604A8">
        <w:rPr>
          <w:rFonts w:ascii="Arial" w:eastAsia="Calibri" w:hAnsi="Arial" w:cs="Arial"/>
          <w:i/>
        </w:rPr>
        <w:t xml:space="preserve">consistente en, la devolución de la cantidad que amparan los recibos oficiales con números de folios </w:t>
      </w:r>
      <w:r w:rsidRPr="007604A8">
        <w:rPr>
          <w:rFonts w:ascii="Arial" w:eastAsia="Calibri" w:hAnsi="Arial" w:cs="Arial"/>
          <w:b/>
          <w:i/>
        </w:rPr>
        <w:t xml:space="preserve">11312 </w:t>
      </w:r>
      <w:r w:rsidRPr="007604A8">
        <w:rPr>
          <w:rFonts w:ascii="Arial" w:eastAsia="Calibri" w:hAnsi="Arial" w:cs="Arial"/>
          <w:i/>
        </w:rPr>
        <w:t xml:space="preserve">por concepto de multa por alcoholímetro por la cantidad de $3,150.00 (tres mil ciento cincuenta pesos 00/100 m.n.) de fecha veinticuatro de noviembre de dos mil diecisiete, </w:t>
      </w:r>
      <w:r w:rsidRPr="007604A8">
        <w:rPr>
          <w:rFonts w:ascii="Arial" w:eastAsia="Calibri" w:hAnsi="Arial" w:cs="Arial"/>
          <w:b/>
          <w:i/>
        </w:rPr>
        <w:t xml:space="preserve">11413 </w:t>
      </w:r>
      <w:r w:rsidRPr="007604A8">
        <w:rPr>
          <w:rFonts w:ascii="Arial" w:eastAsia="Calibri" w:hAnsi="Arial" w:cs="Arial"/>
          <w:i/>
        </w:rPr>
        <w:t xml:space="preserve">por concepto de liberación de vehículo por conducir en estado de ebriedad por la cantidad de $3,800.00 (tres mil ochocientos pesos 00/100 m.n.) de fecha veinticinco de noviembre de dos mil diecisiete (25/11/2017) ambas pagadas a la Tesorería Municipal del Municipio de Santa Lucía del Camino Centro Oaxaca, así como la devolución del pago efectuado por las demandadas a GRUAS GALE DE OAXACA, ARRASTRES Y MANIOBRAS, mismo que expidió el presupuesto número 3641 de veinticinco de noviembre de dos mil diecisiete (25/100/2017) por la cantidad de $900.00 (novecientos pesos 00/100 moneda nacional) y que fue pagado por concepto de traslado de vehículo marca BMW, tipo 2201  con placas de circulación </w:t>
      </w:r>
      <w:r w:rsidR="007A4B0F">
        <w:rPr>
          <w:rFonts w:ascii="Arial" w:eastAsia="Calibri" w:hAnsi="Arial" w:cs="Arial"/>
          <w:i/>
        </w:rPr>
        <w:t>**********</w:t>
      </w:r>
      <w:r w:rsidRPr="007604A8">
        <w:rPr>
          <w:rFonts w:ascii="Arial" w:eastAsia="Calibri" w:hAnsi="Arial" w:cs="Arial"/>
          <w:i/>
        </w:rPr>
        <w:t xml:space="preserve">, por las razones ya expuestas en el considerando cuarto de esta sentencia. </w:t>
      </w:r>
    </w:p>
    <w:p w:rsidR="0069242C" w:rsidRPr="007604A8" w:rsidRDefault="0069242C" w:rsidP="0069242C">
      <w:pPr>
        <w:spacing w:after="0" w:line="360" w:lineRule="auto"/>
        <w:ind w:left="851" w:right="1062"/>
        <w:jc w:val="both"/>
        <w:rPr>
          <w:rFonts w:ascii="Arial" w:eastAsia="Calibri" w:hAnsi="Arial" w:cs="Arial"/>
          <w:b/>
          <w:i/>
        </w:rPr>
      </w:pPr>
      <w:r w:rsidRPr="007604A8">
        <w:rPr>
          <w:rFonts w:ascii="Arial" w:eastAsia="Calibri" w:hAnsi="Arial" w:cs="Arial"/>
          <w:b/>
          <w:i/>
        </w:rPr>
        <w:t>QUINTO.</w:t>
      </w:r>
      <w:r w:rsidRPr="007604A8">
        <w:rPr>
          <w:rFonts w:ascii="Arial" w:eastAsia="Calibri" w:hAnsi="Arial" w:cs="Arial"/>
          <w:i/>
        </w:rPr>
        <w:t xml:space="preserve">-  Conforme a lo dispuesto en los artículos 172 y 173 de la Ley de Procedimiento y Justicia Administrativa para el Estado de Oaxaca, </w:t>
      </w:r>
      <w:r w:rsidRPr="007604A8">
        <w:rPr>
          <w:rFonts w:ascii="Arial" w:eastAsia="Calibri" w:hAnsi="Arial" w:cs="Arial"/>
          <w:b/>
          <w:i/>
        </w:rPr>
        <w:t xml:space="preserve">NOTIFÍQUESE </w:t>
      </w:r>
      <w:r w:rsidRPr="007604A8">
        <w:rPr>
          <w:rFonts w:ascii="Arial" w:eastAsia="Calibri" w:hAnsi="Arial" w:cs="Arial"/>
          <w:i/>
        </w:rPr>
        <w:t xml:space="preserve">personalmente a la parte actora y por oficio a las autoridades demandadas y </w:t>
      </w:r>
      <w:r w:rsidRPr="007604A8">
        <w:rPr>
          <w:rFonts w:ascii="Arial" w:eastAsia="Calibri" w:hAnsi="Arial" w:cs="Arial"/>
          <w:b/>
          <w:i/>
        </w:rPr>
        <w:t>CÚMPLASE.</w:t>
      </w:r>
    </w:p>
    <w:p w:rsidR="0069242C" w:rsidRPr="007604A8" w:rsidRDefault="0069242C" w:rsidP="0069242C">
      <w:pPr>
        <w:spacing w:after="0" w:line="360" w:lineRule="auto"/>
        <w:ind w:left="851" w:right="1062"/>
        <w:jc w:val="both"/>
        <w:rPr>
          <w:rFonts w:ascii="Arial" w:hAnsi="Arial" w:cs="Arial"/>
          <w:bCs/>
          <w:sz w:val="24"/>
          <w:szCs w:val="24"/>
        </w:rPr>
      </w:pPr>
      <w:r>
        <w:rPr>
          <w:rFonts w:ascii="Arial" w:eastAsia="Calibri" w:hAnsi="Arial" w:cs="Arial"/>
          <w:b/>
          <w:i/>
          <w:sz w:val="24"/>
          <w:szCs w:val="24"/>
        </w:rPr>
        <w:t>…”</w:t>
      </w:r>
    </w:p>
    <w:p w:rsidR="0069242C" w:rsidRPr="007604A8" w:rsidRDefault="0069242C" w:rsidP="0069242C">
      <w:pPr>
        <w:spacing w:after="0" w:line="360" w:lineRule="auto"/>
        <w:jc w:val="center"/>
        <w:rPr>
          <w:rFonts w:ascii="Arial" w:hAnsi="Arial" w:cs="Arial"/>
          <w:b/>
          <w:bCs/>
          <w:sz w:val="26"/>
          <w:szCs w:val="26"/>
        </w:rPr>
      </w:pPr>
      <w:r w:rsidRPr="007604A8">
        <w:rPr>
          <w:rFonts w:ascii="Arial" w:hAnsi="Arial" w:cs="Arial"/>
          <w:b/>
          <w:bCs/>
          <w:sz w:val="26"/>
          <w:szCs w:val="26"/>
        </w:rPr>
        <w:t>C O N S I D E R A N D O</w:t>
      </w:r>
    </w:p>
    <w:p w:rsidR="0069242C" w:rsidRPr="007604A8" w:rsidRDefault="0069242C" w:rsidP="0069242C">
      <w:pPr>
        <w:widowControl w:val="0"/>
        <w:tabs>
          <w:tab w:val="left" w:pos="7938"/>
        </w:tabs>
        <w:spacing w:after="0" w:line="360" w:lineRule="auto"/>
        <w:ind w:right="18" w:firstLine="709"/>
        <w:jc w:val="both"/>
        <w:rPr>
          <w:rFonts w:ascii="Arial" w:hAnsi="Arial" w:cs="Arial"/>
          <w:bCs/>
          <w:iCs/>
          <w:sz w:val="26"/>
          <w:szCs w:val="26"/>
          <w:lang w:eastAsia="es-ES"/>
        </w:rPr>
      </w:pPr>
      <w:r w:rsidRPr="007604A8">
        <w:rPr>
          <w:rFonts w:ascii="Arial" w:hAnsi="Arial" w:cs="Arial"/>
          <w:b/>
          <w:bCs/>
          <w:iCs/>
          <w:sz w:val="26"/>
          <w:szCs w:val="26"/>
        </w:rPr>
        <w:t xml:space="preserve">PRIMERO. </w:t>
      </w:r>
      <w:r w:rsidRPr="007604A8">
        <w:rPr>
          <w:rFonts w:ascii="Arial" w:hAnsi="Arial" w:cs="Arial"/>
          <w:bCs/>
          <w:iCs/>
          <w:sz w:val="26"/>
          <w:szCs w:val="26"/>
        </w:rPr>
        <w:t xml:space="preserve">Esta Sala Superior es competente para conocer del presente asunto, </w:t>
      </w:r>
      <w:r w:rsidRPr="007604A8">
        <w:rPr>
          <w:rFonts w:ascii="Arial" w:hAnsi="Arial" w:cs="Arial"/>
          <w:bCs/>
          <w:iCs/>
          <w:sz w:val="26"/>
          <w:szCs w:val="26"/>
          <w:lang w:eastAsia="es-ES"/>
        </w:rPr>
        <w:t xml:space="preserve">de conformidad con lo dispuesto por los artículos 114 QUÁTER, Párrafo Tercero de la Constitución Política del Estado Libre y Soberano de Oaxaca y  los artículos 1, 118, 119, 120, 123 segundo </w:t>
      </w:r>
      <w:r w:rsidRPr="007604A8">
        <w:rPr>
          <w:rFonts w:ascii="Arial" w:hAnsi="Arial" w:cs="Arial"/>
          <w:bCs/>
          <w:iCs/>
          <w:sz w:val="26"/>
          <w:szCs w:val="26"/>
          <w:lang w:eastAsia="es-ES"/>
        </w:rPr>
        <w:lastRenderedPageBreak/>
        <w:t>párrafo, 125, 130 fracción I, 131, 231, 236 fracción VII y 238 de la Ley de Procedimientos y Justicia Administrativa para el Estado de Oaxaca,  dado que se trata de una sentencia de 10 diez de octubre de 2018 dos mil dieciocho</w:t>
      </w:r>
      <w:r w:rsidR="00D73E98">
        <w:rPr>
          <w:rFonts w:ascii="Arial" w:hAnsi="Arial" w:cs="Arial"/>
          <w:bCs/>
          <w:iCs/>
          <w:sz w:val="26"/>
          <w:szCs w:val="26"/>
          <w:lang w:eastAsia="es-ES"/>
        </w:rPr>
        <w:t>,</w:t>
      </w:r>
      <w:r w:rsidRPr="007604A8">
        <w:rPr>
          <w:rFonts w:ascii="Arial" w:hAnsi="Arial" w:cs="Arial"/>
          <w:bCs/>
          <w:iCs/>
          <w:sz w:val="26"/>
          <w:szCs w:val="26"/>
          <w:lang w:eastAsia="es-ES"/>
        </w:rPr>
        <w:t xml:space="preserve"> dictada por la Primera Sala de Primera Instancia dentro del juicio </w:t>
      </w:r>
      <w:r w:rsidRPr="007604A8">
        <w:rPr>
          <w:rFonts w:ascii="Arial" w:hAnsi="Arial" w:cs="Arial"/>
          <w:b/>
          <w:bCs/>
          <w:iCs/>
          <w:sz w:val="26"/>
          <w:szCs w:val="26"/>
          <w:lang w:eastAsia="es-ES"/>
        </w:rPr>
        <w:t xml:space="preserve">0010/2018 </w:t>
      </w:r>
      <w:r w:rsidRPr="007604A8">
        <w:rPr>
          <w:rFonts w:ascii="Arial" w:hAnsi="Arial" w:cs="Arial"/>
          <w:bCs/>
          <w:iCs/>
          <w:sz w:val="26"/>
          <w:szCs w:val="26"/>
          <w:lang w:eastAsia="es-ES"/>
        </w:rPr>
        <w:t xml:space="preserve">de su índice. </w:t>
      </w:r>
    </w:p>
    <w:p w:rsidR="0069242C" w:rsidRPr="007604A8" w:rsidRDefault="0069242C" w:rsidP="0069242C">
      <w:pPr>
        <w:widowControl w:val="0"/>
        <w:tabs>
          <w:tab w:val="left" w:pos="7938"/>
        </w:tabs>
        <w:spacing w:after="0" w:line="360" w:lineRule="auto"/>
        <w:ind w:right="18" w:firstLine="709"/>
        <w:jc w:val="both"/>
        <w:rPr>
          <w:rFonts w:ascii="Arial" w:hAnsi="Arial" w:cs="Arial"/>
          <w:sz w:val="26"/>
          <w:szCs w:val="26"/>
          <w:lang w:eastAsia="es-ES"/>
        </w:rPr>
      </w:pPr>
    </w:p>
    <w:p w:rsidR="0069242C" w:rsidRPr="007604A8" w:rsidRDefault="0069242C" w:rsidP="0069242C">
      <w:pPr>
        <w:widowControl w:val="0"/>
        <w:tabs>
          <w:tab w:val="left" w:pos="7938"/>
        </w:tabs>
        <w:spacing w:after="0" w:line="360" w:lineRule="auto"/>
        <w:ind w:right="18" w:firstLine="709"/>
        <w:jc w:val="both"/>
        <w:rPr>
          <w:rFonts w:ascii="Arial" w:hAnsi="Arial" w:cs="Arial"/>
          <w:sz w:val="26"/>
          <w:szCs w:val="26"/>
        </w:rPr>
      </w:pPr>
      <w:r w:rsidRPr="007604A8">
        <w:rPr>
          <w:rFonts w:ascii="Arial" w:hAnsi="Arial" w:cs="Arial"/>
          <w:b/>
          <w:bCs/>
          <w:sz w:val="26"/>
          <w:szCs w:val="26"/>
        </w:rPr>
        <w:t>SEGUNDO.</w:t>
      </w:r>
      <w:r w:rsidRPr="007604A8">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7604A8">
        <w:rPr>
          <w:rFonts w:ascii="Arial" w:hAnsi="Arial" w:cs="Arial"/>
          <w:sz w:val="26"/>
          <w:szCs w:val="26"/>
        </w:rPr>
        <w:t>.</w:t>
      </w:r>
    </w:p>
    <w:p w:rsidR="0069242C" w:rsidRPr="007604A8" w:rsidRDefault="0069242C" w:rsidP="0069242C">
      <w:pPr>
        <w:widowControl w:val="0"/>
        <w:tabs>
          <w:tab w:val="left" w:pos="7938"/>
        </w:tabs>
        <w:spacing w:after="0" w:line="360" w:lineRule="auto"/>
        <w:ind w:right="18" w:firstLine="709"/>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
          <w:bCs/>
          <w:sz w:val="26"/>
          <w:szCs w:val="26"/>
        </w:rPr>
        <w:t xml:space="preserve">TERCERO. </w:t>
      </w:r>
      <w:r w:rsidRPr="007604A8">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69242C" w:rsidRPr="007604A8" w:rsidRDefault="0069242C" w:rsidP="0069242C">
      <w:pPr>
        <w:spacing w:after="0" w:line="360" w:lineRule="auto"/>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
          <w:bCs/>
          <w:sz w:val="26"/>
          <w:szCs w:val="26"/>
        </w:rPr>
        <w:t>CUARTO.-</w:t>
      </w:r>
      <w:r w:rsidRPr="007604A8">
        <w:rPr>
          <w:rFonts w:ascii="Arial" w:hAnsi="Arial" w:cs="Arial"/>
          <w:bCs/>
          <w:sz w:val="26"/>
          <w:szCs w:val="26"/>
        </w:rPr>
        <w:t xml:space="preserve">Dicen las recurrentes que les agravia la sentencia alzada porque la misma se dictó en contravención de los artículos 1, 14, 16 y 17 de la Constitución Política de los Estados Unidos Mexicanos y el diverso 180 de la Ley de Procedimientos y Justicia Administrativa para el Estado de Oaxaca. </w:t>
      </w:r>
    </w:p>
    <w:p w:rsidR="0069242C" w:rsidRPr="007604A8" w:rsidRDefault="0069242C" w:rsidP="0069242C">
      <w:pPr>
        <w:spacing w:after="0" w:line="360" w:lineRule="auto"/>
        <w:ind w:firstLine="709"/>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Cs/>
          <w:sz w:val="26"/>
          <w:szCs w:val="26"/>
        </w:rPr>
        <w:t xml:space="preserve">Explican lo anterior indicando que en el considerando Cuarto de la sentencia en revisión la primera instancia reconoció la legalidad y validez del acta de infracción impugnada y por tanto decretó improcedente la devolución de las cantidades que pagaron con motivo de tal acto y, que esto es ilegal porque esta decisión está basada en un juicio que se substanció incumpliéndose las formalidades esenciales del procedimiento y que ello las coloca en un estado de indefensión y que desde luego trascendió al sentido de la sentencia. </w:t>
      </w:r>
    </w:p>
    <w:p w:rsidR="0069242C" w:rsidRPr="007604A8" w:rsidRDefault="0069242C" w:rsidP="0069242C">
      <w:pPr>
        <w:spacing w:after="0" w:line="360" w:lineRule="auto"/>
        <w:ind w:firstLine="709"/>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Cs/>
          <w:sz w:val="26"/>
          <w:szCs w:val="26"/>
        </w:rPr>
        <w:t xml:space="preserve">Aducen la violación al procedimiento porque indican que en su escrito de demanda solicitó que se les permitiera ampliar la misma en el momento procesal oportuno debido a que no conocían del acta de infracción impugnada y que por ello estaban en un estado de zozobra e incertidumbre debido a que pagaron un total de $7,850.00 (siete mil ochocientos cincuenta pesos 00/100 moneda nacional) por concepto de la infracción de tránsito por una multa de alcoholímetro, liberación, traslado y encierro de su vehículo y, que en ningún momento tuvieron conocimiento de la citada acta de infracción de tránsito. Que por ello, con su demanda exhibieron el escrito de 19 diecinueve de diciembre de 2017 dos mil diecisiete con el que solicitaron al Juez Calificador del Municipio de Santa Lucía del Camino, Oaxaca para que les entregara el original del acta de infracción de tránsito que originó los pagos efectuados a través de los recibos de folios 11312 y 11413 de 25 veinticinco de noviembre de 2017 dos mil diecisiete. </w:t>
      </w:r>
    </w:p>
    <w:p w:rsidR="0069242C" w:rsidRPr="007604A8" w:rsidRDefault="0069242C" w:rsidP="0069242C">
      <w:pPr>
        <w:spacing w:after="0" w:line="360" w:lineRule="auto"/>
        <w:ind w:firstLine="709"/>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Cs/>
          <w:sz w:val="26"/>
          <w:szCs w:val="26"/>
        </w:rPr>
        <w:t xml:space="preserve">Añaden que, ante tal situación, la sala de origen mediante auto de 22 veintidós de enero de 2018 dos mil dieciocho, previo a la admisión de su demanda, requirió a la enjuiciada a fin de que proporcionara el nombre del Policía Vial que emitió el acta de infracción impugnada y la copia certificada de la citada acta. Que posteriormente a ello, por auto de 2 dos de mayo de 2018 dos mil dieciocho se tuvo a la enjuiciada cumpliendo el requerimiento formulado y procedió a admitir a trámite su demanda. Agregan que por proveído de 21 veintiuno de junio de 2018 dos mil dieciocho la sala de origen procedió a acordar los escritos de contestación de demanda de las enjuiciadas y las tuvo, por contestando en tiempo y forma y en consecuencia señaló la fecha y hora para la celebración de la audiencia final (transcribe el acuerdo), misma que se llevó a cabo el 3 tres de octubre de 2018 dos mil dieciocho y posteriormente se emitió la sentencia de 10 diez de octubre del año próximo pasado. </w:t>
      </w:r>
    </w:p>
    <w:p w:rsidR="0069242C" w:rsidRPr="007604A8" w:rsidRDefault="0069242C" w:rsidP="0069242C">
      <w:pPr>
        <w:spacing w:after="0" w:line="360" w:lineRule="auto"/>
        <w:ind w:firstLine="709"/>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Cs/>
          <w:sz w:val="26"/>
          <w:szCs w:val="26"/>
        </w:rPr>
        <w:t xml:space="preserve">Con base en estos argumentos, sostienen que se transgrede el dispositivo 14 de la Constitución Política de los Estados Unidos Mexicanos (transcriben una parte) y señalan que la garantía de audiencia prevé que deben permitirse a los particulares que desplieguen sus defensas antes que las autoridades modifiquen en </w:t>
      </w:r>
      <w:r w:rsidRPr="007604A8">
        <w:rPr>
          <w:rFonts w:ascii="Arial" w:hAnsi="Arial" w:cs="Arial"/>
          <w:bCs/>
          <w:sz w:val="26"/>
          <w:szCs w:val="26"/>
        </w:rPr>
        <w:lastRenderedPageBreak/>
        <w:t xml:space="preserve">forma definitiva su esfera jurídica. Que en este sentido, se desprende la violación a las formalidades esenciales del procedimiento, porque no se les concedió su petición de ampliar su demanda en el momento procesal oportuno. </w:t>
      </w:r>
    </w:p>
    <w:p w:rsidR="0069242C" w:rsidRPr="007604A8" w:rsidRDefault="0069242C" w:rsidP="0069242C">
      <w:pPr>
        <w:spacing w:after="0" w:line="360" w:lineRule="auto"/>
        <w:ind w:firstLine="709"/>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Cs/>
          <w:sz w:val="26"/>
          <w:szCs w:val="26"/>
        </w:rPr>
        <w:t xml:space="preserve">También alegan violación al artículo 180 de la Ley de Procedimientos y Justicia Administrativa para el Estado de Oaxaca (lo transcriben) y repiten la violación a las formalidades esenciales del procedimiento indicando que la litis no se integró debidamente. Dicen que con base en este artículo debe otorgarse la ampliación de demanda cuando las autoridades introducen cuestiones que no hubiesen sido conocidas por el actor al instar la demanda con la finalidad que pueda controvertir los argumentos o probanzas que la demandada introduce, ya que de otro modo no estaría en condiciones de ejercer su defensa respecto de dichos actos o probanzas. </w:t>
      </w:r>
    </w:p>
    <w:p w:rsidR="0069242C" w:rsidRPr="007604A8" w:rsidRDefault="0069242C" w:rsidP="0069242C">
      <w:pPr>
        <w:spacing w:after="0" w:line="360" w:lineRule="auto"/>
        <w:ind w:firstLine="709"/>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Cs/>
          <w:sz w:val="26"/>
          <w:szCs w:val="26"/>
        </w:rPr>
        <w:t xml:space="preserve">Finalmente, dice que con su demanda expresó que desconocía el contenido del acta de infracción que impugna y que por ello, exhibió el acuse de recibo por el cual solicitó a las demandadas que le dieran a conocer dicha acta, la cual fue aportada al juicio; que idénticamente la demandada introdujo un certificado médico con folio 002 de 25 veinticinco de noviembre de 2017 dos mil diecisiete en el que se estableció que </w:t>
      </w:r>
      <w:r w:rsidR="000577EA">
        <w:rPr>
          <w:rFonts w:ascii="Arial" w:hAnsi="Arial" w:cs="Arial"/>
          <w:bCs/>
          <w:sz w:val="26"/>
          <w:szCs w:val="26"/>
        </w:rPr>
        <w:t>**********</w:t>
      </w:r>
      <w:r w:rsidRPr="007604A8">
        <w:rPr>
          <w:rFonts w:ascii="Arial" w:hAnsi="Arial" w:cs="Arial"/>
          <w:bCs/>
          <w:sz w:val="26"/>
          <w:szCs w:val="26"/>
        </w:rPr>
        <w:t xml:space="preserve"> tenía un estado de intoxicación etílica en primer grado de ebriedad y que por tanto no estaba apta para conducir vehículos de motor, un registro de pertenencias personales, inventario de objetos, inventario de vehículo con folio 3034, oficio 4994/2017 de 24 veinticuatro de noviembre de 2017 dos mil diecisiete en el que se comunica un arresto, el oficio 4995/2017, oficio 5004/2017 por el que se solicita la devolución del vehículo, informe del licenciado Máximo Alonso Valerio Comisario de Vialidad Municipal, resultado de examen practicado, parte informativo 0741/2017 y una constancia de lectura de derechos al detenido, documentos todos los que dicen, no los conocía al presentar su demanda; de ahí que se actualiza la violación al procedimiento que alegan, debido a que no se les concedió su derecho a ampliar la demanda. </w:t>
      </w:r>
    </w:p>
    <w:p w:rsidR="0069242C" w:rsidRDefault="0069242C" w:rsidP="0069242C">
      <w:pPr>
        <w:spacing w:after="0" w:line="360" w:lineRule="auto"/>
        <w:ind w:firstLine="709"/>
        <w:jc w:val="both"/>
        <w:rPr>
          <w:rFonts w:ascii="Arial" w:hAnsi="Arial" w:cs="Arial"/>
          <w:bCs/>
          <w:sz w:val="24"/>
          <w:szCs w:val="24"/>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Cs/>
          <w:sz w:val="26"/>
          <w:szCs w:val="26"/>
        </w:rPr>
        <w:t xml:space="preserve">Invocan al efecto de estas alegaciones los criterios: “DEMANDA DE NULIDAD. SU AMPLIACIÓN CONSTITUYE UN DERECHO PARA </w:t>
      </w:r>
      <w:r w:rsidRPr="007604A8">
        <w:rPr>
          <w:rFonts w:ascii="Arial" w:hAnsi="Arial" w:cs="Arial"/>
          <w:bCs/>
          <w:sz w:val="26"/>
          <w:szCs w:val="26"/>
        </w:rPr>
        <w:lastRenderedPageBreak/>
        <w:t>EL ACTOR Y UNA OBLIGACIÓN PARA LA SALA FISCAL DE RESPETAR EL PLAZO DE 20 DÍAS ESTABLECIDO EN EL ARTÍCULO 17 DE LA LEY FEDERAL DE PROCEDIMIENTO CONTENCIOSO ADMINISTRATIVO PARA HACERLO” y “DEMANDA EN EL JUICIO CONTENCIOSO ADMINISTRATIVO. AL CONSTITUIR EL DERECHO A SU AMPLIACIÓN UNA FORMALIDAD ESENCIAL DEL PROCEDIMIENTO, LAS SALAS DEL TRIBUNAL FEDERAL DE JUSTICIA FISCAL Y ADMINISTRATIVA ESTÁN OBLIGADAS A PERMITIR AL ACTOR EJERCER DICHA PRERROGATIVA”.</w:t>
      </w:r>
    </w:p>
    <w:p w:rsidR="0069242C" w:rsidRPr="007604A8" w:rsidRDefault="0069242C" w:rsidP="0069242C">
      <w:pPr>
        <w:spacing w:after="0" w:line="360" w:lineRule="auto"/>
        <w:ind w:firstLine="709"/>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
          <w:bCs/>
          <w:sz w:val="26"/>
          <w:szCs w:val="26"/>
        </w:rPr>
        <w:t xml:space="preserve">Ahora bien, </w:t>
      </w:r>
      <w:r w:rsidRPr="007604A8">
        <w:rPr>
          <w:rFonts w:ascii="Arial" w:hAnsi="Arial" w:cs="Arial"/>
          <w:bCs/>
          <w:sz w:val="26"/>
          <w:szCs w:val="26"/>
        </w:rPr>
        <w:t>del análisis a las constancias remitidas para la solución del presente asunto que tienen pleno valor probatorio en términos del artículo 203 fracción I de la Ley de Procedimientos y Justicia Administrativa para el Estado de Oaxaca por tratarse de actuaciones judiciales se tiene lo siguiente:</w:t>
      </w:r>
    </w:p>
    <w:p w:rsidR="0069242C" w:rsidRPr="007604A8" w:rsidRDefault="0069242C" w:rsidP="0069242C">
      <w:pPr>
        <w:spacing w:after="0" w:line="360" w:lineRule="auto"/>
        <w:ind w:firstLine="709"/>
        <w:jc w:val="both"/>
        <w:rPr>
          <w:rFonts w:ascii="Arial" w:hAnsi="Arial" w:cs="Arial"/>
          <w:bCs/>
          <w:sz w:val="26"/>
          <w:szCs w:val="26"/>
        </w:rPr>
      </w:pPr>
    </w:p>
    <w:p w:rsidR="0069242C" w:rsidRPr="00297235" w:rsidRDefault="0069242C" w:rsidP="0069242C">
      <w:pPr>
        <w:pStyle w:val="Prrafodelista"/>
        <w:numPr>
          <w:ilvl w:val="0"/>
          <w:numId w:val="6"/>
        </w:numPr>
        <w:spacing w:after="0" w:line="360" w:lineRule="auto"/>
        <w:jc w:val="both"/>
        <w:rPr>
          <w:rFonts w:ascii="Arial" w:hAnsi="Arial" w:cs="Arial"/>
          <w:b/>
          <w:bCs/>
          <w:sz w:val="24"/>
          <w:szCs w:val="24"/>
        </w:rPr>
      </w:pPr>
      <w:r>
        <w:rPr>
          <w:rFonts w:ascii="Arial" w:hAnsi="Arial" w:cs="Arial"/>
          <w:bCs/>
          <w:sz w:val="24"/>
          <w:szCs w:val="24"/>
        </w:rPr>
        <w:t xml:space="preserve">Escrito de demanda, presentado en a Oficialía de Partes Común el 22 veintidós de enero de 2018 dos mil dieciocho, en el que en apartado denominado PRETENSIÓN QUE SE DEDUCE a inciso b) aparece el siguiente texto: </w:t>
      </w:r>
      <w:r>
        <w:rPr>
          <w:rFonts w:ascii="Arial" w:hAnsi="Arial" w:cs="Arial"/>
          <w:bCs/>
          <w:i/>
          <w:sz w:val="24"/>
          <w:szCs w:val="24"/>
        </w:rPr>
        <w:t>“b)</w:t>
      </w:r>
      <w:r>
        <w:rPr>
          <w:rFonts w:ascii="Arial" w:hAnsi="Arial" w:cs="Arial"/>
          <w:b/>
          <w:bCs/>
          <w:i/>
          <w:sz w:val="24"/>
          <w:szCs w:val="24"/>
          <w:u w:val="single"/>
        </w:rPr>
        <w:t xml:space="preserve">Se me permita ampliar mi escrito de demanda </w:t>
      </w:r>
      <w:r>
        <w:rPr>
          <w:rFonts w:ascii="Arial" w:hAnsi="Arial" w:cs="Arial"/>
          <w:bCs/>
          <w:i/>
          <w:sz w:val="24"/>
          <w:szCs w:val="24"/>
        </w:rPr>
        <w:t xml:space="preserve">al momento de que el Tesorero Municipal de Santa Lucía del Camino, Oaxaca y exhiba la copia de la citada infracción, ya que es el momento procesal que voy a tener conocimiento de dicho acto, toda vez que hasta el día de hoy me encuentro en un total estado de incertidumbre y zozobra, al haber tenido que pagar un total de $7,850.00 por concepto de infracción de tránsito municipal, multa de alcoholímetro, liberación de vehículo y por el traslado y encierro de GRUAS GALE, además de que dicho acto no se encuentra debidamente fundado y motivado.- Por lo que resulta procedente que se me dé la oportunidad de ampliar mi demanda, ya que tengo el derecho constitucional de ser oído y vencido en juicio y saber los motivos por los que se me están imponiendo las multas por conceptos de infracciones de tránsito municipal; lo anterior con fundamento en el artículo 14 y 16 Constitucional.” </w:t>
      </w:r>
      <w:r>
        <w:rPr>
          <w:rFonts w:ascii="Arial" w:hAnsi="Arial" w:cs="Arial"/>
          <w:bCs/>
          <w:sz w:val="24"/>
          <w:szCs w:val="24"/>
        </w:rPr>
        <w:t>(folio 4 sumario);</w:t>
      </w:r>
    </w:p>
    <w:p w:rsidR="0069242C" w:rsidRPr="00EB74B5" w:rsidRDefault="0069242C" w:rsidP="0069242C">
      <w:pPr>
        <w:pStyle w:val="Prrafodelista"/>
        <w:numPr>
          <w:ilvl w:val="0"/>
          <w:numId w:val="6"/>
        </w:numPr>
        <w:spacing w:after="0" w:line="360" w:lineRule="auto"/>
        <w:jc w:val="both"/>
        <w:rPr>
          <w:rFonts w:ascii="Arial" w:hAnsi="Arial" w:cs="Arial"/>
          <w:b/>
          <w:bCs/>
          <w:sz w:val="24"/>
          <w:szCs w:val="24"/>
        </w:rPr>
      </w:pPr>
      <w:r>
        <w:rPr>
          <w:rFonts w:ascii="Arial" w:hAnsi="Arial" w:cs="Arial"/>
          <w:bCs/>
          <w:sz w:val="24"/>
          <w:szCs w:val="24"/>
        </w:rPr>
        <w:t xml:space="preserve">Escrito de contestación de demanda del Presidente Constitucional de Santa Lucía del Camino, Oaxaca presentado en la Oficialía de Partes Común de este Tribunal el 20 veinte de junio de 2018 dos mil dieciocho, con el que acompañó las siguientes documentales: </w:t>
      </w:r>
      <w:r>
        <w:rPr>
          <w:rFonts w:ascii="Arial" w:hAnsi="Arial" w:cs="Arial"/>
          <w:b/>
          <w:bCs/>
          <w:sz w:val="24"/>
          <w:szCs w:val="24"/>
        </w:rPr>
        <w:t xml:space="preserve">1. </w:t>
      </w:r>
      <w:r>
        <w:rPr>
          <w:rFonts w:ascii="Arial" w:hAnsi="Arial" w:cs="Arial"/>
          <w:bCs/>
          <w:sz w:val="24"/>
          <w:szCs w:val="24"/>
        </w:rPr>
        <w:t xml:space="preserve">Oficio MSLC/JC/00560/2017 expedido por el Comisario de </w:t>
      </w:r>
      <w:r>
        <w:rPr>
          <w:rFonts w:ascii="Arial" w:hAnsi="Arial" w:cs="Arial"/>
          <w:bCs/>
          <w:sz w:val="24"/>
          <w:szCs w:val="24"/>
        </w:rPr>
        <w:lastRenderedPageBreak/>
        <w:t xml:space="preserve">Vialidad y Movilidad Municipal de Santa Lucía del Camino, Oaxaca;  </w:t>
      </w:r>
      <w:r>
        <w:rPr>
          <w:rFonts w:ascii="Arial" w:hAnsi="Arial" w:cs="Arial"/>
          <w:b/>
          <w:bCs/>
          <w:sz w:val="24"/>
          <w:szCs w:val="24"/>
        </w:rPr>
        <w:t xml:space="preserve">2. </w:t>
      </w:r>
      <w:r>
        <w:rPr>
          <w:rFonts w:ascii="Arial" w:hAnsi="Arial" w:cs="Arial"/>
          <w:bCs/>
          <w:sz w:val="24"/>
          <w:szCs w:val="24"/>
        </w:rPr>
        <w:t xml:space="preserve">Parte Informativo 0743/SLC/CVM/2017 de 25 veinticinco de noviembre de 2017 dos mil diecisiete signado por el Comisario de Vialidad Municipal de Santa Lucía del Camino, Oaxaca; </w:t>
      </w:r>
      <w:r>
        <w:rPr>
          <w:rFonts w:ascii="Arial" w:hAnsi="Arial" w:cs="Arial"/>
          <w:b/>
          <w:bCs/>
          <w:sz w:val="24"/>
          <w:szCs w:val="24"/>
        </w:rPr>
        <w:t xml:space="preserve">3. </w:t>
      </w:r>
      <w:r>
        <w:rPr>
          <w:rFonts w:ascii="Arial" w:hAnsi="Arial" w:cs="Arial"/>
          <w:bCs/>
          <w:sz w:val="24"/>
          <w:szCs w:val="24"/>
        </w:rPr>
        <w:t xml:space="preserve">Parte Informativo 0741/2017 de 25 veinticinco de noviembre de 2017 dos mil diecisiete signado por el Policía Vial de Santa Lucía del Camino, Oaxaca José Antonio Jiménez González; </w:t>
      </w:r>
      <w:r>
        <w:rPr>
          <w:rFonts w:ascii="Arial" w:hAnsi="Arial" w:cs="Arial"/>
          <w:b/>
          <w:bCs/>
          <w:sz w:val="24"/>
          <w:szCs w:val="24"/>
        </w:rPr>
        <w:t xml:space="preserve">4. </w:t>
      </w:r>
      <w:r>
        <w:rPr>
          <w:rFonts w:ascii="Arial" w:hAnsi="Arial" w:cs="Arial"/>
          <w:bCs/>
          <w:sz w:val="24"/>
          <w:szCs w:val="24"/>
        </w:rPr>
        <w:t xml:space="preserve">Constancia de Lectura de Derechos al Detenido 25 veinticinco de noviembre de 2017 dos mil diecisiete; </w:t>
      </w:r>
      <w:r>
        <w:rPr>
          <w:rFonts w:ascii="Arial" w:hAnsi="Arial" w:cs="Arial"/>
          <w:b/>
          <w:bCs/>
          <w:sz w:val="24"/>
          <w:szCs w:val="24"/>
        </w:rPr>
        <w:t xml:space="preserve">5. </w:t>
      </w:r>
      <w:r>
        <w:rPr>
          <w:rFonts w:ascii="Arial" w:hAnsi="Arial" w:cs="Arial"/>
          <w:bCs/>
          <w:sz w:val="24"/>
          <w:szCs w:val="24"/>
        </w:rPr>
        <w:t xml:space="preserve">Acta de infracción de tránsito de folio 1293 de 25 veinticinco de noviembre de 2017 dos mil diecisiete; </w:t>
      </w:r>
      <w:r>
        <w:rPr>
          <w:rFonts w:ascii="Arial" w:hAnsi="Arial" w:cs="Arial"/>
          <w:b/>
          <w:bCs/>
          <w:sz w:val="24"/>
          <w:szCs w:val="24"/>
        </w:rPr>
        <w:t xml:space="preserve">6. </w:t>
      </w:r>
      <w:r>
        <w:rPr>
          <w:rFonts w:ascii="Arial" w:hAnsi="Arial" w:cs="Arial"/>
          <w:bCs/>
          <w:sz w:val="24"/>
          <w:szCs w:val="24"/>
        </w:rPr>
        <w:t xml:space="preserve">Certificado de folio 002 de 25 veinticinco de noviembre de 2017 dos mil diecisiete signado por el Doctor </w:t>
      </w:r>
      <w:r w:rsidR="007A4B0F">
        <w:rPr>
          <w:rFonts w:ascii="Arial" w:hAnsi="Arial" w:cs="Arial"/>
          <w:bCs/>
          <w:sz w:val="24"/>
          <w:szCs w:val="24"/>
        </w:rPr>
        <w:t>**********</w:t>
      </w:r>
      <w:r>
        <w:rPr>
          <w:rFonts w:ascii="Arial" w:hAnsi="Arial" w:cs="Arial"/>
          <w:bCs/>
          <w:sz w:val="24"/>
          <w:szCs w:val="24"/>
        </w:rPr>
        <w:t xml:space="preserve">; </w:t>
      </w:r>
      <w:r>
        <w:rPr>
          <w:rFonts w:ascii="Arial" w:hAnsi="Arial" w:cs="Arial"/>
          <w:b/>
          <w:bCs/>
          <w:sz w:val="24"/>
          <w:szCs w:val="24"/>
        </w:rPr>
        <w:t xml:space="preserve">7. </w:t>
      </w:r>
      <w:r>
        <w:rPr>
          <w:rFonts w:ascii="Arial" w:hAnsi="Arial" w:cs="Arial"/>
          <w:bCs/>
          <w:sz w:val="24"/>
          <w:szCs w:val="24"/>
        </w:rPr>
        <w:t xml:space="preserve">Documento de folio 718 de 25 veinticinco de noviembre de 2017 dos mil diecisiete; </w:t>
      </w:r>
      <w:r>
        <w:rPr>
          <w:rFonts w:ascii="Arial" w:hAnsi="Arial" w:cs="Arial"/>
          <w:b/>
          <w:bCs/>
          <w:sz w:val="24"/>
          <w:szCs w:val="24"/>
        </w:rPr>
        <w:t xml:space="preserve">8. </w:t>
      </w:r>
      <w:r>
        <w:rPr>
          <w:rFonts w:ascii="Arial" w:hAnsi="Arial" w:cs="Arial"/>
          <w:bCs/>
          <w:sz w:val="24"/>
          <w:szCs w:val="24"/>
        </w:rPr>
        <w:t xml:space="preserve">Registro de pertenencias personales; </w:t>
      </w:r>
      <w:r>
        <w:rPr>
          <w:rFonts w:ascii="Arial" w:hAnsi="Arial" w:cs="Arial"/>
          <w:b/>
          <w:bCs/>
          <w:sz w:val="24"/>
          <w:szCs w:val="24"/>
        </w:rPr>
        <w:t xml:space="preserve">9. </w:t>
      </w:r>
      <w:r>
        <w:rPr>
          <w:rFonts w:ascii="Arial" w:hAnsi="Arial" w:cs="Arial"/>
          <w:bCs/>
          <w:sz w:val="24"/>
          <w:szCs w:val="24"/>
        </w:rPr>
        <w:t xml:space="preserve">Inventario de Objetos de 25 veinticinco de noviembre de 2017 dos mil diecisiete; </w:t>
      </w:r>
      <w:r>
        <w:rPr>
          <w:rFonts w:ascii="Arial" w:hAnsi="Arial" w:cs="Arial"/>
          <w:b/>
          <w:bCs/>
          <w:sz w:val="24"/>
          <w:szCs w:val="24"/>
        </w:rPr>
        <w:t xml:space="preserve">10. </w:t>
      </w:r>
      <w:r>
        <w:rPr>
          <w:rFonts w:ascii="Arial" w:hAnsi="Arial" w:cs="Arial"/>
          <w:bCs/>
          <w:sz w:val="24"/>
          <w:szCs w:val="24"/>
        </w:rPr>
        <w:t xml:space="preserve">Inventario de Vehículo de folio 3034 de 25 veinticinco de noviembre de 2017 dos mil diecisiete; </w:t>
      </w:r>
      <w:r>
        <w:rPr>
          <w:rFonts w:ascii="Arial" w:hAnsi="Arial" w:cs="Arial"/>
          <w:b/>
          <w:bCs/>
          <w:sz w:val="24"/>
          <w:szCs w:val="24"/>
        </w:rPr>
        <w:t xml:space="preserve">11. </w:t>
      </w:r>
      <w:r>
        <w:rPr>
          <w:rFonts w:ascii="Arial" w:hAnsi="Arial" w:cs="Arial"/>
          <w:bCs/>
          <w:sz w:val="24"/>
          <w:szCs w:val="24"/>
        </w:rPr>
        <w:t xml:space="preserve">Oficio 4994/2017 de 24 veinticuatro de noviembre de 2017 dos mil diecisiete signado por el Juez Calificador del Primer Turno de Santa Lucía del Camino, Oaxaca; </w:t>
      </w:r>
      <w:r>
        <w:rPr>
          <w:rFonts w:ascii="Arial" w:hAnsi="Arial" w:cs="Arial"/>
          <w:b/>
          <w:bCs/>
          <w:sz w:val="24"/>
          <w:szCs w:val="24"/>
        </w:rPr>
        <w:t xml:space="preserve">12. </w:t>
      </w:r>
      <w:r>
        <w:rPr>
          <w:rFonts w:ascii="Arial" w:hAnsi="Arial" w:cs="Arial"/>
          <w:bCs/>
          <w:sz w:val="24"/>
          <w:szCs w:val="24"/>
        </w:rPr>
        <w:t xml:space="preserve">Oficio 4995/2017 de 25 veinticinco de noviembre de 2017 dos mil diecisiete signado por el Juez Calificador del Primer Turno de Santa Lucía del Camino, Oaxaca; </w:t>
      </w:r>
      <w:r>
        <w:rPr>
          <w:rFonts w:ascii="Arial" w:hAnsi="Arial" w:cs="Arial"/>
          <w:b/>
          <w:bCs/>
          <w:sz w:val="24"/>
          <w:szCs w:val="24"/>
        </w:rPr>
        <w:t xml:space="preserve">13. </w:t>
      </w:r>
      <w:r>
        <w:rPr>
          <w:rFonts w:ascii="Arial" w:hAnsi="Arial" w:cs="Arial"/>
          <w:bCs/>
          <w:sz w:val="24"/>
          <w:szCs w:val="24"/>
        </w:rPr>
        <w:t xml:space="preserve">Oficio 5004/2017 de 25 veinticinco de noviembre de 2017 del Juez Calificador del Segundo Turno de Santa Lucía del Camino, Oaxaca; y </w:t>
      </w:r>
      <w:r>
        <w:rPr>
          <w:rFonts w:ascii="Arial" w:hAnsi="Arial" w:cs="Arial"/>
          <w:b/>
          <w:bCs/>
          <w:sz w:val="24"/>
          <w:szCs w:val="24"/>
        </w:rPr>
        <w:t xml:space="preserve">14. </w:t>
      </w:r>
      <w:r>
        <w:rPr>
          <w:rFonts w:ascii="Arial" w:hAnsi="Arial" w:cs="Arial"/>
          <w:bCs/>
          <w:sz w:val="24"/>
          <w:szCs w:val="24"/>
        </w:rPr>
        <w:t>Recibo de folio 11413 de 25 veinticinco de noviembre de 2017 dos mil diecisiete expedido por la Tesorería Municipal de Santa Lucía del Camino, Oaxaca; (folios 43 a 60 sumario);</w:t>
      </w:r>
    </w:p>
    <w:p w:rsidR="0069242C" w:rsidRPr="00B3669D" w:rsidRDefault="0069242C" w:rsidP="0069242C">
      <w:pPr>
        <w:pStyle w:val="Prrafodelista"/>
        <w:numPr>
          <w:ilvl w:val="0"/>
          <w:numId w:val="6"/>
        </w:numPr>
        <w:spacing w:after="0" w:line="360" w:lineRule="auto"/>
        <w:jc w:val="both"/>
        <w:rPr>
          <w:rFonts w:ascii="Arial" w:hAnsi="Arial" w:cs="Arial"/>
          <w:b/>
          <w:bCs/>
          <w:sz w:val="24"/>
          <w:szCs w:val="24"/>
        </w:rPr>
      </w:pPr>
      <w:r>
        <w:rPr>
          <w:rFonts w:ascii="Arial" w:hAnsi="Arial" w:cs="Arial"/>
          <w:bCs/>
          <w:sz w:val="24"/>
          <w:szCs w:val="24"/>
        </w:rPr>
        <w:t>Proveído de 21 veintiuno de junio de 2018 dos mil dieciocho dictado por la sala de primera instancia en la que ser proveyó tener a las demandadas contestando en tiempo y forma la demanda entablada en su contra y se señaló fecha y hora para la celebración de la audiencia de ley (folio 161);</w:t>
      </w:r>
    </w:p>
    <w:p w:rsidR="0069242C" w:rsidRPr="00B3669D" w:rsidRDefault="0069242C" w:rsidP="0069242C">
      <w:pPr>
        <w:pStyle w:val="Prrafodelista"/>
        <w:numPr>
          <w:ilvl w:val="0"/>
          <w:numId w:val="6"/>
        </w:numPr>
        <w:spacing w:after="0" w:line="360" w:lineRule="auto"/>
        <w:jc w:val="both"/>
        <w:rPr>
          <w:rFonts w:ascii="Arial" w:hAnsi="Arial" w:cs="Arial"/>
          <w:b/>
          <w:bCs/>
          <w:sz w:val="24"/>
          <w:szCs w:val="24"/>
        </w:rPr>
      </w:pPr>
      <w:r>
        <w:rPr>
          <w:rFonts w:ascii="Arial" w:hAnsi="Arial" w:cs="Arial"/>
          <w:bCs/>
          <w:sz w:val="24"/>
          <w:szCs w:val="24"/>
        </w:rPr>
        <w:t>Audiencia final de 3 tres de octubre de 2018 dos mil dieciocho (folio 165) y;</w:t>
      </w:r>
    </w:p>
    <w:p w:rsidR="0069242C" w:rsidRPr="00B3669D" w:rsidRDefault="0069242C" w:rsidP="0069242C">
      <w:pPr>
        <w:pStyle w:val="Prrafodelista"/>
        <w:numPr>
          <w:ilvl w:val="0"/>
          <w:numId w:val="6"/>
        </w:numPr>
        <w:spacing w:after="0" w:line="360" w:lineRule="auto"/>
        <w:jc w:val="both"/>
        <w:rPr>
          <w:rFonts w:ascii="Arial" w:hAnsi="Arial" w:cs="Arial"/>
          <w:b/>
          <w:bCs/>
          <w:sz w:val="24"/>
          <w:szCs w:val="24"/>
        </w:rPr>
      </w:pPr>
      <w:r>
        <w:rPr>
          <w:rFonts w:ascii="Arial" w:hAnsi="Arial" w:cs="Arial"/>
          <w:bCs/>
          <w:sz w:val="24"/>
          <w:szCs w:val="24"/>
        </w:rPr>
        <w:t>Sentencia de 10 diez de octubre de 2018 dos mil dieciocho (folios 170 a 174 del sumario).</w:t>
      </w:r>
    </w:p>
    <w:p w:rsidR="0069242C" w:rsidRPr="00B3669D" w:rsidRDefault="0069242C" w:rsidP="0069242C">
      <w:pPr>
        <w:spacing w:after="0" w:line="360" w:lineRule="auto"/>
        <w:jc w:val="both"/>
        <w:rPr>
          <w:rFonts w:ascii="Arial" w:hAnsi="Arial" w:cs="Arial"/>
          <w:b/>
          <w:bCs/>
          <w:sz w:val="24"/>
          <w:szCs w:val="24"/>
        </w:rPr>
      </w:pPr>
    </w:p>
    <w:p w:rsidR="0069242C" w:rsidRPr="007604A8" w:rsidRDefault="0069242C" w:rsidP="0069242C">
      <w:pPr>
        <w:spacing w:after="0" w:line="360" w:lineRule="auto"/>
        <w:ind w:firstLine="708"/>
        <w:jc w:val="both"/>
        <w:rPr>
          <w:rFonts w:ascii="Arial" w:hAnsi="Arial" w:cs="Arial"/>
          <w:bCs/>
          <w:sz w:val="26"/>
          <w:szCs w:val="26"/>
        </w:rPr>
      </w:pPr>
      <w:r w:rsidRPr="007604A8">
        <w:rPr>
          <w:rFonts w:ascii="Arial" w:hAnsi="Arial" w:cs="Arial"/>
          <w:b/>
          <w:bCs/>
          <w:sz w:val="26"/>
          <w:szCs w:val="26"/>
        </w:rPr>
        <w:t>Como se ve,</w:t>
      </w:r>
      <w:r w:rsidRPr="007604A8">
        <w:rPr>
          <w:rFonts w:ascii="Arial" w:hAnsi="Arial" w:cs="Arial"/>
          <w:bCs/>
          <w:sz w:val="26"/>
          <w:szCs w:val="26"/>
        </w:rPr>
        <w:t xml:space="preserve"> las hoy disconformes con su escrito de demanda indicaron que desconocían el contenido del acta de infracción de tránsito que impugnan y por ello solicitaron su derecho a ampliar su demanda, debido a que refieren que pagaron la cantidad de $7,850.00 </w:t>
      </w:r>
      <w:r w:rsidRPr="007604A8">
        <w:rPr>
          <w:rFonts w:ascii="Arial" w:hAnsi="Arial" w:cs="Arial"/>
          <w:bCs/>
          <w:sz w:val="26"/>
          <w:szCs w:val="26"/>
        </w:rPr>
        <w:lastRenderedPageBreak/>
        <w:t xml:space="preserve">(siete mil ochocientos cincuenta pesos 00/100 m.n.) por concepto de multas de tránsito, arrastre, traslado y encierro de vehículo </w:t>
      </w:r>
      <w:r w:rsidRPr="007604A8">
        <w:rPr>
          <w:rFonts w:ascii="Arial" w:hAnsi="Arial" w:cs="Arial"/>
          <w:b/>
          <w:bCs/>
          <w:sz w:val="26"/>
          <w:szCs w:val="26"/>
        </w:rPr>
        <w:t xml:space="preserve">pero </w:t>
      </w:r>
      <w:r w:rsidRPr="007604A8">
        <w:rPr>
          <w:rFonts w:ascii="Arial" w:hAnsi="Arial" w:cs="Arial"/>
          <w:bCs/>
          <w:sz w:val="26"/>
          <w:szCs w:val="26"/>
        </w:rPr>
        <w:t xml:space="preserve">que desconocían los motivos por los se les impusieron tales multas. </w:t>
      </w:r>
      <w:r w:rsidRPr="007604A8">
        <w:rPr>
          <w:rFonts w:ascii="Arial" w:hAnsi="Arial" w:cs="Arial"/>
          <w:b/>
          <w:bCs/>
          <w:sz w:val="26"/>
          <w:szCs w:val="26"/>
        </w:rPr>
        <w:t xml:space="preserve">También se tiene, </w:t>
      </w:r>
      <w:r w:rsidRPr="007604A8">
        <w:rPr>
          <w:rFonts w:ascii="Arial" w:hAnsi="Arial" w:cs="Arial"/>
          <w:bCs/>
          <w:sz w:val="26"/>
          <w:szCs w:val="26"/>
        </w:rPr>
        <w:t xml:space="preserve">que en su contestación la demandada introdujo diversas documentales que del análisis íntegro del libelo de demanda se obtiene que no eran conocidas por las actoras del juicio, sobre todo, que se les estaba dando a conocer con la contestación de demanda el acto impugnado (acta de infracción 1293). </w:t>
      </w:r>
    </w:p>
    <w:p w:rsidR="0069242C" w:rsidRPr="007604A8" w:rsidRDefault="0069242C" w:rsidP="0069242C">
      <w:pPr>
        <w:spacing w:after="0" w:line="360" w:lineRule="auto"/>
        <w:ind w:firstLine="708"/>
        <w:jc w:val="both"/>
        <w:rPr>
          <w:rFonts w:ascii="Arial" w:hAnsi="Arial" w:cs="Arial"/>
          <w:bCs/>
          <w:sz w:val="26"/>
          <w:szCs w:val="26"/>
        </w:rPr>
      </w:pPr>
    </w:p>
    <w:p w:rsidR="0069242C" w:rsidRPr="007604A8" w:rsidRDefault="0069242C" w:rsidP="0069242C">
      <w:pPr>
        <w:spacing w:after="0" w:line="360" w:lineRule="auto"/>
        <w:ind w:firstLine="708"/>
        <w:jc w:val="both"/>
        <w:rPr>
          <w:rFonts w:ascii="Arial" w:hAnsi="Arial" w:cs="Arial"/>
          <w:bCs/>
          <w:sz w:val="26"/>
          <w:szCs w:val="26"/>
        </w:rPr>
      </w:pPr>
      <w:r w:rsidRPr="007604A8">
        <w:rPr>
          <w:rFonts w:ascii="Arial" w:hAnsi="Arial" w:cs="Arial"/>
          <w:bCs/>
          <w:sz w:val="26"/>
          <w:szCs w:val="26"/>
        </w:rPr>
        <w:t xml:space="preserve">De los incisos anotados se desprende que la sala de origen al proveer sobre la contestación de demanda se constriñó a tener a las enjuiciadas contestando en tiempo y forma y a tener por admitidas las probanzas que ofrecieron, señalando fecha y hora para la celebración de la audiencia final </w:t>
      </w:r>
      <w:r w:rsidRPr="007604A8">
        <w:rPr>
          <w:rFonts w:ascii="Arial" w:hAnsi="Arial" w:cs="Arial"/>
          <w:b/>
          <w:bCs/>
          <w:sz w:val="26"/>
          <w:szCs w:val="26"/>
        </w:rPr>
        <w:t xml:space="preserve">sin hacer pronunciamiento alguno </w:t>
      </w:r>
      <w:r w:rsidRPr="007604A8">
        <w:rPr>
          <w:rFonts w:ascii="Arial" w:hAnsi="Arial" w:cs="Arial"/>
          <w:bCs/>
          <w:sz w:val="26"/>
          <w:szCs w:val="26"/>
        </w:rPr>
        <w:t xml:space="preserve">respecto a las diversas documentales que fueron exhibidas por las demandadas y que se colige eran desconocidas por las actoras del juicio lo que </w:t>
      </w:r>
      <w:r w:rsidRPr="007604A8">
        <w:rPr>
          <w:rFonts w:ascii="Arial" w:hAnsi="Arial" w:cs="Arial"/>
          <w:b/>
          <w:bCs/>
          <w:sz w:val="26"/>
          <w:szCs w:val="26"/>
        </w:rPr>
        <w:t xml:space="preserve">irroga </w:t>
      </w:r>
      <w:r w:rsidRPr="007604A8">
        <w:rPr>
          <w:rFonts w:ascii="Arial" w:hAnsi="Arial" w:cs="Arial"/>
          <w:bCs/>
          <w:sz w:val="26"/>
          <w:szCs w:val="26"/>
        </w:rPr>
        <w:t xml:space="preserve">el agravio apuntado. </w:t>
      </w:r>
    </w:p>
    <w:p w:rsidR="0069242C" w:rsidRPr="007604A8" w:rsidRDefault="0069242C" w:rsidP="0069242C">
      <w:pPr>
        <w:spacing w:after="0" w:line="360" w:lineRule="auto"/>
        <w:ind w:firstLine="708"/>
        <w:jc w:val="both"/>
        <w:rPr>
          <w:rFonts w:ascii="Arial" w:hAnsi="Arial" w:cs="Arial"/>
          <w:bCs/>
          <w:sz w:val="26"/>
          <w:szCs w:val="26"/>
        </w:rPr>
      </w:pPr>
    </w:p>
    <w:p w:rsidR="0069242C" w:rsidRPr="007604A8" w:rsidRDefault="0069242C" w:rsidP="0069242C">
      <w:pPr>
        <w:spacing w:after="0" w:line="360" w:lineRule="auto"/>
        <w:ind w:firstLine="708"/>
        <w:jc w:val="both"/>
        <w:rPr>
          <w:rFonts w:ascii="Arial" w:hAnsi="Arial" w:cs="Arial"/>
          <w:bCs/>
          <w:sz w:val="26"/>
          <w:szCs w:val="26"/>
        </w:rPr>
      </w:pPr>
      <w:r w:rsidRPr="007604A8">
        <w:rPr>
          <w:rFonts w:ascii="Arial" w:hAnsi="Arial" w:cs="Arial"/>
          <w:bCs/>
          <w:sz w:val="26"/>
          <w:szCs w:val="26"/>
        </w:rPr>
        <w:t xml:space="preserve">Es </w:t>
      </w:r>
      <w:r w:rsidRPr="007604A8">
        <w:rPr>
          <w:rFonts w:ascii="Arial" w:hAnsi="Arial" w:cs="Arial"/>
          <w:b/>
          <w:bCs/>
          <w:sz w:val="26"/>
          <w:szCs w:val="26"/>
        </w:rPr>
        <w:t xml:space="preserve">fundado </w:t>
      </w:r>
      <w:r w:rsidRPr="007604A8">
        <w:rPr>
          <w:rFonts w:ascii="Arial" w:hAnsi="Arial" w:cs="Arial"/>
          <w:bCs/>
          <w:sz w:val="26"/>
          <w:szCs w:val="26"/>
        </w:rPr>
        <w:t xml:space="preserve">el agravio de las recurrentes debido a que desde su libelo de demanda fueron precisas en señalar que desconocían el acto impugnado y por ello solicitaron su derecho a ampliar la demanda y la sala de origen omitió tomar en cuenta que con su contestación las demandadas dieron a conocer el acto impugnado y también aportaron otros elementos que eran desconocidos para las actoras. </w:t>
      </w:r>
    </w:p>
    <w:p w:rsidR="0069242C" w:rsidRPr="007604A8" w:rsidRDefault="0069242C" w:rsidP="0069242C">
      <w:pPr>
        <w:spacing w:after="0" w:line="360" w:lineRule="auto"/>
        <w:ind w:firstLine="708"/>
        <w:jc w:val="both"/>
        <w:rPr>
          <w:rFonts w:ascii="Arial" w:hAnsi="Arial" w:cs="Arial"/>
          <w:bCs/>
          <w:sz w:val="26"/>
          <w:szCs w:val="26"/>
        </w:rPr>
      </w:pPr>
    </w:p>
    <w:p w:rsidR="0069242C" w:rsidRPr="007604A8" w:rsidRDefault="0069242C" w:rsidP="0069242C">
      <w:pPr>
        <w:spacing w:after="0" w:line="360" w:lineRule="auto"/>
        <w:ind w:firstLine="708"/>
        <w:jc w:val="both"/>
        <w:rPr>
          <w:rFonts w:ascii="Arial" w:hAnsi="Arial" w:cs="Arial"/>
          <w:bCs/>
          <w:sz w:val="26"/>
          <w:szCs w:val="26"/>
        </w:rPr>
      </w:pPr>
      <w:r w:rsidRPr="007604A8">
        <w:rPr>
          <w:rFonts w:ascii="Arial" w:hAnsi="Arial" w:cs="Arial"/>
          <w:bCs/>
          <w:sz w:val="26"/>
          <w:szCs w:val="26"/>
        </w:rPr>
        <w:t xml:space="preserve">Ahora el </w:t>
      </w:r>
      <w:r w:rsidR="00D73E98">
        <w:rPr>
          <w:rFonts w:ascii="Arial" w:hAnsi="Arial" w:cs="Arial"/>
          <w:bCs/>
          <w:sz w:val="26"/>
          <w:szCs w:val="26"/>
        </w:rPr>
        <w:t>artículo 180 de</w:t>
      </w:r>
      <w:r w:rsidRPr="007604A8">
        <w:rPr>
          <w:rFonts w:ascii="Arial" w:hAnsi="Arial" w:cs="Arial"/>
          <w:bCs/>
          <w:sz w:val="26"/>
          <w:szCs w:val="26"/>
        </w:rPr>
        <w:t xml:space="preserve"> la Ley de Procedimientos y Justicia Administrativa para el Estado de Oaxaca prevé lo siguiente:</w:t>
      </w:r>
    </w:p>
    <w:p w:rsidR="0069242C" w:rsidRDefault="0069242C" w:rsidP="0069242C">
      <w:pPr>
        <w:spacing w:after="0" w:line="360" w:lineRule="auto"/>
        <w:ind w:firstLine="708"/>
        <w:jc w:val="both"/>
        <w:rPr>
          <w:rFonts w:ascii="Arial" w:hAnsi="Arial" w:cs="Arial"/>
          <w:bCs/>
          <w:sz w:val="24"/>
          <w:szCs w:val="24"/>
        </w:rPr>
      </w:pPr>
    </w:p>
    <w:p w:rsidR="0069242C" w:rsidRPr="00061755" w:rsidRDefault="0069242C" w:rsidP="0069242C">
      <w:pPr>
        <w:spacing w:after="0"/>
        <w:ind w:left="851" w:right="616"/>
        <w:jc w:val="both"/>
        <w:rPr>
          <w:rFonts w:ascii="Arial" w:hAnsi="Arial" w:cs="Arial"/>
          <w:bCs/>
          <w:i/>
        </w:rPr>
      </w:pPr>
      <w:r w:rsidRPr="00061755">
        <w:rPr>
          <w:rFonts w:ascii="Arial" w:hAnsi="Arial" w:cs="Arial"/>
          <w:bCs/>
          <w:i/>
        </w:rPr>
        <w:t>“</w:t>
      </w:r>
      <w:r w:rsidRPr="00061755">
        <w:rPr>
          <w:rFonts w:ascii="Arial" w:hAnsi="Arial" w:cs="Arial"/>
          <w:b/>
          <w:bCs/>
          <w:i/>
        </w:rPr>
        <w:t>Artículo 180.-</w:t>
      </w:r>
      <w:r w:rsidRPr="00061755">
        <w:rPr>
          <w:rFonts w:ascii="Arial" w:hAnsi="Arial" w:cs="Arial"/>
          <w:bCs/>
          <w:i/>
        </w:rPr>
        <w:t xml:space="preserve"> 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p w:rsidR="0069242C" w:rsidRPr="006C39CB" w:rsidRDefault="0069242C" w:rsidP="0069242C">
      <w:pPr>
        <w:pStyle w:val="Prrafodelista"/>
        <w:tabs>
          <w:tab w:val="left" w:pos="6930"/>
        </w:tabs>
        <w:spacing w:after="0" w:line="360" w:lineRule="auto"/>
        <w:ind w:left="1069"/>
        <w:jc w:val="both"/>
        <w:rPr>
          <w:rFonts w:ascii="Arial" w:hAnsi="Arial" w:cs="Arial"/>
          <w:b/>
          <w:bCs/>
          <w:sz w:val="24"/>
          <w:szCs w:val="24"/>
        </w:rPr>
      </w:pPr>
      <w:r>
        <w:rPr>
          <w:rFonts w:ascii="Arial" w:hAnsi="Arial" w:cs="Arial"/>
          <w:b/>
          <w:bCs/>
          <w:sz w:val="24"/>
          <w:szCs w:val="24"/>
        </w:rPr>
        <w:tab/>
      </w: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Cs/>
          <w:sz w:val="26"/>
          <w:szCs w:val="26"/>
        </w:rPr>
        <w:t xml:space="preserve">Conforme a este precepto el actor del juicio podrá ampliar su demanda cuando impugne una resolución negativa ficta o bien cuando </w:t>
      </w:r>
      <w:r w:rsidRPr="007604A8">
        <w:rPr>
          <w:rFonts w:ascii="Arial" w:hAnsi="Arial" w:cs="Arial"/>
          <w:bCs/>
          <w:sz w:val="26"/>
          <w:szCs w:val="26"/>
        </w:rPr>
        <w:lastRenderedPageBreak/>
        <w:t xml:space="preserve">en la contestación de demanda se alegue improcedencia del juicio por consentimiento tácito y el actor haya argumentado ilegalidad en la notificación del acto impugnado. </w:t>
      </w:r>
    </w:p>
    <w:p w:rsidR="0069242C" w:rsidRPr="007604A8" w:rsidRDefault="0069242C" w:rsidP="0069242C">
      <w:pPr>
        <w:spacing w:after="0" w:line="360" w:lineRule="auto"/>
        <w:ind w:firstLine="709"/>
        <w:jc w:val="both"/>
        <w:rPr>
          <w:rFonts w:ascii="Arial" w:hAnsi="Arial" w:cs="Arial"/>
          <w:bCs/>
          <w:sz w:val="26"/>
          <w:szCs w:val="26"/>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Cs/>
          <w:sz w:val="26"/>
          <w:szCs w:val="26"/>
        </w:rPr>
        <w:t xml:space="preserve">Si bien, de acuerdo con dicho precepto jurídico y en contraste con las actuaciones judiciales no se actualiza alguna de las hipótesis ahí anotadas; esta Superioridad advierte que debe privilegiarse el ejercicio de un recurso efectivo y garantizar a las actoras el respeto a su derecho de audiencia que les posibilita a ser oídas y vencidas en juicio. Además, como en el caso en concreto se tiene que la enjuiciada introdujo elementos que no le eran conocidos a las actoras es posible decir que no han tenido la oportunidad de controvertir adecuadamente el acto impugnado y los demás actos que se observa fueron dictados con motivo del mismo, lo que impedirá al juzgador contar con todos los elementos necesarios para el dictado de una sentencia legal y congruente y ocasionará el dictado, como ya aconteció con la sentencia alzada, de una decisión final ilegal. Debe tomarse en consideración a partir de la exigencia constitucional que tienen todas las autoridades, incluso las jurisdiccionales, que se debe privilegiar la aplicación de las normas de la manera más favorable a las personas, por tanto, aun cuando el dispositivo 180 de la Ley de Procedimientos y Justicia Administrativa regula la posibilidad de una ampliación de demanda sólo cuando se impugna una resolución negativa ficta o cuando en la contestación se alegue la improcedencia del juicio y la parte actora haya descrito ilegalidad en la notificación del acto impugnado, atendiendo al espíritu constitucional de otorgar una tutela judicial efectiva y asegurar la aplicación más favorable de las normas para las personas, deben abandonarse la interpretación rigurosa y obstaculizadora de dicho dispositivo y preferirse el ejercicio de un recurso efectivo y la posibilidad de defensa de las hoy recurrentes. </w:t>
      </w:r>
    </w:p>
    <w:p w:rsidR="0069242C" w:rsidRPr="007604A8" w:rsidRDefault="0069242C" w:rsidP="0069242C">
      <w:pPr>
        <w:spacing w:after="0" w:line="360" w:lineRule="auto"/>
        <w:ind w:firstLine="709"/>
        <w:jc w:val="both"/>
        <w:rPr>
          <w:rFonts w:ascii="Arial" w:hAnsi="Arial" w:cs="Arial"/>
          <w:bCs/>
          <w:sz w:val="26"/>
          <w:szCs w:val="26"/>
        </w:rPr>
      </w:pPr>
    </w:p>
    <w:p w:rsidR="0069242C" w:rsidRPr="00781E07" w:rsidRDefault="0069242C" w:rsidP="00781E07">
      <w:pPr>
        <w:spacing w:after="0" w:line="360" w:lineRule="auto"/>
        <w:ind w:firstLine="709"/>
        <w:jc w:val="both"/>
        <w:rPr>
          <w:rFonts w:ascii="Arial" w:hAnsi="Arial" w:cs="Arial"/>
          <w:sz w:val="26"/>
          <w:szCs w:val="26"/>
        </w:rPr>
      </w:pPr>
      <w:r w:rsidRPr="007604A8">
        <w:rPr>
          <w:rFonts w:ascii="Arial" w:hAnsi="Arial" w:cs="Arial"/>
          <w:bCs/>
          <w:sz w:val="26"/>
          <w:szCs w:val="26"/>
        </w:rPr>
        <w:t xml:space="preserve">Estas ideas encuentran sustento por identidad en la tesis aislada </w:t>
      </w:r>
      <w:r w:rsidRPr="007604A8">
        <w:rPr>
          <w:rFonts w:ascii="Arial" w:hAnsi="Arial" w:cs="Arial"/>
          <w:sz w:val="26"/>
          <w:szCs w:val="26"/>
        </w:rPr>
        <w:t xml:space="preserve"> I.4o.A.607 A del Cuarto Tribunal Colegiado en Materia Administrativa del Primer Circuito la cual está publicada en el Semanario Judicial de la Federación y su Gaceta a Tomo XXVII de junio de 2008 en la página 1195, con el rubro y texto siguientes:</w:t>
      </w:r>
    </w:p>
    <w:p w:rsidR="0069242C" w:rsidRDefault="0069242C" w:rsidP="0069242C">
      <w:pPr>
        <w:spacing w:after="0"/>
        <w:ind w:left="851" w:right="616"/>
        <w:jc w:val="both"/>
        <w:rPr>
          <w:rFonts w:ascii="Arial" w:hAnsi="Arial" w:cs="Arial"/>
          <w:i/>
        </w:rPr>
      </w:pPr>
      <w:r>
        <w:rPr>
          <w:rFonts w:ascii="Arial" w:hAnsi="Arial" w:cs="Arial"/>
          <w:b/>
          <w:i/>
        </w:rPr>
        <w:t>“</w:t>
      </w:r>
      <w:r w:rsidRPr="00F008CC">
        <w:rPr>
          <w:rFonts w:ascii="Arial" w:hAnsi="Arial" w:cs="Arial"/>
          <w:b/>
          <w:i/>
        </w:rPr>
        <w:t xml:space="preserve">AMPLIACIÓN DE LA DEMANDA EN EL JUICIO DE NULIDAD ANTE EL TRIBUNAL DE LO CONTENCIOSO ADMINISTRATIVO DEL DISTRITO FEDERAL. PROCEDE SI SE INTRODUCEN </w:t>
      </w:r>
      <w:r w:rsidRPr="00F008CC">
        <w:rPr>
          <w:rFonts w:ascii="Arial" w:hAnsi="Arial" w:cs="Arial"/>
          <w:b/>
          <w:i/>
        </w:rPr>
        <w:lastRenderedPageBreak/>
        <w:t>NUEVOS ELEMENTOS A LOS ORIGINALMENTE PLANTEADOS EN EL ESCRITO INICIAL, AUN CUANDO NO SE RECLAME UNA RESOLUCIÓN NEGATIVA FICTA</w:t>
      </w:r>
      <w:r w:rsidRPr="00F008CC">
        <w:rPr>
          <w:rFonts w:ascii="Arial" w:hAnsi="Arial" w:cs="Arial"/>
          <w:i/>
        </w:rPr>
        <w:t>. Del examen del artículo 51 de la Ley del Tribunal de lo Contencioso Administrativo del Distrito Federal, se advierte que se estableció la figura jurídica de ampliación de la demanda únicamente para el caso en que se demande la nulidad de una resolución negativa ficta. Sin embargo, atendiendo a la definición que de aquélla ha sentado el Pleno de la Suprema Corte de Justicia de la Nación en la jurisprudencia P./J. 12/2003, publicada en el Semanario Judicial de la Federación y su Gaceta, Novena Época, Tomo XVIII, julio de 2003, página 11, de rubro: "AMPLIACIÓN DE LA DEMANDA DE AMPARO. DEBE ADMITIRSE AUNQUE NO ESTÉ PREVISTA EN LA LEY DE AMPARO, YA QUE CONSTITUYE UNA FIGURA INDISPENSABLE PARA QUE EL JUZGADOR DÉ UNA SOLUCIÓN COMPLETA A LA ACCIÓN DEL GOBERNADO."; se concluye que se trata de la adición o modificación por parte del quejoso de lo expuesto en su escrito original, para que forme parte de la controversia que deberá resolver el Juez o tribunal que conozca del asunto; de lo que resulta que lo no expuesto en la demanda o en su ampliación no podrá considerarse por la autoridad jurisdiccional al emitir la sentencia correspondiente, y trasladando estas ideas al juicio de nulidad, en concordancia con los artículos 14 y 16 de la Constitución Política de los Estados Unidos Mexicanos, y 80 de la ley del aludido tribunal de lo contencioso, que obliga a sus Salas a fijar en forma clara y precisa los puntos controvertidos al dictar sus sentencias, así como los fundamentos legales en que se apoyen, debiendo limitarse a resolver los puntos cuestionados y a dar una solución a la litis planteada, resulta indispensable otorgar la oportunidad de ampliar la demanda, fuera del caso establecido en el señalado artículo 51, cuando se introducen nuevos elementos a los originalmente planteados en el escrito inicial, pues lo contrario implicaría coartar el derecho fundamental reconocido en el artículo 17 constitucional, que establece como garantía individual la impartición de justicia completa, pronta e imparcial, al no permitir al gobernado ampliar su demanda, aun cuando no reclame una resolución negativa ficta, si se presentan elementos nuevos, que ineludiblemente deberán ser considerados por la autoridad jurisdiccional al emitir su sentencia.</w:t>
      </w:r>
      <w:r>
        <w:rPr>
          <w:rFonts w:ascii="Arial" w:hAnsi="Arial" w:cs="Arial"/>
          <w:i/>
        </w:rPr>
        <w:t>”</w:t>
      </w:r>
    </w:p>
    <w:p w:rsidR="0069242C" w:rsidRPr="005551E5" w:rsidRDefault="0069242C" w:rsidP="0069242C">
      <w:pPr>
        <w:spacing w:after="0" w:line="360" w:lineRule="auto"/>
        <w:ind w:left="851" w:right="49"/>
        <w:jc w:val="both"/>
        <w:rPr>
          <w:rFonts w:ascii="Arial" w:hAnsi="Arial" w:cs="Arial"/>
          <w:sz w:val="24"/>
          <w:szCs w:val="24"/>
        </w:rPr>
      </w:pPr>
    </w:p>
    <w:p w:rsidR="0069242C" w:rsidRPr="00781E07" w:rsidRDefault="0069242C" w:rsidP="00781E07">
      <w:pPr>
        <w:spacing w:after="0" w:line="360" w:lineRule="auto"/>
        <w:ind w:right="49" w:firstLine="708"/>
        <w:jc w:val="both"/>
        <w:rPr>
          <w:rFonts w:ascii="Arial" w:hAnsi="Arial" w:cs="Arial"/>
          <w:sz w:val="26"/>
          <w:szCs w:val="26"/>
        </w:rPr>
      </w:pPr>
      <w:r w:rsidRPr="007604A8">
        <w:rPr>
          <w:rFonts w:ascii="Arial" w:hAnsi="Arial" w:cs="Arial"/>
          <w:sz w:val="26"/>
          <w:szCs w:val="26"/>
        </w:rPr>
        <w:t xml:space="preserve">Son igualmente aplicables por analogía en el tema la jurisprudencia P./J. 12/2003 emitida por el Pleno de la Suprema Corte de Justicia de la Nación y que está publicada en la página 11 del Semanario Judicial de la Federación y su Gaceta a Tomo XVIII de Julio de 2003, con el rubro y contenido siguientes: </w:t>
      </w:r>
    </w:p>
    <w:p w:rsidR="0069242C" w:rsidRPr="00F008CC" w:rsidRDefault="0069242C" w:rsidP="0069242C">
      <w:pPr>
        <w:spacing w:after="0"/>
        <w:ind w:left="851" w:right="902"/>
        <w:jc w:val="both"/>
        <w:rPr>
          <w:rFonts w:ascii="Arial" w:hAnsi="Arial" w:cs="Arial"/>
          <w:i/>
        </w:rPr>
      </w:pPr>
      <w:r>
        <w:rPr>
          <w:rFonts w:ascii="Arial" w:hAnsi="Arial" w:cs="Arial"/>
          <w:b/>
          <w:i/>
        </w:rPr>
        <w:t>“</w:t>
      </w:r>
      <w:r w:rsidRPr="00F008CC">
        <w:rPr>
          <w:rFonts w:ascii="Arial" w:hAnsi="Arial" w:cs="Arial"/>
          <w:b/>
          <w:i/>
        </w:rPr>
        <w:t>AMPLIACIÓN DE LA DEMANDA DE AMPARO. DEBE ADMITIRSE AUNQUE NO ESTÉ PREVISTA EN LA LEY DE AMPARO, YA QUE CONSTITUYE UNA FIGURA INDISPENSABLE PARA QUE EL JUZGADOR DÉ UNA SOLUCIÓN COMPLETA A LA ACCIÓN DEL GOBERNADO</w:t>
      </w:r>
      <w:r w:rsidRPr="00F008CC">
        <w:rPr>
          <w:rFonts w:ascii="Arial" w:hAnsi="Arial" w:cs="Arial"/>
          <w:i/>
        </w:rPr>
        <w:t xml:space="preserve">. La ampliación de la demanda de amparo implica la adición o modificación, por parte del quejoso, de lo expuesto en su escrito original para que forme parte de la controversia que deberá resolver el Juez o tribunal, y si bien no está prevista expresamente en la Ley de Amparo, su inclusión se estima indispensable para que el juzgador dé una solución adecuada al conflicto que le </w:t>
      </w:r>
      <w:r w:rsidRPr="00F008CC">
        <w:rPr>
          <w:rFonts w:ascii="Arial" w:hAnsi="Arial" w:cs="Arial"/>
          <w:i/>
        </w:rPr>
        <w:lastRenderedPageBreak/>
        <w:t>plantea el quejoso, por lo que es posible considerarla como parte del sistema procesal del amparo con fundamento en el artículo 17 de la Constitución Federal, que establece como garantía individual la impartición de justicia completa, además de pronta e imparcial, máxime que dicha figura no está en contradicción con el conjunto de normas legales cuyas lagunas deban llenar.</w:t>
      </w:r>
      <w:r>
        <w:rPr>
          <w:rFonts w:ascii="Arial" w:hAnsi="Arial" w:cs="Arial"/>
          <w:i/>
        </w:rPr>
        <w:t>”</w:t>
      </w:r>
    </w:p>
    <w:p w:rsidR="0069242C" w:rsidRDefault="0069242C" w:rsidP="0069242C">
      <w:pPr>
        <w:spacing w:after="0" w:line="360" w:lineRule="auto"/>
        <w:ind w:firstLine="709"/>
        <w:jc w:val="both"/>
        <w:rPr>
          <w:rFonts w:ascii="Arial" w:hAnsi="Arial" w:cs="Arial"/>
          <w:bCs/>
          <w:sz w:val="24"/>
          <w:szCs w:val="24"/>
        </w:rPr>
      </w:pPr>
    </w:p>
    <w:p w:rsidR="0069242C" w:rsidRPr="007604A8" w:rsidRDefault="0069242C" w:rsidP="0069242C">
      <w:pPr>
        <w:spacing w:after="0" w:line="360" w:lineRule="auto"/>
        <w:ind w:firstLine="709"/>
        <w:jc w:val="both"/>
        <w:rPr>
          <w:sz w:val="26"/>
          <w:szCs w:val="26"/>
        </w:rPr>
      </w:pPr>
      <w:r w:rsidRPr="007604A8">
        <w:rPr>
          <w:rFonts w:ascii="Arial" w:hAnsi="Arial" w:cs="Arial"/>
          <w:bCs/>
          <w:sz w:val="26"/>
          <w:szCs w:val="26"/>
        </w:rPr>
        <w:t xml:space="preserve">Y la jurisprudencia </w:t>
      </w:r>
      <w:r w:rsidRPr="007604A8">
        <w:rPr>
          <w:rFonts w:ascii="Arial" w:hAnsi="Arial" w:cs="Arial"/>
          <w:sz w:val="26"/>
          <w:szCs w:val="26"/>
        </w:rPr>
        <w:t>2a./J. 136/2015 (10a.) pronunciada por la Segunda Sala de la Suprema Corte de Justicia de la Nación visible a página 1840 de la Gaceta del Semanario Judicial de la Federación del Libro 23 de octubre de 2015 a Tomo II con el rubro y texto del tenor literal siguientes:</w:t>
      </w:r>
    </w:p>
    <w:p w:rsidR="0069242C" w:rsidRPr="00F008CC" w:rsidRDefault="0069242C" w:rsidP="0069242C">
      <w:pPr>
        <w:spacing w:after="0"/>
        <w:ind w:left="851" w:right="616"/>
        <w:jc w:val="both"/>
        <w:rPr>
          <w:rFonts w:ascii="Arial" w:hAnsi="Arial" w:cs="Arial"/>
          <w:i/>
        </w:rPr>
      </w:pPr>
      <w:r>
        <w:rPr>
          <w:rFonts w:ascii="Arial" w:hAnsi="Arial" w:cs="Arial"/>
          <w:b/>
          <w:i/>
        </w:rPr>
        <w:t>“</w:t>
      </w:r>
      <w:r w:rsidRPr="00F008CC">
        <w:rPr>
          <w:rFonts w:ascii="Arial" w:hAnsi="Arial" w:cs="Arial"/>
          <w:b/>
          <w:i/>
        </w:rPr>
        <w:t>JUICIO CONTENCIOSO ADMINISTRATIVO FEDERAL. LAS DOCUMENTALES EXHIBIDAS POR LA AUTORIDAD DEMANDADA AL CONTESTAR LA AMPLIACIÓN DE LA DEMANDA PARA DEMOSTRAR ASPECTOS QUE EL ACTOR DESCONOCÍA HASTA ESE ENTONCES, DEBEN IMPUGNARSE A TRAVÉS DE UNA NUEVA AMPLIACIÓN</w:t>
      </w:r>
      <w:r w:rsidRPr="00F008CC">
        <w:rPr>
          <w:rFonts w:ascii="Arial" w:hAnsi="Arial" w:cs="Arial"/>
          <w:i/>
        </w:rPr>
        <w:t>. De acuerdo con la jurisprudencia 2a./J. 75/2013 (10a.) (*), de la Segunda Sala de la Suprema Corte de Justicia de la Nación, en el juicio contencioso administrativo federal, el derecho del actor para ampliar su demanda se traduce en una formalidad esencial del procedimiento, en tanto tiene por objeto que aquél pueda expresar los argumentos y ofrecer las pruebas que estime conducentes para combatir las razones y fundamentos de la resolución impugnada o de otros actos que desconocía al presentar su demanda inicial, en la inteligencia de que el ejercicio de ese derecho no está limitado, lo que se explica al tener en cuenta que los supuestos de ampliación de la demanda previstos en los artículos 16, fracción II y 17 de la Ley Federal de Procedimiento Contencioso Administrativo, pueden actualizarse sucesivamente en un mismo juicio, como acontece, por ejemplo, cuando en la demanda inicial el actor manifiesta desconocer la resolución que pretende impugnar y al contestar la ampliación de la demanda, la autoridad introduce cuestiones novedosas. En ese contexto, si al contestar la ampliación de la demanda la autoridad exhibe una documental con el fin de acreditar aspectos que el actor desconocía hasta ese entonces, debe concedérsele la oportunidad de ampliar de nueva cuenta su demanda para que pueda expresar los argumentos y ofrecer las pruebas que estime conducentes para impugnar su validez, habida cuenta que ello no se puede realizar en la etapa de alegatos, pues el hecho de que en ésta puedan objetarse las pruebas ofrecidas por las autoridades en cuanto a su alcance y valor probatorio, no significa que se esté en posibilidad de formular conceptos de invalidez y ofrecer pruebas para impugnar los aspectos novedosos que introduce la autoridad al contestar la demanda o su ampliación.</w:t>
      </w:r>
      <w:r>
        <w:rPr>
          <w:rFonts w:ascii="Arial" w:hAnsi="Arial" w:cs="Arial"/>
          <w:i/>
        </w:rPr>
        <w:t>”</w:t>
      </w:r>
    </w:p>
    <w:p w:rsidR="0069242C" w:rsidRDefault="0069242C" w:rsidP="0069242C">
      <w:pPr>
        <w:spacing w:after="0" w:line="360" w:lineRule="auto"/>
        <w:ind w:firstLine="709"/>
        <w:jc w:val="both"/>
        <w:rPr>
          <w:rFonts w:ascii="Arial" w:hAnsi="Arial" w:cs="Arial"/>
          <w:bCs/>
          <w:sz w:val="24"/>
          <w:szCs w:val="24"/>
        </w:rPr>
      </w:pPr>
    </w:p>
    <w:p w:rsidR="0069242C" w:rsidRPr="007604A8" w:rsidRDefault="0069242C" w:rsidP="0069242C">
      <w:pPr>
        <w:spacing w:after="0" w:line="360" w:lineRule="auto"/>
        <w:ind w:firstLine="709"/>
        <w:jc w:val="both"/>
        <w:rPr>
          <w:rFonts w:ascii="Arial" w:hAnsi="Arial" w:cs="Arial"/>
          <w:bCs/>
          <w:sz w:val="26"/>
          <w:szCs w:val="26"/>
        </w:rPr>
      </w:pPr>
      <w:r w:rsidRPr="007604A8">
        <w:rPr>
          <w:rFonts w:ascii="Arial" w:hAnsi="Arial" w:cs="Arial"/>
          <w:b/>
          <w:bCs/>
          <w:sz w:val="26"/>
          <w:szCs w:val="26"/>
        </w:rPr>
        <w:t xml:space="preserve">En esta guisa, </w:t>
      </w:r>
      <w:r w:rsidRPr="007604A8">
        <w:rPr>
          <w:rFonts w:ascii="Arial" w:hAnsi="Arial" w:cs="Arial"/>
          <w:bCs/>
          <w:sz w:val="26"/>
          <w:szCs w:val="26"/>
        </w:rPr>
        <w:t xml:space="preserve">virtud que la sala de origen transgredió el derecho de las hoy disconformes a ampliar su demanda y con ello dictó una sentencia alejada de los principios de legalidad, congruencia y certeza jurídica, procede </w:t>
      </w:r>
      <w:r w:rsidRPr="007604A8">
        <w:rPr>
          <w:rFonts w:ascii="Arial" w:hAnsi="Arial" w:cs="Arial"/>
          <w:b/>
          <w:bCs/>
          <w:sz w:val="26"/>
          <w:szCs w:val="26"/>
        </w:rPr>
        <w:t xml:space="preserve">REVOCAR </w:t>
      </w:r>
      <w:r w:rsidRPr="007604A8">
        <w:rPr>
          <w:rFonts w:ascii="Arial" w:hAnsi="Arial" w:cs="Arial"/>
          <w:bCs/>
          <w:sz w:val="26"/>
          <w:szCs w:val="26"/>
        </w:rPr>
        <w:t xml:space="preserve">la sentencia alzada y se ordena dejar insubsistentes las actuaciones judiciales, inclusive el auto de 21 </w:t>
      </w:r>
      <w:r w:rsidRPr="007604A8">
        <w:rPr>
          <w:rFonts w:ascii="Arial" w:hAnsi="Arial" w:cs="Arial"/>
          <w:bCs/>
          <w:sz w:val="26"/>
          <w:szCs w:val="26"/>
        </w:rPr>
        <w:lastRenderedPageBreak/>
        <w:t xml:space="preserve">veintiuno de junio de 2018 dos mil dieciocho, a fin que la primera instancia con fundamento en los artículos 1, 14 y 17 de la Constitución Política de los Estados Unidos Mexicanos y  180 de la Ley de Procedimientos y Justicia Administrativa para el Estado de Oaxaca; conceda a </w:t>
      </w:r>
      <w:r w:rsidR="000577EA">
        <w:rPr>
          <w:rFonts w:ascii="Arial" w:hAnsi="Arial" w:cs="Arial"/>
          <w:b/>
          <w:sz w:val="26"/>
          <w:szCs w:val="26"/>
        </w:rPr>
        <w:t>**********</w:t>
      </w:r>
      <w:r w:rsidRPr="007604A8">
        <w:rPr>
          <w:rFonts w:ascii="Arial" w:hAnsi="Arial" w:cs="Arial"/>
          <w:bCs/>
          <w:sz w:val="26"/>
          <w:szCs w:val="26"/>
        </w:rPr>
        <w:t xml:space="preserve">su derecho a ampliar su demanda y en su caso, formulen conceptos de impugnación respecto del acta de infracción de folio 1293 de 25 veinticinco de noviembre de 2017 dos mil diecisiete y las demás documentales exhibidas por la demandada en su escrito de contestación de demanda. </w:t>
      </w:r>
    </w:p>
    <w:p w:rsidR="0069242C" w:rsidRPr="007604A8" w:rsidRDefault="0069242C" w:rsidP="0069242C">
      <w:pPr>
        <w:spacing w:after="0" w:line="360" w:lineRule="auto"/>
        <w:ind w:firstLine="709"/>
        <w:jc w:val="both"/>
        <w:rPr>
          <w:rFonts w:ascii="Arial" w:hAnsi="Arial" w:cs="Arial"/>
          <w:i/>
          <w:sz w:val="26"/>
          <w:szCs w:val="26"/>
        </w:rPr>
      </w:pPr>
    </w:p>
    <w:p w:rsidR="0069242C" w:rsidRDefault="0069242C" w:rsidP="0069242C">
      <w:pPr>
        <w:spacing w:after="0" w:line="360" w:lineRule="auto"/>
        <w:ind w:right="49" w:firstLine="708"/>
        <w:jc w:val="both"/>
        <w:rPr>
          <w:rFonts w:ascii="Arial" w:eastAsia="Calibri" w:hAnsi="Arial" w:cs="Arial"/>
          <w:sz w:val="26"/>
          <w:szCs w:val="26"/>
        </w:rPr>
      </w:pPr>
      <w:r w:rsidRPr="007604A8">
        <w:rPr>
          <w:rFonts w:ascii="Arial" w:hAnsi="Arial" w:cs="Arial"/>
          <w:sz w:val="26"/>
          <w:szCs w:val="26"/>
        </w:rPr>
        <w:t xml:space="preserve">Por las anotadas consideraciones se </w:t>
      </w:r>
      <w:r w:rsidRPr="007604A8">
        <w:rPr>
          <w:rFonts w:ascii="Arial" w:hAnsi="Arial" w:cs="Arial"/>
          <w:b/>
          <w:sz w:val="26"/>
          <w:szCs w:val="26"/>
        </w:rPr>
        <w:t xml:space="preserve">REVOCA </w:t>
      </w:r>
      <w:r w:rsidRPr="007604A8">
        <w:rPr>
          <w:rFonts w:ascii="Arial" w:hAnsi="Arial" w:cs="Arial"/>
          <w:sz w:val="26"/>
          <w:szCs w:val="26"/>
        </w:rPr>
        <w:t xml:space="preserve">la sentencia sujeta a revisión y se </w:t>
      </w:r>
      <w:r w:rsidRPr="007604A8">
        <w:rPr>
          <w:rFonts w:ascii="Arial" w:hAnsi="Arial" w:cs="Arial"/>
          <w:bCs/>
          <w:sz w:val="26"/>
          <w:szCs w:val="26"/>
        </w:rPr>
        <w:t>dejan insubsistentes las actuaciones judiciales, inclusive el auto de 21 veintiuno de junio de 2018 dos mil dieciocho y,</w:t>
      </w:r>
      <w:r w:rsidRPr="007604A8">
        <w:rPr>
          <w:rFonts w:ascii="Arial" w:hAnsi="Arial" w:cs="Arial"/>
          <w:sz w:val="26"/>
          <w:szCs w:val="26"/>
        </w:rPr>
        <w:t xml:space="preserve"> con fundamento</w:t>
      </w:r>
      <w:r w:rsidRPr="007604A8">
        <w:rPr>
          <w:rFonts w:ascii="Arial" w:eastAsia="Calibri" w:hAnsi="Arial" w:cs="Arial"/>
          <w:sz w:val="26"/>
          <w:szCs w:val="26"/>
        </w:rPr>
        <w:t xml:space="preserve"> en los artículos 237 y 238 de la Ley de Procedimientos y Justicia Administrativa para el Estado, se:</w:t>
      </w:r>
    </w:p>
    <w:p w:rsidR="0069242C" w:rsidRPr="007604A8" w:rsidRDefault="0069242C" w:rsidP="0069242C">
      <w:pPr>
        <w:spacing w:after="0" w:line="360" w:lineRule="auto"/>
        <w:ind w:right="49" w:firstLine="708"/>
        <w:jc w:val="both"/>
        <w:rPr>
          <w:sz w:val="26"/>
          <w:szCs w:val="26"/>
        </w:rPr>
      </w:pPr>
    </w:p>
    <w:p w:rsidR="0069242C" w:rsidRPr="007604A8" w:rsidRDefault="0069242C" w:rsidP="008F5BB7">
      <w:pPr>
        <w:tabs>
          <w:tab w:val="left" w:pos="1134"/>
        </w:tabs>
        <w:spacing w:after="0" w:line="360" w:lineRule="auto"/>
        <w:jc w:val="center"/>
        <w:rPr>
          <w:rFonts w:ascii="Arial" w:eastAsia="Calibri" w:hAnsi="Arial" w:cs="Arial"/>
          <w:b/>
          <w:sz w:val="26"/>
          <w:szCs w:val="26"/>
        </w:rPr>
      </w:pPr>
      <w:r w:rsidRPr="007604A8">
        <w:rPr>
          <w:rFonts w:ascii="Arial" w:eastAsia="Calibri" w:hAnsi="Arial" w:cs="Arial"/>
          <w:b/>
          <w:sz w:val="26"/>
          <w:szCs w:val="26"/>
        </w:rPr>
        <w:t>R E S U E L V E</w:t>
      </w:r>
    </w:p>
    <w:p w:rsidR="0069242C" w:rsidRPr="007604A8" w:rsidRDefault="0069242C" w:rsidP="0069242C">
      <w:pPr>
        <w:spacing w:after="0" w:line="360" w:lineRule="auto"/>
        <w:ind w:firstLine="708"/>
        <w:jc w:val="both"/>
        <w:rPr>
          <w:rFonts w:ascii="Arial" w:eastAsia="Calibri" w:hAnsi="Arial" w:cs="Arial"/>
          <w:sz w:val="26"/>
          <w:szCs w:val="26"/>
        </w:rPr>
      </w:pPr>
      <w:r w:rsidRPr="007604A8">
        <w:rPr>
          <w:rFonts w:ascii="Arial" w:eastAsia="Calibri" w:hAnsi="Arial" w:cs="Arial"/>
          <w:b/>
          <w:sz w:val="26"/>
          <w:szCs w:val="26"/>
        </w:rPr>
        <w:t>PRIMERO</w:t>
      </w:r>
      <w:r w:rsidRPr="007604A8">
        <w:rPr>
          <w:rFonts w:ascii="Arial" w:eastAsia="Calibri" w:hAnsi="Arial" w:cs="Arial"/>
          <w:sz w:val="26"/>
          <w:szCs w:val="26"/>
        </w:rPr>
        <w:t xml:space="preserve">. Se </w:t>
      </w:r>
      <w:r w:rsidRPr="007604A8">
        <w:rPr>
          <w:rFonts w:ascii="Arial" w:eastAsia="Calibri" w:hAnsi="Arial" w:cs="Arial"/>
          <w:b/>
          <w:sz w:val="26"/>
          <w:szCs w:val="26"/>
        </w:rPr>
        <w:t xml:space="preserve">REVOCA </w:t>
      </w:r>
      <w:r w:rsidRPr="007604A8">
        <w:rPr>
          <w:rFonts w:ascii="Arial" w:eastAsia="Calibri" w:hAnsi="Arial" w:cs="Arial"/>
          <w:sz w:val="26"/>
          <w:szCs w:val="26"/>
        </w:rPr>
        <w:t xml:space="preserve">la sentencia alzada y se dejan </w:t>
      </w:r>
      <w:r w:rsidRPr="007604A8">
        <w:rPr>
          <w:rFonts w:ascii="Arial" w:hAnsi="Arial" w:cs="Arial"/>
          <w:bCs/>
          <w:sz w:val="26"/>
          <w:szCs w:val="26"/>
        </w:rPr>
        <w:t>insubsistentes las actuaciones judiciales, inclusive el auto de 21 veintiuno de junio de 2018 dos mil dieciocho</w:t>
      </w:r>
      <w:r w:rsidRPr="007604A8">
        <w:rPr>
          <w:rFonts w:ascii="Arial" w:eastAsia="Calibri" w:hAnsi="Arial" w:cs="Arial"/>
          <w:sz w:val="26"/>
          <w:szCs w:val="26"/>
        </w:rPr>
        <w:t xml:space="preserve">, como se apuntó en el </w:t>
      </w:r>
      <w:r w:rsidRPr="007604A8">
        <w:rPr>
          <w:rFonts w:ascii="Arial" w:eastAsia="Calibri" w:hAnsi="Arial" w:cs="Arial"/>
          <w:sz w:val="26"/>
          <w:szCs w:val="26"/>
          <w:lang w:eastAsia="es-ES"/>
        </w:rPr>
        <w:t>considerando que antecede</w:t>
      </w:r>
      <w:r w:rsidRPr="007604A8">
        <w:rPr>
          <w:rFonts w:ascii="Arial" w:eastAsia="Calibri" w:hAnsi="Arial" w:cs="Arial"/>
          <w:sz w:val="26"/>
          <w:szCs w:val="26"/>
        </w:rPr>
        <w:t xml:space="preserve">. </w:t>
      </w:r>
    </w:p>
    <w:p w:rsidR="0069242C" w:rsidRPr="007604A8" w:rsidRDefault="0069242C" w:rsidP="0069242C">
      <w:pPr>
        <w:spacing w:after="0" w:line="360" w:lineRule="auto"/>
        <w:ind w:firstLine="708"/>
        <w:jc w:val="both"/>
        <w:rPr>
          <w:rFonts w:ascii="Arial" w:eastAsia="Calibri" w:hAnsi="Arial" w:cs="Arial"/>
          <w:sz w:val="26"/>
          <w:szCs w:val="26"/>
        </w:rPr>
      </w:pPr>
    </w:p>
    <w:p w:rsidR="0069242C" w:rsidRPr="007604A8" w:rsidRDefault="0069242C" w:rsidP="0069242C">
      <w:pPr>
        <w:spacing w:after="0" w:line="360" w:lineRule="auto"/>
        <w:ind w:firstLine="708"/>
        <w:jc w:val="both"/>
        <w:rPr>
          <w:rFonts w:ascii="Arial" w:eastAsia="Calibri" w:hAnsi="Arial" w:cs="Arial"/>
          <w:sz w:val="26"/>
          <w:szCs w:val="26"/>
        </w:rPr>
      </w:pPr>
      <w:r w:rsidRPr="007604A8">
        <w:rPr>
          <w:rFonts w:ascii="Arial" w:hAnsi="Arial" w:cs="Arial"/>
          <w:b/>
          <w:sz w:val="26"/>
          <w:szCs w:val="26"/>
        </w:rPr>
        <w:t xml:space="preserve">SEGUNDO. NOTIFÍQUESE </w:t>
      </w:r>
      <w:r w:rsidRPr="007604A8">
        <w:rPr>
          <w:rFonts w:ascii="Arial" w:hAnsi="Arial" w:cs="Arial"/>
          <w:sz w:val="26"/>
          <w:szCs w:val="26"/>
        </w:rPr>
        <w:t>en los términos precisados en el considerando TERCERO de la presente resolución</w:t>
      </w:r>
      <w:r w:rsidRPr="007604A8">
        <w:rPr>
          <w:rFonts w:ascii="Arial" w:hAnsi="Arial" w:cs="Arial"/>
          <w:b/>
          <w:sz w:val="26"/>
          <w:szCs w:val="26"/>
        </w:rPr>
        <w:t xml:space="preserve"> Y CÚMPLASE,</w:t>
      </w:r>
      <w:r w:rsidRPr="007604A8">
        <w:rPr>
          <w:rFonts w:ascii="Arial" w:hAnsi="Arial" w:cs="Arial"/>
          <w:sz w:val="26"/>
          <w:szCs w:val="26"/>
        </w:rPr>
        <w:t xml:space="preserve"> con copia certificada de la presente resolución, vuelvan las constancias remitidas a la Primera Sala Unitaria de Primera Instancia, </w:t>
      </w:r>
      <w:r w:rsidRPr="007604A8">
        <w:rPr>
          <w:rFonts w:ascii="Arial" w:eastAsia="Calibri" w:hAnsi="Arial" w:cs="Arial"/>
          <w:sz w:val="26"/>
          <w:szCs w:val="26"/>
        </w:rPr>
        <w:t>y en su oportunidad archívese el cuaderno de revisión como concluido.</w:t>
      </w:r>
    </w:p>
    <w:p w:rsidR="0069242C" w:rsidRPr="00953731" w:rsidRDefault="0069242C" w:rsidP="0069242C">
      <w:pPr>
        <w:spacing w:after="0" w:line="360" w:lineRule="auto"/>
        <w:ind w:firstLine="708"/>
        <w:jc w:val="both"/>
        <w:rPr>
          <w:rFonts w:ascii="Arial" w:eastAsia="Calibri" w:hAnsi="Arial" w:cs="Arial"/>
          <w:sz w:val="24"/>
          <w:szCs w:val="24"/>
        </w:rPr>
      </w:pPr>
    </w:p>
    <w:p w:rsidR="0069242C" w:rsidRDefault="0069242C" w:rsidP="0069242C">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69242C" w:rsidRDefault="0069242C" w:rsidP="0069242C">
      <w:pPr>
        <w:rPr>
          <w:rFonts w:ascii="Arial" w:eastAsia="Calibri" w:hAnsi="Arial" w:cs="Arial"/>
          <w:sz w:val="26"/>
          <w:szCs w:val="26"/>
        </w:rPr>
      </w:pPr>
    </w:p>
    <w:p w:rsidR="0069242C" w:rsidRDefault="0069242C" w:rsidP="0069242C">
      <w:pPr>
        <w:rPr>
          <w:rFonts w:ascii="Arial" w:eastAsia="Calibri" w:hAnsi="Arial" w:cs="Arial"/>
          <w:sz w:val="26"/>
          <w:szCs w:val="26"/>
        </w:rPr>
      </w:pPr>
    </w:p>
    <w:p w:rsidR="0069242C" w:rsidRDefault="0069242C" w:rsidP="0069242C">
      <w:pPr>
        <w:rPr>
          <w:rFonts w:ascii="Arial" w:eastAsia="Calibri" w:hAnsi="Arial" w:cs="Arial"/>
          <w:sz w:val="26"/>
          <w:szCs w:val="26"/>
        </w:rPr>
      </w:pP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MAGISTRADO ADRIÁN QUIROGA AVENDAÑO.</w:t>
      </w: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PRESIDENTE</w:t>
      </w:r>
    </w:p>
    <w:p w:rsidR="0069242C" w:rsidRDefault="0069242C" w:rsidP="0069242C">
      <w:pPr>
        <w:rPr>
          <w:rFonts w:ascii="Arial" w:hAnsi="Arial" w:cs="Arial"/>
          <w:sz w:val="26"/>
          <w:szCs w:val="26"/>
        </w:rPr>
      </w:pPr>
    </w:p>
    <w:p w:rsidR="0069242C" w:rsidRDefault="0069242C" w:rsidP="0069242C">
      <w:pPr>
        <w:rPr>
          <w:rFonts w:ascii="Arial" w:hAnsi="Arial" w:cs="Arial"/>
          <w:sz w:val="26"/>
          <w:szCs w:val="26"/>
        </w:rPr>
      </w:pPr>
    </w:p>
    <w:p w:rsidR="0069242C" w:rsidRPr="009B6852" w:rsidRDefault="0069242C" w:rsidP="0069242C">
      <w:pPr>
        <w:rPr>
          <w:rFonts w:ascii="Arial" w:hAnsi="Arial" w:cs="Arial"/>
          <w:sz w:val="26"/>
          <w:szCs w:val="26"/>
        </w:rPr>
      </w:pPr>
    </w:p>
    <w:p w:rsidR="0069242C" w:rsidRPr="009B6852" w:rsidRDefault="0069242C" w:rsidP="0069242C">
      <w:pPr>
        <w:spacing w:after="0"/>
        <w:jc w:val="center"/>
        <w:rPr>
          <w:rFonts w:ascii="Arial" w:hAnsi="Arial" w:cs="Arial"/>
          <w:sz w:val="26"/>
          <w:szCs w:val="26"/>
        </w:rPr>
      </w:pPr>
    </w:p>
    <w:p w:rsidR="0069242C" w:rsidRPr="009B6852" w:rsidRDefault="0069242C" w:rsidP="0069242C">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69242C" w:rsidRDefault="0069242C" w:rsidP="00781E07">
      <w:pPr>
        <w:rPr>
          <w:rFonts w:ascii="Arial" w:hAnsi="Arial" w:cs="Arial"/>
          <w:sz w:val="26"/>
          <w:szCs w:val="26"/>
        </w:rPr>
      </w:pPr>
    </w:p>
    <w:p w:rsidR="00781E07" w:rsidRPr="009B6852" w:rsidRDefault="00781E07" w:rsidP="00781E07">
      <w:pPr>
        <w:rPr>
          <w:rFonts w:ascii="Arial" w:hAnsi="Arial" w:cs="Arial"/>
          <w:sz w:val="26"/>
          <w:szCs w:val="26"/>
        </w:rPr>
      </w:pPr>
    </w:p>
    <w:p w:rsidR="0069242C" w:rsidRPr="009B6852" w:rsidRDefault="0069242C" w:rsidP="0069242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69242C" w:rsidRDefault="0069242C" w:rsidP="0069242C">
      <w:pPr>
        <w:spacing w:line="360" w:lineRule="auto"/>
        <w:jc w:val="center"/>
        <w:rPr>
          <w:rFonts w:ascii="Arial" w:hAnsi="Arial" w:cs="Arial"/>
          <w:sz w:val="26"/>
          <w:szCs w:val="26"/>
        </w:rPr>
      </w:pPr>
    </w:p>
    <w:p w:rsidR="00781E07" w:rsidRDefault="00781E07" w:rsidP="0069242C">
      <w:pPr>
        <w:spacing w:line="360" w:lineRule="auto"/>
        <w:jc w:val="center"/>
        <w:rPr>
          <w:rFonts w:ascii="Arial" w:hAnsi="Arial" w:cs="Arial"/>
          <w:sz w:val="26"/>
          <w:szCs w:val="26"/>
        </w:rPr>
      </w:pPr>
    </w:p>
    <w:p w:rsidR="0069242C" w:rsidRDefault="0069242C" w:rsidP="00781E07">
      <w:pPr>
        <w:spacing w:line="360" w:lineRule="auto"/>
        <w:rPr>
          <w:rFonts w:ascii="Arial" w:hAnsi="Arial" w:cs="Arial"/>
          <w:sz w:val="26"/>
          <w:szCs w:val="26"/>
        </w:rPr>
      </w:pPr>
    </w:p>
    <w:p w:rsidR="0069242C" w:rsidRDefault="0069242C" w:rsidP="0069242C">
      <w:pPr>
        <w:spacing w:line="360" w:lineRule="auto"/>
        <w:jc w:val="center"/>
        <w:rPr>
          <w:rFonts w:ascii="Arial" w:hAnsi="Arial" w:cs="Arial"/>
          <w:sz w:val="26"/>
          <w:szCs w:val="26"/>
        </w:rPr>
      </w:pPr>
      <w:r>
        <w:rPr>
          <w:rFonts w:ascii="Arial" w:hAnsi="Arial" w:cs="Arial"/>
          <w:sz w:val="26"/>
          <w:szCs w:val="26"/>
        </w:rPr>
        <w:t>MAGISTRADA MARÍA ELENA VILLA DE JARQUÍN</w:t>
      </w: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781E07" w:rsidRDefault="00781E07" w:rsidP="0069242C">
      <w:pPr>
        <w:spacing w:line="360" w:lineRule="auto"/>
        <w:rPr>
          <w:rFonts w:ascii="Arial" w:hAnsi="Arial" w:cs="Arial"/>
          <w:sz w:val="26"/>
          <w:szCs w:val="26"/>
        </w:rPr>
      </w:pPr>
    </w:p>
    <w:p w:rsidR="0069242C" w:rsidRDefault="0069242C" w:rsidP="0069242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69242C" w:rsidRDefault="0069242C" w:rsidP="008F5BB7">
      <w:pP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781E07" w:rsidRDefault="00781E07" w:rsidP="0069242C">
      <w:pPr>
        <w:jc w:val="center"/>
        <w:rPr>
          <w:rFonts w:ascii="Arial" w:eastAsia="Times New Roman" w:hAnsi="Arial" w:cs="Arial"/>
          <w:sz w:val="26"/>
          <w:szCs w:val="26"/>
        </w:rPr>
      </w:pPr>
    </w:p>
    <w:p w:rsidR="0069242C" w:rsidRDefault="0069242C" w:rsidP="0069242C">
      <w:pPr>
        <w:spacing w:after="0"/>
        <w:jc w:val="center"/>
        <w:rPr>
          <w:rFonts w:ascii="Arial" w:hAnsi="Arial" w:cs="Arial"/>
          <w:sz w:val="26"/>
          <w:szCs w:val="26"/>
        </w:rPr>
      </w:pPr>
      <w:r>
        <w:rPr>
          <w:rFonts w:ascii="Arial" w:hAnsi="Arial" w:cs="Arial"/>
          <w:sz w:val="26"/>
          <w:szCs w:val="26"/>
        </w:rPr>
        <w:t>LICENCIADA LETICIA GARCIA SOTO.</w:t>
      </w:r>
    </w:p>
    <w:p w:rsidR="0069242C" w:rsidRPr="008F5BB7" w:rsidRDefault="0069242C" w:rsidP="008F5BB7">
      <w:pPr>
        <w:spacing w:after="0"/>
        <w:jc w:val="center"/>
        <w:rPr>
          <w:rFonts w:ascii="Arial" w:hAnsi="Arial" w:cs="Arial"/>
          <w:sz w:val="26"/>
          <w:szCs w:val="26"/>
        </w:rPr>
      </w:pPr>
      <w:r>
        <w:rPr>
          <w:rFonts w:ascii="Arial" w:hAnsi="Arial" w:cs="Arial"/>
          <w:sz w:val="26"/>
          <w:szCs w:val="26"/>
        </w:rPr>
        <w:t xml:space="preserve">  SECRETARIA GENERAL DE ACUERDOS.</w:t>
      </w:r>
    </w:p>
    <w:sectPr w:rsidR="0069242C" w:rsidRPr="008F5BB7" w:rsidSect="005F7CC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678" w:rsidRDefault="001A4678">
      <w:pPr>
        <w:spacing w:after="0" w:line="240" w:lineRule="auto"/>
      </w:pPr>
      <w:r>
        <w:separator/>
      </w:r>
    </w:p>
  </w:endnote>
  <w:endnote w:type="continuationSeparator" w:id="0">
    <w:p w:rsidR="001A4678" w:rsidRDefault="001A4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DEE" w:rsidRDefault="00D90DE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DEE" w:rsidRDefault="00D90DEE">
    <w:pPr>
      <w:pStyle w:val="Piedepgina"/>
    </w:pPr>
    <w:r>
      <w:rPr>
        <w:noProof/>
      </w:rPr>
      <w:drawing>
        <wp:anchor distT="0" distB="0" distL="114300" distR="114300" simplePos="0" relativeHeight="251668992" behindDoc="0" locked="0" layoutInCell="1" allowOverlap="1" wp14:anchorId="531C6168" wp14:editId="02D1B71D">
          <wp:simplePos x="0" y="0"/>
          <wp:positionH relativeFrom="column">
            <wp:posOffset>-1396888</wp:posOffset>
          </wp:positionH>
          <wp:positionV relativeFrom="paragraph">
            <wp:posOffset>-5429586</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DEE" w:rsidRDefault="00D90DE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678" w:rsidRDefault="001A4678">
      <w:pPr>
        <w:spacing w:after="0" w:line="240" w:lineRule="auto"/>
      </w:pPr>
      <w:r>
        <w:separator/>
      </w:r>
    </w:p>
  </w:footnote>
  <w:footnote w:type="continuationSeparator" w:id="0">
    <w:p w:rsidR="001A4678" w:rsidRDefault="001A46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D90DEE">
          <w:rPr>
            <w:noProof/>
          </w:rPr>
          <w:t>2</w:t>
        </w:r>
        <w:r>
          <w:fldChar w:fldCharType="end"/>
        </w:r>
      </w:p>
    </w:sdtContent>
  </w:sdt>
  <w:p w:rsidR="00126798" w:rsidRDefault="00D90DEE">
    <w:pPr>
      <w:pStyle w:val="Encabezado"/>
    </w:pPr>
    <w:bookmarkStart w:id="0" w:name="_GoBack"/>
    <w:r>
      <w:rPr>
        <w:noProof/>
        <w:lang w:eastAsia="es-MX"/>
      </w:rPr>
      <w:drawing>
        <wp:anchor distT="0" distB="0" distL="114300" distR="114300" simplePos="0" relativeHeight="251667968" behindDoc="0" locked="0" layoutInCell="1" allowOverlap="1" wp14:anchorId="65461DC5" wp14:editId="4DF10B2C">
          <wp:simplePos x="0" y="0"/>
          <wp:positionH relativeFrom="column">
            <wp:posOffset>5492041</wp:posOffset>
          </wp:positionH>
          <wp:positionV relativeFrom="paragraph">
            <wp:posOffset>5210474</wp:posOffset>
          </wp:positionV>
          <wp:extent cx="1188720" cy="1122045"/>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D90DEE">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776" behindDoc="0" locked="0" layoutInCell="1" allowOverlap="1" wp14:anchorId="5DBF3D35" wp14:editId="0C9C0987">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2608" behindDoc="1" locked="0" layoutInCell="1" allowOverlap="1" wp14:anchorId="59262967" wp14:editId="280F3873">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DEE" w:rsidRDefault="00D90DE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7EA"/>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A4678"/>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E2484"/>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3E36AE"/>
    <w:rsid w:val="0040218E"/>
    <w:rsid w:val="004138F4"/>
    <w:rsid w:val="0041576D"/>
    <w:rsid w:val="004200B9"/>
    <w:rsid w:val="0044125F"/>
    <w:rsid w:val="00444F2C"/>
    <w:rsid w:val="004546F1"/>
    <w:rsid w:val="00454891"/>
    <w:rsid w:val="0047251D"/>
    <w:rsid w:val="004A5C5B"/>
    <w:rsid w:val="004A764F"/>
    <w:rsid w:val="004B4BBD"/>
    <w:rsid w:val="004C03AB"/>
    <w:rsid w:val="004C7B31"/>
    <w:rsid w:val="004D3FD5"/>
    <w:rsid w:val="004F032D"/>
    <w:rsid w:val="00501D58"/>
    <w:rsid w:val="00511C35"/>
    <w:rsid w:val="005153E1"/>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5F7CC6"/>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242C"/>
    <w:rsid w:val="006938B1"/>
    <w:rsid w:val="00694FE2"/>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1E07"/>
    <w:rsid w:val="007825AD"/>
    <w:rsid w:val="007A2487"/>
    <w:rsid w:val="007A4B0F"/>
    <w:rsid w:val="007D51A7"/>
    <w:rsid w:val="007D57D5"/>
    <w:rsid w:val="007D6535"/>
    <w:rsid w:val="007E22BF"/>
    <w:rsid w:val="007E5B25"/>
    <w:rsid w:val="007F0D2C"/>
    <w:rsid w:val="007F4F00"/>
    <w:rsid w:val="00814B86"/>
    <w:rsid w:val="008238CF"/>
    <w:rsid w:val="00826EEB"/>
    <w:rsid w:val="00830A05"/>
    <w:rsid w:val="00850959"/>
    <w:rsid w:val="00881D56"/>
    <w:rsid w:val="008B4464"/>
    <w:rsid w:val="008C6A10"/>
    <w:rsid w:val="008D3B78"/>
    <w:rsid w:val="008E0DC8"/>
    <w:rsid w:val="008F5AA5"/>
    <w:rsid w:val="008F5BB7"/>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D6432"/>
    <w:rsid w:val="009E1B3A"/>
    <w:rsid w:val="009F0158"/>
    <w:rsid w:val="00A0629B"/>
    <w:rsid w:val="00A07274"/>
    <w:rsid w:val="00A16F03"/>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4AD0"/>
    <w:rsid w:val="00C3539D"/>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73E98"/>
    <w:rsid w:val="00D8265B"/>
    <w:rsid w:val="00D838B9"/>
    <w:rsid w:val="00D86D0B"/>
    <w:rsid w:val="00D90DEE"/>
    <w:rsid w:val="00D91377"/>
    <w:rsid w:val="00D94092"/>
    <w:rsid w:val="00DB42EB"/>
    <w:rsid w:val="00DC4D7A"/>
    <w:rsid w:val="00DD76A5"/>
    <w:rsid w:val="00E03F45"/>
    <w:rsid w:val="00E14A1A"/>
    <w:rsid w:val="00E16D22"/>
    <w:rsid w:val="00E249FF"/>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45B8"/>
    <w:rsid w:val="00F76F0F"/>
    <w:rsid w:val="00F77707"/>
    <w:rsid w:val="00F86802"/>
    <w:rsid w:val="00F87C02"/>
    <w:rsid w:val="00F91C14"/>
    <w:rsid w:val="00F92773"/>
    <w:rsid w:val="00F92BEA"/>
    <w:rsid w:val="00F973FF"/>
    <w:rsid w:val="00FB0A78"/>
    <w:rsid w:val="00FB27D3"/>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989AC4-24DB-4347-9E8F-4A4E98473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6E634-DF74-4904-8506-109B78D06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13</Pages>
  <Words>4396</Words>
  <Characters>24180</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28</cp:revision>
  <cp:lastPrinted>2019-04-05T19:19:00Z</cp:lastPrinted>
  <dcterms:created xsi:type="dcterms:W3CDTF">2019-04-12T01:57:00Z</dcterms:created>
  <dcterms:modified xsi:type="dcterms:W3CDTF">2019-07-01T18:40:00Z</dcterms:modified>
</cp:coreProperties>
</file>