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EF802" w14:textId="3EFC1382" w:rsidR="00C06661" w:rsidRPr="00CB6405" w:rsidRDefault="00A13591" w:rsidP="00C06661">
      <w:pPr>
        <w:spacing w:line="240" w:lineRule="auto"/>
        <w:ind w:left="2124"/>
        <w:jc w:val="both"/>
        <w:rPr>
          <w:rFonts w:ascii="Arial" w:hAnsi="Arial" w:cs="Arial"/>
          <w:b/>
          <w:sz w:val="26"/>
          <w:szCs w:val="26"/>
        </w:rPr>
      </w:pPr>
      <w:r>
        <w:rPr>
          <w:rFonts w:ascii="Arial" w:hAnsi="Arial" w:cs="Arial"/>
          <w:b/>
          <w:sz w:val="26"/>
          <w:szCs w:val="26"/>
        </w:rPr>
        <w:t xml:space="preserve"> </w:t>
      </w:r>
      <w:r w:rsidR="00C06661"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00C06661" w:rsidRPr="00CB6405">
        <w:rPr>
          <w:rFonts w:ascii="Arial" w:hAnsi="Arial" w:cs="Arial"/>
          <w:b/>
          <w:sz w:val="26"/>
          <w:szCs w:val="26"/>
        </w:rPr>
        <w:t>DEL ESTADO DE OAXACA</w:t>
      </w:r>
    </w:p>
    <w:p w14:paraId="170D47DC" w14:textId="583C07A3"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06093D">
        <w:rPr>
          <w:rFonts w:ascii="Arial" w:hAnsi="Arial" w:cs="Arial"/>
          <w:b/>
          <w:sz w:val="26"/>
          <w:szCs w:val="26"/>
        </w:rPr>
        <w:t>005</w:t>
      </w:r>
      <w:r w:rsidR="00FF518D">
        <w:rPr>
          <w:rFonts w:ascii="Arial" w:hAnsi="Arial" w:cs="Arial"/>
          <w:b/>
          <w:sz w:val="26"/>
          <w:szCs w:val="26"/>
        </w:rPr>
        <w:t>/20</w:t>
      </w:r>
      <w:r w:rsidR="0006093D">
        <w:rPr>
          <w:rFonts w:ascii="Arial" w:hAnsi="Arial" w:cs="Arial"/>
          <w:b/>
          <w:sz w:val="26"/>
          <w:szCs w:val="26"/>
        </w:rPr>
        <w:t>20</w:t>
      </w:r>
    </w:p>
    <w:p w14:paraId="738A824F" w14:textId="247E05E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6093D">
        <w:rPr>
          <w:rFonts w:ascii="Arial" w:hAnsi="Arial" w:cs="Arial"/>
          <w:b/>
          <w:sz w:val="26"/>
          <w:szCs w:val="26"/>
        </w:rPr>
        <w:t>0042/2017</w:t>
      </w:r>
      <w:r w:rsidRPr="00CB6405">
        <w:rPr>
          <w:rFonts w:ascii="Arial" w:hAnsi="Arial" w:cs="Arial"/>
          <w:b/>
          <w:sz w:val="26"/>
          <w:szCs w:val="26"/>
        </w:rPr>
        <w:t xml:space="preserve"> </w:t>
      </w:r>
      <w:r w:rsidR="0006093D">
        <w:rPr>
          <w:rFonts w:ascii="Arial" w:hAnsi="Arial" w:cs="Arial"/>
          <w:b/>
          <w:sz w:val="26"/>
          <w:szCs w:val="26"/>
        </w:rPr>
        <w:t>CUARTA</w:t>
      </w:r>
      <w:r w:rsidR="00885A1B">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18CA95A7" w14:textId="6F1F6C4B" w:rsidR="005758AC"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E01EB9">
        <w:rPr>
          <w:rFonts w:ascii="Arial" w:hAnsi="Arial" w:cs="Arial"/>
          <w:b/>
          <w:sz w:val="26"/>
          <w:szCs w:val="26"/>
        </w:rPr>
        <w:t>MANUEL VELASCO ALCÁNTARA.</w:t>
      </w:r>
    </w:p>
    <w:p w14:paraId="450BE68A" w14:textId="77777777" w:rsidR="0006093D" w:rsidRPr="00CB6405" w:rsidRDefault="0006093D" w:rsidP="00C06661">
      <w:pPr>
        <w:spacing w:line="240" w:lineRule="auto"/>
        <w:ind w:left="2124"/>
        <w:jc w:val="both"/>
        <w:rPr>
          <w:rFonts w:ascii="Arial" w:hAnsi="Arial" w:cs="Arial"/>
          <w:b/>
          <w:sz w:val="26"/>
          <w:szCs w:val="26"/>
        </w:rPr>
      </w:pPr>
    </w:p>
    <w:p w14:paraId="2EDBEBB4" w14:textId="3BAD8058"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w:t>
      </w:r>
      <w:r w:rsidR="00C64728">
        <w:rPr>
          <w:rFonts w:ascii="Arial" w:hAnsi="Arial" w:cs="Arial"/>
          <w:b/>
          <w:sz w:val="26"/>
          <w:szCs w:val="26"/>
        </w:rPr>
        <w:t xml:space="preserve">, </w:t>
      </w:r>
      <w:r w:rsidR="00E01EB9">
        <w:rPr>
          <w:rFonts w:ascii="Arial" w:hAnsi="Arial" w:cs="Arial"/>
          <w:b/>
          <w:sz w:val="26"/>
          <w:szCs w:val="26"/>
        </w:rPr>
        <w:t xml:space="preserve">A OCHO DE </w:t>
      </w:r>
      <w:r w:rsidR="00C64728">
        <w:rPr>
          <w:rFonts w:ascii="Arial" w:hAnsi="Arial" w:cs="Arial"/>
          <w:b/>
          <w:sz w:val="26"/>
          <w:szCs w:val="26"/>
        </w:rPr>
        <w:t xml:space="preserve">OCTUBRE </w:t>
      </w:r>
      <w:r w:rsidR="0026762A">
        <w:rPr>
          <w:rFonts w:ascii="Arial" w:hAnsi="Arial" w:cs="Arial"/>
          <w:b/>
          <w:sz w:val="26"/>
          <w:szCs w:val="26"/>
        </w:rPr>
        <w:t>DE</w:t>
      </w:r>
      <w:r w:rsidR="00273652">
        <w:rPr>
          <w:rFonts w:ascii="Arial" w:hAnsi="Arial" w:cs="Arial"/>
          <w:b/>
          <w:sz w:val="26"/>
          <w:szCs w:val="26"/>
        </w:rPr>
        <w:t xml:space="preserve"> </w:t>
      </w:r>
      <w:r w:rsidR="0006093D">
        <w:rPr>
          <w:rFonts w:ascii="Arial" w:hAnsi="Arial" w:cs="Arial"/>
          <w:b/>
          <w:sz w:val="26"/>
          <w:szCs w:val="26"/>
        </w:rPr>
        <w:t>DOS MIL VEINTE.</w:t>
      </w:r>
      <w:r w:rsidR="00E01EB9">
        <w:rPr>
          <w:rFonts w:ascii="Arial" w:hAnsi="Arial" w:cs="Arial"/>
          <w:b/>
          <w:sz w:val="26"/>
          <w:szCs w:val="26"/>
        </w:rPr>
        <w:t xml:space="preserve"> - - - - - - - - - - - - - - - - - - - - - - - - - - - - - - - - - - - - - - - - - -</w:t>
      </w:r>
    </w:p>
    <w:p w14:paraId="45EE2F88" w14:textId="6A14472F"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06093D">
        <w:rPr>
          <w:rFonts w:ascii="Arial" w:hAnsi="Arial" w:cs="Arial"/>
          <w:b/>
          <w:sz w:val="26"/>
          <w:szCs w:val="26"/>
        </w:rPr>
        <w:t>005/2020</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555C8B">
        <w:rPr>
          <w:rFonts w:ascii="Arial" w:hAnsi="Arial" w:cs="Arial"/>
          <w:b/>
          <w:sz w:val="26"/>
          <w:szCs w:val="26"/>
        </w:rPr>
        <w:t>***********</w:t>
      </w:r>
      <w:r w:rsidRPr="00CB6405">
        <w:rPr>
          <w:rFonts w:ascii="Arial" w:hAnsi="Arial" w:cs="Arial"/>
          <w:sz w:val="26"/>
          <w:szCs w:val="26"/>
        </w:rPr>
        <w:t>, en contra</w:t>
      </w:r>
      <w:r w:rsidR="002946FD">
        <w:rPr>
          <w:rFonts w:ascii="Arial" w:hAnsi="Arial" w:cs="Arial"/>
          <w:sz w:val="26"/>
          <w:szCs w:val="26"/>
        </w:rPr>
        <w:t xml:space="preserve"> </w:t>
      </w:r>
      <w:r w:rsidRPr="00CB6405">
        <w:rPr>
          <w:rFonts w:ascii="Arial" w:hAnsi="Arial" w:cs="Arial"/>
          <w:sz w:val="26"/>
          <w:szCs w:val="26"/>
        </w:rPr>
        <w:t>de</w:t>
      </w:r>
      <w:r w:rsidR="0006093D">
        <w:rPr>
          <w:rFonts w:ascii="Arial" w:hAnsi="Arial" w:cs="Arial"/>
          <w:sz w:val="26"/>
          <w:szCs w:val="26"/>
        </w:rPr>
        <w:t xml:space="preserve">l acuerdo dictado el </w:t>
      </w:r>
      <w:r w:rsidR="005F113F">
        <w:rPr>
          <w:rFonts w:ascii="Arial" w:hAnsi="Arial" w:cs="Arial"/>
          <w:sz w:val="26"/>
          <w:szCs w:val="26"/>
        </w:rPr>
        <w:t xml:space="preserve">15 </w:t>
      </w:r>
      <w:r w:rsidR="0006093D">
        <w:rPr>
          <w:rFonts w:ascii="Arial" w:hAnsi="Arial" w:cs="Arial"/>
          <w:sz w:val="26"/>
          <w:szCs w:val="26"/>
        </w:rPr>
        <w:t xml:space="preserve">quince de noviembre de </w:t>
      </w:r>
      <w:r w:rsidR="005F113F">
        <w:rPr>
          <w:rFonts w:ascii="Arial" w:hAnsi="Arial" w:cs="Arial"/>
          <w:sz w:val="26"/>
          <w:szCs w:val="26"/>
        </w:rPr>
        <w:t xml:space="preserve">2019 </w:t>
      </w:r>
      <w:r w:rsidR="0006093D">
        <w:rPr>
          <w:rFonts w:ascii="Arial" w:hAnsi="Arial" w:cs="Arial"/>
          <w:sz w:val="26"/>
          <w:szCs w:val="26"/>
        </w:rPr>
        <w:t>dos mil diecinueve,</w:t>
      </w:r>
      <w:r w:rsidR="00040894">
        <w:rPr>
          <w:rFonts w:ascii="Arial" w:hAnsi="Arial" w:cs="Arial"/>
          <w:sz w:val="26"/>
          <w:szCs w:val="26"/>
        </w:rPr>
        <w:t xml:space="preserve"> </w:t>
      </w:r>
      <w:r w:rsidRPr="00CB6405">
        <w:rPr>
          <w:rFonts w:ascii="Arial" w:hAnsi="Arial" w:cs="Arial"/>
          <w:sz w:val="26"/>
          <w:szCs w:val="26"/>
        </w:rPr>
        <w:t xml:space="preserve">en el expediente </w:t>
      </w:r>
      <w:r w:rsidR="0006093D">
        <w:rPr>
          <w:rFonts w:ascii="Arial" w:hAnsi="Arial" w:cs="Arial"/>
          <w:b/>
          <w:sz w:val="26"/>
          <w:szCs w:val="26"/>
        </w:rPr>
        <w:t xml:space="preserve">0042/2017, </w:t>
      </w:r>
      <w:r w:rsidR="0006093D">
        <w:rPr>
          <w:rFonts w:ascii="Arial" w:hAnsi="Arial" w:cs="Arial"/>
          <w:bCs/>
          <w:sz w:val="26"/>
          <w:szCs w:val="26"/>
        </w:rPr>
        <w:t>por el Magistrado de la Cuarta</w:t>
      </w:r>
      <w:r w:rsidR="00040894">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06093D">
        <w:rPr>
          <w:rFonts w:ascii="Arial" w:hAnsi="Arial" w:cs="Arial"/>
          <w:b/>
          <w:sz w:val="26"/>
          <w:szCs w:val="26"/>
        </w:rPr>
        <w:t>CONSEJO DIRECTIVO DE PENSIONES DEL GOBIERNO DEL ESTADO, a través de su representante el DIRECTOR GENERAL DE LA OFICINA DE PENSIONES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A20025">
        <w:rPr>
          <w:rFonts w:ascii="Arial" w:hAnsi="Arial" w:cs="Arial"/>
          <w:sz w:val="26"/>
          <w:szCs w:val="26"/>
        </w:rPr>
        <w:t>0</w:t>
      </w:r>
      <w:r w:rsidRPr="00CB6405">
        <w:rPr>
          <w:rFonts w:ascii="Arial" w:hAnsi="Arial" w:cs="Arial"/>
          <w:sz w:val="26"/>
          <w:szCs w:val="26"/>
        </w:rPr>
        <w:t>7 y 2</w:t>
      </w:r>
      <w:r w:rsidR="00A20025">
        <w:rPr>
          <w:rFonts w:ascii="Arial" w:hAnsi="Arial" w:cs="Arial"/>
          <w:sz w:val="26"/>
          <w:szCs w:val="26"/>
        </w:rPr>
        <w:t>0</w:t>
      </w:r>
      <w:r w:rsidRPr="00CB6405">
        <w:rPr>
          <w:rFonts w:ascii="Arial" w:hAnsi="Arial" w:cs="Arial"/>
          <w:sz w:val="26"/>
          <w:szCs w:val="26"/>
        </w:rPr>
        <w:t>8 de la Ley de</w:t>
      </w:r>
      <w:r w:rsidR="0006093D">
        <w:rPr>
          <w:rFonts w:ascii="Arial" w:hAnsi="Arial" w:cs="Arial"/>
          <w:sz w:val="26"/>
          <w:szCs w:val="26"/>
        </w:rPr>
        <w:t xml:space="preserve"> </w:t>
      </w:r>
      <w:r w:rsidRPr="00CB6405">
        <w:rPr>
          <w:rFonts w:ascii="Arial" w:hAnsi="Arial" w:cs="Arial"/>
          <w:sz w:val="26"/>
          <w:szCs w:val="26"/>
        </w:rPr>
        <w:t xml:space="preserve">Justicia Administrativa para el Estado de Oaxaca, </w:t>
      </w:r>
      <w:r w:rsidR="00A20025">
        <w:rPr>
          <w:rFonts w:ascii="Arial" w:hAnsi="Arial" w:cs="Arial"/>
          <w:sz w:val="26"/>
          <w:szCs w:val="26"/>
        </w:rPr>
        <w:t xml:space="preserve">por ser el ordenamiento legal vigente al momento en que se inició el juicio principal, </w:t>
      </w:r>
      <w:r w:rsidRPr="00CB6405">
        <w:rPr>
          <w:rFonts w:ascii="Arial" w:hAnsi="Arial" w:cs="Arial"/>
          <w:sz w:val="26"/>
          <w:szCs w:val="26"/>
        </w:rPr>
        <w:t>se admite. En consecuencia, se procede a dictar resolución en los siguientes términos:</w:t>
      </w:r>
    </w:p>
    <w:p w14:paraId="5DA257C2" w14:textId="77777777"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80DA823" w14:textId="0709A13C"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2946FD">
        <w:rPr>
          <w:rFonts w:ascii="Arial" w:hAnsi="Arial" w:cs="Arial"/>
          <w:sz w:val="26"/>
          <w:szCs w:val="26"/>
        </w:rPr>
        <w:t xml:space="preserve">el acuerdo de </w:t>
      </w:r>
      <w:r w:rsidR="005F113F">
        <w:rPr>
          <w:rFonts w:ascii="Arial" w:hAnsi="Arial" w:cs="Arial"/>
          <w:sz w:val="26"/>
          <w:szCs w:val="26"/>
        </w:rPr>
        <w:t xml:space="preserve">15 </w:t>
      </w:r>
      <w:r w:rsidR="002946FD">
        <w:rPr>
          <w:rFonts w:ascii="Arial" w:hAnsi="Arial" w:cs="Arial"/>
          <w:sz w:val="26"/>
          <w:szCs w:val="26"/>
        </w:rPr>
        <w:t xml:space="preserve">quince de noviembre de </w:t>
      </w:r>
      <w:r w:rsidR="005F113F">
        <w:rPr>
          <w:rFonts w:ascii="Arial" w:hAnsi="Arial" w:cs="Arial"/>
          <w:sz w:val="26"/>
          <w:szCs w:val="26"/>
        </w:rPr>
        <w:t xml:space="preserve">2019 </w:t>
      </w:r>
      <w:r w:rsidR="002946FD">
        <w:rPr>
          <w:rFonts w:ascii="Arial" w:hAnsi="Arial" w:cs="Arial"/>
          <w:sz w:val="26"/>
          <w:szCs w:val="26"/>
        </w:rPr>
        <w:t>dos mil diecinueve</w:t>
      </w:r>
      <w:r w:rsidRPr="00CB6405">
        <w:rPr>
          <w:rFonts w:ascii="Arial" w:hAnsi="Arial" w:cs="Arial"/>
          <w:sz w:val="26"/>
          <w:szCs w:val="26"/>
        </w:rPr>
        <w:t>, dictad</w:t>
      </w:r>
      <w:r w:rsidR="002946FD">
        <w:rPr>
          <w:rFonts w:ascii="Arial" w:hAnsi="Arial" w:cs="Arial"/>
          <w:sz w:val="26"/>
          <w:szCs w:val="26"/>
        </w:rPr>
        <w:t>o</w:t>
      </w:r>
      <w:r w:rsidR="00D269DD">
        <w:rPr>
          <w:rFonts w:ascii="Arial" w:hAnsi="Arial" w:cs="Arial"/>
          <w:sz w:val="26"/>
          <w:szCs w:val="26"/>
        </w:rPr>
        <w:t xml:space="preserve"> </w:t>
      </w:r>
      <w:r w:rsidRPr="00CB6405">
        <w:rPr>
          <w:rFonts w:ascii="Arial" w:hAnsi="Arial" w:cs="Arial"/>
          <w:sz w:val="26"/>
          <w:szCs w:val="26"/>
        </w:rPr>
        <w:t xml:space="preserve">por </w:t>
      </w:r>
      <w:r w:rsidR="003E5E70">
        <w:rPr>
          <w:rFonts w:ascii="Arial" w:hAnsi="Arial" w:cs="Arial"/>
          <w:sz w:val="26"/>
          <w:szCs w:val="26"/>
        </w:rPr>
        <w:t>el Magistrado de la C</w:t>
      </w:r>
      <w:r w:rsidR="002946FD">
        <w:rPr>
          <w:rFonts w:ascii="Arial" w:hAnsi="Arial" w:cs="Arial"/>
          <w:sz w:val="26"/>
          <w:szCs w:val="26"/>
        </w:rPr>
        <w:t xml:space="preserve">uarta </w:t>
      </w:r>
      <w:r w:rsidRPr="00CB6405">
        <w:rPr>
          <w:rFonts w:ascii="Arial" w:hAnsi="Arial" w:cs="Arial"/>
          <w:sz w:val="26"/>
          <w:szCs w:val="26"/>
        </w:rPr>
        <w:t xml:space="preserve">Sala Unitaria de Primera Instancia, </w:t>
      </w:r>
      <w:r w:rsidR="00555C8B">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r w:rsidR="00E01EB9">
        <w:rPr>
          <w:rFonts w:ascii="Arial" w:hAnsi="Arial" w:cs="Arial"/>
          <w:sz w:val="26"/>
          <w:szCs w:val="26"/>
        </w:rPr>
        <w:t xml:space="preserve"> - - - - - - - - - - - - - - - - - - - - - </w:t>
      </w:r>
    </w:p>
    <w:p w14:paraId="7EF80773" w14:textId="7A2BB503"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946FD">
        <w:rPr>
          <w:rFonts w:ascii="Arial" w:hAnsi="Arial" w:cs="Arial"/>
          <w:bCs/>
          <w:sz w:val="26"/>
          <w:szCs w:val="26"/>
        </w:rPr>
        <w:t xml:space="preserve">El acuerdo </w:t>
      </w:r>
      <w:r w:rsidR="00D269DD">
        <w:rPr>
          <w:rFonts w:ascii="Arial" w:hAnsi="Arial" w:cs="Arial"/>
          <w:bCs/>
          <w:sz w:val="26"/>
          <w:szCs w:val="26"/>
        </w:rPr>
        <w:t>recurrid</w:t>
      </w:r>
      <w:r w:rsidR="002946FD">
        <w:rPr>
          <w:rFonts w:ascii="Arial" w:hAnsi="Arial" w:cs="Arial"/>
          <w:bCs/>
          <w:sz w:val="26"/>
          <w:szCs w:val="26"/>
        </w:rPr>
        <w:t xml:space="preserve">o es del tenor </w:t>
      </w:r>
      <w:r>
        <w:rPr>
          <w:rFonts w:ascii="Arial" w:hAnsi="Arial" w:cs="Arial"/>
          <w:bCs/>
          <w:sz w:val="26"/>
          <w:szCs w:val="26"/>
        </w:rPr>
        <w:t>siguiente:</w:t>
      </w:r>
      <w:r w:rsidR="00E01EB9">
        <w:rPr>
          <w:rFonts w:ascii="Arial" w:hAnsi="Arial" w:cs="Arial"/>
          <w:bCs/>
          <w:sz w:val="26"/>
          <w:szCs w:val="26"/>
        </w:rPr>
        <w:t xml:space="preserve"> - - - - - - - </w:t>
      </w:r>
    </w:p>
    <w:p w14:paraId="0C42C496" w14:textId="6376BCA3" w:rsidR="00821519" w:rsidRDefault="0028420C" w:rsidP="00040894">
      <w:pPr>
        <w:widowControl w:val="0"/>
        <w:tabs>
          <w:tab w:val="left" w:pos="7938"/>
        </w:tabs>
        <w:spacing w:before="240" w:after="0" w:line="360" w:lineRule="auto"/>
        <w:ind w:left="1134" w:right="616"/>
        <w:jc w:val="both"/>
        <w:rPr>
          <w:rFonts w:ascii="Arial" w:eastAsia="Times New Roman" w:hAnsi="Arial" w:cs="Arial"/>
          <w:bCs/>
          <w:i/>
          <w:iCs/>
          <w:lang w:eastAsia="es-ES"/>
        </w:rPr>
      </w:pPr>
      <w:r w:rsidRPr="00E07B4D">
        <w:rPr>
          <w:rFonts w:ascii="Arial" w:eastAsia="Times New Roman" w:hAnsi="Arial" w:cs="Arial"/>
          <w:bCs/>
          <w:i/>
          <w:iCs/>
          <w:lang w:eastAsia="es-ES"/>
        </w:rPr>
        <w:t>“</w:t>
      </w:r>
      <w:r w:rsidR="00E07B4D" w:rsidRPr="00E07B4D">
        <w:rPr>
          <w:rFonts w:ascii="Arial" w:eastAsia="Times New Roman" w:hAnsi="Arial" w:cs="Arial"/>
          <w:bCs/>
          <w:i/>
          <w:iCs/>
          <w:lang w:eastAsia="es-ES"/>
        </w:rPr>
        <w:t xml:space="preserve">Visto el estado procesal que guardan los presentes autos, de ellos de advierte, que mediante resolución dictada el 30 treinta de septiembre de 2019 dos mil diecinueve, esta Cuarta Sala Unitaria, declaró improcedente el recurso de queja interpuesto por la </w:t>
      </w:r>
      <w:r w:rsidR="00E07B4D" w:rsidRPr="00E07B4D">
        <w:rPr>
          <w:rFonts w:ascii="Arial" w:eastAsia="Times New Roman" w:hAnsi="Arial" w:cs="Arial"/>
          <w:b/>
          <w:i/>
          <w:iCs/>
          <w:lang w:eastAsia="es-ES"/>
        </w:rPr>
        <w:t>parte actora</w:t>
      </w:r>
      <w:r w:rsidR="00E07B4D" w:rsidRPr="00E07B4D">
        <w:rPr>
          <w:rFonts w:ascii="Arial" w:eastAsia="Times New Roman" w:hAnsi="Arial" w:cs="Arial"/>
          <w:bCs/>
          <w:i/>
          <w:iCs/>
          <w:lang w:eastAsia="es-ES"/>
        </w:rPr>
        <w:t xml:space="preserve">; y toda vez que dicha resolución le fue notificada  a la </w:t>
      </w:r>
      <w:r w:rsidR="00E07B4D" w:rsidRPr="00E07B4D">
        <w:rPr>
          <w:rFonts w:ascii="Arial" w:eastAsia="Times New Roman" w:hAnsi="Arial" w:cs="Arial"/>
          <w:b/>
          <w:i/>
          <w:iCs/>
          <w:lang w:eastAsia="es-ES"/>
        </w:rPr>
        <w:t>parte actora</w:t>
      </w:r>
      <w:r w:rsidR="00E07B4D" w:rsidRPr="00E07B4D">
        <w:rPr>
          <w:rFonts w:ascii="Arial" w:eastAsia="Times New Roman" w:hAnsi="Arial" w:cs="Arial"/>
          <w:bCs/>
          <w:i/>
          <w:iCs/>
          <w:lang w:eastAsia="es-ES"/>
        </w:rPr>
        <w:t xml:space="preserve"> el día 02 dos de octubre del año en curso, el término de </w:t>
      </w:r>
      <w:r w:rsidR="00E07B4D" w:rsidRPr="00E07B4D">
        <w:rPr>
          <w:rFonts w:ascii="Arial" w:eastAsia="Times New Roman" w:hAnsi="Arial" w:cs="Arial"/>
          <w:b/>
          <w:i/>
          <w:iCs/>
          <w:lang w:eastAsia="es-ES"/>
        </w:rPr>
        <w:t xml:space="preserve">cinco días hábiles </w:t>
      </w:r>
      <w:r w:rsidR="00E07B4D" w:rsidRPr="00E07B4D">
        <w:rPr>
          <w:rFonts w:ascii="Arial" w:eastAsia="Times New Roman" w:hAnsi="Arial" w:cs="Arial"/>
          <w:bCs/>
          <w:i/>
          <w:iCs/>
          <w:lang w:eastAsia="es-ES"/>
        </w:rPr>
        <w:t xml:space="preserve">que tuvo para </w:t>
      </w:r>
      <w:r w:rsidR="00E07B4D" w:rsidRPr="00E07B4D">
        <w:rPr>
          <w:rFonts w:ascii="Arial" w:eastAsia="Times New Roman" w:hAnsi="Arial" w:cs="Arial"/>
          <w:b/>
          <w:i/>
          <w:iCs/>
          <w:lang w:eastAsia="es-ES"/>
        </w:rPr>
        <w:t xml:space="preserve">interponer </w:t>
      </w:r>
      <w:r w:rsidR="00E07B4D" w:rsidRPr="00E07B4D">
        <w:rPr>
          <w:rFonts w:ascii="Arial" w:eastAsia="Times New Roman" w:hAnsi="Arial" w:cs="Arial"/>
          <w:bCs/>
          <w:i/>
          <w:iCs/>
          <w:lang w:eastAsia="es-ES"/>
        </w:rPr>
        <w:t xml:space="preserve">en su contra el </w:t>
      </w:r>
      <w:r w:rsidR="00E07B4D" w:rsidRPr="00E07B4D">
        <w:rPr>
          <w:rFonts w:ascii="Arial" w:eastAsia="Times New Roman" w:hAnsi="Arial" w:cs="Arial"/>
          <w:b/>
          <w:i/>
          <w:iCs/>
          <w:lang w:eastAsia="es-ES"/>
        </w:rPr>
        <w:t xml:space="preserve">recurso de revisión, </w:t>
      </w:r>
      <w:r w:rsidR="00E07B4D" w:rsidRPr="00E07B4D">
        <w:rPr>
          <w:rFonts w:ascii="Arial" w:eastAsia="Times New Roman" w:hAnsi="Arial" w:cs="Arial"/>
          <w:bCs/>
          <w:i/>
          <w:iCs/>
          <w:lang w:eastAsia="es-ES"/>
        </w:rPr>
        <w:t xml:space="preserve">transcurrió del 04 cuatro al 10 diez de octubre </w:t>
      </w:r>
      <w:r w:rsidR="00E07B4D" w:rsidRPr="00E07B4D">
        <w:rPr>
          <w:rFonts w:ascii="Arial" w:eastAsia="Times New Roman" w:hAnsi="Arial" w:cs="Arial"/>
          <w:bCs/>
          <w:i/>
          <w:iCs/>
          <w:lang w:eastAsia="es-ES"/>
        </w:rPr>
        <w:lastRenderedPageBreak/>
        <w:t xml:space="preserve">de su anualidad que transcurre, descontándose los días 05 cinco y 06 seis de octubre del presente año, por haber correspondido a los días sábado y domingo, días inhábiles para este Tribunal; lo anterior de conformidad a lo establecido por los artículos 135, y 207, de la Ley de Justicia Administrativa para el Estado de Oaxaca, anterior a la vigente.- - - - - - - - - - - - - - - - - - - </w:t>
      </w:r>
      <w:r w:rsidR="009930AF">
        <w:rPr>
          <w:rFonts w:ascii="Arial" w:eastAsia="Times New Roman" w:hAnsi="Arial" w:cs="Arial"/>
          <w:bCs/>
          <w:i/>
          <w:iCs/>
          <w:lang w:eastAsia="es-ES"/>
        </w:rPr>
        <w:t xml:space="preserve">- - - - - - - - - - - - - - - </w:t>
      </w:r>
    </w:p>
    <w:p w14:paraId="3FA5762F" w14:textId="5D2F9586" w:rsidR="00E4583F" w:rsidRDefault="007720D0" w:rsidP="00040894">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 xml:space="preserve">Por lo tanto, y toda vez que la resolución de 30 treinta de septiembre de 2019 dos mil diecinueve, no fue impugnado dentro del término legal concedido, esta Sala Unitaria </w:t>
      </w:r>
      <w:r>
        <w:rPr>
          <w:rFonts w:ascii="Arial" w:eastAsia="Times New Roman" w:hAnsi="Arial" w:cs="Arial"/>
          <w:b/>
          <w:i/>
          <w:iCs/>
          <w:lang w:eastAsia="es-ES"/>
        </w:rPr>
        <w:t xml:space="preserve">declara </w:t>
      </w:r>
      <w:r>
        <w:rPr>
          <w:rFonts w:ascii="Arial" w:eastAsia="Times New Roman" w:hAnsi="Arial" w:cs="Arial"/>
          <w:bCs/>
          <w:i/>
          <w:iCs/>
          <w:lang w:eastAsia="es-ES"/>
        </w:rPr>
        <w:t xml:space="preserve">que </w:t>
      </w:r>
      <w:r>
        <w:rPr>
          <w:rFonts w:ascii="Arial" w:eastAsia="Times New Roman" w:hAnsi="Arial" w:cs="Arial"/>
          <w:b/>
          <w:i/>
          <w:iCs/>
          <w:lang w:eastAsia="es-ES"/>
        </w:rPr>
        <w:t xml:space="preserve">HA CAUSADO ESTADO, en consecuencia, </w:t>
      </w:r>
      <w:r>
        <w:rPr>
          <w:rFonts w:ascii="Arial" w:eastAsia="Times New Roman" w:hAnsi="Arial" w:cs="Arial"/>
          <w:bCs/>
          <w:i/>
          <w:iCs/>
          <w:lang w:eastAsia="es-ES"/>
        </w:rPr>
        <w:t xml:space="preserve">esta Cuarta Sala Unitaria declara </w:t>
      </w:r>
      <w:r>
        <w:rPr>
          <w:rFonts w:ascii="Arial" w:eastAsia="Times New Roman" w:hAnsi="Arial" w:cs="Arial"/>
          <w:b/>
          <w:i/>
          <w:iCs/>
          <w:lang w:eastAsia="es-ES"/>
        </w:rPr>
        <w:t xml:space="preserve">como total y definitivamente concluido el presente asunto, </w:t>
      </w:r>
      <w:r>
        <w:rPr>
          <w:rFonts w:ascii="Arial" w:eastAsia="Times New Roman" w:hAnsi="Arial" w:cs="Arial"/>
          <w:bCs/>
          <w:i/>
          <w:iCs/>
          <w:lang w:eastAsia="es-ES"/>
        </w:rPr>
        <w:t xml:space="preserve">por lo que se </w:t>
      </w:r>
      <w:r>
        <w:rPr>
          <w:rFonts w:ascii="Arial" w:eastAsia="Times New Roman" w:hAnsi="Arial" w:cs="Arial"/>
          <w:b/>
          <w:i/>
          <w:iCs/>
          <w:lang w:eastAsia="es-ES"/>
        </w:rPr>
        <w:t xml:space="preserve">ordena dar de baja del libro de control de expedientes de esta Sala Unitaria, </w:t>
      </w:r>
      <w:r>
        <w:rPr>
          <w:rFonts w:ascii="Arial" w:eastAsia="Times New Roman" w:hAnsi="Arial" w:cs="Arial"/>
          <w:bCs/>
          <w:i/>
          <w:iCs/>
          <w:lang w:eastAsia="es-ES"/>
        </w:rPr>
        <w:t xml:space="preserve">y en consecuencia </w:t>
      </w:r>
      <w:r>
        <w:rPr>
          <w:rFonts w:ascii="Arial" w:eastAsia="Times New Roman" w:hAnsi="Arial" w:cs="Arial"/>
          <w:b/>
          <w:i/>
          <w:iCs/>
          <w:lang w:eastAsia="es-ES"/>
        </w:rPr>
        <w:t xml:space="preserve">su archivo, </w:t>
      </w:r>
      <w:r>
        <w:rPr>
          <w:rFonts w:ascii="Arial" w:eastAsia="Times New Roman" w:hAnsi="Arial" w:cs="Arial"/>
          <w:bCs/>
          <w:i/>
          <w:iCs/>
          <w:lang w:eastAsia="es-ES"/>
        </w:rPr>
        <w:t xml:space="preserve">mediante oficio que se gire a la Secretaría General de Acuerdos de este Tribunal, remítase el presente asunto al Archivo General de este Tribunal, de conformidad con lo dispuesto por los artículos 93, 94, 96 y 98 del Reglamento Interno del Tribunal de Justicia Administrativa del Estado de Oaxaca, aprobado.- - - - - - - - - - - - - - </w:t>
      </w:r>
    </w:p>
    <w:p w14:paraId="4D4BCB8D" w14:textId="4FF5A9CF" w:rsidR="007720D0" w:rsidRDefault="007720D0" w:rsidP="00040894">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w:t>
      </w:r>
    </w:p>
    <w:p w14:paraId="787C6111" w14:textId="77777777"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56A4BA51" w14:textId="1F9AAF5A"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 xml:space="preserve">4 Quáter de la Constitución Política del Estado Libre y Soberano de Oaxaca; </w:t>
      </w:r>
      <w:r w:rsidR="00A60FA5">
        <w:rPr>
          <w:rFonts w:ascii="Arial" w:hAnsi="Arial" w:cs="Arial"/>
          <w:bCs/>
          <w:iCs/>
          <w:sz w:val="26"/>
          <w:szCs w:val="26"/>
        </w:rPr>
        <w:t xml:space="preserve">1 segundo párrafo, 2 primero y cuarto párrafo, 4, 23, 24, 25, 26 y 27 de la Ley Orgánica del Tribunal de Justicia Administrativa del Estado de Oaxaca; </w:t>
      </w:r>
      <w:r>
        <w:rPr>
          <w:rFonts w:ascii="Arial" w:hAnsi="Arial" w:cs="Arial"/>
          <w:bCs/>
          <w:iCs/>
          <w:sz w:val="26"/>
          <w:szCs w:val="26"/>
        </w:rPr>
        <w:t>así como los diversos 86, 88, 92, 93, fracción I, 94, 201, 206 y 208, de la Ley de Justicia Administrativa para el Estado de Oaxaca,</w:t>
      </w:r>
      <w:r w:rsidR="00905DA7">
        <w:rPr>
          <w:rFonts w:ascii="Arial" w:hAnsi="Arial" w:cs="Arial"/>
          <w:bCs/>
          <w:iCs/>
          <w:sz w:val="26"/>
          <w:szCs w:val="26"/>
        </w:rPr>
        <w:t xml:space="preserve"> aplicable por ser la que estaba </w:t>
      </w:r>
      <w:r>
        <w:rPr>
          <w:rFonts w:ascii="Arial" w:hAnsi="Arial" w:cs="Arial"/>
          <w:bCs/>
          <w:iCs/>
          <w:sz w:val="26"/>
          <w:szCs w:val="26"/>
        </w:rPr>
        <w:t xml:space="preserve">vigente </w:t>
      </w:r>
      <w:r w:rsidR="00B206BA">
        <w:rPr>
          <w:rFonts w:ascii="Arial" w:hAnsi="Arial" w:cs="Arial"/>
          <w:bCs/>
          <w:iCs/>
          <w:sz w:val="26"/>
          <w:szCs w:val="26"/>
        </w:rPr>
        <w:t>al inicio de juicio principal</w:t>
      </w:r>
      <w:r>
        <w:rPr>
          <w:rFonts w:ascii="Arial" w:hAnsi="Arial" w:cs="Arial"/>
          <w:bCs/>
          <w:iCs/>
          <w:sz w:val="26"/>
          <w:szCs w:val="26"/>
        </w:rPr>
        <w:t xml:space="preserve">, </w:t>
      </w:r>
      <w:r w:rsidRPr="00CB6405">
        <w:rPr>
          <w:rFonts w:ascii="Arial" w:hAnsi="Arial" w:cs="Arial"/>
          <w:bCs/>
          <w:iCs/>
          <w:sz w:val="26"/>
          <w:szCs w:val="26"/>
        </w:rPr>
        <w:t xml:space="preserve">dado que se trata de un Recurso de Revisión interpuesto en contra </w:t>
      </w:r>
      <w:r w:rsidR="004E160B">
        <w:rPr>
          <w:rFonts w:ascii="Arial" w:hAnsi="Arial" w:cs="Arial"/>
          <w:bCs/>
          <w:iCs/>
          <w:sz w:val="26"/>
          <w:szCs w:val="26"/>
        </w:rPr>
        <w:t>del acuerdo de 15 quince de noviembre de 2019 dos mil diecinueve</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w:t>
      </w:r>
      <w:r w:rsidR="004E160B">
        <w:rPr>
          <w:rFonts w:ascii="Arial" w:hAnsi="Arial" w:cs="Arial"/>
          <w:bCs/>
          <w:iCs/>
          <w:sz w:val="26"/>
          <w:szCs w:val="26"/>
        </w:rPr>
        <w:t xml:space="preserve">el Magistrado de </w:t>
      </w:r>
      <w:r w:rsidRPr="00CB6405">
        <w:rPr>
          <w:rFonts w:ascii="Arial" w:hAnsi="Arial" w:cs="Arial"/>
          <w:bCs/>
          <w:iCs/>
          <w:sz w:val="26"/>
          <w:szCs w:val="26"/>
        </w:rPr>
        <w:t xml:space="preserve">la </w:t>
      </w:r>
      <w:r w:rsidR="004E160B">
        <w:rPr>
          <w:rFonts w:ascii="Arial" w:hAnsi="Arial" w:cs="Arial"/>
          <w:bCs/>
          <w:iCs/>
          <w:sz w:val="26"/>
          <w:szCs w:val="26"/>
        </w:rPr>
        <w:t>Cuarta</w:t>
      </w:r>
      <w:r w:rsidR="00905DA7">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4E160B">
        <w:rPr>
          <w:rFonts w:ascii="Arial" w:hAnsi="Arial" w:cs="Arial"/>
          <w:b/>
          <w:bCs/>
          <w:iCs/>
          <w:sz w:val="26"/>
          <w:szCs w:val="26"/>
        </w:rPr>
        <w:t>0042/2017</w:t>
      </w:r>
      <w:r w:rsidRPr="00CB6405">
        <w:rPr>
          <w:rFonts w:ascii="Arial" w:hAnsi="Arial" w:cs="Arial"/>
          <w:sz w:val="26"/>
          <w:szCs w:val="26"/>
        </w:rPr>
        <w:t>.</w:t>
      </w:r>
      <w:r w:rsidR="00E01EB9">
        <w:rPr>
          <w:rFonts w:ascii="Arial" w:hAnsi="Arial" w:cs="Arial"/>
          <w:sz w:val="26"/>
          <w:szCs w:val="26"/>
        </w:rPr>
        <w:t xml:space="preserve"> - - - - - - - - - - - - - - - - - - - - - - - - </w:t>
      </w:r>
    </w:p>
    <w:p w14:paraId="749AAD46" w14:textId="0DFE9A34" w:rsidR="005B41B4" w:rsidRDefault="0028420C" w:rsidP="00E01EB9">
      <w:pPr>
        <w:spacing w:after="240" w:line="360" w:lineRule="auto"/>
        <w:ind w:right="51" w:firstLine="708"/>
        <w:jc w:val="both"/>
        <w:rPr>
          <w:rFonts w:ascii="Arial" w:hAnsi="Arial" w:cs="Arial"/>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r w:rsidR="00C33A1E">
        <w:rPr>
          <w:rFonts w:ascii="Arial" w:hAnsi="Arial" w:cs="Arial"/>
          <w:sz w:val="26"/>
          <w:szCs w:val="26"/>
        </w:rPr>
        <w:t xml:space="preserve"> </w:t>
      </w:r>
      <w:r w:rsidR="00C33A1E">
        <w:rPr>
          <w:rFonts w:ascii="Arial" w:hAnsi="Arial" w:cs="Arial"/>
          <w:bCs/>
          <w:sz w:val="26"/>
          <w:szCs w:val="26"/>
        </w:rPr>
        <w:t>S</w:t>
      </w:r>
      <w:r w:rsidR="00C33A1E" w:rsidRPr="00743575">
        <w:rPr>
          <w:rFonts w:ascii="Arial" w:hAnsi="Arial" w:cs="Arial"/>
          <w:bCs/>
          <w:sz w:val="26"/>
          <w:szCs w:val="26"/>
        </w:rPr>
        <w:t>e invoca en apoyo, la Tesis, publicada en la Gaceta del Semanario Jud</w:t>
      </w:r>
      <w:r w:rsidR="00C33A1E">
        <w:rPr>
          <w:rFonts w:ascii="Arial" w:hAnsi="Arial" w:cs="Arial"/>
          <w:bCs/>
          <w:sz w:val="26"/>
          <w:szCs w:val="26"/>
        </w:rPr>
        <w:t>icial de la Federación, Volumen 81, Sexta Parte, Séptima Época, pagina 23</w:t>
      </w:r>
      <w:r w:rsidR="00C33A1E" w:rsidRPr="00743575">
        <w:rPr>
          <w:rFonts w:ascii="Arial" w:hAnsi="Arial" w:cs="Arial"/>
          <w:bCs/>
          <w:sz w:val="26"/>
          <w:szCs w:val="26"/>
        </w:rPr>
        <w:t>, bajo el rubro y texto siguiente</w:t>
      </w:r>
      <w:r w:rsidR="00C33A1E" w:rsidRPr="00AB1EA5">
        <w:rPr>
          <w:rFonts w:ascii="Arial" w:hAnsi="Arial" w:cs="Arial"/>
        </w:rPr>
        <w:t>:</w:t>
      </w:r>
      <w:r w:rsidR="00C33A1E">
        <w:rPr>
          <w:rFonts w:ascii="Arial" w:hAnsi="Arial" w:cs="Arial"/>
        </w:rPr>
        <w:t xml:space="preserve"> </w:t>
      </w:r>
      <w:r w:rsidR="00E01EB9">
        <w:rPr>
          <w:rFonts w:ascii="Arial" w:hAnsi="Arial" w:cs="Arial"/>
        </w:rPr>
        <w:t xml:space="preserve">- - - - - - - - - - - - - - - - - - - - - - - - - - - - - - - - - - - - - - - </w:t>
      </w:r>
    </w:p>
    <w:p w14:paraId="4444F9EE" w14:textId="4F49FEA9" w:rsidR="00C33A1E" w:rsidRDefault="00C33A1E" w:rsidP="00C33A1E">
      <w:pPr>
        <w:pStyle w:val="NormalCenturyGothic"/>
        <w:spacing w:after="240" w:line="360" w:lineRule="auto"/>
        <w:ind w:left="851" w:right="758"/>
        <w:jc w:val="both"/>
        <w:rPr>
          <w:rFonts w:ascii="Arial" w:hAnsi="Arial" w:cs="Arial"/>
          <w:b/>
          <w:sz w:val="26"/>
          <w:szCs w:val="26"/>
        </w:rPr>
      </w:pPr>
      <w:r w:rsidRPr="00F66D81">
        <w:rPr>
          <w:rFonts w:ascii="Arial" w:hAnsi="Arial" w:cs="Arial"/>
          <w:i/>
        </w:rPr>
        <w:lastRenderedPageBreak/>
        <w:t>“</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 xml:space="preserve">so, la ilegalidad de la misma.”- - - - - - - - - - - - - - - - - - - - - - - - - - - - - - - - </w:t>
      </w:r>
    </w:p>
    <w:p w14:paraId="0389BF60" w14:textId="29760D9D" w:rsidR="005B41B4" w:rsidRDefault="00E20F23" w:rsidP="00216BB8">
      <w:pPr>
        <w:pStyle w:val="Sinespaciado"/>
        <w:spacing w:after="240" w:line="360" w:lineRule="auto"/>
        <w:ind w:firstLine="709"/>
        <w:jc w:val="both"/>
        <w:rPr>
          <w:rFonts w:ascii="Arial" w:hAnsi="Arial" w:cs="Arial"/>
          <w:bCs/>
          <w:color w:val="000000"/>
          <w:sz w:val="26"/>
          <w:szCs w:val="26"/>
        </w:rPr>
      </w:pPr>
      <w:r>
        <w:rPr>
          <w:rFonts w:ascii="Arial" w:hAnsi="Arial" w:cs="Arial"/>
          <w:b/>
          <w:bCs/>
          <w:color w:val="000000"/>
          <w:sz w:val="26"/>
          <w:szCs w:val="26"/>
        </w:rPr>
        <w:t>TERCERO.</w:t>
      </w:r>
      <w:r>
        <w:rPr>
          <w:rFonts w:ascii="Arial" w:hAnsi="Arial" w:cs="Arial"/>
          <w:bCs/>
          <w:color w:val="000000"/>
          <w:sz w:val="26"/>
          <w:szCs w:val="26"/>
        </w:rPr>
        <w:t xml:space="preserve"> </w:t>
      </w:r>
      <w:r w:rsidR="001833AC">
        <w:rPr>
          <w:rFonts w:ascii="Arial" w:hAnsi="Arial" w:cs="Arial"/>
          <w:bCs/>
          <w:color w:val="000000"/>
          <w:sz w:val="26"/>
          <w:szCs w:val="26"/>
        </w:rPr>
        <w:t>El recurrente señala en su agravio marcado como ÚNICO, que la resolución impugnada resulta ilegal por contravenir lo establecido en el artículo 207</w:t>
      </w:r>
      <w:r w:rsidR="007A532F">
        <w:rPr>
          <w:rFonts w:ascii="Arial" w:hAnsi="Arial" w:cs="Arial"/>
          <w:bCs/>
          <w:color w:val="000000"/>
          <w:sz w:val="26"/>
          <w:szCs w:val="26"/>
        </w:rPr>
        <w:t xml:space="preserve"> fracción II de la Ley de Procedimiento y Justicia Administrativa para el Estado de Oaxaca, toda vez que los motivos en que basa su determinación devienen ilegales.</w:t>
      </w:r>
      <w:r w:rsidR="00E01EB9">
        <w:rPr>
          <w:rFonts w:ascii="Arial" w:hAnsi="Arial" w:cs="Arial"/>
          <w:bCs/>
          <w:color w:val="000000"/>
          <w:sz w:val="26"/>
          <w:szCs w:val="26"/>
        </w:rPr>
        <w:t xml:space="preserve"> - - - - - - - - - - </w:t>
      </w:r>
    </w:p>
    <w:p w14:paraId="71039E86" w14:textId="4E2E440D" w:rsidR="005B41B4" w:rsidRDefault="007A532F" w:rsidP="00216BB8">
      <w:pPr>
        <w:pStyle w:val="Sinespaciado"/>
        <w:spacing w:after="240" w:line="360" w:lineRule="auto"/>
        <w:ind w:firstLine="709"/>
        <w:jc w:val="both"/>
        <w:rPr>
          <w:rFonts w:ascii="Arial" w:hAnsi="Arial" w:cs="Arial"/>
          <w:bCs/>
          <w:color w:val="000000"/>
          <w:sz w:val="26"/>
          <w:szCs w:val="26"/>
        </w:rPr>
      </w:pPr>
      <w:r>
        <w:rPr>
          <w:rFonts w:ascii="Arial" w:hAnsi="Arial" w:cs="Arial"/>
          <w:bCs/>
          <w:color w:val="000000"/>
          <w:sz w:val="26"/>
          <w:szCs w:val="26"/>
        </w:rPr>
        <w:t>Lo anterior, porque el Magistrado de</w:t>
      </w:r>
      <w:r w:rsidR="003E5E70">
        <w:rPr>
          <w:rFonts w:ascii="Arial" w:hAnsi="Arial" w:cs="Arial"/>
          <w:bCs/>
          <w:color w:val="000000"/>
          <w:sz w:val="26"/>
          <w:szCs w:val="26"/>
        </w:rPr>
        <w:t xml:space="preserve"> la C</w:t>
      </w:r>
      <w:r>
        <w:rPr>
          <w:rFonts w:ascii="Arial" w:hAnsi="Arial" w:cs="Arial"/>
          <w:bCs/>
          <w:color w:val="000000"/>
          <w:sz w:val="26"/>
          <w:szCs w:val="26"/>
        </w:rPr>
        <w:t xml:space="preserve">uarta Sala de Primera Instancia, declara como total y definitivamente concluido el expediente </w:t>
      </w:r>
      <w:r w:rsidRPr="003E5E70">
        <w:rPr>
          <w:rFonts w:ascii="Arial" w:hAnsi="Arial" w:cs="Arial"/>
          <w:b/>
          <w:bCs/>
          <w:color w:val="000000"/>
          <w:sz w:val="26"/>
          <w:szCs w:val="26"/>
        </w:rPr>
        <w:t>42/2017</w:t>
      </w:r>
      <w:r>
        <w:rPr>
          <w:rFonts w:ascii="Arial" w:hAnsi="Arial" w:cs="Arial"/>
          <w:bCs/>
          <w:color w:val="000000"/>
          <w:sz w:val="26"/>
          <w:szCs w:val="26"/>
        </w:rPr>
        <w:t xml:space="preserve"> ordenando su baja del libro de control de expediente</w:t>
      </w:r>
      <w:r w:rsidR="00672737">
        <w:rPr>
          <w:rFonts w:ascii="Arial" w:hAnsi="Arial" w:cs="Arial"/>
          <w:bCs/>
          <w:color w:val="000000"/>
          <w:sz w:val="26"/>
          <w:szCs w:val="26"/>
        </w:rPr>
        <w:t>,</w:t>
      </w:r>
      <w:r>
        <w:rPr>
          <w:rFonts w:ascii="Arial" w:hAnsi="Arial" w:cs="Arial"/>
          <w:bCs/>
          <w:color w:val="000000"/>
          <w:sz w:val="26"/>
          <w:szCs w:val="26"/>
        </w:rPr>
        <w:t xml:space="preserve"> y en consecuen</w:t>
      </w:r>
      <w:r w:rsidR="00672737">
        <w:rPr>
          <w:rFonts w:ascii="Arial" w:hAnsi="Arial" w:cs="Arial"/>
          <w:bCs/>
          <w:color w:val="000000"/>
          <w:sz w:val="26"/>
          <w:szCs w:val="26"/>
        </w:rPr>
        <w:t>ci</w:t>
      </w:r>
      <w:r>
        <w:rPr>
          <w:rFonts w:ascii="Arial" w:hAnsi="Arial" w:cs="Arial"/>
          <w:bCs/>
          <w:color w:val="000000"/>
          <w:sz w:val="26"/>
          <w:szCs w:val="26"/>
        </w:rPr>
        <w:t>a</w:t>
      </w:r>
      <w:r w:rsidR="00672737">
        <w:rPr>
          <w:rFonts w:ascii="Arial" w:hAnsi="Arial" w:cs="Arial"/>
          <w:bCs/>
          <w:color w:val="000000"/>
          <w:sz w:val="26"/>
          <w:szCs w:val="26"/>
        </w:rPr>
        <w:t>,</w:t>
      </w:r>
      <w:r>
        <w:rPr>
          <w:rFonts w:ascii="Arial" w:hAnsi="Arial" w:cs="Arial"/>
          <w:bCs/>
          <w:color w:val="000000"/>
          <w:sz w:val="26"/>
          <w:szCs w:val="26"/>
        </w:rPr>
        <w:t xml:space="preserve"> su archivo en atención a la resolución de fecha 30 treinta de septiembre de 2019 dos mil diecinueve, en donde se resolvía la queja interpuesta y que la misma había causado estado, toda </w:t>
      </w:r>
      <w:r w:rsidR="00D43688">
        <w:rPr>
          <w:rFonts w:ascii="Arial" w:hAnsi="Arial" w:cs="Arial"/>
          <w:bCs/>
          <w:color w:val="000000"/>
          <w:sz w:val="26"/>
          <w:szCs w:val="26"/>
        </w:rPr>
        <w:t xml:space="preserve">vez </w:t>
      </w:r>
      <w:r>
        <w:rPr>
          <w:rFonts w:ascii="Arial" w:hAnsi="Arial" w:cs="Arial"/>
          <w:bCs/>
          <w:color w:val="000000"/>
          <w:sz w:val="26"/>
          <w:szCs w:val="26"/>
        </w:rPr>
        <w:t>que</w:t>
      </w:r>
      <w:r w:rsidR="00115987">
        <w:rPr>
          <w:rFonts w:ascii="Arial" w:hAnsi="Arial" w:cs="Arial"/>
          <w:bCs/>
          <w:color w:val="000000"/>
          <w:sz w:val="26"/>
          <w:szCs w:val="26"/>
        </w:rPr>
        <w:t xml:space="preserve"> no</w:t>
      </w:r>
      <w:r>
        <w:rPr>
          <w:rFonts w:ascii="Arial" w:hAnsi="Arial" w:cs="Arial"/>
          <w:bCs/>
          <w:color w:val="000000"/>
          <w:sz w:val="26"/>
          <w:szCs w:val="26"/>
        </w:rPr>
        <w:t xml:space="preserve"> se interpuso en su contra recurso de revisión</w:t>
      </w:r>
      <w:r w:rsidR="005863D4">
        <w:rPr>
          <w:rFonts w:ascii="Arial" w:hAnsi="Arial" w:cs="Arial"/>
          <w:bCs/>
          <w:color w:val="000000"/>
          <w:sz w:val="26"/>
          <w:szCs w:val="26"/>
        </w:rPr>
        <w:t>; sin embargo, conforme al artículo 236 de la Ley de procedimiento y Justicia Administrativa para el Estado de Oaxaca, en contra de la resolución de la queja, no procede el recurso de revisión; por tanto, lo  resuelto por el Magistrado instructor de la Cuarta Sala de primera Instancia, resulta ilegal.</w:t>
      </w:r>
      <w:r w:rsidR="00E01EB9">
        <w:rPr>
          <w:rFonts w:ascii="Arial" w:hAnsi="Arial" w:cs="Arial"/>
          <w:bCs/>
          <w:color w:val="000000"/>
          <w:sz w:val="26"/>
          <w:szCs w:val="26"/>
        </w:rPr>
        <w:t xml:space="preserve"> - - - - - - - - - - - - - - - -</w:t>
      </w:r>
    </w:p>
    <w:p w14:paraId="0F65C614" w14:textId="274F091E" w:rsidR="005B41B4" w:rsidRDefault="00216BB8" w:rsidP="00966F18">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Arguye</w:t>
      </w:r>
      <w:r w:rsidR="00F147C1">
        <w:rPr>
          <w:rFonts w:ascii="Arial" w:eastAsia="Calibri" w:hAnsi="Arial" w:cs="Arial"/>
          <w:bCs/>
          <w:sz w:val="26"/>
          <w:szCs w:val="26"/>
          <w:lang w:val="es-MX"/>
        </w:rPr>
        <w:t xml:space="preserve"> que la resolución de fecha 15 quince de noviembre de 2019 dos mil diecinueve, es ilegal por contravenir lo establecido en los artículos 207 fracción II de la Ley de Procedimiento y Justicia Administrativa, 14, 16 y 17 de la </w:t>
      </w:r>
      <w:r w:rsidR="00E01EB9">
        <w:rPr>
          <w:rFonts w:ascii="Arial" w:eastAsia="Calibri" w:hAnsi="Arial" w:cs="Arial"/>
          <w:bCs/>
          <w:sz w:val="26"/>
          <w:szCs w:val="26"/>
          <w:lang w:val="es-MX"/>
        </w:rPr>
        <w:t>C</w:t>
      </w:r>
      <w:r w:rsidR="00F147C1">
        <w:rPr>
          <w:rFonts w:ascii="Arial" w:eastAsia="Calibri" w:hAnsi="Arial" w:cs="Arial"/>
          <w:bCs/>
          <w:sz w:val="26"/>
          <w:szCs w:val="26"/>
          <w:lang w:val="es-MX"/>
        </w:rPr>
        <w:t>onstitución Política de los Estados Unidos Mexicanos, en virtud que toda resolución debe estar fundada y motivada</w:t>
      </w:r>
      <w:r w:rsidR="0047112E">
        <w:rPr>
          <w:rFonts w:ascii="Arial" w:eastAsia="Calibri" w:hAnsi="Arial" w:cs="Arial"/>
          <w:bCs/>
          <w:sz w:val="26"/>
          <w:szCs w:val="26"/>
          <w:lang w:val="es-MX"/>
        </w:rPr>
        <w:t>, mismas que constituyen los autos en términos del artículo 80 del Código de Procedimientos Civiles para el Estado de Oaxaca, disp</w:t>
      </w:r>
      <w:r w:rsidR="003E5E70">
        <w:rPr>
          <w:rFonts w:ascii="Arial" w:eastAsia="Calibri" w:hAnsi="Arial" w:cs="Arial"/>
          <w:bCs/>
          <w:sz w:val="26"/>
          <w:szCs w:val="26"/>
          <w:lang w:val="es-MX"/>
        </w:rPr>
        <w:t>osición supletoria a la citada L</w:t>
      </w:r>
      <w:r w:rsidR="0047112E">
        <w:rPr>
          <w:rFonts w:ascii="Arial" w:eastAsia="Calibri" w:hAnsi="Arial" w:cs="Arial"/>
          <w:bCs/>
          <w:sz w:val="26"/>
          <w:szCs w:val="26"/>
          <w:lang w:val="es-MX"/>
        </w:rPr>
        <w:t>ey.</w:t>
      </w:r>
      <w:r w:rsidR="00E01EB9">
        <w:rPr>
          <w:rFonts w:ascii="Arial" w:eastAsia="Calibri" w:hAnsi="Arial" w:cs="Arial"/>
          <w:bCs/>
          <w:sz w:val="26"/>
          <w:szCs w:val="26"/>
          <w:lang w:val="es-MX"/>
        </w:rPr>
        <w:t xml:space="preserve"> - - - - - - - - - - - - - - - - - - - - - - - - -</w:t>
      </w:r>
    </w:p>
    <w:p w14:paraId="65C7CC82" w14:textId="30F2FD21" w:rsidR="0047112E" w:rsidRDefault="0047112E" w:rsidP="00966F18">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Por otro lado, cita los artículos 182, 183 y 184 de la Ley de Justicia Administrativa para el Estado de Oaxaca, y argumenta que de la transcripción de dichos preceptos, se advierte que las sentencia causan </w:t>
      </w:r>
      <w:r>
        <w:rPr>
          <w:rFonts w:ascii="Arial" w:eastAsia="Calibri" w:hAnsi="Arial" w:cs="Arial"/>
          <w:bCs/>
          <w:sz w:val="26"/>
          <w:szCs w:val="26"/>
          <w:lang w:val="es-MX"/>
        </w:rPr>
        <w:lastRenderedPageBreak/>
        <w:t>ejecutor</w:t>
      </w:r>
      <w:r w:rsidR="00D43688">
        <w:rPr>
          <w:rFonts w:ascii="Arial" w:eastAsia="Calibri" w:hAnsi="Arial" w:cs="Arial"/>
          <w:bCs/>
          <w:sz w:val="26"/>
          <w:szCs w:val="26"/>
          <w:lang w:val="es-MX"/>
        </w:rPr>
        <w:t>i</w:t>
      </w:r>
      <w:r>
        <w:rPr>
          <w:rFonts w:ascii="Arial" w:eastAsia="Calibri" w:hAnsi="Arial" w:cs="Arial"/>
          <w:bCs/>
          <w:sz w:val="26"/>
          <w:szCs w:val="26"/>
          <w:lang w:val="es-MX"/>
        </w:rPr>
        <w:t>a de oficio y estas tienen como finalidad restituir el pleno goce de los derechos afectados</w:t>
      </w:r>
      <w:r w:rsidR="00A628BF">
        <w:rPr>
          <w:rFonts w:ascii="Arial" w:eastAsia="Calibri" w:hAnsi="Arial" w:cs="Arial"/>
          <w:bCs/>
          <w:sz w:val="26"/>
          <w:szCs w:val="26"/>
          <w:lang w:val="es-MX"/>
        </w:rPr>
        <w:t xml:space="preserve">; por tanto, dice que el cumplimiento de las sentencia dictadas por las salas administrativas, </w:t>
      </w:r>
      <w:r w:rsidR="00CC2CBD">
        <w:rPr>
          <w:rFonts w:ascii="Arial" w:eastAsia="Calibri" w:hAnsi="Arial" w:cs="Arial"/>
          <w:bCs/>
          <w:sz w:val="26"/>
          <w:szCs w:val="26"/>
          <w:lang w:val="es-MX"/>
        </w:rPr>
        <w:t xml:space="preserve">son </w:t>
      </w:r>
      <w:r w:rsidR="00A628BF">
        <w:rPr>
          <w:rFonts w:ascii="Arial" w:eastAsia="Calibri" w:hAnsi="Arial" w:cs="Arial"/>
          <w:bCs/>
          <w:sz w:val="26"/>
          <w:szCs w:val="26"/>
          <w:lang w:val="es-MX"/>
        </w:rPr>
        <w:t>de orden público y en consecuencia, de oficio las salas vigilaran el exacto cumplimiento de sus determinaciones.</w:t>
      </w:r>
      <w:r w:rsidR="00E01EB9">
        <w:rPr>
          <w:rFonts w:ascii="Arial" w:eastAsia="Calibri" w:hAnsi="Arial" w:cs="Arial"/>
          <w:bCs/>
          <w:sz w:val="26"/>
          <w:szCs w:val="26"/>
          <w:lang w:val="es-MX"/>
        </w:rPr>
        <w:t xml:space="preserve"> - - - - - - - - - - - - - - - - - - - - - - - - - - - - - - - - - - - - </w:t>
      </w:r>
    </w:p>
    <w:p w14:paraId="0C545A03" w14:textId="088530C9" w:rsidR="00CC2CBD" w:rsidRDefault="00A628BF" w:rsidP="00966F18">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Por tanto, dice que la resolución que se recurre consistente en el auto de fecha 15 quince de noviembre de 2019 dos mil diecinueve, mediante el cual el Magistrado de la Cuarta Sala Unitaria de Primera Instancia, declara como total y definitivamente concluido el  expediente </w:t>
      </w:r>
      <w:r w:rsidRPr="003E5E70">
        <w:rPr>
          <w:rFonts w:ascii="Arial" w:eastAsia="Calibri" w:hAnsi="Arial" w:cs="Arial"/>
          <w:b/>
          <w:bCs/>
          <w:sz w:val="26"/>
          <w:szCs w:val="26"/>
          <w:lang w:val="es-MX"/>
        </w:rPr>
        <w:t>42/201</w:t>
      </w:r>
      <w:r w:rsidR="00E01EB9">
        <w:rPr>
          <w:rFonts w:ascii="Arial" w:eastAsia="Calibri" w:hAnsi="Arial" w:cs="Arial"/>
          <w:b/>
          <w:bCs/>
          <w:sz w:val="26"/>
          <w:szCs w:val="26"/>
          <w:lang w:val="es-MX"/>
        </w:rPr>
        <w:t>7</w:t>
      </w:r>
      <w:r>
        <w:rPr>
          <w:rFonts w:ascii="Arial" w:eastAsia="Calibri" w:hAnsi="Arial" w:cs="Arial"/>
          <w:bCs/>
          <w:sz w:val="26"/>
          <w:szCs w:val="26"/>
          <w:lang w:val="es-MX"/>
        </w:rPr>
        <w:t>, ordenando dar de baja del libro de control de expedientes de su sala y su archivo, no observa lo dispuesto por el artículo 16, párrafo primero de la Constitución federal, al carecer de fundamentación y motivación, pues no verificó que se haya cumplido cabalmente con lo decretado en la sentencia y sus efectos respectivos, como lo es el  de restituir los derechos afectados, trayendo como consecuencia que su determinación sea ilegal, por lo que contraviene también el derecho a la tutela judicial efectiva.</w:t>
      </w:r>
      <w:r w:rsidR="00E01EB9">
        <w:rPr>
          <w:rFonts w:ascii="Arial" w:eastAsia="Calibri" w:hAnsi="Arial" w:cs="Arial"/>
          <w:bCs/>
          <w:sz w:val="26"/>
          <w:szCs w:val="26"/>
          <w:lang w:val="es-MX"/>
        </w:rPr>
        <w:t xml:space="preserve"> - - - - - - - - - - - - - - - - - - - - - - - - - - - - - - - - - - - - </w:t>
      </w:r>
    </w:p>
    <w:p w14:paraId="532FE5EB" w14:textId="5DF29997" w:rsidR="00A628BF" w:rsidRDefault="00A628BF" w:rsidP="00966F18">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 </w:t>
      </w:r>
      <w:r w:rsidR="00CC2CBD">
        <w:rPr>
          <w:rFonts w:ascii="Arial" w:eastAsia="Calibri" w:hAnsi="Arial" w:cs="Arial"/>
          <w:bCs/>
          <w:sz w:val="26"/>
          <w:szCs w:val="26"/>
          <w:lang w:val="es-MX"/>
        </w:rPr>
        <w:t>Sigue exponiendo que el Magistrado debió de realizar un estudio detallado de las constancia que integran el expediente, con la finalidad de estar en condiciones de resolver de manera fundada, si se había cumplido en su totalidad la sentencia dictada</w:t>
      </w:r>
      <w:r w:rsidR="00C512B1">
        <w:rPr>
          <w:rFonts w:ascii="Arial" w:eastAsia="Calibri" w:hAnsi="Arial" w:cs="Arial"/>
          <w:bCs/>
          <w:sz w:val="26"/>
          <w:szCs w:val="26"/>
          <w:lang w:val="es-MX"/>
        </w:rPr>
        <w:t xml:space="preserve">, pues únicamente se limitó a señalar y declarar como total y definitivamente concluido el asunto, ordenando su baja del libro de control de expedientes y en consecuencia su archivo, en atención a la resolución de fecha 30 treinta de septiembre de 2019 dos mil diecinueve, en donde se resolvía la queja interpuesta y que la misma había causado estado, toda vez que no se interpuso en su contra el recurso de revisión. Determinación que dice es ilegal, al no proceder en contra de dicha resolución el recurso de revisión, trayendo como consecuencia que el auto recurrido carezca de la debida fundamentación y motivación, congruencia y exhaustividad que exige el derecho de legalidad previsto en el artículo 16 párrafo primero de la constitución </w:t>
      </w:r>
      <w:r w:rsidR="00C512B1" w:rsidRPr="000F5F56">
        <w:rPr>
          <w:rFonts w:ascii="Arial" w:eastAsia="Calibri" w:hAnsi="Arial" w:cs="Arial"/>
          <w:bCs/>
          <w:sz w:val="26"/>
          <w:szCs w:val="26"/>
          <w:lang w:val="es-MX"/>
        </w:rPr>
        <w:t>Federal.</w:t>
      </w:r>
      <w:r w:rsidR="00E01EB9">
        <w:rPr>
          <w:rFonts w:ascii="Arial" w:eastAsia="Calibri" w:hAnsi="Arial" w:cs="Arial"/>
          <w:bCs/>
          <w:sz w:val="26"/>
          <w:szCs w:val="26"/>
          <w:lang w:val="es-MX"/>
        </w:rPr>
        <w:t xml:space="preserve"> - - - - - - - - - - - - - - - - - - - - - - - - - - - - - - - - - - - - - </w:t>
      </w:r>
    </w:p>
    <w:p w14:paraId="0FF73C00" w14:textId="2C000BA2" w:rsidR="004562B4" w:rsidRDefault="00115987" w:rsidP="00966F18">
      <w:pPr>
        <w:spacing w:before="240" w:line="360" w:lineRule="auto"/>
        <w:ind w:firstLine="708"/>
        <w:jc w:val="both"/>
        <w:rPr>
          <w:rFonts w:ascii="Arial" w:hAnsi="Arial" w:cs="Arial"/>
          <w:sz w:val="26"/>
          <w:szCs w:val="26"/>
        </w:rPr>
      </w:pPr>
      <w:r>
        <w:rPr>
          <w:rFonts w:ascii="Arial" w:eastAsia="Calibri" w:hAnsi="Arial" w:cs="Arial"/>
          <w:bCs/>
          <w:sz w:val="26"/>
          <w:szCs w:val="26"/>
          <w:lang w:val="es-MX"/>
        </w:rPr>
        <w:t>Ahora, del an</w:t>
      </w:r>
      <w:r w:rsidR="00EC7284">
        <w:rPr>
          <w:rFonts w:ascii="Arial" w:eastAsia="Calibri" w:hAnsi="Arial" w:cs="Arial"/>
          <w:bCs/>
          <w:sz w:val="26"/>
          <w:szCs w:val="26"/>
          <w:lang w:val="es-MX"/>
        </w:rPr>
        <w:t xml:space="preserve">álisis </w:t>
      </w:r>
      <w:r w:rsidR="00966F18">
        <w:rPr>
          <w:rFonts w:ascii="Arial" w:eastAsia="Calibri" w:hAnsi="Arial" w:cs="Arial"/>
          <w:bCs/>
          <w:sz w:val="26"/>
          <w:szCs w:val="26"/>
          <w:lang w:val="es-MX"/>
        </w:rPr>
        <w:t xml:space="preserve">a las constancias que integran el expediente natural, </w:t>
      </w:r>
      <w:r w:rsidR="00966F18">
        <w:rPr>
          <w:rFonts w:ascii="Arial" w:eastAsia="Calibri" w:hAnsi="Arial" w:cs="Arial"/>
          <w:bCs/>
          <w:sz w:val="26"/>
          <w:szCs w:val="26"/>
        </w:rPr>
        <w:t xml:space="preserve">a las que se les otorga pleno valor probatorio conforme lo dispuesto </w:t>
      </w:r>
      <w:r w:rsidR="00966F18">
        <w:rPr>
          <w:rFonts w:ascii="Arial" w:hAnsi="Arial" w:cs="Arial"/>
          <w:sz w:val="26"/>
          <w:szCs w:val="26"/>
        </w:rPr>
        <w:t xml:space="preserve">por el artículo 173 </w:t>
      </w:r>
      <w:r w:rsidR="00966F18" w:rsidRPr="009802AF">
        <w:rPr>
          <w:rFonts w:ascii="Arial" w:hAnsi="Arial" w:cs="Arial"/>
          <w:sz w:val="26"/>
          <w:szCs w:val="26"/>
        </w:rPr>
        <w:t xml:space="preserve">fracción I de la </w:t>
      </w:r>
      <w:r w:rsidR="00E01EB9">
        <w:rPr>
          <w:rFonts w:ascii="Arial" w:hAnsi="Arial" w:cs="Arial"/>
          <w:sz w:val="26"/>
          <w:szCs w:val="26"/>
        </w:rPr>
        <w:t xml:space="preserve">reformada </w:t>
      </w:r>
      <w:r w:rsidR="00966F18" w:rsidRPr="009802AF">
        <w:rPr>
          <w:rFonts w:ascii="Arial" w:hAnsi="Arial" w:cs="Arial"/>
          <w:sz w:val="26"/>
          <w:szCs w:val="26"/>
        </w:rPr>
        <w:t xml:space="preserve">Ley de Justicia Administrativa para el Estado de </w:t>
      </w:r>
      <w:r w:rsidR="00966F18">
        <w:rPr>
          <w:rFonts w:ascii="Arial" w:hAnsi="Arial" w:cs="Arial"/>
          <w:sz w:val="26"/>
          <w:szCs w:val="26"/>
        </w:rPr>
        <w:t>Oaxaca, por tratarse de actuaciones</w:t>
      </w:r>
      <w:r w:rsidR="00966F18" w:rsidRPr="009802AF">
        <w:rPr>
          <w:rFonts w:ascii="Arial" w:hAnsi="Arial" w:cs="Arial"/>
          <w:sz w:val="26"/>
          <w:szCs w:val="26"/>
        </w:rPr>
        <w:t xml:space="preserve"> judicial</w:t>
      </w:r>
      <w:r w:rsidR="00966F18">
        <w:rPr>
          <w:rFonts w:ascii="Arial" w:hAnsi="Arial" w:cs="Arial"/>
          <w:sz w:val="26"/>
          <w:szCs w:val="26"/>
        </w:rPr>
        <w:t>es; se advierte</w:t>
      </w:r>
      <w:r w:rsidR="0042201D">
        <w:rPr>
          <w:rFonts w:ascii="Arial" w:hAnsi="Arial" w:cs="Arial"/>
          <w:sz w:val="26"/>
          <w:szCs w:val="26"/>
        </w:rPr>
        <w:t xml:space="preserve"> lo siguiente</w:t>
      </w:r>
      <w:r w:rsidR="004562B4">
        <w:rPr>
          <w:rFonts w:ascii="Arial" w:hAnsi="Arial" w:cs="Arial"/>
          <w:sz w:val="26"/>
          <w:szCs w:val="26"/>
        </w:rPr>
        <w:t>:</w:t>
      </w:r>
      <w:r w:rsidR="00E01EB9">
        <w:rPr>
          <w:rFonts w:ascii="Arial" w:hAnsi="Arial" w:cs="Arial"/>
          <w:sz w:val="26"/>
          <w:szCs w:val="26"/>
        </w:rPr>
        <w:t xml:space="preserve"> - - - - - - - - - - - - - - - - - - - - - - - - - - - </w:t>
      </w:r>
    </w:p>
    <w:p w14:paraId="1FB8815A" w14:textId="16630D38" w:rsidR="0042201D" w:rsidRDefault="0042201D" w:rsidP="0042201D">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lastRenderedPageBreak/>
        <w:t xml:space="preserve">Mediante escrito presentado 04 cuatro de mayo de 2017 dos mil diecisiete, </w:t>
      </w:r>
      <w:r w:rsidR="00555C8B">
        <w:rPr>
          <w:rFonts w:ascii="Arial" w:hAnsi="Arial" w:cs="Arial"/>
          <w:b/>
          <w:sz w:val="26"/>
          <w:szCs w:val="26"/>
        </w:rPr>
        <w:t>***********</w:t>
      </w:r>
      <w:r w:rsidR="00555C8B">
        <w:rPr>
          <w:rFonts w:ascii="Arial" w:hAnsi="Arial" w:cs="Arial"/>
          <w:b/>
          <w:sz w:val="26"/>
          <w:szCs w:val="26"/>
        </w:rPr>
        <w:t xml:space="preserve"> </w:t>
      </w:r>
      <w:r>
        <w:rPr>
          <w:rFonts w:ascii="Arial" w:eastAsia="Calibri" w:hAnsi="Arial" w:cs="Arial"/>
          <w:bCs/>
          <w:sz w:val="26"/>
          <w:szCs w:val="26"/>
        </w:rPr>
        <w:t xml:space="preserve">presentó demanda de nulidad en contra de la resolución contenida en el oficio número </w:t>
      </w:r>
      <w:r w:rsidR="00555C8B">
        <w:rPr>
          <w:rFonts w:ascii="Arial" w:hAnsi="Arial" w:cs="Arial"/>
          <w:b/>
          <w:sz w:val="26"/>
          <w:szCs w:val="26"/>
        </w:rPr>
        <w:t>***********</w:t>
      </w:r>
      <w:r>
        <w:rPr>
          <w:rFonts w:ascii="Arial" w:eastAsia="Calibri" w:hAnsi="Arial" w:cs="Arial"/>
          <w:bCs/>
          <w:sz w:val="26"/>
          <w:szCs w:val="26"/>
        </w:rPr>
        <w:t xml:space="preserve">de fecha </w:t>
      </w:r>
      <w:r w:rsidR="00035D5D">
        <w:rPr>
          <w:rFonts w:ascii="Arial" w:eastAsia="Calibri" w:hAnsi="Arial" w:cs="Arial"/>
          <w:bCs/>
          <w:sz w:val="26"/>
          <w:szCs w:val="26"/>
        </w:rPr>
        <w:t xml:space="preserve">13 trece de noviembre de 2012 dos mil doce, en el cual le autorizan su pensión, señalando como </w:t>
      </w:r>
      <w:r w:rsidR="00563560">
        <w:rPr>
          <w:rFonts w:ascii="Arial" w:eastAsia="Calibri" w:hAnsi="Arial" w:cs="Arial"/>
          <w:bCs/>
          <w:sz w:val="26"/>
          <w:szCs w:val="26"/>
        </w:rPr>
        <w:t>autoridad demandada al Consejo D</w:t>
      </w:r>
      <w:r w:rsidR="00035D5D">
        <w:rPr>
          <w:rFonts w:ascii="Arial" w:eastAsia="Calibri" w:hAnsi="Arial" w:cs="Arial"/>
          <w:bCs/>
          <w:sz w:val="26"/>
          <w:szCs w:val="26"/>
        </w:rPr>
        <w:t>irectivo de Pensiones del Gobierno del Estado a través de su representante el Director General de la Oficina de Pensiones.</w:t>
      </w:r>
      <w:r w:rsidR="00E01EB9">
        <w:rPr>
          <w:rFonts w:ascii="Arial" w:eastAsia="Calibri" w:hAnsi="Arial" w:cs="Arial"/>
          <w:bCs/>
          <w:sz w:val="26"/>
          <w:szCs w:val="26"/>
        </w:rPr>
        <w:t xml:space="preserve"> - </w:t>
      </w:r>
    </w:p>
    <w:p w14:paraId="3D41F770" w14:textId="4FF3BD02" w:rsidR="00035D5D" w:rsidRDefault="00035D5D" w:rsidP="0042201D">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t>Mediante acuerdo dictado el 04 cuatro de mayo de 2017 dos mil diecisiete, el Magistrado</w:t>
      </w:r>
      <w:r w:rsidR="00B362FF">
        <w:rPr>
          <w:rFonts w:ascii="Arial" w:eastAsia="Calibri" w:hAnsi="Arial" w:cs="Arial"/>
          <w:bCs/>
          <w:sz w:val="26"/>
          <w:szCs w:val="26"/>
        </w:rPr>
        <w:t xml:space="preserve"> de la Cuarta Sala Unitaria de P</w:t>
      </w:r>
      <w:r>
        <w:rPr>
          <w:rFonts w:ascii="Arial" w:eastAsia="Calibri" w:hAnsi="Arial" w:cs="Arial"/>
          <w:bCs/>
          <w:sz w:val="26"/>
          <w:szCs w:val="26"/>
        </w:rPr>
        <w:t>rimera Instancia del otrora Tribunal de lo Contencioso Administrativo y de Cuentas del Poder Judicial del Estado de Oaxaca, admite a trámite la demanda de nulidad, y ordena correr traslado a la autoridad demandada.</w:t>
      </w:r>
      <w:r w:rsidR="00E01EB9">
        <w:rPr>
          <w:rFonts w:ascii="Arial" w:eastAsia="Calibri" w:hAnsi="Arial" w:cs="Arial"/>
          <w:bCs/>
          <w:sz w:val="26"/>
          <w:szCs w:val="26"/>
        </w:rPr>
        <w:t xml:space="preserve"> - - - - - - - - - - - - - - - </w:t>
      </w:r>
    </w:p>
    <w:p w14:paraId="3328154C" w14:textId="586BDE5F" w:rsidR="00035D5D" w:rsidRDefault="00E666AB" w:rsidP="0042201D">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t>Por acuerdo de 07 siete de julio de 2017, se tuvo a la autoridad contestando en tiempo la demanda y se señaló fecha y hora para la celebración de la audiencia final.</w:t>
      </w:r>
      <w:r w:rsidR="00E01EB9">
        <w:rPr>
          <w:rFonts w:ascii="Arial" w:eastAsia="Calibri" w:hAnsi="Arial" w:cs="Arial"/>
          <w:bCs/>
          <w:sz w:val="26"/>
          <w:szCs w:val="26"/>
        </w:rPr>
        <w:t xml:space="preserve"> - - - - - - - - - - - - - - - -</w:t>
      </w:r>
    </w:p>
    <w:p w14:paraId="38585A4D" w14:textId="1DBA333F" w:rsidR="003E5CE1" w:rsidRDefault="00E666AB" w:rsidP="0042201D">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t>El 21 veintiuno de agosto de 2017 dos mil diecisiete, se dictó sentencia en la</w:t>
      </w:r>
      <w:r w:rsidR="003E5CE1">
        <w:rPr>
          <w:rFonts w:ascii="Arial" w:eastAsia="Calibri" w:hAnsi="Arial" w:cs="Arial"/>
          <w:bCs/>
          <w:sz w:val="26"/>
          <w:szCs w:val="26"/>
        </w:rPr>
        <w:t xml:space="preserve"> cual se declaró la nulidad del contenido del oficio número </w:t>
      </w:r>
      <w:r w:rsidR="00555C8B">
        <w:rPr>
          <w:rFonts w:ascii="Arial" w:hAnsi="Arial" w:cs="Arial"/>
          <w:b/>
          <w:sz w:val="26"/>
          <w:szCs w:val="26"/>
        </w:rPr>
        <w:t>***********</w:t>
      </w:r>
      <w:r w:rsidR="00555C8B">
        <w:rPr>
          <w:rFonts w:ascii="Arial" w:hAnsi="Arial" w:cs="Arial"/>
          <w:b/>
          <w:sz w:val="26"/>
          <w:szCs w:val="26"/>
        </w:rPr>
        <w:t xml:space="preserve"> </w:t>
      </w:r>
      <w:r w:rsidR="003E5CE1">
        <w:rPr>
          <w:rFonts w:ascii="Arial" w:eastAsia="Calibri" w:hAnsi="Arial" w:cs="Arial"/>
          <w:bCs/>
          <w:sz w:val="26"/>
          <w:szCs w:val="26"/>
        </w:rPr>
        <w:t>de 13 trece de noviembre de 2012 dos mil doce, para el efecto de que la autoridad demandada Consejo Directivo de la Oficina de Pensiones a través del Director General de la Oficina de Pensiones:</w:t>
      </w:r>
      <w:r w:rsidR="00E01EB9">
        <w:rPr>
          <w:rFonts w:ascii="Arial" w:eastAsia="Calibri" w:hAnsi="Arial" w:cs="Arial"/>
          <w:bCs/>
          <w:sz w:val="26"/>
          <w:szCs w:val="26"/>
        </w:rPr>
        <w:t xml:space="preserve"> - - - - - </w:t>
      </w:r>
    </w:p>
    <w:p w14:paraId="0EF2D404" w14:textId="72297370" w:rsidR="00E666AB" w:rsidRDefault="003E5CE1" w:rsidP="003E5CE1">
      <w:pPr>
        <w:pStyle w:val="Sinespaciado"/>
        <w:numPr>
          <w:ilvl w:val="0"/>
          <w:numId w:val="15"/>
        </w:numPr>
        <w:spacing w:before="240" w:after="240" w:line="360" w:lineRule="auto"/>
        <w:jc w:val="both"/>
        <w:rPr>
          <w:rFonts w:ascii="Arial" w:eastAsia="Calibri" w:hAnsi="Arial" w:cs="Arial"/>
          <w:bCs/>
          <w:sz w:val="26"/>
          <w:szCs w:val="26"/>
        </w:rPr>
      </w:pPr>
      <w:r>
        <w:rPr>
          <w:rFonts w:ascii="Arial" w:eastAsia="Calibri" w:hAnsi="Arial" w:cs="Arial"/>
          <w:bCs/>
          <w:sz w:val="26"/>
          <w:szCs w:val="26"/>
        </w:rPr>
        <w:t>Deje insubsistente la resolución contenida e</w:t>
      </w:r>
      <w:r w:rsidR="00B362FF">
        <w:rPr>
          <w:rFonts w:ascii="Arial" w:eastAsia="Calibri" w:hAnsi="Arial" w:cs="Arial"/>
          <w:bCs/>
          <w:sz w:val="26"/>
          <w:szCs w:val="26"/>
        </w:rPr>
        <w:t>n</w:t>
      </w:r>
      <w:r>
        <w:rPr>
          <w:rFonts w:ascii="Arial" w:eastAsia="Calibri" w:hAnsi="Arial" w:cs="Arial"/>
          <w:bCs/>
          <w:sz w:val="26"/>
          <w:szCs w:val="26"/>
        </w:rPr>
        <w:t xml:space="preserve"> el oficio </w:t>
      </w:r>
      <w:r w:rsidR="00555C8B">
        <w:rPr>
          <w:rFonts w:ascii="Arial" w:hAnsi="Arial" w:cs="Arial"/>
          <w:b/>
          <w:sz w:val="26"/>
          <w:szCs w:val="26"/>
        </w:rPr>
        <w:t>***********</w:t>
      </w:r>
      <w:r>
        <w:rPr>
          <w:rFonts w:ascii="Arial" w:eastAsia="Calibri" w:hAnsi="Arial" w:cs="Arial"/>
          <w:bCs/>
          <w:sz w:val="26"/>
          <w:szCs w:val="26"/>
        </w:rPr>
        <w:t>, de 13 trece de noviembre de 2012 dos mil doce;</w:t>
      </w:r>
      <w:r w:rsidR="00A95A90">
        <w:rPr>
          <w:rFonts w:ascii="Arial" w:eastAsia="Calibri" w:hAnsi="Arial" w:cs="Arial"/>
          <w:bCs/>
          <w:sz w:val="26"/>
          <w:szCs w:val="26"/>
        </w:rPr>
        <w:t xml:space="preserve"> - - - - - - - - - - - - - - - - - - - - - - - </w:t>
      </w:r>
    </w:p>
    <w:p w14:paraId="57A036BA" w14:textId="462AB738" w:rsidR="003E5CE1" w:rsidRDefault="003E5CE1" w:rsidP="003E5CE1">
      <w:pPr>
        <w:pStyle w:val="Sinespaciado"/>
        <w:numPr>
          <w:ilvl w:val="0"/>
          <w:numId w:val="15"/>
        </w:numPr>
        <w:spacing w:before="240" w:after="240" w:line="360" w:lineRule="auto"/>
        <w:jc w:val="both"/>
        <w:rPr>
          <w:rFonts w:ascii="Arial" w:eastAsia="Calibri" w:hAnsi="Arial" w:cs="Arial"/>
          <w:bCs/>
          <w:sz w:val="26"/>
          <w:szCs w:val="26"/>
        </w:rPr>
      </w:pPr>
      <w:r>
        <w:rPr>
          <w:rFonts w:ascii="Arial" w:eastAsia="Calibri" w:hAnsi="Arial" w:cs="Arial"/>
          <w:bCs/>
          <w:sz w:val="26"/>
          <w:szCs w:val="26"/>
        </w:rPr>
        <w:t xml:space="preserve">Dicte otra resolución debidamente fundada y motivada en la cual se le otorgue al administrado las siguientes pretensiones: la previsión social múltiple, despensa, vida cara, quinquenios, estímulo del día del jubilado, canasta navideña, aguinaldo equivalente a setenta días de la cuantía diaria, como lo establece el artículo 54 fracción I de la Ley de Pensiones para los Trabajadores del </w:t>
      </w:r>
      <w:r w:rsidR="00A0763F">
        <w:rPr>
          <w:rFonts w:ascii="Arial" w:eastAsia="Calibri" w:hAnsi="Arial" w:cs="Arial"/>
          <w:bCs/>
          <w:sz w:val="26"/>
          <w:szCs w:val="26"/>
        </w:rPr>
        <w:t>Estado</w:t>
      </w:r>
      <w:r>
        <w:rPr>
          <w:rFonts w:ascii="Arial" w:eastAsia="Calibri" w:hAnsi="Arial" w:cs="Arial"/>
          <w:bCs/>
          <w:sz w:val="26"/>
          <w:szCs w:val="26"/>
        </w:rPr>
        <w:t>.</w:t>
      </w:r>
      <w:r w:rsidR="00A95A90">
        <w:rPr>
          <w:rFonts w:ascii="Arial" w:eastAsia="Calibri" w:hAnsi="Arial" w:cs="Arial"/>
          <w:bCs/>
          <w:sz w:val="26"/>
          <w:szCs w:val="26"/>
        </w:rPr>
        <w:t xml:space="preserve"> - - </w:t>
      </w:r>
    </w:p>
    <w:p w14:paraId="39FE470A" w14:textId="2421C0DC" w:rsidR="0042201D" w:rsidRDefault="001171AE" w:rsidP="00177DC8">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lastRenderedPageBreak/>
        <w:t xml:space="preserve">En contra de </w:t>
      </w:r>
      <w:r w:rsidR="00AA0131">
        <w:rPr>
          <w:rFonts w:ascii="Arial" w:eastAsia="Calibri" w:hAnsi="Arial" w:cs="Arial"/>
          <w:bCs/>
          <w:sz w:val="26"/>
          <w:szCs w:val="26"/>
        </w:rPr>
        <w:t>la sentencia de 21 veintiuno de agosto de 2017 dos mil diecisiete</w:t>
      </w:r>
      <w:r w:rsidR="00B362FF">
        <w:rPr>
          <w:rFonts w:ascii="Arial" w:eastAsia="Calibri" w:hAnsi="Arial" w:cs="Arial"/>
          <w:bCs/>
          <w:sz w:val="26"/>
          <w:szCs w:val="26"/>
        </w:rPr>
        <w:t>, el Director General de la O</w:t>
      </w:r>
      <w:r>
        <w:rPr>
          <w:rFonts w:ascii="Arial" w:eastAsia="Calibri" w:hAnsi="Arial" w:cs="Arial"/>
          <w:bCs/>
          <w:sz w:val="26"/>
          <w:szCs w:val="26"/>
        </w:rPr>
        <w:t>ficina de Pensiones, interpuso recurso de revisión, el cual se resolvió mediante resolución emitida el 07 siete de marzo de 2019 dos mil diecinueve, en la cual esta Sala Superior confirmó la sentencia recurrida.</w:t>
      </w:r>
      <w:r w:rsidR="00A95A90">
        <w:rPr>
          <w:rFonts w:ascii="Arial" w:eastAsia="Calibri" w:hAnsi="Arial" w:cs="Arial"/>
          <w:bCs/>
          <w:sz w:val="26"/>
          <w:szCs w:val="26"/>
        </w:rPr>
        <w:t xml:space="preserve"> - - - - - - - - - - - - - - - - - - - - - - - - - - - - - - - </w:t>
      </w:r>
    </w:p>
    <w:p w14:paraId="07166325" w14:textId="18304181" w:rsidR="00A177B6" w:rsidRDefault="00A177B6" w:rsidP="00177DC8">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t>Por acuerdo dictado el 08 de mayo de 2019 dos mil diecinueve, causó ejecutoria la sentencia y se requirió a la autoridad demanda</w:t>
      </w:r>
      <w:r w:rsidR="00915C26">
        <w:rPr>
          <w:rFonts w:ascii="Arial" w:eastAsia="Calibri" w:hAnsi="Arial" w:cs="Arial"/>
          <w:bCs/>
          <w:sz w:val="26"/>
          <w:szCs w:val="26"/>
        </w:rPr>
        <w:t>da, para que</w:t>
      </w:r>
      <w:r>
        <w:rPr>
          <w:rFonts w:ascii="Arial" w:eastAsia="Calibri" w:hAnsi="Arial" w:cs="Arial"/>
          <w:bCs/>
          <w:sz w:val="26"/>
          <w:szCs w:val="26"/>
        </w:rPr>
        <w:t xml:space="preserve"> diera cumplimiento a lo ordenado en la sentencia dictada el 21 veintiuno d</w:t>
      </w:r>
      <w:r w:rsidR="00B362FF">
        <w:rPr>
          <w:rFonts w:ascii="Arial" w:eastAsia="Calibri" w:hAnsi="Arial" w:cs="Arial"/>
          <w:bCs/>
          <w:sz w:val="26"/>
          <w:szCs w:val="26"/>
        </w:rPr>
        <w:t>e</w:t>
      </w:r>
      <w:r>
        <w:rPr>
          <w:rFonts w:ascii="Arial" w:eastAsia="Calibri" w:hAnsi="Arial" w:cs="Arial"/>
          <w:bCs/>
          <w:sz w:val="26"/>
          <w:szCs w:val="26"/>
        </w:rPr>
        <w:t xml:space="preserve"> agosto de 2017 dos mil diecisiete.</w:t>
      </w:r>
      <w:r w:rsidR="00A95A90">
        <w:rPr>
          <w:rFonts w:ascii="Arial" w:eastAsia="Calibri" w:hAnsi="Arial" w:cs="Arial"/>
          <w:bCs/>
          <w:sz w:val="26"/>
          <w:szCs w:val="26"/>
        </w:rPr>
        <w:t xml:space="preserve"> - - - - - - - - - - - - - - - - - - - - - - - - - - - - - - - - - - - - - -</w:t>
      </w:r>
    </w:p>
    <w:p w14:paraId="34171682" w14:textId="0CF68B79" w:rsidR="00A177B6" w:rsidRDefault="00A24F31" w:rsidP="00177DC8">
      <w:pPr>
        <w:pStyle w:val="Sinespaciado"/>
        <w:numPr>
          <w:ilvl w:val="0"/>
          <w:numId w:val="14"/>
        </w:numPr>
        <w:spacing w:before="240" w:after="240" w:line="360" w:lineRule="auto"/>
        <w:jc w:val="both"/>
        <w:rPr>
          <w:rFonts w:ascii="Arial" w:eastAsia="Calibri" w:hAnsi="Arial" w:cs="Arial"/>
          <w:bCs/>
          <w:sz w:val="26"/>
          <w:szCs w:val="26"/>
        </w:rPr>
      </w:pPr>
      <w:r>
        <w:rPr>
          <w:rFonts w:ascii="Arial" w:eastAsia="Calibri" w:hAnsi="Arial" w:cs="Arial"/>
          <w:bCs/>
          <w:sz w:val="26"/>
          <w:szCs w:val="26"/>
        </w:rPr>
        <w:t xml:space="preserve">Con fecha 05 cinco de octubre de </w:t>
      </w:r>
      <w:r w:rsidR="00B362FF">
        <w:rPr>
          <w:rFonts w:ascii="Arial" w:eastAsia="Calibri" w:hAnsi="Arial" w:cs="Arial"/>
          <w:bCs/>
          <w:sz w:val="26"/>
          <w:szCs w:val="26"/>
        </w:rPr>
        <w:t xml:space="preserve">2018 </w:t>
      </w:r>
      <w:r>
        <w:rPr>
          <w:rFonts w:ascii="Arial" w:eastAsia="Calibri" w:hAnsi="Arial" w:cs="Arial"/>
          <w:bCs/>
          <w:sz w:val="26"/>
          <w:szCs w:val="26"/>
        </w:rPr>
        <w:t xml:space="preserve">dos mil dieciocho, el actor interpuso recurso de queja en contra del defecto en la ejecución de la sentencia dictada el 31 treinta y uno de mayo de 2019 dos mil diecinueve; queja que se resolvió mediante resolución dictada el 06 seis de marzo </w:t>
      </w:r>
      <w:r w:rsidR="00B1483E">
        <w:rPr>
          <w:rFonts w:ascii="Arial" w:eastAsia="Calibri" w:hAnsi="Arial" w:cs="Arial"/>
          <w:bCs/>
          <w:sz w:val="26"/>
          <w:szCs w:val="26"/>
        </w:rPr>
        <w:t>de 2019 dos mil diecinueve</w:t>
      </w:r>
      <w:r>
        <w:rPr>
          <w:rFonts w:ascii="Arial" w:eastAsia="Calibri" w:hAnsi="Arial" w:cs="Arial"/>
          <w:bCs/>
          <w:sz w:val="26"/>
          <w:szCs w:val="26"/>
        </w:rPr>
        <w:t xml:space="preserve">, </w:t>
      </w:r>
      <w:r w:rsidR="0042722A">
        <w:rPr>
          <w:rFonts w:ascii="Arial" w:eastAsia="Calibri" w:hAnsi="Arial" w:cs="Arial"/>
          <w:bCs/>
          <w:sz w:val="26"/>
          <w:szCs w:val="26"/>
        </w:rPr>
        <w:t>declarándose fundada, por lo que se requiere a la autoridad demandada cumpla cabalmente en los términos establecidos en la referida sentencia.</w:t>
      </w:r>
      <w:r w:rsidR="00A95A90">
        <w:rPr>
          <w:rFonts w:ascii="Arial" w:eastAsia="Calibri" w:hAnsi="Arial" w:cs="Arial"/>
          <w:bCs/>
          <w:sz w:val="26"/>
          <w:szCs w:val="26"/>
        </w:rPr>
        <w:t xml:space="preserve"> - - - - - - - - - - - - - - - - - -</w:t>
      </w:r>
    </w:p>
    <w:p w14:paraId="498B4AEF" w14:textId="62602467" w:rsidR="0042201D" w:rsidRDefault="00332BA8" w:rsidP="001C61FC">
      <w:pPr>
        <w:pStyle w:val="Sinespaciado"/>
        <w:numPr>
          <w:ilvl w:val="0"/>
          <w:numId w:val="14"/>
        </w:numPr>
        <w:spacing w:before="240" w:after="240" w:line="360" w:lineRule="auto"/>
        <w:ind w:firstLine="708"/>
        <w:jc w:val="both"/>
        <w:rPr>
          <w:rFonts w:ascii="Arial" w:eastAsia="Calibri" w:hAnsi="Arial" w:cs="Arial"/>
          <w:bCs/>
          <w:sz w:val="26"/>
          <w:szCs w:val="26"/>
        </w:rPr>
      </w:pPr>
      <w:r w:rsidRPr="00332BA8">
        <w:rPr>
          <w:rFonts w:ascii="Arial" w:eastAsia="Calibri" w:hAnsi="Arial" w:cs="Arial"/>
          <w:bCs/>
          <w:sz w:val="26"/>
          <w:szCs w:val="26"/>
        </w:rPr>
        <w:t>Mediante proveído dictado el 25 veinticinco de junio de 2019 dos mil diecinueve, se tiene a la autoridad demandada en vías de cumplimiento</w:t>
      </w:r>
      <w:r w:rsidR="006E09DD">
        <w:rPr>
          <w:rFonts w:ascii="Arial" w:eastAsia="Calibri" w:hAnsi="Arial" w:cs="Arial"/>
          <w:bCs/>
          <w:sz w:val="26"/>
          <w:szCs w:val="26"/>
        </w:rPr>
        <w:t xml:space="preserve">; asimismo, </w:t>
      </w:r>
      <w:r w:rsidRPr="00332BA8">
        <w:rPr>
          <w:rFonts w:ascii="Arial" w:eastAsia="Calibri" w:hAnsi="Arial" w:cs="Arial"/>
          <w:bCs/>
          <w:sz w:val="26"/>
          <w:szCs w:val="26"/>
        </w:rPr>
        <w:t>se ordena dar vista a la parte actora con el oficio y anexos exhibidos por la demandada, para que manifieste lo que a su derecho convenga respecto a dicho cumplimiento</w:t>
      </w:r>
      <w:r>
        <w:rPr>
          <w:rFonts w:ascii="Arial" w:eastAsia="Calibri" w:hAnsi="Arial" w:cs="Arial"/>
          <w:bCs/>
          <w:sz w:val="26"/>
          <w:szCs w:val="26"/>
        </w:rPr>
        <w:t>, apercibiéndolo que de no hacerlo, se tendrá por cumplida la sentencia y como total y definitivamente concluido el presente asunto, y se ordenará dar de baja el mismo en el libro de expediente de esa Sala Unitaria</w:t>
      </w:r>
      <w:r w:rsidR="006E09DD">
        <w:rPr>
          <w:rFonts w:ascii="Arial" w:eastAsia="Calibri" w:hAnsi="Arial" w:cs="Arial"/>
          <w:bCs/>
          <w:sz w:val="26"/>
          <w:szCs w:val="26"/>
        </w:rPr>
        <w:t>;</w:t>
      </w:r>
      <w:r w:rsidR="00A95A90">
        <w:rPr>
          <w:rFonts w:ascii="Arial" w:eastAsia="Calibri" w:hAnsi="Arial" w:cs="Arial"/>
          <w:bCs/>
          <w:sz w:val="26"/>
          <w:szCs w:val="26"/>
        </w:rPr>
        <w:t xml:space="preserve"> - - - - - - </w:t>
      </w:r>
    </w:p>
    <w:p w14:paraId="77F2E8FA" w14:textId="7DBE2C77" w:rsidR="0092448D" w:rsidRDefault="00332BA8" w:rsidP="001C61FC">
      <w:pPr>
        <w:pStyle w:val="Sinespaciado"/>
        <w:numPr>
          <w:ilvl w:val="0"/>
          <w:numId w:val="14"/>
        </w:numPr>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acuerdo de 15 quince de julio de 2019 dos mil diecinueve, se admite el recurso de queja </w:t>
      </w:r>
      <w:r w:rsidR="006E09DD">
        <w:rPr>
          <w:rFonts w:ascii="Arial" w:eastAsia="Calibri" w:hAnsi="Arial" w:cs="Arial"/>
          <w:bCs/>
          <w:sz w:val="26"/>
          <w:szCs w:val="26"/>
        </w:rPr>
        <w:t xml:space="preserve">interpuesto por Rito Manuel Pérez Romero, </w:t>
      </w:r>
      <w:r>
        <w:rPr>
          <w:rFonts w:ascii="Arial" w:eastAsia="Calibri" w:hAnsi="Arial" w:cs="Arial"/>
          <w:bCs/>
          <w:sz w:val="26"/>
          <w:szCs w:val="26"/>
        </w:rPr>
        <w:t xml:space="preserve">en contra del defecto de la ejecución de la sentencia; </w:t>
      </w:r>
      <w:r w:rsidR="00A95A90">
        <w:rPr>
          <w:rFonts w:ascii="Arial" w:eastAsia="Calibri" w:hAnsi="Arial" w:cs="Arial"/>
          <w:bCs/>
          <w:sz w:val="26"/>
          <w:szCs w:val="26"/>
        </w:rPr>
        <w:t>- - - - - - - - - - - - - - - - - - - - - - - - - - - - - - - - - -</w:t>
      </w:r>
    </w:p>
    <w:p w14:paraId="669EA066" w14:textId="7190B6AB" w:rsidR="00332BA8" w:rsidRDefault="0092448D" w:rsidP="0092448D">
      <w:pPr>
        <w:pStyle w:val="Sinespaciado"/>
        <w:spacing w:before="240" w:after="240" w:line="360" w:lineRule="auto"/>
        <w:ind w:left="1068" w:firstLine="633"/>
        <w:jc w:val="both"/>
        <w:rPr>
          <w:rFonts w:ascii="Arial" w:eastAsia="Calibri" w:hAnsi="Arial" w:cs="Arial"/>
          <w:bCs/>
          <w:sz w:val="26"/>
          <w:szCs w:val="26"/>
        </w:rPr>
      </w:pPr>
      <w:r>
        <w:rPr>
          <w:rFonts w:ascii="Arial" w:eastAsia="Calibri" w:hAnsi="Arial" w:cs="Arial"/>
          <w:bCs/>
          <w:sz w:val="26"/>
          <w:szCs w:val="26"/>
        </w:rPr>
        <w:t>10) M</w:t>
      </w:r>
      <w:r w:rsidR="00332BA8">
        <w:rPr>
          <w:rFonts w:ascii="Arial" w:eastAsia="Calibri" w:hAnsi="Arial" w:cs="Arial"/>
          <w:bCs/>
          <w:sz w:val="26"/>
          <w:szCs w:val="26"/>
        </w:rPr>
        <w:t xml:space="preserve">ediante resolución emitida el 30 treinta de septiembre de 2019 dos mil diecinueve, se declara improcedente la queja al considerar que no existe por parte de la autoridad demandada, defecto en la ejecución de la </w:t>
      </w:r>
      <w:r w:rsidR="00332BA8">
        <w:rPr>
          <w:rFonts w:ascii="Arial" w:eastAsia="Calibri" w:hAnsi="Arial" w:cs="Arial"/>
          <w:bCs/>
          <w:sz w:val="26"/>
          <w:szCs w:val="26"/>
        </w:rPr>
        <w:lastRenderedPageBreak/>
        <w:t>sentencia dictada en el juicio principal y confirmada por esta Sala Superior</w:t>
      </w:r>
      <w:r w:rsidR="00642A1E">
        <w:rPr>
          <w:rFonts w:ascii="Arial" w:eastAsia="Calibri" w:hAnsi="Arial" w:cs="Arial"/>
          <w:bCs/>
          <w:sz w:val="26"/>
          <w:szCs w:val="26"/>
        </w:rPr>
        <w:t>;</w:t>
      </w:r>
      <w:r w:rsidR="00A95A90">
        <w:rPr>
          <w:rFonts w:ascii="Arial" w:eastAsia="Calibri" w:hAnsi="Arial" w:cs="Arial"/>
          <w:bCs/>
          <w:sz w:val="26"/>
          <w:szCs w:val="26"/>
        </w:rPr>
        <w:t xml:space="preserve"> - - - - - - - - - - - - - - - - - - - - - - - - - - - - - - - - - - -</w:t>
      </w:r>
    </w:p>
    <w:p w14:paraId="346B2B65" w14:textId="0420C45C" w:rsidR="00A901D4" w:rsidRDefault="00A901D4" w:rsidP="00A901D4">
      <w:pPr>
        <w:pStyle w:val="Sinespaciado"/>
        <w:spacing w:before="240" w:after="240" w:line="360" w:lineRule="auto"/>
        <w:ind w:left="993" w:firstLine="708"/>
        <w:jc w:val="both"/>
        <w:rPr>
          <w:rFonts w:ascii="Arial" w:eastAsia="Calibri" w:hAnsi="Arial" w:cs="Arial"/>
          <w:bCs/>
          <w:sz w:val="26"/>
          <w:szCs w:val="26"/>
        </w:rPr>
      </w:pPr>
      <w:r>
        <w:rPr>
          <w:rFonts w:ascii="Arial" w:eastAsia="Calibri" w:hAnsi="Arial" w:cs="Arial"/>
          <w:bCs/>
          <w:sz w:val="26"/>
          <w:szCs w:val="26"/>
        </w:rPr>
        <w:t>1</w:t>
      </w:r>
      <w:r w:rsidR="006E09DD">
        <w:rPr>
          <w:rFonts w:ascii="Arial" w:eastAsia="Calibri" w:hAnsi="Arial" w:cs="Arial"/>
          <w:bCs/>
          <w:sz w:val="26"/>
          <w:szCs w:val="26"/>
        </w:rPr>
        <w:t>1</w:t>
      </w:r>
      <w:r>
        <w:rPr>
          <w:rFonts w:ascii="Arial" w:eastAsia="Calibri" w:hAnsi="Arial" w:cs="Arial"/>
          <w:bCs/>
          <w:sz w:val="26"/>
          <w:szCs w:val="26"/>
        </w:rPr>
        <w:t xml:space="preserve">) Por acuerdo dictado el 15 quince de mayo de 2019 dos mil diecinueve, se declara que ha causado estado la resolución de 30 treinta de septiembre de 2019 dos mil diecinueve, al no haberse interpuesto en su contra recurso de revisión y en consecuencia, se declaró como total y definitivamente concluido el presente asunto, por lo que se ordenó dar de baja del libro de control de expediente de la Sala de Primera Instancia y su </w:t>
      </w:r>
      <w:r w:rsidRPr="00B74213">
        <w:rPr>
          <w:rFonts w:ascii="Arial" w:eastAsia="Calibri" w:hAnsi="Arial" w:cs="Arial"/>
          <w:bCs/>
          <w:sz w:val="26"/>
          <w:szCs w:val="26"/>
        </w:rPr>
        <w:t>archivo.</w:t>
      </w:r>
      <w:r w:rsidR="00A95A90">
        <w:rPr>
          <w:rFonts w:ascii="Arial" w:eastAsia="Calibri" w:hAnsi="Arial" w:cs="Arial"/>
          <w:bCs/>
          <w:sz w:val="26"/>
          <w:szCs w:val="26"/>
        </w:rPr>
        <w:t xml:space="preserve"> - - - - - - - - - - - - - - - - - - - - - </w:t>
      </w:r>
    </w:p>
    <w:p w14:paraId="65F89151" w14:textId="17CDB97A" w:rsidR="00E178DE" w:rsidRDefault="003455B5" w:rsidP="003455B5">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w:t>
      </w:r>
      <w:r w:rsidR="00A5287E">
        <w:rPr>
          <w:rFonts w:ascii="Arial" w:eastAsia="Calibri" w:hAnsi="Arial" w:cs="Arial"/>
          <w:bCs/>
          <w:sz w:val="26"/>
          <w:szCs w:val="26"/>
        </w:rPr>
        <w:t xml:space="preserve">anterior, </w:t>
      </w:r>
      <w:r w:rsidR="00E178DE">
        <w:rPr>
          <w:rFonts w:ascii="Arial" w:eastAsia="Calibri" w:hAnsi="Arial" w:cs="Arial"/>
          <w:bCs/>
          <w:sz w:val="26"/>
          <w:szCs w:val="26"/>
        </w:rPr>
        <w:t>se advierte que</w:t>
      </w:r>
      <w:r w:rsidR="00A5287E">
        <w:rPr>
          <w:rFonts w:ascii="Arial" w:eastAsia="Calibri" w:hAnsi="Arial" w:cs="Arial"/>
          <w:bCs/>
          <w:sz w:val="26"/>
          <w:szCs w:val="26"/>
        </w:rPr>
        <w:t xml:space="preserve"> asiste razón al recurrente </w:t>
      </w:r>
      <w:r w:rsidR="00E178DE">
        <w:rPr>
          <w:rFonts w:ascii="Arial" w:eastAsia="Calibri" w:hAnsi="Arial" w:cs="Arial"/>
          <w:bCs/>
          <w:sz w:val="26"/>
          <w:szCs w:val="26"/>
        </w:rPr>
        <w:t xml:space="preserve">en cuanto a que el  artículo 206 de la Ley de Justicia Administrativa para el Estado de Oaxaca, ordenamiento legal vigente en el momento en que se promovió el juicio de nulidad, </w:t>
      </w:r>
      <w:r w:rsidR="00E178DE" w:rsidRPr="00A5287E">
        <w:rPr>
          <w:rFonts w:ascii="Arial" w:eastAsia="Calibri" w:hAnsi="Arial" w:cs="Arial"/>
          <w:bCs/>
          <w:sz w:val="26"/>
          <w:szCs w:val="26"/>
          <w:u w:val="single"/>
        </w:rPr>
        <w:t>y no el 236 de la Ley de Procedimiento y Justicia Administrativa para el Estado de Oaxaca,</w:t>
      </w:r>
      <w:r w:rsidR="00E178DE">
        <w:rPr>
          <w:rFonts w:ascii="Arial" w:eastAsia="Calibri" w:hAnsi="Arial" w:cs="Arial"/>
          <w:bCs/>
          <w:sz w:val="26"/>
          <w:szCs w:val="26"/>
        </w:rPr>
        <w:t xml:space="preserve"> </w:t>
      </w:r>
      <w:r w:rsidR="00E178DE" w:rsidRPr="007E7076">
        <w:rPr>
          <w:rFonts w:ascii="Arial" w:eastAsia="Calibri" w:hAnsi="Arial" w:cs="Arial"/>
          <w:bCs/>
          <w:sz w:val="26"/>
          <w:szCs w:val="26"/>
          <w:u w:val="single"/>
        </w:rPr>
        <w:t>como lo refiere</w:t>
      </w:r>
      <w:r w:rsidR="00E178DE">
        <w:rPr>
          <w:rFonts w:ascii="Arial" w:eastAsia="Calibri" w:hAnsi="Arial" w:cs="Arial"/>
          <w:bCs/>
          <w:sz w:val="26"/>
          <w:szCs w:val="26"/>
        </w:rPr>
        <w:t xml:space="preserve">, no establece que se puede interponer recurso de revisión en contra de la resolución que resuelve el recurso de queja, toda vez que dicho precepto </w:t>
      </w:r>
      <w:r w:rsidR="003F7211">
        <w:rPr>
          <w:rFonts w:ascii="Arial" w:eastAsia="Calibri" w:hAnsi="Arial" w:cs="Arial"/>
          <w:bCs/>
          <w:sz w:val="26"/>
          <w:szCs w:val="26"/>
        </w:rPr>
        <w:t>dispone</w:t>
      </w:r>
      <w:r w:rsidR="00E178DE">
        <w:rPr>
          <w:rFonts w:ascii="Arial" w:eastAsia="Calibri" w:hAnsi="Arial" w:cs="Arial"/>
          <w:bCs/>
          <w:sz w:val="26"/>
          <w:szCs w:val="26"/>
        </w:rPr>
        <w:t xml:space="preserve"> lo siguiente:</w:t>
      </w:r>
      <w:r w:rsidR="00A95A90">
        <w:rPr>
          <w:rFonts w:ascii="Arial" w:eastAsia="Calibri" w:hAnsi="Arial" w:cs="Arial"/>
          <w:bCs/>
          <w:sz w:val="26"/>
          <w:szCs w:val="26"/>
        </w:rPr>
        <w:t xml:space="preserve"> - - - - - - - - - - - - - - - - - - - - - - - - - - - - - - - - - - - - -</w:t>
      </w:r>
    </w:p>
    <w:p w14:paraId="2D95EFC4" w14:textId="62A7407E" w:rsidR="0048071E" w:rsidRPr="0048071E" w:rsidRDefault="0048071E" w:rsidP="00C64728">
      <w:pPr>
        <w:pStyle w:val="Sinespaciado"/>
        <w:spacing w:line="276" w:lineRule="auto"/>
        <w:ind w:left="851" w:right="758" w:firstLine="709"/>
        <w:jc w:val="both"/>
        <w:rPr>
          <w:rFonts w:ascii="Arial" w:eastAsia="Calibri" w:hAnsi="Arial" w:cs="Arial"/>
          <w:bCs/>
          <w:i/>
          <w:iCs/>
        </w:rPr>
      </w:pPr>
      <w:r w:rsidRPr="0048071E">
        <w:rPr>
          <w:rFonts w:ascii="Arial" w:eastAsia="Calibri" w:hAnsi="Arial" w:cs="Arial"/>
          <w:b/>
          <w:i/>
          <w:iCs/>
        </w:rPr>
        <w:t>“ARTICULO 206</w:t>
      </w:r>
      <w:r w:rsidRPr="0048071E">
        <w:rPr>
          <w:rFonts w:ascii="Arial" w:eastAsia="Calibri" w:hAnsi="Arial" w:cs="Arial"/>
          <w:bCs/>
          <w:i/>
          <w:iCs/>
        </w:rPr>
        <w:t xml:space="preserve">.- </w:t>
      </w:r>
      <w:r w:rsidR="007D1ED0">
        <w:rPr>
          <w:rFonts w:ascii="Arial" w:eastAsia="Calibri" w:hAnsi="Arial" w:cs="Arial"/>
          <w:bCs/>
          <w:i/>
          <w:iCs/>
        </w:rPr>
        <w:t>Contra los acuerdos y resoluciones dictados por las salas unitarias de primera instancia, procede el recurso de revisión, cuyo conocimiento y resolución corresponde a la Sala Superior</w:t>
      </w:r>
      <w:r w:rsidRPr="0048071E">
        <w:rPr>
          <w:rFonts w:ascii="Arial" w:eastAsia="Calibri" w:hAnsi="Arial" w:cs="Arial"/>
          <w:bCs/>
          <w:i/>
          <w:iCs/>
        </w:rPr>
        <w:t xml:space="preserve">: </w:t>
      </w:r>
    </w:p>
    <w:p w14:paraId="78201254" w14:textId="4FD217BA" w:rsidR="0048071E" w:rsidRDefault="0048071E" w:rsidP="00C64728">
      <w:pPr>
        <w:pStyle w:val="Sinespaciado"/>
        <w:spacing w:line="276" w:lineRule="auto"/>
        <w:ind w:left="851" w:right="758" w:firstLine="709"/>
        <w:jc w:val="both"/>
        <w:rPr>
          <w:rFonts w:ascii="Arial" w:eastAsia="Calibri" w:hAnsi="Arial" w:cs="Arial"/>
          <w:bCs/>
          <w:i/>
          <w:iCs/>
        </w:rPr>
      </w:pPr>
      <w:r w:rsidRPr="0048071E">
        <w:rPr>
          <w:rFonts w:ascii="Arial" w:eastAsia="Calibri" w:hAnsi="Arial" w:cs="Arial"/>
          <w:bCs/>
          <w:i/>
          <w:iCs/>
        </w:rPr>
        <w:t xml:space="preserve"> I. </w:t>
      </w:r>
      <w:r w:rsidR="00D80AB7">
        <w:rPr>
          <w:rFonts w:ascii="Arial" w:eastAsia="Calibri" w:hAnsi="Arial" w:cs="Arial"/>
          <w:bCs/>
          <w:i/>
          <w:iCs/>
        </w:rPr>
        <w:t>Los acuerdos que admitan o desechen la demanda, su contestación o</w:t>
      </w:r>
      <w:r w:rsidRPr="0048071E">
        <w:rPr>
          <w:rFonts w:ascii="Arial" w:eastAsia="Calibri" w:hAnsi="Arial" w:cs="Arial"/>
          <w:bCs/>
          <w:i/>
          <w:iCs/>
        </w:rPr>
        <w:t xml:space="preserve"> ampliación;  </w:t>
      </w:r>
    </w:p>
    <w:p w14:paraId="49E99F7C" w14:textId="3A69B3CD" w:rsidR="0048071E" w:rsidRPr="0048071E" w:rsidRDefault="0048071E" w:rsidP="00C64728">
      <w:pPr>
        <w:pStyle w:val="Sinespaciado"/>
        <w:spacing w:line="276" w:lineRule="auto"/>
        <w:ind w:left="851" w:right="758" w:firstLine="709"/>
        <w:jc w:val="both"/>
        <w:rPr>
          <w:rFonts w:ascii="Arial" w:eastAsia="Calibri" w:hAnsi="Arial" w:cs="Arial"/>
          <w:bCs/>
          <w:i/>
          <w:iCs/>
        </w:rPr>
      </w:pPr>
      <w:r w:rsidRPr="0048071E">
        <w:rPr>
          <w:rFonts w:ascii="Arial" w:eastAsia="Calibri" w:hAnsi="Arial" w:cs="Arial"/>
          <w:bCs/>
          <w:i/>
          <w:iCs/>
        </w:rPr>
        <w:t xml:space="preserve"> II. </w:t>
      </w:r>
      <w:r w:rsidR="00D80AB7">
        <w:rPr>
          <w:rFonts w:ascii="Arial" w:eastAsia="Calibri" w:hAnsi="Arial" w:cs="Arial"/>
          <w:bCs/>
          <w:i/>
          <w:iCs/>
        </w:rPr>
        <w:t>El acuerdo que deseche pruebas;</w:t>
      </w:r>
      <w:r w:rsidRPr="0048071E">
        <w:rPr>
          <w:rFonts w:ascii="Arial" w:eastAsia="Calibri" w:hAnsi="Arial" w:cs="Arial"/>
          <w:bCs/>
          <w:i/>
          <w:iCs/>
        </w:rPr>
        <w:t xml:space="preserve">  </w:t>
      </w:r>
    </w:p>
    <w:p w14:paraId="418B3C7C" w14:textId="540A641A" w:rsidR="0048071E" w:rsidRPr="0048071E" w:rsidRDefault="0048071E" w:rsidP="00C64728">
      <w:pPr>
        <w:pStyle w:val="Sinespaciado"/>
        <w:spacing w:line="276" w:lineRule="auto"/>
        <w:ind w:left="851" w:right="900" w:firstLine="709"/>
        <w:jc w:val="both"/>
        <w:rPr>
          <w:rFonts w:ascii="Arial" w:eastAsia="Calibri" w:hAnsi="Arial" w:cs="Arial"/>
          <w:bCs/>
          <w:i/>
          <w:iCs/>
        </w:rPr>
      </w:pPr>
      <w:r w:rsidRPr="0048071E">
        <w:rPr>
          <w:rFonts w:ascii="Arial" w:eastAsia="Calibri" w:hAnsi="Arial" w:cs="Arial"/>
          <w:bCs/>
          <w:i/>
          <w:iCs/>
        </w:rPr>
        <w:t xml:space="preserve">III. </w:t>
      </w:r>
      <w:r w:rsidR="00D80AB7">
        <w:rPr>
          <w:rFonts w:ascii="Arial" w:eastAsia="Calibri" w:hAnsi="Arial" w:cs="Arial"/>
          <w:bCs/>
          <w:i/>
          <w:iCs/>
        </w:rPr>
        <w:t>El acuerdo que rechace la intervención del tercero</w:t>
      </w:r>
      <w:r w:rsidRPr="0048071E">
        <w:rPr>
          <w:rFonts w:ascii="Arial" w:eastAsia="Calibri" w:hAnsi="Arial" w:cs="Arial"/>
          <w:bCs/>
          <w:i/>
          <w:iCs/>
        </w:rPr>
        <w:t xml:space="preserve">;  </w:t>
      </w:r>
    </w:p>
    <w:p w14:paraId="4CF41547" w14:textId="582E8D66" w:rsidR="00E178DE" w:rsidRPr="0048071E" w:rsidRDefault="0048071E" w:rsidP="00C64728">
      <w:pPr>
        <w:pStyle w:val="Sinespaciado"/>
        <w:spacing w:line="276" w:lineRule="auto"/>
        <w:ind w:left="851" w:right="900" w:firstLine="709"/>
        <w:jc w:val="both"/>
        <w:rPr>
          <w:rFonts w:ascii="Arial" w:eastAsia="Calibri" w:hAnsi="Arial" w:cs="Arial"/>
          <w:bCs/>
          <w:i/>
          <w:iCs/>
        </w:rPr>
      </w:pPr>
      <w:r w:rsidRPr="0048071E">
        <w:rPr>
          <w:rFonts w:ascii="Arial" w:eastAsia="Calibri" w:hAnsi="Arial" w:cs="Arial"/>
          <w:bCs/>
          <w:i/>
          <w:iCs/>
        </w:rPr>
        <w:t xml:space="preserve">IV. </w:t>
      </w:r>
      <w:r w:rsidR="00D80AB7">
        <w:rPr>
          <w:rFonts w:ascii="Arial" w:eastAsia="Calibri" w:hAnsi="Arial" w:cs="Arial"/>
          <w:bCs/>
          <w:i/>
          <w:iCs/>
        </w:rPr>
        <w:t>Los acuerdos que decreten, nieguen o revoquen la suspensión</w:t>
      </w:r>
      <w:r w:rsidRPr="0048071E">
        <w:rPr>
          <w:rFonts w:ascii="Arial" w:eastAsia="Calibri" w:hAnsi="Arial" w:cs="Arial"/>
          <w:bCs/>
          <w:i/>
          <w:iCs/>
        </w:rPr>
        <w:t>;</w:t>
      </w:r>
    </w:p>
    <w:p w14:paraId="592DB513" w14:textId="225EFD01" w:rsidR="0048071E" w:rsidRPr="0048071E" w:rsidRDefault="0048071E" w:rsidP="00C64728">
      <w:pPr>
        <w:pStyle w:val="Sinespaciado"/>
        <w:spacing w:line="276" w:lineRule="auto"/>
        <w:ind w:left="851" w:right="900" w:firstLine="709"/>
        <w:jc w:val="both"/>
        <w:rPr>
          <w:rFonts w:ascii="Arial" w:eastAsia="Calibri" w:hAnsi="Arial" w:cs="Arial"/>
          <w:bCs/>
          <w:i/>
          <w:iCs/>
        </w:rPr>
      </w:pPr>
      <w:r w:rsidRPr="0048071E">
        <w:rPr>
          <w:rFonts w:ascii="Arial" w:eastAsia="Calibri" w:hAnsi="Arial" w:cs="Arial"/>
          <w:bCs/>
          <w:i/>
          <w:iCs/>
        </w:rPr>
        <w:t xml:space="preserve">V. </w:t>
      </w:r>
      <w:r w:rsidR="00D80AB7">
        <w:rPr>
          <w:rFonts w:ascii="Arial" w:eastAsia="Calibri" w:hAnsi="Arial" w:cs="Arial"/>
          <w:bCs/>
          <w:i/>
          <w:iCs/>
        </w:rPr>
        <w:t>Las resoluciones que decidan incidentes</w:t>
      </w:r>
      <w:r w:rsidRPr="0048071E">
        <w:rPr>
          <w:rFonts w:ascii="Arial" w:eastAsia="Calibri" w:hAnsi="Arial" w:cs="Arial"/>
          <w:bCs/>
          <w:i/>
          <w:iCs/>
        </w:rPr>
        <w:t xml:space="preserve">;  </w:t>
      </w:r>
    </w:p>
    <w:p w14:paraId="11CA5D56" w14:textId="72737426" w:rsidR="0048071E" w:rsidRPr="0048071E" w:rsidRDefault="0048071E" w:rsidP="00C64728">
      <w:pPr>
        <w:pStyle w:val="Sinespaciado"/>
        <w:spacing w:line="276" w:lineRule="auto"/>
        <w:ind w:left="1134" w:right="900" w:firstLine="426"/>
        <w:jc w:val="both"/>
        <w:rPr>
          <w:rFonts w:ascii="Arial" w:eastAsia="Calibri" w:hAnsi="Arial" w:cs="Arial"/>
          <w:bCs/>
          <w:i/>
          <w:iCs/>
        </w:rPr>
      </w:pPr>
      <w:r w:rsidRPr="0048071E">
        <w:rPr>
          <w:rFonts w:ascii="Arial" w:eastAsia="Calibri" w:hAnsi="Arial" w:cs="Arial"/>
          <w:bCs/>
          <w:i/>
          <w:iCs/>
        </w:rPr>
        <w:t xml:space="preserve">VI.  </w:t>
      </w:r>
      <w:r w:rsidR="00D80AB7">
        <w:rPr>
          <w:rFonts w:ascii="Arial" w:eastAsia="Calibri" w:hAnsi="Arial" w:cs="Arial"/>
          <w:bCs/>
          <w:i/>
          <w:iCs/>
        </w:rPr>
        <w:t>Las resoluciones que decreten o nieguen el sobreseimiento</w:t>
      </w:r>
      <w:r w:rsidRPr="0048071E">
        <w:rPr>
          <w:rFonts w:ascii="Arial" w:eastAsia="Calibri" w:hAnsi="Arial" w:cs="Arial"/>
          <w:bCs/>
          <w:i/>
          <w:iCs/>
        </w:rPr>
        <w:t xml:space="preserve">;  </w:t>
      </w:r>
    </w:p>
    <w:p w14:paraId="0509BC11" w14:textId="2F035B24" w:rsidR="0048071E" w:rsidRPr="0048071E" w:rsidRDefault="0048071E" w:rsidP="00C64728">
      <w:pPr>
        <w:pStyle w:val="Sinespaciado"/>
        <w:spacing w:line="276" w:lineRule="auto"/>
        <w:ind w:left="1134" w:right="900" w:firstLine="426"/>
        <w:jc w:val="both"/>
        <w:rPr>
          <w:rFonts w:ascii="Arial" w:eastAsia="Calibri" w:hAnsi="Arial" w:cs="Arial"/>
          <w:bCs/>
          <w:i/>
          <w:iCs/>
        </w:rPr>
      </w:pPr>
      <w:r w:rsidRPr="0048071E">
        <w:rPr>
          <w:rFonts w:ascii="Arial" w:eastAsia="Calibri" w:hAnsi="Arial" w:cs="Arial"/>
          <w:bCs/>
          <w:i/>
          <w:iCs/>
        </w:rPr>
        <w:t xml:space="preserve">VII. </w:t>
      </w:r>
      <w:r w:rsidR="00D80AB7">
        <w:rPr>
          <w:rFonts w:ascii="Arial" w:eastAsia="Calibri" w:hAnsi="Arial" w:cs="Arial"/>
          <w:bCs/>
          <w:i/>
          <w:iCs/>
        </w:rPr>
        <w:t>Las sentencias que decidan la cuestión planteada. Por violaciones cometidas durante el procedimiento del juicio, cuando hayan dejado sin defensa al recurrente y trasciendan el sentido de la sentencia</w:t>
      </w:r>
      <w:r w:rsidRPr="0048071E">
        <w:rPr>
          <w:rFonts w:ascii="Arial" w:eastAsia="Calibri" w:hAnsi="Arial" w:cs="Arial"/>
          <w:bCs/>
          <w:i/>
          <w:iCs/>
        </w:rPr>
        <w:t>, y</w:t>
      </w:r>
      <w:r w:rsidR="00D80AB7">
        <w:rPr>
          <w:rFonts w:ascii="Arial" w:eastAsia="Calibri" w:hAnsi="Arial" w:cs="Arial"/>
          <w:bCs/>
          <w:i/>
          <w:iCs/>
        </w:rPr>
        <w:t>,</w:t>
      </w:r>
      <w:r w:rsidRPr="0048071E">
        <w:rPr>
          <w:rFonts w:ascii="Arial" w:eastAsia="Calibri" w:hAnsi="Arial" w:cs="Arial"/>
          <w:bCs/>
          <w:i/>
          <w:iCs/>
        </w:rPr>
        <w:t xml:space="preserve">  </w:t>
      </w:r>
    </w:p>
    <w:p w14:paraId="7D6279B2" w14:textId="63CDDAF4" w:rsidR="0048071E" w:rsidRDefault="0048071E" w:rsidP="00C64728">
      <w:pPr>
        <w:pStyle w:val="Sinespaciado"/>
        <w:spacing w:line="276" w:lineRule="auto"/>
        <w:ind w:left="1134" w:right="900" w:firstLine="426"/>
        <w:jc w:val="both"/>
        <w:rPr>
          <w:rFonts w:ascii="Arial" w:eastAsia="Calibri" w:hAnsi="Arial" w:cs="Arial"/>
          <w:bCs/>
          <w:i/>
          <w:iCs/>
        </w:rPr>
      </w:pPr>
      <w:r w:rsidRPr="0048071E">
        <w:rPr>
          <w:rFonts w:ascii="Arial" w:eastAsia="Calibri" w:hAnsi="Arial" w:cs="Arial"/>
          <w:bCs/>
          <w:i/>
          <w:iCs/>
        </w:rPr>
        <w:t xml:space="preserve">VIII. </w:t>
      </w:r>
      <w:r w:rsidR="00D80AB7">
        <w:rPr>
          <w:rFonts w:ascii="Arial" w:eastAsia="Calibri" w:hAnsi="Arial" w:cs="Arial"/>
          <w:bCs/>
          <w:i/>
          <w:iCs/>
        </w:rPr>
        <w:t xml:space="preserve">Las resoluciones que pongan fin al procedimiento de ejecución de la </w:t>
      </w:r>
      <w:r w:rsidR="00E74CE5">
        <w:rPr>
          <w:rFonts w:ascii="Arial" w:eastAsia="Calibri" w:hAnsi="Arial" w:cs="Arial"/>
          <w:bCs/>
          <w:i/>
          <w:iCs/>
        </w:rPr>
        <w:t>sentencia</w:t>
      </w:r>
      <w:r w:rsidRPr="0048071E">
        <w:rPr>
          <w:rFonts w:ascii="Arial" w:eastAsia="Calibri" w:hAnsi="Arial" w:cs="Arial"/>
          <w:bCs/>
          <w:i/>
          <w:iCs/>
        </w:rPr>
        <w:t>.</w:t>
      </w:r>
      <w:r w:rsidR="006F6707">
        <w:rPr>
          <w:rFonts w:ascii="Arial" w:eastAsia="Calibri" w:hAnsi="Arial" w:cs="Arial"/>
          <w:bCs/>
          <w:i/>
          <w:iCs/>
        </w:rPr>
        <w:t>”</w:t>
      </w:r>
    </w:p>
    <w:p w14:paraId="02003341" w14:textId="7E15F5D5" w:rsidR="0048071E" w:rsidRDefault="0048071E" w:rsidP="003455B5">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tanto, el hecho de indicar </w:t>
      </w:r>
      <w:r w:rsidR="00EA6758">
        <w:rPr>
          <w:rFonts w:ascii="Arial" w:eastAsia="Calibri" w:hAnsi="Arial" w:cs="Arial"/>
          <w:bCs/>
          <w:sz w:val="26"/>
          <w:szCs w:val="26"/>
        </w:rPr>
        <w:t xml:space="preserve">en el acuerdo recurrido de 15 quince de noviembre de 2019 dos mil diecinueve, </w:t>
      </w:r>
      <w:r>
        <w:rPr>
          <w:rFonts w:ascii="Arial" w:eastAsia="Calibri" w:hAnsi="Arial" w:cs="Arial"/>
          <w:bCs/>
          <w:sz w:val="26"/>
          <w:szCs w:val="26"/>
        </w:rPr>
        <w:t xml:space="preserve">que la resolución de 30 treinta de septiembre de dos mil diecinueve, causó estado por no haber interpuesto </w:t>
      </w:r>
      <w:r w:rsidR="00EA6758">
        <w:rPr>
          <w:rFonts w:ascii="Arial" w:eastAsia="Calibri" w:hAnsi="Arial" w:cs="Arial"/>
          <w:bCs/>
          <w:sz w:val="26"/>
          <w:szCs w:val="26"/>
        </w:rPr>
        <w:t xml:space="preserve">la parte actora </w:t>
      </w:r>
      <w:r>
        <w:rPr>
          <w:rFonts w:ascii="Arial" w:eastAsia="Calibri" w:hAnsi="Arial" w:cs="Arial"/>
          <w:bCs/>
          <w:sz w:val="26"/>
          <w:szCs w:val="26"/>
        </w:rPr>
        <w:t xml:space="preserve">el recurso de revisión dentro del término de cinco días hábiles, de conformidad con lo dispuesto en los artículos 135 </w:t>
      </w:r>
      <w:r>
        <w:rPr>
          <w:rFonts w:ascii="Arial" w:eastAsia="Calibri" w:hAnsi="Arial" w:cs="Arial"/>
          <w:bCs/>
          <w:sz w:val="26"/>
          <w:szCs w:val="26"/>
        </w:rPr>
        <w:lastRenderedPageBreak/>
        <w:t xml:space="preserve">y 207 de la Ley de Justicia Administrativa para el Estado de Oaxaca, resulta </w:t>
      </w:r>
      <w:r w:rsidR="00EA6758">
        <w:rPr>
          <w:rFonts w:ascii="Arial" w:eastAsia="Calibri" w:hAnsi="Arial" w:cs="Arial"/>
          <w:bCs/>
          <w:sz w:val="26"/>
          <w:szCs w:val="26"/>
        </w:rPr>
        <w:t>erróneo, pues como se indicó con antelación, en contra de dicha resolución que resolvió la queja no procede el recurso de revisión.</w:t>
      </w:r>
      <w:r w:rsidR="00A95A90">
        <w:rPr>
          <w:rFonts w:ascii="Arial" w:eastAsia="Calibri" w:hAnsi="Arial" w:cs="Arial"/>
          <w:bCs/>
          <w:sz w:val="26"/>
          <w:szCs w:val="26"/>
        </w:rPr>
        <w:t xml:space="preserve"> - - - -</w:t>
      </w:r>
    </w:p>
    <w:p w14:paraId="26EC97B3" w14:textId="5A419400" w:rsidR="00EA6758" w:rsidRDefault="005D54C1" w:rsidP="003455B5">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los argumentos expuestos por el recurrente resultan </w:t>
      </w:r>
      <w:r w:rsidRPr="005D54C1">
        <w:rPr>
          <w:rFonts w:ascii="Arial" w:eastAsia="Calibri" w:hAnsi="Arial" w:cs="Arial"/>
          <w:b/>
          <w:sz w:val="26"/>
          <w:szCs w:val="26"/>
        </w:rPr>
        <w:t>ser infundados</w:t>
      </w:r>
      <w:r>
        <w:rPr>
          <w:rFonts w:ascii="Arial" w:eastAsia="Calibri" w:hAnsi="Arial" w:cs="Arial"/>
          <w:bCs/>
          <w:sz w:val="26"/>
          <w:szCs w:val="26"/>
        </w:rPr>
        <w:t xml:space="preserve">, </w:t>
      </w:r>
      <w:r w:rsidR="00AE6785">
        <w:rPr>
          <w:rFonts w:ascii="Arial" w:eastAsia="Calibri" w:hAnsi="Arial" w:cs="Arial"/>
          <w:bCs/>
          <w:sz w:val="26"/>
          <w:szCs w:val="26"/>
        </w:rPr>
        <w:t>toda vez que de la resolución emitida el 30 treinta de septiembre de 2019 dos mil diecinueve, se advierte que se declaró improcedente la queja interpuesta por Rito Manuel Pérez Romero, al no existir por parte de la autoridad, defecto en la ejecución de la sentencia dictada en el juicio y confirmada por la Sala Superior, determinándose lo siguiente:</w:t>
      </w:r>
      <w:r w:rsidR="00A95A90">
        <w:rPr>
          <w:rFonts w:ascii="Arial" w:eastAsia="Calibri" w:hAnsi="Arial" w:cs="Arial"/>
          <w:bCs/>
          <w:sz w:val="26"/>
          <w:szCs w:val="26"/>
        </w:rPr>
        <w:t xml:space="preserve">- - - - - - - - - - - - - - - - - - - - - - - - - - - - - - - </w:t>
      </w:r>
    </w:p>
    <w:p w14:paraId="1A5129D7" w14:textId="70F6FBF2" w:rsidR="00AE6785" w:rsidRDefault="002B66B3" w:rsidP="00C64728">
      <w:pPr>
        <w:pStyle w:val="Sinespaciado"/>
        <w:spacing w:before="240" w:after="240" w:line="276" w:lineRule="auto"/>
        <w:ind w:left="567" w:right="900" w:firstLine="426"/>
        <w:jc w:val="both"/>
        <w:rPr>
          <w:rFonts w:ascii="Arial" w:eastAsia="Calibri" w:hAnsi="Arial" w:cs="Arial"/>
          <w:bCs/>
          <w:i/>
          <w:iCs/>
        </w:rPr>
      </w:pPr>
      <w:r>
        <w:rPr>
          <w:rFonts w:ascii="Arial" w:eastAsia="Calibri" w:hAnsi="Arial" w:cs="Arial"/>
          <w:bCs/>
          <w:i/>
          <w:iCs/>
        </w:rPr>
        <w:t>“…el actor en su escrito de demanda solicitó que se le pagarán las demás prestaciones a las que tiene derecho con efecto restitutorios, sin embargo, no señaló y menos precisó a partir de qué fecha surtiría los efectos restitutorios.</w:t>
      </w:r>
    </w:p>
    <w:p w14:paraId="4E2C60D5" w14:textId="162FF543" w:rsidR="002B66B3" w:rsidRDefault="002B66B3" w:rsidP="00C64728">
      <w:pPr>
        <w:pStyle w:val="Sinespaciado"/>
        <w:spacing w:before="240" w:after="240" w:line="276" w:lineRule="auto"/>
        <w:ind w:left="567" w:right="900" w:firstLine="426"/>
        <w:jc w:val="both"/>
        <w:rPr>
          <w:rFonts w:ascii="Arial" w:eastAsia="Calibri" w:hAnsi="Arial" w:cs="Arial"/>
          <w:bCs/>
          <w:i/>
          <w:iCs/>
        </w:rPr>
      </w:pPr>
      <w:r>
        <w:rPr>
          <w:rFonts w:ascii="Arial" w:eastAsia="Calibri" w:hAnsi="Arial" w:cs="Arial"/>
          <w:bCs/>
          <w:i/>
          <w:iCs/>
        </w:rPr>
        <w:t xml:space="preserve">Luego, en la sentencia dictada el veintiuno de agosto de dos mil diecisiete, se declaró la nulidad del acto administrativo impugnado para el efecto de que la autoridad demandada dejara insubsistente la resolución contenida en el oficio </w:t>
      </w:r>
      <w:r w:rsidR="00555C8B">
        <w:rPr>
          <w:rFonts w:ascii="Arial" w:hAnsi="Arial" w:cs="Arial"/>
          <w:b/>
          <w:sz w:val="26"/>
          <w:szCs w:val="26"/>
        </w:rPr>
        <w:t>***********</w:t>
      </w:r>
      <w:r>
        <w:rPr>
          <w:rFonts w:ascii="Arial" w:eastAsia="Calibri" w:hAnsi="Arial" w:cs="Arial"/>
          <w:bCs/>
          <w:i/>
          <w:iCs/>
        </w:rPr>
        <w:t>, de trece de noviembre de dos</w:t>
      </w:r>
      <w:r w:rsidR="002D1980">
        <w:rPr>
          <w:rFonts w:ascii="Arial" w:eastAsia="Calibri" w:hAnsi="Arial" w:cs="Arial"/>
          <w:bCs/>
          <w:i/>
          <w:iCs/>
        </w:rPr>
        <w:t xml:space="preserve"> </w:t>
      </w:r>
      <w:r>
        <w:rPr>
          <w:rFonts w:ascii="Arial" w:eastAsia="Calibri" w:hAnsi="Arial" w:cs="Arial"/>
          <w:bCs/>
          <w:i/>
          <w:iCs/>
        </w:rPr>
        <w:t>mil doce</w:t>
      </w:r>
      <w:r w:rsidR="002D1980">
        <w:rPr>
          <w:rFonts w:ascii="Arial" w:eastAsia="Calibri" w:hAnsi="Arial" w:cs="Arial"/>
          <w:bCs/>
          <w:i/>
          <w:iCs/>
        </w:rPr>
        <w:t>, y dictara otra debidamente fundada y motivada sin precisar a partir de qué fecha serían las devoluciones de los descuentos hechos por la autoridad demandada.</w:t>
      </w:r>
    </w:p>
    <w:p w14:paraId="1D766ACD" w14:textId="3029EF85" w:rsidR="002D1980" w:rsidRDefault="002D1980" w:rsidP="00C64728">
      <w:pPr>
        <w:pStyle w:val="Sinespaciado"/>
        <w:spacing w:before="240" w:after="240" w:line="276" w:lineRule="auto"/>
        <w:ind w:left="567" w:right="900" w:firstLine="426"/>
        <w:jc w:val="both"/>
        <w:rPr>
          <w:rFonts w:ascii="Arial" w:eastAsia="Calibri" w:hAnsi="Arial" w:cs="Arial"/>
          <w:bCs/>
          <w:i/>
          <w:iCs/>
        </w:rPr>
      </w:pPr>
      <w:r>
        <w:rPr>
          <w:rFonts w:ascii="Arial" w:eastAsia="Calibri" w:hAnsi="Arial" w:cs="Arial"/>
          <w:bCs/>
          <w:i/>
          <w:iCs/>
        </w:rPr>
        <w:t>Sentencia que fue confirmada por los integrantes de la Sala Superior y que causó ejecutoria por auto de ocho de mayo de dos mil diecinueve, de ahí que la autoridad demandada cumplió con la sentencia a partir de junio de dos mil diecinueve a la fecha.</w:t>
      </w:r>
    </w:p>
    <w:p w14:paraId="53D69FBA" w14:textId="0A4CF909" w:rsidR="002D1980" w:rsidRDefault="002D1980" w:rsidP="00C64728">
      <w:pPr>
        <w:pStyle w:val="Sinespaciado"/>
        <w:spacing w:before="240" w:after="240" w:line="276" w:lineRule="auto"/>
        <w:ind w:left="567" w:right="900" w:firstLine="426"/>
        <w:jc w:val="both"/>
        <w:rPr>
          <w:rFonts w:ascii="Arial" w:eastAsia="Calibri" w:hAnsi="Arial" w:cs="Arial"/>
          <w:bCs/>
          <w:i/>
          <w:iCs/>
        </w:rPr>
      </w:pPr>
      <w:r>
        <w:rPr>
          <w:rFonts w:ascii="Arial" w:eastAsia="Calibri" w:hAnsi="Arial" w:cs="Arial"/>
          <w:bCs/>
          <w:i/>
          <w:iCs/>
        </w:rPr>
        <w:t xml:space="preserve">Esto es así, porque en autos obran las constancias que acreditan que el actor </w:t>
      </w:r>
      <w:r w:rsidR="00555C8B">
        <w:rPr>
          <w:rFonts w:ascii="Arial" w:hAnsi="Arial" w:cs="Arial"/>
          <w:b/>
          <w:sz w:val="26"/>
          <w:szCs w:val="26"/>
        </w:rPr>
        <w:t>***********</w:t>
      </w:r>
      <w:r w:rsidR="00555C8B">
        <w:rPr>
          <w:rFonts w:ascii="Arial" w:hAnsi="Arial" w:cs="Arial"/>
          <w:b/>
          <w:sz w:val="26"/>
          <w:szCs w:val="26"/>
        </w:rPr>
        <w:t xml:space="preserve"> </w:t>
      </w:r>
      <w:r>
        <w:rPr>
          <w:rFonts w:ascii="Arial" w:eastAsia="Calibri" w:hAnsi="Arial" w:cs="Arial"/>
          <w:bCs/>
          <w:i/>
          <w:iCs/>
        </w:rPr>
        <w:t>se le están haciendo los pagos en forma mensual, por las siguientes prestaciones: previsión social múltiple, despensa, vida cara y quinquenios y por lo que corresponde al pago de las prestaciones del día de padre. Canasta navideña y el aguinaldo se le pagarán al actor e las fechas que corresponden (fojas 131-139).</w:t>
      </w:r>
    </w:p>
    <w:p w14:paraId="450287C0" w14:textId="751A139C" w:rsidR="002D1980" w:rsidRDefault="002D1980" w:rsidP="00C64728">
      <w:pPr>
        <w:pStyle w:val="Sinespaciado"/>
        <w:spacing w:before="240" w:after="240" w:line="276" w:lineRule="auto"/>
        <w:ind w:left="567" w:right="900" w:firstLine="426"/>
        <w:jc w:val="both"/>
        <w:rPr>
          <w:rFonts w:ascii="Arial" w:eastAsia="Calibri" w:hAnsi="Arial" w:cs="Arial"/>
          <w:bCs/>
          <w:i/>
          <w:iCs/>
        </w:rPr>
      </w:pPr>
      <w:r>
        <w:rPr>
          <w:rFonts w:ascii="Arial" w:eastAsia="Calibri" w:hAnsi="Arial" w:cs="Arial"/>
          <w:bCs/>
          <w:i/>
          <w:iCs/>
        </w:rPr>
        <w:t xml:space="preserve">En consecuencia, ante la imprecisión de lo solicitado por el actor en su escrito de demanda y que esa autoridad no puede revocar sus propias determinaciones, se precisa que </w:t>
      </w:r>
      <w:r>
        <w:rPr>
          <w:rFonts w:ascii="Arial" w:eastAsia="Calibri" w:hAnsi="Arial" w:cs="Arial"/>
          <w:b/>
          <w:i/>
          <w:iCs/>
        </w:rPr>
        <w:t xml:space="preserve">no </w:t>
      </w:r>
      <w:r>
        <w:rPr>
          <w:rFonts w:ascii="Arial" w:eastAsia="Calibri" w:hAnsi="Arial" w:cs="Arial"/>
          <w:bCs/>
          <w:i/>
          <w:iCs/>
        </w:rPr>
        <w:t xml:space="preserve">existe defecto en la ejecución de la sentencia dictada en este juicio y confirmada por la Sala superior, por parte de la autoridad demandada, por lo tanto, se declara </w:t>
      </w:r>
      <w:r>
        <w:rPr>
          <w:rFonts w:ascii="Arial" w:eastAsia="Calibri" w:hAnsi="Arial" w:cs="Arial"/>
          <w:b/>
          <w:i/>
          <w:iCs/>
        </w:rPr>
        <w:t xml:space="preserve">IMPROCEDENTE LA QUEJA </w:t>
      </w:r>
      <w:r>
        <w:rPr>
          <w:rFonts w:ascii="Arial" w:eastAsia="Calibri" w:hAnsi="Arial" w:cs="Arial"/>
          <w:bCs/>
          <w:i/>
          <w:iCs/>
        </w:rPr>
        <w:t>interpuesta por el actor Rufino Manuel Pérez Romero.”</w:t>
      </w:r>
    </w:p>
    <w:p w14:paraId="34247A3A" w14:textId="30A6187B" w:rsidR="009127BC" w:rsidRPr="009127BC" w:rsidRDefault="005B2186" w:rsidP="00A95A90">
      <w:pPr>
        <w:pStyle w:val="Sinespaciado"/>
        <w:spacing w:before="240" w:after="240" w:line="360" w:lineRule="auto"/>
        <w:ind w:firstLine="567"/>
        <w:jc w:val="both"/>
        <w:rPr>
          <w:rFonts w:ascii="Arial" w:eastAsia="Calibri" w:hAnsi="Arial" w:cs="Arial"/>
          <w:bCs/>
          <w:i/>
          <w:iCs/>
        </w:rPr>
      </w:pPr>
      <w:r>
        <w:rPr>
          <w:rFonts w:ascii="Arial" w:eastAsia="Calibri" w:hAnsi="Arial" w:cs="Arial"/>
          <w:bCs/>
          <w:sz w:val="26"/>
          <w:szCs w:val="26"/>
        </w:rPr>
        <w:t xml:space="preserve">Así se tiene que el Magistrado de la Cuarta Sala de Primera Instancia, desde que emitió la resolución de 30 treinta de septiembre de 2019 dos mil diecinueve, determinó que la sentencia dictada el 21 veintiuno de agosto de 2017 dos mil diecisiete y confirmada por esta Sala Superior, quedó cumplida por parte de la autoridad demandada al haber probado con las constancias que obran en autos, que al actor se le están haciendo los pagos en forma mensual de las prestaciones que fueron ordenadas en la </w:t>
      </w:r>
      <w:r w:rsidR="009127BC">
        <w:rPr>
          <w:rFonts w:ascii="Arial" w:eastAsia="Calibri" w:hAnsi="Arial" w:cs="Arial"/>
          <w:bCs/>
          <w:sz w:val="26"/>
          <w:szCs w:val="26"/>
        </w:rPr>
        <w:t xml:space="preserve">referida sentencia, en la cual se indicó lo </w:t>
      </w:r>
      <w:r w:rsidR="009127BC">
        <w:rPr>
          <w:rFonts w:ascii="Arial" w:eastAsia="Calibri" w:hAnsi="Arial" w:cs="Arial"/>
          <w:bCs/>
          <w:sz w:val="26"/>
          <w:szCs w:val="26"/>
        </w:rPr>
        <w:lastRenderedPageBreak/>
        <w:t xml:space="preserve">siguiente: </w:t>
      </w:r>
      <w:r w:rsidR="009127BC">
        <w:rPr>
          <w:rFonts w:ascii="Arial" w:eastAsia="Calibri" w:hAnsi="Arial" w:cs="Arial"/>
          <w:bCs/>
          <w:i/>
          <w:iCs/>
          <w:sz w:val="24"/>
          <w:szCs w:val="24"/>
        </w:rPr>
        <w:t>“…</w:t>
      </w:r>
      <w:r w:rsidR="009127BC" w:rsidRPr="009127BC">
        <w:rPr>
          <w:rFonts w:ascii="Arial" w:eastAsia="Calibri" w:hAnsi="Arial" w:cs="Arial"/>
          <w:bCs/>
          <w:i/>
          <w:iCs/>
        </w:rPr>
        <w:t xml:space="preserve">procede declarar la </w:t>
      </w:r>
      <w:r w:rsidR="009127BC" w:rsidRPr="009127BC">
        <w:rPr>
          <w:rFonts w:ascii="Arial" w:eastAsia="Calibri" w:hAnsi="Arial" w:cs="Arial"/>
          <w:b/>
          <w:i/>
          <w:iCs/>
        </w:rPr>
        <w:t xml:space="preserve">NULIDAD PARA EL EFECTO </w:t>
      </w:r>
      <w:r w:rsidR="009127BC" w:rsidRPr="009127BC">
        <w:rPr>
          <w:rFonts w:ascii="Arial" w:eastAsia="Calibri" w:hAnsi="Arial" w:cs="Arial"/>
          <w:bCs/>
          <w:i/>
          <w:iCs/>
        </w:rPr>
        <w:t xml:space="preserve">de que la autoridad demandada Consejo Directivo de la Oficina de Pensiones del Estado a través del Director General de la Oficina de Pensiones: a) Deje insubsistente la resolución contenida en el oficio </w:t>
      </w:r>
      <w:r w:rsidR="00555C8B">
        <w:rPr>
          <w:rFonts w:ascii="Arial" w:hAnsi="Arial" w:cs="Arial"/>
          <w:b/>
          <w:sz w:val="26"/>
          <w:szCs w:val="26"/>
        </w:rPr>
        <w:t>***********</w:t>
      </w:r>
      <w:r w:rsidR="009127BC" w:rsidRPr="009127BC">
        <w:rPr>
          <w:rFonts w:ascii="Arial" w:eastAsia="Calibri" w:hAnsi="Arial" w:cs="Arial"/>
          <w:bCs/>
          <w:i/>
          <w:iCs/>
        </w:rPr>
        <w:t>, de 13 trece de noviembre de 2012 dos mil doce; b)</w:t>
      </w:r>
      <w:r w:rsidR="00E713C3">
        <w:rPr>
          <w:rFonts w:ascii="Arial" w:eastAsia="Calibri" w:hAnsi="Arial" w:cs="Arial"/>
          <w:bCs/>
          <w:i/>
          <w:iCs/>
        </w:rPr>
        <w:t xml:space="preserve"> </w:t>
      </w:r>
      <w:r w:rsidR="009127BC" w:rsidRPr="009127BC">
        <w:rPr>
          <w:rFonts w:ascii="Arial" w:eastAsia="Calibri" w:hAnsi="Arial" w:cs="Arial"/>
          <w:bCs/>
          <w:i/>
          <w:iCs/>
        </w:rPr>
        <w:t>Dicte otra resolución debidamente fundada y motivada en la cual se le otorgue al administrado las siguientes pretensiones: la previsión social múltiple, despensa, vida cara, quinquenios, estímulo del día del jubilado, canasta navideña, aguinaldo equivalente a setenta días de la cuantía diaria, como lo establece el artículo 54 fracción I de la Ley de Pensiones para los Trabajadores del Estado.</w:t>
      </w:r>
      <w:r w:rsidR="00E713C3">
        <w:rPr>
          <w:rFonts w:ascii="Arial" w:eastAsia="Calibri" w:hAnsi="Arial" w:cs="Arial"/>
          <w:bCs/>
          <w:i/>
          <w:iCs/>
        </w:rPr>
        <w:t>”</w:t>
      </w:r>
      <w:r w:rsidR="00A95A90">
        <w:rPr>
          <w:rFonts w:ascii="Arial" w:eastAsia="Calibri" w:hAnsi="Arial" w:cs="Arial"/>
          <w:bCs/>
          <w:i/>
          <w:iCs/>
        </w:rPr>
        <w:t xml:space="preserve"> - - - - - - - - - </w:t>
      </w:r>
    </w:p>
    <w:p w14:paraId="17FBF6D3" w14:textId="7CF75623" w:rsidR="00C64728" w:rsidRDefault="005D504F" w:rsidP="00A95A90">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No </w:t>
      </w:r>
      <w:r w:rsidR="00300F8C">
        <w:rPr>
          <w:rFonts w:ascii="Arial" w:eastAsia="Calibri" w:hAnsi="Arial" w:cs="Arial"/>
          <w:bCs/>
          <w:sz w:val="26"/>
          <w:szCs w:val="26"/>
        </w:rPr>
        <w:t>obstante,</w:t>
      </w:r>
      <w:r>
        <w:rPr>
          <w:rFonts w:ascii="Arial" w:eastAsia="Calibri" w:hAnsi="Arial" w:cs="Arial"/>
          <w:bCs/>
          <w:sz w:val="26"/>
          <w:szCs w:val="26"/>
        </w:rPr>
        <w:t xml:space="preserve"> </w:t>
      </w:r>
      <w:r w:rsidR="0028182E">
        <w:rPr>
          <w:rFonts w:ascii="Arial" w:eastAsia="Calibri" w:hAnsi="Arial" w:cs="Arial"/>
          <w:bCs/>
          <w:sz w:val="26"/>
          <w:szCs w:val="26"/>
        </w:rPr>
        <w:t xml:space="preserve">al interponer el actor </w:t>
      </w:r>
      <w:r w:rsidR="00555C8B">
        <w:rPr>
          <w:rFonts w:ascii="Arial" w:hAnsi="Arial" w:cs="Arial"/>
          <w:b/>
          <w:sz w:val="26"/>
          <w:szCs w:val="26"/>
        </w:rPr>
        <w:t>***********</w:t>
      </w:r>
      <w:bookmarkStart w:id="0" w:name="_GoBack"/>
      <w:bookmarkEnd w:id="0"/>
      <w:r w:rsidR="0028182E">
        <w:rPr>
          <w:rFonts w:ascii="Arial" w:eastAsia="Calibri" w:hAnsi="Arial" w:cs="Arial"/>
          <w:bCs/>
          <w:sz w:val="26"/>
          <w:szCs w:val="26"/>
        </w:rPr>
        <w:t xml:space="preserve">, el recurso de revisión en contra del acuerdo de </w:t>
      </w:r>
      <w:r w:rsidR="00B362FF">
        <w:rPr>
          <w:rFonts w:ascii="Arial" w:eastAsia="Calibri" w:hAnsi="Arial" w:cs="Arial"/>
          <w:bCs/>
          <w:sz w:val="26"/>
          <w:szCs w:val="26"/>
        </w:rPr>
        <w:t xml:space="preserve">15 </w:t>
      </w:r>
      <w:r w:rsidR="0028182E">
        <w:rPr>
          <w:rFonts w:ascii="Arial" w:eastAsia="Calibri" w:hAnsi="Arial" w:cs="Arial"/>
          <w:bCs/>
          <w:sz w:val="26"/>
          <w:szCs w:val="26"/>
        </w:rPr>
        <w:t xml:space="preserve">quince de noviembre de 2019 dos mil diecinueve, </w:t>
      </w:r>
      <w:r w:rsidR="00300F8C">
        <w:rPr>
          <w:rFonts w:ascii="Arial" w:eastAsia="Calibri" w:hAnsi="Arial" w:cs="Arial"/>
          <w:bCs/>
          <w:sz w:val="26"/>
          <w:szCs w:val="26"/>
        </w:rPr>
        <w:t>debió de haber señalado los agravios que le causó lo resuelto por el Magistrado de la Cuarta Sala al declarar improcedente su recurso de queja y tener por cumplida la sentencia 21 veintiuno de agosto de 2017 dos mil diecisiete y confirmada por esta Sala Superior</w:t>
      </w:r>
      <w:r w:rsidR="00A95A90">
        <w:rPr>
          <w:rFonts w:ascii="Arial" w:eastAsia="Calibri" w:hAnsi="Arial" w:cs="Arial"/>
          <w:bCs/>
          <w:sz w:val="26"/>
          <w:szCs w:val="26"/>
        </w:rPr>
        <w:t xml:space="preserve">. - - - - - - - - - - - - - - - - - - - - - - - - - - - - - - - - - - - - - - - - - - </w:t>
      </w:r>
    </w:p>
    <w:p w14:paraId="70BEECD4" w14:textId="2A43CD55" w:rsidR="00D44ADA" w:rsidRDefault="00300F8C" w:rsidP="00D44ADA">
      <w:pPr>
        <w:pStyle w:val="Sinespaciado"/>
        <w:spacing w:before="240" w:after="240" w:line="360" w:lineRule="auto"/>
        <w:ind w:firstLine="708"/>
        <w:jc w:val="both"/>
        <w:rPr>
          <w:rFonts w:ascii="Arial" w:eastAsia="Calibri" w:hAnsi="Arial" w:cs="Arial"/>
          <w:bCs/>
          <w:sz w:val="26"/>
          <w:szCs w:val="26"/>
          <w:lang w:val="es-MX"/>
        </w:rPr>
      </w:pPr>
      <w:r>
        <w:rPr>
          <w:rFonts w:ascii="Arial" w:eastAsia="Calibri" w:hAnsi="Arial" w:cs="Arial"/>
          <w:bCs/>
          <w:sz w:val="26"/>
          <w:szCs w:val="26"/>
        </w:rPr>
        <w:t xml:space="preserve">Se dice lo anterior, toda vez que </w:t>
      </w:r>
      <w:r w:rsidR="00D44ADA">
        <w:rPr>
          <w:rFonts w:ascii="Arial" w:eastAsia="Calibri" w:hAnsi="Arial" w:cs="Arial"/>
          <w:bCs/>
          <w:sz w:val="26"/>
          <w:szCs w:val="26"/>
        </w:rPr>
        <w:t xml:space="preserve">el recurrente en su escrito de recurso únicamente se remite a indicar que </w:t>
      </w:r>
      <w:r w:rsidR="00D44ADA">
        <w:rPr>
          <w:rFonts w:ascii="Arial" w:eastAsia="Calibri" w:hAnsi="Arial" w:cs="Arial"/>
          <w:bCs/>
          <w:sz w:val="26"/>
          <w:szCs w:val="26"/>
          <w:lang w:val="es-MX"/>
        </w:rPr>
        <w:t>la resolución consistente en el auto de fecha 15 quince de noviembre de 2019 dos mil diecinueve, mediante el cual el Magistrado de la Cuarta Sala Unitaria de Primera Instancia, declara como total y definitivamente concluido el  expediente 42/201</w:t>
      </w:r>
      <w:r w:rsidR="00E3281F">
        <w:rPr>
          <w:rFonts w:ascii="Arial" w:eastAsia="Calibri" w:hAnsi="Arial" w:cs="Arial"/>
          <w:bCs/>
          <w:sz w:val="26"/>
          <w:szCs w:val="26"/>
          <w:lang w:val="es-MX"/>
        </w:rPr>
        <w:t>7</w:t>
      </w:r>
      <w:r w:rsidR="00D44ADA">
        <w:rPr>
          <w:rFonts w:ascii="Arial" w:eastAsia="Calibri" w:hAnsi="Arial" w:cs="Arial"/>
          <w:bCs/>
          <w:sz w:val="26"/>
          <w:szCs w:val="26"/>
          <w:lang w:val="es-MX"/>
        </w:rPr>
        <w:t xml:space="preserve">, ordenando dar de baja del libro de control de expedientes de su sala y su archivo, no observa lo dispuesto por el artículo 16, párrafo primero de la Constitución federal, al carecer de fundamentación y motivación, pues no verificó que se haya cumplido cabalmente con lo decretado en la sentencia y sus </w:t>
      </w:r>
      <w:r w:rsidR="0035575A">
        <w:rPr>
          <w:rFonts w:ascii="Arial" w:eastAsia="Calibri" w:hAnsi="Arial" w:cs="Arial"/>
          <w:bCs/>
          <w:sz w:val="26"/>
          <w:szCs w:val="26"/>
          <w:lang w:val="es-MX"/>
        </w:rPr>
        <w:t xml:space="preserve">efectos respectivos, como lo es, </w:t>
      </w:r>
      <w:r w:rsidR="00D44ADA">
        <w:rPr>
          <w:rFonts w:ascii="Arial" w:eastAsia="Calibri" w:hAnsi="Arial" w:cs="Arial"/>
          <w:bCs/>
          <w:sz w:val="26"/>
          <w:szCs w:val="26"/>
          <w:lang w:val="es-MX"/>
        </w:rPr>
        <w:t>el  de restituir los derechos afectados, trayendo como consecuencia que su determinación sea ilegal, por lo que contraviene también el derecho a la tutela judicial efectiva</w:t>
      </w:r>
      <w:r w:rsidR="00B56558">
        <w:rPr>
          <w:rFonts w:ascii="Arial" w:eastAsia="Calibri" w:hAnsi="Arial" w:cs="Arial"/>
          <w:bCs/>
          <w:sz w:val="26"/>
          <w:szCs w:val="26"/>
          <w:lang w:val="es-MX"/>
        </w:rPr>
        <w:t>; sin que haga argumento alguno, de los motivos que tomó en consideración el A quo para proceder a tener por cumplida la sentencia de primera instancia.</w:t>
      </w:r>
      <w:r w:rsidR="00A95A90">
        <w:rPr>
          <w:rFonts w:ascii="Arial" w:eastAsia="Calibri" w:hAnsi="Arial" w:cs="Arial"/>
          <w:bCs/>
          <w:sz w:val="26"/>
          <w:szCs w:val="26"/>
          <w:lang w:val="es-MX"/>
        </w:rPr>
        <w:t xml:space="preserve"> - - - - - - - - - - - - - - - - - - - - - - - - - - - -</w:t>
      </w:r>
    </w:p>
    <w:p w14:paraId="77E0E5F3" w14:textId="271BC764" w:rsidR="00E92201" w:rsidRDefault="00E92201" w:rsidP="00E9220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sidR="006F586A">
        <w:rPr>
          <w:rFonts w:ascii="Arial" w:eastAsia="Calibri" w:hAnsi="Arial" w:cs="Arial"/>
          <w:bCs/>
          <w:sz w:val="26"/>
          <w:szCs w:val="26"/>
        </w:rPr>
        <w:t xml:space="preserve">el acuerdo de 15 quince de noviembre de 2019 dos mil diecinueve </w:t>
      </w:r>
      <w:r w:rsidR="00FA6DEF">
        <w:rPr>
          <w:rFonts w:ascii="Arial" w:eastAsia="Calibri" w:hAnsi="Arial" w:cs="Arial"/>
          <w:bCs/>
          <w:sz w:val="26"/>
          <w:szCs w:val="26"/>
        </w:rPr>
        <w:t xml:space="preserve">y </w:t>
      </w:r>
      <w:r>
        <w:rPr>
          <w:rFonts w:ascii="Arial" w:hAnsi="Arial" w:cs="Arial"/>
          <w:sz w:val="26"/>
          <w:szCs w:val="26"/>
        </w:rPr>
        <w:t xml:space="preserve">con fundamento en los artículos 207 y 208 de la Ley de Justicia Administrativa para el Estado, </w:t>
      </w:r>
      <w:r w:rsidR="00110932">
        <w:rPr>
          <w:rFonts w:ascii="Arial" w:hAnsi="Arial" w:cs="Arial"/>
          <w:sz w:val="26"/>
          <w:szCs w:val="26"/>
        </w:rPr>
        <w:t xml:space="preserve">aplicable por ser la que estaba </w:t>
      </w:r>
      <w:r>
        <w:rPr>
          <w:rFonts w:ascii="Arial" w:hAnsi="Arial" w:cs="Arial"/>
          <w:bCs/>
          <w:iCs/>
          <w:sz w:val="26"/>
          <w:szCs w:val="26"/>
        </w:rPr>
        <w:t xml:space="preserve">vigente </w:t>
      </w:r>
      <w:r w:rsidR="00A95A90">
        <w:rPr>
          <w:rFonts w:ascii="Arial" w:hAnsi="Arial" w:cs="Arial"/>
          <w:bCs/>
          <w:iCs/>
          <w:sz w:val="26"/>
          <w:szCs w:val="26"/>
        </w:rPr>
        <w:t>al</w:t>
      </w:r>
      <w:r w:rsidR="00FA6DEF">
        <w:rPr>
          <w:rFonts w:ascii="Arial" w:hAnsi="Arial" w:cs="Arial"/>
          <w:bCs/>
          <w:iCs/>
          <w:sz w:val="26"/>
          <w:szCs w:val="26"/>
        </w:rPr>
        <w:t xml:space="preserve"> inicio del juicio natural</w:t>
      </w:r>
      <w:r>
        <w:rPr>
          <w:rFonts w:ascii="Arial" w:hAnsi="Arial" w:cs="Arial"/>
          <w:sz w:val="26"/>
          <w:szCs w:val="26"/>
        </w:rPr>
        <w:t>, se:</w:t>
      </w:r>
      <w:r w:rsidR="00A95A90">
        <w:rPr>
          <w:rFonts w:ascii="Arial" w:hAnsi="Arial" w:cs="Arial"/>
          <w:sz w:val="26"/>
          <w:szCs w:val="26"/>
        </w:rPr>
        <w:t xml:space="preserve"> - - - - - - - - - - - - - - - - - - - - - - - - - </w:t>
      </w:r>
    </w:p>
    <w:p w14:paraId="3D922BC0" w14:textId="77777777" w:rsidR="00A95A90" w:rsidRDefault="00A95A90" w:rsidP="00E92201">
      <w:pPr>
        <w:widowControl w:val="0"/>
        <w:tabs>
          <w:tab w:val="left" w:pos="0"/>
        </w:tabs>
        <w:spacing w:before="240" w:after="0" w:line="360" w:lineRule="auto"/>
        <w:ind w:right="18"/>
        <w:jc w:val="both"/>
        <w:rPr>
          <w:rFonts w:ascii="Arial" w:hAnsi="Arial" w:cs="Arial"/>
          <w:sz w:val="26"/>
          <w:szCs w:val="26"/>
        </w:rPr>
      </w:pPr>
    </w:p>
    <w:p w14:paraId="43F0B457" w14:textId="77777777" w:rsidR="00A95A90" w:rsidRDefault="00A95A90" w:rsidP="00E92201">
      <w:pPr>
        <w:pStyle w:val="Sinespaciado"/>
        <w:spacing w:before="240" w:line="360" w:lineRule="auto"/>
        <w:jc w:val="center"/>
        <w:rPr>
          <w:rFonts w:ascii="Arial" w:hAnsi="Arial" w:cs="Arial"/>
          <w:b/>
          <w:sz w:val="24"/>
          <w:szCs w:val="24"/>
        </w:rPr>
      </w:pPr>
    </w:p>
    <w:p w14:paraId="09E28B39" w14:textId="6FBD158D" w:rsidR="00E92201" w:rsidRDefault="00E92201" w:rsidP="00E9220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303CB91" w14:textId="2BE5B964" w:rsidR="00E92201" w:rsidRDefault="00E92201" w:rsidP="00E9220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6F586A">
        <w:rPr>
          <w:rFonts w:ascii="Arial" w:hAnsi="Arial" w:cs="Arial"/>
          <w:color w:val="000000"/>
          <w:sz w:val="26"/>
          <w:szCs w:val="26"/>
          <w:lang w:val="es-MX"/>
        </w:rPr>
        <w:t>el acuerdo</w:t>
      </w:r>
      <w:r>
        <w:rPr>
          <w:rFonts w:ascii="Arial" w:hAnsi="Arial" w:cs="Arial"/>
          <w:color w:val="000000"/>
          <w:sz w:val="26"/>
          <w:szCs w:val="26"/>
          <w:lang w:val="es-MX"/>
        </w:rPr>
        <w:t xml:space="preserve"> recurrid</w:t>
      </w:r>
      <w:r w:rsidR="006F586A">
        <w:rPr>
          <w:rFonts w:ascii="Arial" w:hAnsi="Arial" w:cs="Arial"/>
          <w:color w:val="000000"/>
          <w:sz w:val="26"/>
          <w:szCs w:val="26"/>
          <w:lang w:val="es-MX"/>
        </w:rPr>
        <w:t>o</w:t>
      </w:r>
      <w:r>
        <w:rPr>
          <w:rFonts w:ascii="Arial" w:hAnsi="Arial" w:cs="Arial"/>
          <w:color w:val="000000"/>
          <w:sz w:val="26"/>
          <w:szCs w:val="26"/>
          <w:lang w:val="es-MX"/>
        </w:rPr>
        <w:t>, por las razones expuestas en el considerando que antecede.</w:t>
      </w:r>
      <w:r w:rsidR="00A95A90">
        <w:rPr>
          <w:rFonts w:ascii="Arial" w:hAnsi="Arial" w:cs="Arial"/>
          <w:color w:val="000000"/>
          <w:sz w:val="26"/>
          <w:szCs w:val="26"/>
          <w:lang w:val="es-MX"/>
        </w:rPr>
        <w:t xml:space="preserve"> - - - - - - - - - - - - - - - - - - - </w:t>
      </w:r>
    </w:p>
    <w:p w14:paraId="4855C75F" w14:textId="1DCE52E4" w:rsidR="00A95A90" w:rsidRDefault="00E92201" w:rsidP="00A95A90">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w:t>
      </w:r>
      <w:r w:rsidR="00110932">
        <w:rPr>
          <w:rFonts w:ascii="Arial" w:hAnsi="Arial" w:cs="Arial"/>
          <w:sz w:val="26"/>
          <w:szCs w:val="26"/>
        </w:rPr>
        <w:t xml:space="preserve">de la presente resolución a la </w:t>
      </w:r>
      <w:r w:rsidR="00DA0A7D">
        <w:rPr>
          <w:rFonts w:ascii="Arial" w:hAnsi="Arial" w:cs="Arial"/>
          <w:sz w:val="26"/>
          <w:szCs w:val="26"/>
        </w:rPr>
        <w:t>Cuarta</w:t>
      </w:r>
      <w:r w:rsidR="00110932">
        <w:rPr>
          <w:rFonts w:ascii="Arial" w:hAnsi="Arial" w:cs="Arial"/>
          <w:sz w:val="26"/>
          <w:szCs w:val="26"/>
        </w:rPr>
        <w:t xml:space="preserve"> </w:t>
      </w:r>
      <w:r>
        <w:rPr>
          <w:rFonts w:ascii="Arial" w:hAnsi="Arial" w:cs="Arial"/>
          <w:sz w:val="26"/>
          <w:szCs w:val="26"/>
        </w:rPr>
        <w:t xml:space="preserve">Sala Unitaria de Primera Instancia de este Tribunal y en su oportunidad archívese el presente cuaderno de revisión como asunto </w:t>
      </w:r>
      <w:r w:rsidR="00A95A90">
        <w:rPr>
          <w:rFonts w:ascii="Arial" w:hAnsi="Arial" w:cs="Arial"/>
          <w:sz w:val="26"/>
          <w:szCs w:val="26"/>
        </w:rPr>
        <w:t xml:space="preserve">concluido. - - - - - - - - - - - - - - - - - - - </w:t>
      </w:r>
    </w:p>
    <w:p w14:paraId="1F98638F" w14:textId="77777777" w:rsidR="00863583" w:rsidRDefault="00863583" w:rsidP="00863583">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 - - - - - - - - -</w:t>
      </w:r>
    </w:p>
    <w:p w14:paraId="34302251" w14:textId="77777777" w:rsidR="00863583" w:rsidRDefault="00863583" w:rsidP="00863583">
      <w:pPr>
        <w:spacing w:line="360" w:lineRule="auto"/>
        <w:ind w:firstLine="708"/>
        <w:jc w:val="both"/>
        <w:rPr>
          <w:rFonts w:ascii="Arial" w:hAnsi="Arial" w:cs="Arial"/>
          <w:sz w:val="26"/>
          <w:szCs w:val="26"/>
        </w:rPr>
      </w:pPr>
    </w:p>
    <w:p w14:paraId="35A14E33" w14:textId="77777777" w:rsidR="00863583" w:rsidRDefault="00863583" w:rsidP="00863583">
      <w:pPr>
        <w:spacing w:line="360" w:lineRule="auto"/>
        <w:ind w:firstLine="708"/>
        <w:jc w:val="both"/>
        <w:rPr>
          <w:rFonts w:ascii="Arial" w:hAnsi="Arial" w:cs="Arial"/>
          <w:sz w:val="26"/>
          <w:szCs w:val="26"/>
        </w:rPr>
      </w:pPr>
    </w:p>
    <w:p w14:paraId="0841CD07" w14:textId="77777777" w:rsidR="00863583" w:rsidRDefault="00863583" w:rsidP="00863583">
      <w:pPr>
        <w:spacing w:line="360" w:lineRule="auto"/>
        <w:ind w:firstLine="708"/>
        <w:jc w:val="both"/>
        <w:rPr>
          <w:rFonts w:ascii="Arial" w:hAnsi="Arial" w:cs="Arial"/>
          <w:sz w:val="26"/>
          <w:szCs w:val="26"/>
        </w:rPr>
      </w:pPr>
    </w:p>
    <w:p w14:paraId="5F63387E" w14:textId="77777777" w:rsidR="00863583" w:rsidRDefault="00863583" w:rsidP="00863583">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7C7B2764" w14:textId="77777777" w:rsidR="00863583" w:rsidRDefault="00863583" w:rsidP="00863583">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1BA31D91" w14:textId="77777777" w:rsidR="00863583" w:rsidRDefault="00863583" w:rsidP="00863583">
      <w:pPr>
        <w:spacing w:after="0" w:line="240" w:lineRule="auto"/>
        <w:ind w:firstLine="708"/>
        <w:jc w:val="center"/>
        <w:rPr>
          <w:rFonts w:ascii="Arial" w:eastAsia="Calibri" w:hAnsi="Arial" w:cs="Arial"/>
          <w:sz w:val="26"/>
          <w:szCs w:val="26"/>
        </w:rPr>
      </w:pPr>
    </w:p>
    <w:p w14:paraId="5BB20F6D" w14:textId="77777777" w:rsidR="00863583" w:rsidRDefault="00863583" w:rsidP="00863583">
      <w:pPr>
        <w:spacing w:after="0" w:line="240" w:lineRule="auto"/>
        <w:ind w:firstLine="708"/>
        <w:jc w:val="center"/>
        <w:rPr>
          <w:rFonts w:ascii="Arial" w:eastAsia="Calibri" w:hAnsi="Arial" w:cs="Arial"/>
          <w:sz w:val="26"/>
          <w:szCs w:val="26"/>
        </w:rPr>
      </w:pPr>
    </w:p>
    <w:p w14:paraId="5906BAF0" w14:textId="77777777" w:rsidR="00863583" w:rsidRDefault="00863583" w:rsidP="00863583">
      <w:pPr>
        <w:spacing w:after="0" w:line="240" w:lineRule="auto"/>
        <w:ind w:firstLine="708"/>
        <w:jc w:val="center"/>
        <w:rPr>
          <w:rFonts w:ascii="Arial" w:eastAsia="Calibri" w:hAnsi="Arial" w:cs="Arial"/>
          <w:sz w:val="26"/>
          <w:szCs w:val="26"/>
        </w:rPr>
      </w:pPr>
    </w:p>
    <w:p w14:paraId="723E6A11" w14:textId="77777777" w:rsidR="00863583" w:rsidRDefault="00863583" w:rsidP="00863583">
      <w:pPr>
        <w:spacing w:after="0" w:line="240" w:lineRule="auto"/>
        <w:rPr>
          <w:rFonts w:ascii="Arial" w:eastAsia="Calibri" w:hAnsi="Arial" w:cs="Arial"/>
          <w:sz w:val="26"/>
          <w:szCs w:val="26"/>
        </w:rPr>
      </w:pPr>
    </w:p>
    <w:p w14:paraId="5F78090E" w14:textId="77777777" w:rsidR="00863583" w:rsidRDefault="00863583" w:rsidP="00863583">
      <w:pPr>
        <w:spacing w:after="0" w:line="240" w:lineRule="auto"/>
        <w:rPr>
          <w:rFonts w:ascii="Arial" w:eastAsia="Calibri" w:hAnsi="Arial" w:cs="Arial"/>
          <w:sz w:val="26"/>
          <w:szCs w:val="26"/>
        </w:rPr>
      </w:pPr>
    </w:p>
    <w:p w14:paraId="1B005A18" w14:textId="77777777" w:rsidR="00863583" w:rsidRDefault="00863583" w:rsidP="00863583">
      <w:pPr>
        <w:spacing w:after="0" w:line="240" w:lineRule="auto"/>
        <w:ind w:firstLine="708"/>
        <w:jc w:val="center"/>
        <w:rPr>
          <w:rFonts w:ascii="Arial" w:hAnsi="Arial" w:cs="Arial"/>
          <w:sz w:val="26"/>
          <w:szCs w:val="26"/>
        </w:rPr>
      </w:pPr>
    </w:p>
    <w:p w14:paraId="778D15CB" w14:textId="77777777" w:rsidR="00863583" w:rsidRDefault="00863583" w:rsidP="00863583">
      <w:pPr>
        <w:spacing w:after="0" w:line="240" w:lineRule="auto"/>
        <w:rPr>
          <w:rFonts w:ascii="Arial" w:hAnsi="Arial" w:cs="Arial"/>
          <w:sz w:val="26"/>
          <w:szCs w:val="26"/>
        </w:rPr>
      </w:pPr>
    </w:p>
    <w:p w14:paraId="7A8A0D18" w14:textId="77777777" w:rsidR="00863583" w:rsidRDefault="00863583" w:rsidP="00863583">
      <w:pPr>
        <w:spacing w:after="0" w:line="240" w:lineRule="auto"/>
        <w:ind w:firstLine="708"/>
        <w:jc w:val="center"/>
        <w:rPr>
          <w:rFonts w:ascii="Arial" w:hAnsi="Arial" w:cs="Arial"/>
          <w:sz w:val="26"/>
          <w:szCs w:val="26"/>
        </w:rPr>
      </w:pPr>
    </w:p>
    <w:p w14:paraId="1D2557C5" w14:textId="77777777" w:rsidR="00863583" w:rsidRDefault="00863583" w:rsidP="00863583">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3CA4D265" w14:textId="77777777" w:rsidR="00863583" w:rsidRDefault="00863583" w:rsidP="00863583">
      <w:pPr>
        <w:spacing w:after="0" w:line="240" w:lineRule="auto"/>
        <w:ind w:firstLine="708"/>
        <w:jc w:val="center"/>
        <w:rPr>
          <w:rFonts w:ascii="Arial" w:hAnsi="Arial" w:cs="Arial"/>
          <w:sz w:val="26"/>
          <w:szCs w:val="26"/>
        </w:rPr>
      </w:pPr>
    </w:p>
    <w:p w14:paraId="1A283E84" w14:textId="77777777" w:rsidR="00863583" w:rsidRDefault="00863583" w:rsidP="00863583">
      <w:pPr>
        <w:spacing w:after="0" w:line="240" w:lineRule="auto"/>
        <w:ind w:firstLine="708"/>
        <w:jc w:val="center"/>
        <w:rPr>
          <w:rFonts w:ascii="Arial" w:hAnsi="Arial" w:cs="Arial"/>
          <w:sz w:val="26"/>
          <w:szCs w:val="26"/>
        </w:rPr>
      </w:pPr>
    </w:p>
    <w:p w14:paraId="14F30EEB" w14:textId="77777777" w:rsidR="00863583" w:rsidRDefault="00863583" w:rsidP="00863583">
      <w:pPr>
        <w:spacing w:after="0" w:line="240" w:lineRule="auto"/>
        <w:ind w:firstLine="708"/>
        <w:jc w:val="center"/>
        <w:rPr>
          <w:rFonts w:ascii="Arial" w:hAnsi="Arial" w:cs="Arial"/>
          <w:sz w:val="26"/>
          <w:szCs w:val="26"/>
        </w:rPr>
      </w:pPr>
    </w:p>
    <w:p w14:paraId="4B90135B" w14:textId="77777777" w:rsidR="00863583" w:rsidRDefault="00863583" w:rsidP="00863583">
      <w:pPr>
        <w:spacing w:after="0" w:line="240" w:lineRule="auto"/>
        <w:ind w:firstLine="708"/>
        <w:jc w:val="center"/>
        <w:rPr>
          <w:rFonts w:ascii="Arial" w:hAnsi="Arial" w:cs="Arial"/>
          <w:sz w:val="26"/>
          <w:szCs w:val="26"/>
        </w:rPr>
      </w:pPr>
    </w:p>
    <w:p w14:paraId="7143568F" w14:textId="77777777" w:rsidR="00863583" w:rsidRDefault="00863583" w:rsidP="00863583">
      <w:pPr>
        <w:spacing w:after="0" w:line="240" w:lineRule="auto"/>
        <w:ind w:firstLine="708"/>
        <w:jc w:val="center"/>
        <w:rPr>
          <w:rFonts w:ascii="Arial" w:hAnsi="Arial" w:cs="Arial"/>
          <w:sz w:val="26"/>
          <w:szCs w:val="26"/>
        </w:rPr>
      </w:pPr>
    </w:p>
    <w:p w14:paraId="3F5C973F" w14:textId="77777777" w:rsidR="00863583" w:rsidRDefault="00863583" w:rsidP="00863583">
      <w:pPr>
        <w:spacing w:after="0" w:line="240" w:lineRule="auto"/>
        <w:ind w:firstLine="708"/>
        <w:jc w:val="center"/>
        <w:rPr>
          <w:rFonts w:ascii="Arial" w:hAnsi="Arial" w:cs="Arial"/>
          <w:sz w:val="26"/>
          <w:szCs w:val="26"/>
        </w:rPr>
      </w:pPr>
    </w:p>
    <w:p w14:paraId="5E2329EC" w14:textId="77777777" w:rsidR="00863583" w:rsidRDefault="00863583" w:rsidP="00863583">
      <w:pPr>
        <w:spacing w:after="0" w:line="240" w:lineRule="auto"/>
        <w:ind w:firstLine="708"/>
        <w:jc w:val="center"/>
        <w:rPr>
          <w:rFonts w:ascii="Arial" w:hAnsi="Arial" w:cs="Arial"/>
          <w:sz w:val="26"/>
          <w:szCs w:val="26"/>
        </w:rPr>
      </w:pPr>
    </w:p>
    <w:p w14:paraId="060C1B01" w14:textId="77777777" w:rsidR="00863583" w:rsidRDefault="00863583" w:rsidP="00863583">
      <w:pPr>
        <w:spacing w:after="0" w:line="240" w:lineRule="auto"/>
        <w:ind w:firstLine="708"/>
        <w:jc w:val="center"/>
        <w:rPr>
          <w:rFonts w:ascii="Arial" w:hAnsi="Arial" w:cs="Arial"/>
          <w:sz w:val="26"/>
          <w:szCs w:val="26"/>
        </w:rPr>
      </w:pPr>
    </w:p>
    <w:p w14:paraId="1974A7CB" w14:textId="77777777" w:rsidR="00863583" w:rsidRDefault="00863583" w:rsidP="00863583">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2B55D397" w14:textId="77777777" w:rsidR="00863583" w:rsidRDefault="00863583" w:rsidP="00863583">
      <w:pPr>
        <w:spacing w:after="0" w:line="240" w:lineRule="auto"/>
        <w:ind w:firstLine="708"/>
        <w:jc w:val="center"/>
        <w:rPr>
          <w:rFonts w:ascii="Arial" w:hAnsi="Arial" w:cs="Arial"/>
          <w:sz w:val="26"/>
          <w:szCs w:val="26"/>
        </w:rPr>
      </w:pPr>
    </w:p>
    <w:p w14:paraId="16A30E37" w14:textId="77777777" w:rsidR="00863583" w:rsidRDefault="00863583" w:rsidP="00863583">
      <w:pPr>
        <w:spacing w:after="0" w:line="240" w:lineRule="auto"/>
        <w:ind w:firstLine="708"/>
        <w:jc w:val="center"/>
        <w:rPr>
          <w:rFonts w:ascii="Arial" w:hAnsi="Arial" w:cs="Arial"/>
          <w:sz w:val="26"/>
          <w:szCs w:val="26"/>
        </w:rPr>
      </w:pPr>
    </w:p>
    <w:p w14:paraId="08651CF7" w14:textId="77777777" w:rsidR="00863583" w:rsidRDefault="00863583" w:rsidP="00863583">
      <w:pPr>
        <w:spacing w:after="0" w:line="240" w:lineRule="auto"/>
        <w:ind w:firstLine="708"/>
        <w:jc w:val="center"/>
        <w:rPr>
          <w:rFonts w:ascii="Arial" w:hAnsi="Arial" w:cs="Arial"/>
          <w:sz w:val="26"/>
          <w:szCs w:val="26"/>
        </w:rPr>
      </w:pPr>
    </w:p>
    <w:p w14:paraId="2A14E010" w14:textId="77777777" w:rsidR="00863583" w:rsidRDefault="00863583" w:rsidP="00863583">
      <w:pPr>
        <w:spacing w:after="0" w:line="240" w:lineRule="auto"/>
        <w:ind w:firstLine="708"/>
        <w:jc w:val="center"/>
        <w:rPr>
          <w:rFonts w:ascii="Arial" w:hAnsi="Arial" w:cs="Arial"/>
          <w:sz w:val="26"/>
          <w:szCs w:val="26"/>
        </w:rPr>
      </w:pPr>
    </w:p>
    <w:p w14:paraId="7DE47F5B" w14:textId="77777777" w:rsidR="00863583" w:rsidRDefault="00863583" w:rsidP="00863583">
      <w:pPr>
        <w:spacing w:after="0" w:line="240" w:lineRule="auto"/>
        <w:ind w:firstLine="708"/>
        <w:jc w:val="center"/>
        <w:rPr>
          <w:rFonts w:ascii="Arial" w:hAnsi="Arial" w:cs="Arial"/>
          <w:sz w:val="26"/>
          <w:szCs w:val="26"/>
        </w:rPr>
      </w:pPr>
    </w:p>
    <w:p w14:paraId="41F6B314" w14:textId="77777777" w:rsidR="00863583" w:rsidRDefault="00863583" w:rsidP="00863583">
      <w:pPr>
        <w:spacing w:after="0" w:line="240" w:lineRule="auto"/>
        <w:rPr>
          <w:rFonts w:ascii="Arial" w:hAnsi="Arial" w:cs="Arial"/>
          <w:sz w:val="26"/>
          <w:szCs w:val="26"/>
        </w:rPr>
      </w:pPr>
    </w:p>
    <w:p w14:paraId="3040EB32" w14:textId="77777777" w:rsidR="00863583" w:rsidRDefault="00863583" w:rsidP="00863583">
      <w:pPr>
        <w:spacing w:after="0" w:line="240" w:lineRule="auto"/>
        <w:ind w:firstLine="708"/>
        <w:jc w:val="center"/>
        <w:rPr>
          <w:rFonts w:ascii="Arial" w:hAnsi="Arial" w:cs="Arial"/>
          <w:sz w:val="26"/>
          <w:szCs w:val="26"/>
        </w:rPr>
      </w:pPr>
    </w:p>
    <w:p w14:paraId="458BAA57" w14:textId="77777777" w:rsidR="00863583" w:rsidRDefault="00863583" w:rsidP="00863583">
      <w:pPr>
        <w:spacing w:after="0" w:line="240" w:lineRule="auto"/>
        <w:ind w:firstLine="708"/>
        <w:jc w:val="center"/>
        <w:rPr>
          <w:rFonts w:ascii="Arial" w:eastAsia="Calibri" w:hAnsi="Arial" w:cs="Arial"/>
          <w:sz w:val="26"/>
          <w:szCs w:val="26"/>
        </w:rPr>
      </w:pPr>
    </w:p>
    <w:p w14:paraId="1A12A8E5" w14:textId="77777777" w:rsidR="00863583" w:rsidRDefault="00863583" w:rsidP="00863583">
      <w:pPr>
        <w:spacing w:after="0" w:line="240" w:lineRule="auto"/>
        <w:ind w:firstLine="708"/>
        <w:jc w:val="center"/>
        <w:rPr>
          <w:rFonts w:ascii="Arial" w:eastAsia="Calibri" w:hAnsi="Arial" w:cs="Arial"/>
          <w:sz w:val="26"/>
          <w:szCs w:val="26"/>
        </w:rPr>
      </w:pPr>
      <w:r>
        <w:rPr>
          <w:rFonts w:ascii="Arial" w:hAnsi="Arial" w:cs="Arial"/>
          <w:sz w:val="26"/>
          <w:szCs w:val="26"/>
        </w:rPr>
        <w:lastRenderedPageBreak/>
        <w:t>LICENCIADO JUAN EDY GARCÍA CORONADO</w:t>
      </w:r>
    </w:p>
    <w:p w14:paraId="57E8AFCC" w14:textId="4806577C" w:rsidR="00982D2B" w:rsidRPr="00863583" w:rsidRDefault="00863583" w:rsidP="00863583">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sectPr w:rsidR="00982D2B" w:rsidRPr="00863583" w:rsidSect="00E3281F">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86490" w14:textId="77777777" w:rsidR="003076F4" w:rsidRDefault="003076F4">
      <w:pPr>
        <w:spacing w:after="0" w:line="240" w:lineRule="auto"/>
      </w:pPr>
      <w:r>
        <w:separator/>
      </w:r>
    </w:p>
  </w:endnote>
  <w:endnote w:type="continuationSeparator" w:id="0">
    <w:p w14:paraId="78BEEFF0" w14:textId="77777777" w:rsidR="003076F4" w:rsidRDefault="00307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42459" w14:textId="77777777" w:rsidR="00506449" w:rsidRDefault="0050644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4F658" w14:textId="23ECC140" w:rsidR="00506449" w:rsidRDefault="0050644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32E19" w14:textId="77777777" w:rsidR="00506449" w:rsidRDefault="005064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CF8AE" w14:textId="77777777" w:rsidR="003076F4" w:rsidRDefault="003076F4">
      <w:pPr>
        <w:spacing w:after="0" w:line="240" w:lineRule="auto"/>
      </w:pPr>
      <w:r>
        <w:separator/>
      </w:r>
    </w:p>
  </w:footnote>
  <w:footnote w:type="continuationSeparator" w:id="0">
    <w:p w14:paraId="6AF87958" w14:textId="77777777" w:rsidR="003076F4" w:rsidRDefault="00307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27758B6D" w14:textId="392E5BD8" w:rsidR="00CA2B09" w:rsidRDefault="00555C8B" w:rsidP="00D25099">
        <w:pPr>
          <w:pStyle w:val="Encabezado"/>
          <w:jc w:val="center"/>
        </w:pPr>
        <w:r>
          <w:rPr>
            <w:noProof/>
          </w:rPr>
          <w:pict w14:anchorId="42862D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060454" o:spid="_x0000_s2050"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CA2B09">
          <w:fldChar w:fldCharType="begin"/>
        </w:r>
        <w:r w:rsidR="00CA2B09">
          <w:instrText>PAGE   \* MERGEFORMAT</w:instrText>
        </w:r>
        <w:r w:rsidR="00CA2B09">
          <w:fldChar w:fldCharType="separate"/>
        </w:r>
        <w:r>
          <w:rPr>
            <w:noProof/>
          </w:rPr>
          <w:t>10</w:t>
        </w:r>
        <w:r w:rsidR="00CA2B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E6430" w14:textId="3D5DE3BF" w:rsidR="00506449" w:rsidRDefault="00506449" w:rsidP="00206B99">
    <w:pPr>
      <w:pStyle w:val="Encabezado"/>
      <w:jc w:val="center"/>
    </w:pPr>
  </w:p>
  <w:sdt>
    <w:sdtPr>
      <w:id w:val="-1748483066"/>
      <w:docPartObj>
        <w:docPartGallery w:val="Page Numbers (Top of Page)"/>
        <w:docPartUnique/>
      </w:docPartObj>
    </w:sdtPr>
    <w:sdtEndPr/>
    <w:sdtContent>
      <w:p w14:paraId="3CBB487D" w14:textId="52DE4A97" w:rsidR="00CA2B09" w:rsidRDefault="00555C8B" w:rsidP="00206B99">
        <w:pPr>
          <w:pStyle w:val="Encabezado"/>
          <w:jc w:val="center"/>
          <w:rPr>
            <w:noProof/>
          </w:rPr>
        </w:pPr>
        <w:r>
          <w:rPr>
            <w:noProof/>
          </w:rPr>
          <w:pict w14:anchorId="66BFB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060455" o:spid="_x0000_s2051"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CA2B09">
          <w:fldChar w:fldCharType="begin"/>
        </w:r>
        <w:r w:rsidR="00CA2B09">
          <w:instrText xml:space="preserve"> PAGE   \* MERGEFORMAT </w:instrText>
        </w:r>
        <w:r w:rsidR="00CA2B09">
          <w:fldChar w:fldCharType="separate"/>
        </w:r>
        <w:r>
          <w:rPr>
            <w:noProof/>
          </w:rPr>
          <w:t>9</w:t>
        </w:r>
        <w:r w:rsidR="00CA2B09">
          <w:rPr>
            <w:noProof/>
          </w:rPr>
          <w:fldChar w:fldCharType="end"/>
        </w:r>
      </w:p>
      <w:p w14:paraId="77D8AE43" w14:textId="2232E63B" w:rsidR="00CA2B09" w:rsidRDefault="00555C8B" w:rsidP="008C74CA">
        <w:pPr>
          <w:pStyle w:val="Encabezado"/>
          <w:jc w:val="center"/>
        </w:pPr>
      </w:p>
    </w:sdtContent>
  </w:sdt>
  <w:p w14:paraId="4EA22BC9" w14:textId="4E56489C" w:rsidR="00CA2B09" w:rsidRDefault="00CA2B09" w:rsidP="00256B01">
    <w:pPr>
      <w:pStyle w:val="Encabezado"/>
      <w:jc w:val="center"/>
    </w:pPr>
  </w:p>
  <w:p w14:paraId="3E76AA24" w14:textId="4CBE6B9F" w:rsidR="00CA2B09" w:rsidRDefault="00506449" w:rsidP="00256B01">
    <w:pPr>
      <w:pStyle w:val="Encabezado"/>
      <w:jc w:val="center"/>
    </w:pPr>
    <w:r>
      <w:rPr>
        <w:noProof/>
        <w:lang w:val="es-MX" w:eastAsia="es-MX"/>
      </w:rPr>
      <mc:AlternateContent>
        <mc:Choice Requires="wps">
          <w:drawing>
            <wp:anchor distT="45720" distB="45720" distL="114300" distR="114300" simplePos="0" relativeHeight="251664384" behindDoc="0" locked="0" layoutInCell="1" allowOverlap="1" wp14:anchorId="5D3CF22D" wp14:editId="3E9F5A14">
              <wp:simplePos x="0" y="0"/>
              <wp:positionH relativeFrom="column">
                <wp:posOffset>-1493520</wp:posOffset>
              </wp:positionH>
              <wp:positionV relativeFrom="paragraph">
                <wp:posOffset>5440045</wp:posOffset>
              </wp:positionV>
              <wp:extent cx="1143000" cy="770890"/>
              <wp:effectExtent l="0" t="0" r="19050"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770890"/>
                      </a:xfrm>
                      <a:prstGeom prst="rect">
                        <a:avLst/>
                      </a:prstGeom>
                      <a:solidFill>
                        <a:srgbClr val="FFFFFF"/>
                      </a:solidFill>
                      <a:ln w="9525">
                        <a:solidFill>
                          <a:srgbClr val="000000"/>
                        </a:solidFill>
                        <a:miter lim="800000"/>
                        <a:headEnd/>
                        <a:tailEnd/>
                      </a:ln>
                    </wps:spPr>
                    <wps:txbx>
                      <w:txbxContent>
                        <w:p w14:paraId="49BFEAF2" w14:textId="6DF1632B" w:rsidR="00506449" w:rsidRDefault="00506449" w:rsidP="00506449">
                          <w:pPr>
                            <w:rPr>
                              <w:sz w:val="16"/>
                              <w:szCs w:val="16"/>
                            </w:rPr>
                          </w:pPr>
                          <w:r>
                            <w:rPr>
                              <w:sz w:val="16"/>
                              <w:szCs w:val="16"/>
                            </w:rPr>
                            <w:t>Los datos personales están protegidos por el art.116 de la LGTAIP y el art. 56 de la LTAIPEO</w:t>
                          </w:r>
                        </w:p>
                        <w:p w14:paraId="6AAC6EEE" w14:textId="37AC742B" w:rsidR="00506449" w:rsidRDefault="005064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CF22D" id="_x0000_t202" coordsize="21600,21600" o:spt="202" path="m,l,21600r21600,l21600,xe">
              <v:stroke joinstyle="miter"/>
              <v:path gradientshapeok="t" o:connecttype="rect"/>
            </v:shapetype>
            <v:shape id="Cuadro de texto 2" o:spid="_x0000_s1026" type="#_x0000_t202" style="position:absolute;left:0;text-align:left;margin-left:-117.6pt;margin-top:428.35pt;width:90pt;height:60.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AwLQIAAE0EAAAOAAAAZHJzL2Uyb0RvYy54bWysVNuO2jAQfa/Uf7D8XhIoFIgIqy1bqkrb&#10;i7TtBwy2Q6w6ntQ2JPTrO3ZYlm7Vl6o8WB5mfObMmZmsbvrGsKNyXqMt+XiUc6asQKntvuTfvm5f&#10;LTjzAawEg1aV/KQ8v1m/fLHq2kJNsEYjlWMEYn3RtSWvQ2iLLPOiVg34EbbKkrNC10Ag0+0z6aAj&#10;9MZkkzx/k3XoZOtQKO/p37vBydcJv6qUCJ+ryqvATMmJW0inS+cuntl6BcXeQVtrcaYB/8CiAW0p&#10;6QXqDgKwg9N/QDVaOPRYhZHAJsOq0kKlGqiacf6smocaWpVqIXF8e5HJ/z9Y8en4xTEtSz4Zzzmz&#10;0FCTNgeQDplULKg+IJtEmbrWFxT90FJ86N9iT+1OJfv2HsV3zyxuarB7descdrUCSTTH8WV29XTA&#10;8RFk131ESdngEDAB9ZVrooakCiN0atfp0iLiwURMOZ6+znNyCfLN5/limXqYQfH4unU+vFfYsHgp&#10;uaMRSOhwvPchsoHiMSQm82i03GpjkuH2u41x7Ag0Ltv0SwU8CzOWdSVfziazQYC/QhDTSHbI+lum&#10;Rgeae6Obki8uQVBE2d5ZSQ+gCKDNcCfKxp51jNINIoZ+11NgFHeH8kSKOhzmm/aRLjW6n5x1NNsl&#10;9z8O4BRn5oOlrizH02lchmRMZ/MJGe7as7v2gBUEVfLA2XDdhLRAkaPFW+pepZOwT0zOXGlmk97n&#10;/YpLcW2nqKevwPoXAAAA//8DAFBLAwQUAAYACAAAACEAFUN48eIAAAAMAQAADwAAAGRycy9kb3du&#10;cmV2LnhtbEyPy07DMBBF90j8gzVIbFDqNCWPhjgVQgLRHRQEWzeZJhH2ONhuGv4edwXLmbk6c261&#10;mbViE1o3GBKwXMTAkBrTDtQJeH97jApgzktqpTKEAn7Qwaa+vKhk2ZoTveK08x0LEHKlFNB7P5ac&#10;u6ZHLd3CjEjhdjBWSx9G2/HWylOAa8WTOM64lgOFD70c8aHH5mt31AKK2+fp021XLx9NdlBrf5NP&#10;T99WiOur+f4OmMfZ/4XhrB/UoQ5Oe3Ok1jElIEpWaRKygZZmObAQidLzZi9gnRdL4HXF/5eofwEA&#10;AP//AwBQSwECLQAUAAYACAAAACEAtoM4kv4AAADhAQAAEwAAAAAAAAAAAAAAAAAAAAAAW0NvbnRl&#10;bnRfVHlwZXNdLnhtbFBLAQItABQABgAIAAAAIQA4/SH/1gAAAJQBAAALAAAAAAAAAAAAAAAAAC8B&#10;AABfcmVscy8ucmVsc1BLAQItABQABgAIAAAAIQCCiZAwLQIAAE0EAAAOAAAAAAAAAAAAAAAAAC4C&#10;AABkcnMvZTJvRG9jLnhtbFBLAQItABQABgAIAAAAIQAVQ3jx4gAAAAwBAAAPAAAAAAAAAAAAAAAA&#10;AIcEAABkcnMvZG93bnJldi54bWxQSwUGAAAAAAQABADzAAAAlgUAAAAA&#10;">
              <v:textbox>
                <w:txbxContent>
                  <w:p w14:paraId="49BFEAF2" w14:textId="6DF1632B" w:rsidR="00506449" w:rsidRDefault="00506449" w:rsidP="00506449">
                    <w:pPr>
                      <w:rPr>
                        <w:sz w:val="16"/>
                        <w:szCs w:val="16"/>
                      </w:rPr>
                    </w:pPr>
                    <w:bookmarkStart w:id="1" w:name="_GoBack"/>
                    <w:r>
                      <w:rPr>
                        <w:sz w:val="16"/>
                        <w:szCs w:val="16"/>
                      </w:rPr>
                      <w:t>Los datos personales están protegidos por el art.116 de la LGTAIP y el art. 56 de la LTAIPEO</w:t>
                    </w:r>
                  </w:p>
                  <w:bookmarkEnd w:id="1"/>
                  <w:p w14:paraId="6AAC6EEE" w14:textId="37AC742B" w:rsidR="00506449" w:rsidRDefault="00506449"/>
                </w:txbxContent>
              </v:textbox>
              <w10:wrap type="square"/>
            </v:shape>
          </w:pict>
        </mc:Fallback>
      </mc:AlternateContent>
    </w:r>
    <w:r w:rsidR="00E01EB9" w:rsidRPr="007112DA">
      <w:rPr>
        <w:noProof/>
        <w:sz w:val="22"/>
        <w:szCs w:val="22"/>
        <w:lang w:val="es-MX" w:eastAsia="es-MX"/>
      </w:rPr>
      <mc:AlternateContent>
        <mc:Choice Requires="wpg">
          <w:drawing>
            <wp:anchor distT="0" distB="0" distL="114300" distR="114300" simplePos="0" relativeHeight="251662336" behindDoc="0" locked="0" layoutInCell="1" allowOverlap="1" wp14:anchorId="2329F0B1" wp14:editId="14D9E400">
              <wp:simplePos x="0" y="0"/>
              <wp:positionH relativeFrom="margin">
                <wp:posOffset>-1495425</wp:posOffset>
              </wp:positionH>
              <wp:positionV relativeFrom="paragraph">
                <wp:posOffset>4323715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9B31E2E" id="Grupo 3" o:spid="_x0000_s1026" style="position:absolute;margin-left:-117.75pt;margin-top:340.4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lvv1HiAAAADAEAAA8AAABkcnMv&#10;ZG93bnJldi54bWxMj8FqwkAQhu+FvsMyQm9xN0okjZmISNuTFKqF0tuaHZNgdjdk1yS+fddTPc7M&#10;xz/fn28m3bKBetdYgxDPBTAypVWNqRC+j+9RCsx5aZRsrSGEGznYFM9PucyUHc0XDQdfsRBiXCYR&#10;au+7jHNX1qSlm9uOTLidba+lD2NfcdXLMYTrli+EWHEtGxM+1LKjXU3l5XDVCB+jHLfL+G3YX867&#10;2+8x+fzZx4T4Mpu2a2CeJv8Pw10/qEMRnE72apRjLUK0WCZJYBFWqXgFFpAouW9OCKlIY+BFzh9L&#10;FH8AAAD//wMAUEsBAi0AFAAGAAgAAAAhALaDOJL+AAAA4QEAABMAAAAAAAAAAAAAAAAAAAAAAFtD&#10;b250ZW50X1R5cGVzXS54bWxQSwECLQAUAAYACAAAACEAOP0h/9YAAACUAQAACwAAAAAAAAAAAAAA&#10;AAAvAQAAX3JlbHMvLnJlbHNQSwECLQAUAAYACAAAACEAIILeSY5KAAAkuAEADgAAAAAAAAAAAAAA&#10;AAAuAgAAZHJzL2Uyb0RvYy54bWxQSwECLQAUAAYACAAAACEAqW+/Ue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1720D" w14:textId="11FE3F9F" w:rsidR="00E01EB9" w:rsidRDefault="00555C8B">
    <w:pPr>
      <w:pStyle w:val="Encabezado"/>
    </w:pPr>
    <w:r>
      <w:rPr>
        <w:noProof/>
      </w:rPr>
      <w:pict w14:anchorId="61DB6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060453" o:spid="_x0000_s2049"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21E4C2F"/>
    <w:multiLevelType w:val="hybridMultilevel"/>
    <w:tmpl w:val="FDB80FDC"/>
    <w:lvl w:ilvl="0" w:tplc="5630D10A">
      <w:start w:val="1"/>
      <w:numFmt w:val="lowerLetter"/>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520B46"/>
    <w:multiLevelType w:val="hybridMultilevel"/>
    <w:tmpl w:val="FDB80FDC"/>
    <w:lvl w:ilvl="0" w:tplc="5630D10A">
      <w:start w:val="1"/>
      <w:numFmt w:val="lowerLetter"/>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9380698"/>
    <w:multiLevelType w:val="hybridMultilevel"/>
    <w:tmpl w:val="E3B67B8C"/>
    <w:lvl w:ilvl="0" w:tplc="D13699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2"/>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6"/>
  </w:num>
  <w:num w:numId="7">
    <w:abstractNumId w:val="5"/>
  </w:num>
  <w:num w:numId="8">
    <w:abstractNumId w:val="11"/>
  </w:num>
  <w:num w:numId="9">
    <w:abstractNumId w:val="8"/>
  </w:num>
  <w:num w:numId="10">
    <w:abstractNumId w:val="9"/>
  </w:num>
  <w:num w:numId="11">
    <w:abstractNumId w:val="15"/>
  </w:num>
  <w:num w:numId="12">
    <w:abstractNumId w:val="3"/>
  </w:num>
  <w:num w:numId="13">
    <w:abstractNumId w:val="4"/>
  </w:num>
  <w:num w:numId="14">
    <w:abstractNumId w:val="10"/>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0B6C"/>
    <w:rsid w:val="00011594"/>
    <w:rsid w:val="000169A3"/>
    <w:rsid w:val="00017C09"/>
    <w:rsid w:val="0002022E"/>
    <w:rsid w:val="00021DF1"/>
    <w:rsid w:val="0002236D"/>
    <w:rsid w:val="00026C11"/>
    <w:rsid w:val="00026F35"/>
    <w:rsid w:val="000330FB"/>
    <w:rsid w:val="0003331C"/>
    <w:rsid w:val="00035047"/>
    <w:rsid w:val="00035379"/>
    <w:rsid w:val="00035D5D"/>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093D"/>
    <w:rsid w:val="000612E4"/>
    <w:rsid w:val="000616B5"/>
    <w:rsid w:val="00070777"/>
    <w:rsid w:val="000737BF"/>
    <w:rsid w:val="0007458B"/>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504E"/>
    <w:rsid w:val="000E6E38"/>
    <w:rsid w:val="000F018A"/>
    <w:rsid w:val="000F388B"/>
    <w:rsid w:val="000F54B0"/>
    <w:rsid w:val="000F5D12"/>
    <w:rsid w:val="000F5F56"/>
    <w:rsid w:val="000F62C3"/>
    <w:rsid w:val="000F7CF6"/>
    <w:rsid w:val="00100240"/>
    <w:rsid w:val="00103FE7"/>
    <w:rsid w:val="001058D3"/>
    <w:rsid w:val="00105DF0"/>
    <w:rsid w:val="00105EB1"/>
    <w:rsid w:val="0010644A"/>
    <w:rsid w:val="00110932"/>
    <w:rsid w:val="00111B33"/>
    <w:rsid w:val="00111BFC"/>
    <w:rsid w:val="001144A1"/>
    <w:rsid w:val="00114AC5"/>
    <w:rsid w:val="00115987"/>
    <w:rsid w:val="00115F49"/>
    <w:rsid w:val="00116579"/>
    <w:rsid w:val="001171AE"/>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8A5"/>
    <w:rsid w:val="001441D3"/>
    <w:rsid w:val="0014484E"/>
    <w:rsid w:val="0014614C"/>
    <w:rsid w:val="00146509"/>
    <w:rsid w:val="00147A8B"/>
    <w:rsid w:val="00151D48"/>
    <w:rsid w:val="00152A17"/>
    <w:rsid w:val="00152D3F"/>
    <w:rsid w:val="00152EF4"/>
    <w:rsid w:val="0015351E"/>
    <w:rsid w:val="00154584"/>
    <w:rsid w:val="00154C09"/>
    <w:rsid w:val="00155064"/>
    <w:rsid w:val="0015751B"/>
    <w:rsid w:val="00164061"/>
    <w:rsid w:val="00164BAD"/>
    <w:rsid w:val="00171831"/>
    <w:rsid w:val="00172159"/>
    <w:rsid w:val="00172205"/>
    <w:rsid w:val="0017244E"/>
    <w:rsid w:val="00172B29"/>
    <w:rsid w:val="001758E5"/>
    <w:rsid w:val="001761CB"/>
    <w:rsid w:val="00176F82"/>
    <w:rsid w:val="00177DC8"/>
    <w:rsid w:val="00180F55"/>
    <w:rsid w:val="001827CF"/>
    <w:rsid w:val="001833AC"/>
    <w:rsid w:val="001843E8"/>
    <w:rsid w:val="00184B23"/>
    <w:rsid w:val="0019080F"/>
    <w:rsid w:val="00190DE9"/>
    <w:rsid w:val="00191A27"/>
    <w:rsid w:val="00191ECF"/>
    <w:rsid w:val="00192287"/>
    <w:rsid w:val="001927DD"/>
    <w:rsid w:val="00194A88"/>
    <w:rsid w:val="00194C5C"/>
    <w:rsid w:val="001958E1"/>
    <w:rsid w:val="00195C5B"/>
    <w:rsid w:val="0019600D"/>
    <w:rsid w:val="0019779F"/>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07D06"/>
    <w:rsid w:val="002113FA"/>
    <w:rsid w:val="00211AEE"/>
    <w:rsid w:val="00211DEF"/>
    <w:rsid w:val="00212CDB"/>
    <w:rsid w:val="00212D0A"/>
    <w:rsid w:val="002142F8"/>
    <w:rsid w:val="00214B69"/>
    <w:rsid w:val="00216474"/>
    <w:rsid w:val="00216595"/>
    <w:rsid w:val="00216BB8"/>
    <w:rsid w:val="00220A65"/>
    <w:rsid w:val="002214CB"/>
    <w:rsid w:val="0022196F"/>
    <w:rsid w:val="00222DE0"/>
    <w:rsid w:val="00223F75"/>
    <w:rsid w:val="00226A03"/>
    <w:rsid w:val="0022780E"/>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4E5"/>
    <w:rsid w:val="002675D0"/>
    <w:rsid w:val="0026762A"/>
    <w:rsid w:val="00267A88"/>
    <w:rsid w:val="002702E2"/>
    <w:rsid w:val="002729E4"/>
    <w:rsid w:val="00273171"/>
    <w:rsid w:val="00273652"/>
    <w:rsid w:val="002741C8"/>
    <w:rsid w:val="00274366"/>
    <w:rsid w:val="00275C7A"/>
    <w:rsid w:val="002802EC"/>
    <w:rsid w:val="002805AC"/>
    <w:rsid w:val="002811D0"/>
    <w:rsid w:val="0028174E"/>
    <w:rsid w:val="0028182E"/>
    <w:rsid w:val="0028299E"/>
    <w:rsid w:val="00283967"/>
    <w:rsid w:val="00283B3F"/>
    <w:rsid w:val="0028420C"/>
    <w:rsid w:val="002844AF"/>
    <w:rsid w:val="002870CA"/>
    <w:rsid w:val="002908C0"/>
    <w:rsid w:val="00291333"/>
    <w:rsid w:val="00292316"/>
    <w:rsid w:val="00292C7D"/>
    <w:rsid w:val="002946F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145"/>
    <w:rsid w:val="002B3CD7"/>
    <w:rsid w:val="002B41BC"/>
    <w:rsid w:val="002B52BC"/>
    <w:rsid w:val="002B5C82"/>
    <w:rsid w:val="002B66B3"/>
    <w:rsid w:val="002B73F3"/>
    <w:rsid w:val="002B7422"/>
    <w:rsid w:val="002B79C4"/>
    <w:rsid w:val="002C01EA"/>
    <w:rsid w:val="002C0324"/>
    <w:rsid w:val="002C291C"/>
    <w:rsid w:val="002C6F54"/>
    <w:rsid w:val="002C7363"/>
    <w:rsid w:val="002D1979"/>
    <w:rsid w:val="002D1980"/>
    <w:rsid w:val="002D2BC6"/>
    <w:rsid w:val="002D3B49"/>
    <w:rsid w:val="002D71AE"/>
    <w:rsid w:val="002D7BCE"/>
    <w:rsid w:val="002D7F17"/>
    <w:rsid w:val="002E07CB"/>
    <w:rsid w:val="002E26EB"/>
    <w:rsid w:val="002E636D"/>
    <w:rsid w:val="002E796C"/>
    <w:rsid w:val="002F19AF"/>
    <w:rsid w:val="002F45B6"/>
    <w:rsid w:val="002F4F72"/>
    <w:rsid w:val="002F69D0"/>
    <w:rsid w:val="002F7173"/>
    <w:rsid w:val="002F7484"/>
    <w:rsid w:val="00300F8C"/>
    <w:rsid w:val="00302511"/>
    <w:rsid w:val="00302C57"/>
    <w:rsid w:val="00303020"/>
    <w:rsid w:val="003032E2"/>
    <w:rsid w:val="00304999"/>
    <w:rsid w:val="003076B0"/>
    <w:rsid w:val="003076F4"/>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2BA8"/>
    <w:rsid w:val="0033426E"/>
    <w:rsid w:val="00335EF4"/>
    <w:rsid w:val="00337583"/>
    <w:rsid w:val="0034013A"/>
    <w:rsid w:val="0034180B"/>
    <w:rsid w:val="00342CE5"/>
    <w:rsid w:val="003455B5"/>
    <w:rsid w:val="003462AA"/>
    <w:rsid w:val="00346CD3"/>
    <w:rsid w:val="003505C2"/>
    <w:rsid w:val="0035575A"/>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5CE"/>
    <w:rsid w:val="003B4BAF"/>
    <w:rsid w:val="003B68EA"/>
    <w:rsid w:val="003B6C7E"/>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CE1"/>
    <w:rsid w:val="003E5E70"/>
    <w:rsid w:val="003E5FDE"/>
    <w:rsid w:val="003E7801"/>
    <w:rsid w:val="003E7C2E"/>
    <w:rsid w:val="003E7C91"/>
    <w:rsid w:val="003F09E7"/>
    <w:rsid w:val="003F47AD"/>
    <w:rsid w:val="003F5E8A"/>
    <w:rsid w:val="003F7211"/>
    <w:rsid w:val="00400164"/>
    <w:rsid w:val="0040457E"/>
    <w:rsid w:val="00404D0E"/>
    <w:rsid w:val="00407B2F"/>
    <w:rsid w:val="00411707"/>
    <w:rsid w:val="00412972"/>
    <w:rsid w:val="0041349D"/>
    <w:rsid w:val="004138D3"/>
    <w:rsid w:val="0041760B"/>
    <w:rsid w:val="0042201D"/>
    <w:rsid w:val="00423A9D"/>
    <w:rsid w:val="00424229"/>
    <w:rsid w:val="00427081"/>
    <w:rsid w:val="0042722A"/>
    <w:rsid w:val="00430646"/>
    <w:rsid w:val="00433F5D"/>
    <w:rsid w:val="00433FAD"/>
    <w:rsid w:val="00436AC2"/>
    <w:rsid w:val="004407BC"/>
    <w:rsid w:val="00441D6B"/>
    <w:rsid w:val="004426E6"/>
    <w:rsid w:val="00444733"/>
    <w:rsid w:val="004454E5"/>
    <w:rsid w:val="00445E83"/>
    <w:rsid w:val="004503A6"/>
    <w:rsid w:val="00451BE8"/>
    <w:rsid w:val="00454494"/>
    <w:rsid w:val="004547D3"/>
    <w:rsid w:val="004562B4"/>
    <w:rsid w:val="004567C7"/>
    <w:rsid w:val="00456E4A"/>
    <w:rsid w:val="00457CC7"/>
    <w:rsid w:val="004633DC"/>
    <w:rsid w:val="0047112E"/>
    <w:rsid w:val="004715AF"/>
    <w:rsid w:val="00472037"/>
    <w:rsid w:val="00472E19"/>
    <w:rsid w:val="00474E30"/>
    <w:rsid w:val="0047763B"/>
    <w:rsid w:val="0048005F"/>
    <w:rsid w:val="00480093"/>
    <w:rsid w:val="0048071E"/>
    <w:rsid w:val="0048396A"/>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0B"/>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449"/>
    <w:rsid w:val="005065FA"/>
    <w:rsid w:val="005068F2"/>
    <w:rsid w:val="00510956"/>
    <w:rsid w:val="00510C9F"/>
    <w:rsid w:val="005115C3"/>
    <w:rsid w:val="00512FF2"/>
    <w:rsid w:val="005132BC"/>
    <w:rsid w:val="005141FA"/>
    <w:rsid w:val="0051428C"/>
    <w:rsid w:val="00515E05"/>
    <w:rsid w:val="00516F56"/>
    <w:rsid w:val="00517C59"/>
    <w:rsid w:val="00520000"/>
    <w:rsid w:val="005232DC"/>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57E"/>
    <w:rsid w:val="00551897"/>
    <w:rsid w:val="00553578"/>
    <w:rsid w:val="00555C8B"/>
    <w:rsid w:val="00557727"/>
    <w:rsid w:val="005609AA"/>
    <w:rsid w:val="00563560"/>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E1C"/>
    <w:rsid w:val="00580F64"/>
    <w:rsid w:val="005817AB"/>
    <w:rsid w:val="005863D4"/>
    <w:rsid w:val="005864C3"/>
    <w:rsid w:val="0058657E"/>
    <w:rsid w:val="005903F7"/>
    <w:rsid w:val="005913ED"/>
    <w:rsid w:val="00593333"/>
    <w:rsid w:val="00594670"/>
    <w:rsid w:val="00595186"/>
    <w:rsid w:val="00597C5A"/>
    <w:rsid w:val="005A0A32"/>
    <w:rsid w:val="005A0D5F"/>
    <w:rsid w:val="005A1C28"/>
    <w:rsid w:val="005A3800"/>
    <w:rsid w:val="005A415D"/>
    <w:rsid w:val="005A493F"/>
    <w:rsid w:val="005B13A7"/>
    <w:rsid w:val="005B2186"/>
    <w:rsid w:val="005B2365"/>
    <w:rsid w:val="005B41B4"/>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04F"/>
    <w:rsid w:val="005D536A"/>
    <w:rsid w:val="005D54C1"/>
    <w:rsid w:val="005D62CD"/>
    <w:rsid w:val="005D65FC"/>
    <w:rsid w:val="005D74CC"/>
    <w:rsid w:val="005D751A"/>
    <w:rsid w:val="005E18B0"/>
    <w:rsid w:val="005E3275"/>
    <w:rsid w:val="005E40A8"/>
    <w:rsid w:val="005E48F2"/>
    <w:rsid w:val="005E5273"/>
    <w:rsid w:val="005E76E1"/>
    <w:rsid w:val="005F0B76"/>
    <w:rsid w:val="005F0D57"/>
    <w:rsid w:val="005F113F"/>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54E5"/>
    <w:rsid w:val="00630C62"/>
    <w:rsid w:val="00633FA0"/>
    <w:rsid w:val="006345EE"/>
    <w:rsid w:val="006361ED"/>
    <w:rsid w:val="006418C8"/>
    <w:rsid w:val="00641ABB"/>
    <w:rsid w:val="006422F6"/>
    <w:rsid w:val="0064256C"/>
    <w:rsid w:val="006427D9"/>
    <w:rsid w:val="00642A1E"/>
    <w:rsid w:val="00643498"/>
    <w:rsid w:val="00645439"/>
    <w:rsid w:val="00645E2A"/>
    <w:rsid w:val="00652772"/>
    <w:rsid w:val="0065279D"/>
    <w:rsid w:val="00653354"/>
    <w:rsid w:val="00653C7A"/>
    <w:rsid w:val="00655BA3"/>
    <w:rsid w:val="00655D87"/>
    <w:rsid w:val="00661E08"/>
    <w:rsid w:val="0066306B"/>
    <w:rsid w:val="0066335A"/>
    <w:rsid w:val="0066407D"/>
    <w:rsid w:val="006640C5"/>
    <w:rsid w:val="006665A4"/>
    <w:rsid w:val="00670A3B"/>
    <w:rsid w:val="00672737"/>
    <w:rsid w:val="006735F6"/>
    <w:rsid w:val="00674D05"/>
    <w:rsid w:val="00675661"/>
    <w:rsid w:val="00676DFB"/>
    <w:rsid w:val="00681F17"/>
    <w:rsid w:val="00682164"/>
    <w:rsid w:val="006826DA"/>
    <w:rsid w:val="0068325D"/>
    <w:rsid w:val="00683DC9"/>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09DD"/>
    <w:rsid w:val="006E19FC"/>
    <w:rsid w:val="006E1B16"/>
    <w:rsid w:val="006E22F2"/>
    <w:rsid w:val="006E27BA"/>
    <w:rsid w:val="006E43D3"/>
    <w:rsid w:val="006E44A9"/>
    <w:rsid w:val="006E6519"/>
    <w:rsid w:val="006F0897"/>
    <w:rsid w:val="006F0D29"/>
    <w:rsid w:val="006F2412"/>
    <w:rsid w:val="006F3363"/>
    <w:rsid w:val="006F53BB"/>
    <w:rsid w:val="006F5760"/>
    <w:rsid w:val="006F586A"/>
    <w:rsid w:val="006F6707"/>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081E"/>
    <w:rsid w:val="0072215B"/>
    <w:rsid w:val="0072271C"/>
    <w:rsid w:val="00723286"/>
    <w:rsid w:val="00723B07"/>
    <w:rsid w:val="0072433A"/>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0D0"/>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A532F"/>
    <w:rsid w:val="007B0E0D"/>
    <w:rsid w:val="007B29E4"/>
    <w:rsid w:val="007B448D"/>
    <w:rsid w:val="007B6958"/>
    <w:rsid w:val="007C4D7C"/>
    <w:rsid w:val="007C4FC7"/>
    <w:rsid w:val="007C5134"/>
    <w:rsid w:val="007C6CD3"/>
    <w:rsid w:val="007C7AD1"/>
    <w:rsid w:val="007D1ED0"/>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076"/>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4F90"/>
    <w:rsid w:val="00826265"/>
    <w:rsid w:val="0083002A"/>
    <w:rsid w:val="008303C1"/>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1BEE"/>
    <w:rsid w:val="00863583"/>
    <w:rsid w:val="0086361E"/>
    <w:rsid w:val="0086452C"/>
    <w:rsid w:val="008649E5"/>
    <w:rsid w:val="00864F72"/>
    <w:rsid w:val="0086668F"/>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946EA"/>
    <w:rsid w:val="008947B5"/>
    <w:rsid w:val="00894D4A"/>
    <w:rsid w:val="00895F73"/>
    <w:rsid w:val="00896710"/>
    <w:rsid w:val="00897C9D"/>
    <w:rsid w:val="008A20F1"/>
    <w:rsid w:val="008A2A09"/>
    <w:rsid w:val="008A47B2"/>
    <w:rsid w:val="008A5670"/>
    <w:rsid w:val="008A5BD1"/>
    <w:rsid w:val="008A5EA9"/>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4454"/>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5DA7"/>
    <w:rsid w:val="009069B7"/>
    <w:rsid w:val="009073DD"/>
    <w:rsid w:val="00907FE3"/>
    <w:rsid w:val="00910D80"/>
    <w:rsid w:val="009111EA"/>
    <w:rsid w:val="0091170B"/>
    <w:rsid w:val="00911F93"/>
    <w:rsid w:val="0091243B"/>
    <w:rsid w:val="009127BC"/>
    <w:rsid w:val="00912837"/>
    <w:rsid w:val="0091304F"/>
    <w:rsid w:val="009133A9"/>
    <w:rsid w:val="009159DA"/>
    <w:rsid w:val="00915C26"/>
    <w:rsid w:val="0091614F"/>
    <w:rsid w:val="00920D15"/>
    <w:rsid w:val="009210A6"/>
    <w:rsid w:val="0092234C"/>
    <w:rsid w:val="009233B3"/>
    <w:rsid w:val="0092448D"/>
    <w:rsid w:val="00926FCD"/>
    <w:rsid w:val="00927607"/>
    <w:rsid w:val="00931E3D"/>
    <w:rsid w:val="00933EF5"/>
    <w:rsid w:val="0094005B"/>
    <w:rsid w:val="00943709"/>
    <w:rsid w:val="00943B62"/>
    <w:rsid w:val="009443A6"/>
    <w:rsid w:val="00944AE1"/>
    <w:rsid w:val="0094607A"/>
    <w:rsid w:val="00947785"/>
    <w:rsid w:val="00956CD1"/>
    <w:rsid w:val="009623FA"/>
    <w:rsid w:val="00964969"/>
    <w:rsid w:val="00964A87"/>
    <w:rsid w:val="00965794"/>
    <w:rsid w:val="00965870"/>
    <w:rsid w:val="00966EAF"/>
    <w:rsid w:val="00966F18"/>
    <w:rsid w:val="00970BC4"/>
    <w:rsid w:val="00973D8D"/>
    <w:rsid w:val="009752F6"/>
    <w:rsid w:val="009758DB"/>
    <w:rsid w:val="009768B5"/>
    <w:rsid w:val="0097768E"/>
    <w:rsid w:val="00982D2B"/>
    <w:rsid w:val="00983201"/>
    <w:rsid w:val="00984197"/>
    <w:rsid w:val="00986534"/>
    <w:rsid w:val="00991B75"/>
    <w:rsid w:val="009930AF"/>
    <w:rsid w:val="00995692"/>
    <w:rsid w:val="00996B6C"/>
    <w:rsid w:val="00997217"/>
    <w:rsid w:val="00997F96"/>
    <w:rsid w:val="009A33AC"/>
    <w:rsid w:val="009A33BE"/>
    <w:rsid w:val="009A5AE2"/>
    <w:rsid w:val="009A5D8D"/>
    <w:rsid w:val="009B1106"/>
    <w:rsid w:val="009B1EAF"/>
    <w:rsid w:val="009B38C8"/>
    <w:rsid w:val="009B3FAA"/>
    <w:rsid w:val="009B4DEF"/>
    <w:rsid w:val="009B7D38"/>
    <w:rsid w:val="009C4221"/>
    <w:rsid w:val="009D1ED8"/>
    <w:rsid w:val="009D4A0A"/>
    <w:rsid w:val="009D52BA"/>
    <w:rsid w:val="009D6011"/>
    <w:rsid w:val="009D6659"/>
    <w:rsid w:val="009D7058"/>
    <w:rsid w:val="009E0336"/>
    <w:rsid w:val="009E10EC"/>
    <w:rsid w:val="009E2797"/>
    <w:rsid w:val="009E3A9A"/>
    <w:rsid w:val="009E5841"/>
    <w:rsid w:val="009F50FA"/>
    <w:rsid w:val="009F5FC9"/>
    <w:rsid w:val="00A022D9"/>
    <w:rsid w:val="00A033BB"/>
    <w:rsid w:val="00A0357E"/>
    <w:rsid w:val="00A045F4"/>
    <w:rsid w:val="00A05B4F"/>
    <w:rsid w:val="00A06909"/>
    <w:rsid w:val="00A0763F"/>
    <w:rsid w:val="00A10387"/>
    <w:rsid w:val="00A1248F"/>
    <w:rsid w:val="00A13591"/>
    <w:rsid w:val="00A177B6"/>
    <w:rsid w:val="00A20025"/>
    <w:rsid w:val="00A21B13"/>
    <w:rsid w:val="00A24F31"/>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287E"/>
    <w:rsid w:val="00A5314A"/>
    <w:rsid w:val="00A542D9"/>
    <w:rsid w:val="00A54E02"/>
    <w:rsid w:val="00A54F44"/>
    <w:rsid w:val="00A57F60"/>
    <w:rsid w:val="00A60FA5"/>
    <w:rsid w:val="00A61A6E"/>
    <w:rsid w:val="00A61A73"/>
    <w:rsid w:val="00A628BF"/>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01D4"/>
    <w:rsid w:val="00A923D9"/>
    <w:rsid w:val="00A93F22"/>
    <w:rsid w:val="00A94D13"/>
    <w:rsid w:val="00A94E2C"/>
    <w:rsid w:val="00A95A90"/>
    <w:rsid w:val="00A977D1"/>
    <w:rsid w:val="00AA0100"/>
    <w:rsid w:val="00AA0131"/>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234D"/>
    <w:rsid w:val="00AD293D"/>
    <w:rsid w:val="00AD38ED"/>
    <w:rsid w:val="00AD41E1"/>
    <w:rsid w:val="00AD4282"/>
    <w:rsid w:val="00AD44A8"/>
    <w:rsid w:val="00AD6111"/>
    <w:rsid w:val="00AD77FD"/>
    <w:rsid w:val="00AE0CEC"/>
    <w:rsid w:val="00AE18DA"/>
    <w:rsid w:val="00AE1A7A"/>
    <w:rsid w:val="00AE4894"/>
    <w:rsid w:val="00AE5AC8"/>
    <w:rsid w:val="00AE6785"/>
    <w:rsid w:val="00AF15FC"/>
    <w:rsid w:val="00AF2619"/>
    <w:rsid w:val="00AF6B54"/>
    <w:rsid w:val="00AF6F6A"/>
    <w:rsid w:val="00B049EC"/>
    <w:rsid w:val="00B04DD6"/>
    <w:rsid w:val="00B05841"/>
    <w:rsid w:val="00B076E8"/>
    <w:rsid w:val="00B078A6"/>
    <w:rsid w:val="00B10264"/>
    <w:rsid w:val="00B10FF6"/>
    <w:rsid w:val="00B1212B"/>
    <w:rsid w:val="00B14213"/>
    <w:rsid w:val="00B1483E"/>
    <w:rsid w:val="00B155F5"/>
    <w:rsid w:val="00B15800"/>
    <w:rsid w:val="00B160F9"/>
    <w:rsid w:val="00B173E2"/>
    <w:rsid w:val="00B177F2"/>
    <w:rsid w:val="00B206BA"/>
    <w:rsid w:val="00B216FE"/>
    <w:rsid w:val="00B244A4"/>
    <w:rsid w:val="00B26CCB"/>
    <w:rsid w:val="00B26FFB"/>
    <w:rsid w:val="00B31114"/>
    <w:rsid w:val="00B31B5C"/>
    <w:rsid w:val="00B34D98"/>
    <w:rsid w:val="00B35503"/>
    <w:rsid w:val="00B35D0E"/>
    <w:rsid w:val="00B362FF"/>
    <w:rsid w:val="00B37C1A"/>
    <w:rsid w:val="00B37E5F"/>
    <w:rsid w:val="00B408F8"/>
    <w:rsid w:val="00B420C9"/>
    <w:rsid w:val="00B45AA5"/>
    <w:rsid w:val="00B461BE"/>
    <w:rsid w:val="00B466DA"/>
    <w:rsid w:val="00B5088E"/>
    <w:rsid w:val="00B517B3"/>
    <w:rsid w:val="00B51D39"/>
    <w:rsid w:val="00B53176"/>
    <w:rsid w:val="00B55C20"/>
    <w:rsid w:val="00B56558"/>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4213"/>
    <w:rsid w:val="00B758E5"/>
    <w:rsid w:val="00B76B20"/>
    <w:rsid w:val="00B76F62"/>
    <w:rsid w:val="00B77236"/>
    <w:rsid w:val="00B77B2E"/>
    <w:rsid w:val="00B8098C"/>
    <w:rsid w:val="00B81A09"/>
    <w:rsid w:val="00B82C81"/>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68C1"/>
    <w:rsid w:val="00BC7BD0"/>
    <w:rsid w:val="00BC7DE1"/>
    <w:rsid w:val="00BD08FE"/>
    <w:rsid w:val="00BD249F"/>
    <w:rsid w:val="00BD3B92"/>
    <w:rsid w:val="00BD4F0D"/>
    <w:rsid w:val="00BD5CAE"/>
    <w:rsid w:val="00BD7208"/>
    <w:rsid w:val="00BD7A54"/>
    <w:rsid w:val="00BD7C52"/>
    <w:rsid w:val="00BE01B0"/>
    <w:rsid w:val="00BE08A5"/>
    <w:rsid w:val="00BE1BBE"/>
    <w:rsid w:val="00BE32C7"/>
    <w:rsid w:val="00BE4652"/>
    <w:rsid w:val="00BE4A75"/>
    <w:rsid w:val="00BE4E30"/>
    <w:rsid w:val="00BE4FDC"/>
    <w:rsid w:val="00BE5C36"/>
    <w:rsid w:val="00BF01B4"/>
    <w:rsid w:val="00BF0DCB"/>
    <w:rsid w:val="00BF1EC0"/>
    <w:rsid w:val="00BF2591"/>
    <w:rsid w:val="00BF2AD9"/>
    <w:rsid w:val="00BF2F98"/>
    <w:rsid w:val="00BF3DA6"/>
    <w:rsid w:val="00BF760A"/>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A1E"/>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12B1"/>
    <w:rsid w:val="00C52510"/>
    <w:rsid w:val="00C539E3"/>
    <w:rsid w:val="00C53F32"/>
    <w:rsid w:val="00C55168"/>
    <w:rsid w:val="00C56885"/>
    <w:rsid w:val="00C57680"/>
    <w:rsid w:val="00C57997"/>
    <w:rsid w:val="00C57C9F"/>
    <w:rsid w:val="00C57DE8"/>
    <w:rsid w:val="00C607C9"/>
    <w:rsid w:val="00C6230B"/>
    <w:rsid w:val="00C625C8"/>
    <w:rsid w:val="00C6293A"/>
    <w:rsid w:val="00C64728"/>
    <w:rsid w:val="00C669B9"/>
    <w:rsid w:val="00C70AD4"/>
    <w:rsid w:val="00C72D55"/>
    <w:rsid w:val="00C732C5"/>
    <w:rsid w:val="00C734EC"/>
    <w:rsid w:val="00C747C2"/>
    <w:rsid w:val="00C76DD6"/>
    <w:rsid w:val="00C80261"/>
    <w:rsid w:val="00C80FE1"/>
    <w:rsid w:val="00C8246A"/>
    <w:rsid w:val="00C830CA"/>
    <w:rsid w:val="00C83120"/>
    <w:rsid w:val="00C83BAB"/>
    <w:rsid w:val="00C84197"/>
    <w:rsid w:val="00C84663"/>
    <w:rsid w:val="00C84904"/>
    <w:rsid w:val="00C879FE"/>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2CBD"/>
    <w:rsid w:val="00CC7CEF"/>
    <w:rsid w:val="00CD0468"/>
    <w:rsid w:val="00CD1491"/>
    <w:rsid w:val="00CD343D"/>
    <w:rsid w:val="00CD64DE"/>
    <w:rsid w:val="00CD6EC0"/>
    <w:rsid w:val="00CD7CC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6F1"/>
    <w:rsid w:val="00D33C66"/>
    <w:rsid w:val="00D33F81"/>
    <w:rsid w:val="00D34A5A"/>
    <w:rsid w:val="00D35A50"/>
    <w:rsid w:val="00D35BF1"/>
    <w:rsid w:val="00D3635F"/>
    <w:rsid w:val="00D36CA4"/>
    <w:rsid w:val="00D378CF"/>
    <w:rsid w:val="00D434D5"/>
    <w:rsid w:val="00D43688"/>
    <w:rsid w:val="00D44218"/>
    <w:rsid w:val="00D4494B"/>
    <w:rsid w:val="00D44ADA"/>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0AB7"/>
    <w:rsid w:val="00D81429"/>
    <w:rsid w:val="00D81559"/>
    <w:rsid w:val="00D82506"/>
    <w:rsid w:val="00D871A9"/>
    <w:rsid w:val="00D9154A"/>
    <w:rsid w:val="00D917DE"/>
    <w:rsid w:val="00D91AF2"/>
    <w:rsid w:val="00D927CA"/>
    <w:rsid w:val="00D93271"/>
    <w:rsid w:val="00D96319"/>
    <w:rsid w:val="00DA0A7D"/>
    <w:rsid w:val="00DA0CA2"/>
    <w:rsid w:val="00DA158D"/>
    <w:rsid w:val="00DA30A9"/>
    <w:rsid w:val="00DA47C6"/>
    <w:rsid w:val="00DA4B87"/>
    <w:rsid w:val="00DA78C0"/>
    <w:rsid w:val="00DB03CE"/>
    <w:rsid w:val="00DB0766"/>
    <w:rsid w:val="00DB225F"/>
    <w:rsid w:val="00DB31F5"/>
    <w:rsid w:val="00DB4CAC"/>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AF6"/>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1EB9"/>
    <w:rsid w:val="00E02840"/>
    <w:rsid w:val="00E02932"/>
    <w:rsid w:val="00E07B4D"/>
    <w:rsid w:val="00E1020C"/>
    <w:rsid w:val="00E1033E"/>
    <w:rsid w:val="00E10F14"/>
    <w:rsid w:val="00E11F28"/>
    <w:rsid w:val="00E12B19"/>
    <w:rsid w:val="00E14744"/>
    <w:rsid w:val="00E14816"/>
    <w:rsid w:val="00E1487F"/>
    <w:rsid w:val="00E154AB"/>
    <w:rsid w:val="00E15722"/>
    <w:rsid w:val="00E164E7"/>
    <w:rsid w:val="00E16654"/>
    <w:rsid w:val="00E178DE"/>
    <w:rsid w:val="00E20F23"/>
    <w:rsid w:val="00E21CDD"/>
    <w:rsid w:val="00E22360"/>
    <w:rsid w:val="00E23669"/>
    <w:rsid w:val="00E25425"/>
    <w:rsid w:val="00E25844"/>
    <w:rsid w:val="00E25B8B"/>
    <w:rsid w:val="00E25C3E"/>
    <w:rsid w:val="00E263A1"/>
    <w:rsid w:val="00E2659F"/>
    <w:rsid w:val="00E308DF"/>
    <w:rsid w:val="00E31D43"/>
    <w:rsid w:val="00E3281F"/>
    <w:rsid w:val="00E32EEE"/>
    <w:rsid w:val="00E33520"/>
    <w:rsid w:val="00E3462A"/>
    <w:rsid w:val="00E3623E"/>
    <w:rsid w:val="00E37775"/>
    <w:rsid w:val="00E40BC0"/>
    <w:rsid w:val="00E41A8D"/>
    <w:rsid w:val="00E427DF"/>
    <w:rsid w:val="00E43435"/>
    <w:rsid w:val="00E4583F"/>
    <w:rsid w:val="00E475A6"/>
    <w:rsid w:val="00E47828"/>
    <w:rsid w:val="00E52305"/>
    <w:rsid w:val="00E5742D"/>
    <w:rsid w:val="00E57493"/>
    <w:rsid w:val="00E60ED0"/>
    <w:rsid w:val="00E61AB6"/>
    <w:rsid w:val="00E61CDE"/>
    <w:rsid w:val="00E63811"/>
    <w:rsid w:val="00E64061"/>
    <w:rsid w:val="00E65459"/>
    <w:rsid w:val="00E666AB"/>
    <w:rsid w:val="00E66951"/>
    <w:rsid w:val="00E67D3C"/>
    <w:rsid w:val="00E7006D"/>
    <w:rsid w:val="00E705F5"/>
    <w:rsid w:val="00E713C3"/>
    <w:rsid w:val="00E74CE5"/>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C19"/>
    <w:rsid w:val="00EA379C"/>
    <w:rsid w:val="00EA37E1"/>
    <w:rsid w:val="00EA4616"/>
    <w:rsid w:val="00EA4780"/>
    <w:rsid w:val="00EA4997"/>
    <w:rsid w:val="00EA4DC3"/>
    <w:rsid w:val="00EA4F63"/>
    <w:rsid w:val="00EA5167"/>
    <w:rsid w:val="00EA6758"/>
    <w:rsid w:val="00EA7123"/>
    <w:rsid w:val="00EB37B1"/>
    <w:rsid w:val="00EB4DFF"/>
    <w:rsid w:val="00EB50B4"/>
    <w:rsid w:val="00EC1C64"/>
    <w:rsid w:val="00EC2DA8"/>
    <w:rsid w:val="00EC45FC"/>
    <w:rsid w:val="00EC4A4E"/>
    <w:rsid w:val="00EC5571"/>
    <w:rsid w:val="00EC5AAF"/>
    <w:rsid w:val="00EC6A8E"/>
    <w:rsid w:val="00EC6BCB"/>
    <w:rsid w:val="00EC7284"/>
    <w:rsid w:val="00ED073E"/>
    <w:rsid w:val="00ED2E55"/>
    <w:rsid w:val="00ED3892"/>
    <w:rsid w:val="00ED54D9"/>
    <w:rsid w:val="00ED5DDA"/>
    <w:rsid w:val="00ED7D48"/>
    <w:rsid w:val="00EE1352"/>
    <w:rsid w:val="00EE3E2A"/>
    <w:rsid w:val="00EE480B"/>
    <w:rsid w:val="00EE695C"/>
    <w:rsid w:val="00EF04C6"/>
    <w:rsid w:val="00EF4A2C"/>
    <w:rsid w:val="00F0156D"/>
    <w:rsid w:val="00F02DE0"/>
    <w:rsid w:val="00F053FC"/>
    <w:rsid w:val="00F06CB3"/>
    <w:rsid w:val="00F06E21"/>
    <w:rsid w:val="00F07098"/>
    <w:rsid w:val="00F079CC"/>
    <w:rsid w:val="00F07A83"/>
    <w:rsid w:val="00F07FC2"/>
    <w:rsid w:val="00F123A4"/>
    <w:rsid w:val="00F13A24"/>
    <w:rsid w:val="00F13DD5"/>
    <w:rsid w:val="00F147C1"/>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66A1"/>
    <w:rsid w:val="00F469C7"/>
    <w:rsid w:val="00F46C66"/>
    <w:rsid w:val="00F512B9"/>
    <w:rsid w:val="00F5142A"/>
    <w:rsid w:val="00F530D1"/>
    <w:rsid w:val="00F5415F"/>
    <w:rsid w:val="00F54415"/>
    <w:rsid w:val="00F54463"/>
    <w:rsid w:val="00F54E38"/>
    <w:rsid w:val="00F551B0"/>
    <w:rsid w:val="00F62D24"/>
    <w:rsid w:val="00F6398A"/>
    <w:rsid w:val="00F658C0"/>
    <w:rsid w:val="00F668B1"/>
    <w:rsid w:val="00F72E7B"/>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DB2"/>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612C26F"/>
  <w15:docId w15:val="{310B6B6C-3359-441E-A831-F28070D8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C33A1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20103">
      <w:bodyDiv w:val="1"/>
      <w:marLeft w:val="0"/>
      <w:marRight w:val="0"/>
      <w:marTop w:val="0"/>
      <w:marBottom w:val="0"/>
      <w:divBdr>
        <w:top w:val="none" w:sz="0" w:space="0" w:color="auto"/>
        <w:left w:val="none" w:sz="0" w:space="0" w:color="auto"/>
        <w:bottom w:val="none" w:sz="0" w:space="0" w:color="auto"/>
        <w:right w:val="none" w:sz="0" w:space="0" w:color="auto"/>
      </w:divBdr>
    </w:div>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3050505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62668-893F-4A24-8BDA-C7102120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3568</Words>
  <Characters>19625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9</cp:revision>
  <cp:lastPrinted>2020-10-21T20:07:00Z</cp:lastPrinted>
  <dcterms:created xsi:type="dcterms:W3CDTF">2020-06-30T18:42:00Z</dcterms:created>
  <dcterms:modified xsi:type="dcterms:W3CDTF">2021-01-25T20:45:00Z</dcterms:modified>
</cp:coreProperties>
</file>