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5BD" w:rsidRPr="007B0581" w:rsidRDefault="001F25BD" w:rsidP="001F25BD">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1F25BD" w:rsidRPr="007B0581" w:rsidRDefault="001F25BD" w:rsidP="001F25BD">
      <w:pPr>
        <w:pStyle w:val="corte4fondo"/>
        <w:spacing w:line="276" w:lineRule="auto"/>
        <w:ind w:left="3544" w:right="-521" w:firstLine="0"/>
        <w:rPr>
          <w:rFonts w:cs="Arial"/>
          <w:b/>
          <w:sz w:val="24"/>
          <w:szCs w:val="24"/>
        </w:rPr>
      </w:pPr>
    </w:p>
    <w:p w:rsidR="001F25BD" w:rsidRPr="007B0581" w:rsidRDefault="001F25BD" w:rsidP="001F25BD">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0051</w:t>
      </w:r>
      <w:r w:rsidRPr="007B0581">
        <w:rPr>
          <w:rFonts w:cs="Arial"/>
          <w:b/>
          <w:bCs/>
          <w:sz w:val="24"/>
          <w:szCs w:val="24"/>
        </w:rPr>
        <w:t>/20</w:t>
      </w:r>
      <w:r>
        <w:rPr>
          <w:rFonts w:cs="Arial"/>
          <w:b/>
          <w:bCs/>
          <w:sz w:val="24"/>
          <w:szCs w:val="24"/>
        </w:rPr>
        <w:t>19</w:t>
      </w:r>
      <w:r w:rsidRPr="007B0581">
        <w:rPr>
          <w:rFonts w:cs="Arial"/>
          <w:sz w:val="24"/>
          <w:szCs w:val="24"/>
        </w:rPr>
        <w:t xml:space="preserve">. </w:t>
      </w:r>
    </w:p>
    <w:p w:rsidR="001F25BD" w:rsidRPr="007B0581" w:rsidRDefault="001F25BD" w:rsidP="001F25BD">
      <w:pPr>
        <w:pStyle w:val="corte4fondo"/>
        <w:spacing w:line="276" w:lineRule="auto"/>
        <w:ind w:left="3544" w:right="-521" w:firstLine="0"/>
        <w:rPr>
          <w:rFonts w:cs="Arial"/>
          <w:sz w:val="24"/>
          <w:szCs w:val="24"/>
        </w:rPr>
      </w:pPr>
    </w:p>
    <w:p w:rsidR="001F25BD" w:rsidRPr="007B0581" w:rsidRDefault="001F25BD" w:rsidP="001F25BD">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1F25BD" w:rsidRPr="007B0581" w:rsidRDefault="001F25BD" w:rsidP="001F25BD">
      <w:pPr>
        <w:pStyle w:val="corte4fondo"/>
        <w:spacing w:line="276" w:lineRule="auto"/>
        <w:ind w:left="3544" w:right="-521" w:firstLine="0"/>
        <w:rPr>
          <w:rFonts w:cs="Arial"/>
          <w:b/>
          <w:i/>
          <w:sz w:val="24"/>
          <w:szCs w:val="24"/>
        </w:rPr>
      </w:pPr>
      <w:r w:rsidRPr="007B0581">
        <w:rPr>
          <w:rFonts w:cs="Arial"/>
          <w:b/>
          <w:i/>
          <w:sz w:val="24"/>
          <w:szCs w:val="24"/>
        </w:rPr>
        <w:t xml:space="preserve"> </w:t>
      </w:r>
    </w:p>
    <w:p w:rsidR="001F25BD" w:rsidRPr="007B0581" w:rsidRDefault="001F25BD" w:rsidP="001F25BD">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DIRECTORA DE INGRESOS Y RECAUDACIÓN DE LA</w:t>
      </w:r>
      <w:r>
        <w:rPr>
          <w:rFonts w:cs="Arial"/>
          <w:b/>
          <w:sz w:val="24"/>
          <w:szCs w:val="24"/>
        </w:rPr>
        <w:t xml:space="preserve"> SUBSECRETARÍA DE INGRESOS DE LA</w:t>
      </w:r>
      <w:r w:rsidRPr="006B1C31">
        <w:rPr>
          <w:rFonts w:cs="Arial"/>
          <w:b/>
          <w:sz w:val="24"/>
          <w:szCs w:val="24"/>
        </w:rPr>
        <w:t xml:space="preserve"> SECRETARÍA DE FINANZAS DEL </w:t>
      </w:r>
      <w:r>
        <w:rPr>
          <w:rFonts w:cs="Arial"/>
          <w:b/>
          <w:sz w:val="24"/>
          <w:szCs w:val="24"/>
        </w:rPr>
        <w:t>PODER EJECUTIVO</w:t>
      </w:r>
      <w:r w:rsidRPr="006B1C31">
        <w:rPr>
          <w:rFonts w:cs="Arial"/>
          <w:b/>
          <w:sz w:val="24"/>
          <w:szCs w:val="24"/>
        </w:rPr>
        <w:t xml:space="preserve"> DEL ESTADO DE OAXACA</w:t>
      </w:r>
      <w:r>
        <w:rPr>
          <w:rFonts w:cs="Arial"/>
          <w:b/>
          <w:sz w:val="24"/>
          <w:szCs w:val="24"/>
        </w:rPr>
        <w:t>.</w:t>
      </w:r>
    </w:p>
    <w:p w:rsidR="001F25BD" w:rsidRPr="007B0581" w:rsidRDefault="001F25BD" w:rsidP="001F25BD">
      <w:pPr>
        <w:pStyle w:val="corte4fondo"/>
        <w:spacing w:line="276" w:lineRule="auto"/>
        <w:ind w:left="3544" w:right="51" w:firstLine="0"/>
        <w:rPr>
          <w:rFonts w:cs="Arial"/>
          <w:bCs/>
          <w:sz w:val="24"/>
          <w:szCs w:val="24"/>
        </w:rPr>
      </w:pPr>
    </w:p>
    <w:p w:rsidR="001F25BD" w:rsidRPr="007B0581" w:rsidRDefault="001F25BD" w:rsidP="001F25BD">
      <w:pPr>
        <w:pStyle w:val="corte4fondo"/>
        <w:spacing w:line="276" w:lineRule="auto"/>
        <w:ind w:left="3544" w:right="51" w:firstLine="0"/>
        <w:rPr>
          <w:rFonts w:cs="Arial"/>
          <w:bCs/>
          <w:sz w:val="24"/>
          <w:szCs w:val="24"/>
        </w:rPr>
      </w:pPr>
    </w:p>
    <w:p w:rsidR="001F25BD" w:rsidRDefault="001F25BD" w:rsidP="001F25BD">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VEINTICINCO DE ENERO DE DOS MIL VEINTITRÉS</w:t>
      </w:r>
      <w:r w:rsidRPr="007B0581">
        <w:rPr>
          <w:rFonts w:ascii="Arial" w:hAnsi="Arial" w:cs="Arial"/>
          <w:b/>
          <w:sz w:val="24"/>
          <w:szCs w:val="24"/>
        </w:rPr>
        <w:t xml:space="preserve">. </w:t>
      </w:r>
    </w:p>
    <w:p w:rsidR="001F25BD" w:rsidRDefault="001F25BD" w:rsidP="001F25BD">
      <w:pPr>
        <w:spacing w:line="360" w:lineRule="auto"/>
        <w:jc w:val="both"/>
        <w:rPr>
          <w:rFonts w:ascii="Arial" w:hAnsi="Arial" w:cs="Arial"/>
          <w:b/>
          <w:sz w:val="24"/>
          <w:szCs w:val="24"/>
        </w:rPr>
      </w:pPr>
      <w:r w:rsidRPr="007B0581">
        <w:rPr>
          <w:rFonts w:ascii="Arial" w:hAnsi="Arial" w:cs="Arial"/>
          <w:b/>
          <w:sz w:val="24"/>
          <w:szCs w:val="24"/>
        </w:rPr>
        <w:t xml:space="preserve"> </w:t>
      </w:r>
    </w:p>
    <w:p w:rsidR="001F25BD" w:rsidRPr="007B0581" w:rsidRDefault="001F25BD" w:rsidP="001F25BD">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0051</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0"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w:t>
      </w:r>
      <w:r>
        <w:rPr>
          <w:rFonts w:ascii="Arial" w:hAnsi="Arial" w:cs="Arial"/>
          <w:sz w:val="24"/>
          <w:szCs w:val="24"/>
        </w:rPr>
        <w:t>s</w:t>
      </w:r>
      <w:r w:rsidRPr="008930AE">
        <w:rPr>
          <w:rFonts w:ascii="Arial" w:hAnsi="Arial" w:cs="Arial"/>
          <w:sz w:val="24"/>
          <w:szCs w:val="24"/>
        </w:rPr>
        <w:t xml:space="preserve"> Multa</w:t>
      </w:r>
      <w:r>
        <w:rPr>
          <w:rFonts w:ascii="Arial" w:hAnsi="Arial" w:cs="Arial"/>
          <w:sz w:val="24"/>
          <w:szCs w:val="24"/>
        </w:rPr>
        <w:t>s</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y sobre la Prestación de Servicios de Hospedaje</w:t>
      </w:r>
      <w:r w:rsidRPr="008930AE">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y </w:t>
      </w:r>
      <w:r>
        <w:rPr>
          <w:rFonts w:cs="Arial"/>
          <w:b/>
          <w:sz w:val="24"/>
          <w:szCs w:val="24"/>
        </w:rPr>
        <w:t>**********</w:t>
      </w:r>
      <w:r>
        <w:rPr>
          <w:rFonts w:ascii="Arial" w:hAnsi="Arial" w:cs="Arial"/>
          <w:sz w:val="24"/>
          <w:szCs w:val="24"/>
        </w:rPr>
        <w:t>,</w:t>
      </w:r>
      <w:r w:rsidRPr="008930AE">
        <w:rPr>
          <w:rFonts w:ascii="Arial" w:hAnsi="Arial" w:cs="Arial"/>
          <w:sz w:val="24"/>
          <w:szCs w:val="24"/>
        </w:rPr>
        <w:t xml:space="preserve"> de</w:t>
      </w:r>
      <w:r>
        <w:rPr>
          <w:rFonts w:ascii="Arial" w:hAnsi="Arial" w:cs="Arial"/>
          <w:sz w:val="24"/>
          <w:szCs w:val="24"/>
        </w:rPr>
        <w:t xml:space="preserve"> fechas</w:t>
      </w:r>
      <w:r w:rsidRPr="008930AE">
        <w:rPr>
          <w:rFonts w:ascii="Arial" w:hAnsi="Arial" w:cs="Arial"/>
          <w:sz w:val="24"/>
          <w:szCs w:val="24"/>
        </w:rPr>
        <w:t xml:space="preserve"> </w:t>
      </w:r>
      <w:r>
        <w:rPr>
          <w:rFonts w:ascii="Arial" w:hAnsi="Arial" w:cs="Arial"/>
          <w:sz w:val="24"/>
          <w:szCs w:val="24"/>
        </w:rPr>
        <w:t>diecinueve y veinte de febrero</w:t>
      </w:r>
      <w:r w:rsidRPr="008930AE">
        <w:rPr>
          <w:rFonts w:ascii="Arial" w:hAnsi="Arial" w:cs="Arial"/>
          <w:sz w:val="24"/>
          <w:szCs w:val="24"/>
        </w:rPr>
        <w:t xml:space="preserve"> de dos mil diecinueve,</w:t>
      </w:r>
      <w:r>
        <w:rPr>
          <w:rFonts w:ascii="Arial" w:hAnsi="Arial" w:cs="Arial"/>
          <w:sz w:val="24"/>
          <w:szCs w:val="24"/>
        </w:rPr>
        <w:t xml:space="preserve"> ambas</w:t>
      </w:r>
      <w:r w:rsidRPr="008930AE">
        <w:rPr>
          <w:rFonts w:ascii="Arial" w:hAnsi="Arial" w:cs="Arial"/>
          <w:sz w:val="24"/>
          <w:szCs w:val="24"/>
        </w:rPr>
        <w:t xml:space="preserve"> emitida</w:t>
      </w:r>
      <w:r>
        <w:rPr>
          <w:rFonts w:ascii="Arial" w:hAnsi="Arial" w:cs="Arial"/>
          <w:sz w:val="24"/>
          <w:szCs w:val="24"/>
        </w:rPr>
        <w:t>s</w:t>
      </w:r>
      <w:r w:rsidRPr="008930AE">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8930AE">
        <w:rPr>
          <w:rFonts w:ascii="Arial" w:hAnsi="Arial" w:cs="Arial"/>
          <w:sz w:val="24"/>
          <w:szCs w:val="24"/>
        </w:rPr>
        <w:t xml:space="preserve">Secretaria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w:t>
      </w:r>
      <w:r w:rsidRPr="007B0581">
        <w:rPr>
          <w:rFonts w:ascii="Arial" w:hAnsi="Arial" w:cs="Arial"/>
          <w:sz w:val="24"/>
          <w:szCs w:val="24"/>
        </w:rPr>
        <w:t>y;</w:t>
      </w:r>
      <w:r w:rsidRPr="007B0581">
        <w:rPr>
          <w:rFonts w:ascii="Arial" w:hAnsi="Arial" w:cs="Arial"/>
          <w:b/>
          <w:bCs/>
          <w:sz w:val="24"/>
          <w:szCs w:val="24"/>
        </w:rPr>
        <w:t xml:space="preserve"> </w:t>
      </w:r>
    </w:p>
    <w:bookmarkEnd w:id="0"/>
    <w:p w:rsidR="001F25BD" w:rsidRPr="007B0581" w:rsidRDefault="001F25BD" w:rsidP="001F25BD">
      <w:pPr>
        <w:contextualSpacing/>
        <w:jc w:val="both"/>
        <w:rPr>
          <w:rFonts w:ascii="Arial" w:hAnsi="Arial" w:cs="Arial"/>
          <w:sz w:val="24"/>
          <w:szCs w:val="24"/>
        </w:rPr>
      </w:pPr>
    </w:p>
    <w:p w:rsidR="001F25BD" w:rsidRPr="007B0581" w:rsidRDefault="001F25BD" w:rsidP="001F25BD">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1F25BD" w:rsidRPr="007B0581" w:rsidRDefault="001F25BD" w:rsidP="001F25BD">
      <w:pPr>
        <w:contextualSpacing/>
        <w:jc w:val="both"/>
        <w:rPr>
          <w:rFonts w:ascii="Arial" w:hAnsi="Arial" w:cs="Arial"/>
          <w:b/>
          <w:spacing w:val="-3"/>
          <w:sz w:val="24"/>
          <w:szCs w:val="24"/>
          <w:lang w:val="es-ES_tradnl"/>
        </w:rPr>
      </w:pPr>
    </w:p>
    <w:p w:rsidR="001F25BD" w:rsidRPr="007B0581" w:rsidRDefault="001F25BD" w:rsidP="001F25BD">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tres de junio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las </w:t>
      </w:r>
      <w:r w:rsidRPr="008930AE">
        <w:rPr>
          <w:rFonts w:ascii="Arial" w:hAnsi="Arial" w:cs="Arial"/>
          <w:sz w:val="24"/>
          <w:szCs w:val="24"/>
        </w:rPr>
        <w:t>Multa</w:t>
      </w:r>
      <w:r>
        <w:rPr>
          <w:rFonts w:ascii="Arial" w:hAnsi="Arial" w:cs="Arial"/>
          <w:sz w:val="24"/>
          <w:szCs w:val="24"/>
        </w:rPr>
        <w:t>s</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y sobre la Prestación de Servicios de Hospedaje</w:t>
      </w:r>
      <w:r w:rsidRPr="008930AE">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y </w:t>
      </w:r>
      <w:r>
        <w:rPr>
          <w:rFonts w:cs="Arial"/>
          <w:b/>
          <w:sz w:val="24"/>
          <w:szCs w:val="24"/>
        </w:rPr>
        <w:t>**********</w:t>
      </w:r>
      <w:r>
        <w:rPr>
          <w:rFonts w:ascii="Arial" w:hAnsi="Arial" w:cs="Arial"/>
          <w:sz w:val="24"/>
          <w:szCs w:val="24"/>
        </w:rPr>
        <w:t>,</w:t>
      </w:r>
      <w:r w:rsidRPr="008930AE">
        <w:rPr>
          <w:rFonts w:ascii="Arial" w:hAnsi="Arial" w:cs="Arial"/>
          <w:sz w:val="24"/>
          <w:szCs w:val="24"/>
        </w:rPr>
        <w:t xml:space="preserve"> de</w:t>
      </w:r>
      <w:r>
        <w:rPr>
          <w:rFonts w:ascii="Arial" w:hAnsi="Arial" w:cs="Arial"/>
          <w:sz w:val="24"/>
          <w:szCs w:val="24"/>
        </w:rPr>
        <w:t xml:space="preserve"> fechas</w:t>
      </w:r>
      <w:r w:rsidRPr="008930AE">
        <w:rPr>
          <w:rFonts w:ascii="Arial" w:hAnsi="Arial" w:cs="Arial"/>
          <w:sz w:val="24"/>
          <w:szCs w:val="24"/>
        </w:rPr>
        <w:t xml:space="preserve"> </w:t>
      </w:r>
      <w:r>
        <w:rPr>
          <w:rFonts w:ascii="Arial" w:hAnsi="Arial" w:cs="Arial"/>
          <w:sz w:val="24"/>
          <w:szCs w:val="24"/>
        </w:rPr>
        <w:t>diecinueve y veinte de febrero</w:t>
      </w:r>
      <w:r w:rsidRPr="008930AE">
        <w:rPr>
          <w:rFonts w:ascii="Arial" w:hAnsi="Arial" w:cs="Arial"/>
          <w:sz w:val="24"/>
          <w:szCs w:val="24"/>
        </w:rPr>
        <w:t xml:space="preserve"> de dos mil diecinueve,</w:t>
      </w:r>
      <w:r>
        <w:rPr>
          <w:rFonts w:ascii="Arial" w:hAnsi="Arial" w:cs="Arial"/>
          <w:sz w:val="24"/>
          <w:szCs w:val="24"/>
        </w:rPr>
        <w:t xml:space="preserve"> ambas</w:t>
      </w:r>
      <w:r w:rsidRPr="008930AE">
        <w:rPr>
          <w:rFonts w:ascii="Arial" w:hAnsi="Arial" w:cs="Arial"/>
          <w:sz w:val="24"/>
          <w:szCs w:val="24"/>
        </w:rPr>
        <w:t xml:space="preserve"> emitida</w:t>
      </w:r>
      <w:r>
        <w:rPr>
          <w:rFonts w:ascii="Arial" w:hAnsi="Arial" w:cs="Arial"/>
          <w:sz w:val="24"/>
          <w:szCs w:val="24"/>
        </w:rPr>
        <w:t>s</w:t>
      </w:r>
      <w:r w:rsidRPr="008930AE">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8930AE">
        <w:rPr>
          <w:rFonts w:ascii="Arial" w:hAnsi="Arial" w:cs="Arial"/>
          <w:sz w:val="24"/>
          <w:szCs w:val="24"/>
        </w:rPr>
        <w:t xml:space="preserve">Secretaria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w:t>
      </w:r>
    </w:p>
    <w:bookmarkEnd w:id="1"/>
    <w:p w:rsidR="001F25BD" w:rsidRDefault="001F25BD" w:rsidP="001F25BD">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7B0581">
        <w:rPr>
          <w:rFonts w:ascii="Arial" w:hAnsi="Arial" w:cs="Arial"/>
          <w:sz w:val="24"/>
          <w:szCs w:val="24"/>
        </w:rPr>
        <w:t xml:space="preserve">Por acuerdo de </w:t>
      </w:r>
      <w:r>
        <w:rPr>
          <w:rFonts w:ascii="Arial" w:hAnsi="Arial" w:cs="Arial"/>
          <w:sz w:val="24"/>
          <w:szCs w:val="24"/>
        </w:rPr>
        <w:t>cinco de junio de dos mil diecinueve</w:t>
      </w:r>
      <w:r w:rsidRPr="007B0581">
        <w:rPr>
          <w:rFonts w:ascii="Arial" w:hAnsi="Arial" w:cs="Arial"/>
          <w:sz w:val="24"/>
          <w:szCs w:val="24"/>
        </w:rPr>
        <w:t>, se admitió a trámite la demanda, ordenándose notificar, emplazar y correr traslado a la autoridad demandada, para que produjera su contestación en los términos de ley.</w:t>
      </w:r>
      <w:r w:rsidRPr="006C7760">
        <w:rPr>
          <w:rFonts w:ascii="Arial" w:hAnsi="Arial" w:cs="Arial"/>
          <w:sz w:val="24"/>
          <w:szCs w:val="24"/>
        </w:rPr>
        <w:t xml:space="preserve"> </w:t>
      </w:r>
    </w:p>
    <w:p w:rsidR="001F25BD" w:rsidRDefault="001F25BD" w:rsidP="001F25BD">
      <w:pPr>
        <w:spacing w:line="360" w:lineRule="auto"/>
        <w:ind w:firstLine="567"/>
        <w:jc w:val="both"/>
        <w:rPr>
          <w:rFonts w:ascii="Arial" w:hAnsi="Arial" w:cs="Arial"/>
          <w:sz w:val="24"/>
          <w:szCs w:val="24"/>
        </w:rPr>
      </w:pPr>
    </w:p>
    <w:p w:rsidR="001F25BD" w:rsidRPr="007B0581" w:rsidRDefault="001F25BD" w:rsidP="001F25BD">
      <w:pPr>
        <w:spacing w:line="360" w:lineRule="auto"/>
        <w:ind w:firstLine="567"/>
        <w:jc w:val="both"/>
        <w:rPr>
          <w:rFonts w:cs="Arial"/>
          <w:sz w:val="24"/>
          <w:szCs w:val="24"/>
        </w:rPr>
      </w:pPr>
      <w:r w:rsidRPr="0070136A">
        <w:rPr>
          <w:rFonts w:ascii="Arial" w:hAnsi="Arial" w:cs="Arial"/>
          <w:b/>
          <w:bCs/>
          <w:sz w:val="24"/>
          <w:szCs w:val="24"/>
        </w:rPr>
        <w:t>TERCERO</w:t>
      </w:r>
      <w:r w:rsidRPr="0070136A">
        <w:rPr>
          <w:rFonts w:ascii="Arial" w:hAnsi="Arial" w:cs="Arial"/>
          <w:bCs/>
          <w:sz w:val="24"/>
          <w:szCs w:val="24"/>
        </w:rPr>
        <w:t xml:space="preserve">. - </w:t>
      </w:r>
      <w:r w:rsidRPr="00681CAB">
        <w:rPr>
          <w:rFonts w:ascii="Arial" w:hAnsi="Arial" w:cs="Arial"/>
          <w:bCs/>
          <w:sz w:val="24"/>
          <w:szCs w:val="24"/>
        </w:rPr>
        <w:t xml:space="preserve">Por acuerdo de </w:t>
      </w:r>
      <w:r>
        <w:rPr>
          <w:rFonts w:ascii="Arial" w:hAnsi="Arial" w:cs="Arial"/>
          <w:bCs/>
          <w:sz w:val="24"/>
          <w:szCs w:val="24"/>
        </w:rPr>
        <w:t>diez de julio de dos mil diecinueve</w:t>
      </w:r>
      <w:r w:rsidRPr="00681CAB">
        <w:rPr>
          <w:rFonts w:ascii="Arial" w:hAnsi="Arial" w:cs="Arial"/>
          <w:bCs/>
          <w:sz w:val="24"/>
          <w:szCs w:val="24"/>
        </w:rPr>
        <w:t>, se tuvo a</w:t>
      </w:r>
      <w:r>
        <w:rPr>
          <w:rFonts w:ascii="Arial" w:hAnsi="Arial" w:cs="Arial"/>
          <w:bCs/>
          <w:sz w:val="24"/>
          <w:szCs w:val="24"/>
        </w:rPr>
        <w:t xml:space="preserve"> </w:t>
      </w:r>
      <w:r w:rsidRPr="00681CAB">
        <w:rPr>
          <w:rFonts w:ascii="Arial" w:hAnsi="Arial" w:cs="Arial"/>
          <w:bCs/>
          <w:sz w:val="24"/>
          <w:szCs w:val="24"/>
        </w:rPr>
        <w:t>l</w:t>
      </w:r>
      <w:r>
        <w:rPr>
          <w:rFonts w:ascii="Arial" w:hAnsi="Arial" w:cs="Arial"/>
          <w:bCs/>
          <w:sz w:val="24"/>
          <w:szCs w:val="24"/>
        </w:rPr>
        <w:t>a</w:t>
      </w:r>
      <w:r w:rsidRPr="00681CAB">
        <w:rPr>
          <w:rFonts w:ascii="Arial" w:hAnsi="Arial" w:cs="Arial"/>
          <w:bCs/>
          <w:sz w:val="24"/>
          <w:szCs w:val="24"/>
        </w:rPr>
        <w:t xml:space="preserve"> Director</w:t>
      </w:r>
      <w:r>
        <w:rPr>
          <w:rFonts w:ascii="Arial" w:hAnsi="Arial" w:cs="Arial"/>
          <w:bCs/>
          <w:sz w:val="24"/>
          <w:szCs w:val="24"/>
        </w:rPr>
        <w:t>a</w:t>
      </w:r>
      <w:r w:rsidRPr="00681CAB">
        <w:rPr>
          <w:rFonts w:ascii="Arial" w:hAnsi="Arial" w:cs="Arial"/>
          <w:bCs/>
          <w:sz w:val="24"/>
          <w:szCs w:val="24"/>
        </w:rPr>
        <w:t xml:space="preserve"> de lo Contencioso de la Procuraduría Fiscal</w:t>
      </w:r>
      <w:r>
        <w:rPr>
          <w:rFonts w:ascii="Arial" w:hAnsi="Arial" w:cs="Arial"/>
          <w:bCs/>
          <w:sz w:val="24"/>
          <w:szCs w:val="24"/>
        </w:rPr>
        <w:t xml:space="preserve"> dependiente</w:t>
      </w:r>
      <w:r w:rsidRPr="00681CAB">
        <w:rPr>
          <w:rFonts w:ascii="Arial" w:hAnsi="Arial" w:cs="Arial"/>
          <w:b/>
          <w:sz w:val="24"/>
          <w:szCs w:val="24"/>
        </w:rPr>
        <w:t xml:space="preserve"> </w:t>
      </w:r>
      <w:r w:rsidRPr="00681CAB">
        <w:rPr>
          <w:rFonts w:ascii="Arial" w:hAnsi="Arial" w:cs="Arial"/>
          <w:bCs/>
          <w:sz w:val="24"/>
          <w:szCs w:val="24"/>
        </w:rPr>
        <w:t>de la Secretaria de Finanzas del Poder Ejecutivo del Estado de Oaxaca, dando contestación a la demanda en tiempo y forma</w:t>
      </w:r>
      <w:r>
        <w:rPr>
          <w:rFonts w:ascii="Arial" w:hAnsi="Arial" w:cs="Arial"/>
          <w:bCs/>
          <w:sz w:val="24"/>
          <w:szCs w:val="24"/>
        </w:rPr>
        <w:t xml:space="preserve">, en representación jurídica de la defensa legal de la Directora de Ingresos y Recaudación de la Subsecretaría de Ingresos de la Secretaría de Finanzas del Poder Ejecutivo del Estado </w:t>
      </w:r>
      <w:r w:rsidRPr="00D674EA">
        <w:rPr>
          <w:rFonts w:ascii="Arial" w:hAnsi="Arial" w:cs="Arial"/>
          <w:bCs/>
          <w:sz w:val="24"/>
          <w:szCs w:val="24"/>
        </w:rPr>
        <w:t>de Oaxaca</w:t>
      </w:r>
      <w:r w:rsidRPr="00681CAB">
        <w:rPr>
          <w:rFonts w:ascii="Arial" w:hAnsi="Arial" w:cs="Arial"/>
          <w:bCs/>
          <w:sz w:val="24"/>
          <w:szCs w:val="24"/>
        </w:rPr>
        <w:t>, por acreditada la personalidad con la que compareció a juicio, haciendo valer sus excepciones y defensas, y por admitidas las pruebas ofrecidas, ordenándose correr traslado a la parte actora,</w:t>
      </w:r>
      <w:r>
        <w:rPr>
          <w:rFonts w:ascii="Arial" w:hAnsi="Arial" w:cs="Arial"/>
          <w:bCs/>
          <w:sz w:val="24"/>
          <w:szCs w:val="24"/>
        </w:rPr>
        <w:t xml:space="preserve"> para que dentro del plazo de cinco días hábiles, ampliara su demanda, apercibiéndole que de no hacerlo se tendría por precluído su derecho.</w:t>
      </w:r>
      <w:r w:rsidRPr="00681CAB">
        <w:rPr>
          <w:rFonts w:ascii="Arial" w:hAnsi="Arial" w:cs="Arial"/>
          <w:bCs/>
          <w:sz w:val="24"/>
          <w:szCs w:val="24"/>
        </w:rPr>
        <w:t xml:space="preserve"> </w:t>
      </w:r>
    </w:p>
    <w:p w:rsidR="001F25BD" w:rsidRDefault="001F25BD" w:rsidP="001F25BD">
      <w:pPr>
        <w:spacing w:line="360" w:lineRule="auto"/>
        <w:ind w:firstLine="567"/>
        <w:jc w:val="both"/>
        <w:rPr>
          <w:rFonts w:ascii="Arial" w:hAnsi="Arial" w:cs="Arial"/>
          <w:sz w:val="24"/>
          <w:szCs w:val="24"/>
        </w:rPr>
      </w:pPr>
    </w:p>
    <w:p w:rsidR="001F25BD" w:rsidRDefault="001F25BD" w:rsidP="001F25BD">
      <w:pPr>
        <w:pStyle w:val="corte4fondo"/>
        <w:ind w:right="51" w:firstLine="567"/>
        <w:rPr>
          <w:rFonts w:cs="Arial"/>
          <w:bCs/>
          <w:sz w:val="24"/>
          <w:szCs w:val="24"/>
        </w:rPr>
      </w:pPr>
      <w:r>
        <w:rPr>
          <w:rFonts w:cs="Arial"/>
          <w:b/>
          <w:bCs/>
          <w:sz w:val="24"/>
          <w:szCs w:val="24"/>
        </w:rPr>
        <w:t>CUARTO</w:t>
      </w:r>
      <w:r w:rsidRPr="007B0581">
        <w:rPr>
          <w:rFonts w:cs="Arial"/>
          <w:bCs/>
          <w:sz w:val="24"/>
          <w:szCs w:val="24"/>
        </w:rPr>
        <w:t xml:space="preserve">. - </w:t>
      </w:r>
      <w:r w:rsidRPr="006C7760">
        <w:rPr>
          <w:rFonts w:cs="Arial"/>
          <w:bCs/>
          <w:sz w:val="24"/>
          <w:szCs w:val="24"/>
        </w:rPr>
        <w:t xml:space="preserve">Por acuerdo de </w:t>
      </w:r>
      <w:r>
        <w:rPr>
          <w:rFonts w:cs="Arial"/>
          <w:bCs/>
          <w:sz w:val="24"/>
          <w:szCs w:val="24"/>
        </w:rPr>
        <w:t>doce de noviembre</w:t>
      </w:r>
      <w:r w:rsidRPr="006C7760">
        <w:rPr>
          <w:rFonts w:cs="Arial"/>
          <w:bCs/>
          <w:sz w:val="24"/>
          <w:szCs w:val="24"/>
        </w:rPr>
        <w:t xml:space="preserve"> de dos mil </w:t>
      </w:r>
      <w:r>
        <w:rPr>
          <w:rFonts w:cs="Arial"/>
          <w:bCs/>
          <w:sz w:val="24"/>
          <w:szCs w:val="24"/>
        </w:rPr>
        <w:t>diecinueve</w:t>
      </w:r>
      <w:r w:rsidRPr="006C7760">
        <w:rPr>
          <w:rFonts w:cs="Arial"/>
          <w:bCs/>
          <w:sz w:val="24"/>
          <w:szCs w:val="24"/>
        </w:rPr>
        <w:t>,</w:t>
      </w:r>
      <w:r>
        <w:rPr>
          <w:rFonts w:cs="Arial"/>
          <w:bCs/>
          <w:sz w:val="24"/>
          <w:szCs w:val="24"/>
        </w:rPr>
        <w:t xml:space="preserve"> se tuvo al Apoderado Legal de la parte actora ampliando su demanda, ordenándose correr traslado a la autoridad demandada para que dentro del plazo de cinco días hábiles efectuara contestación a la ampliación de demanda que realizó la parte actora.</w:t>
      </w:r>
      <w:r w:rsidRPr="006C7760">
        <w:rPr>
          <w:rFonts w:cs="Arial"/>
          <w:bCs/>
          <w:sz w:val="24"/>
          <w:szCs w:val="24"/>
        </w:rPr>
        <w:t xml:space="preserve"> </w:t>
      </w:r>
    </w:p>
    <w:p w:rsidR="001F25BD" w:rsidRPr="007B0581" w:rsidRDefault="001F25BD" w:rsidP="001F25BD">
      <w:pPr>
        <w:pStyle w:val="corte4fondo"/>
        <w:spacing w:line="240" w:lineRule="auto"/>
        <w:ind w:right="51" w:firstLine="567"/>
        <w:contextualSpacing/>
        <w:rPr>
          <w:rFonts w:cs="Arial"/>
          <w:b/>
          <w:bCs/>
          <w:sz w:val="24"/>
          <w:szCs w:val="24"/>
        </w:rPr>
      </w:pPr>
    </w:p>
    <w:p w:rsidR="001F25BD" w:rsidRDefault="001F25BD" w:rsidP="001F25BD">
      <w:pPr>
        <w:pStyle w:val="corte4fondo"/>
        <w:ind w:right="51" w:firstLine="567"/>
        <w:rPr>
          <w:rFonts w:cs="Arial"/>
          <w:bCs/>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veintisiete de enero de dos mil veinte</w:t>
      </w:r>
      <w:r w:rsidRPr="00890633">
        <w:rPr>
          <w:rFonts w:cs="Arial"/>
          <w:bCs/>
          <w:sz w:val="24"/>
          <w:szCs w:val="24"/>
        </w:rPr>
        <w:t>,</w:t>
      </w:r>
      <w:r>
        <w:rPr>
          <w:rFonts w:cs="Arial"/>
          <w:bCs/>
          <w:sz w:val="24"/>
          <w:szCs w:val="24"/>
        </w:rPr>
        <w:t xml:space="preserve"> se tuvo al Procurador Fiscal dependiente de la Subsecretaría de Ingresos de la Secretaría de Finanzas del Poder Ejecutivo del Estado de Oaxaca, por acreditada la personalidad con la que compareció, dando contestación a la ampliación de la demanda; asimismo se señalaron las doce horas del día veintiséis de marzo de dos mil veinte, para la celebración de la audiencia final.</w:t>
      </w:r>
    </w:p>
    <w:p w:rsidR="001F25BD" w:rsidRDefault="001F25BD" w:rsidP="001F25BD">
      <w:pPr>
        <w:pStyle w:val="corte4fondo"/>
        <w:ind w:right="51" w:firstLine="567"/>
        <w:rPr>
          <w:rFonts w:cs="Arial"/>
          <w:bCs/>
          <w:sz w:val="24"/>
          <w:szCs w:val="24"/>
        </w:rPr>
      </w:pPr>
    </w:p>
    <w:p w:rsidR="001F25BD" w:rsidRDefault="001F25BD" w:rsidP="001F25BD">
      <w:pPr>
        <w:pStyle w:val="corte4fondo"/>
        <w:ind w:right="51" w:firstLine="567"/>
        <w:rPr>
          <w:rFonts w:cs="Arial"/>
          <w:sz w:val="24"/>
          <w:szCs w:val="24"/>
        </w:rPr>
      </w:pPr>
      <w:r w:rsidRPr="00890633">
        <w:rPr>
          <w:rFonts w:cs="Arial"/>
          <w:bCs/>
          <w:sz w:val="24"/>
          <w:szCs w:val="24"/>
        </w:rPr>
        <w:t xml:space="preserve"> </w:t>
      </w:r>
      <w:r>
        <w:rPr>
          <w:rFonts w:cs="Arial"/>
          <w:b/>
          <w:bCs/>
          <w:sz w:val="24"/>
          <w:szCs w:val="24"/>
        </w:rPr>
        <w:t>SEXTO</w:t>
      </w:r>
      <w:r w:rsidRPr="007B0581">
        <w:rPr>
          <w:rFonts w:cs="Arial"/>
          <w:b/>
          <w:bCs/>
          <w:sz w:val="24"/>
          <w:szCs w:val="24"/>
        </w:rPr>
        <w:t xml:space="preserve">. </w:t>
      </w:r>
      <w:r>
        <w:rPr>
          <w:rFonts w:cs="Arial"/>
          <w:b/>
          <w:bCs/>
          <w:sz w:val="24"/>
          <w:szCs w:val="24"/>
        </w:rPr>
        <w:t>-</w:t>
      </w:r>
      <w:r>
        <w:rPr>
          <w:rFonts w:cs="Arial"/>
          <w:sz w:val="24"/>
          <w:szCs w:val="24"/>
        </w:rPr>
        <w:t xml:space="preserve"> Por acuerdo de dieciocho de marzo de dos mil veinte, se hizo del conocimiento de las partes la suspensión de labores en este órgano jurisdiccional del diecinueve de marzo al diecinueve de abril de esa anualidad; asimismo la suspensión de la audiencia final señalada mediante auto de veintisiete de enero de dos mil veinte, reservándose el señalamiento de nueva fecha, hasta en tanto existieran condiciones necesarias para ello.</w:t>
      </w:r>
    </w:p>
    <w:p w:rsidR="001F25BD" w:rsidRDefault="001F25BD" w:rsidP="001F25BD">
      <w:pPr>
        <w:pStyle w:val="corte4fondo"/>
        <w:ind w:right="51" w:firstLine="567"/>
        <w:rPr>
          <w:rFonts w:cs="Arial"/>
          <w:sz w:val="24"/>
          <w:szCs w:val="24"/>
        </w:rPr>
      </w:pPr>
    </w:p>
    <w:p w:rsidR="001F25BD" w:rsidRDefault="001F25BD" w:rsidP="001F25BD">
      <w:pPr>
        <w:pStyle w:val="corte4fondo"/>
        <w:ind w:right="51" w:firstLine="567"/>
        <w:rPr>
          <w:rFonts w:cs="Arial"/>
          <w:sz w:val="24"/>
          <w:szCs w:val="24"/>
        </w:rPr>
      </w:pPr>
      <w:r w:rsidRPr="00AD36EF">
        <w:rPr>
          <w:rFonts w:cs="Arial"/>
          <w:b/>
          <w:bCs/>
          <w:sz w:val="24"/>
          <w:szCs w:val="24"/>
        </w:rPr>
        <w:t>SÉPTIMO. -</w:t>
      </w:r>
      <w:r>
        <w:rPr>
          <w:rFonts w:cs="Arial"/>
          <w:sz w:val="24"/>
          <w:szCs w:val="24"/>
        </w:rPr>
        <w:t xml:space="preserve"> Por acuerdo de quince de diciembre de dos mil veintiuno, se señalaron las ONCE HORAS del día CINCO DE ABRIL DE DOS MIL VEINTIDÓS, para la celebración de la audiencia final; asimismo se hizo del conocimiento de las partes la incorporación y adscripción de la Magistrada VIRGINIA HERNÁNDEZ </w:t>
      </w:r>
      <w:proofErr w:type="spellStart"/>
      <w:r>
        <w:rPr>
          <w:rFonts w:cs="Arial"/>
          <w:sz w:val="24"/>
          <w:szCs w:val="24"/>
        </w:rPr>
        <w:t>HERNÁNDEZ</w:t>
      </w:r>
      <w:proofErr w:type="spellEnd"/>
      <w:r>
        <w:rPr>
          <w:rFonts w:cs="Arial"/>
          <w:sz w:val="24"/>
          <w:szCs w:val="24"/>
        </w:rPr>
        <w:t>, como titular de esta Quinta Sala Unitaria de Primera Instancia de este órgano jurisdiccional, para que en el plazo de tres días hábiles manifestaran lo que a su derecho conviniera.</w:t>
      </w:r>
    </w:p>
    <w:p w:rsidR="001F25BD" w:rsidRDefault="001F25BD" w:rsidP="001F25BD">
      <w:pPr>
        <w:pStyle w:val="corte4fondo"/>
        <w:ind w:right="51" w:firstLine="567"/>
        <w:rPr>
          <w:rFonts w:cs="Arial"/>
          <w:sz w:val="24"/>
          <w:szCs w:val="24"/>
        </w:rPr>
      </w:pPr>
    </w:p>
    <w:p w:rsidR="001F25BD" w:rsidRDefault="001F25BD" w:rsidP="001F25BD">
      <w:pPr>
        <w:pStyle w:val="corte4fondo"/>
        <w:ind w:right="51" w:firstLine="567"/>
        <w:rPr>
          <w:rFonts w:cs="Arial"/>
          <w:bCs/>
          <w:sz w:val="24"/>
          <w:szCs w:val="24"/>
          <w:lang w:val="es-ES"/>
        </w:rPr>
      </w:pPr>
      <w:r w:rsidRPr="00AD36EF">
        <w:rPr>
          <w:rFonts w:cs="Arial"/>
          <w:b/>
          <w:bCs/>
          <w:sz w:val="24"/>
          <w:szCs w:val="24"/>
        </w:rPr>
        <w:t>OCTAVO. -</w:t>
      </w:r>
      <w:r>
        <w:rPr>
          <w:rFonts w:cs="Arial"/>
          <w:sz w:val="24"/>
          <w:szCs w:val="24"/>
        </w:rPr>
        <w:t xml:space="preserve"> </w:t>
      </w:r>
      <w:r w:rsidRPr="006C7760">
        <w:rPr>
          <w:rFonts w:cs="Arial"/>
          <w:sz w:val="24"/>
          <w:szCs w:val="24"/>
        </w:rPr>
        <w:t>E</w:t>
      </w:r>
      <w:r w:rsidRPr="006C7760">
        <w:rPr>
          <w:rFonts w:cs="Arial"/>
          <w:bCs/>
          <w:sz w:val="24"/>
          <w:szCs w:val="24"/>
        </w:rPr>
        <w:t xml:space="preserve">l </w:t>
      </w:r>
      <w:r>
        <w:rPr>
          <w:rFonts w:cs="Arial"/>
          <w:bCs/>
          <w:sz w:val="24"/>
          <w:szCs w:val="24"/>
        </w:rPr>
        <w:t>cinco de abril de dos mil veintidós</w:t>
      </w:r>
      <w:r w:rsidRPr="006C7760">
        <w:rPr>
          <w:rFonts w:cs="Arial"/>
          <w:sz w:val="24"/>
          <w:szCs w:val="24"/>
        </w:rPr>
        <w:t xml:space="preserve">, se llevó a cabo la Audiencia Final, </w:t>
      </w:r>
      <w:r>
        <w:rPr>
          <w:rFonts w:cs="Arial"/>
          <w:sz w:val="24"/>
          <w:szCs w:val="24"/>
        </w:rPr>
        <w:t>sin la asistencia de</w:t>
      </w:r>
      <w:r w:rsidRPr="006C7760">
        <w:rPr>
          <w:rFonts w:cs="Arial"/>
          <w:sz w:val="24"/>
          <w:szCs w:val="24"/>
        </w:rPr>
        <w:t xml:space="preserve"> las partes, ni persona alguna que legalmente las representara, asentando la Secretaria de Acuerdos de esta Sala Unitaria, que las partes no formularon alegatos; por lo que se ordenó citar a las partes a oír sentencia dentro del término de ley, misma que ahora se pronuncia, y;</w:t>
      </w:r>
    </w:p>
    <w:p w:rsidR="001F25BD" w:rsidRPr="007B0581" w:rsidRDefault="001F25BD" w:rsidP="001F25BD">
      <w:pPr>
        <w:pStyle w:val="corte4fondo"/>
        <w:ind w:right="51" w:firstLine="567"/>
        <w:rPr>
          <w:rFonts w:cs="Arial"/>
          <w:b/>
          <w:spacing w:val="-3"/>
          <w:sz w:val="24"/>
          <w:szCs w:val="24"/>
        </w:rPr>
      </w:pPr>
    </w:p>
    <w:p w:rsidR="001F25BD" w:rsidRPr="007B0581" w:rsidRDefault="001F25BD" w:rsidP="001F25BD">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1F25BD" w:rsidRPr="007B0581" w:rsidRDefault="001F25BD" w:rsidP="001F25BD">
      <w:pPr>
        <w:pStyle w:val="corte4fondo"/>
        <w:spacing w:line="240" w:lineRule="auto"/>
        <w:ind w:right="51" w:firstLine="567"/>
        <w:contextualSpacing/>
        <w:rPr>
          <w:rFonts w:cs="Arial"/>
          <w:bCs/>
          <w:sz w:val="24"/>
          <w:szCs w:val="24"/>
        </w:rPr>
      </w:pPr>
    </w:p>
    <w:p w:rsidR="001F25BD" w:rsidRPr="007B0581" w:rsidRDefault="001F25BD" w:rsidP="001F25BD">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w:t>
      </w:r>
      <w:r w:rsidRPr="007537D7">
        <w:rPr>
          <w:rFonts w:ascii="Arial" w:hAnsi="Arial" w:cs="Arial"/>
          <w:sz w:val="24"/>
          <w:szCs w:val="24"/>
        </w:rPr>
        <w:t>fracción VI</w:t>
      </w:r>
      <w:r w:rsidRPr="007B0581">
        <w:rPr>
          <w:rFonts w:ascii="Arial" w:hAnsi="Arial" w:cs="Arial"/>
          <w:sz w:val="24"/>
          <w:szCs w:val="24"/>
        </w:rPr>
        <w:t xml:space="preserve"> de la Constitución Política del Estado Libre y Soberano de Oaxaca; </w:t>
      </w:r>
      <w:r w:rsidRPr="007537D7">
        <w:rPr>
          <w:rFonts w:ascii="Arial" w:hAnsi="Arial" w:cs="Arial"/>
          <w:sz w:val="24"/>
          <w:szCs w:val="24"/>
        </w:rPr>
        <w:t>120, fracción</w:t>
      </w:r>
      <w:r w:rsidRPr="007B0581">
        <w:rPr>
          <w:rFonts w:ascii="Arial" w:hAnsi="Arial" w:cs="Arial"/>
          <w:sz w:val="24"/>
          <w:szCs w:val="24"/>
        </w:rPr>
        <w:t xml:space="preserve"> I, 132 fracciones I y II, 133 fracción </w:t>
      </w:r>
      <w:r>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1F25BD" w:rsidRPr="007B0581" w:rsidRDefault="001F25BD" w:rsidP="001F25BD">
      <w:pPr>
        <w:spacing w:line="360" w:lineRule="auto"/>
        <w:jc w:val="both"/>
        <w:rPr>
          <w:rFonts w:ascii="Arial" w:hAnsi="Arial" w:cs="Arial"/>
          <w:sz w:val="24"/>
          <w:szCs w:val="24"/>
        </w:rPr>
      </w:pPr>
      <w:r w:rsidRPr="007B0581">
        <w:rPr>
          <w:rFonts w:ascii="Arial" w:hAnsi="Arial" w:cs="Arial"/>
          <w:sz w:val="24"/>
          <w:szCs w:val="24"/>
        </w:rPr>
        <w:t xml:space="preserve"> </w:t>
      </w:r>
    </w:p>
    <w:p w:rsidR="001F25BD" w:rsidRPr="007B0581" w:rsidRDefault="001F25BD" w:rsidP="001F25BD">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la parte actora </w:t>
      </w:r>
      <w:r>
        <w:rPr>
          <w:rFonts w:cs="Arial"/>
          <w:b/>
          <w:sz w:val="24"/>
          <w:szCs w:val="24"/>
        </w:rPr>
        <w:t>**********</w:t>
      </w:r>
      <w:r>
        <w:rPr>
          <w:rFonts w:ascii="Arial" w:hAnsi="Arial" w:cs="Arial"/>
          <w:sz w:val="24"/>
          <w:szCs w:val="24"/>
        </w:rPr>
        <w:t xml:space="preserve">, representación que quedó acreditada mediante copia certificada del Instrumento Notarial, </w:t>
      </w:r>
      <w:r>
        <w:rPr>
          <w:rFonts w:cs="Arial"/>
          <w:b/>
          <w:sz w:val="24"/>
          <w:szCs w:val="24"/>
        </w:rPr>
        <w:t>**********</w:t>
      </w:r>
      <w:r>
        <w:rPr>
          <w:rFonts w:ascii="Arial" w:hAnsi="Arial" w:cs="Arial"/>
          <w:sz w:val="24"/>
          <w:szCs w:val="24"/>
        </w:rPr>
        <w:t xml:space="preserve">, </w:t>
      </w:r>
      <w:r>
        <w:rPr>
          <w:rFonts w:cs="Arial"/>
          <w:b/>
          <w:sz w:val="24"/>
          <w:szCs w:val="24"/>
        </w:rPr>
        <w:t>**********</w:t>
      </w:r>
      <w:r>
        <w:rPr>
          <w:rFonts w:ascii="Arial" w:hAnsi="Arial" w:cs="Arial"/>
          <w:sz w:val="24"/>
          <w:szCs w:val="24"/>
        </w:rPr>
        <w:t>, pasado ante la fe del notario público número ciento treinta y nueve, con residencia en el Estado de México,</w:t>
      </w:r>
      <w:r w:rsidRPr="00944EB4">
        <w:rPr>
          <w:rFonts w:ascii="Arial" w:hAnsi="Arial" w:cs="Arial"/>
          <w:sz w:val="24"/>
          <w:szCs w:val="24"/>
        </w:rPr>
        <w:t xml:space="preserve"> y la</w:t>
      </w:r>
      <w:r>
        <w:rPr>
          <w:rFonts w:ascii="Arial" w:hAnsi="Arial" w:cs="Arial"/>
          <w:sz w:val="24"/>
          <w:szCs w:val="24"/>
        </w:rPr>
        <w:t xml:space="preserve"> de la</w:t>
      </w:r>
      <w:r w:rsidRPr="00944EB4">
        <w:rPr>
          <w:rFonts w:ascii="Arial" w:hAnsi="Arial" w:cs="Arial"/>
          <w:sz w:val="24"/>
          <w:szCs w:val="24"/>
        </w:rPr>
        <w:t xml:space="preserve"> autoridad demandada</w:t>
      </w:r>
      <w:r>
        <w:rPr>
          <w:rFonts w:ascii="Arial" w:hAnsi="Arial" w:cs="Arial"/>
          <w:sz w:val="24"/>
          <w:szCs w:val="24"/>
        </w:rPr>
        <w:t>, con copia certificada de su nombramiento y</w:t>
      </w:r>
      <w:r w:rsidRPr="00944EB4">
        <w:rPr>
          <w:rFonts w:ascii="Arial" w:hAnsi="Arial" w:cs="Arial"/>
          <w:sz w:val="24"/>
          <w:szCs w:val="24"/>
        </w:rPr>
        <w:t xml:space="preserve">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1F25BD" w:rsidRPr="007B0581" w:rsidRDefault="001F25BD" w:rsidP="001F25BD">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1F25BD" w:rsidRDefault="001F25BD" w:rsidP="001F25BD">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1F25BD" w:rsidRPr="007B0581" w:rsidRDefault="001F25BD" w:rsidP="001F25BD">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 xml:space="preserve">Estudio de los Conceptos de Impugnación y pruebas ofrecidas por la parte </w:t>
      </w:r>
      <w:bookmarkStart w:id="2" w:name="_GoBack"/>
      <w:r w:rsidRPr="00720CC7">
        <w:rPr>
          <w:rFonts w:ascii="Arial" w:hAnsi="Arial" w:cs="Arial"/>
          <w:sz w:val="24"/>
          <w:szCs w:val="24"/>
        </w:rPr>
        <w:t>actora</w:t>
      </w:r>
      <w:bookmarkEnd w:id="2"/>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1F25BD" w:rsidRDefault="001F25BD" w:rsidP="001F25BD">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1F25BD" w:rsidRDefault="001F25BD" w:rsidP="001F25BD">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1F25BD" w:rsidRDefault="001F25BD" w:rsidP="001F25BD">
      <w:pPr>
        <w:pStyle w:val="Textonotapie"/>
        <w:widowControl w:val="0"/>
        <w:spacing w:line="360" w:lineRule="auto"/>
        <w:ind w:left="1701" w:right="1469"/>
        <w:jc w:val="both"/>
        <w:rPr>
          <w:rFonts w:ascii="Arial" w:hAnsi="Arial" w:cs="Arial"/>
          <w:b/>
          <w:sz w:val="24"/>
          <w:szCs w:val="24"/>
          <w:lang w:eastAsia="es-MX"/>
        </w:rPr>
      </w:pPr>
    </w:p>
    <w:p w:rsidR="001F25BD" w:rsidRDefault="001F25BD" w:rsidP="001F25BD">
      <w:pPr>
        <w:spacing w:line="360" w:lineRule="auto"/>
        <w:ind w:firstLine="709"/>
        <w:contextualSpacing/>
        <w:jc w:val="both"/>
        <w:rPr>
          <w:rFonts w:ascii="Arial" w:hAnsi="Arial" w:cs="Arial"/>
          <w:sz w:val="24"/>
          <w:szCs w:val="24"/>
        </w:rPr>
      </w:pPr>
      <w:r>
        <w:rPr>
          <w:rFonts w:ascii="Arial" w:hAnsi="Arial" w:cs="Arial"/>
          <w:bCs/>
          <w:sz w:val="24"/>
          <w:szCs w:val="24"/>
          <w:lang w:val="es-MX"/>
        </w:rPr>
        <w:t>La parte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de la</w:t>
      </w:r>
      <w:r>
        <w:rPr>
          <w:rFonts w:ascii="Arial" w:hAnsi="Arial" w:cs="Arial"/>
          <w:sz w:val="24"/>
          <w:szCs w:val="24"/>
        </w:rPr>
        <w:t>s</w:t>
      </w:r>
      <w:r w:rsidRPr="008930AE">
        <w:rPr>
          <w:rFonts w:ascii="Arial" w:hAnsi="Arial" w:cs="Arial"/>
          <w:sz w:val="24"/>
          <w:szCs w:val="24"/>
        </w:rPr>
        <w:t xml:space="preserve"> Multa</w:t>
      </w:r>
      <w:r>
        <w:rPr>
          <w:rFonts w:ascii="Arial" w:hAnsi="Arial" w:cs="Arial"/>
          <w:sz w:val="24"/>
          <w:szCs w:val="24"/>
        </w:rPr>
        <w:t>s</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y sobre la Prestación de Servicios de Hospedaje</w:t>
      </w:r>
      <w:r w:rsidRPr="008930AE">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y </w:t>
      </w:r>
      <w:r>
        <w:rPr>
          <w:rFonts w:cs="Arial"/>
          <w:b/>
          <w:sz w:val="24"/>
          <w:szCs w:val="24"/>
        </w:rPr>
        <w:t>**********</w:t>
      </w:r>
      <w:r>
        <w:rPr>
          <w:rFonts w:ascii="Arial" w:hAnsi="Arial" w:cs="Arial"/>
          <w:sz w:val="24"/>
          <w:szCs w:val="24"/>
        </w:rPr>
        <w:t>,</w:t>
      </w:r>
      <w:r w:rsidRPr="008930AE">
        <w:rPr>
          <w:rFonts w:ascii="Arial" w:hAnsi="Arial" w:cs="Arial"/>
          <w:sz w:val="24"/>
          <w:szCs w:val="24"/>
        </w:rPr>
        <w:t xml:space="preserve"> de</w:t>
      </w:r>
      <w:r>
        <w:rPr>
          <w:rFonts w:ascii="Arial" w:hAnsi="Arial" w:cs="Arial"/>
          <w:sz w:val="24"/>
          <w:szCs w:val="24"/>
        </w:rPr>
        <w:t xml:space="preserve"> fechas</w:t>
      </w:r>
      <w:r w:rsidRPr="008930AE">
        <w:rPr>
          <w:rFonts w:ascii="Arial" w:hAnsi="Arial" w:cs="Arial"/>
          <w:sz w:val="24"/>
          <w:szCs w:val="24"/>
        </w:rPr>
        <w:t xml:space="preserve"> </w:t>
      </w:r>
      <w:r>
        <w:rPr>
          <w:rFonts w:ascii="Arial" w:hAnsi="Arial" w:cs="Arial"/>
          <w:sz w:val="24"/>
          <w:szCs w:val="24"/>
        </w:rPr>
        <w:t>diecinueve y veinte de febrero</w:t>
      </w:r>
      <w:r w:rsidRPr="008930AE">
        <w:rPr>
          <w:rFonts w:ascii="Arial" w:hAnsi="Arial" w:cs="Arial"/>
          <w:sz w:val="24"/>
          <w:szCs w:val="24"/>
        </w:rPr>
        <w:t xml:space="preserve"> de dos mil diecinueve,</w:t>
      </w:r>
      <w:r>
        <w:rPr>
          <w:rFonts w:ascii="Arial" w:hAnsi="Arial" w:cs="Arial"/>
          <w:sz w:val="24"/>
          <w:szCs w:val="24"/>
        </w:rPr>
        <w:t xml:space="preserve"> ambas</w:t>
      </w:r>
      <w:r w:rsidRPr="008930AE">
        <w:rPr>
          <w:rFonts w:ascii="Arial" w:hAnsi="Arial" w:cs="Arial"/>
          <w:sz w:val="24"/>
          <w:szCs w:val="24"/>
        </w:rPr>
        <w:t xml:space="preserve"> emitida</w:t>
      </w:r>
      <w:r>
        <w:rPr>
          <w:rFonts w:ascii="Arial" w:hAnsi="Arial" w:cs="Arial"/>
          <w:sz w:val="24"/>
          <w:szCs w:val="24"/>
        </w:rPr>
        <w:t>s</w:t>
      </w:r>
      <w:r w:rsidRPr="008930AE">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8930AE">
        <w:rPr>
          <w:rFonts w:ascii="Arial" w:hAnsi="Arial" w:cs="Arial"/>
          <w:sz w:val="24"/>
          <w:szCs w:val="24"/>
        </w:rPr>
        <w:t xml:space="preserve">Secretaria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por considerar que son ilegales, en virtud que fueron emitidas sin observar los requisitos de la debida fundamentación y motivación que prescriben los artículos 49, Primer Párrafo y 122, Primer Párrafo, fracción IV, del Código Fiscal para el Estado de Oaxaca; asimismo en su escrito de ampliación de demanda manifestó que las notificaciones no cumplieron con las formalidades que exige la ley, ocasionando violaciones a sus derechos humanos y al procedimiento.  </w:t>
      </w:r>
    </w:p>
    <w:p w:rsidR="001F25BD" w:rsidRDefault="001F25BD" w:rsidP="001F25BD">
      <w:pPr>
        <w:spacing w:line="360" w:lineRule="auto"/>
        <w:ind w:firstLine="709"/>
        <w:contextualSpacing/>
        <w:jc w:val="both"/>
        <w:rPr>
          <w:rFonts w:ascii="Arial" w:hAnsi="Arial" w:cs="Arial"/>
          <w:sz w:val="24"/>
          <w:szCs w:val="24"/>
        </w:rPr>
      </w:pPr>
    </w:p>
    <w:p w:rsidR="001F25BD" w:rsidRDefault="001F25BD" w:rsidP="001F25BD">
      <w:pPr>
        <w:spacing w:line="360" w:lineRule="auto"/>
        <w:ind w:firstLine="709"/>
        <w:contextualSpacing/>
        <w:jc w:val="both"/>
        <w:rPr>
          <w:rFonts w:ascii="Arial" w:hAnsi="Arial" w:cs="Arial"/>
          <w:sz w:val="24"/>
          <w:szCs w:val="24"/>
        </w:rPr>
      </w:pPr>
      <w:r>
        <w:rPr>
          <w:rFonts w:ascii="Arial" w:hAnsi="Arial" w:cs="Arial"/>
          <w:sz w:val="24"/>
          <w:szCs w:val="24"/>
        </w:rPr>
        <w:t xml:space="preserve"> </w:t>
      </w: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w:t>
      </w:r>
      <w:r w:rsidRPr="00050C93">
        <w:rPr>
          <w:rFonts w:ascii="Arial" w:hAnsi="Arial" w:cs="Arial"/>
          <w:sz w:val="24"/>
          <w:szCs w:val="24"/>
        </w:rPr>
        <w:t>Directora de Ingresos y Recaudación de la Secretaría de Finanzas del Gobierno del Estado</w:t>
      </w:r>
      <w:r>
        <w:rPr>
          <w:rFonts w:ascii="Arial" w:hAnsi="Arial" w:cs="Arial"/>
          <w:sz w:val="24"/>
          <w:szCs w:val="24"/>
        </w:rPr>
        <w:t xml:space="preserve">, por conducto de la Directora de lo Contencioso de la </w:t>
      </w:r>
      <w:r w:rsidRPr="009E7A41">
        <w:rPr>
          <w:rFonts w:ascii="Arial" w:hAnsi="Arial" w:cs="Arial"/>
          <w:bCs/>
          <w:sz w:val="24"/>
          <w:szCs w:val="24"/>
        </w:rPr>
        <w:t>Procurad</w:t>
      </w:r>
      <w:r>
        <w:rPr>
          <w:rFonts w:ascii="Arial" w:hAnsi="Arial" w:cs="Arial"/>
          <w:bCs/>
          <w:sz w:val="24"/>
          <w:szCs w:val="24"/>
        </w:rPr>
        <w:t>uría</w:t>
      </w:r>
      <w:r w:rsidRPr="009E7A41">
        <w:rPr>
          <w:rFonts w:ascii="Arial" w:hAnsi="Arial" w:cs="Arial"/>
          <w:bCs/>
          <w:sz w:val="24"/>
          <w:szCs w:val="24"/>
        </w:rPr>
        <w:t xml:space="preserve"> Fiscal de la </w:t>
      </w:r>
      <w:r>
        <w:rPr>
          <w:rFonts w:ascii="Arial" w:hAnsi="Arial" w:cs="Arial"/>
          <w:bCs/>
          <w:sz w:val="24"/>
          <w:szCs w:val="24"/>
        </w:rPr>
        <w:t>Subsecretaría de Ingresos de la S</w:t>
      </w:r>
      <w:r w:rsidRPr="009E7A41">
        <w:rPr>
          <w:rFonts w:ascii="Arial" w:hAnsi="Arial" w:cs="Arial"/>
          <w:bCs/>
          <w:sz w:val="24"/>
          <w:szCs w:val="24"/>
        </w:rPr>
        <w:t>ecretaría de Finanzas del Poder Ejecutivo del Estado,</w:t>
      </w:r>
      <w:r>
        <w:rPr>
          <w:rFonts w:ascii="Arial" w:hAnsi="Arial" w:cs="Arial"/>
          <w:bCs/>
          <w:sz w:val="24"/>
          <w:szCs w:val="24"/>
        </w:rPr>
        <w:t xml:space="preserve"> </w:t>
      </w:r>
      <w:r>
        <w:rPr>
          <w:rFonts w:ascii="Arial" w:hAnsi="Arial" w:cs="Arial"/>
          <w:sz w:val="24"/>
          <w:szCs w:val="24"/>
        </w:rPr>
        <w:t>indicó que el acto administrativo se encuentra debidamente fundado y motivado, en virtud que se plasmaron los preceptos legales aplicables al caso concreto, así como los motivos y razones por las cuales el contribuyente actualizó el supuesto previsto en el artículo 269, párrafo primero, fracción I, del Código Fiscal para el Estado de Oaxaca. Así también, en su escrito de contestación de ampliación de demanda manifestó que el procedimiento de notificación se llevó a cabo como lo establece el Código Fiscal para el Estado de Oaxaca.</w:t>
      </w:r>
    </w:p>
    <w:p w:rsidR="001F25BD" w:rsidRDefault="001F25BD" w:rsidP="001F25BD">
      <w:pPr>
        <w:spacing w:line="360" w:lineRule="auto"/>
        <w:ind w:firstLine="709"/>
        <w:contextualSpacing/>
        <w:jc w:val="both"/>
        <w:rPr>
          <w:rFonts w:ascii="Arial" w:hAnsi="Arial" w:cs="Arial"/>
          <w:sz w:val="24"/>
          <w:szCs w:val="24"/>
        </w:rPr>
      </w:pPr>
    </w:p>
    <w:p w:rsidR="001F25BD" w:rsidRDefault="001F25BD" w:rsidP="001F25BD">
      <w:pPr>
        <w:pStyle w:val="Sangradetextonormal2"/>
        <w:tabs>
          <w:tab w:val="left" w:pos="567"/>
        </w:tabs>
        <w:spacing w:line="360" w:lineRule="auto"/>
        <w:ind w:right="51" w:firstLine="0"/>
        <w:jc w:val="both"/>
        <w:rPr>
          <w:rFonts w:ascii="Arial" w:hAnsi="Arial" w:cs="Arial"/>
          <w:b/>
          <w:sz w:val="24"/>
          <w:szCs w:val="24"/>
        </w:rPr>
      </w:pPr>
      <w:r w:rsidRPr="004C7F84">
        <w:rPr>
          <w:rFonts w:ascii="Arial" w:hAnsi="Arial" w:cs="Arial"/>
          <w:bCs/>
          <w:sz w:val="24"/>
          <w:szCs w:val="24"/>
        </w:rPr>
        <w:tab/>
        <w:t>E</w:t>
      </w:r>
      <w:r w:rsidRPr="004C7F84">
        <w:rPr>
          <w:rFonts w:ascii="Arial" w:hAnsi="Arial" w:cs="Arial"/>
          <w:sz w:val="24"/>
          <w:szCs w:val="24"/>
        </w:rPr>
        <w:t>sta Sala</w:t>
      </w:r>
      <w:r w:rsidRPr="00EC7B74">
        <w:rPr>
          <w:rFonts w:ascii="Arial" w:hAnsi="Arial" w:cs="Arial"/>
          <w:sz w:val="24"/>
          <w:szCs w:val="24"/>
        </w:rPr>
        <w:t>, por cuestión de método y técnica jurídica, procede a pronunciarse  respecto a la legalidad de la</w:t>
      </w:r>
      <w:r>
        <w:rPr>
          <w:rFonts w:ascii="Arial" w:hAnsi="Arial" w:cs="Arial"/>
          <w:sz w:val="24"/>
          <w:szCs w:val="24"/>
        </w:rPr>
        <w:t>s</w:t>
      </w:r>
      <w:r w:rsidRPr="00EC7B74">
        <w:rPr>
          <w:rFonts w:ascii="Arial" w:hAnsi="Arial" w:cs="Arial"/>
          <w:sz w:val="24"/>
          <w:szCs w:val="24"/>
        </w:rPr>
        <w:t xml:space="preserve"> resoluci</w:t>
      </w:r>
      <w:r>
        <w:rPr>
          <w:rFonts w:ascii="Arial" w:hAnsi="Arial" w:cs="Arial"/>
          <w:sz w:val="24"/>
          <w:szCs w:val="24"/>
        </w:rPr>
        <w:t>ones</w:t>
      </w:r>
      <w:r w:rsidRPr="00EC7B74">
        <w:rPr>
          <w:rFonts w:ascii="Arial" w:hAnsi="Arial" w:cs="Arial"/>
          <w:sz w:val="24"/>
          <w:szCs w:val="24"/>
        </w:rPr>
        <w:t xml:space="preserve"> sujeta</w:t>
      </w:r>
      <w:r>
        <w:rPr>
          <w:rFonts w:ascii="Arial" w:hAnsi="Arial" w:cs="Arial"/>
          <w:sz w:val="24"/>
          <w:szCs w:val="24"/>
        </w:rPr>
        <w:t>s</w:t>
      </w:r>
      <w:r w:rsidRPr="00EC7B74">
        <w:rPr>
          <w:rFonts w:ascii="Arial" w:hAnsi="Arial" w:cs="Arial"/>
          <w:sz w:val="24"/>
          <w:szCs w:val="24"/>
        </w:rPr>
        <w:t xml:space="preserve">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 xml:space="preserve">y de orden público, tal y como lo establece el artículo 208 último párrafo de la Ley de Procedimiento y Justicia Administrativa para el Estado de Oaxaca, sirve de sustento </w:t>
      </w:r>
      <w:r>
        <w:rPr>
          <w:rFonts w:ascii="Arial" w:hAnsi="Arial" w:cs="Arial"/>
          <w:bCs/>
          <w:sz w:val="24"/>
          <w:szCs w:val="24"/>
        </w:rPr>
        <w:t xml:space="preserve">la 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r>
        <w:rPr>
          <w:rFonts w:ascii="Arial" w:hAnsi="Arial" w:cs="Arial"/>
          <w:bCs/>
          <w:sz w:val="24"/>
          <w:szCs w:val="24"/>
        </w:rPr>
        <w:t xml:space="preserve"> </w:t>
      </w:r>
      <w:r w:rsidRPr="00DE6E7A">
        <w:rPr>
          <w:rFonts w:ascii="Arial" w:hAnsi="Arial" w:cs="Arial"/>
          <w:bCs/>
          <w:i/>
          <w:iCs/>
          <w:sz w:val="24"/>
          <w:szCs w:val="24"/>
        </w:rPr>
        <w:t>“COMPETENCIA DE LAS AUTORIDADES 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Pr>
          <w:rFonts w:ascii="Arial" w:hAnsi="Arial" w:cs="Arial"/>
          <w:bCs/>
          <w:i/>
          <w:iCs/>
          <w:sz w:val="24"/>
          <w:szCs w:val="24"/>
        </w:rPr>
        <w:t>.</w:t>
      </w:r>
    </w:p>
    <w:p w:rsidR="001F25BD" w:rsidRPr="00983A01" w:rsidRDefault="001F25BD" w:rsidP="001F25BD">
      <w:pPr>
        <w:spacing w:before="240" w:line="360" w:lineRule="auto"/>
        <w:ind w:left="1134" w:right="902"/>
        <w:jc w:val="both"/>
        <w:rPr>
          <w:rFonts w:ascii="Arial" w:hAnsi="Arial" w:cs="Arial"/>
          <w:b/>
          <w:sz w:val="24"/>
          <w:szCs w:val="24"/>
          <w:lang w:val="es-MX"/>
        </w:rPr>
      </w:pPr>
    </w:p>
    <w:p w:rsidR="001F25BD" w:rsidRDefault="001F25BD" w:rsidP="001F25BD">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estableció su competencia</w:t>
      </w:r>
      <w:r>
        <w:rPr>
          <w:rFonts w:ascii="Arial" w:hAnsi="Arial" w:cs="Arial"/>
          <w:sz w:val="24"/>
          <w:szCs w:val="24"/>
        </w:rPr>
        <w:t xml:space="preserve"> entre otros artículos en los siguientes</w:t>
      </w:r>
      <w:r w:rsidRPr="00EC7B74">
        <w:rPr>
          <w:rFonts w:ascii="Arial" w:hAnsi="Arial" w:cs="Arial"/>
          <w:i/>
          <w:iCs/>
          <w:sz w:val="24"/>
          <w:szCs w:val="24"/>
        </w:rPr>
        <w:t>;</w:t>
      </w:r>
      <w:r>
        <w:rPr>
          <w:rFonts w:ascii="Arial" w:hAnsi="Arial" w:cs="Arial"/>
          <w:i/>
          <w:iCs/>
          <w:sz w:val="24"/>
          <w:szCs w:val="24"/>
        </w:rPr>
        <w:t xml:space="preserve"> </w:t>
      </w:r>
      <w:r w:rsidRPr="00B46420">
        <w:rPr>
          <w:rFonts w:ascii="Arial" w:hAnsi="Arial" w:cs="Arial"/>
          <w:sz w:val="24"/>
          <w:szCs w:val="24"/>
        </w:rPr>
        <w:t>1, 2, 4 fracciones I y III inciso a), 1, 6, primer párrafo, 30, primer párrafo, 31 fracciones VIII y XLII del Reglamento Interno de la Secretaría de Finanzas del Poder Ejecutivo del Estado de Oaxaca</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1F25BD" w:rsidRDefault="001F25BD" w:rsidP="001F25BD">
      <w:pPr>
        <w:spacing w:line="360" w:lineRule="auto"/>
        <w:ind w:right="51"/>
        <w:jc w:val="both"/>
        <w:rPr>
          <w:rFonts w:ascii="Arial" w:hAnsi="Arial" w:cs="Arial"/>
          <w:sz w:val="24"/>
          <w:szCs w:val="24"/>
        </w:rPr>
      </w:pPr>
    </w:p>
    <w:p w:rsidR="001F25BD" w:rsidRDefault="001F25BD" w:rsidP="001F25BD">
      <w:pPr>
        <w:spacing w:line="360" w:lineRule="auto"/>
        <w:ind w:right="51" w:firstLine="708"/>
        <w:jc w:val="both"/>
        <w:rPr>
          <w:rFonts w:ascii="Arial" w:hAnsi="Arial" w:cs="Arial"/>
          <w:sz w:val="24"/>
          <w:szCs w:val="24"/>
        </w:rPr>
      </w:pPr>
      <w:r>
        <w:rPr>
          <w:rFonts w:ascii="Arial" w:hAnsi="Arial" w:cs="Arial"/>
          <w:sz w:val="24"/>
          <w:szCs w:val="24"/>
        </w:rPr>
        <w:t>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los actos que se impugnan, puesto que en éstos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1F25BD" w:rsidRPr="00EC7B74" w:rsidRDefault="001F25BD" w:rsidP="001F25BD">
      <w:pPr>
        <w:spacing w:line="360" w:lineRule="auto"/>
        <w:ind w:right="51"/>
        <w:jc w:val="both"/>
        <w:rPr>
          <w:rFonts w:ascii="Arial" w:hAnsi="Arial" w:cs="Arial"/>
          <w:sz w:val="24"/>
          <w:szCs w:val="24"/>
        </w:rPr>
      </w:pPr>
    </w:p>
    <w:p w:rsidR="001F25BD" w:rsidRPr="00E76D47" w:rsidRDefault="001F25BD" w:rsidP="001F25BD">
      <w:pPr>
        <w:spacing w:line="360" w:lineRule="auto"/>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1F25BD" w:rsidRPr="00E76D47" w:rsidRDefault="001F25BD" w:rsidP="001F25BD">
      <w:pPr>
        <w:spacing w:line="360" w:lineRule="auto"/>
        <w:jc w:val="both"/>
        <w:rPr>
          <w:rFonts w:ascii="Arial" w:hAnsi="Arial" w:cs="Arial"/>
          <w:i/>
          <w:iCs/>
          <w:sz w:val="24"/>
          <w:szCs w:val="24"/>
        </w:rPr>
      </w:pPr>
      <w:r w:rsidRPr="00E76D47">
        <w:rPr>
          <w:rFonts w:ascii="Arial" w:hAnsi="Arial" w:cs="Arial"/>
          <w:bCs/>
          <w:i/>
          <w:iCs/>
          <w:sz w:val="24"/>
          <w:szCs w:val="24"/>
        </w:rPr>
        <w:t>(…)</w:t>
      </w:r>
    </w:p>
    <w:p w:rsidR="001F25BD" w:rsidRPr="00E76D47" w:rsidRDefault="001F25BD" w:rsidP="001F25BD">
      <w:pPr>
        <w:pStyle w:val="Sinespaciado"/>
        <w:numPr>
          <w:ilvl w:val="0"/>
          <w:numId w:val="1"/>
        </w:numPr>
        <w:tabs>
          <w:tab w:val="left" w:pos="567"/>
        </w:tabs>
        <w:spacing w:line="360" w:lineRule="auto"/>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1F25BD" w:rsidRPr="00EC7B74" w:rsidRDefault="001F25BD" w:rsidP="001F25BD">
      <w:pPr>
        <w:spacing w:line="360" w:lineRule="auto"/>
        <w:jc w:val="both"/>
        <w:rPr>
          <w:rFonts w:ascii="Arial" w:hAnsi="Arial" w:cs="Arial"/>
          <w:sz w:val="24"/>
          <w:szCs w:val="24"/>
        </w:rPr>
      </w:pPr>
    </w:p>
    <w:p w:rsidR="001F25BD" w:rsidRDefault="001F25BD" w:rsidP="001F25BD">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transcrito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w:t>
      </w:r>
      <w:r w:rsidRPr="00BE0E2C">
        <w:rPr>
          <w:rFonts w:ascii="Arial" w:hAnsi="Arial" w:cs="Arial"/>
          <w:sz w:val="24"/>
          <w:szCs w:val="24"/>
        </w:rPr>
        <w:t>impugnado.</w:t>
      </w:r>
    </w:p>
    <w:p w:rsidR="001F25BD" w:rsidRDefault="001F25BD" w:rsidP="001F25BD">
      <w:pPr>
        <w:spacing w:line="360" w:lineRule="auto"/>
        <w:ind w:firstLine="709"/>
        <w:contextualSpacing/>
        <w:jc w:val="both"/>
        <w:rPr>
          <w:rFonts w:ascii="Arial" w:hAnsi="Arial" w:cs="Arial"/>
          <w:sz w:val="24"/>
          <w:szCs w:val="24"/>
        </w:rPr>
      </w:pPr>
    </w:p>
    <w:p w:rsidR="001F25BD" w:rsidRDefault="001F25BD" w:rsidP="001F25BD">
      <w:pPr>
        <w:spacing w:line="360" w:lineRule="auto"/>
        <w:ind w:firstLine="709"/>
        <w:contextualSpacing/>
        <w:jc w:val="both"/>
        <w:rPr>
          <w:rFonts w:ascii="Arial" w:hAnsi="Arial" w:cs="Arial"/>
          <w:bCs/>
          <w:sz w:val="24"/>
          <w:szCs w:val="24"/>
        </w:rPr>
      </w:pPr>
      <w:r w:rsidRPr="00A57846">
        <w:rPr>
          <w:rFonts w:ascii="Arial" w:hAnsi="Arial" w:cs="Arial"/>
          <w:sz w:val="24"/>
          <w:szCs w:val="24"/>
        </w:rPr>
        <w:t>Ahora bien</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primeramente de la </w:t>
      </w:r>
      <w:r w:rsidRPr="009E1CF1">
        <w:rPr>
          <w:rFonts w:ascii="Arial" w:hAnsi="Arial" w:cs="Arial"/>
          <w:sz w:val="24"/>
          <w:szCs w:val="24"/>
        </w:rPr>
        <w:t>Multa</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con número de control </w:t>
      </w:r>
      <w:r>
        <w:rPr>
          <w:rFonts w:cs="Arial"/>
          <w:b/>
          <w:sz w:val="24"/>
          <w:szCs w:val="24"/>
        </w:rPr>
        <w:t>**********</w:t>
      </w:r>
      <w:r>
        <w:rPr>
          <w:rFonts w:ascii="Arial" w:hAnsi="Arial" w:cs="Arial"/>
          <w:sz w:val="24"/>
          <w:szCs w:val="24"/>
        </w:rPr>
        <w:t>,</w:t>
      </w:r>
      <w:r w:rsidRPr="008930AE">
        <w:rPr>
          <w:rFonts w:ascii="Arial" w:hAnsi="Arial" w:cs="Arial"/>
          <w:sz w:val="24"/>
          <w:szCs w:val="24"/>
        </w:rPr>
        <w:t xml:space="preserve"> de </w:t>
      </w:r>
      <w:r>
        <w:rPr>
          <w:rFonts w:ascii="Arial" w:hAnsi="Arial" w:cs="Arial"/>
          <w:sz w:val="24"/>
          <w:szCs w:val="24"/>
        </w:rPr>
        <w:t>diecinueve de febrero</w:t>
      </w:r>
      <w:r w:rsidRPr="008930AE">
        <w:rPr>
          <w:rFonts w:ascii="Arial" w:hAnsi="Arial" w:cs="Arial"/>
          <w:sz w:val="24"/>
          <w:szCs w:val="24"/>
        </w:rPr>
        <w:t xml:space="preserve"> de dos mil diecinueve</w:t>
      </w:r>
      <w:r>
        <w:rPr>
          <w:rFonts w:ascii="Arial" w:hAnsi="Arial" w:cs="Arial"/>
          <w:sz w:val="24"/>
          <w:szCs w:val="24"/>
        </w:rPr>
        <w:t>, emitida por la Directora de Ingresos y Recaudación de la Secretaría de Finanzas del Poder Ejecutivo del Estado de Oaxaca,</w:t>
      </w:r>
      <w:r w:rsidRPr="00812150">
        <w:rPr>
          <w:rFonts w:ascii="Arial" w:hAnsi="Arial" w:cs="Arial"/>
          <w:sz w:val="24"/>
          <w:szCs w:val="24"/>
        </w:rPr>
        <w:t xml:space="preserve"> advierte</w:t>
      </w:r>
      <w:r>
        <w:rPr>
          <w:rFonts w:ascii="Arial" w:hAnsi="Arial" w:cs="Arial"/>
          <w:sz w:val="24"/>
          <w:szCs w:val="24"/>
        </w:rPr>
        <w:t xml:space="preserve"> que el acto impugnado carece de una debida fundamentación y mo</w:t>
      </w:r>
      <w:r w:rsidRPr="00A0711D">
        <w:rPr>
          <w:rFonts w:ascii="Arial" w:hAnsi="Arial" w:cs="Arial"/>
          <w:sz w:val="24"/>
          <w:szCs w:val="24"/>
        </w:rPr>
        <w:t>tiva</w:t>
      </w:r>
      <w:r>
        <w:rPr>
          <w:rFonts w:ascii="Arial" w:hAnsi="Arial" w:cs="Arial"/>
          <w:sz w:val="24"/>
          <w:szCs w:val="24"/>
        </w:rPr>
        <w:t xml:space="preserve">ción. Se dice lo anterior, </w:t>
      </w:r>
      <w:r>
        <w:rPr>
          <w:rFonts w:ascii="Arial" w:hAnsi="Arial" w:cs="Arial"/>
          <w:bCs/>
          <w:sz w:val="24"/>
          <w:szCs w:val="24"/>
        </w:rPr>
        <w:t xml:space="preserve">en razón que no existe una adecuación </w:t>
      </w:r>
      <w:r w:rsidRPr="00BE0E2C">
        <w:rPr>
          <w:rFonts w:ascii="Arial" w:hAnsi="Arial" w:cs="Arial"/>
          <w:bCs/>
          <w:sz w:val="24"/>
          <w:szCs w:val="24"/>
        </w:rPr>
        <w:t>entre los motivos aducidos y la norma aplicable, es decir, la configuración de la hipótesis normativa.</w:t>
      </w:r>
    </w:p>
    <w:p w:rsidR="001F25BD" w:rsidRDefault="001F25BD" w:rsidP="001F25BD">
      <w:pPr>
        <w:spacing w:line="360" w:lineRule="auto"/>
        <w:ind w:firstLine="709"/>
        <w:contextualSpacing/>
        <w:jc w:val="both"/>
        <w:rPr>
          <w:rFonts w:ascii="Arial" w:hAnsi="Arial" w:cs="Arial"/>
          <w:bCs/>
          <w:sz w:val="24"/>
          <w:szCs w:val="24"/>
        </w:rPr>
      </w:pP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Lo anterior en razón que la autoridad demandada fue omisa en citar, en que supuesto se encuentra ubicada la parte actora, esto es, cuál es la actividad concreta que se imputa, en virtud que la autoridad demandada plasma de manera general el artículo 63 de la Ley Estatal de Hacienda, el cual contempla dos supuestos, mismo que se transcribe para mayor ilustración:</w:t>
      </w:r>
    </w:p>
    <w:p w:rsidR="001F25BD" w:rsidRPr="006A040B" w:rsidRDefault="001F25BD" w:rsidP="001F25BD">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1F25BD" w:rsidRPr="006A040B" w:rsidRDefault="001F25BD" w:rsidP="001F25BD">
      <w:pPr>
        <w:autoSpaceDE w:val="0"/>
        <w:autoSpaceDN w:val="0"/>
        <w:adjustRightInd w:val="0"/>
        <w:rPr>
          <w:rFonts w:ascii="Arial" w:eastAsiaTheme="minorHAnsi" w:hAnsi="Arial" w:cs="Arial"/>
          <w:i/>
          <w:iCs/>
          <w:color w:val="000000"/>
          <w:sz w:val="24"/>
          <w:szCs w:val="24"/>
          <w:lang w:val="es-MX" w:eastAsia="en-US"/>
        </w:rPr>
      </w:pPr>
    </w:p>
    <w:p w:rsidR="001F25BD" w:rsidRPr="006A040B" w:rsidRDefault="001F25BD" w:rsidP="001F25BD">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1F25BD" w:rsidRPr="006A040B" w:rsidRDefault="001F25BD" w:rsidP="001F25BD">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éste.</w:t>
      </w:r>
    </w:p>
    <w:p w:rsidR="001F25BD" w:rsidRPr="006A040B" w:rsidRDefault="001F25BD" w:rsidP="001F25BD">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1F25BD" w:rsidRPr="006A040B" w:rsidRDefault="001F25BD" w:rsidP="001F25BD">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1F25BD" w:rsidRDefault="001F25BD" w:rsidP="001F25BD">
      <w:pPr>
        <w:spacing w:line="360" w:lineRule="auto"/>
        <w:ind w:firstLine="709"/>
        <w:contextualSpacing/>
        <w:jc w:val="both"/>
        <w:rPr>
          <w:rFonts w:ascii="Arial" w:hAnsi="Arial" w:cs="Arial"/>
          <w:bCs/>
          <w:sz w:val="24"/>
          <w:szCs w:val="24"/>
        </w:rPr>
      </w:pP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Siendo imperioso para la autoridad el plasmar además de la ley, artículo, inciso, la fracción aplicable al asunto concreto; por lo anteriormente vertido se deja en incertidumbre jurídica a la parte actora, de conformidad con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 en razón que la parte actora no cuenta con la certeza de la Ley aplicable al asunto en comento, y en su caso tener la seguridad, que la supuesta conducta desplegada se encuentre prescrita y sancionada por la Ley.</w:t>
      </w:r>
    </w:p>
    <w:p w:rsidR="001F25BD" w:rsidRDefault="001F25BD" w:rsidP="001F25BD">
      <w:pPr>
        <w:spacing w:line="360" w:lineRule="auto"/>
        <w:ind w:firstLine="709"/>
        <w:contextualSpacing/>
        <w:jc w:val="both"/>
        <w:rPr>
          <w:rFonts w:ascii="Arial" w:hAnsi="Arial" w:cs="Arial"/>
          <w:bCs/>
          <w:sz w:val="24"/>
          <w:szCs w:val="24"/>
        </w:rPr>
      </w:pP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Aunado a lo anterior, la autoridad demandada no motiva adecuadamente su actuar, en razón que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detallar las razones particulares por las que consideró que el actor se ubicó en la hipótesis normativa para ser considerado sujeto del Impuesto Sobre Erogaciones por Remuneraciones al Trabajo Personal.</w:t>
      </w: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cuanto hace a la </w:t>
      </w:r>
      <w:r w:rsidRPr="009E1CF1">
        <w:rPr>
          <w:rFonts w:ascii="Arial" w:hAnsi="Arial" w:cs="Arial"/>
          <w:sz w:val="24"/>
          <w:szCs w:val="24"/>
        </w:rPr>
        <w:t>Multa</w:t>
      </w:r>
      <w:r w:rsidRPr="008930AE">
        <w:rPr>
          <w:rFonts w:ascii="Arial" w:hAnsi="Arial" w:cs="Arial"/>
          <w:sz w:val="24"/>
          <w:szCs w:val="24"/>
        </w:rPr>
        <w:t xml:space="preserve"> por Infracción relacionada con la Presentación de Declaraciones del Impuesto sobre </w:t>
      </w:r>
      <w:r>
        <w:rPr>
          <w:rFonts w:ascii="Arial" w:hAnsi="Arial" w:cs="Arial"/>
          <w:sz w:val="24"/>
          <w:szCs w:val="24"/>
        </w:rPr>
        <w:t xml:space="preserve">la Prestación de Servicios de hospedaje, con número de control </w:t>
      </w:r>
      <w:r>
        <w:rPr>
          <w:rFonts w:cs="Arial"/>
          <w:b/>
          <w:sz w:val="24"/>
          <w:szCs w:val="24"/>
        </w:rPr>
        <w:t>**********</w:t>
      </w:r>
      <w:r>
        <w:rPr>
          <w:rFonts w:ascii="Arial" w:hAnsi="Arial" w:cs="Arial"/>
          <w:sz w:val="24"/>
          <w:szCs w:val="24"/>
        </w:rPr>
        <w:t>,</w:t>
      </w:r>
      <w:r w:rsidRPr="008930AE">
        <w:rPr>
          <w:rFonts w:ascii="Arial" w:hAnsi="Arial" w:cs="Arial"/>
          <w:sz w:val="24"/>
          <w:szCs w:val="24"/>
        </w:rPr>
        <w:t xml:space="preserve"> de </w:t>
      </w:r>
      <w:r>
        <w:rPr>
          <w:rFonts w:ascii="Arial" w:hAnsi="Arial" w:cs="Arial"/>
          <w:sz w:val="24"/>
          <w:szCs w:val="24"/>
        </w:rPr>
        <w:t>veinte de febrero</w:t>
      </w:r>
      <w:r w:rsidRPr="008930AE">
        <w:rPr>
          <w:rFonts w:ascii="Arial" w:hAnsi="Arial" w:cs="Arial"/>
          <w:sz w:val="24"/>
          <w:szCs w:val="24"/>
        </w:rPr>
        <w:t xml:space="preserve"> de dos mil diecinueve</w:t>
      </w:r>
      <w:r>
        <w:rPr>
          <w:rFonts w:ascii="Arial" w:hAnsi="Arial" w:cs="Arial"/>
          <w:sz w:val="24"/>
          <w:szCs w:val="24"/>
        </w:rPr>
        <w:t xml:space="preserve">, emitida por la Directora de Ingresos y Recaudación de la Secretaría de Finanzas del Poder Ejecutivo del Estado de Oaxaca, se advierte que carece de la debida fundamentación y motivación. Se dice lo anterior en virtud que la autoridad demandada </w:t>
      </w:r>
      <w:r>
        <w:rPr>
          <w:rFonts w:ascii="Arial" w:hAnsi="Arial" w:cs="Arial"/>
          <w:bCs/>
          <w:sz w:val="24"/>
          <w:szCs w:val="24"/>
        </w:rPr>
        <w:t>fue omisa en citar, el carácter aplicable a la parte actora, en virtud que plasmó de manera general el artículo 53 de la Ley Estatal de Hacienda, el cual en su párrafo primero contempla que s</w:t>
      </w:r>
      <w:r w:rsidRPr="00BB760D">
        <w:rPr>
          <w:rFonts w:ascii="Arial" w:hAnsi="Arial" w:cs="Arial"/>
          <w:bCs/>
          <w:sz w:val="24"/>
          <w:szCs w:val="24"/>
        </w:rPr>
        <w:t>on sujetos obligados al pago del impuesto</w:t>
      </w:r>
      <w:r>
        <w:rPr>
          <w:rFonts w:ascii="Arial" w:hAnsi="Arial" w:cs="Arial"/>
          <w:bCs/>
          <w:sz w:val="24"/>
          <w:szCs w:val="24"/>
        </w:rPr>
        <w:t xml:space="preserve"> Sobre la Prestación de Servicios de Hospedaje</w:t>
      </w:r>
      <w:r w:rsidRPr="00BB760D">
        <w:rPr>
          <w:rFonts w:ascii="Arial" w:hAnsi="Arial" w:cs="Arial"/>
          <w:bCs/>
          <w:sz w:val="24"/>
          <w:szCs w:val="24"/>
        </w:rPr>
        <w:t>,</w:t>
      </w:r>
      <w:r>
        <w:rPr>
          <w:rFonts w:ascii="Arial" w:hAnsi="Arial" w:cs="Arial"/>
          <w:bCs/>
          <w:sz w:val="24"/>
          <w:szCs w:val="24"/>
        </w:rPr>
        <w:t xml:space="preserve"> </w:t>
      </w:r>
      <w:r w:rsidRPr="00BB760D">
        <w:rPr>
          <w:rFonts w:ascii="Arial" w:hAnsi="Arial" w:cs="Arial"/>
          <w:bCs/>
          <w:sz w:val="24"/>
          <w:szCs w:val="24"/>
        </w:rPr>
        <w:t>las personas físicas, morales o unidades económicas que dentro del estado de Oaxaca,</w:t>
      </w:r>
      <w:r>
        <w:rPr>
          <w:rFonts w:ascii="Arial" w:hAnsi="Arial" w:cs="Arial"/>
          <w:bCs/>
          <w:sz w:val="24"/>
          <w:szCs w:val="24"/>
        </w:rPr>
        <w:t xml:space="preserve"> </w:t>
      </w:r>
      <w:r w:rsidRPr="00F40E4D">
        <w:rPr>
          <w:rFonts w:ascii="Arial" w:hAnsi="Arial" w:cs="Arial"/>
          <w:b/>
          <w:sz w:val="24"/>
          <w:szCs w:val="24"/>
        </w:rPr>
        <w:t xml:space="preserve">reciban </w:t>
      </w:r>
      <w:r w:rsidRPr="00624215">
        <w:rPr>
          <w:rFonts w:ascii="Arial" w:hAnsi="Arial" w:cs="Arial"/>
          <w:bCs/>
          <w:sz w:val="24"/>
          <w:szCs w:val="24"/>
        </w:rPr>
        <w:t>los servicios de hospedajes</w:t>
      </w:r>
      <w:r>
        <w:rPr>
          <w:rFonts w:ascii="Arial" w:hAnsi="Arial" w:cs="Arial"/>
          <w:bCs/>
          <w:sz w:val="24"/>
          <w:szCs w:val="24"/>
        </w:rPr>
        <w:t xml:space="preserve"> y en su último párrafo establece que l</w:t>
      </w:r>
      <w:r w:rsidRPr="00BB760D">
        <w:rPr>
          <w:rFonts w:ascii="Arial" w:hAnsi="Arial" w:cs="Arial"/>
          <w:bCs/>
          <w:sz w:val="24"/>
          <w:szCs w:val="24"/>
        </w:rPr>
        <w:t xml:space="preserve">as personas físicas, morales o unidades económicas que en su </w:t>
      </w:r>
      <w:r w:rsidRPr="00624215">
        <w:rPr>
          <w:rFonts w:ascii="Arial" w:hAnsi="Arial" w:cs="Arial"/>
          <w:bCs/>
          <w:sz w:val="24"/>
          <w:szCs w:val="24"/>
        </w:rPr>
        <w:t>carácter de intermediarias, promotoras o facilitadoras</w:t>
      </w:r>
      <w:r w:rsidRPr="00BB760D">
        <w:rPr>
          <w:rFonts w:ascii="Arial" w:hAnsi="Arial" w:cs="Arial"/>
          <w:bCs/>
          <w:sz w:val="24"/>
          <w:szCs w:val="24"/>
        </w:rPr>
        <w:t xml:space="preserve"> </w:t>
      </w:r>
      <w:r w:rsidRPr="00624215">
        <w:rPr>
          <w:rFonts w:ascii="Arial" w:hAnsi="Arial" w:cs="Arial"/>
          <w:b/>
          <w:sz w:val="24"/>
          <w:szCs w:val="24"/>
        </w:rPr>
        <w:t>intervengan</w:t>
      </w:r>
      <w:r w:rsidRPr="00BB760D">
        <w:rPr>
          <w:rFonts w:ascii="Arial" w:hAnsi="Arial" w:cs="Arial"/>
          <w:bCs/>
          <w:sz w:val="24"/>
          <w:szCs w:val="24"/>
        </w:rPr>
        <w:t xml:space="preserve"> de cualquier forma en el cobro de</w:t>
      </w:r>
      <w:r>
        <w:rPr>
          <w:rFonts w:ascii="Arial" w:hAnsi="Arial" w:cs="Arial"/>
          <w:bCs/>
          <w:sz w:val="24"/>
          <w:szCs w:val="24"/>
        </w:rPr>
        <w:t xml:space="preserve"> </w:t>
      </w:r>
      <w:r w:rsidRPr="00BB760D">
        <w:rPr>
          <w:rFonts w:ascii="Arial" w:hAnsi="Arial" w:cs="Arial"/>
          <w:bCs/>
          <w:sz w:val="24"/>
          <w:szCs w:val="24"/>
        </w:rPr>
        <w:t>las contraprestaciones por servicio de hospedaje</w:t>
      </w:r>
      <w:r>
        <w:rPr>
          <w:rFonts w:ascii="Arial" w:hAnsi="Arial" w:cs="Arial"/>
          <w:bCs/>
          <w:sz w:val="24"/>
          <w:szCs w:val="24"/>
        </w:rPr>
        <w:t>, siendo imperioso para la autoridad el plasmar además de la ley, artículo, inciso, fracción, el párrafo aplicable al asunto concreto; por lo anteriormente vertido se deja en incertidumbre jurídica a la parte actora, en términos de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 en razón que la parte actora no cuenta con la certeza de la Ley aplicable al asunto en comento, y en su caso tener la seguridad, que la supuesta conducta desplegada se encuentre prescrita y sancionada por la Ley.</w:t>
      </w: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w:t>
      </w:r>
    </w:p>
    <w:p w:rsidR="001F25BD" w:rsidRDefault="001F25BD" w:rsidP="001F25BD">
      <w:pPr>
        <w:spacing w:line="360" w:lineRule="auto"/>
        <w:ind w:firstLine="709"/>
        <w:contextualSpacing/>
        <w:jc w:val="both"/>
        <w:rPr>
          <w:rFonts w:ascii="Arial" w:hAnsi="Arial" w:cs="Arial"/>
          <w:bCs/>
          <w:sz w:val="24"/>
          <w:szCs w:val="24"/>
        </w:rPr>
      </w:pPr>
      <w:r w:rsidRPr="00AF07FB">
        <w:rPr>
          <w:rFonts w:ascii="Arial" w:hAnsi="Arial" w:cs="Arial"/>
          <w:bCs/>
          <w:sz w:val="24"/>
          <w:szCs w:val="24"/>
        </w:rPr>
        <w:t>Asimismo</w:t>
      </w:r>
      <w:r>
        <w:rPr>
          <w:rFonts w:ascii="Arial" w:hAnsi="Arial" w:cs="Arial"/>
          <w:bCs/>
          <w:sz w:val="24"/>
          <w:szCs w:val="24"/>
        </w:rPr>
        <w:t xml:space="preserve">, la autoridad demandada no motiva adecuadamente su actuar, en virtud que no especificó el tipo de establecimiento en el que la parte actora realiza la supuesta prestación de servicios de hospedaje, esto es, en </w:t>
      </w:r>
      <w:r w:rsidRPr="00577F77">
        <w:rPr>
          <w:rFonts w:ascii="Arial" w:hAnsi="Arial" w:cs="Arial"/>
          <w:bCs/>
          <w:sz w:val="24"/>
          <w:szCs w:val="24"/>
        </w:rPr>
        <w:t>hoteles, moteles, albergues, posadas, hosterías, mesones, campamentos, paraderos de</w:t>
      </w:r>
      <w:r>
        <w:rPr>
          <w:rFonts w:ascii="Arial" w:hAnsi="Arial" w:cs="Arial"/>
          <w:bCs/>
          <w:sz w:val="24"/>
          <w:szCs w:val="24"/>
        </w:rPr>
        <w:t xml:space="preserve"> </w:t>
      </w:r>
      <w:r w:rsidRPr="00577F77">
        <w:rPr>
          <w:rFonts w:ascii="Arial" w:hAnsi="Arial" w:cs="Arial"/>
          <w:bCs/>
          <w:sz w:val="24"/>
          <w:szCs w:val="24"/>
        </w:rPr>
        <w:t>casas rodantes, casas de huéspedes, casas</w:t>
      </w:r>
      <w:r>
        <w:rPr>
          <w:rFonts w:ascii="Arial" w:hAnsi="Arial" w:cs="Arial"/>
          <w:bCs/>
          <w:sz w:val="24"/>
          <w:szCs w:val="24"/>
        </w:rPr>
        <w:t>,</w:t>
      </w:r>
      <w:r w:rsidRPr="00577F77">
        <w:rPr>
          <w:rFonts w:ascii="Arial" w:hAnsi="Arial" w:cs="Arial"/>
          <w:bCs/>
          <w:sz w:val="24"/>
          <w:szCs w:val="24"/>
        </w:rPr>
        <w:t xml:space="preserve"> departamentos,</w:t>
      </w:r>
      <w:r>
        <w:rPr>
          <w:rFonts w:ascii="Arial" w:hAnsi="Arial" w:cs="Arial"/>
          <w:bCs/>
          <w:sz w:val="24"/>
          <w:szCs w:val="24"/>
        </w:rPr>
        <w:t xml:space="preserve"> o en que </w:t>
      </w:r>
      <w:r w:rsidRPr="00577F77">
        <w:rPr>
          <w:rFonts w:ascii="Arial" w:hAnsi="Arial" w:cs="Arial"/>
          <w:bCs/>
          <w:sz w:val="24"/>
          <w:szCs w:val="24"/>
        </w:rPr>
        <w:t>otro</w:t>
      </w:r>
      <w:r>
        <w:rPr>
          <w:rFonts w:ascii="Arial" w:hAnsi="Arial" w:cs="Arial"/>
          <w:bCs/>
          <w:sz w:val="24"/>
          <w:szCs w:val="24"/>
        </w:rPr>
        <w:t xml:space="preserve"> </w:t>
      </w:r>
      <w:r w:rsidRPr="00577F77">
        <w:rPr>
          <w:rFonts w:ascii="Arial" w:hAnsi="Arial" w:cs="Arial"/>
          <w:bCs/>
          <w:sz w:val="24"/>
          <w:szCs w:val="24"/>
        </w:rPr>
        <w:t>establecimiento que preste servicios de esta naturaleza</w:t>
      </w:r>
      <w:r>
        <w:rPr>
          <w:rFonts w:ascii="Arial" w:hAnsi="Arial" w:cs="Arial"/>
          <w:bCs/>
          <w:sz w:val="24"/>
          <w:szCs w:val="24"/>
        </w:rPr>
        <w:t>, como lo establece el artículo 52 de la Ley Estatal de Hacienda, que la llevó a determinar que la parte actora se ubicó en la hipótesis normativa para ser considerado sujeto del citado impuesto; pues para tales efectos, no basta con el señalamiento de que se le ha identificado como sujeto obligado, sino que la demandada debió detallar los motivos para justificar su actuar.</w:t>
      </w:r>
    </w:p>
    <w:p w:rsidR="001F25BD" w:rsidRDefault="001F25BD" w:rsidP="001F25BD">
      <w:pPr>
        <w:spacing w:line="360" w:lineRule="auto"/>
        <w:ind w:firstLine="709"/>
        <w:contextualSpacing/>
        <w:jc w:val="both"/>
        <w:rPr>
          <w:rFonts w:ascii="Arial" w:hAnsi="Arial" w:cs="Arial"/>
          <w:bCs/>
          <w:sz w:val="24"/>
          <w:szCs w:val="24"/>
        </w:rPr>
      </w:pPr>
    </w:p>
    <w:p w:rsidR="001F25BD" w:rsidRDefault="001F25BD" w:rsidP="001F25BD">
      <w:pPr>
        <w:spacing w:line="360" w:lineRule="auto"/>
        <w:ind w:firstLine="709"/>
        <w:contextualSpacing/>
        <w:jc w:val="both"/>
        <w:rPr>
          <w:rFonts w:ascii="Arial" w:hAnsi="Arial" w:cs="Arial"/>
          <w:bCs/>
          <w:sz w:val="24"/>
          <w:szCs w:val="24"/>
        </w:rPr>
      </w:pPr>
      <w:r>
        <w:rPr>
          <w:rFonts w:ascii="Arial" w:hAnsi="Arial" w:cs="Arial"/>
          <w:bCs/>
          <w:sz w:val="24"/>
          <w:szCs w:val="24"/>
        </w:rPr>
        <w:t>Por cuanto hace a la manifestación de la autoridad demandada respecto a la fecha en que la parte actora tuvo conocimiento de los actos impugnados,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y de los acuses de recibo exhibidos por la demandada no se advierte el nombre ni la firma de la actora o documento fehaciente con el que se acredite que los nombres plasmados en las citadas documentales pertenezcan al de su representante legal, por lo tanto se tiene como fecha de conocimiento de los actos impugnados la plasmada por la administrada en su escrito inicial de demanda, esta es, el nueve de mayo de dos mil diecinueve.</w:t>
      </w:r>
    </w:p>
    <w:p w:rsidR="001F25BD" w:rsidRDefault="001F25BD" w:rsidP="001F25BD">
      <w:pPr>
        <w:spacing w:line="360" w:lineRule="auto"/>
        <w:ind w:firstLine="709"/>
        <w:contextualSpacing/>
        <w:jc w:val="both"/>
        <w:rPr>
          <w:rFonts w:ascii="Arial" w:hAnsi="Arial" w:cs="Arial"/>
          <w:bCs/>
          <w:sz w:val="24"/>
          <w:szCs w:val="24"/>
        </w:rPr>
      </w:pPr>
    </w:p>
    <w:p w:rsidR="001F25BD" w:rsidRPr="00A57846" w:rsidRDefault="001F25BD" w:rsidP="001F25BD">
      <w:pPr>
        <w:spacing w:line="360" w:lineRule="auto"/>
        <w:ind w:firstLine="709"/>
        <w:contextualSpacing/>
        <w:jc w:val="both"/>
        <w:rPr>
          <w:rFonts w:ascii="Arial" w:hAnsi="Arial" w:cs="Arial"/>
          <w:sz w:val="24"/>
          <w:szCs w:val="24"/>
        </w:rPr>
      </w:pPr>
      <w:r w:rsidRPr="00AF07FB">
        <w:rPr>
          <w:rFonts w:ascii="Arial" w:hAnsi="Arial" w:cs="Arial"/>
          <w:bCs/>
          <w:sz w:val="24"/>
          <w:szCs w:val="24"/>
        </w:rPr>
        <w:t>De</w:t>
      </w:r>
      <w:r w:rsidRPr="00BB5812">
        <w:rPr>
          <w:rFonts w:ascii="Arial" w:hAnsi="Arial" w:cs="Arial"/>
          <w:bCs/>
          <w:sz w:val="24"/>
          <w:szCs w:val="24"/>
        </w:rPr>
        <w:t xml:space="preserve"> lo</w:t>
      </w:r>
      <w:r>
        <w:rPr>
          <w:rFonts w:ascii="Arial" w:hAnsi="Arial" w:cs="Arial"/>
          <w:bCs/>
          <w:sz w:val="24"/>
          <w:szCs w:val="24"/>
        </w:rPr>
        <w:t xml:space="preserve"> antes expuesto,</w:t>
      </w:r>
      <w:r w:rsidRPr="00BB5812">
        <w:rPr>
          <w:rFonts w:ascii="Arial" w:hAnsi="Arial" w:cs="Arial"/>
          <w:bCs/>
          <w:sz w:val="24"/>
          <w:szCs w:val="24"/>
        </w:rPr>
        <w:t xml:space="preserve"> se concluye que </w:t>
      </w:r>
      <w:r>
        <w:rPr>
          <w:rFonts w:ascii="Arial" w:hAnsi="Arial" w:cs="Arial"/>
          <w:bCs/>
          <w:sz w:val="24"/>
          <w:szCs w:val="24"/>
        </w:rPr>
        <w:t>al no existir una adecuada fundamentación ni motivación en los actos que se combaten, de conformidad con el artículo 17, fracción V,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Pr>
          <w:rFonts w:ascii="Arial" w:hAnsi="Arial" w:cs="Arial"/>
          <w:bCs/>
          <w:sz w:val="24"/>
          <w:szCs w:val="24"/>
        </w:rPr>
        <w:t xml:space="preserve"> </w:t>
      </w:r>
      <w:r w:rsidRPr="00BB5812">
        <w:rPr>
          <w:rFonts w:ascii="Arial" w:hAnsi="Arial" w:cs="Arial"/>
          <w:bCs/>
          <w:sz w:val="24"/>
          <w:szCs w:val="24"/>
        </w:rPr>
        <w:t xml:space="preserve">al no tener la certeza jurídica del motivo por el cual </w:t>
      </w:r>
      <w:r>
        <w:rPr>
          <w:rFonts w:ascii="Arial" w:hAnsi="Arial" w:cs="Arial"/>
          <w:bCs/>
          <w:sz w:val="24"/>
          <w:szCs w:val="24"/>
        </w:rPr>
        <w:t xml:space="preserve">se le multó, </w:t>
      </w:r>
      <w:r>
        <w:rPr>
          <w:rFonts w:ascii="Arial" w:hAnsi="Arial" w:cs="Arial"/>
          <w:sz w:val="24"/>
          <w:szCs w:val="24"/>
        </w:rPr>
        <w:t>en razón 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w:t>
      </w:r>
      <w:r>
        <w:rPr>
          <w:rFonts w:ascii="Arial" w:hAnsi="Arial" w:cs="Arial"/>
          <w:sz w:val="24"/>
          <w:szCs w:val="24"/>
        </w:rPr>
        <w:t>,</w:t>
      </w:r>
      <w:r>
        <w:rPr>
          <w:rFonts w:ascii="Arial" w:hAnsi="Arial" w:cs="Arial"/>
          <w:bCs/>
          <w:sz w:val="24"/>
          <w:szCs w:val="24"/>
        </w:rPr>
        <w:t xml:space="preserve"> pues como ya se apuntó no existe una adecuación </w:t>
      </w:r>
      <w:r w:rsidRPr="00AF07FB">
        <w:rPr>
          <w:rFonts w:ascii="Arial" w:hAnsi="Arial" w:cs="Arial"/>
          <w:bCs/>
          <w:sz w:val="24"/>
          <w:szCs w:val="24"/>
        </w:rPr>
        <w:t>entre los motivos aducidos y la norma aplicable, es decir, la configuración de la hipótesis normativa</w:t>
      </w:r>
      <w:r w:rsidRPr="00A84B6D">
        <w:rPr>
          <w:rFonts w:ascii="Arial" w:hAnsi="Arial" w:cs="Arial"/>
          <w:sz w:val="24"/>
          <w:szCs w:val="24"/>
        </w:rPr>
        <w:t>; con fundamento en lo dispuesto por el artículo 208 fracci</w:t>
      </w:r>
      <w:r>
        <w:rPr>
          <w:rFonts w:ascii="Arial" w:hAnsi="Arial" w:cs="Arial"/>
          <w:sz w:val="24"/>
          <w:szCs w:val="24"/>
        </w:rPr>
        <w:t xml:space="preserve">ones </w:t>
      </w:r>
      <w:r w:rsidRPr="000C017E">
        <w:rPr>
          <w:rFonts w:ascii="Arial" w:hAnsi="Arial" w:cs="Arial"/>
          <w:sz w:val="24"/>
          <w:szCs w:val="24"/>
        </w:rPr>
        <w:t>II, y VI</w:t>
      </w:r>
      <w:r w:rsidRPr="00A84B6D">
        <w:rPr>
          <w:rFonts w:ascii="Arial" w:hAnsi="Arial" w:cs="Arial"/>
          <w:sz w:val="24"/>
          <w:szCs w:val="24"/>
        </w:rPr>
        <w:t xml:space="preserve">,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as</w:t>
      </w:r>
      <w:r w:rsidRPr="007B0581">
        <w:rPr>
          <w:rFonts w:ascii="Arial" w:hAnsi="Arial" w:cs="Arial"/>
          <w:sz w:val="24"/>
          <w:szCs w:val="24"/>
        </w:rPr>
        <w:t xml:space="preserve"> </w:t>
      </w:r>
      <w:r w:rsidRPr="008930AE">
        <w:rPr>
          <w:rFonts w:ascii="Arial" w:hAnsi="Arial" w:cs="Arial"/>
          <w:sz w:val="24"/>
          <w:szCs w:val="24"/>
        </w:rPr>
        <w:t>Multa</w:t>
      </w:r>
      <w:r>
        <w:rPr>
          <w:rFonts w:ascii="Arial" w:hAnsi="Arial" w:cs="Arial"/>
          <w:sz w:val="24"/>
          <w:szCs w:val="24"/>
        </w:rPr>
        <w:t>s</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y sobre la Prestación de Servicios de Hospedaje</w:t>
      </w:r>
      <w:r w:rsidRPr="008930AE">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y </w:t>
      </w:r>
      <w:r>
        <w:rPr>
          <w:rFonts w:cs="Arial"/>
          <w:b/>
          <w:sz w:val="24"/>
          <w:szCs w:val="24"/>
        </w:rPr>
        <w:t>**********</w:t>
      </w:r>
      <w:r>
        <w:rPr>
          <w:rFonts w:ascii="Arial" w:hAnsi="Arial" w:cs="Arial"/>
          <w:sz w:val="24"/>
          <w:szCs w:val="24"/>
        </w:rPr>
        <w:t>,</w:t>
      </w:r>
      <w:r w:rsidRPr="008930AE">
        <w:rPr>
          <w:rFonts w:ascii="Arial" w:hAnsi="Arial" w:cs="Arial"/>
          <w:sz w:val="24"/>
          <w:szCs w:val="24"/>
        </w:rPr>
        <w:t xml:space="preserve"> de</w:t>
      </w:r>
      <w:r>
        <w:rPr>
          <w:rFonts w:ascii="Arial" w:hAnsi="Arial" w:cs="Arial"/>
          <w:sz w:val="24"/>
          <w:szCs w:val="24"/>
        </w:rPr>
        <w:t xml:space="preserve"> fechas</w:t>
      </w:r>
      <w:r w:rsidRPr="008930AE">
        <w:rPr>
          <w:rFonts w:ascii="Arial" w:hAnsi="Arial" w:cs="Arial"/>
          <w:sz w:val="24"/>
          <w:szCs w:val="24"/>
        </w:rPr>
        <w:t xml:space="preserve"> </w:t>
      </w:r>
      <w:r>
        <w:rPr>
          <w:rFonts w:ascii="Arial" w:hAnsi="Arial" w:cs="Arial"/>
          <w:sz w:val="24"/>
          <w:szCs w:val="24"/>
        </w:rPr>
        <w:t>diecinueve y veinte de febrero</w:t>
      </w:r>
      <w:r w:rsidRPr="008930AE">
        <w:rPr>
          <w:rFonts w:ascii="Arial" w:hAnsi="Arial" w:cs="Arial"/>
          <w:sz w:val="24"/>
          <w:szCs w:val="24"/>
        </w:rPr>
        <w:t xml:space="preserve"> de dos mil diecinueve</w:t>
      </w:r>
      <w:r>
        <w:rPr>
          <w:rFonts w:ascii="Arial" w:hAnsi="Arial" w:cs="Arial"/>
          <w:sz w:val="24"/>
          <w:szCs w:val="24"/>
        </w:rPr>
        <w:t>, respectivamente</w:t>
      </w:r>
      <w:r w:rsidRPr="008930AE">
        <w:rPr>
          <w:rFonts w:ascii="Arial" w:hAnsi="Arial" w:cs="Arial"/>
          <w:sz w:val="24"/>
          <w:szCs w:val="24"/>
        </w:rPr>
        <w:t>,</w:t>
      </w:r>
      <w:r>
        <w:rPr>
          <w:rFonts w:ascii="Arial" w:hAnsi="Arial" w:cs="Arial"/>
          <w:sz w:val="24"/>
          <w:szCs w:val="24"/>
        </w:rPr>
        <w:t xml:space="preserve"> ambas</w:t>
      </w:r>
      <w:r w:rsidRPr="008930AE">
        <w:rPr>
          <w:rFonts w:ascii="Arial" w:hAnsi="Arial" w:cs="Arial"/>
          <w:sz w:val="24"/>
          <w:szCs w:val="24"/>
        </w:rPr>
        <w:t xml:space="preserve"> emitida</w:t>
      </w:r>
      <w:r>
        <w:rPr>
          <w:rFonts w:ascii="Arial" w:hAnsi="Arial" w:cs="Arial"/>
          <w:sz w:val="24"/>
          <w:szCs w:val="24"/>
        </w:rPr>
        <w:t>s</w:t>
      </w:r>
      <w:r w:rsidRPr="008930AE">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8930AE">
        <w:rPr>
          <w:rFonts w:ascii="Arial" w:hAnsi="Arial" w:cs="Arial"/>
          <w:sz w:val="24"/>
          <w:szCs w:val="24"/>
        </w:rPr>
        <w:t xml:space="preserve">Secretaria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 Sirva de apoyo a lo antes sustentado la </w:t>
      </w:r>
      <w:r w:rsidRPr="00656FC0">
        <w:rPr>
          <w:rFonts w:ascii="Arial" w:hAnsi="Arial" w:cs="Arial"/>
          <w:sz w:val="24"/>
          <w:szCs w:val="24"/>
        </w:rPr>
        <w:t>Jurisprudencia</w:t>
      </w:r>
      <w:r>
        <w:rPr>
          <w:rFonts w:ascii="Arial" w:hAnsi="Arial" w:cs="Arial"/>
          <w:sz w:val="24"/>
          <w:szCs w:val="24"/>
        </w:rPr>
        <w:t xml:space="preserve"> en Materia Administrativa, Novena Época, con registro electrónico 176522 de rubro: </w:t>
      </w:r>
      <w:r w:rsidRPr="00A57846">
        <w:rPr>
          <w:rFonts w:ascii="Arial" w:hAnsi="Arial" w:cs="Arial"/>
          <w:i/>
          <w:iCs/>
          <w:sz w:val="24"/>
          <w:szCs w:val="24"/>
        </w:rPr>
        <w:t>“</w:t>
      </w:r>
      <w:r w:rsidRPr="00A57846">
        <w:rPr>
          <w:rFonts w:ascii="Arial" w:hAnsi="Arial" w:cs="Arial"/>
          <w:i/>
          <w:iCs/>
          <w:color w:val="212529"/>
          <w:sz w:val="24"/>
          <w:szCs w:val="24"/>
          <w:shd w:val="clear" w:color="auto" w:fill="FFFFFF"/>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rsidR="001F25BD" w:rsidRDefault="001F25BD" w:rsidP="001F25BD">
      <w:pPr>
        <w:spacing w:line="360" w:lineRule="auto"/>
        <w:ind w:firstLine="709"/>
        <w:contextualSpacing/>
        <w:jc w:val="both"/>
        <w:rPr>
          <w:rFonts w:ascii="Arial" w:hAnsi="Arial" w:cs="Arial"/>
          <w:sz w:val="24"/>
          <w:szCs w:val="24"/>
        </w:rPr>
      </w:pPr>
    </w:p>
    <w:bookmarkEnd w:id="3"/>
    <w:p w:rsidR="001F25BD" w:rsidRPr="007B0581" w:rsidRDefault="001F25BD" w:rsidP="001F25BD">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1F25BD" w:rsidRDefault="001F25BD" w:rsidP="001F25BD">
      <w:pPr>
        <w:spacing w:line="360" w:lineRule="auto"/>
        <w:ind w:firstLine="708"/>
        <w:jc w:val="both"/>
        <w:rPr>
          <w:rFonts w:ascii="Arial" w:eastAsia="Calibri" w:hAnsi="Arial" w:cs="Arial"/>
          <w:color w:val="000000"/>
          <w:sz w:val="24"/>
          <w:szCs w:val="24"/>
          <w:lang w:val="es-MX" w:eastAsia="en-US"/>
        </w:rPr>
      </w:pPr>
    </w:p>
    <w:p w:rsidR="001F25BD" w:rsidRPr="007B0581" w:rsidRDefault="001F25BD" w:rsidP="001F25BD">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1F25BD" w:rsidRPr="007B0581" w:rsidRDefault="001F25BD" w:rsidP="001F25BD">
      <w:pPr>
        <w:spacing w:line="360" w:lineRule="auto"/>
        <w:ind w:firstLine="708"/>
        <w:jc w:val="both"/>
        <w:rPr>
          <w:rFonts w:ascii="Arial" w:eastAsia="Calibri" w:hAnsi="Arial" w:cs="Arial"/>
          <w:color w:val="000000"/>
          <w:sz w:val="24"/>
          <w:szCs w:val="24"/>
          <w:lang w:val="es-MX" w:eastAsia="en-US"/>
        </w:rPr>
      </w:pPr>
    </w:p>
    <w:p w:rsidR="001F25BD" w:rsidRDefault="001F25BD" w:rsidP="001F25BD">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1F25BD" w:rsidRPr="007B0581" w:rsidRDefault="001F25BD" w:rsidP="001F25BD">
      <w:pPr>
        <w:tabs>
          <w:tab w:val="left" w:pos="3932"/>
        </w:tabs>
        <w:jc w:val="both"/>
        <w:rPr>
          <w:rFonts w:ascii="Arial" w:hAnsi="Arial" w:cs="Arial"/>
          <w:b/>
          <w:sz w:val="24"/>
          <w:szCs w:val="24"/>
        </w:rPr>
      </w:pPr>
      <w:r w:rsidRPr="007B0581">
        <w:rPr>
          <w:rFonts w:ascii="Arial" w:hAnsi="Arial" w:cs="Arial"/>
          <w:b/>
          <w:sz w:val="24"/>
          <w:szCs w:val="24"/>
        </w:rPr>
        <w:tab/>
      </w:r>
    </w:p>
    <w:p w:rsidR="001F25BD" w:rsidRPr="007B0581" w:rsidRDefault="001F25BD" w:rsidP="001F25BD">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1F25BD" w:rsidRPr="007B0581" w:rsidRDefault="001F25BD" w:rsidP="001F25BD">
      <w:pPr>
        <w:pStyle w:val="Textoindependiente"/>
        <w:ind w:firstLine="709"/>
        <w:contextualSpacing/>
        <w:jc w:val="both"/>
        <w:rPr>
          <w:rFonts w:ascii="Arial" w:hAnsi="Arial" w:cs="Arial"/>
          <w:b/>
          <w:sz w:val="24"/>
          <w:szCs w:val="24"/>
        </w:rPr>
      </w:pPr>
    </w:p>
    <w:p w:rsidR="001F25BD" w:rsidRPr="007B0581" w:rsidRDefault="001F25BD" w:rsidP="001F25BD">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1F25BD" w:rsidRPr="007B0581" w:rsidRDefault="001F25BD" w:rsidP="001F25BD">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1F25BD" w:rsidRDefault="001F25BD" w:rsidP="001F25BD">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1F25BD" w:rsidRDefault="001F25BD" w:rsidP="001F25BD">
      <w:pPr>
        <w:spacing w:line="360" w:lineRule="auto"/>
        <w:ind w:right="51" w:firstLine="567"/>
        <w:jc w:val="both"/>
        <w:rPr>
          <w:rFonts w:ascii="Arial" w:hAnsi="Arial" w:cs="Arial"/>
          <w:b/>
          <w:bCs/>
          <w:sz w:val="24"/>
          <w:szCs w:val="24"/>
        </w:rPr>
      </w:pPr>
    </w:p>
    <w:p w:rsidR="001F25BD" w:rsidRPr="007B0581" w:rsidRDefault="001F25BD" w:rsidP="001F25BD">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la</w:t>
      </w:r>
      <w:r>
        <w:rPr>
          <w:rFonts w:ascii="Arial" w:hAnsi="Arial" w:cs="Arial"/>
          <w:sz w:val="24"/>
          <w:szCs w:val="24"/>
        </w:rPr>
        <w:t>s</w:t>
      </w:r>
      <w:r w:rsidRPr="008930AE">
        <w:rPr>
          <w:rFonts w:ascii="Arial" w:hAnsi="Arial" w:cs="Arial"/>
          <w:sz w:val="24"/>
          <w:szCs w:val="24"/>
        </w:rPr>
        <w:t xml:space="preserve"> Multa</w:t>
      </w:r>
      <w:r>
        <w:rPr>
          <w:rFonts w:ascii="Arial" w:hAnsi="Arial" w:cs="Arial"/>
          <w:sz w:val="24"/>
          <w:szCs w:val="24"/>
        </w:rPr>
        <w:t>s</w:t>
      </w:r>
      <w:r w:rsidRPr="008930AE">
        <w:rPr>
          <w:rFonts w:ascii="Arial" w:hAnsi="Arial" w:cs="Arial"/>
          <w:sz w:val="24"/>
          <w:szCs w:val="24"/>
        </w:rPr>
        <w:t xml:space="preserve"> por Infracción relacionada con la Presentación de Declaraciones del Impuesto sobre Erogaciones por Remuneraci</w:t>
      </w:r>
      <w:r>
        <w:rPr>
          <w:rFonts w:ascii="Arial" w:hAnsi="Arial" w:cs="Arial"/>
          <w:sz w:val="24"/>
          <w:szCs w:val="24"/>
        </w:rPr>
        <w:t>ones</w:t>
      </w:r>
      <w:r w:rsidRPr="008930AE">
        <w:rPr>
          <w:rFonts w:ascii="Arial" w:hAnsi="Arial" w:cs="Arial"/>
          <w:sz w:val="24"/>
          <w:szCs w:val="24"/>
        </w:rPr>
        <w:t xml:space="preserve"> al Trabajo Personal</w:t>
      </w:r>
      <w:r>
        <w:rPr>
          <w:rFonts w:ascii="Arial" w:hAnsi="Arial" w:cs="Arial"/>
          <w:sz w:val="24"/>
          <w:szCs w:val="24"/>
        </w:rPr>
        <w:t xml:space="preserve"> y sobre la Prestación de Servicios de Hospedaje</w:t>
      </w:r>
      <w:r w:rsidRPr="008930AE">
        <w:rPr>
          <w:rFonts w:ascii="Arial" w:hAnsi="Arial" w:cs="Arial"/>
          <w:sz w:val="24"/>
          <w:szCs w:val="24"/>
        </w:rPr>
        <w:t xml:space="preserve">, con número de control </w:t>
      </w:r>
      <w:r>
        <w:rPr>
          <w:rFonts w:cs="Arial"/>
          <w:b/>
          <w:sz w:val="24"/>
          <w:szCs w:val="24"/>
        </w:rPr>
        <w:t>**********</w:t>
      </w:r>
      <w:r>
        <w:rPr>
          <w:rFonts w:ascii="Arial" w:hAnsi="Arial" w:cs="Arial"/>
          <w:sz w:val="24"/>
          <w:szCs w:val="24"/>
        </w:rPr>
        <w:t xml:space="preserve"> y </w:t>
      </w:r>
      <w:r>
        <w:rPr>
          <w:rFonts w:cs="Arial"/>
          <w:b/>
          <w:sz w:val="24"/>
          <w:szCs w:val="24"/>
        </w:rPr>
        <w:t>**********</w:t>
      </w:r>
      <w:r>
        <w:rPr>
          <w:rFonts w:ascii="Arial" w:hAnsi="Arial" w:cs="Arial"/>
          <w:sz w:val="24"/>
          <w:szCs w:val="24"/>
        </w:rPr>
        <w:t>,</w:t>
      </w:r>
      <w:r w:rsidRPr="008930AE">
        <w:rPr>
          <w:rFonts w:ascii="Arial" w:hAnsi="Arial" w:cs="Arial"/>
          <w:sz w:val="24"/>
          <w:szCs w:val="24"/>
        </w:rPr>
        <w:t xml:space="preserve"> de</w:t>
      </w:r>
      <w:r>
        <w:rPr>
          <w:rFonts w:ascii="Arial" w:hAnsi="Arial" w:cs="Arial"/>
          <w:sz w:val="24"/>
          <w:szCs w:val="24"/>
        </w:rPr>
        <w:t xml:space="preserve"> fechas</w:t>
      </w:r>
      <w:r w:rsidRPr="008930AE">
        <w:rPr>
          <w:rFonts w:ascii="Arial" w:hAnsi="Arial" w:cs="Arial"/>
          <w:sz w:val="24"/>
          <w:szCs w:val="24"/>
        </w:rPr>
        <w:t xml:space="preserve"> </w:t>
      </w:r>
      <w:r>
        <w:rPr>
          <w:rFonts w:ascii="Arial" w:hAnsi="Arial" w:cs="Arial"/>
          <w:sz w:val="24"/>
          <w:szCs w:val="24"/>
        </w:rPr>
        <w:t>diecinueve y veinte de febrero</w:t>
      </w:r>
      <w:r w:rsidRPr="008930AE">
        <w:rPr>
          <w:rFonts w:ascii="Arial" w:hAnsi="Arial" w:cs="Arial"/>
          <w:sz w:val="24"/>
          <w:szCs w:val="24"/>
        </w:rPr>
        <w:t xml:space="preserve"> de dos mil diecinueve</w:t>
      </w:r>
      <w:r>
        <w:rPr>
          <w:rFonts w:ascii="Arial" w:hAnsi="Arial" w:cs="Arial"/>
          <w:sz w:val="24"/>
          <w:szCs w:val="24"/>
        </w:rPr>
        <w:t>, respectivamente</w:t>
      </w:r>
      <w:r w:rsidRPr="008930AE">
        <w:rPr>
          <w:rFonts w:ascii="Arial" w:hAnsi="Arial" w:cs="Arial"/>
          <w:sz w:val="24"/>
          <w:szCs w:val="24"/>
        </w:rPr>
        <w:t>,</w:t>
      </w:r>
      <w:r>
        <w:rPr>
          <w:rFonts w:ascii="Arial" w:hAnsi="Arial" w:cs="Arial"/>
          <w:sz w:val="24"/>
          <w:szCs w:val="24"/>
        </w:rPr>
        <w:t xml:space="preserve"> ambas</w:t>
      </w:r>
      <w:r w:rsidRPr="008930AE">
        <w:rPr>
          <w:rFonts w:ascii="Arial" w:hAnsi="Arial" w:cs="Arial"/>
          <w:sz w:val="24"/>
          <w:szCs w:val="24"/>
        </w:rPr>
        <w:t xml:space="preserve"> emitida</w:t>
      </w:r>
      <w:r>
        <w:rPr>
          <w:rFonts w:ascii="Arial" w:hAnsi="Arial" w:cs="Arial"/>
          <w:sz w:val="24"/>
          <w:szCs w:val="24"/>
        </w:rPr>
        <w:t>s</w:t>
      </w:r>
      <w:r w:rsidRPr="008930AE">
        <w:rPr>
          <w:rFonts w:ascii="Arial" w:hAnsi="Arial" w:cs="Arial"/>
          <w:sz w:val="24"/>
          <w:szCs w:val="24"/>
        </w:rPr>
        <w:t xml:space="preserve"> por la Directora de Ingresos y Recaudación de la </w:t>
      </w:r>
      <w:r>
        <w:rPr>
          <w:rFonts w:ascii="Arial" w:hAnsi="Arial" w:cs="Arial"/>
          <w:sz w:val="24"/>
          <w:szCs w:val="24"/>
        </w:rPr>
        <w:t xml:space="preserve">Subsecretaría de Ingresos de la </w:t>
      </w:r>
      <w:r w:rsidRPr="008930AE">
        <w:rPr>
          <w:rFonts w:ascii="Arial" w:hAnsi="Arial" w:cs="Arial"/>
          <w:sz w:val="24"/>
          <w:szCs w:val="24"/>
        </w:rPr>
        <w:t xml:space="preserve">Secretaria de Finanzas del </w:t>
      </w:r>
      <w:r>
        <w:rPr>
          <w:rFonts w:ascii="Arial" w:hAnsi="Arial" w:cs="Arial"/>
          <w:sz w:val="24"/>
          <w:szCs w:val="24"/>
        </w:rPr>
        <w:t>Poder Ejecutivo</w:t>
      </w:r>
      <w:r w:rsidRPr="008930AE">
        <w:rPr>
          <w:rFonts w:ascii="Arial" w:hAnsi="Arial" w:cs="Arial"/>
          <w:sz w:val="24"/>
          <w:szCs w:val="24"/>
        </w:rPr>
        <w:t xml:space="preserve"> del Estado</w:t>
      </w:r>
      <w:r>
        <w:rPr>
          <w:rFonts w:ascii="Arial" w:hAnsi="Arial" w:cs="Arial"/>
          <w:sz w:val="24"/>
          <w:szCs w:val="24"/>
        </w:rPr>
        <w:t xml:space="preserve"> de Oaxaca</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1F25BD" w:rsidRPr="007B0581" w:rsidRDefault="001F25BD" w:rsidP="001F25BD">
      <w:pPr>
        <w:ind w:right="51"/>
        <w:contextualSpacing/>
        <w:jc w:val="both"/>
        <w:rPr>
          <w:rFonts w:ascii="Arial" w:hAnsi="Arial" w:cs="Arial"/>
          <w:sz w:val="24"/>
          <w:szCs w:val="24"/>
          <w:lang w:val="es-MX"/>
        </w:rPr>
      </w:pPr>
    </w:p>
    <w:p w:rsidR="001F25BD" w:rsidRDefault="001F25BD" w:rsidP="001F25BD">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1F25BD" w:rsidRPr="007B0581" w:rsidRDefault="001F25BD" w:rsidP="001F25BD">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5BD" w:rsidRDefault="001F25BD" w:rsidP="001F25BD">
      <w:r>
        <w:separator/>
      </w:r>
    </w:p>
  </w:endnote>
  <w:endnote w:type="continuationSeparator" w:id="0">
    <w:p w:rsidR="001F25BD" w:rsidRDefault="001F25BD" w:rsidP="001F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F25BD">
        <w:pPr>
          <w:pStyle w:val="Piedepgina"/>
          <w:jc w:val="center"/>
        </w:pPr>
        <w:r>
          <w:fldChar w:fldCharType="begin"/>
        </w:r>
        <w:r>
          <w:instrText>PAGE   \* MERGEFORMAT</w:instrText>
        </w:r>
        <w:r>
          <w:fldChar w:fldCharType="separate"/>
        </w:r>
        <w:r>
          <w:rPr>
            <w:noProof/>
          </w:rPr>
          <w:t>2</w:t>
        </w:r>
        <w:r>
          <w:fldChar w:fldCharType="end"/>
        </w:r>
      </w:p>
    </w:sdtContent>
  </w:sdt>
  <w:p w:rsidR="009525A3" w:rsidRDefault="001F25B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5BD" w:rsidRDefault="001F25BD" w:rsidP="001F25BD">
      <w:r>
        <w:separator/>
      </w:r>
    </w:p>
  </w:footnote>
  <w:footnote w:type="continuationSeparator" w:id="0">
    <w:p w:rsidR="001F25BD" w:rsidRDefault="001F25BD" w:rsidP="001F25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1F25BD" w:rsidP="00A73AD7">
    <w:pPr>
      <w:pStyle w:val="Encabezado"/>
      <w:jc w:val="right"/>
      <w:rPr>
        <w:rFonts w:ascii="Arial" w:hAnsi="Arial" w:cs="Arial"/>
      </w:rPr>
    </w:pPr>
    <w:r w:rsidRPr="001F25BD">
      <w:rPr>
        <w:rFonts w:eastAsia="Calibri"/>
        <w:noProof/>
        <w:lang w:val="es-MX"/>
      </w:rPr>
      <mc:AlternateContent>
        <mc:Choice Requires="wps">
          <w:drawing>
            <wp:anchor distT="45720" distB="45720" distL="114300" distR="114300" simplePos="0" relativeHeight="251665408" behindDoc="1" locked="0" layoutInCell="1" allowOverlap="1" wp14:anchorId="09DE2232" wp14:editId="29D29CF3">
              <wp:simplePos x="0" y="0"/>
              <wp:positionH relativeFrom="leftMargin">
                <wp:posOffset>279596</wp:posOffset>
              </wp:positionH>
              <wp:positionV relativeFrom="paragraph">
                <wp:posOffset>4300562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25BD" w:rsidRDefault="001F25BD" w:rsidP="001F25B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DE2232" id="_x0000_t202" coordsize="21600,21600" o:spt="202" path="m,l,21600r21600,l21600,xe">
              <v:stroke joinstyle="miter"/>
              <v:path gradientshapeok="t" o:connecttype="rect"/>
            </v:shapetype>
            <v:shape id="Cuadro de texto 4" o:spid="_x0000_s1026" type="#_x0000_t202" style="position:absolute;left:0;text-align:left;margin-left:22pt;margin-top:338.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">
              <v:textbox>
                <w:txbxContent>
                  <w:p w:rsidR="001F25BD" w:rsidRDefault="001F25BD" w:rsidP="001F25BD">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4D92D665" wp14:editId="1537AD7F">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0051</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F25BD">
    <w:pPr>
      <w:pStyle w:val="Encabezado"/>
    </w:pPr>
    <w:r w:rsidRPr="001F25BD">
      <w:rPr>
        <w:rFonts w:eastAsia="Calibri"/>
        <w:noProof/>
        <w:lang w:val="es-MX"/>
      </w:rPr>
      <mc:AlternateContent>
        <mc:Choice Requires="wps">
          <w:drawing>
            <wp:anchor distT="45720" distB="45720" distL="114300" distR="114300" simplePos="0" relativeHeight="251663360" behindDoc="1" locked="0" layoutInCell="1" allowOverlap="1" wp14:anchorId="4718E205" wp14:editId="20A3C2A5">
              <wp:simplePos x="0" y="0"/>
              <wp:positionH relativeFrom="leftMargin">
                <wp:posOffset>253218</wp:posOffset>
              </wp:positionH>
              <wp:positionV relativeFrom="paragraph">
                <wp:posOffset>5408393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25BD" w:rsidRDefault="001F25BD" w:rsidP="001F25B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18E205" id="_x0000_t202" coordsize="21600,21600" o:spt="202" path="m,l,21600r21600,l21600,xe">
              <v:stroke joinstyle="miter"/>
              <v:path gradientshapeok="t" o:connecttype="rect"/>
            </v:shapetype>
            <v:shape id="Cuadro de texto 5" o:spid="_x0000_s1027" type="#_x0000_t202" style="position:absolute;margin-left:19.95pt;margin-top:425.8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">
              <v:textbox>
                <w:txbxContent>
                  <w:p w:rsidR="001F25BD" w:rsidRDefault="001F25BD" w:rsidP="001F25BD">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ACCEFB8" wp14:editId="131529BB">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2DEEB424" wp14:editId="39818E5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5BD"/>
    <w:rsid w:val="001F25BD"/>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390D004-7CE6-44AC-B3DA-E8AA535FD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5B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1F25BD"/>
    <w:pPr>
      <w:spacing w:after="120"/>
    </w:pPr>
    <w:rPr>
      <w:lang w:val="x-none"/>
    </w:rPr>
  </w:style>
  <w:style w:type="character" w:customStyle="1" w:styleId="TextoindependienteCar">
    <w:name w:val="Texto independiente Car"/>
    <w:basedOn w:val="Fuentedeprrafopredeter"/>
    <w:link w:val="Textoindependiente"/>
    <w:uiPriority w:val="99"/>
    <w:rsid w:val="001F25BD"/>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1F25BD"/>
    <w:pPr>
      <w:autoSpaceDE w:val="0"/>
      <w:autoSpaceDN w:val="0"/>
    </w:pPr>
    <w:rPr>
      <w:lang w:eastAsia="es-ES"/>
    </w:rPr>
  </w:style>
  <w:style w:type="character" w:customStyle="1" w:styleId="TextonotapieCar">
    <w:name w:val="Texto nota pie Car"/>
    <w:basedOn w:val="Fuentedeprrafopredeter"/>
    <w:link w:val="Textonotapie"/>
    <w:uiPriority w:val="99"/>
    <w:rsid w:val="001F25B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1F25B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F25BD"/>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1F25BD"/>
    <w:pPr>
      <w:tabs>
        <w:tab w:val="center" w:pos="4419"/>
        <w:tab w:val="right" w:pos="8838"/>
      </w:tabs>
    </w:pPr>
  </w:style>
  <w:style w:type="character" w:customStyle="1" w:styleId="EncabezadoCar">
    <w:name w:val="Encabezado Car"/>
    <w:basedOn w:val="Fuentedeprrafopredeter"/>
    <w:link w:val="Encabezado"/>
    <w:uiPriority w:val="99"/>
    <w:rsid w:val="001F25B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F25BD"/>
    <w:pPr>
      <w:tabs>
        <w:tab w:val="center" w:pos="4419"/>
        <w:tab w:val="right" w:pos="8838"/>
      </w:tabs>
    </w:pPr>
  </w:style>
  <w:style w:type="character" w:customStyle="1" w:styleId="PiedepginaCar">
    <w:name w:val="Pie de página Car"/>
    <w:basedOn w:val="Fuentedeprrafopredeter"/>
    <w:link w:val="Piedepgina"/>
    <w:uiPriority w:val="99"/>
    <w:rsid w:val="001F25BD"/>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1F25BD"/>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1F25BD"/>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1F25BD"/>
    <w:rPr>
      <w:rFonts w:ascii="Calibri" w:eastAsia="Calibri" w:hAnsi="Calibri" w:cs="Times New Roman"/>
    </w:rPr>
  </w:style>
  <w:style w:type="character" w:customStyle="1" w:styleId="ng-star-inserted">
    <w:name w:val="ng-star-inserted"/>
    <w:basedOn w:val="Fuentedeprrafopredeter"/>
    <w:rsid w:val="001F2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3764</Words>
  <Characters>20702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2023-07-13T22:30:00Z</dcterms:created>
  <dcterms:modified xsi:type="dcterms:W3CDTF">2023-07-13T22:36:00Z</dcterms:modified>
</cp:coreProperties>
</file>