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86324C" w:rsidRPr="006E349D" w:rsidTr="00B952EF">
        <w:tc>
          <w:tcPr>
            <w:tcW w:w="2356" w:type="dxa"/>
          </w:tcPr>
          <w:p w:rsidR="0086324C" w:rsidRPr="006E349D" w:rsidRDefault="0086324C" w:rsidP="00B952EF">
            <w:pPr>
              <w:pStyle w:val="Ttulo1"/>
            </w:pPr>
          </w:p>
        </w:tc>
        <w:tc>
          <w:tcPr>
            <w:tcW w:w="6859" w:type="dxa"/>
          </w:tcPr>
          <w:p w:rsidR="0086324C" w:rsidRPr="006E349D" w:rsidRDefault="0086324C" w:rsidP="00B952EF">
            <w:pPr>
              <w:tabs>
                <w:tab w:val="left" w:pos="3103"/>
              </w:tabs>
              <w:ind w:left="1119" w:hanging="1119"/>
              <w:jc w:val="both"/>
              <w:rPr>
                <w:rFonts w:ascii="Arial" w:hAnsi="Arial" w:cs="Arial"/>
                <w:b/>
                <w:iCs/>
                <w:caps/>
                <w:sz w:val="26"/>
                <w:szCs w:val="26"/>
              </w:rPr>
            </w:pPr>
            <w:r w:rsidRPr="006E349D">
              <w:rPr>
                <w:rFonts w:ascii="Arial" w:hAnsi="Arial" w:cs="Arial"/>
                <w:b/>
                <w:i/>
                <w:iCs/>
                <w:caps/>
                <w:sz w:val="26"/>
                <w:szCs w:val="26"/>
              </w:rPr>
              <w:t xml:space="preserve">              </w:t>
            </w:r>
            <w:r w:rsidR="0062757D">
              <w:rPr>
                <w:rFonts w:ascii="Arial" w:hAnsi="Arial" w:cs="Arial"/>
                <w:b/>
                <w:i/>
                <w:iCs/>
                <w:caps/>
                <w:sz w:val="26"/>
                <w:szCs w:val="26"/>
              </w:rPr>
              <w:t xml:space="preserve"> </w:t>
            </w:r>
            <w:r w:rsidRPr="006E349D">
              <w:rPr>
                <w:rFonts w:ascii="Arial" w:hAnsi="Arial" w:cs="Arial"/>
                <w:b/>
                <w:iCs/>
                <w:caps/>
                <w:sz w:val="26"/>
                <w:szCs w:val="26"/>
              </w:rPr>
              <w:t>S</w:t>
            </w:r>
            <w:r>
              <w:rPr>
                <w:rFonts w:ascii="Arial" w:hAnsi="Arial" w:cs="Arial"/>
                <w:b/>
                <w:iCs/>
                <w:caps/>
                <w:sz w:val="26"/>
                <w:szCs w:val="26"/>
              </w:rPr>
              <w:t xml:space="preserve">ALA SUPERIOR DEL TRIBUNAL DE LO  </w:t>
            </w:r>
            <w:r w:rsidRPr="006E349D">
              <w:rPr>
                <w:rFonts w:ascii="Arial" w:hAnsi="Arial" w:cs="Arial"/>
                <w:b/>
                <w:iCs/>
                <w:caps/>
                <w:sz w:val="26"/>
                <w:szCs w:val="26"/>
              </w:rPr>
              <w:t>CONTENCIOSO ADMINISTRATIVO</w:t>
            </w:r>
            <w:r>
              <w:rPr>
                <w:rFonts w:ascii="Arial" w:hAnsi="Arial" w:cs="Arial"/>
                <w:b/>
                <w:iCs/>
                <w:caps/>
                <w:sz w:val="26"/>
                <w:szCs w:val="26"/>
              </w:rPr>
              <w:t xml:space="preserve"> Y DE CUENTAS</w:t>
            </w:r>
            <w:r w:rsidRPr="006E349D">
              <w:rPr>
                <w:rFonts w:ascii="Arial" w:hAnsi="Arial" w:cs="Arial"/>
                <w:b/>
                <w:iCs/>
                <w:caps/>
                <w:sz w:val="26"/>
                <w:szCs w:val="26"/>
              </w:rPr>
              <w:t xml:space="preserve"> DEL </w:t>
            </w:r>
            <w:r>
              <w:rPr>
                <w:rFonts w:ascii="Arial" w:hAnsi="Arial" w:cs="Arial"/>
                <w:b/>
                <w:iCs/>
                <w:caps/>
                <w:sz w:val="26"/>
                <w:szCs w:val="26"/>
              </w:rPr>
              <w:t xml:space="preserve">poder judicial del </w:t>
            </w:r>
            <w:r w:rsidRPr="006E349D">
              <w:rPr>
                <w:rFonts w:ascii="Arial" w:hAnsi="Arial" w:cs="Arial"/>
                <w:b/>
                <w:iCs/>
                <w:caps/>
                <w:sz w:val="26"/>
                <w:szCs w:val="26"/>
              </w:rPr>
              <w:t>ESTADO</w:t>
            </w:r>
            <w:r>
              <w:rPr>
                <w:rFonts w:ascii="Arial" w:hAnsi="Arial" w:cs="Arial"/>
                <w:b/>
                <w:iCs/>
                <w:caps/>
                <w:sz w:val="26"/>
                <w:szCs w:val="26"/>
              </w:rPr>
              <w:t xml:space="preserve"> DE OAXACA</w:t>
            </w:r>
            <w:r w:rsidR="00802211">
              <w:rPr>
                <w:rFonts w:ascii="Arial" w:hAnsi="Arial" w:cs="Arial"/>
                <w:b/>
                <w:iCs/>
                <w:caps/>
                <w:sz w:val="26"/>
                <w:szCs w:val="26"/>
              </w:rPr>
              <w:t>.</w:t>
            </w:r>
          </w:p>
          <w:p w:rsidR="0086324C" w:rsidRPr="006E349D" w:rsidRDefault="0086324C" w:rsidP="00B952EF">
            <w:pPr>
              <w:pStyle w:val="Encabezado"/>
              <w:tabs>
                <w:tab w:val="clear" w:pos="4252"/>
              </w:tabs>
              <w:ind w:left="1119" w:right="51"/>
              <w:jc w:val="both"/>
              <w:rPr>
                <w:rFonts w:ascii="Arial" w:hAnsi="Arial" w:cs="Arial"/>
                <w:b/>
                <w:iCs/>
                <w:caps/>
                <w:sz w:val="26"/>
                <w:szCs w:val="26"/>
              </w:rPr>
            </w:pPr>
            <w:r w:rsidRPr="006E349D">
              <w:rPr>
                <w:rFonts w:ascii="Arial" w:hAnsi="Arial" w:cs="Arial"/>
                <w:b/>
                <w:iCs/>
                <w:caps/>
                <w:sz w:val="26"/>
                <w:szCs w:val="26"/>
              </w:rPr>
              <w:t xml:space="preserve">               </w:t>
            </w:r>
          </w:p>
          <w:p w:rsidR="0086324C" w:rsidRPr="006E349D" w:rsidRDefault="0086324C" w:rsidP="00B952EF">
            <w:pPr>
              <w:pStyle w:val="Encabezado"/>
              <w:tabs>
                <w:tab w:val="clear" w:pos="4252"/>
              </w:tabs>
              <w:ind w:right="51"/>
              <w:jc w:val="both"/>
              <w:rPr>
                <w:rFonts w:ascii="Arial" w:hAnsi="Arial" w:cs="Arial"/>
                <w:b/>
                <w:iCs/>
                <w:caps/>
                <w:sz w:val="26"/>
                <w:szCs w:val="26"/>
              </w:rPr>
            </w:pPr>
            <w:r>
              <w:rPr>
                <w:rFonts w:ascii="Arial" w:hAnsi="Arial" w:cs="Arial"/>
                <w:b/>
                <w:iCs/>
                <w:caps/>
                <w:sz w:val="26"/>
                <w:szCs w:val="26"/>
              </w:rPr>
              <w:t xml:space="preserve">       </w:t>
            </w:r>
            <w:r w:rsidR="00D35AB8">
              <w:rPr>
                <w:rFonts w:ascii="Arial" w:hAnsi="Arial" w:cs="Arial"/>
                <w:b/>
                <w:iCs/>
                <w:caps/>
                <w:sz w:val="26"/>
                <w:szCs w:val="26"/>
              </w:rPr>
              <w:t xml:space="preserve">        RECURSO DE REVISIÓN: 0</w:t>
            </w:r>
            <w:r w:rsidR="00075944">
              <w:rPr>
                <w:rFonts w:ascii="Arial" w:hAnsi="Arial" w:cs="Arial"/>
                <w:b/>
                <w:iCs/>
                <w:caps/>
                <w:sz w:val="26"/>
                <w:szCs w:val="26"/>
              </w:rPr>
              <w:t>558</w:t>
            </w:r>
            <w:r w:rsidR="00D35AB8">
              <w:rPr>
                <w:rFonts w:ascii="Arial" w:hAnsi="Arial" w:cs="Arial"/>
                <w:b/>
                <w:iCs/>
                <w:caps/>
                <w:sz w:val="26"/>
                <w:szCs w:val="26"/>
              </w:rPr>
              <w:t>/2017</w:t>
            </w:r>
          </w:p>
          <w:p w:rsidR="0062757D" w:rsidRDefault="0086324C" w:rsidP="00B952EF">
            <w:pPr>
              <w:pStyle w:val="Encabezado"/>
              <w:tabs>
                <w:tab w:val="clear" w:pos="4252"/>
              </w:tabs>
              <w:ind w:left="1119" w:right="51" w:hanging="1119"/>
              <w:jc w:val="both"/>
              <w:rPr>
                <w:rFonts w:ascii="Arial" w:hAnsi="Arial" w:cs="Arial"/>
                <w:b/>
                <w:iCs/>
                <w:caps/>
                <w:sz w:val="26"/>
                <w:szCs w:val="26"/>
              </w:rPr>
            </w:pPr>
            <w:r w:rsidRPr="006E349D">
              <w:rPr>
                <w:rFonts w:ascii="Arial" w:hAnsi="Arial" w:cs="Arial"/>
                <w:b/>
                <w:iCs/>
                <w:caps/>
                <w:sz w:val="26"/>
                <w:szCs w:val="26"/>
              </w:rPr>
              <w:t xml:space="preserve">              </w:t>
            </w:r>
          </w:p>
          <w:p w:rsidR="0086324C" w:rsidRPr="006E349D" w:rsidRDefault="0062757D" w:rsidP="00B952EF">
            <w:pPr>
              <w:pStyle w:val="Encabezado"/>
              <w:tabs>
                <w:tab w:val="clear" w:pos="4252"/>
              </w:tabs>
              <w:ind w:left="1119" w:right="51" w:hanging="1119"/>
              <w:jc w:val="both"/>
              <w:rPr>
                <w:rFonts w:ascii="Arial" w:hAnsi="Arial" w:cs="Arial"/>
                <w:b/>
                <w:iCs/>
                <w:caps/>
                <w:sz w:val="26"/>
                <w:szCs w:val="26"/>
              </w:rPr>
            </w:pPr>
            <w:r>
              <w:rPr>
                <w:rFonts w:ascii="Arial" w:hAnsi="Arial" w:cs="Arial"/>
                <w:b/>
                <w:iCs/>
                <w:caps/>
                <w:sz w:val="26"/>
                <w:szCs w:val="26"/>
              </w:rPr>
              <w:t xml:space="preserve">              </w:t>
            </w:r>
            <w:r w:rsidR="0086324C" w:rsidRPr="006E349D">
              <w:rPr>
                <w:rFonts w:ascii="Arial" w:hAnsi="Arial" w:cs="Arial"/>
                <w:b/>
                <w:iCs/>
                <w:caps/>
                <w:sz w:val="26"/>
                <w:szCs w:val="26"/>
              </w:rPr>
              <w:t xml:space="preserve"> EXPEDIENTE: </w:t>
            </w:r>
            <w:r w:rsidR="00244927">
              <w:rPr>
                <w:rFonts w:ascii="Arial" w:hAnsi="Arial" w:cs="Arial"/>
                <w:b/>
                <w:iCs/>
                <w:caps/>
                <w:sz w:val="26"/>
                <w:szCs w:val="26"/>
              </w:rPr>
              <w:t>0</w:t>
            </w:r>
            <w:r w:rsidR="00075944">
              <w:rPr>
                <w:rFonts w:ascii="Arial" w:hAnsi="Arial" w:cs="Arial"/>
                <w:b/>
                <w:iCs/>
                <w:caps/>
                <w:sz w:val="26"/>
                <w:szCs w:val="26"/>
              </w:rPr>
              <w:t>368</w:t>
            </w:r>
            <w:r w:rsidR="0086324C">
              <w:rPr>
                <w:rFonts w:ascii="Arial" w:hAnsi="Arial" w:cs="Arial"/>
                <w:b/>
                <w:iCs/>
                <w:caps/>
                <w:sz w:val="26"/>
                <w:szCs w:val="26"/>
              </w:rPr>
              <w:t>/2016</w:t>
            </w:r>
            <w:r w:rsidR="0086324C" w:rsidRPr="006E349D">
              <w:rPr>
                <w:rFonts w:ascii="Arial" w:hAnsi="Arial" w:cs="Arial"/>
                <w:b/>
                <w:iCs/>
                <w:caps/>
                <w:sz w:val="26"/>
                <w:szCs w:val="26"/>
              </w:rPr>
              <w:t xml:space="preserve"> DE</w:t>
            </w:r>
            <w:r w:rsidR="0086324C">
              <w:rPr>
                <w:rFonts w:ascii="Arial" w:hAnsi="Arial" w:cs="Arial"/>
                <w:b/>
                <w:iCs/>
                <w:caps/>
                <w:sz w:val="26"/>
                <w:szCs w:val="26"/>
              </w:rPr>
              <w:t xml:space="preserve"> </w:t>
            </w:r>
            <w:r w:rsidR="0086324C" w:rsidRPr="006E349D">
              <w:rPr>
                <w:rFonts w:ascii="Arial" w:hAnsi="Arial" w:cs="Arial"/>
                <w:b/>
                <w:iCs/>
                <w:caps/>
                <w:sz w:val="26"/>
                <w:szCs w:val="26"/>
              </w:rPr>
              <w:t>L</w:t>
            </w:r>
            <w:r w:rsidR="0086324C">
              <w:rPr>
                <w:rFonts w:ascii="Arial" w:hAnsi="Arial" w:cs="Arial"/>
                <w:b/>
                <w:iCs/>
                <w:caps/>
                <w:sz w:val="26"/>
                <w:szCs w:val="26"/>
              </w:rPr>
              <w:t>A</w:t>
            </w:r>
            <w:r w:rsidR="0086324C" w:rsidRPr="006E349D">
              <w:rPr>
                <w:rFonts w:ascii="Arial" w:hAnsi="Arial" w:cs="Arial"/>
                <w:b/>
                <w:iCs/>
                <w:caps/>
                <w:sz w:val="26"/>
                <w:szCs w:val="26"/>
              </w:rPr>
              <w:t xml:space="preserve"> </w:t>
            </w:r>
            <w:r w:rsidR="00CF028B">
              <w:rPr>
                <w:rFonts w:ascii="Arial" w:hAnsi="Arial" w:cs="Arial"/>
                <w:b/>
                <w:iCs/>
                <w:caps/>
                <w:sz w:val="26"/>
                <w:szCs w:val="26"/>
              </w:rPr>
              <w:t>SEGUNDA</w:t>
            </w:r>
            <w:r w:rsidR="0086324C">
              <w:rPr>
                <w:rFonts w:ascii="Arial" w:hAnsi="Arial" w:cs="Arial"/>
                <w:b/>
                <w:iCs/>
                <w:caps/>
                <w:sz w:val="26"/>
                <w:szCs w:val="26"/>
              </w:rPr>
              <w:t xml:space="preserve"> SALA UNITARIA DE PRIMERA INSTANCIA </w:t>
            </w:r>
          </w:p>
          <w:p w:rsidR="0086324C" w:rsidRPr="006E349D" w:rsidRDefault="0086324C" w:rsidP="00B952EF">
            <w:pPr>
              <w:pStyle w:val="Encabezado"/>
              <w:tabs>
                <w:tab w:val="clear" w:pos="4252"/>
              </w:tabs>
              <w:ind w:left="1119" w:right="51" w:hanging="1119"/>
              <w:jc w:val="both"/>
              <w:rPr>
                <w:rFonts w:ascii="Arial" w:hAnsi="Arial" w:cs="Arial"/>
                <w:b/>
                <w:iCs/>
                <w:caps/>
                <w:sz w:val="26"/>
                <w:szCs w:val="26"/>
              </w:rPr>
            </w:pPr>
          </w:p>
          <w:p w:rsidR="0086324C" w:rsidRPr="006E349D" w:rsidRDefault="0086324C" w:rsidP="00B952EF">
            <w:pPr>
              <w:pStyle w:val="Encabezado"/>
              <w:tabs>
                <w:tab w:val="clear" w:pos="4252"/>
              </w:tabs>
              <w:ind w:left="1119" w:right="51" w:hanging="1134"/>
              <w:jc w:val="both"/>
              <w:rPr>
                <w:rFonts w:ascii="Arial" w:hAnsi="Arial" w:cs="Arial"/>
                <w:b/>
                <w:iCs/>
                <w:caps/>
                <w:sz w:val="26"/>
                <w:szCs w:val="26"/>
              </w:rPr>
            </w:pPr>
            <w:r w:rsidRPr="006E349D">
              <w:rPr>
                <w:rFonts w:ascii="Arial" w:hAnsi="Arial" w:cs="Arial"/>
                <w:b/>
                <w:iCs/>
                <w:caps/>
                <w:sz w:val="26"/>
                <w:szCs w:val="26"/>
              </w:rPr>
              <w:t xml:space="preserve">               ponente:</w:t>
            </w:r>
            <w:r w:rsidR="00195B00">
              <w:rPr>
                <w:rFonts w:ascii="Arial" w:hAnsi="Arial" w:cs="Arial"/>
                <w:b/>
                <w:iCs/>
                <w:caps/>
                <w:sz w:val="26"/>
                <w:szCs w:val="26"/>
              </w:rPr>
              <w:t xml:space="preserve"> MAGISTRADa maría eugenia villanueva abraján</w:t>
            </w:r>
          </w:p>
        </w:tc>
      </w:tr>
      <w:tr w:rsidR="0086324C" w:rsidRPr="006E349D" w:rsidTr="00B952EF">
        <w:tc>
          <w:tcPr>
            <w:tcW w:w="2356" w:type="dxa"/>
          </w:tcPr>
          <w:p w:rsidR="0086324C" w:rsidRPr="006E349D" w:rsidRDefault="0086324C" w:rsidP="00B952EF">
            <w:pPr>
              <w:rPr>
                <w:rFonts w:ascii="Arial" w:hAnsi="Arial" w:cs="Arial"/>
                <w:b/>
                <w:sz w:val="26"/>
                <w:szCs w:val="26"/>
              </w:rPr>
            </w:pPr>
          </w:p>
        </w:tc>
        <w:tc>
          <w:tcPr>
            <w:tcW w:w="6859" w:type="dxa"/>
          </w:tcPr>
          <w:p w:rsidR="0086324C" w:rsidRPr="006E349D" w:rsidRDefault="0086324C" w:rsidP="00B952EF">
            <w:pPr>
              <w:tabs>
                <w:tab w:val="left" w:pos="3103"/>
              </w:tabs>
              <w:ind w:left="2961" w:hanging="2961"/>
              <w:jc w:val="both"/>
              <w:rPr>
                <w:rFonts w:ascii="Arial" w:hAnsi="Arial" w:cs="Arial"/>
                <w:b/>
                <w:iCs/>
                <w:caps/>
                <w:sz w:val="26"/>
                <w:szCs w:val="26"/>
              </w:rPr>
            </w:pPr>
            <w:r w:rsidRPr="006E349D">
              <w:rPr>
                <w:rFonts w:ascii="Arial" w:hAnsi="Arial" w:cs="Arial"/>
                <w:b/>
                <w:i/>
                <w:iCs/>
                <w:caps/>
                <w:sz w:val="26"/>
                <w:szCs w:val="26"/>
              </w:rPr>
              <w:t xml:space="preserve">                                   </w:t>
            </w:r>
          </w:p>
        </w:tc>
      </w:tr>
      <w:tr w:rsidR="0086324C" w:rsidRPr="006E349D" w:rsidTr="00B952EF">
        <w:tc>
          <w:tcPr>
            <w:tcW w:w="2356" w:type="dxa"/>
          </w:tcPr>
          <w:p w:rsidR="0086324C" w:rsidRPr="006E349D" w:rsidRDefault="0086324C" w:rsidP="00B952EF">
            <w:pPr>
              <w:rPr>
                <w:rFonts w:ascii="Arial" w:hAnsi="Arial" w:cs="Arial"/>
                <w:b/>
                <w:sz w:val="26"/>
                <w:szCs w:val="26"/>
              </w:rPr>
            </w:pPr>
          </w:p>
        </w:tc>
        <w:tc>
          <w:tcPr>
            <w:tcW w:w="6859" w:type="dxa"/>
          </w:tcPr>
          <w:p w:rsidR="0086324C" w:rsidRPr="006E349D" w:rsidRDefault="0086324C" w:rsidP="00B952EF">
            <w:pPr>
              <w:tabs>
                <w:tab w:val="left" w:pos="3103"/>
              </w:tabs>
              <w:ind w:left="2961" w:hanging="2961"/>
              <w:jc w:val="both"/>
              <w:rPr>
                <w:rFonts w:ascii="Arial" w:hAnsi="Arial" w:cs="Arial"/>
                <w:b/>
                <w:i/>
                <w:iCs/>
                <w:caps/>
                <w:sz w:val="26"/>
                <w:szCs w:val="26"/>
              </w:rPr>
            </w:pPr>
          </w:p>
        </w:tc>
      </w:tr>
    </w:tbl>
    <w:p w:rsidR="00192AE8" w:rsidRDefault="0086324C" w:rsidP="0086324C">
      <w:pPr>
        <w:spacing w:line="360" w:lineRule="auto"/>
        <w:jc w:val="both"/>
        <w:rPr>
          <w:rFonts w:ascii="Arial" w:eastAsia="Calibri" w:hAnsi="Arial" w:cs="Arial"/>
          <w:b/>
          <w:sz w:val="26"/>
          <w:szCs w:val="26"/>
        </w:rPr>
      </w:pPr>
      <w:r w:rsidRPr="00372D3D">
        <w:rPr>
          <w:rFonts w:ascii="Arial" w:eastAsia="Calibri" w:hAnsi="Arial" w:cs="Arial"/>
          <w:b/>
          <w:sz w:val="26"/>
          <w:szCs w:val="26"/>
        </w:rPr>
        <w:t xml:space="preserve">OAXACA DE JUÁREZ, OAXACA A </w:t>
      </w:r>
      <w:r w:rsidR="003225DC">
        <w:rPr>
          <w:rFonts w:ascii="Arial" w:eastAsia="Calibri" w:hAnsi="Arial" w:cs="Arial"/>
          <w:b/>
          <w:sz w:val="26"/>
          <w:szCs w:val="26"/>
        </w:rPr>
        <w:t>11 ONCE DE ENERO</w:t>
      </w:r>
      <w:r w:rsidR="00A71EA4">
        <w:rPr>
          <w:rFonts w:ascii="Arial" w:eastAsia="Calibri" w:hAnsi="Arial" w:cs="Arial"/>
          <w:b/>
          <w:sz w:val="26"/>
          <w:szCs w:val="26"/>
        </w:rPr>
        <w:t xml:space="preserve"> </w:t>
      </w:r>
      <w:r w:rsidR="003225DC">
        <w:rPr>
          <w:rFonts w:ascii="Arial" w:eastAsia="Calibri" w:hAnsi="Arial" w:cs="Arial"/>
          <w:b/>
          <w:sz w:val="26"/>
          <w:szCs w:val="26"/>
        </w:rPr>
        <w:t>DE 2018</w:t>
      </w:r>
      <w:r w:rsidRPr="00372D3D">
        <w:rPr>
          <w:rFonts w:ascii="Arial" w:eastAsia="Calibri" w:hAnsi="Arial" w:cs="Arial"/>
          <w:b/>
          <w:sz w:val="26"/>
          <w:szCs w:val="26"/>
        </w:rPr>
        <w:t xml:space="preserve"> DOS MIL </w:t>
      </w:r>
      <w:r w:rsidR="00406EB1">
        <w:rPr>
          <w:rFonts w:ascii="Arial" w:eastAsia="Calibri" w:hAnsi="Arial" w:cs="Arial"/>
          <w:b/>
          <w:sz w:val="26"/>
          <w:szCs w:val="26"/>
        </w:rPr>
        <w:t>DIECI</w:t>
      </w:r>
      <w:r w:rsidR="003225DC">
        <w:rPr>
          <w:rFonts w:ascii="Arial" w:eastAsia="Calibri" w:hAnsi="Arial" w:cs="Arial"/>
          <w:b/>
          <w:sz w:val="26"/>
          <w:szCs w:val="26"/>
        </w:rPr>
        <w:t>OCHO</w:t>
      </w:r>
      <w:r w:rsidR="00192AE8">
        <w:rPr>
          <w:rFonts w:ascii="Arial" w:eastAsia="Calibri" w:hAnsi="Arial" w:cs="Arial"/>
          <w:b/>
          <w:sz w:val="26"/>
          <w:szCs w:val="26"/>
        </w:rPr>
        <w:t>.</w:t>
      </w:r>
    </w:p>
    <w:p w:rsidR="0062757D" w:rsidRDefault="0062757D" w:rsidP="0086324C">
      <w:pPr>
        <w:spacing w:line="360" w:lineRule="auto"/>
        <w:jc w:val="both"/>
        <w:rPr>
          <w:rFonts w:ascii="Arial" w:eastAsia="Calibri" w:hAnsi="Arial" w:cs="Arial"/>
          <w:b/>
          <w:sz w:val="26"/>
          <w:szCs w:val="26"/>
        </w:rPr>
      </w:pPr>
    </w:p>
    <w:p w:rsidR="0086324C" w:rsidRPr="007310EB" w:rsidRDefault="0086324C" w:rsidP="0086324C">
      <w:pPr>
        <w:spacing w:line="360" w:lineRule="auto"/>
        <w:ind w:firstLine="708"/>
        <w:jc w:val="both"/>
        <w:rPr>
          <w:rFonts w:ascii="Arial" w:eastAsia="Calibri" w:hAnsi="Arial" w:cs="Arial"/>
          <w:b/>
          <w:sz w:val="26"/>
          <w:szCs w:val="26"/>
        </w:rPr>
      </w:pPr>
      <w:r w:rsidRPr="00372D3D">
        <w:rPr>
          <w:rFonts w:ascii="Arial" w:eastAsia="Calibri" w:hAnsi="Arial" w:cs="Arial"/>
          <w:sz w:val="26"/>
          <w:szCs w:val="26"/>
        </w:rPr>
        <w:t xml:space="preserve">Por recibido el Cuaderno de Revisión </w:t>
      </w:r>
      <w:r w:rsidR="00244927">
        <w:rPr>
          <w:rFonts w:ascii="Arial" w:eastAsia="Calibri" w:hAnsi="Arial" w:cs="Arial"/>
          <w:b/>
          <w:sz w:val="26"/>
          <w:szCs w:val="26"/>
        </w:rPr>
        <w:t>0</w:t>
      </w:r>
      <w:r w:rsidR="00075944">
        <w:rPr>
          <w:rFonts w:ascii="Arial" w:eastAsia="Calibri" w:hAnsi="Arial" w:cs="Arial"/>
          <w:b/>
          <w:sz w:val="26"/>
          <w:szCs w:val="26"/>
        </w:rPr>
        <w:t>558</w:t>
      </w:r>
      <w:r>
        <w:rPr>
          <w:rFonts w:ascii="Arial" w:eastAsia="Calibri" w:hAnsi="Arial" w:cs="Arial"/>
          <w:b/>
          <w:sz w:val="26"/>
          <w:szCs w:val="26"/>
        </w:rPr>
        <w:t>/201</w:t>
      </w:r>
      <w:r w:rsidR="00855755">
        <w:rPr>
          <w:rFonts w:ascii="Arial" w:eastAsia="Calibri" w:hAnsi="Arial" w:cs="Arial"/>
          <w:b/>
          <w:sz w:val="26"/>
          <w:szCs w:val="26"/>
        </w:rPr>
        <w:t>7</w:t>
      </w:r>
      <w:r w:rsidRPr="00372D3D">
        <w:rPr>
          <w:rFonts w:ascii="Arial" w:eastAsia="Calibri" w:hAnsi="Arial" w:cs="Arial"/>
          <w:sz w:val="26"/>
          <w:szCs w:val="26"/>
        </w:rPr>
        <w:t xml:space="preserve">, que remite la Secretaría </w:t>
      </w:r>
      <w:r w:rsidRPr="00821CBD">
        <w:rPr>
          <w:rFonts w:ascii="Arial" w:eastAsia="Calibri" w:hAnsi="Arial" w:cs="Arial"/>
          <w:sz w:val="26"/>
          <w:szCs w:val="26"/>
        </w:rPr>
        <w:t>General de Acuerdos, con motivo del recurso de revisión interpuesto por</w:t>
      </w:r>
      <w:r w:rsidR="00244927">
        <w:rPr>
          <w:rFonts w:ascii="Arial" w:eastAsia="Calibri" w:hAnsi="Arial" w:cs="Arial"/>
          <w:b/>
          <w:sz w:val="26"/>
          <w:szCs w:val="26"/>
        </w:rPr>
        <w:t xml:space="preserve"> </w:t>
      </w:r>
      <w:r w:rsidR="00994BF1">
        <w:rPr>
          <w:rFonts w:ascii="Arial" w:eastAsia="Calibri" w:hAnsi="Arial" w:cs="Arial"/>
          <w:b/>
          <w:sz w:val="26"/>
          <w:szCs w:val="26"/>
        </w:rPr>
        <w:t>**********</w:t>
      </w:r>
      <w:r w:rsidRPr="00821CBD">
        <w:rPr>
          <w:rFonts w:ascii="Arial" w:eastAsia="Calibri" w:hAnsi="Arial" w:cs="Arial"/>
          <w:b/>
          <w:sz w:val="26"/>
          <w:szCs w:val="26"/>
        </w:rPr>
        <w:t xml:space="preserve">, </w:t>
      </w:r>
      <w:r>
        <w:rPr>
          <w:rFonts w:ascii="Arial" w:eastAsia="Calibri" w:hAnsi="Arial" w:cs="Arial"/>
          <w:sz w:val="26"/>
          <w:szCs w:val="26"/>
        </w:rPr>
        <w:t>en contra del</w:t>
      </w:r>
      <w:r w:rsidR="002E4189">
        <w:rPr>
          <w:rFonts w:ascii="Arial" w:eastAsia="Calibri" w:hAnsi="Arial" w:cs="Arial"/>
          <w:sz w:val="26"/>
          <w:szCs w:val="26"/>
        </w:rPr>
        <w:t xml:space="preserve"> acuerdo de </w:t>
      </w:r>
      <w:r w:rsidR="00075944">
        <w:rPr>
          <w:rFonts w:ascii="Arial" w:eastAsia="Calibri" w:hAnsi="Arial" w:cs="Arial"/>
          <w:sz w:val="26"/>
          <w:szCs w:val="26"/>
        </w:rPr>
        <w:t>14 catorce de julio de 2017 dos mil diecisiete</w:t>
      </w:r>
      <w:r>
        <w:rPr>
          <w:rFonts w:ascii="Arial" w:eastAsia="Calibri" w:hAnsi="Arial" w:cs="Arial"/>
          <w:sz w:val="26"/>
          <w:szCs w:val="26"/>
        </w:rPr>
        <w:t>, dictado en el expediente</w:t>
      </w:r>
      <w:r w:rsidR="00244927">
        <w:rPr>
          <w:rFonts w:ascii="Arial" w:eastAsia="Calibri" w:hAnsi="Arial" w:cs="Arial"/>
          <w:b/>
          <w:sz w:val="26"/>
          <w:szCs w:val="26"/>
        </w:rPr>
        <w:t xml:space="preserve"> 0</w:t>
      </w:r>
      <w:r w:rsidR="00075944">
        <w:rPr>
          <w:rFonts w:ascii="Arial" w:eastAsia="Calibri" w:hAnsi="Arial" w:cs="Arial"/>
          <w:b/>
          <w:sz w:val="26"/>
          <w:szCs w:val="26"/>
        </w:rPr>
        <w:t>368</w:t>
      </w:r>
      <w:r w:rsidR="00244927">
        <w:rPr>
          <w:rFonts w:ascii="Arial" w:eastAsia="Calibri" w:hAnsi="Arial" w:cs="Arial"/>
          <w:b/>
          <w:sz w:val="26"/>
          <w:szCs w:val="26"/>
        </w:rPr>
        <w:t>/2016</w:t>
      </w:r>
      <w:r>
        <w:rPr>
          <w:rFonts w:ascii="Arial" w:hAnsi="Arial" w:cs="Arial"/>
          <w:sz w:val="26"/>
          <w:szCs w:val="26"/>
        </w:rPr>
        <w:t xml:space="preserve">, del índice de la </w:t>
      </w:r>
      <w:r w:rsidR="009D5B01">
        <w:rPr>
          <w:rFonts w:ascii="Arial" w:hAnsi="Arial" w:cs="Arial"/>
          <w:sz w:val="26"/>
          <w:szCs w:val="26"/>
        </w:rPr>
        <w:t xml:space="preserve">Segunda </w:t>
      </w:r>
      <w:r>
        <w:rPr>
          <w:rFonts w:ascii="Arial" w:hAnsi="Arial" w:cs="Arial"/>
          <w:sz w:val="26"/>
          <w:szCs w:val="26"/>
        </w:rPr>
        <w:t xml:space="preserve">Sala Unitaria de Primera Instancia de este Tribunal, promovido por </w:t>
      </w:r>
      <w:r w:rsidR="00023BD3">
        <w:rPr>
          <w:rFonts w:ascii="Arial" w:eastAsia="Calibri" w:hAnsi="Arial" w:cs="Arial"/>
          <w:b/>
          <w:sz w:val="26"/>
          <w:szCs w:val="26"/>
        </w:rPr>
        <w:t>la</w:t>
      </w:r>
      <w:r w:rsidR="00075944">
        <w:rPr>
          <w:rFonts w:ascii="Arial" w:eastAsia="Calibri" w:hAnsi="Arial" w:cs="Arial"/>
          <w:b/>
          <w:sz w:val="26"/>
          <w:szCs w:val="26"/>
        </w:rPr>
        <w:t xml:space="preserve"> RECURRENTE</w:t>
      </w:r>
      <w:r>
        <w:rPr>
          <w:rFonts w:ascii="Arial" w:hAnsi="Arial" w:cs="Arial"/>
          <w:b/>
          <w:sz w:val="26"/>
          <w:szCs w:val="26"/>
        </w:rPr>
        <w:t xml:space="preserve">, </w:t>
      </w:r>
      <w:r>
        <w:rPr>
          <w:rFonts w:ascii="Arial" w:hAnsi="Arial" w:cs="Arial"/>
          <w:sz w:val="26"/>
          <w:szCs w:val="26"/>
        </w:rPr>
        <w:t>en contra de</w:t>
      </w:r>
      <w:r w:rsidR="00075944">
        <w:rPr>
          <w:rFonts w:ascii="Arial" w:hAnsi="Arial" w:cs="Arial"/>
          <w:sz w:val="26"/>
          <w:szCs w:val="26"/>
        </w:rPr>
        <w:t xml:space="preserve"> la </w:t>
      </w:r>
      <w:r w:rsidR="00075944" w:rsidRPr="00075944">
        <w:rPr>
          <w:rFonts w:ascii="Arial" w:hAnsi="Arial" w:cs="Arial"/>
          <w:b/>
          <w:sz w:val="26"/>
          <w:szCs w:val="26"/>
        </w:rPr>
        <w:t>DIRECTORA DE CONCESIONES DE LA SECRETARÍA DE VIALIDAD Y TRANSPORTE DEL ESTADO</w:t>
      </w:r>
      <w:r w:rsidRPr="00372D3D">
        <w:rPr>
          <w:rFonts w:ascii="Arial" w:eastAsia="Calibri" w:hAnsi="Arial" w:cs="Arial"/>
          <w:b/>
          <w:sz w:val="26"/>
          <w:szCs w:val="26"/>
        </w:rPr>
        <w:t xml:space="preserve">, </w:t>
      </w:r>
      <w:r w:rsidRPr="00372D3D">
        <w:rPr>
          <w:rFonts w:ascii="Arial" w:eastAsia="Calibri" w:hAnsi="Arial" w:cs="Arial"/>
          <w:sz w:val="26"/>
          <w:szCs w:val="26"/>
        </w:rPr>
        <w:t xml:space="preserve">por lo que con fundamento en los artículos 207 y 208, de la Ley de Justicia Administrativa para el Estado de Oaxaca, </w:t>
      </w:r>
      <w:r w:rsidR="0062757D">
        <w:rPr>
          <w:rFonts w:ascii="Arial" w:eastAsia="Calibri" w:hAnsi="Arial" w:cs="Arial"/>
          <w:sz w:val="26"/>
          <w:szCs w:val="26"/>
        </w:rPr>
        <w:t xml:space="preserve">vigente hasta el 20 veinte de octubre de 2017 dos mil diecisiete, </w:t>
      </w:r>
      <w:r w:rsidRPr="00372D3D">
        <w:rPr>
          <w:rFonts w:ascii="Arial" w:eastAsia="Calibri" w:hAnsi="Arial" w:cs="Arial"/>
          <w:sz w:val="26"/>
          <w:szCs w:val="26"/>
        </w:rPr>
        <w:t>se admite. En consecuencia, se procede a dictar resolución en los siguientes términos:</w:t>
      </w:r>
    </w:p>
    <w:p w:rsidR="0086324C" w:rsidRPr="00372D3D" w:rsidRDefault="0086324C" w:rsidP="0086324C">
      <w:pPr>
        <w:spacing w:line="360" w:lineRule="auto"/>
        <w:jc w:val="center"/>
        <w:rPr>
          <w:rFonts w:ascii="Arial" w:eastAsia="Calibri" w:hAnsi="Arial" w:cs="Arial"/>
          <w:b/>
          <w:bCs/>
          <w:sz w:val="26"/>
          <w:szCs w:val="26"/>
        </w:rPr>
      </w:pPr>
      <w:r w:rsidRPr="00372D3D">
        <w:rPr>
          <w:rFonts w:ascii="Arial" w:eastAsia="Calibri" w:hAnsi="Arial" w:cs="Arial"/>
          <w:b/>
          <w:bCs/>
          <w:sz w:val="26"/>
          <w:szCs w:val="26"/>
        </w:rPr>
        <w:t>R E S U L T A N D O</w:t>
      </w:r>
      <w:r w:rsidR="002E4189">
        <w:rPr>
          <w:rFonts w:ascii="Arial" w:eastAsia="Calibri" w:hAnsi="Arial" w:cs="Arial"/>
          <w:b/>
          <w:bCs/>
          <w:sz w:val="26"/>
          <w:szCs w:val="26"/>
        </w:rPr>
        <w:t>:</w:t>
      </w:r>
    </w:p>
    <w:p w:rsidR="0086324C" w:rsidRPr="00372D3D" w:rsidRDefault="0086324C" w:rsidP="0086324C">
      <w:pPr>
        <w:spacing w:line="360" w:lineRule="auto"/>
        <w:ind w:firstLine="709"/>
        <w:jc w:val="both"/>
        <w:rPr>
          <w:rFonts w:ascii="Arial" w:eastAsia="Calibri" w:hAnsi="Arial" w:cs="Arial"/>
          <w:sz w:val="26"/>
          <w:szCs w:val="26"/>
        </w:rPr>
      </w:pPr>
      <w:r w:rsidRPr="00372D3D">
        <w:rPr>
          <w:rFonts w:ascii="Arial" w:eastAsia="Calibri" w:hAnsi="Arial" w:cs="Arial"/>
          <w:b/>
          <w:bCs/>
          <w:sz w:val="26"/>
          <w:szCs w:val="26"/>
        </w:rPr>
        <w:t xml:space="preserve">PRIMERO. </w:t>
      </w:r>
      <w:r w:rsidR="008E773C">
        <w:rPr>
          <w:rFonts w:ascii="Arial" w:eastAsia="Calibri" w:hAnsi="Arial" w:cs="Arial"/>
          <w:sz w:val="26"/>
          <w:szCs w:val="26"/>
        </w:rPr>
        <w:t xml:space="preserve">Inconforme con el acuerdo de </w:t>
      </w:r>
      <w:r w:rsidR="00075944">
        <w:rPr>
          <w:rFonts w:ascii="Arial" w:eastAsia="Calibri" w:hAnsi="Arial" w:cs="Arial"/>
          <w:sz w:val="26"/>
          <w:szCs w:val="26"/>
        </w:rPr>
        <w:t>14 catorce de julio de 2017 dos mil diecisiete</w:t>
      </w:r>
      <w:r w:rsidR="00036E58">
        <w:rPr>
          <w:rFonts w:ascii="Arial" w:eastAsia="Calibri" w:hAnsi="Arial" w:cs="Arial"/>
          <w:sz w:val="26"/>
          <w:szCs w:val="26"/>
        </w:rPr>
        <w:t xml:space="preserve">, dictado por </w:t>
      </w:r>
      <w:r w:rsidR="006F0323">
        <w:rPr>
          <w:rFonts w:ascii="Arial" w:eastAsia="Calibri" w:hAnsi="Arial" w:cs="Arial"/>
          <w:sz w:val="26"/>
          <w:szCs w:val="26"/>
        </w:rPr>
        <w:t>la</w:t>
      </w:r>
      <w:r w:rsidR="00036E58">
        <w:rPr>
          <w:rFonts w:ascii="Arial" w:eastAsia="Calibri" w:hAnsi="Arial" w:cs="Arial"/>
          <w:sz w:val="26"/>
          <w:szCs w:val="26"/>
        </w:rPr>
        <w:t xml:space="preserve"> </w:t>
      </w:r>
      <w:r w:rsidR="006F0323">
        <w:rPr>
          <w:rFonts w:ascii="Arial" w:eastAsia="Calibri" w:hAnsi="Arial" w:cs="Arial"/>
          <w:sz w:val="26"/>
          <w:szCs w:val="26"/>
        </w:rPr>
        <w:t xml:space="preserve">Segunda </w:t>
      </w:r>
      <w:r w:rsidR="00036E58">
        <w:rPr>
          <w:rFonts w:ascii="Arial" w:eastAsia="Calibri" w:hAnsi="Arial" w:cs="Arial"/>
          <w:sz w:val="26"/>
          <w:szCs w:val="26"/>
        </w:rPr>
        <w:t>Sala Unitaria de Primera Instancia del Tribunal de lo Contencioso Administrativo y de Cuentas del Poder Judicial del Estado de Oaxaca</w:t>
      </w:r>
      <w:r>
        <w:rPr>
          <w:rFonts w:ascii="Arial" w:eastAsia="Calibri" w:hAnsi="Arial" w:cs="Arial"/>
          <w:sz w:val="26"/>
          <w:szCs w:val="26"/>
        </w:rPr>
        <w:t xml:space="preserve">, </w:t>
      </w:r>
      <w:r w:rsidR="00994BF1">
        <w:rPr>
          <w:rFonts w:ascii="Arial" w:eastAsia="Calibri" w:hAnsi="Arial" w:cs="Arial"/>
          <w:b/>
          <w:sz w:val="26"/>
          <w:szCs w:val="26"/>
        </w:rPr>
        <w:t>**********</w:t>
      </w:r>
      <w:r w:rsidRPr="00372D3D">
        <w:rPr>
          <w:rFonts w:ascii="Arial" w:eastAsia="Calibri" w:hAnsi="Arial" w:cs="Arial"/>
          <w:sz w:val="26"/>
          <w:szCs w:val="26"/>
        </w:rPr>
        <w:t>,</w:t>
      </w:r>
      <w:r w:rsidRPr="00372D3D">
        <w:rPr>
          <w:rFonts w:ascii="Arial" w:eastAsia="Calibri" w:hAnsi="Arial" w:cs="Arial"/>
          <w:b/>
          <w:sz w:val="26"/>
          <w:szCs w:val="26"/>
        </w:rPr>
        <w:t xml:space="preserve"> </w:t>
      </w:r>
      <w:r>
        <w:rPr>
          <w:rFonts w:ascii="Arial" w:eastAsia="Calibri" w:hAnsi="Arial" w:cs="Arial"/>
          <w:sz w:val="26"/>
          <w:szCs w:val="26"/>
        </w:rPr>
        <w:t>interpu</w:t>
      </w:r>
      <w:r w:rsidRPr="00372D3D">
        <w:rPr>
          <w:rFonts w:ascii="Arial" w:eastAsia="Calibri" w:hAnsi="Arial" w:cs="Arial"/>
          <w:sz w:val="26"/>
          <w:szCs w:val="26"/>
        </w:rPr>
        <w:t>so en</w:t>
      </w:r>
      <w:r>
        <w:rPr>
          <w:rFonts w:ascii="Arial" w:eastAsia="Calibri" w:hAnsi="Arial" w:cs="Arial"/>
          <w:sz w:val="26"/>
          <w:szCs w:val="26"/>
        </w:rPr>
        <w:t xml:space="preserve"> su contra recurso de revisión. </w:t>
      </w:r>
    </w:p>
    <w:p w:rsidR="0086324C" w:rsidRPr="00C06502" w:rsidRDefault="0086324C" w:rsidP="0086324C">
      <w:pPr>
        <w:spacing w:line="360" w:lineRule="auto"/>
        <w:jc w:val="both"/>
        <w:rPr>
          <w:rFonts w:ascii="Arial" w:eastAsia="Calibri" w:hAnsi="Arial" w:cs="Arial"/>
          <w:bCs/>
          <w:sz w:val="26"/>
          <w:szCs w:val="26"/>
        </w:rPr>
      </w:pPr>
      <w:r>
        <w:rPr>
          <w:rFonts w:ascii="Arial" w:eastAsia="Calibri" w:hAnsi="Arial" w:cs="Arial"/>
          <w:b/>
          <w:bCs/>
          <w:sz w:val="26"/>
          <w:szCs w:val="26"/>
        </w:rPr>
        <w:tab/>
        <w:t xml:space="preserve">SEGUNDO. </w:t>
      </w:r>
      <w:r>
        <w:rPr>
          <w:rFonts w:ascii="Arial" w:eastAsia="Calibri" w:hAnsi="Arial" w:cs="Arial"/>
          <w:bCs/>
          <w:sz w:val="26"/>
          <w:szCs w:val="26"/>
        </w:rPr>
        <w:t xml:space="preserve">La parte relativa del acuerdo recurrido es la siguiente: </w:t>
      </w:r>
      <w:r>
        <w:rPr>
          <w:rFonts w:ascii="Arial" w:eastAsia="Calibri" w:hAnsi="Arial" w:cs="Arial"/>
          <w:bCs/>
          <w:i/>
          <w:sz w:val="26"/>
          <w:szCs w:val="26"/>
        </w:rPr>
        <w:t xml:space="preserve"> </w:t>
      </w:r>
    </w:p>
    <w:p w:rsidR="00075944" w:rsidRDefault="0086324C" w:rsidP="003E5AE2">
      <w:pPr>
        <w:widowControl w:val="0"/>
        <w:tabs>
          <w:tab w:val="left" w:pos="7938"/>
        </w:tabs>
        <w:spacing w:before="240" w:line="276" w:lineRule="auto"/>
        <w:ind w:left="851" w:right="616"/>
        <w:jc w:val="both"/>
        <w:rPr>
          <w:rFonts w:ascii="Arial" w:eastAsia="Calibri" w:hAnsi="Arial" w:cs="Arial"/>
          <w:bCs/>
          <w:i/>
        </w:rPr>
      </w:pPr>
      <w:r w:rsidRPr="00192AE8">
        <w:rPr>
          <w:rFonts w:ascii="Arial" w:eastAsia="Calibri" w:hAnsi="Arial" w:cs="Arial"/>
          <w:bCs/>
          <w:i/>
        </w:rPr>
        <w:t>“</w:t>
      </w:r>
      <w:r w:rsidR="00075944">
        <w:rPr>
          <w:rFonts w:ascii="Arial" w:eastAsia="Calibri" w:hAnsi="Arial" w:cs="Arial"/>
          <w:bCs/>
          <w:i/>
        </w:rPr>
        <w:t>La ejecutoria de 13 trece de diciembre de 2013 dos mil trece, (folio 32 a 34)</w:t>
      </w:r>
      <w:r w:rsidR="006D0E53">
        <w:rPr>
          <w:rFonts w:ascii="Arial" w:eastAsia="Calibri" w:hAnsi="Arial" w:cs="Arial"/>
          <w:bCs/>
          <w:i/>
        </w:rPr>
        <w:t>, determinó declarar la nulidad del oficio SEVITRA/DC/DRC/861/2013, de 21 veintiuno de mayo de 2013 dos mil trece, para el EFECTO de que la Directora de Concesiones de la Secretaría de Vialidad y Transporte, dicte otro en el que funde debidamente su competencia. - - - - - - - - - - - - - - - - - - - - - - - - - - -</w:t>
      </w:r>
    </w:p>
    <w:p w:rsidR="006D0E53" w:rsidRDefault="006D0E53" w:rsidP="006D0E53">
      <w:pPr>
        <w:widowControl w:val="0"/>
        <w:tabs>
          <w:tab w:val="left" w:pos="7938"/>
        </w:tabs>
        <w:spacing w:before="240" w:line="276" w:lineRule="auto"/>
        <w:ind w:left="851" w:right="616" w:firstLine="425"/>
        <w:jc w:val="both"/>
        <w:rPr>
          <w:rFonts w:ascii="Arial" w:eastAsia="Calibri" w:hAnsi="Arial" w:cs="Arial"/>
          <w:bCs/>
          <w:i/>
        </w:rPr>
      </w:pPr>
      <w:r>
        <w:rPr>
          <w:rFonts w:ascii="Arial" w:eastAsia="Calibri" w:hAnsi="Arial" w:cs="Arial"/>
          <w:bCs/>
          <w:i/>
        </w:rPr>
        <w:t xml:space="preserve">Ahora , respecto al cumplimiento de la autoridad Director de </w:t>
      </w:r>
      <w:r>
        <w:rPr>
          <w:rFonts w:ascii="Arial" w:eastAsia="Calibri" w:hAnsi="Arial" w:cs="Arial"/>
          <w:bCs/>
          <w:i/>
        </w:rPr>
        <w:lastRenderedPageBreak/>
        <w:t xml:space="preserve">Concesiones de la Secretaría de Vialidad y Transporte, se advierte de la copia certificada que exhibe del acuerdo de 29 veintinueve de agosto de 2016 dos mil dieciséis, que atendiendo al principio de legalidad establecido en el artículo 2 de la Constitución Política del Estado Libre y Soberano de Oaxaca, esa autoridad se declaró incompetente para el conocimiento de la petición formulada por la parte actora y por tanto, con  fundamento en el artículo 40 fracción IV de la Ley Orgánica del Poder Ejecutivo del Estado de Oaxaca y acuerdo delegatorio publicado en el Periódico Oficial del Gobierno de Estado el 4 cuatro de septiembre de 2012 dos mil doce, expedido por el Gobernador Constitucional del Estado de Oaxaca, turnó el escrito de 28 veintiocho de septiembre de 2012 dos mil doce y recibido el 11 once de octubre de 2012 dos mil doce, suscrito por la parte actora, al Secretario de Vialidad y Transporte, para que determinara respecto de la solicitud de renovación del acuerdo de concesión 16939, para prestar el servicio público de alquiler taxi, en la población de Rancho Reyes, </w:t>
      </w:r>
      <w:proofErr w:type="spellStart"/>
      <w:r>
        <w:rPr>
          <w:rFonts w:ascii="Arial" w:eastAsia="Calibri" w:hAnsi="Arial" w:cs="Arial"/>
          <w:bCs/>
          <w:i/>
        </w:rPr>
        <w:t>Huajuapan</w:t>
      </w:r>
      <w:proofErr w:type="spellEnd"/>
      <w:r>
        <w:rPr>
          <w:rFonts w:ascii="Arial" w:eastAsia="Calibri" w:hAnsi="Arial" w:cs="Arial"/>
          <w:bCs/>
          <w:i/>
        </w:rPr>
        <w:t xml:space="preserve"> de León, Oaxaca. - - - - - - - - - - - - - - - - - - - - - </w:t>
      </w:r>
    </w:p>
    <w:p w:rsidR="006D0E53" w:rsidRDefault="006D0E53" w:rsidP="006D0E53">
      <w:pPr>
        <w:widowControl w:val="0"/>
        <w:tabs>
          <w:tab w:val="left" w:pos="7938"/>
        </w:tabs>
        <w:spacing w:before="240" w:line="276" w:lineRule="auto"/>
        <w:ind w:left="851" w:right="616" w:firstLine="425"/>
        <w:jc w:val="both"/>
        <w:rPr>
          <w:rFonts w:ascii="Arial" w:eastAsia="Calibri" w:hAnsi="Arial" w:cs="Arial"/>
          <w:bCs/>
          <w:i/>
        </w:rPr>
      </w:pPr>
      <w:r>
        <w:rPr>
          <w:rFonts w:ascii="Arial" w:eastAsia="Calibri" w:hAnsi="Arial" w:cs="Arial"/>
          <w:bCs/>
          <w:i/>
        </w:rPr>
        <w:t xml:space="preserve">Por otra parte, el </w:t>
      </w:r>
      <w:r w:rsidR="00B10C44">
        <w:rPr>
          <w:rFonts w:ascii="Arial" w:eastAsia="Calibri" w:hAnsi="Arial" w:cs="Arial"/>
          <w:bCs/>
          <w:i/>
        </w:rPr>
        <w:t xml:space="preserve">Secretario de Vialidad y </w:t>
      </w:r>
      <w:r w:rsidR="005A405C">
        <w:rPr>
          <w:rFonts w:ascii="Arial" w:eastAsia="Calibri" w:hAnsi="Arial" w:cs="Arial"/>
          <w:bCs/>
          <w:i/>
        </w:rPr>
        <w:t>Transporte</w:t>
      </w:r>
      <w:r>
        <w:rPr>
          <w:rFonts w:ascii="Arial" w:eastAsia="Calibri" w:hAnsi="Arial" w:cs="Arial"/>
          <w:bCs/>
          <w:i/>
        </w:rPr>
        <w:t xml:space="preserve"> mediante resolución de 19 diecinueve de abril de 2016 dos mil dieciséis, con fundamento en los artículos 40 fracciones I, II, III, IV; VII, IX, XXI, así como Tercero y Noveno Transitorio de la Ley Orgánica del Poder Ejecutivo del Estado de Oaxaca, 5,6,</w:t>
      </w:r>
      <w:r w:rsidR="00E02978">
        <w:rPr>
          <w:rFonts w:ascii="Arial" w:eastAsia="Calibri" w:hAnsi="Arial" w:cs="Arial"/>
          <w:bCs/>
          <w:i/>
        </w:rPr>
        <w:t xml:space="preserve"> </w:t>
      </w:r>
      <w:r>
        <w:rPr>
          <w:rFonts w:ascii="Arial" w:eastAsia="Calibri" w:hAnsi="Arial" w:cs="Arial"/>
          <w:bCs/>
          <w:i/>
        </w:rPr>
        <w:t>21, 26, 29, 35, 44</w:t>
      </w:r>
      <w:r w:rsidR="00E02978">
        <w:rPr>
          <w:rFonts w:ascii="Arial" w:eastAsia="Calibri" w:hAnsi="Arial" w:cs="Arial"/>
          <w:bCs/>
          <w:i/>
        </w:rPr>
        <w:t xml:space="preserve">, 66, 68, 78, 97 de la Ley de Transporte del Estado de Oaxaca, 95 bis de la Ley de Tránsito Reformada en el Estado, 8 de la Constitución Política de los Estados Unidos Mexicanos, 13 de la Constitución Política del Estado Libre y Soberano de Oaxaca y Acuerdo de 4 cuatro de septiembre de 2012 dos mil doce, mediante el cual el Gobernador Constitucional del Estado Libre y Soberano de Oaxaca, delega facultades al Secretario de Vialidad y Transporte para que en ejercicio de sus atribuciones ejecute las disposiciones señaladas en el artículo 95 BIS del Reglamento de la Ley de Tránsito Reformada del Estado de Oaxaca, determinó que no fue posible acordar favorablemente la petición del escrito de la parte actora, virtud a que no existe en el archivo de esta Secretaría de Vialidad y Transporte expediente de solicitud de concesión a nombre de la parte actora, en el que conste que ella hubiera instaurado procedimiento jurídico de otorgamiento de concesión para la población antes citada. - - - - - - </w:t>
      </w:r>
    </w:p>
    <w:p w:rsidR="00E02978" w:rsidRDefault="00A10AD2" w:rsidP="006D0E53">
      <w:pPr>
        <w:widowControl w:val="0"/>
        <w:tabs>
          <w:tab w:val="left" w:pos="7938"/>
        </w:tabs>
        <w:spacing w:before="240" w:line="276" w:lineRule="auto"/>
        <w:ind w:left="851" w:right="616" w:firstLine="425"/>
        <w:jc w:val="both"/>
        <w:rPr>
          <w:rFonts w:ascii="Arial" w:eastAsia="Calibri" w:hAnsi="Arial" w:cs="Arial"/>
          <w:bCs/>
          <w:i/>
        </w:rPr>
      </w:pPr>
      <w:r>
        <w:rPr>
          <w:noProof/>
        </w:rPr>
        <mc:AlternateContent>
          <mc:Choice Requires="wps">
            <w:drawing>
              <wp:anchor distT="0" distB="0" distL="114300" distR="114300" simplePos="0" relativeHeight="251659264" behindDoc="0" locked="0" layoutInCell="1" allowOverlap="1" wp14:anchorId="40D3BF56" wp14:editId="166022C8">
                <wp:simplePos x="0" y="0"/>
                <wp:positionH relativeFrom="column">
                  <wp:posOffset>5052060</wp:posOffset>
                </wp:positionH>
                <wp:positionV relativeFrom="paragraph">
                  <wp:posOffset>1483360</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10AD2" w:rsidRPr="00A6596B" w:rsidRDefault="00A10AD2" w:rsidP="00A10AD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397.8pt;margin-top:116.8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">
                <v:textbox>
                  <w:txbxContent>
                    <w:p w:rsidR="00A10AD2" w:rsidRPr="00A6596B" w:rsidRDefault="00A10AD2" w:rsidP="00A10AD2">
                      <w:pPr>
                        <w:rPr>
                          <w:sz w:val="16"/>
                          <w:szCs w:val="16"/>
                        </w:rPr>
                      </w:pPr>
                      <w:r>
                        <w:rPr>
                          <w:sz w:val="16"/>
                          <w:szCs w:val="16"/>
                        </w:rPr>
                        <w:t>Datos personales protegidos por el Art. 116 de la LGTAIP y el Art. 56 de la LTAIPEO</w:t>
                      </w:r>
                    </w:p>
                  </w:txbxContent>
                </v:textbox>
              </v:shape>
            </w:pict>
          </mc:Fallback>
        </mc:AlternateContent>
      </w:r>
      <w:r w:rsidR="00E02978">
        <w:rPr>
          <w:rFonts w:ascii="Arial" w:eastAsia="Calibri" w:hAnsi="Arial" w:cs="Arial"/>
          <w:bCs/>
          <w:i/>
        </w:rPr>
        <w:t>En tales consideraciones, se advierte que la autoridad demandada Director de Concesiones de la Secretaría de Vialidad y Transporte, se declaró incompetente y por tanto, turnó al Secretario de Vialidad y Transporte quien con fundamento en el Acuerdo de 4 cuatro de septiembre de 2012 dos mil doce, acuerdo mediante el cual el Gobernador Constitucional del Estado Libre y Soberano de Oaxaca, le delega facultades para que en ejercicio de sus atribuciones ejecute las disposiciones señaladas en el artículo 95 BIS del Reglament</w:t>
      </w:r>
      <w:r w:rsidR="00FD2C73">
        <w:rPr>
          <w:rFonts w:ascii="Arial" w:eastAsia="Calibri" w:hAnsi="Arial" w:cs="Arial"/>
          <w:bCs/>
          <w:i/>
        </w:rPr>
        <w:t>o de la Ley de Tránsito Reformada del Estado de Oaxaca, dio contestación a la petición de la parte actora</w:t>
      </w:r>
      <w:r w:rsidR="004361DD">
        <w:rPr>
          <w:rFonts w:ascii="Arial" w:eastAsia="Calibri" w:hAnsi="Arial" w:cs="Arial"/>
          <w:bCs/>
          <w:i/>
        </w:rPr>
        <w:t xml:space="preserve">, además de que el precepto 40 fracción (sic) de la Ley Orgánica del Poder Ejecutivo del Estado de Oaxaca, en su fracción IV faculta al aludido Secretario para conocer, iniciar e instruir los trámites para otorgar, cancelar, suspender, modificar, prorrogar, renovar (como es el caso) </w:t>
      </w:r>
      <w:r w:rsidR="00B10C44">
        <w:rPr>
          <w:rFonts w:ascii="Arial" w:eastAsia="Calibri" w:hAnsi="Arial" w:cs="Arial"/>
          <w:bCs/>
          <w:i/>
        </w:rPr>
        <w:t xml:space="preserve">y dar terminadas, según corresponda las concesiones, permisos y autorizaciones que otorgue el titular del Ejecutivo, en ese sentido se colige que al no contar con facultades expresas en la Ley, la autoridad demandada se declaró incompetente y virtud a que la Ejecutoria imprimió el EFECTO de que dicha autoridad dictara otro acto en el que fundara debidamente su competencia y quien dictó el otro acto, fue el Secretario de Vialidad y Transporte, quien como se </w:t>
      </w:r>
      <w:proofErr w:type="gramStart"/>
      <w:r w:rsidR="00B10C44">
        <w:rPr>
          <w:rFonts w:ascii="Arial" w:eastAsia="Calibri" w:hAnsi="Arial" w:cs="Arial"/>
          <w:bCs/>
          <w:i/>
        </w:rPr>
        <w:lastRenderedPageBreak/>
        <w:t>apuntó</w:t>
      </w:r>
      <w:proofErr w:type="gramEnd"/>
      <w:r w:rsidR="00B10C44">
        <w:rPr>
          <w:rFonts w:ascii="Arial" w:eastAsia="Calibri" w:hAnsi="Arial" w:cs="Arial"/>
          <w:bCs/>
          <w:i/>
        </w:rPr>
        <w:t xml:space="preserve"> cuenta con facultades expresas en la Ley, se concluye que la autoridad demandada cumplió con la Ejecutoria; en tal circunstancia, se tiene cumplida la sentencia dicta</w:t>
      </w:r>
      <w:r w:rsidR="000B1E7B">
        <w:rPr>
          <w:rFonts w:ascii="Arial" w:eastAsia="Calibri" w:hAnsi="Arial" w:cs="Arial"/>
          <w:bCs/>
          <w:i/>
        </w:rPr>
        <w:t>d</w:t>
      </w:r>
      <w:r w:rsidR="00B10C44">
        <w:rPr>
          <w:rFonts w:ascii="Arial" w:eastAsia="Calibri" w:hAnsi="Arial" w:cs="Arial"/>
          <w:bCs/>
          <w:i/>
        </w:rPr>
        <w:t xml:space="preserve">a en este juicio y con fundamento en el artículo 35 fracción VIII del Reglamento Interno del Tribunal de lo Contencioso Administrativo y de Cuentas </w:t>
      </w:r>
      <w:r w:rsidR="00B10C44" w:rsidRPr="00B10C44">
        <w:rPr>
          <w:rFonts w:ascii="Arial" w:eastAsia="Calibri" w:hAnsi="Arial" w:cs="Arial"/>
          <w:b/>
          <w:bCs/>
          <w:i/>
        </w:rPr>
        <w:t>se ordena dar de baja el presente expediente del libro de control de acuerdos y archivarlo como asunto concluido</w:t>
      </w:r>
      <w:r w:rsidR="00B10C44">
        <w:rPr>
          <w:rFonts w:ascii="Arial" w:eastAsia="Calibri" w:hAnsi="Arial" w:cs="Arial"/>
          <w:bCs/>
          <w:i/>
        </w:rPr>
        <w:t>.”</w:t>
      </w:r>
    </w:p>
    <w:p w:rsidR="006D0E53" w:rsidRDefault="006D0E53" w:rsidP="006D0E53">
      <w:pPr>
        <w:widowControl w:val="0"/>
        <w:tabs>
          <w:tab w:val="left" w:pos="7938"/>
        </w:tabs>
        <w:spacing w:before="240" w:line="276" w:lineRule="auto"/>
        <w:ind w:left="851" w:right="616"/>
        <w:jc w:val="both"/>
        <w:rPr>
          <w:rFonts w:ascii="Arial" w:eastAsia="Calibri" w:hAnsi="Arial" w:cs="Arial"/>
          <w:bCs/>
          <w:i/>
        </w:rPr>
      </w:pPr>
      <w:r>
        <w:rPr>
          <w:rFonts w:ascii="Arial" w:eastAsia="Calibri" w:hAnsi="Arial" w:cs="Arial"/>
          <w:bCs/>
          <w:i/>
        </w:rPr>
        <w:tab/>
      </w:r>
    </w:p>
    <w:p w:rsidR="0086324C" w:rsidRPr="00372D3D" w:rsidRDefault="0086324C" w:rsidP="0086324C">
      <w:pPr>
        <w:widowControl w:val="0"/>
        <w:tabs>
          <w:tab w:val="left" w:pos="2835"/>
          <w:tab w:val="left" w:pos="7938"/>
        </w:tabs>
        <w:spacing w:before="240" w:line="360" w:lineRule="auto"/>
        <w:ind w:right="17"/>
        <w:jc w:val="center"/>
        <w:rPr>
          <w:rFonts w:ascii="Arial" w:eastAsia="Times New Roman" w:hAnsi="Arial" w:cs="Arial"/>
          <w:bCs/>
          <w:iCs/>
          <w:lang w:eastAsia="es-ES"/>
        </w:rPr>
      </w:pPr>
      <w:r w:rsidRPr="00372D3D">
        <w:rPr>
          <w:rFonts w:ascii="Arial" w:eastAsia="Times New Roman" w:hAnsi="Arial" w:cs="Arial"/>
          <w:b/>
          <w:bCs/>
          <w:sz w:val="26"/>
          <w:szCs w:val="26"/>
          <w:lang w:eastAsia="es-ES"/>
        </w:rPr>
        <w:t>C O N S I D E R A N D O</w:t>
      </w:r>
      <w:r w:rsidR="002E4189">
        <w:rPr>
          <w:rFonts w:ascii="Arial" w:eastAsia="Times New Roman" w:hAnsi="Arial" w:cs="Arial"/>
          <w:b/>
          <w:bCs/>
          <w:sz w:val="26"/>
          <w:szCs w:val="26"/>
          <w:lang w:eastAsia="es-ES"/>
        </w:rPr>
        <w:t>:</w:t>
      </w:r>
    </w:p>
    <w:p w:rsidR="009041FC" w:rsidRDefault="0086324C" w:rsidP="0086324C">
      <w:pPr>
        <w:widowControl w:val="0"/>
        <w:tabs>
          <w:tab w:val="left" w:pos="7938"/>
        </w:tabs>
        <w:spacing w:before="240" w:line="360" w:lineRule="auto"/>
        <w:ind w:right="18" w:firstLine="709"/>
        <w:jc w:val="both"/>
        <w:rPr>
          <w:rFonts w:ascii="Arial" w:eastAsia="Calibri" w:hAnsi="Arial" w:cs="Arial"/>
          <w:sz w:val="26"/>
          <w:szCs w:val="26"/>
        </w:rPr>
      </w:pPr>
      <w:r w:rsidRPr="00372D3D">
        <w:rPr>
          <w:rFonts w:ascii="Arial" w:hAnsi="Arial" w:cs="Arial"/>
          <w:b/>
          <w:bCs/>
          <w:iCs/>
          <w:sz w:val="26"/>
          <w:szCs w:val="26"/>
          <w:lang w:eastAsia="es-ES"/>
        </w:rPr>
        <w:t xml:space="preserve">PRIMERO. </w:t>
      </w:r>
      <w:r w:rsidRPr="00002F3E">
        <w:rPr>
          <w:rFonts w:ascii="Arial" w:hAnsi="Arial" w:cs="Arial"/>
          <w:bCs/>
          <w:iCs/>
          <w:sz w:val="26"/>
          <w:szCs w:val="26"/>
          <w:lang w:eastAsia="es-ES"/>
        </w:rPr>
        <w:t>Esta Sala Superior es competente para conocer del presente asunto, de conformidad con lo dispuesto por los artículos 111, fracciones I y II, 145, 146, fracciones VII y VIII de la Constitución Política del Estado Libre y Soberano de Oaxaca, 149, fracción I, inciso b) y 151 de la Ley Orgánic</w:t>
      </w:r>
      <w:r w:rsidR="00802211">
        <w:rPr>
          <w:rFonts w:ascii="Arial" w:hAnsi="Arial" w:cs="Arial"/>
          <w:bCs/>
          <w:iCs/>
          <w:sz w:val="26"/>
          <w:szCs w:val="26"/>
          <w:lang w:eastAsia="es-ES"/>
        </w:rPr>
        <w:t>a del Poder Judicial del Estado;</w:t>
      </w:r>
      <w:r w:rsidRPr="00002F3E">
        <w:rPr>
          <w:rFonts w:ascii="Arial" w:hAnsi="Arial" w:cs="Arial"/>
          <w:bCs/>
          <w:iCs/>
          <w:sz w:val="26"/>
          <w:szCs w:val="26"/>
          <w:lang w:eastAsia="es-ES"/>
        </w:rPr>
        <w:t xml:space="preserve"> 86, 88, 92, 93 fracción I, 94, 201, 206 y 208 de la Ley de Justicia Administrativa para el Estado de Oaxaca,</w:t>
      </w:r>
      <w:r w:rsidR="0062757D">
        <w:rPr>
          <w:rFonts w:ascii="Arial" w:hAnsi="Arial" w:cs="Arial"/>
          <w:bCs/>
          <w:iCs/>
          <w:sz w:val="26"/>
          <w:szCs w:val="26"/>
          <w:lang w:eastAsia="es-ES"/>
        </w:rPr>
        <w:t xml:space="preserve"> vigente hasta el 20 veinte de octubre de 2017 dos mil diecisiete,</w:t>
      </w:r>
      <w:r w:rsidRPr="00002F3E">
        <w:rPr>
          <w:rFonts w:ascii="Arial" w:hAnsi="Arial" w:cs="Arial"/>
          <w:bCs/>
          <w:iCs/>
          <w:sz w:val="26"/>
          <w:szCs w:val="26"/>
          <w:lang w:eastAsia="es-ES"/>
        </w:rPr>
        <w:t xml:space="preserve"> dado que se trata de un Recurso de Revisión interpuesto en contra</w:t>
      </w:r>
      <w:r>
        <w:rPr>
          <w:rFonts w:ascii="Arial" w:hAnsi="Arial" w:cs="Arial"/>
          <w:bCs/>
          <w:iCs/>
          <w:sz w:val="26"/>
          <w:szCs w:val="26"/>
          <w:lang w:eastAsia="es-ES"/>
        </w:rPr>
        <w:t xml:space="preserve"> del acuerdo de </w:t>
      </w:r>
      <w:r w:rsidR="00B10C44">
        <w:rPr>
          <w:rFonts w:ascii="Arial" w:eastAsia="Calibri" w:hAnsi="Arial" w:cs="Arial"/>
          <w:sz w:val="26"/>
          <w:szCs w:val="26"/>
        </w:rPr>
        <w:t>14 catorce de julio de 2017 dos mil diecisiete</w:t>
      </w:r>
      <w:r>
        <w:rPr>
          <w:rFonts w:ascii="Arial" w:hAnsi="Arial" w:cs="Arial"/>
          <w:bCs/>
          <w:iCs/>
          <w:sz w:val="26"/>
          <w:szCs w:val="26"/>
          <w:lang w:eastAsia="es-ES"/>
        </w:rPr>
        <w:t xml:space="preserve">, </w:t>
      </w:r>
      <w:r w:rsidR="009041FC">
        <w:rPr>
          <w:rFonts w:ascii="Arial" w:eastAsia="Calibri" w:hAnsi="Arial" w:cs="Arial"/>
          <w:sz w:val="26"/>
          <w:szCs w:val="26"/>
        </w:rPr>
        <w:t>dictado en el expediente</w:t>
      </w:r>
      <w:r w:rsidR="00326A75">
        <w:rPr>
          <w:rFonts w:ascii="Arial" w:eastAsia="Calibri" w:hAnsi="Arial" w:cs="Arial"/>
          <w:b/>
          <w:sz w:val="26"/>
          <w:szCs w:val="26"/>
        </w:rPr>
        <w:t xml:space="preserve"> </w:t>
      </w:r>
      <w:r w:rsidR="00B10C44">
        <w:rPr>
          <w:rFonts w:ascii="Arial" w:eastAsia="Calibri" w:hAnsi="Arial" w:cs="Arial"/>
          <w:b/>
          <w:sz w:val="26"/>
          <w:szCs w:val="26"/>
        </w:rPr>
        <w:t>368</w:t>
      </w:r>
      <w:r w:rsidR="009041FC">
        <w:rPr>
          <w:rFonts w:ascii="Arial" w:eastAsia="Calibri" w:hAnsi="Arial" w:cs="Arial"/>
          <w:b/>
          <w:sz w:val="26"/>
          <w:szCs w:val="26"/>
        </w:rPr>
        <w:t>/2016</w:t>
      </w:r>
      <w:r w:rsidR="009041FC">
        <w:rPr>
          <w:rFonts w:ascii="Arial" w:hAnsi="Arial" w:cs="Arial"/>
          <w:sz w:val="26"/>
          <w:szCs w:val="26"/>
        </w:rPr>
        <w:t xml:space="preserve">, del índice de la </w:t>
      </w:r>
      <w:r w:rsidR="00FB143F">
        <w:rPr>
          <w:rFonts w:ascii="Arial" w:hAnsi="Arial" w:cs="Arial"/>
          <w:sz w:val="26"/>
          <w:szCs w:val="26"/>
        </w:rPr>
        <w:t>Segunda</w:t>
      </w:r>
      <w:r w:rsidR="009041FC">
        <w:rPr>
          <w:rFonts w:ascii="Arial" w:hAnsi="Arial" w:cs="Arial"/>
          <w:sz w:val="26"/>
          <w:szCs w:val="26"/>
        </w:rPr>
        <w:t xml:space="preserve"> Sala Unitaria de Primera Instancia de este Tribunal.</w:t>
      </w:r>
    </w:p>
    <w:p w:rsidR="0086324C" w:rsidRPr="00AB00F1" w:rsidRDefault="0086324C" w:rsidP="0086324C">
      <w:pPr>
        <w:spacing w:before="240" w:line="360" w:lineRule="auto"/>
        <w:ind w:firstLine="708"/>
        <w:jc w:val="both"/>
        <w:rPr>
          <w:rFonts w:ascii="Arial" w:hAnsi="Arial" w:cs="Arial"/>
          <w:bCs/>
          <w:sz w:val="26"/>
          <w:szCs w:val="26"/>
        </w:rPr>
      </w:pPr>
      <w:r w:rsidRPr="006E349D">
        <w:rPr>
          <w:rFonts w:ascii="Arial" w:hAnsi="Arial" w:cs="Arial"/>
          <w:b/>
          <w:bCs/>
          <w:sz w:val="26"/>
          <w:szCs w:val="26"/>
        </w:rPr>
        <w:t>SEGUNDO.</w:t>
      </w:r>
      <w:r w:rsidRPr="006E349D">
        <w:rPr>
          <w:rFonts w:ascii="Arial" w:hAnsi="Arial" w:cs="Arial"/>
          <w:bCs/>
          <w:sz w:val="26"/>
          <w:szCs w:val="26"/>
        </w:rPr>
        <w:t xml:space="preserve"> Los agravios hechos valer se encuentran expuestos en el escrito respectivo de</w:t>
      </w:r>
      <w:r>
        <w:rPr>
          <w:rFonts w:ascii="Arial" w:hAnsi="Arial" w:cs="Arial"/>
          <w:bCs/>
          <w:sz w:val="26"/>
          <w:szCs w:val="26"/>
        </w:rPr>
        <w:t xml:space="preserve">l </w:t>
      </w:r>
      <w:r w:rsidRPr="006E349D">
        <w:rPr>
          <w:rFonts w:ascii="Arial" w:hAnsi="Arial" w:cs="Arial"/>
          <w:bCs/>
          <w:sz w:val="26"/>
          <w:szCs w:val="26"/>
        </w:rPr>
        <w:t xml:space="preserve">recurrente,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 xml:space="preserve">dirse </w:t>
      </w:r>
      <w:r w:rsidRPr="006E349D">
        <w:rPr>
          <w:rFonts w:ascii="Arial" w:hAnsi="Arial" w:cs="Arial"/>
          <w:bCs/>
          <w:sz w:val="26"/>
          <w:szCs w:val="26"/>
        </w:rPr>
        <w:t>derecho alguno, como tampoco se vulnera disposición expresa que imponga tal obligación</w:t>
      </w:r>
      <w:r>
        <w:rPr>
          <w:rFonts w:ascii="Arial" w:hAnsi="Arial" w:cs="Arial"/>
          <w:sz w:val="26"/>
          <w:szCs w:val="26"/>
        </w:rPr>
        <w:t>.</w:t>
      </w:r>
    </w:p>
    <w:p w:rsidR="003C5FAE" w:rsidRPr="007501A6" w:rsidRDefault="0086324C" w:rsidP="00893E2A">
      <w:pPr>
        <w:pStyle w:val="Sinespaciado"/>
        <w:spacing w:before="240" w:after="240" w:line="360" w:lineRule="auto"/>
        <w:ind w:firstLine="708"/>
        <w:jc w:val="both"/>
        <w:rPr>
          <w:rFonts w:ascii="Arial" w:hAnsi="Arial" w:cs="Arial"/>
          <w:bCs/>
          <w:sz w:val="26"/>
          <w:szCs w:val="26"/>
          <w:lang w:val="es-MX"/>
        </w:rPr>
      </w:pPr>
      <w:r>
        <w:rPr>
          <w:rFonts w:ascii="Arial" w:hAnsi="Arial" w:cs="Arial"/>
          <w:b/>
          <w:bCs/>
          <w:color w:val="000000"/>
          <w:sz w:val="26"/>
          <w:szCs w:val="26"/>
          <w:lang w:val="es-MX"/>
        </w:rPr>
        <w:t>TERCERO.</w:t>
      </w:r>
      <w:r w:rsidR="00B34570">
        <w:rPr>
          <w:rFonts w:ascii="Arial" w:hAnsi="Arial" w:cs="Arial"/>
          <w:b/>
          <w:bCs/>
          <w:color w:val="000000"/>
          <w:sz w:val="26"/>
          <w:szCs w:val="26"/>
          <w:lang w:val="es-MX"/>
        </w:rPr>
        <w:t xml:space="preserve"> </w:t>
      </w:r>
      <w:r w:rsidR="003C5FAE" w:rsidRPr="007501A6">
        <w:rPr>
          <w:rFonts w:ascii="Arial" w:hAnsi="Arial" w:cs="Arial"/>
          <w:bCs/>
          <w:sz w:val="26"/>
          <w:szCs w:val="26"/>
          <w:lang w:val="es-MX"/>
        </w:rPr>
        <w:t>En una primera parte del agravio identificado como PRIMERO, dice</w:t>
      </w:r>
      <w:r w:rsidR="00893E2A">
        <w:rPr>
          <w:rFonts w:ascii="Arial" w:hAnsi="Arial" w:cs="Arial"/>
          <w:bCs/>
          <w:sz w:val="26"/>
          <w:szCs w:val="26"/>
          <w:lang w:val="es-MX"/>
        </w:rPr>
        <w:t xml:space="preserve"> la disconforme</w:t>
      </w:r>
      <w:r w:rsidR="003C5FAE" w:rsidRPr="007501A6">
        <w:rPr>
          <w:rFonts w:ascii="Arial" w:hAnsi="Arial" w:cs="Arial"/>
          <w:bCs/>
          <w:sz w:val="26"/>
          <w:szCs w:val="26"/>
          <w:lang w:val="es-MX"/>
        </w:rPr>
        <w:t xml:space="preserve"> que el proveído sujeto a revisión es ilegal porque contraviene lo dispuesto por el artículo 177, fracciones I y II de la Ley de Justicia Administrativa para el Estado de Oaxaca. </w:t>
      </w:r>
    </w:p>
    <w:p w:rsidR="003C5FAE" w:rsidRPr="007501A6" w:rsidRDefault="003C5FAE" w:rsidP="003C5FAE">
      <w:pPr>
        <w:pStyle w:val="Sinespaciado"/>
        <w:spacing w:line="360" w:lineRule="auto"/>
        <w:jc w:val="both"/>
        <w:rPr>
          <w:rFonts w:ascii="Arial" w:hAnsi="Arial" w:cs="Arial"/>
          <w:bCs/>
          <w:sz w:val="26"/>
          <w:szCs w:val="26"/>
          <w:lang w:val="es-MX"/>
        </w:rPr>
      </w:pPr>
      <w:r w:rsidRPr="007501A6">
        <w:rPr>
          <w:rFonts w:ascii="Arial" w:hAnsi="Arial" w:cs="Arial"/>
          <w:bCs/>
          <w:sz w:val="26"/>
          <w:szCs w:val="26"/>
          <w:lang w:val="es-MX"/>
        </w:rPr>
        <w:tab/>
        <w:t xml:space="preserve">Explica esto diciendo que, la sala de origen debía fijar de manera clara y precisa los puntos controvertidos y además debía hacer una exposición debidamente fundada y motivada de las consideraciones en que basa su resolución, afirmando que tales obligaciones fueron soslayadas por la primera instancia. </w:t>
      </w:r>
    </w:p>
    <w:p w:rsidR="007E4CF1" w:rsidRDefault="007E4CF1" w:rsidP="003C5FAE">
      <w:pPr>
        <w:pStyle w:val="Sinespaciado"/>
        <w:spacing w:line="360" w:lineRule="auto"/>
        <w:jc w:val="both"/>
        <w:rPr>
          <w:rFonts w:ascii="Arial" w:hAnsi="Arial" w:cs="Arial"/>
          <w:bCs/>
          <w:sz w:val="26"/>
          <w:szCs w:val="26"/>
          <w:lang w:val="es-MX"/>
        </w:rPr>
      </w:pPr>
    </w:p>
    <w:p w:rsidR="00C0625B" w:rsidRDefault="003C5FAE" w:rsidP="007E4CF1">
      <w:pPr>
        <w:pStyle w:val="Sinespaciado"/>
        <w:spacing w:line="360" w:lineRule="auto"/>
        <w:jc w:val="both"/>
        <w:rPr>
          <w:rFonts w:ascii="Arial" w:hAnsi="Arial" w:cs="Arial"/>
          <w:bCs/>
          <w:sz w:val="26"/>
          <w:szCs w:val="26"/>
          <w:lang w:val="es-MX"/>
        </w:rPr>
      </w:pPr>
      <w:r w:rsidRPr="007501A6">
        <w:rPr>
          <w:rFonts w:ascii="Arial" w:hAnsi="Arial" w:cs="Arial"/>
          <w:bCs/>
          <w:sz w:val="26"/>
          <w:szCs w:val="26"/>
          <w:lang w:val="es-MX"/>
        </w:rPr>
        <w:tab/>
        <w:t xml:space="preserve">Dice que la sala de origen tiene por cumplida la sentencia de 13 trece de </w:t>
      </w:r>
      <w:r w:rsidR="007E4CF1">
        <w:rPr>
          <w:rFonts w:ascii="Arial" w:hAnsi="Arial" w:cs="Arial"/>
          <w:bCs/>
          <w:sz w:val="26"/>
          <w:szCs w:val="26"/>
          <w:lang w:val="es-MX"/>
        </w:rPr>
        <w:t>diciembre de 2013 dos mil trece</w:t>
      </w:r>
      <w:r w:rsidR="0062757D">
        <w:rPr>
          <w:rFonts w:ascii="Arial" w:hAnsi="Arial" w:cs="Arial"/>
          <w:bCs/>
          <w:sz w:val="26"/>
          <w:szCs w:val="26"/>
          <w:lang w:val="es-MX"/>
        </w:rPr>
        <w:t>,</w:t>
      </w:r>
      <w:r w:rsidR="007E4CF1">
        <w:rPr>
          <w:rFonts w:ascii="Arial" w:hAnsi="Arial" w:cs="Arial"/>
          <w:bCs/>
          <w:sz w:val="26"/>
          <w:szCs w:val="26"/>
          <w:lang w:val="es-MX"/>
        </w:rPr>
        <w:t xml:space="preserve"> sin realizar un análisis de la resolución dictada por el Director de Concesiones de la Secretaría de Vialidad y Transporte del Estado y de la resolución de 19 diecinueve de </w:t>
      </w:r>
      <w:r w:rsidR="007E4CF1">
        <w:rPr>
          <w:rFonts w:ascii="Arial" w:hAnsi="Arial" w:cs="Arial"/>
          <w:bCs/>
          <w:sz w:val="26"/>
          <w:szCs w:val="26"/>
          <w:lang w:val="es-MX"/>
        </w:rPr>
        <w:lastRenderedPageBreak/>
        <w:t>octubre de 2016 dos mil dieciséis, del Secretario de Vialidad y Transporte</w:t>
      </w:r>
      <w:r w:rsidRPr="007501A6">
        <w:rPr>
          <w:rFonts w:ascii="Arial" w:hAnsi="Arial" w:cs="Arial"/>
          <w:bCs/>
          <w:sz w:val="26"/>
          <w:szCs w:val="26"/>
          <w:lang w:val="es-MX"/>
        </w:rPr>
        <w:t xml:space="preserve"> en la que </w:t>
      </w:r>
      <w:r w:rsidR="00C0625B">
        <w:rPr>
          <w:rFonts w:ascii="Arial" w:hAnsi="Arial" w:cs="Arial"/>
          <w:bCs/>
          <w:sz w:val="26"/>
          <w:szCs w:val="26"/>
          <w:lang w:val="es-MX"/>
        </w:rPr>
        <w:t xml:space="preserve">le </w:t>
      </w:r>
      <w:r w:rsidRPr="007501A6">
        <w:rPr>
          <w:rFonts w:ascii="Arial" w:hAnsi="Arial" w:cs="Arial"/>
          <w:bCs/>
          <w:sz w:val="26"/>
          <w:szCs w:val="26"/>
          <w:lang w:val="es-MX"/>
        </w:rPr>
        <w:t xml:space="preserve">niega </w:t>
      </w:r>
      <w:r w:rsidR="00C0625B">
        <w:rPr>
          <w:rFonts w:ascii="Arial" w:hAnsi="Arial" w:cs="Arial"/>
          <w:bCs/>
          <w:sz w:val="26"/>
          <w:szCs w:val="26"/>
          <w:lang w:val="es-MX"/>
        </w:rPr>
        <w:t>la renovación de la con</w:t>
      </w:r>
      <w:r w:rsidRPr="007501A6">
        <w:rPr>
          <w:rFonts w:ascii="Arial" w:hAnsi="Arial" w:cs="Arial"/>
          <w:bCs/>
          <w:sz w:val="26"/>
          <w:szCs w:val="26"/>
          <w:lang w:val="es-MX"/>
        </w:rPr>
        <w:t xml:space="preserve">cesión para prestar el servicio </w:t>
      </w:r>
      <w:r w:rsidR="00C0625B">
        <w:rPr>
          <w:rFonts w:ascii="Arial" w:hAnsi="Arial" w:cs="Arial"/>
          <w:bCs/>
          <w:sz w:val="26"/>
          <w:szCs w:val="26"/>
          <w:lang w:val="es-MX"/>
        </w:rPr>
        <w:t xml:space="preserve">público de transporte en la modalidad de Pasaje y carga en la población de Rancho Reyes, </w:t>
      </w:r>
      <w:proofErr w:type="spellStart"/>
      <w:r w:rsidR="00C0625B">
        <w:rPr>
          <w:rFonts w:ascii="Arial" w:hAnsi="Arial" w:cs="Arial"/>
          <w:bCs/>
          <w:sz w:val="26"/>
          <w:szCs w:val="26"/>
          <w:lang w:val="es-MX"/>
        </w:rPr>
        <w:t>Huajuapan</w:t>
      </w:r>
      <w:proofErr w:type="spellEnd"/>
      <w:r w:rsidR="00C0625B">
        <w:rPr>
          <w:rFonts w:ascii="Arial" w:hAnsi="Arial" w:cs="Arial"/>
          <w:bCs/>
          <w:sz w:val="26"/>
          <w:szCs w:val="26"/>
          <w:lang w:val="es-MX"/>
        </w:rPr>
        <w:t xml:space="preserve"> de León, Oaxaca.</w:t>
      </w:r>
    </w:p>
    <w:p w:rsidR="003C5FAE" w:rsidRPr="007501A6" w:rsidRDefault="003C5FAE" w:rsidP="003C5FAE">
      <w:pPr>
        <w:pStyle w:val="Sinespaciado"/>
        <w:spacing w:line="360" w:lineRule="auto"/>
        <w:jc w:val="both"/>
        <w:rPr>
          <w:rFonts w:ascii="Arial" w:hAnsi="Arial" w:cs="Arial"/>
          <w:bCs/>
          <w:sz w:val="26"/>
          <w:szCs w:val="26"/>
          <w:lang w:val="es-MX"/>
        </w:rPr>
      </w:pPr>
    </w:p>
    <w:p w:rsidR="003D2882" w:rsidRPr="007501A6" w:rsidRDefault="003C5FAE" w:rsidP="003D2882">
      <w:pPr>
        <w:pStyle w:val="Sinespaciado"/>
        <w:spacing w:line="360" w:lineRule="auto"/>
        <w:jc w:val="both"/>
        <w:rPr>
          <w:rFonts w:ascii="Arial" w:eastAsia="Calibri" w:hAnsi="Arial" w:cs="Arial"/>
          <w:bCs/>
          <w:sz w:val="26"/>
          <w:szCs w:val="26"/>
        </w:rPr>
      </w:pPr>
      <w:r w:rsidRPr="007501A6">
        <w:rPr>
          <w:rFonts w:ascii="Arial" w:hAnsi="Arial" w:cs="Arial"/>
          <w:bCs/>
          <w:sz w:val="26"/>
          <w:szCs w:val="26"/>
          <w:lang w:val="es-MX"/>
        </w:rPr>
        <w:tab/>
        <w:t xml:space="preserve">Aduce que es ilegal </w:t>
      </w:r>
      <w:r w:rsidR="00B00441">
        <w:rPr>
          <w:rFonts w:ascii="Arial" w:hAnsi="Arial" w:cs="Arial"/>
          <w:bCs/>
          <w:sz w:val="26"/>
          <w:szCs w:val="26"/>
          <w:lang w:val="es-MX"/>
        </w:rPr>
        <w:t xml:space="preserve">el acuerdo recurrido porque </w:t>
      </w:r>
      <w:r w:rsidR="003D2882" w:rsidRPr="007501A6">
        <w:rPr>
          <w:rFonts w:ascii="Arial" w:hAnsi="Arial" w:cs="Arial"/>
          <w:bCs/>
          <w:sz w:val="26"/>
          <w:szCs w:val="26"/>
          <w:lang w:val="es-MX"/>
        </w:rPr>
        <w:t xml:space="preserve">la sala de </w:t>
      </w:r>
      <w:r w:rsidR="003D2882">
        <w:rPr>
          <w:rFonts w:ascii="Arial" w:hAnsi="Arial" w:cs="Arial"/>
          <w:bCs/>
          <w:sz w:val="26"/>
          <w:szCs w:val="26"/>
          <w:lang w:val="es-MX"/>
        </w:rPr>
        <w:t>primera instancia</w:t>
      </w:r>
      <w:r w:rsidR="003D2882" w:rsidRPr="007501A6">
        <w:rPr>
          <w:rFonts w:ascii="Arial" w:hAnsi="Arial" w:cs="Arial"/>
          <w:bCs/>
          <w:sz w:val="26"/>
          <w:szCs w:val="26"/>
          <w:lang w:val="es-MX"/>
        </w:rPr>
        <w:t xml:space="preserve"> </w:t>
      </w:r>
      <w:r w:rsidR="003D2882">
        <w:rPr>
          <w:rFonts w:ascii="Arial" w:hAnsi="Arial" w:cs="Arial"/>
          <w:bCs/>
          <w:sz w:val="26"/>
          <w:szCs w:val="26"/>
          <w:lang w:val="es-MX"/>
        </w:rPr>
        <w:t>tuvo</w:t>
      </w:r>
      <w:r w:rsidR="003D2882" w:rsidRPr="007501A6">
        <w:rPr>
          <w:rFonts w:ascii="Arial" w:hAnsi="Arial" w:cs="Arial"/>
          <w:bCs/>
          <w:sz w:val="26"/>
          <w:szCs w:val="26"/>
          <w:lang w:val="es-MX"/>
        </w:rPr>
        <w:t xml:space="preserve"> por cumplida la sentencia porque según su entender el Secretario de Vialidad y Transporte tiene facultades para pronunciarse respecto de</w:t>
      </w:r>
      <w:r w:rsidR="003D2882">
        <w:rPr>
          <w:rFonts w:ascii="Arial" w:hAnsi="Arial" w:cs="Arial"/>
          <w:bCs/>
          <w:sz w:val="26"/>
          <w:szCs w:val="26"/>
          <w:lang w:val="es-MX"/>
        </w:rPr>
        <w:t xml:space="preserve"> la renovación de concesión que solicitó,</w:t>
      </w:r>
      <w:r w:rsidR="003D2882" w:rsidRPr="007501A6">
        <w:rPr>
          <w:rFonts w:ascii="Arial" w:hAnsi="Arial" w:cs="Arial"/>
          <w:bCs/>
          <w:sz w:val="26"/>
          <w:szCs w:val="26"/>
          <w:lang w:val="es-MX"/>
        </w:rPr>
        <w:t xml:space="preserve"> en términos de los artículos </w:t>
      </w:r>
      <w:r w:rsidR="003D2882" w:rsidRPr="007501A6">
        <w:rPr>
          <w:rFonts w:ascii="Arial" w:eastAsia="Calibri" w:hAnsi="Arial" w:cs="Arial"/>
          <w:bCs/>
          <w:sz w:val="26"/>
          <w:szCs w:val="26"/>
        </w:rPr>
        <w:t>40, fracciones I, II, III, IV, VII, IX, XXI</w:t>
      </w:r>
      <w:r w:rsidR="0062757D">
        <w:rPr>
          <w:rFonts w:ascii="Arial" w:eastAsia="Calibri" w:hAnsi="Arial" w:cs="Arial"/>
          <w:bCs/>
          <w:sz w:val="26"/>
          <w:szCs w:val="26"/>
        </w:rPr>
        <w:t>,</w:t>
      </w:r>
      <w:r w:rsidR="003D2882" w:rsidRPr="007501A6">
        <w:rPr>
          <w:rFonts w:ascii="Arial" w:eastAsia="Calibri" w:hAnsi="Arial" w:cs="Arial"/>
          <w:bCs/>
          <w:sz w:val="26"/>
          <w:szCs w:val="26"/>
        </w:rPr>
        <w:t xml:space="preserve"> así como el Tercero y Noveno Transitorio de la Ley Orgánica del Poder Ejecutivo del Estado de Oaxaca, 7 de la Ley de Justicia Administrativa para el Estado de Oaxaca, 5, 6, 21, </w:t>
      </w:r>
      <w:r w:rsidR="003D2882">
        <w:rPr>
          <w:rFonts w:ascii="Arial" w:eastAsia="Calibri" w:hAnsi="Arial" w:cs="Arial"/>
          <w:bCs/>
          <w:sz w:val="26"/>
          <w:szCs w:val="26"/>
        </w:rPr>
        <w:t xml:space="preserve"> 26, 29, </w:t>
      </w:r>
      <w:r w:rsidR="003D2882" w:rsidRPr="007501A6">
        <w:rPr>
          <w:rFonts w:ascii="Arial" w:eastAsia="Calibri" w:hAnsi="Arial" w:cs="Arial"/>
          <w:bCs/>
          <w:sz w:val="26"/>
          <w:szCs w:val="26"/>
        </w:rPr>
        <w:t xml:space="preserve">35, </w:t>
      </w:r>
      <w:r w:rsidR="003D2882">
        <w:rPr>
          <w:rFonts w:ascii="Arial" w:eastAsia="Calibri" w:hAnsi="Arial" w:cs="Arial"/>
          <w:bCs/>
          <w:sz w:val="26"/>
          <w:szCs w:val="26"/>
        </w:rPr>
        <w:t xml:space="preserve">44, </w:t>
      </w:r>
      <w:r w:rsidR="003D2882" w:rsidRPr="007501A6">
        <w:rPr>
          <w:rFonts w:ascii="Arial" w:eastAsia="Calibri" w:hAnsi="Arial" w:cs="Arial"/>
          <w:bCs/>
          <w:sz w:val="26"/>
          <w:szCs w:val="26"/>
        </w:rPr>
        <w:t xml:space="preserve">66, </w:t>
      </w:r>
      <w:r w:rsidR="003D2882">
        <w:rPr>
          <w:rFonts w:ascii="Arial" w:eastAsia="Calibri" w:hAnsi="Arial" w:cs="Arial"/>
          <w:bCs/>
          <w:sz w:val="26"/>
          <w:szCs w:val="26"/>
        </w:rPr>
        <w:t>68,</w:t>
      </w:r>
      <w:r w:rsidR="003D2882" w:rsidRPr="007501A6">
        <w:rPr>
          <w:rFonts w:ascii="Arial" w:eastAsia="Calibri" w:hAnsi="Arial" w:cs="Arial"/>
          <w:bCs/>
          <w:sz w:val="26"/>
          <w:szCs w:val="26"/>
        </w:rPr>
        <w:t xml:space="preserve"> 78, 87 de la Ley de Transporte del Estado de Oaxaca,</w:t>
      </w:r>
      <w:r w:rsidR="003D2882">
        <w:rPr>
          <w:rFonts w:ascii="Arial" w:eastAsia="Calibri" w:hAnsi="Arial" w:cs="Arial"/>
          <w:bCs/>
          <w:sz w:val="26"/>
          <w:szCs w:val="26"/>
        </w:rPr>
        <w:t xml:space="preserve"> </w:t>
      </w:r>
      <w:r w:rsidR="003D2882" w:rsidRPr="007501A6">
        <w:rPr>
          <w:rFonts w:ascii="Arial" w:eastAsia="Calibri" w:hAnsi="Arial" w:cs="Arial"/>
          <w:bCs/>
          <w:sz w:val="26"/>
          <w:szCs w:val="26"/>
        </w:rPr>
        <w:t xml:space="preserve">95 </w:t>
      </w:r>
      <w:r w:rsidR="003D2882">
        <w:rPr>
          <w:rFonts w:ascii="Arial" w:eastAsia="Calibri" w:hAnsi="Arial" w:cs="Arial"/>
          <w:bCs/>
          <w:sz w:val="26"/>
          <w:szCs w:val="26"/>
        </w:rPr>
        <w:t>b</w:t>
      </w:r>
      <w:r w:rsidR="003D2882" w:rsidRPr="007501A6">
        <w:rPr>
          <w:rFonts w:ascii="Arial" w:eastAsia="Calibri" w:hAnsi="Arial" w:cs="Arial"/>
          <w:bCs/>
          <w:sz w:val="26"/>
          <w:szCs w:val="26"/>
        </w:rPr>
        <w:t xml:space="preserve">is </w:t>
      </w:r>
      <w:r w:rsidR="003D2882">
        <w:rPr>
          <w:rFonts w:ascii="Arial" w:eastAsia="Calibri" w:hAnsi="Arial" w:cs="Arial"/>
          <w:bCs/>
          <w:sz w:val="26"/>
          <w:szCs w:val="26"/>
        </w:rPr>
        <w:t>de la Ley de Tránsito Reformada en el Estado (sic),</w:t>
      </w:r>
      <w:r w:rsidR="003D2882" w:rsidRPr="007501A6">
        <w:rPr>
          <w:rFonts w:ascii="Arial" w:eastAsia="Calibri" w:hAnsi="Arial" w:cs="Arial"/>
          <w:bCs/>
          <w:sz w:val="26"/>
          <w:szCs w:val="26"/>
        </w:rPr>
        <w:t xml:space="preserve"> 8 de la Constitución de los Estados Unidos Mexicanos, 13 de la Constitución Política del Esta</w:t>
      </w:r>
      <w:r w:rsidR="003D2882">
        <w:rPr>
          <w:rFonts w:ascii="Arial" w:eastAsia="Calibri" w:hAnsi="Arial" w:cs="Arial"/>
          <w:bCs/>
          <w:sz w:val="26"/>
          <w:szCs w:val="26"/>
        </w:rPr>
        <w:t>do Libre y Soberano de Oaxaca y</w:t>
      </w:r>
      <w:r w:rsidR="003D2882" w:rsidRPr="007501A6">
        <w:rPr>
          <w:rFonts w:ascii="Arial" w:eastAsia="Calibri" w:hAnsi="Arial" w:cs="Arial"/>
          <w:bCs/>
          <w:sz w:val="26"/>
          <w:szCs w:val="26"/>
        </w:rPr>
        <w:t xml:space="preserve"> Acuerdo de fecha </w:t>
      </w:r>
      <w:r w:rsidR="0062757D">
        <w:rPr>
          <w:rFonts w:ascii="Arial" w:eastAsia="Calibri" w:hAnsi="Arial" w:cs="Arial"/>
          <w:bCs/>
          <w:sz w:val="26"/>
          <w:szCs w:val="26"/>
        </w:rPr>
        <w:t xml:space="preserve">04 </w:t>
      </w:r>
      <w:r w:rsidR="003D2882" w:rsidRPr="007501A6">
        <w:rPr>
          <w:rFonts w:ascii="Arial" w:eastAsia="Calibri" w:hAnsi="Arial" w:cs="Arial"/>
          <w:bCs/>
          <w:sz w:val="26"/>
          <w:szCs w:val="26"/>
        </w:rPr>
        <w:t>cuatro de septiembre de dos mil doce, mediante el cual el Gobernador Constitucional del Estado Libre y Soberano de Oaxaca, delega facultades al Secretario de Vialidad y Transporte para el ejercicio de sus atribuciones ejecute las disposiciones señaladas en el artículo 95 Bis del Regl</w:t>
      </w:r>
      <w:r w:rsidR="0062757D">
        <w:rPr>
          <w:rFonts w:ascii="Arial" w:eastAsia="Calibri" w:hAnsi="Arial" w:cs="Arial"/>
          <w:bCs/>
          <w:sz w:val="26"/>
          <w:szCs w:val="26"/>
        </w:rPr>
        <w:t xml:space="preserve">amento de Tránsito Reformada en el </w:t>
      </w:r>
      <w:r w:rsidR="003D2882" w:rsidRPr="007501A6">
        <w:rPr>
          <w:rFonts w:ascii="Arial" w:eastAsia="Calibri" w:hAnsi="Arial" w:cs="Arial"/>
          <w:bCs/>
          <w:sz w:val="26"/>
          <w:szCs w:val="26"/>
        </w:rPr>
        <w:t xml:space="preserve">Estado de Oaxaca. </w:t>
      </w:r>
    </w:p>
    <w:p w:rsidR="00B00441" w:rsidRDefault="00B00441" w:rsidP="003C5FAE">
      <w:pPr>
        <w:pStyle w:val="Sinespaciado"/>
        <w:spacing w:line="360" w:lineRule="auto"/>
        <w:jc w:val="both"/>
        <w:rPr>
          <w:rFonts w:ascii="Arial" w:hAnsi="Arial" w:cs="Arial"/>
          <w:bCs/>
          <w:sz w:val="26"/>
          <w:szCs w:val="26"/>
          <w:lang w:val="es-MX"/>
        </w:rPr>
      </w:pPr>
    </w:p>
    <w:p w:rsidR="003C5FAE" w:rsidRPr="007501A6" w:rsidRDefault="00A10AD2" w:rsidP="00D55233">
      <w:pPr>
        <w:pStyle w:val="Sinespaciado"/>
        <w:spacing w:line="360" w:lineRule="auto"/>
        <w:ind w:firstLine="708"/>
        <w:jc w:val="both"/>
        <w:rPr>
          <w:rFonts w:ascii="Arial" w:eastAsia="Calibri" w:hAnsi="Arial" w:cs="Arial"/>
          <w:bCs/>
          <w:sz w:val="26"/>
          <w:szCs w:val="26"/>
        </w:rPr>
      </w:pPr>
      <w:r>
        <w:rPr>
          <w:noProof/>
        </w:rPr>
        <mc:AlternateContent>
          <mc:Choice Requires="wps">
            <w:drawing>
              <wp:anchor distT="0" distB="0" distL="114300" distR="114300" simplePos="0" relativeHeight="251661312" behindDoc="0" locked="0" layoutInCell="1" allowOverlap="1" wp14:anchorId="6E6F9AE3" wp14:editId="4A95D5EC">
                <wp:simplePos x="0" y="0"/>
                <wp:positionH relativeFrom="column">
                  <wp:posOffset>5381271</wp:posOffset>
                </wp:positionH>
                <wp:positionV relativeFrom="paragraph">
                  <wp:posOffset>1005870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10AD2" w:rsidRPr="00A6596B" w:rsidRDefault="00A10AD2" w:rsidP="00A10AD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23.7pt;margin-top:79.2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">
                <v:textbox>
                  <w:txbxContent>
                    <w:p w:rsidR="00A10AD2" w:rsidRPr="00A6596B" w:rsidRDefault="00A10AD2" w:rsidP="00A10AD2">
                      <w:pPr>
                        <w:rPr>
                          <w:sz w:val="16"/>
                          <w:szCs w:val="16"/>
                        </w:rPr>
                      </w:pPr>
                      <w:r>
                        <w:rPr>
                          <w:sz w:val="16"/>
                          <w:szCs w:val="16"/>
                        </w:rPr>
                        <w:t>Datos personales protegidos por el Art. 116 de la LGTAIP y el Art. 56 de la LTAIPEO</w:t>
                      </w:r>
                    </w:p>
                  </w:txbxContent>
                </v:textbox>
              </v:shape>
            </w:pict>
          </mc:Fallback>
        </mc:AlternateContent>
      </w:r>
      <w:r w:rsidR="003C5FAE" w:rsidRPr="007501A6">
        <w:rPr>
          <w:rFonts w:ascii="Arial" w:eastAsia="Calibri" w:hAnsi="Arial" w:cs="Arial"/>
          <w:bCs/>
          <w:sz w:val="26"/>
          <w:szCs w:val="26"/>
        </w:rPr>
        <w:t>Añad</w:t>
      </w:r>
      <w:r w:rsidR="003D2882">
        <w:rPr>
          <w:rFonts w:ascii="Arial" w:eastAsia="Calibri" w:hAnsi="Arial" w:cs="Arial"/>
          <w:bCs/>
          <w:sz w:val="26"/>
          <w:szCs w:val="26"/>
        </w:rPr>
        <w:t>e</w:t>
      </w:r>
      <w:r w:rsidR="003C5FAE" w:rsidRPr="007501A6">
        <w:rPr>
          <w:rFonts w:ascii="Arial" w:eastAsia="Calibri" w:hAnsi="Arial" w:cs="Arial"/>
          <w:bCs/>
          <w:sz w:val="26"/>
          <w:szCs w:val="26"/>
        </w:rPr>
        <w:t xml:space="preserve"> que tal determinación carece de un análisis razonado y fundado del porqué estima que tales preceptos legales le otorgan al Secretario de Vialidad y Transporte facultades para </w:t>
      </w:r>
      <w:r w:rsidR="003D2882">
        <w:rPr>
          <w:rFonts w:ascii="Arial" w:eastAsia="Calibri" w:hAnsi="Arial" w:cs="Arial"/>
          <w:bCs/>
          <w:sz w:val="26"/>
          <w:szCs w:val="26"/>
        </w:rPr>
        <w:t xml:space="preserve">resolver respecto de la negativa de otorgarle la renovación de la concesión </w:t>
      </w:r>
      <w:r w:rsidR="00D55233">
        <w:rPr>
          <w:rFonts w:ascii="Arial" w:eastAsia="Calibri" w:hAnsi="Arial" w:cs="Arial"/>
          <w:bCs/>
          <w:sz w:val="26"/>
          <w:szCs w:val="26"/>
        </w:rPr>
        <w:t xml:space="preserve">para prestar el servicio público de transporte en la modalidad de Pasaje y Carga en la población de Rancho Reyes, </w:t>
      </w:r>
      <w:proofErr w:type="spellStart"/>
      <w:r w:rsidR="003C5FAE" w:rsidRPr="007501A6">
        <w:rPr>
          <w:rFonts w:ascii="Arial" w:eastAsia="Calibri" w:hAnsi="Arial" w:cs="Arial"/>
          <w:bCs/>
          <w:sz w:val="26"/>
          <w:szCs w:val="26"/>
        </w:rPr>
        <w:t>Huajuapan</w:t>
      </w:r>
      <w:proofErr w:type="spellEnd"/>
      <w:r w:rsidR="003C5FAE" w:rsidRPr="007501A6">
        <w:rPr>
          <w:rFonts w:ascii="Arial" w:eastAsia="Calibri" w:hAnsi="Arial" w:cs="Arial"/>
          <w:bCs/>
          <w:sz w:val="26"/>
          <w:szCs w:val="26"/>
        </w:rPr>
        <w:t xml:space="preserve"> de León, Oaxaca. </w:t>
      </w:r>
    </w:p>
    <w:p w:rsidR="003C5FAE" w:rsidRPr="007501A6" w:rsidRDefault="003C5FAE" w:rsidP="003C5FAE">
      <w:pPr>
        <w:pStyle w:val="Sinespaciado"/>
        <w:spacing w:line="360" w:lineRule="auto"/>
        <w:jc w:val="both"/>
        <w:rPr>
          <w:rFonts w:ascii="Arial" w:eastAsia="Calibri" w:hAnsi="Arial" w:cs="Arial"/>
          <w:bCs/>
          <w:sz w:val="26"/>
          <w:szCs w:val="26"/>
        </w:rPr>
      </w:pPr>
    </w:p>
    <w:p w:rsidR="007424B8" w:rsidRDefault="003C5FAE" w:rsidP="006B543F">
      <w:pPr>
        <w:pStyle w:val="Sinespaciado"/>
        <w:spacing w:line="360" w:lineRule="auto"/>
        <w:jc w:val="both"/>
        <w:rPr>
          <w:rFonts w:ascii="Arial" w:eastAsia="Calibri" w:hAnsi="Arial" w:cs="Arial"/>
          <w:bCs/>
          <w:sz w:val="26"/>
          <w:szCs w:val="26"/>
        </w:rPr>
      </w:pPr>
      <w:r w:rsidRPr="007501A6">
        <w:rPr>
          <w:rFonts w:ascii="Arial" w:eastAsia="Calibri" w:hAnsi="Arial" w:cs="Arial"/>
          <w:bCs/>
          <w:sz w:val="26"/>
          <w:szCs w:val="26"/>
        </w:rPr>
        <w:tab/>
        <w:t xml:space="preserve">Dice que si bien el Director </w:t>
      </w:r>
      <w:r w:rsidR="00C52C6B">
        <w:rPr>
          <w:rFonts w:ascii="Arial" w:eastAsia="Calibri" w:hAnsi="Arial" w:cs="Arial"/>
          <w:bCs/>
          <w:sz w:val="26"/>
          <w:szCs w:val="26"/>
        </w:rPr>
        <w:t xml:space="preserve">de Concesiones </w:t>
      </w:r>
      <w:r w:rsidRPr="007501A6">
        <w:rPr>
          <w:rFonts w:ascii="Arial" w:eastAsia="Calibri" w:hAnsi="Arial" w:cs="Arial"/>
          <w:bCs/>
          <w:sz w:val="26"/>
          <w:szCs w:val="26"/>
        </w:rPr>
        <w:t>se declara incompetente</w:t>
      </w:r>
      <w:r w:rsidR="006B543F">
        <w:rPr>
          <w:rFonts w:ascii="Arial" w:eastAsia="Calibri" w:hAnsi="Arial" w:cs="Arial"/>
          <w:bCs/>
          <w:sz w:val="26"/>
          <w:szCs w:val="26"/>
        </w:rPr>
        <w:t xml:space="preserve">, </w:t>
      </w:r>
      <w:r w:rsidR="00C52C6B">
        <w:rPr>
          <w:rFonts w:ascii="Arial" w:eastAsia="Calibri" w:hAnsi="Arial" w:cs="Arial"/>
          <w:bCs/>
          <w:sz w:val="26"/>
          <w:szCs w:val="26"/>
        </w:rPr>
        <w:t>en cumplimiento al principio de legalidad reconocido en el</w:t>
      </w:r>
      <w:r w:rsidRPr="007501A6">
        <w:rPr>
          <w:rFonts w:ascii="Arial" w:eastAsia="Calibri" w:hAnsi="Arial" w:cs="Arial"/>
          <w:bCs/>
          <w:sz w:val="26"/>
          <w:szCs w:val="26"/>
        </w:rPr>
        <w:t xml:space="preserve"> artículo 2 de la Constitución del Estado Libre y Soberano de Oaxaca, al </w:t>
      </w:r>
      <w:r w:rsidR="006B543F">
        <w:rPr>
          <w:rFonts w:ascii="Arial" w:eastAsia="Calibri" w:hAnsi="Arial" w:cs="Arial"/>
          <w:bCs/>
          <w:sz w:val="26"/>
          <w:szCs w:val="26"/>
        </w:rPr>
        <w:t>adverti</w:t>
      </w:r>
      <w:r w:rsidRPr="007501A6">
        <w:rPr>
          <w:rFonts w:ascii="Arial" w:eastAsia="Calibri" w:hAnsi="Arial" w:cs="Arial"/>
          <w:bCs/>
          <w:sz w:val="26"/>
          <w:szCs w:val="26"/>
        </w:rPr>
        <w:t xml:space="preserve">r que no </w:t>
      </w:r>
      <w:r w:rsidR="006B543F">
        <w:rPr>
          <w:rFonts w:ascii="Arial" w:eastAsia="Calibri" w:hAnsi="Arial" w:cs="Arial"/>
          <w:bCs/>
          <w:sz w:val="26"/>
          <w:szCs w:val="26"/>
        </w:rPr>
        <w:t>tiene facultad para continuar conociendo de la petición formulada</w:t>
      </w:r>
      <w:r w:rsidRPr="007501A6">
        <w:rPr>
          <w:rFonts w:ascii="Arial" w:eastAsia="Calibri" w:hAnsi="Arial" w:cs="Arial"/>
          <w:bCs/>
          <w:sz w:val="26"/>
          <w:szCs w:val="26"/>
        </w:rPr>
        <w:t xml:space="preserve">, yerra al haber turnado </w:t>
      </w:r>
      <w:r w:rsidR="006B543F">
        <w:rPr>
          <w:rFonts w:ascii="Arial" w:eastAsia="Calibri" w:hAnsi="Arial" w:cs="Arial"/>
          <w:bCs/>
          <w:sz w:val="26"/>
          <w:szCs w:val="26"/>
        </w:rPr>
        <w:t>su escrito de petición</w:t>
      </w:r>
      <w:r w:rsidR="007424B8">
        <w:rPr>
          <w:rFonts w:ascii="Arial" w:eastAsia="Calibri" w:hAnsi="Arial" w:cs="Arial"/>
          <w:bCs/>
          <w:sz w:val="26"/>
          <w:szCs w:val="26"/>
        </w:rPr>
        <w:t xml:space="preserve"> </w:t>
      </w:r>
      <w:r w:rsidRPr="007501A6">
        <w:rPr>
          <w:rFonts w:ascii="Arial" w:eastAsia="Calibri" w:hAnsi="Arial" w:cs="Arial"/>
          <w:bCs/>
          <w:sz w:val="26"/>
          <w:szCs w:val="26"/>
        </w:rPr>
        <w:t>al Secr</w:t>
      </w:r>
      <w:r w:rsidR="005F4A7D">
        <w:rPr>
          <w:rFonts w:ascii="Arial" w:eastAsia="Calibri" w:hAnsi="Arial" w:cs="Arial"/>
          <w:bCs/>
          <w:sz w:val="26"/>
          <w:szCs w:val="26"/>
        </w:rPr>
        <w:t xml:space="preserve">etario de Vialidad y Transporte, para que sea éste con base en el </w:t>
      </w:r>
      <w:r w:rsidR="005F4A7D" w:rsidRPr="007501A6">
        <w:rPr>
          <w:rFonts w:ascii="Arial" w:eastAsia="Calibri" w:hAnsi="Arial" w:cs="Arial"/>
          <w:bCs/>
          <w:sz w:val="26"/>
          <w:szCs w:val="26"/>
        </w:rPr>
        <w:t>Acuerdo delegatorio publicado en el Periódico Oficial del Gobierno del Estado el 4 cuatro de septiembre de 2012 dos mil doce</w:t>
      </w:r>
      <w:r w:rsidR="005F4A7D">
        <w:rPr>
          <w:rFonts w:ascii="Arial" w:eastAsia="Calibri" w:hAnsi="Arial" w:cs="Arial"/>
          <w:bCs/>
          <w:sz w:val="26"/>
          <w:szCs w:val="26"/>
        </w:rPr>
        <w:t xml:space="preserve">, proceda a </w:t>
      </w:r>
      <w:r w:rsidR="005F4A7D">
        <w:rPr>
          <w:rFonts w:ascii="Arial" w:eastAsia="Calibri" w:hAnsi="Arial" w:cs="Arial"/>
          <w:bCs/>
          <w:sz w:val="26"/>
          <w:szCs w:val="26"/>
        </w:rPr>
        <w:lastRenderedPageBreak/>
        <w:t xml:space="preserve">determinar </w:t>
      </w:r>
      <w:r w:rsidR="006B543F">
        <w:rPr>
          <w:rFonts w:ascii="Arial" w:eastAsia="Calibri" w:hAnsi="Arial" w:cs="Arial"/>
          <w:bCs/>
          <w:sz w:val="26"/>
          <w:szCs w:val="26"/>
        </w:rPr>
        <w:t>lo que en derecho corresponda y resuelva sobre la renovación de la concesión solicitada</w:t>
      </w:r>
      <w:r w:rsidRPr="007501A6">
        <w:rPr>
          <w:rFonts w:ascii="Arial" w:eastAsia="Calibri" w:hAnsi="Arial" w:cs="Arial"/>
          <w:bCs/>
          <w:sz w:val="26"/>
          <w:szCs w:val="26"/>
        </w:rPr>
        <w:t>.</w:t>
      </w:r>
      <w:r w:rsidR="005F4A7D">
        <w:rPr>
          <w:rFonts w:ascii="Arial" w:eastAsia="Calibri" w:hAnsi="Arial" w:cs="Arial"/>
          <w:bCs/>
          <w:sz w:val="26"/>
          <w:szCs w:val="26"/>
        </w:rPr>
        <w:t xml:space="preserve"> </w:t>
      </w:r>
    </w:p>
    <w:p w:rsidR="005F4A7D" w:rsidRDefault="005F4A7D" w:rsidP="005F4A7D">
      <w:pPr>
        <w:pStyle w:val="Sinespaciado"/>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Acuerdo que indica deviene ilegal, en virtud de que se funda en el </w:t>
      </w:r>
      <w:r w:rsidRPr="007501A6">
        <w:rPr>
          <w:rFonts w:ascii="Arial" w:eastAsia="Calibri" w:hAnsi="Arial" w:cs="Arial"/>
          <w:bCs/>
          <w:sz w:val="26"/>
          <w:szCs w:val="26"/>
        </w:rPr>
        <w:t>Acuerdo delegatorio publicado en el Periódico Oficial del Gobierno del Estado el 4 cuatro de septiembre de 2012 dos mil doce</w:t>
      </w:r>
      <w:r>
        <w:rPr>
          <w:rFonts w:ascii="Arial" w:eastAsia="Calibri" w:hAnsi="Arial" w:cs="Arial"/>
          <w:bCs/>
          <w:sz w:val="26"/>
          <w:szCs w:val="26"/>
        </w:rPr>
        <w:t>, el cual ha dejado de tener vigencia.</w:t>
      </w:r>
    </w:p>
    <w:p w:rsidR="003C5FAE" w:rsidRPr="007501A6" w:rsidRDefault="003C5FAE" w:rsidP="003C5FAE">
      <w:pPr>
        <w:pStyle w:val="Sinespaciado"/>
        <w:spacing w:line="360" w:lineRule="auto"/>
        <w:jc w:val="both"/>
        <w:rPr>
          <w:rFonts w:ascii="Arial" w:eastAsia="Calibri" w:hAnsi="Arial" w:cs="Arial"/>
          <w:bCs/>
          <w:sz w:val="26"/>
          <w:szCs w:val="26"/>
          <w:lang w:val="es-MX"/>
        </w:rPr>
      </w:pPr>
    </w:p>
    <w:p w:rsidR="003C5FAE" w:rsidRPr="007501A6" w:rsidRDefault="003C5FAE" w:rsidP="00A362D0">
      <w:pPr>
        <w:pStyle w:val="Sinespaciado"/>
        <w:spacing w:line="360" w:lineRule="auto"/>
        <w:jc w:val="both"/>
        <w:rPr>
          <w:rFonts w:ascii="Arial" w:eastAsia="Calibri" w:hAnsi="Arial" w:cs="Arial"/>
          <w:bCs/>
          <w:sz w:val="26"/>
          <w:szCs w:val="26"/>
          <w:lang w:val="es-MX"/>
        </w:rPr>
      </w:pPr>
      <w:r w:rsidRPr="007501A6">
        <w:rPr>
          <w:rFonts w:ascii="Arial" w:eastAsia="Calibri" w:hAnsi="Arial" w:cs="Arial"/>
          <w:bCs/>
          <w:sz w:val="26"/>
          <w:szCs w:val="26"/>
          <w:lang w:val="es-MX"/>
        </w:rPr>
        <w:tab/>
        <w:t xml:space="preserve">Agrega que también es ilegal la determinación alzada porque </w:t>
      </w:r>
      <w:r w:rsidR="005F4A7D">
        <w:rPr>
          <w:rFonts w:ascii="Arial" w:eastAsia="Calibri" w:hAnsi="Arial" w:cs="Arial"/>
          <w:bCs/>
          <w:sz w:val="26"/>
          <w:szCs w:val="26"/>
          <w:lang w:val="es-MX"/>
        </w:rPr>
        <w:t xml:space="preserve">la primera instancia </w:t>
      </w:r>
      <w:r w:rsidRPr="007501A6">
        <w:rPr>
          <w:rFonts w:ascii="Arial" w:eastAsia="Calibri" w:hAnsi="Arial" w:cs="Arial"/>
          <w:bCs/>
          <w:sz w:val="26"/>
          <w:szCs w:val="26"/>
          <w:lang w:val="es-MX"/>
        </w:rPr>
        <w:t>deja de hacer un análisis de la resolución del Secretario de Vialidad y Transporte</w:t>
      </w:r>
      <w:r w:rsidR="00561A02">
        <w:rPr>
          <w:rFonts w:ascii="Arial" w:eastAsia="Calibri" w:hAnsi="Arial" w:cs="Arial"/>
          <w:bCs/>
          <w:sz w:val="26"/>
          <w:szCs w:val="26"/>
          <w:lang w:val="es-MX"/>
        </w:rPr>
        <w:t xml:space="preserve">, en la que admite indebidamente su competencia y declara que </w:t>
      </w:r>
      <w:r w:rsidR="00A362D0">
        <w:rPr>
          <w:rFonts w:ascii="Arial" w:eastAsia="Calibri" w:hAnsi="Arial" w:cs="Arial"/>
          <w:bCs/>
          <w:sz w:val="26"/>
          <w:szCs w:val="26"/>
          <w:lang w:val="es-MX"/>
        </w:rPr>
        <w:t>no ha lugar a otorgarle su petición de renovación del acuerdo de concesión</w:t>
      </w:r>
      <w:r w:rsidR="00561A02">
        <w:rPr>
          <w:rFonts w:ascii="Arial" w:eastAsia="Calibri" w:hAnsi="Arial" w:cs="Arial"/>
          <w:bCs/>
          <w:sz w:val="26"/>
          <w:szCs w:val="26"/>
          <w:lang w:val="es-MX"/>
        </w:rPr>
        <w:t>. T</w:t>
      </w:r>
      <w:r w:rsidRPr="007501A6">
        <w:rPr>
          <w:rFonts w:ascii="Arial" w:eastAsia="Calibri" w:hAnsi="Arial" w:cs="Arial"/>
          <w:bCs/>
          <w:sz w:val="26"/>
          <w:szCs w:val="26"/>
          <w:lang w:val="es-MX"/>
        </w:rPr>
        <w:t xml:space="preserve">ambién dice que la sentencia de 13 trece de </w:t>
      </w:r>
      <w:r w:rsidR="00561A02">
        <w:rPr>
          <w:rFonts w:ascii="Arial" w:eastAsia="Calibri" w:hAnsi="Arial" w:cs="Arial"/>
          <w:bCs/>
          <w:sz w:val="26"/>
          <w:szCs w:val="26"/>
          <w:lang w:val="es-MX"/>
        </w:rPr>
        <w:t>diciembre de 2013 dos mil trece</w:t>
      </w:r>
      <w:r w:rsidRPr="007501A6">
        <w:rPr>
          <w:rFonts w:ascii="Arial" w:eastAsia="Calibri" w:hAnsi="Arial" w:cs="Arial"/>
          <w:bCs/>
          <w:sz w:val="26"/>
          <w:szCs w:val="26"/>
          <w:lang w:val="es-MX"/>
        </w:rPr>
        <w:t>, debe ser cumplida por la autoridad competente en una resolución debidamente fundada y motivada, conforme a lo dispuesto por las fracciones I y V del artículo 7 de la Ley de Justicia Administrativa para el Estado de Oaxaca.</w:t>
      </w:r>
    </w:p>
    <w:p w:rsidR="003C5FAE" w:rsidRPr="007501A6" w:rsidRDefault="003C5FAE" w:rsidP="003C5FAE">
      <w:pPr>
        <w:pStyle w:val="Sinespaciado"/>
        <w:spacing w:line="360" w:lineRule="auto"/>
        <w:jc w:val="both"/>
        <w:rPr>
          <w:rFonts w:ascii="Arial" w:eastAsia="Calibri" w:hAnsi="Arial" w:cs="Arial"/>
          <w:bCs/>
          <w:sz w:val="26"/>
          <w:szCs w:val="26"/>
          <w:lang w:val="es-MX"/>
        </w:rPr>
      </w:pPr>
    </w:p>
    <w:p w:rsidR="00952023" w:rsidRDefault="003C5FAE" w:rsidP="003C5FAE">
      <w:pPr>
        <w:pStyle w:val="Sinespaciado"/>
        <w:spacing w:line="360" w:lineRule="auto"/>
        <w:jc w:val="both"/>
        <w:rPr>
          <w:rFonts w:ascii="Arial" w:eastAsia="Calibri" w:hAnsi="Arial" w:cs="Arial"/>
          <w:bCs/>
          <w:sz w:val="26"/>
          <w:szCs w:val="26"/>
          <w:lang w:val="es-MX"/>
        </w:rPr>
      </w:pPr>
      <w:r w:rsidRPr="007501A6">
        <w:rPr>
          <w:rFonts w:ascii="Arial" w:eastAsia="Calibri" w:hAnsi="Arial" w:cs="Arial"/>
          <w:bCs/>
          <w:sz w:val="26"/>
          <w:szCs w:val="26"/>
          <w:lang w:val="es-MX"/>
        </w:rPr>
        <w:tab/>
        <w:t xml:space="preserve">Continúa agraviándose del proveído sujeto a revisión porque considera que el Secretario de Vialidad y Transporte es una autoridad incompetente para resolver lo atinente a su renovación de </w:t>
      </w:r>
      <w:r w:rsidR="00952023">
        <w:rPr>
          <w:rFonts w:ascii="Arial" w:eastAsia="Calibri" w:hAnsi="Arial" w:cs="Arial"/>
          <w:bCs/>
          <w:sz w:val="26"/>
          <w:szCs w:val="26"/>
          <w:lang w:val="es-MX"/>
        </w:rPr>
        <w:t xml:space="preserve">concesión. E insiste en que el </w:t>
      </w:r>
      <w:r w:rsidR="00952023" w:rsidRPr="007501A6">
        <w:rPr>
          <w:rFonts w:ascii="Arial" w:eastAsia="Calibri" w:hAnsi="Arial" w:cs="Arial"/>
          <w:bCs/>
          <w:sz w:val="26"/>
          <w:szCs w:val="26"/>
        </w:rPr>
        <w:t>Acuerdo delegatorio publicado en el Periódico Oficial del Gobierno del Estado el 4 cuatro de septiembre de 2012 dos mil doce</w:t>
      </w:r>
      <w:r w:rsidR="00952023">
        <w:rPr>
          <w:rFonts w:ascii="Arial" w:eastAsia="Calibri" w:hAnsi="Arial" w:cs="Arial"/>
          <w:bCs/>
          <w:sz w:val="26"/>
          <w:szCs w:val="26"/>
        </w:rPr>
        <w:t>, ha sido derogado y por ende no puede ser invocado como fundamento de la resolución</w:t>
      </w:r>
      <w:r w:rsidR="008B5751">
        <w:rPr>
          <w:rFonts w:ascii="Arial" w:eastAsia="Calibri" w:hAnsi="Arial" w:cs="Arial"/>
          <w:bCs/>
          <w:sz w:val="26"/>
          <w:szCs w:val="26"/>
        </w:rPr>
        <w:t>.</w:t>
      </w:r>
    </w:p>
    <w:p w:rsidR="003C5FAE" w:rsidRPr="007501A6" w:rsidRDefault="003C5FAE" w:rsidP="003C5FAE">
      <w:pPr>
        <w:pStyle w:val="Sinespaciado"/>
        <w:spacing w:line="360" w:lineRule="auto"/>
        <w:ind w:firstLine="705"/>
        <w:jc w:val="both"/>
        <w:rPr>
          <w:rFonts w:ascii="Arial" w:eastAsia="Calibri" w:hAnsi="Arial" w:cs="Arial"/>
          <w:bCs/>
          <w:sz w:val="26"/>
          <w:szCs w:val="26"/>
        </w:rPr>
      </w:pPr>
    </w:p>
    <w:p w:rsidR="003C5FAE" w:rsidRPr="007501A6" w:rsidRDefault="003C5FAE" w:rsidP="003C5FAE">
      <w:pPr>
        <w:pStyle w:val="Sinespaciado"/>
        <w:spacing w:line="360" w:lineRule="auto"/>
        <w:ind w:firstLine="705"/>
        <w:jc w:val="both"/>
        <w:rPr>
          <w:rFonts w:ascii="Arial" w:hAnsi="Arial" w:cs="Arial"/>
          <w:sz w:val="26"/>
          <w:szCs w:val="26"/>
        </w:rPr>
      </w:pPr>
      <w:r w:rsidRPr="007501A6">
        <w:rPr>
          <w:rFonts w:ascii="Arial" w:hAnsi="Arial" w:cs="Arial"/>
          <w:sz w:val="26"/>
          <w:szCs w:val="26"/>
        </w:rPr>
        <w:t xml:space="preserve">En un SEGUNDO agravio indica que el acuerdo en revisión es ilegal y contraria lo dispuesto por el artículo 177, fracción II de la Ley de Justicia Administrativa para el Estado de Oaxaca </w:t>
      </w:r>
      <w:r w:rsidR="00147BD3">
        <w:rPr>
          <w:rFonts w:ascii="Arial" w:eastAsia="Calibri" w:hAnsi="Arial" w:cs="Arial"/>
          <w:bCs/>
          <w:sz w:val="26"/>
          <w:szCs w:val="26"/>
          <w:lang w:val="es-MX"/>
        </w:rPr>
        <w:t>al no exponer las razones por las cuales considera que el Secretario de Vialidad y Transporte puede resolver sobre su solicitud de renovación de concesión de transporte público y señala que son</w:t>
      </w:r>
      <w:r w:rsidRPr="007501A6">
        <w:rPr>
          <w:rFonts w:ascii="Arial" w:hAnsi="Arial" w:cs="Arial"/>
          <w:sz w:val="26"/>
          <w:szCs w:val="26"/>
        </w:rPr>
        <w:t xml:space="preserve"> aplicable</w:t>
      </w:r>
      <w:r w:rsidR="00147BD3">
        <w:rPr>
          <w:rFonts w:ascii="Arial" w:hAnsi="Arial" w:cs="Arial"/>
          <w:sz w:val="26"/>
          <w:szCs w:val="26"/>
        </w:rPr>
        <w:t>s</w:t>
      </w:r>
      <w:r w:rsidRPr="007501A6">
        <w:rPr>
          <w:rFonts w:ascii="Arial" w:hAnsi="Arial" w:cs="Arial"/>
          <w:sz w:val="26"/>
          <w:szCs w:val="26"/>
        </w:rPr>
        <w:t xml:space="preserve"> al caso los criterios: “SENTENCIAS DE AMPARO. SU CUMPLIMIENTO DEBE SER TOTAL, ATENTO A LOS PRINCIPIOS DE CONGRUENCIA Y DE EXHAUSTIVIDAD” y “EJECUTORIA DE AMPARO EL JUEZ DE DISTRITO DEBE VELAR POR SU EXACTO CUMPLIMIENTO EN LAS CONDICIONES POR LAS QUE FUE CONCEDIDO EL AMPARO”.</w:t>
      </w:r>
    </w:p>
    <w:p w:rsidR="003C5FAE" w:rsidRPr="007501A6" w:rsidRDefault="003C5FAE" w:rsidP="003C5FAE">
      <w:pPr>
        <w:pStyle w:val="Sinespaciado"/>
        <w:spacing w:line="360" w:lineRule="auto"/>
        <w:ind w:firstLine="705"/>
        <w:jc w:val="both"/>
        <w:rPr>
          <w:rFonts w:ascii="Arial" w:hAnsi="Arial" w:cs="Arial"/>
          <w:sz w:val="26"/>
          <w:szCs w:val="26"/>
        </w:rPr>
      </w:pPr>
    </w:p>
    <w:p w:rsidR="003C5FAE" w:rsidRPr="007501A6" w:rsidRDefault="003C5FAE" w:rsidP="003C5FAE">
      <w:pPr>
        <w:pStyle w:val="Sinespaciado"/>
        <w:spacing w:line="360" w:lineRule="auto"/>
        <w:ind w:firstLine="705"/>
        <w:jc w:val="both"/>
        <w:rPr>
          <w:rFonts w:ascii="Arial" w:hAnsi="Arial" w:cs="Arial"/>
          <w:sz w:val="26"/>
          <w:szCs w:val="26"/>
        </w:rPr>
      </w:pPr>
      <w:r w:rsidRPr="007501A6">
        <w:rPr>
          <w:rFonts w:ascii="Arial" w:hAnsi="Arial" w:cs="Arial"/>
          <w:sz w:val="26"/>
          <w:szCs w:val="26"/>
        </w:rPr>
        <w:lastRenderedPageBreak/>
        <w:t>Añade que contrario a lo resuelto por la magistrada instructora el artículo 40, fracción IV de la Ley Orgánica del Poder Ejecutivo del Estado de Oaxaca, no faculta al Secretario de Vialidad y Transporte para poder pronunciarse respecto a la renovación de la concesión. (</w:t>
      </w:r>
      <w:proofErr w:type="gramStart"/>
      <w:r w:rsidRPr="007501A6">
        <w:rPr>
          <w:rFonts w:ascii="Arial" w:hAnsi="Arial" w:cs="Arial"/>
          <w:sz w:val="26"/>
          <w:szCs w:val="26"/>
        </w:rPr>
        <w:t>transcribe</w:t>
      </w:r>
      <w:proofErr w:type="gramEnd"/>
      <w:r w:rsidRPr="007501A6">
        <w:rPr>
          <w:rFonts w:ascii="Arial" w:hAnsi="Arial" w:cs="Arial"/>
          <w:sz w:val="26"/>
          <w:szCs w:val="26"/>
        </w:rPr>
        <w:t xml:space="preserve"> parte del artículo citado)</w:t>
      </w:r>
    </w:p>
    <w:p w:rsidR="003C5FAE" w:rsidRPr="007501A6" w:rsidRDefault="003C5FAE" w:rsidP="003C5FAE">
      <w:pPr>
        <w:pStyle w:val="Sinespaciado"/>
        <w:spacing w:line="360" w:lineRule="auto"/>
        <w:ind w:firstLine="705"/>
        <w:jc w:val="both"/>
        <w:rPr>
          <w:rFonts w:ascii="Arial" w:hAnsi="Arial" w:cs="Arial"/>
          <w:sz w:val="26"/>
          <w:szCs w:val="26"/>
        </w:rPr>
      </w:pPr>
    </w:p>
    <w:p w:rsidR="003C5FAE" w:rsidRPr="007501A6" w:rsidRDefault="003C5FAE" w:rsidP="003C5FAE">
      <w:pPr>
        <w:pStyle w:val="Sinespaciado"/>
        <w:spacing w:line="360" w:lineRule="auto"/>
        <w:ind w:firstLine="705"/>
        <w:jc w:val="both"/>
        <w:rPr>
          <w:rFonts w:ascii="Arial" w:hAnsi="Arial" w:cs="Arial"/>
          <w:sz w:val="26"/>
          <w:szCs w:val="26"/>
        </w:rPr>
      </w:pPr>
      <w:r w:rsidRPr="007501A6">
        <w:rPr>
          <w:rFonts w:ascii="Arial" w:hAnsi="Arial" w:cs="Arial"/>
          <w:sz w:val="26"/>
          <w:szCs w:val="26"/>
        </w:rPr>
        <w:t>Dice que conforme al texto del artículo 40, fracción IV de la Ley Orgánica del Poder Ejecutivo, el Secretario de Vialidad y Transporte sólo cuenta con facultades para conocer, iniciar e instruir los trámites para otorgar, revocar, cancelar, suspender, modificar, prorrogar, renovar, aprobar y dar por terminadas las concesiones, permisos y autorizacio</w:t>
      </w:r>
      <w:r w:rsidR="0062757D">
        <w:rPr>
          <w:rFonts w:ascii="Arial" w:hAnsi="Arial" w:cs="Arial"/>
          <w:sz w:val="26"/>
          <w:szCs w:val="26"/>
        </w:rPr>
        <w:t>nes que finalmente otorgará el T</w:t>
      </w:r>
      <w:r w:rsidRPr="007501A6">
        <w:rPr>
          <w:rFonts w:ascii="Arial" w:hAnsi="Arial" w:cs="Arial"/>
          <w:sz w:val="26"/>
          <w:szCs w:val="26"/>
        </w:rPr>
        <w:t xml:space="preserve">itular del </w:t>
      </w:r>
      <w:r w:rsidR="00807FED">
        <w:rPr>
          <w:rFonts w:ascii="Arial" w:hAnsi="Arial" w:cs="Arial"/>
          <w:sz w:val="26"/>
          <w:szCs w:val="26"/>
        </w:rPr>
        <w:t>Ejecutivo</w:t>
      </w:r>
      <w:r w:rsidRPr="007501A6">
        <w:rPr>
          <w:rFonts w:ascii="Arial" w:hAnsi="Arial" w:cs="Arial"/>
          <w:sz w:val="26"/>
          <w:szCs w:val="26"/>
        </w:rPr>
        <w:t xml:space="preserve">. O sea, que el citado servidor público se constreñirá a realizar todas y cada una de las etapas del procedimiento administrativo cuidando que se respeten las formalidades y términos legales y que se cumplan los requisitos establecidos en las normas jurídicas, pero no está facultado para resolver de fondo el mismo. </w:t>
      </w:r>
    </w:p>
    <w:p w:rsidR="003C5FAE" w:rsidRPr="007501A6" w:rsidRDefault="003C5FAE" w:rsidP="003C5FAE">
      <w:pPr>
        <w:pStyle w:val="Sinespaciado"/>
        <w:spacing w:line="360" w:lineRule="auto"/>
        <w:ind w:firstLine="705"/>
        <w:jc w:val="both"/>
        <w:rPr>
          <w:rFonts w:ascii="Arial" w:hAnsi="Arial" w:cs="Arial"/>
          <w:sz w:val="26"/>
          <w:szCs w:val="26"/>
        </w:rPr>
      </w:pPr>
    </w:p>
    <w:p w:rsidR="003C5FAE" w:rsidRPr="007501A6" w:rsidRDefault="00A10AD2" w:rsidP="003C5FAE">
      <w:pPr>
        <w:pStyle w:val="Sinespaciado"/>
        <w:spacing w:line="360" w:lineRule="auto"/>
        <w:ind w:firstLine="705"/>
        <w:jc w:val="both"/>
        <w:rPr>
          <w:rFonts w:ascii="Arial" w:hAnsi="Arial" w:cs="Arial"/>
          <w:sz w:val="26"/>
          <w:szCs w:val="26"/>
        </w:rPr>
      </w:pPr>
      <w:r>
        <w:rPr>
          <w:noProof/>
        </w:rPr>
        <mc:AlternateContent>
          <mc:Choice Requires="wps">
            <w:drawing>
              <wp:anchor distT="0" distB="0" distL="114300" distR="114300" simplePos="0" relativeHeight="251663360" behindDoc="0" locked="0" layoutInCell="1" allowOverlap="1" wp14:anchorId="33C6B3DD" wp14:editId="68EF01E5">
                <wp:simplePos x="0" y="0"/>
                <wp:positionH relativeFrom="column">
                  <wp:posOffset>5339080</wp:posOffset>
                </wp:positionH>
                <wp:positionV relativeFrom="paragraph">
                  <wp:posOffset>2175510</wp:posOffset>
                </wp:positionV>
                <wp:extent cx="1076325" cy="65722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10AD2" w:rsidRPr="00A6596B" w:rsidRDefault="00A10AD2" w:rsidP="00A10AD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20.4pt;margin-top:171.3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">
                <v:textbox>
                  <w:txbxContent>
                    <w:p w:rsidR="00A10AD2" w:rsidRPr="00A6596B" w:rsidRDefault="00A10AD2" w:rsidP="00A10AD2">
                      <w:pPr>
                        <w:rPr>
                          <w:sz w:val="16"/>
                          <w:szCs w:val="16"/>
                        </w:rPr>
                      </w:pPr>
                      <w:r>
                        <w:rPr>
                          <w:sz w:val="16"/>
                          <w:szCs w:val="16"/>
                        </w:rPr>
                        <w:t>Datos personales protegidos por el Art. 116 de la LGTAIP y el Art. 56 de la LTAIPEO</w:t>
                      </w:r>
                    </w:p>
                  </w:txbxContent>
                </v:textbox>
              </v:shape>
            </w:pict>
          </mc:Fallback>
        </mc:AlternateContent>
      </w:r>
      <w:r w:rsidR="003C5FAE" w:rsidRPr="007501A6">
        <w:rPr>
          <w:rFonts w:ascii="Arial" w:hAnsi="Arial" w:cs="Arial"/>
          <w:sz w:val="26"/>
          <w:szCs w:val="26"/>
        </w:rPr>
        <w:t xml:space="preserve">Indica que el Secretario de Vialidad y Transporte del Estado sólo está facultado para instruir el procedimiento de renovación de concesión y que deberá dejarlo en estado de resolución para que en su caso el titular del Poder Ejecutivo sea quien emita la decisión de fondo; para sostener sus asertos otorga un concepto del vocablo instruir, diciendo que esta acepción gramatical concuerda con la naturaleza jurídica del vocablo procedimiento el cual, dice que conforme a la doctrina y jurisprudencia, el procedimiento tiene dos etapas diferenciadas: la de instrucción y la de resolución o conclusión; que a su vez la etapa de instrucción tiene tres etapas: la </w:t>
      </w:r>
      <w:proofErr w:type="spellStart"/>
      <w:r w:rsidR="003C5FAE" w:rsidRPr="007501A6">
        <w:rPr>
          <w:rFonts w:ascii="Arial" w:hAnsi="Arial" w:cs="Arial"/>
          <w:sz w:val="26"/>
          <w:szCs w:val="26"/>
        </w:rPr>
        <w:t>postula</w:t>
      </w:r>
      <w:r w:rsidR="00ED4ECB">
        <w:rPr>
          <w:rFonts w:ascii="Arial" w:hAnsi="Arial" w:cs="Arial"/>
          <w:sz w:val="26"/>
          <w:szCs w:val="26"/>
        </w:rPr>
        <w:t>t</w:t>
      </w:r>
      <w:r w:rsidR="003C5FAE" w:rsidRPr="007501A6">
        <w:rPr>
          <w:rFonts w:ascii="Arial" w:hAnsi="Arial" w:cs="Arial"/>
          <w:sz w:val="26"/>
          <w:szCs w:val="26"/>
        </w:rPr>
        <w:t>oria</w:t>
      </w:r>
      <w:proofErr w:type="spellEnd"/>
      <w:r w:rsidR="003C5FAE" w:rsidRPr="007501A6">
        <w:rPr>
          <w:rFonts w:ascii="Arial" w:hAnsi="Arial" w:cs="Arial"/>
          <w:sz w:val="26"/>
          <w:szCs w:val="26"/>
        </w:rPr>
        <w:t xml:space="preserve"> o expositiva, probatoria y la </w:t>
      </w:r>
      <w:proofErr w:type="spellStart"/>
      <w:r w:rsidR="003C5FAE" w:rsidRPr="007501A6">
        <w:rPr>
          <w:rFonts w:ascii="Arial" w:hAnsi="Arial" w:cs="Arial"/>
          <w:sz w:val="26"/>
          <w:szCs w:val="26"/>
        </w:rPr>
        <w:t>preconclusiva</w:t>
      </w:r>
      <w:proofErr w:type="spellEnd"/>
      <w:r w:rsidR="003C5FAE" w:rsidRPr="007501A6">
        <w:rPr>
          <w:rFonts w:ascii="Arial" w:hAnsi="Arial" w:cs="Arial"/>
          <w:sz w:val="26"/>
          <w:szCs w:val="26"/>
        </w:rPr>
        <w:t>. De esto que el Secretario de Vialidad y Transporte está facultado para instruir el procedimiento administrativo relativo a un tema sustancial e incidental de las concesiones de transporte público como lo es la renovación o prórroga de las concesiones pero que no le otorga para resolver respecto al fondo de las mismas, porque tal competencia corresponde al Gobernador del Estado.</w:t>
      </w:r>
    </w:p>
    <w:p w:rsidR="003C5FAE" w:rsidRPr="007501A6" w:rsidRDefault="003C5FAE" w:rsidP="003C5FAE">
      <w:pPr>
        <w:pStyle w:val="Sinespaciado"/>
        <w:spacing w:line="360" w:lineRule="auto"/>
        <w:ind w:firstLine="705"/>
        <w:jc w:val="both"/>
        <w:rPr>
          <w:rFonts w:ascii="Arial" w:hAnsi="Arial" w:cs="Arial"/>
          <w:sz w:val="26"/>
          <w:szCs w:val="26"/>
        </w:rPr>
      </w:pPr>
    </w:p>
    <w:p w:rsidR="003C5FAE" w:rsidRPr="007501A6" w:rsidRDefault="003C5FAE" w:rsidP="003C5FAE">
      <w:pPr>
        <w:pStyle w:val="Sinespaciado"/>
        <w:spacing w:line="360" w:lineRule="auto"/>
        <w:ind w:firstLine="705"/>
        <w:jc w:val="both"/>
        <w:rPr>
          <w:rFonts w:ascii="Arial" w:hAnsi="Arial" w:cs="Arial"/>
          <w:sz w:val="26"/>
          <w:szCs w:val="26"/>
        </w:rPr>
      </w:pPr>
      <w:r w:rsidRPr="007501A6">
        <w:rPr>
          <w:rFonts w:ascii="Arial" w:hAnsi="Arial" w:cs="Arial"/>
          <w:sz w:val="26"/>
          <w:szCs w:val="26"/>
        </w:rPr>
        <w:t xml:space="preserve">Por tanto, dice que es errada la afirmación de la magistrada instructora al tener por cumplida la sentencia, causándole un agravio </w:t>
      </w:r>
      <w:r w:rsidRPr="007501A6">
        <w:rPr>
          <w:rFonts w:ascii="Arial" w:hAnsi="Arial" w:cs="Arial"/>
          <w:sz w:val="26"/>
          <w:szCs w:val="26"/>
        </w:rPr>
        <w:lastRenderedPageBreak/>
        <w:t>reparable en segunda instancia, por lo que se debe decretar por no cumplida la sentencia y requerir al Gobernador Constitucional del Estado de Oaxaca. Cita como sustento de sus agravios los criterios “JUICIO CONTENCIOSO ADMINISTRATIVO FEDERAL. EL PROMOVIDO ANTE LAS SALAS REGIONALES DEL TRIBUNAL FEDERAL DE JUSTICIA FEDERAL Y ADMINISTRATIVA CONTRA RESOLUCIONES DEFINITIVAS, ACTOS AMDINISTRATIOVS Y PROCEDIMIENTOS QUE S FUNDEN EN UN TRATADO O ACUERDO INTERNACIONAL PARA EVITAR LA DOBLE TRIBUTACIÓN O EN MATERIA COMERCIAL, SUSCRITO POR MÉXICO, O CUANDO EL DEMANDANTE ADUZCA LA FALTA DE APLICACIÓN DE ALGUNO DE ÉSTOS EN SU FAVOR, DEBE SER RESUELTO POR LAS SECCIONES DE LA SALA SUPERIOR DE DICHO ÓRGANO.” Así como el de rubro: “SERVIDORES PÚBLICOS. EL LEGISLADOR EMPLEÓ COMO SINÓNIMOS LAS PALABRAS “INSTAURAR” Y “SUBSTANCIAR” EN EL TEXTO DEL ARTÍCULO 26, FRACCIÓN IV, INCISO A) DEL REGLAMENTO INTERIOR DE LA SECRETARÍA DE CONTRALORÍA Y DESARROLLO ADMINISTRATIVO VIGENTE HASTA EL 16 DE JULIO DE 2001”.</w:t>
      </w:r>
    </w:p>
    <w:p w:rsidR="003C5FAE" w:rsidRPr="007501A6" w:rsidRDefault="003C5FAE" w:rsidP="003C5FAE">
      <w:pPr>
        <w:pStyle w:val="Sinespaciado"/>
        <w:spacing w:line="360" w:lineRule="auto"/>
        <w:ind w:firstLine="705"/>
        <w:jc w:val="both"/>
        <w:rPr>
          <w:rFonts w:ascii="Arial" w:hAnsi="Arial" w:cs="Arial"/>
          <w:sz w:val="26"/>
          <w:szCs w:val="26"/>
        </w:rPr>
      </w:pPr>
    </w:p>
    <w:p w:rsidR="003C5FAE" w:rsidRPr="007501A6" w:rsidRDefault="003C5FAE" w:rsidP="003C5FAE">
      <w:pPr>
        <w:pStyle w:val="Sinespaciado"/>
        <w:spacing w:line="360" w:lineRule="auto"/>
        <w:ind w:firstLine="705"/>
        <w:jc w:val="both"/>
        <w:rPr>
          <w:rFonts w:ascii="Arial" w:hAnsi="Arial" w:cs="Arial"/>
          <w:sz w:val="26"/>
          <w:szCs w:val="26"/>
        </w:rPr>
      </w:pPr>
      <w:r w:rsidRPr="00541B4B">
        <w:rPr>
          <w:rFonts w:ascii="Arial" w:hAnsi="Arial" w:cs="Arial"/>
          <w:sz w:val="26"/>
          <w:szCs w:val="26"/>
        </w:rPr>
        <w:t>Por último,</w:t>
      </w:r>
      <w:r w:rsidRPr="007501A6">
        <w:rPr>
          <w:rFonts w:ascii="Arial" w:hAnsi="Arial" w:cs="Arial"/>
          <w:b/>
          <w:sz w:val="26"/>
          <w:szCs w:val="26"/>
        </w:rPr>
        <w:t xml:space="preserve"> </w:t>
      </w:r>
      <w:r w:rsidRPr="007501A6">
        <w:rPr>
          <w:rFonts w:ascii="Arial" w:hAnsi="Arial" w:cs="Arial"/>
          <w:sz w:val="26"/>
          <w:szCs w:val="26"/>
        </w:rPr>
        <w:t xml:space="preserve">en el </w:t>
      </w:r>
      <w:r w:rsidR="00541B4B">
        <w:rPr>
          <w:rFonts w:ascii="Arial" w:hAnsi="Arial" w:cs="Arial"/>
          <w:sz w:val="26"/>
          <w:szCs w:val="26"/>
        </w:rPr>
        <w:t>tercer agravio</w:t>
      </w:r>
      <w:r w:rsidRPr="007501A6">
        <w:rPr>
          <w:rFonts w:ascii="Arial" w:hAnsi="Arial" w:cs="Arial"/>
          <w:sz w:val="26"/>
          <w:szCs w:val="26"/>
        </w:rPr>
        <w:t xml:space="preserve"> indica que la resolución alzada incumple con el artículo 177, fracciones I y II</w:t>
      </w:r>
      <w:r w:rsidR="0062757D">
        <w:rPr>
          <w:rFonts w:ascii="Arial" w:hAnsi="Arial" w:cs="Arial"/>
          <w:sz w:val="26"/>
          <w:szCs w:val="26"/>
        </w:rPr>
        <w:t>,</w:t>
      </w:r>
      <w:r w:rsidRPr="007501A6">
        <w:rPr>
          <w:rFonts w:ascii="Arial" w:hAnsi="Arial" w:cs="Arial"/>
          <w:sz w:val="26"/>
          <w:szCs w:val="26"/>
        </w:rPr>
        <w:t xml:space="preserve"> de la Ley de Justicia Administrativa para el Estado de Oaxaca porque </w:t>
      </w:r>
      <w:r w:rsidR="00541B4B">
        <w:rPr>
          <w:rFonts w:ascii="Arial" w:hAnsi="Arial" w:cs="Arial"/>
          <w:sz w:val="26"/>
          <w:szCs w:val="26"/>
        </w:rPr>
        <w:t>reitera</w:t>
      </w:r>
      <w:r w:rsidR="00541B4B" w:rsidRPr="007501A6">
        <w:rPr>
          <w:rFonts w:ascii="Arial" w:hAnsi="Arial" w:cs="Arial"/>
          <w:sz w:val="26"/>
          <w:szCs w:val="26"/>
        </w:rPr>
        <w:t>,</w:t>
      </w:r>
      <w:r w:rsidR="00541B4B">
        <w:rPr>
          <w:rFonts w:ascii="Arial" w:hAnsi="Arial" w:cs="Arial"/>
          <w:sz w:val="26"/>
          <w:szCs w:val="26"/>
        </w:rPr>
        <w:t xml:space="preserve"> </w:t>
      </w:r>
      <w:r w:rsidRPr="007501A6">
        <w:rPr>
          <w:rFonts w:ascii="Arial" w:hAnsi="Arial" w:cs="Arial"/>
          <w:sz w:val="26"/>
          <w:szCs w:val="26"/>
        </w:rPr>
        <w:t xml:space="preserve">la </w:t>
      </w:r>
      <w:proofErr w:type="spellStart"/>
      <w:r w:rsidRPr="007501A6">
        <w:rPr>
          <w:rFonts w:ascii="Arial" w:hAnsi="Arial" w:cs="Arial"/>
          <w:sz w:val="26"/>
          <w:szCs w:val="26"/>
        </w:rPr>
        <w:t>resolutora</w:t>
      </w:r>
      <w:proofErr w:type="spellEnd"/>
      <w:r w:rsidRPr="007501A6">
        <w:rPr>
          <w:rFonts w:ascii="Arial" w:hAnsi="Arial" w:cs="Arial"/>
          <w:sz w:val="26"/>
          <w:szCs w:val="26"/>
        </w:rPr>
        <w:t xml:space="preserve"> primigenia, dejó de analizar los preceptos jurídicos citados por el Secretario de Vialidad y Transporte para fundar su competencia para resolver sobre su solicitud de renovación de concesión. </w:t>
      </w:r>
      <w:r w:rsidR="00541B4B">
        <w:rPr>
          <w:rFonts w:ascii="Arial" w:hAnsi="Arial" w:cs="Arial"/>
          <w:sz w:val="26"/>
          <w:szCs w:val="26"/>
        </w:rPr>
        <w:t>E insiste en</w:t>
      </w:r>
      <w:r w:rsidRPr="007501A6">
        <w:rPr>
          <w:rFonts w:ascii="Arial" w:hAnsi="Arial" w:cs="Arial"/>
          <w:sz w:val="26"/>
          <w:szCs w:val="26"/>
        </w:rPr>
        <w:t xml:space="preserve"> que </w:t>
      </w:r>
      <w:r w:rsidR="00541B4B">
        <w:rPr>
          <w:rFonts w:ascii="Arial" w:hAnsi="Arial" w:cs="Arial"/>
          <w:sz w:val="26"/>
          <w:szCs w:val="26"/>
        </w:rPr>
        <w:t>omite</w:t>
      </w:r>
      <w:r w:rsidRPr="007501A6">
        <w:rPr>
          <w:rFonts w:ascii="Arial" w:hAnsi="Arial" w:cs="Arial"/>
          <w:sz w:val="26"/>
          <w:szCs w:val="26"/>
        </w:rPr>
        <w:t xml:space="preserve"> </w:t>
      </w:r>
      <w:r w:rsidR="00541B4B">
        <w:rPr>
          <w:rFonts w:ascii="Arial" w:hAnsi="Arial" w:cs="Arial"/>
          <w:sz w:val="26"/>
          <w:szCs w:val="26"/>
        </w:rPr>
        <w:t>el análisis de</w:t>
      </w:r>
      <w:r w:rsidRPr="007501A6">
        <w:rPr>
          <w:rFonts w:ascii="Arial" w:hAnsi="Arial" w:cs="Arial"/>
          <w:sz w:val="26"/>
          <w:szCs w:val="26"/>
        </w:rPr>
        <w:t xml:space="preserve"> los artículos 40 fracciones I, II, II, VII, IX, XXI, así como el tercero y noveno transitorios de la Ley Orgánica del Poder Ejecutivo del Estado, 7 de la Ley de Justicia Administrativa para el Estado de Oaxaca, 5, 6, 21, </w:t>
      </w:r>
      <w:r w:rsidR="00541B4B">
        <w:rPr>
          <w:rFonts w:ascii="Arial" w:hAnsi="Arial" w:cs="Arial"/>
          <w:sz w:val="26"/>
          <w:szCs w:val="26"/>
        </w:rPr>
        <w:t xml:space="preserve">26, 29, </w:t>
      </w:r>
      <w:r w:rsidRPr="007501A6">
        <w:rPr>
          <w:rFonts w:ascii="Arial" w:hAnsi="Arial" w:cs="Arial"/>
          <w:sz w:val="26"/>
          <w:szCs w:val="26"/>
        </w:rPr>
        <w:t xml:space="preserve">35, </w:t>
      </w:r>
      <w:r w:rsidR="00541B4B">
        <w:rPr>
          <w:rFonts w:ascii="Arial" w:hAnsi="Arial" w:cs="Arial"/>
          <w:sz w:val="26"/>
          <w:szCs w:val="26"/>
        </w:rPr>
        <w:t xml:space="preserve">44, </w:t>
      </w:r>
      <w:r w:rsidRPr="007501A6">
        <w:rPr>
          <w:rFonts w:ascii="Arial" w:hAnsi="Arial" w:cs="Arial"/>
          <w:sz w:val="26"/>
          <w:szCs w:val="26"/>
        </w:rPr>
        <w:t>66, 78 y 87 de la Ley de Transporte del Estado de Oaxaca, 95 bis</w:t>
      </w:r>
      <w:r w:rsidR="0062757D">
        <w:rPr>
          <w:rFonts w:ascii="Arial" w:hAnsi="Arial" w:cs="Arial"/>
          <w:sz w:val="26"/>
          <w:szCs w:val="26"/>
        </w:rPr>
        <w:t>,</w:t>
      </w:r>
      <w:r w:rsidRPr="007501A6">
        <w:rPr>
          <w:rFonts w:ascii="Arial" w:hAnsi="Arial" w:cs="Arial"/>
          <w:sz w:val="26"/>
          <w:szCs w:val="26"/>
        </w:rPr>
        <w:t xml:space="preserve"> de la Ley de Tránsito Reformada del Estado de Oaxaca, 8</w:t>
      </w:r>
      <w:r w:rsidR="00541B4B">
        <w:rPr>
          <w:rFonts w:ascii="Arial" w:hAnsi="Arial" w:cs="Arial"/>
          <w:sz w:val="26"/>
          <w:szCs w:val="26"/>
        </w:rPr>
        <w:t xml:space="preserve">º </w:t>
      </w:r>
      <w:r w:rsidRPr="007501A6">
        <w:rPr>
          <w:rFonts w:ascii="Arial" w:hAnsi="Arial" w:cs="Arial"/>
          <w:sz w:val="26"/>
          <w:szCs w:val="26"/>
        </w:rPr>
        <w:t xml:space="preserve">de la Constitución </w:t>
      </w:r>
      <w:r w:rsidR="00541B4B">
        <w:rPr>
          <w:rFonts w:ascii="Arial" w:hAnsi="Arial" w:cs="Arial"/>
          <w:sz w:val="26"/>
          <w:szCs w:val="26"/>
        </w:rPr>
        <w:t xml:space="preserve">Política de los Estados Unidos Mexicanos </w:t>
      </w:r>
      <w:r w:rsidRPr="007501A6">
        <w:rPr>
          <w:rFonts w:ascii="Arial" w:hAnsi="Arial" w:cs="Arial"/>
          <w:sz w:val="26"/>
          <w:szCs w:val="26"/>
        </w:rPr>
        <w:t xml:space="preserve">y 13 de la Constitución Local. </w:t>
      </w:r>
      <w:r w:rsidR="00541B4B">
        <w:rPr>
          <w:rFonts w:ascii="Arial" w:hAnsi="Arial" w:cs="Arial"/>
          <w:sz w:val="26"/>
          <w:szCs w:val="26"/>
        </w:rPr>
        <w:t>Con lo cual señala que se deja de advertir que ninguno de éstos le otorga facultades al</w:t>
      </w:r>
      <w:r w:rsidRPr="007501A6">
        <w:rPr>
          <w:rFonts w:ascii="Arial" w:hAnsi="Arial" w:cs="Arial"/>
          <w:sz w:val="26"/>
          <w:szCs w:val="26"/>
        </w:rPr>
        <w:t xml:space="preserve"> Secretario de Vialidad y Transporte para resolver </w:t>
      </w:r>
      <w:r w:rsidR="00541B4B">
        <w:rPr>
          <w:rFonts w:ascii="Arial" w:hAnsi="Arial" w:cs="Arial"/>
          <w:sz w:val="26"/>
          <w:szCs w:val="26"/>
        </w:rPr>
        <w:t>sobre la r</w:t>
      </w:r>
      <w:r w:rsidRPr="007501A6">
        <w:rPr>
          <w:rFonts w:ascii="Arial" w:hAnsi="Arial" w:cs="Arial"/>
          <w:sz w:val="26"/>
          <w:szCs w:val="26"/>
        </w:rPr>
        <w:t>enovación de concesi</w:t>
      </w:r>
      <w:r w:rsidR="00541B4B">
        <w:rPr>
          <w:rFonts w:ascii="Arial" w:hAnsi="Arial" w:cs="Arial"/>
          <w:sz w:val="26"/>
          <w:szCs w:val="26"/>
        </w:rPr>
        <w:t>ones de transporte público</w:t>
      </w:r>
      <w:r w:rsidRPr="007501A6">
        <w:rPr>
          <w:rFonts w:ascii="Arial" w:hAnsi="Arial" w:cs="Arial"/>
          <w:sz w:val="26"/>
          <w:szCs w:val="26"/>
        </w:rPr>
        <w:t xml:space="preserve">. </w:t>
      </w:r>
    </w:p>
    <w:p w:rsidR="003C5FAE" w:rsidRPr="007501A6" w:rsidRDefault="003C5FAE" w:rsidP="003C5FAE">
      <w:pPr>
        <w:pStyle w:val="Sinespaciado"/>
        <w:spacing w:line="360" w:lineRule="auto"/>
        <w:ind w:firstLine="705"/>
        <w:jc w:val="both"/>
        <w:rPr>
          <w:rFonts w:ascii="Arial" w:hAnsi="Arial" w:cs="Arial"/>
          <w:sz w:val="26"/>
          <w:szCs w:val="26"/>
        </w:rPr>
      </w:pPr>
    </w:p>
    <w:p w:rsidR="005B5991" w:rsidRDefault="007629DC" w:rsidP="007629DC">
      <w:pPr>
        <w:pStyle w:val="Sinespaciado"/>
        <w:spacing w:line="360" w:lineRule="auto"/>
        <w:ind w:firstLine="705"/>
        <w:jc w:val="both"/>
        <w:rPr>
          <w:rFonts w:ascii="Arial" w:eastAsia="Calibri" w:hAnsi="Arial" w:cs="Arial"/>
          <w:bCs/>
          <w:sz w:val="26"/>
          <w:szCs w:val="26"/>
        </w:rPr>
      </w:pPr>
      <w:r>
        <w:rPr>
          <w:rFonts w:ascii="Arial" w:eastAsia="Calibri" w:hAnsi="Arial" w:cs="Arial"/>
          <w:bCs/>
          <w:sz w:val="26"/>
          <w:szCs w:val="26"/>
        </w:rPr>
        <w:lastRenderedPageBreak/>
        <w:t xml:space="preserve">Ahora bien, las manifestaciones </w:t>
      </w:r>
      <w:r w:rsidR="005B5991">
        <w:rPr>
          <w:rFonts w:ascii="Arial" w:eastAsia="Calibri" w:hAnsi="Arial" w:cs="Arial"/>
          <w:bCs/>
          <w:sz w:val="26"/>
          <w:szCs w:val="26"/>
        </w:rPr>
        <w:t xml:space="preserve">de la disconforme, </w:t>
      </w:r>
      <w:r>
        <w:rPr>
          <w:rFonts w:ascii="Arial" w:eastAsia="Calibri" w:hAnsi="Arial" w:cs="Arial"/>
          <w:bCs/>
          <w:sz w:val="26"/>
          <w:szCs w:val="26"/>
        </w:rPr>
        <w:t xml:space="preserve">consistentes en que el acuerdo impugnado es ilegal porque declaró cumplida la sentencia sin haber realizado ningún análisis del acuerdo de 29 veintinueve de agosto de 2016 dos mil dieciséis, dictado por el Director de Concesiones de la Secretaría de Vialidad y Transporte, así como </w:t>
      </w:r>
      <w:r w:rsidR="005B5991">
        <w:rPr>
          <w:rFonts w:ascii="Arial" w:eastAsia="Calibri" w:hAnsi="Arial" w:cs="Arial"/>
          <w:bCs/>
          <w:sz w:val="26"/>
          <w:szCs w:val="26"/>
        </w:rPr>
        <w:t xml:space="preserve">de </w:t>
      </w:r>
      <w:r>
        <w:rPr>
          <w:rFonts w:ascii="Arial" w:eastAsia="Calibri" w:hAnsi="Arial" w:cs="Arial"/>
          <w:bCs/>
          <w:sz w:val="26"/>
          <w:szCs w:val="26"/>
        </w:rPr>
        <w:t>la resolución de 19 diecinueve de octubre de 2016 dos mil dieciséis</w:t>
      </w:r>
      <w:r w:rsidR="0062757D">
        <w:rPr>
          <w:rFonts w:ascii="Arial" w:eastAsia="Calibri" w:hAnsi="Arial" w:cs="Arial"/>
          <w:bCs/>
          <w:sz w:val="26"/>
          <w:szCs w:val="26"/>
        </w:rPr>
        <w:t>,</w:t>
      </w:r>
      <w:r w:rsidR="003C5FAE" w:rsidRPr="007501A6">
        <w:rPr>
          <w:rFonts w:ascii="Arial" w:eastAsia="Calibri" w:hAnsi="Arial" w:cs="Arial"/>
          <w:bCs/>
          <w:sz w:val="26"/>
          <w:szCs w:val="26"/>
        </w:rPr>
        <w:t xml:space="preserve"> del Secretario de Vialidad y Transporte</w:t>
      </w:r>
      <w:r w:rsidR="005B5991">
        <w:rPr>
          <w:rFonts w:ascii="Arial" w:eastAsia="Calibri" w:hAnsi="Arial" w:cs="Arial"/>
          <w:bCs/>
          <w:sz w:val="26"/>
          <w:szCs w:val="26"/>
        </w:rPr>
        <w:t xml:space="preserve">; </w:t>
      </w:r>
      <w:r w:rsidR="005B5991" w:rsidRPr="005B5991">
        <w:rPr>
          <w:rFonts w:ascii="Arial" w:eastAsia="Calibri" w:hAnsi="Arial" w:cs="Arial"/>
          <w:b/>
          <w:bCs/>
          <w:sz w:val="26"/>
          <w:szCs w:val="26"/>
        </w:rPr>
        <w:t>resultan inoperantes</w:t>
      </w:r>
      <w:r w:rsidR="005B5991">
        <w:rPr>
          <w:rFonts w:ascii="Arial" w:eastAsia="Calibri" w:hAnsi="Arial" w:cs="Arial"/>
          <w:bCs/>
          <w:sz w:val="26"/>
          <w:szCs w:val="26"/>
        </w:rPr>
        <w:t>.</w:t>
      </w:r>
    </w:p>
    <w:p w:rsidR="005B5991" w:rsidRDefault="005B5991" w:rsidP="007629DC">
      <w:pPr>
        <w:pStyle w:val="Sinespaciado"/>
        <w:spacing w:line="360" w:lineRule="auto"/>
        <w:ind w:firstLine="705"/>
        <w:jc w:val="both"/>
        <w:rPr>
          <w:rFonts w:ascii="Arial" w:eastAsia="Calibri" w:hAnsi="Arial" w:cs="Arial"/>
          <w:bCs/>
          <w:sz w:val="26"/>
          <w:szCs w:val="26"/>
        </w:rPr>
      </w:pPr>
    </w:p>
    <w:p w:rsidR="003C5FAE" w:rsidRPr="007501A6" w:rsidRDefault="005B5991" w:rsidP="007629DC">
      <w:pPr>
        <w:pStyle w:val="Sinespaciado"/>
        <w:spacing w:line="360" w:lineRule="auto"/>
        <w:ind w:firstLine="705"/>
        <w:jc w:val="both"/>
        <w:rPr>
          <w:rFonts w:ascii="Arial" w:eastAsia="Calibri" w:hAnsi="Arial" w:cs="Arial"/>
          <w:bCs/>
          <w:sz w:val="26"/>
          <w:szCs w:val="26"/>
        </w:rPr>
      </w:pPr>
      <w:r>
        <w:rPr>
          <w:rFonts w:ascii="Arial" w:eastAsia="Calibri" w:hAnsi="Arial" w:cs="Arial"/>
          <w:bCs/>
          <w:sz w:val="26"/>
          <w:szCs w:val="26"/>
        </w:rPr>
        <w:t>Lo anterior es así, toda vez que éstos</w:t>
      </w:r>
      <w:r w:rsidR="003C5FAE" w:rsidRPr="007501A6">
        <w:rPr>
          <w:rFonts w:ascii="Arial" w:eastAsia="Calibri" w:hAnsi="Arial" w:cs="Arial"/>
          <w:bCs/>
          <w:sz w:val="26"/>
          <w:szCs w:val="26"/>
        </w:rPr>
        <w:t xml:space="preserve"> son materia de un estudio separado, al tratarse </w:t>
      </w:r>
      <w:r w:rsidR="007629DC">
        <w:rPr>
          <w:rFonts w:ascii="Arial" w:eastAsia="Calibri" w:hAnsi="Arial" w:cs="Arial"/>
          <w:bCs/>
          <w:sz w:val="26"/>
          <w:szCs w:val="26"/>
        </w:rPr>
        <w:t>de actos nuevos</w:t>
      </w:r>
      <w:r w:rsidR="003C5FAE" w:rsidRPr="007501A6">
        <w:rPr>
          <w:rFonts w:ascii="Arial" w:eastAsia="Calibri" w:hAnsi="Arial" w:cs="Arial"/>
          <w:bCs/>
          <w:sz w:val="26"/>
          <w:szCs w:val="26"/>
        </w:rPr>
        <w:t xml:space="preserve"> que no ha</w:t>
      </w:r>
      <w:r w:rsidR="007629DC">
        <w:rPr>
          <w:rFonts w:ascii="Arial" w:eastAsia="Calibri" w:hAnsi="Arial" w:cs="Arial"/>
          <w:bCs/>
          <w:sz w:val="26"/>
          <w:szCs w:val="26"/>
        </w:rPr>
        <w:t>n</w:t>
      </w:r>
      <w:r w:rsidR="003C5FAE" w:rsidRPr="007501A6">
        <w:rPr>
          <w:rFonts w:ascii="Arial" w:eastAsia="Calibri" w:hAnsi="Arial" w:cs="Arial"/>
          <w:bCs/>
          <w:sz w:val="26"/>
          <w:szCs w:val="26"/>
        </w:rPr>
        <w:t xml:space="preserve"> sido controvertido</w:t>
      </w:r>
      <w:r w:rsidR="007629DC">
        <w:rPr>
          <w:rFonts w:ascii="Arial" w:eastAsia="Calibri" w:hAnsi="Arial" w:cs="Arial"/>
          <w:bCs/>
          <w:sz w:val="26"/>
          <w:szCs w:val="26"/>
        </w:rPr>
        <w:t>s</w:t>
      </w:r>
      <w:r w:rsidR="003C5FAE" w:rsidRPr="007501A6">
        <w:rPr>
          <w:rFonts w:ascii="Arial" w:eastAsia="Calibri" w:hAnsi="Arial" w:cs="Arial"/>
          <w:bCs/>
          <w:sz w:val="26"/>
          <w:szCs w:val="26"/>
        </w:rPr>
        <w:t xml:space="preserve"> y por tanto analizado</w:t>
      </w:r>
      <w:r w:rsidR="007629DC">
        <w:rPr>
          <w:rFonts w:ascii="Arial" w:eastAsia="Calibri" w:hAnsi="Arial" w:cs="Arial"/>
          <w:bCs/>
          <w:sz w:val="26"/>
          <w:szCs w:val="26"/>
        </w:rPr>
        <w:t>s</w:t>
      </w:r>
      <w:r w:rsidR="003C5FAE" w:rsidRPr="007501A6">
        <w:rPr>
          <w:rFonts w:ascii="Arial" w:eastAsia="Calibri" w:hAnsi="Arial" w:cs="Arial"/>
          <w:bCs/>
          <w:sz w:val="26"/>
          <w:szCs w:val="26"/>
        </w:rPr>
        <w:t xml:space="preserve"> aun en la primera instancia,</w:t>
      </w:r>
      <w:r w:rsidR="00BA382F">
        <w:rPr>
          <w:rFonts w:ascii="Arial" w:eastAsia="Calibri" w:hAnsi="Arial" w:cs="Arial"/>
          <w:bCs/>
          <w:sz w:val="26"/>
          <w:szCs w:val="26"/>
        </w:rPr>
        <w:t xml:space="preserve"> a la luz del artículo 7 de la Ley de Justicia Administrativa para el Estado;</w:t>
      </w:r>
      <w:r w:rsidR="003C5FAE" w:rsidRPr="007501A6">
        <w:rPr>
          <w:rFonts w:ascii="Arial" w:eastAsia="Calibri" w:hAnsi="Arial" w:cs="Arial"/>
          <w:bCs/>
          <w:sz w:val="26"/>
          <w:szCs w:val="26"/>
        </w:rPr>
        <w:t xml:space="preserve"> menos aún puede</w:t>
      </w:r>
      <w:r w:rsidR="007629DC">
        <w:rPr>
          <w:rFonts w:ascii="Arial" w:eastAsia="Calibri" w:hAnsi="Arial" w:cs="Arial"/>
          <w:bCs/>
          <w:sz w:val="26"/>
          <w:szCs w:val="26"/>
        </w:rPr>
        <w:t>n</w:t>
      </w:r>
      <w:r w:rsidR="003C5FAE" w:rsidRPr="007501A6">
        <w:rPr>
          <w:rFonts w:ascii="Arial" w:eastAsia="Calibri" w:hAnsi="Arial" w:cs="Arial"/>
          <w:bCs/>
          <w:sz w:val="26"/>
          <w:szCs w:val="26"/>
        </w:rPr>
        <w:t xml:space="preserve"> ser motivo de análisis por esta Sala Superior, además que la incompetencia planteada por el aquí recurrente no ha sido motivo de controversia a través de un juicio de nulidad en el que se decida sobre  tal punto. Ya que, esta instancia tiene por objeto analizar que las actuaciones de la </w:t>
      </w:r>
      <w:proofErr w:type="spellStart"/>
      <w:r w:rsidR="003C5FAE" w:rsidRPr="007501A6">
        <w:rPr>
          <w:rFonts w:ascii="Arial" w:eastAsia="Calibri" w:hAnsi="Arial" w:cs="Arial"/>
          <w:bCs/>
          <w:sz w:val="26"/>
          <w:szCs w:val="26"/>
        </w:rPr>
        <w:t>resolutora</w:t>
      </w:r>
      <w:proofErr w:type="spellEnd"/>
      <w:r w:rsidR="003C5FAE" w:rsidRPr="007501A6">
        <w:rPr>
          <w:rFonts w:ascii="Arial" w:eastAsia="Calibri" w:hAnsi="Arial" w:cs="Arial"/>
          <w:bCs/>
          <w:sz w:val="26"/>
          <w:szCs w:val="26"/>
        </w:rPr>
        <w:t xml:space="preserve"> primigenia estén conforme al principio de legalidad y su estudio no abarca el análisis de actos que no han sido ni siquiera conocidos por la primera instancia. </w:t>
      </w:r>
    </w:p>
    <w:p w:rsidR="007629DC" w:rsidRDefault="007629DC" w:rsidP="007629DC">
      <w:pPr>
        <w:pStyle w:val="Sinespaciado"/>
        <w:spacing w:line="360" w:lineRule="auto"/>
        <w:ind w:firstLine="705"/>
        <w:jc w:val="both"/>
        <w:rPr>
          <w:rFonts w:ascii="Arial" w:eastAsia="Calibri" w:hAnsi="Arial" w:cs="Arial"/>
          <w:bCs/>
          <w:sz w:val="26"/>
          <w:szCs w:val="26"/>
        </w:rPr>
      </w:pPr>
    </w:p>
    <w:p w:rsidR="007629DC" w:rsidRPr="00205E0C" w:rsidRDefault="00A10AD2" w:rsidP="007629DC">
      <w:pPr>
        <w:pStyle w:val="Sinespaciado"/>
        <w:spacing w:line="360" w:lineRule="auto"/>
        <w:ind w:firstLine="705"/>
        <w:jc w:val="both"/>
        <w:rPr>
          <w:rFonts w:ascii="Arial" w:hAnsi="Arial" w:cs="Arial"/>
          <w:color w:val="000000" w:themeColor="text1"/>
          <w:sz w:val="26"/>
          <w:szCs w:val="26"/>
        </w:rPr>
      </w:pPr>
      <w:r>
        <w:rPr>
          <w:noProof/>
        </w:rPr>
        <mc:AlternateContent>
          <mc:Choice Requires="wps">
            <w:drawing>
              <wp:anchor distT="0" distB="0" distL="114300" distR="114300" simplePos="0" relativeHeight="251665408" behindDoc="0" locked="0" layoutInCell="1" allowOverlap="1" wp14:anchorId="5B8AD2D4" wp14:editId="77C6E7E1">
                <wp:simplePos x="0" y="0"/>
                <wp:positionH relativeFrom="column">
                  <wp:posOffset>5392420</wp:posOffset>
                </wp:positionH>
                <wp:positionV relativeFrom="paragraph">
                  <wp:posOffset>1901825</wp:posOffset>
                </wp:positionV>
                <wp:extent cx="1076325" cy="657225"/>
                <wp:effectExtent l="0" t="0" r="28575"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10AD2" w:rsidRPr="00A6596B" w:rsidRDefault="00A10AD2" w:rsidP="00A10AD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24.6pt;margin-top:149.7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WZL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Z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">
                <v:textbox>
                  <w:txbxContent>
                    <w:p w:rsidR="00A10AD2" w:rsidRPr="00A6596B" w:rsidRDefault="00A10AD2" w:rsidP="00A10AD2">
                      <w:pPr>
                        <w:rPr>
                          <w:sz w:val="16"/>
                          <w:szCs w:val="16"/>
                        </w:rPr>
                      </w:pPr>
                      <w:r>
                        <w:rPr>
                          <w:sz w:val="16"/>
                          <w:szCs w:val="16"/>
                        </w:rPr>
                        <w:t>Datos personales protegidos por el Art. 116 de la LGTAIP y el Art. 56 de la LTAIPEO</w:t>
                      </w:r>
                    </w:p>
                  </w:txbxContent>
                </v:textbox>
              </v:shape>
            </w:pict>
          </mc:Fallback>
        </mc:AlternateContent>
      </w:r>
      <w:r w:rsidR="005B5991" w:rsidRPr="00205E0C">
        <w:rPr>
          <w:rFonts w:ascii="Arial" w:eastAsia="Calibri" w:hAnsi="Arial" w:cs="Arial"/>
          <w:bCs/>
          <w:color w:val="000000" w:themeColor="text1"/>
          <w:sz w:val="26"/>
          <w:szCs w:val="26"/>
        </w:rPr>
        <w:t>De igual forma, el señalamiento de</w:t>
      </w:r>
      <w:r w:rsidR="007629DC" w:rsidRPr="00205E0C">
        <w:rPr>
          <w:rFonts w:ascii="Arial" w:eastAsia="Calibri" w:hAnsi="Arial" w:cs="Arial"/>
          <w:bCs/>
          <w:color w:val="000000" w:themeColor="text1"/>
          <w:sz w:val="26"/>
          <w:szCs w:val="26"/>
        </w:rPr>
        <w:t xml:space="preserve"> que el Director de Concesiones de la Secretaría de Vialidad y Transporte yerra al turnar su escrito al Secretario de Vialidad y Transporte; </w:t>
      </w:r>
      <w:r w:rsidR="005B5991" w:rsidRPr="00205E0C">
        <w:rPr>
          <w:rFonts w:ascii="Arial" w:eastAsia="Calibri" w:hAnsi="Arial" w:cs="Arial"/>
          <w:bCs/>
          <w:color w:val="000000" w:themeColor="text1"/>
          <w:sz w:val="26"/>
          <w:szCs w:val="26"/>
        </w:rPr>
        <w:t>es</w:t>
      </w:r>
      <w:r w:rsidR="007629DC" w:rsidRPr="00205E0C">
        <w:rPr>
          <w:rFonts w:ascii="Arial" w:eastAsia="Calibri" w:hAnsi="Arial" w:cs="Arial"/>
          <w:bCs/>
          <w:color w:val="000000" w:themeColor="text1"/>
          <w:sz w:val="26"/>
          <w:szCs w:val="26"/>
        </w:rPr>
        <w:t xml:space="preserve"> </w:t>
      </w:r>
      <w:r w:rsidR="007629DC" w:rsidRPr="00205E0C">
        <w:rPr>
          <w:rFonts w:ascii="Arial" w:eastAsia="Calibri" w:hAnsi="Arial" w:cs="Arial"/>
          <w:b/>
          <w:bCs/>
          <w:color w:val="000000" w:themeColor="text1"/>
          <w:sz w:val="26"/>
          <w:szCs w:val="26"/>
        </w:rPr>
        <w:t xml:space="preserve">inoperante </w:t>
      </w:r>
      <w:r w:rsidR="007629DC" w:rsidRPr="00205E0C">
        <w:rPr>
          <w:rFonts w:ascii="Arial" w:eastAsia="Calibri" w:hAnsi="Arial" w:cs="Arial"/>
          <w:bCs/>
          <w:color w:val="000000" w:themeColor="text1"/>
          <w:sz w:val="26"/>
          <w:szCs w:val="26"/>
        </w:rPr>
        <w:t>porque está controvirtiendo una nueva determinación de la autoridad demandada y el recurso de revisión</w:t>
      </w:r>
      <w:r w:rsidR="005B5991" w:rsidRPr="00205E0C">
        <w:rPr>
          <w:rFonts w:ascii="Arial" w:eastAsia="Calibri" w:hAnsi="Arial" w:cs="Arial"/>
          <w:bCs/>
          <w:color w:val="000000" w:themeColor="text1"/>
          <w:sz w:val="26"/>
          <w:szCs w:val="26"/>
        </w:rPr>
        <w:t>, como quedó precisado,</w:t>
      </w:r>
      <w:r w:rsidR="007629DC" w:rsidRPr="00205E0C">
        <w:rPr>
          <w:rFonts w:ascii="Arial" w:eastAsia="Calibri" w:hAnsi="Arial" w:cs="Arial"/>
          <w:bCs/>
          <w:color w:val="000000" w:themeColor="text1"/>
          <w:sz w:val="26"/>
          <w:szCs w:val="26"/>
        </w:rPr>
        <w:t xml:space="preserve"> no es la vía legal para hacerlo, virtud que la revisión es un medio de defensa que tiene por objetivo analizar si la actuación de la jurisdicción en primera instancia es legal y no corresponde un análisis sobre un acto distinto que no formó parte de la </w:t>
      </w:r>
      <w:proofErr w:type="spellStart"/>
      <w:r w:rsidR="007629DC" w:rsidRPr="00205E0C">
        <w:rPr>
          <w:rFonts w:ascii="Arial" w:eastAsia="Calibri" w:hAnsi="Arial" w:cs="Arial"/>
          <w:bCs/>
          <w:color w:val="000000" w:themeColor="text1"/>
          <w:sz w:val="26"/>
          <w:szCs w:val="26"/>
        </w:rPr>
        <w:t>litis</w:t>
      </w:r>
      <w:proofErr w:type="spellEnd"/>
      <w:r w:rsidR="007629DC" w:rsidRPr="00205E0C">
        <w:rPr>
          <w:rFonts w:ascii="Arial" w:eastAsia="Calibri" w:hAnsi="Arial" w:cs="Arial"/>
          <w:bCs/>
          <w:color w:val="000000" w:themeColor="text1"/>
          <w:sz w:val="26"/>
          <w:szCs w:val="26"/>
        </w:rPr>
        <w:t xml:space="preserve"> sometida a la consideración de la sala primigenia. Además que, en todo caso, lo procedente sería realizar un estudio sobre el cumplimiento del fallo acorde a sus lineamientos y alcances jurídicos, más no sobre la legalidad de la actuación de la autoridad, pues tal estudio constituye un estudio de fondo que no es materia ni del pronunciamiento respecto al cumplimiento de la sentencia ni del recurso de revisión.</w:t>
      </w:r>
    </w:p>
    <w:p w:rsidR="007629DC" w:rsidRPr="00205E0C" w:rsidRDefault="007629DC" w:rsidP="007629DC">
      <w:pPr>
        <w:pStyle w:val="Sinespaciado"/>
        <w:spacing w:line="360" w:lineRule="auto"/>
        <w:ind w:firstLine="705"/>
        <w:jc w:val="both"/>
        <w:rPr>
          <w:rFonts w:ascii="Arial" w:eastAsia="Calibri" w:hAnsi="Arial" w:cs="Arial"/>
          <w:bCs/>
          <w:color w:val="000000" w:themeColor="text1"/>
          <w:sz w:val="26"/>
          <w:szCs w:val="26"/>
        </w:rPr>
      </w:pPr>
    </w:p>
    <w:p w:rsidR="007629DC" w:rsidRPr="00205E0C" w:rsidRDefault="007629DC" w:rsidP="007629DC">
      <w:pPr>
        <w:pStyle w:val="Sinespaciado"/>
        <w:spacing w:line="360" w:lineRule="auto"/>
        <w:ind w:firstLine="705"/>
        <w:jc w:val="both"/>
        <w:rPr>
          <w:rFonts w:ascii="Arial" w:eastAsia="Calibri" w:hAnsi="Arial" w:cs="Arial"/>
          <w:bCs/>
          <w:color w:val="000000" w:themeColor="text1"/>
          <w:sz w:val="26"/>
          <w:szCs w:val="26"/>
        </w:rPr>
      </w:pPr>
      <w:r w:rsidRPr="00205E0C">
        <w:rPr>
          <w:rFonts w:ascii="Arial" w:eastAsia="Calibri" w:hAnsi="Arial" w:cs="Arial"/>
          <w:bCs/>
          <w:color w:val="000000" w:themeColor="text1"/>
          <w:sz w:val="26"/>
          <w:szCs w:val="26"/>
        </w:rPr>
        <w:t xml:space="preserve">Lo anterior es así, en virtud de que con dichas consideraciones pretende controvertir cuestiones que no son parte de la </w:t>
      </w:r>
      <w:proofErr w:type="spellStart"/>
      <w:r w:rsidRPr="00205E0C">
        <w:rPr>
          <w:rFonts w:ascii="Arial" w:eastAsia="Calibri" w:hAnsi="Arial" w:cs="Arial"/>
          <w:bCs/>
          <w:color w:val="000000" w:themeColor="text1"/>
          <w:sz w:val="26"/>
          <w:szCs w:val="26"/>
        </w:rPr>
        <w:t>litis</w:t>
      </w:r>
      <w:proofErr w:type="spellEnd"/>
      <w:r w:rsidRPr="00205E0C">
        <w:rPr>
          <w:rFonts w:ascii="Arial" w:eastAsia="Calibri" w:hAnsi="Arial" w:cs="Arial"/>
          <w:bCs/>
          <w:color w:val="000000" w:themeColor="text1"/>
          <w:sz w:val="26"/>
          <w:szCs w:val="26"/>
        </w:rPr>
        <w:t xml:space="preserve"> planteada </w:t>
      </w:r>
      <w:r w:rsidRPr="00205E0C">
        <w:rPr>
          <w:rFonts w:ascii="Arial" w:eastAsia="Calibri" w:hAnsi="Arial" w:cs="Arial"/>
          <w:bCs/>
          <w:color w:val="000000" w:themeColor="text1"/>
          <w:sz w:val="26"/>
          <w:szCs w:val="26"/>
        </w:rPr>
        <w:lastRenderedPageBreak/>
        <w:t>en el juicio de nulidad. Es así, porque el análisis de la primera instancia versó sobre el oficio SEVITRA/DC/DCR/861/2013 de 21 veintiuno de mayo de 2013 dos mil trece</w:t>
      </w:r>
      <w:r w:rsidR="0062757D">
        <w:rPr>
          <w:rFonts w:ascii="Arial" w:eastAsia="Calibri" w:hAnsi="Arial" w:cs="Arial"/>
          <w:bCs/>
          <w:color w:val="000000" w:themeColor="text1"/>
          <w:sz w:val="26"/>
          <w:szCs w:val="26"/>
        </w:rPr>
        <w:t>,</w:t>
      </w:r>
      <w:r w:rsidRPr="00205E0C">
        <w:rPr>
          <w:rFonts w:ascii="Arial" w:eastAsia="Calibri" w:hAnsi="Arial" w:cs="Arial"/>
          <w:bCs/>
          <w:color w:val="000000" w:themeColor="text1"/>
          <w:sz w:val="26"/>
          <w:szCs w:val="26"/>
        </w:rPr>
        <w:t xml:space="preserve"> de la Directora de Concesiones de la Secretaria de Vialidad y Transporte, que ya fue declarado nulo.</w:t>
      </w:r>
    </w:p>
    <w:p w:rsidR="003C5FAE" w:rsidRPr="007501A6" w:rsidRDefault="003C5FAE" w:rsidP="003C5FAE">
      <w:pPr>
        <w:pStyle w:val="Sinespaciado"/>
        <w:spacing w:line="360" w:lineRule="auto"/>
        <w:ind w:firstLine="705"/>
        <w:jc w:val="both"/>
        <w:rPr>
          <w:rFonts w:ascii="Arial" w:eastAsia="Calibri" w:hAnsi="Arial" w:cs="Arial"/>
          <w:bCs/>
          <w:sz w:val="26"/>
          <w:szCs w:val="26"/>
        </w:rPr>
      </w:pPr>
    </w:p>
    <w:p w:rsidR="00A60EE2" w:rsidRPr="00A60EE2" w:rsidRDefault="00EF77A1" w:rsidP="00A60EE2">
      <w:pPr>
        <w:pStyle w:val="Sinespaciado"/>
        <w:spacing w:line="360" w:lineRule="auto"/>
        <w:ind w:firstLine="705"/>
        <w:jc w:val="both"/>
        <w:rPr>
          <w:rFonts w:ascii="Arial" w:eastAsia="Calibri" w:hAnsi="Arial" w:cs="Arial"/>
          <w:bCs/>
          <w:sz w:val="26"/>
          <w:szCs w:val="26"/>
        </w:rPr>
      </w:pPr>
      <w:r>
        <w:rPr>
          <w:rFonts w:ascii="Arial" w:eastAsia="Calibri" w:hAnsi="Arial" w:cs="Arial"/>
          <w:bCs/>
          <w:sz w:val="26"/>
          <w:szCs w:val="26"/>
        </w:rPr>
        <w:t>Lo que</w:t>
      </w:r>
      <w:r w:rsidR="003C5FAE" w:rsidRPr="007501A6">
        <w:rPr>
          <w:rFonts w:ascii="Arial" w:eastAsia="Calibri" w:hAnsi="Arial" w:cs="Arial"/>
          <w:bCs/>
          <w:sz w:val="26"/>
          <w:szCs w:val="26"/>
        </w:rPr>
        <w:t xml:space="preserve"> encuentran apoyo en la jurisprudencia </w:t>
      </w:r>
      <w:r w:rsidR="00A60EE2">
        <w:rPr>
          <w:rFonts w:ascii="Arial" w:eastAsia="Calibri" w:hAnsi="Arial" w:cs="Arial"/>
          <w:bCs/>
          <w:sz w:val="26"/>
          <w:szCs w:val="26"/>
        </w:rPr>
        <w:t xml:space="preserve">de la Décima época, con número de registro </w:t>
      </w:r>
      <w:r w:rsidR="00A60EE2" w:rsidRPr="00A60EE2">
        <w:rPr>
          <w:rFonts w:ascii="Arial" w:eastAsia="Calibri" w:hAnsi="Arial" w:cs="Arial"/>
          <w:bCs/>
          <w:sz w:val="26"/>
          <w:szCs w:val="26"/>
        </w:rPr>
        <w:t>2005228</w:t>
      </w:r>
      <w:r w:rsidR="00A60EE2">
        <w:rPr>
          <w:rFonts w:ascii="Arial" w:eastAsia="Calibri" w:hAnsi="Arial" w:cs="Arial"/>
          <w:bCs/>
          <w:sz w:val="26"/>
          <w:szCs w:val="26"/>
        </w:rPr>
        <w:t xml:space="preserve">, sustentada por la </w:t>
      </w:r>
      <w:r w:rsidR="00A60EE2" w:rsidRPr="00A60EE2">
        <w:rPr>
          <w:rFonts w:ascii="Arial" w:eastAsia="Calibri" w:hAnsi="Arial" w:cs="Arial"/>
          <w:bCs/>
          <w:sz w:val="26"/>
          <w:szCs w:val="26"/>
        </w:rPr>
        <w:t xml:space="preserve">Primera Sala </w:t>
      </w:r>
      <w:r w:rsidR="00A60EE2">
        <w:rPr>
          <w:rFonts w:ascii="Arial" w:eastAsia="Calibri" w:hAnsi="Arial" w:cs="Arial"/>
          <w:bCs/>
          <w:sz w:val="26"/>
          <w:szCs w:val="26"/>
        </w:rPr>
        <w:t xml:space="preserve">de la Suprema Corte de Justicia de la Nación, publicada en la </w:t>
      </w:r>
      <w:r w:rsidR="00A60EE2" w:rsidRPr="00A60EE2">
        <w:rPr>
          <w:rFonts w:ascii="Arial" w:eastAsia="Calibri" w:hAnsi="Arial" w:cs="Arial"/>
          <w:bCs/>
          <w:sz w:val="26"/>
          <w:szCs w:val="26"/>
        </w:rPr>
        <w:t>Gaceta del Semanario Judicial de la Federación</w:t>
      </w:r>
      <w:r w:rsidR="00A60EE2">
        <w:rPr>
          <w:rFonts w:ascii="Arial" w:eastAsia="Calibri" w:hAnsi="Arial" w:cs="Arial"/>
          <w:bCs/>
          <w:sz w:val="26"/>
          <w:szCs w:val="26"/>
        </w:rPr>
        <w:t xml:space="preserve">, Libro 2, Enero de 2014, Tomo II, visible en la página </w:t>
      </w:r>
      <w:r w:rsidR="00A60EE2" w:rsidRPr="00A60EE2">
        <w:rPr>
          <w:rFonts w:ascii="Arial" w:eastAsia="Calibri" w:hAnsi="Arial" w:cs="Arial"/>
          <w:bCs/>
          <w:sz w:val="26"/>
          <w:szCs w:val="26"/>
        </w:rPr>
        <w:t>786</w:t>
      </w:r>
      <w:r w:rsidR="00A60EE2">
        <w:rPr>
          <w:rFonts w:ascii="Arial" w:eastAsia="Calibri" w:hAnsi="Arial" w:cs="Arial"/>
          <w:bCs/>
          <w:sz w:val="26"/>
          <w:szCs w:val="26"/>
        </w:rPr>
        <w:t xml:space="preserve">, de rubro y tenor siguientes: </w:t>
      </w:r>
      <w:r w:rsidR="00A60EE2" w:rsidRPr="00A60EE2">
        <w:rPr>
          <w:rFonts w:ascii="Arial" w:eastAsia="Calibri" w:hAnsi="Arial" w:cs="Arial"/>
          <w:bCs/>
          <w:sz w:val="26"/>
          <w:szCs w:val="26"/>
        </w:rPr>
        <w:t xml:space="preserve"> </w:t>
      </w:r>
    </w:p>
    <w:p w:rsidR="00A60EE2" w:rsidRPr="00A60EE2" w:rsidRDefault="00A60EE2" w:rsidP="00A60EE2">
      <w:pPr>
        <w:pStyle w:val="Sinespaciado"/>
        <w:spacing w:line="360" w:lineRule="auto"/>
        <w:ind w:firstLine="705"/>
        <w:jc w:val="both"/>
        <w:rPr>
          <w:rFonts w:ascii="Arial" w:eastAsia="Calibri" w:hAnsi="Arial" w:cs="Arial"/>
          <w:bCs/>
        </w:rPr>
      </w:pPr>
    </w:p>
    <w:p w:rsidR="00A60EE2" w:rsidRPr="00A60EE2" w:rsidRDefault="00A60EE2" w:rsidP="00A60EE2">
      <w:pPr>
        <w:pStyle w:val="Sinespaciado"/>
        <w:spacing w:line="360" w:lineRule="auto"/>
        <w:ind w:left="567" w:right="616"/>
        <w:jc w:val="both"/>
        <w:rPr>
          <w:rFonts w:ascii="Arial" w:eastAsia="Calibri" w:hAnsi="Arial" w:cs="Arial"/>
          <w:bCs/>
          <w:i/>
        </w:rPr>
      </w:pPr>
      <w:r w:rsidRPr="00A60EE2">
        <w:rPr>
          <w:rFonts w:ascii="Arial" w:eastAsia="Calibri" w:hAnsi="Arial" w:cs="Arial"/>
          <w:b/>
          <w:bCs/>
          <w:i/>
        </w:rPr>
        <w:t>“RECURSO DE INCONFORMIDAD. SON INOPERANTES LOS AGRAVIOS QUE NO CONTROVIERTEN LO RESUELTO POR EL ÓRGANO DE AMPARO EN RELACIÓN CON EL CUMPLIMIENTO DEL FALLO PROTECTOR</w:t>
      </w:r>
      <w:r w:rsidRPr="00A60EE2">
        <w:rPr>
          <w:rFonts w:ascii="Arial" w:eastAsia="Calibri" w:hAnsi="Arial" w:cs="Arial"/>
          <w:bCs/>
          <w:i/>
        </w:rPr>
        <w:t>. El hecho de que el artículo 196 de la Ley de Amparo, publicada en el Diario Oficial de la Federación el 2 de abril de 2013, establezca que la ejecutoria de amparo se entiende cumplida cuando lo sea en su totalidad, sin excesos ni defectos, no implica el estudio de aspectos que no fueron materia de análisis en el juicio de amparo, sino exclusivamente del exacto cumplimiento de las cuestiones que sí lo fueron, concretamente, de aquellas que dieron lugar a la concesión de la protección de la Justicia Federal. Por tanto, los agravios expuestos en el recurso de inconformidad resultan inoperantes cuando no controvierten lo resuelto por el órgano de amparo en relación con el cumplimiento del fallo dictado en el juicio, sino la forma en que la autoridad responsable cumplió con la sentencia protectora, con la pretensión de analizar aspectos ajenos a la materia del recurso de inconformidad hecho valer.”</w:t>
      </w:r>
    </w:p>
    <w:p w:rsidR="00A60EE2" w:rsidRDefault="00A60EE2" w:rsidP="003C5FAE">
      <w:pPr>
        <w:pStyle w:val="Sinespaciado"/>
        <w:spacing w:line="360" w:lineRule="auto"/>
        <w:ind w:firstLine="705"/>
        <w:jc w:val="both"/>
        <w:rPr>
          <w:rFonts w:ascii="Arial" w:eastAsia="Calibri" w:hAnsi="Arial" w:cs="Arial"/>
          <w:bCs/>
          <w:sz w:val="26"/>
          <w:szCs w:val="26"/>
        </w:rPr>
      </w:pPr>
    </w:p>
    <w:p w:rsidR="00A60EE2" w:rsidRPr="00A60EE2" w:rsidRDefault="003C5FAE" w:rsidP="00A60EE2">
      <w:pPr>
        <w:pStyle w:val="Sinespaciado"/>
        <w:spacing w:line="360" w:lineRule="auto"/>
        <w:ind w:firstLine="705"/>
        <w:jc w:val="both"/>
        <w:rPr>
          <w:rFonts w:ascii="Arial" w:eastAsia="Calibri" w:hAnsi="Arial" w:cs="Arial"/>
          <w:bCs/>
          <w:sz w:val="26"/>
          <w:szCs w:val="26"/>
        </w:rPr>
      </w:pPr>
      <w:r w:rsidRPr="007501A6">
        <w:rPr>
          <w:rFonts w:ascii="Arial" w:eastAsia="Calibri" w:hAnsi="Arial" w:cs="Arial"/>
          <w:bCs/>
          <w:sz w:val="26"/>
          <w:szCs w:val="26"/>
        </w:rPr>
        <w:t xml:space="preserve">Así como en la jurisprudencia </w:t>
      </w:r>
      <w:r w:rsidR="00A60EE2">
        <w:rPr>
          <w:rFonts w:ascii="Arial" w:eastAsia="Calibri" w:hAnsi="Arial" w:cs="Arial"/>
          <w:bCs/>
          <w:sz w:val="26"/>
          <w:szCs w:val="26"/>
        </w:rPr>
        <w:t xml:space="preserve">de la Novena época, con número de registro 173250, emitida por el </w:t>
      </w:r>
      <w:r w:rsidR="00A60EE2" w:rsidRPr="00A60EE2">
        <w:rPr>
          <w:rFonts w:ascii="Arial" w:eastAsia="Calibri" w:hAnsi="Arial" w:cs="Arial"/>
          <w:bCs/>
          <w:sz w:val="26"/>
          <w:szCs w:val="26"/>
        </w:rPr>
        <w:t xml:space="preserve">Segundo Tribunal Colegiado </w:t>
      </w:r>
      <w:r w:rsidR="00A60EE2">
        <w:rPr>
          <w:rFonts w:ascii="Arial" w:eastAsia="Calibri" w:hAnsi="Arial" w:cs="Arial"/>
          <w:bCs/>
          <w:sz w:val="26"/>
          <w:szCs w:val="26"/>
        </w:rPr>
        <w:t>en materias</w:t>
      </w:r>
      <w:r w:rsidR="00A60EE2" w:rsidRPr="00A60EE2">
        <w:rPr>
          <w:rFonts w:ascii="Arial" w:eastAsia="Calibri" w:hAnsi="Arial" w:cs="Arial"/>
          <w:bCs/>
          <w:sz w:val="26"/>
          <w:szCs w:val="26"/>
        </w:rPr>
        <w:t xml:space="preserve"> Administrativa </w:t>
      </w:r>
      <w:r w:rsidR="00A60EE2">
        <w:rPr>
          <w:rFonts w:ascii="Arial" w:eastAsia="Calibri" w:hAnsi="Arial" w:cs="Arial"/>
          <w:bCs/>
          <w:sz w:val="26"/>
          <w:szCs w:val="26"/>
        </w:rPr>
        <w:t>y</w:t>
      </w:r>
      <w:r w:rsidR="00A60EE2" w:rsidRPr="00A60EE2">
        <w:rPr>
          <w:rFonts w:ascii="Arial" w:eastAsia="Calibri" w:hAnsi="Arial" w:cs="Arial"/>
          <w:bCs/>
          <w:sz w:val="26"/>
          <w:szCs w:val="26"/>
        </w:rPr>
        <w:t xml:space="preserve"> Civil </w:t>
      </w:r>
      <w:r w:rsidR="00A60EE2">
        <w:rPr>
          <w:rFonts w:ascii="Arial" w:eastAsia="Calibri" w:hAnsi="Arial" w:cs="Arial"/>
          <w:bCs/>
          <w:sz w:val="26"/>
          <w:szCs w:val="26"/>
        </w:rPr>
        <w:t>d</w:t>
      </w:r>
      <w:r w:rsidR="00A60EE2" w:rsidRPr="00A60EE2">
        <w:rPr>
          <w:rFonts w:ascii="Arial" w:eastAsia="Calibri" w:hAnsi="Arial" w:cs="Arial"/>
          <w:bCs/>
          <w:sz w:val="26"/>
          <w:szCs w:val="26"/>
        </w:rPr>
        <w:t>el Décimo Noveno Circuito</w:t>
      </w:r>
      <w:r w:rsidR="00A60EE2">
        <w:rPr>
          <w:rFonts w:ascii="Arial" w:eastAsia="Calibri" w:hAnsi="Arial" w:cs="Arial"/>
          <w:bCs/>
          <w:sz w:val="26"/>
          <w:szCs w:val="26"/>
        </w:rPr>
        <w:t>, publicada en el</w:t>
      </w:r>
      <w:r w:rsidR="00A60EE2" w:rsidRPr="00A60EE2">
        <w:rPr>
          <w:rFonts w:ascii="Arial" w:eastAsia="Calibri" w:hAnsi="Arial" w:cs="Arial"/>
          <w:bCs/>
          <w:sz w:val="26"/>
          <w:szCs w:val="26"/>
        </w:rPr>
        <w:t xml:space="preserve"> Semanario Judicial de la Federación y su Gaceta</w:t>
      </w:r>
      <w:r w:rsidR="00A60EE2">
        <w:rPr>
          <w:rFonts w:ascii="Arial" w:eastAsia="Calibri" w:hAnsi="Arial" w:cs="Arial"/>
          <w:bCs/>
          <w:sz w:val="26"/>
          <w:szCs w:val="26"/>
        </w:rPr>
        <w:t xml:space="preserve">, </w:t>
      </w:r>
      <w:r w:rsidR="00A60EE2" w:rsidRPr="00A60EE2">
        <w:rPr>
          <w:rFonts w:ascii="Arial" w:eastAsia="Calibri" w:hAnsi="Arial" w:cs="Arial"/>
          <w:bCs/>
          <w:sz w:val="26"/>
          <w:szCs w:val="26"/>
        </w:rPr>
        <w:t>Tomo XXV, Febrero de 2007</w:t>
      </w:r>
      <w:r w:rsidR="00A60EE2">
        <w:rPr>
          <w:rFonts w:ascii="Arial" w:eastAsia="Calibri" w:hAnsi="Arial" w:cs="Arial"/>
          <w:bCs/>
          <w:sz w:val="26"/>
          <w:szCs w:val="26"/>
        </w:rPr>
        <w:t xml:space="preserve">, consultable en la página 1482, que a la letra dice: </w:t>
      </w:r>
    </w:p>
    <w:p w:rsidR="00A60EE2" w:rsidRPr="00A60EE2" w:rsidRDefault="00A60EE2" w:rsidP="00A60EE2">
      <w:pPr>
        <w:pStyle w:val="Sinespaciado"/>
        <w:spacing w:line="360" w:lineRule="auto"/>
        <w:ind w:firstLine="705"/>
        <w:jc w:val="both"/>
        <w:rPr>
          <w:rFonts w:ascii="Arial" w:eastAsia="Calibri" w:hAnsi="Arial" w:cs="Arial"/>
          <w:bCs/>
          <w:sz w:val="26"/>
          <w:szCs w:val="26"/>
        </w:rPr>
      </w:pPr>
    </w:p>
    <w:p w:rsidR="00A60EE2" w:rsidRPr="00A60EE2" w:rsidRDefault="00A60EE2" w:rsidP="00A60EE2">
      <w:pPr>
        <w:pStyle w:val="Sinespaciado"/>
        <w:spacing w:line="360" w:lineRule="auto"/>
        <w:ind w:left="709" w:right="616"/>
        <w:jc w:val="both"/>
        <w:rPr>
          <w:rFonts w:ascii="Arial" w:eastAsia="Calibri" w:hAnsi="Arial" w:cs="Arial"/>
          <w:bCs/>
          <w:i/>
        </w:rPr>
      </w:pPr>
      <w:r w:rsidRPr="00A60EE2">
        <w:rPr>
          <w:rFonts w:ascii="Arial" w:eastAsia="Calibri" w:hAnsi="Arial" w:cs="Arial"/>
          <w:bCs/>
          <w:i/>
        </w:rPr>
        <w:t>“</w:t>
      </w:r>
      <w:r w:rsidRPr="00A60EE2">
        <w:rPr>
          <w:rFonts w:ascii="Arial" w:eastAsia="Calibri" w:hAnsi="Arial" w:cs="Arial"/>
          <w:b/>
          <w:bCs/>
          <w:i/>
        </w:rPr>
        <w:t>LITIS CONSTITUCIONAL. SU DELIMITACIÓN EN EL JUICIO DE AMPARO INDIRECTO Y, EN SU CASO, EN EL RECURSO DE REVISIÓN, TRATÁNDOSE DE ASUNTOS EN QUE OPERA EL PRINCIPIO DE ESTRICTO DERECHO.</w:t>
      </w:r>
      <w:r w:rsidRPr="00A60EE2">
        <w:rPr>
          <w:rFonts w:ascii="Arial" w:eastAsia="Calibri" w:hAnsi="Arial" w:cs="Arial"/>
          <w:bCs/>
          <w:i/>
        </w:rPr>
        <w:t xml:space="preserve"> La materia de estudio que constituye el límite y la condición de la jurisdicción del Juez Federal en el amparo indirecto, se constriñe al estudio de los razonamientos vertidos por la autoridad responsable en el acto combatido de que se </w:t>
      </w:r>
      <w:r w:rsidRPr="00A60EE2">
        <w:rPr>
          <w:rFonts w:ascii="Arial" w:eastAsia="Calibri" w:hAnsi="Arial" w:cs="Arial"/>
          <w:bCs/>
          <w:i/>
        </w:rPr>
        <w:lastRenderedPageBreak/>
        <w:t xml:space="preserve">trate, para sostener su sentido, a la luz de los planteamientos expresados por los peticionarios del amparo en su demanda, que tiendan a demostrar la ilegalidad o la inconstitucionalidad del mencionado acto reclamado; en tanto que en el recurso de revisión, la materia de la segunda instancia, se ciñe al estudio integral del fallo combatido, en vista de los motivos de inconformidad que plantean los recurrentes, que indefectiblemente deben estar en relación directa e inmediata con los fundamentos y consideraciones lógico-jurídicos contenidos en la sentencia que se recurre y no pueden ni deben comprender cuestiones diversas de su materia; de ahí que a través de ellos no sea factible introducir aspectos no controvertidos ante la potestad común ni las no expuestas en los conceptos de violación, porque implicaría alterar la </w:t>
      </w:r>
      <w:proofErr w:type="spellStart"/>
      <w:r w:rsidRPr="00A60EE2">
        <w:rPr>
          <w:rFonts w:ascii="Arial" w:eastAsia="Calibri" w:hAnsi="Arial" w:cs="Arial"/>
          <w:bCs/>
          <w:i/>
        </w:rPr>
        <w:t>litis</w:t>
      </w:r>
      <w:proofErr w:type="spellEnd"/>
      <w:r w:rsidRPr="00A60EE2">
        <w:rPr>
          <w:rFonts w:ascii="Arial" w:eastAsia="Calibri" w:hAnsi="Arial" w:cs="Arial"/>
          <w:bCs/>
          <w:i/>
        </w:rPr>
        <w:t xml:space="preserve"> constitucional.</w:t>
      </w:r>
    </w:p>
    <w:p w:rsidR="00A60EE2" w:rsidRDefault="00A60EE2" w:rsidP="00A60EE2">
      <w:pPr>
        <w:pStyle w:val="Sinespaciado"/>
        <w:spacing w:line="360" w:lineRule="auto"/>
        <w:ind w:firstLine="705"/>
        <w:jc w:val="both"/>
        <w:rPr>
          <w:rFonts w:ascii="Arial" w:eastAsia="Calibri" w:hAnsi="Arial" w:cs="Arial"/>
          <w:bCs/>
          <w:sz w:val="26"/>
          <w:szCs w:val="26"/>
        </w:rPr>
      </w:pPr>
    </w:p>
    <w:p w:rsidR="00D21548" w:rsidRDefault="003C5FAE" w:rsidP="003C5FAE">
      <w:pPr>
        <w:pStyle w:val="Sinespaciado"/>
        <w:spacing w:line="360" w:lineRule="auto"/>
        <w:ind w:firstLine="705"/>
        <w:jc w:val="both"/>
        <w:rPr>
          <w:rFonts w:ascii="Arial" w:hAnsi="Arial" w:cs="Arial"/>
          <w:sz w:val="26"/>
          <w:szCs w:val="26"/>
        </w:rPr>
      </w:pPr>
      <w:r w:rsidRPr="008131BC">
        <w:rPr>
          <w:rFonts w:ascii="Arial" w:eastAsia="Calibri" w:hAnsi="Arial" w:cs="Arial"/>
          <w:bCs/>
          <w:sz w:val="26"/>
          <w:szCs w:val="26"/>
        </w:rPr>
        <w:t xml:space="preserve">A esto se agrega que, </w:t>
      </w:r>
      <w:r w:rsidRPr="008131BC">
        <w:rPr>
          <w:rFonts w:ascii="Arial" w:hAnsi="Arial" w:cs="Arial"/>
          <w:sz w:val="26"/>
          <w:szCs w:val="26"/>
        </w:rPr>
        <w:t>la</w:t>
      </w:r>
      <w:r w:rsidRPr="007501A6">
        <w:rPr>
          <w:rFonts w:ascii="Arial" w:hAnsi="Arial" w:cs="Arial"/>
          <w:sz w:val="26"/>
          <w:szCs w:val="26"/>
        </w:rPr>
        <w:t xml:space="preserve"> naturaleza del proveído </w:t>
      </w:r>
      <w:r w:rsidR="00EB6ED7">
        <w:rPr>
          <w:rFonts w:ascii="Arial" w:hAnsi="Arial" w:cs="Arial"/>
          <w:sz w:val="26"/>
          <w:szCs w:val="26"/>
        </w:rPr>
        <w:t>sujeto a</w:t>
      </w:r>
      <w:r w:rsidRPr="007501A6">
        <w:rPr>
          <w:rFonts w:ascii="Arial" w:hAnsi="Arial" w:cs="Arial"/>
          <w:sz w:val="26"/>
          <w:szCs w:val="26"/>
        </w:rPr>
        <w:t xml:space="preserve"> revisión es la de </w:t>
      </w:r>
      <w:r w:rsidR="008E36E9">
        <w:rPr>
          <w:rFonts w:ascii="Arial" w:hAnsi="Arial" w:cs="Arial"/>
          <w:sz w:val="26"/>
          <w:szCs w:val="26"/>
        </w:rPr>
        <w:t xml:space="preserve">verificar que se hayan colmado las determinaciones contenidas en la sentencia que puso fin a la controversia planteada por las partes. </w:t>
      </w:r>
      <w:r w:rsidR="00EB6ED7">
        <w:rPr>
          <w:rFonts w:ascii="Arial" w:hAnsi="Arial" w:cs="Arial"/>
          <w:sz w:val="26"/>
          <w:szCs w:val="26"/>
        </w:rPr>
        <w:t>Asimismo, el recurso de revisión es un medio de defensa que tiene por objeto analizar</w:t>
      </w:r>
      <w:r w:rsidR="00A81504">
        <w:rPr>
          <w:rFonts w:ascii="Arial" w:hAnsi="Arial" w:cs="Arial"/>
          <w:sz w:val="26"/>
          <w:szCs w:val="26"/>
        </w:rPr>
        <w:t xml:space="preserve"> si la actuación de la jurisdicción en primera instancia es legal</w:t>
      </w:r>
      <w:r w:rsidR="008E36E9">
        <w:rPr>
          <w:rFonts w:ascii="Arial" w:hAnsi="Arial" w:cs="Arial"/>
          <w:sz w:val="26"/>
          <w:szCs w:val="26"/>
        </w:rPr>
        <w:t xml:space="preserve"> y</w:t>
      </w:r>
      <w:r w:rsidR="00D21548">
        <w:rPr>
          <w:rFonts w:ascii="Arial" w:hAnsi="Arial" w:cs="Arial"/>
          <w:sz w:val="26"/>
          <w:szCs w:val="26"/>
        </w:rPr>
        <w:t xml:space="preserve"> no corresponde un </w:t>
      </w:r>
      <w:r w:rsidR="008E36E9">
        <w:rPr>
          <w:rFonts w:ascii="Arial" w:hAnsi="Arial" w:cs="Arial"/>
          <w:sz w:val="26"/>
          <w:szCs w:val="26"/>
        </w:rPr>
        <w:t>estudio</w:t>
      </w:r>
      <w:r w:rsidR="00D21548">
        <w:rPr>
          <w:rFonts w:ascii="Arial" w:hAnsi="Arial" w:cs="Arial"/>
          <w:sz w:val="26"/>
          <w:szCs w:val="26"/>
        </w:rPr>
        <w:t xml:space="preserve"> sobre un acto distinto que no formó parte de la </w:t>
      </w:r>
      <w:proofErr w:type="spellStart"/>
      <w:r w:rsidR="00D21548">
        <w:rPr>
          <w:rFonts w:ascii="Arial" w:hAnsi="Arial" w:cs="Arial"/>
          <w:sz w:val="26"/>
          <w:szCs w:val="26"/>
        </w:rPr>
        <w:t>litis</w:t>
      </w:r>
      <w:proofErr w:type="spellEnd"/>
      <w:r w:rsidR="00D21548">
        <w:rPr>
          <w:rFonts w:ascii="Arial" w:hAnsi="Arial" w:cs="Arial"/>
          <w:sz w:val="26"/>
          <w:szCs w:val="26"/>
        </w:rPr>
        <w:t xml:space="preserve"> sometida a la consideración de la sala primigenia.</w:t>
      </w:r>
      <w:r w:rsidR="00C636B1">
        <w:rPr>
          <w:rFonts w:ascii="Arial" w:hAnsi="Arial" w:cs="Arial"/>
          <w:sz w:val="26"/>
          <w:szCs w:val="26"/>
        </w:rPr>
        <w:t xml:space="preserve"> Por lo que para que esta Superioridad esté en posibilidades de establecer si la determinación alzada cumplió o no con su fin, se hace necesario precisar las consideraciones que sostienen la sentencia definitiva.</w:t>
      </w:r>
    </w:p>
    <w:p w:rsidR="00D21548" w:rsidRDefault="00D21548" w:rsidP="003C5FAE">
      <w:pPr>
        <w:pStyle w:val="Sinespaciado"/>
        <w:spacing w:line="360" w:lineRule="auto"/>
        <w:ind w:firstLine="705"/>
        <w:jc w:val="both"/>
        <w:rPr>
          <w:rFonts w:ascii="Arial" w:hAnsi="Arial" w:cs="Arial"/>
          <w:sz w:val="26"/>
          <w:szCs w:val="26"/>
        </w:rPr>
      </w:pPr>
    </w:p>
    <w:p w:rsidR="003C5FAE" w:rsidRPr="007501A6" w:rsidRDefault="00A10AD2" w:rsidP="003C5FAE">
      <w:pPr>
        <w:pStyle w:val="Sinespaciado"/>
        <w:spacing w:line="360" w:lineRule="auto"/>
        <w:ind w:firstLine="705"/>
        <w:jc w:val="both"/>
        <w:rPr>
          <w:rFonts w:ascii="Arial" w:hAnsi="Arial" w:cs="Arial"/>
          <w:sz w:val="26"/>
          <w:szCs w:val="26"/>
        </w:rPr>
      </w:pPr>
      <w:r>
        <w:rPr>
          <w:noProof/>
        </w:rPr>
        <mc:AlternateContent>
          <mc:Choice Requires="wps">
            <w:drawing>
              <wp:anchor distT="0" distB="0" distL="114300" distR="114300" simplePos="0" relativeHeight="251667456" behindDoc="0" locked="0" layoutInCell="1" allowOverlap="1" wp14:anchorId="5C7CBED0" wp14:editId="38B124BA">
                <wp:simplePos x="0" y="0"/>
                <wp:positionH relativeFrom="column">
                  <wp:posOffset>5413375</wp:posOffset>
                </wp:positionH>
                <wp:positionV relativeFrom="paragraph">
                  <wp:posOffset>509270</wp:posOffset>
                </wp:positionV>
                <wp:extent cx="1076325" cy="657225"/>
                <wp:effectExtent l="0" t="0" r="28575" b="2857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10AD2" w:rsidRPr="00A6596B" w:rsidRDefault="00A10AD2" w:rsidP="00A10AD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26.25pt;margin-top:40.1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6MX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">
                <v:textbox>
                  <w:txbxContent>
                    <w:p w:rsidR="00A10AD2" w:rsidRPr="00A6596B" w:rsidRDefault="00A10AD2" w:rsidP="00A10AD2">
                      <w:pPr>
                        <w:rPr>
                          <w:sz w:val="16"/>
                          <w:szCs w:val="16"/>
                        </w:rPr>
                      </w:pPr>
                      <w:r>
                        <w:rPr>
                          <w:sz w:val="16"/>
                          <w:szCs w:val="16"/>
                        </w:rPr>
                        <w:t>Datos personales protegidos por el Art. 116 de la LGTAIP y el Art. 56 de la LTAIPEO</w:t>
                      </w:r>
                    </w:p>
                  </w:txbxContent>
                </v:textbox>
              </v:shape>
            </w:pict>
          </mc:Fallback>
        </mc:AlternateContent>
      </w:r>
      <w:r w:rsidR="003C5FAE" w:rsidRPr="008131BC">
        <w:rPr>
          <w:rFonts w:ascii="Arial" w:hAnsi="Arial" w:cs="Arial"/>
          <w:sz w:val="26"/>
          <w:szCs w:val="26"/>
        </w:rPr>
        <w:t>Así, de las copias certificadas</w:t>
      </w:r>
      <w:r w:rsidR="003C5FAE" w:rsidRPr="007501A6">
        <w:rPr>
          <w:rFonts w:ascii="Arial" w:hAnsi="Arial" w:cs="Arial"/>
          <w:b/>
          <w:sz w:val="26"/>
          <w:szCs w:val="26"/>
        </w:rPr>
        <w:t xml:space="preserve"> </w:t>
      </w:r>
      <w:r w:rsidR="003C5FAE" w:rsidRPr="007501A6">
        <w:rPr>
          <w:rFonts w:ascii="Arial" w:hAnsi="Arial" w:cs="Arial"/>
          <w:sz w:val="26"/>
          <w:szCs w:val="26"/>
        </w:rPr>
        <w:t>remitidas para la solución del presente asunto, que tienen pleno valor probatorio en términos del artículo 173, fracción I de la Ley de Justicia Administrativa para el Estado de Oaxaca por tratarse de certificación realizada por servidor público en ejercicio de sus funciones, se tiene el auto sujeto a revisión en el que esencialmente la primera instancia determinó tener por cumplida la sentencia definitiva por dos razones fundamentales:</w:t>
      </w:r>
    </w:p>
    <w:p w:rsidR="003C5FAE" w:rsidRPr="007501A6" w:rsidRDefault="003C5FAE" w:rsidP="003C5FAE">
      <w:pPr>
        <w:pStyle w:val="Sinespaciado"/>
        <w:spacing w:line="360" w:lineRule="auto"/>
        <w:ind w:firstLine="705"/>
        <w:jc w:val="both"/>
        <w:rPr>
          <w:rFonts w:ascii="Arial" w:hAnsi="Arial" w:cs="Arial"/>
          <w:sz w:val="26"/>
          <w:szCs w:val="26"/>
        </w:rPr>
      </w:pPr>
    </w:p>
    <w:p w:rsidR="003C5FAE" w:rsidRPr="007501A6" w:rsidRDefault="003C5FAE" w:rsidP="003C5FAE">
      <w:pPr>
        <w:pStyle w:val="Sinespaciado"/>
        <w:numPr>
          <w:ilvl w:val="0"/>
          <w:numId w:val="5"/>
        </w:numPr>
        <w:spacing w:line="360" w:lineRule="auto"/>
        <w:jc w:val="both"/>
        <w:rPr>
          <w:rFonts w:ascii="Arial" w:hAnsi="Arial" w:cs="Arial"/>
          <w:b/>
          <w:sz w:val="26"/>
          <w:szCs w:val="26"/>
        </w:rPr>
      </w:pPr>
      <w:r w:rsidRPr="007501A6">
        <w:rPr>
          <w:rFonts w:ascii="Arial" w:hAnsi="Arial" w:cs="Arial"/>
          <w:sz w:val="26"/>
          <w:szCs w:val="26"/>
        </w:rPr>
        <w:t xml:space="preserve">Que el Director </w:t>
      </w:r>
      <w:r w:rsidR="008131BC">
        <w:rPr>
          <w:rFonts w:ascii="Arial" w:hAnsi="Arial" w:cs="Arial"/>
          <w:sz w:val="26"/>
          <w:szCs w:val="26"/>
        </w:rPr>
        <w:t>de  Concesiones</w:t>
      </w:r>
      <w:r w:rsidRPr="007501A6">
        <w:rPr>
          <w:rFonts w:ascii="Arial" w:hAnsi="Arial" w:cs="Arial"/>
          <w:sz w:val="26"/>
          <w:szCs w:val="26"/>
        </w:rPr>
        <w:t xml:space="preserve"> de la Secretaría de Vialidad y Transporte se declaró </w:t>
      </w:r>
      <w:r w:rsidR="008131BC">
        <w:rPr>
          <w:rFonts w:ascii="Arial" w:hAnsi="Arial" w:cs="Arial"/>
          <w:sz w:val="26"/>
          <w:szCs w:val="26"/>
        </w:rPr>
        <w:t>incompetente para conocer de la petición</w:t>
      </w:r>
      <w:r w:rsidRPr="007501A6">
        <w:rPr>
          <w:rFonts w:ascii="Arial" w:hAnsi="Arial" w:cs="Arial"/>
          <w:sz w:val="26"/>
          <w:szCs w:val="26"/>
        </w:rPr>
        <w:t xml:space="preserve"> de</w:t>
      </w:r>
      <w:r w:rsidR="008131BC">
        <w:rPr>
          <w:rFonts w:ascii="Arial" w:hAnsi="Arial" w:cs="Arial"/>
          <w:sz w:val="26"/>
          <w:szCs w:val="26"/>
        </w:rPr>
        <w:t xml:space="preserve"> </w:t>
      </w:r>
      <w:r w:rsidRPr="007501A6">
        <w:rPr>
          <w:rFonts w:ascii="Arial" w:hAnsi="Arial" w:cs="Arial"/>
          <w:sz w:val="26"/>
          <w:szCs w:val="26"/>
        </w:rPr>
        <w:t>l</w:t>
      </w:r>
      <w:r w:rsidR="008131BC">
        <w:rPr>
          <w:rFonts w:ascii="Arial" w:hAnsi="Arial" w:cs="Arial"/>
          <w:sz w:val="26"/>
          <w:szCs w:val="26"/>
        </w:rPr>
        <w:t>a administrada,</w:t>
      </w:r>
      <w:r w:rsidRPr="007501A6">
        <w:rPr>
          <w:rFonts w:ascii="Arial" w:hAnsi="Arial" w:cs="Arial"/>
          <w:sz w:val="26"/>
          <w:szCs w:val="26"/>
        </w:rPr>
        <w:t xml:space="preserve"> en la que solicitó la renovación de su acuerdo de concesión,</w:t>
      </w:r>
      <w:r w:rsidR="008131BC">
        <w:rPr>
          <w:rFonts w:ascii="Arial" w:hAnsi="Arial" w:cs="Arial"/>
          <w:sz w:val="26"/>
          <w:szCs w:val="26"/>
        </w:rPr>
        <w:t xml:space="preserve"> por lo que procedió a turnarla</w:t>
      </w:r>
      <w:r w:rsidRPr="007501A6">
        <w:rPr>
          <w:rFonts w:ascii="Arial" w:hAnsi="Arial" w:cs="Arial"/>
          <w:sz w:val="26"/>
          <w:szCs w:val="26"/>
        </w:rPr>
        <w:t xml:space="preserve"> al Secretario de Vialidad y Transporte quien es la autoridad competente para resolver tales peticiones y </w:t>
      </w:r>
    </w:p>
    <w:p w:rsidR="003C5FAE" w:rsidRPr="007501A6" w:rsidRDefault="003C5FAE" w:rsidP="003C5FAE">
      <w:pPr>
        <w:pStyle w:val="Sinespaciado"/>
        <w:numPr>
          <w:ilvl w:val="0"/>
          <w:numId w:val="5"/>
        </w:numPr>
        <w:spacing w:line="360" w:lineRule="auto"/>
        <w:jc w:val="both"/>
        <w:rPr>
          <w:rFonts w:ascii="Arial" w:hAnsi="Arial" w:cs="Arial"/>
          <w:sz w:val="26"/>
          <w:szCs w:val="26"/>
        </w:rPr>
      </w:pPr>
      <w:r w:rsidRPr="007501A6">
        <w:rPr>
          <w:rFonts w:ascii="Arial" w:hAnsi="Arial" w:cs="Arial"/>
          <w:sz w:val="26"/>
          <w:szCs w:val="26"/>
        </w:rPr>
        <w:lastRenderedPageBreak/>
        <w:t xml:space="preserve">Porque también se remitió la resolución de </w:t>
      </w:r>
      <w:r w:rsidR="008131BC">
        <w:rPr>
          <w:rFonts w:ascii="Arial" w:hAnsi="Arial" w:cs="Arial"/>
          <w:sz w:val="26"/>
          <w:szCs w:val="26"/>
        </w:rPr>
        <w:t>19 diecinueve de abril de 2016 dos mil dieciséis</w:t>
      </w:r>
      <w:r w:rsidR="0062757D">
        <w:rPr>
          <w:rFonts w:ascii="Arial" w:hAnsi="Arial" w:cs="Arial"/>
          <w:sz w:val="26"/>
          <w:szCs w:val="26"/>
        </w:rPr>
        <w:t>,</w:t>
      </w:r>
      <w:r w:rsidRPr="007501A6">
        <w:rPr>
          <w:rFonts w:ascii="Arial" w:hAnsi="Arial" w:cs="Arial"/>
          <w:sz w:val="26"/>
          <w:szCs w:val="26"/>
        </w:rPr>
        <w:t xml:space="preserve"> emitida por el Secretario de Vialidad y Transporte del Estado quien fundó y motivó su competencia para resolver respecto a la solicitud de </w:t>
      </w:r>
      <w:r w:rsidR="00D041CA">
        <w:rPr>
          <w:rFonts w:ascii="Arial" w:hAnsi="Arial" w:cs="Arial"/>
          <w:sz w:val="26"/>
          <w:szCs w:val="26"/>
        </w:rPr>
        <w:t xml:space="preserve">renovación de </w:t>
      </w:r>
      <w:r w:rsidRPr="007501A6">
        <w:rPr>
          <w:rFonts w:ascii="Arial" w:hAnsi="Arial" w:cs="Arial"/>
          <w:sz w:val="26"/>
          <w:szCs w:val="26"/>
        </w:rPr>
        <w:t xml:space="preserve">concesión formulada por la actora </w:t>
      </w:r>
      <w:r w:rsidR="008131BC">
        <w:rPr>
          <w:rFonts w:ascii="Arial" w:hAnsi="Arial" w:cs="Arial"/>
          <w:sz w:val="26"/>
          <w:szCs w:val="26"/>
        </w:rPr>
        <w:t>de fecha 28 veintiocho de septiembre de 2012 dos mil doce.</w:t>
      </w:r>
    </w:p>
    <w:p w:rsidR="003C5FAE" w:rsidRPr="007501A6" w:rsidRDefault="003C5FAE" w:rsidP="003C5FAE">
      <w:pPr>
        <w:pStyle w:val="Sinespaciado"/>
        <w:spacing w:line="360" w:lineRule="auto"/>
        <w:ind w:firstLine="705"/>
        <w:jc w:val="both"/>
        <w:rPr>
          <w:rFonts w:ascii="Arial" w:hAnsi="Arial" w:cs="Arial"/>
          <w:sz w:val="26"/>
          <w:szCs w:val="26"/>
        </w:rPr>
      </w:pPr>
    </w:p>
    <w:p w:rsidR="003C5FAE" w:rsidRPr="007501A6" w:rsidRDefault="003C5FAE" w:rsidP="008131BC">
      <w:pPr>
        <w:pStyle w:val="Sinespaciado"/>
        <w:spacing w:line="360" w:lineRule="auto"/>
        <w:ind w:firstLine="705"/>
        <w:jc w:val="both"/>
        <w:rPr>
          <w:rFonts w:ascii="Arial" w:hAnsi="Arial" w:cs="Arial"/>
          <w:sz w:val="26"/>
          <w:szCs w:val="26"/>
        </w:rPr>
      </w:pPr>
      <w:r w:rsidRPr="007501A6">
        <w:rPr>
          <w:rFonts w:ascii="Arial" w:hAnsi="Arial" w:cs="Arial"/>
          <w:sz w:val="26"/>
          <w:szCs w:val="26"/>
        </w:rPr>
        <w:t xml:space="preserve">En </w:t>
      </w:r>
      <w:r w:rsidR="008131BC">
        <w:rPr>
          <w:rFonts w:ascii="Arial" w:hAnsi="Arial" w:cs="Arial"/>
          <w:sz w:val="26"/>
          <w:szCs w:val="26"/>
        </w:rPr>
        <w:t xml:space="preserve">el acuerdo impugnado, también consta el sentido de la sentencia </w:t>
      </w:r>
      <w:r w:rsidRPr="007501A6">
        <w:rPr>
          <w:rFonts w:ascii="Arial" w:hAnsi="Arial" w:cs="Arial"/>
          <w:sz w:val="26"/>
          <w:szCs w:val="26"/>
        </w:rPr>
        <w:t xml:space="preserve"> definitiva de 13 trece </w:t>
      </w:r>
      <w:r w:rsidR="008131BC">
        <w:rPr>
          <w:rFonts w:ascii="Arial" w:hAnsi="Arial" w:cs="Arial"/>
          <w:sz w:val="26"/>
          <w:szCs w:val="26"/>
        </w:rPr>
        <w:t>de diciembre de 2013 dos mil trece, al señalar</w:t>
      </w:r>
      <w:r w:rsidRPr="007501A6">
        <w:rPr>
          <w:rFonts w:ascii="Arial" w:hAnsi="Arial" w:cs="Arial"/>
          <w:sz w:val="26"/>
          <w:szCs w:val="26"/>
        </w:rPr>
        <w:t>:</w:t>
      </w:r>
    </w:p>
    <w:p w:rsidR="003C5FAE" w:rsidRPr="006725C3" w:rsidRDefault="003C5FAE" w:rsidP="003C5FAE">
      <w:pPr>
        <w:pStyle w:val="Sinespaciado"/>
        <w:spacing w:line="360" w:lineRule="auto"/>
        <w:ind w:firstLine="705"/>
        <w:jc w:val="both"/>
        <w:rPr>
          <w:rFonts w:ascii="Arial" w:hAnsi="Arial" w:cs="Arial"/>
          <w:sz w:val="24"/>
          <w:szCs w:val="24"/>
        </w:rPr>
      </w:pPr>
    </w:p>
    <w:p w:rsidR="003C5FAE" w:rsidRPr="006725C3" w:rsidRDefault="003C5FAE" w:rsidP="008131BC">
      <w:pPr>
        <w:pStyle w:val="Sinespaciado"/>
        <w:spacing w:line="360" w:lineRule="auto"/>
        <w:ind w:left="851" w:right="758"/>
        <w:jc w:val="both"/>
        <w:rPr>
          <w:rFonts w:ascii="Arial" w:hAnsi="Arial" w:cs="Arial"/>
          <w:i/>
        </w:rPr>
      </w:pPr>
      <w:r w:rsidRPr="006725C3">
        <w:rPr>
          <w:rFonts w:ascii="Arial" w:hAnsi="Arial" w:cs="Arial"/>
          <w:i/>
        </w:rPr>
        <w:t>“…</w:t>
      </w:r>
      <w:r w:rsidR="008131BC">
        <w:rPr>
          <w:rFonts w:ascii="Arial" w:hAnsi="Arial" w:cs="Arial"/>
          <w:i/>
        </w:rPr>
        <w:t xml:space="preserve">La ejecutoria de 13 trece de diciembre de 2013 dos </w:t>
      </w:r>
      <w:r w:rsidR="00460833">
        <w:rPr>
          <w:rFonts w:ascii="Arial" w:hAnsi="Arial" w:cs="Arial"/>
          <w:i/>
        </w:rPr>
        <w:t>m</w:t>
      </w:r>
      <w:r w:rsidR="008131BC">
        <w:rPr>
          <w:rFonts w:ascii="Arial" w:hAnsi="Arial" w:cs="Arial"/>
          <w:i/>
        </w:rPr>
        <w:t xml:space="preserve">il </w:t>
      </w:r>
      <w:r w:rsidR="00460833">
        <w:rPr>
          <w:rFonts w:ascii="Arial" w:hAnsi="Arial" w:cs="Arial"/>
          <w:i/>
        </w:rPr>
        <w:t>trece</w:t>
      </w:r>
      <w:r w:rsidR="008131BC">
        <w:rPr>
          <w:rFonts w:ascii="Arial" w:hAnsi="Arial" w:cs="Arial"/>
          <w:i/>
        </w:rPr>
        <w:t>, (folio 32 a 34), deter</w:t>
      </w:r>
      <w:r w:rsidR="00460833">
        <w:rPr>
          <w:rFonts w:ascii="Arial" w:hAnsi="Arial" w:cs="Arial"/>
          <w:i/>
        </w:rPr>
        <w:t>minó declarar la nulidad del oficio SEVITRA/DC/DRC/861/2013, de 21 veintiuno de mayo de 2013 dos mil trece, para el EFECTO de que la Directora de Concesiones de la Secretaría de Vialidad y Transporte, dicte otro en el que funde debidamente su competencia.</w:t>
      </w:r>
      <w:r w:rsidRPr="006725C3">
        <w:rPr>
          <w:rFonts w:ascii="Arial" w:hAnsi="Arial" w:cs="Arial"/>
          <w:i/>
        </w:rPr>
        <w:t>”</w:t>
      </w:r>
    </w:p>
    <w:p w:rsidR="003C5FAE" w:rsidRPr="006725C3" w:rsidRDefault="003C5FAE" w:rsidP="003C5FAE">
      <w:pPr>
        <w:pStyle w:val="Sinespaciado"/>
        <w:spacing w:line="360" w:lineRule="auto"/>
        <w:ind w:firstLine="705"/>
        <w:jc w:val="both"/>
        <w:rPr>
          <w:rFonts w:ascii="Arial" w:hAnsi="Arial" w:cs="Arial"/>
          <w:i/>
          <w:sz w:val="24"/>
          <w:szCs w:val="24"/>
        </w:rPr>
      </w:pPr>
    </w:p>
    <w:p w:rsidR="003C5FAE" w:rsidRPr="007501A6" w:rsidRDefault="003C5FAE" w:rsidP="003C5FAE">
      <w:pPr>
        <w:pStyle w:val="Sinespaciado"/>
        <w:spacing w:line="360" w:lineRule="auto"/>
        <w:ind w:firstLine="705"/>
        <w:jc w:val="both"/>
        <w:rPr>
          <w:rFonts w:ascii="Arial" w:hAnsi="Arial" w:cs="Arial"/>
          <w:sz w:val="26"/>
          <w:szCs w:val="26"/>
        </w:rPr>
      </w:pPr>
      <w:r w:rsidRPr="007501A6">
        <w:rPr>
          <w:rFonts w:ascii="Arial" w:hAnsi="Arial" w:cs="Arial"/>
          <w:sz w:val="26"/>
          <w:szCs w:val="26"/>
        </w:rPr>
        <w:t xml:space="preserve">Conforme a esta transcripción se obtiene que la sentencia definitiva estableció que </w:t>
      </w:r>
      <w:r w:rsidRPr="007501A6">
        <w:rPr>
          <w:rFonts w:ascii="Arial" w:hAnsi="Arial" w:cs="Arial"/>
          <w:b/>
          <w:sz w:val="26"/>
          <w:szCs w:val="26"/>
        </w:rPr>
        <w:t xml:space="preserve">1. </w:t>
      </w:r>
      <w:r w:rsidRPr="007501A6">
        <w:rPr>
          <w:rFonts w:ascii="Arial" w:hAnsi="Arial" w:cs="Arial"/>
          <w:sz w:val="26"/>
          <w:szCs w:val="26"/>
        </w:rPr>
        <w:t>El Director Jurídico debía emitir un nuevo acto en el que fundara debidamente su competencia para emitir actos como el impugnado.</w:t>
      </w:r>
    </w:p>
    <w:p w:rsidR="003C5FAE" w:rsidRPr="007501A6" w:rsidRDefault="003C5FAE" w:rsidP="003C5FAE">
      <w:pPr>
        <w:pStyle w:val="Sinespaciado"/>
        <w:spacing w:line="360" w:lineRule="auto"/>
        <w:ind w:right="49"/>
        <w:jc w:val="both"/>
        <w:rPr>
          <w:rFonts w:ascii="Arial" w:hAnsi="Arial" w:cs="Arial"/>
          <w:b/>
          <w:sz w:val="26"/>
          <w:szCs w:val="26"/>
        </w:rPr>
      </w:pPr>
    </w:p>
    <w:p w:rsidR="003C5FAE" w:rsidRPr="007501A6" w:rsidRDefault="003C5FAE" w:rsidP="003C5FAE">
      <w:pPr>
        <w:pStyle w:val="Sinespaciado"/>
        <w:spacing w:line="360" w:lineRule="auto"/>
        <w:ind w:right="49"/>
        <w:jc w:val="both"/>
        <w:rPr>
          <w:rFonts w:ascii="Arial" w:hAnsi="Arial" w:cs="Arial"/>
          <w:sz w:val="26"/>
          <w:szCs w:val="26"/>
        </w:rPr>
      </w:pPr>
      <w:r w:rsidRPr="007501A6">
        <w:rPr>
          <w:rFonts w:ascii="Arial" w:hAnsi="Arial" w:cs="Arial"/>
          <w:b/>
          <w:sz w:val="26"/>
          <w:szCs w:val="26"/>
        </w:rPr>
        <w:tab/>
      </w:r>
      <w:r w:rsidR="00A5546E" w:rsidRPr="00A5546E">
        <w:rPr>
          <w:rFonts w:ascii="Arial" w:hAnsi="Arial" w:cs="Arial"/>
          <w:sz w:val="26"/>
          <w:szCs w:val="26"/>
        </w:rPr>
        <w:t>En es</w:t>
      </w:r>
      <w:r w:rsidR="00A5546E">
        <w:rPr>
          <w:rFonts w:ascii="Arial" w:hAnsi="Arial" w:cs="Arial"/>
          <w:sz w:val="26"/>
          <w:szCs w:val="26"/>
        </w:rPr>
        <w:t>e</w:t>
      </w:r>
      <w:r w:rsidR="00A5546E" w:rsidRPr="00A5546E">
        <w:rPr>
          <w:rFonts w:ascii="Arial" w:hAnsi="Arial" w:cs="Arial"/>
          <w:sz w:val="26"/>
          <w:szCs w:val="26"/>
        </w:rPr>
        <w:t xml:space="preserve"> sentido</w:t>
      </w:r>
      <w:r w:rsidRPr="00A5546E">
        <w:rPr>
          <w:rFonts w:ascii="Arial" w:hAnsi="Arial" w:cs="Arial"/>
          <w:sz w:val="26"/>
          <w:szCs w:val="26"/>
        </w:rPr>
        <w:t>,</w:t>
      </w:r>
      <w:r w:rsidRPr="007501A6">
        <w:rPr>
          <w:rFonts w:ascii="Arial" w:hAnsi="Arial" w:cs="Arial"/>
          <w:b/>
          <w:sz w:val="26"/>
          <w:szCs w:val="26"/>
        </w:rPr>
        <w:t xml:space="preserve"> </w:t>
      </w:r>
      <w:r w:rsidRPr="007501A6">
        <w:rPr>
          <w:rFonts w:ascii="Arial" w:hAnsi="Arial" w:cs="Arial"/>
          <w:sz w:val="26"/>
          <w:szCs w:val="26"/>
        </w:rPr>
        <w:t xml:space="preserve">como se precisó en líneas precedentes el objeto del acuerdo en revisión es el de vigilar que se acaten las consideraciones que sostienen la sentencia que rige el juicio y, en el actual caso, la sentencia que pronunció la primera instancia fue en el sentido de declarar nulo el acto impugnado para efecto de que la autoridad enjuiciada debidamente fundara su competencia y, en el caso, con el oficio remitido por el Director </w:t>
      </w:r>
      <w:r w:rsidR="00A5546E">
        <w:rPr>
          <w:rFonts w:ascii="Arial" w:hAnsi="Arial" w:cs="Arial"/>
          <w:sz w:val="26"/>
          <w:szCs w:val="26"/>
        </w:rPr>
        <w:t>de Concesiones</w:t>
      </w:r>
      <w:r w:rsidRPr="007501A6">
        <w:rPr>
          <w:rFonts w:ascii="Arial" w:hAnsi="Arial" w:cs="Arial"/>
          <w:sz w:val="26"/>
          <w:szCs w:val="26"/>
        </w:rPr>
        <w:t xml:space="preserve"> de la Secretaría de Vialidad y Transporte se acompañó el acuerdo de </w:t>
      </w:r>
      <w:r w:rsidR="00A5546E">
        <w:rPr>
          <w:rFonts w:ascii="Arial" w:hAnsi="Arial" w:cs="Arial"/>
          <w:sz w:val="26"/>
          <w:szCs w:val="26"/>
        </w:rPr>
        <w:t>29 veintinueve de agosto</w:t>
      </w:r>
      <w:r w:rsidRPr="007501A6">
        <w:rPr>
          <w:rFonts w:ascii="Arial" w:hAnsi="Arial" w:cs="Arial"/>
          <w:sz w:val="26"/>
          <w:szCs w:val="26"/>
        </w:rPr>
        <w:t xml:space="preserve"> de 2016 dos mil dieciséis</w:t>
      </w:r>
      <w:r w:rsidR="0062757D">
        <w:rPr>
          <w:rFonts w:ascii="Arial" w:hAnsi="Arial" w:cs="Arial"/>
          <w:sz w:val="26"/>
          <w:szCs w:val="26"/>
        </w:rPr>
        <w:t>,</w:t>
      </w:r>
      <w:r w:rsidRPr="007501A6">
        <w:rPr>
          <w:rFonts w:ascii="Arial" w:hAnsi="Arial" w:cs="Arial"/>
          <w:sz w:val="26"/>
          <w:szCs w:val="26"/>
        </w:rPr>
        <w:t xml:space="preserve"> suscrito por él mismo en el que con fundamento en el artículo 2 de la Constitución Local, conforme al cual las autoridades sólo pueden hace lo que la ley les autoriza y deben hacer lo que la ley les ordena, se declaró incompetente para continuar conociendo la petición formulada por </w:t>
      </w:r>
      <w:r w:rsidR="00994BF1">
        <w:rPr>
          <w:rFonts w:ascii="Arial" w:hAnsi="Arial" w:cs="Arial"/>
          <w:sz w:val="26"/>
          <w:szCs w:val="26"/>
        </w:rPr>
        <w:t>**********</w:t>
      </w:r>
      <w:r w:rsidRPr="007501A6">
        <w:rPr>
          <w:rFonts w:ascii="Arial" w:hAnsi="Arial" w:cs="Arial"/>
          <w:sz w:val="26"/>
          <w:szCs w:val="26"/>
        </w:rPr>
        <w:t xml:space="preserve"> y ordenó turnar dicha solicitud al Secretario de Vialidad y </w:t>
      </w:r>
      <w:r w:rsidR="00A5546E">
        <w:rPr>
          <w:rFonts w:ascii="Arial" w:hAnsi="Arial" w:cs="Arial"/>
          <w:sz w:val="26"/>
          <w:szCs w:val="26"/>
        </w:rPr>
        <w:t>Transporte;</w:t>
      </w:r>
      <w:r w:rsidRPr="00A5546E">
        <w:rPr>
          <w:rFonts w:ascii="Arial" w:hAnsi="Arial" w:cs="Arial"/>
          <w:sz w:val="26"/>
          <w:szCs w:val="26"/>
        </w:rPr>
        <w:t xml:space="preserve"> </w:t>
      </w:r>
      <w:r w:rsidR="00A5546E">
        <w:rPr>
          <w:rFonts w:ascii="Arial" w:hAnsi="Arial" w:cs="Arial"/>
          <w:sz w:val="26"/>
          <w:szCs w:val="26"/>
        </w:rPr>
        <w:t>de ahí que</w:t>
      </w:r>
      <w:r w:rsidRPr="00A5546E">
        <w:rPr>
          <w:rFonts w:ascii="Arial" w:hAnsi="Arial" w:cs="Arial"/>
          <w:sz w:val="26"/>
          <w:szCs w:val="26"/>
        </w:rPr>
        <w:t>,</w:t>
      </w:r>
      <w:r w:rsidRPr="007501A6">
        <w:rPr>
          <w:rFonts w:ascii="Arial" w:hAnsi="Arial" w:cs="Arial"/>
          <w:b/>
          <w:sz w:val="26"/>
          <w:szCs w:val="26"/>
        </w:rPr>
        <w:t xml:space="preserve"> </w:t>
      </w:r>
      <w:r w:rsidRPr="007501A6">
        <w:rPr>
          <w:rFonts w:ascii="Arial" w:hAnsi="Arial" w:cs="Arial"/>
          <w:sz w:val="26"/>
          <w:szCs w:val="26"/>
        </w:rPr>
        <w:t>si esa autoridad estima que carece de competencia para continuar el referido trámite</w:t>
      </w:r>
      <w:r w:rsidR="00A5546E">
        <w:rPr>
          <w:rFonts w:ascii="Arial" w:hAnsi="Arial" w:cs="Arial"/>
          <w:sz w:val="26"/>
          <w:szCs w:val="26"/>
        </w:rPr>
        <w:t>,</w:t>
      </w:r>
      <w:r w:rsidRPr="007501A6">
        <w:rPr>
          <w:rFonts w:ascii="Arial" w:hAnsi="Arial" w:cs="Arial"/>
          <w:sz w:val="26"/>
          <w:szCs w:val="26"/>
        </w:rPr>
        <w:t xml:space="preserve"> </w:t>
      </w:r>
      <w:r w:rsidR="00A5546E">
        <w:rPr>
          <w:rFonts w:ascii="Arial" w:hAnsi="Arial" w:cs="Arial"/>
          <w:sz w:val="26"/>
          <w:szCs w:val="26"/>
        </w:rPr>
        <w:t xml:space="preserve">con ello </w:t>
      </w:r>
      <w:r w:rsidRPr="007501A6">
        <w:rPr>
          <w:rFonts w:ascii="Arial" w:hAnsi="Arial" w:cs="Arial"/>
          <w:sz w:val="26"/>
          <w:szCs w:val="26"/>
        </w:rPr>
        <w:t xml:space="preserve">ha colmado el </w:t>
      </w:r>
      <w:r w:rsidRPr="007501A6">
        <w:rPr>
          <w:rFonts w:ascii="Arial" w:hAnsi="Arial" w:cs="Arial"/>
          <w:sz w:val="26"/>
          <w:szCs w:val="26"/>
        </w:rPr>
        <w:lastRenderedPageBreak/>
        <w:t>efecto conferido en la sentencia, pues en el caso, fund</w:t>
      </w:r>
      <w:r w:rsidR="00A5546E">
        <w:rPr>
          <w:rFonts w:ascii="Arial" w:hAnsi="Arial" w:cs="Arial"/>
          <w:sz w:val="26"/>
          <w:szCs w:val="26"/>
        </w:rPr>
        <w:t>ó</w:t>
      </w:r>
      <w:r w:rsidRPr="007501A6">
        <w:rPr>
          <w:rFonts w:ascii="Arial" w:hAnsi="Arial" w:cs="Arial"/>
          <w:sz w:val="26"/>
          <w:szCs w:val="26"/>
        </w:rPr>
        <w:t xml:space="preserve"> y motivó su incompetencia para seguir conociendo en el caso. </w:t>
      </w:r>
    </w:p>
    <w:p w:rsidR="003C5FAE" w:rsidRPr="007501A6" w:rsidRDefault="003C5FAE" w:rsidP="003C5FAE">
      <w:pPr>
        <w:pStyle w:val="Sinespaciado"/>
        <w:spacing w:line="360" w:lineRule="auto"/>
        <w:ind w:right="49"/>
        <w:jc w:val="both"/>
        <w:rPr>
          <w:rFonts w:ascii="Arial" w:hAnsi="Arial" w:cs="Arial"/>
          <w:sz w:val="26"/>
          <w:szCs w:val="26"/>
        </w:rPr>
      </w:pPr>
    </w:p>
    <w:p w:rsidR="003C5FAE" w:rsidRPr="007501A6" w:rsidRDefault="003C5FAE" w:rsidP="003C5FAE">
      <w:pPr>
        <w:pStyle w:val="Sinespaciado"/>
        <w:spacing w:line="360" w:lineRule="auto"/>
        <w:ind w:right="49"/>
        <w:jc w:val="both"/>
        <w:rPr>
          <w:rFonts w:ascii="Arial" w:hAnsi="Arial" w:cs="Arial"/>
          <w:sz w:val="26"/>
          <w:szCs w:val="26"/>
        </w:rPr>
      </w:pPr>
      <w:r w:rsidRPr="007501A6">
        <w:rPr>
          <w:rFonts w:ascii="Arial" w:hAnsi="Arial" w:cs="Arial"/>
          <w:sz w:val="26"/>
          <w:szCs w:val="26"/>
        </w:rPr>
        <w:tab/>
      </w:r>
      <w:r w:rsidRPr="004707E8">
        <w:rPr>
          <w:rFonts w:ascii="Arial" w:hAnsi="Arial" w:cs="Arial"/>
          <w:sz w:val="26"/>
          <w:szCs w:val="26"/>
        </w:rPr>
        <w:t>Así las cosas, el auto</w:t>
      </w:r>
      <w:r w:rsidRPr="007501A6">
        <w:rPr>
          <w:rFonts w:ascii="Arial" w:hAnsi="Arial" w:cs="Arial"/>
          <w:sz w:val="26"/>
          <w:szCs w:val="26"/>
        </w:rPr>
        <w:t xml:space="preserve"> sujeto a revisión cumple con su fin, pues ha revisado que la autoridad demandada “Director </w:t>
      </w:r>
      <w:r w:rsidR="004707E8">
        <w:rPr>
          <w:rFonts w:ascii="Arial" w:hAnsi="Arial" w:cs="Arial"/>
          <w:sz w:val="26"/>
          <w:szCs w:val="26"/>
        </w:rPr>
        <w:t>de Concesiones</w:t>
      </w:r>
      <w:r w:rsidRPr="007501A6">
        <w:rPr>
          <w:rFonts w:ascii="Arial" w:hAnsi="Arial" w:cs="Arial"/>
          <w:sz w:val="26"/>
          <w:szCs w:val="26"/>
        </w:rPr>
        <w:t>” ha cumplido la sentencia, y tal autoridad ha establecido su falta de</w:t>
      </w:r>
      <w:r w:rsidR="004707E8">
        <w:rPr>
          <w:rFonts w:ascii="Arial" w:hAnsi="Arial" w:cs="Arial"/>
          <w:sz w:val="26"/>
          <w:szCs w:val="26"/>
        </w:rPr>
        <w:t xml:space="preserve"> competencia para conocer de la</w:t>
      </w:r>
      <w:r w:rsidRPr="007501A6">
        <w:rPr>
          <w:rFonts w:ascii="Arial" w:hAnsi="Arial" w:cs="Arial"/>
          <w:sz w:val="26"/>
          <w:szCs w:val="26"/>
        </w:rPr>
        <w:t xml:space="preserve"> petici</w:t>
      </w:r>
      <w:r w:rsidR="004707E8">
        <w:rPr>
          <w:rFonts w:ascii="Arial" w:hAnsi="Arial" w:cs="Arial"/>
          <w:sz w:val="26"/>
          <w:szCs w:val="26"/>
        </w:rPr>
        <w:t>ón</w:t>
      </w:r>
      <w:r w:rsidRPr="007501A6">
        <w:rPr>
          <w:rFonts w:ascii="Arial" w:hAnsi="Arial" w:cs="Arial"/>
          <w:sz w:val="26"/>
          <w:szCs w:val="26"/>
        </w:rPr>
        <w:t xml:space="preserve"> formulada por la actora, por</w:t>
      </w:r>
      <w:r w:rsidR="004707E8">
        <w:rPr>
          <w:rFonts w:ascii="Arial" w:hAnsi="Arial" w:cs="Arial"/>
          <w:sz w:val="26"/>
          <w:szCs w:val="26"/>
        </w:rPr>
        <w:t xml:space="preserve"> ende estimó que debía turnarla</w:t>
      </w:r>
      <w:r w:rsidRPr="007501A6">
        <w:rPr>
          <w:rFonts w:ascii="Arial" w:hAnsi="Arial" w:cs="Arial"/>
          <w:sz w:val="26"/>
          <w:szCs w:val="26"/>
        </w:rPr>
        <w:t xml:space="preserve"> a la autoridad que considera sí cuenta con facultades reconocidas por la ley para pronunciarse respecto de </w:t>
      </w:r>
      <w:r w:rsidR="004707E8">
        <w:rPr>
          <w:rFonts w:ascii="Arial" w:hAnsi="Arial" w:cs="Arial"/>
          <w:sz w:val="26"/>
          <w:szCs w:val="26"/>
        </w:rPr>
        <w:t>dicha petición</w:t>
      </w:r>
      <w:r w:rsidRPr="007501A6">
        <w:rPr>
          <w:rFonts w:ascii="Arial" w:hAnsi="Arial" w:cs="Arial"/>
          <w:sz w:val="26"/>
          <w:szCs w:val="26"/>
        </w:rPr>
        <w:t xml:space="preserve">. </w:t>
      </w:r>
    </w:p>
    <w:p w:rsidR="003C5FAE" w:rsidRPr="007501A6" w:rsidRDefault="003C5FAE" w:rsidP="003C5FAE">
      <w:pPr>
        <w:pStyle w:val="Sinespaciado"/>
        <w:spacing w:line="360" w:lineRule="auto"/>
        <w:ind w:right="49"/>
        <w:jc w:val="both"/>
        <w:rPr>
          <w:rFonts w:ascii="Arial" w:hAnsi="Arial" w:cs="Arial"/>
          <w:sz w:val="26"/>
          <w:szCs w:val="26"/>
        </w:rPr>
      </w:pPr>
    </w:p>
    <w:p w:rsidR="003C5FAE" w:rsidRPr="007501A6" w:rsidRDefault="003C5FAE" w:rsidP="003C5FAE">
      <w:pPr>
        <w:pStyle w:val="Sinespaciado"/>
        <w:spacing w:line="360" w:lineRule="auto"/>
        <w:ind w:right="49"/>
        <w:jc w:val="both"/>
        <w:rPr>
          <w:rFonts w:ascii="Arial" w:hAnsi="Arial" w:cs="Arial"/>
          <w:sz w:val="26"/>
          <w:szCs w:val="26"/>
        </w:rPr>
      </w:pPr>
      <w:r w:rsidRPr="007501A6">
        <w:rPr>
          <w:rFonts w:ascii="Arial" w:hAnsi="Arial" w:cs="Arial"/>
          <w:sz w:val="26"/>
          <w:szCs w:val="26"/>
        </w:rPr>
        <w:tab/>
      </w:r>
      <w:r w:rsidR="004707E8">
        <w:rPr>
          <w:rFonts w:ascii="Arial" w:hAnsi="Arial" w:cs="Arial"/>
          <w:sz w:val="26"/>
          <w:szCs w:val="26"/>
        </w:rPr>
        <w:t>Bajo esa tesitura,</w:t>
      </w:r>
      <w:r w:rsidRPr="007501A6">
        <w:rPr>
          <w:rFonts w:ascii="Arial" w:hAnsi="Arial" w:cs="Arial"/>
          <w:b/>
          <w:sz w:val="26"/>
          <w:szCs w:val="26"/>
        </w:rPr>
        <w:t xml:space="preserve"> </w:t>
      </w:r>
      <w:r w:rsidRPr="007501A6">
        <w:rPr>
          <w:rFonts w:ascii="Arial" w:hAnsi="Arial" w:cs="Arial"/>
          <w:sz w:val="26"/>
          <w:szCs w:val="26"/>
        </w:rPr>
        <w:t>el planteamiento de la aquí disconforme, que esencialmente está dirigido a controvertir la competencia del Secretario de Vialidad y Transporte no puede tomarse en consideración porque ese no es el objeto del acuerdo sujeto a revisión,</w:t>
      </w:r>
      <w:r w:rsidR="004707E8">
        <w:rPr>
          <w:rFonts w:ascii="Arial" w:hAnsi="Arial" w:cs="Arial"/>
          <w:sz w:val="26"/>
          <w:szCs w:val="26"/>
        </w:rPr>
        <w:t xml:space="preserve"> puesto que</w:t>
      </w:r>
      <w:r w:rsidRPr="007501A6">
        <w:rPr>
          <w:rFonts w:ascii="Arial" w:hAnsi="Arial" w:cs="Arial"/>
          <w:sz w:val="26"/>
          <w:szCs w:val="26"/>
        </w:rPr>
        <w:t xml:space="preserve"> debía demostrar, que los efectos impuestos en la sentencia, es decir, que la autoridad demandada DIRECTOR </w:t>
      </w:r>
      <w:r w:rsidR="004707E8">
        <w:rPr>
          <w:rFonts w:ascii="Arial" w:hAnsi="Arial" w:cs="Arial"/>
          <w:sz w:val="26"/>
          <w:szCs w:val="26"/>
        </w:rPr>
        <w:t>DE CONCESIONES</w:t>
      </w:r>
      <w:r w:rsidRPr="007501A6">
        <w:rPr>
          <w:rFonts w:ascii="Arial" w:hAnsi="Arial" w:cs="Arial"/>
          <w:sz w:val="26"/>
          <w:szCs w:val="26"/>
        </w:rPr>
        <w:t xml:space="preserve"> no ha emitido un acto en el que </w:t>
      </w:r>
      <w:r w:rsidR="004707E8">
        <w:rPr>
          <w:rFonts w:ascii="Arial" w:hAnsi="Arial" w:cs="Arial"/>
          <w:sz w:val="26"/>
          <w:szCs w:val="26"/>
        </w:rPr>
        <w:t>haya fundado</w:t>
      </w:r>
      <w:r w:rsidRPr="007501A6">
        <w:rPr>
          <w:rFonts w:ascii="Arial" w:hAnsi="Arial" w:cs="Arial"/>
          <w:sz w:val="26"/>
          <w:szCs w:val="26"/>
        </w:rPr>
        <w:t xml:space="preserve"> debidamente su competencia. </w:t>
      </w:r>
    </w:p>
    <w:p w:rsidR="003C5FAE" w:rsidRPr="007501A6" w:rsidRDefault="003C5FAE" w:rsidP="003C5FAE">
      <w:pPr>
        <w:pStyle w:val="Sinespaciado"/>
        <w:spacing w:line="360" w:lineRule="auto"/>
        <w:ind w:right="49"/>
        <w:jc w:val="both"/>
        <w:rPr>
          <w:rFonts w:ascii="Arial" w:hAnsi="Arial" w:cs="Arial"/>
          <w:sz w:val="26"/>
          <w:szCs w:val="26"/>
        </w:rPr>
      </w:pPr>
    </w:p>
    <w:p w:rsidR="003C5FAE" w:rsidRPr="007501A6" w:rsidRDefault="00A10AD2" w:rsidP="003C5FAE">
      <w:pPr>
        <w:pStyle w:val="Sinespaciado"/>
        <w:spacing w:line="360" w:lineRule="auto"/>
        <w:ind w:right="49"/>
        <w:jc w:val="both"/>
        <w:rPr>
          <w:rFonts w:ascii="Arial" w:hAnsi="Arial" w:cs="Arial"/>
          <w:sz w:val="26"/>
          <w:szCs w:val="26"/>
        </w:rPr>
      </w:pPr>
      <w:r>
        <w:rPr>
          <w:noProof/>
        </w:rPr>
        <mc:AlternateContent>
          <mc:Choice Requires="wps">
            <w:drawing>
              <wp:anchor distT="0" distB="0" distL="114300" distR="114300" simplePos="0" relativeHeight="251669504" behindDoc="0" locked="0" layoutInCell="1" allowOverlap="1" wp14:anchorId="4DCF2EF8" wp14:editId="2049BCB5">
                <wp:simplePos x="0" y="0"/>
                <wp:positionH relativeFrom="column">
                  <wp:posOffset>5413375</wp:posOffset>
                </wp:positionH>
                <wp:positionV relativeFrom="paragraph">
                  <wp:posOffset>1552575</wp:posOffset>
                </wp:positionV>
                <wp:extent cx="1076325" cy="657225"/>
                <wp:effectExtent l="0" t="0" r="28575" b="2857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10AD2" w:rsidRPr="00A6596B" w:rsidRDefault="00A10AD2" w:rsidP="00A10AD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26.25pt;margin-top:122.2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1ws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">
                <v:textbox>
                  <w:txbxContent>
                    <w:p w:rsidR="00A10AD2" w:rsidRPr="00A6596B" w:rsidRDefault="00A10AD2" w:rsidP="00A10AD2">
                      <w:pPr>
                        <w:rPr>
                          <w:sz w:val="16"/>
                          <w:szCs w:val="16"/>
                        </w:rPr>
                      </w:pPr>
                      <w:r>
                        <w:rPr>
                          <w:sz w:val="16"/>
                          <w:szCs w:val="16"/>
                        </w:rPr>
                        <w:t>Datos personales protegidos por el Art. 116 de la LGTAIP y el Art. 56 de la LTAIPEO</w:t>
                      </w:r>
                    </w:p>
                  </w:txbxContent>
                </v:textbox>
              </v:shape>
            </w:pict>
          </mc:Fallback>
        </mc:AlternateContent>
      </w:r>
      <w:r w:rsidR="003C5FAE" w:rsidRPr="007501A6">
        <w:rPr>
          <w:rFonts w:ascii="Arial" w:hAnsi="Arial" w:cs="Arial"/>
          <w:sz w:val="26"/>
          <w:szCs w:val="26"/>
        </w:rPr>
        <w:tab/>
        <w:t xml:space="preserve"> Lo que la aquí recurrente pretende con la forma en que están planteados sus agravios es que esta Superioridad emprenda un análisis respecto de cuestiones que no han sido objeto de discusión en la primera instancia y donde todas las partes puedan tener acceso a una defensa, además que está dirigido a que se emita una nueva determinación y tal circunstancia es imposible, porque los lineamientos qu</w:t>
      </w:r>
      <w:r w:rsidR="0062757D">
        <w:rPr>
          <w:rFonts w:ascii="Arial" w:hAnsi="Arial" w:cs="Arial"/>
          <w:sz w:val="26"/>
          <w:szCs w:val="26"/>
        </w:rPr>
        <w:t>e rigen el fallo que resolvió la</w:t>
      </w:r>
      <w:r w:rsidR="003C5FAE" w:rsidRPr="007501A6">
        <w:rPr>
          <w:rFonts w:ascii="Arial" w:hAnsi="Arial" w:cs="Arial"/>
          <w:sz w:val="26"/>
          <w:szCs w:val="26"/>
        </w:rPr>
        <w:t xml:space="preserve"> cuestión de fondo sometida a la jurisdicción de la primera instancia, ya fueron establecidos en la sentencia de 13 trece </w:t>
      </w:r>
      <w:r w:rsidR="002B32BE">
        <w:rPr>
          <w:rFonts w:ascii="Arial" w:hAnsi="Arial" w:cs="Arial"/>
          <w:sz w:val="26"/>
          <w:szCs w:val="26"/>
        </w:rPr>
        <w:t>de diciembre de 2013 dos mil trece</w:t>
      </w:r>
      <w:r w:rsidR="003C5FAE" w:rsidRPr="007501A6">
        <w:rPr>
          <w:rFonts w:ascii="Arial" w:hAnsi="Arial" w:cs="Arial"/>
          <w:sz w:val="26"/>
          <w:szCs w:val="26"/>
        </w:rPr>
        <w:t xml:space="preserve">. </w:t>
      </w:r>
    </w:p>
    <w:p w:rsidR="003C5FAE" w:rsidRPr="007501A6" w:rsidRDefault="003C5FAE" w:rsidP="003C5FAE">
      <w:pPr>
        <w:pStyle w:val="Sinespaciado"/>
        <w:spacing w:line="360" w:lineRule="auto"/>
        <w:ind w:right="49"/>
        <w:jc w:val="both"/>
        <w:rPr>
          <w:rFonts w:ascii="Arial" w:hAnsi="Arial" w:cs="Arial"/>
          <w:sz w:val="26"/>
          <w:szCs w:val="26"/>
        </w:rPr>
      </w:pPr>
    </w:p>
    <w:p w:rsidR="003C5FAE" w:rsidRPr="007501A6" w:rsidRDefault="003C5FAE" w:rsidP="003C5FAE">
      <w:pPr>
        <w:pStyle w:val="Sinespaciado"/>
        <w:spacing w:line="360" w:lineRule="auto"/>
        <w:ind w:right="49"/>
        <w:jc w:val="both"/>
        <w:rPr>
          <w:rFonts w:ascii="Arial" w:hAnsi="Arial" w:cs="Arial"/>
          <w:sz w:val="26"/>
          <w:szCs w:val="26"/>
        </w:rPr>
      </w:pPr>
      <w:r w:rsidRPr="007501A6">
        <w:rPr>
          <w:rFonts w:ascii="Arial" w:hAnsi="Arial" w:cs="Arial"/>
          <w:sz w:val="26"/>
          <w:szCs w:val="26"/>
        </w:rPr>
        <w:tab/>
      </w:r>
      <w:r w:rsidRPr="002B32BE">
        <w:rPr>
          <w:rFonts w:ascii="Arial" w:hAnsi="Arial" w:cs="Arial"/>
          <w:sz w:val="26"/>
          <w:szCs w:val="26"/>
        </w:rPr>
        <w:t xml:space="preserve">En estas condiciones, son </w:t>
      </w:r>
      <w:r w:rsidRPr="002B32BE">
        <w:rPr>
          <w:rFonts w:ascii="Arial" w:hAnsi="Arial" w:cs="Arial"/>
          <w:b/>
          <w:sz w:val="26"/>
          <w:szCs w:val="26"/>
        </w:rPr>
        <w:t xml:space="preserve">inoperantes </w:t>
      </w:r>
      <w:r w:rsidRPr="007501A6">
        <w:rPr>
          <w:rFonts w:ascii="Arial" w:hAnsi="Arial" w:cs="Arial"/>
          <w:sz w:val="26"/>
          <w:szCs w:val="26"/>
        </w:rPr>
        <w:t xml:space="preserve">los argumentos hechos valer por la aquí recurrente porque la determinación contenida en el auto de </w:t>
      </w:r>
      <w:r w:rsidR="002B32BE">
        <w:rPr>
          <w:rFonts w:ascii="Arial" w:hAnsi="Arial" w:cs="Arial"/>
          <w:sz w:val="26"/>
          <w:szCs w:val="26"/>
        </w:rPr>
        <w:t>14 catorce de julio de 2017 dos mil diecisiete,</w:t>
      </w:r>
      <w:r w:rsidRPr="007501A6">
        <w:rPr>
          <w:rFonts w:ascii="Arial" w:hAnsi="Arial" w:cs="Arial"/>
          <w:sz w:val="26"/>
          <w:szCs w:val="26"/>
        </w:rPr>
        <w:t xml:space="preserve"> cumple con su finalidad que es la de establecer si se han colmado o no las consideraciones contenidas en la sentencia definitiva y porque </w:t>
      </w:r>
      <w:r w:rsidR="00AF71B0">
        <w:rPr>
          <w:rFonts w:ascii="Arial" w:hAnsi="Arial" w:cs="Arial"/>
          <w:sz w:val="26"/>
          <w:szCs w:val="26"/>
        </w:rPr>
        <w:t xml:space="preserve">sus agravios </w:t>
      </w:r>
      <w:r w:rsidRPr="007501A6">
        <w:rPr>
          <w:rFonts w:ascii="Arial" w:hAnsi="Arial" w:cs="Arial"/>
          <w:sz w:val="26"/>
          <w:szCs w:val="26"/>
        </w:rPr>
        <w:t xml:space="preserve">están dirigidos a controvertir cuestiones que </w:t>
      </w:r>
      <w:r w:rsidR="00AF71B0">
        <w:rPr>
          <w:rFonts w:ascii="Arial" w:hAnsi="Arial" w:cs="Arial"/>
          <w:sz w:val="26"/>
          <w:szCs w:val="26"/>
        </w:rPr>
        <w:t xml:space="preserve">no </w:t>
      </w:r>
      <w:r w:rsidRPr="007501A6">
        <w:rPr>
          <w:rFonts w:ascii="Arial" w:hAnsi="Arial" w:cs="Arial"/>
          <w:sz w:val="26"/>
          <w:szCs w:val="26"/>
        </w:rPr>
        <w:t xml:space="preserve">son motivo ni del auto sujeto a revisión ni del presente medio de defensa. </w:t>
      </w:r>
    </w:p>
    <w:p w:rsidR="003C5FAE" w:rsidRPr="007501A6" w:rsidRDefault="003C5FAE" w:rsidP="003C5FAE">
      <w:pPr>
        <w:pStyle w:val="Sinespaciado"/>
        <w:spacing w:line="360" w:lineRule="auto"/>
        <w:ind w:right="49"/>
        <w:jc w:val="both"/>
        <w:rPr>
          <w:rFonts w:ascii="Arial" w:hAnsi="Arial" w:cs="Arial"/>
          <w:sz w:val="26"/>
          <w:szCs w:val="26"/>
        </w:rPr>
      </w:pPr>
      <w:r w:rsidRPr="007501A6">
        <w:rPr>
          <w:rFonts w:ascii="Arial" w:hAnsi="Arial" w:cs="Arial"/>
          <w:sz w:val="26"/>
          <w:szCs w:val="26"/>
        </w:rPr>
        <w:tab/>
      </w:r>
    </w:p>
    <w:p w:rsidR="00AF71B0" w:rsidRPr="00AF71B0" w:rsidRDefault="003C5FAE" w:rsidP="00AF71B0">
      <w:pPr>
        <w:pStyle w:val="Sinespaciado"/>
        <w:spacing w:line="360" w:lineRule="auto"/>
        <w:ind w:right="49"/>
        <w:jc w:val="both"/>
        <w:rPr>
          <w:rFonts w:ascii="Arial" w:hAnsi="Arial" w:cs="Arial"/>
          <w:sz w:val="26"/>
          <w:szCs w:val="26"/>
        </w:rPr>
      </w:pPr>
      <w:r w:rsidRPr="007501A6">
        <w:rPr>
          <w:rFonts w:ascii="Arial" w:hAnsi="Arial" w:cs="Arial"/>
          <w:sz w:val="26"/>
          <w:szCs w:val="26"/>
        </w:rPr>
        <w:lastRenderedPageBreak/>
        <w:tab/>
        <w:t xml:space="preserve">Sirve de apoyo por analogía en el tema la jurisprudencia </w:t>
      </w:r>
      <w:r w:rsidR="00AF71B0">
        <w:rPr>
          <w:rFonts w:ascii="Arial" w:hAnsi="Arial" w:cs="Arial"/>
          <w:sz w:val="26"/>
          <w:szCs w:val="26"/>
        </w:rPr>
        <w:t>de la D</w:t>
      </w:r>
      <w:r w:rsidR="00AF71B0" w:rsidRPr="00AF71B0">
        <w:rPr>
          <w:rFonts w:ascii="Arial" w:hAnsi="Arial" w:cs="Arial"/>
          <w:sz w:val="26"/>
          <w:szCs w:val="26"/>
        </w:rPr>
        <w:t>écima Época</w:t>
      </w:r>
      <w:r w:rsidR="00AF71B0">
        <w:rPr>
          <w:rFonts w:ascii="Arial" w:hAnsi="Arial" w:cs="Arial"/>
          <w:sz w:val="26"/>
          <w:szCs w:val="26"/>
        </w:rPr>
        <w:t>, con número de registro</w:t>
      </w:r>
      <w:r w:rsidR="00AF71B0" w:rsidRPr="00AF71B0">
        <w:rPr>
          <w:rFonts w:ascii="Arial" w:hAnsi="Arial" w:cs="Arial"/>
          <w:sz w:val="26"/>
          <w:szCs w:val="26"/>
        </w:rPr>
        <w:t xml:space="preserve"> 2000879</w:t>
      </w:r>
      <w:r w:rsidR="00AF71B0">
        <w:rPr>
          <w:rFonts w:ascii="Arial" w:hAnsi="Arial" w:cs="Arial"/>
          <w:sz w:val="26"/>
          <w:szCs w:val="26"/>
        </w:rPr>
        <w:t xml:space="preserve">, de la Segunda Sala de la Suprema Corte de Justicia de la Nación, publicada en el </w:t>
      </w:r>
      <w:r w:rsidR="00AF71B0" w:rsidRPr="00AF71B0">
        <w:rPr>
          <w:rFonts w:ascii="Arial" w:hAnsi="Arial" w:cs="Arial"/>
          <w:sz w:val="26"/>
          <w:szCs w:val="26"/>
        </w:rPr>
        <w:t>Semanario Judicial de la Federación y su Gaceta</w:t>
      </w:r>
      <w:r w:rsidR="00AF71B0">
        <w:rPr>
          <w:rFonts w:ascii="Arial" w:hAnsi="Arial" w:cs="Arial"/>
          <w:sz w:val="26"/>
          <w:szCs w:val="26"/>
        </w:rPr>
        <w:t xml:space="preserve">, </w:t>
      </w:r>
      <w:r w:rsidR="00AF71B0" w:rsidRPr="00AF71B0">
        <w:rPr>
          <w:rFonts w:ascii="Arial" w:hAnsi="Arial" w:cs="Arial"/>
          <w:sz w:val="26"/>
          <w:szCs w:val="26"/>
        </w:rPr>
        <w:t>Libro VIII, Mayo de 2012, Tomo 2</w:t>
      </w:r>
      <w:r w:rsidR="00AF71B0">
        <w:rPr>
          <w:rFonts w:ascii="Arial" w:hAnsi="Arial" w:cs="Arial"/>
          <w:sz w:val="26"/>
          <w:szCs w:val="26"/>
        </w:rPr>
        <w:t xml:space="preserve">, página </w:t>
      </w:r>
      <w:r w:rsidR="00AF71B0" w:rsidRPr="00AF71B0">
        <w:rPr>
          <w:rFonts w:ascii="Arial" w:hAnsi="Arial" w:cs="Arial"/>
          <w:sz w:val="26"/>
          <w:szCs w:val="26"/>
        </w:rPr>
        <w:t>1216</w:t>
      </w:r>
      <w:r w:rsidR="00AF71B0">
        <w:rPr>
          <w:rFonts w:ascii="Arial" w:hAnsi="Arial" w:cs="Arial"/>
          <w:sz w:val="26"/>
          <w:szCs w:val="26"/>
        </w:rPr>
        <w:t>, de rubro y texto siguientes:</w:t>
      </w:r>
      <w:r w:rsidR="00AF71B0" w:rsidRPr="00AF71B0">
        <w:rPr>
          <w:rFonts w:ascii="Arial" w:hAnsi="Arial" w:cs="Arial"/>
          <w:sz w:val="26"/>
          <w:szCs w:val="26"/>
        </w:rPr>
        <w:t xml:space="preserve"> </w:t>
      </w:r>
    </w:p>
    <w:p w:rsidR="00AF71B0" w:rsidRPr="00AF71B0" w:rsidRDefault="00AF71B0" w:rsidP="00AF71B0">
      <w:pPr>
        <w:pStyle w:val="Sinespaciado"/>
        <w:spacing w:line="360" w:lineRule="auto"/>
        <w:ind w:right="49"/>
        <w:jc w:val="both"/>
        <w:rPr>
          <w:rFonts w:ascii="Arial" w:hAnsi="Arial" w:cs="Arial"/>
          <w:sz w:val="26"/>
          <w:szCs w:val="26"/>
        </w:rPr>
      </w:pPr>
    </w:p>
    <w:p w:rsidR="00AF71B0" w:rsidRPr="00AF71B0" w:rsidRDefault="00AF71B0" w:rsidP="00AF71B0">
      <w:pPr>
        <w:pStyle w:val="Sinespaciado"/>
        <w:spacing w:line="360" w:lineRule="auto"/>
        <w:ind w:left="567" w:right="616"/>
        <w:jc w:val="both"/>
        <w:rPr>
          <w:rFonts w:ascii="Arial" w:hAnsi="Arial" w:cs="Arial"/>
          <w:i/>
        </w:rPr>
      </w:pPr>
      <w:r w:rsidRPr="00AF71B0">
        <w:rPr>
          <w:rFonts w:ascii="Arial" w:hAnsi="Arial" w:cs="Arial"/>
          <w:b/>
          <w:i/>
        </w:rPr>
        <w:t>“RECLAMACIÓN. LOS AGRAVIOS QUE CONTROVIERTEN UNA RESOLUCIÓN DIVERSA AL ACUERDO DE PRESIDENCIA RECURRIDO O NO LO COMBATEN DEBEN DECLARARSE INOPERANTES</w:t>
      </w:r>
      <w:r w:rsidRPr="00AF71B0">
        <w:rPr>
          <w:rFonts w:ascii="Arial" w:hAnsi="Arial" w:cs="Arial"/>
          <w:i/>
        </w:rPr>
        <w:t>. El recurso de reclamación constituye un medio de defensa que la Ley de Amparo concede a las partes para impugnar los acuerdos de trámite dictados por el Presidente de la Suprema Corte de Justicia de la Nación, los de sus Salas o los de los Tribunales Colegiados de Circuito. Por tanto, su materia consiste en el acuerdo de trámite impugnado, el cual debe examinarse a través de los agravios expresados por la recurrente; de ahí que si éstos no combaten los razonamientos en que se apoya el acuerdo de Presidencia señalado o están encaminados a controvertir una resolución diversa son inoperantes y, por ende, el referido recurso debe declararse infundado.</w:t>
      </w:r>
      <w:r>
        <w:rPr>
          <w:rFonts w:ascii="Arial" w:hAnsi="Arial" w:cs="Arial"/>
          <w:i/>
        </w:rPr>
        <w:t>”</w:t>
      </w:r>
    </w:p>
    <w:p w:rsidR="00AF71B0" w:rsidRPr="00AF71B0" w:rsidRDefault="00AF71B0" w:rsidP="00AF71B0">
      <w:pPr>
        <w:pStyle w:val="Sinespaciado"/>
        <w:spacing w:line="360" w:lineRule="auto"/>
        <w:ind w:right="49"/>
        <w:jc w:val="both"/>
        <w:rPr>
          <w:rFonts w:ascii="Arial" w:hAnsi="Arial" w:cs="Arial"/>
          <w:sz w:val="26"/>
          <w:szCs w:val="26"/>
        </w:rPr>
      </w:pPr>
    </w:p>
    <w:p w:rsidR="003C5FAE" w:rsidRDefault="003C5FAE" w:rsidP="003C5FAE">
      <w:pPr>
        <w:pStyle w:val="Sinespaciado"/>
        <w:spacing w:line="360" w:lineRule="auto"/>
        <w:ind w:firstLine="708"/>
        <w:jc w:val="both"/>
        <w:rPr>
          <w:rFonts w:ascii="Arial" w:hAnsi="Arial" w:cs="Arial"/>
          <w:sz w:val="26"/>
          <w:szCs w:val="26"/>
        </w:rPr>
      </w:pPr>
      <w:r w:rsidRPr="00AF71B0">
        <w:rPr>
          <w:rFonts w:ascii="Arial" w:eastAsia="Calibri" w:hAnsi="Arial" w:cs="Arial"/>
          <w:bCs/>
          <w:sz w:val="26"/>
          <w:szCs w:val="26"/>
        </w:rPr>
        <w:t>Por las narradas consideraciones, procede</w:t>
      </w:r>
      <w:r w:rsidRPr="007501A6">
        <w:rPr>
          <w:rFonts w:ascii="Arial" w:eastAsia="Calibri" w:hAnsi="Arial" w:cs="Arial"/>
          <w:bCs/>
          <w:sz w:val="26"/>
          <w:szCs w:val="26"/>
        </w:rPr>
        <w:t xml:space="preserve"> </w:t>
      </w:r>
      <w:r w:rsidRPr="007501A6">
        <w:rPr>
          <w:rFonts w:ascii="Arial" w:eastAsia="Calibri" w:hAnsi="Arial" w:cs="Arial"/>
          <w:b/>
          <w:bCs/>
          <w:sz w:val="26"/>
          <w:szCs w:val="26"/>
        </w:rPr>
        <w:t xml:space="preserve">confirmar </w:t>
      </w:r>
      <w:r w:rsidRPr="007501A6">
        <w:rPr>
          <w:rFonts w:ascii="Arial" w:eastAsia="Calibri" w:hAnsi="Arial" w:cs="Arial"/>
          <w:bCs/>
          <w:sz w:val="26"/>
          <w:szCs w:val="26"/>
        </w:rPr>
        <w:t xml:space="preserve">el proveído de </w:t>
      </w:r>
      <w:r w:rsidR="00AF71B0">
        <w:rPr>
          <w:rFonts w:ascii="Arial" w:eastAsia="Calibri" w:hAnsi="Arial" w:cs="Arial"/>
          <w:bCs/>
          <w:sz w:val="26"/>
          <w:szCs w:val="26"/>
        </w:rPr>
        <w:t>14 catorce de julio de 2017 dos mil diecisiete</w:t>
      </w:r>
      <w:r w:rsidRPr="007501A6">
        <w:rPr>
          <w:rFonts w:ascii="Arial" w:eastAsia="Calibri" w:hAnsi="Arial" w:cs="Arial"/>
          <w:bCs/>
          <w:sz w:val="26"/>
          <w:szCs w:val="26"/>
        </w:rPr>
        <w:t xml:space="preserve"> y</w:t>
      </w:r>
      <w:r w:rsidRPr="007501A6">
        <w:rPr>
          <w:rFonts w:ascii="Arial" w:hAnsi="Arial" w:cs="Arial"/>
          <w:b/>
          <w:sz w:val="26"/>
          <w:szCs w:val="26"/>
        </w:rPr>
        <w:t>,</w:t>
      </w:r>
      <w:r w:rsidRPr="007501A6">
        <w:rPr>
          <w:rFonts w:ascii="Arial" w:eastAsia="Calibri" w:hAnsi="Arial" w:cs="Arial"/>
          <w:sz w:val="26"/>
          <w:szCs w:val="26"/>
        </w:rPr>
        <w:t xml:space="preserve"> con fundamento en los artículos </w:t>
      </w:r>
      <w:r w:rsidRPr="007501A6">
        <w:rPr>
          <w:rFonts w:ascii="Arial" w:hAnsi="Arial" w:cs="Arial"/>
          <w:sz w:val="26"/>
          <w:szCs w:val="26"/>
        </w:rPr>
        <w:t>207 y 208 de la Ley de Justicia Administrativa para el Estado,</w:t>
      </w:r>
      <w:r w:rsidR="0062757D">
        <w:rPr>
          <w:rFonts w:ascii="Arial" w:hAnsi="Arial" w:cs="Arial"/>
          <w:sz w:val="26"/>
          <w:szCs w:val="26"/>
        </w:rPr>
        <w:t xml:space="preserve"> vigente hasta el 20 veinte de octubre de 2017 dos mil diecisiete,</w:t>
      </w:r>
      <w:r w:rsidRPr="007501A6">
        <w:rPr>
          <w:rFonts w:ascii="Arial" w:hAnsi="Arial" w:cs="Arial"/>
          <w:sz w:val="26"/>
          <w:szCs w:val="26"/>
        </w:rPr>
        <w:t xml:space="preserve"> se:</w:t>
      </w:r>
    </w:p>
    <w:p w:rsidR="0052759D" w:rsidRDefault="0052759D" w:rsidP="0052759D">
      <w:pPr>
        <w:tabs>
          <w:tab w:val="left" w:pos="1134"/>
        </w:tabs>
        <w:spacing w:before="240" w:line="360" w:lineRule="auto"/>
        <w:jc w:val="center"/>
        <w:rPr>
          <w:rFonts w:ascii="Arial" w:hAnsi="Arial" w:cs="Arial"/>
          <w:b/>
          <w:sz w:val="26"/>
          <w:szCs w:val="26"/>
        </w:rPr>
      </w:pPr>
      <w:r w:rsidRPr="00164D1B">
        <w:rPr>
          <w:rFonts w:ascii="Arial" w:hAnsi="Arial" w:cs="Arial"/>
          <w:b/>
          <w:sz w:val="26"/>
          <w:szCs w:val="26"/>
        </w:rPr>
        <w:t>R E S U E L V E</w:t>
      </w:r>
      <w:r w:rsidR="00E17AFA">
        <w:rPr>
          <w:rFonts w:ascii="Arial" w:hAnsi="Arial" w:cs="Arial"/>
          <w:b/>
          <w:sz w:val="26"/>
          <w:szCs w:val="26"/>
        </w:rPr>
        <w:t>:</w:t>
      </w:r>
    </w:p>
    <w:p w:rsidR="0052759D" w:rsidRPr="00164D1B" w:rsidRDefault="0052759D" w:rsidP="0052759D">
      <w:pPr>
        <w:pStyle w:val="Textoindependiente21"/>
        <w:tabs>
          <w:tab w:val="left" w:pos="-1985"/>
          <w:tab w:val="left" w:pos="7938"/>
        </w:tabs>
        <w:spacing w:before="240" w:line="360" w:lineRule="auto"/>
        <w:ind w:right="17" w:firstLine="709"/>
        <w:rPr>
          <w:rFonts w:ascii="Arial" w:hAnsi="Arial" w:cs="Arial"/>
          <w:b/>
          <w:sz w:val="26"/>
          <w:szCs w:val="26"/>
        </w:rPr>
      </w:pPr>
      <w:r w:rsidRPr="00164D1B">
        <w:rPr>
          <w:rFonts w:ascii="Arial" w:hAnsi="Arial" w:cs="Arial"/>
          <w:b/>
          <w:sz w:val="26"/>
          <w:szCs w:val="26"/>
        </w:rPr>
        <w:t>PRIMERO</w:t>
      </w:r>
      <w:r>
        <w:rPr>
          <w:rFonts w:ascii="Arial" w:hAnsi="Arial" w:cs="Arial"/>
          <w:sz w:val="26"/>
          <w:szCs w:val="26"/>
        </w:rPr>
        <w:t xml:space="preserve">. </w:t>
      </w:r>
      <w:r>
        <w:rPr>
          <w:rFonts w:ascii="Arial" w:hAnsi="Arial" w:cs="Arial"/>
          <w:sz w:val="26"/>
          <w:szCs w:val="26"/>
          <w:lang w:val="es-MX"/>
        </w:rPr>
        <w:t xml:space="preserve">Se </w:t>
      </w:r>
      <w:r w:rsidR="00AF71B0">
        <w:rPr>
          <w:rFonts w:ascii="Arial" w:hAnsi="Arial" w:cs="Arial"/>
          <w:b/>
          <w:sz w:val="26"/>
          <w:szCs w:val="26"/>
          <w:lang w:val="es-MX"/>
        </w:rPr>
        <w:t>CONFIRMA</w:t>
      </w:r>
      <w:r>
        <w:rPr>
          <w:rFonts w:ascii="Arial" w:hAnsi="Arial" w:cs="Arial"/>
          <w:b/>
          <w:sz w:val="26"/>
          <w:szCs w:val="26"/>
          <w:lang w:val="es-MX"/>
        </w:rPr>
        <w:t xml:space="preserve"> </w:t>
      </w:r>
      <w:r>
        <w:rPr>
          <w:rFonts w:ascii="Arial" w:hAnsi="Arial" w:cs="Arial"/>
          <w:sz w:val="26"/>
          <w:szCs w:val="26"/>
          <w:lang w:val="es-MX"/>
        </w:rPr>
        <w:t xml:space="preserve">el acuerdo recurrido de </w:t>
      </w:r>
      <w:r w:rsidR="00AF71B0">
        <w:rPr>
          <w:rFonts w:ascii="Arial" w:hAnsi="Arial" w:cs="Arial"/>
          <w:sz w:val="26"/>
          <w:szCs w:val="26"/>
          <w:lang w:val="es-MX"/>
        </w:rPr>
        <w:t>14 catorce de julio de 2017 dos mil diecisiete</w:t>
      </w:r>
      <w:r>
        <w:rPr>
          <w:rFonts w:ascii="Arial" w:hAnsi="Arial" w:cs="Arial"/>
          <w:sz w:val="26"/>
          <w:szCs w:val="26"/>
          <w:lang w:val="es-MX"/>
        </w:rPr>
        <w:t xml:space="preserve">, </w:t>
      </w:r>
      <w:r w:rsidR="00A67262">
        <w:rPr>
          <w:rFonts w:ascii="Arial" w:hAnsi="Arial" w:cs="Arial"/>
          <w:sz w:val="26"/>
          <w:szCs w:val="26"/>
          <w:lang w:val="es-MX"/>
        </w:rPr>
        <w:t>por las razones expuestas</w:t>
      </w:r>
      <w:r>
        <w:rPr>
          <w:rFonts w:ascii="Arial" w:hAnsi="Arial" w:cs="Arial"/>
          <w:sz w:val="26"/>
          <w:szCs w:val="26"/>
          <w:lang w:val="es-MX"/>
        </w:rPr>
        <w:t xml:space="preserve"> en el</w:t>
      </w:r>
      <w:r w:rsidRPr="00CE1F0A">
        <w:rPr>
          <w:rFonts w:ascii="Arial" w:hAnsi="Arial" w:cs="Arial"/>
          <w:b/>
          <w:sz w:val="26"/>
          <w:szCs w:val="26"/>
          <w:lang w:val="es-MX"/>
        </w:rPr>
        <w:t xml:space="preserve"> </w:t>
      </w:r>
      <w:r w:rsidRPr="00CE1F0A">
        <w:rPr>
          <w:rFonts w:ascii="Arial" w:hAnsi="Arial" w:cs="Arial"/>
          <w:sz w:val="26"/>
          <w:szCs w:val="26"/>
        </w:rPr>
        <w:t>considerando que antecede</w:t>
      </w:r>
      <w:r>
        <w:rPr>
          <w:rFonts w:ascii="Arial" w:hAnsi="Arial" w:cs="Arial"/>
          <w:sz w:val="26"/>
          <w:szCs w:val="26"/>
          <w:lang w:val="es-MX"/>
        </w:rPr>
        <w:t xml:space="preserve">. </w:t>
      </w:r>
    </w:p>
    <w:p w:rsidR="0052759D" w:rsidRDefault="0052759D" w:rsidP="005678EE">
      <w:pPr>
        <w:spacing w:before="240" w:after="240"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sidR="00CD55B0">
        <w:rPr>
          <w:rFonts w:ascii="Arial" w:hAnsi="Arial" w:cs="Arial"/>
          <w:sz w:val="26"/>
          <w:szCs w:val="26"/>
        </w:rPr>
        <w:t>remítase</w:t>
      </w:r>
      <w:r>
        <w:rPr>
          <w:rFonts w:ascii="Arial" w:hAnsi="Arial" w:cs="Arial"/>
          <w:sz w:val="26"/>
          <w:szCs w:val="26"/>
        </w:rPr>
        <w:t xml:space="preserve"> certifi</w:t>
      </w:r>
      <w:r w:rsidR="00CD55B0">
        <w:rPr>
          <w:rFonts w:ascii="Arial" w:hAnsi="Arial" w:cs="Arial"/>
          <w:sz w:val="26"/>
          <w:szCs w:val="26"/>
        </w:rPr>
        <w:t xml:space="preserve">cada de la presente resolución </w:t>
      </w:r>
      <w:r>
        <w:rPr>
          <w:rFonts w:ascii="Arial" w:hAnsi="Arial" w:cs="Arial"/>
          <w:sz w:val="26"/>
          <w:szCs w:val="26"/>
        </w:rPr>
        <w:t xml:space="preserve">a la </w:t>
      </w:r>
      <w:r w:rsidR="005678EE">
        <w:rPr>
          <w:rFonts w:ascii="Arial" w:hAnsi="Arial" w:cs="Arial"/>
          <w:sz w:val="26"/>
          <w:szCs w:val="26"/>
        </w:rPr>
        <w:t>Segunda</w:t>
      </w:r>
      <w:r>
        <w:rPr>
          <w:rFonts w:ascii="Arial" w:hAnsi="Arial" w:cs="Arial"/>
          <w:sz w:val="26"/>
          <w:szCs w:val="26"/>
        </w:rPr>
        <w:t xml:space="preserve"> Sala Unitaria de Primera Instancia, </w:t>
      </w:r>
      <w:r w:rsidRPr="00D81DA7">
        <w:rPr>
          <w:rFonts w:ascii="Arial" w:hAnsi="Arial" w:cs="Arial"/>
          <w:sz w:val="26"/>
          <w:szCs w:val="26"/>
        </w:rPr>
        <w:t>y en su oportunidad archívese el cuader</w:t>
      </w:r>
      <w:r>
        <w:rPr>
          <w:rFonts w:ascii="Arial" w:hAnsi="Arial" w:cs="Arial"/>
          <w:sz w:val="26"/>
          <w:szCs w:val="26"/>
        </w:rPr>
        <w:t>no de revisión como concluido.</w:t>
      </w:r>
    </w:p>
    <w:p w:rsidR="004A12DE" w:rsidRPr="004A12DE" w:rsidRDefault="00192AE8" w:rsidP="004A12DE">
      <w:pPr>
        <w:spacing w:before="240" w:line="360" w:lineRule="auto"/>
        <w:ind w:firstLine="708"/>
        <w:jc w:val="both"/>
        <w:rPr>
          <w:rFonts w:ascii="Arial" w:eastAsia="Calibri" w:hAnsi="Arial" w:cs="Arial"/>
          <w:sz w:val="26"/>
          <w:szCs w:val="26"/>
          <w:lang w:val="es-ES"/>
        </w:rPr>
      </w:pPr>
      <w:r>
        <w:rPr>
          <w:rFonts w:ascii="Arial" w:hAnsi="Arial" w:cs="Arial"/>
          <w:sz w:val="26"/>
          <w:szCs w:val="26"/>
        </w:rPr>
        <w:tab/>
      </w:r>
      <w:r w:rsidR="004A12DE" w:rsidRPr="004A12DE">
        <w:rPr>
          <w:rFonts w:ascii="Arial" w:eastAsia="Calibri" w:hAnsi="Arial" w:cs="Arial"/>
          <w:sz w:val="26"/>
          <w:szCs w:val="26"/>
          <w:lang w:val="es-ES"/>
        </w:rPr>
        <w:t xml:space="preserve">Así por unanimidad de votos, lo resolvieron y firmaron los Magistrados integrantes de la Sala Superior del Tribunal de lo Contencioso Administrativo y de Cuentas del Poder Judicial del Estado; con la ausencia de la Magistrada María Elena Villa de </w:t>
      </w:r>
      <w:proofErr w:type="spellStart"/>
      <w:r w:rsidR="004A12DE" w:rsidRPr="004A12DE">
        <w:rPr>
          <w:rFonts w:ascii="Arial" w:eastAsia="Calibri" w:hAnsi="Arial" w:cs="Arial"/>
          <w:sz w:val="26"/>
          <w:szCs w:val="26"/>
          <w:lang w:val="es-ES"/>
        </w:rPr>
        <w:t>Jarquín</w:t>
      </w:r>
      <w:proofErr w:type="spellEnd"/>
      <w:r w:rsidR="004A12DE" w:rsidRPr="004A12DE">
        <w:rPr>
          <w:rFonts w:ascii="Arial" w:eastAsia="Calibri" w:hAnsi="Arial" w:cs="Arial"/>
          <w:sz w:val="26"/>
          <w:szCs w:val="26"/>
          <w:lang w:val="es-ES"/>
        </w:rPr>
        <w:t xml:space="preserve">, quien se </w:t>
      </w:r>
      <w:r w:rsidR="004A12DE" w:rsidRPr="004A12DE">
        <w:rPr>
          <w:rFonts w:ascii="Arial" w:eastAsia="Calibri" w:hAnsi="Arial" w:cs="Arial"/>
          <w:sz w:val="26"/>
          <w:szCs w:val="26"/>
          <w:lang w:val="es-ES"/>
        </w:rPr>
        <w:lastRenderedPageBreak/>
        <w:t xml:space="preserve">encuentra de vacaciones; quienes actúan con la Secretaria General de Acuerdos de este Tribunal, que autoriza y da fe. </w:t>
      </w:r>
    </w:p>
    <w:p w:rsidR="004A12DE" w:rsidRPr="004A12DE" w:rsidRDefault="004A12DE" w:rsidP="004A12DE">
      <w:pPr>
        <w:jc w:val="center"/>
        <w:rPr>
          <w:rFonts w:ascii="Arial" w:eastAsia="Calibri" w:hAnsi="Arial" w:cs="Arial"/>
          <w:sz w:val="26"/>
          <w:szCs w:val="26"/>
          <w:lang w:val="es-ES"/>
        </w:rPr>
      </w:pPr>
      <w:r w:rsidRPr="004A12DE">
        <w:rPr>
          <w:rFonts w:ascii="Arial" w:eastAsia="Calibri" w:hAnsi="Arial" w:cs="Arial"/>
          <w:sz w:val="26"/>
          <w:szCs w:val="26"/>
          <w:lang w:val="es-ES"/>
        </w:rPr>
        <w:t>MAGISTRADA MARÍA EUGENIA VILLANUEVA ABRAJÁN</w:t>
      </w:r>
    </w:p>
    <w:p w:rsidR="004A12DE" w:rsidRPr="004A12DE" w:rsidRDefault="004A12DE" w:rsidP="004A12DE">
      <w:pPr>
        <w:jc w:val="center"/>
        <w:rPr>
          <w:rFonts w:ascii="Arial" w:eastAsia="Calibri" w:hAnsi="Arial" w:cs="Arial"/>
          <w:sz w:val="26"/>
          <w:szCs w:val="26"/>
          <w:lang w:val="es-ES"/>
        </w:rPr>
      </w:pPr>
      <w:r w:rsidRPr="004A12DE">
        <w:rPr>
          <w:rFonts w:ascii="Arial" w:eastAsia="Calibri" w:hAnsi="Arial" w:cs="Arial"/>
          <w:sz w:val="26"/>
          <w:szCs w:val="26"/>
          <w:lang w:val="es-ES"/>
        </w:rPr>
        <w:t>PRESIDENTA</w:t>
      </w:r>
    </w:p>
    <w:p w:rsidR="004A12DE" w:rsidRPr="004A12DE" w:rsidRDefault="004A12DE" w:rsidP="004A12DE">
      <w:pPr>
        <w:jc w:val="center"/>
        <w:rPr>
          <w:rFonts w:ascii="Arial" w:eastAsia="Calibri" w:hAnsi="Arial" w:cs="Arial"/>
          <w:sz w:val="26"/>
          <w:szCs w:val="26"/>
          <w:lang w:val="es-ES"/>
        </w:rPr>
      </w:pPr>
    </w:p>
    <w:p w:rsidR="004A12DE" w:rsidRPr="004A12DE" w:rsidRDefault="004A12DE" w:rsidP="004A12DE">
      <w:pPr>
        <w:rPr>
          <w:rFonts w:ascii="Arial" w:eastAsia="Calibri" w:hAnsi="Arial" w:cs="Arial"/>
          <w:b/>
          <w:sz w:val="26"/>
          <w:szCs w:val="26"/>
          <w:lang w:val="es-ES"/>
        </w:rPr>
      </w:pPr>
    </w:p>
    <w:p w:rsidR="004A12DE" w:rsidRPr="004A12DE" w:rsidRDefault="004A12DE" w:rsidP="004A12DE">
      <w:pPr>
        <w:jc w:val="center"/>
        <w:rPr>
          <w:rFonts w:ascii="Arial" w:eastAsia="Calibri" w:hAnsi="Arial" w:cs="Arial"/>
          <w:b/>
          <w:sz w:val="26"/>
          <w:szCs w:val="26"/>
          <w:lang w:val="es-ES"/>
        </w:rPr>
      </w:pPr>
    </w:p>
    <w:p w:rsidR="004A12DE" w:rsidRDefault="004A12DE" w:rsidP="004A12DE">
      <w:pPr>
        <w:jc w:val="center"/>
        <w:rPr>
          <w:rFonts w:ascii="Arial" w:eastAsia="Calibri" w:hAnsi="Arial" w:cs="Arial"/>
          <w:b/>
          <w:sz w:val="26"/>
          <w:szCs w:val="26"/>
          <w:lang w:val="es-ES"/>
        </w:rPr>
      </w:pPr>
    </w:p>
    <w:p w:rsidR="006F066E" w:rsidRDefault="006F066E" w:rsidP="004A12DE">
      <w:pPr>
        <w:jc w:val="center"/>
        <w:rPr>
          <w:rFonts w:ascii="Arial" w:eastAsia="Calibri" w:hAnsi="Arial" w:cs="Arial"/>
          <w:b/>
          <w:sz w:val="26"/>
          <w:szCs w:val="26"/>
          <w:lang w:val="es-ES"/>
        </w:rPr>
      </w:pPr>
    </w:p>
    <w:p w:rsidR="006F066E" w:rsidRPr="004A12DE" w:rsidRDefault="006F066E" w:rsidP="004A12DE">
      <w:pPr>
        <w:jc w:val="center"/>
        <w:rPr>
          <w:rFonts w:ascii="Arial" w:eastAsia="Calibri" w:hAnsi="Arial" w:cs="Arial"/>
          <w:b/>
          <w:sz w:val="26"/>
          <w:szCs w:val="26"/>
          <w:lang w:val="es-ES"/>
        </w:rPr>
      </w:pPr>
    </w:p>
    <w:p w:rsidR="004A12DE" w:rsidRPr="004A12DE" w:rsidRDefault="004A12DE" w:rsidP="004A12DE">
      <w:pPr>
        <w:jc w:val="center"/>
        <w:rPr>
          <w:rFonts w:ascii="Arial" w:eastAsia="Calibri" w:hAnsi="Arial" w:cs="Arial"/>
          <w:b/>
          <w:sz w:val="26"/>
          <w:szCs w:val="26"/>
          <w:lang w:val="es-ES"/>
        </w:rPr>
      </w:pPr>
    </w:p>
    <w:p w:rsidR="004A12DE" w:rsidRPr="004A12DE" w:rsidRDefault="004A12DE" w:rsidP="004A12DE">
      <w:pPr>
        <w:spacing w:after="200" w:line="360" w:lineRule="auto"/>
        <w:jc w:val="center"/>
        <w:rPr>
          <w:rFonts w:ascii="Arial" w:eastAsia="Calibri" w:hAnsi="Arial" w:cs="Arial"/>
          <w:sz w:val="26"/>
          <w:szCs w:val="26"/>
          <w:lang w:val="es-ES"/>
        </w:rPr>
      </w:pPr>
      <w:r w:rsidRPr="004A12DE">
        <w:rPr>
          <w:rFonts w:ascii="Arial" w:eastAsia="Calibri" w:hAnsi="Arial" w:cs="Arial"/>
          <w:sz w:val="26"/>
          <w:szCs w:val="26"/>
          <w:lang w:val="es-ES"/>
        </w:rPr>
        <w:t>MAGISTRADO HUGO VILLEGAS AQUINO</w:t>
      </w:r>
    </w:p>
    <w:p w:rsidR="004A12DE" w:rsidRPr="004A12DE" w:rsidRDefault="004A12DE" w:rsidP="004A12DE">
      <w:pPr>
        <w:spacing w:after="200" w:line="360" w:lineRule="auto"/>
        <w:rPr>
          <w:rFonts w:ascii="Arial" w:eastAsia="Calibri" w:hAnsi="Arial" w:cs="Arial"/>
          <w:sz w:val="26"/>
          <w:szCs w:val="26"/>
          <w:lang w:val="es-ES"/>
        </w:rPr>
      </w:pPr>
    </w:p>
    <w:p w:rsidR="004A12DE" w:rsidRDefault="004A12DE" w:rsidP="004A12DE">
      <w:pPr>
        <w:jc w:val="center"/>
        <w:rPr>
          <w:rFonts w:ascii="Arial" w:eastAsia="Calibri" w:hAnsi="Arial" w:cs="Arial"/>
          <w:sz w:val="26"/>
          <w:szCs w:val="26"/>
          <w:lang w:val="es-ES"/>
        </w:rPr>
      </w:pPr>
    </w:p>
    <w:p w:rsidR="006F066E" w:rsidRDefault="006F066E" w:rsidP="004A12DE">
      <w:pPr>
        <w:jc w:val="center"/>
        <w:rPr>
          <w:rFonts w:ascii="Arial" w:eastAsia="Calibri" w:hAnsi="Arial" w:cs="Arial"/>
          <w:sz w:val="26"/>
          <w:szCs w:val="26"/>
          <w:lang w:val="es-ES"/>
        </w:rPr>
      </w:pPr>
    </w:p>
    <w:p w:rsidR="006F066E" w:rsidRDefault="006F066E" w:rsidP="004A12DE">
      <w:pPr>
        <w:jc w:val="center"/>
        <w:rPr>
          <w:rFonts w:ascii="Arial" w:eastAsia="Calibri" w:hAnsi="Arial" w:cs="Arial"/>
          <w:sz w:val="26"/>
          <w:szCs w:val="26"/>
          <w:lang w:val="es-ES"/>
        </w:rPr>
      </w:pPr>
    </w:p>
    <w:p w:rsidR="006F066E" w:rsidRDefault="006F066E" w:rsidP="004A12DE">
      <w:pPr>
        <w:jc w:val="center"/>
        <w:rPr>
          <w:rFonts w:ascii="Arial" w:eastAsia="Calibri" w:hAnsi="Arial" w:cs="Arial"/>
          <w:b/>
          <w:lang w:val="es-ES"/>
        </w:rPr>
      </w:pPr>
    </w:p>
    <w:p w:rsidR="006F066E" w:rsidRPr="004A12DE" w:rsidRDefault="006F066E" w:rsidP="004A12DE">
      <w:pPr>
        <w:jc w:val="center"/>
        <w:rPr>
          <w:rFonts w:ascii="Arial" w:eastAsia="Calibri" w:hAnsi="Arial" w:cs="Arial"/>
          <w:b/>
          <w:lang w:val="es-ES"/>
        </w:rPr>
      </w:pPr>
    </w:p>
    <w:p w:rsidR="004A12DE" w:rsidRPr="004A12DE" w:rsidRDefault="004A12DE" w:rsidP="004A12DE">
      <w:pPr>
        <w:spacing w:after="200" w:line="360" w:lineRule="auto"/>
        <w:jc w:val="center"/>
        <w:rPr>
          <w:rFonts w:ascii="Arial" w:eastAsia="Calibri" w:hAnsi="Arial" w:cs="Arial"/>
          <w:sz w:val="26"/>
          <w:szCs w:val="26"/>
          <w:lang w:val="es-ES"/>
        </w:rPr>
      </w:pPr>
      <w:r w:rsidRPr="004A12DE">
        <w:rPr>
          <w:rFonts w:ascii="Arial" w:eastAsia="Calibri" w:hAnsi="Arial" w:cs="Arial"/>
          <w:sz w:val="26"/>
          <w:szCs w:val="26"/>
          <w:lang w:val="es-ES"/>
        </w:rPr>
        <w:t xml:space="preserve">MAGISTRADO ADRIÁN QUIROGA AVENDAÑO </w:t>
      </w:r>
    </w:p>
    <w:p w:rsidR="004A12DE" w:rsidRPr="004A12DE" w:rsidRDefault="004A12DE" w:rsidP="004A12DE">
      <w:pPr>
        <w:spacing w:after="200" w:line="360" w:lineRule="auto"/>
        <w:rPr>
          <w:rFonts w:ascii="Arial" w:eastAsia="Calibri" w:hAnsi="Arial" w:cs="Arial"/>
          <w:sz w:val="26"/>
          <w:szCs w:val="26"/>
          <w:lang w:val="es-ES"/>
        </w:rPr>
      </w:pPr>
    </w:p>
    <w:p w:rsidR="004A12DE" w:rsidRPr="004A12DE" w:rsidRDefault="004A12DE" w:rsidP="004A12DE">
      <w:pPr>
        <w:spacing w:after="200" w:line="360" w:lineRule="auto"/>
        <w:rPr>
          <w:rFonts w:ascii="Arial" w:eastAsia="Calibri" w:hAnsi="Arial" w:cs="Arial"/>
          <w:sz w:val="26"/>
          <w:szCs w:val="26"/>
          <w:lang w:val="es-ES"/>
        </w:rPr>
      </w:pPr>
    </w:p>
    <w:p w:rsidR="006F066E" w:rsidRPr="004A12DE" w:rsidRDefault="00A10AD2" w:rsidP="004A12DE">
      <w:pPr>
        <w:spacing w:after="200" w:line="360" w:lineRule="auto"/>
        <w:rPr>
          <w:rFonts w:ascii="Arial" w:eastAsia="Calibri" w:hAnsi="Arial" w:cs="Arial"/>
          <w:sz w:val="26"/>
          <w:szCs w:val="26"/>
          <w:lang w:val="es-ES"/>
        </w:rPr>
      </w:pPr>
      <w:r>
        <w:rPr>
          <w:noProof/>
        </w:rPr>
        <mc:AlternateContent>
          <mc:Choice Requires="wps">
            <w:drawing>
              <wp:anchor distT="0" distB="0" distL="114300" distR="114300" simplePos="0" relativeHeight="251671552" behindDoc="0" locked="0" layoutInCell="1" allowOverlap="1" wp14:anchorId="333C18E5" wp14:editId="2393E6A1">
                <wp:simplePos x="0" y="0"/>
                <wp:positionH relativeFrom="column">
                  <wp:posOffset>5116195</wp:posOffset>
                </wp:positionH>
                <wp:positionV relativeFrom="paragraph">
                  <wp:posOffset>329565</wp:posOffset>
                </wp:positionV>
                <wp:extent cx="1076325" cy="657225"/>
                <wp:effectExtent l="0" t="0" r="28575" b="28575"/>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10AD2" w:rsidRPr="00A6596B" w:rsidRDefault="00A10AD2" w:rsidP="00A10AD2">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402.85pt;margin-top:25.95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sEfKA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">
                <v:textbox>
                  <w:txbxContent>
                    <w:p w:rsidR="00A10AD2" w:rsidRPr="00A6596B" w:rsidRDefault="00A10AD2" w:rsidP="00A10AD2">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4A12DE" w:rsidRPr="004A12DE" w:rsidRDefault="004A12DE" w:rsidP="004A12DE">
      <w:pPr>
        <w:spacing w:after="200" w:line="360" w:lineRule="auto"/>
        <w:jc w:val="center"/>
        <w:rPr>
          <w:rFonts w:ascii="Arial" w:eastAsia="Calibri" w:hAnsi="Arial" w:cs="Arial"/>
          <w:sz w:val="26"/>
          <w:szCs w:val="26"/>
          <w:lang w:val="es-ES"/>
        </w:rPr>
      </w:pPr>
      <w:r w:rsidRPr="004A12DE">
        <w:rPr>
          <w:rFonts w:ascii="Arial" w:eastAsia="Calibri" w:hAnsi="Arial" w:cs="Arial"/>
          <w:sz w:val="26"/>
          <w:szCs w:val="26"/>
          <w:lang w:val="es-ES"/>
        </w:rPr>
        <w:t>MAGISTRADO ENRIQUE PACHECO MARTÍNEZ</w:t>
      </w:r>
    </w:p>
    <w:p w:rsidR="004A12DE" w:rsidRPr="004A12DE" w:rsidRDefault="004A12DE" w:rsidP="004A12DE">
      <w:pPr>
        <w:spacing w:after="200" w:line="360" w:lineRule="auto"/>
        <w:rPr>
          <w:rFonts w:ascii="Arial" w:eastAsia="Calibri" w:hAnsi="Arial" w:cs="Arial"/>
          <w:sz w:val="26"/>
          <w:szCs w:val="26"/>
          <w:lang w:val="es-ES"/>
        </w:rPr>
      </w:pPr>
    </w:p>
    <w:p w:rsidR="006F066E" w:rsidRPr="004A12DE" w:rsidRDefault="006F066E" w:rsidP="004A12DE">
      <w:pPr>
        <w:spacing w:after="200" w:line="360" w:lineRule="auto"/>
        <w:rPr>
          <w:rFonts w:ascii="Arial" w:eastAsia="Calibri" w:hAnsi="Arial" w:cs="Arial"/>
          <w:sz w:val="26"/>
          <w:szCs w:val="26"/>
          <w:lang w:val="es-ES"/>
        </w:rPr>
      </w:pPr>
    </w:p>
    <w:p w:rsidR="004A12DE" w:rsidRPr="004A12DE" w:rsidRDefault="004A12DE" w:rsidP="004A12DE">
      <w:pPr>
        <w:jc w:val="center"/>
        <w:rPr>
          <w:rFonts w:ascii="Arial" w:eastAsia="Calibri" w:hAnsi="Arial" w:cs="Arial"/>
          <w:sz w:val="26"/>
          <w:szCs w:val="26"/>
          <w:lang w:val="es-ES"/>
        </w:rPr>
      </w:pPr>
      <w:r w:rsidRPr="004A12DE">
        <w:rPr>
          <w:rFonts w:ascii="Arial" w:eastAsia="Calibri" w:hAnsi="Arial" w:cs="Arial"/>
          <w:sz w:val="26"/>
          <w:szCs w:val="26"/>
          <w:lang w:val="es-ES"/>
        </w:rPr>
        <w:t>LICENCIADA SANDRA PÉREZ CRUZ,</w:t>
      </w:r>
    </w:p>
    <w:p w:rsidR="004A12DE" w:rsidRPr="004A12DE" w:rsidRDefault="004A12DE" w:rsidP="004A12DE">
      <w:pPr>
        <w:jc w:val="center"/>
        <w:rPr>
          <w:rFonts w:ascii="Arial" w:eastAsia="Calibri" w:hAnsi="Arial" w:cs="Arial"/>
          <w:sz w:val="26"/>
          <w:szCs w:val="26"/>
          <w:lang w:val="es-ES"/>
        </w:rPr>
      </w:pPr>
      <w:r w:rsidRPr="004A12DE">
        <w:rPr>
          <w:rFonts w:ascii="Arial" w:eastAsia="Calibri" w:hAnsi="Arial" w:cs="Arial"/>
          <w:sz w:val="26"/>
          <w:szCs w:val="26"/>
          <w:lang w:val="es-ES"/>
        </w:rPr>
        <w:t>SECRETARIA GENERAL DE ACUERDOS</w:t>
      </w:r>
    </w:p>
    <w:p w:rsidR="004A12DE" w:rsidRPr="004A12DE" w:rsidRDefault="004A12DE" w:rsidP="004A12DE">
      <w:pPr>
        <w:spacing w:after="200" w:line="276" w:lineRule="auto"/>
        <w:rPr>
          <w:rFonts w:ascii="Calibri" w:eastAsia="Calibri" w:hAnsi="Calibri" w:cs="Times New Roman"/>
        </w:rPr>
      </w:pPr>
    </w:p>
    <w:p w:rsidR="004A12DE" w:rsidRPr="004A12DE" w:rsidRDefault="004A12DE" w:rsidP="004A12DE">
      <w:pPr>
        <w:spacing w:after="200" w:line="276" w:lineRule="auto"/>
        <w:rPr>
          <w:rFonts w:ascii="Calibri" w:eastAsia="Calibri" w:hAnsi="Calibri" w:cs="Times New Roman"/>
        </w:rPr>
      </w:pPr>
    </w:p>
    <w:p w:rsidR="009041FC" w:rsidRDefault="009041FC" w:rsidP="004A12DE">
      <w:pPr>
        <w:spacing w:line="360" w:lineRule="auto"/>
        <w:ind w:firstLine="708"/>
        <w:jc w:val="both"/>
        <w:rPr>
          <w:rFonts w:ascii="Arial" w:hAnsi="Arial" w:cs="Arial"/>
          <w:sz w:val="26"/>
          <w:szCs w:val="26"/>
        </w:rPr>
      </w:pPr>
    </w:p>
    <w:p w:rsidR="00CD55B0" w:rsidRPr="00192AE8" w:rsidRDefault="00CD55B0" w:rsidP="00CD55B0">
      <w:pPr>
        <w:pStyle w:val="Sinespaciado"/>
        <w:spacing w:line="360" w:lineRule="auto"/>
        <w:jc w:val="both"/>
        <w:rPr>
          <w:rFonts w:ascii="Arial" w:hAnsi="Arial" w:cs="Arial"/>
          <w:sz w:val="26"/>
          <w:szCs w:val="26"/>
          <w:lang w:val="es-MX"/>
        </w:rPr>
      </w:pPr>
    </w:p>
    <w:sectPr w:rsidR="00CD55B0" w:rsidRPr="00192AE8" w:rsidSect="00192AE8">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8CA" w:rsidRDefault="007C78CA" w:rsidP="0086324C">
      <w:r>
        <w:separator/>
      </w:r>
    </w:p>
  </w:endnote>
  <w:endnote w:type="continuationSeparator" w:id="0">
    <w:p w:rsidR="007C78CA" w:rsidRDefault="007C78CA" w:rsidP="00863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8CA" w:rsidRDefault="007C78CA" w:rsidP="0086324C">
      <w:r>
        <w:separator/>
      </w:r>
    </w:p>
  </w:footnote>
  <w:footnote w:type="continuationSeparator" w:id="0">
    <w:p w:rsidR="007C78CA" w:rsidRDefault="007C78CA" w:rsidP="008632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2A6EF0" w:rsidRDefault="0086324C">
        <w:pPr>
          <w:pStyle w:val="Encabezado"/>
          <w:jc w:val="center"/>
        </w:pPr>
        <w:r>
          <w:fldChar w:fldCharType="begin"/>
        </w:r>
        <w:r>
          <w:instrText>PAGE   \* MERGEFORMAT</w:instrText>
        </w:r>
        <w:r>
          <w:fldChar w:fldCharType="separate"/>
        </w:r>
        <w:r w:rsidR="00A10AD2">
          <w:rPr>
            <w:noProof/>
          </w:rPr>
          <w:t>14</w:t>
        </w:r>
        <w:r>
          <w:fldChar w:fldCharType="end"/>
        </w:r>
      </w:p>
    </w:sdtContent>
  </w:sdt>
  <w:p w:rsidR="002A6EF0" w:rsidRDefault="00A10AD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927607" w:rsidRDefault="00A10AD2" w:rsidP="00206B99">
        <w:pPr>
          <w:pStyle w:val="Encabezado"/>
          <w:jc w:val="center"/>
          <w:rPr>
            <w:noProof/>
          </w:rPr>
        </w:pPr>
        <w:r>
          <w:rPr>
            <w:noProof/>
          </w:rPr>
          <mc:AlternateContent>
            <mc:Choice Requires="wps">
              <w:drawing>
                <wp:anchor distT="0" distB="0" distL="114300" distR="114300" simplePos="0" relativeHeight="251659264" behindDoc="0" locked="0" layoutInCell="1" allowOverlap="1" wp14:anchorId="73385920" wp14:editId="53C009E6">
                  <wp:simplePos x="0" y="0"/>
                  <wp:positionH relativeFrom="column">
                    <wp:posOffset>-1365250</wp:posOffset>
                  </wp:positionH>
                  <wp:positionV relativeFrom="paragraph">
                    <wp:posOffset>7400925</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10AD2" w:rsidRPr="00A6596B" w:rsidRDefault="00A10AD2" w:rsidP="00A10AD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left:0;text-align:left;margin-left:-107.5pt;margin-top:58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">
                  <v:textbox>
                    <w:txbxContent>
                      <w:p w:rsidR="00A10AD2" w:rsidRPr="00A6596B" w:rsidRDefault="00A10AD2" w:rsidP="00A10AD2">
                        <w:pPr>
                          <w:rPr>
                            <w:sz w:val="16"/>
                            <w:szCs w:val="16"/>
                          </w:rPr>
                        </w:pPr>
                        <w:r>
                          <w:rPr>
                            <w:sz w:val="16"/>
                            <w:szCs w:val="16"/>
                          </w:rPr>
                          <w:t>Datos personales protegidos por el Art. 116 de la LGTAIP y el Art. 56 de la LTAIPEO</w:t>
                        </w:r>
                      </w:p>
                    </w:txbxContent>
                  </v:textbox>
                </v:shape>
              </w:pict>
            </mc:Fallback>
          </mc:AlternateContent>
        </w:r>
        <w:r w:rsidR="0086324C">
          <w:fldChar w:fldCharType="begin"/>
        </w:r>
        <w:r w:rsidR="0086324C">
          <w:instrText xml:space="preserve"> PAGE   \* MERGEFORMAT </w:instrText>
        </w:r>
        <w:r w:rsidR="0086324C">
          <w:fldChar w:fldCharType="separate"/>
        </w:r>
        <w:r>
          <w:rPr>
            <w:noProof/>
          </w:rPr>
          <w:t>13</w:t>
        </w:r>
        <w:r w:rsidR="0086324C">
          <w:rPr>
            <w:noProof/>
          </w:rPr>
          <w:fldChar w:fldCharType="end"/>
        </w:r>
      </w:p>
      <w:p w:rsidR="00655BA3" w:rsidRDefault="00A10AD2" w:rsidP="00206B99">
        <w:pPr>
          <w:pStyle w:val="Encabezado"/>
          <w:jc w:val="center"/>
        </w:pPr>
      </w:p>
    </w:sdtContent>
  </w:sdt>
  <w:p w:rsidR="00655BA3" w:rsidRDefault="00A10AD2"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CDF0541"/>
    <w:multiLevelType w:val="hybridMultilevel"/>
    <w:tmpl w:val="62C6CA8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21050813"/>
    <w:multiLevelType w:val="hybridMultilevel"/>
    <w:tmpl w:val="C4E067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nsid w:val="34A56D03"/>
    <w:multiLevelType w:val="hybridMultilevel"/>
    <w:tmpl w:val="FCB410E0"/>
    <w:lvl w:ilvl="0" w:tplc="AE186DF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74B7726A"/>
    <w:multiLevelType w:val="hybridMultilevel"/>
    <w:tmpl w:val="1EDA0B5E"/>
    <w:lvl w:ilvl="0" w:tplc="08CA99C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24C"/>
    <w:rsid w:val="00002452"/>
    <w:rsid w:val="00023BD3"/>
    <w:rsid w:val="000246F1"/>
    <w:rsid w:val="00036E3F"/>
    <w:rsid w:val="00036E58"/>
    <w:rsid w:val="000445DB"/>
    <w:rsid w:val="000615BF"/>
    <w:rsid w:val="000735CD"/>
    <w:rsid w:val="000740CA"/>
    <w:rsid w:val="00075944"/>
    <w:rsid w:val="00084062"/>
    <w:rsid w:val="00090F00"/>
    <w:rsid w:val="000A6001"/>
    <w:rsid w:val="000A6705"/>
    <w:rsid w:val="000B1E7B"/>
    <w:rsid w:val="000B2B5C"/>
    <w:rsid w:val="000C6957"/>
    <w:rsid w:val="000E0CE5"/>
    <w:rsid w:val="00100A52"/>
    <w:rsid w:val="0010647B"/>
    <w:rsid w:val="00111B26"/>
    <w:rsid w:val="001226E6"/>
    <w:rsid w:val="00147BD3"/>
    <w:rsid w:val="00152806"/>
    <w:rsid w:val="001630A4"/>
    <w:rsid w:val="0017342C"/>
    <w:rsid w:val="00176019"/>
    <w:rsid w:val="00190F3B"/>
    <w:rsid w:val="00192AE8"/>
    <w:rsid w:val="00195B00"/>
    <w:rsid w:val="00197D5A"/>
    <w:rsid w:val="001A1CE6"/>
    <w:rsid w:val="001A55C0"/>
    <w:rsid w:val="001B054F"/>
    <w:rsid w:val="001B1F29"/>
    <w:rsid w:val="001B720E"/>
    <w:rsid w:val="001C5CBA"/>
    <w:rsid w:val="001F2CE5"/>
    <w:rsid w:val="0020469D"/>
    <w:rsid w:val="002058BA"/>
    <w:rsid w:val="00205E0C"/>
    <w:rsid w:val="00227FE4"/>
    <w:rsid w:val="00244927"/>
    <w:rsid w:val="00244BEA"/>
    <w:rsid w:val="00246FE5"/>
    <w:rsid w:val="00265E96"/>
    <w:rsid w:val="00266BA6"/>
    <w:rsid w:val="00267E02"/>
    <w:rsid w:val="0028542A"/>
    <w:rsid w:val="00290618"/>
    <w:rsid w:val="002924DF"/>
    <w:rsid w:val="00294882"/>
    <w:rsid w:val="002A18C0"/>
    <w:rsid w:val="002A4A28"/>
    <w:rsid w:val="002A69C6"/>
    <w:rsid w:val="002B2535"/>
    <w:rsid w:val="002B32BE"/>
    <w:rsid w:val="002B733C"/>
    <w:rsid w:val="002C05DE"/>
    <w:rsid w:val="002D767A"/>
    <w:rsid w:val="002E3019"/>
    <w:rsid w:val="002E4189"/>
    <w:rsid w:val="002E4F88"/>
    <w:rsid w:val="002E77EF"/>
    <w:rsid w:val="002F1F82"/>
    <w:rsid w:val="002F3B6D"/>
    <w:rsid w:val="002F76DA"/>
    <w:rsid w:val="003013F5"/>
    <w:rsid w:val="003101C2"/>
    <w:rsid w:val="003121ED"/>
    <w:rsid w:val="00315FF5"/>
    <w:rsid w:val="00320BC3"/>
    <w:rsid w:val="003225DC"/>
    <w:rsid w:val="00322F0A"/>
    <w:rsid w:val="00326A75"/>
    <w:rsid w:val="003343F9"/>
    <w:rsid w:val="00345682"/>
    <w:rsid w:val="00346E91"/>
    <w:rsid w:val="003616D4"/>
    <w:rsid w:val="00370DD3"/>
    <w:rsid w:val="0037230C"/>
    <w:rsid w:val="00375598"/>
    <w:rsid w:val="00387132"/>
    <w:rsid w:val="0039133B"/>
    <w:rsid w:val="003A1BCF"/>
    <w:rsid w:val="003A21CC"/>
    <w:rsid w:val="003A592A"/>
    <w:rsid w:val="003A6FC4"/>
    <w:rsid w:val="003B39D9"/>
    <w:rsid w:val="003B78F5"/>
    <w:rsid w:val="003C0B33"/>
    <w:rsid w:val="003C5FAE"/>
    <w:rsid w:val="003D077D"/>
    <w:rsid w:val="003D2882"/>
    <w:rsid w:val="003E5AE2"/>
    <w:rsid w:val="003E6720"/>
    <w:rsid w:val="003F2FA8"/>
    <w:rsid w:val="00406EB1"/>
    <w:rsid w:val="004215BF"/>
    <w:rsid w:val="00421881"/>
    <w:rsid w:val="004361DD"/>
    <w:rsid w:val="0045464F"/>
    <w:rsid w:val="00460833"/>
    <w:rsid w:val="004652B3"/>
    <w:rsid w:val="00466E39"/>
    <w:rsid w:val="004707E8"/>
    <w:rsid w:val="00473D11"/>
    <w:rsid w:val="00483FE5"/>
    <w:rsid w:val="004A0715"/>
    <w:rsid w:val="004A12DE"/>
    <w:rsid w:val="004A1FA3"/>
    <w:rsid w:val="004B2CCD"/>
    <w:rsid w:val="004C38D2"/>
    <w:rsid w:val="004C3B52"/>
    <w:rsid w:val="004E3ACA"/>
    <w:rsid w:val="004F6EFE"/>
    <w:rsid w:val="0051171A"/>
    <w:rsid w:val="00513EF9"/>
    <w:rsid w:val="005140DE"/>
    <w:rsid w:val="00522747"/>
    <w:rsid w:val="0052759D"/>
    <w:rsid w:val="0053322D"/>
    <w:rsid w:val="00541B4B"/>
    <w:rsid w:val="0054274B"/>
    <w:rsid w:val="00543AC8"/>
    <w:rsid w:val="00543ADD"/>
    <w:rsid w:val="00546D00"/>
    <w:rsid w:val="005479D3"/>
    <w:rsid w:val="00561A02"/>
    <w:rsid w:val="0056271A"/>
    <w:rsid w:val="005678EE"/>
    <w:rsid w:val="00573198"/>
    <w:rsid w:val="00573CF4"/>
    <w:rsid w:val="00575F03"/>
    <w:rsid w:val="005805E6"/>
    <w:rsid w:val="0058561F"/>
    <w:rsid w:val="00590E34"/>
    <w:rsid w:val="005A20E3"/>
    <w:rsid w:val="005A405C"/>
    <w:rsid w:val="005B5991"/>
    <w:rsid w:val="005C5E2B"/>
    <w:rsid w:val="005D7840"/>
    <w:rsid w:val="005F4669"/>
    <w:rsid w:val="005F4A7D"/>
    <w:rsid w:val="0060281D"/>
    <w:rsid w:val="006119D9"/>
    <w:rsid w:val="00612491"/>
    <w:rsid w:val="00614A84"/>
    <w:rsid w:val="00623111"/>
    <w:rsid w:val="00625A83"/>
    <w:rsid w:val="0062757D"/>
    <w:rsid w:val="00640F2A"/>
    <w:rsid w:val="00643BCF"/>
    <w:rsid w:val="006460FB"/>
    <w:rsid w:val="00674146"/>
    <w:rsid w:val="00684800"/>
    <w:rsid w:val="00687623"/>
    <w:rsid w:val="00697D20"/>
    <w:rsid w:val="006B543F"/>
    <w:rsid w:val="006D0E53"/>
    <w:rsid w:val="006F0323"/>
    <w:rsid w:val="006F066E"/>
    <w:rsid w:val="006F62A3"/>
    <w:rsid w:val="006F640D"/>
    <w:rsid w:val="006F700A"/>
    <w:rsid w:val="00721D5E"/>
    <w:rsid w:val="00724D5A"/>
    <w:rsid w:val="00725896"/>
    <w:rsid w:val="00732895"/>
    <w:rsid w:val="007424B8"/>
    <w:rsid w:val="00752745"/>
    <w:rsid w:val="007549B1"/>
    <w:rsid w:val="007629DC"/>
    <w:rsid w:val="00765428"/>
    <w:rsid w:val="00766EE1"/>
    <w:rsid w:val="00772704"/>
    <w:rsid w:val="007951F2"/>
    <w:rsid w:val="00796826"/>
    <w:rsid w:val="00796B1E"/>
    <w:rsid w:val="007A7CA4"/>
    <w:rsid w:val="007B31BD"/>
    <w:rsid w:val="007B635A"/>
    <w:rsid w:val="007B74A1"/>
    <w:rsid w:val="007C78CA"/>
    <w:rsid w:val="007D335F"/>
    <w:rsid w:val="007E4CF1"/>
    <w:rsid w:val="00802211"/>
    <w:rsid w:val="00807FED"/>
    <w:rsid w:val="00812B1E"/>
    <w:rsid w:val="008131BC"/>
    <w:rsid w:val="00813767"/>
    <w:rsid w:val="008477FF"/>
    <w:rsid w:val="00855755"/>
    <w:rsid w:val="0086324C"/>
    <w:rsid w:val="00867DC7"/>
    <w:rsid w:val="00893E2A"/>
    <w:rsid w:val="0089776E"/>
    <w:rsid w:val="008B0C94"/>
    <w:rsid w:val="008B1AE3"/>
    <w:rsid w:val="008B5751"/>
    <w:rsid w:val="008C0D8B"/>
    <w:rsid w:val="008D2CED"/>
    <w:rsid w:val="008E36E9"/>
    <w:rsid w:val="008E5469"/>
    <w:rsid w:val="008E7468"/>
    <w:rsid w:val="008E773C"/>
    <w:rsid w:val="008F52A7"/>
    <w:rsid w:val="0090255F"/>
    <w:rsid w:val="009041FC"/>
    <w:rsid w:val="009220C8"/>
    <w:rsid w:val="00930223"/>
    <w:rsid w:val="009449E8"/>
    <w:rsid w:val="00944F13"/>
    <w:rsid w:val="00952023"/>
    <w:rsid w:val="009759AA"/>
    <w:rsid w:val="009872FE"/>
    <w:rsid w:val="0099208A"/>
    <w:rsid w:val="009939DA"/>
    <w:rsid w:val="00994BF1"/>
    <w:rsid w:val="009A6456"/>
    <w:rsid w:val="009A6619"/>
    <w:rsid w:val="009B2EA7"/>
    <w:rsid w:val="009C0C04"/>
    <w:rsid w:val="009C5367"/>
    <w:rsid w:val="009D5B01"/>
    <w:rsid w:val="009D6B3B"/>
    <w:rsid w:val="009E04BD"/>
    <w:rsid w:val="009E04F1"/>
    <w:rsid w:val="009E42AE"/>
    <w:rsid w:val="009E4F41"/>
    <w:rsid w:val="009E55FA"/>
    <w:rsid w:val="009F1FD5"/>
    <w:rsid w:val="009F71F0"/>
    <w:rsid w:val="00A0411B"/>
    <w:rsid w:val="00A061CA"/>
    <w:rsid w:val="00A10AD2"/>
    <w:rsid w:val="00A20617"/>
    <w:rsid w:val="00A216EA"/>
    <w:rsid w:val="00A35447"/>
    <w:rsid w:val="00A362D0"/>
    <w:rsid w:val="00A368E5"/>
    <w:rsid w:val="00A40BBE"/>
    <w:rsid w:val="00A476CA"/>
    <w:rsid w:val="00A47F7C"/>
    <w:rsid w:val="00A508D7"/>
    <w:rsid w:val="00A5546E"/>
    <w:rsid w:val="00A56232"/>
    <w:rsid w:val="00A5765B"/>
    <w:rsid w:val="00A600AF"/>
    <w:rsid w:val="00A60EE2"/>
    <w:rsid w:val="00A67262"/>
    <w:rsid w:val="00A67823"/>
    <w:rsid w:val="00A71EA4"/>
    <w:rsid w:val="00A732AB"/>
    <w:rsid w:val="00A81504"/>
    <w:rsid w:val="00A82D17"/>
    <w:rsid w:val="00A847B1"/>
    <w:rsid w:val="00A940E2"/>
    <w:rsid w:val="00A97C4D"/>
    <w:rsid w:val="00AA046D"/>
    <w:rsid w:val="00AC27E8"/>
    <w:rsid w:val="00AC6780"/>
    <w:rsid w:val="00AD3626"/>
    <w:rsid w:val="00AF1662"/>
    <w:rsid w:val="00AF4769"/>
    <w:rsid w:val="00AF5BF0"/>
    <w:rsid w:val="00AF71B0"/>
    <w:rsid w:val="00B00441"/>
    <w:rsid w:val="00B00837"/>
    <w:rsid w:val="00B0177C"/>
    <w:rsid w:val="00B06594"/>
    <w:rsid w:val="00B1093A"/>
    <w:rsid w:val="00B10C44"/>
    <w:rsid w:val="00B1605D"/>
    <w:rsid w:val="00B27EB0"/>
    <w:rsid w:val="00B34570"/>
    <w:rsid w:val="00B37031"/>
    <w:rsid w:val="00B56E6F"/>
    <w:rsid w:val="00B675C8"/>
    <w:rsid w:val="00B73016"/>
    <w:rsid w:val="00B8500D"/>
    <w:rsid w:val="00B858C3"/>
    <w:rsid w:val="00B8787D"/>
    <w:rsid w:val="00B94649"/>
    <w:rsid w:val="00B9571A"/>
    <w:rsid w:val="00BA04E4"/>
    <w:rsid w:val="00BA382F"/>
    <w:rsid w:val="00BA67AE"/>
    <w:rsid w:val="00BC5EAC"/>
    <w:rsid w:val="00BE48DF"/>
    <w:rsid w:val="00BF31B1"/>
    <w:rsid w:val="00BF618B"/>
    <w:rsid w:val="00BF6517"/>
    <w:rsid w:val="00BF6D96"/>
    <w:rsid w:val="00C0625B"/>
    <w:rsid w:val="00C076DC"/>
    <w:rsid w:val="00C126C1"/>
    <w:rsid w:val="00C13313"/>
    <w:rsid w:val="00C26834"/>
    <w:rsid w:val="00C449AC"/>
    <w:rsid w:val="00C51772"/>
    <w:rsid w:val="00C52C6B"/>
    <w:rsid w:val="00C60373"/>
    <w:rsid w:val="00C636B1"/>
    <w:rsid w:val="00C665B3"/>
    <w:rsid w:val="00C67509"/>
    <w:rsid w:val="00C73155"/>
    <w:rsid w:val="00C751E6"/>
    <w:rsid w:val="00C92223"/>
    <w:rsid w:val="00C93908"/>
    <w:rsid w:val="00C94FF0"/>
    <w:rsid w:val="00CA3002"/>
    <w:rsid w:val="00CA6F2F"/>
    <w:rsid w:val="00CB1630"/>
    <w:rsid w:val="00CB6BAE"/>
    <w:rsid w:val="00CB721C"/>
    <w:rsid w:val="00CC5EED"/>
    <w:rsid w:val="00CD2F3D"/>
    <w:rsid w:val="00CD3A92"/>
    <w:rsid w:val="00CD4E07"/>
    <w:rsid w:val="00CD55B0"/>
    <w:rsid w:val="00CD66CA"/>
    <w:rsid w:val="00CE5F91"/>
    <w:rsid w:val="00CF028B"/>
    <w:rsid w:val="00CF6487"/>
    <w:rsid w:val="00CF655C"/>
    <w:rsid w:val="00CF75E3"/>
    <w:rsid w:val="00D00095"/>
    <w:rsid w:val="00D01316"/>
    <w:rsid w:val="00D026C4"/>
    <w:rsid w:val="00D041CA"/>
    <w:rsid w:val="00D064AB"/>
    <w:rsid w:val="00D10189"/>
    <w:rsid w:val="00D21548"/>
    <w:rsid w:val="00D24801"/>
    <w:rsid w:val="00D3041F"/>
    <w:rsid w:val="00D32682"/>
    <w:rsid w:val="00D32DA3"/>
    <w:rsid w:val="00D33550"/>
    <w:rsid w:val="00D35AB8"/>
    <w:rsid w:val="00D41631"/>
    <w:rsid w:val="00D41B95"/>
    <w:rsid w:val="00D50AE6"/>
    <w:rsid w:val="00D52DAB"/>
    <w:rsid w:val="00D55233"/>
    <w:rsid w:val="00D63D8F"/>
    <w:rsid w:val="00D6436C"/>
    <w:rsid w:val="00D941EA"/>
    <w:rsid w:val="00D96F43"/>
    <w:rsid w:val="00DA3195"/>
    <w:rsid w:val="00DB0FA1"/>
    <w:rsid w:val="00DB42BA"/>
    <w:rsid w:val="00DB4F15"/>
    <w:rsid w:val="00DC51BC"/>
    <w:rsid w:val="00DE2DBE"/>
    <w:rsid w:val="00DE60EE"/>
    <w:rsid w:val="00DE75E6"/>
    <w:rsid w:val="00DF1AF9"/>
    <w:rsid w:val="00DF578E"/>
    <w:rsid w:val="00E02978"/>
    <w:rsid w:val="00E12938"/>
    <w:rsid w:val="00E12C18"/>
    <w:rsid w:val="00E17AFA"/>
    <w:rsid w:val="00E26C40"/>
    <w:rsid w:val="00E32511"/>
    <w:rsid w:val="00E36F41"/>
    <w:rsid w:val="00E50A30"/>
    <w:rsid w:val="00E57E95"/>
    <w:rsid w:val="00E624E8"/>
    <w:rsid w:val="00E71DE5"/>
    <w:rsid w:val="00E94744"/>
    <w:rsid w:val="00E956C6"/>
    <w:rsid w:val="00E979AB"/>
    <w:rsid w:val="00EB3AA0"/>
    <w:rsid w:val="00EB6ED7"/>
    <w:rsid w:val="00ED4ECB"/>
    <w:rsid w:val="00EE18C2"/>
    <w:rsid w:val="00EE2416"/>
    <w:rsid w:val="00EE6B93"/>
    <w:rsid w:val="00EF0720"/>
    <w:rsid w:val="00EF77A1"/>
    <w:rsid w:val="00F03E94"/>
    <w:rsid w:val="00F11128"/>
    <w:rsid w:val="00F13F42"/>
    <w:rsid w:val="00F52FBC"/>
    <w:rsid w:val="00F541AC"/>
    <w:rsid w:val="00F54420"/>
    <w:rsid w:val="00F60429"/>
    <w:rsid w:val="00F65D0D"/>
    <w:rsid w:val="00F7728B"/>
    <w:rsid w:val="00F8025F"/>
    <w:rsid w:val="00F81430"/>
    <w:rsid w:val="00F85D92"/>
    <w:rsid w:val="00F86C69"/>
    <w:rsid w:val="00F95668"/>
    <w:rsid w:val="00F97D9A"/>
    <w:rsid w:val="00FA4100"/>
    <w:rsid w:val="00FB143F"/>
    <w:rsid w:val="00FD2C73"/>
    <w:rsid w:val="00FF06A7"/>
    <w:rsid w:val="00FF5907"/>
    <w:rsid w:val="00FF76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24C"/>
    <w:pPr>
      <w:spacing w:after="0" w:line="240" w:lineRule="auto"/>
    </w:pPr>
  </w:style>
  <w:style w:type="paragraph" w:styleId="Ttulo1">
    <w:name w:val="heading 1"/>
    <w:basedOn w:val="Normal"/>
    <w:next w:val="Normal"/>
    <w:link w:val="Ttulo1Car"/>
    <w:uiPriority w:val="9"/>
    <w:qFormat/>
    <w:rsid w:val="0086324C"/>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324C"/>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86324C"/>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86324C"/>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86324C"/>
    <w:rPr>
      <w:rFonts w:ascii="Times New Roman" w:eastAsia="PMingLiU" w:hAnsi="Times New Roman" w:cs="Times New Roman"/>
      <w:sz w:val="24"/>
      <w:szCs w:val="24"/>
      <w:lang w:val="es-ES" w:eastAsia="zh-TW"/>
    </w:rPr>
  </w:style>
  <w:style w:type="paragraph" w:styleId="Sinespaciado">
    <w:name w:val="No Spacing"/>
    <w:uiPriority w:val="1"/>
    <w:qFormat/>
    <w:rsid w:val="0086324C"/>
    <w:pPr>
      <w:spacing w:after="0" w:line="240" w:lineRule="auto"/>
    </w:pPr>
    <w:rPr>
      <w:lang w:val="es-ES"/>
    </w:rPr>
  </w:style>
  <w:style w:type="paragraph" w:styleId="Textonotapie">
    <w:name w:val="footnote text"/>
    <w:basedOn w:val="Normal"/>
    <w:link w:val="TextonotapieCar"/>
    <w:uiPriority w:val="99"/>
    <w:semiHidden/>
    <w:unhideWhenUsed/>
    <w:rsid w:val="0086324C"/>
    <w:rPr>
      <w:sz w:val="20"/>
      <w:szCs w:val="20"/>
      <w:lang w:val="es-ES"/>
    </w:rPr>
  </w:style>
  <w:style w:type="character" w:customStyle="1" w:styleId="TextonotapieCar">
    <w:name w:val="Texto nota pie Car"/>
    <w:basedOn w:val="Fuentedeprrafopredeter"/>
    <w:link w:val="Textonotapie"/>
    <w:uiPriority w:val="99"/>
    <w:semiHidden/>
    <w:rsid w:val="0086324C"/>
    <w:rPr>
      <w:sz w:val="20"/>
      <w:szCs w:val="20"/>
      <w:lang w:val="es-ES"/>
    </w:rPr>
  </w:style>
  <w:style w:type="character" w:styleId="Refdenotaalpie">
    <w:name w:val="footnote reference"/>
    <w:basedOn w:val="Fuentedeprrafopredeter"/>
    <w:uiPriority w:val="99"/>
    <w:semiHidden/>
    <w:unhideWhenUsed/>
    <w:rsid w:val="0086324C"/>
    <w:rPr>
      <w:vertAlign w:val="superscript"/>
    </w:rPr>
  </w:style>
  <w:style w:type="paragraph" w:styleId="Prrafodelista">
    <w:name w:val="List Paragraph"/>
    <w:basedOn w:val="Normal"/>
    <w:uiPriority w:val="34"/>
    <w:qFormat/>
    <w:rsid w:val="00796826"/>
    <w:pPr>
      <w:spacing w:after="200" w:line="276" w:lineRule="auto"/>
      <w:ind w:left="720"/>
      <w:contextualSpacing/>
    </w:pPr>
    <w:rPr>
      <w:lang w:val="es-ES"/>
    </w:rPr>
  </w:style>
  <w:style w:type="character" w:customStyle="1" w:styleId="normaltextrun">
    <w:name w:val="normaltextrun"/>
    <w:basedOn w:val="Fuentedeprrafopredeter"/>
    <w:rsid w:val="0052759D"/>
  </w:style>
  <w:style w:type="character" w:customStyle="1" w:styleId="apple-converted-space">
    <w:name w:val="apple-converted-space"/>
    <w:basedOn w:val="Fuentedeprrafopredeter"/>
    <w:rsid w:val="0052759D"/>
  </w:style>
  <w:style w:type="paragraph" w:styleId="Textodeglobo">
    <w:name w:val="Balloon Text"/>
    <w:basedOn w:val="Normal"/>
    <w:link w:val="TextodegloboCar"/>
    <w:uiPriority w:val="99"/>
    <w:semiHidden/>
    <w:unhideWhenUsed/>
    <w:rsid w:val="002B253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2535"/>
    <w:rPr>
      <w:rFonts w:ascii="Segoe UI" w:hAnsi="Segoe UI" w:cs="Segoe UI"/>
      <w:sz w:val="18"/>
      <w:szCs w:val="18"/>
    </w:rPr>
  </w:style>
  <w:style w:type="character" w:customStyle="1" w:styleId="red">
    <w:name w:val="red"/>
    <w:basedOn w:val="Fuentedeprrafopredeter"/>
    <w:rsid w:val="00A061CA"/>
  </w:style>
  <w:style w:type="paragraph" w:styleId="Piedepgina">
    <w:name w:val="footer"/>
    <w:basedOn w:val="Normal"/>
    <w:link w:val="PiedepginaCar"/>
    <w:uiPriority w:val="99"/>
    <w:unhideWhenUsed/>
    <w:rsid w:val="00192AE8"/>
    <w:pPr>
      <w:tabs>
        <w:tab w:val="center" w:pos="4419"/>
        <w:tab w:val="right" w:pos="8838"/>
      </w:tabs>
    </w:pPr>
  </w:style>
  <w:style w:type="character" w:customStyle="1" w:styleId="PiedepginaCar">
    <w:name w:val="Pie de página Car"/>
    <w:basedOn w:val="Fuentedeprrafopredeter"/>
    <w:link w:val="Piedepgina"/>
    <w:uiPriority w:val="99"/>
    <w:rsid w:val="00192A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24C"/>
    <w:pPr>
      <w:spacing w:after="0" w:line="240" w:lineRule="auto"/>
    </w:pPr>
  </w:style>
  <w:style w:type="paragraph" w:styleId="Ttulo1">
    <w:name w:val="heading 1"/>
    <w:basedOn w:val="Normal"/>
    <w:next w:val="Normal"/>
    <w:link w:val="Ttulo1Car"/>
    <w:uiPriority w:val="9"/>
    <w:qFormat/>
    <w:rsid w:val="0086324C"/>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324C"/>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86324C"/>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86324C"/>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86324C"/>
    <w:rPr>
      <w:rFonts w:ascii="Times New Roman" w:eastAsia="PMingLiU" w:hAnsi="Times New Roman" w:cs="Times New Roman"/>
      <w:sz w:val="24"/>
      <w:szCs w:val="24"/>
      <w:lang w:val="es-ES" w:eastAsia="zh-TW"/>
    </w:rPr>
  </w:style>
  <w:style w:type="paragraph" w:styleId="Sinespaciado">
    <w:name w:val="No Spacing"/>
    <w:uiPriority w:val="1"/>
    <w:qFormat/>
    <w:rsid w:val="0086324C"/>
    <w:pPr>
      <w:spacing w:after="0" w:line="240" w:lineRule="auto"/>
    </w:pPr>
    <w:rPr>
      <w:lang w:val="es-ES"/>
    </w:rPr>
  </w:style>
  <w:style w:type="paragraph" w:styleId="Textonotapie">
    <w:name w:val="footnote text"/>
    <w:basedOn w:val="Normal"/>
    <w:link w:val="TextonotapieCar"/>
    <w:uiPriority w:val="99"/>
    <w:semiHidden/>
    <w:unhideWhenUsed/>
    <w:rsid w:val="0086324C"/>
    <w:rPr>
      <w:sz w:val="20"/>
      <w:szCs w:val="20"/>
      <w:lang w:val="es-ES"/>
    </w:rPr>
  </w:style>
  <w:style w:type="character" w:customStyle="1" w:styleId="TextonotapieCar">
    <w:name w:val="Texto nota pie Car"/>
    <w:basedOn w:val="Fuentedeprrafopredeter"/>
    <w:link w:val="Textonotapie"/>
    <w:uiPriority w:val="99"/>
    <w:semiHidden/>
    <w:rsid w:val="0086324C"/>
    <w:rPr>
      <w:sz w:val="20"/>
      <w:szCs w:val="20"/>
      <w:lang w:val="es-ES"/>
    </w:rPr>
  </w:style>
  <w:style w:type="character" w:styleId="Refdenotaalpie">
    <w:name w:val="footnote reference"/>
    <w:basedOn w:val="Fuentedeprrafopredeter"/>
    <w:uiPriority w:val="99"/>
    <w:semiHidden/>
    <w:unhideWhenUsed/>
    <w:rsid w:val="0086324C"/>
    <w:rPr>
      <w:vertAlign w:val="superscript"/>
    </w:rPr>
  </w:style>
  <w:style w:type="paragraph" w:styleId="Prrafodelista">
    <w:name w:val="List Paragraph"/>
    <w:basedOn w:val="Normal"/>
    <w:uiPriority w:val="34"/>
    <w:qFormat/>
    <w:rsid w:val="00796826"/>
    <w:pPr>
      <w:spacing w:after="200" w:line="276" w:lineRule="auto"/>
      <w:ind w:left="720"/>
      <w:contextualSpacing/>
    </w:pPr>
    <w:rPr>
      <w:lang w:val="es-ES"/>
    </w:rPr>
  </w:style>
  <w:style w:type="character" w:customStyle="1" w:styleId="normaltextrun">
    <w:name w:val="normaltextrun"/>
    <w:basedOn w:val="Fuentedeprrafopredeter"/>
    <w:rsid w:val="0052759D"/>
  </w:style>
  <w:style w:type="character" w:customStyle="1" w:styleId="apple-converted-space">
    <w:name w:val="apple-converted-space"/>
    <w:basedOn w:val="Fuentedeprrafopredeter"/>
    <w:rsid w:val="0052759D"/>
  </w:style>
  <w:style w:type="paragraph" w:styleId="Textodeglobo">
    <w:name w:val="Balloon Text"/>
    <w:basedOn w:val="Normal"/>
    <w:link w:val="TextodegloboCar"/>
    <w:uiPriority w:val="99"/>
    <w:semiHidden/>
    <w:unhideWhenUsed/>
    <w:rsid w:val="002B253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2535"/>
    <w:rPr>
      <w:rFonts w:ascii="Segoe UI" w:hAnsi="Segoe UI" w:cs="Segoe UI"/>
      <w:sz w:val="18"/>
      <w:szCs w:val="18"/>
    </w:rPr>
  </w:style>
  <w:style w:type="character" w:customStyle="1" w:styleId="red">
    <w:name w:val="red"/>
    <w:basedOn w:val="Fuentedeprrafopredeter"/>
    <w:rsid w:val="00A061CA"/>
  </w:style>
  <w:style w:type="paragraph" w:styleId="Piedepgina">
    <w:name w:val="footer"/>
    <w:basedOn w:val="Normal"/>
    <w:link w:val="PiedepginaCar"/>
    <w:uiPriority w:val="99"/>
    <w:unhideWhenUsed/>
    <w:rsid w:val="00192AE8"/>
    <w:pPr>
      <w:tabs>
        <w:tab w:val="center" w:pos="4419"/>
        <w:tab w:val="right" w:pos="8838"/>
      </w:tabs>
    </w:pPr>
  </w:style>
  <w:style w:type="character" w:customStyle="1" w:styleId="PiedepginaCar">
    <w:name w:val="Pie de página Car"/>
    <w:basedOn w:val="Fuentedeprrafopredeter"/>
    <w:link w:val="Piedepgina"/>
    <w:uiPriority w:val="99"/>
    <w:rsid w:val="00192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861421-23CD-4F5A-A2C6-35201E29D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14</Pages>
  <Words>4721</Words>
  <Characters>25966</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cp:revision>
  <cp:lastPrinted>2018-01-16T20:26:00Z</cp:lastPrinted>
  <dcterms:created xsi:type="dcterms:W3CDTF">2018-01-15T15:38:00Z</dcterms:created>
  <dcterms:modified xsi:type="dcterms:W3CDTF">2018-12-05T21:15:00Z</dcterms:modified>
</cp:coreProperties>
</file>