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AD11AE" w:rsidRPr="006E349D" w:rsidTr="00600E7B">
        <w:tc>
          <w:tcPr>
            <w:tcW w:w="2356" w:type="dxa"/>
          </w:tcPr>
          <w:p w:rsidR="00AD11AE" w:rsidRPr="006E349D" w:rsidRDefault="00AD11AE" w:rsidP="00600E7B">
            <w:pPr>
              <w:spacing w:after="0" w:line="240" w:lineRule="auto"/>
              <w:rPr>
                <w:rFonts w:ascii="Arial" w:hAnsi="Arial" w:cs="Arial"/>
                <w:b/>
                <w:sz w:val="26"/>
                <w:szCs w:val="26"/>
              </w:rPr>
            </w:pPr>
          </w:p>
        </w:tc>
        <w:tc>
          <w:tcPr>
            <w:tcW w:w="6859" w:type="dxa"/>
          </w:tcPr>
          <w:p w:rsidR="00AD11AE" w:rsidRPr="004010A4" w:rsidRDefault="00AD11AE" w:rsidP="00600E7B">
            <w:pPr>
              <w:tabs>
                <w:tab w:val="left" w:pos="3103"/>
              </w:tabs>
              <w:spacing w:after="0" w:line="240" w:lineRule="auto"/>
              <w:ind w:left="1119" w:hanging="1119"/>
              <w:jc w:val="both"/>
              <w:rPr>
                <w:rFonts w:ascii="Arial" w:hAnsi="Arial" w:cs="Arial"/>
                <w:b/>
                <w:iCs/>
                <w:caps/>
                <w:sz w:val="26"/>
                <w:szCs w:val="26"/>
              </w:rPr>
            </w:pPr>
            <w:r w:rsidRPr="004010A4">
              <w:rPr>
                <w:rFonts w:ascii="Arial" w:hAnsi="Arial" w:cs="Arial"/>
                <w:b/>
                <w:i/>
                <w:iCs/>
                <w:caps/>
                <w:sz w:val="26"/>
                <w:szCs w:val="26"/>
              </w:rPr>
              <w:t xml:space="preserve">                </w:t>
            </w:r>
            <w:r w:rsidRPr="004010A4">
              <w:rPr>
                <w:rFonts w:ascii="Arial" w:hAnsi="Arial" w:cs="Arial"/>
                <w:b/>
                <w:iCs/>
                <w:caps/>
                <w:sz w:val="26"/>
                <w:szCs w:val="26"/>
              </w:rPr>
              <w:t xml:space="preserve">SALA SUPERIOR DEL TRIBUNAL </w:t>
            </w:r>
            <w:r w:rsidR="00482783" w:rsidRPr="004010A4">
              <w:rPr>
                <w:rFonts w:ascii="Arial" w:hAnsi="Arial" w:cs="Arial"/>
                <w:b/>
                <w:iCs/>
                <w:caps/>
                <w:sz w:val="26"/>
                <w:szCs w:val="26"/>
              </w:rPr>
              <w:t>de justicia administrativa del estado</w:t>
            </w:r>
          </w:p>
          <w:p w:rsidR="00AD11AE" w:rsidRPr="004010A4" w:rsidRDefault="00AD11AE" w:rsidP="00600E7B">
            <w:pPr>
              <w:pStyle w:val="Encabezado"/>
              <w:tabs>
                <w:tab w:val="clear" w:pos="4252"/>
              </w:tabs>
              <w:ind w:right="51"/>
              <w:jc w:val="both"/>
              <w:rPr>
                <w:rFonts w:ascii="Arial" w:hAnsi="Arial" w:cs="Arial"/>
                <w:b/>
                <w:iCs/>
                <w:caps/>
                <w:sz w:val="26"/>
                <w:szCs w:val="26"/>
              </w:rPr>
            </w:pPr>
            <w:r w:rsidRPr="004010A4">
              <w:rPr>
                <w:rFonts w:ascii="Arial" w:hAnsi="Arial" w:cs="Arial"/>
                <w:b/>
                <w:iCs/>
                <w:caps/>
                <w:sz w:val="26"/>
                <w:szCs w:val="26"/>
              </w:rPr>
              <w:t xml:space="preserve">               </w:t>
            </w:r>
          </w:p>
          <w:p w:rsidR="00AD11AE" w:rsidRDefault="00AD11AE" w:rsidP="00600E7B">
            <w:pPr>
              <w:pStyle w:val="Encabezado"/>
              <w:tabs>
                <w:tab w:val="clear" w:pos="4252"/>
              </w:tabs>
              <w:ind w:right="51"/>
              <w:jc w:val="both"/>
              <w:rPr>
                <w:rFonts w:ascii="Arial" w:hAnsi="Arial" w:cs="Arial"/>
                <w:b/>
                <w:iCs/>
                <w:caps/>
                <w:sz w:val="26"/>
                <w:szCs w:val="26"/>
              </w:rPr>
            </w:pPr>
            <w:r w:rsidRPr="004010A4">
              <w:rPr>
                <w:rFonts w:ascii="Arial" w:hAnsi="Arial" w:cs="Arial"/>
                <w:b/>
                <w:iCs/>
                <w:caps/>
                <w:sz w:val="26"/>
                <w:szCs w:val="26"/>
              </w:rPr>
              <w:t xml:space="preserve">               RECURSO DE REVISIÓN: </w:t>
            </w:r>
            <w:r w:rsidR="00482783" w:rsidRPr="004010A4">
              <w:rPr>
                <w:rFonts w:ascii="Arial" w:hAnsi="Arial" w:cs="Arial"/>
                <w:b/>
                <w:iCs/>
                <w:caps/>
                <w:sz w:val="26"/>
                <w:szCs w:val="26"/>
              </w:rPr>
              <w:t>565/2017</w:t>
            </w:r>
          </w:p>
          <w:p w:rsidR="005D05B8" w:rsidRPr="004010A4" w:rsidRDefault="005D05B8" w:rsidP="00600E7B">
            <w:pPr>
              <w:pStyle w:val="Encabezado"/>
              <w:tabs>
                <w:tab w:val="clear" w:pos="4252"/>
              </w:tabs>
              <w:ind w:right="51"/>
              <w:jc w:val="both"/>
              <w:rPr>
                <w:rFonts w:ascii="Arial" w:hAnsi="Arial" w:cs="Arial"/>
                <w:b/>
                <w:iCs/>
                <w:caps/>
                <w:sz w:val="26"/>
                <w:szCs w:val="26"/>
              </w:rPr>
            </w:pPr>
          </w:p>
          <w:p w:rsidR="00AD11AE" w:rsidRPr="004010A4" w:rsidRDefault="00AD11AE" w:rsidP="00600E7B">
            <w:pPr>
              <w:pStyle w:val="Encabezado"/>
              <w:tabs>
                <w:tab w:val="clear" w:pos="4252"/>
              </w:tabs>
              <w:ind w:left="1119" w:right="51" w:hanging="1119"/>
              <w:jc w:val="both"/>
              <w:rPr>
                <w:rFonts w:ascii="Arial" w:hAnsi="Arial" w:cs="Arial"/>
                <w:b/>
                <w:iCs/>
                <w:caps/>
                <w:sz w:val="26"/>
                <w:szCs w:val="26"/>
              </w:rPr>
            </w:pPr>
            <w:r w:rsidRPr="004010A4">
              <w:rPr>
                <w:rFonts w:ascii="Arial" w:hAnsi="Arial" w:cs="Arial"/>
                <w:b/>
                <w:iCs/>
                <w:caps/>
                <w:sz w:val="26"/>
                <w:szCs w:val="26"/>
              </w:rPr>
              <w:t xml:space="preserve">                EXPEDIENTE: </w:t>
            </w:r>
            <w:r w:rsidR="005D05B8">
              <w:rPr>
                <w:rFonts w:ascii="Arial" w:hAnsi="Arial" w:cs="Arial"/>
                <w:b/>
                <w:iCs/>
                <w:caps/>
                <w:sz w:val="26"/>
                <w:szCs w:val="26"/>
              </w:rPr>
              <w:t>42</w:t>
            </w:r>
            <w:r w:rsidR="00482783" w:rsidRPr="004010A4">
              <w:rPr>
                <w:rFonts w:ascii="Arial" w:hAnsi="Arial" w:cs="Arial"/>
                <w:b/>
                <w:iCs/>
                <w:caps/>
                <w:sz w:val="26"/>
                <w:szCs w:val="26"/>
              </w:rPr>
              <w:t>2/2016</w:t>
            </w:r>
            <w:r w:rsidRPr="004010A4">
              <w:rPr>
                <w:rFonts w:ascii="Arial" w:hAnsi="Arial" w:cs="Arial"/>
                <w:b/>
                <w:iCs/>
                <w:caps/>
                <w:sz w:val="26"/>
                <w:szCs w:val="26"/>
              </w:rPr>
              <w:t xml:space="preserve"> DE</w:t>
            </w:r>
            <w:r w:rsidR="00482783" w:rsidRPr="004010A4">
              <w:rPr>
                <w:rFonts w:ascii="Arial" w:hAnsi="Arial" w:cs="Arial"/>
                <w:b/>
                <w:iCs/>
                <w:caps/>
                <w:sz w:val="26"/>
                <w:szCs w:val="26"/>
              </w:rPr>
              <w:t xml:space="preserve"> </w:t>
            </w:r>
            <w:r w:rsidRPr="004010A4">
              <w:rPr>
                <w:rFonts w:ascii="Arial" w:hAnsi="Arial" w:cs="Arial"/>
                <w:b/>
                <w:iCs/>
                <w:caps/>
                <w:sz w:val="26"/>
                <w:szCs w:val="26"/>
              </w:rPr>
              <w:t>L</w:t>
            </w:r>
            <w:r w:rsidR="00482783" w:rsidRPr="004010A4">
              <w:rPr>
                <w:rFonts w:ascii="Arial" w:hAnsi="Arial" w:cs="Arial"/>
                <w:b/>
                <w:iCs/>
                <w:caps/>
                <w:sz w:val="26"/>
                <w:szCs w:val="26"/>
              </w:rPr>
              <w:t>A</w:t>
            </w:r>
            <w:r w:rsidRPr="004010A4">
              <w:rPr>
                <w:rFonts w:ascii="Arial" w:hAnsi="Arial" w:cs="Arial"/>
                <w:b/>
                <w:iCs/>
                <w:caps/>
                <w:sz w:val="26"/>
                <w:szCs w:val="26"/>
              </w:rPr>
              <w:t xml:space="preserve"> </w:t>
            </w:r>
            <w:r w:rsidR="00482783" w:rsidRPr="004010A4">
              <w:rPr>
                <w:rFonts w:ascii="Arial" w:hAnsi="Arial" w:cs="Arial"/>
                <w:b/>
                <w:iCs/>
                <w:caps/>
                <w:sz w:val="26"/>
                <w:szCs w:val="26"/>
              </w:rPr>
              <w:t xml:space="preserve">TERCERA SALA UNITARIA DE PRIMERA INSTANCIA </w:t>
            </w:r>
          </w:p>
          <w:p w:rsidR="00AD11AE" w:rsidRPr="004010A4" w:rsidRDefault="00AD11AE" w:rsidP="00600E7B">
            <w:pPr>
              <w:pStyle w:val="Encabezado"/>
              <w:tabs>
                <w:tab w:val="clear" w:pos="4252"/>
              </w:tabs>
              <w:ind w:left="1119" w:right="51" w:hanging="1119"/>
              <w:jc w:val="both"/>
              <w:rPr>
                <w:rFonts w:ascii="Arial" w:hAnsi="Arial" w:cs="Arial"/>
                <w:b/>
                <w:iCs/>
                <w:caps/>
                <w:sz w:val="26"/>
                <w:szCs w:val="26"/>
              </w:rPr>
            </w:pPr>
            <w:r w:rsidRPr="004010A4">
              <w:rPr>
                <w:rFonts w:ascii="Arial" w:hAnsi="Arial" w:cs="Arial"/>
                <w:b/>
                <w:iCs/>
                <w:caps/>
                <w:sz w:val="26"/>
                <w:szCs w:val="26"/>
              </w:rPr>
              <w:t xml:space="preserve">             </w:t>
            </w:r>
          </w:p>
          <w:p w:rsidR="00AD11AE" w:rsidRPr="004010A4" w:rsidRDefault="00AD11AE" w:rsidP="00482783">
            <w:pPr>
              <w:pStyle w:val="Encabezado"/>
              <w:tabs>
                <w:tab w:val="clear" w:pos="4252"/>
              </w:tabs>
              <w:ind w:left="1119" w:right="51" w:hanging="1134"/>
              <w:jc w:val="both"/>
              <w:rPr>
                <w:rFonts w:ascii="Arial" w:hAnsi="Arial" w:cs="Arial"/>
                <w:b/>
                <w:iCs/>
                <w:caps/>
                <w:sz w:val="26"/>
                <w:szCs w:val="26"/>
              </w:rPr>
            </w:pPr>
            <w:r w:rsidRPr="004010A4">
              <w:rPr>
                <w:rFonts w:ascii="Arial" w:hAnsi="Arial" w:cs="Arial"/>
                <w:b/>
                <w:iCs/>
                <w:caps/>
                <w:sz w:val="26"/>
                <w:szCs w:val="26"/>
              </w:rPr>
              <w:t xml:space="preserve">                 ponente:</w:t>
            </w:r>
            <w:r w:rsidR="00482783" w:rsidRPr="004010A4">
              <w:rPr>
                <w:rFonts w:ascii="Arial" w:hAnsi="Arial" w:cs="Arial"/>
                <w:b/>
                <w:iCs/>
                <w:caps/>
                <w:sz w:val="26"/>
                <w:szCs w:val="26"/>
              </w:rPr>
              <w:t xml:space="preserve"> MAGISTRADA MARÍA ELENA VILLA DE JARQUÍN </w:t>
            </w:r>
          </w:p>
        </w:tc>
      </w:tr>
      <w:tr w:rsidR="00AD11AE" w:rsidRPr="006E349D" w:rsidTr="00600E7B">
        <w:tc>
          <w:tcPr>
            <w:tcW w:w="2356" w:type="dxa"/>
          </w:tcPr>
          <w:p w:rsidR="00AD11AE" w:rsidRPr="006E349D" w:rsidRDefault="00AD11AE" w:rsidP="00600E7B">
            <w:pPr>
              <w:spacing w:after="0" w:line="240" w:lineRule="auto"/>
              <w:rPr>
                <w:rFonts w:ascii="Arial" w:hAnsi="Arial" w:cs="Arial"/>
                <w:b/>
                <w:sz w:val="26"/>
                <w:szCs w:val="26"/>
              </w:rPr>
            </w:pPr>
          </w:p>
        </w:tc>
        <w:tc>
          <w:tcPr>
            <w:tcW w:w="6859" w:type="dxa"/>
          </w:tcPr>
          <w:p w:rsidR="00AD11AE" w:rsidRPr="004010A4" w:rsidRDefault="00AD11AE" w:rsidP="00600E7B">
            <w:pPr>
              <w:tabs>
                <w:tab w:val="left" w:pos="3103"/>
              </w:tabs>
              <w:spacing w:after="0" w:line="240" w:lineRule="auto"/>
              <w:ind w:left="2961" w:hanging="2961"/>
              <w:jc w:val="both"/>
              <w:rPr>
                <w:rFonts w:ascii="Arial" w:hAnsi="Arial" w:cs="Arial"/>
                <w:b/>
                <w:iCs/>
                <w:caps/>
                <w:sz w:val="26"/>
                <w:szCs w:val="26"/>
              </w:rPr>
            </w:pPr>
            <w:r w:rsidRPr="004010A4">
              <w:rPr>
                <w:rFonts w:ascii="Arial" w:hAnsi="Arial" w:cs="Arial"/>
                <w:b/>
                <w:i/>
                <w:iCs/>
                <w:caps/>
                <w:sz w:val="26"/>
                <w:szCs w:val="26"/>
              </w:rPr>
              <w:t xml:space="preserve">                                   </w:t>
            </w:r>
          </w:p>
        </w:tc>
      </w:tr>
      <w:tr w:rsidR="00AD11AE" w:rsidRPr="006E349D" w:rsidTr="00600E7B">
        <w:tc>
          <w:tcPr>
            <w:tcW w:w="2356" w:type="dxa"/>
          </w:tcPr>
          <w:p w:rsidR="00AD11AE" w:rsidRPr="006E349D" w:rsidRDefault="00AD11AE" w:rsidP="00600E7B">
            <w:pPr>
              <w:spacing w:after="0" w:line="240" w:lineRule="auto"/>
              <w:rPr>
                <w:rFonts w:ascii="Arial" w:hAnsi="Arial" w:cs="Arial"/>
                <w:b/>
                <w:sz w:val="26"/>
                <w:szCs w:val="26"/>
              </w:rPr>
            </w:pPr>
          </w:p>
        </w:tc>
        <w:tc>
          <w:tcPr>
            <w:tcW w:w="6859" w:type="dxa"/>
          </w:tcPr>
          <w:p w:rsidR="00AD11AE" w:rsidRPr="004010A4" w:rsidRDefault="00AD11AE" w:rsidP="00600E7B">
            <w:pPr>
              <w:tabs>
                <w:tab w:val="left" w:pos="3103"/>
              </w:tabs>
              <w:spacing w:after="0" w:line="240" w:lineRule="auto"/>
              <w:ind w:left="2961" w:hanging="2961"/>
              <w:jc w:val="both"/>
              <w:rPr>
                <w:rFonts w:ascii="Arial" w:hAnsi="Arial" w:cs="Arial"/>
                <w:b/>
                <w:i/>
                <w:iCs/>
                <w:caps/>
                <w:sz w:val="26"/>
                <w:szCs w:val="26"/>
              </w:rPr>
            </w:pPr>
          </w:p>
        </w:tc>
      </w:tr>
    </w:tbl>
    <w:p w:rsidR="00AD11AE" w:rsidRPr="00372D3D" w:rsidRDefault="00FB1081" w:rsidP="00AD11AE">
      <w:pPr>
        <w:spacing w:line="360" w:lineRule="auto"/>
        <w:jc w:val="both"/>
        <w:rPr>
          <w:rFonts w:ascii="Arial" w:eastAsia="Calibri" w:hAnsi="Arial" w:cs="Arial"/>
          <w:b/>
          <w:sz w:val="26"/>
          <w:szCs w:val="26"/>
        </w:rPr>
      </w:pPr>
      <w:r>
        <w:rPr>
          <w:rFonts w:ascii="Arial" w:eastAsia="Calibri" w:hAnsi="Arial" w:cs="Arial"/>
          <w:b/>
          <w:sz w:val="26"/>
          <w:szCs w:val="26"/>
        </w:rPr>
        <w:t xml:space="preserve">OAXACA DE JUÁREZ, OAXACA, CINCO DE ABRIL DE </w:t>
      </w:r>
      <w:r w:rsidR="00AD11AE" w:rsidRPr="00372D3D">
        <w:rPr>
          <w:rFonts w:ascii="Arial" w:eastAsia="Calibri" w:hAnsi="Arial" w:cs="Arial"/>
          <w:b/>
          <w:sz w:val="26"/>
          <w:szCs w:val="26"/>
        </w:rPr>
        <w:t xml:space="preserve">DOS MIL </w:t>
      </w:r>
      <w:r w:rsidR="00482783">
        <w:rPr>
          <w:rFonts w:ascii="Arial" w:eastAsia="Calibri" w:hAnsi="Arial" w:cs="Arial"/>
          <w:b/>
          <w:sz w:val="26"/>
          <w:szCs w:val="26"/>
        </w:rPr>
        <w:t>DIECIOCHO</w:t>
      </w:r>
      <w:r>
        <w:rPr>
          <w:rFonts w:ascii="Arial" w:eastAsia="Calibri" w:hAnsi="Arial" w:cs="Arial"/>
          <w:b/>
          <w:sz w:val="26"/>
          <w:szCs w:val="26"/>
        </w:rPr>
        <w:t>.</w:t>
      </w:r>
    </w:p>
    <w:p w:rsidR="00AD11AE" w:rsidRPr="007310EB" w:rsidRDefault="00AD11AE" w:rsidP="005D05B8">
      <w:pPr>
        <w:spacing w:after="0" w:line="360" w:lineRule="auto"/>
        <w:ind w:firstLine="708"/>
        <w:jc w:val="both"/>
        <w:rPr>
          <w:rFonts w:ascii="Arial" w:eastAsia="Calibri" w:hAnsi="Arial" w:cs="Arial"/>
          <w:b/>
          <w:sz w:val="26"/>
          <w:szCs w:val="26"/>
        </w:rPr>
      </w:pPr>
      <w:r w:rsidRPr="00372D3D">
        <w:rPr>
          <w:rFonts w:ascii="Arial" w:eastAsia="Calibri" w:hAnsi="Arial" w:cs="Arial"/>
          <w:sz w:val="26"/>
          <w:szCs w:val="26"/>
        </w:rPr>
        <w:t xml:space="preserve">Por recibido el Cuaderno de Revisión </w:t>
      </w:r>
      <w:r w:rsidR="00482783">
        <w:rPr>
          <w:rFonts w:ascii="Arial" w:eastAsia="Calibri" w:hAnsi="Arial" w:cs="Arial"/>
          <w:b/>
          <w:sz w:val="26"/>
          <w:szCs w:val="26"/>
        </w:rPr>
        <w:t>0565/2017</w:t>
      </w:r>
      <w:r w:rsidRPr="00372D3D">
        <w:rPr>
          <w:rFonts w:ascii="Arial" w:eastAsia="Calibri" w:hAnsi="Arial" w:cs="Arial"/>
          <w:sz w:val="26"/>
          <w:szCs w:val="26"/>
        </w:rPr>
        <w:t xml:space="preserve">, que remite la Secretaría </w:t>
      </w:r>
      <w:r w:rsidRPr="00821CBD">
        <w:rPr>
          <w:rFonts w:ascii="Arial" w:eastAsia="Calibri" w:hAnsi="Arial" w:cs="Arial"/>
          <w:sz w:val="26"/>
          <w:szCs w:val="26"/>
        </w:rPr>
        <w:t>General de Acuerdos, con motivo del recurso de revisión interpuesto por</w:t>
      </w:r>
      <w:r w:rsidR="00FB1081">
        <w:rPr>
          <w:rFonts w:ascii="Arial" w:eastAsia="Calibri" w:hAnsi="Arial" w:cs="Arial"/>
          <w:b/>
          <w:sz w:val="26"/>
          <w:szCs w:val="26"/>
        </w:rPr>
        <w:t xml:space="preserve"> </w:t>
      </w:r>
      <w:r w:rsidR="00505AE5">
        <w:rPr>
          <w:rFonts w:ascii="Arial" w:eastAsia="Calibri" w:hAnsi="Arial" w:cs="Arial"/>
          <w:b/>
          <w:sz w:val="26"/>
          <w:szCs w:val="26"/>
        </w:rPr>
        <w:t>**********</w:t>
      </w:r>
      <w:r w:rsidRPr="00821CBD">
        <w:rPr>
          <w:rFonts w:ascii="Arial" w:eastAsia="Calibri" w:hAnsi="Arial" w:cs="Arial"/>
          <w:b/>
          <w:sz w:val="26"/>
          <w:szCs w:val="26"/>
        </w:rPr>
        <w:t xml:space="preserve">, </w:t>
      </w:r>
      <w:r>
        <w:rPr>
          <w:rFonts w:ascii="Arial" w:eastAsia="Calibri" w:hAnsi="Arial" w:cs="Arial"/>
          <w:sz w:val="26"/>
          <w:szCs w:val="26"/>
        </w:rPr>
        <w:t xml:space="preserve">en contra de la </w:t>
      </w:r>
      <w:r w:rsidR="00482783">
        <w:rPr>
          <w:rFonts w:ascii="Arial" w:eastAsia="Calibri" w:hAnsi="Arial" w:cs="Arial"/>
          <w:sz w:val="26"/>
          <w:szCs w:val="26"/>
        </w:rPr>
        <w:t>sentencia de  veinticuatro de agosto de dos mil diecisiete</w:t>
      </w:r>
      <w:r>
        <w:rPr>
          <w:rFonts w:ascii="Arial" w:eastAsia="Calibri" w:hAnsi="Arial" w:cs="Arial"/>
          <w:sz w:val="26"/>
          <w:szCs w:val="26"/>
        </w:rPr>
        <w:t>, dictada en el expediente</w:t>
      </w:r>
      <w:r w:rsidR="005D05B8">
        <w:rPr>
          <w:rFonts w:ascii="Arial" w:eastAsia="Calibri" w:hAnsi="Arial" w:cs="Arial"/>
          <w:b/>
          <w:sz w:val="26"/>
          <w:szCs w:val="26"/>
        </w:rPr>
        <w:t xml:space="preserve"> 042</w:t>
      </w:r>
      <w:r w:rsidR="00482783">
        <w:rPr>
          <w:rFonts w:ascii="Arial" w:eastAsia="Calibri" w:hAnsi="Arial" w:cs="Arial"/>
          <w:b/>
          <w:sz w:val="26"/>
          <w:szCs w:val="26"/>
        </w:rPr>
        <w:t>2</w:t>
      </w:r>
      <w:r w:rsidRPr="007310EB">
        <w:rPr>
          <w:rFonts w:ascii="Arial" w:eastAsia="Calibri" w:hAnsi="Arial" w:cs="Arial"/>
          <w:b/>
          <w:sz w:val="26"/>
          <w:szCs w:val="26"/>
        </w:rPr>
        <w:t>/2</w:t>
      </w:r>
      <w:r w:rsidR="00482783">
        <w:rPr>
          <w:rFonts w:ascii="Arial" w:eastAsia="Calibri" w:hAnsi="Arial" w:cs="Arial"/>
          <w:b/>
          <w:sz w:val="26"/>
          <w:szCs w:val="26"/>
        </w:rPr>
        <w:t>016</w:t>
      </w:r>
      <w:r>
        <w:rPr>
          <w:rFonts w:ascii="Arial" w:eastAsia="Calibri" w:hAnsi="Arial" w:cs="Arial"/>
          <w:b/>
          <w:sz w:val="26"/>
          <w:szCs w:val="26"/>
        </w:rPr>
        <w:t>,</w:t>
      </w:r>
      <w:r w:rsidRPr="00821CBD">
        <w:rPr>
          <w:rFonts w:ascii="Arial" w:eastAsia="Calibri" w:hAnsi="Arial" w:cs="Arial"/>
          <w:sz w:val="26"/>
          <w:szCs w:val="26"/>
        </w:rPr>
        <w:t xml:space="preserve"> del índice </w:t>
      </w:r>
      <w:r w:rsidRPr="00241F94">
        <w:rPr>
          <w:rFonts w:ascii="Arial" w:hAnsi="Arial" w:cs="Arial"/>
          <w:sz w:val="26"/>
          <w:szCs w:val="26"/>
        </w:rPr>
        <w:t>de</w:t>
      </w:r>
      <w:r w:rsidR="00482783">
        <w:rPr>
          <w:rFonts w:ascii="Arial" w:hAnsi="Arial" w:cs="Arial"/>
          <w:sz w:val="26"/>
          <w:szCs w:val="26"/>
        </w:rPr>
        <w:t xml:space="preserve"> </w:t>
      </w:r>
      <w:r>
        <w:rPr>
          <w:rFonts w:ascii="Arial" w:hAnsi="Arial" w:cs="Arial"/>
          <w:sz w:val="26"/>
          <w:szCs w:val="26"/>
        </w:rPr>
        <w:t>l</w:t>
      </w:r>
      <w:r w:rsidR="00482783">
        <w:rPr>
          <w:rFonts w:ascii="Arial" w:hAnsi="Arial" w:cs="Arial"/>
          <w:sz w:val="26"/>
          <w:szCs w:val="26"/>
        </w:rPr>
        <w:t>a Tercera Sala Unitaria de Primera Instancia</w:t>
      </w:r>
      <w:r>
        <w:rPr>
          <w:rFonts w:ascii="Arial" w:hAnsi="Arial" w:cs="Arial"/>
          <w:sz w:val="26"/>
          <w:szCs w:val="26"/>
        </w:rPr>
        <w:t xml:space="preserve">, promovido por el </w:t>
      </w:r>
      <w:r>
        <w:rPr>
          <w:rFonts w:ascii="Arial" w:hAnsi="Arial" w:cs="Arial"/>
          <w:b/>
          <w:sz w:val="26"/>
          <w:szCs w:val="26"/>
        </w:rPr>
        <w:t xml:space="preserve">RECURRENTE, </w:t>
      </w:r>
      <w:r>
        <w:rPr>
          <w:rFonts w:ascii="Arial" w:hAnsi="Arial" w:cs="Arial"/>
          <w:sz w:val="26"/>
          <w:szCs w:val="26"/>
        </w:rPr>
        <w:t xml:space="preserve">en contra del </w:t>
      </w:r>
      <w:r w:rsidR="00DB3851">
        <w:rPr>
          <w:rFonts w:ascii="Arial" w:hAnsi="Arial" w:cs="Arial"/>
          <w:b/>
          <w:sz w:val="26"/>
          <w:szCs w:val="26"/>
        </w:rPr>
        <w:t>DIRECTOR GENERAL DEL MONTE DE PIEDAD DEL ESTADO</w:t>
      </w:r>
      <w:r w:rsidRPr="00372D3D">
        <w:rPr>
          <w:rFonts w:ascii="Arial" w:eastAsia="Calibri" w:hAnsi="Arial" w:cs="Arial"/>
          <w:b/>
          <w:sz w:val="26"/>
          <w:szCs w:val="26"/>
        </w:rPr>
        <w:t xml:space="preserve">, </w:t>
      </w:r>
      <w:r w:rsidR="004010A4" w:rsidRPr="00060D2D">
        <w:rPr>
          <w:rFonts w:ascii="Arial" w:hAnsi="Arial" w:cs="Arial"/>
          <w:sz w:val="26"/>
          <w:szCs w:val="26"/>
        </w:rPr>
        <w:t>por lo que con fundamento en los artículos 207 y 208 de la reformada Ley de Justicia Administrativa para el Estado de Oaxaca</w:t>
      </w:r>
      <w:r w:rsidRPr="00372D3D">
        <w:rPr>
          <w:rFonts w:ascii="Arial" w:eastAsia="Calibri" w:hAnsi="Arial" w:cs="Arial"/>
          <w:sz w:val="26"/>
          <w:szCs w:val="26"/>
        </w:rPr>
        <w:t>, se admite. En consecuencia, se procede a dictar resolución en los siguientes términos:</w:t>
      </w:r>
    </w:p>
    <w:p w:rsidR="00AD11AE" w:rsidRDefault="00AD11AE" w:rsidP="005D05B8">
      <w:pPr>
        <w:spacing w:after="0" w:line="360" w:lineRule="auto"/>
        <w:jc w:val="center"/>
        <w:rPr>
          <w:rFonts w:ascii="Arial" w:eastAsia="Calibri" w:hAnsi="Arial" w:cs="Arial"/>
          <w:b/>
          <w:bCs/>
          <w:sz w:val="26"/>
          <w:szCs w:val="26"/>
        </w:rPr>
      </w:pPr>
      <w:r w:rsidRPr="00372D3D">
        <w:rPr>
          <w:rFonts w:ascii="Arial" w:eastAsia="Calibri" w:hAnsi="Arial" w:cs="Arial"/>
          <w:b/>
          <w:bCs/>
          <w:sz w:val="26"/>
          <w:szCs w:val="26"/>
        </w:rPr>
        <w:t>R E S U L T A N D O</w:t>
      </w:r>
    </w:p>
    <w:p w:rsidR="005D05B8" w:rsidRPr="00372D3D" w:rsidRDefault="005D05B8" w:rsidP="005D05B8">
      <w:pPr>
        <w:spacing w:after="0" w:line="360" w:lineRule="auto"/>
        <w:jc w:val="center"/>
        <w:rPr>
          <w:rFonts w:ascii="Arial" w:eastAsia="Calibri" w:hAnsi="Arial" w:cs="Arial"/>
          <w:b/>
          <w:bCs/>
          <w:sz w:val="26"/>
          <w:szCs w:val="26"/>
        </w:rPr>
      </w:pPr>
    </w:p>
    <w:p w:rsidR="00AD11AE" w:rsidRPr="00372D3D" w:rsidRDefault="00AD11AE" w:rsidP="005D05B8">
      <w:pPr>
        <w:spacing w:after="0" w:line="360" w:lineRule="auto"/>
        <w:ind w:firstLine="709"/>
        <w:jc w:val="both"/>
        <w:rPr>
          <w:rFonts w:ascii="Arial" w:eastAsia="Calibri" w:hAnsi="Arial" w:cs="Arial"/>
          <w:sz w:val="26"/>
          <w:szCs w:val="26"/>
        </w:rPr>
      </w:pPr>
      <w:r w:rsidRPr="00372D3D">
        <w:rPr>
          <w:rFonts w:ascii="Arial" w:eastAsia="Calibri" w:hAnsi="Arial" w:cs="Arial"/>
          <w:b/>
          <w:bCs/>
          <w:sz w:val="26"/>
          <w:szCs w:val="26"/>
        </w:rPr>
        <w:t xml:space="preserve">PRIMERO. </w:t>
      </w:r>
      <w:r>
        <w:rPr>
          <w:rFonts w:ascii="Arial" w:eastAsia="Calibri" w:hAnsi="Arial" w:cs="Arial"/>
          <w:sz w:val="26"/>
          <w:szCs w:val="26"/>
        </w:rPr>
        <w:t xml:space="preserve">Inconforme con la sentencia de </w:t>
      </w:r>
      <w:r w:rsidR="00DB3851">
        <w:rPr>
          <w:rFonts w:ascii="Arial" w:eastAsia="Calibri" w:hAnsi="Arial" w:cs="Arial"/>
          <w:sz w:val="26"/>
          <w:szCs w:val="26"/>
        </w:rPr>
        <w:t>veinticuatro de agosto de dos mil diecisiete</w:t>
      </w:r>
      <w:r>
        <w:rPr>
          <w:rFonts w:ascii="Arial" w:eastAsia="Calibri" w:hAnsi="Arial" w:cs="Arial"/>
          <w:sz w:val="26"/>
          <w:szCs w:val="26"/>
        </w:rPr>
        <w:t xml:space="preserve">, dictada por la </w:t>
      </w:r>
      <w:r w:rsidR="00DB3851">
        <w:rPr>
          <w:rFonts w:ascii="Arial" w:eastAsia="Calibri" w:hAnsi="Arial" w:cs="Arial"/>
          <w:sz w:val="26"/>
          <w:szCs w:val="26"/>
        </w:rPr>
        <w:t>Tercera Sala Unitaria de Primera Instancia</w:t>
      </w:r>
      <w:r w:rsidRPr="00372D3D">
        <w:rPr>
          <w:rFonts w:ascii="Arial" w:eastAsia="Calibri" w:hAnsi="Arial" w:cs="Arial"/>
          <w:sz w:val="26"/>
          <w:szCs w:val="26"/>
        </w:rPr>
        <w:t xml:space="preserve">, </w:t>
      </w:r>
      <w:r w:rsidR="00505AE5">
        <w:rPr>
          <w:rFonts w:ascii="Arial" w:eastAsia="Calibri" w:hAnsi="Arial" w:cs="Arial"/>
          <w:b/>
          <w:sz w:val="26"/>
          <w:szCs w:val="26"/>
        </w:rPr>
        <w:t>**********</w:t>
      </w:r>
      <w:r w:rsidRPr="00372D3D">
        <w:rPr>
          <w:rFonts w:ascii="Arial" w:eastAsia="Calibri" w:hAnsi="Arial" w:cs="Arial"/>
          <w:sz w:val="26"/>
          <w:szCs w:val="26"/>
        </w:rPr>
        <w:t>,</w:t>
      </w:r>
      <w:r w:rsidRPr="00372D3D">
        <w:rPr>
          <w:rFonts w:ascii="Arial" w:eastAsia="Calibri" w:hAnsi="Arial" w:cs="Arial"/>
          <w:b/>
          <w:sz w:val="26"/>
          <w:szCs w:val="26"/>
        </w:rPr>
        <w:t xml:space="preserve"> </w:t>
      </w:r>
      <w:r>
        <w:rPr>
          <w:rFonts w:ascii="Arial" w:eastAsia="Calibri" w:hAnsi="Arial" w:cs="Arial"/>
          <w:sz w:val="26"/>
          <w:szCs w:val="26"/>
        </w:rPr>
        <w:t>interpu</w:t>
      </w:r>
      <w:r w:rsidRPr="00372D3D">
        <w:rPr>
          <w:rFonts w:ascii="Arial" w:eastAsia="Calibri" w:hAnsi="Arial" w:cs="Arial"/>
          <w:sz w:val="26"/>
          <w:szCs w:val="26"/>
        </w:rPr>
        <w:t>so en</w:t>
      </w:r>
      <w:r>
        <w:rPr>
          <w:rFonts w:ascii="Arial" w:eastAsia="Calibri" w:hAnsi="Arial" w:cs="Arial"/>
          <w:sz w:val="26"/>
          <w:szCs w:val="26"/>
        </w:rPr>
        <w:t xml:space="preserve"> su contra recurso de revisión. </w:t>
      </w:r>
    </w:p>
    <w:p w:rsidR="00AD11AE" w:rsidRDefault="00AD11AE" w:rsidP="00AD11AE">
      <w:pPr>
        <w:spacing w:after="0" w:line="360" w:lineRule="auto"/>
        <w:jc w:val="both"/>
        <w:rPr>
          <w:rFonts w:ascii="Arial" w:eastAsia="Calibri" w:hAnsi="Arial" w:cs="Arial"/>
          <w:bCs/>
          <w:sz w:val="26"/>
          <w:szCs w:val="26"/>
        </w:rPr>
      </w:pPr>
      <w:r>
        <w:rPr>
          <w:rFonts w:ascii="Arial" w:eastAsia="Calibri" w:hAnsi="Arial" w:cs="Arial"/>
          <w:b/>
          <w:bCs/>
          <w:sz w:val="26"/>
          <w:szCs w:val="26"/>
        </w:rPr>
        <w:tab/>
        <w:t xml:space="preserve">SEGUNDO. </w:t>
      </w:r>
      <w:r>
        <w:rPr>
          <w:rFonts w:ascii="Arial" w:eastAsia="Calibri" w:hAnsi="Arial" w:cs="Arial"/>
          <w:bCs/>
          <w:sz w:val="26"/>
          <w:szCs w:val="26"/>
        </w:rPr>
        <w:t>Los puntos resolutivos de la sentencia recurrida, son del tenor literal siguiente:</w:t>
      </w:r>
    </w:p>
    <w:p w:rsidR="00FB1081" w:rsidRDefault="00FB1081" w:rsidP="00AD11AE">
      <w:pPr>
        <w:spacing w:after="0" w:line="360" w:lineRule="auto"/>
        <w:jc w:val="both"/>
        <w:rPr>
          <w:rFonts w:ascii="Arial" w:eastAsia="Calibri" w:hAnsi="Arial" w:cs="Arial"/>
          <w:bCs/>
          <w:sz w:val="26"/>
          <w:szCs w:val="26"/>
        </w:rPr>
      </w:pPr>
    </w:p>
    <w:p w:rsidR="00AD11AE" w:rsidRPr="00E16654" w:rsidRDefault="00AD11AE" w:rsidP="00AD11AE">
      <w:pPr>
        <w:spacing w:after="0" w:line="360" w:lineRule="auto"/>
        <w:ind w:left="1416" w:right="616"/>
        <w:jc w:val="both"/>
        <w:rPr>
          <w:rFonts w:ascii="Arial" w:eastAsia="Calibri" w:hAnsi="Arial" w:cs="Arial"/>
          <w:bCs/>
          <w:i/>
        </w:rPr>
      </w:pPr>
      <w:r w:rsidRPr="00E16654">
        <w:rPr>
          <w:rFonts w:ascii="Arial" w:eastAsia="Calibri" w:hAnsi="Arial" w:cs="Arial"/>
          <w:b/>
          <w:bCs/>
          <w:i/>
        </w:rPr>
        <w:t>“…PRIMERO.</w:t>
      </w:r>
      <w:r w:rsidR="00DB3851">
        <w:rPr>
          <w:rFonts w:ascii="Arial" w:eastAsia="Calibri" w:hAnsi="Arial" w:cs="Arial"/>
          <w:bCs/>
          <w:i/>
        </w:rPr>
        <w:t xml:space="preserve"> Esta Tercera Sala Unitaria de Primera Instancia del Tribunal de lo Contencioso Administrativo y de Cuentas del Poder Judicial del Estado, fue competente para conocer y resolver del presente asunto</w:t>
      </w:r>
      <w:r>
        <w:rPr>
          <w:rFonts w:ascii="Arial" w:eastAsia="Calibri" w:hAnsi="Arial" w:cs="Arial"/>
          <w:bCs/>
          <w:i/>
        </w:rPr>
        <w:t>.</w:t>
      </w:r>
      <w:r w:rsidR="00DB3851">
        <w:rPr>
          <w:rFonts w:ascii="Arial" w:eastAsia="Calibri" w:hAnsi="Arial" w:cs="Arial"/>
          <w:bCs/>
          <w:i/>
        </w:rPr>
        <w:t xml:space="preserve"> - - - - - - - -</w:t>
      </w:r>
      <w:r>
        <w:rPr>
          <w:rFonts w:ascii="Arial" w:eastAsia="Calibri" w:hAnsi="Arial" w:cs="Arial"/>
          <w:bCs/>
          <w:i/>
        </w:rPr>
        <w:t xml:space="preserve"> - - - - - - - - - - - - - - - - - </w:t>
      </w:r>
    </w:p>
    <w:p w:rsidR="00AD11AE" w:rsidRPr="00E16654" w:rsidRDefault="00AD11AE" w:rsidP="00AD11AE">
      <w:pPr>
        <w:spacing w:after="0" w:line="360" w:lineRule="auto"/>
        <w:ind w:left="1416" w:right="616"/>
        <w:jc w:val="both"/>
        <w:rPr>
          <w:rFonts w:ascii="Arial" w:eastAsia="Calibri" w:hAnsi="Arial" w:cs="Arial"/>
          <w:bCs/>
          <w:i/>
        </w:rPr>
      </w:pPr>
      <w:r w:rsidRPr="00E16654">
        <w:rPr>
          <w:rFonts w:ascii="Arial" w:eastAsia="Calibri" w:hAnsi="Arial" w:cs="Arial"/>
          <w:b/>
          <w:bCs/>
          <w:i/>
        </w:rPr>
        <w:t>SEGUNDO.</w:t>
      </w:r>
      <w:r w:rsidRPr="00E16654">
        <w:rPr>
          <w:rFonts w:ascii="Arial" w:eastAsia="Calibri" w:hAnsi="Arial" w:cs="Arial"/>
          <w:bCs/>
          <w:i/>
        </w:rPr>
        <w:t xml:space="preserve"> La personalidad de las partes quedó acreditada en autos.</w:t>
      </w:r>
      <w:r>
        <w:rPr>
          <w:rFonts w:ascii="Arial" w:eastAsia="Calibri" w:hAnsi="Arial" w:cs="Arial"/>
          <w:bCs/>
          <w:i/>
        </w:rPr>
        <w:t xml:space="preserve">- - - - - - - - - - - - - - - - - - - - - - - - - - - - - - - - - - - - - - - - - - </w:t>
      </w:r>
    </w:p>
    <w:p w:rsidR="00AD11AE" w:rsidRPr="00E16654" w:rsidRDefault="00AD11AE" w:rsidP="00AD11AE">
      <w:pPr>
        <w:spacing w:after="0" w:line="360" w:lineRule="auto"/>
        <w:ind w:left="1416" w:right="616"/>
        <w:jc w:val="both"/>
        <w:rPr>
          <w:rFonts w:ascii="Arial" w:eastAsia="Calibri" w:hAnsi="Arial" w:cs="Arial"/>
          <w:bCs/>
          <w:i/>
        </w:rPr>
      </w:pPr>
      <w:r w:rsidRPr="00E16654">
        <w:rPr>
          <w:rFonts w:ascii="Arial" w:eastAsia="Calibri" w:hAnsi="Arial" w:cs="Arial"/>
          <w:b/>
          <w:bCs/>
          <w:i/>
        </w:rPr>
        <w:t>TERCERO.</w:t>
      </w:r>
      <w:r w:rsidR="00DB3851">
        <w:rPr>
          <w:rFonts w:ascii="Arial" w:eastAsia="Calibri" w:hAnsi="Arial" w:cs="Arial"/>
          <w:bCs/>
          <w:i/>
        </w:rPr>
        <w:t xml:space="preserve"> Se declara </w:t>
      </w:r>
      <w:r w:rsidR="00DB3851">
        <w:rPr>
          <w:rFonts w:ascii="Arial" w:eastAsia="Calibri" w:hAnsi="Arial" w:cs="Arial"/>
          <w:b/>
          <w:bCs/>
          <w:i/>
        </w:rPr>
        <w:t xml:space="preserve">LA VALIDEZ </w:t>
      </w:r>
      <w:r w:rsidR="00DB3851">
        <w:rPr>
          <w:rFonts w:ascii="Arial" w:eastAsia="Calibri" w:hAnsi="Arial" w:cs="Arial"/>
          <w:bCs/>
          <w:i/>
        </w:rPr>
        <w:t xml:space="preserve">de los fundamentos y razones jurídicas </w:t>
      </w:r>
      <w:r w:rsidR="00803D84">
        <w:rPr>
          <w:rFonts w:ascii="Arial" w:eastAsia="Calibri" w:hAnsi="Arial" w:cs="Arial"/>
          <w:bCs/>
          <w:i/>
        </w:rPr>
        <w:t xml:space="preserve">que la autoridad expone en la contestación de la demanda como se lo ordena el artículo 156 primer párrafo de la Ley de Justicia Administrativa para el Estado, y </w:t>
      </w:r>
      <w:r w:rsidR="00803D84">
        <w:rPr>
          <w:rFonts w:ascii="Arial" w:eastAsia="Calibri" w:hAnsi="Arial" w:cs="Arial"/>
          <w:b/>
          <w:bCs/>
          <w:i/>
        </w:rPr>
        <w:t xml:space="preserve">SE ORDENA EL PAGO  </w:t>
      </w:r>
      <w:r w:rsidR="00803D84">
        <w:rPr>
          <w:rFonts w:ascii="Arial" w:eastAsia="Calibri" w:hAnsi="Arial" w:cs="Arial"/>
          <w:bCs/>
          <w:i/>
        </w:rPr>
        <w:t xml:space="preserve"> al ciudadano </w:t>
      </w:r>
      <w:r w:rsidR="00505AE5">
        <w:rPr>
          <w:rFonts w:ascii="Arial" w:eastAsia="Calibri" w:hAnsi="Arial" w:cs="Arial"/>
          <w:bCs/>
          <w:i/>
        </w:rPr>
        <w:t>**********</w:t>
      </w:r>
      <w:r w:rsidR="007A380C">
        <w:rPr>
          <w:rFonts w:ascii="Arial" w:eastAsia="Calibri" w:hAnsi="Arial" w:cs="Arial"/>
          <w:bCs/>
          <w:i/>
        </w:rPr>
        <w:t xml:space="preserve">, </w:t>
      </w:r>
      <w:r w:rsidR="007A380C">
        <w:rPr>
          <w:rFonts w:ascii="Arial" w:eastAsia="Calibri" w:hAnsi="Arial" w:cs="Arial"/>
          <w:b/>
          <w:bCs/>
          <w:i/>
        </w:rPr>
        <w:t>DE</w:t>
      </w:r>
      <w:r w:rsidR="00803D84">
        <w:rPr>
          <w:rFonts w:ascii="Arial" w:eastAsia="Calibri" w:hAnsi="Arial" w:cs="Arial"/>
          <w:b/>
          <w:bCs/>
          <w:i/>
        </w:rPr>
        <w:t xml:space="preserve"> LA </w:t>
      </w:r>
      <w:r w:rsidR="007A380C">
        <w:rPr>
          <w:rFonts w:ascii="Arial" w:eastAsia="Calibri" w:hAnsi="Arial" w:cs="Arial"/>
          <w:b/>
          <w:bCs/>
          <w:i/>
        </w:rPr>
        <w:t xml:space="preserve">DEMASIA </w:t>
      </w:r>
      <w:r w:rsidR="007A380C">
        <w:rPr>
          <w:rFonts w:ascii="Arial" w:eastAsia="Calibri" w:hAnsi="Arial" w:cs="Arial"/>
          <w:bCs/>
          <w:i/>
        </w:rPr>
        <w:t>que</w:t>
      </w:r>
      <w:r w:rsidR="00803D84">
        <w:rPr>
          <w:rFonts w:ascii="Arial" w:eastAsia="Calibri" w:hAnsi="Arial" w:cs="Arial"/>
          <w:bCs/>
          <w:i/>
        </w:rPr>
        <w:t xml:space="preserve"> la institución financiera, hubiese obtenido con motivo de la venta </w:t>
      </w:r>
      <w:r w:rsidR="00803D84">
        <w:rPr>
          <w:rFonts w:ascii="Arial" w:eastAsia="Calibri" w:hAnsi="Arial" w:cs="Arial"/>
          <w:bCs/>
          <w:i/>
        </w:rPr>
        <w:lastRenderedPageBreak/>
        <w:t xml:space="preserve">de la mencionada garantía prendaria.  - - - - - </w:t>
      </w:r>
      <w:r w:rsidR="00FB1081">
        <w:rPr>
          <w:rFonts w:ascii="Arial" w:eastAsia="Calibri" w:hAnsi="Arial" w:cs="Arial"/>
          <w:bCs/>
          <w:i/>
        </w:rPr>
        <w:t>- - - - - - - - - - - - - - - - - - - - - - - - - - - - - - - - -</w:t>
      </w:r>
    </w:p>
    <w:p w:rsidR="00AD11AE" w:rsidRPr="00803D84" w:rsidRDefault="00AD11AE" w:rsidP="00803D84">
      <w:pPr>
        <w:spacing w:after="0" w:line="360" w:lineRule="auto"/>
        <w:ind w:left="1416" w:right="616"/>
        <w:jc w:val="both"/>
        <w:rPr>
          <w:rFonts w:ascii="Arial" w:eastAsia="Calibri" w:hAnsi="Arial" w:cs="Arial"/>
          <w:bCs/>
          <w:i/>
        </w:rPr>
      </w:pPr>
      <w:r w:rsidRPr="00E16654">
        <w:rPr>
          <w:rFonts w:ascii="Arial" w:eastAsia="Calibri" w:hAnsi="Arial" w:cs="Arial"/>
          <w:b/>
          <w:bCs/>
          <w:i/>
        </w:rPr>
        <w:t>CUARTO.</w:t>
      </w:r>
      <w:r w:rsidRPr="00E16654">
        <w:rPr>
          <w:rFonts w:ascii="Arial" w:eastAsia="Calibri" w:hAnsi="Arial" w:cs="Arial"/>
          <w:bCs/>
          <w:i/>
        </w:rPr>
        <w:t xml:space="preserve"> </w:t>
      </w:r>
      <w:r w:rsidR="00803D84">
        <w:rPr>
          <w:rFonts w:ascii="Arial" w:eastAsia="Calibri" w:hAnsi="Arial" w:cs="Arial"/>
          <w:bCs/>
          <w:i/>
        </w:rPr>
        <w:t xml:space="preserve"> </w:t>
      </w:r>
      <w:r w:rsidRPr="00E16654">
        <w:rPr>
          <w:rFonts w:ascii="Arial" w:eastAsia="Calibri" w:hAnsi="Arial" w:cs="Arial"/>
          <w:bCs/>
          <w:i/>
        </w:rPr>
        <w:t>Con</w:t>
      </w:r>
      <w:r w:rsidR="007A380C">
        <w:rPr>
          <w:rFonts w:ascii="Arial" w:eastAsia="Calibri" w:hAnsi="Arial" w:cs="Arial"/>
          <w:bCs/>
          <w:i/>
        </w:rPr>
        <w:t xml:space="preserve">forme a lo dispuesto en </w:t>
      </w:r>
      <w:r w:rsidR="007A380C" w:rsidRPr="00E16654">
        <w:rPr>
          <w:rFonts w:ascii="Arial" w:eastAsia="Calibri" w:hAnsi="Arial" w:cs="Arial"/>
          <w:bCs/>
          <w:i/>
        </w:rPr>
        <w:t>los</w:t>
      </w:r>
      <w:r w:rsidRPr="00E16654">
        <w:rPr>
          <w:rFonts w:ascii="Arial" w:eastAsia="Calibri" w:hAnsi="Arial" w:cs="Arial"/>
          <w:bCs/>
          <w:i/>
        </w:rPr>
        <w:t xml:space="preserve"> artículos 142 fracción I y 143 fracciones I y II de la Ley de Justicia Adminis</w:t>
      </w:r>
      <w:r w:rsidR="007A380C">
        <w:rPr>
          <w:rFonts w:ascii="Arial" w:eastAsia="Calibri" w:hAnsi="Arial" w:cs="Arial"/>
          <w:bCs/>
          <w:i/>
        </w:rPr>
        <w:t>trativa para el Estado</w:t>
      </w:r>
      <w:r w:rsidRPr="00E16654">
        <w:rPr>
          <w:rFonts w:ascii="Arial" w:eastAsia="Calibri" w:hAnsi="Arial" w:cs="Arial"/>
          <w:bCs/>
          <w:i/>
        </w:rPr>
        <w:t xml:space="preserve">, </w:t>
      </w:r>
      <w:r w:rsidRPr="00E16654">
        <w:rPr>
          <w:rFonts w:ascii="Arial" w:eastAsia="Calibri" w:hAnsi="Arial" w:cs="Arial"/>
          <w:b/>
          <w:bCs/>
          <w:i/>
        </w:rPr>
        <w:t>NOTIFÍQUESE PERSONALMENTE A</w:t>
      </w:r>
      <w:r w:rsidR="007A380C">
        <w:rPr>
          <w:rFonts w:ascii="Arial" w:eastAsia="Calibri" w:hAnsi="Arial" w:cs="Arial"/>
          <w:b/>
          <w:bCs/>
          <w:i/>
        </w:rPr>
        <w:t xml:space="preserve"> </w:t>
      </w:r>
      <w:r w:rsidRPr="00E16654">
        <w:rPr>
          <w:rFonts w:ascii="Arial" w:eastAsia="Calibri" w:hAnsi="Arial" w:cs="Arial"/>
          <w:b/>
          <w:bCs/>
          <w:i/>
        </w:rPr>
        <w:t>L</w:t>
      </w:r>
      <w:r w:rsidR="007A380C">
        <w:rPr>
          <w:rFonts w:ascii="Arial" w:eastAsia="Calibri" w:hAnsi="Arial" w:cs="Arial"/>
          <w:b/>
          <w:bCs/>
          <w:i/>
        </w:rPr>
        <w:t>A PARTE</w:t>
      </w:r>
      <w:r w:rsidRPr="00E16654">
        <w:rPr>
          <w:rFonts w:ascii="Arial" w:eastAsia="Calibri" w:hAnsi="Arial" w:cs="Arial"/>
          <w:b/>
          <w:bCs/>
          <w:i/>
        </w:rPr>
        <w:t xml:space="preserve"> ACTOR</w:t>
      </w:r>
      <w:r w:rsidR="007A380C">
        <w:rPr>
          <w:rFonts w:ascii="Arial" w:eastAsia="Calibri" w:hAnsi="Arial" w:cs="Arial"/>
          <w:b/>
          <w:bCs/>
          <w:i/>
        </w:rPr>
        <w:t xml:space="preserve">A, </w:t>
      </w:r>
      <w:r w:rsidR="007A380C" w:rsidRPr="00E16654">
        <w:rPr>
          <w:rFonts w:ascii="Arial" w:eastAsia="Calibri" w:hAnsi="Arial" w:cs="Arial"/>
          <w:b/>
          <w:bCs/>
          <w:i/>
        </w:rPr>
        <w:t>Y</w:t>
      </w:r>
      <w:r w:rsidRPr="00E16654">
        <w:rPr>
          <w:rFonts w:ascii="Arial" w:eastAsia="Calibri" w:hAnsi="Arial" w:cs="Arial"/>
          <w:b/>
          <w:bCs/>
          <w:i/>
        </w:rPr>
        <w:t xml:space="preserve"> POR OFICI</w:t>
      </w:r>
      <w:r w:rsidR="007A380C">
        <w:rPr>
          <w:rFonts w:ascii="Arial" w:eastAsia="Calibri" w:hAnsi="Arial" w:cs="Arial"/>
          <w:b/>
          <w:bCs/>
          <w:i/>
        </w:rPr>
        <w:t>O A LA AUTORIDAD DEMANDADA. CÚMPLASE.</w:t>
      </w:r>
      <w:r>
        <w:rPr>
          <w:rFonts w:ascii="Arial" w:eastAsia="Calibri" w:hAnsi="Arial" w:cs="Arial"/>
          <w:b/>
          <w:bCs/>
          <w:i/>
        </w:rPr>
        <w:t xml:space="preserve">” </w:t>
      </w:r>
      <w:r w:rsidRPr="007A380C">
        <w:rPr>
          <w:rFonts w:ascii="Arial" w:eastAsia="Calibri" w:hAnsi="Arial" w:cs="Arial"/>
          <w:bCs/>
          <w:i/>
        </w:rPr>
        <w:t xml:space="preserve">- - - - - - - - - - - </w:t>
      </w:r>
    </w:p>
    <w:p w:rsidR="00AD11AE" w:rsidRPr="00372D3D" w:rsidRDefault="00AD11AE" w:rsidP="00AD11AE">
      <w:pPr>
        <w:widowControl w:val="0"/>
        <w:tabs>
          <w:tab w:val="left" w:pos="2835"/>
          <w:tab w:val="left" w:pos="7938"/>
        </w:tabs>
        <w:spacing w:before="240" w:after="0" w:line="360" w:lineRule="auto"/>
        <w:ind w:right="17"/>
        <w:jc w:val="center"/>
        <w:rPr>
          <w:rFonts w:ascii="Arial" w:eastAsia="Times New Roman" w:hAnsi="Arial" w:cs="Arial"/>
          <w:bCs/>
          <w:iCs/>
          <w:lang w:eastAsia="es-ES"/>
        </w:rPr>
      </w:pPr>
      <w:r w:rsidRPr="00372D3D">
        <w:rPr>
          <w:rFonts w:ascii="Arial" w:eastAsia="Times New Roman" w:hAnsi="Arial" w:cs="Arial"/>
          <w:b/>
          <w:bCs/>
          <w:sz w:val="26"/>
          <w:szCs w:val="26"/>
          <w:lang w:eastAsia="es-ES"/>
        </w:rPr>
        <w:t>C O N S I D E R A N D O</w:t>
      </w:r>
    </w:p>
    <w:p w:rsidR="00AD11AE" w:rsidRPr="00090211" w:rsidRDefault="00FB1081" w:rsidP="00AD11AE">
      <w:pPr>
        <w:widowControl w:val="0"/>
        <w:tabs>
          <w:tab w:val="left" w:pos="7938"/>
        </w:tabs>
        <w:spacing w:before="240" w:after="0" w:line="360" w:lineRule="auto"/>
        <w:ind w:right="18" w:firstLine="709"/>
        <w:jc w:val="both"/>
        <w:rPr>
          <w:rFonts w:ascii="Arial" w:hAnsi="Arial" w:cs="Arial"/>
          <w:bCs/>
          <w:iCs/>
          <w:color w:val="FF0000"/>
          <w:sz w:val="26"/>
          <w:szCs w:val="26"/>
          <w:lang w:eastAsia="es-ES"/>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vigente hasta el  veinte de octubre de dos mil diecisiete,</w:t>
      </w:r>
      <w:r w:rsidRPr="00D73982">
        <w:rPr>
          <w:rFonts w:ascii="Arial" w:hAnsi="Arial" w:cs="Arial"/>
          <w:bCs/>
          <w:iCs/>
          <w:sz w:val="26"/>
          <w:szCs w:val="26"/>
          <w:lang w:eastAsia="es-ES"/>
        </w:rPr>
        <w:t xml:space="preserve"> </w:t>
      </w:r>
      <w:r w:rsidR="004010A4" w:rsidRPr="00702EAE">
        <w:rPr>
          <w:rFonts w:ascii="Arial" w:hAnsi="Arial" w:cs="Arial"/>
          <w:bCs/>
          <w:iCs/>
          <w:sz w:val="26"/>
          <w:szCs w:val="26"/>
          <w:lang w:eastAsia="es-ES"/>
        </w:rPr>
        <w:t>dado que se trata de un Recurso de Revisión interpuesto en contra</w:t>
      </w:r>
      <w:r w:rsidR="004010A4">
        <w:rPr>
          <w:rFonts w:ascii="Arial" w:hAnsi="Arial" w:cs="Arial"/>
          <w:bCs/>
          <w:iCs/>
          <w:sz w:val="26"/>
          <w:szCs w:val="26"/>
          <w:lang w:eastAsia="es-ES"/>
        </w:rPr>
        <w:t xml:space="preserve"> </w:t>
      </w:r>
      <w:r w:rsidR="00AD11AE" w:rsidRPr="004010A4">
        <w:rPr>
          <w:rFonts w:ascii="Arial" w:hAnsi="Arial" w:cs="Arial"/>
          <w:bCs/>
          <w:iCs/>
          <w:sz w:val="26"/>
          <w:szCs w:val="26"/>
          <w:lang w:eastAsia="es-ES"/>
        </w:rPr>
        <w:t xml:space="preserve">de la sentencia de </w:t>
      </w:r>
      <w:r w:rsidR="007A380C" w:rsidRPr="004010A4">
        <w:rPr>
          <w:rFonts w:ascii="Arial" w:eastAsia="Calibri" w:hAnsi="Arial" w:cs="Arial"/>
          <w:sz w:val="26"/>
          <w:szCs w:val="26"/>
        </w:rPr>
        <w:t>veinticuatro de agosto de dos mil diecisiete</w:t>
      </w:r>
      <w:r w:rsidR="00AD11AE" w:rsidRPr="004010A4">
        <w:rPr>
          <w:rFonts w:ascii="Arial" w:hAnsi="Arial" w:cs="Arial"/>
          <w:bCs/>
          <w:iCs/>
          <w:sz w:val="26"/>
          <w:szCs w:val="26"/>
          <w:lang w:eastAsia="es-ES"/>
        </w:rPr>
        <w:t xml:space="preserve">, dictada por </w:t>
      </w:r>
      <w:r w:rsidR="007A380C" w:rsidRPr="004010A4">
        <w:rPr>
          <w:rFonts w:ascii="Arial" w:eastAsia="Calibri" w:hAnsi="Arial" w:cs="Arial"/>
          <w:sz w:val="26"/>
          <w:szCs w:val="26"/>
        </w:rPr>
        <w:t>la Tercera Sala Unitaria de Primera Instancia</w:t>
      </w:r>
      <w:r w:rsidR="00AD11AE" w:rsidRPr="004010A4">
        <w:rPr>
          <w:rFonts w:ascii="Arial" w:hAnsi="Arial" w:cs="Arial"/>
          <w:bCs/>
          <w:iCs/>
          <w:sz w:val="26"/>
          <w:szCs w:val="26"/>
          <w:lang w:eastAsia="es-ES"/>
        </w:rPr>
        <w:t xml:space="preserve">, en el Juicio </w:t>
      </w:r>
      <w:r w:rsidR="00AD11AE" w:rsidRPr="004010A4">
        <w:rPr>
          <w:rFonts w:ascii="Arial" w:hAnsi="Arial" w:cs="Arial"/>
          <w:b/>
          <w:bCs/>
          <w:iCs/>
          <w:sz w:val="26"/>
          <w:szCs w:val="26"/>
          <w:lang w:eastAsia="es-ES"/>
        </w:rPr>
        <w:t>0</w:t>
      </w:r>
      <w:r w:rsidR="007A380C" w:rsidRPr="004010A4">
        <w:rPr>
          <w:rFonts w:ascii="Arial" w:hAnsi="Arial" w:cs="Arial"/>
          <w:b/>
          <w:bCs/>
          <w:iCs/>
          <w:sz w:val="26"/>
          <w:szCs w:val="26"/>
          <w:lang w:eastAsia="es-ES"/>
        </w:rPr>
        <w:t>422/2016</w:t>
      </w:r>
      <w:r w:rsidR="00464094" w:rsidRPr="004010A4">
        <w:rPr>
          <w:rFonts w:ascii="Arial" w:hAnsi="Arial" w:cs="Arial"/>
          <w:b/>
          <w:bCs/>
          <w:iCs/>
          <w:sz w:val="26"/>
          <w:szCs w:val="26"/>
          <w:lang w:eastAsia="es-ES"/>
        </w:rPr>
        <w:t xml:space="preserve"> </w:t>
      </w:r>
      <w:r w:rsidR="00AD11AE" w:rsidRPr="004010A4">
        <w:rPr>
          <w:rFonts w:ascii="Arial" w:hAnsi="Arial" w:cs="Arial"/>
          <w:b/>
          <w:bCs/>
          <w:iCs/>
          <w:sz w:val="26"/>
          <w:szCs w:val="26"/>
          <w:lang w:eastAsia="es-ES"/>
        </w:rPr>
        <w:t>.</w:t>
      </w:r>
    </w:p>
    <w:p w:rsidR="00AD11AE" w:rsidRPr="006E349D" w:rsidRDefault="00EC4158" w:rsidP="00AD11AE">
      <w:pPr>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358EC6BB" wp14:editId="416AB918">
                <wp:simplePos x="0" y="0"/>
                <wp:positionH relativeFrom="column">
                  <wp:posOffset>5680075</wp:posOffset>
                </wp:positionH>
                <wp:positionV relativeFrom="paragraph">
                  <wp:posOffset>544195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C4158" w:rsidRDefault="00EC4158" w:rsidP="00EC415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7.25pt;margin-top:42.8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DZA6jbgAAAACwEAAA8AAABkcnMvZG93bnJldi54bWxM&#10;j8FOwzAQRO9I/IO1SFxQ61DSNAlxKoQEojdoEVzd2E0i7HWw3TT8PdsT3Ga0T7Mz1Xqyho3ah96h&#10;gNt5Akxj41SPrYD33dMsBxaiRCWNQy3gRwdY15cXlSyVO+GbHrexZRSCoZQCuhiHkvPQdNrKMHeD&#10;RrodnLcykvUtV16eKNwavkiSjFvZI33o5KAfO918bY9WQJ6+jJ9hc/f60WQHU8Sb1fj87YW4vpoe&#10;7oFFPcU/GM71qTrU1GnvjqgCM5RRpEtCSSxXwM5AkqW0bk8qLxbA64r/31D/AgAA//8DAFBLAQIt&#10;ABQABgAIAAAAIQC2gziS/gAAAOEBAAATAAAAAAAAAAAAAAAAAAAAAABbQ29udGVudF9UeXBlc10u&#10;eG1sUEsBAi0AFAAGAAgAAAAhADj9If/WAAAAlAEAAAsAAAAAAAAAAAAAAAAALwEAAF9yZWxzLy5y&#10;ZWxzUEsBAi0AFAAGAAgAAAAhAExZmFolAgAASwQAAA4AAAAAAAAAAAAAAAAALgIAAGRycy9lMm9E&#10;b2MueG1sUEsBAi0AFAAGAAgAAAAhADZA6jbgAAAACwEAAA8AAAAAAAAAAAAAAAAAfwQAAGRycy9k&#10;b3ducmV2LnhtbFBLBQYAAAAABAAEAPMAAACMBQAAAAA=&#10;">
                <v:textbox>
                  <w:txbxContent>
                    <w:p w:rsidR="00EC4158" w:rsidRDefault="00EC4158" w:rsidP="00EC4158">
                      <w:pPr>
                        <w:rPr>
                          <w:sz w:val="16"/>
                          <w:szCs w:val="16"/>
                        </w:rPr>
                      </w:pPr>
                      <w:r>
                        <w:rPr>
                          <w:sz w:val="16"/>
                          <w:szCs w:val="16"/>
                        </w:rPr>
                        <w:t>Datos personales protegidos por el Art. 116 de la LGTAIP y el Art. 56 de la LTAIPEO</w:t>
                      </w:r>
                    </w:p>
                  </w:txbxContent>
                </v:textbox>
              </v:shape>
            </w:pict>
          </mc:Fallback>
        </mc:AlternateContent>
      </w:r>
      <w:r w:rsidR="00AD11AE" w:rsidRPr="006E349D">
        <w:rPr>
          <w:rFonts w:ascii="Arial" w:hAnsi="Arial" w:cs="Arial"/>
          <w:b/>
          <w:bCs/>
          <w:sz w:val="26"/>
          <w:szCs w:val="26"/>
        </w:rPr>
        <w:t>SEGUNDO.</w:t>
      </w:r>
      <w:r w:rsidR="00AD11AE" w:rsidRPr="006E349D">
        <w:rPr>
          <w:rFonts w:ascii="Arial" w:hAnsi="Arial" w:cs="Arial"/>
          <w:bCs/>
          <w:sz w:val="26"/>
          <w:szCs w:val="26"/>
        </w:rPr>
        <w:t xml:space="preserve"> Los agravios hechos valer se encuentran expuestos en el escrito respectivo de</w:t>
      </w:r>
      <w:r w:rsidR="00AD11AE">
        <w:rPr>
          <w:rFonts w:ascii="Arial" w:hAnsi="Arial" w:cs="Arial"/>
          <w:bCs/>
          <w:sz w:val="26"/>
          <w:szCs w:val="26"/>
        </w:rPr>
        <w:t xml:space="preserve">l </w:t>
      </w:r>
      <w:r w:rsidR="00AD11AE" w:rsidRPr="006E349D">
        <w:rPr>
          <w:rFonts w:ascii="Arial" w:hAnsi="Arial" w:cs="Arial"/>
          <w:bCs/>
          <w:sz w:val="26"/>
          <w:szCs w:val="26"/>
        </w:rPr>
        <w:t xml:space="preserve">recurrente, por lo que no existe necesidad de transcribirlos, </w:t>
      </w:r>
      <w:r w:rsidR="00AD11AE">
        <w:rPr>
          <w:rFonts w:ascii="Arial" w:hAnsi="Arial" w:cs="Arial"/>
          <w:bCs/>
          <w:sz w:val="26"/>
          <w:szCs w:val="26"/>
        </w:rPr>
        <w:t xml:space="preserve">al no </w:t>
      </w:r>
      <w:r w:rsidR="00AD11AE" w:rsidRPr="006E349D">
        <w:rPr>
          <w:rFonts w:ascii="Arial" w:hAnsi="Arial" w:cs="Arial"/>
          <w:bCs/>
          <w:sz w:val="26"/>
          <w:szCs w:val="26"/>
        </w:rPr>
        <w:t>transgre</w:t>
      </w:r>
      <w:r w:rsidR="00AD11AE">
        <w:rPr>
          <w:rFonts w:ascii="Arial" w:hAnsi="Arial" w:cs="Arial"/>
          <w:bCs/>
          <w:sz w:val="26"/>
          <w:szCs w:val="26"/>
        </w:rPr>
        <w:t xml:space="preserve">dírsele </w:t>
      </w:r>
      <w:r w:rsidR="00AD11AE" w:rsidRPr="006E349D">
        <w:rPr>
          <w:rFonts w:ascii="Arial" w:hAnsi="Arial" w:cs="Arial"/>
          <w:bCs/>
          <w:sz w:val="26"/>
          <w:szCs w:val="26"/>
        </w:rPr>
        <w:t>derecho alguno, como tampoco se vulnera disposición expresa que imponga tal obligación</w:t>
      </w:r>
      <w:r w:rsidR="00AD11AE" w:rsidRPr="006E349D">
        <w:rPr>
          <w:rFonts w:ascii="Arial" w:hAnsi="Arial" w:cs="Arial"/>
          <w:sz w:val="26"/>
          <w:szCs w:val="26"/>
        </w:rPr>
        <w:t>.</w:t>
      </w:r>
    </w:p>
    <w:p w:rsidR="00AD11AE" w:rsidRDefault="00AD11AE" w:rsidP="00AD11AE">
      <w:pPr>
        <w:pStyle w:val="Sinespaciado"/>
        <w:spacing w:before="240" w:line="360" w:lineRule="auto"/>
        <w:ind w:firstLine="708"/>
        <w:jc w:val="both"/>
        <w:rPr>
          <w:rFonts w:ascii="Arial" w:hAnsi="Arial" w:cs="Arial"/>
          <w:bCs/>
          <w:color w:val="000000"/>
          <w:sz w:val="26"/>
          <w:szCs w:val="26"/>
          <w:lang w:val="es-MX"/>
        </w:rPr>
      </w:pPr>
      <w:r>
        <w:rPr>
          <w:rFonts w:ascii="Arial" w:hAnsi="Arial" w:cs="Arial"/>
          <w:b/>
          <w:bCs/>
          <w:color w:val="000000"/>
          <w:sz w:val="26"/>
          <w:szCs w:val="26"/>
          <w:lang w:val="es-MX"/>
        </w:rPr>
        <w:t xml:space="preserve">TERCERO. </w:t>
      </w:r>
      <w:r>
        <w:rPr>
          <w:rFonts w:ascii="Arial" w:hAnsi="Arial" w:cs="Arial"/>
          <w:bCs/>
          <w:color w:val="000000"/>
          <w:sz w:val="26"/>
          <w:szCs w:val="26"/>
          <w:lang w:val="es-MX"/>
        </w:rPr>
        <w:t>Previo al estudio de los agravios que conforman la Litis del presente recurso, es imperativo abordar el análisis a las constancias que conforman el expediente de Primera Instancia, para en su caso advertir si se configura alguna violación procesal, aun cuando no se plantee en los motivos de inconformidad; conforme a lo dispuesto por el artículo 206, fracción VII, de la Ley de Justicia Administrativa para el Estado.</w:t>
      </w:r>
    </w:p>
    <w:p w:rsidR="00464094" w:rsidRDefault="00AD11AE" w:rsidP="00464094">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En el mismo sentido se basa el criterio contenido en la jurisprudencia</w:t>
      </w:r>
      <w:r w:rsidR="00464094">
        <w:rPr>
          <w:rFonts w:ascii="Arial" w:hAnsi="Arial" w:cs="Arial"/>
          <w:bCs/>
          <w:color w:val="000000"/>
          <w:sz w:val="26"/>
          <w:szCs w:val="26"/>
          <w:lang w:val="es-MX"/>
        </w:rPr>
        <w:t xml:space="preserve"> del Primer Tribunal Colegiado en materias Penal y de Trabajo del Décimo Noveno Circuito, la que por identidad jurídica tiene aplicación al presente asunto, misma que se encuentra publicada en la página 3103 del </w:t>
      </w:r>
      <w:r w:rsidR="00464094" w:rsidRPr="00464094">
        <w:rPr>
          <w:rFonts w:ascii="Arial" w:hAnsi="Arial" w:cs="Arial"/>
          <w:bCs/>
          <w:color w:val="000000"/>
          <w:sz w:val="26"/>
          <w:szCs w:val="26"/>
          <w:lang w:val="es-MX"/>
        </w:rPr>
        <w:t>Semanario Judicial de la Federación y su Gaceta</w:t>
      </w:r>
      <w:r w:rsidR="00464094">
        <w:rPr>
          <w:rFonts w:ascii="Arial" w:hAnsi="Arial" w:cs="Arial"/>
          <w:bCs/>
          <w:color w:val="000000"/>
          <w:sz w:val="26"/>
          <w:szCs w:val="26"/>
          <w:lang w:val="es-MX"/>
        </w:rPr>
        <w:t>,</w:t>
      </w:r>
      <w:r w:rsidR="00464094" w:rsidRPr="00464094">
        <w:rPr>
          <w:rFonts w:ascii="Arial" w:hAnsi="Arial" w:cs="Arial"/>
          <w:bCs/>
          <w:color w:val="000000"/>
          <w:sz w:val="26"/>
          <w:szCs w:val="26"/>
          <w:lang w:val="es-MX"/>
        </w:rPr>
        <w:t xml:space="preserve"> </w:t>
      </w:r>
      <w:r w:rsidR="00464094">
        <w:rPr>
          <w:rFonts w:ascii="Arial" w:hAnsi="Arial" w:cs="Arial"/>
          <w:bCs/>
          <w:color w:val="000000"/>
          <w:sz w:val="26"/>
          <w:szCs w:val="26"/>
          <w:lang w:val="es-MX"/>
        </w:rPr>
        <w:lastRenderedPageBreak/>
        <w:t xml:space="preserve">Tomo XXXIII, Enero de 2011, Materia Común, Novena Época, con el rubro y texto siguientes: </w:t>
      </w:r>
    </w:p>
    <w:p w:rsidR="00464094" w:rsidRPr="00464094" w:rsidRDefault="00464094" w:rsidP="00464094">
      <w:pPr>
        <w:pStyle w:val="Sinespaciado"/>
        <w:spacing w:before="240" w:line="360" w:lineRule="auto"/>
        <w:ind w:left="708" w:right="616"/>
        <w:jc w:val="both"/>
        <w:rPr>
          <w:rFonts w:ascii="Arial" w:hAnsi="Arial" w:cs="Arial"/>
          <w:bCs/>
          <w:i/>
          <w:color w:val="000000"/>
          <w:sz w:val="24"/>
          <w:szCs w:val="24"/>
          <w:lang w:val="es-MX"/>
        </w:rPr>
      </w:pPr>
      <w:r w:rsidRPr="00464094">
        <w:rPr>
          <w:rFonts w:ascii="Arial" w:hAnsi="Arial" w:cs="Arial"/>
          <w:bCs/>
          <w:i/>
          <w:color w:val="000000"/>
          <w:sz w:val="24"/>
          <w:szCs w:val="24"/>
          <w:lang w:val="es-MX"/>
        </w:rPr>
        <w:t>“</w:t>
      </w:r>
      <w:r w:rsidRPr="00464094">
        <w:rPr>
          <w:rFonts w:ascii="Arial" w:hAnsi="Arial" w:cs="Arial"/>
          <w:b/>
          <w:bCs/>
          <w:i/>
          <w:color w:val="000000"/>
          <w:sz w:val="24"/>
          <w:szCs w:val="24"/>
          <w:lang w:val="es-MX"/>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464094">
        <w:rPr>
          <w:rFonts w:ascii="Arial" w:hAnsi="Arial" w:cs="Arial"/>
          <w:bCs/>
          <w:i/>
          <w:color w:val="000000"/>
          <w:sz w:val="24"/>
          <w:szCs w:val="24"/>
          <w:lang w:val="es-MX"/>
        </w:rPr>
        <w:t>. 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r>
        <w:rPr>
          <w:rFonts w:ascii="Arial" w:hAnsi="Arial" w:cs="Arial"/>
          <w:bCs/>
          <w:i/>
          <w:color w:val="000000"/>
          <w:sz w:val="24"/>
          <w:szCs w:val="24"/>
          <w:lang w:val="es-MX"/>
        </w:rPr>
        <w:t>”</w:t>
      </w:r>
      <w:r w:rsidRPr="00464094">
        <w:rPr>
          <w:rFonts w:ascii="Arial" w:hAnsi="Arial" w:cs="Arial"/>
          <w:bCs/>
          <w:i/>
          <w:color w:val="000000"/>
          <w:sz w:val="24"/>
          <w:szCs w:val="24"/>
          <w:lang w:val="es-MX"/>
        </w:rPr>
        <w:t>.</w:t>
      </w:r>
    </w:p>
    <w:p w:rsidR="00AD11AE" w:rsidRPr="00882258" w:rsidRDefault="00AD11AE" w:rsidP="00756F4B">
      <w:pPr>
        <w:pStyle w:val="Sinespaciado"/>
        <w:spacing w:before="240" w:line="360" w:lineRule="auto"/>
        <w:ind w:firstLine="708"/>
        <w:jc w:val="both"/>
        <w:rPr>
          <w:rFonts w:ascii="Arial" w:hAnsi="Arial" w:cs="Arial"/>
          <w:bCs/>
          <w:i/>
          <w:color w:val="000000"/>
          <w:sz w:val="26"/>
          <w:szCs w:val="26"/>
          <w:lang w:val="es-MX"/>
        </w:rPr>
      </w:pPr>
      <w:r>
        <w:rPr>
          <w:rFonts w:ascii="Arial" w:hAnsi="Arial" w:cs="Arial"/>
          <w:bCs/>
          <w:color w:val="000000"/>
          <w:sz w:val="26"/>
          <w:szCs w:val="26"/>
          <w:lang w:val="es-MX"/>
        </w:rPr>
        <w:lastRenderedPageBreak/>
        <w:t xml:space="preserve">Del análisis, a las constancias que conforman el sumario del juicio natural, las cuales hacen prueba plena, en términos del artículo 173, fracción I, de la Ley de Justicia Administrativa para el Estado, </w:t>
      </w:r>
      <w:r w:rsidR="00FB1081">
        <w:rPr>
          <w:rFonts w:ascii="Arial" w:hAnsi="Arial" w:cs="Arial"/>
          <w:bCs/>
          <w:color w:val="000000"/>
          <w:sz w:val="26"/>
          <w:szCs w:val="26"/>
          <w:lang w:val="es-MX"/>
        </w:rPr>
        <w:t xml:space="preserve">vigente hasta el veinte de octubre de dos mil diecisiete, </w:t>
      </w:r>
      <w:r>
        <w:rPr>
          <w:rFonts w:ascii="Arial" w:hAnsi="Arial" w:cs="Arial"/>
          <w:bCs/>
          <w:color w:val="000000"/>
          <w:sz w:val="26"/>
          <w:szCs w:val="26"/>
          <w:lang w:val="es-MX"/>
        </w:rPr>
        <w:t>por ser actuaciones judiciales, se advierte que la Primera Instancia incurrió en violaciones a las normas fundamentales que regulan el proc</w:t>
      </w:r>
      <w:r w:rsidR="00756F4B">
        <w:rPr>
          <w:rFonts w:ascii="Arial" w:hAnsi="Arial" w:cs="Arial"/>
          <w:bCs/>
          <w:color w:val="000000"/>
          <w:sz w:val="26"/>
          <w:szCs w:val="26"/>
          <w:lang w:val="es-MX"/>
        </w:rPr>
        <w:t>edimiento, violación que influyó</w:t>
      </w:r>
      <w:r>
        <w:rPr>
          <w:rFonts w:ascii="Arial" w:hAnsi="Arial" w:cs="Arial"/>
          <w:bCs/>
          <w:color w:val="000000"/>
          <w:sz w:val="26"/>
          <w:szCs w:val="26"/>
          <w:lang w:val="es-MX"/>
        </w:rPr>
        <w:t xml:space="preserve"> en el sentido del fallo, al dejar sin defensa al a</w:t>
      </w:r>
      <w:r w:rsidR="00756F4B">
        <w:rPr>
          <w:rFonts w:ascii="Arial" w:hAnsi="Arial" w:cs="Arial"/>
          <w:bCs/>
          <w:color w:val="000000"/>
          <w:sz w:val="26"/>
          <w:szCs w:val="26"/>
          <w:lang w:val="es-MX"/>
        </w:rPr>
        <w:t>hora recurrente</w:t>
      </w:r>
      <w:r>
        <w:rPr>
          <w:rFonts w:ascii="Arial" w:hAnsi="Arial" w:cs="Arial"/>
          <w:bCs/>
          <w:color w:val="000000"/>
          <w:sz w:val="26"/>
          <w:szCs w:val="26"/>
          <w:lang w:val="es-MX"/>
        </w:rPr>
        <w:t xml:space="preserve">. </w:t>
      </w:r>
    </w:p>
    <w:p w:rsidR="00DB7EAD" w:rsidRDefault="00EC4158" w:rsidP="00AD11AE">
      <w:pPr>
        <w:pStyle w:val="Sinespaciado"/>
        <w:spacing w:before="240" w:line="360" w:lineRule="auto"/>
        <w:jc w:val="both"/>
        <w:rPr>
          <w:rFonts w:ascii="Arial" w:hAnsi="Arial" w:cs="Arial"/>
          <w:b/>
          <w:sz w:val="26"/>
          <w:szCs w:val="26"/>
          <w:u w:val="single"/>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1E9F9B15" wp14:editId="6C0D2721">
                <wp:simplePos x="0" y="0"/>
                <wp:positionH relativeFrom="column">
                  <wp:posOffset>5680075</wp:posOffset>
                </wp:positionH>
                <wp:positionV relativeFrom="paragraph">
                  <wp:posOffset>4467225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C4158" w:rsidRDefault="00EC4158" w:rsidP="00EC415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7.25pt;margin-top:351.7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gpci1uAAAAAMAQAADwAAAGRycy9kb3ducmV2Lnht&#10;bEyPwU7DMBBE70j8g7VIXBC1oSFpQ5wKIYHgBm0FVzd2kwh7HWw3DX/P9gS3Hc3T7Ey1mpxlowmx&#10;9yjhZiaAGWy87rGVsN08XS+AxaRQK+vRSPgxEVb1+VmlSu2P+G7GdWoZhWAslYQupaHkPDadcSrO&#10;/GCQvL0PTiWSoeU6qCOFO8tvhci5Uz3Sh04N5rEzzdf64CQsspfxM77O3z6afG+X6aoYn7+DlJcX&#10;08M9sGSm9AfDqT5Vh5o67fwBdWSWMpbZHaESCjGn40SIPKN5O/JEIYDXFf8/ov4FAAD//wMAUEsB&#10;Ai0AFAAGAAgAAAAhALaDOJL+AAAA4QEAABMAAAAAAAAAAAAAAAAAAAAAAFtDb250ZW50X1R5cGVz&#10;XS54bWxQSwECLQAUAAYACAAAACEAOP0h/9YAAACUAQAACwAAAAAAAAAAAAAAAAAvAQAAX3JlbHMv&#10;LnJlbHNQSwECLQAUAAYACAAAACEAF+SYPCcCAABSBAAADgAAAAAAAAAAAAAAAAAuAgAAZHJzL2Uy&#10;b0RvYy54bWxQSwECLQAUAAYACAAAACEAgpci1uAAAAAMAQAADwAAAAAAAAAAAAAAAACBBAAAZHJz&#10;L2Rvd25yZXYueG1sUEsFBgAAAAAEAAQA8wAAAI4FAAAAAA==&#10;">
                <v:textbox>
                  <w:txbxContent>
                    <w:p w:rsidR="00EC4158" w:rsidRDefault="00EC4158" w:rsidP="00EC4158">
                      <w:pPr>
                        <w:rPr>
                          <w:sz w:val="16"/>
                          <w:szCs w:val="16"/>
                        </w:rPr>
                      </w:pPr>
                      <w:r>
                        <w:rPr>
                          <w:sz w:val="16"/>
                          <w:szCs w:val="16"/>
                        </w:rPr>
                        <w:t>Datos personales protegidos por el Art. 116 de la LGTAIP y el Art. 56 de la LTAIPEO</w:t>
                      </w:r>
                    </w:p>
                  </w:txbxContent>
                </v:textbox>
              </v:shape>
            </w:pict>
          </mc:Fallback>
        </mc:AlternateContent>
      </w:r>
      <w:r w:rsidR="00AD11AE">
        <w:rPr>
          <w:rFonts w:ascii="Arial" w:hAnsi="Arial" w:cs="Arial"/>
          <w:bCs/>
          <w:color w:val="000000"/>
          <w:sz w:val="26"/>
          <w:szCs w:val="26"/>
          <w:lang w:val="es-MX"/>
        </w:rPr>
        <w:tab/>
        <w:t>Es</w:t>
      </w:r>
      <w:r w:rsidR="00DB7EAD">
        <w:rPr>
          <w:rFonts w:ascii="Arial" w:hAnsi="Arial" w:cs="Arial"/>
          <w:bCs/>
          <w:color w:val="000000"/>
          <w:sz w:val="26"/>
          <w:szCs w:val="26"/>
          <w:lang w:val="es-MX"/>
        </w:rPr>
        <w:t>to es</w:t>
      </w:r>
      <w:r w:rsidR="00AD11AE">
        <w:rPr>
          <w:rFonts w:ascii="Arial" w:hAnsi="Arial" w:cs="Arial"/>
          <w:bCs/>
          <w:color w:val="000000"/>
          <w:sz w:val="26"/>
          <w:szCs w:val="26"/>
          <w:lang w:val="es-MX"/>
        </w:rPr>
        <w:t xml:space="preserve"> así, d</w:t>
      </w:r>
      <w:r w:rsidR="00FB1081">
        <w:rPr>
          <w:rFonts w:ascii="Arial" w:hAnsi="Arial" w:cs="Arial"/>
          <w:bCs/>
          <w:color w:val="000000"/>
          <w:sz w:val="26"/>
          <w:szCs w:val="26"/>
          <w:lang w:val="es-MX"/>
        </w:rPr>
        <w:t>ebido a que mediante acuerdo de</w:t>
      </w:r>
      <w:r w:rsidR="00DB7EAD">
        <w:rPr>
          <w:rFonts w:ascii="Arial" w:hAnsi="Arial" w:cs="Arial"/>
          <w:bCs/>
          <w:color w:val="000000"/>
          <w:sz w:val="26"/>
          <w:szCs w:val="26"/>
          <w:lang w:val="es-MX"/>
        </w:rPr>
        <w:t xml:space="preserve"> doce de abril de dos mil dieciséis, la primera instancia admitió a trámite la demanda de nulidad que promovió </w:t>
      </w:r>
      <w:r w:rsidR="00505AE5">
        <w:rPr>
          <w:rFonts w:ascii="Arial" w:eastAsia="Calibri" w:hAnsi="Arial" w:cs="Arial"/>
          <w:b/>
          <w:sz w:val="26"/>
          <w:szCs w:val="26"/>
        </w:rPr>
        <w:t>**********</w:t>
      </w:r>
      <w:r w:rsidR="00DB7EAD">
        <w:rPr>
          <w:rFonts w:ascii="Arial" w:hAnsi="Arial" w:cs="Arial"/>
          <w:bCs/>
          <w:color w:val="000000"/>
          <w:sz w:val="26"/>
          <w:szCs w:val="26"/>
          <w:lang w:val="es-MX"/>
        </w:rPr>
        <w:t xml:space="preserve"> e</w:t>
      </w:r>
      <w:r w:rsidR="00AD11AE">
        <w:rPr>
          <w:rFonts w:ascii="Arial" w:hAnsi="Arial" w:cs="Arial"/>
          <w:bCs/>
          <w:color w:val="000000"/>
          <w:sz w:val="26"/>
          <w:szCs w:val="26"/>
          <w:lang w:val="es-MX"/>
        </w:rPr>
        <w:t>n</w:t>
      </w:r>
      <w:r w:rsidR="00DB7EAD">
        <w:rPr>
          <w:rFonts w:ascii="Arial" w:hAnsi="Arial" w:cs="Arial"/>
          <w:bCs/>
          <w:color w:val="000000"/>
          <w:sz w:val="26"/>
          <w:szCs w:val="26"/>
          <w:lang w:val="es-MX"/>
        </w:rPr>
        <w:t xml:space="preserve"> contra de la resolución negativa ficta</w:t>
      </w:r>
      <w:r w:rsidR="00FB1081">
        <w:rPr>
          <w:rFonts w:ascii="Arial" w:hAnsi="Arial" w:cs="Arial"/>
          <w:bCs/>
          <w:color w:val="000000"/>
          <w:sz w:val="26"/>
          <w:szCs w:val="26"/>
          <w:lang w:val="es-MX"/>
        </w:rPr>
        <w:t>,</w:t>
      </w:r>
      <w:r w:rsidR="00DB7EAD">
        <w:rPr>
          <w:rFonts w:ascii="Arial" w:hAnsi="Arial" w:cs="Arial"/>
          <w:bCs/>
          <w:color w:val="000000"/>
          <w:sz w:val="26"/>
          <w:szCs w:val="26"/>
          <w:lang w:val="es-MX"/>
        </w:rPr>
        <w:t xml:space="preserve"> recaída a su escrito recibido el veintidós de diciembre de dos mil quince, y cuya negativa ficta atribuye al demandado </w:t>
      </w:r>
      <w:r w:rsidR="00DB7EAD">
        <w:rPr>
          <w:rFonts w:ascii="Arial" w:hAnsi="Arial" w:cs="Arial"/>
          <w:b/>
          <w:sz w:val="26"/>
          <w:szCs w:val="26"/>
        </w:rPr>
        <w:t xml:space="preserve">DIRECTOR GENERAL DEL MONTE DE PIEDAD DEL ESTADO, </w:t>
      </w:r>
      <w:r w:rsidR="00DB7EAD">
        <w:rPr>
          <w:rFonts w:ascii="Arial" w:hAnsi="Arial" w:cs="Arial"/>
          <w:sz w:val="26"/>
          <w:szCs w:val="26"/>
        </w:rPr>
        <w:t xml:space="preserve">por lo que ordenó notificar, correr traslado con la demanda y sus anexos y emplazar a la citada autoridad para que dentro del plazo de nueve días produjera contestación de demanda, precisándose en dicho proveído que la citada autoridad </w:t>
      </w:r>
      <w:r w:rsidR="00DB7EAD">
        <w:rPr>
          <w:rFonts w:ascii="Arial" w:hAnsi="Arial" w:cs="Arial"/>
          <w:b/>
          <w:sz w:val="26"/>
          <w:szCs w:val="26"/>
        </w:rPr>
        <w:t xml:space="preserve">“deberá acreditar su personalidad con la copia debidamente certificada del documento en donde conste su nombramiento y toma de protesta de ley” </w:t>
      </w:r>
      <w:r w:rsidR="00DB7EAD">
        <w:rPr>
          <w:rFonts w:ascii="Arial" w:hAnsi="Arial" w:cs="Arial"/>
          <w:sz w:val="26"/>
          <w:szCs w:val="26"/>
        </w:rPr>
        <w:t xml:space="preserve">apercibiéndola </w:t>
      </w:r>
      <w:r w:rsidR="00DB7EAD">
        <w:rPr>
          <w:rFonts w:ascii="Arial" w:hAnsi="Arial" w:cs="Arial"/>
          <w:b/>
          <w:sz w:val="26"/>
          <w:szCs w:val="26"/>
        </w:rPr>
        <w:t xml:space="preserve"> “que en caso de no exhibir el traslado de ley o no acreditar su personalidad, </w:t>
      </w:r>
      <w:r w:rsidR="00DB7EAD">
        <w:rPr>
          <w:rFonts w:ascii="Arial" w:hAnsi="Arial" w:cs="Arial"/>
          <w:b/>
          <w:sz w:val="26"/>
          <w:szCs w:val="26"/>
          <w:u w:val="single"/>
        </w:rPr>
        <w:t xml:space="preserve">se le tendrá por confeso de los hechos que la actora le imputa de manera precisa en su demanda, salvo prueba en contrario”. </w:t>
      </w:r>
    </w:p>
    <w:p w:rsidR="00DB7EAD" w:rsidRDefault="00DB7EAD" w:rsidP="00AD11AE">
      <w:pPr>
        <w:pStyle w:val="Sinespaciado"/>
        <w:spacing w:before="240" w:line="360" w:lineRule="auto"/>
        <w:jc w:val="both"/>
        <w:rPr>
          <w:rFonts w:ascii="Arial" w:hAnsi="Arial" w:cs="Arial"/>
          <w:b/>
          <w:sz w:val="26"/>
          <w:szCs w:val="26"/>
        </w:rPr>
      </w:pPr>
      <w:r>
        <w:rPr>
          <w:rFonts w:ascii="Arial" w:hAnsi="Arial" w:cs="Arial"/>
          <w:sz w:val="26"/>
          <w:szCs w:val="26"/>
        </w:rPr>
        <w:tab/>
        <w:t xml:space="preserve">En auto </w:t>
      </w:r>
      <w:r w:rsidR="00DB513F">
        <w:rPr>
          <w:rFonts w:ascii="Arial" w:hAnsi="Arial" w:cs="Arial"/>
          <w:sz w:val="26"/>
          <w:szCs w:val="26"/>
        </w:rPr>
        <w:t xml:space="preserve">de </w:t>
      </w:r>
      <w:r>
        <w:rPr>
          <w:rFonts w:ascii="Arial" w:hAnsi="Arial" w:cs="Arial"/>
          <w:sz w:val="26"/>
          <w:szCs w:val="26"/>
        </w:rPr>
        <w:t xml:space="preserve">dieciséis de mayo de </w:t>
      </w:r>
      <w:r w:rsidR="00FB1081">
        <w:rPr>
          <w:rFonts w:ascii="Arial" w:hAnsi="Arial" w:cs="Arial"/>
          <w:sz w:val="26"/>
          <w:szCs w:val="26"/>
        </w:rPr>
        <w:t xml:space="preserve">dos mil dieciséis, se </w:t>
      </w:r>
      <w:proofErr w:type="spellStart"/>
      <w:r w:rsidR="00FB1081">
        <w:rPr>
          <w:rFonts w:ascii="Arial" w:hAnsi="Arial" w:cs="Arial"/>
          <w:sz w:val="26"/>
          <w:szCs w:val="26"/>
        </w:rPr>
        <w:t>dió</w:t>
      </w:r>
      <w:proofErr w:type="spellEnd"/>
      <w:r>
        <w:rPr>
          <w:rFonts w:ascii="Arial" w:hAnsi="Arial" w:cs="Arial"/>
          <w:sz w:val="26"/>
          <w:szCs w:val="26"/>
        </w:rPr>
        <w:t xml:space="preserve"> cuenta con el escrito de la autoridad demandada con el que pretendió dar contestación a la demanda </w:t>
      </w:r>
      <w:r w:rsidR="00DB513F">
        <w:rPr>
          <w:rFonts w:ascii="Arial" w:hAnsi="Arial" w:cs="Arial"/>
          <w:sz w:val="26"/>
          <w:szCs w:val="26"/>
        </w:rPr>
        <w:t xml:space="preserve">como apoderado </w:t>
      </w:r>
      <w:r w:rsidR="00FB1081">
        <w:rPr>
          <w:rFonts w:ascii="Arial" w:hAnsi="Arial" w:cs="Arial"/>
          <w:sz w:val="26"/>
          <w:szCs w:val="26"/>
        </w:rPr>
        <w:t xml:space="preserve">legal de la autoridad demandada, </w:t>
      </w:r>
      <w:r w:rsidR="00DB513F" w:rsidRPr="00DB513F">
        <w:rPr>
          <w:rFonts w:ascii="Arial" w:hAnsi="Arial" w:cs="Arial"/>
          <w:sz w:val="26"/>
          <w:szCs w:val="26"/>
        </w:rPr>
        <w:t>Director General del organismo Descentralizado denominado Monte de Piedad del Estado</w:t>
      </w:r>
      <w:r w:rsidR="00DB513F">
        <w:rPr>
          <w:rFonts w:ascii="Arial" w:hAnsi="Arial" w:cs="Arial"/>
          <w:sz w:val="26"/>
          <w:szCs w:val="26"/>
        </w:rPr>
        <w:t>, determinado la primera instancia que el ap</w:t>
      </w:r>
      <w:r w:rsidR="004010A4">
        <w:rPr>
          <w:rFonts w:ascii="Arial" w:hAnsi="Arial" w:cs="Arial"/>
          <w:sz w:val="26"/>
          <w:szCs w:val="26"/>
        </w:rPr>
        <w:t>oderado no expresa si acude a</w:t>
      </w:r>
      <w:r w:rsidR="00DB513F">
        <w:rPr>
          <w:rFonts w:ascii="Arial" w:hAnsi="Arial" w:cs="Arial"/>
          <w:sz w:val="26"/>
          <w:szCs w:val="26"/>
        </w:rPr>
        <w:t xml:space="preserve"> realizar la defensa jurídica en representación de la autoridad demandada conforme a las normas del derecho administrativo, bajo el cual se tramita este asunto, porque no cita el fundamento legal, que le da facultades para poder comparecer a juicio en representación de la demanda, en términos del artículo 117 párrafo cuarto de la Ley de Justicia Administrativa para el Estado de Oaxaca, porque el instrumento notarial que anexó no es documento idóneo para acreditar la representación de la autoridad </w:t>
      </w:r>
      <w:r w:rsidR="00DB513F">
        <w:rPr>
          <w:rFonts w:ascii="Arial" w:hAnsi="Arial" w:cs="Arial"/>
          <w:sz w:val="26"/>
          <w:szCs w:val="26"/>
        </w:rPr>
        <w:lastRenderedPageBreak/>
        <w:t xml:space="preserve">demandada, ya que la representación pública, basada en un contrato celebrado bajo las normas del derecho civil, permite cambios con relativa facilidad. Así en ese mismo proveído la primera instancia hizo efectivo el apercibimiento decretado en el auto inicial a la autoridad demandada, por lo que tuvo </w:t>
      </w:r>
      <w:r w:rsidR="00DB513F" w:rsidRPr="00DB513F">
        <w:rPr>
          <w:rFonts w:ascii="Arial" w:hAnsi="Arial" w:cs="Arial"/>
          <w:b/>
          <w:sz w:val="26"/>
          <w:szCs w:val="26"/>
        </w:rPr>
        <w:t>al Director General del organismo Descentralizado denominado Monte de Piedad del Estado</w:t>
      </w:r>
      <w:r w:rsidR="00DB513F">
        <w:rPr>
          <w:rFonts w:ascii="Arial" w:hAnsi="Arial" w:cs="Arial"/>
          <w:b/>
          <w:sz w:val="26"/>
          <w:szCs w:val="26"/>
        </w:rPr>
        <w:t xml:space="preserve">, por confeso respecto de los hechos que la parte actora le imputa de manera precisa en su demanda, salvo prueba en contrario. </w:t>
      </w:r>
    </w:p>
    <w:p w:rsidR="00DB513F" w:rsidRDefault="00DB513F" w:rsidP="00AD11AE">
      <w:pPr>
        <w:pStyle w:val="Sinespaciado"/>
        <w:spacing w:before="240" w:line="360" w:lineRule="auto"/>
        <w:jc w:val="both"/>
        <w:rPr>
          <w:rFonts w:ascii="Arial" w:hAnsi="Arial" w:cs="Arial"/>
          <w:sz w:val="26"/>
          <w:szCs w:val="26"/>
        </w:rPr>
      </w:pPr>
      <w:r>
        <w:rPr>
          <w:rFonts w:ascii="Arial" w:hAnsi="Arial" w:cs="Arial"/>
          <w:b/>
          <w:sz w:val="26"/>
          <w:szCs w:val="26"/>
        </w:rPr>
        <w:tab/>
      </w:r>
      <w:r>
        <w:rPr>
          <w:rFonts w:ascii="Arial" w:hAnsi="Arial" w:cs="Arial"/>
          <w:sz w:val="26"/>
          <w:szCs w:val="26"/>
        </w:rPr>
        <w:t xml:space="preserve">Posteriormente en ese mismo proveído la primera instancia soslaya su determinación de tener por confeso a la autoridad demandada de los hechos que le atribuye el actor en su escrito de demanda; pues indebidamente ordenó </w:t>
      </w:r>
      <w:r w:rsidR="00502AA3">
        <w:rPr>
          <w:rFonts w:ascii="Arial" w:hAnsi="Arial" w:cs="Arial"/>
          <w:b/>
          <w:sz w:val="26"/>
          <w:szCs w:val="26"/>
        </w:rPr>
        <w:t xml:space="preserve">correr traslado a la actora con la contestación de demanda y anexos en el que se encuentra contemplad (sic) el oficio MPE/DA-02/2016, de 4 cuatro de enero de 2016 dos mil dieciséis, para que con base en éste último amplié su demanda dentro del plazo de cinco días hábiles. </w:t>
      </w:r>
      <w:r w:rsidR="00502AA3">
        <w:rPr>
          <w:rFonts w:ascii="Arial" w:hAnsi="Arial" w:cs="Arial"/>
          <w:sz w:val="26"/>
          <w:szCs w:val="26"/>
        </w:rPr>
        <w:t xml:space="preserve">Determinación que </w:t>
      </w:r>
      <w:r w:rsidR="003B3904">
        <w:rPr>
          <w:rFonts w:ascii="Arial" w:hAnsi="Arial" w:cs="Arial"/>
          <w:sz w:val="26"/>
          <w:szCs w:val="26"/>
        </w:rPr>
        <w:t>resulta ilegal.</w:t>
      </w:r>
    </w:p>
    <w:p w:rsidR="003B3904" w:rsidRPr="003B3904" w:rsidRDefault="003B3904" w:rsidP="003B3904">
      <w:pPr>
        <w:pStyle w:val="Sinespaciado"/>
        <w:spacing w:before="240" w:line="360" w:lineRule="auto"/>
        <w:jc w:val="both"/>
        <w:rPr>
          <w:rFonts w:ascii="Arial" w:hAnsi="Arial" w:cs="Arial"/>
          <w:sz w:val="26"/>
          <w:szCs w:val="26"/>
        </w:rPr>
      </w:pPr>
      <w:r>
        <w:rPr>
          <w:rFonts w:ascii="Arial" w:hAnsi="Arial" w:cs="Arial"/>
          <w:sz w:val="26"/>
          <w:szCs w:val="26"/>
        </w:rPr>
        <w:tab/>
        <w:t xml:space="preserve">En efecto, como en el caso se tuvo por perdido el derecho que tenía la autoridad demandada para producir contestación de demanda y como consecuencia de ello se declaró confesó de los hechos que le atribuyó el enjuiciante en su escrito de demanda, no existe razón legal para que la primera instancia ordenara la ampliación de demanda pues ésta solo se da si la autoridad </w:t>
      </w:r>
      <w:r w:rsidRPr="003D2D30">
        <w:rPr>
          <w:rFonts w:ascii="Arial" w:hAnsi="Arial" w:cs="Arial"/>
          <w:sz w:val="26"/>
          <w:szCs w:val="26"/>
        </w:rPr>
        <w:t>al</w:t>
      </w:r>
      <w:r w:rsidR="003D2D30" w:rsidRPr="003D2D30">
        <w:rPr>
          <w:rFonts w:ascii="Arial" w:hAnsi="Arial" w:cs="Arial"/>
          <w:sz w:val="26"/>
          <w:szCs w:val="26"/>
        </w:rPr>
        <w:t xml:space="preserve"> contestar</w:t>
      </w:r>
      <w:r w:rsidRPr="003D2D30">
        <w:rPr>
          <w:rFonts w:ascii="Arial" w:hAnsi="Arial" w:cs="Arial"/>
          <w:sz w:val="26"/>
          <w:szCs w:val="26"/>
        </w:rPr>
        <w:t xml:space="preserve">, </w:t>
      </w:r>
      <w:r>
        <w:rPr>
          <w:rFonts w:ascii="Arial" w:hAnsi="Arial" w:cs="Arial"/>
          <w:sz w:val="26"/>
          <w:szCs w:val="26"/>
        </w:rPr>
        <w:t>expresa</w:t>
      </w:r>
      <w:r w:rsidRPr="003B3904">
        <w:rPr>
          <w:rFonts w:ascii="Arial" w:hAnsi="Arial" w:cs="Arial"/>
          <w:sz w:val="26"/>
          <w:szCs w:val="26"/>
        </w:rPr>
        <w:t xml:space="preserve"> los hechos o el derecho en que se apoya la resoluci</w:t>
      </w:r>
      <w:r>
        <w:rPr>
          <w:rFonts w:ascii="Arial" w:hAnsi="Arial" w:cs="Arial"/>
          <w:sz w:val="26"/>
          <w:szCs w:val="26"/>
        </w:rPr>
        <w:t xml:space="preserve">ón negativa ficta, pues éstos deben ser controvertidos en la ampliación de demanda, lo que en el caso no aconteció debido a que la sala del conocimiento, tuvo por confesó a la autoridad demandada </w:t>
      </w:r>
      <w:r>
        <w:rPr>
          <w:rFonts w:ascii="Arial" w:hAnsi="Arial" w:cs="Arial"/>
          <w:b/>
          <w:sz w:val="26"/>
          <w:szCs w:val="26"/>
        </w:rPr>
        <w:t xml:space="preserve">DIRECTOR GENERAL DEL MONTE DE PIEDAD DEL ESTADO, </w:t>
      </w:r>
      <w:r>
        <w:rPr>
          <w:rFonts w:ascii="Arial" w:hAnsi="Arial" w:cs="Arial"/>
          <w:sz w:val="26"/>
          <w:szCs w:val="26"/>
        </w:rPr>
        <w:t>de los h</w:t>
      </w:r>
      <w:r w:rsidR="00894B36">
        <w:rPr>
          <w:rFonts w:ascii="Arial" w:hAnsi="Arial" w:cs="Arial"/>
          <w:sz w:val="26"/>
          <w:szCs w:val="26"/>
        </w:rPr>
        <w:t>echos atribuidos e</w:t>
      </w:r>
      <w:r w:rsidR="00FB1081">
        <w:rPr>
          <w:rFonts w:ascii="Arial" w:hAnsi="Arial" w:cs="Arial"/>
          <w:sz w:val="26"/>
          <w:szCs w:val="26"/>
        </w:rPr>
        <w:t>n la demanda, determinación que</w:t>
      </w:r>
      <w:r w:rsidR="00894B36">
        <w:rPr>
          <w:rFonts w:ascii="Arial" w:hAnsi="Arial" w:cs="Arial"/>
          <w:sz w:val="26"/>
          <w:szCs w:val="26"/>
        </w:rPr>
        <w:t xml:space="preserve"> quedó firme al desechar la anterior Sala Superior, por improcedente el recurso de revisión que fue interpuesto por la autoridad. </w:t>
      </w:r>
    </w:p>
    <w:p w:rsidR="00AD11AE" w:rsidRDefault="00AD11AE" w:rsidP="00AD11AE">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 xml:space="preserve">De ahí que, la </w:t>
      </w:r>
      <w:r w:rsidR="00F65EE4">
        <w:rPr>
          <w:rFonts w:ascii="Arial" w:hAnsi="Arial" w:cs="Arial"/>
          <w:bCs/>
          <w:color w:val="000000"/>
          <w:sz w:val="26"/>
          <w:szCs w:val="26"/>
          <w:lang w:val="es-MX"/>
        </w:rPr>
        <w:t xml:space="preserve">Primera Instancia yerra al ordenar la ampliación de demanda </w:t>
      </w:r>
      <w:r w:rsidR="00FB1081">
        <w:rPr>
          <w:rFonts w:ascii="Arial" w:hAnsi="Arial" w:cs="Arial"/>
          <w:bCs/>
          <w:color w:val="000000"/>
          <w:sz w:val="26"/>
          <w:szCs w:val="26"/>
          <w:lang w:val="es-MX"/>
        </w:rPr>
        <w:t xml:space="preserve">por parte del ahora inconforme, </w:t>
      </w:r>
      <w:r w:rsidR="00F65EE4">
        <w:rPr>
          <w:rFonts w:ascii="Arial" w:hAnsi="Arial" w:cs="Arial"/>
          <w:bCs/>
          <w:color w:val="000000"/>
          <w:sz w:val="26"/>
          <w:szCs w:val="26"/>
          <w:lang w:val="es-MX"/>
        </w:rPr>
        <w:t>ac</w:t>
      </w:r>
      <w:r>
        <w:rPr>
          <w:rFonts w:ascii="Arial" w:hAnsi="Arial" w:cs="Arial"/>
          <w:bCs/>
          <w:color w:val="000000"/>
          <w:sz w:val="26"/>
          <w:szCs w:val="26"/>
          <w:lang w:val="es-MX"/>
        </w:rPr>
        <w:t xml:space="preserve">tualizándose </w:t>
      </w:r>
      <w:r w:rsidR="00F65EE4">
        <w:rPr>
          <w:rFonts w:ascii="Arial" w:hAnsi="Arial" w:cs="Arial"/>
          <w:bCs/>
          <w:color w:val="000000"/>
          <w:sz w:val="26"/>
          <w:szCs w:val="26"/>
          <w:lang w:val="es-MX"/>
        </w:rPr>
        <w:t xml:space="preserve">con ello una violación procesal pues </w:t>
      </w:r>
      <w:r>
        <w:rPr>
          <w:rFonts w:ascii="Arial" w:hAnsi="Arial" w:cs="Arial"/>
          <w:bCs/>
          <w:color w:val="000000"/>
          <w:sz w:val="26"/>
          <w:szCs w:val="26"/>
          <w:lang w:val="es-MX"/>
        </w:rPr>
        <w:t>se actualiza una contravención a las normas que regulan el procedimiento contencioso administrativo y que afectó l</w:t>
      </w:r>
      <w:r w:rsidR="00F65EE4">
        <w:rPr>
          <w:rFonts w:ascii="Arial" w:hAnsi="Arial" w:cs="Arial"/>
          <w:bCs/>
          <w:color w:val="000000"/>
          <w:sz w:val="26"/>
          <w:szCs w:val="26"/>
          <w:lang w:val="es-MX"/>
        </w:rPr>
        <w:t xml:space="preserve">as defensas de la parte actora, pues no tomó en consideración la  </w:t>
      </w:r>
      <w:r>
        <w:rPr>
          <w:rFonts w:ascii="Arial" w:hAnsi="Arial" w:cs="Arial"/>
          <w:bCs/>
          <w:color w:val="000000"/>
          <w:sz w:val="26"/>
          <w:szCs w:val="26"/>
          <w:lang w:val="es-MX"/>
        </w:rPr>
        <w:t xml:space="preserve">confesión ficta configurada, </w:t>
      </w:r>
      <w:r w:rsidR="00F65EE4">
        <w:rPr>
          <w:rFonts w:ascii="Arial" w:hAnsi="Arial" w:cs="Arial"/>
          <w:bCs/>
          <w:color w:val="000000"/>
          <w:sz w:val="26"/>
          <w:szCs w:val="26"/>
          <w:lang w:val="es-MX"/>
        </w:rPr>
        <w:t xml:space="preserve"> pues no fijó la litis correctamente ya </w:t>
      </w:r>
      <w:r w:rsidR="00F65EE4">
        <w:rPr>
          <w:rFonts w:ascii="Arial" w:hAnsi="Arial" w:cs="Arial"/>
          <w:bCs/>
          <w:color w:val="000000"/>
          <w:sz w:val="26"/>
          <w:szCs w:val="26"/>
          <w:lang w:val="es-MX"/>
        </w:rPr>
        <w:lastRenderedPageBreak/>
        <w:t xml:space="preserve">que soslayó la referida confesión ficta por parte dela autoridad demandada ignorando </w:t>
      </w:r>
      <w:r>
        <w:rPr>
          <w:rFonts w:ascii="Arial" w:hAnsi="Arial" w:cs="Arial"/>
          <w:bCs/>
          <w:color w:val="000000"/>
          <w:sz w:val="26"/>
          <w:szCs w:val="26"/>
          <w:lang w:val="es-MX"/>
        </w:rPr>
        <w:t xml:space="preserve"> tal figura procesal y por ello no fue tomada en consideración al resolver el juicio de nulidad, lo que evidencia la trascendencia de la violación procesal reseñada a la etapa de juicio.</w:t>
      </w:r>
    </w:p>
    <w:p w:rsidR="00AD11AE" w:rsidRDefault="00AD11AE" w:rsidP="00AD11AE">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 xml:space="preserve">Además, la declaración de validez declarada por la Primera Instancia respecto de la </w:t>
      </w:r>
      <w:r w:rsidR="00F65EE4">
        <w:rPr>
          <w:rFonts w:ascii="Arial" w:hAnsi="Arial" w:cs="Arial"/>
          <w:bCs/>
          <w:color w:val="000000"/>
          <w:sz w:val="26"/>
          <w:szCs w:val="26"/>
          <w:lang w:val="es-MX"/>
        </w:rPr>
        <w:t xml:space="preserve">resolución negativa ficta </w:t>
      </w:r>
      <w:r>
        <w:rPr>
          <w:rFonts w:ascii="Arial" w:hAnsi="Arial" w:cs="Arial"/>
          <w:bCs/>
          <w:color w:val="000000"/>
          <w:sz w:val="26"/>
          <w:szCs w:val="26"/>
          <w:lang w:val="es-MX"/>
        </w:rPr>
        <w:t xml:space="preserve">impugnada, fue tomando en consideración argumentos vertidos precisamente en </w:t>
      </w:r>
      <w:r w:rsidR="00F65EE4">
        <w:rPr>
          <w:rFonts w:ascii="Arial" w:hAnsi="Arial" w:cs="Arial"/>
          <w:bCs/>
          <w:color w:val="000000"/>
          <w:sz w:val="26"/>
          <w:szCs w:val="26"/>
          <w:lang w:val="es-MX"/>
        </w:rPr>
        <w:t xml:space="preserve"> la contestaci</w:t>
      </w:r>
      <w:r w:rsidR="00894B36">
        <w:rPr>
          <w:rFonts w:ascii="Arial" w:hAnsi="Arial" w:cs="Arial"/>
          <w:bCs/>
          <w:color w:val="000000"/>
          <w:sz w:val="26"/>
          <w:szCs w:val="26"/>
          <w:lang w:val="es-MX"/>
        </w:rPr>
        <w:t xml:space="preserve">ón de demanda, </w:t>
      </w:r>
      <w:r w:rsidR="00F65EE4">
        <w:rPr>
          <w:rFonts w:ascii="Arial" w:hAnsi="Arial" w:cs="Arial"/>
          <w:bCs/>
          <w:color w:val="000000"/>
          <w:sz w:val="26"/>
          <w:szCs w:val="26"/>
          <w:lang w:val="es-MX"/>
        </w:rPr>
        <w:t>su ampliación y contestación correspondiente</w:t>
      </w:r>
      <w:r>
        <w:rPr>
          <w:rFonts w:ascii="Arial" w:hAnsi="Arial" w:cs="Arial"/>
          <w:bCs/>
          <w:color w:val="000000"/>
          <w:sz w:val="26"/>
          <w:szCs w:val="26"/>
          <w:lang w:val="es-MX"/>
        </w:rPr>
        <w:t xml:space="preserve">; lo que hace patente también que tal violación procesal propago sus efectos al fallo de primera instancia. </w:t>
      </w:r>
    </w:p>
    <w:p w:rsidR="00AD11AE" w:rsidRDefault="00EC4158" w:rsidP="00AD11AE">
      <w:pPr>
        <w:pStyle w:val="Sinespaciado"/>
        <w:spacing w:before="240" w:line="360" w:lineRule="auto"/>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4D6CD9CA" wp14:editId="63EBF98A">
                <wp:simplePos x="0" y="0"/>
                <wp:positionH relativeFrom="column">
                  <wp:posOffset>5672455</wp:posOffset>
                </wp:positionH>
                <wp:positionV relativeFrom="paragraph">
                  <wp:posOffset>3554095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C4158" w:rsidRDefault="00EC4158" w:rsidP="00EC415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6.65pt;margin-top:279.8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0ct6YeIAAAAMAQAADwAAAGRycy9kb3ducmV2Lnht&#10;bEyPwU7DMBBE70j8g7VIXFDrkFC3CXEqhASiN2gRXN3ETSLsdbDdNPw92xMcV/v0ZqZcT9awUfvQ&#10;O5RwO0+Aaaxd02Mr4X33NFsBC1Fho4xDLeFHB1hXlxelKhp3wjc9bmPLSIKhUBK6GIeC81B32qow&#10;d4NG+h2ctyrS6VveeHUiuTU8TRLBreqREjo16MdO11/bo5WwunsZP8Mme/2oxcHk8WY5Pn97Ka+v&#10;pod7YFFP8Q+Gc32qDhV12rsjNoEZcuRZRqiExSJfAjsTiUhpzV6CEFkKvCr5/xHVLwAAAP//AwBQ&#10;SwECLQAUAAYACAAAACEAtoM4kv4AAADhAQAAEwAAAAAAAAAAAAAAAAAAAAAAW0NvbnRlbnRfVHlw&#10;ZXNdLnhtbFBLAQItABQABgAIAAAAIQA4/SH/1gAAAJQBAAALAAAAAAAAAAAAAAAAAC8BAABfcmVs&#10;cy8ucmVsc1BLAQItABQABgAIAAAAIQAVqVQwJwIAAFIEAAAOAAAAAAAAAAAAAAAAAC4CAABkcnMv&#10;ZTJvRG9jLnhtbFBLAQItABQABgAIAAAAIQDRy3ph4gAAAAwBAAAPAAAAAAAAAAAAAAAAAIEEAABk&#10;cnMvZG93bnJldi54bWxQSwUGAAAAAAQABADzAAAAkAUAAAAA&#10;">
                <v:textbox>
                  <w:txbxContent>
                    <w:p w:rsidR="00EC4158" w:rsidRDefault="00EC4158" w:rsidP="00EC4158">
                      <w:pPr>
                        <w:rPr>
                          <w:sz w:val="16"/>
                          <w:szCs w:val="16"/>
                        </w:rPr>
                      </w:pPr>
                      <w:r>
                        <w:rPr>
                          <w:sz w:val="16"/>
                          <w:szCs w:val="16"/>
                        </w:rPr>
                        <w:t>Datos personales protegidos por el Art. 116 de la LGTAIP y el Art. 56 de la LTAIPEO</w:t>
                      </w:r>
                    </w:p>
                  </w:txbxContent>
                </v:textbox>
              </v:shape>
            </w:pict>
          </mc:Fallback>
        </mc:AlternateContent>
      </w:r>
      <w:r w:rsidR="00AD11AE">
        <w:rPr>
          <w:rFonts w:ascii="Arial" w:hAnsi="Arial" w:cs="Arial"/>
          <w:bCs/>
          <w:color w:val="000000"/>
          <w:sz w:val="26"/>
          <w:szCs w:val="26"/>
          <w:lang w:val="es-MX"/>
        </w:rPr>
        <w:tab/>
        <w:t xml:space="preserve">En consecuencia, ante la referida situación, es que se imposibilita entrar al estudio de fondo y análisis propiamente de la materia de la revisión, que es la sentencia emitida en primera instancia dado que es producto de procedimiento viciado, ante la violación procesal de mérito; por lo que, esta Sala Superior debe revocarla, en principio; al no encontrarse presentes los presupuestos procesales mínimos para el juzgamiento del caso; sin que ello implique la suplencia de la queja, pues esta clase de recomposiciones no se deben al estudio de un contenido mejorado de agravios, sino a la circunstancia de que se transgredió a la garantía de la tutela judicial efectiva, que se encuentra relacionada con la defensa; y, en consecuencia, no es posible la existencia de un juicio valido. </w:t>
      </w:r>
    </w:p>
    <w:p w:rsidR="00AD11AE" w:rsidRPr="00E67D3C" w:rsidRDefault="00AD11AE" w:rsidP="00AD11AE">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Entonces, para reparar la violación procesal, es imperativo declarar ineficaces las actuaciones subsecu</w:t>
      </w:r>
      <w:r w:rsidR="00894B36">
        <w:rPr>
          <w:rFonts w:ascii="Arial" w:hAnsi="Arial" w:cs="Arial"/>
          <w:bCs/>
          <w:color w:val="000000"/>
          <w:sz w:val="26"/>
          <w:szCs w:val="26"/>
          <w:lang w:val="es-MX"/>
        </w:rPr>
        <w:t xml:space="preserve">entes a la determinación de 16 dieciséis de mayo de 2016 dos mil dieciséis, en la que indebidamente ordenó </w:t>
      </w:r>
      <w:r w:rsidR="00894B36">
        <w:rPr>
          <w:rFonts w:ascii="Arial" w:hAnsi="Arial" w:cs="Arial"/>
          <w:b/>
          <w:sz w:val="26"/>
          <w:szCs w:val="26"/>
        </w:rPr>
        <w:t>correr traslado a la actora con la contestación de demanda y anexos en el que se encuentra contemplad (sic) el oficio MPE/DA-02/2016, de 4 cuatro de enero de 2016 dos mil dieciséis, para que con base en éste último amplié su demanda dentro del plazo de cinco días hábiles</w:t>
      </w:r>
      <w:r>
        <w:rPr>
          <w:rFonts w:ascii="Arial" w:hAnsi="Arial" w:cs="Arial"/>
          <w:bCs/>
          <w:color w:val="000000"/>
          <w:sz w:val="26"/>
          <w:szCs w:val="26"/>
          <w:lang w:val="es-MX"/>
        </w:rPr>
        <w:t xml:space="preserve">; para que se reponga el procedimiento a partir de dicha determinación, y </w:t>
      </w:r>
      <w:r w:rsidR="00894B36">
        <w:rPr>
          <w:rFonts w:ascii="Arial" w:hAnsi="Arial" w:cs="Arial"/>
          <w:bCs/>
          <w:color w:val="000000"/>
          <w:sz w:val="26"/>
          <w:szCs w:val="26"/>
          <w:lang w:val="es-MX"/>
        </w:rPr>
        <w:t xml:space="preserve">tomando en consideración la confesión ficta de la autoridad demandad, </w:t>
      </w:r>
      <w:r>
        <w:rPr>
          <w:rFonts w:ascii="Arial" w:hAnsi="Arial" w:cs="Arial"/>
          <w:bCs/>
          <w:color w:val="000000"/>
          <w:sz w:val="26"/>
          <w:szCs w:val="26"/>
          <w:lang w:val="es-MX"/>
        </w:rPr>
        <w:t>prosiga el juicio por sus etapas procesales correspondientes, de acuerdo a la Ley de Justicia Administrativa para el Estado</w:t>
      </w:r>
      <w:r w:rsidR="00FB1081">
        <w:rPr>
          <w:rFonts w:ascii="Arial" w:hAnsi="Arial" w:cs="Arial"/>
          <w:bCs/>
          <w:color w:val="000000"/>
          <w:sz w:val="26"/>
          <w:szCs w:val="26"/>
          <w:lang w:val="es-MX"/>
        </w:rPr>
        <w:t>, vigente hasta el veinte de octubre de dos mil diecisiete</w:t>
      </w:r>
      <w:r>
        <w:rPr>
          <w:rFonts w:ascii="Arial" w:hAnsi="Arial" w:cs="Arial"/>
          <w:bCs/>
          <w:color w:val="000000"/>
          <w:sz w:val="26"/>
          <w:szCs w:val="26"/>
          <w:lang w:val="es-MX"/>
        </w:rPr>
        <w:t xml:space="preserve">; y hecho que sea, en su momento procesal oportuno, emita la sentencia que decida sobre el fondo del asunto, conforme a lo establecido en los artículos 176, 177, 178 y 179, </w:t>
      </w:r>
      <w:r>
        <w:rPr>
          <w:rFonts w:ascii="Arial" w:hAnsi="Arial" w:cs="Arial"/>
          <w:bCs/>
          <w:color w:val="000000"/>
          <w:sz w:val="26"/>
          <w:szCs w:val="26"/>
          <w:lang w:val="es-MX"/>
        </w:rPr>
        <w:lastRenderedPageBreak/>
        <w:t xml:space="preserve">de la ley que rige la materia y tomando en consideración la confesión ficta configurada.                                 </w:t>
      </w:r>
    </w:p>
    <w:p w:rsidR="00AD11AE" w:rsidRDefault="00AD11AE" w:rsidP="00AD11AE">
      <w:pPr>
        <w:spacing w:before="240" w:line="360" w:lineRule="auto"/>
        <w:ind w:firstLine="708"/>
        <w:jc w:val="both"/>
        <w:rPr>
          <w:rFonts w:ascii="Arial" w:hAnsi="Arial" w:cs="Arial"/>
          <w:sz w:val="26"/>
          <w:szCs w:val="26"/>
        </w:rPr>
      </w:pPr>
      <w:r>
        <w:rPr>
          <w:rFonts w:ascii="Arial" w:eastAsia="Calibri" w:hAnsi="Arial" w:cs="Arial"/>
          <w:sz w:val="26"/>
          <w:szCs w:val="26"/>
        </w:rPr>
        <w:t xml:space="preserve">En mérito de lo anterior, con fundamento en los artículos </w:t>
      </w:r>
      <w:r>
        <w:rPr>
          <w:rFonts w:ascii="Arial" w:hAnsi="Arial" w:cs="Arial"/>
          <w:sz w:val="26"/>
          <w:szCs w:val="26"/>
        </w:rPr>
        <w:t>207 y 208 de la Ley de Justicia Administrativa para el Estado,</w:t>
      </w:r>
      <w:r w:rsidR="00FB1081">
        <w:rPr>
          <w:rFonts w:ascii="Arial" w:hAnsi="Arial" w:cs="Arial"/>
          <w:sz w:val="26"/>
          <w:szCs w:val="26"/>
        </w:rPr>
        <w:t xml:space="preserve"> vigente hasta el veinte de octubre de dos mil diecisiete,</w:t>
      </w:r>
      <w:r>
        <w:rPr>
          <w:rFonts w:ascii="Arial" w:hAnsi="Arial" w:cs="Arial"/>
          <w:sz w:val="26"/>
          <w:szCs w:val="26"/>
        </w:rPr>
        <w:t xml:space="preserve"> se:</w:t>
      </w:r>
    </w:p>
    <w:p w:rsidR="00AD11AE" w:rsidRDefault="00AD11AE" w:rsidP="00AD11AE">
      <w:pPr>
        <w:tabs>
          <w:tab w:val="left" w:pos="1134"/>
        </w:tabs>
        <w:spacing w:before="240" w:line="360" w:lineRule="auto"/>
        <w:jc w:val="center"/>
        <w:rPr>
          <w:rFonts w:ascii="Arial" w:hAnsi="Arial" w:cs="Arial"/>
          <w:b/>
          <w:sz w:val="26"/>
          <w:szCs w:val="26"/>
        </w:rPr>
      </w:pPr>
      <w:r w:rsidRPr="00164D1B">
        <w:rPr>
          <w:rFonts w:ascii="Arial" w:hAnsi="Arial" w:cs="Arial"/>
          <w:b/>
          <w:sz w:val="26"/>
          <w:szCs w:val="26"/>
        </w:rPr>
        <w:t>R E S U E L V E</w:t>
      </w:r>
    </w:p>
    <w:p w:rsidR="00AD11AE" w:rsidRPr="00164D1B" w:rsidRDefault="00AD11AE" w:rsidP="00AD11AE">
      <w:pPr>
        <w:pStyle w:val="Textoindependiente21"/>
        <w:tabs>
          <w:tab w:val="left" w:pos="-1985"/>
          <w:tab w:val="left" w:pos="7938"/>
        </w:tabs>
        <w:spacing w:before="240" w:line="360" w:lineRule="auto"/>
        <w:ind w:right="17" w:firstLine="709"/>
        <w:rPr>
          <w:rFonts w:ascii="Arial" w:hAnsi="Arial" w:cs="Arial"/>
          <w:b/>
          <w:sz w:val="26"/>
          <w:szCs w:val="26"/>
        </w:rPr>
      </w:pPr>
      <w:r w:rsidRPr="00164D1B">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REVOCA</w:t>
      </w:r>
      <w:r>
        <w:rPr>
          <w:rFonts w:ascii="Arial" w:hAnsi="Arial" w:cs="Arial"/>
          <w:sz w:val="26"/>
          <w:szCs w:val="26"/>
        </w:rPr>
        <w:t xml:space="preserve"> la sentencia recurrida de </w:t>
      </w:r>
      <w:r w:rsidR="00894B36">
        <w:rPr>
          <w:rFonts w:ascii="Arial" w:eastAsia="Calibri" w:hAnsi="Arial" w:cs="Arial"/>
          <w:sz w:val="26"/>
          <w:szCs w:val="26"/>
        </w:rPr>
        <w:t>veinticuatro de agosto de dos mil diecisiete</w:t>
      </w:r>
      <w:r>
        <w:rPr>
          <w:rFonts w:ascii="Arial" w:hAnsi="Arial" w:cs="Arial"/>
          <w:sz w:val="26"/>
          <w:szCs w:val="26"/>
        </w:rPr>
        <w:t>.</w:t>
      </w:r>
      <w:r w:rsidRPr="006E349D">
        <w:rPr>
          <w:rFonts w:ascii="Arial" w:hAnsi="Arial" w:cs="Arial"/>
          <w:sz w:val="26"/>
          <w:szCs w:val="26"/>
        </w:rPr>
        <w:t xml:space="preserve"> </w:t>
      </w:r>
    </w:p>
    <w:p w:rsidR="00B05ECF" w:rsidRDefault="00AD11AE" w:rsidP="00AD11AE">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Se ordena </w:t>
      </w:r>
      <w:r w:rsidR="00B05ECF">
        <w:rPr>
          <w:rFonts w:ascii="Arial" w:hAnsi="Arial" w:cs="Arial"/>
          <w:sz w:val="26"/>
          <w:szCs w:val="26"/>
        </w:rPr>
        <w:t>reponer el procedimiento de Primera I</w:t>
      </w:r>
      <w:r>
        <w:rPr>
          <w:rFonts w:ascii="Arial" w:hAnsi="Arial" w:cs="Arial"/>
          <w:sz w:val="26"/>
          <w:szCs w:val="26"/>
        </w:rPr>
        <w:t xml:space="preserve">nstancia en los términos precisados en la última parte del considerando tercero de este fallo. </w:t>
      </w:r>
    </w:p>
    <w:p w:rsidR="00B05ECF" w:rsidRDefault="00AD11AE" w:rsidP="00AD11AE">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sidRPr="000D4D1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CUMPLASE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w:t>
      </w:r>
      <w:r>
        <w:rPr>
          <w:rFonts w:ascii="Arial" w:hAnsi="Arial" w:cs="Arial"/>
          <w:sz w:val="26"/>
          <w:szCs w:val="26"/>
        </w:rPr>
        <w:t>, a</w:t>
      </w:r>
      <w:r w:rsidR="00AB4029">
        <w:rPr>
          <w:rFonts w:ascii="Arial" w:hAnsi="Arial" w:cs="Arial"/>
          <w:sz w:val="26"/>
          <w:szCs w:val="26"/>
        </w:rPr>
        <w:t xml:space="preserve"> </w:t>
      </w:r>
      <w:r>
        <w:rPr>
          <w:rFonts w:ascii="Arial" w:hAnsi="Arial" w:cs="Arial"/>
          <w:sz w:val="26"/>
          <w:szCs w:val="26"/>
        </w:rPr>
        <w:t>l</w:t>
      </w:r>
      <w:r w:rsidR="00AB4029">
        <w:rPr>
          <w:rFonts w:ascii="Arial" w:hAnsi="Arial" w:cs="Arial"/>
          <w:sz w:val="26"/>
          <w:szCs w:val="26"/>
        </w:rPr>
        <w:t xml:space="preserve">a Tercera Sala Unitaria de Primera Instancia </w:t>
      </w:r>
      <w:r>
        <w:rPr>
          <w:rFonts w:ascii="Arial" w:hAnsi="Arial" w:cs="Arial"/>
          <w:sz w:val="26"/>
          <w:szCs w:val="26"/>
        </w:rPr>
        <w:t>y en su oportunidad archívese el presente cuaderno de rev</w:t>
      </w:r>
      <w:r w:rsidR="00B05ECF">
        <w:rPr>
          <w:rFonts w:ascii="Arial" w:hAnsi="Arial" w:cs="Arial"/>
          <w:sz w:val="26"/>
          <w:szCs w:val="26"/>
        </w:rPr>
        <w:t xml:space="preserve">isión como asunto concluido. </w:t>
      </w:r>
    </w:p>
    <w:p w:rsidR="004010A4" w:rsidRPr="002B5A3E" w:rsidRDefault="004010A4" w:rsidP="004010A4">
      <w:pPr>
        <w:spacing w:after="0" w:line="360" w:lineRule="auto"/>
        <w:ind w:firstLine="708"/>
        <w:jc w:val="both"/>
        <w:rPr>
          <w:rFonts w:ascii="Arial" w:hAnsi="Arial" w:cs="Arial"/>
          <w:sz w:val="26"/>
          <w:szCs w:val="26"/>
        </w:rPr>
      </w:pPr>
      <w:r w:rsidRPr="002B5A3E">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4010A4" w:rsidRDefault="004010A4" w:rsidP="004010A4">
      <w:pPr>
        <w:spacing w:after="0" w:line="360" w:lineRule="auto"/>
        <w:jc w:val="both"/>
        <w:rPr>
          <w:rFonts w:ascii="Arial" w:hAnsi="Arial" w:cs="Arial"/>
          <w:sz w:val="26"/>
          <w:szCs w:val="26"/>
        </w:rPr>
      </w:pPr>
    </w:p>
    <w:p w:rsidR="00604370" w:rsidRDefault="00604370" w:rsidP="004010A4">
      <w:pPr>
        <w:spacing w:after="0" w:line="360" w:lineRule="auto"/>
        <w:jc w:val="both"/>
        <w:rPr>
          <w:rFonts w:ascii="Arial" w:hAnsi="Arial" w:cs="Arial"/>
          <w:sz w:val="26"/>
          <w:szCs w:val="26"/>
        </w:rPr>
      </w:pPr>
    </w:p>
    <w:p w:rsidR="00604370" w:rsidRPr="002B5A3E" w:rsidRDefault="00604370" w:rsidP="004010A4">
      <w:pPr>
        <w:spacing w:after="0" w:line="360" w:lineRule="auto"/>
        <w:jc w:val="both"/>
        <w:rPr>
          <w:rFonts w:ascii="Arial" w:hAnsi="Arial" w:cs="Arial"/>
          <w:sz w:val="26"/>
          <w:szCs w:val="26"/>
        </w:rPr>
      </w:pPr>
    </w:p>
    <w:p w:rsidR="004010A4" w:rsidRPr="002B5A3E" w:rsidRDefault="004010A4" w:rsidP="004010A4">
      <w:pPr>
        <w:spacing w:after="0" w:line="240" w:lineRule="auto"/>
        <w:jc w:val="center"/>
        <w:rPr>
          <w:rFonts w:ascii="Arial" w:eastAsia="Calibri" w:hAnsi="Arial" w:cs="Arial"/>
          <w:sz w:val="26"/>
          <w:szCs w:val="26"/>
        </w:rPr>
      </w:pPr>
      <w:r w:rsidRPr="002B5A3E">
        <w:rPr>
          <w:rFonts w:ascii="Arial" w:eastAsia="Calibri" w:hAnsi="Arial" w:cs="Arial"/>
          <w:sz w:val="26"/>
          <w:szCs w:val="26"/>
        </w:rPr>
        <w:t>MAGISTRADA MARÍA ELENA VILLA DE JARQUÍN</w:t>
      </w:r>
    </w:p>
    <w:p w:rsidR="004010A4" w:rsidRPr="002B5A3E" w:rsidRDefault="004010A4" w:rsidP="004010A4">
      <w:pPr>
        <w:spacing w:after="0" w:line="240" w:lineRule="auto"/>
        <w:jc w:val="center"/>
        <w:rPr>
          <w:rFonts w:ascii="Arial" w:eastAsia="Calibri" w:hAnsi="Arial" w:cs="Arial"/>
          <w:sz w:val="26"/>
          <w:szCs w:val="26"/>
        </w:rPr>
      </w:pPr>
      <w:r w:rsidRPr="002B5A3E">
        <w:rPr>
          <w:rFonts w:ascii="Arial" w:eastAsia="Calibri" w:hAnsi="Arial" w:cs="Arial"/>
          <w:sz w:val="26"/>
          <w:szCs w:val="26"/>
        </w:rPr>
        <w:t xml:space="preserve">ENCARGADA DEL DESPACHO DE LA PRESIDENCIA </w:t>
      </w:r>
    </w:p>
    <w:p w:rsidR="004010A4" w:rsidRDefault="004010A4" w:rsidP="004010A4">
      <w:pPr>
        <w:spacing w:line="360" w:lineRule="auto"/>
        <w:jc w:val="center"/>
        <w:rPr>
          <w:rFonts w:ascii="Arial" w:eastAsia="Calibri" w:hAnsi="Arial" w:cs="Arial"/>
          <w:sz w:val="26"/>
          <w:szCs w:val="26"/>
        </w:rPr>
      </w:pPr>
    </w:p>
    <w:p w:rsidR="00604370" w:rsidRDefault="00604370" w:rsidP="004010A4">
      <w:pPr>
        <w:spacing w:line="360" w:lineRule="auto"/>
        <w:jc w:val="center"/>
        <w:rPr>
          <w:rFonts w:ascii="Arial" w:eastAsia="Calibri" w:hAnsi="Arial" w:cs="Arial"/>
          <w:sz w:val="26"/>
          <w:szCs w:val="26"/>
        </w:rPr>
      </w:pPr>
    </w:p>
    <w:p w:rsidR="00604370" w:rsidRPr="002B5A3E" w:rsidRDefault="00604370" w:rsidP="004010A4">
      <w:pPr>
        <w:spacing w:line="360" w:lineRule="auto"/>
        <w:jc w:val="center"/>
        <w:rPr>
          <w:rFonts w:ascii="Arial" w:eastAsia="Calibri" w:hAnsi="Arial" w:cs="Arial"/>
          <w:sz w:val="26"/>
          <w:szCs w:val="26"/>
        </w:rPr>
      </w:pPr>
    </w:p>
    <w:p w:rsidR="004010A4" w:rsidRPr="002B5A3E" w:rsidRDefault="004010A4" w:rsidP="004010A4">
      <w:pPr>
        <w:spacing w:line="360" w:lineRule="auto"/>
        <w:jc w:val="center"/>
        <w:rPr>
          <w:rFonts w:ascii="Arial" w:eastAsia="Calibri" w:hAnsi="Arial" w:cs="Arial"/>
          <w:sz w:val="26"/>
          <w:szCs w:val="26"/>
        </w:rPr>
      </w:pPr>
      <w:r w:rsidRPr="002B5A3E">
        <w:rPr>
          <w:rFonts w:ascii="Arial" w:eastAsia="Calibri" w:hAnsi="Arial" w:cs="Arial"/>
          <w:sz w:val="26"/>
          <w:szCs w:val="26"/>
        </w:rPr>
        <w:t>MAGISTRADO HUGO VILLEGAS AQUINO</w:t>
      </w:r>
    </w:p>
    <w:p w:rsidR="004010A4" w:rsidRDefault="004010A4" w:rsidP="004010A4">
      <w:pPr>
        <w:spacing w:line="360" w:lineRule="auto"/>
        <w:rPr>
          <w:rFonts w:ascii="Arial" w:hAnsi="Arial" w:cs="Arial"/>
          <w:b/>
          <w:sz w:val="26"/>
          <w:szCs w:val="26"/>
        </w:rPr>
      </w:pPr>
    </w:p>
    <w:p w:rsidR="00604370" w:rsidRPr="002B5A3E" w:rsidRDefault="00604370" w:rsidP="004010A4">
      <w:pPr>
        <w:spacing w:line="360" w:lineRule="auto"/>
        <w:rPr>
          <w:rFonts w:ascii="Arial" w:hAnsi="Arial" w:cs="Arial"/>
          <w:b/>
          <w:sz w:val="26"/>
          <w:szCs w:val="26"/>
        </w:rPr>
      </w:pPr>
    </w:p>
    <w:p w:rsidR="004010A4" w:rsidRPr="002B5A3E" w:rsidRDefault="004010A4" w:rsidP="004010A4">
      <w:pPr>
        <w:spacing w:line="360" w:lineRule="auto"/>
        <w:jc w:val="center"/>
        <w:rPr>
          <w:rFonts w:ascii="Arial" w:eastAsia="Calibri" w:hAnsi="Arial" w:cs="Arial"/>
          <w:sz w:val="26"/>
          <w:szCs w:val="26"/>
        </w:rPr>
      </w:pPr>
      <w:r w:rsidRPr="002B5A3E">
        <w:rPr>
          <w:rFonts w:ascii="Arial" w:eastAsia="Calibri" w:hAnsi="Arial" w:cs="Arial"/>
          <w:sz w:val="26"/>
          <w:szCs w:val="26"/>
        </w:rPr>
        <w:t xml:space="preserve">MAGISTRADO ADRIÁN QUIROGA AVENDAÑO </w:t>
      </w:r>
    </w:p>
    <w:p w:rsidR="00604370" w:rsidRPr="00604370" w:rsidRDefault="00604370" w:rsidP="004010A4">
      <w:pPr>
        <w:spacing w:line="360" w:lineRule="auto"/>
        <w:jc w:val="center"/>
        <w:rPr>
          <w:rFonts w:ascii="Arial" w:eastAsia="Calibri" w:hAnsi="Arial" w:cs="Arial"/>
          <w:b/>
          <w:sz w:val="14"/>
          <w:szCs w:val="26"/>
        </w:rPr>
      </w:pPr>
      <w:r w:rsidRPr="00604370">
        <w:rPr>
          <w:rFonts w:ascii="Arial" w:eastAsia="Calibri" w:hAnsi="Arial" w:cs="Arial"/>
          <w:b/>
          <w:sz w:val="14"/>
          <w:szCs w:val="26"/>
        </w:rPr>
        <w:t>LAS PRESENTES FIRMAS CORRESPONDEN AL  RECURSO DE REVISIÓN 565/2017</w:t>
      </w:r>
    </w:p>
    <w:p w:rsidR="00604370" w:rsidRDefault="00604370" w:rsidP="004010A4">
      <w:pPr>
        <w:spacing w:line="360" w:lineRule="auto"/>
        <w:jc w:val="center"/>
        <w:rPr>
          <w:rFonts w:ascii="Arial" w:eastAsia="Calibri" w:hAnsi="Arial" w:cs="Arial"/>
          <w:sz w:val="26"/>
          <w:szCs w:val="26"/>
        </w:rPr>
      </w:pPr>
    </w:p>
    <w:p w:rsidR="00604370" w:rsidRDefault="00604370" w:rsidP="004010A4">
      <w:pPr>
        <w:spacing w:line="360" w:lineRule="auto"/>
        <w:jc w:val="center"/>
        <w:rPr>
          <w:rFonts w:ascii="Arial" w:eastAsia="Calibri" w:hAnsi="Arial" w:cs="Arial"/>
          <w:sz w:val="26"/>
          <w:szCs w:val="26"/>
        </w:rPr>
      </w:pPr>
    </w:p>
    <w:p w:rsidR="00604370" w:rsidRDefault="00604370" w:rsidP="004010A4">
      <w:pPr>
        <w:spacing w:line="360" w:lineRule="auto"/>
        <w:jc w:val="center"/>
        <w:rPr>
          <w:rFonts w:ascii="Arial" w:eastAsia="Calibri" w:hAnsi="Arial" w:cs="Arial"/>
          <w:sz w:val="26"/>
          <w:szCs w:val="26"/>
        </w:rPr>
      </w:pPr>
    </w:p>
    <w:p w:rsidR="004010A4" w:rsidRDefault="004010A4" w:rsidP="004010A4">
      <w:pPr>
        <w:spacing w:line="360" w:lineRule="auto"/>
        <w:jc w:val="center"/>
        <w:rPr>
          <w:rFonts w:ascii="Arial" w:eastAsia="Calibri" w:hAnsi="Arial" w:cs="Arial"/>
          <w:sz w:val="26"/>
          <w:szCs w:val="26"/>
        </w:rPr>
      </w:pPr>
      <w:r w:rsidRPr="002B5A3E">
        <w:rPr>
          <w:rFonts w:ascii="Arial" w:eastAsia="Calibri" w:hAnsi="Arial" w:cs="Arial"/>
          <w:sz w:val="26"/>
          <w:szCs w:val="26"/>
        </w:rPr>
        <w:t>MAGISTRADO ENRIQUE PACHECO MARTÍNEZ</w:t>
      </w:r>
    </w:p>
    <w:p w:rsidR="00604370" w:rsidRDefault="00604370" w:rsidP="004010A4">
      <w:pPr>
        <w:spacing w:line="360" w:lineRule="auto"/>
        <w:jc w:val="center"/>
        <w:rPr>
          <w:rFonts w:ascii="Arial" w:eastAsia="Calibri" w:hAnsi="Arial" w:cs="Arial"/>
          <w:sz w:val="26"/>
          <w:szCs w:val="26"/>
        </w:rPr>
      </w:pPr>
    </w:p>
    <w:p w:rsidR="00604370" w:rsidRPr="002B5A3E" w:rsidRDefault="00604370" w:rsidP="004010A4">
      <w:pPr>
        <w:spacing w:line="360" w:lineRule="auto"/>
        <w:jc w:val="center"/>
        <w:rPr>
          <w:rFonts w:ascii="Arial" w:eastAsia="Calibri" w:hAnsi="Arial" w:cs="Arial"/>
          <w:sz w:val="26"/>
          <w:szCs w:val="26"/>
        </w:rPr>
      </w:pPr>
    </w:p>
    <w:p w:rsidR="004010A4" w:rsidRPr="002B5A3E" w:rsidRDefault="004010A4" w:rsidP="004010A4">
      <w:pPr>
        <w:spacing w:line="360" w:lineRule="auto"/>
        <w:jc w:val="center"/>
        <w:rPr>
          <w:rFonts w:ascii="Arial" w:eastAsia="Calibri" w:hAnsi="Arial" w:cs="Arial"/>
          <w:sz w:val="26"/>
          <w:szCs w:val="26"/>
        </w:rPr>
      </w:pPr>
    </w:p>
    <w:p w:rsidR="004010A4" w:rsidRPr="002B5A3E" w:rsidRDefault="004010A4" w:rsidP="004010A4">
      <w:pPr>
        <w:spacing w:after="0" w:line="240" w:lineRule="auto"/>
        <w:jc w:val="center"/>
        <w:rPr>
          <w:rFonts w:ascii="Arial" w:eastAsia="Calibri" w:hAnsi="Arial" w:cs="Arial"/>
          <w:sz w:val="26"/>
          <w:szCs w:val="26"/>
        </w:rPr>
      </w:pPr>
      <w:r w:rsidRPr="002B5A3E">
        <w:rPr>
          <w:rFonts w:ascii="Arial" w:eastAsia="Calibri" w:hAnsi="Arial" w:cs="Arial"/>
          <w:sz w:val="26"/>
          <w:szCs w:val="26"/>
        </w:rPr>
        <w:t>LICENCIADA SANDRA PÉREZ CRUZ,</w:t>
      </w:r>
    </w:p>
    <w:p w:rsidR="004010A4" w:rsidRPr="002B5A3E" w:rsidRDefault="004010A4" w:rsidP="004010A4">
      <w:pPr>
        <w:spacing w:after="0" w:line="240" w:lineRule="auto"/>
        <w:jc w:val="center"/>
        <w:rPr>
          <w:rFonts w:ascii="Arial" w:eastAsia="Calibri" w:hAnsi="Arial" w:cs="Arial"/>
          <w:sz w:val="26"/>
          <w:szCs w:val="26"/>
        </w:rPr>
      </w:pPr>
      <w:r w:rsidRPr="002B5A3E">
        <w:rPr>
          <w:rFonts w:ascii="Arial" w:eastAsia="Calibri" w:hAnsi="Arial" w:cs="Arial"/>
          <w:sz w:val="26"/>
          <w:szCs w:val="26"/>
        </w:rPr>
        <w:t>SECRETARIA GENERAL DE ACUERDOS</w:t>
      </w:r>
    </w:p>
    <w:p w:rsidR="00AD11AE" w:rsidRPr="002B5A3E" w:rsidRDefault="00AD11AE" w:rsidP="00AD11AE">
      <w:pPr>
        <w:spacing w:line="360" w:lineRule="auto"/>
        <w:jc w:val="center"/>
        <w:rPr>
          <w:rFonts w:ascii="Arial" w:hAnsi="Arial" w:cs="Arial"/>
          <w:b/>
          <w:sz w:val="26"/>
          <w:szCs w:val="26"/>
        </w:rPr>
      </w:pPr>
    </w:p>
    <w:p w:rsidR="00AD11AE" w:rsidRPr="002B5A3E" w:rsidRDefault="00AD11AE" w:rsidP="00AD11AE">
      <w:pPr>
        <w:spacing w:line="360" w:lineRule="auto"/>
        <w:jc w:val="center"/>
        <w:rPr>
          <w:rFonts w:ascii="Arial" w:hAnsi="Arial" w:cs="Arial"/>
          <w:b/>
          <w:sz w:val="26"/>
          <w:szCs w:val="26"/>
        </w:rPr>
      </w:pPr>
    </w:p>
    <w:p w:rsidR="00AD11AE" w:rsidRPr="002B5A3E" w:rsidRDefault="00AD11AE" w:rsidP="00AD11AE">
      <w:pPr>
        <w:spacing w:line="360" w:lineRule="auto"/>
        <w:jc w:val="center"/>
        <w:rPr>
          <w:rFonts w:ascii="Arial" w:hAnsi="Arial" w:cs="Arial"/>
          <w:b/>
          <w:sz w:val="26"/>
          <w:szCs w:val="26"/>
        </w:rPr>
      </w:pPr>
    </w:p>
    <w:p w:rsidR="00AD11AE" w:rsidRPr="002B5A3E" w:rsidRDefault="00AD11AE" w:rsidP="00AD11AE">
      <w:pPr>
        <w:spacing w:line="360" w:lineRule="auto"/>
        <w:jc w:val="center"/>
        <w:rPr>
          <w:rFonts w:ascii="Arial" w:hAnsi="Arial" w:cs="Arial"/>
          <w:b/>
          <w:sz w:val="26"/>
          <w:szCs w:val="26"/>
        </w:rPr>
      </w:pPr>
    </w:p>
    <w:p w:rsidR="00C62738" w:rsidRPr="002B5A3E" w:rsidRDefault="00EC4158">
      <w:pPr>
        <w:rPr>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simplePos x="0" y="0"/>
                <wp:positionH relativeFrom="column">
                  <wp:posOffset>5815745</wp:posOffset>
                </wp:positionH>
                <wp:positionV relativeFrom="paragraph">
                  <wp:posOffset>2184510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C4158" w:rsidRDefault="00EC4158" w:rsidP="00EC4158">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margin-left:457.95pt;margin-top:172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MAPRHLiAAAADAEAAA8AAABkcnMvZG93bnJldi54&#10;bWxMj8FOwzAQRO9I/IO1SFwQdUqdNglxKoQEghu0FVzdZJtE2Otgu2n4e9wTHFf7NPOmXE9GsxGd&#10;7y1JmM8SYEi1bXpqJey2T7cZMB8UNUpbQgk/6GFdXV6Uqmjsid5x3ISWxRDyhZLQhTAUnPu6Q6P8&#10;zA5I8XewzqgQT9fyxqlTDDea3yXJkhvVU2zo1ICPHdZfm6ORkImX8dO/Lt4+6uVB5+FmNT5/Oymv&#10;r6aHe2ABp/AHw1k/qkMVnfb2SI1nWkI+T/OISlgIEUediSRLBbC9BCFWKfCq5P9HVL8AAAD//wMA&#10;UEsBAi0AFAAGAAgAAAAhALaDOJL+AAAA4QEAABMAAAAAAAAAAAAAAAAAAAAAAFtDb250ZW50X1R5&#10;cGVzXS54bWxQSwECLQAUAAYACAAAACEAOP0h/9YAAACUAQAACwAAAAAAAAAAAAAAAAAvAQAAX3Jl&#10;bHMvLnJlbHNQSwECLQAUAAYACAAAACEAun6OBSgCAABSBAAADgAAAAAAAAAAAAAAAAAuAgAAZHJz&#10;L2Uyb0RvYy54bWxQSwECLQAUAAYACAAAACEAwA9EcuIAAAAMAQAADwAAAAAAAAAAAAAAAACCBAAA&#10;ZHJzL2Rvd25yZXYueG1sUEsFBgAAAAAEAAQA8wAAAJEFAAAAAA==&#10;">
                <v:textbox>
                  <w:txbxContent>
                    <w:p w:rsidR="00EC4158" w:rsidRDefault="00EC4158" w:rsidP="00EC4158">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C62738" w:rsidRPr="002B5A3E" w:rsidSect="00FB1081">
      <w:headerReference w:type="default" r:id="rId7"/>
      <w:footerReference w:type="default" r:id="rId8"/>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45A" w:rsidRDefault="00A5545A" w:rsidP="00AD11AE">
      <w:pPr>
        <w:spacing w:after="0" w:line="240" w:lineRule="auto"/>
      </w:pPr>
      <w:r>
        <w:separator/>
      </w:r>
    </w:p>
  </w:endnote>
  <w:endnote w:type="continuationSeparator" w:id="0">
    <w:p w:rsidR="00A5545A" w:rsidRDefault="00A5545A" w:rsidP="00AD1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158" w:rsidRDefault="00EC4158">
    <w:pPr>
      <w:pStyle w:val="Piedepgina"/>
    </w:pPr>
    <w:r>
      <w:rPr>
        <w:noProof/>
        <w:lang w:val="es-MX" w:eastAsia="es-MX"/>
      </w:rPr>
      <mc:AlternateContent>
        <mc:Choice Requires="wps">
          <w:drawing>
            <wp:anchor distT="0" distB="0" distL="114300" distR="114300" simplePos="0" relativeHeight="251659264" behindDoc="0" locked="0" layoutInCell="1" allowOverlap="1" wp14:anchorId="7F2BFF2C" wp14:editId="55E93FE8">
              <wp:simplePos x="0" y="0"/>
              <wp:positionH relativeFrom="column">
                <wp:posOffset>-1753235</wp:posOffset>
              </wp:positionH>
              <wp:positionV relativeFrom="paragraph">
                <wp:posOffset>-4478655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C4158" w:rsidRDefault="00EC4158" w:rsidP="00EC415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margin-left:-138.05pt;margin-top:-352.6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ApaBTPjAAAADwEAAA8AAABkcnMvZG93bnJldi54bWxM&#10;j8tOwzAQRfdI/IM1SGxQaqcFJ4Q4FUICwQ5KVbZu7CYRfgTbTcPfM6xgd0dzdOdMvZ6tIZMOcfBO&#10;QL5gQLRrvRpcJ2D7/piVQGKSTknjnRbwrSOsm/OzWlbKn9ybnjapI1jiYiUF9CmNFaWx7bWVceFH&#10;7XB38MHKhGPoqAryhOXW0CVjnFo5OLzQy1E/9Lr93BytgPL6efqIL6vXXcsP5jZdFdPTVxDi8mK+&#10;vwOS9Jz+YPjVR3Vo0Gnvj05FYgRky4LnyGIq2M0KCDJZzjgHssfEWV4CbWr6/4/mBwAA//8DAFBL&#10;AQItABQABgAIAAAAIQC2gziS/gAAAOEBAAATAAAAAAAAAAAAAAAAAAAAAABbQ29udGVudF9UeXBl&#10;c10ueG1sUEsBAi0AFAAGAAgAAAAhADj9If/WAAAAlAEAAAsAAAAAAAAAAAAAAAAALwEAAF9yZWxz&#10;Ly5yZWxzUEsBAi0AFAAGAAgAAAAhAMzSxCwlAgAASwQAAA4AAAAAAAAAAAAAAAAALgIAAGRycy9l&#10;Mm9Eb2MueG1sUEsBAi0AFAAGAAgAAAAhAApaBTPjAAAADwEAAA8AAAAAAAAAAAAAAAAAfwQAAGRy&#10;cy9kb3ducmV2LnhtbFBLBQYAAAAABAAEAPMAAACPBQAAAAA=&#10;">
              <v:textbox>
                <w:txbxContent>
                  <w:p w:rsidR="00EC4158" w:rsidRDefault="00EC4158" w:rsidP="00EC4158">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45A" w:rsidRDefault="00A5545A" w:rsidP="00AD11AE">
      <w:pPr>
        <w:spacing w:after="0" w:line="240" w:lineRule="auto"/>
      </w:pPr>
      <w:r>
        <w:separator/>
      </w:r>
    </w:p>
  </w:footnote>
  <w:footnote w:type="continuationSeparator" w:id="0">
    <w:p w:rsidR="00A5545A" w:rsidRDefault="00A5545A" w:rsidP="00AD11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B4D86" w:rsidRDefault="00B47C0A">
        <w:pPr>
          <w:pStyle w:val="Encabezado"/>
          <w:jc w:val="center"/>
        </w:pPr>
        <w:r>
          <w:fldChar w:fldCharType="begin"/>
        </w:r>
        <w:r>
          <w:instrText xml:space="preserve"> PAGE   \* MERGEFORMAT </w:instrText>
        </w:r>
        <w:r>
          <w:fldChar w:fldCharType="separate"/>
        </w:r>
        <w:r w:rsidR="00EC4158">
          <w:rPr>
            <w:noProof/>
          </w:rPr>
          <w:t>8</w:t>
        </w:r>
        <w:r>
          <w:rPr>
            <w:noProof/>
          </w:rPr>
          <w:fldChar w:fldCharType="end"/>
        </w:r>
      </w:p>
    </w:sdtContent>
  </w:sdt>
  <w:p w:rsidR="00DB4D86" w:rsidRDefault="00EC415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1AE"/>
    <w:rsid w:val="0002644B"/>
    <w:rsid w:val="00090211"/>
    <w:rsid w:val="001A28A1"/>
    <w:rsid w:val="002623F1"/>
    <w:rsid w:val="00262FE4"/>
    <w:rsid w:val="002B5A3E"/>
    <w:rsid w:val="003B3904"/>
    <w:rsid w:val="003B777F"/>
    <w:rsid w:val="003D2D30"/>
    <w:rsid w:val="004010A4"/>
    <w:rsid w:val="004124C6"/>
    <w:rsid w:val="00464094"/>
    <w:rsid w:val="00482783"/>
    <w:rsid w:val="00502AA3"/>
    <w:rsid w:val="005046AC"/>
    <w:rsid w:val="00505AE5"/>
    <w:rsid w:val="005D05B8"/>
    <w:rsid w:val="00604370"/>
    <w:rsid w:val="00756F4B"/>
    <w:rsid w:val="007956D1"/>
    <w:rsid w:val="007A380C"/>
    <w:rsid w:val="00803D84"/>
    <w:rsid w:val="00894B36"/>
    <w:rsid w:val="009419F1"/>
    <w:rsid w:val="00A5545A"/>
    <w:rsid w:val="00AB4029"/>
    <w:rsid w:val="00AD11AE"/>
    <w:rsid w:val="00B05ECF"/>
    <w:rsid w:val="00B47C0A"/>
    <w:rsid w:val="00C62738"/>
    <w:rsid w:val="00DB3851"/>
    <w:rsid w:val="00DB513F"/>
    <w:rsid w:val="00DB7EAD"/>
    <w:rsid w:val="00EC4158"/>
    <w:rsid w:val="00F65EE4"/>
    <w:rsid w:val="00FB108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1AE"/>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AD11AE"/>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AD11AE"/>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AD11AE"/>
    <w:rPr>
      <w:rFonts w:ascii="Times New Roman" w:eastAsia="PMingLiU" w:hAnsi="Times New Roman" w:cs="Times New Roman"/>
      <w:sz w:val="24"/>
      <w:szCs w:val="24"/>
      <w:lang w:val="es-ES" w:eastAsia="zh-TW"/>
    </w:rPr>
  </w:style>
  <w:style w:type="paragraph" w:styleId="Sinespaciado">
    <w:name w:val="No Spacing"/>
    <w:uiPriority w:val="1"/>
    <w:qFormat/>
    <w:rsid w:val="00AD11AE"/>
    <w:pPr>
      <w:spacing w:after="0" w:line="240" w:lineRule="auto"/>
    </w:pPr>
    <w:rPr>
      <w:lang w:val="es-ES"/>
    </w:rPr>
  </w:style>
  <w:style w:type="paragraph" w:styleId="Textonotapie">
    <w:name w:val="footnote text"/>
    <w:basedOn w:val="Normal"/>
    <w:link w:val="TextonotapieCar"/>
    <w:uiPriority w:val="99"/>
    <w:semiHidden/>
    <w:unhideWhenUsed/>
    <w:rsid w:val="00AD11A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D11AE"/>
    <w:rPr>
      <w:sz w:val="20"/>
      <w:szCs w:val="20"/>
      <w:lang w:val="es-ES"/>
    </w:rPr>
  </w:style>
  <w:style w:type="character" w:styleId="Refdenotaalpie">
    <w:name w:val="footnote reference"/>
    <w:basedOn w:val="Fuentedeprrafopredeter"/>
    <w:uiPriority w:val="99"/>
    <w:semiHidden/>
    <w:unhideWhenUsed/>
    <w:rsid w:val="00AD11AE"/>
    <w:rPr>
      <w:vertAlign w:val="superscript"/>
    </w:rPr>
  </w:style>
  <w:style w:type="paragraph" w:styleId="Piedepgina">
    <w:name w:val="footer"/>
    <w:basedOn w:val="Normal"/>
    <w:link w:val="PiedepginaCar"/>
    <w:uiPriority w:val="99"/>
    <w:unhideWhenUsed/>
    <w:rsid w:val="00EC41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C4158"/>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1AE"/>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AD11AE"/>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AD11AE"/>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AD11AE"/>
    <w:rPr>
      <w:rFonts w:ascii="Times New Roman" w:eastAsia="PMingLiU" w:hAnsi="Times New Roman" w:cs="Times New Roman"/>
      <w:sz w:val="24"/>
      <w:szCs w:val="24"/>
      <w:lang w:val="es-ES" w:eastAsia="zh-TW"/>
    </w:rPr>
  </w:style>
  <w:style w:type="paragraph" w:styleId="Sinespaciado">
    <w:name w:val="No Spacing"/>
    <w:uiPriority w:val="1"/>
    <w:qFormat/>
    <w:rsid w:val="00AD11AE"/>
    <w:pPr>
      <w:spacing w:after="0" w:line="240" w:lineRule="auto"/>
    </w:pPr>
    <w:rPr>
      <w:lang w:val="es-ES"/>
    </w:rPr>
  </w:style>
  <w:style w:type="paragraph" w:styleId="Textonotapie">
    <w:name w:val="footnote text"/>
    <w:basedOn w:val="Normal"/>
    <w:link w:val="TextonotapieCar"/>
    <w:uiPriority w:val="99"/>
    <w:semiHidden/>
    <w:unhideWhenUsed/>
    <w:rsid w:val="00AD11A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D11AE"/>
    <w:rPr>
      <w:sz w:val="20"/>
      <w:szCs w:val="20"/>
      <w:lang w:val="es-ES"/>
    </w:rPr>
  </w:style>
  <w:style w:type="character" w:styleId="Refdenotaalpie">
    <w:name w:val="footnote reference"/>
    <w:basedOn w:val="Fuentedeprrafopredeter"/>
    <w:uiPriority w:val="99"/>
    <w:semiHidden/>
    <w:unhideWhenUsed/>
    <w:rsid w:val="00AD11AE"/>
    <w:rPr>
      <w:vertAlign w:val="superscript"/>
    </w:rPr>
  </w:style>
  <w:style w:type="paragraph" w:styleId="Piedepgina">
    <w:name w:val="footer"/>
    <w:basedOn w:val="Normal"/>
    <w:link w:val="PiedepginaCar"/>
    <w:uiPriority w:val="99"/>
    <w:unhideWhenUsed/>
    <w:rsid w:val="00EC41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C4158"/>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8</Pages>
  <Words>2344</Words>
  <Characters>12895</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cabrera</dc:creator>
  <cp:lastModifiedBy>TCA-Personal</cp:lastModifiedBy>
  <cp:revision>7</cp:revision>
  <dcterms:created xsi:type="dcterms:W3CDTF">2018-04-10T17:44:00Z</dcterms:created>
  <dcterms:modified xsi:type="dcterms:W3CDTF">2018-12-10T16:32:00Z</dcterms:modified>
</cp:coreProperties>
</file>