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17" w:type="dxa"/>
        <w:tblLayout w:type="fixed"/>
        <w:tblCellMar>
          <w:left w:w="70" w:type="dxa"/>
          <w:right w:w="70" w:type="dxa"/>
        </w:tblCellMar>
        <w:tblLook w:val="04A0" w:firstRow="1" w:lastRow="0" w:firstColumn="1" w:lastColumn="0" w:noHBand="0" w:noVBand="1"/>
      </w:tblPr>
      <w:tblGrid>
        <w:gridCol w:w="2268"/>
        <w:gridCol w:w="7149"/>
      </w:tblGrid>
      <w:tr w:rsidR="000C1D4E" w14:paraId="3043023A" w14:textId="77777777" w:rsidTr="00140F11">
        <w:trPr>
          <w:trHeight w:val="3986"/>
        </w:trPr>
        <w:tc>
          <w:tcPr>
            <w:tcW w:w="2268" w:type="dxa"/>
          </w:tcPr>
          <w:p w14:paraId="7967E795" w14:textId="77777777" w:rsidR="000C1D4E" w:rsidRDefault="000C1D4E" w:rsidP="001423B2">
            <w:pPr>
              <w:rPr>
                <w:rFonts w:ascii="Arial" w:hAnsi="Arial" w:cs="Arial"/>
                <w:b/>
                <w:sz w:val="26"/>
                <w:szCs w:val="26"/>
              </w:rPr>
            </w:pPr>
          </w:p>
        </w:tc>
        <w:tc>
          <w:tcPr>
            <w:tcW w:w="7149" w:type="dxa"/>
          </w:tcPr>
          <w:p w14:paraId="17276A63" w14:textId="7E355410" w:rsidR="000C1D4E" w:rsidRPr="00140F11" w:rsidRDefault="000C1D4E" w:rsidP="00140F11">
            <w:pPr>
              <w:tabs>
                <w:tab w:val="left" w:pos="3103"/>
              </w:tabs>
              <w:spacing w:line="240" w:lineRule="auto"/>
              <w:ind w:left="182" w:right="1700" w:hanging="1119"/>
              <w:jc w:val="both"/>
              <w:rPr>
                <w:rFonts w:ascii="Arial" w:hAnsi="Arial" w:cs="Arial"/>
                <w:b/>
                <w:iCs/>
                <w:caps/>
                <w:sz w:val="26"/>
                <w:szCs w:val="26"/>
              </w:rPr>
            </w:pPr>
            <w:r>
              <w:rPr>
                <w:rFonts w:ascii="Arial" w:hAnsi="Arial" w:cs="Arial"/>
                <w:b/>
                <w:i/>
                <w:iCs/>
                <w:caps/>
                <w:sz w:val="26"/>
                <w:szCs w:val="26"/>
              </w:rPr>
              <w:t xml:space="preserve">               </w:t>
            </w:r>
            <w:r>
              <w:rPr>
                <w:rFonts w:ascii="Arial" w:hAnsi="Arial" w:cs="Arial"/>
                <w:b/>
                <w:iCs/>
                <w:caps/>
                <w:sz w:val="26"/>
                <w:szCs w:val="26"/>
              </w:rPr>
              <w:t>SALA SUPERIOR DEL TRIBUNAL DE justicia adminsitrativa DEL ESTADO de oaxaca.</w:t>
            </w:r>
            <w:r>
              <w:rPr>
                <w:rFonts w:ascii="Arial" w:hAnsi="Arial" w:cs="Arial"/>
                <w:b/>
                <w:iCs/>
                <w:caps/>
                <w:sz w:val="26"/>
                <w:szCs w:val="26"/>
                <w:lang w:val="es-PE"/>
              </w:rPr>
              <w:t xml:space="preserve">     </w:t>
            </w:r>
          </w:p>
          <w:p w14:paraId="5E29115C" w14:textId="77777777" w:rsidR="000C1D4E" w:rsidRDefault="000C1D4E" w:rsidP="00140F11">
            <w:pPr>
              <w:pStyle w:val="Encabezado"/>
              <w:ind w:left="182" w:right="1700"/>
              <w:jc w:val="both"/>
              <w:rPr>
                <w:rFonts w:ascii="Arial" w:hAnsi="Arial" w:cs="Arial"/>
                <w:b/>
                <w:iCs/>
                <w:caps/>
                <w:sz w:val="26"/>
                <w:szCs w:val="26"/>
                <w:lang w:val="es-PE"/>
              </w:rPr>
            </w:pPr>
            <w:r>
              <w:rPr>
                <w:rFonts w:ascii="Arial" w:hAnsi="Arial" w:cs="Arial"/>
                <w:b/>
                <w:iCs/>
                <w:caps/>
                <w:sz w:val="26"/>
                <w:szCs w:val="26"/>
                <w:lang w:val="es-PE"/>
              </w:rPr>
              <w:t>ACLARACIÓN DE SENTENCIA DEL</w:t>
            </w:r>
          </w:p>
          <w:p w14:paraId="688BD581" w14:textId="77777777" w:rsidR="000C1D4E" w:rsidRDefault="000C1D4E" w:rsidP="00140F11">
            <w:pPr>
              <w:pStyle w:val="Encabezado"/>
              <w:ind w:left="182" w:right="1700"/>
              <w:jc w:val="both"/>
              <w:rPr>
                <w:rFonts w:ascii="Arial" w:hAnsi="Arial" w:cs="Arial"/>
                <w:b/>
                <w:iCs/>
                <w:caps/>
                <w:sz w:val="26"/>
                <w:szCs w:val="26"/>
                <w:lang w:val="es-PE"/>
              </w:rPr>
            </w:pPr>
            <w:r>
              <w:rPr>
                <w:rFonts w:ascii="Arial" w:hAnsi="Arial" w:cs="Arial"/>
                <w:b/>
                <w:iCs/>
                <w:caps/>
                <w:sz w:val="26"/>
                <w:szCs w:val="26"/>
                <w:lang w:val="es-PE"/>
              </w:rPr>
              <w:t>RECURSO DE REVISIÓN 569/2017.</w:t>
            </w:r>
          </w:p>
          <w:p w14:paraId="578AA2F5" w14:textId="77777777" w:rsidR="000C1D4E" w:rsidRDefault="000C1D4E" w:rsidP="00140F11">
            <w:pPr>
              <w:pStyle w:val="Encabezado"/>
              <w:ind w:left="182" w:right="1700"/>
              <w:jc w:val="both"/>
              <w:rPr>
                <w:rFonts w:ascii="Arial" w:hAnsi="Arial" w:cs="Arial"/>
                <w:b/>
                <w:iCs/>
                <w:caps/>
                <w:sz w:val="26"/>
                <w:szCs w:val="26"/>
                <w:lang w:val="es-PE"/>
              </w:rPr>
            </w:pPr>
          </w:p>
          <w:p w14:paraId="7C9A7CD3" w14:textId="77777777" w:rsidR="000C1D4E" w:rsidRDefault="000C1D4E" w:rsidP="00140F11">
            <w:pPr>
              <w:pStyle w:val="Encabezado"/>
              <w:ind w:left="182" w:right="1700" w:hanging="1119"/>
              <w:jc w:val="both"/>
              <w:rPr>
                <w:rFonts w:ascii="Arial" w:hAnsi="Arial" w:cs="Arial"/>
                <w:b/>
                <w:iCs/>
                <w:caps/>
                <w:sz w:val="26"/>
                <w:szCs w:val="26"/>
                <w:lang w:val="es-PE"/>
              </w:rPr>
            </w:pPr>
            <w:r>
              <w:rPr>
                <w:rFonts w:ascii="Arial" w:hAnsi="Arial" w:cs="Arial"/>
                <w:b/>
                <w:iCs/>
                <w:caps/>
                <w:sz w:val="26"/>
                <w:szCs w:val="26"/>
              </w:rPr>
              <w:t xml:space="preserve">               EXPEDIENTE:</w:t>
            </w:r>
            <w:r>
              <w:rPr>
                <w:rFonts w:ascii="Arial" w:hAnsi="Arial" w:cs="Arial"/>
                <w:b/>
                <w:iCs/>
                <w:caps/>
                <w:sz w:val="26"/>
                <w:szCs w:val="26"/>
                <w:lang w:val="es-PE"/>
              </w:rPr>
              <w:t xml:space="preserve"> 489/2016 de la Tercera sala unitaria DE PRIMERA INSTANCIA.</w:t>
            </w:r>
          </w:p>
          <w:p w14:paraId="4DB3931A" w14:textId="77777777" w:rsidR="000C1D4E" w:rsidRDefault="000C1D4E" w:rsidP="00140F11">
            <w:pPr>
              <w:pStyle w:val="Encabezado"/>
              <w:ind w:left="182" w:right="1700" w:hanging="1119"/>
              <w:jc w:val="both"/>
              <w:rPr>
                <w:rFonts w:ascii="Arial" w:hAnsi="Arial" w:cs="Arial"/>
                <w:b/>
                <w:iCs/>
                <w:caps/>
                <w:sz w:val="26"/>
                <w:szCs w:val="26"/>
                <w:lang w:val="es-PE"/>
              </w:rPr>
            </w:pPr>
          </w:p>
          <w:p w14:paraId="7D1F2E60" w14:textId="58C10ED3" w:rsidR="000C1D4E" w:rsidRDefault="000C1D4E" w:rsidP="00140F11">
            <w:pPr>
              <w:pStyle w:val="Encabezado"/>
              <w:ind w:left="182" w:right="1700" w:hanging="1134"/>
              <w:jc w:val="both"/>
              <w:rPr>
                <w:rFonts w:ascii="Arial" w:hAnsi="Arial" w:cs="Arial"/>
                <w:b/>
                <w:iCs/>
                <w:caps/>
                <w:sz w:val="26"/>
                <w:szCs w:val="26"/>
                <w:lang w:val="es-PE"/>
              </w:rPr>
            </w:pPr>
            <w:r>
              <w:rPr>
                <w:rFonts w:ascii="Arial" w:hAnsi="Arial" w:cs="Arial"/>
                <w:b/>
                <w:iCs/>
                <w:caps/>
                <w:sz w:val="26"/>
                <w:szCs w:val="26"/>
                <w:lang w:val="es-PE"/>
              </w:rPr>
              <w:t xml:space="preserve">               ponente: magISTRADo </w:t>
            </w:r>
            <w:r>
              <w:rPr>
                <w:rFonts w:ascii="Arial" w:hAnsi="Arial" w:cs="Arial"/>
                <w:b/>
                <w:iCs/>
                <w:sz w:val="26"/>
                <w:szCs w:val="26"/>
                <w:lang w:val="es-PE"/>
              </w:rPr>
              <w:t>ABRAHAM</w:t>
            </w:r>
            <w:r w:rsidR="00140F11">
              <w:rPr>
                <w:rFonts w:ascii="Arial" w:hAnsi="Arial" w:cs="Arial"/>
                <w:b/>
                <w:iCs/>
                <w:sz w:val="26"/>
                <w:szCs w:val="26"/>
                <w:lang w:val="es-PE"/>
              </w:rPr>
              <w:t xml:space="preserve"> </w:t>
            </w:r>
            <w:r>
              <w:rPr>
                <w:rFonts w:ascii="Arial" w:hAnsi="Arial" w:cs="Arial"/>
                <w:b/>
                <w:iCs/>
                <w:sz w:val="26"/>
                <w:szCs w:val="26"/>
                <w:lang w:val="es-PE"/>
              </w:rPr>
              <w:t>SANTIAGO SORIANO</w:t>
            </w:r>
            <w:r>
              <w:rPr>
                <w:rFonts w:ascii="Arial" w:hAnsi="Arial" w:cs="Arial"/>
                <w:b/>
                <w:iCs/>
                <w:caps/>
                <w:sz w:val="26"/>
                <w:szCs w:val="26"/>
                <w:lang w:val="es-PE"/>
              </w:rPr>
              <w:t>.</w:t>
            </w:r>
          </w:p>
        </w:tc>
      </w:tr>
      <w:tr w:rsidR="000C1D4E" w14:paraId="3D319EEE" w14:textId="77777777" w:rsidTr="00140F11">
        <w:trPr>
          <w:trHeight w:val="556"/>
        </w:trPr>
        <w:tc>
          <w:tcPr>
            <w:tcW w:w="2268" w:type="dxa"/>
          </w:tcPr>
          <w:p w14:paraId="15B92D89" w14:textId="77777777" w:rsidR="000C1D4E" w:rsidRDefault="000C1D4E" w:rsidP="001423B2">
            <w:pPr>
              <w:rPr>
                <w:rFonts w:ascii="Arial" w:hAnsi="Arial" w:cs="Arial"/>
                <w:b/>
                <w:sz w:val="26"/>
                <w:szCs w:val="26"/>
              </w:rPr>
            </w:pPr>
          </w:p>
        </w:tc>
        <w:tc>
          <w:tcPr>
            <w:tcW w:w="7149" w:type="dxa"/>
            <w:hideMark/>
          </w:tcPr>
          <w:p w14:paraId="7C1498AA" w14:textId="77777777" w:rsidR="000C1D4E" w:rsidRDefault="000C1D4E" w:rsidP="001423B2">
            <w:pPr>
              <w:tabs>
                <w:tab w:val="left" w:pos="3103"/>
              </w:tabs>
              <w:ind w:left="2961" w:right="1700" w:hanging="2961"/>
              <w:jc w:val="both"/>
              <w:rPr>
                <w:rFonts w:ascii="Arial" w:hAnsi="Arial" w:cs="Arial"/>
                <w:b/>
                <w:iCs/>
                <w:caps/>
                <w:sz w:val="26"/>
                <w:szCs w:val="26"/>
              </w:rPr>
            </w:pPr>
            <w:r>
              <w:rPr>
                <w:rFonts w:ascii="Arial" w:hAnsi="Arial" w:cs="Arial"/>
                <w:b/>
                <w:i/>
                <w:iCs/>
                <w:caps/>
                <w:sz w:val="26"/>
                <w:szCs w:val="26"/>
              </w:rPr>
              <w:t xml:space="preserve">                                   </w:t>
            </w:r>
          </w:p>
        </w:tc>
      </w:tr>
    </w:tbl>
    <w:p w14:paraId="4DF73303" w14:textId="230B7673" w:rsidR="000C1D4E" w:rsidRDefault="000C1D4E" w:rsidP="000C1D4E">
      <w:pPr>
        <w:pStyle w:val="corte4fondo"/>
        <w:ind w:firstLine="0"/>
        <w:rPr>
          <w:b/>
          <w:sz w:val="26"/>
          <w:szCs w:val="26"/>
        </w:rPr>
      </w:pPr>
      <w:r>
        <w:rPr>
          <w:b/>
          <w:sz w:val="26"/>
          <w:szCs w:val="26"/>
        </w:rPr>
        <w:t xml:space="preserve">OAXACA DE JUÁREZ, OAXACA, A </w:t>
      </w:r>
      <w:r w:rsidR="00140F11">
        <w:rPr>
          <w:b/>
          <w:sz w:val="26"/>
          <w:szCs w:val="26"/>
        </w:rPr>
        <w:t xml:space="preserve">OCHO </w:t>
      </w:r>
      <w:r>
        <w:rPr>
          <w:b/>
          <w:sz w:val="26"/>
          <w:szCs w:val="26"/>
        </w:rPr>
        <w:t xml:space="preserve">DE OCTUBRE DE DOS MIL VEINTE. - - - - - - - - - - - - - - - - - - - - - - - - - - - - - - - - - - - - - - </w:t>
      </w:r>
      <w:r w:rsidR="00140F11">
        <w:rPr>
          <w:b/>
          <w:sz w:val="26"/>
          <w:szCs w:val="26"/>
        </w:rPr>
        <w:t xml:space="preserve">- - - - </w:t>
      </w:r>
    </w:p>
    <w:p w14:paraId="2CE2E4F2" w14:textId="4C5ECB45" w:rsidR="000C1D4E" w:rsidRPr="00855801" w:rsidRDefault="000C1D4E" w:rsidP="000C1D4E">
      <w:pPr>
        <w:pStyle w:val="corte4fondo"/>
        <w:ind w:firstLine="0"/>
        <w:rPr>
          <w:sz w:val="26"/>
          <w:szCs w:val="26"/>
          <w:lang w:val="es-MX"/>
        </w:rPr>
      </w:pPr>
      <w:r>
        <w:rPr>
          <w:b/>
          <w:sz w:val="26"/>
          <w:szCs w:val="26"/>
        </w:rPr>
        <w:t xml:space="preserve">    </w:t>
      </w:r>
      <w:r>
        <w:rPr>
          <w:b/>
          <w:sz w:val="26"/>
          <w:szCs w:val="26"/>
          <w:lang w:val="es-MX"/>
        </w:rPr>
        <w:t xml:space="preserve"> VISTOS</w:t>
      </w:r>
      <w:r>
        <w:rPr>
          <w:sz w:val="26"/>
          <w:szCs w:val="26"/>
          <w:lang w:val="es-MX"/>
        </w:rPr>
        <w:t xml:space="preserve">, para resolver la </w:t>
      </w:r>
      <w:r>
        <w:rPr>
          <w:b/>
          <w:sz w:val="26"/>
          <w:szCs w:val="26"/>
          <w:lang w:val="es-MX"/>
        </w:rPr>
        <w:t xml:space="preserve">ACLARACIÓN DE SENTENCIA </w:t>
      </w:r>
      <w:r>
        <w:rPr>
          <w:sz w:val="26"/>
          <w:szCs w:val="26"/>
          <w:lang w:val="es-MX"/>
        </w:rPr>
        <w:t xml:space="preserve">formulada por la </w:t>
      </w:r>
      <w:r w:rsidRPr="00E6731B">
        <w:rPr>
          <w:b/>
          <w:sz w:val="26"/>
          <w:szCs w:val="26"/>
          <w:lang w:val="es-MX"/>
        </w:rPr>
        <w:t>DIRECTORA JURÍDICA DE LA SECRETARÍA DE LA CONTRALORÍA Y TRANSPARENCIA GUBERNAMENTAL DEL ESTADO DE OAXACA</w:t>
      </w:r>
      <w:r>
        <w:rPr>
          <w:sz w:val="26"/>
          <w:szCs w:val="26"/>
          <w:lang w:val="es-MX"/>
        </w:rPr>
        <w:t>, quien promueve por sí y en legal representación del entonces denominado Jefe de la Unidad Jurídica, ahora Unidad Auxiliar y de Recursos de la Subsecretaría de Responsabilidades Administrativas y Anticorrupción de la Secretaría de la Contraloría y Transparencia Gubernamental del Poder Ejecutivo del Estado de Oaxaca;  personería que tiene acreditada en autos del presente cuaderno de revisión.</w:t>
      </w:r>
      <w:r>
        <w:rPr>
          <w:b/>
          <w:sz w:val="26"/>
          <w:szCs w:val="26"/>
          <w:lang w:val="es-MX"/>
        </w:rPr>
        <w:t xml:space="preserve"> </w:t>
      </w:r>
      <w:r>
        <w:rPr>
          <w:sz w:val="26"/>
          <w:szCs w:val="26"/>
          <w:lang w:val="es-MX"/>
        </w:rPr>
        <w:t xml:space="preserve">Con fundamento en los artículos 180 y 181 de la Ley de Justica Administrativa para Estado de Oaxaca, vigente al inicio del expediente natural, </w:t>
      </w:r>
      <w:r w:rsidRPr="00241F94">
        <w:rPr>
          <w:sz w:val="26"/>
          <w:szCs w:val="26"/>
          <w:lang w:val="es-MX"/>
        </w:rPr>
        <w:t>se procede a dictar resolu</w:t>
      </w:r>
      <w:r>
        <w:rPr>
          <w:sz w:val="26"/>
          <w:szCs w:val="26"/>
          <w:lang w:val="es-MX"/>
        </w:rPr>
        <w:t>ción en los siguientes términos:</w:t>
      </w:r>
      <w:r w:rsidR="00140F11">
        <w:rPr>
          <w:sz w:val="26"/>
          <w:szCs w:val="26"/>
          <w:lang w:val="es-MX"/>
        </w:rPr>
        <w:t xml:space="preserve"> - - - - - - - - - - - - - - - - - - - - - - - - - - - - - - - - - - - - - - - - - - - - - </w:t>
      </w:r>
    </w:p>
    <w:p w14:paraId="1775DE46" w14:textId="77777777" w:rsidR="000C1D4E" w:rsidRPr="00800C86" w:rsidRDefault="000C1D4E" w:rsidP="000C1D4E">
      <w:pPr>
        <w:pStyle w:val="corte3centro"/>
        <w:rPr>
          <w:rFonts w:cs="Arial"/>
          <w:sz w:val="26"/>
          <w:szCs w:val="26"/>
          <w:lang w:val="es-MX"/>
        </w:rPr>
      </w:pPr>
      <w:r w:rsidRPr="00800C86">
        <w:rPr>
          <w:rFonts w:cs="Arial"/>
          <w:sz w:val="26"/>
          <w:szCs w:val="26"/>
          <w:lang w:val="es-MX"/>
        </w:rPr>
        <w:t>R E S U L T A N D O</w:t>
      </w:r>
    </w:p>
    <w:p w14:paraId="1FDCEC6A" w14:textId="77777777" w:rsidR="000C1D4E" w:rsidRDefault="000C1D4E" w:rsidP="000C1D4E">
      <w:pPr>
        <w:pStyle w:val="corte3centro"/>
        <w:ind w:right="922"/>
        <w:rPr>
          <w:rFonts w:cs="Arial"/>
          <w:sz w:val="24"/>
          <w:szCs w:val="24"/>
          <w:lang w:val="es-MX"/>
        </w:rPr>
      </w:pPr>
    </w:p>
    <w:p w14:paraId="79664ED5" w14:textId="2DAA65DC" w:rsidR="000C1D4E" w:rsidRDefault="000C1D4E" w:rsidP="000C1D4E">
      <w:pPr>
        <w:pStyle w:val="corte3centro"/>
        <w:jc w:val="both"/>
        <w:rPr>
          <w:rFonts w:cs="Arial"/>
          <w:b w:val="0"/>
          <w:sz w:val="26"/>
          <w:szCs w:val="26"/>
          <w:lang w:val="es-MX"/>
        </w:rPr>
      </w:pPr>
      <w:r>
        <w:rPr>
          <w:rFonts w:cs="Arial"/>
          <w:bCs/>
          <w:sz w:val="24"/>
          <w:szCs w:val="24"/>
          <w:lang w:val="es-MX"/>
        </w:rPr>
        <w:t xml:space="preserve">           PRIMERO.</w:t>
      </w:r>
      <w:r>
        <w:rPr>
          <w:rFonts w:cs="Arial"/>
          <w:sz w:val="24"/>
          <w:szCs w:val="24"/>
          <w:lang w:val="es-MX"/>
        </w:rPr>
        <w:t xml:space="preserve"> </w:t>
      </w:r>
      <w:r>
        <w:rPr>
          <w:rFonts w:cs="Arial"/>
          <w:b w:val="0"/>
          <w:sz w:val="26"/>
          <w:szCs w:val="26"/>
          <w:lang w:val="es-MX"/>
        </w:rPr>
        <w:t xml:space="preserve">El 11 once de septiembre de 2017 dos mil diecisiete, </w:t>
      </w:r>
      <w:r w:rsidR="00617956">
        <w:rPr>
          <w:rFonts w:eastAsiaTheme="minorHAnsi" w:cs="Arial"/>
          <w:bCs/>
          <w:sz w:val="26"/>
          <w:szCs w:val="26"/>
          <w:lang w:val="es-ES" w:eastAsia="en-US"/>
        </w:rPr>
        <w:t>***********</w:t>
      </w:r>
      <w:r>
        <w:rPr>
          <w:rFonts w:cs="Arial"/>
          <w:b w:val="0"/>
          <w:sz w:val="26"/>
          <w:szCs w:val="26"/>
        </w:rPr>
        <w:t>a través de su apoderado legal,</w:t>
      </w:r>
      <w:r>
        <w:rPr>
          <w:rFonts w:cs="Arial"/>
          <w:b w:val="0"/>
          <w:sz w:val="26"/>
          <w:szCs w:val="26"/>
          <w:lang w:val="es-MX"/>
        </w:rPr>
        <w:t xml:space="preserve"> interpuso recurso de revisión en contra de la sentencia de 16 dieciséis de agosto de 2017 dos mil diecisiete dictada en el expediente </w:t>
      </w:r>
      <w:r>
        <w:rPr>
          <w:rFonts w:cs="Arial"/>
          <w:b w:val="0"/>
          <w:sz w:val="26"/>
          <w:szCs w:val="26"/>
        </w:rPr>
        <w:t>489/2016 del índice de la  Tercera</w:t>
      </w:r>
      <w:r w:rsidRPr="00274B7F">
        <w:rPr>
          <w:rFonts w:cs="Arial"/>
          <w:b w:val="0"/>
          <w:sz w:val="26"/>
          <w:szCs w:val="26"/>
        </w:rPr>
        <w:t xml:space="preserve"> Sala Unitaria de Pr</w:t>
      </w:r>
      <w:r>
        <w:rPr>
          <w:rFonts w:cs="Arial"/>
          <w:b w:val="0"/>
          <w:sz w:val="26"/>
          <w:szCs w:val="26"/>
        </w:rPr>
        <w:t>imera Instancia del otrora Tribunal de lo Contencioso Administrativo y de Cuentas del Poder Judicial del Estado de Oaxaca</w:t>
      </w:r>
      <w:r>
        <w:rPr>
          <w:rFonts w:cs="Arial"/>
          <w:b w:val="0"/>
          <w:sz w:val="26"/>
          <w:szCs w:val="26"/>
          <w:lang w:val="es-MX"/>
        </w:rPr>
        <w:t>; medio de impugnación radicado con el número 569/2017 del índice de la Sala Superior del Tribunal y, que resolvió confirmar la sentencia recurrida.</w:t>
      </w:r>
      <w:r w:rsidR="006E1DCB">
        <w:rPr>
          <w:rFonts w:cs="Arial"/>
          <w:b w:val="0"/>
          <w:sz w:val="26"/>
          <w:szCs w:val="26"/>
          <w:lang w:val="es-MX"/>
        </w:rPr>
        <w:t xml:space="preserve"> - - - - - - - - - - - - - - - - - - - - - - - - - - - - -</w:t>
      </w:r>
    </w:p>
    <w:p w14:paraId="64EB47A6" w14:textId="77777777" w:rsidR="000C1D4E" w:rsidRDefault="000C1D4E" w:rsidP="000C1D4E">
      <w:pPr>
        <w:pStyle w:val="corte3centro"/>
        <w:jc w:val="both"/>
        <w:rPr>
          <w:rFonts w:cs="Arial"/>
          <w:b w:val="0"/>
          <w:sz w:val="26"/>
          <w:szCs w:val="26"/>
          <w:lang w:val="es-MX"/>
        </w:rPr>
      </w:pPr>
    </w:p>
    <w:p w14:paraId="31289854" w14:textId="24FCEEC9" w:rsidR="000C1D4E" w:rsidRDefault="000C1D4E" w:rsidP="000C1D4E">
      <w:pPr>
        <w:pStyle w:val="corte3centro"/>
        <w:jc w:val="both"/>
        <w:rPr>
          <w:rFonts w:cs="Arial"/>
          <w:b w:val="0"/>
          <w:sz w:val="26"/>
          <w:szCs w:val="26"/>
          <w:lang w:val="es-MX"/>
        </w:rPr>
      </w:pPr>
      <w:r>
        <w:rPr>
          <w:rFonts w:cs="Arial"/>
          <w:sz w:val="26"/>
          <w:szCs w:val="26"/>
          <w:lang w:val="es-MX"/>
        </w:rPr>
        <w:lastRenderedPageBreak/>
        <w:t xml:space="preserve">          SEGUNDO. </w:t>
      </w:r>
      <w:r>
        <w:rPr>
          <w:rFonts w:cs="Arial"/>
          <w:b w:val="0"/>
          <w:sz w:val="26"/>
          <w:szCs w:val="26"/>
          <w:lang w:val="es-MX"/>
        </w:rPr>
        <w:t>Inconforme con la</w:t>
      </w:r>
      <w:r w:rsidRPr="002F457B">
        <w:rPr>
          <w:rFonts w:cs="Arial"/>
          <w:b w:val="0"/>
          <w:sz w:val="26"/>
          <w:szCs w:val="26"/>
          <w:lang w:val="es-MX"/>
        </w:rPr>
        <w:t xml:space="preserve"> resolución de Sala Superior, el recurrente interpuso juicio de amparo directo en su contra, por lo que el Primer Tribunal Colegiado en Materias Civil y Administrativa del Décimo Tercer Circuito dictó resolución de fecha 15 quince de mayo de 2020 dos mil veinte, </w:t>
      </w:r>
      <w:r>
        <w:rPr>
          <w:rFonts w:cs="Arial"/>
          <w:b w:val="0"/>
          <w:sz w:val="26"/>
          <w:szCs w:val="26"/>
          <w:lang w:val="es-MX"/>
        </w:rPr>
        <w:t xml:space="preserve">en la </w:t>
      </w:r>
      <w:r w:rsidRPr="002F457B">
        <w:rPr>
          <w:rFonts w:cs="Arial"/>
          <w:b w:val="0"/>
          <w:sz w:val="26"/>
          <w:szCs w:val="26"/>
          <w:lang w:val="es-MX"/>
        </w:rPr>
        <w:t xml:space="preserve">que resolvió conceder el Amparo y Protección de la Justicia Federal al ahí </w:t>
      </w:r>
      <w:r>
        <w:rPr>
          <w:rFonts w:cs="Arial"/>
          <w:b w:val="0"/>
          <w:sz w:val="26"/>
          <w:szCs w:val="26"/>
          <w:lang w:val="es-MX"/>
        </w:rPr>
        <w:t>quejoso y, ordenó emitir nueva resolución.</w:t>
      </w:r>
      <w:r w:rsidR="006E1DCB">
        <w:rPr>
          <w:rFonts w:cs="Arial"/>
          <w:b w:val="0"/>
          <w:sz w:val="26"/>
          <w:szCs w:val="26"/>
          <w:lang w:val="es-MX"/>
        </w:rPr>
        <w:t xml:space="preserve"> - - - - -</w:t>
      </w:r>
    </w:p>
    <w:p w14:paraId="7D688D01" w14:textId="77777777" w:rsidR="000C1D4E" w:rsidRPr="002F457B" w:rsidRDefault="000C1D4E" w:rsidP="000C1D4E">
      <w:pPr>
        <w:pStyle w:val="corte3centro"/>
        <w:jc w:val="both"/>
        <w:rPr>
          <w:rFonts w:cs="Arial"/>
          <w:b w:val="0"/>
          <w:sz w:val="26"/>
          <w:szCs w:val="26"/>
          <w:lang w:val="es-MX"/>
        </w:rPr>
      </w:pPr>
    </w:p>
    <w:p w14:paraId="2EF64BF0" w14:textId="1F1DD0CC" w:rsidR="000C1D4E" w:rsidRPr="007318B5" w:rsidRDefault="000C1D4E" w:rsidP="000C1D4E">
      <w:pPr>
        <w:spacing w:line="360" w:lineRule="auto"/>
        <w:ind w:right="49"/>
        <w:jc w:val="both"/>
        <w:rPr>
          <w:rFonts w:ascii="Arial" w:eastAsia="Calibri" w:hAnsi="Arial" w:cs="Arial"/>
          <w:bCs/>
          <w:color w:val="000000"/>
          <w:sz w:val="26"/>
          <w:szCs w:val="26"/>
        </w:rPr>
      </w:pPr>
      <w:r>
        <w:rPr>
          <w:rFonts w:cs="Arial"/>
          <w:b/>
          <w:sz w:val="26"/>
          <w:szCs w:val="26"/>
        </w:rPr>
        <w:t xml:space="preserve">      </w:t>
      </w:r>
      <w:r w:rsidRPr="00E63D54">
        <w:rPr>
          <w:rFonts w:ascii="Arial" w:hAnsi="Arial" w:cs="Arial"/>
          <w:b/>
          <w:bCs/>
          <w:sz w:val="26"/>
          <w:szCs w:val="26"/>
        </w:rPr>
        <w:t>TERCERO.</w:t>
      </w:r>
      <w:r w:rsidRPr="007318B5">
        <w:rPr>
          <w:rFonts w:ascii="Arial" w:hAnsi="Arial" w:cs="Arial"/>
          <w:b/>
          <w:sz w:val="26"/>
          <w:szCs w:val="26"/>
        </w:rPr>
        <w:t xml:space="preserve"> </w:t>
      </w:r>
      <w:r w:rsidRPr="007318B5">
        <w:rPr>
          <w:rFonts w:ascii="Arial" w:hAnsi="Arial" w:cs="Arial"/>
          <w:sz w:val="26"/>
          <w:szCs w:val="26"/>
        </w:rPr>
        <w:t xml:space="preserve">Con fecha 24 veinticuatro de agosto de 2020 dos mil veinte, la Sala Superior del Tribunal dictó resolución en la que se determinó </w:t>
      </w:r>
      <w:r w:rsidRPr="007318B5">
        <w:rPr>
          <w:rFonts w:ascii="Arial" w:hAnsi="Arial" w:cs="Arial"/>
          <w:b/>
          <w:bCs/>
          <w:sz w:val="26"/>
          <w:szCs w:val="26"/>
        </w:rPr>
        <w:t>MODIFICAR</w:t>
      </w:r>
      <w:r w:rsidRPr="007318B5">
        <w:rPr>
          <w:rFonts w:ascii="Arial" w:hAnsi="Arial" w:cs="Arial"/>
          <w:bCs/>
          <w:sz w:val="26"/>
          <w:szCs w:val="26"/>
        </w:rPr>
        <w:t xml:space="preserve"> la sentencia recurrida, </w:t>
      </w:r>
      <w:r w:rsidRPr="007318B5">
        <w:rPr>
          <w:rFonts w:ascii="Arial" w:hAnsi="Arial" w:cs="Arial"/>
          <w:b/>
          <w:bCs/>
          <w:sz w:val="26"/>
          <w:szCs w:val="26"/>
        </w:rPr>
        <w:t>declarando la nulidad lisa y llana</w:t>
      </w:r>
      <w:r w:rsidRPr="007318B5">
        <w:rPr>
          <w:rFonts w:ascii="Arial" w:hAnsi="Arial" w:cs="Arial"/>
          <w:bCs/>
          <w:sz w:val="26"/>
          <w:szCs w:val="26"/>
        </w:rPr>
        <w:t xml:space="preserve"> </w:t>
      </w:r>
      <w:r w:rsidRPr="007318B5">
        <w:rPr>
          <w:rFonts w:ascii="Arial" w:hAnsi="Arial" w:cs="Arial"/>
          <w:sz w:val="26"/>
          <w:szCs w:val="26"/>
        </w:rPr>
        <w:t>del Procedimiento de la Auditoria Especifica a los recursos presupuestales</w:t>
      </w:r>
      <w:r>
        <w:rPr>
          <w:rFonts w:ascii="Arial" w:hAnsi="Arial" w:cs="Arial"/>
          <w:sz w:val="26"/>
          <w:szCs w:val="26"/>
        </w:rPr>
        <w:t>,</w:t>
      </w:r>
      <w:r w:rsidRPr="007318B5">
        <w:rPr>
          <w:rFonts w:ascii="Arial" w:hAnsi="Arial" w:cs="Arial"/>
          <w:sz w:val="26"/>
          <w:szCs w:val="26"/>
        </w:rPr>
        <w:t xml:space="preserve"> que a través de la Coordinación General de Comunicación Social del Poder Ejecutivo del</w:t>
      </w:r>
      <w:r>
        <w:rPr>
          <w:rFonts w:ascii="Arial" w:hAnsi="Arial" w:cs="Arial"/>
          <w:sz w:val="26"/>
          <w:szCs w:val="26"/>
        </w:rPr>
        <w:t xml:space="preserve"> Gobierno del Estado de Oaxaca </w:t>
      </w:r>
      <w:r w:rsidRPr="007318B5">
        <w:rPr>
          <w:rFonts w:ascii="Arial" w:hAnsi="Arial" w:cs="Arial"/>
          <w:sz w:val="26"/>
          <w:szCs w:val="26"/>
        </w:rPr>
        <w:t xml:space="preserve">se ejercieron en los rubros “Programas Adicionales, Impresión, publicaciones y Difusiones Oficiales, Ayudas Diversas, Promociones y Fomento Cultural y Promoción Fomento Económico Estatal” durante el periodo presupuestal de Enero-Noviembre de 2010, de  número </w:t>
      </w:r>
      <w:r w:rsidR="00617956">
        <w:rPr>
          <w:rFonts w:ascii="Arial" w:eastAsiaTheme="minorHAnsi" w:hAnsi="Arial" w:cs="Arial"/>
          <w:bCs/>
          <w:sz w:val="26"/>
          <w:szCs w:val="26"/>
          <w:lang w:val="es-ES" w:eastAsia="en-US"/>
        </w:rPr>
        <w:t>***********</w:t>
      </w:r>
      <w:r w:rsidRPr="007318B5">
        <w:rPr>
          <w:rFonts w:ascii="Arial" w:hAnsi="Arial" w:cs="Arial"/>
          <w:sz w:val="26"/>
          <w:szCs w:val="26"/>
        </w:rPr>
        <w:t xml:space="preserve">, así como la resolución sancionatoria de </w:t>
      </w:r>
      <w:r w:rsidRPr="007318B5">
        <w:rPr>
          <w:rFonts w:ascii="Arial" w:eastAsia="Calibri" w:hAnsi="Arial" w:cs="Arial"/>
          <w:bCs/>
          <w:color w:val="000000"/>
          <w:sz w:val="26"/>
          <w:szCs w:val="26"/>
        </w:rPr>
        <w:t xml:space="preserve">02 dos de mayo de 2014 dos mil catorce dictada por el Director de Procedimientos Jurídicos de la Secretaría de la Contraloría y Transparencia Gubernamental del Gobierno del Estado de Oaxaca, dejándose sin efecto la sanción administrativa y su registro correspondiente, así como la sanción económica, impuestas a Fernando González García, quien ostentó el cargo de Subsecretario de Egresos, Contabilidad y Presupuesto de la Secretaría de Finanzas del Poder Ejecutivo del Estado, consistentes respectivamente en la inhabilitación por el término de veinte años para ocupar cargo público en la Administración Pública Estatal y Municipios de Oaxaca, así como por concepto de retribución que debía hacer a favor del erario público por la cantidad de </w:t>
      </w:r>
      <w:r w:rsidR="00617956">
        <w:rPr>
          <w:rFonts w:ascii="Arial" w:eastAsiaTheme="minorHAnsi" w:hAnsi="Arial" w:cs="Arial"/>
          <w:bCs/>
          <w:sz w:val="26"/>
          <w:szCs w:val="26"/>
          <w:lang w:val="es-ES" w:eastAsia="en-US"/>
        </w:rPr>
        <w:t>***********</w:t>
      </w:r>
      <w:r w:rsidRPr="007318B5">
        <w:rPr>
          <w:rFonts w:ascii="Arial" w:eastAsia="Calibri" w:hAnsi="Arial" w:cs="Arial"/>
          <w:bCs/>
          <w:color w:val="000000"/>
          <w:sz w:val="26"/>
          <w:szCs w:val="26"/>
        </w:rPr>
        <w:t>.</w:t>
      </w:r>
      <w:r w:rsidR="006E1DCB">
        <w:rPr>
          <w:rFonts w:ascii="Arial" w:eastAsia="Calibri" w:hAnsi="Arial" w:cs="Arial"/>
          <w:bCs/>
          <w:color w:val="000000"/>
          <w:sz w:val="26"/>
          <w:szCs w:val="26"/>
        </w:rPr>
        <w:t xml:space="preserve"> - - - - - - - - - - - - - - - - - - - - - - - -</w:t>
      </w:r>
    </w:p>
    <w:p w14:paraId="39CBF14E" w14:textId="2FEFE1BD" w:rsidR="000C1D4E" w:rsidRPr="007318B5" w:rsidRDefault="000C1D4E" w:rsidP="000C1D4E">
      <w:pPr>
        <w:spacing w:line="360" w:lineRule="auto"/>
        <w:ind w:right="49"/>
        <w:jc w:val="both"/>
        <w:rPr>
          <w:rFonts w:ascii="Arial" w:eastAsia="Calibri" w:hAnsi="Arial" w:cs="Arial"/>
          <w:bCs/>
          <w:color w:val="000000"/>
          <w:sz w:val="26"/>
          <w:szCs w:val="26"/>
        </w:rPr>
      </w:pPr>
      <w:r w:rsidRPr="007318B5">
        <w:rPr>
          <w:rFonts w:ascii="Arial" w:eastAsia="Calibri" w:hAnsi="Arial" w:cs="Arial"/>
          <w:bCs/>
          <w:color w:val="000000"/>
          <w:sz w:val="26"/>
          <w:szCs w:val="26"/>
        </w:rPr>
        <w:t xml:space="preserve">      </w:t>
      </w:r>
      <w:r>
        <w:rPr>
          <w:rFonts w:ascii="Arial" w:eastAsia="Calibri" w:hAnsi="Arial" w:cs="Arial"/>
          <w:bCs/>
          <w:color w:val="000000"/>
          <w:sz w:val="26"/>
          <w:szCs w:val="26"/>
        </w:rPr>
        <w:t xml:space="preserve"> Asimismo, se dejó</w:t>
      </w:r>
      <w:r w:rsidRPr="007318B5">
        <w:rPr>
          <w:rFonts w:ascii="Arial" w:eastAsia="Calibri" w:hAnsi="Arial" w:cs="Arial"/>
          <w:bCs/>
          <w:color w:val="000000"/>
          <w:sz w:val="26"/>
          <w:szCs w:val="26"/>
        </w:rPr>
        <w:t xml:space="preserve"> intocada la parte relativa de la sentencia recurrida que no fue materia del recurso de revisión interpuesto por Fernando Gonzáles García, consistente en la nulidad lisa y llana de la resolución de fecha 4 cuatro de agosto de 2016 dos mil dieciséis emitida por el Jefe de la Unidad Auxiliar y de Recursos de la Subsecretaría de Responsabilidades y Transparencia de la Secretaría de la Contraloría y </w:t>
      </w:r>
      <w:r w:rsidRPr="007318B5">
        <w:rPr>
          <w:rFonts w:ascii="Arial" w:eastAsia="Calibri" w:hAnsi="Arial" w:cs="Arial"/>
          <w:bCs/>
          <w:color w:val="000000"/>
          <w:sz w:val="26"/>
          <w:szCs w:val="26"/>
        </w:rPr>
        <w:lastRenderedPageBreak/>
        <w:t>Transparencia Gubernamental del Poder Ejecutivo del Estado de Oaxaca, en el Recurso de Revocación 20/2015.</w:t>
      </w:r>
      <w:r w:rsidR="006E1DCB">
        <w:rPr>
          <w:rFonts w:ascii="Arial" w:eastAsia="Calibri" w:hAnsi="Arial" w:cs="Arial"/>
          <w:bCs/>
          <w:color w:val="000000"/>
          <w:sz w:val="26"/>
          <w:szCs w:val="26"/>
        </w:rPr>
        <w:t xml:space="preserve">- - - - - - - - - - - - - - - - - </w:t>
      </w:r>
    </w:p>
    <w:p w14:paraId="5FF5233D" w14:textId="4D387B09" w:rsidR="000C1D4E" w:rsidRPr="00EC0C3C" w:rsidRDefault="000C1D4E" w:rsidP="000C1D4E">
      <w:pPr>
        <w:pStyle w:val="corte3centro"/>
        <w:spacing w:before="240" w:after="240"/>
        <w:jc w:val="both"/>
        <w:rPr>
          <w:rFonts w:cs="Calibri"/>
          <w:b w:val="0"/>
          <w:sz w:val="26"/>
          <w:szCs w:val="26"/>
        </w:rPr>
      </w:pPr>
      <w:r>
        <w:rPr>
          <w:rFonts w:cs="Arial"/>
          <w:sz w:val="26"/>
          <w:szCs w:val="26"/>
        </w:rPr>
        <w:t xml:space="preserve">          CUARTO. </w:t>
      </w:r>
      <w:r>
        <w:rPr>
          <w:rFonts w:cs="Arial"/>
          <w:b w:val="0"/>
          <w:bCs/>
          <w:color w:val="000000"/>
          <w:sz w:val="26"/>
          <w:szCs w:val="26"/>
          <w:lang w:val="es-ES"/>
        </w:rPr>
        <w:t>Mediante</w:t>
      </w:r>
      <w:r>
        <w:rPr>
          <w:rFonts w:cs="Calibri"/>
          <w:b w:val="0"/>
          <w:sz w:val="26"/>
          <w:szCs w:val="26"/>
        </w:rPr>
        <w:t xml:space="preserve"> el oficio </w:t>
      </w:r>
      <w:r w:rsidR="00617956">
        <w:rPr>
          <w:rFonts w:eastAsiaTheme="minorHAnsi" w:cs="Arial"/>
          <w:bCs/>
          <w:sz w:val="26"/>
          <w:szCs w:val="26"/>
          <w:lang w:val="es-ES" w:eastAsia="en-US"/>
        </w:rPr>
        <w:t>***********</w:t>
      </w:r>
      <w:r>
        <w:rPr>
          <w:rFonts w:cs="Calibri"/>
          <w:b w:val="0"/>
          <w:sz w:val="26"/>
          <w:szCs w:val="26"/>
        </w:rPr>
        <w:t xml:space="preserve">, fechado el 28 veintiocho de septiembre de 2020 dos mil veinte y recibido en esa misma fecha en la ponencia correspondiente; el Secretario General de Acuerdos remitió el oficio </w:t>
      </w:r>
      <w:r w:rsidR="00617956">
        <w:rPr>
          <w:rFonts w:eastAsiaTheme="minorHAnsi" w:cs="Arial"/>
          <w:bCs/>
          <w:sz w:val="26"/>
          <w:szCs w:val="26"/>
          <w:lang w:val="es-ES" w:eastAsia="en-US"/>
        </w:rPr>
        <w:t>***********</w:t>
      </w:r>
      <w:r>
        <w:rPr>
          <w:rFonts w:cs="Calibri"/>
          <w:b w:val="0"/>
          <w:sz w:val="26"/>
          <w:szCs w:val="26"/>
        </w:rPr>
        <w:t xml:space="preserve">, por el cual la </w:t>
      </w:r>
      <w:r>
        <w:rPr>
          <w:rFonts w:cs="Arial"/>
          <w:b w:val="0"/>
          <w:sz w:val="26"/>
          <w:szCs w:val="26"/>
          <w:lang w:val="es-MX"/>
        </w:rPr>
        <w:t>Directora Jurídica de la Secretaría de la Contraloría y Transparencia Gubernamental del Estado de O</w:t>
      </w:r>
      <w:r w:rsidRPr="00E6731B">
        <w:rPr>
          <w:rFonts w:cs="Arial"/>
          <w:b w:val="0"/>
          <w:sz w:val="26"/>
          <w:szCs w:val="26"/>
          <w:lang w:val="es-MX"/>
        </w:rPr>
        <w:t>axaca</w:t>
      </w:r>
      <w:r>
        <w:rPr>
          <w:rFonts w:cs="Arial"/>
          <w:b w:val="0"/>
          <w:sz w:val="26"/>
          <w:szCs w:val="26"/>
          <w:lang w:val="es-MX"/>
        </w:rPr>
        <w:t xml:space="preserve"> promueve Aclaración de sentencia y ofrece pruebas de su parte, oficio contenido en el </w:t>
      </w:r>
      <w:r>
        <w:rPr>
          <w:rFonts w:cs="Calibri"/>
          <w:b w:val="0"/>
          <w:sz w:val="26"/>
          <w:szCs w:val="26"/>
        </w:rPr>
        <w:t xml:space="preserve">cuaderno de recurso de revisión 569/2017, asimismo adjuntó el expediente 489/2016 del índice de la Tercera Sala Unitaria de Primera Instancia de este Tribunal, para el dictado del proyecto correspondiente, mismo que ahora se pronuncia. </w:t>
      </w:r>
      <w:r w:rsidR="006E1DCB">
        <w:rPr>
          <w:rFonts w:cs="Calibri"/>
          <w:b w:val="0"/>
          <w:sz w:val="26"/>
          <w:szCs w:val="26"/>
        </w:rPr>
        <w:t xml:space="preserve">- - - - - - - - - - - - - - - - - - - - - - - - - - - - - - - - - - - - - </w:t>
      </w:r>
    </w:p>
    <w:p w14:paraId="5A55B632" w14:textId="77777777" w:rsidR="000C1D4E" w:rsidRDefault="000C1D4E" w:rsidP="000C1D4E">
      <w:pPr>
        <w:pStyle w:val="corte4fondo"/>
        <w:spacing w:before="240"/>
        <w:ind w:firstLine="0"/>
        <w:jc w:val="center"/>
        <w:rPr>
          <w:b/>
          <w:spacing w:val="120"/>
          <w:sz w:val="24"/>
          <w:szCs w:val="24"/>
        </w:rPr>
      </w:pPr>
      <w:r>
        <w:rPr>
          <w:b/>
          <w:spacing w:val="120"/>
          <w:sz w:val="24"/>
          <w:szCs w:val="24"/>
        </w:rPr>
        <w:t>CONSIDERANDO</w:t>
      </w:r>
    </w:p>
    <w:p w14:paraId="253B909B" w14:textId="2D51905E" w:rsidR="000C1D4E" w:rsidRPr="00584F7F" w:rsidRDefault="000C1D4E" w:rsidP="000C1D4E">
      <w:pPr>
        <w:pStyle w:val="Textoindependiente21"/>
        <w:tabs>
          <w:tab w:val="left" w:pos="7938"/>
        </w:tabs>
        <w:spacing w:before="240" w:line="360" w:lineRule="auto"/>
        <w:ind w:right="18" w:firstLine="709"/>
        <w:rPr>
          <w:rFonts w:ascii="Arial" w:hAnsi="Arial" w:cs="Arial"/>
          <w:sz w:val="26"/>
          <w:szCs w:val="26"/>
        </w:rPr>
      </w:pPr>
      <w:r>
        <w:rPr>
          <w:rFonts w:ascii="Arial" w:hAnsi="Arial" w:cs="Arial"/>
          <w:b/>
          <w:bCs/>
          <w:iCs/>
          <w:sz w:val="26"/>
          <w:szCs w:val="26"/>
        </w:rPr>
        <w:t>PRIMERO.</w:t>
      </w:r>
      <w:r w:rsidRPr="00F37C43">
        <w:rPr>
          <w:rFonts w:ascii="Arial" w:hAnsi="Arial" w:cs="Arial"/>
          <w:b/>
          <w:bCs/>
          <w:iCs/>
          <w:sz w:val="26"/>
          <w:szCs w:val="26"/>
        </w:rPr>
        <w:t xml:space="preserve"> </w:t>
      </w:r>
      <w:r>
        <w:rPr>
          <w:rFonts w:ascii="Arial" w:hAnsi="Arial" w:cs="Arial"/>
          <w:bCs/>
          <w:iCs/>
          <w:sz w:val="26"/>
          <w:szCs w:val="26"/>
        </w:rPr>
        <w:t xml:space="preserve">Esta Sala Superior </w:t>
      </w:r>
      <w:r w:rsidRPr="00F37C43">
        <w:rPr>
          <w:rFonts w:ascii="Arial" w:hAnsi="Arial" w:cs="Arial"/>
          <w:bCs/>
          <w:iCs/>
          <w:sz w:val="26"/>
          <w:szCs w:val="26"/>
        </w:rPr>
        <w:t xml:space="preserve">es competente para conocer del presente asunto, de conformidad con lo dispuesto por </w:t>
      </w:r>
      <w:r>
        <w:rPr>
          <w:rFonts w:ascii="Arial" w:hAnsi="Arial" w:cs="Arial"/>
          <w:bCs/>
          <w:iCs/>
          <w:sz w:val="26"/>
          <w:szCs w:val="26"/>
        </w:rPr>
        <w:t>e</w:t>
      </w:r>
      <w:r w:rsidRPr="00F37C43">
        <w:rPr>
          <w:rFonts w:ascii="Arial" w:hAnsi="Arial" w:cs="Arial"/>
          <w:bCs/>
          <w:iCs/>
          <w:sz w:val="26"/>
          <w:szCs w:val="26"/>
        </w:rPr>
        <w:t>l artículo</w:t>
      </w:r>
      <w:r>
        <w:rPr>
          <w:rFonts w:ascii="Arial" w:hAnsi="Arial" w:cs="Arial"/>
          <w:bCs/>
          <w:iCs/>
          <w:sz w:val="26"/>
          <w:szCs w:val="26"/>
        </w:rPr>
        <w:t xml:space="preserve"> 181</w:t>
      </w:r>
      <w:r w:rsidRPr="00F37C43">
        <w:rPr>
          <w:rFonts w:ascii="Arial" w:hAnsi="Arial" w:cs="Arial"/>
          <w:bCs/>
          <w:iCs/>
          <w:sz w:val="26"/>
          <w:szCs w:val="26"/>
        </w:rPr>
        <w:t xml:space="preserve"> de la Ley de Justicia Administrativa para el Estado de Oaxaca, </w:t>
      </w:r>
      <w:r>
        <w:rPr>
          <w:rFonts w:ascii="Arial" w:hAnsi="Arial" w:cs="Arial"/>
          <w:sz w:val="26"/>
          <w:szCs w:val="26"/>
        </w:rPr>
        <w:t>aplicable por estar vigente al inicio del expediente natural</w:t>
      </w:r>
      <w:r>
        <w:rPr>
          <w:rFonts w:ascii="Arial" w:hAnsi="Arial" w:cs="Arial"/>
          <w:bCs/>
          <w:iCs/>
          <w:sz w:val="26"/>
          <w:szCs w:val="26"/>
        </w:rPr>
        <w:t xml:space="preserve">, </w:t>
      </w:r>
      <w:r w:rsidRPr="00F37C43">
        <w:rPr>
          <w:rFonts w:ascii="Arial" w:hAnsi="Arial" w:cs="Arial"/>
          <w:bCs/>
          <w:iCs/>
          <w:sz w:val="26"/>
          <w:szCs w:val="26"/>
        </w:rPr>
        <w:t>dado que se trata de</w:t>
      </w:r>
      <w:r>
        <w:rPr>
          <w:rFonts w:ascii="Arial" w:hAnsi="Arial" w:cs="Arial"/>
          <w:bCs/>
          <w:iCs/>
          <w:sz w:val="26"/>
          <w:szCs w:val="26"/>
        </w:rPr>
        <w:t xml:space="preserve"> una</w:t>
      </w:r>
      <w:r w:rsidRPr="00F37C43">
        <w:rPr>
          <w:rFonts w:ascii="Arial" w:hAnsi="Arial" w:cs="Arial"/>
          <w:bCs/>
          <w:iCs/>
          <w:sz w:val="26"/>
          <w:szCs w:val="26"/>
        </w:rPr>
        <w:t xml:space="preserve"> </w:t>
      </w:r>
      <w:r>
        <w:rPr>
          <w:rFonts w:ascii="Arial" w:hAnsi="Arial" w:cs="Arial"/>
          <w:bCs/>
          <w:iCs/>
          <w:sz w:val="26"/>
          <w:szCs w:val="26"/>
        </w:rPr>
        <w:t>aclaración de sentencia emitida por esta Sala Superior con fecha 24 veinticuatro de agosto de 2020 dos mil veinte, en el recurso de revisión 569/2017</w:t>
      </w:r>
      <w:r w:rsidRPr="00DC6F95">
        <w:rPr>
          <w:rFonts w:ascii="Arial" w:hAnsi="Arial" w:cs="Arial"/>
          <w:bCs/>
          <w:iCs/>
          <w:sz w:val="26"/>
          <w:szCs w:val="26"/>
        </w:rPr>
        <w:t>.</w:t>
      </w:r>
      <w:r w:rsidR="006E1DCB">
        <w:rPr>
          <w:rFonts w:ascii="Arial" w:hAnsi="Arial" w:cs="Arial"/>
          <w:bCs/>
          <w:iCs/>
          <w:sz w:val="26"/>
          <w:szCs w:val="26"/>
        </w:rPr>
        <w:t xml:space="preserve"> - - - - - - - - - - - - - - - - - - - - - - - - - - - - - - - - - - - - - - - - - - - - -</w:t>
      </w:r>
    </w:p>
    <w:p w14:paraId="7927481F" w14:textId="2D1C3AE5" w:rsidR="000C1D4E" w:rsidRDefault="000C1D4E" w:rsidP="000C1D4E">
      <w:pPr>
        <w:spacing w:before="240" w:line="360" w:lineRule="auto"/>
        <w:ind w:firstLine="708"/>
        <w:jc w:val="both"/>
        <w:rPr>
          <w:rFonts w:ascii="Arial" w:hAnsi="Arial" w:cs="Arial"/>
          <w:bCs/>
          <w:sz w:val="26"/>
          <w:szCs w:val="26"/>
        </w:rPr>
      </w:pPr>
      <w:r w:rsidRPr="00D81DA7">
        <w:rPr>
          <w:rFonts w:ascii="Arial" w:hAnsi="Arial" w:cs="Arial"/>
          <w:b/>
          <w:bCs/>
          <w:sz w:val="26"/>
          <w:szCs w:val="26"/>
        </w:rPr>
        <w:t>SEGUNDO.</w:t>
      </w:r>
      <w:r w:rsidRPr="00D81DA7">
        <w:rPr>
          <w:rFonts w:ascii="Arial" w:hAnsi="Arial" w:cs="Arial"/>
          <w:bCs/>
          <w:sz w:val="26"/>
          <w:szCs w:val="26"/>
        </w:rPr>
        <w:t xml:space="preserve"> </w:t>
      </w:r>
      <w:r>
        <w:rPr>
          <w:rFonts w:ascii="Arial" w:hAnsi="Arial" w:cs="Arial"/>
          <w:bCs/>
          <w:sz w:val="26"/>
          <w:szCs w:val="26"/>
        </w:rPr>
        <w:t xml:space="preserve">La promovente argumenta que </w:t>
      </w:r>
      <w:r w:rsidRPr="005A50FE">
        <w:rPr>
          <w:rFonts w:ascii="Arial" w:hAnsi="Arial" w:cs="Arial"/>
          <w:bCs/>
          <w:i/>
          <w:sz w:val="24"/>
          <w:szCs w:val="24"/>
        </w:rPr>
        <w:t>“…Por lo tanto, esta última sentencia se considera ambigüa y oscura en virtud de que deja una incertidumbre jurídica respecto a la situación procesal que guarda la resolución de fecha cuatro de agosto de 2016 dictada por el entonces Jefe de la Unidad Jurídica, ahora Jefe de la Unidad Auxiliar y de Recursos de la Subsecretaria (sic) de Responsabilidades Administrativas y Anticorrupción  de la Secretaría de la Contraloría  y Transparencia Gubernamental del Poder Ejecutivo  del Estado de Oaxaca, en el Recurso de Revocación número 20/2015, toda vez que no se advierte que esta autoridad que la sala superior de este órgano jurisdiccional se haya pronunciado  respecto de la suerte  legal  que le corresponde a la Resolución del Recurso de Revocación número 20/2015, dejando a mi representada en estado de indefensión pues en el cuerpo de la resolución de fecha veinticuatro de agosto del año en curso no se advierte una relación lógico jurídico del proceder de mi representada con el alcance legal de la resolución dictada en el recurso de revisión 569/2017…”</w:t>
      </w:r>
      <w:r>
        <w:rPr>
          <w:rFonts w:ascii="Arial" w:hAnsi="Arial" w:cs="Arial"/>
          <w:bCs/>
          <w:sz w:val="24"/>
          <w:szCs w:val="24"/>
        </w:rPr>
        <w:t>.</w:t>
      </w:r>
      <w:r w:rsidR="006E1DCB">
        <w:rPr>
          <w:rFonts w:ascii="Arial" w:hAnsi="Arial" w:cs="Arial"/>
          <w:bCs/>
          <w:sz w:val="24"/>
          <w:szCs w:val="24"/>
        </w:rPr>
        <w:t xml:space="preserve"> - - - - - - - - - - -</w:t>
      </w:r>
    </w:p>
    <w:p w14:paraId="7306C7D7" w14:textId="2F0C2761" w:rsidR="000C1D4E" w:rsidRPr="00E63D54" w:rsidRDefault="000C1D4E" w:rsidP="000C1D4E">
      <w:pPr>
        <w:spacing w:before="240" w:line="360" w:lineRule="auto"/>
        <w:ind w:firstLine="708"/>
        <w:jc w:val="both"/>
        <w:rPr>
          <w:rFonts w:ascii="Arial" w:hAnsi="Arial" w:cs="Arial"/>
          <w:sz w:val="26"/>
          <w:szCs w:val="26"/>
        </w:rPr>
      </w:pPr>
      <w:r>
        <w:rPr>
          <w:rFonts w:ascii="Arial" w:hAnsi="Arial" w:cs="Arial"/>
          <w:sz w:val="26"/>
          <w:szCs w:val="26"/>
        </w:rPr>
        <w:lastRenderedPageBreak/>
        <w:t>Ahora, es  importante precisar que la aclaración de sentencia es una institución procesal a favor de los gobernados tendiente a aclarar conceptos ambigüos, oscuros o contradictorios, subsanar omisiones o bien corregir  errores o defectos de la sentencia, sin introducir  conceptos nuevos o alterar su sustancia, ni las razones para decidirlo, a fin de lograr su debía ejecución y cumplir con el derecho fundamental de una administración de justicia completa, lo que se traduce en que las resoluciones deben ser congruentes y exhaustivas.</w:t>
      </w:r>
      <w:r w:rsidR="006E1DCB">
        <w:rPr>
          <w:rFonts w:ascii="Arial" w:hAnsi="Arial" w:cs="Arial"/>
          <w:sz w:val="26"/>
          <w:szCs w:val="26"/>
        </w:rPr>
        <w:t xml:space="preserve"> - - - - - - - - - - - - - - -</w:t>
      </w:r>
    </w:p>
    <w:p w14:paraId="662D899A" w14:textId="004F72F5" w:rsidR="000C1D4E" w:rsidRDefault="000C1D4E" w:rsidP="000C1D4E">
      <w:pPr>
        <w:spacing w:after="360" w:line="360" w:lineRule="auto"/>
        <w:ind w:right="72" w:firstLine="708"/>
        <w:jc w:val="both"/>
        <w:rPr>
          <w:rFonts w:ascii="Arial" w:hAnsi="Arial" w:cs="Arial"/>
          <w:sz w:val="26"/>
          <w:szCs w:val="26"/>
        </w:rPr>
      </w:pPr>
      <w:r>
        <w:rPr>
          <w:rFonts w:ascii="Arial" w:hAnsi="Arial" w:cs="Arial"/>
          <w:sz w:val="26"/>
          <w:szCs w:val="26"/>
        </w:rPr>
        <w:t>En ese contexto y acorde a lo dispuesto por el artículo 180</w:t>
      </w:r>
      <w:r>
        <w:rPr>
          <w:rStyle w:val="Refdenotaalpie"/>
          <w:sz w:val="26"/>
          <w:szCs w:val="26"/>
        </w:rPr>
        <w:footnoteReference w:id="1"/>
      </w:r>
      <w:r>
        <w:rPr>
          <w:rFonts w:ascii="Arial" w:hAnsi="Arial" w:cs="Arial"/>
          <w:sz w:val="26"/>
          <w:szCs w:val="26"/>
        </w:rPr>
        <w:t xml:space="preserve"> de la Ley de Justicia Administrativa para el Estado de Oaxaca, las partes podrán promover la aclaración señalando con toda precisión la contradicción, ambigüedad u oscuridad, cuya aclaración se solicite.</w:t>
      </w:r>
      <w:r w:rsidR="006E1DCB">
        <w:rPr>
          <w:rFonts w:ascii="Arial" w:hAnsi="Arial" w:cs="Arial"/>
          <w:sz w:val="26"/>
          <w:szCs w:val="26"/>
        </w:rPr>
        <w:t xml:space="preserve"> - - -</w:t>
      </w:r>
    </w:p>
    <w:p w14:paraId="7C04B494" w14:textId="02F9D5C2" w:rsidR="000C1D4E" w:rsidRPr="00766890" w:rsidRDefault="000C1D4E" w:rsidP="000C1D4E">
      <w:pPr>
        <w:pStyle w:val="corte3centro"/>
        <w:spacing w:before="240"/>
        <w:ind w:firstLine="708"/>
        <w:jc w:val="both"/>
        <w:rPr>
          <w:rFonts w:cs="Arial"/>
          <w:b w:val="0"/>
          <w:sz w:val="26"/>
          <w:szCs w:val="26"/>
        </w:rPr>
      </w:pPr>
      <w:r>
        <w:rPr>
          <w:rFonts w:cs="Arial"/>
          <w:b w:val="0"/>
          <w:sz w:val="26"/>
          <w:szCs w:val="26"/>
        </w:rPr>
        <w:t>Así, debe considerarse</w:t>
      </w:r>
      <w:r w:rsidRPr="00766890">
        <w:rPr>
          <w:rFonts w:cs="Arial"/>
          <w:b w:val="0"/>
          <w:sz w:val="26"/>
          <w:szCs w:val="26"/>
        </w:rPr>
        <w:t xml:space="preserve"> una resolució</w:t>
      </w:r>
      <w:r>
        <w:rPr>
          <w:rFonts w:cs="Arial"/>
          <w:b w:val="0"/>
          <w:sz w:val="26"/>
          <w:szCs w:val="26"/>
        </w:rPr>
        <w:t>n</w:t>
      </w:r>
      <w:r w:rsidRPr="00766890">
        <w:rPr>
          <w:rFonts w:cs="Arial"/>
          <w:b w:val="0"/>
          <w:sz w:val="26"/>
          <w:szCs w:val="26"/>
        </w:rPr>
        <w:t xml:space="preserve"> </w:t>
      </w:r>
      <w:r>
        <w:rPr>
          <w:rFonts w:cs="Arial"/>
          <w:sz w:val="26"/>
          <w:szCs w:val="26"/>
        </w:rPr>
        <w:t>ambigü</w:t>
      </w:r>
      <w:r w:rsidRPr="00766890">
        <w:rPr>
          <w:rFonts w:cs="Arial"/>
          <w:sz w:val="26"/>
          <w:szCs w:val="26"/>
        </w:rPr>
        <w:t>a</w:t>
      </w:r>
      <w:r>
        <w:rPr>
          <w:rFonts w:cs="Arial"/>
          <w:b w:val="0"/>
          <w:sz w:val="26"/>
          <w:szCs w:val="26"/>
        </w:rPr>
        <w:t xml:space="preserve"> cuando ésta puede tomarse</w:t>
      </w:r>
      <w:r w:rsidRPr="00766890">
        <w:rPr>
          <w:rFonts w:cs="Arial"/>
          <w:b w:val="0"/>
          <w:sz w:val="26"/>
          <w:szCs w:val="26"/>
        </w:rPr>
        <w:t xml:space="preserve"> de varias maneras, o pueda ser interpretada de diferentes modos, de forma que dé motivo a dudas, confusión o incertidumbre, ser </w:t>
      </w:r>
      <w:r w:rsidRPr="00766890">
        <w:rPr>
          <w:rFonts w:cs="Arial"/>
          <w:sz w:val="26"/>
          <w:szCs w:val="26"/>
        </w:rPr>
        <w:t>oscura</w:t>
      </w:r>
      <w:r w:rsidRPr="00766890">
        <w:rPr>
          <w:rFonts w:cs="Arial"/>
          <w:b w:val="0"/>
          <w:sz w:val="26"/>
          <w:szCs w:val="26"/>
        </w:rPr>
        <w:t>: significaría que la determinación carece de claridad, precisión, es confusa, poco inteligible y</w:t>
      </w:r>
      <w:r>
        <w:rPr>
          <w:rFonts w:cs="Arial"/>
          <w:b w:val="0"/>
          <w:sz w:val="26"/>
          <w:szCs w:val="26"/>
        </w:rPr>
        <w:t>,</w:t>
      </w:r>
      <w:r w:rsidRPr="00766890">
        <w:rPr>
          <w:rFonts w:cs="Arial"/>
          <w:b w:val="0"/>
          <w:sz w:val="26"/>
          <w:szCs w:val="26"/>
        </w:rPr>
        <w:t xml:space="preserve"> será </w:t>
      </w:r>
      <w:r w:rsidRPr="00766890">
        <w:rPr>
          <w:rFonts w:cs="Arial"/>
          <w:sz w:val="26"/>
          <w:szCs w:val="26"/>
        </w:rPr>
        <w:t>contradictoria</w:t>
      </w:r>
      <w:r w:rsidRPr="00766890">
        <w:rPr>
          <w:rFonts w:cs="Arial"/>
          <w:b w:val="0"/>
          <w:sz w:val="26"/>
          <w:szCs w:val="26"/>
        </w:rPr>
        <w:t xml:space="preserve"> cuando la misma incluya la negación de una afirmación propia</w:t>
      </w:r>
      <w:r>
        <w:rPr>
          <w:rFonts w:cs="Arial"/>
          <w:b w:val="0"/>
          <w:sz w:val="26"/>
          <w:szCs w:val="26"/>
        </w:rPr>
        <w:t>.</w:t>
      </w:r>
      <w:r w:rsidR="006E1DCB">
        <w:rPr>
          <w:rFonts w:cs="Arial"/>
          <w:b w:val="0"/>
          <w:sz w:val="26"/>
          <w:szCs w:val="26"/>
        </w:rPr>
        <w:t xml:space="preserve"> - - - - - -</w:t>
      </w:r>
    </w:p>
    <w:p w14:paraId="5B909796" w14:textId="5BD4FF8E" w:rsidR="000C1D4E" w:rsidRDefault="000C1D4E" w:rsidP="000C1D4E">
      <w:pPr>
        <w:pStyle w:val="corte3centro"/>
        <w:spacing w:before="240"/>
        <w:ind w:firstLine="708"/>
        <w:jc w:val="both"/>
        <w:rPr>
          <w:rFonts w:eastAsia="Calibri" w:cs="Arial"/>
          <w:b w:val="0"/>
          <w:bCs/>
          <w:sz w:val="26"/>
          <w:szCs w:val="26"/>
        </w:rPr>
      </w:pPr>
      <w:r>
        <w:rPr>
          <w:rFonts w:eastAsia="Calibri" w:cs="Arial"/>
          <w:b w:val="0"/>
          <w:bCs/>
          <w:sz w:val="26"/>
          <w:szCs w:val="26"/>
        </w:rPr>
        <w:t xml:space="preserve">La autoridad promovente al argumentar la parte toral de su aclaración de sentencia, señala que </w:t>
      </w:r>
      <w:r w:rsidRPr="00B84EA7">
        <w:rPr>
          <w:rFonts w:eastAsia="Calibri" w:cs="Arial"/>
          <w:b w:val="0"/>
          <w:bCs/>
          <w:i/>
          <w:sz w:val="26"/>
          <w:szCs w:val="26"/>
        </w:rPr>
        <w:t>“…</w:t>
      </w:r>
      <w:r>
        <w:rPr>
          <w:rFonts w:eastAsia="Calibri" w:cs="Arial"/>
          <w:b w:val="0"/>
          <w:bCs/>
          <w:i/>
          <w:sz w:val="26"/>
          <w:szCs w:val="26"/>
        </w:rPr>
        <w:t xml:space="preserve">no se advierte por esta autoridad  que la sala superior de ese órgano jurisdiccional se haya pronunciado  respecto a la suerte legal que le corresponde a la Resolución del Recurso de Revocación, número 20/2015, dejando a mi representada  en estado de indefensión pues </w:t>
      </w:r>
      <w:r w:rsidRPr="00B84EA7">
        <w:rPr>
          <w:rFonts w:eastAsia="Calibri" w:cs="Arial"/>
          <w:b w:val="0"/>
          <w:bCs/>
          <w:i/>
          <w:sz w:val="26"/>
          <w:szCs w:val="26"/>
        </w:rPr>
        <w:t>en el cuerpo de la resolución de fecha veinticuatro de agosto del año en curso no se advierte una relación lógico jurídico del proceder de mi representada</w:t>
      </w:r>
      <w:r>
        <w:rPr>
          <w:rFonts w:eastAsia="Calibri" w:cs="Arial"/>
          <w:b w:val="0"/>
          <w:bCs/>
          <w:i/>
          <w:sz w:val="26"/>
          <w:szCs w:val="26"/>
        </w:rPr>
        <w:t xml:space="preserve"> con el alcance</w:t>
      </w:r>
      <w:r w:rsidRPr="00B84EA7">
        <w:rPr>
          <w:rFonts w:eastAsia="Calibri" w:cs="Arial"/>
          <w:b w:val="0"/>
          <w:bCs/>
          <w:i/>
          <w:sz w:val="26"/>
          <w:szCs w:val="26"/>
        </w:rPr>
        <w:t xml:space="preserve"> legal de la resolución dictada dentro del recurso de revisión 59/2017…”</w:t>
      </w:r>
      <w:r>
        <w:rPr>
          <w:rStyle w:val="Refdenotaalpie"/>
          <w:rFonts w:eastAsia="Calibri" w:cs="Arial"/>
          <w:b w:val="0"/>
          <w:bCs/>
          <w:i/>
          <w:sz w:val="26"/>
          <w:szCs w:val="26"/>
        </w:rPr>
        <w:footnoteReference w:id="2"/>
      </w:r>
      <w:r>
        <w:rPr>
          <w:rFonts w:eastAsia="Calibri" w:cs="Arial"/>
          <w:b w:val="0"/>
          <w:bCs/>
          <w:sz w:val="26"/>
          <w:szCs w:val="26"/>
        </w:rPr>
        <w:t xml:space="preserve">; </w:t>
      </w:r>
      <w:r w:rsidRPr="001D5CC6">
        <w:rPr>
          <w:rFonts w:eastAsia="Calibri" w:cs="Arial"/>
          <w:bCs/>
          <w:sz w:val="26"/>
          <w:szCs w:val="26"/>
        </w:rPr>
        <w:t>es infundado</w:t>
      </w:r>
      <w:r>
        <w:rPr>
          <w:rFonts w:eastAsia="Calibri" w:cs="Arial"/>
          <w:b w:val="0"/>
          <w:bCs/>
          <w:sz w:val="26"/>
          <w:szCs w:val="26"/>
        </w:rPr>
        <w:t xml:space="preserve"> su planteamiento, pues contrario a lo señalado por la autoridad promovente, esta Sala Superior dentro del Considerando Décimo de la resolución emitida el 24 veinticuatro de agosto del año en curso</w:t>
      </w:r>
      <w:r>
        <w:rPr>
          <w:rStyle w:val="Refdenotaalpie"/>
          <w:rFonts w:eastAsia="Calibri" w:cs="Arial"/>
          <w:b w:val="0"/>
          <w:bCs/>
          <w:sz w:val="26"/>
          <w:szCs w:val="26"/>
        </w:rPr>
        <w:footnoteReference w:id="3"/>
      </w:r>
      <w:r>
        <w:rPr>
          <w:rFonts w:eastAsia="Calibri" w:cs="Arial"/>
          <w:b w:val="0"/>
          <w:bCs/>
          <w:sz w:val="26"/>
          <w:szCs w:val="26"/>
        </w:rPr>
        <w:t xml:space="preserve">, sí se pronunció respecto </w:t>
      </w:r>
      <w:r w:rsidRPr="00816CAF">
        <w:rPr>
          <w:rFonts w:cs="Arial"/>
          <w:b w:val="0"/>
          <w:bCs/>
          <w:sz w:val="26"/>
          <w:szCs w:val="26"/>
        </w:rPr>
        <w:t xml:space="preserve">a la resolución de fecha 4 cuatro de </w:t>
      </w:r>
      <w:r w:rsidRPr="00816CAF">
        <w:rPr>
          <w:rFonts w:cs="Arial"/>
          <w:b w:val="0"/>
          <w:bCs/>
          <w:sz w:val="26"/>
          <w:szCs w:val="26"/>
        </w:rPr>
        <w:lastRenderedPageBreak/>
        <w:t>agosto de 2016 dos mil dieciséis emitida por el ahora denominado Jefe de la Unidad Auxiliar y de Recurso</w:t>
      </w:r>
      <w:r>
        <w:rPr>
          <w:rFonts w:cs="Arial"/>
          <w:b w:val="0"/>
          <w:bCs/>
          <w:sz w:val="26"/>
          <w:szCs w:val="26"/>
        </w:rPr>
        <w:t>s</w:t>
      </w:r>
      <w:r w:rsidRPr="00816CAF">
        <w:rPr>
          <w:rFonts w:cs="Arial"/>
          <w:b w:val="0"/>
          <w:bCs/>
          <w:sz w:val="26"/>
          <w:szCs w:val="26"/>
        </w:rPr>
        <w:t xml:space="preserve"> de la Subsecretaría de Responsabilidades Administrativas y Anticorrupción de la Secretaría de la Contraloría y Transparencia Gubernamental en el recurso de revocación 20/2015</w:t>
      </w:r>
      <w:r>
        <w:rPr>
          <w:rFonts w:cs="Arial"/>
          <w:b w:val="0"/>
          <w:bCs/>
          <w:sz w:val="26"/>
          <w:szCs w:val="26"/>
        </w:rPr>
        <w:t>, pues dejó</w:t>
      </w:r>
      <w:r>
        <w:rPr>
          <w:rFonts w:eastAsia="Calibri" w:cs="Arial"/>
          <w:b w:val="0"/>
          <w:bCs/>
          <w:sz w:val="26"/>
          <w:szCs w:val="26"/>
        </w:rPr>
        <w:t xml:space="preserve"> intocada la parte relativa de la sentencia recurrida</w:t>
      </w:r>
      <w:r w:rsidR="002524CA">
        <w:rPr>
          <w:rFonts w:eastAsia="Calibri" w:cs="Arial"/>
          <w:b w:val="0"/>
          <w:bCs/>
          <w:sz w:val="26"/>
          <w:szCs w:val="26"/>
        </w:rPr>
        <w:t xml:space="preserve"> de primera instancia</w:t>
      </w:r>
      <w:r>
        <w:rPr>
          <w:rFonts w:eastAsia="Calibri" w:cs="Arial"/>
          <w:b w:val="0"/>
          <w:bCs/>
          <w:sz w:val="26"/>
          <w:szCs w:val="26"/>
        </w:rPr>
        <w:t xml:space="preserve"> que declaró la nulidad lisa y llana de la referida resolución</w:t>
      </w:r>
      <w:r w:rsidR="002524CA">
        <w:rPr>
          <w:rFonts w:eastAsia="Calibri" w:cs="Arial"/>
          <w:b w:val="0"/>
          <w:bCs/>
          <w:sz w:val="26"/>
          <w:szCs w:val="26"/>
        </w:rPr>
        <w:t xml:space="preserve"> administrativa</w:t>
      </w:r>
      <w:r>
        <w:rPr>
          <w:rFonts w:eastAsia="Calibri" w:cs="Arial"/>
          <w:b w:val="0"/>
          <w:bCs/>
          <w:sz w:val="26"/>
          <w:szCs w:val="26"/>
        </w:rPr>
        <w:t>, por ende</w:t>
      </w:r>
      <w:r w:rsidR="0055669E">
        <w:rPr>
          <w:rFonts w:eastAsia="Calibri" w:cs="Arial"/>
          <w:b w:val="0"/>
          <w:bCs/>
          <w:sz w:val="26"/>
          <w:szCs w:val="26"/>
        </w:rPr>
        <w:t xml:space="preserve"> quedaron incólume</w:t>
      </w:r>
      <w:r>
        <w:rPr>
          <w:rFonts w:eastAsia="Calibri" w:cs="Arial"/>
          <w:b w:val="0"/>
          <w:bCs/>
          <w:sz w:val="26"/>
          <w:szCs w:val="26"/>
        </w:rPr>
        <w:t xml:space="preserve"> sus consideraciones y sus alcances</w:t>
      </w:r>
      <w:r w:rsidR="0029348C">
        <w:rPr>
          <w:rFonts w:eastAsia="Calibri" w:cs="Arial"/>
          <w:b w:val="0"/>
          <w:bCs/>
          <w:sz w:val="26"/>
          <w:szCs w:val="26"/>
        </w:rPr>
        <w:t xml:space="preserve"> juríd</w:t>
      </w:r>
      <w:r w:rsidR="002524CA">
        <w:rPr>
          <w:rFonts w:eastAsia="Calibri" w:cs="Arial"/>
          <w:b w:val="0"/>
          <w:bCs/>
          <w:sz w:val="26"/>
          <w:szCs w:val="26"/>
        </w:rPr>
        <w:t xml:space="preserve">icos, al no haber sido impugnada en el recurso de revisión, </w:t>
      </w:r>
      <w:r>
        <w:rPr>
          <w:rFonts w:eastAsia="Calibri" w:cs="Arial"/>
          <w:b w:val="0"/>
          <w:bCs/>
          <w:sz w:val="26"/>
          <w:szCs w:val="26"/>
        </w:rPr>
        <w:t>ni</w:t>
      </w:r>
      <w:r w:rsidR="0029348C">
        <w:rPr>
          <w:rFonts w:eastAsia="Calibri" w:cs="Arial"/>
          <w:b w:val="0"/>
          <w:bCs/>
          <w:sz w:val="26"/>
          <w:szCs w:val="26"/>
        </w:rPr>
        <w:t xml:space="preserve"> al haber sido</w:t>
      </w:r>
      <w:r>
        <w:rPr>
          <w:rFonts w:eastAsia="Calibri" w:cs="Arial"/>
          <w:b w:val="0"/>
          <w:bCs/>
          <w:sz w:val="26"/>
          <w:szCs w:val="26"/>
        </w:rPr>
        <w:t xml:space="preserve"> materia del juici</w:t>
      </w:r>
      <w:r w:rsidR="0029348C">
        <w:rPr>
          <w:rFonts w:eastAsia="Calibri" w:cs="Arial"/>
          <w:b w:val="0"/>
          <w:bCs/>
          <w:sz w:val="26"/>
          <w:szCs w:val="26"/>
        </w:rPr>
        <w:t>o de amparo directo interpuesto</w:t>
      </w:r>
      <w:r w:rsidR="002524CA">
        <w:rPr>
          <w:rFonts w:eastAsia="Calibri" w:cs="Arial"/>
          <w:b w:val="0"/>
          <w:bCs/>
          <w:sz w:val="26"/>
          <w:szCs w:val="26"/>
        </w:rPr>
        <w:t>s</w:t>
      </w:r>
      <w:r>
        <w:rPr>
          <w:rFonts w:eastAsia="Calibri" w:cs="Arial"/>
          <w:b w:val="0"/>
          <w:bCs/>
          <w:sz w:val="26"/>
          <w:szCs w:val="26"/>
        </w:rPr>
        <w:t xml:space="preserve"> por </w:t>
      </w:r>
      <w:r w:rsidR="00617956">
        <w:rPr>
          <w:rFonts w:eastAsiaTheme="minorHAnsi" w:cs="Arial"/>
          <w:bCs/>
          <w:sz w:val="26"/>
          <w:szCs w:val="26"/>
          <w:lang w:val="es-ES" w:eastAsia="en-US"/>
        </w:rPr>
        <w:t>***********</w:t>
      </w:r>
      <w:r>
        <w:rPr>
          <w:rFonts w:eastAsia="Calibri" w:cs="Arial"/>
          <w:b w:val="0"/>
          <w:bCs/>
          <w:sz w:val="26"/>
          <w:szCs w:val="26"/>
        </w:rPr>
        <w:t>; por lo tanto, no se deja en incertidumbre jurídica, ni en estado de indefensión al Jefe de la Unidad Auxiliar y de Recursos de la Subsecretaría de Responsabilidades Administrativas y Anticorrupción de la Secretaría de la Contraloría y Transparencia Gubernamental del Poder Ejecutivo del Estado de Oaxaca.</w:t>
      </w:r>
      <w:r w:rsidR="006E1DCB">
        <w:rPr>
          <w:rFonts w:eastAsia="Calibri" w:cs="Arial"/>
          <w:b w:val="0"/>
          <w:bCs/>
          <w:sz w:val="26"/>
          <w:szCs w:val="26"/>
        </w:rPr>
        <w:t xml:space="preserve"> - - - - - - - - - - - - - - - - - - - - - - - - - - - - - - - - - - - - - -</w:t>
      </w:r>
      <w:r w:rsidR="0055669E">
        <w:rPr>
          <w:rFonts w:eastAsia="Calibri" w:cs="Arial"/>
          <w:b w:val="0"/>
          <w:bCs/>
          <w:sz w:val="26"/>
          <w:szCs w:val="26"/>
        </w:rPr>
        <w:t xml:space="preserve"> </w:t>
      </w:r>
    </w:p>
    <w:p w14:paraId="55143F37" w14:textId="77777777" w:rsidR="000C1D4E" w:rsidRDefault="000C1D4E" w:rsidP="000C1D4E">
      <w:pPr>
        <w:pStyle w:val="corte3centro"/>
        <w:spacing w:before="240"/>
        <w:jc w:val="both"/>
        <w:rPr>
          <w:rFonts w:eastAsia="Calibri" w:cs="Arial"/>
          <w:b w:val="0"/>
          <w:bCs/>
          <w:sz w:val="26"/>
          <w:szCs w:val="26"/>
        </w:rPr>
      </w:pPr>
      <w:r>
        <w:rPr>
          <w:rFonts w:eastAsia="Calibri" w:cs="Arial"/>
          <w:b w:val="0"/>
          <w:bCs/>
          <w:sz w:val="26"/>
          <w:szCs w:val="26"/>
        </w:rPr>
        <w:t xml:space="preserve">     Para acreditar lo expuesto en líneas precedentes, se transcribe</w:t>
      </w:r>
      <w:r w:rsidRPr="00766890">
        <w:rPr>
          <w:rFonts w:eastAsia="Calibri" w:cs="Arial"/>
          <w:b w:val="0"/>
          <w:bCs/>
          <w:sz w:val="26"/>
          <w:szCs w:val="26"/>
        </w:rPr>
        <w:t xml:space="preserve"> la parte rela</w:t>
      </w:r>
      <w:r>
        <w:rPr>
          <w:rFonts w:eastAsia="Calibri" w:cs="Arial"/>
          <w:b w:val="0"/>
          <w:bCs/>
          <w:sz w:val="26"/>
          <w:szCs w:val="26"/>
        </w:rPr>
        <w:t xml:space="preserve">tiva de la resolución de 24 veinticuatro de agosto de 2020 dos mil veinte, que dice: </w:t>
      </w:r>
    </w:p>
    <w:p w14:paraId="04CA0623" w14:textId="492E3582" w:rsidR="000C1D4E" w:rsidRPr="00A05639" w:rsidRDefault="000C1D4E" w:rsidP="006E1DCB">
      <w:pPr>
        <w:spacing w:line="360" w:lineRule="auto"/>
        <w:ind w:left="567" w:right="709"/>
        <w:jc w:val="both"/>
        <w:rPr>
          <w:rFonts w:ascii="Calibri" w:eastAsia="Calibri" w:hAnsi="Calibri" w:cs="Arial"/>
          <w:b/>
          <w:bCs/>
          <w:color w:val="000000"/>
        </w:rPr>
      </w:pPr>
      <w:r w:rsidRPr="00A05639">
        <w:rPr>
          <w:rFonts w:ascii="Calibri" w:eastAsia="Calibri" w:hAnsi="Calibri" w:cs="Calibri"/>
          <w:b/>
          <w:bCs/>
          <w:i/>
        </w:rPr>
        <w:t>“…</w:t>
      </w:r>
      <w:r w:rsidRPr="00A05639">
        <w:rPr>
          <w:rFonts w:ascii="Calibri" w:hAnsi="Calibri" w:cs="Arial"/>
        </w:rPr>
        <w:t xml:space="preserve">Por todos los </w:t>
      </w:r>
      <w:r w:rsidRPr="00A05639">
        <w:rPr>
          <w:rFonts w:ascii="Calibri" w:hAnsi="Calibri" w:cs="Arial"/>
          <w:color w:val="000000"/>
        </w:rPr>
        <w:t>argumentos</w:t>
      </w:r>
      <w:r w:rsidRPr="00A05639">
        <w:rPr>
          <w:rFonts w:ascii="Calibri" w:hAnsi="Calibri" w:cs="Arial"/>
          <w:color w:val="FF0000"/>
        </w:rPr>
        <w:t xml:space="preserve"> </w:t>
      </w:r>
      <w:r w:rsidRPr="00A05639">
        <w:rPr>
          <w:rFonts w:ascii="Calibri" w:hAnsi="Calibri" w:cs="Arial"/>
        </w:rPr>
        <w:t xml:space="preserve">plasmados en esta resolución, </w:t>
      </w:r>
      <w:r w:rsidRPr="00A05639">
        <w:rPr>
          <w:rFonts w:ascii="Calibri" w:hAnsi="Calibri" w:cs="Arial"/>
          <w:b/>
        </w:rPr>
        <w:t>SE MODIFICA la sentencia de fecha 16 dieciséis de agosto de 2017 dos mil diecisiete</w:t>
      </w:r>
      <w:r w:rsidRPr="00A05639">
        <w:rPr>
          <w:rFonts w:ascii="Calibri" w:hAnsi="Calibri" w:cs="Arial"/>
        </w:rPr>
        <w:t xml:space="preserve">, dictada por la Tercera Sala Unitaria de Primera Instancia del otrora Tribunal de lo Contencioso Administrativo y de Cuentas del Poder Judicial del Estado de Oaxaca, ahora denominado Tribunal de Justicia Administrativa del Estado de Oaxaca; </w:t>
      </w:r>
      <w:r w:rsidRPr="00A05639">
        <w:rPr>
          <w:rFonts w:ascii="Calibri" w:hAnsi="Calibri" w:cs="Arial"/>
          <w:b/>
        </w:rPr>
        <w:t>DECLARANDOSE LA NULIDAD LISA Y LLANA</w:t>
      </w:r>
      <w:r w:rsidRPr="00A05639">
        <w:rPr>
          <w:rFonts w:ascii="Calibri" w:hAnsi="Calibri" w:cs="Arial"/>
        </w:rPr>
        <w:t xml:space="preserve"> </w:t>
      </w:r>
      <w:r w:rsidRPr="00A05639">
        <w:rPr>
          <w:rFonts w:ascii="Calibri" w:hAnsi="Calibri" w:cs="Arial"/>
          <w:b/>
        </w:rPr>
        <w:t>del Procedimiento de la Auditoria Especifica</w:t>
      </w:r>
      <w:r w:rsidRPr="00A05639">
        <w:rPr>
          <w:rFonts w:ascii="Calibri" w:hAnsi="Calibri" w:cs="Arial"/>
        </w:rPr>
        <w:t xml:space="preserve"> a los recursos presupuestales que a través de la Coordinación General de Comunicación Social del Poder Ejecutivo del Gobierno del Estado de Oaxaca, se ejercieron en los rubros “Programas Adicionales, Impresión, publicaciones y Difusiones Oficiales, Ayudas Diversas, Promociones y Fomento Cultural y Promoción Fomento Económico Estatal” durante el periodo presupuestal de Enero-Noviembre de 2010, de  número </w:t>
      </w:r>
      <w:r w:rsidR="00617956">
        <w:rPr>
          <w:rFonts w:ascii="Arial" w:eastAsiaTheme="minorHAnsi" w:hAnsi="Arial" w:cs="Arial"/>
          <w:bCs/>
          <w:sz w:val="26"/>
          <w:szCs w:val="26"/>
          <w:lang w:val="es-ES" w:eastAsia="en-US"/>
        </w:rPr>
        <w:t>***********</w:t>
      </w:r>
      <w:r w:rsidRPr="00A05639">
        <w:rPr>
          <w:rFonts w:ascii="Calibri" w:hAnsi="Calibri" w:cs="Arial"/>
          <w:b/>
        </w:rPr>
        <w:t>, así como la resolución sancionatoria</w:t>
      </w:r>
      <w:r w:rsidRPr="00A05639">
        <w:rPr>
          <w:rFonts w:ascii="Calibri" w:hAnsi="Calibri" w:cs="Arial"/>
        </w:rPr>
        <w:t xml:space="preserve"> de </w:t>
      </w:r>
      <w:r w:rsidRPr="00A05639">
        <w:rPr>
          <w:rFonts w:ascii="Calibri" w:eastAsia="Calibri" w:hAnsi="Calibri" w:cs="Arial"/>
          <w:bCs/>
          <w:color w:val="000000"/>
        </w:rPr>
        <w:t>02 dos de mayo de 2014 dos mil catorce dictada por el Director de Procedimientos Jurídicos de la Secretaría de la Contraloría y Transparencia Gubernamental del Gobierno del Estado de Oaxaca</w:t>
      </w:r>
      <w:r w:rsidRPr="00A05639">
        <w:rPr>
          <w:rFonts w:ascii="Calibri" w:eastAsia="Calibri" w:hAnsi="Calibri" w:cs="Arial"/>
          <w:b/>
          <w:bCs/>
          <w:color w:val="000000"/>
        </w:rPr>
        <w:t xml:space="preserve">, dejándose sin efecto la sanción administrativa y su registro correspondiente, así como la sanción económica, impuestas a </w:t>
      </w:r>
      <w:r w:rsidR="00617956">
        <w:rPr>
          <w:rFonts w:ascii="Arial" w:eastAsiaTheme="minorHAnsi" w:hAnsi="Arial" w:cs="Arial"/>
          <w:bCs/>
          <w:sz w:val="26"/>
          <w:szCs w:val="26"/>
          <w:lang w:val="es-ES" w:eastAsia="en-US"/>
        </w:rPr>
        <w:t>***********</w:t>
      </w:r>
      <w:r w:rsidRPr="00A05639">
        <w:rPr>
          <w:rFonts w:ascii="Calibri" w:eastAsia="Calibri" w:hAnsi="Calibri" w:cs="Arial"/>
          <w:b/>
          <w:bCs/>
          <w:color w:val="000000"/>
        </w:rPr>
        <w:t xml:space="preserve">, quien ostentó el cargo de Subsecretario de Egresos, Contabilidad y Presupuesto de la Secretaría de Finanzas del Poder Ejecutivo del Estado, consistentes respectivamente en la inhabilitación por el término de veinte años para ocupar cargo público en la Administración Pública Estatal y </w:t>
      </w:r>
      <w:r w:rsidRPr="00A05639">
        <w:rPr>
          <w:rFonts w:ascii="Calibri" w:eastAsia="Calibri" w:hAnsi="Calibri" w:cs="Arial"/>
          <w:b/>
          <w:bCs/>
          <w:color w:val="000000"/>
        </w:rPr>
        <w:lastRenderedPageBreak/>
        <w:t xml:space="preserve">Municipios de Oaxaca, así como por concepto de retribución que debía hacer a favor del erario público por la cantidad de </w:t>
      </w:r>
      <w:r w:rsidR="00617956">
        <w:rPr>
          <w:rFonts w:ascii="Arial" w:eastAsiaTheme="minorHAnsi" w:hAnsi="Arial" w:cs="Arial"/>
          <w:bCs/>
          <w:sz w:val="26"/>
          <w:szCs w:val="26"/>
          <w:lang w:val="es-ES" w:eastAsia="en-US"/>
        </w:rPr>
        <w:t>***********</w:t>
      </w:r>
      <w:r w:rsidRPr="00A05639">
        <w:rPr>
          <w:rFonts w:ascii="Calibri" w:eastAsia="Calibri" w:hAnsi="Calibri" w:cs="Arial"/>
          <w:b/>
          <w:bCs/>
          <w:color w:val="000000"/>
        </w:rPr>
        <w:t>.</w:t>
      </w:r>
    </w:p>
    <w:p w14:paraId="555A286F" w14:textId="4ECBA830" w:rsidR="000C1D4E" w:rsidRPr="00A05639" w:rsidRDefault="000C1D4E" w:rsidP="006E1DCB">
      <w:pPr>
        <w:spacing w:line="360" w:lineRule="auto"/>
        <w:ind w:left="567" w:right="709"/>
        <w:jc w:val="both"/>
        <w:rPr>
          <w:rFonts w:ascii="Calibri" w:eastAsia="Calibri" w:hAnsi="Calibri" w:cs="Arial"/>
          <w:b/>
          <w:bCs/>
          <w:color w:val="000000"/>
        </w:rPr>
      </w:pPr>
      <w:r w:rsidRPr="00A05639">
        <w:rPr>
          <w:rFonts w:ascii="Calibri" w:eastAsia="Calibri" w:hAnsi="Calibri" w:cs="Arial"/>
          <w:b/>
          <w:bCs/>
          <w:color w:val="000000"/>
        </w:rPr>
        <w:t xml:space="preserve">       Asimismo, se deja intocada la parte relativa de la sentencia recurrida que no fue materia del recurso de revisión interpuesto por </w:t>
      </w:r>
      <w:r w:rsidR="00617956">
        <w:rPr>
          <w:rFonts w:ascii="Arial" w:eastAsiaTheme="minorHAnsi" w:hAnsi="Arial" w:cs="Arial"/>
          <w:bCs/>
          <w:sz w:val="26"/>
          <w:szCs w:val="26"/>
          <w:lang w:val="es-ES" w:eastAsia="en-US"/>
        </w:rPr>
        <w:t>***********</w:t>
      </w:r>
      <w:r w:rsidRPr="00A05639">
        <w:rPr>
          <w:rFonts w:ascii="Calibri" w:eastAsia="Calibri" w:hAnsi="Calibri" w:cs="Arial"/>
          <w:b/>
          <w:bCs/>
          <w:color w:val="000000"/>
        </w:rPr>
        <w:t>, consistente en la NULIDAD LISA Y LLANA de la resolución de fecha 4 cuatro de agosto de 2016 dos mil dieciséis emitida por el Jefe de la Unidad Auxiliar y de Recursos de la Subsecretaría de Responsabilidades y Transparencia de la Secretaría de la Contraloría y Transparencia Gubernamental del Poder Ejecutivo del Estado de Oaxaca, en el Recurso de Revocación 20/2015.</w:t>
      </w:r>
    </w:p>
    <w:p w14:paraId="7ECDFB3E" w14:textId="77777777" w:rsidR="000C1D4E" w:rsidRPr="0020231D" w:rsidRDefault="000C1D4E" w:rsidP="006E1DCB">
      <w:pPr>
        <w:spacing w:line="360" w:lineRule="auto"/>
        <w:ind w:left="567" w:right="709"/>
        <w:jc w:val="both"/>
        <w:rPr>
          <w:rFonts w:ascii="Calibri" w:eastAsia="Calibri" w:hAnsi="Calibri" w:cs="Arial"/>
          <w:b/>
          <w:bCs/>
          <w:color w:val="000000"/>
        </w:rPr>
      </w:pPr>
      <w:r w:rsidRPr="00A05639">
        <w:rPr>
          <w:rFonts w:ascii="Calibri" w:eastAsia="Calibri" w:hAnsi="Calibri" w:cs="Arial"/>
          <w:b/>
          <w:bCs/>
          <w:color w:val="000000"/>
        </w:rPr>
        <w:t xml:space="preserve">      </w:t>
      </w:r>
      <w:r w:rsidRPr="00A05639">
        <w:rPr>
          <w:rFonts w:ascii="Calibri" w:hAnsi="Calibri" w:cs="Arial"/>
          <w:color w:val="000000"/>
        </w:rPr>
        <w:t>Por último, a</w:t>
      </w:r>
      <w:r w:rsidRPr="00A05639">
        <w:rPr>
          <w:rFonts w:ascii="Calibri" w:hAnsi="Calibri" w:cs="Arial"/>
        </w:rPr>
        <w:t xml:space="preserve">l haber resultado suficiente el estudio de los agravios invocados en esta resolución, por haber logrado evidenciar la ilegalidad de los actos impugnados y, que estos son de mayor beneficio al recurrente, aun cuando resultaren fundados los demás agravios formulados, </w:t>
      </w:r>
      <w:r w:rsidRPr="00A05639">
        <w:rPr>
          <w:rFonts w:ascii="Calibri" w:hAnsi="Calibri" w:cs="Arial"/>
          <w:u w:val="single"/>
        </w:rPr>
        <w:t>resulta innecesario el análisis de los restantes agravios</w:t>
      </w:r>
      <w:r w:rsidRPr="00A05639">
        <w:rPr>
          <w:rFonts w:ascii="Calibri" w:hAnsi="Calibri" w:cs="Arial"/>
        </w:rPr>
        <w:t>, pues en nada mejoraría la determinación emitida…</w:t>
      </w:r>
      <w:r w:rsidRPr="00A05639">
        <w:rPr>
          <w:rFonts w:ascii="Calibri" w:hAnsi="Calibri" w:cs="Calibri"/>
          <w:b/>
          <w:i/>
        </w:rPr>
        <w:t>”</w:t>
      </w:r>
      <w:r>
        <w:rPr>
          <w:rFonts w:ascii="Calibri" w:hAnsi="Calibri" w:cs="Calibri"/>
          <w:b/>
          <w:i/>
        </w:rPr>
        <w:t>.</w:t>
      </w:r>
    </w:p>
    <w:p w14:paraId="3F2C8052" w14:textId="3D51D0AE" w:rsidR="000C1D4E" w:rsidRDefault="000C1D4E" w:rsidP="000C1D4E">
      <w:pPr>
        <w:spacing w:before="240" w:line="360" w:lineRule="auto"/>
        <w:ind w:firstLine="708"/>
        <w:jc w:val="both"/>
        <w:rPr>
          <w:rFonts w:ascii="Arial" w:hAnsi="Arial" w:cs="Arial"/>
          <w:sz w:val="26"/>
          <w:szCs w:val="26"/>
        </w:rPr>
      </w:pPr>
      <w:r>
        <w:rPr>
          <w:rFonts w:ascii="Arial" w:hAnsi="Arial" w:cs="Arial"/>
          <w:sz w:val="26"/>
          <w:szCs w:val="26"/>
        </w:rPr>
        <w:t>Consecuentemente</w:t>
      </w:r>
      <w:r w:rsidRPr="00EB152F">
        <w:rPr>
          <w:rFonts w:ascii="Arial" w:hAnsi="Arial" w:cs="Arial"/>
          <w:sz w:val="26"/>
          <w:szCs w:val="26"/>
        </w:rPr>
        <w:t>,</w:t>
      </w:r>
      <w:r>
        <w:rPr>
          <w:rFonts w:ascii="Arial" w:hAnsi="Arial" w:cs="Arial"/>
          <w:sz w:val="26"/>
          <w:szCs w:val="26"/>
        </w:rPr>
        <w:t xml:space="preserve"> esta Sala Superior advierte que </w:t>
      </w:r>
      <w:r w:rsidRPr="0029348C">
        <w:rPr>
          <w:rFonts w:ascii="Arial" w:hAnsi="Arial" w:cs="Arial"/>
          <w:b/>
          <w:sz w:val="26"/>
          <w:szCs w:val="26"/>
        </w:rPr>
        <w:t>es infundada</w:t>
      </w:r>
      <w:r>
        <w:rPr>
          <w:rFonts w:ascii="Arial" w:hAnsi="Arial" w:cs="Arial"/>
          <w:sz w:val="26"/>
          <w:szCs w:val="26"/>
        </w:rPr>
        <w:t xml:space="preserve"> la aclaración de sentencia promovida por la Directora Jurídica de la Secretaría de la Contraloría y Transparencia Gubernamental, al no actualizarse ninguna de las hipótesis previstas en el artículo 180 de la Ley de Justicia Administrativa para el Estado de Oaxaca.</w:t>
      </w:r>
      <w:r w:rsidR="006E1DCB">
        <w:rPr>
          <w:rFonts w:ascii="Arial" w:hAnsi="Arial" w:cs="Arial"/>
          <w:sz w:val="26"/>
          <w:szCs w:val="26"/>
        </w:rPr>
        <w:t xml:space="preserve"> - - - - - - - - - - -</w:t>
      </w:r>
      <w:r w:rsidR="0029348C">
        <w:rPr>
          <w:rFonts w:ascii="Arial" w:hAnsi="Arial" w:cs="Arial"/>
          <w:sz w:val="26"/>
          <w:szCs w:val="26"/>
        </w:rPr>
        <w:t xml:space="preserve"> - - - - - - - - - - - - - - - - - - - - - - - - - - - - - - - - - - - </w:t>
      </w:r>
    </w:p>
    <w:p w14:paraId="29439AF0" w14:textId="5F3B1FAF" w:rsidR="000C1D4E" w:rsidRPr="00EB152F" w:rsidRDefault="000C1D4E" w:rsidP="000C1D4E">
      <w:pPr>
        <w:spacing w:before="240" w:after="360" w:line="360" w:lineRule="auto"/>
        <w:ind w:firstLine="708"/>
        <w:jc w:val="both"/>
        <w:rPr>
          <w:rFonts w:ascii="Arial" w:hAnsi="Arial" w:cs="Arial"/>
          <w:sz w:val="26"/>
          <w:szCs w:val="26"/>
        </w:rPr>
      </w:pPr>
      <w:r>
        <w:rPr>
          <w:rFonts w:ascii="Arial" w:hAnsi="Arial" w:cs="Arial"/>
          <w:sz w:val="26"/>
          <w:szCs w:val="26"/>
        </w:rPr>
        <w:t>A</w:t>
      </w:r>
      <w:r w:rsidRPr="00EB152F">
        <w:rPr>
          <w:rFonts w:ascii="Arial" w:hAnsi="Arial" w:cs="Arial"/>
          <w:sz w:val="26"/>
          <w:szCs w:val="26"/>
        </w:rPr>
        <w:t>nte las narradas consideraciones, con f</w:t>
      </w:r>
      <w:r>
        <w:rPr>
          <w:rFonts w:ascii="Arial" w:hAnsi="Arial" w:cs="Arial"/>
          <w:sz w:val="26"/>
          <w:szCs w:val="26"/>
        </w:rPr>
        <w:t>undamento en lo dispuesto por los</w:t>
      </w:r>
      <w:r w:rsidRPr="00EB152F">
        <w:rPr>
          <w:rFonts w:ascii="Arial" w:hAnsi="Arial" w:cs="Arial"/>
          <w:sz w:val="26"/>
          <w:szCs w:val="26"/>
        </w:rPr>
        <w:t xml:space="preserve"> artículo</w:t>
      </w:r>
      <w:r>
        <w:rPr>
          <w:rFonts w:ascii="Arial" w:hAnsi="Arial" w:cs="Arial"/>
          <w:sz w:val="26"/>
          <w:szCs w:val="26"/>
        </w:rPr>
        <w:t>s 181 y</w:t>
      </w:r>
      <w:r w:rsidRPr="00EB152F">
        <w:rPr>
          <w:rFonts w:ascii="Arial" w:hAnsi="Arial" w:cs="Arial"/>
          <w:sz w:val="26"/>
          <w:szCs w:val="26"/>
        </w:rPr>
        <w:t xml:space="preserve"> 182 de la Ley de Justicia Administrativa para el Estado, </w:t>
      </w:r>
      <w:r w:rsidR="00141DF0">
        <w:rPr>
          <w:rFonts w:ascii="Arial" w:hAnsi="Arial" w:cs="Arial"/>
          <w:sz w:val="26"/>
          <w:szCs w:val="26"/>
        </w:rPr>
        <w:t xml:space="preserve">vigente al inicio del juicio principal, </w:t>
      </w:r>
      <w:r w:rsidRPr="00EB152F">
        <w:rPr>
          <w:rFonts w:ascii="Arial" w:hAnsi="Arial" w:cs="Arial"/>
          <w:sz w:val="26"/>
          <w:szCs w:val="26"/>
        </w:rPr>
        <w:t>se:</w:t>
      </w:r>
      <w:r w:rsidR="00DC3E0D">
        <w:rPr>
          <w:rFonts w:ascii="Arial" w:hAnsi="Arial" w:cs="Arial"/>
          <w:sz w:val="26"/>
          <w:szCs w:val="26"/>
        </w:rPr>
        <w:t xml:space="preserve"> - - - - - - - - - - - - - </w:t>
      </w:r>
    </w:p>
    <w:p w14:paraId="219BB82A" w14:textId="77777777" w:rsidR="000C1D4E" w:rsidRPr="00EB152F" w:rsidRDefault="000C1D4E" w:rsidP="000C1D4E">
      <w:pPr>
        <w:spacing w:after="240" w:line="360" w:lineRule="auto"/>
        <w:jc w:val="center"/>
        <w:rPr>
          <w:rFonts w:ascii="Arial" w:hAnsi="Arial" w:cs="Arial"/>
          <w:b/>
          <w:sz w:val="26"/>
          <w:szCs w:val="26"/>
        </w:rPr>
      </w:pPr>
      <w:r w:rsidRPr="00EB152F">
        <w:rPr>
          <w:rFonts w:ascii="Arial" w:hAnsi="Arial" w:cs="Arial"/>
          <w:b/>
          <w:sz w:val="26"/>
          <w:szCs w:val="26"/>
        </w:rPr>
        <w:t>R E S U E L V E:</w:t>
      </w:r>
    </w:p>
    <w:p w14:paraId="6DF4E7F7" w14:textId="7BE9A2E8" w:rsidR="000C1D4E" w:rsidRPr="00EB152F" w:rsidRDefault="000C1D4E" w:rsidP="000C1D4E">
      <w:pPr>
        <w:spacing w:line="360" w:lineRule="auto"/>
        <w:jc w:val="both"/>
        <w:rPr>
          <w:rFonts w:ascii="Arial" w:hAnsi="Arial" w:cs="Arial"/>
          <w:sz w:val="26"/>
          <w:szCs w:val="26"/>
        </w:rPr>
      </w:pPr>
      <w:r w:rsidRPr="00EB152F">
        <w:rPr>
          <w:rFonts w:ascii="Arial" w:hAnsi="Arial" w:cs="Arial"/>
          <w:b/>
          <w:sz w:val="26"/>
          <w:szCs w:val="26"/>
        </w:rPr>
        <w:t xml:space="preserve">         PRIMERO.</w:t>
      </w:r>
      <w:r w:rsidRPr="00EB152F">
        <w:rPr>
          <w:rFonts w:ascii="Arial" w:hAnsi="Arial" w:cs="Arial"/>
          <w:sz w:val="26"/>
          <w:szCs w:val="26"/>
        </w:rPr>
        <w:t xml:space="preserve"> </w:t>
      </w:r>
      <w:r w:rsidRPr="00514FBF">
        <w:rPr>
          <w:rFonts w:ascii="Arial" w:hAnsi="Arial" w:cs="Arial"/>
          <w:b/>
          <w:sz w:val="26"/>
          <w:szCs w:val="26"/>
        </w:rPr>
        <w:t>Se declara</w:t>
      </w:r>
      <w:r>
        <w:rPr>
          <w:rFonts w:ascii="Arial" w:hAnsi="Arial" w:cs="Arial"/>
          <w:b/>
          <w:sz w:val="26"/>
          <w:szCs w:val="26"/>
        </w:rPr>
        <w:t xml:space="preserve"> infundada</w:t>
      </w:r>
      <w:r w:rsidRPr="00EB152F">
        <w:rPr>
          <w:rFonts w:ascii="Arial" w:hAnsi="Arial" w:cs="Arial"/>
          <w:b/>
          <w:sz w:val="26"/>
          <w:szCs w:val="26"/>
        </w:rPr>
        <w:t xml:space="preserve"> </w:t>
      </w:r>
      <w:r w:rsidRPr="00514FBF">
        <w:rPr>
          <w:rFonts w:ascii="Arial" w:hAnsi="Arial" w:cs="Arial"/>
          <w:b/>
          <w:sz w:val="26"/>
          <w:szCs w:val="26"/>
        </w:rPr>
        <w:t>la aclaración de sentencia</w:t>
      </w:r>
      <w:r w:rsidRPr="00EB152F">
        <w:rPr>
          <w:rFonts w:ascii="Arial" w:hAnsi="Arial" w:cs="Arial"/>
          <w:sz w:val="26"/>
          <w:szCs w:val="26"/>
        </w:rPr>
        <w:t xml:space="preserve"> solicitada</w:t>
      </w:r>
      <w:r>
        <w:rPr>
          <w:rFonts w:ascii="Arial" w:hAnsi="Arial" w:cs="Arial"/>
          <w:sz w:val="26"/>
          <w:szCs w:val="26"/>
        </w:rPr>
        <w:t xml:space="preserve"> por la Directora Jurídica de la Secretaría de la Contraloría y Transparencia Gubernamental</w:t>
      </w:r>
      <w:r w:rsidRPr="00EB152F">
        <w:rPr>
          <w:rFonts w:ascii="Arial" w:hAnsi="Arial" w:cs="Arial"/>
          <w:sz w:val="26"/>
          <w:szCs w:val="26"/>
        </w:rPr>
        <w:t xml:space="preserve">, </w:t>
      </w:r>
      <w:r>
        <w:rPr>
          <w:rFonts w:ascii="Arial" w:hAnsi="Arial" w:cs="Arial"/>
          <w:sz w:val="26"/>
          <w:szCs w:val="26"/>
        </w:rPr>
        <w:t>en los términos señalados en el Considerando Segundo</w:t>
      </w:r>
      <w:r w:rsidRPr="00EB152F">
        <w:rPr>
          <w:rFonts w:ascii="Arial" w:hAnsi="Arial" w:cs="Arial"/>
          <w:sz w:val="26"/>
          <w:szCs w:val="26"/>
        </w:rPr>
        <w:t xml:space="preserve"> de la presente resolución</w:t>
      </w:r>
      <w:r w:rsidRPr="00EB152F">
        <w:rPr>
          <w:rFonts w:ascii="Arial" w:hAnsi="Arial" w:cs="Arial"/>
          <w:bCs/>
          <w:sz w:val="26"/>
          <w:szCs w:val="26"/>
        </w:rPr>
        <w:t xml:space="preserve">. - </w:t>
      </w:r>
      <w:r w:rsidRPr="00EB152F">
        <w:rPr>
          <w:rFonts w:ascii="Arial" w:hAnsi="Arial" w:cs="Arial"/>
          <w:sz w:val="26"/>
          <w:szCs w:val="26"/>
        </w:rPr>
        <w:t>- - -</w:t>
      </w:r>
      <w:r>
        <w:rPr>
          <w:rFonts w:ascii="Arial" w:hAnsi="Arial" w:cs="Arial"/>
          <w:sz w:val="26"/>
          <w:szCs w:val="26"/>
        </w:rPr>
        <w:t xml:space="preserve"> - - - -</w:t>
      </w:r>
      <w:r w:rsidR="006E1DCB">
        <w:rPr>
          <w:rFonts w:ascii="Arial" w:hAnsi="Arial" w:cs="Arial"/>
          <w:sz w:val="26"/>
          <w:szCs w:val="26"/>
        </w:rPr>
        <w:t xml:space="preserve"> - -  - - - - -</w:t>
      </w:r>
    </w:p>
    <w:p w14:paraId="6773DE39" w14:textId="39311A7C" w:rsidR="000C1D4E" w:rsidRPr="00471597" w:rsidRDefault="000C1D4E" w:rsidP="000C1D4E">
      <w:pPr>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403CFB">
        <w:rPr>
          <w:rFonts w:ascii="Arial" w:hAnsi="Arial" w:cs="Arial"/>
          <w:b/>
          <w:sz w:val="26"/>
          <w:szCs w:val="26"/>
        </w:rPr>
        <w:t>NOTIFÍQUESE Y CUMPLASE,</w:t>
      </w:r>
      <w:r w:rsidRPr="00403CFB">
        <w:rPr>
          <w:rFonts w:ascii="Arial" w:hAnsi="Arial" w:cs="Arial"/>
          <w:sz w:val="26"/>
          <w:szCs w:val="26"/>
        </w:rPr>
        <w:t xml:space="preserve"> </w:t>
      </w:r>
      <w:r>
        <w:rPr>
          <w:rFonts w:ascii="Arial" w:hAnsi="Arial" w:cs="Arial"/>
          <w:sz w:val="26"/>
          <w:szCs w:val="26"/>
        </w:rPr>
        <w:t>con</w:t>
      </w:r>
      <w:r w:rsidRPr="00403CFB">
        <w:rPr>
          <w:rFonts w:ascii="Arial" w:hAnsi="Arial" w:cs="Arial"/>
          <w:sz w:val="26"/>
          <w:szCs w:val="26"/>
        </w:rPr>
        <w:t xml:space="preserve"> copia certi</w:t>
      </w:r>
      <w:r>
        <w:rPr>
          <w:rFonts w:ascii="Arial" w:hAnsi="Arial" w:cs="Arial"/>
          <w:sz w:val="26"/>
          <w:szCs w:val="26"/>
        </w:rPr>
        <w:t>ficada de la misma</w:t>
      </w:r>
      <w:r w:rsidRPr="00403CFB">
        <w:rPr>
          <w:rFonts w:ascii="Arial" w:hAnsi="Arial" w:cs="Arial"/>
          <w:sz w:val="26"/>
          <w:szCs w:val="26"/>
        </w:rPr>
        <w:t>, vuelvan las co</w:t>
      </w:r>
      <w:r>
        <w:rPr>
          <w:rFonts w:ascii="Arial" w:hAnsi="Arial" w:cs="Arial"/>
          <w:sz w:val="26"/>
          <w:szCs w:val="26"/>
        </w:rPr>
        <w:t>nstancias remitidas a la Tercera</w:t>
      </w:r>
      <w:r w:rsidRPr="00403CFB">
        <w:rPr>
          <w:rFonts w:ascii="Arial" w:hAnsi="Arial" w:cs="Arial"/>
          <w:sz w:val="26"/>
          <w:szCs w:val="26"/>
        </w:rPr>
        <w:t xml:space="preserve"> Sala Unitaria de Primera Instancia, </w:t>
      </w:r>
      <w:r w:rsidRPr="00403CFB">
        <w:rPr>
          <w:rFonts w:ascii="Arial" w:eastAsia="Calibri" w:hAnsi="Arial" w:cs="Arial"/>
          <w:sz w:val="26"/>
          <w:szCs w:val="26"/>
        </w:rPr>
        <w:t xml:space="preserve">y en su oportunidad archívese el cuaderno de revisión como concluido. </w:t>
      </w:r>
      <w:r>
        <w:rPr>
          <w:rFonts w:ascii="Arial" w:eastAsia="Calibri" w:hAnsi="Arial" w:cs="Arial"/>
          <w:sz w:val="26"/>
          <w:szCs w:val="26"/>
        </w:rPr>
        <w:t xml:space="preserve">- - - - - - - - - - - - - - - - - - - - - - - - - - </w:t>
      </w:r>
      <w:r w:rsidR="006E1DCB">
        <w:rPr>
          <w:rFonts w:ascii="Arial" w:eastAsia="Calibri" w:hAnsi="Arial" w:cs="Arial"/>
          <w:sz w:val="26"/>
          <w:szCs w:val="26"/>
        </w:rPr>
        <w:t>- - - - - - - -</w:t>
      </w:r>
    </w:p>
    <w:p w14:paraId="25A74AA2" w14:textId="77777777" w:rsidR="00155B60" w:rsidRDefault="00155B60" w:rsidP="00155B60">
      <w:pPr>
        <w:spacing w:before="240" w:line="360" w:lineRule="auto"/>
        <w:ind w:firstLine="708"/>
        <w:jc w:val="both"/>
        <w:rPr>
          <w:rFonts w:ascii="Arial" w:hAnsi="Arial" w:cs="Arial"/>
          <w:sz w:val="26"/>
          <w:szCs w:val="26"/>
        </w:rPr>
      </w:pPr>
      <w:r>
        <w:rPr>
          <w:rFonts w:ascii="Arial" w:hAnsi="Arial" w:cs="Arial"/>
          <w:sz w:val="26"/>
          <w:szCs w:val="26"/>
        </w:rPr>
        <w:lastRenderedPageBreak/>
        <w:t>Así por unanimidad de votos. Lo resolvieron y firmaron los Magistrados Manuel Velasco Alcántara, Abraham Santiago Soriano integrantes de la Sala Superior, con el Magistrado Enrique Pacheco Martínez, en atención a la excusa aprobada del Magistrado Raúl Palomares Palomino, para conocer, discutir y resolver en la presente resolución; quienes actúan con el Licenciado Juan Edy García Coronado, Secretario General de Acuerdos de este Tribunal, que autoriza y da fe.</w:t>
      </w:r>
    </w:p>
    <w:p w14:paraId="1DE6E698" w14:textId="77777777" w:rsidR="00155B60" w:rsidRDefault="00155B60" w:rsidP="00155B60">
      <w:pPr>
        <w:spacing w:before="240" w:line="360" w:lineRule="auto"/>
        <w:ind w:firstLine="708"/>
        <w:jc w:val="both"/>
        <w:rPr>
          <w:rFonts w:ascii="Arial" w:hAnsi="Arial" w:cs="Arial"/>
          <w:sz w:val="26"/>
          <w:szCs w:val="26"/>
        </w:rPr>
      </w:pPr>
    </w:p>
    <w:p w14:paraId="3E292278" w14:textId="77777777" w:rsidR="00155B60" w:rsidRDefault="00155B60" w:rsidP="00155B60">
      <w:pPr>
        <w:spacing w:line="360" w:lineRule="auto"/>
        <w:rPr>
          <w:rFonts w:ascii="Arial" w:hAnsi="Arial" w:cs="Arial"/>
          <w:sz w:val="26"/>
          <w:szCs w:val="26"/>
        </w:rPr>
      </w:pPr>
    </w:p>
    <w:p w14:paraId="4B1C39D9" w14:textId="77777777" w:rsidR="00155B60" w:rsidRDefault="00155B60" w:rsidP="00155B60">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 xml:space="preserve">MAGISTRADO MANUEL VELASCO ALCÁNTARA </w:t>
      </w:r>
    </w:p>
    <w:p w14:paraId="14E41506" w14:textId="77777777" w:rsidR="00155B60" w:rsidRDefault="00155B60" w:rsidP="00155B60">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PRESIDENTE</w:t>
      </w:r>
    </w:p>
    <w:p w14:paraId="0D073CD5" w14:textId="77777777" w:rsidR="00155B60" w:rsidRDefault="00155B60" w:rsidP="00155B60">
      <w:pPr>
        <w:tabs>
          <w:tab w:val="center" w:pos="4135"/>
          <w:tab w:val="left" w:pos="7515"/>
        </w:tabs>
        <w:spacing w:line="360" w:lineRule="auto"/>
        <w:jc w:val="center"/>
        <w:rPr>
          <w:rFonts w:ascii="Arial" w:hAnsi="Arial" w:cs="Arial"/>
          <w:b/>
          <w:bCs/>
          <w:sz w:val="14"/>
          <w:szCs w:val="14"/>
        </w:rPr>
      </w:pPr>
    </w:p>
    <w:p w14:paraId="69B56CF3" w14:textId="77777777" w:rsidR="00155B60" w:rsidRDefault="00155B60" w:rsidP="00155B60">
      <w:pPr>
        <w:tabs>
          <w:tab w:val="center" w:pos="4135"/>
          <w:tab w:val="left" w:pos="7515"/>
        </w:tabs>
        <w:spacing w:line="360" w:lineRule="auto"/>
        <w:jc w:val="center"/>
        <w:rPr>
          <w:rFonts w:ascii="Arial" w:hAnsi="Arial" w:cs="Arial"/>
          <w:sz w:val="26"/>
          <w:szCs w:val="26"/>
        </w:rPr>
      </w:pPr>
    </w:p>
    <w:p w14:paraId="7021A19B" w14:textId="77777777" w:rsidR="00155B60" w:rsidRDefault="00155B60" w:rsidP="00155B60">
      <w:pPr>
        <w:tabs>
          <w:tab w:val="center" w:pos="4135"/>
          <w:tab w:val="left" w:pos="7515"/>
        </w:tabs>
        <w:spacing w:line="360" w:lineRule="auto"/>
        <w:jc w:val="center"/>
        <w:rPr>
          <w:rFonts w:ascii="Arial" w:hAnsi="Arial" w:cs="Arial"/>
          <w:sz w:val="26"/>
          <w:szCs w:val="26"/>
        </w:rPr>
      </w:pPr>
    </w:p>
    <w:p w14:paraId="5541B6C3" w14:textId="77777777" w:rsidR="00155B60" w:rsidRDefault="00155B60" w:rsidP="00155B60">
      <w:pPr>
        <w:tabs>
          <w:tab w:val="center" w:pos="4135"/>
          <w:tab w:val="left" w:pos="7515"/>
        </w:tabs>
        <w:spacing w:line="360" w:lineRule="auto"/>
        <w:jc w:val="center"/>
        <w:rPr>
          <w:rFonts w:ascii="Arial" w:hAnsi="Arial" w:cs="Arial"/>
          <w:sz w:val="26"/>
          <w:szCs w:val="26"/>
        </w:rPr>
      </w:pPr>
    </w:p>
    <w:p w14:paraId="550D2FA1" w14:textId="77777777" w:rsidR="00155B60" w:rsidRDefault="00155B60" w:rsidP="00155B60">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75E916B1" w14:textId="77777777" w:rsidR="00155B60" w:rsidRDefault="00155B60" w:rsidP="00155B60">
      <w:pPr>
        <w:tabs>
          <w:tab w:val="center" w:pos="4135"/>
          <w:tab w:val="left" w:pos="7515"/>
        </w:tabs>
        <w:spacing w:line="360" w:lineRule="auto"/>
        <w:rPr>
          <w:rFonts w:ascii="Arial" w:hAnsi="Arial" w:cs="Arial"/>
          <w:sz w:val="26"/>
          <w:szCs w:val="26"/>
        </w:rPr>
      </w:pPr>
    </w:p>
    <w:p w14:paraId="0A187106" w14:textId="77777777" w:rsidR="00155B60" w:rsidRDefault="00155B60" w:rsidP="00155B60">
      <w:pPr>
        <w:tabs>
          <w:tab w:val="center" w:pos="4135"/>
          <w:tab w:val="left" w:pos="7515"/>
        </w:tabs>
        <w:spacing w:line="360" w:lineRule="auto"/>
        <w:jc w:val="center"/>
        <w:rPr>
          <w:rFonts w:ascii="Arial" w:hAnsi="Arial" w:cs="Arial"/>
          <w:sz w:val="26"/>
          <w:szCs w:val="26"/>
        </w:rPr>
      </w:pPr>
    </w:p>
    <w:p w14:paraId="66B4BC3C" w14:textId="77777777" w:rsidR="00155B60" w:rsidRDefault="00155B60" w:rsidP="00155B60">
      <w:pPr>
        <w:tabs>
          <w:tab w:val="center" w:pos="4135"/>
          <w:tab w:val="left" w:pos="7515"/>
        </w:tabs>
        <w:spacing w:line="360" w:lineRule="auto"/>
        <w:jc w:val="center"/>
        <w:rPr>
          <w:rFonts w:ascii="Arial" w:hAnsi="Arial" w:cs="Arial"/>
          <w:sz w:val="26"/>
          <w:szCs w:val="26"/>
        </w:rPr>
      </w:pPr>
    </w:p>
    <w:p w14:paraId="3EA62775" w14:textId="77777777" w:rsidR="00155B60" w:rsidRDefault="00155B60" w:rsidP="00155B60">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 xml:space="preserve">MAGISTRADO ENRIQUE PACHECO MARTÍNEZ </w:t>
      </w:r>
    </w:p>
    <w:p w14:paraId="07448F4B" w14:textId="77777777" w:rsidR="00155B60" w:rsidRDefault="00155B60" w:rsidP="00155B60">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 xml:space="preserve">INTEGRADO PARA CONOCER, DISCUTIR Y RESOLVER EL PRESENTE ASUNTO POR EXCUSA APROBADA </w:t>
      </w:r>
    </w:p>
    <w:p w14:paraId="6C39F747" w14:textId="77777777" w:rsidR="00155B60" w:rsidRDefault="00155B60" w:rsidP="00155B60">
      <w:pPr>
        <w:tabs>
          <w:tab w:val="center" w:pos="4135"/>
          <w:tab w:val="left" w:pos="7515"/>
        </w:tabs>
        <w:spacing w:line="360" w:lineRule="auto"/>
        <w:rPr>
          <w:rFonts w:ascii="Arial" w:hAnsi="Arial" w:cs="Arial"/>
          <w:sz w:val="26"/>
          <w:szCs w:val="26"/>
        </w:rPr>
      </w:pPr>
    </w:p>
    <w:p w14:paraId="06D04021" w14:textId="77777777" w:rsidR="00155B60" w:rsidRDefault="00155B60" w:rsidP="00155B60">
      <w:pPr>
        <w:tabs>
          <w:tab w:val="center" w:pos="4135"/>
          <w:tab w:val="left" w:pos="7515"/>
        </w:tabs>
        <w:spacing w:line="360" w:lineRule="auto"/>
        <w:rPr>
          <w:rFonts w:ascii="Arial" w:hAnsi="Arial" w:cs="Arial"/>
          <w:sz w:val="26"/>
          <w:szCs w:val="26"/>
        </w:rPr>
      </w:pPr>
    </w:p>
    <w:p w14:paraId="7E38E3AA" w14:textId="77777777" w:rsidR="00155B60" w:rsidRDefault="00155B60" w:rsidP="00155B60">
      <w:pPr>
        <w:tabs>
          <w:tab w:val="center" w:pos="4135"/>
          <w:tab w:val="left" w:pos="7515"/>
        </w:tabs>
        <w:spacing w:line="360" w:lineRule="auto"/>
        <w:rPr>
          <w:rFonts w:ascii="Arial" w:hAnsi="Arial" w:cs="Arial"/>
          <w:sz w:val="26"/>
          <w:szCs w:val="26"/>
        </w:rPr>
      </w:pPr>
    </w:p>
    <w:p w14:paraId="6782DB01" w14:textId="77777777" w:rsidR="00155B60" w:rsidRDefault="00155B60" w:rsidP="00155B60">
      <w:pPr>
        <w:tabs>
          <w:tab w:val="left" w:pos="1925"/>
          <w:tab w:val="center" w:pos="4135"/>
        </w:tabs>
        <w:spacing w:after="0"/>
        <w:jc w:val="center"/>
        <w:rPr>
          <w:rFonts w:ascii="Arial" w:hAnsi="Arial" w:cs="Arial"/>
          <w:sz w:val="26"/>
          <w:szCs w:val="26"/>
        </w:rPr>
      </w:pPr>
      <w:r>
        <w:rPr>
          <w:rFonts w:ascii="Arial" w:hAnsi="Arial" w:cs="Arial"/>
          <w:sz w:val="26"/>
          <w:szCs w:val="26"/>
        </w:rPr>
        <w:t>LICENCIADO JUAN EDY GARCIA CORONADO</w:t>
      </w:r>
    </w:p>
    <w:p w14:paraId="2218A515" w14:textId="77777777" w:rsidR="00155B60" w:rsidRDefault="00155B60" w:rsidP="00155B60">
      <w:pPr>
        <w:spacing w:after="0"/>
        <w:jc w:val="center"/>
        <w:rPr>
          <w:rFonts w:ascii="Calibri" w:hAnsi="Calibri" w:cs="Times New Roman"/>
          <w:sz w:val="26"/>
          <w:szCs w:val="26"/>
        </w:rPr>
      </w:pPr>
      <w:r>
        <w:rPr>
          <w:rFonts w:ascii="Arial" w:hAnsi="Arial" w:cs="Arial"/>
          <w:sz w:val="26"/>
          <w:szCs w:val="26"/>
        </w:rPr>
        <w:t>SECRETARIO GENERAL DE ACUERDOS</w:t>
      </w:r>
    </w:p>
    <w:p w14:paraId="2681E9CD" w14:textId="77777777" w:rsidR="00155B60" w:rsidRDefault="00155B60" w:rsidP="00155B60">
      <w:pPr>
        <w:spacing w:line="360" w:lineRule="auto"/>
        <w:ind w:firstLine="708"/>
        <w:jc w:val="both"/>
        <w:rPr>
          <w:rFonts w:ascii="Arial" w:hAnsi="Arial" w:cs="Arial"/>
          <w:sz w:val="14"/>
          <w:szCs w:val="26"/>
        </w:rPr>
      </w:pPr>
    </w:p>
    <w:p w14:paraId="50453FE0" w14:textId="197A691C" w:rsidR="00BA258A" w:rsidRPr="00156F22" w:rsidRDefault="00BA258A" w:rsidP="00155B60">
      <w:pPr>
        <w:spacing w:line="360" w:lineRule="auto"/>
        <w:ind w:firstLine="708"/>
        <w:jc w:val="both"/>
        <w:rPr>
          <w:rFonts w:ascii="Arial" w:hAnsi="Arial" w:cs="Arial"/>
          <w:sz w:val="14"/>
          <w:szCs w:val="26"/>
        </w:rPr>
      </w:pPr>
    </w:p>
    <w:sectPr w:rsidR="00BA258A" w:rsidRPr="00156F22" w:rsidSect="00140F11">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CD9607" w14:textId="77777777" w:rsidR="00A678B4" w:rsidRDefault="00A678B4">
      <w:pPr>
        <w:spacing w:after="0" w:line="240" w:lineRule="auto"/>
      </w:pPr>
      <w:r>
        <w:separator/>
      </w:r>
    </w:p>
  </w:endnote>
  <w:endnote w:type="continuationSeparator" w:id="0">
    <w:p w14:paraId="6FF1A048" w14:textId="77777777" w:rsidR="00A678B4" w:rsidRDefault="00A67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D97B6E3" w:rsidR="00A80DC8" w:rsidRDefault="00754AD0">
    <w:pPr>
      <w:pStyle w:val="Piedepgina"/>
      <w:jc w:val="center"/>
    </w:pPr>
    <w:r>
      <w:rPr>
        <w:noProof/>
      </w:rPr>
      <mc:AlternateContent>
        <mc:Choice Requires="wps">
          <w:drawing>
            <wp:anchor distT="45720" distB="45720" distL="114300" distR="114300" simplePos="0" relativeHeight="251667456" behindDoc="0" locked="0" layoutInCell="1" allowOverlap="1" wp14:anchorId="64AC861D" wp14:editId="38F60ADA">
              <wp:simplePos x="0" y="0"/>
              <wp:positionH relativeFrom="column">
                <wp:posOffset>-1486535</wp:posOffset>
              </wp:positionH>
              <wp:positionV relativeFrom="paragraph">
                <wp:posOffset>-5200650</wp:posOffset>
              </wp:positionV>
              <wp:extent cx="1071245" cy="811530"/>
              <wp:effectExtent l="0" t="0" r="14605" b="2667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1245" cy="811530"/>
                      </a:xfrm>
                      <a:prstGeom prst="rect">
                        <a:avLst/>
                      </a:prstGeom>
                      <a:solidFill>
                        <a:srgbClr val="FFFFFF"/>
                      </a:solidFill>
                      <a:ln w="9525">
                        <a:solidFill>
                          <a:srgbClr val="000000"/>
                        </a:solidFill>
                        <a:miter lim="800000"/>
                        <a:headEnd/>
                        <a:tailEnd/>
                      </a:ln>
                    </wps:spPr>
                    <wps:txbx>
                      <w:txbxContent>
                        <w:p w14:paraId="0C1819A8" w14:textId="7A8A058E" w:rsidR="00754AD0" w:rsidRDefault="00754AD0" w:rsidP="00754AD0">
                          <w:pPr>
                            <w:rPr>
                              <w:sz w:val="16"/>
                              <w:szCs w:val="16"/>
                            </w:rPr>
                          </w:pPr>
                          <w:r>
                            <w:rPr>
                              <w:sz w:val="16"/>
                              <w:szCs w:val="16"/>
                            </w:rPr>
                            <w:t>Los datos personales están protegidos por el art.116 de la LGTAIP y el art. 56 de la LTAIPEO</w:t>
                          </w:r>
                        </w:p>
                        <w:p w14:paraId="0FAF8CAC" w14:textId="14898397" w:rsidR="00754AD0" w:rsidRDefault="00754A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AC861D" id="_x0000_t202" coordsize="21600,21600" o:spt="202" path="m,l,21600r21600,l21600,xe">
              <v:stroke joinstyle="miter"/>
              <v:path gradientshapeok="t" o:connecttype="rect"/>
            </v:shapetype>
            <v:shape id="Cuadro de texto 2" o:spid="_x0000_s1026" type="#_x0000_t202" style="position:absolute;left:0;text-align:left;margin-left:-117.05pt;margin-top:-409.5pt;width:84.35pt;height:63.9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">
              <v:textbox>
                <w:txbxContent>
                  <w:p w14:paraId="0C1819A8" w14:textId="7A8A058E" w:rsidR="00754AD0" w:rsidRDefault="00754AD0" w:rsidP="00754AD0">
                    <w:pPr>
                      <w:rPr>
                        <w:sz w:val="16"/>
                        <w:szCs w:val="16"/>
                      </w:rPr>
                    </w:pPr>
                    <w:r>
                      <w:rPr>
                        <w:sz w:val="16"/>
                        <w:szCs w:val="16"/>
                      </w:rPr>
                      <w:t>Los datos personales están protegidos por el art.116 de la LGTAIP y el art. 56 de la LTAIPEO</w:t>
                    </w:r>
                  </w:p>
                  <w:p w14:paraId="0FAF8CAC" w14:textId="14898397" w:rsidR="00754AD0" w:rsidRDefault="00754AD0"/>
                </w:txbxContent>
              </v:textbox>
              <w10:wrap type="square"/>
            </v:shape>
          </w:pict>
        </mc:Fallback>
      </mc:AlternateContent>
    </w: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7C2BF0" w14:textId="77777777" w:rsidR="00A678B4" w:rsidRDefault="00A678B4">
      <w:pPr>
        <w:spacing w:after="0" w:line="240" w:lineRule="auto"/>
      </w:pPr>
      <w:r>
        <w:separator/>
      </w:r>
    </w:p>
  </w:footnote>
  <w:footnote w:type="continuationSeparator" w:id="0">
    <w:p w14:paraId="09D56E25" w14:textId="77777777" w:rsidR="00A678B4" w:rsidRDefault="00A678B4">
      <w:pPr>
        <w:spacing w:after="0" w:line="240" w:lineRule="auto"/>
      </w:pPr>
      <w:r>
        <w:continuationSeparator/>
      </w:r>
    </w:p>
  </w:footnote>
  <w:footnote w:id="1">
    <w:p w14:paraId="447A7308" w14:textId="77777777" w:rsidR="000C1D4E" w:rsidRPr="00DD7107" w:rsidRDefault="000C1D4E" w:rsidP="000C1D4E">
      <w:pPr>
        <w:pStyle w:val="Textonotapie"/>
        <w:jc w:val="both"/>
      </w:pPr>
      <w:r>
        <w:rPr>
          <w:rStyle w:val="Refdenotaalpie"/>
        </w:rPr>
        <w:footnoteRef/>
      </w:r>
      <w:r>
        <w:t xml:space="preserve"> “</w:t>
      </w:r>
      <w:r w:rsidRPr="00DD7107">
        <w:rPr>
          <w:b/>
        </w:rPr>
        <w:t>ARTICULO</w:t>
      </w:r>
      <w:r>
        <w:t xml:space="preserve"> 180.- Las partes podrán, si a sus intereses convine, promover aclaración de sentencia, la cual se promoverá por una sola vez ante quien hubiese dictado la resolución, dentro de los cinco días siguientes al en que surta efectos la notificación de la resolución, señalando con toda precisión la contradicción, ambigüedad u oscuridad cuya aclaración se solicite.”</w:t>
      </w:r>
    </w:p>
  </w:footnote>
  <w:footnote w:id="2">
    <w:p w14:paraId="289BC489" w14:textId="77777777" w:rsidR="000C1D4E" w:rsidRPr="00293575" w:rsidRDefault="000C1D4E" w:rsidP="000C1D4E">
      <w:pPr>
        <w:pStyle w:val="Textonotapie"/>
      </w:pPr>
      <w:r>
        <w:rPr>
          <w:rStyle w:val="Refdenotaalpie"/>
        </w:rPr>
        <w:footnoteRef/>
      </w:r>
      <w:r>
        <w:t xml:space="preserve"> Visible a foja 263 (reverso) del cuaderno de recurso de revisión 569/2017.</w:t>
      </w:r>
    </w:p>
  </w:footnote>
  <w:footnote w:id="3">
    <w:p w14:paraId="7ACF924F" w14:textId="77777777" w:rsidR="000C1D4E" w:rsidRPr="00293575" w:rsidRDefault="000C1D4E" w:rsidP="000C1D4E">
      <w:pPr>
        <w:pStyle w:val="Textonotapie"/>
      </w:pPr>
      <w:r>
        <w:rPr>
          <w:rStyle w:val="Refdenotaalpie"/>
        </w:rPr>
        <w:footnoteRef/>
      </w:r>
      <w:r>
        <w:t xml:space="preserve"> Visible a foja 46 de la resolución de fecha 24 veinticuatro de agosto de 2020 dos mil veinte; foja 250 (reverso) del cuaderno de recurso de revisión 569/2017.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0F5C41" w:rsidRDefault="00754AD0">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754AD0">
          <w:rPr>
            <w:noProof/>
            <w:lang w:val="es-ES"/>
          </w:rPr>
          <w:t>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37F8BF7" w:rsidR="000F5C41" w:rsidRDefault="00754AD0">
    <w:pPr>
      <w:pStyle w:val="Encabezado"/>
      <w:jc w:val="center"/>
    </w:pPr>
    <w:bookmarkStart w:id="0" w:name="_GoBack"/>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bookmarkEnd w:id="0"/>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754AD0">
          <w:rPr>
            <w:noProof/>
            <w:lang w:val="es-ES"/>
          </w:rPr>
          <w:t>1</w:t>
        </w:r>
        <w:r w:rsidR="000F5C41">
          <w:fldChar w:fldCharType="end"/>
        </w:r>
      </w:sdtContent>
    </w:sdt>
  </w:p>
  <w:p w14:paraId="51E22156" w14:textId="37777A33"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6FCD4C75">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0E3968CC"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754AD0">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7">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8">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9">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2"/>
  </w:num>
  <w:num w:numId="3">
    <w:abstractNumId w:val="0"/>
  </w:num>
  <w:num w:numId="4">
    <w:abstractNumId w:val="7"/>
  </w:num>
  <w:num w:numId="5">
    <w:abstractNumId w:val="9"/>
  </w:num>
  <w:num w:numId="6">
    <w:abstractNumId w:val="5"/>
  </w:num>
  <w:num w:numId="7">
    <w:abstractNumId w:val="4"/>
  </w:num>
  <w:num w:numId="8">
    <w:abstractNumId w:val="1"/>
  </w:num>
  <w:num w:numId="9">
    <w:abstractNumId w:val="3"/>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D4E"/>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C8"/>
    <w:rsid w:val="000E4C30"/>
    <w:rsid w:val="000E5501"/>
    <w:rsid w:val="000E5766"/>
    <w:rsid w:val="000E5B3C"/>
    <w:rsid w:val="000E5B66"/>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0F11"/>
    <w:rsid w:val="00141DF0"/>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5B6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4CA"/>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48C"/>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228C"/>
    <w:rsid w:val="00382BDE"/>
    <w:rsid w:val="003859C4"/>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69E"/>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956"/>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3FF8"/>
    <w:rsid w:val="006D428F"/>
    <w:rsid w:val="006D54E1"/>
    <w:rsid w:val="006D5A11"/>
    <w:rsid w:val="006D668F"/>
    <w:rsid w:val="006E0406"/>
    <w:rsid w:val="006E09D6"/>
    <w:rsid w:val="006E1695"/>
    <w:rsid w:val="006E197B"/>
    <w:rsid w:val="006E1AC8"/>
    <w:rsid w:val="006E1DCB"/>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1760"/>
    <w:rsid w:val="00752C85"/>
    <w:rsid w:val="00752CFC"/>
    <w:rsid w:val="00754AD0"/>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9F2"/>
    <w:rsid w:val="008F45EB"/>
    <w:rsid w:val="008F4E1B"/>
    <w:rsid w:val="008F52F4"/>
    <w:rsid w:val="008F743B"/>
    <w:rsid w:val="009011B4"/>
    <w:rsid w:val="0090168E"/>
    <w:rsid w:val="00901AE0"/>
    <w:rsid w:val="009020E0"/>
    <w:rsid w:val="00902FFF"/>
    <w:rsid w:val="00903765"/>
    <w:rsid w:val="00903E8E"/>
    <w:rsid w:val="00904997"/>
    <w:rsid w:val="00905D8A"/>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4280"/>
    <w:rsid w:val="00A64C7D"/>
    <w:rsid w:val="00A64E0F"/>
    <w:rsid w:val="00A654A2"/>
    <w:rsid w:val="00A654DF"/>
    <w:rsid w:val="00A655E9"/>
    <w:rsid w:val="00A66CB2"/>
    <w:rsid w:val="00A678B4"/>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36"/>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3E0D"/>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customStyle="1" w:styleId="corte3centro">
    <w:name w:val="corte3 centro"/>
    <w:basedOn w:val="Normal"/>
    <w:link w:val="corte3centroCar"/>
    <w:rsid w:val="000C1D4E"/>
    <w:pPr>
      <w:spacing w:after="0" w:line="360" w:lineRule="auto"/>
      <w:jc w:val="center"/>
    </w:pPr>
    <w:rPr>
      <w:rFonts w:ascii="Arial" w:eastAsia="Times New Roman" w:hAnsi="Arial" w:cs="Times New Roman"/>
      <w:b/>
      <w:sz w:val="30"/>
      <w:szCs w:val="20"/>
      <w:lang w:val="es-ES_tradnl" w:eastAsia="es-ES"/>
    </w:rPr>
  </w:style>
  <w:style w:type="character" w:customStyle="1" w:styleId="corte4fondoCar">
    <w:name w:val="corte4 fondo Car"/>
    <w:rsid w:val="000C1D4E"/>
    <w:rPr>
      <w:rFonts w:ascii="Arial" w:eastAsia="Times New Roman" w:hAnsi="Arial" w:cs="Times New Roman"/>
      <w:sz w:val="30"/>
      <w:szCs w:val="20"/>
      <w:lang w:val="es-ES_tradnl" w:eastAsia="es-ES"/>
    </w:rPr>
  </w:style>
  <w:style w:type="character" w:customStyle="1" w:styleId="corte3centroCar">
    <w:name w:val="corte3 centro Car"/>
    <w:link w:val="corte3centro"/>
    <w:rsid w:val="000C1D4E"/>
    <w:rPr>
      <w:rFonts w:ascii="Arial" w:eastAsia="Times New Roman" w:hAnsi="Arial" w:cs="Times New Roman"/>
      <w:b/>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484511411">
      <w:bodyDiv w:val="1"/>
      <w:marLeft w:val="0"/>
      <w:marRight w:val="0"/>
      <w:marTop w:val="0"/>
      <w:marBottom w:val="0"/>
      <w:divBdr>
        <w:top w:val="none" w:sz="0" w:space="0" w:color="auto"/>
        <w:left w:val="none" w:sz="0" w:space="0" w:color="auto"/>
        <w:bottom w:val="none" w:sz="0" w:space="0" w:color="auto"/>
        <w:right w:val="none" w:sz="0" w:space="0" w:color="auto"/>
      </w:divBdr>
    </w:div>
    <w:div w:id="646714579">
      <w:bodyDiv w:val="1"/>
      <w:marLeft w:val="0"/>
      <w:marRight w:val="0"/>
      <w:marTop w:val="0"/>
      <w:marBottom w:val="0"/>
      <w:divBdr>
        <w:top w:val="none" w:sz="0" w:space="0" w:color="auto"/>
        <w:left w:val="none" w:sz="0" w:space="0" w:color="auto"/>
        <w:bottom w:val="none" w:sz="0" w:space="0" w:color="auto"/>
        <w:right w:val="none" w:sz="0" w:space="0" w:color="auto"/>
      </w:divBdr>
    </w:div>
    <w:div w:id="88617976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5EC049-559B-459B-BE57-4301BAD23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7</Pages>
  <Words>2280</Words>
  <Characters>12541</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11</cp:revision>
  <cp:lastPrinted>2020-04-13T15:33:00Z</cp:lastPrinted>
  <dcterms:created xsi:type="dcterms:W3CDTF">2020-10-08T20:41:00Z</dcterms:created>
  <dcterms:modified xsi:type="dcterms:W3CDTF">2021-01-25T20:14:00Z</dcterms:modified>
</cp:coreProperties>
</file>