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489" w:rsidRPr="007B0581" w:rsidRDefault="00976489" w:rsidP="00976489">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976489" w:rsidRPr="007B0581" w:rsidRDefault="00976489" w:rsidP="00976489">
      <w:pPr>
        <w:pStyle w:val="corte4fondo"/>
        <w:spacing w:line="276" w:lineRule="auto"/>
        <w:ind w:left="3544" w:right="-521" w:firstLine="0"/>
        <w:rPr>
          <w:rFonts w:cs="Arial"/>
          <w:b/>
          <w:sz w:val="24"/>
          <w:szCs w:val="24"/>
        </w:rPr>
      </w:pPr>
    </w:p>
    <w:p w:rsidR="00976489" w:rsidRPr="007B0581" w:rsidRDefault="00976489" w:rsidP="00976489">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058</w:t>
      </w:r>
      <w:r w:rsidRPr="007B0581">
        <w:rPr>
          <w:rFonts w:cs="Arial"/>
          <w:b/>
          <w:bCs/>
          <w:sz w:val="24"/>
          <w:szCs w:val="24"/>
        </w:rPr>
        <w:t>/202</w:t>
      </w:r>
      <w:r>
        <w:rPr>
          <w:rFonts w:cs="Arial"/>
          <w:b/>
          <w:bCs/>
          <w:sz w:val="24"/>
          <w:szCs w:val="24"/>
        </w:rPr>
        <w:t>2</w:t>
      </w:r>
      <w:r w:rsidRPr="007B0581">
        <w:rPr>
          <w:rFonts w:cs="Arial"/>
          <w:sz w:val="24"/>
          <w:szCs w:val="24"/>
        </w:rPr>
        <w:t xml:space="preserve">. </w:t>
      </w:r>
    </w:p>
    <w:p w:rsidR="00976489" w:rsidRPr="007B0581" w:rsidRDefault="00976489" w:rsidP="00976489">
      <w:pPr>
        <w:pStyle w:val="corte4fondo"/>
        <w:spacing w:line="276" w:lineRule="auto"/>
        <w:ind w:left="3544" w:right="-521" w:firstLine="0"/>
        <w:rPr>
          <w:rFonts w:cs="Arial"/>
          <w:sz w:val="24"/>
          <w:szCs w:val="24"/>
        </w:rPr>
      </w:pPr>
    </w:p>
    <w:p w:rsidR="00976489" w:rsidRPr="007B0581" w:rsidRDefault="00976489" w:rsidP="00976489">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976489" w:rsidRPr="007B0581" w:rsidRDefault="00976489" w:rsidP="00976489">
      <w:pPr>
        <w:pStyle w:val="corte4fondo"/>
        <w:spacing w:line="276" w:lineRule="auto"/>
        <w:ind w:left="3544" w:right="-521" w:firstLine="0"/>
        <w:rPr>
          <w:rFonts w:cs="Arial"/>
          <w:b/>
          <w:i/>
          <w:sz w:val="24"/>
          <w:szCs w:val="24"/>
        </w:rPr>
      </w:pPr>
      <w:r w:rsidRPr="007B0581">
        <w:rPr>
          <w:rFonts w:cs="Arial"/>
          <w:b/>
          <w:i/>
          <w:sz w:val="24"/>
          <w:szCs w:val="24"/>
        </w:rPr>
        <w:t xml:space="preserve"> </w:t>
      </w:r>
    </w:p>
    <w:p w:rsidR="00976489" w:rsidRPr="007B0581" w:rsidRDefault="00976489" w:rsidP="00976489">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 CONSEJO DIRECTIVO DE PENSIONES DEL ESTADO DE OAXACA</w:t>
      </w:r>
      <w:r>
        <w:rPr>
          <w:rFonts w:cs="Arial"/>
          <w:b/>
          <w:sz w:val="24"/>
          <w:szCs w:val="24"/>
        </w:rPr>
        <w:t xml:space="preserve"> Y DIRECTOR GENERAL DE LA OFICINA DE PENSIONES</w:t>
      </w:r>
      <w:r w:rsidRPr="007B0581">
        <w:rPr>
          <w:rFonts w:cs="Arial"/>
          <w:bCs/>
          <w:sz w:val="24"/>
          <w:szCs w:val="24"/>
        </w:rPr>
        <w:t>.</w:t>
      </w:r>
    </w:p>
    <w:p w:rsidR="00976489" w:rsidRPr="007B0581" w:rsidRDefault="00976489" w:rsidP="00976489">
      <w:pPr>
        <w:pStyle w:val="corte4fondo"/>
        <w:spacing w:line="276" w:lineRule="auto"/>
        <w:ind w:left="3544" w:right="51" w:firstLine="0"/>
        <w:rPr>
          <w:rFonts w:cs="Arial"/>
          <w:bCs/>
          <w:sz w:val="24"/>
          <w:szCs w:val="24"/>
        </w:rPr>
      </w:pPr>
    </w:p>
    <w:p w:rsidR="00976489" w:rsidRPr="007B0581" w:rsidRDefault="00976489" w:rsidP="00976489">
      <w:pPr>
        <w:pStyle w:val="corte4fondo"/>
        <w:spacing w:line="276" w:lineRule="auto"/>
        <w:ind w:left="3544" w:right="51" w:firstLine="0"/>
        <w:rPr>
          <w:rFonts w:cs="Arial"/>
          <w:bCs/>
          <w:sz w:val="24"/>
          <w:szCs w:val="24"/>
        </w:rPr>
      </w:pPr>
    </w:p>
    <w:p w:rsidR="00976489" w:rsidRDefault="00976489" w:rsidP="00976489">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CATORCE DE OCTUBRE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976489" w:rsidRDefault="00976489" w:rsidP="00976489">
      <w:pPr>
        <w:spacing w:line="360" w:lineRule="auto"/>
        <w:jc w:val="both"/>
        <w:rPr>
          <w:rFonts w:ascii="Arial" w:hAnsi="Arial" w:cs="Arial"/>
          <w:b/>
          <w:sz w:val="24"/>
          <w:szCs w:val="24"/>
        </w:rPr>
      </w:pPr>
      <w:r w:rsidRPr="007B0581">
        <w:rPr>
          <w:rFonts w:ascii="Arial" w:hAnsi="Arial" w:cs="Arial"/>
          <w:b/>
          <w:sz w:val="24"/>
          <w:szCs w:val="24"/>
        </w:rPr>
        <w:t xml:space="preserve"> </w:t>
      </w:r>
    </w:p>
    <w:p w:rsidR="00976489" w:rsidRPr="007B0581" w:rsidRDefault="00976489" w:rsidP="00976489">
      <w:pPr>
        <w:contextualSpacing/>
        <w:jc w:val="both"/>
        <w:rPr>
          <w:rFonts w:ascii="Arial" w:hAnsi="Arial" w:cs="Arial"/>
          <w:b/>
          <w:sz w:val="24"/>
          <w:szCs w:val="24"/>
        </w:rPr>
      </w:pPr>
    </w:p>
    <w:p w:rsidR="00976489" w:rsidRDefault="00976489" w:rsidP="00976489">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número 0</w:t>
      </w:r>
      <w:r>
        <w:rPr>
          <w:rFonts w:ascii="Arial" w:hAnsi="Arial" w:cs="Arial"/>
          <w:sz w:val="24"/>
          <w:szCs w:val="24"/>
        </w:rPr>
        <w:t>058</w:t>
      </w:r>
      <w:r w:rsidRPr="007B0581">
        <w:rPr>
          <w:rFonts w:ascii="Arial" w:hAnsi="Arial" w:cs="Arial"/>
          <w:sz w:val="24"/>
          <w:szCs w:val="24"/>
        </w:rPr>
        <w:t>/202</w:t>
      </w:r>
      <w:r>
        <w:rPr>
          <w:rFonts w:ascii="Arial" w:hAnsi="Arial" w:cs="Arial"/>
          <w:sz w:val="24"/>
          <w:szCs w:val="24"/>
        </w:rPr>
        <w:t>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 la resolución</w:t>
      </w:r>
      <w:r>
        <w:rPr>
          <w:rFonts w:ascii="Arial" w:hAnsi="Arial" w:cs="Arial"/>
          <w:sz w:val="24"/>
          <w:szCs w:val="24"/>
        </w:rPr>
        <w:t xml:space="preserve"> emitida por el Consejo Directivo de Pensiones del Estado de Oaxaca,</w:t>
      </w:r>
      <w:r w:rsidRPr="007B0581">
        <w:rPr>
          <w:rFonts w:ascii="Arial" w:hAnsi="Arial" w:cs="Arial"/>
          <w:sz w:val="24"/>
          <w:szCs w:val="24"/>
        </w:rPr>
        <w:t xml:space="preserve"> contenida en el oficio </w:t>
      </w:r>
      <w:bookmarkStart w:id="0" w:name="_Hlk83640314"/>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diciembre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bookmarkEnd w:id="0"/>
      <w:r w:rsidRPr="007B0581">
        <w:rPr>
          <w:rFonts w:ascii="Arial" w:hAnsi="Arial" w:cs="Arial"/>
          <w:sz w:val="24"/>
          <w:szCs w:val="24"/>
        </w:rPr>
        <w:t>y;</w:t>
      </w:r>
      <w:r w:rsidRPr="007B0581">
        <w:rPr>
          <w:rFonts w:ascii="Arial" w:hAnsi="Arial" w:cs="Arial"/>
          <w:b/>
          <w:bCs/>
          <w:sz w:val="24"/>
          <w:szCs w:val="24"/>
        </w:rPr>
        <w:t xml:space="preserve"> </w:t>
      </w:r>
    </w:p>
    <w:p w:rsidR="00976489" w:rsidRPr="007B0581" w:rsidRDefault="00976489" w:rsidP="00976489">
      <w:pPr>
        <w:spacing w:line="360" w:lineRule="auto"/>
        <w:jc w:val="both"/>
        <w:rPr>
          <w:rFonts w:ascii="Arial" w:hAnsi="Arial" w:cs="Arial"/>
          <w:b/>
          <w:bCs/>
          <w:sz w:val="24"/>
          <w:szCs w:val="24"/>
        </w:rPr>
      </w:pPr>
    </w:p>
    <w:bookmarkEnd w:id="1"/>
    <w:p w:rsidR="00976489" w:rsidRDefault="00976489" w:rsidP="00976489">
      <w:pPr>
        <w:contextualSpacing/>
        <w:jc w:val="both"/>
        <w:rPr>
          <w:rFonts w:ascii="Arial" w:hAnsi="Arial" w:cs="Arial"/>
          <w:sz w:val="24"/>
          <w:szCs w:val="24"/>
        </w:rPr>
      </w:pPr>
    </w:p>
    <w:p w:rsidR="00976489" w:rsidRDefault="00976489" w:rsidP="00976489">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976489" w:rsidRDefault="00976489" w:rsidP="00976489">
      <w:pPr>
        <w:spacing w:line="360" w:lineRule="auto"/>
        <w:ind w:firstLine="708"/>
        <w:jc w:val="center"/>
        <w:rPr>
          <w:rFonts w:ascii="Arial" w:hAnsi="Arial" w:cs="Arial"/>
          <w:b/>
          <w:spacing w:val="-3"/>
          <w:sz w:val="24"/>
          <w:szCs w:val="24"/>
          <w:lang w:val="es-ES_tradnl"/>
        </w:rPr>
      </w:pPr>
    </w:p>
    <w:p w:rsidR="00976489" w:rsidRPr="007B0581" w:rsidRDefault="00976489" w:rsidP="00976489">
      <w:pPr>
        <w:spacing w:line="360" w:lineRule="auto"/>
        <w:ind w:firstLine="708"/>
        <w:jc w:val="center"/>
        <w:rPr>
          <w:rFonts w:ascii="Arial" w:hAnsi="Arial" w:cs="Arial"/>
          <w:b/>
          <w:spacing w:val="-3"/>
          <w:sz w:val="24"/>
          <w:szCs w:val="24"/>
          <w:lang w:val="es-ES_tradnl"/>
        </w:rPr>
      </w:pPr>
    </w:p>
    <w:p w:rsidR="00976489" w:rsidRPr="007B0581" w:rsidRDefault="00976489" w:rsidP="00976489">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cinco de julio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w:t>
      </w:r>
      <w:bookmarkStart w:id="2" w:name="_Hlk83725409"/>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veinte de diciembre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p>
    <w:bookmarkEnd w:id="2"/>
    <w:p w:rsidR="00976489" w:rsidRPr="007B0581" w:rsidRDefault="00976489" w:rsidP="00976489">
      <w:pPr>
        <w:contextualSpacing/>
        <w:jc w:val="both"/>
        <w:rPr>
          <w:rFonts w:ascii="Arial" w:hAnsi="Arial" w:cs="Arial"/>
          <w:sz w:val="24"/>
          <w:szCs w:val="24"/>
        </w:rPr>
      </w:pPr>
    </w:p>
    <w:p w:rsidR="00976489" w:rsidRPr="007B0581" w:rsidRDefault="00976489" w:rsidP="00976489">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seis de julio de dos mil veintidós</w:t>
      </w:r>
      <w:r w:rsidRPr="007B0581">
        <w:rPr>
          <w:rFonts w:ascii="Arial" w:hAnsi="Arial" w:cs="Arial"/>
          <w:sz w:val="24"/>
          <w:szCs w:val="24"/>
        </w:rPr>
        <w:t>, 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p>
    <w:p w:rsidR="00976489" w:rsidRPr="007B0581" w:rsidRDefault="00976489" w:rsidP="00976489">
      <w:pPr>
        <w:pStyle w:val="corte4fondo"/>
        <w:spacing w:line="240" w:lineRule="auto"/>
        <w:ind w:right="51" w:firstLine="567"/>
        <w:contextualSpacing/>
        <w:rPr>
          <w:rFonts w:cs="Arial"/>
          <w:bCs/>
          <w:sz w:val="24"/>
          <w:szCs w:val="24"/>
        </w:rPr>
      </w:pPr>
      <w:r w:rsidRPr="007B0581">
        <w:rPr>
          <w:rFonts w:cs="Arial"/>
          <w:bCs/>
          <w:sz w:val="24"/>
          <w:szCs w:val="24"/>
        </w:rPr>
        <w:tab/>
      </w:r>
    </w:p>
    <w:p w:rsidR="00976489" w:rsidRDefault="00976489" w:rsidP="00976489">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w:t>
      </w:r>
      <w:r>
        <w:rPr>
          <w:rFonts w:cs="Arial"/>
          <w:bCs/>
          <w:sz w:val="24"/>
          <w:szCs w:val="24"/>
        </w:rPr>
        <w:t>-</w:t>
      </w:r>
      <w:r w:rsidRPr="007B0581">
        <w:rPr>
          <w:rFonts w:cs="Arial"/>
          <w:bCs/>
          <w:sz w:val="24"/>
          <w:szCs w:val="24"/>
        </w:rPr>
        <w:t xml:space="preserve"> Por acuerdo de </w:t>
      </w:r>
      <w:r>
        <w:rPr>
          <w:rFonts w:cs="Arial"/>
          <w:bCs/>
          <w:sz w:val="24"/>
          <w:szCs w:val="24"/>
        </w:rPr>
        <w:t>dieciséis de agosto de dos mil veintidós</w:t>
      </w:r>
      <w:r w:rsidRPr="007B0581">
        <w:rPr>
          <w:rFonts w:cs="Arial"/>
          <w:bCs/>
          <w:sz w:val="24"/>
          <w:szCs w:val="24"/>
        </w:rPr>
        <w:t>,</w:t>
      </w:r>
      <w:r>
        <w:rPr>
          <w:rFonts w:cs="Arial"/>
          <w:bCs/>
          <w:sz w:val="24"/>
          <w:szCs w:val="24"/>
        </w:rPr>
        <w:t xml:space="preserve"> se tuvo al Director General por sí y en representación Legal del Consejo Directivo de la Oficina de Pensiones del Estado de Oaxaca</w:t>
      </w:r>
      <w:r>
        <w:rPr>
          <w:rFonts w:cs="Arial"/>
          <w:sz w:val="24"/>
          <w:szCs w:val="24"/>
        </w:rPr>
        <w:t>,</w:t>
      </w:r>
      <w:r w:rsidRPr="007B0581">
        <w:rPr>
          <w:rFonts w:cs="Arial"/>
          <w:bCs/>
          <w:sz w:val="24"/>
          <w:szCs w:val="24"/>
        </w:rPr>
        <w:t xml:space="preserve"> </w:t>
      </w:r>
      <w:r w:rsidRPr="007B0581">
        <w:rPr>
          <w:rFonts w:cs="Arial"/>
          <w:sz w:val="24"/>
          <w:szCs w:val="24"/>
        </w:rPr>
        <w:t>dando contestación a la demanda en tiempo y forma</w:t>
      </w:r>
      <w:r>
        <w:rPr>
          <w:rFonts w:cs="Arial"/>
          <w:sz w:val="24"/>
          <w:szCs w:val="24"/>
        </w:rPr>
        <w:t xml:space="preserve">, </w:t>
      </w:r>
      <w:r w:rsidRPr="007B0581">
        <w:rPr>
          <w:rFonts w:cs="Arial"/>
          <w:sz w:val="24"/>
          <w:szCs w:val="24"/>
        </w:rPr>
        <w:t>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w:t>
      </w:r>
      <w:r>
        <w:rPr>
          <w:rFonts w:cs="Arial"/>
          <w:sz w:val="24"/>
          <w:szCs w:val="24"/>
        </w:rPr>
        <w:t>,</w:t>
      </w:r>
      <w:r w:rsidRPr="007B0581">
        <w:rPr>
          <w:rFonts w:cs="Arial"/>
          <w:sz w:val="24"/>
          <w:szCs w:val="24"/>
        </w:rPr>
        <w:t xml:space="preserve"> por admitidas las pruebas ofrecidas</w:t>
      </w:r>
      <w:r>
        <w:rPr>
          <w:rFonts w:cs="Arial"/>
          <w:sz w:val="24"/>
          <w:szCs w:val="24"/>
        </w:rPr>
        <w:t xml:space="preserve"> y objetando </w:t>
      </w:r>
      <w:r>
        <w:rPr>
          <w:rFonts w:cs="Arial"/>
          <w:sz w:val="24"/>
          <w:szCs w:val="24"/>
        </w:rPr>
        <w:lastRenderedPageBreak/>
        <w:t>las ofrecidas por la administrada</w:t>
      </w:r>
      <w:r w:rsidRPr="007B0581">
        <w:rPr>
          <w:rFonts w:cs="Arial"/>
          <w:sz w:val="24"/>
          <w:szCs w:val="24"/>
        </w:rPr>
        <w:t>, ordenándose correr traslado a la parte actora para</w:t>
      </w:r>
      <w:r>
        <w:rPr>
          <w:rFonts w:cs="Arial"/>
          <w:sz w:val="24"/>
          <w:szCs w:val="24"/>
        </w:rPr>
        <w:t xml:space="preserve"> los efectos legales correspondientes; asimismo se señalaron las ONCE HORAS del día VEINTE DE SEPTIEMBRE DE DOS MIL VEINTIDÓS, para la celebración de la audiencia final.</w:t>
      </w:r>
    </w:p>
    <w:p w:rsidR="00976489" w:rsidRDefault="00976489" w:rsidP="00976489">
      <w:pPr>
        <w:pStyle w:val="corte4fondo"/>
        <w:ind w:right="51" w:firstLine="567"/>
        <w:rPr>
          <w:rFonts w:cs="Arial"/>
          <w:sz w:val="24"/>
          <w:szCs w:val="24"/>
        </w:rPr>
      </w:pPr>
    </w:p>
    <w:p w:rsidR="00976489" w:rsidRPr="007B0581" w:rsidRDefault="00976489" w:rsidP="00976489">
      <w:pPr>
        <w:pStyle w:val="corte4fondo"/>
        <w:ind w:right="51" w:firstLine="567"/>
        <w:rPr>
          <w:rFonts w:cs="Arial"/>
          <w:b/>
          <w:bCs/>
          <w:sz w:val="24"/>
          <w:szCs w:val="24"/>
        </w:rPr>
      </w:pPr>
      <w:r>
        <w:rPr>
          <w:rFonts w:cs="Arial"/>
          <w:sz w:val="24"/>
          <w:szCs w:val="24"/>
        </w:rPr>
        <w:tab/>
      </w:r>
      <w:r>
        <w:rPr>
          <w:rFonts w:cs="Arial"/>
          <w:b/>
          <w:bCs/>
          <w:sz w:val="24"/>
          <w:szCs w:val="24"/>
        </w:rPr>
        <w:t>CUARTO</w:t>
      </w:r>
      <w:r w:rsidRPr="00142CF4">
        <w:rPr>
          <w:rFonts w:cs="Arial"/>
          <w:b/>
          <w:bCs/>
          <w:sz w:val="24"/>
          <w:szCs w:val="24"/>
        </w:rPr>
        <w:t xml:space="preserve">. </w:t>
      </w:r>
      <w:r>
        <w:rPr>
          <w:rFonts w:cs="Arial"/>
          <w:b/>
          <w:bCs/>
          <w:sz w:val="24"/>
          <w:szCs w:val="24"/>
        </w:rPr>
        <w:t>-</w:t>
      </w:r>
      <w:r>
        <w:rPr>
          <w:rFonts w:cs="Arial"/>
          <w:sz w:val="24"/>
          <w:szCs w:val="24"/>
        </w:rPr>
        <w:t xml:space="preserve"> </w:t>
      </w:r>
      <w:r w:rsidRPr="007B0581">
        <w:rPr>
          <w:rFonts w:cs="Arial"/>
          <w:sz w:val="24"/>
          <w:szCs w:val="24"/>
          <w:lang w:val="es-ES"/>
        </w:rPr>
        <w:t xml:space="preserve">El </w:t>
      </w:r>
      <w:r>
        <w:rPr>
          <w:rFonts w:cs="Arial"/>
          <w:sz w:val="24"/>
          <w:szCs w:val="24"/>
          <w:lang w:val="es-ES"/>
        </w:rPr>
        <w:t>veinte de septiembre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las partes no formularon alegatos por escrito</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r w:rsidRPr="007B0581">
        <w:rPr>
          <w:rFonts w:cs="Arial"/>
          <w:bCs/>
          <w:sz w:val="24"/>
          <w:szCs w:val="24"/>
          <w:lang w:val="es-ES"/>
        </w:rPr>
        <w:t xml:space="preserve"> </w:t>
      </w:r>
    </w:p>
    <w:p w:rsidR="00976489" w:rsidRDefault="00976489" w:rsidP="00976489">
      <w:pPr>
        <w:pStyle w:val="corte4fondo"/>
        <w:ind w:right="51" w:firstLine="567"/>
        <w:rPr>
          <w:rFonts w:cs="Arial"/>
          <w:b/>
          <w:spacing w:val="-3"/>
          <w:sz w:val="24"/>
          <w:szCs w:val="24"/>
        </w:rPr>
      </w:pPr>
    </w:p>
    <w:p w:rsidR="00976489" w:rsidRDefault="00976489" w:rsidP="00976489">
      <w:pPr>
        <w:pStyle w:val="corte4fondo"/>
        <w:ind w:right="51" w:firstLine="567"/>
        <w:rPr>
          <w:rFonts w:cs="Arial"/>
          <w:b/>
          <w:spacing w:val="-3"/>
          <w:sz w:val="24"/>
          <w:szCs w:val="24"/>
        </w:rPr>
      </w:pPr>
    </w:p>
    <w:p w:rsidR="00976489" w:rsidRDefault="00976489" w:rsidP="00976489">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976489" w:rsidRDefault="00976489" w:rsidP="00976489">
      <w:pPr>
        <w:pStyle w:val="corte4fondo"/>
        <w:ind w:right="51" w:firstLine="567"/>
        <w:jc w:val="center"/>
        <w:rPr>
          <w:rFonts w:cs="Arial"/>
          <w:b/>
          <w:spacing w:val="-3"/>
          <w:sz w:val="24"/>
          <w:szCs w:val="24"/>
        </w:rPr>
      </w:pPr>
    </w:p>
    <w:p w:rsidR="00976489" w:rsidRPr="007B0581" w:rsidRDefault="00976489" w:rsidP="00976489">
      <w:pPr>
        <w:pStyle w:val="corte4fondo"/>
        <w:ind w:right="51" w:firstLine="567"/>
        <w:jc w:val="center"/>
        <w:rPr>
          <w:rFonts w:cs="Arial"/>
          <w:b/>
          <w:spacing w:val="-3"/>
          <w:sz w:val="24"/>
          <w:szCs w:val="24"/>
        </w:rPr>
      </w:pPr>
    </w:p>
    <w:p w:rsidR="00976489" w:rsidRPr="007B0581" w:rsidRDefault="00976489" w:rsidP="00976489">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l </w:t>
      </w:r>
      <w:r w:rsidRPr="00D31F5F">
        <w:rPr>
          <w:rFonts w:ascii="Arial" w:hAnsi="Arial" w:cs="Arial"/>
          <w:sz w:val="24"/>
          <w:szCs w:val="24"/>
        </w:rPr>
        <w:t>Consejo Directivo</w:t>
      </w:r>
      <w:r>
        <w:rPr>
          <w:rFonts w:ascii="Arial" w:hAnsi="Arial" w:cs="Arial"/>
          <w:sz w:val="24"/>
          <w:szCs w:val="24"/>
        </w:rPr>
        <w:t xml:space="preserve"> de Pensiones del Estado de Oaxaca</w:t>
      </w:r>
      <w:r w:rsidRPr="007B0581">
        <w:rPr>
          <w:rFonts w:ascii="Arial" w:hAnsi="Arial" w:cs="Arial"/>
          <w:sz w:val="24"/>
          <w:szCs w:val="24"/>
        </w:rPr>
        <w:t xml:space="preserve">, con fundamento en el artículo 114 QUATER, párrafo primero, inciso B, </w:t>
      </w:r>
      <w:r w:rsidRPr="00843A48">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w:t>
      </w:r>
      <w:r w:rsidRPr="00D374B1">
        <w:rPr>
          <w:rFonts w:ascii="Arial" w:hAnsi="Arial" w:cs="Arial"/>
          <w:sz w:val="24"/>
          <w:szCs w:val="24"/>
        </w:rPr>
        <w:t>fracciones I y II, 133</w:t>
      </w:r>
      <w:r w:rsidRPr="007B0581">
        <w:rPr>
          <w:rFonts w:ascii="Arial" w:hAnsi="Arial" w:cs="Arial"/>
          <w:sz w:val="24"/>
          <w:szCs w:val="24"/>
        </w:rPr>
        <w:t xml:space="preserve"> fracción </w:t>
      </w:r>
      <w:r w:rsidRPr="00D31F5F">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976489" w:rsidRPr="007B0581" w:rsidRDefault="00976489" w:rsidP="00976489">
      <w:pPr>
        <w:spacing w:line="360" w:lineRule="auto"/>
        <w:jc w:val="both"/>
        <w:rPr>
          <w:rFonts w:ascii="Arial" w:hAnsi="Arial" w:cs="Arial"/>
          <w:sz w:val="24"/>
          <w:szCs w:val="24"/>
        </w:rPr>
      </w:pPr>
      <w:r w:rsidRPr="007B0581">
        <w:rPr>
          <w:rFonts w:ascii="Arial" w:hAnsi="Arial" w:cs="Arial"/>
          <w:sz w:val="24"/>
          <w:szCs w:val="24"/>
        </w:rPr>
        <w:t xml:space="preserve"> </w:t>
      </w:r>
    </w:p>
    <w:p w:rsidR="00976489" w:rsidRPr="007B0581" w:rsidRDefault="00976489" w:rsidP="00976489">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w:t>
      </w:r>
      <w:r>
        <w:rPr>
          <w:rFonts w:ascii="Arial" w:hAnsi="Arial" w:cs="Arial"/>
          <w:sz w:val="24"/>
          <w:szCs w:val="24"/>
        </w:rPr>
        <w:t>y la de la</w:t>
      </w:r>
      <w:r w:rsidRPr="00455261">
        <w:rPr>
          <w:rFonts w:ascii="Arial" w:hAnsi="Arial" w:cs="Arial"/>
          <w:sz w:val="24"/>
          <w:szCs w:val="24"/>
        </w:rPr>
        <w:t xml:space="preserve"> autoridad demandada,</w:t>
      </w:r>
      <w:r>
        <w:rPr>
          <w:rFonts w:ascii="Arial" w:hAnsi="Arial" w:cs="Arial"/>
          <w:sz w:val="24"/>
          <w:szCs w:val="24"/>
        </w:rPr>
        <w:t xml:space="preserve"> de conformidad con el instrumento notarial 2437, volumen 58, pasado ante la fe del Notario Público número noventa en el Estado y</w:t>
      </w:r>
      <w:r w:rsidRPr="007B0581">
        <w:rPr>
          <w:rFonts w:ascii="Arial" w:hAnsi="Arial" w:cs="Arial"/>
          <w:sz w:val="24"/>
          <w:szCs w:val="24"/>
        </w:rPr>
        <w:t xml:space="preserve"> </w:t>
      </w:r>
      <w:r>
        <w:rPr>
          <w:rFonts w:ascii="Arial" w:hAnsi="Arial" w:cs="Arial"/>
          <w:sz w:val="24"/>
          <w:szCs w:val="24"/>
        </w:rPr>
        <w:t>de conformidad con los artículos 148</w:t>
      </w:r>
      <w:r w:rsidRPr="007B0581">
        <w:rPr>
          <w:rFonts w:ascii="Arial" w:hAnsi="Arial" w:cs="Arial"/>
          <w:sz w:val="24"/>
          <w:szCs w:val="24"/>
        </w:rPr>
        <w:t xml:space="preserve"> </w:t>
      </w:r>
      <w:r>
        <w:rPr>
          <w:rFonts w:ascii="Arial" w:hAnsi="Arial" w:cs="Arial"/>
          <w:sz w:val="24"/>
          <w:szCs w:val="24"/>
        </w:rPr>
        <w:t>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p>
    <w:p w:rsidR="00976489" w:rsidRPr="007B0581" w:rsidRDefault="00976489" w:rsidP="00976489">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976489" w:rsidRPr="007B0581" w:rsidRDefault="00976489" w:rsidP="00976489">
      <w:pPr>
        <w:pStyle w:val="corte4fondo"/>
        <w:ind w:right="51" w:firstLine="567"/>
        <w:rPr>
          <w:rFonts w:cs="Arial"/>
          <w:sz w:val="24"/>
          <w:szCs w:val="24"/>
        </w:rPr>
      </w:pPr>
      <w:r w:rsidRPr="007B0581">
        <w:rPr>
          <w:rFonts w:cs="Arial"/>
          <w:sz w:val="24"/>
          <w:szCs w:val="24"/>
        </w:rPr>
        <w:tab/>
      </w:r>
      <w:r w:rsidRPr="00E96830">
        <w:rPr>
          <w:rFonts w:cs="Arial"/>
          <w:b/>
          <w:sz w:val="24"/>
          <w:szCs w:val="24"/>
        </w:rPr>
        <w:t>TERC</w:t>
      </w:r>
      <w:r w:rsidRPr="00BA4761">
        <w:rPr>
          <w:rFonts w:cs="Arial"/>
          <w:b/>
          <w:sz w:val="24"/>
          <w:szCs w:val="24"/>
        </w:rPr>
        <w:t>ERO.-</w:t>
      </w:r>
      <w:r w:rsidRPr="007B0581">
        <w:rPr>
          <w:rFonts w:cs="Arial"/>
          <w:sz w:val="24"/>
          <w:szCs w:val="24"/>
        </w:rPr>
        <w:t xml:space="preserve"> </w:t>
      </w:r>
      <w:r>
        <w:rPr>
          <w:rFonts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w:t>
      </w:r>
      <w:r>
        <w:rPr>
          <w:rFonts w:cs="Arial"/>
          <w:sz w:val="24"/>
          <w:szCs w:val="24"/>
        </w:rPr>
        <w:lastRenderedPageBreak/>
        <w:t xml:space="preserve">no se configura causal alguna de improcedencia.  En consecuencia, </w:t>
      </w:r>
      <w:r>
        <w:rPr>
          <w:rFonts w:cs="Arial"/>
          <w:b/>
          <w:bCs/>
          <w:sz w:val="24"/>
          <w:szCs w:val="24"/>
        </w:rPr>
        <w:t xml:space="preserve">NO SE SOBRESEE </w:t>
      </w:r>
      <w:r>
        <w:rPr>
          <w:rFonts w:cs="Arial"/>
          <w:sz w:val="24"/>
          <w:szCs w:val="24"/>
        </w:rPr>
        <w:t>el presente juicio.</w:t>
      </w:r>
    </w:p>
    <w:p w:rsidR="00976489" w:rsidRPr="007B0581" w:rsidRDefault="00976489" w:rsidP="00976489">
      <w:pPr>
        <w:pStyle w:val="corte4fondo"/>
        <w:ind w:right="51" w:firstLine="708"/>
        <w:rPr>
          <w:rFonts w:cs="Arial"/>
          <w:sz w:val="24"/>
          <w:szCs w:val="24"/>
        </w:rPr>
      </w:pPr>
    </w:p>
    <w:p w:rsidR="00976489" w:rsidRPr="007B0581" w:rsidRDefault="00976489" w:rsidP="00976489">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976489" w:rsidRPr="007B0581" w:rsidRDefault="00976489" w:rsidP="00976489">
      <w:pPr>
        <w:spacing w:line="360" w:lineRule="auto"/>
        <w:jc w:val="both"/>
        <w:rPr>
          <w:rFonts w:ascii="Arial" w:hAnsi="Arial" w:cs="Arial"/>
          <w:sz w:val="24"/>
          <w:szCs w:val="24"/>
        </w:rPr>
      </w:pPr>
    </w:p>
    <w:p w:rsidR="00976489" w:rsidRDefault="00976489" w:rsidP="0097648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976489" w:rsidRDefault="00976489" w:rsidP="00976489">
      <w:pPr>
        <w:pStyle w:val="Textonotapie"/>
        <w:widowControl w:val="0"/>
        <w:spacing w:line="360" w:lineRule="auto"/>
        <w:ind w:firstLine="708"/>
        <w:jc w:val="both"/>
        <w:rPr>
          <w:rFonts w:ascii="Arial" w:hAnsi="Arial" w:cs="Arial"/>
          <w:sz w:val="24"/>
          <w:szCs w:val="24"/>
          <w:lang w:eastAsia="es-MX"/>
        </w:rPr>
      </w:pPr>
    </w:p>
    <w:p w:rsidR="00976489" w:rsidRPr="007B0581" w:rsidRDefault="00976489" w:rsidP="00976489">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976489" w:rsidRPr="007B0581" w:rsidRDefault="00976489" w:rsidP="00976489">
      <w:pPr>
        <w:pStyle w:val="Textonotapie"/>
        <w:widowControl w:val="0"/>
        <w:spacing w:line="360" w:lineRule="auto"/>
        <w:ind w:left="1701" w:right="1469"/>
        <w:jc w:val="both"/>
        <w:rPr>
          <w:rFonts w:ascii="Arial" w:hAnsi="Arial" w:cs="Arial"/>
          <w:b/>
          <w:sz w:val="24"/>
          <w:szCs w:val="24"/>
          <w:lang w:eastAsia="es-MX"/>
        </w:rPr>
      </w:pPr>
    </w:p>
    <w:p w:rsidR="00976489" w:rsidRDefault="00976489" w:rsidP="00976489">
      <w:pPr>
        <w:spacing w:line="360" w:lineRule="auto"/>
        <w:ind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 la resolución </w:t>
      </w:r>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diciembre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w:t>
      </w:r>
      <w:r w:rsidRPr="00956D00">
        <w:rPr>
          <w:rFonts w:ascii="Arial" w:hAnsi="Arial" w:cs="Arial"/>
          <w:sz w:val="24"/>
          <w:szCs w:val="24"/>
        </w:rPr>
        <w:t>Estado de Oaxaca</w:t>
      </w:r>
      <w:r w:rsidRPr="007B0581">
        <w:rPr>
          <w:rFonts w:ascii="Arial" w:hAnsi="Arial" w:cs="Arial"/>
          <w:b/>
          <w:bCs/>
          <w:sz w:val="24"/>
          <w:szCs w:val="24"/>
        </w:rPr>
        <w:t xml:space="preserve">, </w:t>
      </w:r>
      <w:r w:rsidRPr="007B0581">
        <w:rPr>
          <w:rFonts w:ascii="Arial" w:hAnsi="Arial" w:cs="Arial"/>
          <w:sz w:val="24"/>
          <w:szCs w:val="24"/>
        </w:rPr>
        <w:t>por</w:t>
      </w:r>
      <w:r>
        <w:rPr>
          <w:rFonts w:ascii="Arial" w:hAnsi="Arial" w:cs="Arial"/>
          <w:sz w:val="24"/>
          <w:szCs w:val="24"/>
        </w:rPr>
        <w:t xml:space="preserve"> considerar</w:t>
      </w:r>
      <w:r w:rsidRPr="007B0581">
        <w:rPr>
          <w:rFonts w:ascii="Arial" w:hAnsi="Arial" w:cs="Arial"/>
          <w:sz w:val="24"/>
          <w:szCs w:val="24"/>
        </w:rPr>
        <w:t xml:space="preserve"> </w:t>
      </w:r>
      <w:r>
        <w:rPr>
          <w:rFonts w:ascii="Arial" w:hAnsi="Arial" w:cs="Arial"/>
          <w:sz w:val="24"/>
          <w:szCs w:val="24"/>
        </w:rPr>
        <w:t>q</w:t>
      </w:r>
      <w:r w:rsidRPr="008438D5">
        <w:rPr>
          <w:rFonts w:ascii="Arial" w:hAnsi="Arial" w:cs="Arial"/>
          <w:sz w:val="24"/>
          <w:szCs w:val="24"/>
        </w:rPr>
        <w:t>ue</w:t>
      </w:r>
      <w:r>
        <w:rPr>
          <w:rFonts w:ascii="Arial" w:hAnsi="Arial" w:cs="Arial"/>
          <w:sz w:val="24"/>
          <w:szCs w:val="24"/>
        </w:rPr>
        <w:t xml:space="preserve"> transgrede los artículos  1, 14, párrafo segundo, 16, párrafo primero y 17 última parte, de la Constitución Política de los Estados Unidos Mexicanos, numerales que tutelan derechos fundamentales de interpretación conforme, pro homine, igualdad y no discriminación.</w:t>
      </w:r>
    </w:p>
    <w:p w:rsidR="00976489" w:rsidRDefault="00976489" w:rsidP="00976489">
      <w:pPr>
        <w:spacing w:line="360" w:lineRule="auto"/>
        <w:ind w:firstLine="708"/>
        <w:jc w:val="both"/>
        <w:rPr>
          <w:rFonts w:ascii="Arial" w:hAnsi="Arial" w:cs="Arial"/>
          <w:sz w:val="24"/>
          <w:szCs w:val="24"/>
        </w:rPr>
      </w:pPr>
    </w:p>
    <w:p w:rsidR="00976489" w:rsidRDefault="00976489" w:rsidP="00976489">
      <w:pPr>
        <w:spacing w:line="360" w:lineRule="auto"/>
        <w:ind w:firstLine="708"/>
        <w:jc w:val="both"/>
        <w:rPr>
          <w:rFonts w:ascii="Arial" w:hAnsi="Arial" w:cs="Arial"/>
          <w:sz w:val="24"/>
          <w:szCs w:val="24"/>
        </w:rPr>
      </w:pPr>
      <w:r w:rsidRPr="00956D00">
        <w:rPr>
          <w:rFonts w:ascii="Arial" w:hAnsi="Arial" w:cs="Arial"/>
          <w:sz w:val="24"/>
          <w:szCs w:val="24"/>
        </w:rPr>
        <w:t>Por su p</w:t>
      </w:r>
      <w:r w:rsidRPr="007B0581">
        <w:rPr>
          <w:rFonts w:ascii="Arial" w:hAnsi="Arial" w:cs="Arial"/>
          <w:sz w:val="24"/>
          <w:szCs w:val="24"/>
        </w:rPr>
        <w:t>arte,</w:t>
      </w:r>
      <w:r>
        <w:rPr>
          <w:rFonts w:ascii="Arial" w:hAnsi="Arial" w:cs="Arial"/>
          <w:sz w:val="24"/>
          <w:szCs w:val="24"/>
        </w:rPr>
        <w:t xml:space="preserve"> el Director General por sí y en representación legal del</w:t>
      </w:r>
      <w:r w:rsidRPr="007B0581">
        <w:rPr>
          <w:rFonts w:ascii="Arial" w:hAnsi="Arial" w:cs="Arial"/>
          <w:sz w:val="24"/>
          <w:szCs w:val="24"/>
        </w:rPr>
        <w:t xml:space="preserve"> Consejo Directivo de Pensiones del Estado de Oaxaca, </w:t>
      </w:r>
      <w:r>
        <w:rPr>
          <w:rFonts w:ascii="Arial" w:hAnsi="Arial" w:cs="Arial"/>
          <w:sz w:val="24"/>
          <w:szCs w:val="24"/>
        </w:rPr>
        <w:t>refirió que el acto administrativo cumple cabalmente con los elementos y requisitos que la ley prevé, de conformidad con lo dispuesto por el artículo 17 de la Ley de Procedimiento y Justicia Administrativa para el Estado de Oaxaca, como son los preceptos legales que los facultan, ya que en él se citaron con precisión los artículos de los cuales deriva los fundamentos legales, los motivos, las razones y consideraciones de hecho y de derecho que lo justifican.</w:t>
      </w:r>
    </w:p>
    <w:p w:rsidR="00976489" w:rsidRDefault="00976489" w:rsidP="00976489">
      <w:pPr>
        <w:spacing w:line="360" w:lineRule="auto"/>
        <w:ind w:firstLine="708"/>
        <w:jc w:val="both"/>
        <w:rPr>
          <w:rFonts w:ascii="Arial" w:hAnsi="Arial" w:cs="Arial"/>
          <w:sz w:val="24"/>
          <w:szCs w:val="24"/>
        </w:rPr>
      </w:pPr>
      <w:r>
        <w:rPr>
          <w:rFonts w:ascii="Arial" w:hAnsi="Arial" w:cs="Arial"/>
          <w:sz w:val="24"/>
          <w:szCs w:val="24"/>
        </w:rPr>
        <w:lastRenderedPageBreak/>
        <w:t xml:space="preserve"> </w:t>
      </w:r>
      <w:r w:rsidRPr="007B0581">
        <w:rPr>
          <w:rFonts w:ascii="Arial" w:hAnsi="Arial" w:cs="Arial"/>
          <w:color w:val="FF0000"/>
          <w:sz w:val="24"/>
          <w:szCs w:val="24"/>
        </w:rPr>
        <w:t xml:space="preserve"> </w:t>
      </w:r>
      <w:r w:rsidRPr="007B0581">
        <w:rPr>
          <w:rFonts w:ascii="Arial" w:hAnsi="Arial" w:cs="Arial"/>
          <w:sz w:val="24"/>
          <w:szCs w:val="24"/>
        </w:rPr>
        <w:t xml:space="preserve">Ahora bien, esta juzgadora </w:t>
      </w:r>
      <w:r>
        <w:rPr>
          <w:rFonts w:ascii="Arial" w:hAnsi="Arial" w:cs="Arial"/>
          <w:sz w:val="24"/>
          <w:szCs w:val="24"/>
        </w:rPr>
        <w:t>después de haber realizado el estudio</w:t>
      </w:r>
      <w:r w:rsidRPr="007B0581">
        <w:rPr>
          <w:rFonts w:ascii="Arial" w:hAnsi="Arial" w:cs="Arial"/>
          <w:sz w:val="24"/>
          <w:szCs w:val="24"/>
        </w:rPr>
        <w:t xml:space="preserve"> al contenido 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diciembre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mismo que contiene el </w:t>
      </w:r>
      <w:r>
        <w:rPr>
          <w:rFonts w:ascii="Arial" w:hAnsi="Arial" w:cs="Arial"/>
          <w:sz w:val="24"/>
          <w:szCs w:val="24"/>
        </w:rPr>
        <w:t>d</w:t>
      </w:r>
      <w:r w:rsidRPr="007B0581">
        <w:rPr>
          <w:rFonts w:ascii="Arial" w:hAnsi="Arial" w:cs="Arial"/>
          <w:sz w:val="24"/>
          <w:szCs w:val="24"/>
        </w:rPr>
        <w:t xml:space="preserve">ictamen de </w:t>
      </w:r>
      <w:r>
        <w:rPr>
          <w:rFonts w:ascii="Arial" w:hAnsi="Arial" w:cs="Arial"/>
          <w:sz w:val="24"/>
          <w:szCs w:val="24"/>
        </w:rPr>
        <w:t>p</w:t>
      </w:r>
      <w:r w:rsidRPr="007B0581">
        <w:rPr>
          <w:rFonts w:ascii="Arial" w:hAnsi="Arial" w:cs="Arial"/>
          <w:sz w:val="24"/>
          <w:szCs w:val="24"/>
        </w:rPr>
        <w:t>ensión</w:t>
      </w:r>
      <w:r>
        <w:rPr>
          <w:rFonts w:ascii="Arial" w:hAnsi="Arial" w:cs="Arial"/>
          <w:sz w:val="24"/>
          <w:szCs w:val="24"/>
        </w:rPr>
        <w:t xml:space="preserve"> por jubilación</w:t>
      </w:r>
      <w:r w:rsidRPr="007B0581">
        <w:rPr>
          <w:rFonts w:ascii="Arial" w:hAnsi="Arial" w:cs="Arial"/>
          <w:sz w:val="24"/>
          <w:szCs w:val="24"/>
        </w:rPr>
        <w:t xml:space="preserve"> aprobado por el</w:t>
      </w:r>
      <w:r w:rsidRPr="007B0581">
        <w:rPr>
          <w:rFonts w:ascii="Arial" w:hAnsi="Arial" w:cs="Arial"/>
          <w:b/>
          <w:bCs/>
          <w:sz w:val="24"/>
          <w:szCs w:val="24"/>
        </w:rPr>
        <w:t xml:space="preserve"> </w:t>
      </w:r>
      <w:r w:rsidRPr="007B0581">
        <w:rPr>
          <w:rFonts w:ascii="Arial" w:hAnsi="Arial" w:cs="Arial"/>
          <w:sz w:val="24"/>
          <w:szCs w:val="24"/>
        </w:rPr>
        <w:t>Consejo Directivo de Pensiones del Estado de Oaxaca</w:t>
      </w:r>
      <w:r>
        <w:rPr>
          <w:rFonts w:ascii="Arial" w:hAnsi="Arial" w:cs="Arial"/>
          <w:b/>
          <w:bCs/>
          <w:sz w:val="24"/>
          <w:szCs w:val="24"/>
        </w:rPr>
        <w:t xml:space="preserve">, </w:t>
      </w:r>
      <w:r w:rsidRPr="007B0581">
        <w:rPr>
          <w:rFonts w:ascii="Arial" w:hAnsi="Arial" w:cs="Arial"/>
          <w:sz w:val="24"/>
          <w:szCs w:val="24"/>
        </w:rPr>
        <w:t>advierte que</w:t>
      </w:r>
      <w:r>
        <w:rPr>
          <w:rFonts w:ascii="Arial" w:hAnsi="Arial" w:cs="Arial"/>
          <w:sz w:val="24"/>
          <w:szCs w:val="24"/>
        </w:rPr>
        <w:t xml:space="preserve"> </w:t>
      </w:r>
      <w:bookmarkStart w:id="3" w:name="_Hlk84507799"/>
      <w:r>
        <w:rPr>
          <w:rFonts w:ascii="Arial" w:hAnsi="Arial" w:cs="Arial"/>
          <w:sz w:val="24"/>
          <w:szCs w:val="24"/>
        </w:rPr>
        <w:t xml:space="preserve">es </w:t>
      </w:r>
      <w:r w:rsidRPr="00302C86">
        <w:rPr>
          <w:rFonts w:ascii="Arial" w:hAnsi="Arial" w:cs="Arial"/>
          <w:b/>
          <w:bCs/>
          <w:sz w:val="24"/>
          <w:szCs w:val="24"/>
        </w:rPr>
        <w:t>in</w:t>
      </w:r>
      <w:r w:rsidRPr="00723C1D">
        <w:rPr>
          <w:rFonts w:ascii="Arial" w:hAnsi="Arial" w:cs="Arial"/>
          <w:b/>
          <w:bCs/>
          <w:sz w:val="24"/>
          <w:szCs w:val="24"/>
        </w:rPr>
        <w:t>fun</w:t>
      </w:r>
      <w:r w:rsidRPr="00455261">
        <w:rPr>
          <w:rFonts w:ascii="Arial" w:hAnsi="Arial" w:cs="Arial"/>
          <w:b/>
          <w:bCs/>
          <w:sz w:val="24"/>
          <w:szCs w:val="24"/>
        </w:rPr>
        <w:t>dado</w:t>
      </w:r>
      <w:r>
        <w:rPr>
          <w:rFonts w:ascii="Arial" w:hAnsi="Arial" w:cs="Arial"/>
          <w:sz w:val="24"/>
          <w:szCs w:val="24"/>
        </w:rPr>
        <w:t xml:space="preserve"> el concepto de impugnación hecho valer por la actora. Se dice lo anterior en razón que, la demandada en su dictamen autorizó la pensión por jubilación a la administrada </w:t>
      </w:r>
      <w:r>
        <w:rPr>
          <w:rFonts w:cs="Arial"/>
          <w:b/>
          <w:sz w:val="24"/>
          <w:szCs w:val="24"/>
        </w:rPr>
        <w:t>**********</w:t>
      </w:r>
      <w:r>
        <w:rPr>
          <w:rFonts w:cs="Arial"/>
          <w:b/>
          <w:sz w:val="24"/>
          <w:szCs w:val="24"/>
        </w:rPr>
        <w:t xml:space="preserve"> </w:t>
      </w:r>
      <w:r>
        <w:rPr>
          <w:rFonts w:ascii="Arial" w:hAnsi="Arial" w:cs="Arial"/>
          <w:sz w:val="24"/>
          <w:szCs w:val="24"/>
        </w:rPr>
        <w:t xml:space="preserve">por el 100% de su sueldo base, asimismo incluyó las prestaciones consistentes en </w:t>
      </w:r>
      <w:r w:rsidRPr="002B7017">
        <w:rPr>
          <w:rFonts w:ascii="Arial" w:hAnsi="Arial" w:cs="Arial"/>
          <w:sz w:val="24"/>
          <w:szCs w:val="24"/>
        </w:rPr>
        <w:t>previsión social múltiple, despensa, vida cara, quinquenios,</w:t>
      </w:r>
      <w:r>
        <w:rPr>
          <w:rFonts w:ascii="Arial" w:hAnsi="Arial" w:cs="Arial"/>
          <w:sz w:val="24"/>
          <w:szCs w:val="24"/>
        </w:rPr>
        <w:t xml:space="preserve"> </w:t>
      </w:r>
      <w:r w:rsidRPr="002B7017">
        <w:rPr>
          <w:rFonts w:ascii="Arial" w:hAnsi="Arial" w:cs="Arial"/>
          <w:sz w:val="24"/>
          <w:szCs w:val="24"/>
        </w:rPr>
        <w:t>aguinaldo, estímulo del día del jubilado, día de las madres y canasta navideña</w:t>
      </w:r>
      <w:r>
        <w:rPr>
          <w:rFonts w:ascii="Arial" w:hAnsi="Arial" w:cs="Arial"/>
          <w:sz w:val="24"/>
          <w:szCs w:val="24"/>
        </w:rPr>
        <w:t xml:space="preserve">, se dice lo anterior en razón que, si bien es cierto la autoridad demandada no detalló en su dictamen las citadas prestaciones, también lo es que sí las concedió a la pensión por jubilación de la actora conforme al artículo 54, fracción I de la Ley de Pensiones para los </w:t>
      </w:r>
      <w:r w:rsidRPr="00B26935">
        <w:rPr>
          <w:rFonts w:ascii="Arial" w:hAnsi="Arial" w:cs="Arial"/>
          <w:sz w:val="24"/>
          <w:szCs w:val="24"/>
        </w:rPr>
        <w:t>Trabajadores del Gobierno del Estado</w:t>
      </w:r>
      <w:r>
        <w:rPr>
          <w:rFonts w:ascii="Arial" w:hAnsi="Arial" w:cs="Arial"/>
          <w:sz w:val="24"/>
          <w:szCs w:val="24"/>
        </w:rPr>
        <w:t xml:space="preserve"> de Oaxaca como se observa en el punto marcado como segundo del acto que se impugna que para mayor ilustración se transcribe.</w:t>
      </w:r>
    </w:p>
    <w:p w:rsidR="00976489" w:rsidRDefault="00976489" w:rsidP="00976489">
      <w:pPr>
        <w:spacing w:line="360" w:lineRule="auto"/>
        <w:ind w:firstLine="708"/>
        <w:jc w:val="both"/>
        <w:rPr>
          <w:rFonts w:ascii="Arial" w:hAnsi="Arial" w:cs="Arial"/>
          <w:sz w:val="24"/>
          <w:szCs w:val="24"/>
        </w:rPr>
      </w:pPr>
    </w:p>
    <w:p w:rsidR="00976489" w:rsidRDefault="00976489" w:rsidP="00976489">
      <w:pPr>
        <w:spacing w:line="360" w:lineRule="auto"/>
        <w:ind w:firstLine="708"/>
        <w:jc w:val="both"/>
        <w:rPr>
          <w:rFonts w:ascii="Arial" w:hAnsi="Arial" w:cs="Arial"/>
          <w:i/>
          <w:iCs/>
          <w:sz w:val="24"/>
          <w:szCs w:val="24"/>
        </w:rPr>
      </w:pPr>
      <w:r w:rsidRPr="00AA733B">
        <w:rPr>
          <w:rFonts w:ascii="Arial" w:hAnsi="Arial" w:cs="Arial"/>
          <w:i/>
          <w:iCs/>
          <w:sz w:val="24"/>
          <w:szCs w:val="24"/>
        </w:rPr>
        <w:t xml:space="preserve">“SEGUNDO.- Con base en los argumentos esgrimidos en el apartado de antecedentes del presente dictamen de donde se deduce que tiene derecho de gozar una pensión por jubilación; de conformidad con lo establecido en los artículos 1, 2, 5 fracción I inciso a), 29, 31, 50 fracción I, </w:t>
      </w:r>
      <w:r w:rsidRPr="00AA733B">
        <w:rPr>
          <w:rFonts w:ascii="Arial" w:hAnsi="Arial" w:cs="Arial"/>
          <w:b/>
          <w:bCs/>
          <w:i/>
          <w:iCs/>
          <w:sz w:val="24"/>
          <w:szCs w:val="24"/>
        </w:rPr>
        <w:t>54 fracción I</w:t>
      </w:r>
      <w:r w:rsidRPr="00AA733B">
        <w:rPr>
          <w:rFonts w:ascii="Arial" w:hAnsi="Arial" w:cs="Arial"/>
          <w:i/>
          <w:iCs/>
          <w:sz w:val="24"/>
          <w:szCs w:val="24"/>
        </w:rPr>
        <w:t xml:space="preserve">, 79, 88 fracción (sic) I y IV y 89 fracción I y transitorio cuarto de la Ley de Pensiones para los Trabajadores del Gobierno del Estado…”  </w:t>
      </w:r>
      <w:r>
        <w:rPr>
          <w:rFonts w:ascii="Arial" w:hAnsi="Arial" w:cs="Arial"/>
          <w:i/>
          <w:iCs/>
          <w:sz w:val="24"/>
          <w:szCs w:val="24"/>
        </w:rPr>
        <w:t>(lo resaltado es propio).</w:t>
      </w:r>
    </w:p>
    <w:p w:rsidR="00976489" w:rsidRDefault="00976489" w:rsidP="00976489">
      <w:pPr>
        <w:spacing w:line="360" w:lineRule="auto"/>
        <w:ind w:firstLine="708"/>
        <w:jc w:val="both"/>
        <w:rPr>
          <w:rFonts w:ascii="Arial" w:hAnsi="Arial" w:cs="Arial"/>
          <w:i/>
          <w:iCs/>
          <w:sz w:val="24"/>
          <w:szCs w:val="24"/>
        </w:rPr>
      </w:pPr>
    </w:p>
    <w:p w:rsidR="00976489" w:rsidRDefault="00976489" w:rsidP="00976489">
      <w:pPr>
        <w:spacing w:line="360" w:lineRule="auto"/>
        <w:ind w:firstLine="708"/>
        <w:jc w:val="both"/>
        <w:rPr>
          <w:rFonts w:ascii="Arial" w:hAnsi="Arial" w:cs="Arial"/>
          <w:sz w:val="24"/>
          <w:szCs w:val="24"/>
        </w:rPr>
      </w:pPr>
      <w:r>
        <w:rPr>
          <w:rFonts w:ascii="Arial" w:hAnsi="Arial" w:cs="Arial"/>
          <w:sz w:val="24"/>
          <w:szCs w:val="24"/>
        </w:rPr>
        <w:t>Aunado a lo antes vertido, a foja 52 de los presentes autos obra agregado el comprobante de pago mensual de pensión correspondiente al mes de agosto de dos mil veintidós, en el que se observan pagos por conceptos de Pensión Mensual, Pensión Mensual retroactivo del 01/07/2022 al 30/07/2022, Previsión Social Múltiple, Previsión Social Múltiple retroactivo del 01/07/2022 al 30/07/2022, Despensa, Despensa retroactivo del 01/07/2022 al 30/07/2022, Vida Cara, Vida Cara retroactivo del 01/07/2022 al 30/07/2022, Quinquenios, Quinquenios retroactivo del 01/07/2022 al 30/07/2022, documental que no fue desvirtuada por la parte actora y a la cual se la otorga valor probatorio pleno de conformidad con el artículo 203, fracción I de la Ley de Procedimiento y Justicia Administrativa para el Estado de Oaxaca, por lo que se acredita que la autoridad demandada sí incluyó a la pensión por jubilación de la actora las prestaciones que establece el artículo 54, fracción I de la Ley de Pensiones para los Trabajadores del Gobierno del Estado de Oaxaca.</w:t>
      </w:r>
    </w:p>
    <w:p w:rsidR="00976489" w:rsidRDefault="00976489" w:rsidP="00976489">
      <w:pPr>
        <w:spacing w:line="360" w:lineRule="auto"/>
        <w:ind w:firstLine="708"/>
        <w:jc w:val="both"/>
        <w:rPr>
          <w:rFonts w:ascii="Arial" w:hAnsi="Arial" w:cs="Arial"/>
          <w:sz w:val="24"/>
          <w:szCs w:val="24"/>
        </w:rPr>
      </w:pPr>
      <w:r w:rsidRPr="00AA3E43">
        <w:rPr>
          <w:rFonts w:ascii="Arial" w:hAnsi="Arial" w:cs="Arial"/>
          <w:sz w:val="24"/>
          <w:szCs w:val="24"/>
        </w:rPr>
        <w:lastRenderedPageBreak/>
        <w:t>En consecuencia</w:t>
      </w:r>
      <w:r>
        <w:rPr>
          <w:rFonts w:ascii="Arial" w:hAnsi="Arial" w:cs="Arial"/>
          <w:sz w:val="24"/>
          <w:szCs w:val="24"/>
        </w:rPr>
        <w:t xml:space="preserve">, toda vez que del análisis efectuado con anterioridad y acorde a los requisitos que debe contener </w:t>
      </w:r>
      <w:r w:rsidRPr="00AA3E43">
        <w:rPr>
          <w:rFonts w:ascii="Arial" w:hAnsi="Arial" w:cs="Arial"/>
          <w:sz w:val="24"/>
          <w:szCs w:val="24"/>
        </w:rPr>
        <w:t>todo acto</w:t>
      </w:r>
      <w:r>
        <w:rPr>
          <w:rFonts w:ascii="Arial" w:hAnsi="Arial" w:cs="Arial"/>
          <w:sz w:val="24"/>
          <w:szCs w:val="24"/>
        </w:rPr>
        <w:t xml:space="preserve"> administrativo de conformidad con el artículo 17, de la Ley de Procedimiento y Justicia Administrativa para el Estado de Oaxaca, esta juzgadora estima pertinente </w:t>
      </w:r>
      <w:r w:rsidRPr="00233CBC">
        <w:rPr>
          <w:rFonts w:ascii="Arial" w:hAnsi="Arial" w:cs="Arial"/>
          <w:b/>
          <w:sz w:val="24"/>
          <w:szCs w:val="24"/>
        </w:rPr>
        <w:t>RECONOCER LA VALIDEZ</w:t>
      </w:r>
      <w:r>
        <w:rPr>
          <w:rFonts w:ascii="Arial" w:hAnsi="Arial" w:cs="Arial"/>
          <w:sz w:val="24"/>
          <w:szCs w:val="24"/>
        </w:rPr>
        <w:t>, de la resolución 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diciembre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por las razones y consideraciones ya expuestas en la presente resolución.</w:t>
      </w:r>
    </w:p>
    <w:p w:rsidR="00976489" w:rsidRDefault="00976489" w:rsidP="00976489">
      <w:pPr>
        <w:spacing w:line="360" w:lineRule="auto"/>
        <w:ind w:firstLine="708"/>
        <w:jc w:val="both"/>
        <w:rPr>
          <w:rFonts w:ascii="Arial" w:hAnsi="Arial" w:cs="Arial"/>
          <w:sz w:val="24"/>
          <w:szCs w:val="24"/>
        </w:rPr>
      </w:pPr>
    </w:p>
    <w:bookmarkEnd w:id="3"/>
    <w:p w:rsidR="00976489" w:rsidRPr="007B0581" w:rsidRDefault="00976489" w:rsidP="00976489">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976489" w:rsidRDefault="00976489" w:rsidP="00976489">
      <w:pPr>
        <w:spacing w:line="360" w:lineRule="auto"/>
        <w:ind w:right="-93" w:firstLine="708"/>
        <w:jc w:val="both"/>
        <w:rPr>
          <w:rFonts w:ascii="Arial" w:eastAsia="Calibri" w:hAnsi="Arial" w:cs="Arial"/>
          <w:color w:val="000000"/>
          <w:sz w:val="24"/>
          <w:szCs w:val="24"/>
          <w:lang w:val="es-MX" w:eastAsia="en-US"/>
        </w:rPr>
      </w:pPr>
    </w:p>
    <w:p w:rsidR="00976489" w:rsidRPr="007B0581" w:rsidRDefault="00976489" w:rsidP="00976489">
      <w:pPr>
        <w:spacing w:line="360" w:lineRule="auto"/>
        <w:ind w:right="-93"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y 209, de la Ley de Procedimiento y Justicia Administrativa para el Estado de Oaxaca, se;</w:t>
      </w:r>
    </w:p>
    <w:p w:rsidR="00976489" w:rsidRDefault="00976489" w:rsidP="00976489">
      <w:pPr>
        <w:spacing w:line="360" w:lineRule="auto"/>
        <w:ind w:firstLine="708"/>
        <w:jc w:val="both"/>
        <w:rPr>
          <w:rFonts w:ascii="Arial" w:eastAsia="Calibri" w:hAnsi="Arial" w:cs="Arial"/>
          <w:color w:val="000000"/>
          <w:sz w:val="24"/>
          <w:szCs w:val="24"/>
          <w:lang w:val="es-MX" w:eastAsia="en-US"/>
        </w:rPr>
      </w:pPr>
    </w:p>
    <w:p w:rsidR="00976489" w:rsidRDefault="00976489" w:rsidP="00976489">
      <w:pPr>
        <w:spacing w:line="360" w:lineRule="auto"/>
        <w:ind w:firstLine="708"/>
        <w:jc w:val="both"/>
        <w:rPr>
          <w:rFonts w:ascii="Arial" w:eastAsia="Calibri" w:hAnsi="Arial" w:cs="Arial"/>
          <w:color w:val="000000"/>
          <w:sz w:val="24"/>
          <w:szCs w:val="24"/>
          <w:lang w:val="es-MX" w:eastAsia="en-US"/>
        </w:rPr>
      </w:pPr>
    </w:p>
    <w:p w:rsidR="00976489" w:rsidRDefault="00976489" w:rsidP="00976489">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976489" w:rsidRDefault="00976489" w:rsidP="00976489">
      <w:pPr>
        <w:tabs>
          <w:tab w:val="left" w:pos="3786"/>
        </w:tabs>
        <w:spacing w:line="360" w:lineRule="auto"/>
        <w:ind w:firstLine="708"/>
        <w:jc w:val="both"/>
        <w:rPr>
          <w:rFonts w:ascii="Arial" w:hAnsi="Arial" w:cs="Arial"/>
          <w:b/>
          <w:sz w:val="24"/>
          <w:szCs w:val="24"/>
        </w:rPr>
      </w:pPr>
    </w:p>
    <w:p w:rsidR="00976489" w:rsidRDefault="00976489" w:rsidP="00976489">
      <w:pPr>
        <w:tabs>
          <w:tab w:val="left" w:pos="3786"/>
        </w:tabs>
        <w:spacing w:line="360" w:lineRule="auto"/>
        <w:ind w:firstLine="708"/>
        <w:jc w:val="both"/>
        <w:rPr>
          <w:rFonts w:ascii="Arial" w:hAnsi="Arial" w:cs="Arial"/>
          <w:b/>
          <w:sz w:val="24"/>
          <w:szCs w:val="24"/>
        </w:rPr>
      </w:pPr>
    </w:p>
    <w:p w:rsidR="00976489" w:rsidRPr="007B0581" w:rsidRDefault="00976489" w:rsidP="00976489">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976489" w:rsidRPr="007B0581" w:rsidRDefault="00976489" w:rsidP="00976489">
      <w:pPr>
        <w:pStyle w:val="Textoindependiente"/>
        <w:ind w:firstLine="709"/>
        <w:contextualSpacing/>
        <w:jc w:val="both"/>
        <w:rPr>
          <w:rFonts w:ascii="Arial" w:hAnsi="Arial" w:cs="Arial"/>
          <w:b/>
          <w:sz w:val="24"/>
          <w:szCs w:val="24"/>
        </w:rPr>
      </w:pPr>
    </w:p>
    <w:p w:rsidR="00976489" w:rsidRDefault="00976489" w:rsidP="00976489">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976489" w:rsidRDefault="00976489" w:rsidP="00976489">
      <w:pPr>
        <w:pStyle w:val="Textoindependiente"/>
        <w:spacing w:line="360" w:lineRule="auto"/>
        <w:ind w:firstLine="708"/>
        <w:jc w:val="both"/>
        <w:rPr>
          <w:rFonts w:ascii="Arial" w:eastAsia="Arial Unicode MS" w:hAnsi="Arial" w:cs="Arial"/>
          <w:kern w:val="1"/>
          <w:sz w:val="24"/>
          <w:szCs w:val="24"/>
          <w:lang w:val="es-MX" w:eastAsia="ar-SA"/>
        </w:rPr>
      </w:pPr>
    </w:p>
    <w:p w:rsidR="00976489" w:rsidRPr="007B0581" w:rsidRDefault="00976489" w:rsidP="00976489">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976489" w:rsidRPr="007B0581" w:rsidRDefault="00976489" w:rsidP="00976489">
      <w:pPr>
        <w:ind w:right="51"/>
        <w:contextualSpacing/>
        <w:jc w:val="both"/>
        <w:rPr>
          <w:rFonts w:ascii="Arial" w:hAnsi="Arial" w:cs="Arial"/>
          <w:sz w:val="24"/>
          <w:szCs w:val="24"/>
          <w:lang w:val="es-MX"/>
        </w:rPr>
      </w:pPr>
    </w:p>
    <w:p w:rsidR="00976489" w:rsidRPr="007B0581" w:rsidRDefault="00976489" w:rsidP="00976489">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Pr>
          <w:rFonts w:ascii="Arial" w:hAnsi="Arial" w:cs="Arial"/>
          <w:b/>
          <w:bCs/>
          <w:sz w:val="24"/>
          <w:szCs w:val="24"/>
        </w:rPr>
        <w:t xml:space="preserve"> RECONOCE LA</w:t>
      </w:r>
      <w:r w:rsidRPr="00BB5812">
        <w:rPr>
          <w:rFonts w:ascii="Arial" w:hAnsi="Arial" w:cs="Arial"/>
          <w:b/>
          <w:sz w:val="24"/>
          <w:szCs w:val="24"/>
        </w:rPr>
        <w:t xml:space="preserve"> </w:t>
      </w:r>
      <w:r>
        <w:rPr>
          <w:rFonts w:ascii="Arial" w:hAnsi="Arial" w:cs="Arial"/>
          <w:b/>
          <w:sz w:val="24"/>
          <w:szCs w:val="24"/>
        </w:rPr>
        <w:t>VALIDEZ</w:t>
      </w:r>
      <w:r w:rsidRPr="00BB5812">
        <w:rPr>
          <w:rFonts w:ascii="Arial" w:hAnsi="Arial" w:cs="Arial"/>
          <w:b/>
          <w:sz w:val="24"/>
          <w:szCs w:val="24"/>
        </w:rPr>
        <w:t xml:space="preserve"> </w:t>
      </w:r>
      <w:r w:rsidRPr="001A3E64">
        <w:rPr>
          <w:rFonts w:ascii="Arial" w:hAnsi="Arial" w:cs="Arial"/>
          <w:bCs/>
          <w:sz w:val="24"/>
          <w:szCs w:val="24"/>
        </w:rPr>
        <w:t>de</w:t>
      </w:r>
      <w:r w:rsidRPr="001A3E64">
        <w:rPr>
          <w:rFonts w:ascii="Arial" w:hAnsi="Arial" w:cs="Arial"/>
          <w:b/>
          <w:sz w:val="24"/>
          <w:szCs w:val="24"/>
        </w:rPr>
        <w:t xml:space="preserve"> </w:t>
      </w:r>
      <w:r w:rsidRPr="001A3E64">
        <w:rPr>
          <w:rFonts w:ascii="Arial" w:hAnsi="Arial" w:cs="Arial"/>
          <w:bCs/>
          <w:sz w:val="24"/>
          <w:szCs w:val="24"/>
        </w:rPr>
        <w:t xml:space="preserve">la </w:t>
      </w:r>
      <w:r>
        <w:rPr>
          <w:rFonts w:ascii="Arial" w:hAnsi="Arial" w:cs="Arial"/>
          <w:sz w:val="24"/>
          <w:szCs w:val="24"/>
        </w:rPr>
        <w:t>resolución 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Pr>
          <w:rFonts w:cs="Arial"/>
          <w:b/>
          <w:sz w:val="24"/>
          <w:szCs w:val="24"/>
        </w:rPr>
        <w:t xml:space="preserve"> </w:t>
      </w:r>
      <w:bookmarkStart w:id="4" w:name="_GoBack"/>
      <w:bookmarkEnd w:id="4"/>
      <w:r w:rsidRPr="007B0581">
        <w:rPr>
          <w:rFonts w:ascii="Arial" w:hAnsi="Arial" w:cs="Arial"/>
          <w:sz w:val="24"/>
          <w:szCs w:val="24"/>
        </w:rPr>
        <w:t xml:space="preserve">de </w:t>
      </w:r>
      <w:r>
        <w:rPr>
          <w:rFonts w:ascii="Arial" w:hAnsi="Arial" w:cs="Arial"/>
          <w:sz w:val="24"/>
          <w:szCs w:val="24"/>
        </w:rPr>
        <w:t>veinte de diciembre de dos mil veintiuno</w:t>
      </w:r>
      <w:r w:rsidRPr="007B0581">
        <w:rPr>
          <w:rFonts w:ascii="Arial" w:hAnsi="Arial" w:cs="Arial"/>
          <w:sz w:val="24"/>
          <w:szCs w:val="24"/>
        </w:rPr>
        <w:t xml:space="preserve">, signado por el </w:t>
      </w:r>
      <w:r>
        <w:rPr>
          <w:rFonts w:ascii="Arial" w:hAnsi="Arial" w:cs="Arial"/>
          <w:sz w:val="24"/>
          <w:szCs w:val="24"/>
        </w:rPr>
        <w:lastRenderedPageBreak/>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DF1FBD">
        <w:rPr>
          <w:rFonts w:ascii="Arial" w:hAnsi="Arial" w:cs="Arial"/>
          <w:bCs/>
          <w:sz w:val="24"/>
          <w:szCs w:val="24"/>
        </w:rPr>
        <w:t>,</w:t>
      </w:r>
      <w:r>
        <w:rPr>
          <w:rFonts w:ascii="Arial" w:hAnsi="Arial" w:cs="Arial"/>
          <w:bCs/>
          <w:sz w:val="24"/>
          <w:szCs w:val="24"/>
        </w:rPr>
        <w:t xml:space="preserve"> por las razones y consideraciones expuestas</w:t>
      </w:r>
      <w:r w:rsidRPr="00DF1FBD">
        <w:rPr>
          <w:rFonts w:ascii="Arial" w:hAnsi="Arial" w:cs="Arial"/>
          <w:bCs/>
          <w:sz w:val="24"/>
          <w:szCs w:val="24"/>
        </w:rPr>
        <w:t xml:space="preserve"> </w:t>
      </w:r>
      <w:r>
        <w:rPr>
          <w:rFonts w:ascii="Arial" w:hAnsi="Arial" w:cs="Arial"/>
          <w:sz w:val="24"/>
          <w:szCs w:val="24"/>
        </w:rPr>
        <w:t xml:space="preserve">en el considerando </w:t>
      </w:r>
      <w:r w:rsidRPr="0027542C">
        <w:rPr>
          <w:rFonts w:ascii="Arial" w:hAnsi="Arial" w:cs="Arial"/>
          <w:b/>
          <w:sz w:val="24"/>
          <w:szCs w:val="24"/>
        </w:rPr>
        <w:t>CUARTO</w:t>
      </w:r>
      <w:r>
        <w:rPr>
          <w:rFonts w:ascii="Arial" w:hAnsi="Arial" w:cs="Arial"/>
          <w:bCs/>
          <w:sz w:val="24"/>
          <w:szCs w:val="24"/>
        </w:rPr>
        <w:t xml:space="preserve"> de esta resolución.</w:t>
      </w:r>
    </w:p>
    <w:p w:rsidR="00976489" w:rsidRPr="007B0581" w:rsidRDefault="00976489" w:rsidP="00976489">
      <w:pPr>
        <w:ind w:right="51" w:firstLine="567"/>
        <w:contextualSpacing/>
        <w:jc w:val="both"/>
        <w:rPr>
          <w:rFonts w:ascii="Arial" w:hAnsi="Arial" w:cs="Arial"/>
          <w:sz w:val="24"/>
          <w:szCs w:val="24"/>
        </w:rPr>
      </w:pPr>
    </w:p>
    <w:p w:rsidR="00976489" w:rsidRDefault="00976489" w:rsidP="00976489">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976489" w:rsidRDefault="00976489" w:rsidP="00976489">
      <w:pPr>
        <w:spacing w:line="360" w:lineRule="auto"/>
        <w:ind w:right="51" w:firstLine="567"/>
        <w:jc w:val="both"/>
        <w:rPr>
          <w:rFonts w:ascii="Arial" w:eastAsia="Calibri" w:hAnsi="Arial" w:cs="Arial"/>
          <w:b/>
          <w:color w:val="000000"/>
          <w:sz w:val="24"/>
          <w:szCs w:val="24"/>
          <w:lang w:val="es-MX" w:eastAsia="en-US"/>
        </w:rPr>
      </w:pPr>
    </w:p>
    <w:p w:rsidR="00976489" w:rsidRDefault="00976489" w:rsidP="00976489">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que autoriza y da fe.</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489" w:rsidRDefault="00976489" w:rsidP="00976489">
      <w:r>
        <w:separator/>
      </w:r>
    </w:p>
  </w:endnote>
  <w:endnote w:type="continuationSeparator" w:id="0">
    <w:p w:rsidR="00976489" w:rsidRDefault="00976489" w:rsidP="00976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2144D3" w:rsidRDefault="00976489">
        <w:pPr>
          <w:pStyle w:val="Piedepgina"/>
          <w:jc w:val="center"/>
        </w:pPr>
        <w:r>
          <w:fldChar w:fldCharType="begin"/>
        </w:r>
        <w:r>
          <w:instrText>PAGE   \* MERGEFORMAT</w:instrText>
        </w:r>
        <w:r>
          <w:fldChar w:fldCharType="separate"/>
        </w:r>
        <w:r>
          <w:rPr>
            <w:noProof/>
          </w:rPr>
          <w:t>6</w:t>
        </w:r>
        <w:r>
          <w:fldChar w:fldCharType="end"/>
        </w:r>
      </w:p>
    </w:sdtContent>
  </w:sdt>
  <w:p w:rsidR="002144D3" w:rsidRDefault="0097648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489" w:rsidRDefault="00976489" w:rsidP="00976489">
      <w:r>
        <w:separator/>
      </w:r>
    </w:p>
  </w:footnote>
  <w:footnote w:type="continuationSeparator" w:id="0">
    <w:p w:rsidR="00976489" w:rsidRDefault="00976489" w:rsidP="00976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4D3" w:rsidRPr="00A73AD7" w:rsidRDefault="00976489"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27F01821" wp14:editId="40DA6136">
              <wp:simplePos x="0" y="0"/>
              <wp:positionH relativeFrom="leftMargin">
                <wp:posOffset>157645</wp:posOffset>
              </wp:positionH>
              <wp:positionV relativeFrom="paragraph">
                <wp:posOffset>4047069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76489" w:rsidRDefault="00976489" w:rsidP="0097648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F01821" id="_x0000_t202" coordsize="21600,21600" o:spt="202" path="m,l,21600r21600,l21600,xe">
              <v:stroke joinstyle="miter"/>
              <v:path gradientshapeok="t" o:connecttype="rect"/>
            </v:shapetype>
            <v:shape id="Cuadro de texto 4" o:spid="_x0000_s1026" type="#_x0000_t202" style="position:absolute;left:0;text-align:left;margin-left:12.4pt;margin-top:318.6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">
              <v:textbox>
                <w:txbxContent>
                  <w:p w:rsidR="00976489" w:rsidRDefault="00976489" w:rsidP="00976489">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5A224CB2" wp14:editId="70E52BB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w:t>
    </w:r>
    <w:r>
      <w:rPr>
        <w:rFonts w:ascii="Arial" w:hAnsi="Arial" w:cs="Arial"/>
      </w:rPr>
      <w:t>5</w:t>
    </w:r>
    <w:r>
      <w:rPr>
        <w:rFonts w:ascii="Arial" w:hAnsi="Arial" w:cs="Arial"/>
      </w:rPr>
      <w:t>8</w:t>
    </w:r>
    <w:r w:rsidRPr="00A73AD7">
      <w:rPr>
        <w:rFonts w:ascii="Arial" w:hAnsi="Arial" w:cs="Arial"/>
      </w:rPr>
      <w:t>/20</w:t>
    </w:r>
    <w:r>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4D3" w:rsidRDefault="00976489">
    <w:pPr>
      <w:pStyle w:val="Encabezado"/>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57CA30EC" wp14:editId="02C3A5C7">
              <wp:simplePos x="0" y="0"/>
              <wp:positionH relativeFrom="leftMargin">
                <wp:posOffset>240772</wp:posOffset>
              </wp:positionH>
              <wp:positionV relativeFrom="paragraph">
                <wp:posOffset>5662114</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976489" w:rsidRDefault="00976489" w:rsidP="0097648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CA30EC" id="_x0000_t202" coordsize="21600,21600" o:spt="202" path="m,l,21600r21600,l21600,xe">
              <v:stroke joinstyle="miter"/>
              <v:path gradientshapeok="t" o:connecttype="rect"/>
            </v:shapetype>
            <v:shape id="Cuadro de texto 5" o:spid="_x0000_s1027" type="#_x0000_t202" style="position:absolute;margin-left:18.95pt;margin-top:445.8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">
              <v:textbox>
                <w:txbxContent>
                  <w:p w:rsidR="00976489" w:rsidRDefault="00976489" w:rsidP="00976489">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15E86DC3" wp14:editId="10C7968D">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53E7685A" wp14:editId="6F9B2952">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489"/>
    <w:rsid w:val="00294EC6"/>
    <w:rsid w:val="004B1DB0"/>
    <w:rsid w:val="005223BF"/>
    <w:rsid w:val="00685BC3"/>
    <w:rsid w:val="00976489"/>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6FBC328-7311-447B-AB4B-C3241417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48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976489"/>
    <w:pPr>
      <w:spacing w:after="120"/>
    </w:pPr>
    <w:rPr>
      <w:lang w:val="x-none"/>
    </w:rPr>
  </w:style>
  <w:style w:type="character" w:customStyle="1" w:styleId="TextoindependienteCar">
    <w:name w:val="Texto independiente Car"/>
    <w:basedOn w:val="Fuentedeprrafopredeter"/>
    <w:link w:val="Textoindependiente"/>
    <w:uiPriority w:val="99"/>
    <w:rsid w:val="00976489"/>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976489"/>
    <w:pPr>
      <w:autoSpaceDE w:val="0"/>
      <w:autoSpaceDN w:val="0"/>
    </w:pPr>
    <w:rPr>
      <w:lang w:eastAsia="es-ES"/>
    </w:rPr>
  </w:style>
  <w:style w:type="character" w:customStyle="1" w:styleId="TextonotapieCar">
    <w:name w:val="Texto nota pie Car"/>
    <w:basedOn w:val="Fuentedeprrafopredeter"/>
    <w:link w:val="Textonotapie"/>
    <w:uiPriority w:val="99"/>
    <w:rsid w:val="00976489"/>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76489"/>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76489"/>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976489"/>
    <w:pPr>
      <w:tabs>
        <w:tab w:val="center" w:pos="4419"/>
        <w:tab w:val="right" w:pos="8838"/>
      </w:tabs>
    </w:pPr>
  </w:style>
  <w:style w:type="character" w:customStyle="1" w:styleId="EncabezadoCar">
    <w:name w:val="Encabezado Car"/>
    <w:basedOn w:val="Fuentedeprrafopredeter"/>
    <w:link w:val="Encabezado"/>
    <w:uiPriority w:val="99"/>
    <w:rsid w:val="00976489"/>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976489"/>
    <w:pPr>
      <w:tabs>
        <w:tab w:val="center" w:pos="4419"/>
        <w:tab w:val="right" w:pos="8838"/>
      </w:tabs>
    </w:pPr>
  </w:style>
  <w:style w:type="character" w:customStyle="1" w:styleId="PiedepginaCar">
    <w:name w:val="Pie de página Car"/>
    <w:basedOn w:val="Fuentedeprrafopredeter"/>
    <w:link w:val="Piedepgina"/>
    <w:uiPriority w:val="99"/>
    <w:rsid w:val="00976489"/>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437"/>
    <w:rsid w:val="009514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C763320DBC94CDBBDC8D5F847307424">
    <w:name w:val="9C763320DBC94CDBBDC8D5F847307424"/>
    <w:rsid w:val="009514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1801</Words>
  <Characters>9908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2023-04-13T17:31:00Z</dcterms:created>
  <dcterms:modified xsi:type="dcterms:W3CDTF">2023-04-13T17:36:00Z</dcterms:modified>
</cp:coreProperties>
</file>